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5C46A" w14:textId="04314573" w:rsidR="00A62EF3" w:rsidRPr="002E1BA8" w:rsidRDefault="005D7C45" w:rsidP="002356F8">
      <w:pPr>
        <w:pStyle w:val="Title"/>
        <w:spacing w:after="120"/>
        <w:rPr>
          <w:noProof w:val="0"/>
          <w:sz w:val="44"/>
          <w:szCs w:val="44"/>
        </w:rPr>
      </w:pPr>
      <w:bookmarkStart w:id="0" w:name="_Toc96326909"/>
      <w:r w:rsidRPr="002E1BA8">
        <w:rPr>
          <w:noProof w:val="0"/>
          <w:sz w:val="44"/>
          <w:szCs w:val="44"/>
        </w:rPr>
        <w:t xml:space="preserve">Dashboard </w:t>
      </w:r>
      <w:r w:rsidR="00936C83" w:rsidRPr="002E1BA8">
        <w:rPr>
          <w:noProof w:val="0"/>
          <w:sz w:val="44"/>
          <w:szCs w:val="44"/>
        </w:rPr>
        <w:t xml:space="preserve">Impact Analysis </w:t>
      </w:r>
      <w:r w:rsidR="00232964" w:rsidRPr="002E1BA8">
        <w:rPr>
          <w:noProof w:val="0"/>
          <w:sz w:val="44"/>
          <w:szCs w:val="44"/>
        </w:rPr>
        <w:t xml:space="preserve">(IA) </w:t>
      </w:r>
      <w:r w:rsidR="005F66F9" w:rsidRPr="002E1BA8">
        <w:rPr>
          <w:noProof w:val="0"/>
          <w:sz w:val="44"/>
          <w:szCs w:val="44"/>
        </w:rPr>
        <w:t xml:space="preserve">– </w:t>
      </w:r>
      <w:r w:rsidR="007E6D00" w:rsidRPr="002E1BA8">
        <w:rPr>
          <w:noProof w:val="0"/>
          <w:sz w:val="44"/>
          <w:szCs w:val="44"/>
        </w:rPr>
        <w:t xml:space="preserve">National Environmental Standard for </w:t>
      </w:r>
      <w:r w:rsidR="00722977" w:rsidRPr="002E1BA8">
        <w:rPr>
          <w:noProof w:val="0"/>
          <w:sz w:val="44"/>
          <w:szCs w:val="44"/>
        </w:rPr>
        <w:t>Environmental Offsets</w:t>
      </w:r>
    </w:p>
    <w:bookmarkEnd w:id="0"/>
    <w:p w14:paraId="298B81AB" w14:textId="77777777" w:rsidR="007E6D00" w:rsidRPr="00C67980" w:rsidRDefault="007E6D00" w:rsidP="00EA65AC">
      <w:pPr>
        <w:pStyle w:val="Subtitle"/>
        <w:rPr>
          <w:b/>
          <w:bCs/>
          <w:noProof w:val="0"/>
          <w:sz w:val="24"/>
          <w:szCs w:val="24"/>
        </w:rPr>
      </w:pPr>
      <w:r w:rsidRPr="002E1BA8">
        <w:rPr>
          <w:b/>
          <w:noProof w:val="0"/>
          <w:sz w:val="24"/>
          <w:szCs w:val="24"/>
        </w:rPr>
        <w:t>Department of Climate Change, Energy, the Environment and Water</w:t>
      </w:r>
    </w:p>
    <w:p w14:paraId="6EAF1914" w14:textId="7751DBEE" w:rsidR="00A62EF3" w:rsidRPr="002E1BA8" w:rsidRDefault="006C7E16" w:rsidP="0026634E">
      <w:pPr>
        <w:pStyle w:val="Heading1"/>
        <w:rPr>
          <w:noProof w:val="0"/>
        </w:rPr>
      </w:pPr>
      <w:r w:rsidRPr="002E1BA8">
        <w:rPr>
          <w:noProof w:val="0"/>
        </w:rPr>
        <w:t xml:space="preserve">The policy problem </w:t>
      </w:r>
      <w:r w:rsidR="00E873C4" w:rsidRPr="002E1BA8">
        <w:rPr>
          <w:noProof w:val="0"/>
        </w:rPr>
        <w:t>and proposed approach</w:t>
      </w:r>
    </w:p>
    <w:p w14:paraId="2F911B8A" w14:textId="77777777" w:rsidR="00641D4A" w:rsidRDefault="00641D4A" w:rsidP="00641D4A">
      <w:pPr>
        <w:pStyle w:val="Heading2"/>
      </w:pPr>
      <w:r w:rsidRPr="005F3B45">
        <w:t>Proposed approach</w:t>
      </w:r>
    </w:p>
    <w:p w14:paraId="6CDA552C" w14:textId="77777777" w:rsidR="00641D4A" w:rsidRPr="002E1BA8" w:rsidRDefault="00641D4A" w:rsidP="00641D4A">
      <w:r w:rsidRPr="002E1BA8">
        <w:t xml:space="preserve">The proposed approach is a legally enforceable National Environmental Standard for Environmental Offsets (Offsets Standard) under section 514YD of the </w:t>
      </w:r>
      <w:r w:rsidRPr="002E1BA8">
        <w:rPr>
          <w:i/>
          <w:iCs/>
        </w:rPr>
        <w:t xml:space="preserve">Environment Protection and Biodiversity Conservation Act 1999 </w:t>
      </w:r>
      <w:r w:rsidRPr="002E1BA8">
        <w:t xml:space="preserve">(EPBC Act). The preferred option establishes an Objective, Outcomes, and eight Principles to guide decision-making so that residual significant impacts on protected matters under the EPBC Act are appropriately compensated to deliver a net gain. The eight </w:t>
      </w:r>
      <w:r>
        <w:t>Principles</w:t>
      </w:r>
      <w:r w:rsidRPr="002E1BA8">
        <w:t xml:space="preserve"> include provisions for feasibility, security, tangibility, measurable improvements, additionality, like-for-like, relevant areas and offsets commenced prior to impact.</w:t>
      </w:r>
    </w:p>
    <w:p w14:paraId="0F02633C" w14:textId="77777777" w:rsidR="00641D4A" w:rsidRPr="002E1BA8" w:rsidRDefault="00641D4A" w:rsidP="00641D4A">
      <w:r>
        <w:t>The Environmental Offsets Standard guides applicants by clearly establishing eight Principles for offset activities to improve regulatory certainty and support the Minister for the Environment and Water’s decision-making under the EPBC Act. The Environmental Offsets Standard aims to improve consistency of decision-making and regulatory certainty while also supporting better environmental outcomes. This is expected to expedite assessments and reduce the need for further information requests, which have regularly led to delays and further administrative costs for actions under the EPBC Act. Ministerial decision-making will be more transparent as the minister must now be satisfied that a proposal is consistent with all relevant National Environmental Standards.</w:t>
      </w:r>
    </w:p>
    <w:p w14:paraId="69A5BE26" w14:textId="77777777" w:rsidR="00641D4A" w:rsidRPr="002E1BA8" w:rsidRDefault="00641D4A" w:rsidP="00641D4A">
      <w:r>
        <w:t>If made, consistency with the Environmental Offsets Standard would be assessed by the decision-maker in relation to:</w:t>
      </w:r>
    </w:p>
    <w:p w14:paraId="167CB157" w14:textId="77777777" w:rsidR="00641D4A" w:rsidRPr="002E1BA8" w:rsidRDefault="00641D4A" w:rsidP="00641D4A">
      <w:pPr>
        <w:numPr>
          <w:ilvl w:val="0"/>
          <w:numId w:val="44"/>
        </w:numPr>
      </w:pPr>
      <w:r w:rsidRPr="002E1BA8">
        <w:t>Decisions to approve the taking of an action, including conditions, and decisions to approve actions in accordance with an endorsed policy, plan or program, as well as variations to such approvals</w:t>
      </w:r>
    </w:p>
    <w:p w14:paraId="48AC21E8" w14:textId="77777777" w:rsidR="00641D4A" w:rsidRPr="002E1BA8" w:rsidRDefault="00641D4A" w:rsidP="00641D4A">
      <w:pPr>
        <w:numPr>
          <w:ilvl w:val="0"/>
          <w:numId w:val="45"/>
        </w:numPr>
      </w:pPr>
      <w:r w:rsidRPr="002E1BA8">
        <w:t>Decisions in relation to accrediting a management or authorisation framework or NOPSEMA management or authorisation framework</w:t>
      </w:r>
    </w:p>
    <w:p w14:paraId="0E9DB02E" w14:textId="77777777" w:rsidR="00641D4A" w:rsidRPr="002E1BA8" w:rsidRDefault="00641D4A" w:rsidP="00641D4A">
      <w:pPr>
        <w:numPr>
          <w:ilvl w:val="0"/>
          <w:numId w:val="46"/>
        </w:numPr>
      </w:pPr>
      <w:r w:rsidRPr="002E1BA8">
        <w:t>Making or varying a bioregional plan or bioregional guidance plan.</w:t>
      </w:r>
    </w:p>
    <w:p w14:paraId="527C8198" w14:textId="77777777" w:rsidR="00641D4A" w:rsidRPr="0020003A" w:rsidRDefault="00641D4A" w:rsidP="00641D4A">
      <w:pPr>
        <w:pStyle w:val="Heading2"/>
      </w:pPr>
      <w:r w:rsidRPr="0020003A">
        <w:t>Policy problem</w:t>
      </w:r>
    </w:p>
    <w:p w14:paraId="0D84767E" w14:textId="77777777" w:rsidR="00641D4A" w:rsidRPr="002E1BA8" w:rsidRDefault="00641D4A" w:rsidP="00641D4A">
      <w:r w:rsidRPr="002E1BA8">
        <w:t xml:space="preserve">The 2020 Independent Review of the EPBC Act Final Report (Samuel Review) found that offset principles and requirements were set in policy rather than legislative instruments, leading to a high level of discretion and inconsistency in how offsets and compensation were considered and implemented under the Act. The Samuel Review’s key recommendation was the introduction of </w:t>
      </w:r>
      <w:r w:rsidRPr="002E1BA8">
        <w:lastRenderedPageBreak/>
        <w:t xml:space="preserve">National Environmental Standards, including for Offsets. </w:t>
      </w:r>
      <w:r w:rsidRPr="002E1BA8">
        <w:rPr>
          <w:rFonts w:ascii="Segoe UI" w:eastAsia="Segoe UI" w:hAnsi="Segoe UI" w:cs="Segoe UI"/>
        </w:rPr>
        <w:t>Without an Offset Standard, there is also potential for inconsistency of information used for EPBC Act approvals at the Commonwealth and state and territory levels through bilateral agreements.</w:t>
      </w:r>
    </w:p>
    <w:p w14:paraId="2DC2842F" w14:textId="77777777" w:rsidR="00641D4A" w:rsidRPr="0020003A" w:rsidRDefault="00641D4A" w:rsidP="00641D4A">
      <w:pPr>
        <w:pStyle w:val="Heading1"/>
      </w:pPr>
      <w:r w:rsidRPr="0020003A">
        <w:t xml:space="preserve">Summary of impacts and methodology </w:t>
      </w:r>
    </w:p>
    <w:p w14:paraId="1A55D2B2" w14:textId="62D3B4D3" w:rsidR="00641D4A" w:rsidRPr="00977A4B" w:rsidRDefault="00C64FDA" w:rsidP="00641D4A">
      <w:pPr>
        <w:spacing w:before="120"/>
        <w:rPr>
          <w:rFonts w:cstheme="minorHAnsi"/>
        </w:rPr>
      </w:pPr>
      <w:r w:rsidRPr="00C64FDA">
        <w:rPr>
          <w:rFonts w:cstheme="minorHAnsi"/>
          <w:lang w:val="en-US"/>
        </w:rPr>
        <w:t xml:space="preserve">The Department prepared an Addendum to the Samuel Review on 30 October 2025. The </w:t>
      </w:r>
      <w:r w:rsidR="00641D4A" w:rsidRPr="00977A4B">
        <w:rPr>
          <w:rFonts w:cstheme="minorHAnsi"/>
        </w:rPr>
        <w:t>Addendum focus</w:t>
      </w:r>
      <w:r>
        <w:rPr>
          <w:rFonts w:cstheme="minorHAnsi"/>
        </w:rPr>
        <w:t>es</w:t>
      </w:r>
      <w:r w:rsidR="00641D4A" w:rsidRPr="00977A4B">
        <w:rPr>
          <w:rFonts w:cstheme="minorHAnsi"/>
        </w:rPr>
        <w:t xml:space="preserve"> on the streamlined assessment pathway (reducing statutory timeframes from 70 to 50 days) and related reform measures – including the making of National Environmental Standards, rulings, defining unacceptable impacts, and requiring a ‘net gain’ for any residual significant impacts. These related reforms aim to improve environmental outcomes and reduce delays commonly caused by further information requests.</w:t>
      </w:r>
    </w:p>
    <w:p w14:paraId="6980C569" w14:textId="77777777" w:rsidR="00641D4A" w:rsidRPr="00977A4B" w:rsidRDefault="00641D4A" w:rsidP="00641D4A">
      <w:pPr>
        <w:spacing w:before="120"/>
        <w:rPr>
          <w:rFonts w:cstheme="minorHAnsi"/>
        </w:rPr>
      </w:pPr>
      <w:r w:rsidRPr="00977A4B">
        <w:rPr>
          <w:rFonts w:cstheme="minorHAnsi"/>
        </w:rPr>
        <w:t>The Addendum estimates the impact of the streamlined assessment pathway (SAP, low scenario) and SAP and related reforms (medium and high scenario), as reproduced below in Table 1.</w:t>
      </w:r>
    </w:p>
    <w:p w14:paraId="0C2249AE" w14:textId="77777777" w:rsidR="00641D4A" w:rsidRPr="00977A4B" w:rsidRDefault="00641D4A" w:rsidP="00641D4A">
      <w:pPr>
        <w:rPr>
          <w:rFonts w:cstheme="minorHAnsi"/>
        </w:rPr>
      </w:pPr>
      <w:r w:rsidRPr="00977A4B">
        <w:rPr>
          <w:rFonts w:cstheme="minorHAnsi"/>
        </w:rPr>
        <w:t>The Addendum estimates that under medium and low scenarios, requests for information would be reduced and avoided (respectively). Benefits were a reduced timeframe for assessments and approvals – at either 140 or 288 days.</w:t>
      </w:r>
    </w:p>
    <w:p w14:paraId="1A714758" w14:textId="77777777" w:rsidR="00641D4A" w:rsidRPr="00496940" w:rsidRDefault="00641D4A" w:rsidP="00641D4A">
      <w:pPr>
        <w:spacing w:after="0"/>
      </w:pPr>
      <w:r w:rsidRPr="00977A4B">
        <w:rPr>
          <w:rFonts w:cstheme="minorHAnsi"/>
          <w:b/>
          <w:bCs/>
        </w:rPr>
        <w:t>Table 1.</w:t>
      </w:r>
      <w:r w:rsidRPr="00977A4B">
        <w:rPr>
          <w:rFonts w:cstheme="minorHAnsi"/>
        </w:rPr>
        <w:t xml:space="preserve"> Estimated positive impact from reductions to delay costs from the introduction of the streamlined assessment pathway and related reform measures per relevant population per annum.</w:t>
      </w:r>
      <w:r>
        <w:tab/>
      </w:r>
    </w:p>
    <w:tbl>
      <w:tblPr>
        <w:tblW w:w="5000" w:type="pct"/>
        <w:tblLook w:val="04A0" w:firstRow="1" w:lastRow="0" w:firstColumn="1" w:lastColumn="0" w:noHBand="0" w:noVBand="1"/>
      </w:tblPr>
      <w:tblGrid>
        <w:gridCol w:w="2156"/>
        <w:gridCol w:w="1119"/>
        <w:gridCol w:w="2742"/>
        <w:gridCol w:w="1304"/>
        <w:gridCol w:w="2307"/>
      </w:tblGrid>
      <w:tr w:rsidR="00641D4A" w:rsidRPr="0020003A" w14:paraId="7E1EE379" w14:textId="77777777" w:rsidTr="007E0AD0">
        <w:trPr>
          <w:trHeight w:val="288"/>
        </w:trPr>
        <w:tc>
          <w:tcPr>
            <w:tcW w:w="1120" w:type="pct"/>
            <w:tcBorders>
              <w:top w:val="single" w:sz="4" w:space="0" w:color="000000"/>
              <w:left w:val="single" w:sz="4" w:space="0" w:color="auto"/>
              <w:bottom w:val="single" w:sz="4" w:space="0" w:color="000000"/>
              <w:right w:val="single" w:sz="4" w:space="0" w:color="auto"/>
            </w:tcBorders>
            <w:shd w:val="clear" w:color="000000" w:fill="FFFFFF"/>
            <w:vAlign w:val="center"/>
            <w:hideMark/>
          </w:tcPr>
          <w:p w14:paraId="06CAB81D" w14:textId="77777777" w:rsidR="00641D4A" w:rsidRPr="0020003A" w:rsidRDefault="00641D4A" w:rsidP="007E0AD0">
            <w:pPr>
              <w:spacing w:after="0" w:line="240"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Change in Costs ($million)</w:t>
            </w:r>
          </w:p>
        </w:tc>
        <w:tc>
          <w:tcPr>
            <w:tcW w:w="581" w:type="pct"/>
            <w:tcBorders>
              <w:top w:val="single" w:sz="4" w:space="0" w:color="auto"/>
              <w:left w:val="nil"/>
              <w:bottom w:val="single" w:sz="4" w:space="0" w:color="auto"/>
              <w:right w:val="nil"/>
            </w:tcBorders>
            <w:shd w:val="clear" w:color="000000" w:fill="FFFFFF"/>
            <w:noWrap/>
            <w:vAlign w:val="bottom"/>
            <w:hideMark/>
          </w:tcPr>
          <w:p w14:paraId="2A05EC68" w14:textId="77777777" w:rsidR="00641D4A" w:rsidRPr="0020003A" w:rsidRDefault="00641D4A" w:rsidP="007E0AD0">
            <w:pPr>
              <w:spacing w:after="0" w:line="240" w:lineRule="auto"/>
              <w:jc w:val="right"/>
              <w:rPr>
                <w:rFonts w:eastAsia="Times New Roman" w:cstheme="minorHAnsi"/>
                <w:b/>
                <w:color w:val="000000"/>
                <w:sz w:val="20"/>
                <w:szCs w:val="20"/>
                <w:lang w:eastAsia="en-AU"/>
              </w:rPr>
            </w:pPr>
            <w:r w:rsidRPr="0020003A">
              <w:rPr>
                <w:rFonts w:eastAsia="Times New Roman" w:cstheme="minorHAnsi"/>
                <w:b/>
                <w:bCs/>
                <w:color w:val="000000"/>
                <w:sz w:val="20"/>
                <w:szCs w:val="20"/>
                <w:lang w:eastAsia="en-AU"/>
              </w:rPr>
              <w:t>Business</w:t>
            </w:r>
          </w:p>
        </w:tc>
        <w:tc>
          <w:tcPr>
            <w:tcW w:w="1424" w:type="pct"/>
            <w:tcBorders>
              <w:top w:val="single" w:sz="4" w:space="0" w:color="auto"/>
              <w:left w:val="nil"/>
              <w:bottom w:val="single" w:sz="4" w:space="0" w:color="auto"/>
              <w:right w:val="nil"/>
            </w:tcBorders>
            <w:shd w:val="clear" w:color="000000" w:fill="FFFFFF"/>
            <w:noWrap/>
            <w:vAlign w:val="bottom"/>
            <w:hideMark/>
          </w:tcPr>
          <w:p w14:paraId="404B0A47" w14:textId="77777777" w:rsidR="00641D4A" w:rsidRPr="0020003A" w:rsidRDefault="00641D4A" w:rsidP="007E0AD0">
            <w:pPr>
              <w:spacing w:after="0" w:line="240" w:lineRule="auto"/>
              <w:jc w:val="center"/>
              <w:rPr>
                <w:rFonts w:eastAsia="Times New Roman" w:cstheme="minorHAnsi"/>
                <w:b/>
                <w:color w:val="000000"/>
                <w:sz w:val="20"/>
                <w:szCs w:val="20"/>
                <w:lang w:eastAsia="en-AU"/>
              </w:rPr>
            </w:pPr>
            <w:r w:rsidRPr="0020003A">
              <w:rPr>
                <w:rFonts w:eastAsia="Times New Roman" w:cstheme="minorHAnsi"/>
                <w:b/>
                <w:bCs/>
                <w:color w:val="000000"/>
                <w:sz w:val="20"/>
                <w:szCs w:val="20"/>
                <w:lang w:eastAsia="en-AU"/>
              </w:rPr>
              <w:t>Community</w:t>
            </w:r>
            <w:r w:rsidRPr="0020003A">
              <w:rPr>
                <w:rFonts w:eastAsia="Times New Roman" w:cstheme="minorHAnsi"/>
                <w:b/>
                <w:color w:val="000000"/>
                <w:sz w:val="20"/>
                <w:szCs w:val="20"/>
                <w:lang w:eastAsia="en-AU"/>
              </w:rPr>
              <w:t xml:space="preserve"> organisations</w:t>
            </w:r>
          </w:p>
        </w:tc>
        <w:tc>
          <w:tcPr>
            <w:tcW w:w="677" w:type="pct"/>
            <w:tcBorders>
              <w:top w:val="single" w:sz="4" w:space="0" w:color="auto"/>
              <w:left w:val="nil"/>
              <w:bottom w:val="single" w:sz="4" w:space="0" w:color="auto"/>
            </w:tcBorders>
            <w:shd w:val="clear" w:color="000000" w:fill="FFFFFF"/>
            <w:noWrap/>
            <w:vAlign w:val="bottom"/>
            <w:hideMark/>
          </w:tcPr>
          <w:p w14:paraId="19D61DFC" w14:textId="77777777" w:rsidR="00641D4A" w:rsidRPr="0020003A" w:rsidRDefault="00641D4A" w:rsidP="007E0AD0">
            <w:pPr>
              <w:spacing w:after="0" w:line="240" w:lineRule="auto"/>
              <w:jc w:val="right"/>
              <w:rPr>
                <w:rFonts w:eastAsia="Times New Roman" w:cstheme="minorHAnsi"/>
                <w:b/>
                <w:color w:val="000000"/>
                <w:sz w:val="20"/>
                <w:szCs w:val="20"/>
                <w:lang w:eastAsia="en-AU"/>
              </w:rPr>
            </w:pPr>
            <w:r w:rsidRPr="0020003A">
              <w:rPr>
                <w:rFonts w:eastAsia="Times New Roman" w:cstheme="minorHAnsi"/>
                <w:b/>
                <w:bCs/>
                <w:color w:val="000000"/>
                <w:sz w:val="20"/>
                <w:szCs w:val="20"/>
                <w:lang w:eastAsia="en-AU"/>
              </w:rPr>
              <w:t>Individuals</w:t>
            </w:r>
          </w:p>
        </w:tc>
        <w:tc>
          <w:tcPr>
            <w:tcW w:w="1200" w:type="pct"/>
            <w:tcBorders>
              <w:top w:val="single" w:sz="4" w:space="0" w:color="auto"/>
              <w:bottom w:val="single" w:sz="4" w:space="0" w:color="auto"/>
              <w:right w:val="single" w:sz="4" w:space="0" w:color="auto"/>
            </w:tcBorders>
            <w:shd w:val="clear" w:color="000000" w:fill="D9D9D9"/>
            <w:noWrap/>
            <w:vAlign w:val="bottom"/>
            <w:hideMark/>
          </w:tcPr>
          <w:p w14:paraId="46491E5E" w14:textId="77777777" w:rsidR="00641D4A" w:rsidRPr="0020003A" w:rsidRDefault="00641D4A" w:rsidP="007E0AD0">
            <w:pPr>
              <w:spacing w:after="0" w:line="240" w:lineRule="auto"/>
              <w:jc w:val="center"/>
              <w:rPr>
                <w:rFonts w:eastAsia="Times New Roman" w:cstheme="minorHAnsi"/>
                <w:b/>
                <w:color w:val="000000"/>
                <w:sz w:val="20"/>
                <w:szCs w:val="20"/>
                <w:lang w:eastAsia="en-AU"/>
              </w:rPr>
            </w:pPr>
            <w:r w:rsidRPr="0020003A">
              <w:rPr>
                <w:rFonts w:eastAsia="Times New Roman" w:cstheme="minorHAnsi"/>
                <w:b/>
                <w:bCs/>
                <w:color w:val="000000"/>
                <w:sz w:val="20"/>
                <w:szCs w:val="20"/>
                <w:lang w:eastAsia="en-AU"/>
              </w:rPr>
              <w:t>Total</w:t>
            </w:r>
            <w:r w:rsidRPr="0020003A">
              <w:rPr>
                <w:rFonts w:eastAsia="Times New Roman" w:cstheme="minorHAnsi"/>
                <w:b/>
                <w:color w:val="000000"/>
                <w:sz w:val="20"/>
                <w:szCs w:val="20"/>
                <w:lang w:eastAsia="en-AU"/>
              </w:rPr>
              <w:t xml:space="preserve"> change in Costs</w:t>
            </w:r>
          </w:p>
        </w:tc>
      </w:tr>
      <w:tr w:rsidR="00641D4A" w:rsidRPr="0020003A" w14:paraId="296E4501" w14:textId="77777777" w:rsidTr="007E0AD0">
        <w:trPr>
          <w:trHeight w:val="288"/>
        </w:trPr>
        <w:tc>
          <w:tcPr>
            <w:tcW w:w="1120" w:type="pct"/>
            <w:tcBorders>
              <w:top w:val="nil"/>
              <w:left w:val="single" w:sz="4" w:space="0" w:color="auto"/>
              <w:bottom w:val="nil"/>
              <w:right w:val="nil"/>
            </w:tcBorders>
            <w:shd w:val="clear" w:color="000000" w:fill="FFFFFF"/>
            <w:noWrap/>
            <w:vAlign w:val="bottom"/>
          </w:tcPr>
          <w:p w14:paraId="0209854F" w14:textId="77777777" w:rsidR="00641D4A" w:rsidRPr="00B57517" w:rsidRDefault="00641D4A" w:rsidP="007E0AD0">
            <w:pPr>
              <w:spacing w:after="0" w:line="240" w:lineRule="auto"/>
              <w:rPr>
                <w:rFonts w:eastAsia="Times New Roman" w:cstheme="minorHAnsi"/>
                <w:color w:val="000000"/>
                <w:sz w:val="20"/>
                <w:szCs w:val="20"/>
                <w:lang w:eastAsia="en-AU"/>
              </w:rPr>
            </w:pPr>
            <w:r w:rsidRPr="00B57517">
              <w:rPr>
                <w:rFonts w:eastAsia="Times New Roman" w:cstheme="minorHAnsi"/>
                <w:color w:val="000000"/>
                <w:sz w:val="20"/>
                <w:szCs w:val="20"/>
                <w:lang w:eastAsia="en-AU"/>
              </w:rPr>
              <w:t xml:space="preserve">Low (20 </w:t>
            </w:r>
            <w:proofErr w:type="gramStart"/>
            <w:r w:rsidRPr="00B57517">
              <w:rPr>
                <w:rFonts w:eastAsia="Times New Roman" w:cstheme="minorHAnsi"/>
                <w:color w:val="000000"/>
                <w:sz w:val="20"/>
                <w:szCs w:val="20"/>
                <w:lang w:eastAsia="en-AU"/>
              </w:rPr>
              <w:t>days)*</w:t>
            </w:r>
            <w:proofErr w:type="gramEnd"/>
          </w:p>
        </w:tc>
        <w:tc>
          <w:tcPr>
            <w:tcW w:w="581" w:type="pct"/>
            <w:tcBorders>
              <w:top w:val="single" w:sz="4" w:space="0" w:color="auto"/>
              <w:left w:val="single" w:sz="4" w:space="0" w:color="auto"/>
              <w:bottom w:val="nil"/>
              <w:right w:val="nil"/>
            </w:tcBorders>
            <w:shd w:val="clear" w:color="000000" w:fill="FFFFFF"/>
            <w:noWrap/>
          </w:tcPr>
          <w:p w14:paraId="424BCDFD" w14:textId="77777777" w:rsidR="00641D4A" w:rsidRPr="00B57517" w:rsidRDefault="00641D4A" w:rsidP="007E0AD0">
            <w:pPr>
              <w:spacing w:after="0" w:line="240" w:lineRule="auto"/>
              <w:jc w:val="right"/>
              <w:rPr>
                <w:rFonts w:eastAsia="Times New Roman" w:cstheme="minorHAnsi"/>
                <w:color w:val="000000"/>
                <w:sz w:val="20"/>
                <w:szCs w:val="20"/>
                <w:lang w:eastAsia="en-AU"/>
              </w:rPr>
            </w:pPr>
            <w:r w:rsidRPr="00B57517">
              <w:rPr>
                <w:sz w:val="20"/>
                <w:szCs w:val="20"/>
              </w:rPr>
              <w:t>$441</w:t>
            </w:r>
          </w:p>
        </w:tc>
        <w:tc>
          <w:tcPr>
            <w:tcW w:w="1424" w:type="pct"/>
            <w:tcBorders>
              <w:top w:val="single" w:sz="4" w:space="0" w:color="auto"/>
              <w:left w:val="nil"/>
              <w:bottom w:val="nil"/>
              <w:right w:val="nil"/>
            </w:tcBorders>
            <w:shd w:val="clear" w:color="000000" w:fill="FFFFFF"/>
            <w:noWrap/>
          </w:tcPr>
          <w:p w14:paraId="712A35C8" w14:textId="77777777" w:rsidR="00641D4A" w:rsidRPr="00B57517" w:rsidRDefault="00641D4A" w:rsidP="007E0AD0">
            <w:pPr>
              <w:spacing w:after="0" w:line="240" w:lineRule="auto"/>
              <w:jc w:val="right"/>
              <w:rPr>
                <w:rFonts w:eastAsia="Times New Roman" w:cstheme="minorHAnsi"/>
                <w:color w:val="000000"/>
                <w:sz w:val="20"/>
                <w:szCs w:val="20"/>
                <w:lang w:eastAsia="en-AU"/>
              </w:rPr>
            </w:pPr>
            <w:r w:rsidRPr="00B57517">
              <w:rPr>
                <w:sz w:val="20"/>
                <w:szCs w:val="20"/>
              </w:rPr>
              <w:t>$4</w:t>
            </w:r>
          </w:p>
        </w:tc>
        <w:tc>
          <w:tcPr>
            <w:tcW w:w="677" w:type="pct"/>
            <w:tcBorders>
              <w:top w:val="single" w:sz="4" w:space="0" w:color="auto"/>
              <w:left w:val="nil"/>
              <w:bottom w:val="nil"/>
            </w:tcBorders>
            <w:shd w:val="clear" w:color="000000" w:fill="FFFFFF"/>
            <w:noWrap/>
          </w:tcPr>
          <w:p w14:paraId="7B5E2673" w14:textId="77777777" w:rsidR="00641D4A" w:rsidRPr="00B57517" w:rsidRDefault="00641D4A" w:rsidP="007E0AD0">
            <w:pPr>
              <w:spacing w:after="0" w:line="240" w:lineRule="auto"/>
              <w:jc w:val="right"/>
              <w:rPr>
                <w:rFonts w:eastAsia="Times New Roman" w:cstheme="minorHAnsi"/>
                <w:color w:val="000000"/>
                <w:sz w:val="20"/>
                <w:szCs w:val="20"/>
                <w:lang w:eastAsia="en-AU"/>
              </w:rPr>
            </w:pPr>
            <w:r w:rsidRPr="00B57517">
              <w:rPr>
                <w:sz w:val="20"/>
                <w:szCs w:val="20"/>
              </w:rPr>
              <w:t>$0</w:t>
            </w:r>
          </w:p>
        </w:tc>
        <w:tc>
          <w:tcPr>
            <w:tcW w:w="1200" w:type="pct"/>
            <w:tcBorders>
              <w:top w:val="single" w:sz="4" w:space="0" w:color="auto"/>
              <w:bottom w:val="nil"/>
              <w:right w:val="single" w:sz="4" w:space="0" w:color="auto"/>
            </w:tcBorders>
            <w:shd w:val="clear" w:color="000000" w:fill="D9D9D9"/>
            <w:noWrap/>
          </w:tcPr>
          <w:p w14:paraId="65F60016" w14:textId="77777777" w:rsidR="00641D4A" w:rsidRPr="00B57517" w:rsidRDefault="00641D4A" w:rsidP="007E0AD0">
            <w:pPr>
              <w:spacing w:after="0" w:line="240" w:lineRule="auto"/>
              <w:jc w:val="right"/>
              <w:rPr>
                <w:rFonts w:eastAsia="Times New Roman" w:cstheme="minorHAnsi"/>
                <w:color w:val="000000"/>
                <w:sz w:val="20"/>
                <w:szCs w:val="20"/>
                <w:lang w:eastAsia="en-AU"/>
              </w:rPr>
            </w:pPr>
            <w:r w:rsidRPr="00B57517">
              <w:rPr>
                <w:sz w:val="20"/>
                <w:szCs w:val="20"/>
              </w:rPr>
              <w:t>$445</w:t>
            </w:r>
          </w:p>
        </w:tc>
      </w:tr>
      <w:tr w:rsidR="00641D4A" w:rsidRPr="0020003A" w14:paraId="1BB30A4E" w14:textId="77777777" w:rsidTr="007E0AD0">
        <w:trPr>
          <w:trHeight w:val="288"/>
        </w:trPr>
        <w:tc>
          <w:tcPr>
            <w:tcW w:w="1120" w:type="pct"/>
            <w:tcBorders>
              <w:top w:val="nil"/>
              <w:left w:val="single" w:sz="4" w:space="0" w:color="auto"/>
              <w:bottom w:val="nil"/>
              <w:right w:val="nil"/>
            </w:tcBorders>
            <w:shd w:val="clear" w:color="000000" w:fill="FFFFFF"/>
            <w:noWrap/>
            <w:vAlign w:val="bottom"/>
            <w:hideMark/>
          </w:tcPr>
          <w:p w14:paraId="0659F841" w14:textId="77777777" w:rsidR="00641D4A" w:rsidRPr="0020003A" w:rsidRDefault="00641D4A" w:rsidP="007E0AD0">
            <w:pPr>
              <w:spacing w:after="0" w:line="240" w:lineRule="auto"/>
              <w:rPr>
                <w:rFonts w:eastAsia="Times New Roman" w:cstheme="minorHAnsi"/>
                <w:color w:val="000000"/>
                <w:sz w:val="20"/>
                <w:szCs w:val="20"/>
                <w:lang w:eastAsia="en-AU"/>
              </w:rPr>
            </w:pPr>
            <w:r w:rsidRPr="0020003A">
              <w:rPr>
                <w:rFonts w:eastAsia="Times New Roman" w:cstheme="minorHAnsi"/>
                <w:color w:val="000000"/>
                <w:sz w:val="20"/>
                <w:szCs w:val="20"/>
                <w:lang w:eastAsia="en-AU"/>
              </w:rPr>
              <w:t>Medium (14</w:t>
            </w:r>
            <w:r>
              <w:rPr>
                <w:rFonts w:eastAsia="Times New Roman" w:cstheme="minorHAnsi"/>
                <w:color w:val="000000"/>
                <w:sz w:val="20"/>
                <w:szCs w:val="20"/>
                <w:lang w:eastAsia="en-AU"/>
              </w:rPr>
              <w:t>0</w:t>
            </w:r>
            <w:r w:rsidRPr="0020003A">
              <w:rPr>
                <w:rFonts w:eastAsia="Times New Roman" w:cstheme="minorHAnsi"/>
                <w:color w:val="000000"/>
                <w:sz w:val="20"/>
                <w:szCs w:val="20"/>
                <w:lang w:eastAsia="en-AU"/>
              </w:rPr>
              <w:t xml:space="preserve"> days) </w:t>
            </w:r>
          </w:p>
        </w:tc>
        <w:tc>
          <w:tcPr>
            <w:tcW w:w="581" w:type="pct"/>
            <w:tcBorders>
              <w:top w:val="nil"/>
              <w:left w:val="single" w:sz="4" w:space="0" w:color="auto"/>
              <w:bottom w:val="nil"/>
              <w:right w:val="nil"/>
            </w:tcBorders>
            <w:shd w:val="clear" w:color="000000" w:fill="FFFFFF"/>
            <w:noWrap/>
          </w:tcPr>
          <w:p w14:paraId="449594A1" w14:textId="77777777" w:rsidR="00641D4A" w:rsidRPr="0020003A" w:rsidRDefault="00641D4A" w:rsidP="007E0AD0">
            <w:pPr>
              <w:spacing w:after="0" w:line="240" w:lineRule="auto"/>
              <w:jc w:val="right"/>
              <w:rPr>
                <w:rFonts w:eastAsia="Times New Roman" w:cstheme="minorHAnsi"/>
                <w:color w:val="000000"/>
                <w:sz w:val="20"/>
                <w:szCs w:val="20"/>
                <w:lang w:eastAsia="en-AU"/>
              </w:rPr>
            </w:pPr>
            <w:r w:rsidRPr="0020003A">
              <w:rPr>
                <w:sz w:val="20"/>
                <w:szCs w:val="20"/>
              </w:rPr>
              <w:t>$3019</w:t>
            </w:r>
          </w:p>
        </w:tc>
        <w:tc>
          <w:tcPr>
            <w:tcW w:w="1424" w:type="pct"/>
            <w:tcBorders>
              <w:top w:val="nil"/>
              <w:left w:val="nil"/>
              <w:bottom w:val="nil"/>
              <w:right w:val="nil"/>
            </w:tcBorders>
            <w:shd w:val="clear" w:color="000000" w:fill="FFFFFF"/>
            <w:noWrap/>
          </w:tcPr>
          <w:p w14:paraId="3973B51D" w14:textId="77777777" w:rsidR="00641D4A" w:rsidRPr="0020003A" w:rsidRDefault="00641D4A" w:rsidP="007E0AD0">
            <w:pPr>
              <w:spacing w:after="0" w:line="240" w:lineRule="auto"/>
              <w:jc w:val="right"/>
              <w:rPr>
                <w:rFonts w:eastAsia="Times New Roman" w:cstheme="minorHAnsi"/>
                <w:color w:val="000000"/>
                <w:sz w:val="20"/>
                <w:szCs w:val="20"/>
                <w:lang w:eastAsia="en-AU"/>
              </w:rPr>
            </w:pPr>
            <w:r w:rsidRPr="0020003A">
              <w:rPr>
                <w:sz w:val="20"/>
                <w:szCs w:val="20"/>
              </w:rPr>
              <w:t>$25</w:t>
            </w:r>
          </w:p>
        </w:tc>
        <w:tc>
          <w:tcPr>
            <w:tcW w:w="677" w:type="pct"/>
            <w:tcBorders>
              <w:top w:val="nil"/>
              <w:left w:val="nil"/>
              <w:bottom w:val="nil"/>
            </w:tcBorders>
            <w:shd w:val="clear" w:color="000000" w:fill="FFFFFF"/>
            <w:noWrap/>
          </w:tcPr>
          <w:p w14:paraId="26F7DE19" w14:textId="77777777" w:rsidR="00641D4A" w:rsidRPr="0020003A" w:rsidRDefault="00641D4A" w:rsidP="007E0AD0">
            <w:pPr>
              <w:spacing w:after="0" w:line="240" w:lineRule="auto"/>
              <w:jc w:val="right"/>
              <w:rPr>
                <w:rFonts w:eastAsia="Times New Roman" w:cstheme="minorHAnsi"/>
                <w:color w:val="000000"/>
                <w:sz w:val="20"/>
                <w:szCs w:val="20"/>
                <w:lang w:eastAsia="en-AU"/>
              </w:rPr>
            </w:pPr>
            <w:r w:rsidRPr="0020003A">
              <w:rPr>
                <w:sz w:val="20"/>
                <w:szCs w:val="20"/>
              </w:rPr>
              <w:t>$0</w:t>
            </w:r>
          </w:p>
        </w:tc>
        <w:tc>
          <w:tcPr>
            <w:tcW w:w="1200" w:type="pct"/>
            <w:tcBorders>
              <w:top w:val="nil"/>
              <w:bottom w:val="nil"/>
              <w:right w:val="single" w:sz="4" w:space="0" w:color="auto"/>
            </w:tcBorders>
            <w:shd w:val="clear" w:color="000000" w:fill="D9D9D9"/>
            <w:noWrap/>
          </w:tcPr>
          <w:p w14:paraId="0E102047" w14:textId="77777777" w:rsidR="00641D4A" w:rsidRPr="0020003A" w:rsidRDefault="00641D4A" w:rsidP="007E0AD0">
            <w:pPr>
              <w:spacing w:after="0" w:line="240" w:lineRule="auto"/>
              <w:jc w:val="right"/>
              <w:rPr>
                <w:rFonts w:eastAsia="Times New Roman" w:cstheme="minorHAnsi"/>
                <w:color w:val="000000"/>
                <w:sz w:val="20"/>
                <w:szCs w:val="20"/>
                <w:lang w:eastAsia="en-AU"/>
              </w:rPr>
            </w:pPr>
            <w:r w:rsidRPr="0020003A">
              <w:rPr>
                <w:sz w:val="20"/>
                <w:szCs w:val="20"/>
              </w:rPr>
              <w:t>$3045</w:t>
            </w:r>
          </w:p>
        </w:tc>
      </w:tr>
      <w:tr w:rsidR="00641D4A" w:rsidRPr="0020003A" w14:paraId="3731C476" w14:textId="77777777" w:rsidTr="007E0AD0">
        <w:trPr>
          <w:trHeight w:val="288"/>
        </w:trPr>
        <w:tc>
          <w:tcPr>
            <w:tcW w:w="1120" w:type="pct"/>
            <w:tcBorders>
              <w:top w:val="nil"/>
              <w:left w:val="single" w:sz="4" w:space="0" w:color="auto"/>
              <w:bottom w:val="single" w:sz="4" w:space="0" w:color="auto"/>
              <w:right w:val="nil"/>
            </w:tcBorders>
            <w:noWrap/>
            <w:vAlign w:val="bottom"/>
            <w:hideMark/>
          </w:tcPr>
          <w:p w14:paraId="3E9F02E4" w14:textId="77777777" w:rsidR="00641D4A" w:rsidRPr="0020003A" w:rsidRDefault="00641D4A" w:rsidP="007E0AD0">
            <w:pPr>
              <w:spacing w:after="0" w:line="240" w:lineRule="auto"/>
              <w:rPr>
                <w:rFonts w:eastAsia="Times New Roman" w:cstheme="minorHAnsi"/>
                <w:color w:val="000000"/>
                <w:sz w:val="20"/>
                <w:szCs w:val="20"/>
                <w:lang w:eastAsia="en-AU"/>
              </w:rPr>
            </w:pPr>
            <w:r w:rsidRPr="0020003A">
              <w:rPr>
                <w:rFonts w:eastAsia="Times New Roman" w:cstheme="minorHAnsi"/>
                <w:color w:val="000000"/>
                <w:sz w:val="20"/>
                <w:szCs w:val="20"/>
                <w:lang w:eastAsia="en-AU"/>
              </w:rPr>
              <w:t>High (288 days)</w:t>
            </w:r>
          </w:p>
        </w:tc>
        <w:tc>
          <w:tcPr>
            <w:tcW w:w="581" w:type="pct"/>
            <w:tcBorders>
              <w:top w:val="nil"/>
              <w:left w:val="single" w:sz="4" w:space="0" w:color="auto"/>
              <w:bottom w:val="single" w:sz="4" w:space="0" w:color="auto"/>
              <w:right w:val="nil"/>
            </w:tcBorders>
            <w:shd w:val="clear" w:color="000000" w:fill="FFFFFF"/>
            <w:noWrap/>
            <w:vAlign w:val="bottom"/>
          </w:tcPr>
          <w:p w14:paraId="753EB346" w14:textId="77777777" w:rsidR="00641D4A" w:rsidRPr="0020003A" w:rsidRDefault="00641D4A" w:rsidP="007E0AD0">
            <w:pPr>
              <w:spacing w:after="0" w:line="240" w:lineRule="auto"/>
              <w:jc w:val="right"/>
              <w:rPr>
                <w:rFonts w:eastAsia="Times New Roman" w:cstheme="minorHAnsi"/>
                <w:color w:val="000000"/>
                <w:sz w:val="20"/>
                <w:szCs w:val="20"/>
                <w:lang w:eastAsia="en-AU"/>
              </w:rPr>
            </w:pPr>
            <w:r w:rsidRPr="0020003A">
              <w:rPr>
                <w:rFonts w:ascii="Calibri" w:hAnsi="Calibri" w:cs="Calibri"/>
                <w:color w:val="000000"/>
                <w:sz w:val="20"/>
                <w:szCs w:val="20"/>
              </w:rPr>
              <w:t>$</w:t>
            </w:r>
            <w:r w:rsidRPr="00496940">
              <w:rPr>
                <w:sz w:val="20"/>
                <w:szCs w:val="20"/>
              </w:rPr>
              <w:t>6878</w:t>
            </w:r>
          </w:p>
        </w:tc>
        <w:tc>
          <w:tcPr>
            <w:tcW w:w="1424" w:type="pct"/>
            <w:tcBorders>
              <w:top w:val="nil"/>
              <w:left w:val="nil"/>
              <w:bottom w:val="single" w:sz="4" w:space="0" w:color="auto"/>
              <w:right w:val="nil"/>
            </w:tcBorders>
            <w:shd w:val="clear" w:color="000000" w:fill="FFFFFF"/>
            <w:noWrap/>
            <w:vAlign w:val="bottom"/>
          </w:tcPr>
          <w:p w14:paraId="01708B74" w14:textId="77777777" w:rsidR="00641D4A" w:rsidRPr="0020003A" w:rsidRDefault="00641D4A" w:rsidP="007E0AD0">
            <w:pPr>
              <w:spacing w:after="0" w:line="240" w:lineRule="auto"/>
              <w:jc w:val="right"/>
              <w:rPr>
                <w:rFonts w:eastAsia="Times New Roman" w:cstheme="minorHAnsi"/>
                <w:color w:val="000000"/>
                <w:sz w:val="20"/>
                <w:szCs w:val="20"/>
                <w:lang w:eastAsia="en-AU"/>
              </w:rPr>
            </w:pPr>
            <w:r w:rsidRPr="0020003A">
              <w:rPr>
                <w:rFonts w:ascii="Calibri" w:hAnsi="Calibri" w:cs="Calibri"/>
                <w:color w:val="000000"/>
                <w:sz w:val="20"/>
                <w:szCs w:val="20"/>
              </w:rPr>
              <w:t>$</w:t>
            </w:r>
            <w:r w:rsidRPr="00496940">
              <w:rPr>
                <w:sz w:val="20"/>
                <w:szCs w:val="20"/>
              </w:rPr>
              <w:t>36</w:t>
            </w:r>
          </w:p>
        </w:tc>
        <w:tc>
          <w:tcPr>
            <w:tcW w:w="677" w:type="pct"/>
            <w:tcBorders>
              <w:top w:val="nil"/>
              <w:left w:val="nil"/>
              <w:bottom w:val="single" w:sz="4" w:space="0" w:color="auto"/>
            </w:tcBorders>
            <w:shd w:val="clear" w:color="000000" w:fill="FFFFFF"/>
            <w:noWrap/>
            <w:vAlign w:val="bottom"/>
          </w:tcPr>
          <w:p w14:paraId="55A2A0E7" w14:textId="77777777" w:rsidR="00641D4A" w:rsidRPr="0020003A" w:rsidRDefault="00641D4A" w:rsidP="007E0AD0">
            <w:pPr>
              <w:spacing w:after="0" w:line="240" w:lineRule="auto"/>
              <w:jc w:val="right"/>
              <w:rPr>
                <w:rFonts w:eastAsia="Times New Roman" w:cstheme="minorHAnsi"/>
                <w:color w:val="000000"/>
                <w:sz w:val="20"/>
                <w:szCs w:val="20"/>
                <w:lang w:eastAsia="en-AU"/>
              </w:rPr>
            </w:pPr>
            <w:r w:rsidRPr="00496940">
              <w:rPr>
                <w:sz w:val="20"/>
                <w:szCs w:val="20"/>
              </w:rPr>
              <w:t>$1</w:t>
            </w:r>
          </w:p>
        </w:tc>
        <w:tc>
          <w:tcPr>
            <w:tcW w:w="1200" w:type="pct"/>
            <w:tcBorders>
              <w:top w:val="nil"/>
              <w:bottom w:val="single" w:sz="4" w:space="0" w:color="auto"/>
              <w:right w:val="single" w:sz="4" w:space="0" w:color="auto"/>
            </w:tcBorders>
            <w:shd w:val="clear" w:color="000000" w:fill="D9D9D9"/>
            <w:noWrap/>
            <w:vAlign w:val="bottom"/>
          </w:tcPr>
          <w:p w14:paraId="5B03ADDC" w14:textId="77777777" w:rsidR="00641D4A" w:rsidRPr="00496940" w:rsidRDefault="00641D4A" w:rsidP="007E0AD0">
            <w:pPr>
              <w:spacing w:after="0" w:line="240" w:lineRule="auto"/>
              <w:jc w:val="right"/>
              <w:rPr>
                <w:sz w:val="20"/>
                <w:szCs w:val="20"/>
              </w:rPr>
            </w:pPr>
            <w:r w:rsidRPr="00496940">
              <w:rPr>
                <w:sz w:val="20"/>
                <w:szCs w:val="20"/>
              </w:rPr>
              <w:t>$6914</w:t>
            </w:r>
          </w:p>
        </w:tc>
      </w:tr>
    </w:tbl>
    <w:p w14:paraId="0B4AC028" w14:textId="77777777" w:rsidR="00641D4A" w:rsidRPr="0020003A" w:rsidRDefault="00641D4A" w:rsidP="00641D4A">
      <w:pPr>
        <w:spacing w:after="0"/>
      </w:pPr>
      <w:r w:rsidRPr="007D290C">
        <w:rPr>
          <w:i/>
          <w:iCs/>
          <w:sz w:val="18"/>
          <w:szCs w:val="18"/>
        </w:rPr>
        <w:t>Note* = baseline SAP case from the Addendum</w:t>
      </w:r>
    </w:p>
    <w:p w14:paraId="6E879A44" w14:textId="3C80360E" w:rsidR="00641D4A" w:rsidRPr="00341108" w:rsidRDefault="00641D4A" w:rsidP="00641D4A">
      <w:pPr>
        <w:rPr>
          <w:rFonts w:eastAsia="Segoe UI" w:cstheme="minorHAnsi"/>
        </w:rPr>
      </w:pPr>
      <w:r>
        <w:br/>
      </w:r>
      <w:r w:rsidRPr="00977A4B">
        <w:rPr>
          <w:rFonts w:eastAsia="Segoe UI" w:cstheme="minorHAnsi"/>
        </w:rPr>
        <w:t>This analysis adopts a contributory portion of the medium scenario as the expect impact of the Environmental Offsets Standard to expedite approvals. The medium and high estimates in Table 1 include the streamlined assessment pathway and other reform measures so cannot be attributed solely to the Environmental Offsets Standard. The Environmental Offsets Standard is expected to contribute to the medium scenario savings through greater clarity regarding upfront environmental requirements and supporting information</w:t>
      </w:r>
      <w:r w:rsidR="00341108">
        <w:rPr>
          <w:rFonts w:eastAsia="Segoe UI" w:cstheme="minorHAnsi"/>
        </w:rPr>
        <w:t>.</w:t>
      </w:r>
    </w:p>
    <w:tbl>
      <w:tblPr>
        <w:tblStyle w:val="TableGrid"/>
        <w:tblW w:w="9634" w:type="dxa"/>
        <w:tblLayout w:type="fixed"/>
        <w:tblLook w:val="04A0" w:firstRow="1" w:lastRow="0" w:firstColumn="1" w:lastColumn="0" w:noHBand="0" w:noVBand="1"/>
      </w:tblPr>
      <w:tblGrid>
        <w:gridCol w:w="1555"/>
        <w:gridCol w:w="2173"/>
        <w:gridCol w:w="1654"/>
        <w:gridCol w:w="1751"/>
        <w:gridCol w:w="2501"/>
      </w:tblGrid>
      <w:tr w:rsidR="00035132" w:rsidRPr="00035132" w14:paraId="2407D22A" w14:textId="77777777" w:rsidTr="00341108">
        <w:trPr>
          <w:trHeight w:val="60"/>
        </w:trPr>
        <w:tc>
          <w:tcPr>
            <w:tcW w:w="1555" w:type="dxa"/>
            <w:shd w:val="clear" w:color="auto" w:fill="0F1F35" w:themeFill="text2"/>
          </w:tcPr>
          <w:p w14:paraId="2571E3A0" w14:textId="5D8312C2" w:rsidR="00035132" w:rsidRPr="00035132" w:rsidRDefault="00035132" w:rsidP="007E0AD0">
            <w:pPr>
              <w:rPr>
                <w:b/>
                <w:color w:val="FFFFFF" w:themeColor="background1"/>
                <w:sz w:val="18"/>
                <w:szCs w:val="18"/>
              </w:rPr>
            </w:pPr>
            <w:r w:rsidRPr="00035132">
              <w:rPr>
                <w:b/>
                <w:color w:val="FFFFFF" w:themeColor="background1"/>
                <w:sz w:val="18"/>
                <w:szCs w:val="18"/>
              </w:rPr>
              <w:t>Option</w:t>
            </w:r>
          </w:p>
        </w:tc>
        <w:tc>
          <w:tcPr>
            <w:tcW w:w="2173" w:type="dxa"/>
            <w:shd w:val="clear" w:color="auto" w:fill="0F1F35" w:themeFill="text2"/>
          </w:tcPr>
          <w:p w14:paraId="1D36390F" w14:textId="4B6A43A4" w:rsidR="00035132" w:rsidRPr="00035132" w:rsidRDefault="00035132" w:rsidP="00035132">
            <w:pPr>
              <w:jc w:val="center"/>
              <w:rPr>
                <w:b/>
                <w:color w:val="FFFFFF" w:themeColor="background1"/>
                <w:sz w:val="18"/>
                <w:szCs w:val="18"/>
              </w:rPr>
            </w:pPr>
            <w:r w:rsidRPr="00035132">
              <w:rPr>
                <w:b/>
                <w:color w:val="FFFFFF" w:themeColor="background1"/>
                <w:sz w:val="18"/>
                <w:szCs w:val="18"/>
              </w:rPr>
              <w:t>Benefit</w:t>
            </w:r>
            <w:r>
              <w:rPr>
                <w:b/>
                <w:color w:val="FFFFFF" w:themeColor="background1"/>
                <w:sz w:val="18"/>
                <w:szCs w:val="18"/>
              </w:rPr>
              <w:t>s</w:t>
            </w:r>
          </w:p>
        </w:tc>
        <w:tc>
          <w:tcPr>
            <w:tcW w:w="1654" w:type="dxa"/>
            <w:shd w:val="clear" w:color="auto" w:fill="0F1F35" w:themeFill="text2"/>
          </w:tcPr>
          <w:p w14:paraId="4437B650" w14:textId="35CB2BB3" w:rsidR="00035132" w:rsidRPr="00035132" w:rsidRDefault="00035132" w:rsidP="00035132">
            <w:pPr>
              <w:jc w:val="center"/>
              <w:rPr>
                <w:b/>
                <w:color w:val="FFFFFF" w:themeColor="background1"/>
                <w:sz w:val="18"/>
                <w:szCs w:val="18"/>
              </w:rPr>
            </w:pPr>
            <w:r w:rsidRPr="00035132">
              <w:rPr>
                <w:b/>
                <w:color w:val="FFFFFF" w:themeColor="background1"/>
                <w:sz w:val="18"/>
                <w:szCs w:val="18"/>
              </w:rPr>
              <w:t>Other costs</w:t>
            </w:r>
          </w:p>
        </w:tc>
        <w:tc>
          <w:tcPr>
            <w:tcW w:w="1751" w:type="dxa"/>
            <w:shd w:val="clear" w:color="auto" w:fill="0F1F35" w:themeFill="text2"/>
          </w:tcPr>
          <w:p w14:paraId="2859E7F1" w14:textId="2A5EA93B" w:rsidR="00035132" w:rsidRPr="00035132" w:rsidRDefault="00035132" w:rsidP="00035132">
            <w:pPr>
              <w:jc w:val="center"/>
              <w:rPr>
                <w:b/>
                <w:color w:val="FFFFFF" w:themeColor="background1"/>
                <w:sz w:val="18"/>
                <w:szCs w:val="18"/>
              </w:rPr>
            </w:pPr>
            <w:r w:rsidRPr="00035132">
              <w:rPr>
                <w:b/>
                <w:color w:val="FFFFFF" w:themeColor="background1"/>
                <w:sz w:val="18"/>
                <w:szCs w:val="18"/>
              </w:rPr>
              <w:t>Net impact</w:t>
            </w:r>
          </w:p>
        </w:tc>
        <w:tc>
          <w:tcPr>
            <w:tcW w:w="2501" w:type="dxa"/>
            <w:shd w:val="clear" w:color="auto" w:fill="0F1F35" w:themeFill="text2"/>
          </w:tcPr>
          <w:p w14:paraId="1C23C9F7" w14:textId="46B1BE59" w:rsidR="00035132" w:rsidRPr="00035132" w:rsidRDefault="00035132" w:rsidP="00035132">
            <w:pPr>
              <w:jc w:val="center"/>
              <w:rPr>
                <w:b/>
                <w:color w:val="FFFFFF" w:themeColor="background1"/>
                <w:sz w:val="18"/>
                <w:szCs w:val="18"/>
              </w:rPr>
            </w:pPr>
            <w:r w:rsidRPr="00035132">
              <w:rPr>
                <w:b/>
                <w:color w:val="FFFFFF" w:themeColor="background1"/>
                <w:sz w:val="18"/>
                <w:szCs w:val="18"/>
              </w:rPr>
              <w:t>Regulatory bu</w:t>
            </w:r>
            <w:r>
              <w:rPr>
                <w:b/>
                <w:color w:val="FFFFFF" w:themeColor="background1"/>
                <w:sz w:val="18"/>
                <w:szCs w:val="18"/>
              </w:rPr>
              <w:t>r</w:t>
            </w:r>
            <w:r w:rsidRPr="00035132">
              <w:rPr>
                <w:b/>
                <w:color w:val="FFFFFF" w:themeColor="background1"/>
                <w:sz w:val="18"/>
                <w:szCs w:val="18"/>
              </w:rPr>
              <w:t>den</w:t>
            </w:r>
          </w:p>
        </w:tc>
      </w:tr>
      <w:tr w:rsidR="00641D4A" w14:paraId="30FE3FDA" w14:textId="77777777" w:rsidTr="00341108">
        <w:trPr>
          <w:trHeight w:val="2488"/>
        </w:trPr>
        <w:tc>
          <w:tcPr>
            <w:tcW w:w="1555" w:type="dxa"/>
          </w:tcPr>
          <w:p w14:paraId="2E027099" w14:textId="77777777" w:rsidR="00641D4A" w:rsidRPr="007D290C" w:rsidRDefault="00641D4A" w:rsidP="007E0AD0">
            <w:pPr>
              <w:rPr>
                <w:sz w:val="18"/>
                <w:szCs w:val="18"/>
              </w:rPr>
            </w:pPr>
            <w:r w:rsidRPr="007D290C">
              <w:rPr>
                <w:sz w:val="18"/>
                <w:szCs w:val="18"/>
              </w:rPr>
              <w:t xml:space="preserve">Proposed: </w:t>
            </w:r>
            <w:r>
              <w:rPr>
                <w:sz w:val="18"/>
                <w:szCs w:val="18"/>
              </w:rPr>
              <w:t>Environmental Offsets</w:t>
            </w:r>
            <w:r w:rsidRPr="007D290C">
              <w:rPr>
                <w:sz w:val="18"/>
                <w:szCs w:val="18"/>
              </w:rPr>
              <w:t xml:space="preserve"> Standard</w:t>
            </w:r>
          </w:p>
        </w:tc>
        <w:tc>
          <w:tcPr>
            <w:tcW w:w="2173" w:type="dxa"/>
          </w:tcPr>
          <w:p w14:paraId="2EA67540" w14:textId="77777777" w:rsidR="00641D4A" w:rsidRPr="007D290C" w:rsidRDefault="00641D4A" w:rsidP="007E0AD0">
            <w:pPr>
              <w:rPr>
                <w:sz w:val="18"/>
                <w:szCs w:val="18"/>
              </w:rPr>
            </w:pPr>
            <w:r w:rsidRPr="007D290C">
              <w:rPr>
                <w:sz w:val="18"/>
                <w:szCs w:val="18"/>
              </w:rPr>
              <w:t xml:space="preserve">A contributory portion of the overall $3,045,000,000 p/a in reduced delay costs for the further information pathway. Improved environmental outcomes; greater </w:t>
            </w:r>
            <w:r w:rsidRPr="007D290C">
              <w:rPr>
                <w:sz w:val="18"/>
                <w:szCs w:val="18"/>
              </w:rPr>
              <w:lastRenderedPageBreak/>
              <w:t>certainty; more consistent decisions.</w:t>
            </w:r>
          </w:p>
        </w:tc>
        <w:tc>
          <w:tcPr>
            <w:tcW w:w="1654" w:type="dxa"/>
          </w:tcPr>
          <w:p w14:paraId="42ECDFA8" w14:textId="77777777" w:rsidR="00641D4A" w:rsidRPr="007D290C" w:rsidRDefault="00641D4A" w:rsidP="007E0AD0">
            <w:pPr>
              <w:rPr>
                <w:sz w:val="18"/>
                <w:szCs w:val="18"/>
              </w:rPr>
            </w:pPr>
            <w:r w:rsidRPr="007D290C">
              <w:rPr>
                <w:sz w:val="18"/>
                <w:szCs w:val="18"/>
              </w:rPr>
              <w:lastRenderedPageBreak/>
              <w:t xml:space="preserve">Compliance, evidence and transition costs. </w:t>
            </w:r>
          </w:p>
          <w:p w14:paraId="144D0DD8" w14:textId="77777777" w:rsidR="00641D4A" w:rsidRPr="007D290C" w:rsidRDefault="00641D4A" w:rsidP="007E0AD0">
            <w:pPr>
              <w:rPr>
                <w:sz w:val="18"/>
                <w:szCs w:val="18"/>
              </w:rPr>
            </w:pPr>
          </w:p>
        </w:tc>
        <w:tc>
          <w:tcPr>
            <w:tcW w:w="1751" w:type="dxa"/>
          </w:tcPr>
          <w:p w14:paraId="6B18DAD4" w14:textId="77777777" w:rsidR="00641D4A" w:rsidRPr="007D290C" w:rsidRDefault="00641D4A" w:rsidP="007E0AD0">
            <w:pPr>
              <w:rPr>
                <w:sz w:val="18"/>
                <w:szCs w:val="18"/>
              </w:rPr>
            </w:pPr>
            <w:r w:rsidRPr="007D290C">
              <w:rPr>
                <w:sz w:val="18"/>
                <w:szCs w:val="18"/>
              </w:rPr>
              <w:t>These have not been quantified, but costs are expected to be ameliorated by the benefits in more efficient assessment pathways.</w:t>
            </w:r>
          </w:p>
        </w:tc>
        <w:tc>
          <w:tcPr>
            <w:tcW w:w="2501" w:type="dxa"/>
          </w:tcPr>
          <w:p w14:paraId="338FDC2B" w14:textId="77777777" w:rsidR="00641D4A" w:rsidRPr="007D290C" w:rsidRDefault="00641D4A" w:rsidP="007E0AD0">
            <w:pPr>
              <w:rPr>
                <w:sz w:val="18"/>
                <w:szCs w:val="18"/>
              </w:rPr>
            </w:pPr>
            <w:r w:rsidRPr="007D290C">
              <w:rPr>
                <w:sz w:val="18"/>
                <w:szCs w:val="18"/>
              </w:rPr>
              <w:t>A contributory portion of the overall minimum $3,045,000,000 p/a in reduced regulatory burden.</w:t>
            </w:r>
          </w:p>
        </w:tc>
      </w:tr>
      <w:tr w:rsidR="00641D4A" w14:paraId="33186412" w14:textId="77777777" w:rsidTr="00341108">
        <w:trPr>
          <w:trHeight w:val="1981"/>
        </w:trPr>
        <w:tc>
          <w:tcPr>
            <w:tcW w:w="1555" w:type="dxa"/>
          </w:tcPr>
          <w:p w14:paraId="24E46D0E" w14:textId="77777777" w:rsidR="00641D4A" w:rsidRPr="007D290C" w:rsidRDefault="00641D4A" w:rsidP="007E0AD0">
            <w:pPr>
              <w:rPr>
                <w:sz w:val="18"/>
                <w:szCs w:val="18"/>
              </w:rPr>
            </w:pPr>
            <w:r w:rsidRPr="007D290C">
              <w:rPr>
                <w:sz w:val="18"/>
                <w:szCs w:val="18"/>
              </w:rPr>
              <w:t xml:space="preserve">Alternative: </w:t>
            </w:r>
            <w:r>
              <w:rPr>
                <w:sz w:val="18"/>
                <w:szCs w:val="18"/>
              </w:rPr>
              <w:t xml:space="preserve">Policy </w:t>
            </w:r>
            <w:r w:rsidRPr="007D290C">
              <w:rPr>
                <w:sz w:val="18"/>
                <w:szCs w:val="18"/>
              </w:rPr>
              <w:t>Guidance only</w:t>
            </w:r>
          </w:p>
        </w:tc>
        <w:tc>
          <w:tcPr>
            <w:tcW w:w="2173" w:type="dxa"/>
          </w:tcPr>
          <w:p w14:paraId="6A388A46" w14:textId="77777777" w:rsidR="00641D4A" w:rsidRPr="007D290C" w:rsidRDefault="00641D4A" w:rsidP="007E0AD0">
            <w:pPr>
              <w:rPr>
                <w:sz w:val="18"/>
                <w:szCs w:val="18"/>
              </w:rPr>
            </w:pPr>
            <w:r w:rsidRPr="007D290C">
              <w:rPr>
                <w:sz w:val="18"/>
                <w:szCs w:val="18"/>
              </w:rPr>
              <w:t>Some transparency benefits</w:t>
            </w:r>
          </w:p>
        </w:tc>
        <w:tc>
          <w:tcPr>
            <w:tcW w:w="1654" w:type="dxa"/>
          </w:tcPr>
          <w:p w14:paraId="161D979E" w14:textId="77777777" w:rsidR="00641D4A" w:rsidRPr="007D290C" w:rsidRDefault="00641D4A" w:rsidP="007E0AD0">
            <w:pPr>
              <w:rPr>
                <w:sz w:val="18"/>
                <w:szCs w:val="18"/>
              </w:rPr>
            </w:pPr>
            <w:r w:rsidRPr="007D290C">
              <w:rPr>
                <w:sz w:val="18"/>
                <w:szCs w:val="18"/>
              </w:rPr>
              <w:t>Low implementation cost</w:t>
            </w:r>
          </w:p>
        </w:tc>
        <w:tc>
          <w:tcPr>
            <w:tcW w:w="1751" w:type="dxa"/>
          </w:tcPr>
          <w:p w14:paraId="084E495D" w14:textId="77777777" w:rsidR="00641D4A" w:rsidRPr="007D290C" w:rsidRDefault="00641D4A" w:rsidP="007E0AD0">
            <w:pPr>
              <w:rPr>
                <w:sz w:val="18"/>
                <w:szCs w:val="18"/>
              </w:rPr>
            </w:pPr>
            <w:r w:rsidRPr="007D290C">
              <w:rPr>
                <w:sz w:val="18"/>
                <w:szCs w:val="18"/>
              </w:rPr>
              <w:t>Limited net benefit</w:t>
            </w:r>
          </w:p>
        </w:tc>
        <w:tc>
          <w:tcPr>
            <w:tcW w:w="2501" w:type="dxa"/>
          </w:tcPr>
          <w:p w14:paraId="3E613AC5" w14:textId="77777777" w:rsidR="00641D4A" w:rsidRPr="007D290C" w:rsidRDefault="00641D4A" w:rsidP="007E0AD0">
            <w:pPr>
              <w:rPr>
                <w:sz w:val="18"/>
                <w:szCs w:val="18"/>
              </w:rPr>
            </w:pPr>
            <w:r w:rsidRPr="002E1BA8">
              <w:rPr>
                <w:sz w:val="18"/>
                <w:szCs w:val="18"/>
              </w:rPr>
              <w:t>Expected to reduce benefits as would not sufficiently provide guidance on offsets, Ministerial discretion would remain high. Further information requests anticipated.</w:t>
            </w:r>
          </w:p>
        </w:tc>
      </w:tr>
    </w:tbl>
    <w:p w14:paraId="49C3CB79" w14:textId="77777777" w:rsidR="00641D4A" w:rsidRPr="0004246F" w:rsidRDefault="00641D4A" w:rsidP="00641D4A">
      <w:pPr>
        <w:pStyle w:val="Heading2"/>
      </w:pPr>
      <w:r w:rsidRPr="0004246F">
        <w:t>Economic</w:t>
      </w:r>
      <w:r>
        <w:t xml:space="preserve"> and</w:t>
      </w:r>
      <w:r w:rsidRPr="0004246F">
        <w:t xml:space="preserve"> social impacts</w:t>
      </w:r>
    </w:p>
    <w:tbl>
      <w:tblPr>
        <w:tblStyle w:val="Style1"/>
        <w:tblW w:w="9634" w:type="dxa"/>
        <w:tblBorders>
          <w:top w:val="single" w:sz="4" w:space="0" w:color="0F1F35" w:themeColor="text2"/>
          <w:left w:val="single" w:sz="4" w:space="0" w:color="0F1F35" w:themeColor="text2"/>
          <w:bottom w:val="single" w:sz="4" w:space="0" w:color="0F1F35" w:themeColor="text2"/>
          <w:right w:val="single" w:sz="4" w:space="0" w:color="0F1F35" w:themeColor="text2"/>
          <w:insideH w:val="single" w:sz="4" w:space="0" w:color="0F1F35" w:themeColor="text2"/>
          <w:insideV w:val="single" w:sz="4" w:space="0" w:color="0F1F35" w:themeColor="text2"/>
        </w:tblBorders>
        <w:tblCellMar>
          <w:left w:w="85" w:type="dxa"/>
          <w:right w:w="85" w:type="dxa"/>
        </w:tblCellMar>
        <w:tblLook w:val="0620" w:firstRow="1" w:lastRow="0" w:firstColumn="0" w:lastColumn="0" w:noHBand="1" w:noVBand="1"/>
      </w:tblPr>
      <w:tblGrid>
        <w:gridCol w:w="3823"/>
        <w:gridCol w:w="5811"/>
      </w:tblGrid>
      <w:tr w:rsidR="00641D4A" w14:paraId="3213FD13" w14:textId="77777777" w:rsidTr="007E0AD0">
        <w:trPr>
          <w:cnfStyle w:val="100000000000" w:firstRow="1" w:lastRow="0" w:firstColumn="0" w:lastColumn="0" w:oddVBand="0" w:evenVBand="0" w:oddHBand="0" w:evenHBand="0" w:firstRowFirstColumn="0" w:firstRowLastColumn="0" w:lastRowFirstColumn="0" w:lastRowLastColumn="0"/>
          <w:tblHeader/>
        </w:trPr>
        <w:tc>
          <w:tcPr>
            <w:tcW w:w="3823" w:type="dxa"/>
            <w:tcBorders>
              <w:bottom w:val="single" w:sz="8" w:space="0" w:color="0F1F35" w:themeColor="text2"/>
            </w:tcBorders>
            <w:shd w:val="clear" w:color="auto" w:fill="0F1F35" w:themeFill="text2"/>
          </w:tcPr>
          <w:p w14:paraId="7761BEFD" w14:textId="77777777" w:rsidR="00641D4A" w:rsidRPr="00473172" w:rsidRDefault="00641D4A" w:rsidP="007E0AD0">
            <w:pPr>
              <w:pStyle w:val="TBLText"/>
              <w:spacing w:after="0"/>
              <w:rPr>
                <w:color w:val="FFFFFF" w:themeColor="background1"/>
              </w:rPr>
            </w:pPr>
            <w:r w:rsidRPr="00473172">
              <w:rPr>
                <w:color w:val="FFFFFF" w:themeColor="background1"/>
              </w:rPr>
              <w:t>Status quo</w:t>
            </w:r>
          </w:p>
        </w:tc>
        <w:tc>
          <w:tcPr>
            <w:tcW w:w="5811" w:type="dxa"/>
            <w:tcBorders>
              <w:bottom w:val="single" w:sz="8" w:space="0" w:color="0F1F35" w:themeColor="text2"/>
            </w:tcBorders>
            <w:shd w:val="clear" w:color="auto" w:fill="0F1F35" w:themeFill="text2"/>
          </w:tcPr>
          <w:p w14:paraId="7BE8EE89" w14:textId="77777777" w:rsidR="00641D4A" w:rsidRPr="00473172" w:rsidRDefault="00641D4A" w:rsidP="007E0AD0">
            <w:pPr>
              <w:pStyle w:val="TBLText"/>
              <w:spacing w:after="0"/>
              <w:rPr>
                <w:color w:val="FFFFFF" w:themeColor="background1"/>
              </w:rPr>
            </w:pPr>
            <w:r w:rsidRPr="00473172">
              <w:rPr>
                <w:color w:val="FFFFFF" w:themeColor="background1"/>
              </w:rPr>
              <w:t>Proposed option</w:t>
            </w:r>
          </w:p>
        </w:tc>
      </w:tr>
      <w:tr w:rsidR="00641D4A" w:rsidRPr="004D3335" w14:paraId="124AFC8A" w14:textId="77777777" w:rsidTr="007E0AD0">
        <w:tc>
          <w:tcPr>
            <w:tcW w:w="3823" w:type="dxa"/>
            <w:tcBorders>
              <w:top w:val="single" w:sz="8" w:space="0" w:color="0F1F35" w:themeColor="text2"/>
              <w:left w:val="single" w:sz="8" w:space="0" w:color="0F1F35" w:themeColor="text2"/>
              <w:bottom w:val="single" w:sz="8" w:space="0" w:color="0F1F35" w:themeColor="text2"/>
              <w:right w:val="single" w:sz="8" w:space="0" w:color="0F1F35" w:themeColor="text2"/>
            </w:tcBorders>
          </w:tcPr>
          <w:p w14:paraId="43E08CC1" w14:textId="77777777" w:rsidR="00641D4A" w:rsidRPr="002A2252" w:rsidRDefault="00641D4A" w:rsidP="007E0AD0">
            <w:pPr>
              <w:pStyle w:val="TBLText"/>
              <w:rPr>
                <w:color w:val="auto"/>
              </w:rPr>
            </w:pPr>
            <w:r w:rsidRPr="002A2252">
              <w:rPr>
                <w:color w:val="auto"/>
              </w:rPr>
              <w:t xml:space="preserve">People, business and other groups will continue to be made aware of the evidence required to assess the impacts of proposals through policy. </w:t>
            </w:r>
          </w:p>
          <w:p w14:paraId="1884B390" w14:textId="77777777" w:rsidR="00641D4A" w:rsidRPr="002A2252" w:rsidRDefault="00641D4A" w:rsidP="007E0AD0">
            <w:pPr>
              <w:pStyle w:val="TBLText"/>
              <w:rPr>
                <w:color w:val="auto"/>
              </w:rPr>
            </w:pPr>
            <w:r w:rsidRPr="002A2252">
              <w:rPr>
                <w:color w:val="auto"/>
              </w:rPr>
              <w:t>Ministerial decision-making would remain inconsistent and not transparent. Multiple requests for additional information would likely continue.</w:t>
            </w:r>
          </w:p>
          <w:p w14:paraId="35E960EC" w14:textId="77777777" w:rsidR="00641D4A" w:rsidRPr="002A2252" w:rsidRDefault="00641D4A" w:rsidP="007E0AD0">
            <w:pPr>
              <w:spacing w:line="259" w:lineRule="auto"/>
              <w:rPr>
                <w:rFonts w:cs="Calibri"/>
                <w:sz w:val="18"/>
                <w:szCs w:val="18"/>
              </w:rPr>
            </w:pPr>
            <w:r w:rsidRPr="002A2252">
              <w:rPr>
                <w:rFonts w:cs="Calibri"/>
                <w:sz w:val="18"/>
                <w:szCs w:val="18"/>
              </w:rPr>
              <w:t>Offsets will likely remain the default rather than the last resort, meaning proponents too often go straight to offsets without fully exhausting avoidance and mitigation options.</w:t>
            </w:r>
          </w:p>
          <w:p w14:paraId="55380DC2" w14:textId="77777777" w:rsidR="00641D4A" w:rsidRPr="002A2252" w:rsidRDefault="00641D4A" w:rsidP="007E0AD0">
            <w:pPr>
              <w:spacing w:line="259" w:lineRule="auto"/>
              <w:rPr>
                <w:rFonts w:cs="Calibri"/>
                <w:sz w:val="18"/>
                <w:szCs w:val="18"/>
              </w:rPr>
            </w:pPr>
            <w:r w:rsidRPr="002A2252">
              <w:rPr>
                <w:rFonts w:cs="Calibri"/>
                <w:sz w:val="18"/>
                <w:szCs w:val="18"/>
              </w:rPr>
              <w:t>Many offsets are poorly designed or implemented, and in practice often result in inconsistent outcomes.</w:t>
            </w:r>
          </w:p>
          <w:p w14:paraId="6274A504" w14:textId="77777777" w:rsidR="00641D4A" w:rsidRPr="00016FDA" w:rsidRDefault="00641D4A" w:rsidP="007E0AD0">
            <w:pPr>
              <w:pStyle w:val="TBLText"/>
              <w:rPr>
                <w:color w:val="auto"/>
              </w:rPr>
            </w:pPr>
            <w:r w:rsidRPr="002A2252">
              <w:rPr>
                <w:rFonts w:cs="Calibri"/>
                <w:color w:val="auto"/>
              </w:rPr>
              <w:t>Monitoring, compliance, and enforcement of offset conditions are weak. There is no transparency around the location, quality or quantity of approved offsets.</w:t>
            </w:r>
          </w:p>
        </w:tc>
        <w:tc>
          <w:tcPr>
            <w:tcW w:w="5811" w:type="dxa"/>
            <w:tcBorders>
              <w:top w:val="single" w:sz="8" w:space="0" w:color="0F1F35" w:themeColor="text2"/>
              <w:left w:val="single" w:sz="8" w:space="0" w:color="0F1F35" w:themeColor="text2"/>
              <w:bottom w:val="single" w:sz="8" w:space="0" w:color="0F1F35" w:themeColor="text2"/>
              <w:right w:val="single" w:sz="8" w:space="0" w:color="0F1F35" w:themeColor="text2"/>
            </w:tcBorders>
          </w:tcPr>
          <w:p w14:paraId="2FEB669E" w14:textId="77777777" w:rsidR="00641D4A" w:rsidRPr="007103B3" w:rsidRDefault="00641D4A" w:rsidP="007E0AD0">
            <w:pPr>
              <w:rPr>
                <w:sz w:val="18"/>
                <w:szCs w:val="18"/>
              </w:rPr>
            </w:pPr>
            <w:r w:rsidRPr="007103B3">
              <w:rPr>
                <w:sz w:val="18"/>
                <w:szCs w:val="18"/>
              </w:rPr>
              <w:t>The Environmental Offsets Standard will support the operation of a reformed EPBC Act by ensuring that offset activities (where permitted) compensate for the residual significant impacts of an action or class of actions on an affected protected matter to deliver the required net gain in a way that contributes to the protection, conservation, restoration and recovery of that protected matter. By replacing policy with a Standard to which the Minister must have regard, this will lead to clearer expectations, improved transparency, increased confidence in decisions and better outcomes for protected matters.</w:t>
            </w:r>
          </w:p>
          <w:p w14:paraId="74CC7EE8" w14:textId="77777777" w:rsidR="00641D4A" w:rsidRPr="007103B3" w:rsidRDefault="00641D4A" w:rsidP="007E0AD0">
            <w:pPr>
              <w:rPr>
                <w:sz w:val="18"/>
                <w:szCs w:val="18"/>
              </w:rPr>
            </w:pPr>
            <w:r w:rsidRPr="007103B3">
              <w:rPr>
                <w:sz w:val="18"/>
                <w:szCs w:val="18"/>
              </w:rPr>
              <w:t>Benefits are expected across proponents, governments, First Nations stakeholders and communities, in the form of clearer expectations, improved transparency, increased confidence in decisions and better outcomes for protected matters.</w:t>
            </w:r>
          </w:p>
          <w:p w14:paraId="642D7D5F" w14:textId="77777777" w:rsidR="00641D4A" w:rsidRPr="007103B3" w:rsidRDefault="00641D4A" w:rsidP="007E0AD0">
            <w:pPr>
              <w:rPr>
                <w:sz w:val="18"/>
                <w:szCs w:val="18"/>
              </w:rPr>
            </w:pPr>
            <w:r w:rsidRPr="007103B3">
              <w:rPr>
                <w:sz w:val="18"/>
                <w:szCs w:val="18"/>
              </w:rPr>
              <w:t>Business should see the greatest benefit in reduced regulatory burden and administration costs.</w:t>
            </w:r>
          </w:p>
          <w:p w14:paraId="402F7F5A" w14:textId="77777777" w:rsidR="00641D4A" w:rsidRPr="007103B3" w:rsidRDefault="00641D4A" w:rsidP="007E0AD0">
            <w:pPr>
              <w:rPr>
                <w:b/>
                <w:bCs/>
                <w:sz w:val="18"/>
                <w:szCs w:val="18"/>
              </w:rPr>
            </w:pPr>
            <w:r w:rsidRPr="007103B3">
              <w:rPr>
                <w:b/>
                <w:bCs/>
                <w:sz w:val="18"/>
                <w:szCs w:val="18"/>
              </w:rPr>
              <w:t>Stakeholder views:</w:t>
            </w:r>
          </w:p>
          <w:p w14:paraId="7935715D" w14:textId="77777777" w:rsidR="00641D4A" w:rsidRPr="007103B3" w:rsidRDefault="00641D4A" w:rsidP="007E0AD0">
            <w:pPr>
              <w:pStyle w:val="TBLText"/>
              <w:rPr>
                <w:color w:val="auto"/>
              </w:rPr>
            </w:pPr>
            <w:r w:rsidRPr="007103B3">
              <w:rPr>
                <w:color w:val="auto"/>
              </w:rPr>
              <w:t>Stakeholders were broadly supportive of the intent of the Environmental Offsets Standard as a robust compensation mechanism.</w:t>
            </w:r>
          </w:p>
        </w:tc>
      </w:tr>
    </w:tbl>
    <w:p w14:paraId="61C7086E" w14:textId="77777777" w:rsidR="00641D4A" w:rsidRDefault="00641D4A" w:rsidP="00641D4A">
      <w:pPr>
        <w:pStyle w:val="Heading2"/>
      </w:pPr>
      <w:r w:rsidRPr="001A5542">
        <w:t xml:space="preserve">Regulatory </w:t>
      </w:r>
      <w:r>
        <w:t>burden</w:t>
      </w:r>
    </w:p>
    <w:tbl>
      <w:tblPr>
        <w:tblStyle w:val="Style1"/>
        <w:tblW w:w="9634" w:type="dxa"/>
        <w:tblBorders>
          <w:top w:val="single" w:sz="4" w:space="0" w:color="0F1F35" w:themeColor="text2"/>
          <w:left w:val="single" w:sz="4" w:space="0" w:color="0F1F35" w:themeColor="text2"/>
          <w:bottom w:val="single" w:sz="4" w:space="0" w:color="0F1F35" w:themeColor="text2"/>
          <w:right w:val="single" w:sz="4" w:space="0" w:color="0F1F35" w:themeColor="text2"/>
          <w:insideH w:val="single" w:sz="4" w:space="0" w:color="0F1F35" w:themeColor="text2"/>
          <w:insideV w:val="single" w:sz="4" w:space="0" w:color="0F1F35" w:themeColor="text2"/>
        </w:tblBorders>
        <w:tblCellMar>
          <w:left w:w="85" w:type="dxa"/>
          <w:right w:w="85" w:type="dxa"/>
        </w:tblCellMar>
        <w:tblLook w:val="0620" w:firstRow="1" w:lastRow="0" w:firstColumn="0" w:lastColumn="0" w:noHBand="1" w:noVBand="1"/>
      </w:tblPr>
      <w:tblGrid>
        <w:gridCol w:w="3823"/>
        <w:gridCol w:w="5811"/>
      </w:tblGrid>
      <w:tr w:rsidR="00641D4A" w14:paraId="6CFDE83C" w14:textId="77777777" w:rsidTr="007E0AD0">
        <w:trPr>
          <w:cnfStyle w:val="100000000000" w:firstRow="1" w:lastRow="0" w:firstColumn="0" w:lastColumn="0" w:oddVBand="0" w:evenVBand="0" w:oddHBand="0" w:evenHBand="0" w:firstRowFirstColumn="0" w:firstRowLastColumn="0" w:lastRowFirstColumn="0" w:lastRowLastColumn="0"/>
          <w:trHeight w:val="200"/>
          <w:tblHeader/>
        </w:trPr>
        <w:tc>
          <w:tcPr>
            <w:tcW w:w="3823" w:type="dxa"/>
            <w:shd w:val="clear" w:color="auto" w:fill="0F1F35" w:themeFill="text2"/>
          </w:tcPr>
          <w:p w14:paraId="2B9B5D0C" w14:textId="77777777" w:rsidR="00641D4A" w:rsidRPr="00473172" w:rsidRDefault="00641D4A" w:rsidP="007E0AD0">
            <w:pPr>
              <w:pStyle w:val="TBLText"/>
              <w:spacing w:after="0"/>
              <w:rPr>
                <w:color w:val="FFFFFF" w:themeColor="background1"/>
              </w:rPr>
            </w:pPr>
            <w:r w:rsidRPr="00473172">
              <w:rPr>
                <w:color w:val="FFFFFF" w:themeColor="background1"/>
              </w:rPr>
              <w:t>Status quo</w:t>
            </w:r>
          </w:p>
        </w:tc>
        <w:tc>
          <w:tcPr>
            <w:tcW w:w="5811" w:type="dxa"/>
            <w:shd w:val="clear" w:color="auto" w:fill="0F1F35" w:themeFill="text2"/>
          </w:tcPr>
          <w:p w14:paraId="024D5D38" w14:textId="77777777" w:rsidR="00641D4A" w:rsidRPr="00473172" w:rsidRDefault="00641D4A" w:rsidP="007E0AD0">
            <w:pPr>
              <w:pStyle w:val="TBLText"/>
              <w:spacing w:after="0"/>
              <w:rPr>
                <w:color w:val="FFFFFF" w:themeColor="background1"/>
              </w:rPr>
            </w:pPr>
            <w:r w:rsidRPr="00473172">
              <w:rPr>
                <w:color w:val="FFFFFF" w:themeColor="background1"/>
              </w:rPr>
              <w:t>Proposed option</w:t>
            </w:r>
          </w:p>
        </w:tc>
      </w:tr>
      <w:tr w:rsidR="00641D4A" w:rsidRPr="004D3335" w14:paraId="081ED684" w14:textId="77777777" w:rsidTr="007E0AD0">
        <w:tc>
          <w:tcPr>
            <w:tcW w:w="3823" w:type="dxa"/>
          </w:tcPr>
          <w:p w14:paraId="63C33D28" w14:textId="77777777" w:rsidR="00641D4A" w:rsidRPr="00A64462" w:rsidRDefault="00641D4A" w:rsidP="007E0AD0">
            <w:pPr>
              <w:pStyle w:val="TBLText"/>
              <w:rPr>
                <w:color w:val="auto"/>
              </w:rPr>
            </w:pPr>
            <w:r w:rsidRPr="00A64462">
              <w:rPr>
                <w:b/>
                <w:bCs/>
                <w:color w:val="auto"/>
              </w:rPr>
              <w:t>Assessment of any existing compliance and/or delay costs:</w:t>
            </w:r>
          </w:p>
          <w:p w14:paraId="540E25EF" w14:textId="77777777" w:rsidR="00641D4A" w:rsidRPr="00A64462" w:rsidRDefault="00641D4A" w:rsidP="007E0AD0">
            <w:pPr>
              <w:pStyle w:val="TBLText"/>
              <w:rPr>
                <w:rFonts w:ascii="Segoe UI" w:eastAsia="Segoe UI" w:hAnsi="Segoe UI" w:cs="Segoe UI"/>
                <w:color w:val="auto"/>
              </w:rPr>
            </w:pPr>
            <w:r w:rsidRPr="00A64462">
              <w:rPr>
                <w:rFonts w:ascii="Segoe UI" w:eastAsia="Segoe UI" w:hAnsi="Segoe UI" w:cs="Segoe UI"/>
                <w:color w:val="auto"/>
              </w:rPr>
              <w:t>These costs are outlined in the Addendum.</w:t>
            </w:r>
          </w:p>
          <w:p w14:paraId="3DD22C13" w14:textId="77777777" w:rsidR="00641D4A" w:rsidRPr="00A64462" w:rsidRDefault="00641D4A" w:rsidP="007E0AD0">
            <w:pPr>
              <w:jc w:val="both"/>
              <w:rPr>
                <w:sz w:val="18"/>
                <w:szCs w:val="18"/>
              </w:rPr>
            </w:pPr>
            <w:r w:rsidRPr="00A64462">
              <w:rPr>
                <w:sz w:val="18"/>
                <w:szCs w:val="18"/>
              </w:rPr>
              <w:lastRenderedPageBreak/>
              <w:t>Offset principles and requirements are set in policy, rather than legislative instruments. Proponents must provide information on measures to offset, but there is no legal test for when or how impacts can be compensated or offset, or how much compensation is required.</w:t>
            </w:r>
          </w:p>
          <w:p w14:paraId="42F19E1C" w14:textId="77777777" w:rsidR="00641D4A" w:rsidRPr="00016FDA" w:rsidRDefault="00641D4A" w:rsidP="007E0AD0">
            <w:pPr>
              <w:pStyle w:val="TBLText"/>
              <w:rPr>
                <w:color w:val="auto"/>
              </w:rPr>
            </w:pPr>
            <w:r w:rsidRPr="00A64462">
              <w:rPr>
                <w:color w:val="auto"/>
              </w:rPr>
              <w:t>These gaps create a high level of discretion and inconsistency in how offsets and compensation are considered and implemented in practice and contribute to uncertainty for proponents around how and when in the assessment and approval process these may be considered.</w:t>
            </w:r>
          </w:p>
        </w:tc>
        <w:tc>
          <w:tcPr>
            <w:tcW w:w="5811" w:type="dxa"/>
          </w:tcPr>
          <w:p w14:paraId="4A4B5D68" w14:textId="77777777" w:rsidR="00641D4A" w:rsidRPr="003979E6" w:rsidRDefault="00641D4A" w:rsidP="007E0AD0">
            <w:pPr>
              <w:pStyle w:val="TBLText"/>
              <w:rPr>
                <w:b/>
                <w:bCs/>
                <w:color w:val="auto"/>
              </w:rPr>
            </w:pPr>
            <w:r w:rsidRPr="003979E6">
              <w:rPr>
                <w:b/>
                <w:bCs/>
                <w:color w:val="auto"/>
              </w:rPr>
              <w:lastRenderedPageBreak/>
              <w:t>Change in the regulatory burden:</w:t>
            </w:r>
          </w:p>
          <w:p w14:paraId="484B3253" w14:textId="77777777" w:rsidR="00641D4A" w:rsidRPr="003979E6" w:rsidRDefault="00641D4A" w:rsidP="007E0AD0">
            <w:pPr>
              <w:rPr>
                <w:sz w:val="18"/>
                <w:szCs w:val="18"/>
              </w:rPr>
            </w:pPr>
            <w:r w:rsidRPr="003979E6">
              <w:rPr>
                <w:sz w:val="18"/>
                <w:szCs w:val="18"/>
              </w:rPr>
              <w:t xml:space="preserve">The Environmental Offsets Standard’s eight offset principles require appropriate evidence to support decision-making under the EPBC Act. Satisfying this requirement upfront is expected to reduce information requests and regulatory uncertainty, while supporting more efficient </w:t>
            </w:r>
            <w:r w:rsidRPr="003979E6">
              <w:rPr>
                <w:sz w:val="18"/>
                <w:szCs w:val="18"/>
              </w:rPr>
              <w:lastRenderedPageBreak/>
              <w:t>and transparent assessments and approvals, as outlined in the Addendum.</w:t>
            </w:r>
          </w:p>
          <w:p w14:paraId="07D6884D" w14:textId="77777777" w:rsidR="00641D4A" w:rsidRPr="003979E6" w:rsidRDefault="00641D4A" w:rsidP="007E0AD0">
            <w:pPr>
              <w:pStyle w:val="TBLText"/>
              <w:rPr>
                <w:color w:val="auto"/>
              </w:rPr>
            </w:pPr>
            <w:r w:rsidRPr="003979E6">
              <w:rPr>
                <w:b/>
                <w:color w:val="auto"/>
              </w:rPr>
              <w:t>Stakeholder views</w:t>
            </w:r>
            <w:r w:rsidRPr="003979E6">
              <w:rPr>
                <w:color w:val="auto"/>
              </w:rPr>
              <w:t>:</w:t>
            </w:r>
          </w:p>
          <w:p w14:paraId="4C37A5E6" w14:textId="77777777" w:rsidR="00641D4A" w:rsidRPr="003979E6" w:rsidRDefault="00641D4A" w:rsidP="007E0AD0">
            <w:pPr>
              <w:rPr>
                <w:sz w:val="18"/>
                <w:szCs w:val="18"/>
              </w:rPr>
            </w:pPr>
            <w:r w:rsidRPr="003979E6">
              <w:rPr>
                <w:sz w:val="18"/>
                <w:szCs w:val="18"/>
              </w:rPr>
              <w:t>During statutory consultation, there was concern about an incomplete framework, as related elements such as the net gain test and protection statements are still under development, and key terms were undefined. Subsequent drafting has increased clarity where feasible within the scope of the EPBC Act.</w:t>
            </w:r>
          </w:p>
          <w:p w14:paraId="0DE43DAD" w14:textId="77777777" w:rsidR="00641D4A" w:rsidRPr="003979E6" w:rsidRDefault="00641D4A" w:rsidP="007E0AD0">
            <w:pPr>
              <w:pStyle w:val="TBLText"/>
              <w:rPr>
                <w:color w:val="auto"/>
              </w:rPr>
            </w:pPr>
            <w:r w:rsidRPr="003979E6">
              <w:rPr>
                <w:color w:val="auto"/>
              </w:rPr>
              <w:t>Submissions raised the need for practical guidance and decision templates, which is outside the scope of this assessment.</w:t>
            </w:r>
          </w:p>
        </w:tc>
      </w:tr>
    </w:tbl>
    <w:p w14:paraId="22183011" w14:textId="77777777" w:rsidR="00641D4A" w:rsidRDefault="00641D4A" w:rsidP="00641D4A">
      <w:pPr>
        <w:pStyle w:val="Heading2"/>
      </w:pPr>
      <w:r w:rsidRPr="00CA3925">
        <w:lastRenderedPageBreak/>
        <w:t>Other considerations and implementation</w:t>
      </w:r>
    </w:p>
    <w:p w14:paraId="14F8B2CD" w14:textId="77777777" w:rsidR="00641D4A" w:rsidRPr="002E1BA8" w:rsidRDefault="00641D4A" w:rsidP="00641D4A">
      <w:r w:rsidRPr="002E1BA8">
        <w:t>Other options considered were the status quo and non-regulatory. These options would not provide a legally enforceable, consistent framework and provide practical guidance for applicants as to how the legislative requirements will be considered by the Minister. The preferred option will be implemented through standards-making provisions of the reformed EPBC Act supported by guidance, consultation and National EPA assurance processes.</w:t>
      </w:r>
    </w:p>
    <w:p w14:paraId="23F025E9" w14:textId="77777777" w:rsidR="00641D4A" w:rsidRDefault="00641D4A" w:rsidP="00641D4A">
      <w:pPr>
        <w:pStyle w:val="Heading3"/>
      </w:pPr>
      <w:r w:rsidRPr="00CA3925">
        <w:t>What success looks like</w:t>
      </w:r>
    </w:p>
    <w:p w14:paraId="4EEB2167" w14:textId="77777777" w:rsidR="00641D4A" w:rsidRPr="002E1BA8" w:rsidRDefault="00641D4A" w:rsidP="00641D4A">
      <w:r w:rsidRPr="002E1BA8">
        <w:t>The Standards will provide sufficient clarity whilst retaining flexibility as to how proponents demonstrate that the substantive approval requirements for decision-making are met.</w:t>
      </w:r>
    </w:p>
    <w:p w14:paraId="2D6D4A61" w14:textId="77777777" w:rsidR="00641D4A" w:rsidRPr="002E1BA8" w:rsidRDefault="00641D4A" w:rsidP="00641D4A">
      <w:r w:rsidRPr="002E1BA8">
        <w:t>This will lead to more consistent environmental decisions; improved outcomes for protected matters; fewer requests for additional information; increased stakeholder confidence; improved transparency; reduced regulatory uncertainty.</w:t>
      </w:r>
    </w:p>
    <w:p w14:paraId="54CB3C89" w14:textId="77777777" w:rsidR="00641D4A" w:rsidRDefault="00641D4A" w:rsidP="00641D4A">
      <w:pPr>
        <w:pStyle w:val="Heading3"/>
      </w:pPr>
      <w:r w:rsidRPr="000E5B4B">
        <w:t>Implementation approach</w:t>
      </w:r>
    </w:p>
    <w:p w14:paraId="13DE30AF" w14:textId="77777777" w:rsidR="00641D4A" w:rsidRPr="002E1BA8" w:rsidDel="00DD4240" w:rsidRDefault="00641D4A" w:rsidP="00641D4A">
      <w:r w:rsidRPr="002E1BA8">
        <w:t>Implementation will occur through the ongoing tranches of legislative reform supporting the new EPBC arrangements and may include guidance materials to access the benefits of streamlined pathways, National EPA oversight and Environment Information Australia reporting.</w:t>
      </w:r>
    </w:p>
    <w:p w14:paraId="4DFE660A" w14:textId="77777777" w:rsidR="00641D4A" w:rsidRDefault="00641D4A" w:rsidP="00641D4A">
      <w:pPr>
        <w:pStyle w:val="Heading3"/>
      </w:pPr>
      <w:r>
        <w:t>Planned evaluation</w:t>
      </w:r>
    </w:p>
    <w:p w14:paraId="0DC19622" w14:textId="3DF21677" w:rsidR="008169DC" w:rsidRDefault="00641D4A" w:rsidP="006C2C5A">
      <w:r>
        <w:t>Formal review is required within 18 months of commencement and at least every five years thereafter by section 514YJ of the reformed EPBC Act.</w:t>
      </w:r>
    </w:p>
    <w:p w14:paraId="02FCF93C" w14:textId="2D3A108A" w:rsidR="005C32EF" w:rsidRPr="006C2C5A" w:rsidRDefault="00F342FA" w:rsidP="00F342FA">
      <w:pPr>
        <w:spacing w:after="200" w:line="288" w:lineRule="auto"/>
      </w:pPr>
      <w:r w:rsidRPr="00E03E1A">
        <w:rPr>
          <w:noProof/>
        </w:rPr>
        <w:lastRenderedPageBreak/>
        <w:drawing>
          <wp:inline distT="0" distB="0" distL="0" distR="0" wp14:anchorId="56B5EA8A" wp14:editId="697B20DC">
            <wp:extent cx="6120130" cy="5064494"/>
            <wp:effectExtent l="0" t="0" r="0" b="3175"/>
            <wp:docPr id="6165340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lum bright="-12000" contrast="36000"/>
                      <a:extLst>
                        <a:ext uri="{28A0092B-C50C-407E-A947-70E740481C1C}">
                          <a14:useLocalDpi xmlns:a14="http://schemas.microsoft.com/office/drawing/2010/main" val="0"/>
                        </a:ext>
                      </a:extLst>
                    </a:blip>
                    <a:srcRect l="7134" t="10090" r="9042" b="40853"/>
                    <a:stretch>
                      <a:fillRect/>
                    </a:stretch>
                  </pic:blipFill>
                  <pic:spPr bwMode="auto">
                    <a:xfrm>
                      <a:off x="0" y="0"/>
                      <a:ext cx="6120130" cy="5064494"/>
                    </a:xfrm>
                    <a:prstGeom prst="rect">
                      <a:avLst/>
                    </a:prstGeom>
                    <a:noFill/>
                    <a:ln>
                      <a:noFill/>
                    </a:ln>
                    <a:extLst>
                      <a:ext uri="{53640926-AAD7-44D8-BBD7-CCE9431645EC}">
                        <a14:shadowObscured xmlns:a14="http://schemas.microsoft.com/office/drawing/2010/main"/>
                      </a:ext>
                    </a:extLst>
                  </pic:spPr>
                </pic:pic>
              </a:graphicData>
            </a:graphic>
          </wp:inline>
        </w:drawing>
      </w:r>
    </w:p>
    <w:sectPr w:rsidR="005C32EF" w:rsidRPr="006C2C5A" w:rsidSect="002356F8">
      <w:footerReference w:type="default" r:id="rId8"/>
      <w:headerReference w:type="first" r:id="rId9"/>
      <w:footerReference w:type="first" r:id="rId10"/>
      <w:pgSz w:w="11906" w:h="16838"/>
      <w:pgMar w:top="1701" w:right="1134" w:bottom="1134" w:left="1134" w:header="99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C513" w14:textId="77777777" w:rsidR="00387215" w:rsidRPr="002E1BA8" w:rsidRDefault="00387215" w:rsidP="00F957C6">
      <w:pPr>
        <w:spacing w:after="0" w:line="240" w:lineRule="auto"/>
      </w:pPr>
      <w:r w:rsidRPr="002E1BA8">
        <w:separator/>
      </w:r>
    </w:p>
  </w:endnote>
  <w:endnote w:type="continuationSeparator" w:id="0">
    <w:p w14:paraId="423631D2" w14:textId="77777777" w:rsidR="00387215" w:rsidRPr="002E1BA8" w:rsidRDefault="00387215" w:rsidP="00F957C6">
      <w:pPr>
        <w:spacing w:after="0" w:line="240" w:lineRule="auto"/>
      </w:pPr>
      <w:r w:rsidRPr="002E1B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charset w:val="00"/>
    <w:family w:val="roman"/>
    <w:pitch w:val="variable"/>
    <w:sig w:usb0="E40008FF" w:usb1="5201E0FB" w:usb2="04608000" w:usb3="00000000" w:csb0="000000BB"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 w:name="Inter Light">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37FA" w14:textId="4C0B49BF" w:rsidR="00037513" w:rsidRPr="002E1BA8" w:rsidRDefault="6D823838" w:rsidP="6D823838">
    <w:pPr>
      <w:pStyle w:val="Header"/>
      <w:rPr>
        <w:rFonts w:ascii="Segoe UI" w:hAnsi="Segoe UI" w:cs="Segoe UI"/>
        <w:color w:val="6E6E6E"/>
        <w:sz w:val="18"/>
        <w:szCs w:val="18"/>
      </w:rPr>
    </w:pPr>
    <w:r w:rsidRPr="002E1BA8">
      <w:rPr>
        <w:color w:val="6E6E6E"/>
        <w:sz w:val="18"/>
        <w:szCs w:val="18"/>
      </w:rPr>
      <w:t xml:space="preserve">Australian Government | Dashboard Impact Analysis (IA) – </w:t>
    </w:r>
    <w:r w:rsidRPr="002E1BA8" w:rsidDel="00641969">
      <w:rPr>
        <w:color w:val="6E6E6E"/>
        <w:sz w:val="18"/>
        <w:szCs w:val="18"/>
      </w:rPr>
      <w:t>EPBC Act 2025 Environmental Offsets Standard</w:t>
    </w:r>
    <w:r w:rsidR="00D378DE">
      <w:rPr>
        <w:color w:val="6E6E6E"/>
        <w:sz w:val="18"/>
        <w:szCs w:val="18"/>
      </w:rPr>
      <w:t xml:space="preserve">  </w:t>
    </w:r>
    <w:r w:rsidR="00936C83" w:rsidRPr="002E1BA8">
      <w:rPr>
        <w:rFonts w:ascii="Segoe UI" w:hAnsi="Segoe UI" w:cs="Segoe UI"/>
        <w:color w:val="6E6E6E"/>
        <w:sz w:val="18"/>
        <w:szCs w:val="18"/>
      </w:rPr>
      <w:fldChar w:fldCharType="begin"/>
    </w:r>
    <w:r w:rsidR="00936C83" w:rsidRPr="002E1BA8">
      <w:rPr>
        <w:rFonts w:ascii="Segoe UI" w:hAnsi="Segoe UI" w:cs="Segoe UI"/>
        <w:color w:val="6E6E6E"/>
        <w:sz w:val="18"/>
        <w:szCs w:val="18"/>
      </w:rPr>
      <w:instrText xml:space="preserve"> PAGE   \* MERGEFORMAT </w:instrText>
    </w:r>
    <w:r w:rsidR="00936C83" w:rsidRPr="002E1BA8">
      <w:rPr>
        <w:rFonts w:ascii="Segoe UI" w:hAnsi="Segoe UI" w:cs="Segoe UI"/>
        <w:color w:val="6E6E6E"/>
        <w:sz w:val="18"/>
        <w:szCs w:val="18"/>
      </w:rPr>
      <w:fldChar w:fldCharType="separate"/>
    </w:r>
    <w:r w:rsidRPr="002E1BA8">
      <w:rPr>
        <w:rFonts w:ascii="Segoe UI" w:hAnsi="Segoe UI" w:cs="Segoe UI"/>
        <w:color w:val="6E6E6E"/>
        <w:sz w:val="18"/>
        <w:szCs w:val="18"/>
      </w:rPr>
      <w:t>1</w:t>
    </w:r>
    <w:r w:rsidR="00936C83" w:rsidRPr="002E1BA8">
      <w:rPr>
        <w:rFonts w:ascii="Segoe UI" w:hAnsi="Segoe UI" w:cs="Segoe UI"/>
        <w:color w:val="6E6E6E"/>
        <w:sz w:val="18"/>
        <w:szCs w:val="18"/>
      </w:rPr>
      <w:fldChar w:fldCharType="end"/>
    </w:r>
    <w:r w:rsidR="00936C83" w:rsidRPr="002E1BA8">
      <w:rPr>
        <w:color w:val="6E6E6E"/>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690D" w14:textId="77777777" w:rsidR="006E7551" w:rsidRPr="002E1BA8" w:rsidRDefault="006E7551" w:rsidP="00BB1526">
    <w:pPr>
      <w:pStyle w:val="Header"/>
      <w:rPr>
        <w:color w:val="6E6E6E"/>
        <w:sz w:val="18"/>
        <w:szCs w:val="18"/>
      </w:rPr>
    </w:pPr>
  </w:p>
  <w:p w14:paraId="7743EB31" w14:textId="16C1191F" w:rsidR="00464D89" w:rsidRPr="002E1BA8" w:rsidRDefault="72CCDC20" w:rsidP="72CCDC20">
    <w:pPr>
      <w:pStyle w:val="Header"/>
      <w:rPr>
        <w:rFonts w:ascii="Segoe UI" w:hAnsi="Segoe UI" w:cs="Segoe UI"/>
        <w:color w:val="6E6E6E"/>
        <w:sz w:val="18"/>
        <w:szCs w:val="18"/>
      </w:rPr>
    </w:pPr>
    <w:r w:rsidRPr="002E1BA8">
      <w:rPr>
        <w:color w:val="6E6E6E"/>
        <w:sz w:val="18"/>
        <w:szCs w:val="18"/>
      </w:rPr>
      <w:t xml:space="preserve">Australian Government | Dashboard Impact Analysis (IA) – EPBC Act 1999 National Environmental Standard for Environmental Offsets </w:t>
    </w:r>
    <w:r w:rsidR="7053EE0F" w:rsidRPr="002E1BA8">
      <w:rPr>
        <w:rFonts w:ascii="Segoe UI" w:hAnsi="Segoe UI" w:cs="Segoe UI"/>
        <w:color w:val="6E6E6E"/>
        <w:sz w:val="18"/>
        <w:szCs w:val="18"/>
      </w:rPr>
      <w:fldChar w:fldCharType="begin"/>
    </w:r>
    <w:r w:rsidR="7053EE0F" w:rsidRPr="002E1BA8">
      <w:rPr>
        <w:rFonts w:ascii="Segoe UI" w:hAnsi="Segoe UI" w:cs="Segoe UI"/>
        <w:color w:val="6E6E6E"/>
        <w:sz w:val="18"/>
        <w:szCs w:val="18"/>
      </w:rPr>
      <w:instrText xml:space="preserve"> PAGE   \* MERGEFORMAT </w:instrText>
    </w:r>
    <w:r w:rsidR="7053EE0F" w:rsidRPr="002E1BA8">
      <w:rPr>
        <w:rFonts w:ascii="Segoe UI" w:hAnsi="Segoe UI" w:cs="Segoe UI"/>
        <w:color w:val="6E6E6E"/>
        <w:sz w:val="18"/>
        <w:szCs w:val="18"/>
      </w:rPr>
      <w:fldChar w:fldCharType="separate"/>
    </w:r>
    <w:r w:rsidRPr="002E1BA8">
      <w:rPr>
        <w:rFonts w:ascii="Segoe UI" w:hAnsi="Segoe UI" w:cs="Segoe UI"/>
        <w:color w:val="6E6E6E"/>
        <w:sz w:val="18"/>
        <w:szCs w:val="18"/>
      </w:rPr>
      <w:t>1</w:t>
    </w:r>
    <w:r w:rsidR="7053EE0F" w:rsidRPr="002E1BA8">
      <w:rPr>
        <w:rFonts w:ascii="Segoe UI" w:hAnsi="Segoe UI" w:cs="Segoe UI"/>
        <w:color w:val="6E6E6E"/>
        <w:sz w:val="18"/>
        <w:szCs w:val="18"/>
      </w:rPr>
      <w:fldChar w:fldCharType="end"/>
    </w:r>
    <w:r w:rsidR="00BB1526" w:rsidRPr="002E1BA8">
      <w:rPr>
        <w:color w:val="6E6E6E"/>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35C3F" w14:textId="77777777" w:rsidR="00387215" w:rsidRPr="002E1BA8" w:rsidRDefault="00387215" w:rsidP="00F957C6">
      <w:pPr>
        <w:spacing w:after="0" w:line="240" w:lineRule="auto"/>
      </w:pPr>
      <w:r w:rsidRPr="002E1BA8">
        <w:separator/>
      </w:r>
    </w:p>
  </w:footnote>
  <w:footnote w:type="continuationSeparator" w:id="0">
    <w:p w14:paraId="4692934F" w14:textId="77777777" w:rsidR="00387215" w:rsidRPr="002E1BA8" w:rsidRDefault="00387215" w:rsidP="00F957C6">
      <w:pPr>
        <w:spacing w:after="0" w:line="240" w:lineRule="auto"/>
      </w:pPr>
      <w:r w:rsidRPr="002E1B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D34E9" w14:textId="00708888" w:rsidR="0026634E" w:rsidRPr="002E1BA8" w:rsidRDefault="0026634E" w:rsidP="0026634E">
    <w:pPr>
      <w:pStyle w:val="Header"/>
      <w:jc w:val="center"/>
      <w:rPr>
        <w:rStyle w:val="CLASSIFICATIONChar"/>
      </w:rPr>
    </w:pPr>
    <w:r w:rsidRPr="002E1BA8">
      <w:rPr>
        <w:rStyle w:val="CLASSIFICATIONChar"/>
        <w:noProof/>
        <w:lang w:eastAsia="en-AU"/>
      </w:rPr>
      <w:drawing>
        <wp:anchor distT="0" distB="0" distL="114300" distR="114300" simplePos="0" relativeHeight="251658240" behindDoc="1" locked="0" layoutInCell="1" allowOverlap="1" wp14:anchorId="0BAD895F" wp14:editId="1B7BAD46">
          <wp:simplePos x="0" y="0"/>
          <wp:positionH relativeFrom="column">
            <wp:posOffset>-46990</wp:posOffset>
          </wp:positionH>
          <wp:positionV relativeFrom="paragraph">
            <wp:posOffset>-217805</wp:posOffset>
          </wp:positionV>
          <wp:extent cx="2322830" cy="621665"/>
          <wp:effectExtent l="0" t="0" r="1270" b="6985"/>
          <wp:wrapNone/>
          <wp:docPr id="16" name="Picture 16"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621665"/>
                  </a:xfrm>
                  <a:prstGeom prst="rect">
                    <a:avLst/>
                  </a:prstGeom>
                  <a:noFill/>
                </pic:spPr>
              </pic:pic>
            </a:graphicData>
          </a:graphic>
        </wp:anchor>
      </w:drawing>
    </w:r>
  </w:p>
  <w:p w14:paraId="11F39F1F" w14:textId="77777777" w:rsidR="0026634E" w:rsidRPr="002E1BA8" w:rsidRDefault="0026634E" w:rsidP="0026634E">
    <w:pPr>
      <w:pStyle w:val="Header"/>
      <w:jc w:val="center"/>
      <w:rPr>
        <w:rStyle w:val="CLASSIFICATIONChar"/>
      </w:rPr>
    </w:pPr>
  </w:p>
  <w:p w14:paraId="4A2C1EE2" w14:textId="77777777" w:rsidR="0026634E" w:rsidRPr="002E1BA8" w:rsidRDefault="0026634E" w:rsidP="0026634E">
    <w:pPr>
      <w:pStyle w:val="Header"/>
      <w:jc w:val="center"/>
      <w:rPr>
        <w:rStyle w:val="CLASSIFICATIONChar"/>
      </w:rPr>
    </w:pPr>
  </w:p>
  <w:p w14:paraId="1D813CAE" w14:textId="77777777" w:rsidR="00037513" w:rsidRPr="002E1BA8" w:rsidRDefault="00037513" w:rsidP="002663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04592A"/>
    <w:lvl w:ilvl="0">
      <w:start w:val="1"/>
      <w:numFmt w:val="decimal"/>
      <w:lvlText w:val="%1."/>
      <w:lvlJc w:val="left"/>
      <w:pPr>
        <w:tabs>
          <w:tab w:val="num" w:pos="2060"/>
        </w:tabs>
        <w:ind w:left="2060" w:hanging="360"/>
      </w:pPr>
    </w:lvl>
  </w:abstractNum>
  <w:abstractNum w:abstractNumId="1" w15:restartNumberingAfterBreak="0">
    <w:nsid w:val="FFFFFF7D"/>
    <w:multiLevelType w:val="singleLevel"/>
    <w:tmpl w:val="35487F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50D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D612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146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F01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E08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9813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620C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4281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5033"/>
    <w:multiLevelType w:val="hybridMultilevel"/>
    <w:tmpl w:val="C6DC8A2C"/>
    <w:lvl w:ilvl="0" w:tplc="458A1C2C">
      <w:start w:val="1"/>
      <w:numFmt w:val="bullet"/>
      <w:pStyle w:val="TBL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014CCD"/>
    <w:multiLevelType w:val="hybridMultilevel"/>
    <w:tmpl w:val="D0E0AE74"/>
    <w:lvl w:ilvl="0" w:tplc="42CAA44A">
      <w:start w:val="1"/>
      <w:numFmt w:val="bullet"/>
      <w:pStyle w:val="BOX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AF6F03"/>
    <w:multiLevelType w:val="hybridMultilevel"/>
    <w:tmpl w:val="4CF49542"/>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3" w15:restartNumberingAfterBreak="0">
    <w:nsid w:val="11D25902"/>
    <w:multiLevelType w:val="hybridMultilevel"/>
    <w:tmpl w:val="CB0E5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A3105B"/>
    <w:multiLevelType w:val="hybridMultilevel"/>
    <w:tmpl w:val="2F88CC68"/>
    <w:lvl w:ilvl="0" w:tplc="93300146">
      <w:start w:val="1"/>
      <w:numFmt w:val="decimal"/>
      <w:pStyle w:val="BoxDark-NumberedList"/>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5" w15:restartNumberingAfterBreak="0">
    <w:nsid w:val="15592ABD"/>
    <w:multiLevelType w:val="multilevel"/>
    <w:tmpl w:val="BF96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F33BBA"/>
    <w:multiLevelType w:val="hybridMultilevel"/>
    <w:tmpl w:val="0812E2DE"/>
    <w:lvl w:ilvl="0" w:tplc="E1AE5D66">
      <w:start w:val="1"/>
      <w:numFmt w:val="decimal"/>
      <w:pStyle w:val="Figure"/>
      <w:suff w:val="space"/>
      <w:lvlText w:val="Figure %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213A562D"/>
    <w:multiLevelType w:val="hybridMultilevel"/>
    <w:tmpl w:val="85300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DF05D0"/>
    <w:multiLevelType w:val="hybridMultilevel"/>
    <w:tmpl w:val="361C2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2F43606D"/>
    <w:multiLevelType w:val="multilevel"/>
    <w:tmpl w:val="EABC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43634D"/>
    <w:multiLevelType w:val="hybridMultilevel"/>
    <w:tmpl w:val="BCB85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211229"/>
    <w:multiLevelType w:val="hybridMultilevel"/>
    <w:tmpl w:val="DE7E12DE"/>
    <w:lvl w:ilvl="0" w:tplc="0C090001">
      <w:start w:val="1"/>
      <w:numFmt w:val="bullet"/>
      <w:lvlText w:val=""/>
      <w:lvlJc w:val="left"/>
      <w:pPr>
        <w:ind w:left="1484" w:hanging="360"/>
      </w:pPr>
      <w:rPr>
        <w:rFonts w:ascii="Symbol" w:hAnsi="Symbol" w:hint="default"/>
      </w:rPr>
    </w:lvl>
    <w:lvl w:ilvl="1" w:tplc="0C090003" w:tentative="1">
      <w:start w:val="1"/>
      <w:numFmt w:val="bullet"/>
      <w:lvlText w:val="o"/>
      <w:lvlJc w:val="left"/>
      <w:pPr>
        <w:ind w:left="2204" w:hanging="360"/>
      </w:pPr>
      <w:rPr>
        <w:rFonts w:ascii="Courier New" w:hAnsi="Courier New" w:cs="Courier New" w:hint="default"/>
      </w:rPr>
    </w:lvl>
    <w:lvl w:ilvl="2" w:tplc="0C090005" w:tentative="1">
      <w:start w:val="1"/>
      <w:numFmt w:val="bullet"/>
      <w:lvlText w:val=""/>
      <w:lvlJc w:val="left"/>
      <w:pPr>
        <w:ind w:left="2924" w:hanging="360"/>
      </w:pPr>
      <w:rPr>
        <w:rFonts w:ascii="Wingdings" w:hAnsi="Wingdings" w:hint="default"/>
      </w:rPr>
    </w:lvl>
    <w:lvl w:ilvl="3" w:tplc="0C090001" w:tentative="1">
      <w:start w:val="1"/>
      <w:numFmt w:val="bullet"/>
      <w:lvlText w:val=""/>
      <w:lvlJc w:val="left"/>
      <w:pPr>
        <w:ind w:left="3644" w:hanging="360"/>
      </w:pPr>
      <w:rPr>
        <w:rFonts w:ascii="Symbol" w:hAnsi="Symbol" w:hint="default"/>
      </w:rPr>
    </w:lvl>
    <w:lvl w:ilvl="4" w:tplc="0C090003" w:tentative="1">
      <w:start w:val="1"/>
      <w:numFmt w:val="bullet"/>
      <w:lvlText w:val="o"/>
      <w:lvlJc w:val="left"/>
      <w:pPr>
        <w:ind w:left="4364" w:hanging="360"/>
      </w:pPr>
      <w:rPr>
        <w:rFonts w:ascii="Courier New" w:hAnsi="Courier New" w:cs="Courier New" w:hint="default"/>
      </w:rPr>
    </w:lvl>
    <w:lvl w:ilvl="5" w:tplc="0C090005" w:tentative="1">
      <w:start w:val="1"/>
      <w:numFmt w:val="bullet"/>
      <w:lvlText w:val=""/>
      <w:lvlJc w:val="left"/>
      <w:pPr>
        <w:ind w:left="5084" w:hanging="360"/>
      </w:pPr>
      <w:rPr>
        <w:rFonts w:ascii="Wingdings" w:hAnsi="Wingdings" w:hint="default"/>
      </w:rPr>
    </w:lvl>
    <w:lvl w:ilvl="6" w:tplc="0C090001" w:tentative="1">
      <w:start w:val="1"/>
      <w:numFmt w:val="bullet"/>
      <w:lvlText w:val=""/>
      <w:lvlJc w:val="left"/>
      <w:pPr>
        <w:ind w:left="5804" w:hanging="360"/>
      </w:pPr>
      <w:rPr>
        <w:rFonts w:ascii="Symbol" w:hAnsi="Symbol" w:hint="default"/>
      </w:rPr>
    </w:lvl>
    <w:lvl w:ilvl="7" w:tplc="0C090003" w:tentative="1">
      <w:start w:val="1"/>
      <w:numFmt w:val="bullet"/>
      <w:lvlText w:val="o"/>
      <w:lvlJc w:val="left"/>
      <w:pPr>
        <w:ind w:left="6524" w:hanging="360"/>
      </w:pPr>
      <w:rPr>
        <w:rFonts w:ascii="Courier New" w:hAnsi="Courier New" w:cs="Courier New" w:hint="default"/>
      </w:rPr>
    </w:lvl>
    <w:lvl w:ilvl="8" w:tplc="0C090005" w:tentative="1">
      <w:start w:val="1"/>
      <w:numFmt w:val="bullet"/>
      <w:lvlText w:val=""/>
      <w:lvlJc w:val="left"/>
      <w:pPr>
        <w:ind w:left="7244" w:hanging="360"/>
      </w:pPr>
      <w:rPr>
        <w:rFonts w:ascii="Wingdings" w:hAnsi="Wingdings" w:hint="default"/>
      </w:rPr>
    </w:lvl>
  </w:abstractNum>
  <w:abstractNum w:abstractNumId="24" w15:restartNumberingAfterBreak="0">
    <w:nsid w:val="496C7FF6"/>
    <w:multiLevelType w:val="hybridMultilevel"/>
    <w:tmpl w:val="4D4A750C"/>
    <w:lvl w:ilvl="0" w:tplc="D6643B58">
      <w:start w:val="1"/>
      <w:numFmt w:val="decimal"/>
      <w:pStyle w:val="BOXNumberedList"/>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25" w15:restartNumberingAfterBreak="0">
    <w:nsid w:val="498C4EBC"/>
    <w:multiLevelType w:val="multilevel"/>
    <w:tmpl w:val="A1B8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81EDD"/>
    <w:multiLevelType w:val="hybridMultilevel"/>
    <w:tmpl w:val="6B225E28"/>
    <w:lvl w:ilvl="0" w:tplc="1B58674C">
      <w:start w:val="1"/>
      <w:numFmt w:val="bullet"/>
      <w:lvlText w:val="–"/>
      <w:lvlJc w:val="left"/>
      <w:pPr>
        <w:ind w:left="851" w:hanging="284"/>
      </w:pPr>
      <w:rPr>
        <w:rFonts w:ascii="Arial Black" w:hAnsi="Arial Black"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61135143"/>
    <w:multiLevelType w:val="hybridMultilevel"/>
    <w:tmpl w:val="7D8C0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F0286"/>
    <w:multiLevelType w:val="hybridMultilevel"/>
    <w:tmpl w:val="70C6C990"/>
    <w:lvl w:ilvl="0" w:tplc="56D0C196">
      <w:start w:val="1"/>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EE51B32"/>
    <w:multiLevelType w:val="hybridMultilevel"/>
    <w:tmpl w:val="F2CE71E2"/>
    <w:lvl w:ilvl="0" w:tplc="5E348A7E">
      <w:start w:val="1"/>
      <w:numFmt w:val="decimal"/>
      <w:pStyle w:val="TB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1170D5"/>
    <w:multiLevelType w:val="hybridMultilevel"/>
    <w:tmpl w:val="38E03EE6"/>
    <w:lvl w:ilvl="0" w:tplc="9C7CCF60">
      <w:start w:val="1"/>
      <w:numFmt w:val="decimal"/>
      <w:pStyle w:val="NumberedList-Level1"/>
      <w:lvlText w:val="%1."/>
      <w:lvlJc w:val="left"/>
      <w:pPr>
        <w:ind w:left="567"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25884965">
    <w:abstractNumId w:val="11"/>
  </w:num>
  <w:num w:numId="2" w16cid:durableId="404568253">
    <w:abstractNumId w:val="9"/>
  </w:num>
  <w:num w:numId="3" w16cid:durableId="504319927">
    <w:abstractNumId w:val="7"/>
  </w:num>
  <w:num w:numId="4" w16cid:durableId="302465916">
    <w:abstractNumId w:val="6"/>
  </w:num>
  <w:num w:numId="5" w16cid:durableId="1197698854">
    <w:abstractNumId w:val="5"/>
  </w:num>
  <w:num w:numId="6" w16cid:durableId="680863680">
    <w:abstractNumId w:val="4"/>
  </w:num>
  <w:num w:numId="7" w16cid:durableId="255748006">
    <w:abstractNumId w:val="8"/>
  </w:num>
  <w:num w:numId="8" w16cid:durableId="1137651052">
    <w:abstractNumId w:val="3"/>
  </w:num>
  <w:num w:numId="9" w16cid:durableId="96338727">
    <w:abstractNumId w:val="2"/>
  </w:num>
  <w:num w:numId="10" w16cid:durableId="372266075">
    <w:abstractNumId w:val="1"/>
  </w:num>
  <w:num w:numId="11" w16cid:durableId="888490440">
    <w:abstractNumId w:val="0"/>
  </w:num>
  <w:num w:numId="12" w16cid:durableId="1815296940">
    <w:abstractNumId w:val="10"/>
  </w:num>
  <w:num w:numId="13" w16cid:durableId="1560096658">
    <w:abstractNumId w:val="29"/>
  </w:num>
  <w:num w:numId="14" w16cid:durableId="219633512">
    <w:abstractNumId w:val="20"/>
  </w:num>
  <w:num w:numId="15" w16cid:durableId="590897300">
    <w:abstractNumId w:val="20"/>
    <w:lvlOverride w:ilvl="0">
      <w:startOverride w:val="1"/>
    </w:lvlOverride>
  </w:num>
  <w:num w:numId="16" w16cid:durableId="534200502">
    <w:abstractNumId w:val="20"/>
    <w:lvlOverride w:ilvl="0">
      <w:startOverride w:val="1"/>
    </w:lvlOverride>
  </w:num>
  <w:num w:numId="17" w16cid:durableId="2023972854">
    <w:abstractNumId w:val="20"/>
    <w:lvlOverride w:ilvl="0">
      <w:startOverride w:val="1"/>
    </w:lvlOverride>
  </w:num>
  <w:num w:numId="18" w16cid:durableId="564725321">
    <w:abstractNumId w:val="20"/>
    <w:lvlOverride w:ilvl="0">
      <w:startOverride w:val="1"/>
    </w:lvlOverride>
  </w:num>
  <w:num w:numId="19" w16cid:durableId="224335938">
    <w:abstractNumId w:val="26"/>
  </w:num>
  <w:num w:numId="20" w16cid:durableId="1190410526">
    <w:abstractNumId w:val="26"/>
    <w:lvlOverride w:ilvl="0">
      <w:startOverride w:val="1"/>
    </w:lvlOverride>
  </w:num>
  <w:num w:numId="21" w16cid:durableId="1408385144">
    <w:abstractNumId w:val="30"/>
  </w:num>
  <w:num w:numId="22" w16cid:durableId="1652633785">
    <w:abstractNumId w:val="28"/>
  </w:num>
  <w:num w:numId="23" w16cid:durableId="1863855379">
    <w:abstractNumId w:val="11"/>
    <w:lvlOverride w:ilvl="0">
      <w:startOverride w:val="1"/>
    </w:lvlOverride>
  </w:num>
  <w:num w:numId="24" w16cid:durableId="1004935679">
    <w:abstractNumId w:val="30"/>
    <w:lvlOverride w:ilvl="0">
      <w:startOverride w:val="1"/>
    </w:lvlOverride>
  </w:num>
  <w:num w:numId="25" w16cid:durableId="556090353">
    <w:abstractNumId w:val="28"/>
    <w:lvlOverride w:ilvl="0">
      <w:startOverride w:val="1"/>
    </w:lvlOverride>
  </w:num>
  <w:num w:numId="26" w16cid:durableId="1451320037">
    <w:abstractNumId w:val="28"/>
    <w:lvlOverride w:ilvl="0">
      <w:startOverride w:val="1"/>
    </w:lvlOverride>
  </w:num>
  <w:num w:numId="27" w16cid:durableId="343560202">
    <w:abstractNumId w:val="16"/>
  </w:num>
  <w:num w:numId="28" w16cid:durableId="183137696">
    <w:abstractNumId w:val="24"/>
  </w:num>
  <w:num w:numId="29" w16cid:durableId="1159925919">
    <w:abstractNumId w:val="14"/>
  </w:num>
  <w:num w:numId="30" w16cid:durableId="506991561">
    <w:abstractNumId w:val="17"/>
  </w:num>
  <w:num w:numId="31" w16cid:durableId="762264085">
    <w:abstractNumId w:val="12"/>
  </w:num>
  <w:num w:numId="32" w16cid:durableId="1275554476">
    <w:abstractNumId w:val="30"/>
    <w:lvlOverride w:ilvl="0">
      <w:startOverride w:val="1"/>
    </w:lvlOverride>
  </w:num>
  <w:num w:numId="33" w16cid:durableId="22633587">
    <w:abstractNumId w:val="30"/>
    <w:lvlOverride w:ilvl="0">
      <w:startOverride w:val="1"/>
    </w:lvlOverride>
  </w:num>
  <w:num w:numId="34" w16cid:durableId="1153646539">
    <w:abstractNumId w:val="30"/>
    <w:lvlOverride w:ilvl="0">
      <w:startOverride w:val="1"/>
    </w:lvlOverride>
  </w:num>
  <w:num w:numId="35" w16cid:durableId="162401463">
    <w:abstractNumId w:val="29"/>
    <w:lvlOverride w:ilvl="0">
      <w:startOverride w:val="1"/>
    </w:lvlOverride>
  </w:num>
  <w:num w:numId="36" w16cid:durableId="450367212">
    <w:abstractNumId w:val="29"/>
    <w:lvlOverride w:ilvl="0">
      <w:startOverride w:val="1"/>
    </w:lvlOverride>
  </w:num>
  <w:num w:numId="37" w16cid:durableId="1187674628">
    <w:abstractNumId w:val="29"/>
    <w:lvlOverride w:ilvl="0">
      <w:startOverride w:val="1"/>
    </w:lvlOverride>
  </w:num>
  <w:num w:numId="38" w16cid:durableId="246689910">
    <w:abstractNumId w:val="27"/>
  </w:num>
  <w:num w:numId="39" w16cid:durableId="1755778916">
    <w:abstractNumId w:val="19"/>
  </w:num>
  <w:num w:numId="40" w16cid:durableId="307176929">
    <w:abstractNumId w:val="22"/>
  </w:num>
  <w:num w:numId="41" w16cid:durableId="1992178195">
    <w:abstractNumId w:val="18"/>
  </w:num>
  <w:num w:numId="42" w16cid:durableId="513883950">
    <w:abstractNumId w:val="13"/>
  </w:num>
  <w:num w:numId="43" w16cid:durableId="1512602126">
    <w:abstractNumId w:val="23"/>
  </w:num>
  <w:num w:numId="44" w16cid:durableId="1618760226">
    <w:abstractNumId w:val="15"/>
  </w:num>
  <w:num w:numId="45" w16cid:durableId="1468162276">
    <w:abstractNumId w:val="21"/>
  </w:num>
  <w:num w:numId="46" w16cid:durableId="7017892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activeWritingStyle w:appName="MSWord" w:lang="en-US"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83"/>
    <w:rsid w:val="00000F8D"/>
    <w:rsid w:val="0000223B"/>
    <w:rsid w:val="00004752"/>
    <w:rsid w:val="000053AE"/>
    <w:rsid w:val="000102CD"/>
    <w:rsid w:val="000109F5"/>
    <w:rsid w:val="00013046"/>
    <w:rsid w:val="00013113"/>
    <w:rsid w:val="00015101"/>
    <w:rsid w:val="000203E9"/>
    <w:rsid w:val="00027038"/>
    <w:rsid w:val="0003154E"/>
    <w:rsid w:val="00031C3A"/>
    <w:rsid w:val="000328DF"/>
    <w:rsid w:val="00035132"/>
    <w:rsid w:val="00035963"/>
    <w:rsid w:val="00036162"/>
    <w:rsid w:val="00036586"/>
    <w:rsid w:val="000371BC"/>
    <w:rsid w:val="00037513"/>
    <w:rsid w:val="0004246F"/>
    <w:rsid w:val="00042916"/>
    <w:rsid w:val="000435BE"/>
    <w:rsid w:val="00050E9A"/>
    <w:rsid w:val="0005170F"/>
    <w:rsid w:val="00052C5C"/>
    <w:rsid w:val="00053FAC"/>
    <w:rsid w:val="0005464A"/>
    <w:rsid w:val="000558ED"/>
    <w:rsid w:val="00057763"/>
    <w:rsid w:val="00060657"/>
    <w:rsid w:val="0006627F"/>
    <w:rsid w:val="00066A02"/>
    <w:rsid w:val="00067B2F"/>
    <w:rsid w:val="00067D86"/>
    <w:rsid w:val="00071672"/>
    <w:rsid w:val="0007179E"/>
    <w:rsid w:val="000720E0"/>
    <w:rsid w:val="000721A1"/>
    <w:rsid w:val="00073ACD"/>
    <w:rsid w:val="000758E3"/>
    <w:rsid w:val="00076A76"/>
    <w:rsid w:val="00077EAC"/>
    <w:rsid w:val="000847E0"/>
    <w:rsid w:val="00086DF0"/>
    <w:rsid w:val="000B02F4"/>
    <w:rsid w:val="000B2164"/>
    <w:rsid w:val="000B3417"/>
    <w:rsid w:val="000B3CE2"/>
    <w:rsid w:val="000B574C"/>
    <w:rsid w:val="000B6A28"/>
    <w:rsid w:val="000B6AD3"/>
    <w:rsid w:val="000C1263"/>
    <w:rsid w:val="000C1CC7"/>
    <w:rsid w:val="000C38FF"/>
    <w:rsid w:val="000C3F02"/>
    <w:rsid w:val="000C669B"/>
    <w:rsid w:val="000D1CE6"/>
    <w:rsid w:val="000D1ED4"/>
    <w:rsid w:val="000D4815"/>
    <w:rsid w:val="000D663F"/>
    <w:rsid w:val="000D749D"/>
    <w:rsid w:val="000E0A07"/>
    <w:rsid w:val="000E0E7A"/>
    <w:rsid w:val="000E164D"/>
    <w:rsid w:val="000E1A86"/>
    <w:rsid w:val="000E23AC"/>
    <w:rsid w:val="000E27BD"/>
    <w:rsid w:val="000E2D4B"/>
    <w:rsid w:val="000E5B4B"/>
    <w:rsid w:val="000E6277"/>
    <w:rsid w:val="000E6ACD"/>
    <w:rsid w:val="000F71D3"/>
    <w:rsid w:val="00101162"/>
    <w:rsid w:val="00102776"/>
    <w:rsid w:val="00103582"/>
    <w:rsid w:val="00111114"/>
    <w:rsid w:val="00113D72"/>
    <w:rsid w:val="0011472E"/>
    <w:rsid w:val="00115264"/>
    <w:rsid w:val="00117A77"/>
    <w:rsid w:val="0012044B"/>
    <w:rsid w:val="001207A0"/>
    <w:rsid w:val="001211C8"/>
    <w:rsid w:val="00122BA1"/>
    <w:rsid w:val="001255AA"/>
    <w:rsid w:val="0012632D"/>
    <w:rsid w:val="0013099A"/>
    <w:rsid w:val="001312FF"/>
    <w:rsid w:val="001365DA"/>
    <w:rsid w:val="001436DE"/>
    <w:rsid w:val="00143D3C"/>
    <w:rsid w:val="00143FFA"/>
    <w:rsid w:val="00144773"/>
    <w:rsid w:val="001462F3"/>
    <w:rsid w:val="00153462"/>
    <w:rsid w:val="00155555"/>
    <w:rsid w:val="001566AA"/>
    <w:rsid w:val="0015676F"/>
    <w:rsid w:val="00160787"/>
    <w:rsid w:val="001611BF"/>
    <w:rsid w:val="00164AD7"/>
    <w:rsid w:val="00164D56"/>
    <w:rsid w:val="00165927"/>
    <w:rsid w:val="0017057D"/>
    <w:rsid w:val="001707DB"/>
    <w:rsid w:val="0017090D"/>
    <w:rsid w:val="00172BE8"/>
    <w:rsid w:val="00173C03"/>
    <w:rsid w:val="00173C4D"/>
    <w:rsid w:val="0017436A"/>
    <w:rsid w:val="00176C32"/>
    <w:rsid w:val="00177C1F"/>
    <w:rsid w:val="00177CB2"/>
    <w:rsid w:val="00182858"/>
    <w:rsid w:val="001860AA"/>
    <w:rsid w:val="00187C34"/>
    <w:rsid w:val="00190395"/>
    <w:rsid w:val="00192A9F"/>
    <w:rsid w:val="00193A2C"/>
    <w:rsid w:val="00193D09"/>
    <w:rsid w:val="001954B4"/>
    <w:rsid w:val="001A2BE2"/>
    <w:rsid w:val="001A34FD"/>
    <w:rsid w:val="001A3BE8"/>
    <w:rsid w:val="001A5542"/>
    <w:rsid w:val="001A710E"/>
    <w:rsid w:val="001B19EA"/>
    <w:rsid w:val="001B2C89"/>
    <w:rsid w:val="001B2D56"/>
    <w:rsid w:val="001B37AF"/>
    <w:rsid w:val="001B38AB"/>
    <w:rsid w:val="001B3CF6"/>
    <w:rsid w:val="001B41E4"/>
    <w:rsid w:val="001B5581"/>
    <w:rsid w:val="001B6C15"/>
    <w:rsid w:val="001B73E2"/>
    <w:rsid w:val="001B7E79"/>
    <w:rsid w:val="001C0480"/>
    <w:rsid w:val="001C5C82"/>
    <w:rsid w:val="001C710A"/>
    <w:rsid w:val="001C7E52"/>
    <w:rsid w:val="001D7F4D"/>
    <w:rsid w:val="001E35CF"/>
    <w:rsid w:val="001E3986"/>
    <w:rsid w:val="001E4C3F"/>
    <w:rsid w:val="001E50B0"/>
    <w:rsid w:val="001E5B70"/>
    <w:rsid w:val="001E7BEB"/>
    <w:rsid w:val="001F0B08"/>
    <w:rsid w:val="001F5408"/>
    <w:rsid w:val="001F6307"/>
    <w:rsid w:val="001F66E6"/>
    <w:rsid w:val="00204679"/>
    <w:rsid w:val="002101F5"/>
    <w:rsid w:val="0021173F"/>
    <w:rsid w:val="00212015"/>
    <w:rsid w:val="00212443"/>
    <w:rsid w:val="00212D7B"/>
    <w:rsid w:val="002165A7"/>
    <w:rsid w:val="00217A6F"/>
    <w:rsid w:val="00220DDA"/>
    <w:rsid w:val="0022189B"/>
    <w:rsid w:val="00221A32"/>
    <w:rsid w:val="00222F46"/>
    <w:rsid w:val="00223B48"/>
    <w:rsid w:val="00227722"/>
    <w:rsid w:val="00227DB5"/>
    <w:rsid w:val="002301E4"/>
    <w:rsid w:val="002304B4"/>
    <w:rsid w:val="00230F79"/>
    <w:rsid w:val="002310BC"/>
    <w:rsid w:val="00231604"/>
    <w:rsid w:val="0023226B"/>
    <w:rsid w:val="00232710"/>
    <w:rsid w:val="00232964"/>
    <w:rsid w:val="00233F66"/>
    <w:rsid w:val="0023417F"/>
    <w:rsid w:val="002356F8"/>
    <w:rsid w:val="00235FBE"/>
    <w:rsid w:val="00236BC1"/>
    <w:rsid w:val="00236F1E"/>
    <w:rsid w:val="002418F0"/>
    <w:rsid w:val="002420B0"/>
    <w:rsid w:val="00242DB4"/>
    <w:rsid w:val="002430F0"/>
    <w:rsid w:val="0024413C"/>
    <w:rsid w:val="00245E38"/>
    <w:rsid w:val="0025074F"/>
    <w:rsid w:val="00253613"/>
    <w:rsid w:val="00253AA7"/>
    <w:rsid w:val="00254182"/>
    <w:rsid w:val="002567A5"/>
    <w:rsid w:val="00257AE7"/>
    <w:rsid w:val="0026634E"/>
    <w:rsid w:val="0026648E"/>
    <w:rsid w:val="0026688F"/>
    <w:rsid w:val="00266CCC"/>
    <w:rsid w:val="002702C6"/>
    <w:rsid w:val="0027323D"/>
    <w:rsid w:val="00274D42"/>
    <w:rsid w:val="0028071E"/>
    <w:rsid w:val="00280739"/>
    <w:rsid w:val="00280FFB"/>
    <w:rsid w:val="002812C7"/>
    <w:rsid w:val="00281445"/>
    <w:rsid w:val="0028266A"/>
    <w:rsid w:val="00282DDF"/>
    <w:rsid w:val="002831EF"/>
    <w:rsid w:val="00283C22"/>
    <w:rsid w:val="00285CAF"/>
    <w:rsid w:val="00292DD3"/>
    <w:rsid w:val="0029485D"/>
    <w:rsid w:val="00294D7C"/>
    <w:rsid w:val="0029705F"/>
    <w:rsid w:val="002A28A8"/>
    <w:rsid w:val="002A4866"/>
    <w:rsid w:val="002A590B"/>
    <w:rsid w:val="002B10DA"/>
    <w:rsid w:val="002B11C2"/>
    <w:rsid w:val="002B14E6"/>
    <w:rsid w:val="002B3104"/>
    <w:rsid w:val="002B4950"/>
    <w:rsid w:val="002B5716"/>
    <w:rsid w:val="002B6331"/>
    <w:rsid w:val="002B661A"/>
    <w:rsid w:val="002C0DB6"/>
    <w:rsid w:val="002C1514"/>
    <w:rsid w:val="002C31A2"/>
    <w:rsid w:val="002C35B3"/>
    <w:rsid w:val="002C46CA"/>
    <w:rsid w:val="002C6258"/>
    <w:rsid w:val="002C6D40"/>
    <w:rsid w:val="002C7A05"/>
    <w:rsid w:val="002D20FA"/>
    <w:rsid w:val="002D25B3"/>
    <w:rsid w:val="002D26F3"/>
    <w:rsid w:val="002D2AC1"/>
    <w:rsid w:val="002D55FD"/>
    <w:rsid w:val="002D664B"/>
    <w:rsid w:val="002D6B3D"/>
    <w:rsid w:val="002E1968"/>
    <w:rsid w:val="002E1BA8"/>
    <w:rsid w:val="002E272D"/>
    <w:rsid w:val="002E2998"/>
    <w:rsid w:val="002E4037"/>
    <w:rsid w:val="002E5916"/>
    <w:rsid w:val="002E59F4"/>
    <w:rsid w:val="002E6743"/>
    <w:rsid w:val="002E7B19"/>
    <w:rsid w:val="002F3571"/>
    <w:rsid w:val="002F3877"/>
    <w:rsid w:val="002F3CB5"/>
    <w:rsid w:val="002F6B99"/>
    <w:rsid w:val="00301396"/>
    <w:rsid w:val="003030E1"/>
    <w:rsid w:val="0030332C"/>
    <w:rsid w:val="00303C55"/>
    <w:rsid w:val="0030461B"/>
    <w:rsid w:val="00305E47"/>
    <w:rsid w:val="00307465"/>
    <w:rsid w:val="00310DC5"/>
    <w:rsid w:val="00311C2D"/>
    <w:rsid w:val="0031310C"/>
    <w:rsid w:val="00316303"/>
    <w:rsid w:val="00316AE0"/>
    <w:rsid w:val="00317030"/>
    <w:rsid w:val="00321618"/>
    <w:rsid w:val="00321E70"/>
    <w:rsid w:val="003300C8"/>
    <w:rsid w:val="00334BAE"/>
    <w:rsid w:val="003350A4"/>
    <w:rsid w:val="00341108"/>
    <w:rsid w:val="00342C74"/>
    <w:rsid w:val="003447D5"/>
    <w:rsid w:val="00346001"/>
    <w:rsid w:val="00347B48"/>
    <w:rsid w:val="00350479"/>
    <w:rsid w:val="00352B3D"/>
    <w:rsid w:val="003539E9"/>
    <w:rsid w:val="00353E5E"/>
    <w:rsid w:val="003601CE"/>
    <w:rsid w:val="00361020"/>
    <w:rsid w:val="00361AED"/>
    <w:rsid w:val="00362D49"/>
    <w:rsid w:val="00363D31"/>
    <w:rsid w:val="00364C0D"/>
    <w:rsid w:val="00364D89"/>
    <w:rsid w:val="0036638C"/>
    <w:rsid w:val="003739A0"/>
    <w:rsid w:val="00373D4E"/>
    <w:rsid w:val="00374D2A"/>
    <w:rsid w:val="0037686B"/>
    <w:rsid w:val="00376FE6"/>
    <w:rsid w:val="003805AF"/>
    <w:rsid w:val="003807DC"/>
    <w:rsid w:val="0038465F"/>
    <w:rsid w:val="0038501A"/>
    <w:rsid w:val="00385BD5"/>
    <w:rsid w:val="003863D0"/>
    <w:rsid w:val="0038686D"/>
    <w:rsid w:val="0038699C"/>
    <w:rsid w:val="00387215"/>
    <w:rsid w:val="00390F8D"/>
    <w:rsid w:val="0039118C"/>
    <w:rsid w:val="003915C8"/>
    <w:rsid w:val="00391D57"/>
    <w:rsid w:val="00392101"/>
    <w:rsid w:val="00397435"/>
    <w:rsid w:val="003A6184"/>
    <w:rsid w:val="003A7EFA"/>
    <w:rsid w:val="003B3C20"/>
    <w:rsid w:val="003B4179"/>
    <w:rsid w:val="003C181D"/>
    <w:rsid w:val="003C346E"/>
    <w:rsid w:val="003C34CF"/>
    <w:rsid w:val="003C6606"/>
    <w:rsid w:val="003C70DE"/>
    <w:rsid w:val="003C70E1"/>
    <w:rsid w:val="003D0F48"/>
    <w:rsid w:val="003D1497"/>
    <w:rsid w:val="003D1E40"/>
    <w:rsid w:val="003D2EA4"/>
    <w:rsid w:val="003D551C"/>
    <w:rsid w:val="003D57F6"/>
    <w:rsid w:val="003D5DFA"/>
    <w:rsid w:val="003D6446"/>
    <w:rsid w:val="003D676D"/>
    <w:rsid w:val="003D71A0"/>
    <w:rsid w:val="003E13B0"/>
    <w:rsid w:val="003E13E1"/>
    <w:rsid w:val="003E40C8"/>
    <w:rsid w:val="003E418C"/>
    <w:rsid w:val="003E44BB"/>
    <w:rsid w:val="003E4572"/>
    <w:rsid w:val="003E463B"/>
    <w:rsid w:val="003E7012"/>
    <w:rsid w:val="003F0796"/>
    <w:rsid w:val="003F23E9"/>
    <w:rsid w:val="003F3C01"/>
    <w:rsid w:val="00401A0F"/>
    <w:rsid w:val="00401A99"/>
    <w:rsid w:val="0040218D"/>
    <w:rsid w:val="00404E1F"/>
    <w:rsid w:val="004103B6"/>
    <w:rsid w:val="004139B9"/>
    <w:rsid w:val="00413CEE"/>
    <w:rsid w:val="004164CD"/>
    <w:rsid w:val="004167FD"/>
    <w:rsid w:val="0041795D"/>
    <w:rsid w:val="00417DF4"/>
    <w:rsid w:val="004263C4"/>
    <w:rsid w:val="0043039F"/>
    <w:rsid w:val="00431404"/>
    <w:rsid w:val="00433477"/>
    <w:rsid w:val="004335DE"/>
    <w:rsid w:val="00433BE4"/>
    <w:rsid w:val="00435DEC"/>
    <w:rsid w:val="004370D4"/>
    <w:rsid w:val="00440032"/>
    <w:rsid w:val="0044152F"/>
    <w:rsid w:val="00441795"/>
    <w:rsid w:val="00441CD6"/>
    <w:rsid w:val="00441D6F"/>
    <w:rsid w:val="00441E9D"/>
    <w:rsid w:val="004425C1"/>
    <w:rsid w:val="004434B2"/>
    <w:rsid w:val="00443F97"/>
    <w:rsid w:val="00444814"/>
    <w:rsid w:val="0044525C"/>
    <w:rsid w:val="00445C09"/>
    <w:rsid w:val="004460CD"/>
    <w:rsid w:val="00447B78"/>
    <w:rsid w:val="0045324F"/>
    <w:rsid w:val="00454D97"/>
    <w:rsid w:val="00455AD9"/>
    <w:rsid w:val="00461999"/>
    <w:rsid w:val="00464D89"/>
    <w:rsid w:val="004710C2"/>
    <w:rsid w:val="004721D4"/>
    <w:rsid w:val="00473172"/>
    <w:rsid w:val="00473D43"/>
    <w:rsid w:val="004809E6"/>
    <w:rsid w:val="0048667A"/>
    <w:rsid w:val="004869BC"/>
    <w:rsid w:val="004878D3"/>
    <w:rsid w:val="00490B90"/>
    <w:rsid w:val="004958F2"/>
    <w:rsid w:val="00496211"/>
    <w:rsid w:val="00496448"/>
    <w:rsid w:val="00496B74"/>
    <w:rsid w:val="004978AD"/>
    <w:rsid w:val="00497F2D"/>
    <w:rsid w:val="004A1401"/>
    <w:rsid w:val="004A3AE0"/>
    <w:rsid w:val="004A4EC7"/>
    <w:rsid w:val="004B2C90"/>
    <w:rsid w:val="004B4297"/>
    <w:rsid w:val="004B4AEC"/>
    <w:rsid w:val="004B798D"/>
    <w:rsid w:val="004B7C9B"/>
    <w:rsid w:val="004C0F3E"/>
    <w:rsid w:val="004C17DE"/>
    <w:rsid w:val="004C1898"/>
    <w:rsid w:val="004C3B58"/>
    <w:rsid w:val="004C4418"/>
    <w:rsid w:val="004C6BB9"/>
    <w:rsid w:val="004D2DD0"/>
    <w:rsid w:val="004D3335"/>
    <w:rsid w:val="004D6D28"/>
    <w:rsid w:val="004E0C63"/>
    <w:rsid w:val="004E1D44"/>
    <w:rsid w:val="004E73B5"/>
    <w:rsid w:val="004E7CDE"/>
    <w:rsid w:val="004F11FD"/>
    <w:rsid w:val="004F1281"/>
    <w:rsid w:val="004F13DF"/>
    <w:rsid w:val="004F163D"/>
    <w:rsid w:val="004F3F80"/>
    <w:rsid w:val="004F4BCA"/>
    <w:rsid w:val="004F4C4F"/>
    <w:rsid w:val="004F4D77"/>
    <w:rsid w:val="004F5136"/>
    <w:rsid w:val="00501768"/>
    <w:rsid w:val="00502AA4"/>
    <w:rsid w:val="0050521F"/>
    <w:rsid w:val="005122D0"/>
    <w:rsid w:val="00514B2E"/>
    <w:rsid w:val="00514DC5"/>
    <w:rsid w:val="005162EA"/>
    <w:rsid w:val="00517C70"/>
    <w:rsid w:val="00519656"/>
    <w:rsid w:val="005202BA"/>
    <w:rsid w:val="005204EB"/>
    <w:rsid w:val="00521EDC"/>
    <w:rsid w:val="005226B9"/>
    <w:rsid w:val="00522D9C"/>
    <w:rsid w:val="00522FD1"/>
    <w:rsid w:val="00526425"/>
    <w:rsid w:val="0052757F"/>
    <w:rsid w:val="00527E61"/>
    <w:rsid w:val="00530837"/>
    <w:rsid w:val="00530887"/>
    <w:rsid w:val="00530EF8"/>
    <w:rsid w:val="005330DC"/>
    <w:rsid w:val="005338AE"/>
    <w:rsid w:val="00533C80"/>
    <w:rsid w:val="00534A91"/>
    <w:rsid w:val="00535D78"/>
    <w:rsid w:val="00541ACB"/>
    <w:rsid w:val="00542ECD"/>
    <w:rsid w:val="00543C86"/>
    <w:rsid w:val="005478FE"/>
    <w:rsid w:val="00547D2D"/>
    <w:rsid w:val="00550463"/>
    <w:rsid w:val="005504D8"/>
    <w:rsid w:val="00551A83"/>
    <w:rsid w:val="005551D9"/>
    <w:rsid w:val="00556010"/>
    <w:rsid w:val="00556362"/>
    <w:rsid w:val="00556CB1"/>
    <w:rsid w:val="00560FCA"/>
    <w:rsid w:val="00561D39"/>
    <w:rsid w:val="00561FB9"/>
    <w:rsid w:val="0056209C"/>
    <w:rsid w:val="00563000"/>
    <w:rsid w:val="00563C5E"/>
    <w:rsid w:val="005647ED"/>
    <w:rsid w:val="00564844"/>
    <w:rsid w:val="00564D92"/>
    <w:rsid w:val="00571466"/>
    <w:rsid w:val="0057224F"/>
    <w:rsid w:val="005722D3"/>
    <w:rsid w:val="00574FD7"/>
    <w:rsid w:val="005755D6"/>
    <w:rsid w:val="00576572"/>
    <w:rsid w:val="0058030E"/>
    <w:rsid w:val="005806FD"/>
    <w:rsid w:val="00580713"/>
    <w:rsid w:val="005818AA"/>
    <w:rsid w:val="00581B44"/>
    <w:rsid w:val="005828EA"/>
    <w:rsid w:val="00584C18"/>
    <w:rsid w:val="00584D63"/>
    <w:rsid w:val="00591288"/>
    <w:rsid w:val="005917FD"/>
    <w:rsid w:val="00592B58"/>
    <w:rsid w:val="0059378E"/>
    <w:rsid w:val="0059541A"/>
    <w:rsid w:val="0059758F"/>
    <w:rsid w:val="005A1CED"/>
    <w:rsid w:val="005A308C"/>
    <w:rsid w:val="005A3632"/>
    <w:rsid w:val="005A3E68"/>
    <w:rsid w:val="005A4854"/>
    <w:rsid w:val="005A4AA1"/>
    <w:rsid w:val="005A699D"/>
    <w:rsid w:val="005A6E03"/>
    <w:rsid w:val="005B10CB"/>
    <w:rsid w:val="005B3358"/>
    <w:rsid w:val="005B7CEC"/>
    <w:rsid w:val="005C0043"/>
    <w:rsid w:val="005C0F15"/>
    <w:rsid w:val="005C32EF"/>
    <w:rsid w:val="005C3C13"/>
    <w:rsid w:val="005C5408"/>
    <w:rsid w:val="005C584A"/>
    <w:rsid w:val="005C62CB"/>
    <w:rsid w:val="005D00E4"/>
    <w:rsid w:val="005D0381"/>
    <w:rsid w:val="005D0B6A"/>
    <w:rsid w:val="005D4706"/>
    <w:rsid w:val="005D5D7F"/>
    <w:rsid w:val="005D5F5E"/>
    <w:rsid w:val="005D6780"/>
    <w:rsid w:val="005D7618"/>
    <w:rsid w:val="005D7C45"/>
    <w:rsid w:val="005D7D0F"/>
    <w:rsid w:val="005E05EC"/>
    <w:rsid w:val="005E0FAA"/>
    <w:rsid w:val="005E3199"/>
    <w:rsid w:val="005E3226"/>
    <w:rsid w:val="005E32DB"/>
    <w:rsid w:val="005E52F7"/>
    <w:rsid w:val="005F1AB8"/>
    <w:rsid w:val="005F3B45"/>
    <w:rsid w:val="005F66F9"/>
    <w:rsid w:val="00601A7B"/>
    <w:rsid w:val="00603ED9"/>
    <w:rsid w:val="00603F00"/>
    <w:rsid w:val="00604A02"/>
    <w:rsid w:val="00604F35"/>
    <w:rsid w:val="00606CF1"/>
    <w:rsid w:val="006134C4"/>
    <w:rsid w:val="00613F08"/>
    <w:rsid w:val="006147EB"/>
    <w:rsid w:val="006147EE"/>
    <w:rsid w:val="00615B58"/>
    <w:rsid w:val="00616B9C"/>
    <w:rsid w:val="006177BC"/>
    <w:rsid w:val="00617FAB"/>
    <w:rsid w:val="006200EB"/>
    <w:rsid w:val="00621EA3"/>
    <w:rsid w:val="0062272D"/>
    <w:rsid w:val="00622C7C"/>
    <w:rsid w:val="00623876"/>
    <w:rsid w:val="00623F04"/>
    <w:rsid w:val="006252FE"/>
    <w:rsid w:val="006266EA"/>
    <w:rsid w:val="00630B03"/>
    <w:rsid w:val="00631ED5"/>
    <w:rsid w:val="00631F45"/>
    <w:rsid w:val="00632123"/>
    <w:rsid w:val="006329E1"/>
    <w:rsid w:val="00640234"/>
    <w:rsid w:val="006409B2"/>
    <w:rsid w:val="00641969"/>
    <w:rsid w:val="00641D4A"/>
    <w:rsid w:val="00642D6A"/>
    <w:rsid w:val="0064343A"/>
    <w:rsid w:val="006458F6"/>
    <w:rsid w:val="00647750"/>
    <w:rsid w:val="00647F1D"/>
    <w:rsid w:val="00653832"/>
    <w:rsid w:val="00660BC5"/>
    <w:rsid w:val="00663FF0"/>
    <w:rsid w:val="00665FB6"/>
    <w:rsid w:val="00667DBC"/>
    <w:rsid w:val="0067171A"/>
    <w:rsid w:val="00676313"/>
    <w:rsid w:val="006766E8"/>
    <w:rsid w:val="00680138"/>
    <w:rsid w:val="0068119C"/>
    <w:rsid w:val="00681DFA"/>
    <w:rsid w:val="00683023"/>
    <w:rsid w:val="006909FE"/>
    <w:rsid w:val="006915AA"/>
    <w:rsid w:val="00692BB2"/>
    <w:rsid w:val="00692EEB"/>
    <w:rsid w:val="006945A3"/>
    <w:rsid w:val="00695CB5"/>
    <w:rsid w:val="006A008F"/>
    <w:rsid w:val="006A212B"/>
    <w:rsid w:val="006A5AA6"/>
    <w:rsid w:val="006B0D1B"/>
    <w:rsid w:val="006B1020"/>
    <w:rsid w:val="006B14BF"/>
    <w:rsid w:val="006B1760"/>
    <w:rsid w:val="006B1954"/>
    <w:rsid w:val="006B1F84"/>
    <w:rsid w:val="006B2E1A"/>
    <w:rsid w:val="006B3603"/>
    <w:rsid w:val="006B3835"/>
    <w:rsid w:val="006B48E5"/>
    <w:rsid w:val="006B554B"/>
    <w:rsid w:val="006B6B21"/>
    <w:rsid w:val="006C2C5A"/>
    <w:rsid w:val="006C48BB"/>
    <w:rsid w:val="006C5734"/>
    <w:rsid w:val="006C5DF4"/>
    <w:rsid w:val="006C62B2"/>
    <w:rsid w:val="006C715C"/>
    <w:rsid w:val="006C7687"/>
    <w:rsid w:val="006C7E16"/>
    <w:rsid w:val="006D0ACF"/>
    <w:rsid w:val="006D1D5E"/>
    <w:rsid w:val="006D1E01"/>
    <w:rsid w:val="006D2B80"/>
    <w:rsid w:val="006D32CB"/>
    <w:rsid w:val="006D4826"/>
    <w:rsid w:val="006E03DE"/>
    <w:rsid w:val="006E0615"/>
    <w:rsid w:val="006E170D"/>
    <w:rsid w:val="006E2D1F"/>
    <w:rsid w:val="006E4D49"/>
    <w:rsid w:val="006E698B"/>
    <w:rsid w:val="006E7396"/>
    <w:rsid w:val="006E7551"/>
    <w:rsid w:val="006F5BF8"/>
    <w:rsid w:val="006F731F"/>
    <w:rsid w:val="006F7EFE"/>
    <w:rsid w:val="00702CBD"/>
    <w:rsid w:val="00702E8C"/>
    <w:rsid w:val="007049A9"/>
    <w:rsid w:val="00710042"/>
    <w:rsid w:val="007114AC"/>
    <w:rsid w:val="007132E9"/>
    <w:rsid w:val="007151E9"/>
    <w:rsid w:val="0071548B"/>
    <w:rsid w:val="00715C1F"/>
    <w:rsid w:val="0071783B"/>
    <w:rsid w:val="00720046"/>
    <w:rsid w:val="007203C8"/>
    <w:rsid w:val="007203E4"/>
    <w:rsid w:val="007204A9"/>
    <w:rsid w:val="00722977"/>
    <w:rsid w:val="00722D12"/>
    <w:rsid w:val="007240CA"/>
    <w:rsid w:val="0072497F"/>
    <w:rsid w:val="00732081"/>
    <w:rsid w:val="007330BF"/>
    <w:rsid w:val="00743B31"/>
    <w:rsid w:val="0074565F"/>
    <w:rsid w:val="00745863"/>
    <w:rsid w:val="007461F3"/>
    <w:rsid w:val="00746320"/>
    <w:rsid w:val="0075061A"/>
    <w:rsid w:val="00750952"/>
    <w:rsid w:val="00752316"/>
    <w:rsid w:val="00756929"/>
    <w:rsid w:val="00757424"/>
    <w:rsid w:val="00761953"/>
    <w:rsid w:val="00765B33"/>
    <w:rsid w:val="00767DBB"/>
    <w:rsid w:val="00770911"/>
    <w:rsid w:val="00771BF9"/>
    <w:rsid w:val="0077206D"/>
    <w:rsid w:val="00774646"/>
    <w:rsid w:val="00775A7D"/>
    <w:rsid w:val="00776D82"/>
    <w:rsid w:val="0077711F"/>
    <w:rsid w:val="00777DE5"/>
    <w:rsid w:val="00781695"/>
    <w:rsid w:val="007820F5"/>
    <w:rsid w:val="0078339D"/>
    <w:rsid w:val="00783686"/>
    <w:rsid w:val="007837FE"/>
    <w:rsid w:val="00784DA0"/>
    <w:rsid w:val="007871C5"/>
    <w:rsid w:val="00787CD8"/>
    <w:rsid w:val="00790AB9"/>
    <w:rsid w:val="00792DE9"/>
    <w:rsid w:val="00793856"/>
    <w:rsid w:val="00795D23"/>
    <w:rsid w:val="007971E4"/>
    <w:rsid w:val="007A004E"/>
    <w:rsid w:val="007A02A7"/>
    <w:rsid w:val="007A0FF7"/>
    <w:rsid w:val="007A1671"/>
    <w:rsid w:val="007A1EEB"/>
    <w:rsid w:val="007A4CF6"/>
    <w:rsid w:val="007A5116"/>
    <w:rsid w:val="007A696B"/>
    <w:rsid w:val="007A6AFC"/>
    <w:rsid w:val="007A73F6"/>
    <w:rsid w:val="007A7481"/>
    <w:rsid w:val="007A7BA5"/>
    <w:rsid w:val="007B148F"/>
    <w:rsid w:val="007B1BD0"/>
    <w:rsid w:val="007B39BC"/>
    <w:rsid w:val="007B3CB3"/>
    <w:rsid w:val="007B706C"/>
    <w:rsid w:val="007B7344"/>
    <w:rsid w:val="007C01F9"/>
    <w:rsid w:val="007C0935"/>
    <w:rsid w:val="007C1B36"/>
    <w:rsid w:val="007C3B62"/>
    <w:rsid w:val="007C771C"/>
    <w:rsid w:val="007D14A1"/>
    <w:rsid w:val="007D1A5E"/>
    <w:rsid w:val="007D1DA8"/>
    <w:rsid w:val="007D7CD9"/>
    <w:rsid w:val="007D7F89"/>
    <w:rsid w:val="007E15EC"/>
    <w:rsid w:val="007E32D8"/>
    <w:rsid w:val="007E403D"/>
    <w:rsid w:val="007E596A"/>
    <w:rsid w:val="007E5B74"/>
    <w:rsid w:val="007E6D00"/>
    <w:rsid w:val="007E7B68"/>
    <w:rsid w:val="007F2A7D"/>
    <w:rsid w:val="007F3347"/>
    <w:rsid w:val="007F454D"/>
    <w:rsid w:val="007F4E93"/>
    <w:rsid w:val="007F6634"/>
    <w:rsid w:val="007F67E0"/>
    <w:rsid w:val="00800A66"/>
    <w:rsid w:val="00801C4F"/>
    <w:rsid w:val="00803B91"/>
    <w:rsid w:val="008042B4"/>
    <w:rsid w:val="008046D4"/>
    <w:rsid w:val="00804703"/>
    <w:rsid w:val="00805A5D"/>
    <w:rsid w:val="00806BC8"/>
    <w:rsid w:val="00806FD5"/>
    <w:rsid w:val="00810E90"/>
    <w:rsid w:val="00813887"/>
    <w:rsid w:val="008159D3"/>
    <w:rsid w:val="008169DC"/>
    <w:rsid w:val="00820415"/>
    <w:rsid w:val="00823F98"/>
    <w:rsid w:val="00825DED"/>
    <w:rsid w:val="00831F64"/>
    <w:rsid w:val="00833792"/>
    <w:rsid w:val="008337E8"/>
    <w:rsid w:val="0083467D"/>
    <w:rsid w:val="00834C9E"/>
    <w:rsid w:val="00836213"/>
    <w:rsid w:val="008370A8"/>
    <w:rsid w:val="00837707"/>
    <w:rsid w:val="00841433"/>
    <w:rsid w:val="00846743"/>
    <w:rsid w:val="00846DEC"/>
    <w:rsid w:val="008500C0"/>
    <w:rsid w:val="00850888"/>
    <w:rsid w:val="00850D3F"/>
    <w:rsid w:val="00852EE2"/>
    <w:rsid w:val="00852F35"/>
    <w:rsid w:val="008531A6"/>
    <w:rsid w:val="00853475"/>
    <w:rsid w:val="00856B74"/>
    <w:rsid w:val="00857363"/>
    <w:rsid w:val="008603E0"/>
    <w:rsid w:val="008615D1"/>
    <w:rsid w:val="008630ED"/>
    <w:rsid w:val="0086394C"/>
    <w:rsid w:val="008667C4"/>
    <w:rsid w:val="00866E49"/>
    <w:rsid w:val="00870438"/>
    <w:rsid w:val="00871054"/>
    <w:rsid w:val="00874BEC"/>
    <w:rsid w:val="00875C91"/>
    <w:rsid w:val="0087619F"/>
    <w:rsid w:val="00876A08"/>
    <w:rsid w:val="00877215"/>
    <w:rsid w:val="00880485"/>
    <w:rsid w:val="00881A82"/>
    <w:rsid w:val="00883248"/>
    <w:rsid w:val="008842FE"/>
    <w:rsid w:val="00885011"/>
    <w:rsid w:val="00885E6F"/>
    <w:rsid w:val="00886A22"/>
    <w:rsid w:val="0089024B"/>
    <w:rsid w:val="00890D44"/>
    <w:rsid w:val="008921BE"/>
    <w:rsid w:val="00892D49"/>
    <w:rsid w:val="00893137"/>
    <w:rsid w:val="00895F4E"/>
    <w:rsid w:val="0089773C"/>
    <w:rsid w:val="008A0614"/>
    <w:rsid w:val="008A3133"/>
    <w:rsid w:val="008A45F8"/>
    <w:rsid w:val="008A51FD"/>
    <w:rsid w:val="008A58D4"/>
    <w:rsid w:val="008A69F0"/>
    <w:rsid w:val="008A6C3B"/>
    <w:rsid w:val="008B00E9"/>
    <w:rsid w:val="008B0957"/>
    <w:rsid w:val="008B28D9"/>
    <w:rsid w:val="008B44F5"/>
    <w:rsid w:val="008B7808"/>
    <w:rsid w:val="008B78D1"/>
    <w:rsid w:val="008C1B51"/>
    <w:rsid w:val="008C1E66"/>
    <w:rsid w:val="008C229F"/>
    <w:rsid w:val="008C45FF"/>
    <w:rsid w:val="008C47A1"/>
    <w:rsid w:val="008C4B10"/>
    <w:rsid w:val="008C57AB"/>
    <w:rsid w:val="008C738F"/>
    <w:rsid w:val="008C7A5C"/>
    <w:rsid w:val="008D18C1"/>
    <w:rsid w:val="008D6B9E"/>
    <w:rsid w:val="008D7FC5"/>
    <w:rsid w:val="008E005C"/>
    <w:rsid w:val="008E1024"/>
    <w:rsid w:val="008E1FCD"/>
    <w:rsid w:val="008E4569"/>
    <w:rsid w:val="008E5339"/>
    <w:rsid w:val="008E5613"/>
    <w:rsid w:val="008E638C"/>
    <w:rsid w:val="008E641F"/>
    <w:rsid w:val="008E6511"/>
    <w:rsid w:val="008F352D"/>
    <w:rsid w:val="008F4C6A"/>
    <w:rsid w:val="008F5004"/>
    <w:rsid w:val="008F64E7"/>
    <w:rsid w:val="00902059"/>
    <w:rsid w:val="009051E2"/>
    <w:rsid w:val="00906D5D"/>
    <w:rsid w:val="0091141A"/>
    <w:rsid w:val="0091143A"/>
    <w:rsid w:val="0091204A"/>
    <w:rsid w:val="00912F5C"/>
    <w:rsid w:val="0091347B"/>
    <w:rsid w:val="009137B6"/>
    <w:rsid w:val="00913ED0"/>
    <w:rsid w:val="00915A1F"/>
    <w:rsid w:val="00921C67"/>
    <w:rsid w:val="00927650"/>
    <w:rsid w:val="00927EA5"/>
    <w:rsid w:val="00930578"/>
    <w:rsid w:val="0093222B"/>
    <w:rsid w:val="00932A9B"/>
    <w:rsid w:val="00932DE1"/>
    <w:rsid w:val="00932FE7"/>
    <w:rsid w:val="00935EA5"/>
    <w:rsid w:val="00936C83"/>
    <w:rsid w:val="00937A52"/>
    <w:rsid w:val="009418EB"/>
    <w:rsid w:val="00942CB6"/>
    <w:rsid w:val="00942CE9"/>
    <w:rsid w:val="009433AF"/>
    <w:rsid w:val="00944A0A"/>
    <w:rsid w:val="00944CCF"/>
    <w:rsid w:val="00945E1B"/>
    <w:rsid w:val="00954FF2"/>
    <w:rsid w:val="00955738"/>
    <w:rsid w:val="009615D2"/>
    <w:rsid w:val="009621B4"/>
    <w:rsid w:val="00962EE8"/>
    <w:rsid w:val="009706FC"/>
    <w:rsid w:val="00971222"/>
    <w:rsid w:val="00971377"/>
    <w:rsid w:val="00972C50"/>
    <w:rsid w:val="00972E6D"/>
    <w:rsid w:val="00973DC6"/>
    <w:rsid w:val="00974502"/>
    <w:rsid w:val="00974666"/>
    <w:rsid w:val="0097491E"/>
    <w:rsid w:val="00975D7E"/>
    <w:rsid w:val="00976EE9"/>
    <w:rsid w:val="00977EBA"/>
    <w:rsid w:val="00980B9C"/>
    <w:rsid w:val="00984376"/>
    <w:rsid w:val="009846D5"/>
    <w:rsid w:val="009877C1"/>
    <w:rsid w:val="00991110"/>
    <w:rsid w:val="00991C32"/>
    <w:rsid w:val="00995703"/>
    <w:rsid w:val="0099693A"/>
    <w:rsid w:val="009A0B08"/>
    <w:rsid w:val="009A43DE"/>
    <w:rsid w:val="009A6120"/>
    <w:rsid w:val="009A6D9C"/>
    <w:rsid w:val="009B03D7"/>
    <w:rsid w:val="009B0ABC"/>
    <w:rsid w:val="009B0BEF"/>
    <w:rsid w:val="009B1378"/>
    <w:rsid w:val="009B39B3"/>
    <w:rsid w:val="009C051A"/>
    <w:rsid w:val="009C139B"/>
    <w:rsid w:val="009C529C"/>
    <w:rsid w:val="009C5B8C"/>
    <w:rsid w:val="009C60F6"/>
    <w:rsid w:val="009D2232"/>
    <w:rsid w:val="009D789B"/>
    <w:rsid w:val="009E1687"/>
    <w:rsid w:val="009E1A5E"/>
    <w:rsid w:val="009E2F7D"/>
    <w:rsid w:val="009E4002"/>
    <w:rsid w:val="009E64E8"/>
    <w:rsid w:val="009E7C5B"/>
    <w:rsid w:val="009F0889"/>
    <w:rsid w:val="009F0B4D"/>
    <w:rsid w:val="009F215C"/>
    <w:rsid w:val="009F3247"/>
    <w:rsid w:val="009F5A34"/>
    <w:rsid w:val="009F69BD"/>
    <w:rsid w:val="009F6A0F"/>
    <w:rsid w:val="009F77D1"/>
    <w:rsid w:val="009F7EA6"/>
    <w:rsid w:val="00A008E6"/>
    <w:rsid w:val="00A008F6"/>
    <w:rsid w:val="00A00DE3"/>
    <w:rsid w:val="00A01419"/>
    <w:rsid w:val="00A035A1"/>
    <w:rsid w:val="00A04ACF"/>
    <w:rsid w:val="00A0799A"/>
    <w:rsid w:val="00A11FE3"/>
    <w:rsid w:val="00A12C83"/>
    <w:rsid w:val="00A133ED"/>
    <w:rsid w:val="00A1585F"/>
    <w:rsid w:val="00A158D4"/>
    <w:rsid w:val="00A16996"/>
    <w:rsid w:val="00A17097"/>
    <w:rsid w:val="00A21BFA"/>
    <w:rsid w:val="00A25520"/>
    <w:rsid w:val="00A269B3"/>
    <w:rsid w:val="00A26D73"/>
    <w:rsid w:val="00A27BD4"/>
    <w:rsid w:val="00A31CD9"/>
    <w:rsid w:val="00A32C89"/>
    <w:rsid w:val="00A3431D"/>
    <w:rsid w:val="00A3440B"/>
    <w:rsid w:val="00A35BFB"/>
    <w:rsid w:val="00A35E13"/>
    <w:rsid w:val="00A42A6B"/>
    <w:rsid w:val="00A44B22"/>
    <w:rsid w:val="00A45F5A"/>
    <w:rsid w:val="00A47011"/>
    <w:rsid w:val="00A4F4EA"/>
    <w:rsid w:val="00A51597"/>
    <w:rsid w:val="00A546CD"/>
    <w:rsid w:val="00A54E1B"/>
    <w:rsid w:val="00A56821"/>
    <w:rsid w:val="00A57820"/>
    <w:rsid w:val="00A60412"/>
    <w:rsid w:val="00A60C3E"/>
    <w:rsid w:val="00A62EF3"/>
    <w:rsid w:val="00A67EC4"/>
    <w:rsid w:val="00A70E3C"/>
    <w:rsid w:val="00A71346"/>
    <w:rsid w:val="00A72C23"/>
    <w:rsid w:val="00A74FF0"/>
    <w:rsid w:val="00A770A3"/>
    <w:rsid w:val="00A803F4"/>
    <w:rsid w:val="00A836DB"/>
    <w:rsid w:val="00A83E54"/>
    <w:rsid w:val="00A918A7"/>
    <w:rsid w:val="00A91FBC"/>
    <w:rsid w:val="00A9306C"/>
    <w:rsid w:val="00A934C4"/>
    <w:rsid w:val="00A93D1B"/>
    <w:rsid w:val="00A95218"/>
    <w:rsid w:val="00A953F8"/>
    <w:rsid w:val="00A95BB1"/>
    <w:rsid w:val="00A97664"/>
    <w:rsid w:val="00AA0C29"/>
    <w:rsid w:val="00AA2158"/>
    <w:rsid w:val="00AA3DE0"/>
    <w:rsid w:val="00AA5F0B"/>
    <w:rsid w:val="00AA68D4"/>
    <w:rsid w:val="00AA705F"/>
    <w:rsid w:val="00AA7F82"/>
    <w:rsid w:val="00AB2696"/>
    <w:rsid w:val="00AB583E"/>
    <w:rsid w:val="00AB5E1C"/>
    <w:rsid w:val="00AB6B14"/>
    <w:rsid w:val="00AC0A35"/>
    <w:rsid w:val="00AC2CDC"/>
    <w:rsid w:val="00AC5304"/>
    <w:rsid w:val="00AD1715"/>
    <w:rsid w:val="00AD4F0F"/>
    <w:rsid w:val="00AD5237"/>
    <w:rsid w:val="00AD7805"/>
    <w:rsid w:val="00AD79F8"/>
    <w:rsid w:val="00AE0C6D"/>
    <w:rsid w:val="00AE0FAC"/>
    <w:rsid w:val="00AE39E1"/>
    <w:rsid w:val="00AF080A"/>
    <w:rsid w:val="00AF0832"/>
    <w:rsid w:val="00AF3BDE"/>
    <w:rsid w:val="00AF508C"/>
    <w:rsid w:val="00AF7AA6"/>
    <w:rsid w:val="00B016AD"/>
    <w:rsid w:val="00B01AB6"/>
    <w:rsid w:val="00B05561"/>
    <w:rsid w:val="00B05FFD"/>
    <w:rsid w:val="00B0626E"/>
    <w:rsid w:val="00B06A26"/>
    <w:rsid w:val="00B115F3"/>
    <w:rsid w:val="00B12010"/>
    <w:rsid w:val="00B13935"/>
    <w:rsid w:val="00B13CBD"/>
    <w:rsid w:val="00B176E9"/>
    <w:rsid w:val="00B2045F"/>
    <w:rsid w:val="00B20701"/>
    <w:rsid w:val="00B21608"/>
    <w:rsid w:val="00B21E9B"/>
    <w:rsid w:val="00B25A21"/>
    <w:rsid w:val="00B2614A"/>
    <w:rsid w:val="00B26F77"/>
    <w:rsid w:val="00B32419"/>
    <w:rsid w:val="00B32CE9"/>
    <w:rsid w:val="00B4426F"/>
    <w:rsid w:val="00B45807"/>
    <w:rsid w:val="00B45A70"/>
    <w:rsid w:val="00B464D6"/>
    <w:rsid w:val="00B5013D"/>
    <w:rsid w:val="00B51B2D"/>
    <w:rsid w:val="00B5204D"/>
    <w:rsid w:val="00B54600"/>
    <w:rsid w:val="00B56736"/>
    <w:rsid w:val="00B56ECE"/>
    <w:rsid w:val="00B60060"/>
    <w:rsid w:val="00B62544"/>
    <w:rsid w:val="00B62A0F"/>
    <w:rsid w:val="00B6324E"/>
    <w:rsid w:val="00B6372C"/>
    <w:rsid w:val="00B64324"/>
    <w:rsid w:val="00B6596F"/>
    <w:rsid w:val="00B70A45"/>
    <w:rsid w:val="00B7235C"/>
    <w:rsid w:val="00B72CD8"/>
    <w:rsid w:val="00B73894"/>
    <w:rsid w:val="00B746ED"/>
    <w:rsid w:val="00B74924"/>
    <w:rsid w:val="00B76DBE"/>
    <w:rsid w:val="00B818B4"/>
    <w:rsid w:val="00B820BA"/>
    <w:rsid w:val="00B82A65"/>
    <w:rsid w:val="00B85BEA"/>
    <w:rsid w:val="00B87EC9"/>
    <w:rsid w:val="00B922B2"/>
    <w:rsid w:val="00B95C8F"/>
    <w:rsid w:val="00B9781B"/>
    <w:rsid w:val="00BA3D8E"/>
    <w:rsid w:val="00BA4ADB"/>
    <w:rsid w:val="00BA59DE"/>
    <w:rsid w:val="00BA66D7"/>
    <w:rsid w:val="00BA68AA"/>
    <w:rsid w:val="00BA7ED6"/>
    <w:rsid w:val="00BB04DC"/>
    <w:rsid w:val="00BB1526"/>
    <w:rsid w:val="00BB1A16"/>
    <w:rsid w:val="00BB1FAA"/>
    <w:rsid w:val="00BB2D95"/>
    <w:rsid w:val="00BB38C3"/>
    <w:rsid w:val="00BB3D4D"/>
    <w:rsid w:val="00BB77F2"/>
    <w:rsid w:val="00BB79E5"/>
    <w:rsid w:val="00BC0583"/>
    <w:rsid w:val="00BC0BF7"/>
    <w:rsid w:val="00BC0ED5"/>
    <w:rsid w:val="00BC18B0"/>
    <w:rsid w:val="00BC1E8D"/>
    <w:rsid w:val="00BC330E"/>
    <w:rsid w:val="00BC394B"/>
    <w:rsid w:val="00BC535A"/>
    <w:rsid w:val="00BC5893"/>
    <w:rsid w:val="00BD141C"/>
    <w:rsid w:val="00BD171D"/>
    <w:rsid w:val="00BD25DD"/>
    <w:rsid w:val="00BD2DE2"/>
    <w:rsid w:val="00BD37B8"/>
    <w:rsid w:val="00BD3CD4"/>
    <w:rsid w:val="00BD3F5E"/>
    <w:rsid w:val="00BD57F5"/>
    <w:rsid w:val="00BD5CD8"/>
    <w:rsid w:val="00BD631A"/>
    <w:rsid w:val="00BD6A11"/>
    <w:rsid w:val="00BD7890"/>
    <w:rsid w:val="00BD7A9C"/>
    <w:rsid w:val="00BE07B3"/>
    <w:rsid w:val="00BE11BE"/>
    <w:rsid w:val="00BE281D"/>
    <w:rsid w:val="00BE48A4"/>
    <w:rsid w:val="00BE56F0"/>
    <w:rsid w:val="00BF0313"/>
    <w:rsid w:val="00BF17B9"/>
    <w:rsid w:val="00BF5A50"/>
    <w:rsid w:val="00BF5F61"/>
    <w:rsid w:val="00BF7349"/>
    <w:rsid w:val="00C00858"/>
    <w:rsid w:val="00C0172A"/>
    <w:rsid w:val="00C02510"/>
    <w:rsid w:val="00C03171"/>
    <w:rsid w:val="00C066BA"/>
    <w:rsid w:val="00C10389"/>
    <w:rsid w:val="00C12D35"/>
    <w:rsid w:val="00C1330C"/>
    <w:rsid w:val="00C13473"/>
    <w:rsid w:val="00C13746"/>
    <w:rsid w:val="00C15A35"/>
    <w:rsid w:val="00C17807"/>
    <w:rsid w:val="00C20486"/>
    <w:rsid w:val="00C20E0B"/>
    <w:rsid w:val="00C22088"/>
    <w:rsid w:val="00C2307F"/>
    <w:rsid w:val="00C23306"/>
    <w:rsid w:val="00C2371A"/>
    <w:rsid w:val="00C264AE"/>
    <w:rsid w:val="00C30925"/>
    <w:rsid w:val="00C31252"/>
    <w:rsid w:val="00C31297"/>
    <w:rsid w:val="00C313CA"/>
    <w:rsid w:val="00C332B2"/>
    <w:rsid w:val="00C33F46"/>
    <w:rsid w:val="00C34227"/>
    <w:rsid w:val="00C34CF6"/>
    <w:rsid w:val="00C37745"/>
    <w:rsid w:val="00C44076"/>
    <w:rsid w:val="00C4602E"/>
    <w:rsid w:val="00C46578"/>
    <w:rsid w:val="00C467FC"/>
    <w:rsid w:val="00C47620"/>
    <w:rsid w:val="00C47ABA"/>
    <w:rsid w:val="00C5293B"/>
    <w:rsid w:val="00C53068"/>
    <w:rsid w:val="00C539B7"/>
    <w:rsid w:val="00C551C7"/>
    <w:rsid w:val="00C56E3A"/>
    <w:rsid w:val="00C6138E"/>
    <w:rsid w:val="00C61957"/>
    <w:rsid w:val="00C638A0"/>
    <w:rsid w:val="00C64221"/>
    <w:rsid w:val="00C64FDA"/>
    <w:rsid w:val="00C65255"/>
    <w:rsid w:val="00C65612"/>
    <w:rsid w:val="00C658D3"/>
    <w:rsid w:val="00C674C2"/>
    <w:rsid w:val="00C67980"/>
    <w:rsid w:val="00C70884"/>
    <w:rsid w:val="00C70947"/>
    <w:rsid w:val="00C7416C"/>
    <w:rsid w:val="00C84BDF"/>
    <w:rsid w:val="00C95ECB"/>
    <w:rsid w:val="00C969DC"/>
    <w:rsid w:val="00C976F9"/>
    <w:rsid w:val="00CA11FF"/>
    <w:rsid w:val="00CA3925"/>
    <w:rsid w:val="00CA3B0F"/>
    <w:rsid w:val="00CA5C34"/>
    <w:rsid w:val="00CA75F7"/>
    <w:rsid w:val="00CA7744"/>
    <w:rsid w:val="00CB11F0"/>
    <w:rsid w:val="00CB182D"/>
    <w:rsid w:val="00CB2D37"/>
    <w:rsid w:val="00CB3284"/>
    <w:rsid w:val="00CB44FA"/>
    <w:rsid w:val="00CB4E08"/>
    <w:rsid w:val="00CB7E98"/>
    <w:rsid w:val="00CC0F86"/>
    <w:rsid w:val="00CC13DA"/>
    <w:rsid w:val="00CC1F7D"/>
    <w:rsid w:val="00CC2BB3"/>
    <w:rsid w:val="00CC3666"/>
    <w:rsid w:val="00CC43D6"/>
    <w:rsid w:val="00CC6110"/>
    <w:rsid w:val="00CC6D68"/>
    <w:rsid w:val="00CD17DB"/>
    <w:rsid w:val="00CD192D"/>
    <w:rsid w:val="00CD3644"/>
    <w:rsid w:val="00CD4319"/>
    <w:rsid w:val="00CD44A8"/>
    <w:rsid w:val="00CD765B"/>
    <w:rsid w:val="00CE5DC0"/>
    <w:rsid w:val="00CE624A"/>
    <w:rsid w:val="00CF0DE3"/>
    <w:rsid w:val="00CF3A2E"/>
    <w:rsid w:val="00CF5C49"/>
    <w:rsid w:val="00CF6B45"/>
    <w:rsid w:val="00D03799"/>
    <w:rsid w:val="00D03B15"/>
    <w:rsid w:val="00D04590"/>
    <w:rsid w:val="00D04E61"/>
    <w:rsid w:val="00D075E4"/>
    <w:rsid w:val="00D10635"/>
    <w:rsid w:val="00D11A9A"/>
    <w:rsid w:val="00D121C6"/>
    <w:rsid w:val="00D12C3D"/>
    <w:rsid w:val="00D16E10"/>
    <w:rsid w:val="00D17A95"/>
    <w:rsid w:val="00D205EC"/>
    <w:rsid w:val="00D20BBF"/>
    <w:rsid w:val="00D21D9E"/>
    <w:rsid w:val="00D22740"/>
    <w:rsid w:val="00D27C21"/>
    <w:rsid w:val="00D32E67"/>
    <w:rsid w:val="00D33677"/>
    <w:rsid w:val="00D342F2"/>
    <w:rsid w:val="00D378DE"/>
    <w:rsid w:val="00D407D3"/>
    <w:rsid w:val="00D46BC0"/>
    <w:rsid w:val="00D479E5"/>
    <w:rsid w:val="00D47DF5"/>
    <w:rsid w:val="00D500C1"/>
    <w:rsid w:val="00D525B8"/>
    <w:rsid w:val="00D64134"/>
    <w:rsid w:val="00D65AA9"/>
    <w:rsid w:val="00D71C95"/>
    <w:rsid w:val="00D75826"/>
    <w:rsid w:val="00D82F07"/>
    <w:rsid w:val="00D83715"/>
    <w:rsid w:val="00D84122"/>
    <w:rsid w:val="00D851F7"/>
    <w:rsid w:val="00D866C8"/>
    <w:rsid w:val="00D90C71"/>
    <w:rsid w:val="00D91024"/>
    <w:rsid w:val="00D91E5A"/>
    <w:rsid w:val="00D97008"/>
    <w:rsid w:val="00DA03DA"/>
    <w:rsid w:val="00DA0AEE"/>
    <w:rsid w:val="00DA18A2"/>
    <w:rsid w:val="00DA3C1F"/>
    <w:rsid w:val="00DA3E94"/>
    <w:rsid w:val="00DA40A5"/>
    <w:rsid w:val="00DA60B3"/>
    <w:rsid w:val="00DB00C8"/>
    <w:rsid w:val="00DB013D"/>
    <w:rsid w:val="00DB2B26"/>
    <w:rsid w:val="00DB34BE"/>
    <w:rsid w:val="00DB5FCF"/>
    <w:rsid w:val="00DB6C76"/>
    <w:rsid w:val="00DC1B8D"/>
    <w:rsid w:val="00DC6CF7"/>
    <w:rsid w:val="00DD1329"/>
    <w:rsid w:val="00DD1D15"/>
    <w:rsid w:val="00DD1DE9"/>
    <w:rsid w:val="00DD323A"/>
    <w:rsid w:val="00DD3375"/>
    <w:rsid w:val="00DD4240"/>
    <w:rsid w:val="00DD4880"/>
    <w:rsid w:val="00DD4D1D"/>
    <w:rsid w:val="00DD615D"/>
    <w:rsid w:val="00DE052A"/>
    <w:rsid w:val="00DE1564"/>
    <w:rsid w:val="00DE2C0E"/>
    <w:rsid w:val="00DE5252"/>
    <w:rsid w:val="00DF05CC"/>
    <w:rsid w:val="00DF2F8D"/>
    <w:rsid w:val="00DF4735"/>
    <w:rsid w:val="00DF6C57"/>
    <w:rsid w:val="00E002A9"/>
    <w:rsid w:val="00E035C6"/>
    <w:rsid w:val="00E03C3C"/>
    <w:rsid w:val="00E04A5E"/>
    <w:rsid w:val="00E05FA4"/>
    <w:rsid w:val="00E065BB"/>
    <w:rsid w:val="00E06F23"/>
    <w:rsid w:val="00E100E9"/>
    <w:rsid w:val="00E11121"/>
    <w:rsid w:val="00E13603"/>
    <w:rsid w:val="00E149D2"/>
    <w:rsid w:val="00E155C1"/>
    <w:rsid w:val="00E15A74"/>
    <w:rsid w:val="00E15E8D"/>
    <w:rsid w:val="00E16A68"/>
    <w:rsid w:val="00E17B2C"/>
    <w:rsid w:val="00E21038"/>
    <w:rsid w:val="00E21122"/>
    <w:rsid w:val="00E218DF"/>
    <w:rsid w:val="00E224F4"/>
    <w:rsid w:val="00E24246"/>
    <w:rsid w:val="00E24B5D"/>
    <w:rsid w:val="00E2753F"/>
    <w:rsid w:val="00E33627"/>
    <w:rsid w:val="00E404EB"/>
    <w:rsid w:val="00E41772"/>
    <w:rsid w:val="00E41D63"/>
    <w:rsid w:val="00E43609"/>
    <w:rsid w:val="00E468A8"/>
    <w:rsid w:val="00E46CC9"/>
    <w:rsid w:val="00E470B9"/>
    <w:rsid w:val="00E47BF3"/>
    <w:rsid w:val="00E56314"/>
    <w:rsid w:val="00E60630"/>
    <w:rsid w:val="00E60D88"/>
    <w:rsid w:val="00E6166F"/>
    <w:rsid w:val="00E62E23"/>
    <w:rsid w:val="00E64E22"/>
    <w:rsid w:val="00E6501B"/>
    <w:rsid w:val="00E66314"/>
    <w:rsid w:val="00E84E98"/>
    <w:rsid w:val="00E84F06"/>
    <w:rsid w:val="00E873C4"/>
    <w:rsid w:val="00E902B0"/>
    <w:rsid w:val="00E9072B"/>
    <w:rsid w:val="00E91560"/>
    <w:rsid w:val="00E92551"/>
    <w:rsid w:val="00E94998"/>
    <w:rsid w:val="00E94AC5"/>
    <w:rsid w:val="00E95E4F"/>
    <w:rsid w:val="00EA1D8E"/>
    <w:rsid w:val="00EA2427"/>
    <w:rsid w:val="00EA287E"/>
    <w:rsid w:val="00EA28A0"/>
    <w:rsid w:val="00EA364A"/>
    <w:rsid w:val="00EA4C6C"/>
    <w:rsid w:val="00EA6068"/>
    <w:rsid w:val="00EA625D"/>
    <w:rsid w:val="00EA65AC"/>
    <w:rsid w:val="00EA6FEF"/>
    <w:rsid w:val="00EB13A6"/>
    <w:rsid w:val="00EB3D02"/>
    <w:rsid w:val="00EB5DEE"/>
    <w:rsid w:val="00EB7292"/>
    <w:rsid w:val="00EB763B"/>
    <w:rsid w:val="00EB7E1D"/>
    <w:rsid w:val="00EC188E"/>
    <w:rsid w:val="00EC32F6"/>
    <w:rsid w:val="00EC5830"/>
    <w:rsid w:val="00EC605D"/>
    <w:rsid w:val="00EC6D96"/>
    <w:rsid w:val="00EC7406"/>
    <w:rsid w:val="00ED0450"/>
    <w:rsid w:val="00ED0697"/>
    <w:rsid w:val="00ED0EBD"/>
    <w:rsid w:val="00ED1F7B"/>
    <w:rsid w:val="00ED2B12"/>
    <w:rsid w:val="00ED42D3"/>
    <w:rsid w:val="00EE0B44"/>
    <w:rsid w:val="00EE287D"/>
    <w:rsid w:val="00EE2CF0"/>
    <w:rsid w:val="00EE2E3F"/>
    <w:rsid w:val="00EE3D67"/>
    <w:rsid w:val="00EE4325"/>
    <w:rsid w:val="00EF12CD"/>
    <w:rsid w:val="00EF183B"/>
    <w:rsid w:val="00EF3B8E"/>
    <w:rsid w:val="00F000AD"/>
    <w:rsid w:val="00F0145F"/>
    <w:rsid w:val="00F01863"/>
    <w:rsid w:val="00F02051"/>
    <w:rsid w:val="00F03073"/>
    <w:rsid w:val="00F04EAF"/>
    <w:rsid w:val="00F052D8"/>
    <w:rsid w:val="00F05614"/>
    <w:rsid w:val="00F05CD1"/>
    <w:rsid w:val="00F061E3"/>
    <w:rsid w:val="00F0697B"/>
    <w:rsid w:val="00F109A1"/>
    <w:rsid w:val="00F13266"/>
    <w:rsid w:val="00F13A7A"/>
    <w:rsid w:val="00F16152"/>
    <w:rsid w:val="00F169A0"/>
    <w:rsid w:val="00F17652"/>
    <w:rsid w:val="00F20EFE"/>
    <w:rsid w:val="00F21EC0"/>
    <w:rsid w:val="00F2378E"/>
    <w:rsid w:val="00F24405"/>
    <w:rsid w:val="00F26015"/>
    <w:rsid w:val="00F27C73"/>
    <w:rsid w:val="00F31773"/>
    <w:rsid w:val="00F33783"/>
    <w:rsid w:val="00F33F75"/>
    <w:rsid w:val="00F342FA"/>
    <w:rsid w:val="00F34840"/>
    <w:rsid w:val="00F41A18"/>
    <w:rsid w:val="00F41C01"/>
    <w:rsid w:val="00F46B51"/>
    <w:rsid w:val="00F47E9C"/>
    <w:rsid w:val="00F50920"/>
    <w:rsid w:val="00F509FE"/>
    <w:rsid w:val="00F51EDA"/>
    <w:rsid w:val="00F568A6"/>
    <w:rsid w:val="00F62EC5"/>
    <w:rsid w:val="00F63EFD"/>
    <w:rsid w:val="00F64736"/>
    <w:rsid w:val="00F6505E"/>
    <w:rsid w:val="00F66078"/>
    <w:rsid w:val="00F665D1"/>
    <w:rsid w:val="00F67E54"/>
    <w:rsid w:val="00F71489"/>
    <w:rsid w:val="00F72DB4"/>
    <w:rsid w:val="00F74230"/>
    <w:rsid w:val="00F80AD0"/>
    <w:rsid w:val="00F80EF4"/>
    <w:rsid w:val="00F826FA"/>
    <w:rsid w:val="00F834BD"/>
    <w:rsid w:val="00F837E6"/>
    <w:rsid w:val="00F84847"/>
    <w:rsid w:val="00F84A25"/>
    <w:rsid w:val="00F85622"/>
    <w:rsid w:val="00F85F25"/>
    <w:rsid w:val="00F862D1"/>
    <w:rsid w:val="00F86700"/>
    <w:rsid w:val="00F86EA9"/>
    <w:rsid w:val="00F87586"/>
    <w:rsid w:val="00F957C6"/>
    <w:rsid w:val="00FA2491"/>
    <w:rsid w:val="00FA2596"/>
    <w:rsid w:val="00FA432C"/>
    <w:rsid w:val="00FA47DE"/>
    <w:rsid w:val="00FA7DA7"/>
    <w:rsid w:val="00FB03B8"/>
    <w:rsid w:val="00FB3030"/>
    <w:rsid w:val="00FB3B23"/>
    <w:rsid w:val="00FB4919"/>
    <w:rsid w:val="00FB4C2D"/>
    <w:rsid w:val="00FB73F0"/>
    <w:rsid w:val="00FC50CB"/>
    <w:rsid w:val="00FC6DDE"/>
    <w:rsid w:val="00FC7836"/>
    <w:rsid w:val="00FC7A0E"/>
    <w:rsid w:val="00FD1ECD"/>
    <w:rsid w:val="00FD20A5"/>
    <w:rsid w:val="00FD2C22"/>
    <w:rsid w:val="00FD4A7E"/>
    <w:rsid w:val="00FD6FD8"/>
    <w:rsid w:val="00FE0D2E"/>
    <w:rsid w:val="00FE2C7F"/>
    <w:rsid w:val="00FE4F02"/>
    <w:rsid w:val="00FE58E1"/>
    <w:rsid w:val="00FE5C6B"/>
    <w:rsid w:val="00FF0D83"/>
    <w:rsid w:val="00FF3E2C"/>
    <w:rsid w:val="00FF44D9"/>
    <w:rsid w:val="00FF4D08"/>
    <w:rsid w:val="00FF75BA"/>
    <w:rsid w:val="00FF7FF5"/>
    <w:rsid w:val="027B90C7"/>
    <w:rsid w:val="02DA968F"/>
    <w:rsid w:val="03C5AC11"/>
    <w:rsid w:val="044D9C50"/>
    <w:rsid w:val="046B663B"/>
    <w:rsid w:val="04776481"/>
    <w:rsid w:val="04933D8A"/>
    <w:rsid w:val="05A6BAE0"/>
    <w:rsid w:val="05C6343D"/>
    <w:rsid w:val="062526DC"/>
    <w:rsid w:val="063A2B6C"/>
    <w:rsid w:val="070B7CB4"/>
    <w:rsid w:val="07BB7045"/>
    <w:rsid w:val="07FA1B38"/>
    <w:rsid w:val="085203F4"/>
    <w:rsid w:val="087CE0F7"/>
    <w:rsid w:val="0881639B"/>
    <w:rsid w:val="08CE405F"/>
    <w:rsid w:val="0A288D21"/>
    <w:rsid w:val="0B1C59C8"/>
    <w:rsid w:val="0B9C06BF"/>
    <w:rsid w:val="0BA209D2"/>
    <w:rsid w:val="0C1BA98D"/>
    <w:rsid w:val="0C331C87"/>
    <w:rsid w:val="0C618830"/>
    <w:rsid w:val="0C783D36"/>
    <w:rsid w:val="0C8D31EA"/>
    <w:rsid w:val="0D66522B"/>
    <w:rsid w:val="0D7D3333"/>
    <w:rsid w:val="0DA4A325"/>
    <w:rsid w:val="0DCBC564"/>
    <w:rsid w:val="0DD1B3B9"/>
    <w:rsid w:val="0E0F0F3C"/>
    <w:rsid w:val="0EA20EE4"/>
    <w:rsid w:val="0ECD9C63"/>
    <w:rsid w:val="0F31B527"/>
    <w:rsid w:val="0F5ADA81"/>
    <w:rsid w:val="0F6F298F"/>
    <w:rsid w:val="0FBBB87D"/>
    <w:rsid w:val="0FF0CA5E"/>
    <w:rsid w:val="0FF10FA1"/>
    <w:rsid w:val="1045211C"/>
    <w:rsid w:val="106147B7"/>
    <w:rsid w:val="1185E6D3"/>
    <w:rsid w:val="12658A38"/>
    <w:rsid w:val="13188A97"/>
    <w:rsid w:val="13998F19"/>
    <w:rsid w:val="145FF9C3"/>
    <w:rsid w:val="1493CF6F"/>
    <w:rsid w:val="149D3BB0"/>
    <w:rsid w:val="14DAF6D6"/>
    <w:rsid w:val="157A4FDC"/>
    <w:rsid w:val="162C22EE"/>
    <w:rsid w:val="16A15445"/>
    <w:rsid w:val="1737FFC1"/>
    <w:rsid w:val="1781EE62"/>
    <w:rsid w:val="17874361"/>
    <w:rsid w:val="183E8799"/>
    <w:rsid w:val="18507CF5"/>
    <w:rsid w:val="1A294BA1"/>
    <w:rsid w:val="1B14A0F9"/>
    <w:rsid w:val="1B1A67B2"/>
    <w:rsid w:val="1B61BCAE"/>
    <w:rsid w:val="1C7F7AFD"/>
    <w:rsid w:val="1CF6610E"/>
    <w:rsid w:val="1E234D8A"/>
    <w:rsid w:val="1EE18650"/>
    <w:rsid w:val="1F0F1E00"/>
    <w:rsid w:val="1F296707"/>
    <w:rsid w:val="1FDAE415"/>
    <w:rsid w:val="206ADE17"/>
    <w:rsid w:val="2085F3DC"/>
    <w:rsid w:val="20A87C35"/>
    <w:rsid w:val="20CD78A1"/>
    <w:rsid w:val="20CF4C6A"/>
    <w:rsid w:val="212A1E39"/>
    <w:rsid w:val="21CC5CC7"/>
    <w:rsid w:val="236B5A47"/>
    <w:rsid w:val="2438B0D0"/>
    <w:rsid w:val="2442511C"/>
    <w:rsid w:val="2477D007"/>
    <w:rsid w:val="24804958"/>
    <w:rsid w:val="24B7AAC8"/>
    <w:rsid w:val="24D81E09"/>
    <w:rsid w:val="25007252"/>
    <w:rsid w:val="2542C041"/>
    <w:rsid w:val="2554B99F"/>
    <w:rsid w:val="255E9D04"/>
    <w:rsid w:val="2678F9F8"/>
    <w:rsid w:val="27169629"/>
    <w:rsid w:val="272A36AF"/>
    <w:rsid w:val="27F2B847"/>
    <w:rsid w:val="283BB827"/>
    <w:rsid w:val="296D87E4"/>
    <w:rsid w:val="29AC009F"/>
    <w:rsid w:val="2A125F76"/>
    <w:rsid w:val="2A73EBC3"/>
    <w:rsid w:val="2AB5DCD7"/>
    <w:rsid w:val="2B8C86C1"/>
    <w:rsid w:val="2BC543DB"/>
    <w:rsid w:val="2C5791C0"/>
    <w:rsid w:val="2C622B71"/>
    <w:rsid w:val="2F03454F"/>
    <w:rsid w:val="2F87B676"/>
    <w:rsid w:val="30D62B3B"/>
    <w:rsid w:val="310562D9"/>
    <w:rsid w:val="310A93F5"/>
    <w:rsid w:val="329FA1A5"/>
    <w:rsid w:val="32AF7919"/>
    <w:rsid w:val="32DC15EB"/>
    <w:rsid w:val="332D6998"/>
    <w:rsid w:val="339BAA9E"/>
    <w:rsid w:val="345BF23E"/>
    <w:rsid w:val="345CEE71"/>
    <w:rsid w:val="34BFE911"/>
    <w:rsid w:val="350E30E1"/>
    <w:rsid w:val="358C5AEC"/>
    <w:rsid w:val="36398ADA"/>
    <w:rsid w:val="36A5A3F0"/>
    <w:rsid w:val="375A8D56"/>
    <w:rsid w:val="3779126A"/>
    <w:rsid w:val="3855BFD5"/>
    <w:rsid w:val="392FAEC5"/>
    <w:rsid w:val="3933E27F"/>
    <w:rsid w:val="399BD51B"/>
    <w:rsid w:val="3B879A7D"/>
    <w:rsid w:val="3BAD8E79"/>
    <w:rsid w:val="3C62B57C"/>
    <w:rsid w:val="3C62D025"/>
    <w:rsid w:val="3E8536EC"/>
    <w:rsid w:val="3F0E1434"/>
    <w:rsid w:val="3FCF800F"/>
    <w:rsid w:val="40AC44D6"/>
    <w:rsid w:val="417063F1"/>
    <w:rsid w:val="41FF0371"/>
    <w:rsid w:val="4256856E"/>
    <w:rsid w:val="429E5AAB"/>
    <w:rsid w:val="43A3BFC4"/>
    <w:rsid w:val="447D32A2"/>
    <w:rsid w:val="46E7B443"/>
    <w:rsid w:val="46F56D04"/>
    <w:rsid w:val="47304217"/>
    <w:rsid w:val="482A6C91"/>
    <w:rsid w:val="48408E91"/>
    <w:rsid w:val="48425D3F"/>
    <w:rsid w:val="491DFD0B"/>
    <w:rsid w:val="4A075BBB"/>
    <w:rsid w:val="4A274F02"/>
    <w:rsid w:val="4A4C3D69"/>
    <w:rsid w:val="4AA93213"/>
    <w:rsid w:val="4ACBCF75"/>
    <w:rsid w:val="4B0D5059"/>
    <w:rsid w:val="4B377BB9"/>
    <w:rsid w:val="4BB66F4D"/>
    <w:rsid w:val="4C72EC1A"/>
    <w:rsid w:val="4D6151C4"/>
    <w:rsid w:val="4DAFE54D"/>
    <w:rsid w:val="4E1B5D99"/>
    <w:rsid w:val="4E1D7D51"/>
    <w:rsid w:val="4E823A32"/>
    <w:rsid w:val="4ECCB1D0"/>
    <w:rsid w:val="4ED58B14"/>
    <w:rsid w:val="4F2A1142"/>
    <w:rsid w:val="4F549589"/>
    <w:rsid w:val="4FEAEEA2"/>
    <w:rsid w:val="50264FFA"/>
    <w:rsid w:val="50487FE7"/>
    <w:rsid w:val="504D436A"/>
    <w:rsid w:val="508BB237"/>
    <w:rsid w:val="509E585D"/>
    <w:rsid w:val="51A2889A"/>
    <w:rsid w:val="5206A8C2"/>
    <w:rsid w:val="52B84F61"/>
    <w:rsid w:val="52C93043"/>
    <w:rsid w:val="53054546"/>
    <w:rsid w:val="53235BA1"/>
    <w:rsid w:val="53CCCB53"/>
    <w:rsid w:val="541F6DEC"/>
    <w:rsid w:val="542CC601"/>
    <w:rsid w:val="544FBAF4"/>
    <w:rsid w:val="547D7F37"/>
    <w:rsid w:val="54C28173"/>
    <w:rsid w:val="54D76217"/>
    <w:rsid w:val="55E9BAA2"/>
    <w:rsid w:val="56372F79"/>
    <w:rsid w:val="57987984"/>
    <w:rsid w:val="588B20B8"/>
    <w:rsid w:val="5A30D164"/>
    <w:rsid w:val="5A31EBFD"/>
    <w:rsid w:val="5A41EB89"/>
    <w:rsid w:val="5A6C88B0"/>
    <w:rsid w:val="5B11F6F6"/>
    <w:rsid w:val="5B260888"/>
    <w:rsid w:val="5B383B8F"/>
    <w:rsid w:val="5B5B4535"/>
    <w:rsid w:val="5B685302"/>
    <w:rsid w:val="5BB20F0A"/>
    <w:rsid w:val="5C3A7190"/>
    <w:rsid w:val="5E2DF6BA"/>
    <w:rsid w:val="5EBD2F9A"/>
    <w:rsid w:val="5F782782"/>
    <w:rsid w:val="5FE5A954"/>
    <w:rsid w:val="601BEEEE"/>
    <w:rsid w:val="603A761B"/>
    <w:rsid w:val="60B0A326"/>
    <w:rsid w:val="60DC86E3"/>
    <w:rsid w:val="6124F451"/>
    <w:rsid w:val="639C22A2"/>
    <w:rsid w:val="63A58626"/>
    <w:rsid w:val="6422A1E9"/>
    <w:rsid w:val="6477F6DC"/>
    <w:rsid w:val="665C5D14"/>
    <w:rsid w:val="665DD5F0"/>
    <w:rsid w:val="67977AD4"/>
    <w:rsid w:val="67CBAB29"/>
    <w:rsid w:val="67FF06C5"/>
    <w:rsid w:val="680D7F61"/>
    <w:rsid w:val="68479876"/>
    <w:rsid w:val="688883F3"/>
    <w:rsid w:val="6917374D"/>
    <w:rsid w:val="697A314C"/>
    <w:rsid w:val="6998D890"/>
    <w:rsid w:val="6A237116"/>
    <w:rsid w:val="6A8BDFB7"/>
    <w:rsid w:val="6AB5993B"/>
    <w:rsid w:val="6B4FB015"/>
    <w:rsid w:val="6BB9CE88"/>
    <w:rsid w:val="6C6B1B51"/>
    <w:rsid w:val="6CF739FB"/>
    <w:rsid w:val="6D41FD18"/>
    <w:rsid w:val="6D823838"/>
    <w:rsid w:val="6DBB6469"/>
    <w:rsid w:val="6DE7F5C1"/>
    <w:rsid w:val="6ED251D7"/>
    <w:rsid w:val="6F327573"/>
    <w:rsid w:val="7053EE0F"/>
    <w:rsid w:val="70F4FA2E"/>
    <w:rsid w:val="7106F44F"/>
    <w:rsid w:val="710E89BA"/>
    <w:rsid w:val="7142D2A7"/>
    <w:rsid w:val="719B887A"/>
    <w:rsid w:val="71F325A4"/>
    <w:rsid w:val="723B6748"/>
    <w:rsid w:val="72A95B54"/>
    <w:rsid w:val="72CCDC20"/>
    <w:rsid w:val="733BBEBB"/>
    <w:rsid w:val="737AF7F4"/>
    <w:rsid w:val="738BCAEE"/>
    <w:rsid w:val="7472FFE3"/>
    <w:rsid w:val="74A00500"/>
    <w:rsid w:val="74BE06F1"/>
    <w:rsid w:val="752AB734"/>
    <w:rsid w:val="759D7418"/>
    <w:rsid w:val="75AFBC54"/>
    <w:rsid w:val="75F372D3"/>
    <w:rsid w:val="7601DE21"/>
    <w:rsid w:val="762B7E1D"/>
    <w:rsid w:val="7631DA1C"/>
    <w:rsid w:val="767B7504"/>
    <w:rsid w:val="76A8C64C"/>
    <w:rsid w:val="7721ACE1"/>
    <w:rsid w:val="779A0872"/>
    <w:rsid w:val="78560373"/>
    <w:rsid w:val="788B5B6B"/>
    <w:rsid w:val="78A47155"/>
    <w:rsid w:val="78FBF941"/>
    <w:rsid w:val="7944CDBB"/>
    <w:rsid w:val="795E827C"/>
    <w:rsid w:val="7A175533"/>
    <w:rsid w:val="7B1CCB80"/>
    <w:rsid w:val="7BA106EC"/>
    <w:rsid w:val="7BE87932"/>
    <w:rsid w:val="7DCC7A7E"/>
    <w:rsid w:val="7E783EBF"/>
    <w:rsid w:val="7E8E724A"/>
    <w:rsid w:val="7F6A06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DC93"/>
  <w14:discardImageEditingDat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8"/>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6" w:qFormat="1"/>
    <w:lsdException w:name="Intense Quote" w:uiPriority="1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34E"/>
    <w:pPr>
      <w:spacing w:after="160" w:line="264" w:lineRule="auto"/>
    </w:pPr>
    <w:rPr>
      <w:color w:val="262626" w:themeColor="text1" w:themeTint="D9"/>
      <w:sz w:val="22"/>
    </w:rPr>
  </w:style>
  <w:style w:type="paragraph" w:styleId="Heading1">
    <w:name w:val="heading 1"/>
    <w:basedOn w:val="Normal"/>
    <w:next w:val="Normal"/>
    <w:link w:val="Heading1Char"/>
    <w:uiPriority w:val="2"/>
    <w:qFormat/>
    <w:rsid w:val="0091141A"/>
    <w:pPr>
      <w:keepNext/>
      <w:keepLines/>
      <w:spacing w:before="360" w:line="240" w:lineRule="auto"/>
      <w:outlineLvl w:val="0"/>
    </w:pPr>
    <w:rPr>
      <w:rFonts w:eastAsiaTheme="majorEastAsia" w:cstheme="minorHAnsi"/>
      <w:b/>
      <w:bCs/>
      <w:noProof/>
      <w:color w:val="007279" w:themeColor="accent1"/>
      <w:sz w:val="32"/>
      <w:szCs w:val="24"/>
    </w:rPr>
  </w:style>
  <w:style w:type="paragraph" w:styleId="Heading2">
    <w:name w:val="heading 2"/>
    <w:basedOn w:val="Normal"/>
    <w:next w:val="Normal"/>
    <w:link w:val="Heading2Char"/>
    <w:uiPriority w:val="2"/>
    <w:qFormat/>
    <w:rsid w:val="0091141A"/>
    <w:pPr>
      <w:keepNext/>
      <w:keepLines/>
      <w:spacing w:before="240" w:line="240" w:lineRule="auto"/>
      <w:outlineLvl w:val="1"/>
    </w:pPr>
    <w:rPr>
      <w:rFonts w:eastAsiaTheme="majorEastAsia" w:cstheme="minorHAnsi"/>
      <w:color w:val="007279" w:themeColor="accent1"/>
      <w:sz w:val="28"/>
      <w:szCs w:val="22"/>
    </w:rPr>
  </w:style>
  <w:style w:type="paragraph" w:styleId="Heading3">
    <w:name w:val="heading 3"/>
    <w:basedOn w:val="Heading4"/>
    <w:next w:val="Normal"/>
    <w:link w:val="Heading3Char"/>
    <w:uiPriority w:val="2"/>
    <w:qFormat/>
    <w:rsid w:val="00AE39E1"/>
    <w:pPr>
      <w:outlineLvl w:val="2"/>
    </w:pPr>
    <w:rPr>
      <w:color w:val="262626" w:themeColor="text1" w:themeTint="D9"/>
      <w:sz w:val="24"/>
      <w:szCs w:val="24"/>
    </w:rPr>
  </w:style>
  <w:style w:type="paragraph" w:styleId="Heading4">
    <w:name w:val="heading 4"/>
    <w:basedOn w:val="Normal"/>
    <w:next w:val="Normal"/>
    <w:link w:val="Heading4Char"/>
    <w:uiPriority w:val="2"/>
    <w:rsid w:val="006147EB"/>
    <w:pPr>
      <w:keepNext/>
      <w:keepLines/>
      <w:spacing w:before="240"/>
      <w:outlineLvl w:val="3"/>
    </w:pPr>
    <w:rPr>
      <w:rFonts w:eastAsiaTheme="majorEastAsia" w:cstheme="minorHAnsi"/>
      <w:b/>
      <w:color w:val="3266AB"/>
      <w:szCs w:val="22"/>
    </w:rPr>
  </w:style>
  <w:style w:type="paragraph" w:styleId="Heading5">
    <w:name w:val="heading 5"/>
    <w:basedOn w:val="Normal"/>
    <w:next w:val="Normal"/>
    <w:link w:val="Heading5Char"/>
    <w:uiPriority w:val="2"/>
    <w:unhideWhenUsed/>
    <w:rsid w:val="00857363"/>
    <w:pPr>
      <w:keepNext/>
      <w:keepLines/>
      <w:spacing w:before="240"/>
      <w:outlineLvl w:val="4"/>
    </w:pPr>
    <w:rPr>
      <w:rFonts w:eastAsiaTheme="majorEastAsia" w:cstheme="majorBidi"/>
      <w:iCs/>
      <w:color w:val="3266AB"/>
      <w:szCs w:val="22"/>
    </w:rPr>
  </w:style>
  <w:style w:type="paragraph" w:styleId="Heading6">
    <w:name w:val="heading 6"/>
    <w:basedOn w:val="Normal"/>
    <w:next w:val="Normal"/>
    <w:link w:val="Heading6Char"/>
    <w:uiPriority w:val="2"/>
    <w:unhideWhenUsed/>
    <w:rsid w:val="006200EB"/>
    <w:pPr>
      <w:keepNext/>
      <w:keepLines/>
      <w:spacing w:before="240"/>
      <w:outlineLvl w:val="5"/>
    </w:pPr>
    <w:rPr>
      <w:rFonts w:asciiTheme="majorHAnsi" w:eastAsiaTheme="majorEastAsia" w:hAnsiTheme="majorHAnsi" w:cstheme="majorBidi"/>
      <w:color w:val="3266AB"/>
    </w:rPr>
  </w:style>
  <w:style w:type="paragraph" w:styleId="Heading7">
    <w:name w:val="heading 7"/>
    <w:basedOn w:val="Normal"/>
    <w:next w:val="Normal"/>
    <w:link w:val="Heading7Char"/>
    <w:uiPriority w:val="2"/>
    <w:unhideWhenUsed/>
    <w:rsid w:val="006200EB"/>
    <w:pPr>
      <w:keepNext/>
      <w:keepLines/>
      <w:spacing w:before="240"/>
      <w:outlineLvl w:val="6"/>
    </w:pPr>
    <w:rPr>
      <w:rFonts w:asciiTheme="majorHAnsi" w:eastAsiaTheme="majorEastAsia" w:hAnsiTheme="majorHAnsi" w:cstheme="majorBidi"/>
      <w:b/>
      <w:bCs/>
      <w:color w:val="3266AB"/>
    </w:rPr>
  </w:style>
  <w:style w:type="paragraph" w:styleId="Heading8">
    <w:name w:val="heading 8"/>
    <w:basedOn w:val="Normal"/>
    <w:next w:val="Normal"/>
    <w:link w:val="Heading8Char"/>
    <w:uiPriority w:val="2"/>
    <w:unhideWhenUsed/>
    <w:rsid w:val="006200EB"/>
    <w:pPr>
      <w:keepNext/>
      <w:keepLines/>
      <w:spacing w:before="240"/>
      <w:outlineLvl w:val="7"/>
    </w:pPr>
    <w:rPr>
      <w:rFonts w:asciiTheme="majorHAnsi" w:eastAsiaTheme="majorEastAsia" w:hAnsiTheme="majorHAnsi" w:cstheme="majorBidi"/>
      <w:b/>
      <w:bCs/>
      <w:i/>
      <w:iCs/>
      <w:color w:val="3266AB"/>
      <w:sz w:val="20"/>
      <w:szCs w:val="20"/>
    </w:rPr>
  </w:style>
  <w:style w:type="paragraph" w:styleId="Heading9">
    <w:name w:val="heading 9"/>
    <w:basedOn w:val="Normal"/>
    <w:next w:val="Normal"/>
    <w:link w:val="Heading9Char"/>
    <w:uiPriority w:val="2"/>
    <w:unhideWhenUsed/>
    <w:rsid w:val="006200EB"/>
    <w:pPr>
      <w:keepNext/>
      <w:keepLines/>
      <w:spacing w:before="240"/>
      <w:outlineLvl w:val="8"/>
    </w:pPr>
    <w:rPr>
      <w:rFonts w:asciiTheme="majorHAnsi" w:eastAsiaTheme="majorEastAsia" w:hAnsiTheme="majorHAnsi" w:cstheme="majorBidi"/>
      <w:i/>
      <w:iCs/>
      <w:color w:val="3266A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91141A"/>
    <w:rPr>
      <w:rFonts w:eastAsiaTheme="majorEastAsia" w:cstheme="minorHAnsi"/>
      <w:b/>
      <w:bCs/>
      <w:noProof/>
      <w:color w:val="007279" w:themeColor="accent1"/>
      <w:sz w:val="32"/>
      <w:szCs w:val="24"/>
    </w:rPr>
  </w:style>
  <w:style w:type="paragraph" w:styleId="Title">
    <w:name w:val="Title"/>
    <w:basedOn w:val="Normal"/>
    <w:next w:val="Normal"/>
    <w:link w:val="TitleChar"/>
    <w:uiPriority w:val="18"/>
    <w:rsid w:val="0091141A"/>
    <w:pPr>
      <w:spacing w:after="240" w:line="240" w:lineRule="auto"/>
      <w:contextualSpacing/>
    </w:pPr>
    <w:rPr>
      <w:rFonts w:asciiTheme="majorHAnsi" w:eastAsiaTheme="majorEastAsia" w:hAnsiTheme="majorHAnsi" w:cstheme="majorBidi"/>
      <w:noProof/>
      <w:spacing w:val="-15"/>
      <w:sz w:val="48"/>
      <w:szCs w:val="56"/>
    </w:rPr>
  </w:style>
  <w:style w:type="character" w:customStyle="1" w:styleId="TitleChar">
    <w:name w:val="Title Char"/>
    <w:basedOn w:val="DefaultParagraphFont"/>
    <w:link w:val="Title"/>
    <w:uiPriority w:val="18"/>
    <w:rsid w:val="0091141A"/>
    <w:rPr>
      <w:rFonts w:asciiTheme="majorHAnsi" w:eastAsiaTheme="majorEastAsia" w:hAnsiTheme="majorHAnsi" w:cstheme="majorBidi"/>
      <w:noProof/>
      <w:spacing w:val="-15"/>
      <w:sz w:val="48"/>
      <w:szCs w:val="56"/>
    </w:rPr>
  </w:style>
  <w:style w:type="character" w:customStyle="1" w:styleId="Heading2Char">
    <w:name w:val="Heading 2 Char"/>
    <w:basedOn w:val="DefaultParagraphFont"/>
    <w:link w:val="Heading2"/>
    <w:uiPriority w:val="2"/>
    <w:rsid w:val="0091141A"/>
    <w:rPr>
      <w:rFonts w:eastAsiaTheme="majorEastAsia" w:cstheme="minorHAnsi"/>
      <w:color w:val="007279" w:themeColor="accent1"/>
      <w:sz w:val="28"/>
      <w:szCs w:val="22"/>
    </w:rPr>
  </w:style>
  <w:style w:type="character" w:customStyle="1" w:styleId="Heading3Char">
    <w:name w:val="Heading 3 Char"/>
    <w:basedOn w:val="DefaultParagraphFont"/>
    <w:link w:val="Heading3"/>
    <w:uiPriority w:val="2"/>
    <w:rsid w:val="00AE39E1"/>
    <w:rPr>
      <w:rFonts w:eastAsiaTheme="majorEastAsia" w:cstheme="minorHAnsi"/>
      <w:b/>
      <w:color w:val="262626" w:themeColor="text1" w:themeTint="D9"/>
      <w:sz w:val="24"/>
      <w:szCs w:val="24"/>
    </w:rPr>
  </w:style>
  <w:style w:type="character" w:customStyle="1" w:styleId="Heading4Char">
    <w:name w:val="Heading 4 Char"/>
    <w:basedOn w:val="DefaultParagraphFont"/>
    <w:link w:val="Heading4"/>
    <w:uiPriority w:val="2"/>
    <w:rsid w:val="006147EB"/>
    <w:rPr>
      <w:rFonts w:eastAsiaTheme="majorEastAsia" w:cstheme="minorHAnsi"/>
      <w:b/>
      <w:color w:val="3266AB"/>
      <w:sz w:val="22"/>
      <w:szCs w:val="22"/>
    </w:rPr>
  </w:style>
  <w:style w:type="character" w:customStyle="1" w:styleId="Heading5Char">
    <w:name w:val="Heading 5 Char"/>
    <w:basedOn w:val="DefaultParagraphFont"/>
    <w:link w:val="Heading5"/>
    <w:uiPriority w:val="2"/>
    <w:rsid w:val="00857363"/>
    <w:rPr>
      <w:rFonts w:eastAsiaTheme="majorEastAsia" w:cstheme="majorBidi"/>
      <w:iCs/>
      <w:color w:val="3266AB"/>
      <w:sz w:val="22"/>
      <w:szCs w:val="22"/>
    </w:rPr>
  </w:style>
  <w:style w:type="character" w:customStyle="1" w:styleId="Heading6Char">
    <w:name w:val="Heading 6 Char"/>
    <w:basedOn w:val="DefaultParagraphFont"/>
    <w:link w:val="Heading6"/>
    <w:uiPriority w:val="2"/>
    <w:rsid w:val="006200EB"/>
    <w:rPr>
      <w:rFonts w:asciiTheme="majorHAnsi" w:eastAsiaTheme="majorEastAsia" w:hAnsiTheme="majorHAnsi" w:cstheme="majorBidi"/>
      <w:color w:val="3266AB"/>
      <w:sz w:val="22"/>
    </w:rPr>
  </w:style>
  <w:style w:type="character" w:customStyle="1" w:styleId="Heading7Char">
    <w:name w:val="Heading 7 Char"/>
    <w:basedOn w:val="DefaultParagraphFont"/>
    <w:link w:val="Heading7"/>
    <w:uiPriority w:val="2"/>
    <w:rsid w:val="006200EB"/>
    <w:rPr>
      <w:rFonts w:asciiTheme="majorHAnsi" w:eastAsiaTheme="majorEastAsia" w:hAnsiTheme="majorHAnsi" w:cstheme="majorBidi"/>
      <w:b/>
      <w:bCs/>
      <w:color w:val="3266AB"/>
      <w:sz w:val="22"/>
    </w:rPr>
  </w:style>
  <w:style w:type="character" w:customStyle="1" w:styleId="Heading8Char">
    <w:name w:val="Heading 8 Char"/>
    <w:basedOn w:val="DefaultParagraphFont"/>
    <w:link w:val="Heading8"/>
    <w:uiPriority w:val="2"/>
    <w:rsid w:val="006200EB"/>
    <w:rPr>
      <w:rFonts w:asciiTheme="majorHAnsi" w:eastAsiaTheme="majorEastAsia" w:hAnsiTheme="majorHAnsi" w:cstheme="majorBidi"/>
      <w:b/>
      <w:bCs/>
      <w:i/>
      <w:iCs/>
      <w:color w:val="3266AB"/>
      <w:sz w:val="20"/>
      <w:szCs w:val="20"/>
    </w:rPr>
  </w:style>
  <w:style w:type="character" w:customStyle="1" w:styleId="Heading9Char">
    <w:name w:val="Heading 9 Char"/>
    <w:basedOn w:val="DefaultParagraphFont"/>
    <w:link w:val="Heading9"/>
    <w:uiPriority w:val="2"/>
    <w:rsid w:val="006200EB"/>
    <w:rPr>
      <w:rFonts w:asciiTheme="majorHAnsi" w:eastAsiaTheme="majorEastAsia" w:hAnsiTheme="majorHAnsi" w:cstheme="majorBidi"/>
      <w:i/>
      <w:iCs/>
      <w:color w:val="3266AB"/>
      <w:sz w:val="20"/>
      <w:szCs w:val="20"/>
    </w:rPr>
  </w:style>
  <w:style w:type="paragraph" w:styleId="Subtitle">
    <w:name w:val="Subtitle"/>
    <w:basedOn w:val="Normal"/>
    <w:next w:val="Normal"/>
    <w:link w:val="SubtitleChar"/>
    <w:uiPriority w:val="19"/>
    <w:rsid w:val="0091141A"/>
    <w:pPr>
      <w:numPr>
        <w:ilvl w:val="1"/>
      </w:numPr>
      <w:spacing w:line="240" w:lineRule="auto"/>
    </w:pPr>
    <w:rPr>
      <w:rFonts w:eastAsiaTheme="majorEastAsia" w:cstheme="minorHAnsi"/>
      <w:noProof/>
      <w:color w:val="6C6C6C" w:themeColor="background2" w:themeShade="80"/>
      <w:sz w:val="28"/>
      <w:szCs w:val="30"/>
    </w:rPr>
  </w:style>
  <w:style w:type="character" w:customStyle="1" w:styleId="SubtitleChar">
    <w:name w:val="Subtitle Char"/>
    <w:basedOn w:val="DefaultParagraphFont"/>
    <w:link w:val="Subtitle"/>
    <w:uiPriority w:val="19"/>
    <w:rsid w:val="0091141A"/>
    <w:rPr>
      <w:rFonts w:eastAsiaTheme="majorEastAsia" w:cstheme="minorHAnsi"/>
      <w:noProof/>
      <w:color w:val="6C6C6C" w:themeColor="background2" w:themeShade="80"/>
      <w:sz w:val="28"/>
      <w:szCs w:val="30"/>
    </w:rPr>
  </w:style>
  <w:style w:type="paragraph" w:styleId="NoSpacing">
    <w:name w:val="No Spacing"/>
    <w:uiPriority w:val="98"/>
    <w:unhideWhenUsed/>
    <w:rsid w:val="00D525B8"/>
    <w:pPr>
      <w:spacing w:after="0" w:line="240" w:lineRule="auto"/>
    </w:pPr>
  </w:style>
  <w:style w:type="paragraph" w:styleId="Caption">
    <w:name w:val="caption"/>
    <w:basedOn w:val="Normal"/>
    <w:next w:val="Normal"/>
    <w:uiPriority w:val="35"/>
    <w:semiHidden/>
    <w:unhideWhenUsed/>
    <w:qFormat/>
    <w:rsid w:val="00D525B8"/>
    <w:pPr>
      <w:spacing w:line="240" w:lineRule="auto"/>
    </w:pPr>
    <w:rPr>
      <w:b/>
      <w:bCs/>
      <w:smallCaps/>
      <w:color w:val="595959" w:themeColor="text1" w:themeTint="A6"/>
    </w:rPr>
  </w:style>
  <w:style w:type="character" w:styleId="Strong">
    <w:name w:val="Strong"/>
    <w:basedOn w:val="DefaultParagraphFont"/>
    <w:uiPriority w:val="22"/>
    <w:unhideWhenUsed/>
    <w:rsid w:val="00D525B8"/>
    <w:rPr>
      <w:b/>
      <w:bCs/>
    </w:rPr>
  </w:style>
  <w:style w:type="character" w:styleId="Emphasis">
    <w:name w:val="Emphasis"/>
    <w:basedOn w:val="DefaultParagraphFont"/>
    <w:uiPriority w:val="20"/>
    <w:unhideWhenUsed/>
    <w:qFormat/>
    <w:rsid w:val="005C0F15"/>
    <w:rPr>
      <w:i/>
      <w:iCs/>
      <w:color w:val="auto"/>
    </w:rPr>
  </w:style>
  <w:style w:type="paragraph" w:styleId="Quote">
    <w:name w:val="Quote"/>
    <w:basedOn w:val="Normal"/>
    <w:next w:val="Normal"/>
    <w:link w:val="QuoteChar"/>
    <w:uiPriority w:val="16"/>
    <w:qFormat/>
    <w:rsid w:val="00857363"/>
    <w:pPr>
      <w:spacing w:before="240"/>
      <w:ind w:left="720" w:right="720"/>
    </w:pPr>
    <w:rPr>
      <w:i/>
      <w:iCs/>
      <w:color w:val="3266AB"/>
    </w:rPr>
  </w:style>
  <w:style w:type="character" w:customStyle="1" w:styleId="QuoteChar">
    <w:name w:val="Quote Char"/>
    <w:basedOn w:val="DefaultParagraphFont"/>
    <w:link w:val="Quote"/>
    <w:uiPriority w:val="16"/>
    <w:rsid w:val="00857363"/>
    <w:rPr>
      <w:i/>
      <w:iCs/>
      <w:color w:val="3266AB"/>
      <w:sz w:val="22"/>
    </w:rPr>
  </w:style>
  <w:style w:type="paragraph" w:styleId="IntenseQuote">
    <w:name w:val="Intense Quote"/>
    <w:basedOn w:val="Normal"/>
    <w:next w:val="Normal"/>
    <w:link w:val="IntenseQuoteChar"/>
    <w:uiPriority w:val="17"/>
    <w:qFormat/>
    <w:rsid w:val="00857363"/>
    <w:pPr>
      <w:spacing w:before="120"/>
      <w:ind w:left="720" w:right="720"/>
    </w:pPr>
    <w:rPr>
      <w:rFonts w:asciiTheme="majorHAnsi" w:eastAsiaTheme="majorEastAsia" w:hAnsiTheme="majorHAnsi" w:cstheme="majorBidi"/>
      <w:i/>
      <w:iCs/>
      <w:color w:val="3266AB"/>
      <w:sz w:val="32"/>
      <w:szCs w:val="32"/>
    </w:rPr>
  </w:style>
  <w:style w:type="character" w:customStyle="1" w:styleId="IntenseQuoteChar">
    <w:name w:val="Intense Quote Char"/>
    <w:basedOn w:val="DefaultParagraphFont"/>
    <w:link w:val="IntenseQuote"/>
    <w:uiPriority w:val="17"/>
    <w:rsid w:val="00857363"/>
    <w:rPr>
      <w:rFonts w:asciiTheme="majorHAnsi" w:eastAsiaTheme="majorEastAsia" w:hAnsiTheme="majorHAnsi" w:cstheme="majorBidi"/>
      <w:i/>
      <w:iCs/>
      <w:color w:val="3266AB"/>
      <w:sz w:val="32"/>
      <w:szCs w:val="32"/>
    </w:rPr>
  </w:style>
  <w:style w:type="character" w:styleId="SubtleEmphasis">
    <w:name w:val="Subtle Emphasis"/>
    <w:basedOn w:val="DefaultParagraphFont"/>
    <w:uiPriority w:val="19"/>
    <w:unhideWhenUsed/>
    <w:rsid w:val="00D525B8"/>
    <w:rPr>
      <w:i/>
      <w:iCs/>
    </w:rPr>
  </w:style>
  <w:style w:type="character" w:styleId="IntenseEmphasis">
    <w:name w:val="Intense Emphasis"/>
    <w:basedOn w:val="DefaultParagraphFont"/>
    <w:uiPriority w:val="21"/>
    <w:unhideWhenUsed/>
    <w:rsid w:val="00D525B8"/>
    <w:rPr>
      <w:b/>
      <w:bCs/>
      <w:i/>
      <w:iCs/>
    </w:rPr>
  </w:style>
  <w:style w:type="character" w:styleId="SubtleReference">
    <w:name w:val="Subtle Reference"/>
    <w:basedOn w:val="DefaultParagraphFont"/>
    <w:uiPriority w:val="31"/>
    <w:unhideWhenUsed/>
    <w:rsid w:val="00D525B8"/>
    <w:rPr>
      <w:smallCaps/>
      <w:color w:val="595959" w:themeColor="text1" w:themeTint="A6"/>
    </w:rPr>
  </w:style>
  <w:style w:type="character" w:styleId="IntenseReference">
    <w:name w:val="Intense Reference"/>
    <w:basedOn w:val="DefaultParagraphFont"/>
    <w:uiPriority w:val="32"/>
    <w:unhideWhenUsed/>
    <w:rsid w:val="006200EB"/>
    <w:rPr>
      <w:b/>
      <w:bCs/>
      <w:smallCaps/>
      <w:color w:val="3266AB"/>
    </w:rPr>
  </w:style>
  <w:style w:type="paragraph" w:styleId="TOCHeading">
    <w:name w:val="TOC Heading"/>
    <w:basedOn w:val="Heading1"/>
    <w:next w:val="Normal"/>
    <w:uiPriority w:val="39"/>
    <w:unhideWhenUsed/>
    <w:rsid w:val="00D525B8"/>
    <w:pPr>
      <w:outlineLvl w:val="9"/>
    </w:pPr>
  </w:style>
  <w:style w:type="paragraph" w:styleId="Header">
    <w:name w:val="header"/>
    <w:basedOn w:val="Normal"/>
    <w:link w:val="HeaderChar"/>
    <w:uiPriority w:val="99"/>
    <w:unhideWhenUsed/>
    <w:rsid w:val="00F95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7C6"/>
  </w:style>
  <w:style w:type="paragraph" w:styleId="Footer">
    <w:name w:val="footer"/>
    <w:basedOn w:val="Normal"/>
    <w:link w:val="FooterChar"/>
    <w:uiPriority w:val="99"/>
    <w:unhideWhenUsed/>
    <w:rsid w:val="00F95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7C6"/>
  </w:style>
  <w:style w:type="character" w:styleId="PlaceholderText">
    <w:name w:val="Placeholder Text"/>
    <w:basedOn w:val="DefaultParagraphFont"/>
    <w:uiPriority w:val="99"/>
    <w:semiHidden/>
    <w:rsid w:val="005226B9"/>
    <w:rPr>
      <w:color w:val="808080"/>
    </w:rPr>
  </w:style>
  <w:style w:type="paragraph" w:styleId="BalloonText">
    <w:name w:val="Balloon Text"/>
    <w:basedOn w:val="Normal"/>
    <w:link w:val="BalloonTextChar"/>
    <w:uiPriority w:val="99"/>
    <w:semiHidden/>
    <w:unhideWhenUsed/>
    <w:rsid w:val="00522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6B9"/>
    <w:rPr>
      <w:rFonts w:ascii="Segoe UI" w:hAnsi="Segoe UI" w:cs="Segoe UI"/>
      <w:sz w:val="18"/>
      <w:szCs w:val="18"/>
    </w:rPr>
  </w:style>
  <w:style w:type="paragraph" w:customStyle="1" w:styleId="CLASSIFICATION">
    <w:name w:val="CLASSIFICATION"/>
    <w:basedOn w:val="Normal"/>
    <w:link w:val="CLASSIFICATIONChar"/>
    <w:autoRedefine/>
    <w:uiPriority w:val="99"/>
    <w:unhideWhenUsed/>
    <w:rsid w:val="00F86700"/>
    <w:pPr>
      <w:jc w:val="center"/>
    </w:pPr>
    <w:rPr>
      <w:rFonts w:ascii="Segoe UI" w:hAnsi="Segoe UI"/>
      <w:caps/>
      <w:color w:val="C00000"/>
      <w:sz w:val="18"/>
    </w:rPr>
  </w:style>
  <w:style w:type="paragraph" w:customStyle="1" w:styleId="BOXHeading2">
    <w:name w:val="BOX Heading 2"/>
    <w:basedOn w:val="Heading2"/>
    <w:next w:val="BOXText"/>
    <w:uiPriority w:val="6"/>
    <w:qFormat/>
    <w:rsid w:val="0091141A"/>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ind w:left="227" w:right="227"/>
    </w:pPr>
  </w:style>
  <w:style w:type="character" w:customStyle="1" w:styleId="CLASSIFICATIONChar">
    <w:name w:val="CLASSIFICATION Char"/>
    <w:basedOn w:val="DefaultParagraphFont"/>
    <w:link w:val="CLASSIFICATION"/>
    <w:uiPriority w:val="99"/>
    <w:rsid w:val="00F86700"/>
    <w:rPr>
      <w:rFonts w:ascii="Segoe UI" w:hAnsi="Segoe UI"/>
      <w:caps/>
      <w:color w:val="C00000"/>
      <w:sz w:val="18"/>
    </w:rPr>
  </w:style>
  <w:style w:type="paragraph" w:customStyle="1" w:styleId="BOXText">
    <w:name w:val="BOX Text"/>
    <w:basedOn w:val="Normal"/>
    <w:next w:val="Normal"/>
    <w:uiPriority w:val="4"/>
    <w:qFormat/>
    <w:rsid w:val="005F3B45"/>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tabs>
        <w:tab w:val="left" w:pos="3300"/>
      </w:tabs>
      <w:ind w:left="227" w:right="227"/>
    </w:pPr>
    <w:rPr>
      <w:sz w:val="18"/>
      <w:szCs w:val="18"/>
    </w:rPr>
  </w:style>
  <w:style w:type="paragraph" w:customStyle="1" w:styleId="BOXBulletedList">
    <w:name w:val="BOX Bulleted List"/>
    <w:basedOn w:val="BOXText"/>
    <w:uiPriority w:val="5"/>
    <w:qFormat/>
    <w:rsid w:val="00BD171D"/>
    <w:pPr>
      <w:numPr>
        <w:numId w:val="1"/>
      </w:numPr>
      <w:ind w:left="511"/>
    </w:pPr>
  </w:style>
  <w:style w:type="table" w:styleId="TableGrid">
    <w:name w:val="Table Grid"/>
    <w:basedOn w:val="TableNormal"/>
    <w:uiPriority w:val="59"/>
    <w:rsid w:val="00BD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BD57F5"/>
    <w:pPr>
      <w:spacing w:after="0" w:line="240" w:lineRule="auto"/>
    </w:pPr>
    <w:tblPr>
      <w:tblStyleRowBandSize w:val="1"/>
      <w:tblStyleColBandSize w:val="1"/>
      <w:tblBorders>
        <w:top w:val="single" w:sz="4" w:space="0" w:color="15F1FF" w:themeColor="accent1" w:themeTint="99"/>
        <w:left w:val="single" w:sz="4" w:space="0" w:color="15F1FF" w:themeColor="accent1" w:themeTint="99"/>
        <w:bottom w:val="single" w:sz="4" w:space="0" w:color="15F1FF" w:themeColor="accent1" w:themeTint="99"/>
        <w:right w:val="single" w:sz="4" w:space="0" w:color="15F1FF" w:themeColor="accent1" w:themeTint="99"/>
        <w:insideH w:val="single" w:sz="4" w:space="0" w:color="15F1FF" w:themeColor="accent1" w:themeTint="99"/>
      </w:tblBorders>
    </w:tblPr>
    <w:tblStylePr w:type="firstRow">
      <w:rPr>
        <w:b/>
        <w:bCs/>
        <w:color w:val="FFFFFF" w:themeColor="background1"/>
      </w:rPr>
      <w:tblPr/>
      <w:tcPr>
        <w:tcBorders>
          <w:top w:val="single" w:sz="4" w:space="0" w:color="007279" w:themeColor="accent1"/>
          <w:left w:val="single" w:sz="4" w:space="0" w:color="007279" w:themeColor="accent1"/>
          <w:bottom w:val="single" w:sz="4" w:space="0" w:color="007279" w:themeColor="accent1"/>
          <w:right w:val="single" w:sz="4" w:space="0" w:color="007279" w:themeColor="accent1"/>
          <w:insideH w:val="nil"/>
        </w:tcBorders>
        <w:shd w:val="clear" w:color="auto" w:fill="007279" w:themeFill="accent1"/>
      </w:tcPr>
    </w:tblStylePr>
    <w:tblStylePr w:type="lastRow">
      <w:rPr>
        <w:b/>
        <w:bCs/>
      </w:rPr>
      <w:tblPr/>
      <w:tcPr>
        <w:tcBorders>
          <w:top w:val="double" w:sz="4" w:space="0" w:color="15F1FF" w:themeColor="accent1" w:themeTint="99"/>
        </w:tcBorders>
      </w:tcPr>
    </w:tblStylePr>
    <w:tblStylePr w:type="firstCol">
      <w:rPr>
        <w:b/>
        <w:bCs/>
      </w:rPr>
    </w:tblStylePr>
    <w:tblStylePr w:type="lastCol">
      <w:rPr>
        <w:b/>
        <w:bCs/>
      </w:rPr>
    </w:tblStylePr>
    <w:tblStylePr w:type="band1Vert">
      <w:tblPr/>
      <w:tcPr>
        <w:shd w:val="clear" w:color="auto" w:fill="B1FAFF" w:themeFill="accent1" w:themeFillTint="33"/>
      </w:tcPr>
    </w:tblStylePr>
    <w:tblStylePr w:type="band1Horz">
      <w:tblPr/>
      <w:tcPr>
        <w:shd w:val="clear" w:color="auto" w:fill="B1FAFF" w:themeFill="accent1" w:themeFillTint="33"/>
      </w:tcPr>
    </w:tblStylePr>
  </w:style>
  <w:style w:type="paragraph" w:customStyle="1" w:styleId="Figure">
    <w:name w:val="Figure"/>
    <w:basedOn w:val="Normal"/>
    <w:uiPriority w:val="2"/>
    <w:qFormat/>
    <w:rsid w:val="006147EB"/>
    <w:pPr>
      <w:numPr>
        <w:numId w:val="27"/>
      </w:numPr>
      <w:spacing w:before="240"/>
    </w:pPr>
    <w:rPr>
      <w:rFonts w:ascii="Segoe UI" w:hAnsi="Segoe UI" w:cs="Segoe UI"/>
      <w:color w:val="3266AB"/>
    </w:rPr>
  </w:style>
  <w:style w:type="paragraph" w:customStyle="1" w:styleId="TBLHeading">
    <w:name w:val="TBL Heading"/>
    <w:basedOn w:val="Normal"/>
    <w:autoRedefine/>
    <w:uiPriority w:val="11"/>
    <w:qFormat/>
    <w:rsid w:val="009615D2"/>
    <w:pPr>
      <w:spacing w:after="0" w:line="240" w:lineRule="auto"/>
    </w:pPr>
    <w:rPr>
      <w:rFonts w:ascii="Segoe UI" w:hAnsi="Segoe UI" w:cs="Segoe UI"/>
      <w:color w:val="FFFFFF" w:themeColor="background1"/>
      <w:sz w:val="18"/>
    </w:rPr>
  </w:style>
  <w:style w:type="paragraph" w:customStyle="1" w:styleId="TBLText">
    <w:name w:val="TBL Text"/>
    <w:basedOn w:val="Normal"/>
    <w:uiPriority w:val="9"/>
    <w:qFormat/>
    <w:rsid w:val="004D3335"/>
    <w:pPr>
      <w:spacing w:after="120" w:line="240" w:lineRule="auto"/>
    </w:pPr>
    <w:rPr>
      <w:sz w:val="18"/>
      <w:szCs w:val="18"/>
    </w:rPr>
  </w:style>
  <w:style w:type="paragraph" w:customStyle="1" w:styleId="TBLBulletedList">
    <w:name w:val="TBL Bulleted List"/>
    <w:basedOn w:val="TBLText"/>
    <w:uiPriority w:val="10"/>
    <w:qFormat/>
    <w:rsid w:val="006C62B2"/>
    <w:pPr>
      <w:numPr>
        <w:numId w:val="12"/>
      </w:numPr>
      <w:ind w:left="204" w:hanging="204"/>
    </w:pPr>
  </w:style>
  <w:style w:type="paragraph" w:customStyle="1" w:styleId="TBLNumberedList">
    <w:name w:val="TBL Numbered List"/>
    <w:basedOn w:val="TBLText"/>
    <w:uiPriority w:val="10"/>
    <w:qFormat/>
    <w:rsid w:val="00E05FA4"/>
    <w:pPr>
      <w:numPr>
        <w:numId w:val="13"/>
      </w:numPr>
      <w:ind w:left="270" w:hanging="270"/>
    </w:pPr>
  </w:style>
  <w:style w:type="paragraph" w:customStyle="1" w:styleId="BOXHeading3">
    <w:name w:val="BOX Heading 3"/>
    <w:basedOn w:val="BOXHeading2"/>
    <w:next w:val="BOXText"/>
    <w:uiPriority w:val="6"/>
    <w:qFormat/>
    <w:rsid w:val="00857363"/>
    <w:pPr>
      <w:outlineLvl w:val="2"/>
    </w:pPr>
    <w:rPr>
      <w:b/>
      <w:sz w:val="24"/>
      <w:szCs w:val="26"/>
    </w:rPr>
  </w:style>
  <w:style w:type="paragraph" w:styleId="ListParagraph">
    <w:name w:val="List Paragraph"/>
    <w:aliases w:val="Bulleted Para,CV text,DDM Gen Text,Dot pt,F5 List Paragraph,FooterText,L,List Paragraph1,List Paragraph11,List Paragraph111,List Paragraph2,Medium Grid 1 - Accent 21,NFP GP Bulleted List,Numbered Paragraph,Recommendation,numbered,列出段落,3,l"/>
    <w:basedOn w:val="Normal"/>
    <w:link w:val="ListParagraphChar"/>
    <w:uiPriority w:val="34"/>
    <w:unhideWhenUsed/>
    <w:qFormat/>
    <w:rsid w:val="005917FD"/>
    <w:pPr>
      <w:ind w:left="720"/>
      <w:contextualSpacing/>
    </w:pPr>
  </w:style>
  <w:style w:type="paragraph" w:customStyle="1" w:styleId="BulletedList-Level1">
    <w:name w:val="Bulleted List - Level 1"/>
    <w:basedOn w:val="ListParagraph"/>
    <w:uiPriority w:val="1"/>
    <w:qFormat/>
    <w:rsid w:val="00BD171D"/>
    <w:pPr>
      <w:numPr>
        <w:numId w:val="14"/>
      </w:numPr>
      <w:ind w:left="568" w:hanging="284"/>
    </w:pPr>
  </w:style>
  <w:style w:type="paragraph" w:customStyle="1" w:styleId="BulletedList-Level2">
    <w:name w:val="Bulleted List - Level 2"/>
    <w:basedOn w:val="BulletedList-Level1"/>
    <w:uiPriority w:val="1"/>
    <w:qFormat/>
    <w:rsid w:val="00BD171D"/>
    <w:pPr>
      <w:numPr>
        <w:numId w:val="30"/>
      </w:numPr>
    </w:pPr>
  </w:style>
  <w:style w:type="paragraph" w:customStyle="1" w:styleId="BulletedList-Level3">
    <w:name w:val="Bulleted List - Level 3"/>
    <w:basedOn w:val="ListParagraph"/>
    <w:uiPriority w:val="1"/>
    <w:qFormat/>
    <w:rsid w:val="00BD171D"/>
    <w:pPr>
      <w:numPr>
        <w:numId w:val="31"/>
      </w:numPr>
      <w:ind w:left="1135" w:hanging="284"/>
    </w:pPr>
  </w:style>
  <w:style w:type="paragraph" w:customStyle="1" w:styleId="NumberedList-Level1">
    <w:name w:val="Numbered List - Level 1"/>
    <w:basedOn w:val="ListParagraph"/>
    <w:uiPriority w:val="1"/>
    <w:qFormat/>
    <w:rsid w:val="00BD171D"/>
    <w:pPr>
      <w:numPr>
        <w:numId w:val="21"/>
      </w:numPr>
      <w:ind w:left="568" w:hanging="284"/>
    </w:pPr>
  </w:style>
  <w:style w:type="paragraph" w:customStyle="1" w:styleId="NumberedList-level2">
    <w:name w:val="Numbered List - level 2"/>
    <w:basedOn w:val="ListParagraph"/>
    <w:uiPriority w:val="1"/>
    <w:qFormat/>
    <w:rsid w:val="00BD171D"/>
    <w:pPr>
      <w:numPr>
        <w:ilvl w:val="1"/>
        <w:numId w:val="21"/>
      </w:numPr>
    </w:pPr>
  </w:style>
  <w:style w:type="paragraph" w:customStyle="1" w:styleId="NumberedList-Level3">
    <w:name w:val="Numbered List - Level 3"/>
    <w:basedOn w:val="ListParagraph"/>
    <w:uiPriority w:val="1"/>
    <w:qFormat/>
    <w:rsid w:val="00BD171D"/>
    <w:pPr>
      <w:numPr>
        <w:ilvl w:val="2"/>
        <w:numId w:val="21"/>
      </w:numPr>
    </w:pPr>
  </w:style>
  <w:style w:type="paragraph" w:customStyle="1" w:styleId="BoxDark-HeadingLevel1">
    <w:name w:val="Box Dark - Heading Level 1"/>
    <w:basedOn w:val="BOXHeading2"/>
    <w:uiPriority w:val="9"/>
    <w:rsid w:val="00311C2D"/>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color w:val="FFFFFF" w:themeColor="background1"/>
    </w:rPr>
  </w:style>
  <w:style w:type="paragraph" w:styleId="TOC1">
    <w:name w:val="toc 1"/>
    <w:basedOn w:val="Normal"/>
    <w:next w:val="Normal"/>
    <w:autoRedefine/>
    <w:uiPriority w:val="39"/>
    <w:unhideWhenUsed/>
    <w:rsid w:val="00117A77"/>
    <w:pPr>
      <w:spacing w:after="100"/>
    </w:pPr>
  </w:style>
  <w:style w:type="paragraph" w:styleId="TOC2">
    <w:name w:val="toc 2"/>
    <w:basedOn w:val="Normal"/>
    <w:next w:val="Normal"/>
    <w:autoRedefine/>
    <w:uiPriority w:val="39"/>
    <w:unhideWhenUsed/>
    <w:rsid w:val="00117A77"/>
    <w:pPr>
      <w:spacing w:after="100"/>
      <w:ind w:left="220"/>
    </w:pPr>
  </w:style>
  <w:style w:type="paragraph" w:styleId="TOC3">
    <w:name w:val="toc 3"/>
    <w:basedOn w:val="Normal"/>
    <w:next w:val="Normal"/>
    <w:autoRedefine/>
    <w:uiPriority w:val="39"/>
    <w:unhideWhenUsed/>
    <w:rsid w:val="00117A77"/>
    <w:pPr>
      <w:spacing w:after="100"/>
      <w:ind w:left="440"/>
    </w:pPr>
  </w:style>
  <w:style w:type="character" w:styleId="Hyperlink">
    <w:name w:val="Hyperlink"/>
    <w:basedOn w:val="DefaultParagraphFont"/>
    <w:uiPriority w:val="99"/>
    <w:unhideWhenUsed/>
    <w:rsid w:val="00117A77"/>
    <w:rPr>
      <w:color w:val="007279" w:themeColor="hyperlink"/>
      <w:u w:val="single"/>
    </w:rPr>
  </w:style>
  <w:style w:type="paragraph" w:customStyle="1" w:styleId="BoxDark-HeadingLevel3">
    <w:name w:val="Box Dark - Heading Level 3"/>
    <w:basedOn w:val="BOXHeading3"/>
    <w:uiPriority w:val="9"/>
    <w:rsid w:val="00311C2D"/>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color w:val="FFFFFF" w:themeColor="background1"/>
    </w:rPr>
  </w:style>
  <w:style w:type="paragraph" w:customStyle="1" w:styleId="BoxDark-Text">
    <w:name w:val="Box Dark - Text"/>
    <w:basedOn w:val="BOXText"/>
    <w:uiPriority w:val="7"/>
    <w:rsid w:val="00FE2C7F"/>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rFonts w:ascii="Segoe UI Semilight" w:hAnsi="Segoe UI Semilight"/>
      <w:color w:val="FFFFFF" w:themeColor="background1"/>
    </w:rPr>
  </w:style>
  <w:style w:type="paragraph" w:customStyle="1" w:styleId="BoxDark-BulletedList">
    <w:name w:val="Box Dark - Bulleted List"/>
    <w:basedOn w:val="BOXBulletedList"/>
    <w:uiPriority w:val="8"/>
    <w:rsid w:val="00FE2C7F"/>
    <w:p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pPr>
    <w:rPr>
      <w:rFonts w:ascii="Segoe UI Semilight" w:hAnsi="Segoe UI Semilight"/>
    </w:rPr>
  </w:style>
  <w:style w:type="paragraph" w:customStyle="1" w:styleId="BOXNumberedList">
    <w:name w:val="BOX Numbered List"/>
    <w:basedOn w:val="BOXText"/>
    <w:uiPriority w:val="5"/>
    <w:qFormat/>
    <w:rsid w:val="00BD171D"/>
    <w:pPr>
      <w:numPr>
        <w:numId w:val="28"/>
      </w:numPr>
      <w:ind w:left="584" w:hanging="357"/>
    </w:pPr>
  </w:style>
  <w:style w:type="paragraph" w:customStyle="1" w:styleId="BoxDark-NumberedList">
    <w:name w:val="Box Dark - Numbered List"/>
    <w:basedOn w:val="BOXNumberedList"/>
    <w:uiPriority w:val="8"/>
    <w:rsid w:val="00FE2C7F"/>
    <w:pPr>
      <w:numPr>
        <w:numId w:val="29"/>
      </w:numPr>
      <w:pBdr>
        <w:top w:val="single" w:sz="48" w:space="1" w:color="007279" w:themeColor="accent1"/>
        <w:left w:val="single" w:sz="48" w:space="4" w:color="007279" w:themeColor="accent1"/>
        <w:bottom w:val="single" w:sz="48" w:space="1" w:color="007279" w:themeColor="accent1"/>
        <w:right w:val="single" w:sz="48" w:space="4" w:color="007279" w:themeColor="accent1"/>
      </w:pBdr>
      <w:shd w:val="clear" w:color="auto" w:fill="007279" w:themeFill="accent1"/>
      <w:ind w:left="584" w:hanging="357"/>
    </w:pPr>
  </w:style>
  <w:style w:type="table" w:customStyle="1" w:styleId="Custom1">
    <w:name w:val="Custom 1"/>
    <w:basedOn w:val="TableNormal"/>
    <w:uiPriority w:val="99"/>
    <w:rsid w:val="00665FB6"/>
    <w:pPr>
      <w:spacing w:after="0" w:line="240" w:lineRule="auto"/>
    </w:pPr>
    <w:rPr>
      <w:sz w:val="18"/>
    </w:rPr>
    <w:tblPr>
      <w:tblStyleRowBandSize w:val="1"/>
      <w:tblBorders>
        <w:top w:val="single" w:sz="4" w:space="0" w:color="007279" w:themeColor="accent1"/>
        <w:bottom w:val="single" w:sz="12" w:space="0" w:color="007279" w:themeColor="accent1"/>
        <w:insideH w:val="single" w:sz="4" w:space="0" w:color="007279" w:themeColor="accent1"/>
      </w:tblBorders>
      <w:tblCellMar>
        <w:top w:w="57" w:type="dxa"/>
        <w:bottom w:w="57" w:type="dxa"/>
      </w:tblCellMar>
    </w:tblPr>
    <w:tblStylePr w:type="firstRow">
      <w:rPr>
        <w:rFonts w:asciiTheme="minorHAnsi" w:hAnsiTheme="minorHAnsi"/>
        <w:b/>
        <w:sz w:val="18"/>
      </w:rPr>
      <w:tblPr/>
      <w:tcPr>
        <w:shd w:val="clear" w:color="auto" w:fill="007279" w:themeFill="accent1"/>
      </w:tcPr>
    </w:tblStylePr>
    <w:tblStylePr w:type="band1Horz">
      <w:tblPr/>
      <w:tcPr>
        <w:shd w:val="clear" w:color="auto" w:fill="D8D8D8" w:themeFill="background2"/>
      </w:tcPr>
    </w:tblStylePr>
  </w:style>
  <w:style w:type="table" w:customStyle="1" w:styleId="Style1">
    <w:name w:val="Style1"/>
    <w:basedOn w:val="Custom1"/>
    <w:uiPriority w:val="99"/>
    <w:rsid w:val="00D500C1"/>
    <w:tblPr>
      <w:tblBorders>
        <w:top w:val="none" w:sz="0" w:space="0" w:color="auto"/>
        <w:left w:val="single" w:sz="4" w:space="0" w:color="007279" w:themeColor="accent1"/>
        <w:bottom w:val="single" w:sz="4" w:space="0" w:color="007279" w:themeColor="accent1"/>
        <w:right w:val="single" w:sz="4" w:space="0" w:color="007279" w:themeColor="accent1"/>
        <w:insideH w:val="none" w:sz="0" w:space="0" w:color="auto"/>
        <w:insideV w:val="single" w:sz="4" w:space="0" w:color="007279" w:themeColor="accent1"/>
      </w:tblBorders>
    </w:tblPr>
    <w:tblStylePr w:type="firstRow">
      <w:rPr>
        <w:rFonts w:asciiTheme="minorHAnsi" w:hAnsiTheme="minorHAnsi"/>
        <w:b/>
        <w:sz w:val="18"/>
      </w:rPr>
      <w:tblPr/>
      <w:tcPr>
        <w:shd w:val="clear" w:color="auto" w:fill="007279" w:themeFill="accent1"/>
      </w:tcPr>
    </w:tblStylePr>
    <w:tblStylePr w:type="firstCol">
      <w:rPr>
        <w:b/>
      </w:rPr>
      <w:tblPr/>
      <w:tcPr>
        <w:shd w:val="clear" w:color="auto" w:fill="007279" w:themeFill="accent1"/>
      </w:tcPr>
    </w:tblStylePr>
    <w:tblStylePr w:type="band1Horz">
      <w:tblPr/>
      <w:tcPr>
        <w:shd w:val="clear" w:color="auto" w:fill="D8D8D8" w:themeFill="background2"/>
      </w:tcPr>
    </w:tblStylePr>
  </w:style>
  <w:style w:type="character" w:styleId="UnresolvedMention">
    <w:name w:val="Unresolved Mention"/>
    <w:basedOn w:val="DefaultParagraphFont"/>
    <w:uiPriority w:val="99"/>
    <w:semiHidden/>
    <w:unhideWhenUsed/>
    <w:rsid w:val="006C7E16"/>
    <w:rPr>
      <w:color w:val="605E5C"/>
      <w:shd w:val="clear" w:color="auto" w:fill="E1DFDD"/>
    </w:rPr>
  </w:style>
  <w:style w:type="paragraph" w:styleId="Revision">
    <w:name w:val="Revision"/>
    <w:hidden/>
    <w:uiPriority w:val="99"/>
    <w:semiHidden/>
    <w:rsid w:val="005F66F9"/>
    <w:pPr>
      <w:spacing w:after="0" w:line="240" w:lineRule="auto"/>
    </w:pPr>
    <w:rPr>
      <w:sz w:val="22"/>
    </w:rPr>
  </w:style>
  <w:style w:type="character" w:styleId="CommentReference">
    <w:name w:val="annotation reference"/>
    <w:basedOn w:val="DefaultParagraphFont"/>
    <w:uiPriority w:val="99"/>
    <w:semiHidden/>
    <w:unhideWhenUsed/>
    <w:rsid w:val="00810E90"/>
    <w:rPr>
      <w:sz w:val="16"/>
      <w:szCs w:val="16"/>
    </w:rPr>
  </w:style>
  <w:style w:type="paragraph" w:styleId="CommentText">
    <w:name w:val="annotation text"/>
    <w:basedOn w:val="Normal"/>
    <w:link w:val="CommentTextChar"/>
    <w:uiPriority w:val="99"/>
    <w:unhideWhenUsed/>
    <w:rsid w:val="00810E90"/>
    <w:pPr>
      <w:spacing w:line="240" w:lineRule="auto"/>
    </w:pPr>
    <w:rPr>
      <w:sz w:val="20"/>
      <w:szCs w:val="20"/>
    </w:rPr>
  </w:style>
  <w:style w:type="character" w:customStyle="1" w:styleId="CommentTextChar">
    <w:name w:val="Comment Text Char"/>
    <w:basedOn w:val="DefaultParagraphFont"/>
    <w:link w:val="CommentText"/>
    <w:uiPriority w:val="99"/>
    <w:rsid w:val="00810E90"/>
    <w:rPr>
      <w:sz w:val="20"/>
      <w:szCs w:val="20"/>
    </w:rPr>
  </w:style>
  <w:style w:type="paragraph" w:styleId="CommentSubject">
    <w:name w:val="annotation subject"/>
    <w:basedOn w:val="CommentText"/>
    <w:next w:val="CommentText"/>
    <w:link w:val="CommentSubjectChar"/>
    <w:uiPriority w:val="99"/>
    <w:semiHidden/>
    <w:unhideWhenUsed/>
    <w:rsid w:val="00810E90"/>
    <w:rPr>
      <w:b/>
      <w:bCs/>
    </w:rPr>
  </w:style>
  <w:style w:type="character" w:customStyle="1" w:styleId="CommentSubjectChar">
    <w:name w:val="Comment Subject Char"/>
    <w:basedOn w:val="CommentTextChar"/>
    <w:link w:val="CommentSubject"/>
    <w:uiPriority w:val="99"/>
    <w:semiHidden/>
    <w:rsid w:val="00810E90"/>
    <w:rPr>
      <w:b/>
      <w:bCs/>
      <w:sz w:val="20"/>
      <w:szCs w:val="20"/>
    </w:rPr>
  </w:style>
  <w:style w:type="character" w:styleId="FollowedHyperlink">
    <w:name w:val="FollowedHyperlink"/>
    <w:basedOn w:val="DefaultParagraphFont"/>
    <w:uiPriority w:val="99"/>
    <w:semiHidden/>
    <w:unhideWhenUsed/>
    <w:rsid w:val="000E5B4B"/>
    <w:rPr>
      <w:color w:val="007279" w:themeColor="followedHyperlink"/>
      <w:u w:val="single"/>
    </w:rPr>
  </w:style>
  <w:style w:type="table" w:customStyle="1" w:styleId="LightGrid-Accent21">
    <w:name w:val="Light Grid - Accent 21"/>
    <w:basedOn w:val="TableNormal"/>
    <w:next w:val="LightGrid-Accent2"/>
    <w:uiPriority w:val="62"/>
    <w:rsid w:val="00A17097"/>
    <w:pPr>
      <w:spacing w:after="0" w:line="240" w:lineRule="auto"/>
    </w:pPr>
    <w:rPr>
      <w:rFonts w:eastAsia="Times New Roman" w:cs="Times New Roman"/>
      <w:sz w:val="24"/>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auto"/>
    </w:tcPr>
    <w:tblStylePr w:type="firstRow">
      <w:pPr>
        <w:spacing w:before="0" w:after="0" w:line="240" w:lineRule="auto"/>
      </w:pPr>
      <w:rPr>
        <w:rFonts w:ascii="Cardo" w:eastAsia="Times New Roman" w:hAnsi="Cardo" w:cs="Times New Roman"/>
        <w:b/>
        <w:bCs/>
      </w:rPr>
      <w:tblPr/>
      <w:tcPr>
        <w:shd w:val="clear" w:color="auto" w:fill="CD0920"/>
      </w:tcPr>
    </w:tblStylePr>
    <w:tblStylePr w:type="lastRow">
      <w:pPr>
        <w:spacing w:before="0" w:after="0" w:line="240" w:lineRule="auto"/>
      </w:pPr>
      <w:rPr>
        <w:rFonts w:ascii="Cardo" w:eastAsia="Times New Roman" w:hAnsi="Cardo"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rdo" w:eastAsia="Times New Roman" w:hAnsi="Cardo" w:cs="Times New Roman"/>
        <w:b/>
        <w:bCs/>
      </w:rPr>
    </w:tblStylePr>
    <w:tblStylePr w:type="lastCol">
      <w:rPr>
        <w:rFonts w:ascii="Cardo" w:eastAsia="Times New Roman" w:hAnsi="Cardo"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semiHidden/>
    <w:unhideWhenUsed/>
    <w:rsid w:val="00A17097"/>
    <w:pPr>
      <w:spacing w:after="0" w:line="240" w:lineRule="auto"/>
    </w:pPr>
    <w:tblPr>
      <w:tblStyleRowBandSize w:val="1"/>
      <w:tblStyleColBandSize w:val="1"/>
      <w:tblBorders>
        <w:top w:val="single" w:sz="8" w:space="0" w:color="1C2B39" w:themeColor="accent2"/>
        <w:left w:val="single" w:sz="8" w:space="0" w:color="1C2B39" w:themeColor="accent2"/>
        <w:bottom w:val="single" w:sz="8" w:space="0" w:color="1C2B39" w:themeColor="accent2"/>
        <w:right w:val="single" w:sz="8" w:space="0" w:color="1C2B39" w:themeColor="accent2"/>
        <w:insideH w:val="single" w:sz="8" w:space="0" w:color="1C2B39" w:themeColor="accent2"/>
        <w:insideV w:val="single" w:sz="8" w:space="0" w:color="1C2B3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2B39" w:themeColor="accent2"/>
          <w:left w:val="single" w:sz="8" w:space="0" w:color="1C2B39" w:themeColor="accent2"/>
          <w:bottom w:val="single" w:sz="18" w:space="0" w:color="1C2B39" w:themeColor="accent2"/>
          <w:right w:val="single" w:sz="8" w:space="0" w:color="1C2B39" w:themeColor="accent2"/>
          <w:insideH w:val="nil"/>
          <w:insideV w:val="single" w:sz="8" w:space="0" w:color="1C2B3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2B39" w:themeColor="accent2"/>
          <w:left w:val="single" w:sz="8" w:space="0" w:color="1C2B39" w:themeColor="accent2"/>
          <w:bottom w:val="single" w:sz="8" w:space="0" w:color="1C2B39" w:themeColor="accent2"/>
          <w:right w:val="single" w:sz="8" w:space="0" w:color="1C2B39" w:themeColor="accent2"/>
          <w:insideH w:val="nil"/>
          <w:insideV w:val="single" w:sz="8" w:space="0" w:color="1C2B3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2B39" w:themeColor="accent2"/>
          <w:left w:val="single" w:sz="8" w:space="0" w:color="1C2B39" w:themeColor="accent2"/>
          <w:bottom w:val="single" w:sz="8" w:space="0" w:color="1C2B39" w:themeColor="accent2"/>
          <w:right w:val="single" w:sz="8" w:space="0" w:color="1C2B39" w:themeColor="accent2"/>
        </w:tcBorders>
      </w:tcPr>
    </w:tblStylePr>
    <w:tblStylePr w:type="band1Vert">
      <w:tblPr/>
      <w:tcPr>
        <w:tcBorders>
          <w:top w:val="single" w:sz="8" w:space="0" w:color="1C2B39" w:themeColor="accent2"/>
          <w:left w:val="single" w:sz="8" w:space="0" w:color="1C2B39" w:themeColor="accent2"/>
          <w:bottom w:val="single" w:sz="8" w:space="0" w:color="1C2B39" w:themeColor="accent2"/>
          <w:right w:val="single" w:sz="8" w:space="0" w:color="1C2B39" w:themeColor="accent2"/>
        </w:tcBorders>
        <w:shd w:val="clear" w:color="auto" w:fill="B8CADC" w:themeFill="accent2" w:themeFillTint="3F"/>
      </w:tcPr>
    </w:tblStylePr>
    <w:tblStylePr w:type="band1Horz">
      <w:tblPr/>
      <w:tcPr>
        <w:tcBorders>
          <w:top w:val="single" w:sz="8" w:space="0" w:color="1C2B39" w:themeColor="accent2"/>
          <w:left w:val="single" w:sz="8" w:space="0" w:color="1C2B39" w:themeColor="accent2"/>
          <w:bottom w:val="single" w:sz="8" w:space="0" w:color="1C2B39" w:themeColor="accent2"/>
          <w:right w:val="single" w:sz="8" w:space="0" w:color="1C2B39" w:themeColor="accent2"/>
          <w:insideV w:val="single" w:sz="8" w:space="0" w:color="1C2B39" w:themeColor="accent2"/>
        </w:tcBorders>
        <w:shd w:val="clear" w:color="auto" w:fill="B8CADC" w:themeFill="accent2" w:themeFillTint="3F"/>
      </w:tcPr>
    </w:tblStylePr>
    <w:tblStylePr w:type="band2Horz">
      <w:tblPr/>
      <w:tcPr>
        <w:tcBorders>
          <w:top w:val="single" w:sz="8" w:space="0" w:color="1C2B39" w:themeColor="accent2"/>
          <w:left w:val="single" w:sz="8" w:space="0" w:color="1C2B39" w:themeColor="accent2"/>
          <w:bottom w:val="single" w:sz="8" w:space="0" w:color="1C2B39" w:themeColor="accent2"/>
          <w:right w:val="single" w:sz="8" w:space="0" w:color="1C2B39" w:themeColor="accent2"/>
          <w:insideV w:val="single" w:sz="8" w:space="0" w:color="1C2B39" w:themeColor="accent2"/>
        </w:tcBorders>
      </w:tcPr>
    </w:tblStylePr>
  </w:style>
  <w:style w:type="paragraph" w:customStyle="1" w:styleId="Default">
    <w:name w:val="Default"/>
    <w:rsid w:val="008A3133"/>
    <w:pPr>
      <w:autoSpaceDE w:val="0"/>
      <w:autoSpaceDN w:val="0"/>
      <w:adjustRightInd w:val="0"/>
      <w:spacing w:after="0" w:line="240" w:lineRule="auto"/>
    </w:pPr>
    <w:rPr>
      <w:rFonts w:ascii="Inter Light" w:hAnsi="Inter Light" w:cs="Inter Light"/>
      <w:color w:val="000000"/>
      <w:sz w:val="24"/>
      <w:szCs w:val="24"/>
    </w:rPr>
  </w:style>
  <w:style w:type="character" w:customStyle="1" w:styleId="A9">
    <w:name w:val="A9"/>
    <w:uiPriority w:val="99"/>
    <w:rsid w:val="008A3133"/>
    <w:rPr>
      <w:rFonts w:cs="Inter Light"/>
      <w:color w:val="042534"/>
    </w:rPr>
  </w:style>
  <w:style w:type="paragraph" w:styleId="NormalWeb">
    <w:name w:val="Normal (Web)"/>
    <w:basedOn w:val="Normal"/>
    <w:uiPriority w:val="99"/>
    <w:semiHidden/>
    <w:unhideWhenUsed/>
    <w:rsid w:val="005D5D7F"/>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ListParagraphChar">
    <w:name w:val="List Paragraph Char"/>
    <w:aliases w:val="Bulleted Para Char,CV text Char,DDM Gen Text Char,Dot pt Char,F5 List Paragraph Char,FooterText Char,L Char,List Paragraph1 Char,List Paragraph11 Char,List Paragraph111 Char,List Paragraph2 Char,Medium Grid 1 - Accent 21 Char,3 Char"/>
    <w:basedOn w:val="DefaultParagraphFont"/>
    <w:link w:val="ListParagraph"/>
    <w:uiPriority w:val="34"/>
    <w:qFormat/>
    <w:rsid w:val="00053FAC"/>
    <w:rPr>
      <w:color w:val="262626" w:themeColor="text1" w:themeTint="D9"/>
      <w:sz w:val="22"/>
    </w:rPr>
  </w:style>
  <w:style w:type="paragraph" w:customStyle="1" w:styleId="Lista">
    <w:name w:val="List a"/>
    <w:basedOn w:val="ListParagraph"/>
    <w:link w:val="ListaChar"/>
    <w:qFormat/>
    <w:rsid w:val="00441D6F"/>
    <w:pPr>
      <w:keepNext/>
      <w:spacing w:before="120" w:after="120" w:line="276" w:lineRule="auto"/>
      <w:ind w:left="0"/>
      <w:contextualSpacing w:val="0"/>
      <w:textAlignment w:val="baseline"/>
    </w:pPr>
    <w:rPr>
      <w:rFonts w:ascii="Calibri" w:eastAsia="Arial" w:hAnsi="Calibri"/>
      <w:kern w:val="2"/>
      <w:szCs w:val="22"/>
      <w:lang w:val="en-GB"/>
      <w14:ligatures w14:val="standardContextual"/>
    </w:rPr>
  </w:style>
  <w:style w:type="character" w:customStyle="1" w:styleId="ListaChar">
    <w:name w:val="List a Char"/>
    <w:basedOn w:val="ListParagraphChar"/>
    <w:link w:val="Lista"/>
    <w:rsid w:val="00441D6F"/>
    <w:rPr>
      <w:rFonts w:ascii="Calibri" w:eastAsia="Arial" w:hAnsi="Calibri"/>
      <w:color w:val="262626" w:themeColor="text1" w:themeTint="D9"/>
      <w:kern w:val="2"/>
      <w:sz w:val="22"/>
      <w:szCs w:val="22"/>
      <w:lang w:val="en-GB"/>
      <w14:ligatures w14:val="standardContextual"/>
    </w:rPr>
  </w:style>
  <w:style w:type="character" w:styleId="Mention">
    <w:name w:val="Mention"/>
    <w:basedOn w:val="DefaultParagraphFont"/>
    <w:uiPriority w:val="99"/>
    <w:unhideWhenUsed/>
    <w:rsid w:val="00790A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85144">
      <w:bodyDiv w:val="1"/>
      <w:marLeft w:val="0"/>
      <w:marRight w:val="0"/>
      <w:marTop w:val="0"/>
      <w:marBottom w:val="0"/>
      <w:divBdr>
        <w:top w:val="none" w:sz="0" w:space="0" w:color="auto"/>
        <w:left w:val="none" w:sz="0" w:space="0" w:color="auto"/>
        <w:bottom w:val="none" w:sz="0" w:space="0" w:color="auto"/>
        <w:right w:val="none" w:sz="0" w:space="0" w:color="auto"/>
      </w:divBdr>
    </w:div>
    <w:div w:id="18738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6">
      <a:dk1>
        <a:srgbClr val="000000"/>
      </a:dk1>
      <a:lt1>
        <a:srgbClr val="FFFFFF"/>
      </a:lt1>
      <a:dk2>
        <a:srgbClr val="0F1F35"/>
      </a:dk2>
      <a:lt2>
        <a:srgbClr val="D8D8D8"/>
      </a:lt2>
      <a:accent1>
        <a:srgbClr val="007279"/>
      </a:accent1>
      <a:accent2>
        <a:srgbClr val="1C2B39"/>
      </a:accent2>
      <a:accent3>
        <a:srgbClr val="F26337"/>
      </a:accent3>
      <a:accent4>
        <a:srgbClr val="4BADB0"/>
      </a:accent4>
      <a:accent5>
        <a:srgbClr val="B75B53"/>
      </a:accent5>
      <a:accent6>
        <a:srgbClr val="FCB76C"/>
      </a:accent6>
      <a:hlink>
        <a:srgbClr val="007279"/>
      </a:hlink>
      <a:folHlink>
        <a:srgbClr val="007279"/>
      </a:folHlink>
    </a:clrScheme>
    <a:fontScheme name="PM&amp;C light">
      <a:majorFont>
        <a:latin typeface="Times New Roman"/>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2026-09-02T04:01:00Z</dcterms:created>
  <dcterms:modified xsi:type="dcterms:W3CDTF">2026-09-02T04:02:00Z</dcterms:modified>
</cp:coreProperties>
</file>