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5C46A" w14:textId="1F04E0DD" w:rsidR="00A62EF3" w:rsidRDefault="005D7C45" w:rsidP="007D290C">
      <w:pPr>
        <w:pStyle w:val="Title"/>
        <w:spacing w:after="120"/>
        <w:rPr>
          <w:sz w:val="44"/>
          <w:szCs w:val="52"/>
        </w:rPr>
      </w:pPr>
      <w:bookmarkStart w:id="0" w:name="_Toc96326909"/>
      <w:r w:rsidRPr="00892D49">
        <w:rPr>
          <w:sz w:val="44"/>
          <w:szCs w:val="52"/>
        </w:rPr>
        <w:t xml:space="preserve">Dashboard </w:t>
      </w:r>
      <w:r w:rsidR="00936C83">
        <w:rPr>
          <w:sz w:val="44"/>
          <w:szCs w:val="52"/>
        </w:rPr>
        <w:t>I</w:t>
      </w:r>
      <w:r w:rsidR="00936C83" w:rsidRPr="00892D49">
        <w:rPr>
          <w:sz w:val="44"/>
          <w:szCs w:val="52"/>
        </w:rPr>
        <w:t xml:space="preserve">mpact </w:t>
      </w:r>
      <w:r w:rsidR="00936C83">
        <w:rPr>
          <w:sz w:val="44"/>
          <w:szCs w:val="52"/>
        </w:rPr>
        <w:t>A</w:t>
      </w:r>
      <w:r w:rsidR="00936C83" w:rsidRPr="00892D49">
        <w:rPr>
          <w:sz w:val="44"/>
          <w:szCs w:val="52"/>
        </w:rPr>
        <w:t xml:space="preserve">nalysis </w:t>
      </w:r>
      <w:r w:rsidR="00232964" w:rsidRPr="00892D49">
        <w:rPr>
          <w:sz w:val="44"/>
          <w:szCs w:val="52"/>
        </w:rPr>
        <w:t xml:space="preserve">(IA) </w:t>
      </w:r>
      <w:r w:rsidR="005F66F9" w:rsidRPr="00892D49">
        <w:rPr>
          <w:sz w:val="44"/>
          <w:szCs w:val="52"/>
        </w:rPr>
        <w:t xml:space="preserve">– </w:t>
      </w:r>
      <w:r w:rsidR="007E6D00" w:rsidRPr="007E6D00">
        <w:rPr>
          <w:sz w:val="44"/>
          <w:szCs w:val="52"/>
        </w:rPr>
        <w:t xml:space="preserve">National Environmental Standard for Matters of National Environmental Significance </w:t>
      </w:r>
    </w:p>
    <w:bookmarkEnd w:id="0"/>
    <w:p w14:paraId="298B81AB" w14:textId="77777777" w:rsidR="007E6D00" w:rsidRPr="00E1753C" w:rsidRDefault="007E6D00" w:rsidP="53885B99">
      <w:pPr>
        <w:pStyle w:val="Subtitle"/>
        <w:rPr>
          <w:b/>
          <w:bCs/>
        </w:rPr>
      </w:pPr>
      <w:r w:rsidRPr="53885B99">
        <w:rPr>
          <w:b/>
          <w:bCs/>
          <w:sz w:val="24"/>
          <w:szCs w:val="24"/>
        </w:rPr>
        <w:t>Department of Climate Change, Energy, the Environment and Water</w:t>
      </w:r>
    </w:p>
    <w:p w14:paraId="6EAF1914" w14:textId="6F7C42E1" w:rsidR="00A62EF3" w:rsidRPr="0091141A" w:rsidRDefault="006C7E16" w:rsidP="0026634E">
      <w:pPr>
        <w:pStyle w:val="Heading1"/>
      </w:pPr>
      <w:r w:rsidRPr="0091141A">
        <w:t xml:space="preserve">The </w:t>
      </w:r>
      <w:r w:rsidR="796CD5A1">
        <w:t xml:space="preserve">proposed approach and </w:t>
      </w:r>
      <w:r w:rsidR="0020003A">
        <w:t xml:space="preserve">policy problem </w:t>
      </w:r>
    </w:p>
    <w:p w14:paraId="4E621298" w14:textId="77777777" w:rsidR="001B2C89" w:rsidRDefault="005F3B45" w:rsidP="001B2C89">
      <w:pPr>
        <w:pStyle w:val="Heading2"/>
      </w:pPr>
      <w:r w:rsidRPr="005F3B45">
        <w:t>Proposed approach</w:t>
      </w:r>
    </w:p>
    <w:p w14:paraId="59DEA20B" w14:textId="77777777" w:rsidR="007F0D2D" w:rsidRPr="00263ECB" w:rsidRDefault="007F0D2D" w:rsidP="007F0D2D">
      <w:r>
        <w:t xml:space="preserve">The proposed approach is a legally enforceable National Environmental Standard (NES) for Matters of National Environmental Significance (MNES Standard) under section 514YD the </w:t>
      </w:r>
      <w:r w:rsidRPr="53885B99">
        <w:rPr>
          <w:i/>
          <w:iCs/>
        </w:rPr>
        <w:t xml:space="preserve">Environment Protection and Biodiversity Conservation Act 1999 </w:t>
      </w:r>
      <w:r>
        <w:t xml:space="preserve">(EPBC Act). The MNES Standard establishes Objectives, Outcomes and Principles to improve regulatory certainty and support the Minister for the Environment and Water’s decision-making under the EPBC Act. The MNES Standard requires proponents to design actions having regard to a specified mitigation hierarchy and to consider compensation only after the mitigation steps have been exhausted, supported by appropriate evidence. </w:t>
      </w:r>
      <w:r w:rsidRPr="53885B99">
        <w:rPr>
          <w:lang w:val="en-US"/>
        </w:rPr>
        <w:t>The MNES Standard should expedite assessments and reduce the need for further information requests.</w:t>
      </w:r>
      <w:r>
        <w:t xml:space="preserve"> Ministerial decision-making will be more transparent as the minister must now be satisfied that a proposal is consistent with all relevant National Environmental Standards. </w:t>
      </w:r>
      <w:r w:rsidRPr="481D3560">
        <w:rPr>
          <w:lang w:val="en-US"/>
        </w:rPr>
        <w:t>If made, consistency with the MNES Standard would be assessed by the decision-maker in relation to:</w:t>
      </w:r>
      <w:r>
        <w:t> </w:t>
      </w:r>
    </w:p>
    <w:p w14:paraId="4CFB5EEE" w14:textId="77777777" w:rsidR="007F0D2D" w:rsidRPr="00263ECB" w:rsidRDefault="007F0D2D" w:rsidP="007F0D2D">
      <w:pPr>
        <w:numPr>
          <w:ilvl w:val="0"/>
          <w:numId w:val="47"/>
        </w:numPr>
        <w:tabs>
          <w:tab w:val="clear" w:pos="720"/>
          <w:tab w:val="num" w:pos="567"/>
        </w:tabs>
        <w:ind w:left="567" w:hanging="283"/>
      </w:pPr>
      <w:r w:rsidRPr="481D3560">
        <w:rPr>
          <w:lang w:val="en-US"/>
        </w:rPr>
        <w:t>Decisions to approve the taking of an action, including conditions, and decisions to approve actions in accordance with an endorsed policy, plan or program</w:t>
      </w:r>
      <w:r>
        <w:t>, as well as variations to such approvals</w:t>
      </w:r>
    </w:p>
    <w:p w14:paraId="6275AF9E" w14:textId="77777777" w:rsidR="007F0D2D" w:rsidRPr="00263ECB" w:rsidRDefault="007F0D2D" w:rsidP="007F0D2D">
      <w:pPr>
        <w:numPr>
          <w:ilvl w:val="0"/>
          <w:numId w:val="48"/>
        </w:numPr>
        <w:tabs>
          <w:tab w:val="clear" w:pos="720"/>
          <w:tab w:val="num" w:pos="567"/>
        </w:tabs>
        <w:ind w:left="567" w:hanging="283"/>
      </w:pPr>
      <w:r w:rsidRPr="481D3560">
        <w:rPr>
          <w:lang w:val="en-US"/>
        </w:rPr>
        <w:t>Decisions in relation to accrediting a management or </w:t>
      </w:r>
      <w:proofErr w:type="spellStart"/>
      <w:r w:rsidRPr="481D3560">
        <w:rPr>
          <w:lang w:val="en-US"/>
        </w:rPr>
        <w:t>authorisation</w:t>
      </w:r>
      <w:proofErr w:type="spellEnd"/>
      <w:r w:rsidRPr="481D3560">
        <w:rPr>
          <w:lang w:val="en-US"/>
        </w:rPr>
        <w:t> framework or NOPSEMA management or </w:t>
      </w:r>
      <w:proofErr w:type="spellStart"/>
      <w:r w:rsidRPr="481D3560">
        <w:rPr>
          <w:lang w:val="en-US"/>
        </w:rPr>
        <w:t>authorisation</w:t>
      </w:r>
      <w:proofErr w:type="spellEnd"/>
      <w:r w:rsidRPr="481D3560">
        <w:rPr>
          <w:lang w:val="en-US"/>
        </w:rPr>
        <w:t> framework</w:t>
      </w:r>
    </w:p>
    <w:p w14:paraId="57DF3476" w14:textId="77777777" w:rsidR="007F0D2D" w:rsidRPr="00263ECB" w:rsidRDefault="007F0D2D" w:rsidP="007F0D2D">
      <w:pPr>
        <w:numPr>
          <w:ilvl w:val="0"/>
          <w:numId w:val="49"/>
        </w:numPr>
        <w:tabs>
          <w:tab w:val="clear" w:pos="720"/>
          <w:tab w:val="num" w:pos="567"/>
        </w:tabs>
        <w:ind w:left="567" w:hanging="283"/>
      </w:pPr>
      <w:r w:rsidRPr="481D3560">
        <w:rPr>
          <w:lang w:val="en-US"/>
        </w:rPr>
        <w:t>Making or varying a bioregional plan or bioregional guidance plan. </w:t>
      </w:r>
      <w:r>
        <w:t> </w:t>
      </w:r>
    </w:p>
    <w:p w14:paraId="28EC7A92" w14:textId="77777777" w:rsidR="007F0D2D" w:rsidRPr="0020003A" w:rsidRDefault="007F0D2D" w:rsidP="007F0D2D">
      <w:pPr>
        <w:pStyle w:val="Heading2"/>
      </w:pPr>
      <w:r w:rsidRPr="0020003A">
        <w:t>Policy problem</w:t>
      </w:r>
    </w:p>
    <w:p w14:paraId="1326F581" w14:textId="77777777" w:rsidR="007F0D2D" w:rsidRPr="0020003A" w:rsidRDefault="007F0D2D" w:rsidP="007F0D2D">
      <w:r>
        <w:t xml:space="preserve">The 2020 </w:t>
      </w:r>
      <w:r w:rsidRPr="481D3560">
        <w:rPr>
          <w:lang w:val="en-US"/>
        </w:rPr>
        <w:t xml:space="preserve">Independent Review of the </w:t>
      </w:r>
      <w:r>
        <w:t xml:space="preserve">EPBC Act Final Report </w:t>
      </w:r>
      <w:r w:rsidRPr="481D3560">
        <w:rPr>
          <w:lang w:val="en-US"/>
        </w:rPr>
        <w:t>(Samuel Review)</w:t>
      </w:r>
      <w:r>
        <w:t xml:space="preserve"> found the EPBC Act was overly focused on process and a project-by-project approach, rather than environmental outcomes. This has led to regulatory uncertainty, with delay costs for projects - primarily due to information requests - and significant Ministerial discretion. Together with legislative reforms and the development of a Streamlined Approval Pathway, the Samuel Review’s key recommendation was the introduction of National Environmental Standards, including for Matters of National Environmental Significance. </w:t>
      </w:r>
    </w:p>
    <w:p w14:paraId="58A50DC2" w14:textId="77777777" w:rsidR="007F0D2D" w:rsidRPr="0020003A" w:rsidRDefault="007F0D2D" w:rsidP="007F0D2D">
      <w:pPr>
        <w:pStyle w:val="Heading1"/>
      </w:pPr>
      <w:r w:rsidRPr="0020003A">
        <w:lastRenderedPageBreak/>
        <w:t xml:space="preserve">Summary of impacts and methodology </w:t>
      </w:r>
    </w:p>
    <w:p w14:paraId="4F0DB8A6" w14:textId="6ABA698E" w:rsidR="007F0D2D" w:rsidRDefault="00E308EB" w:rsidP="007F0D2D">
      <w:pPr>
        <w:spacing w:before="120"/>
      </w:pPr>
      <w:r w:rsidRPr="00E308EB">
        <w:rPr>
          <w:lang w:val="en-US"/>
        </w:rPr>
        <w:t xml:space="preserve">The Department prepared an Addendum to the Samuel Review on 30 October 2025. The </w:t>
      </w:r>
      <w:r w:rsidR="007F0D2D" w:rsidRPr="481D3560">
        <w:rPr>
          <w:lang w:val="en-US"/>
        </w:rPr>
        <w:t>Addendum focuse</w:t>
      </w:r>
      <w:r>
        <w:rPr>
          <w:lang w:val="en-US"/>
        </w:rPr>
        <w:t>s</w:t>
      </w:r>
      <w:r w:rsidR="007F0D2D" w:rsidRPr="481D3560">
        <w:rPr>
          <w:lang w:val="en-US"/>
        </w:rPr>
        <w:t xml:space="preserve"> on the streamlined assessment pathway (reducing statutory timeframes from 70 to 50 days) and related reform measures – including </w:t>
      </w:r>
      <w:r w:rsidR="007F0D2D">
        <w:t xml:space="preserve">the making of National Environmental Standards, rulings, defining unacceptable impacts, and requiring a ‘net gain’ for any residual significant impacts. These related reforms aim to improve environmental outcomes and reduce delays commonly caused by further information requests. </w:t>
      </w:r>
    </w:p>
    <w:p w14:paraId="5C7184BB" w14:textId="77777777" w:rsidR="007F0D2D" w:rsidRDefault="007F0D2D" w:rsidP="007F0D2D">
      <w:pPr>
        <w:spacing w:before="120"/>
        <w:rPr>
          <w:lang w:val="en-US"/>
        </w:rPr>
      </w:pPr>
      <w:r w:rsidRPr="481D3560">
        <w:rPr>
          <w:lang w:val="en-US"/>
        </w:rPr>
        <w:t>The Addendum estimates the impact of the streamlined assessment pathway (SAP, low scenario) and SAP and related reforms (medium and high scenario), as reproduced below in Table 1.</w:t>
      </w:r>
    </w:p>
    <w:p w14:paraId="09FDDE44" w14:textId="77777777" w:rsidR="007F0D2D" w:rsidRDefault="007F0D2D" w:rsidP="007F0D2D">
      <w:r>
        <w:t>T</w:t>
      </w:r>
      <w:r w:rsidRPr="00080C58">
        <w:t>he</w:t>
      </w:r>
      <w:r w:rsidRPr="0020003A">
        <w:t xml:space="preserve"> Addendum estimate</w:t>
      </w:r>
      <w:r>
        <w:t xml:space="preserve">s that under medium and low scenarios, requests for information would be reduced and avoided (respectively). Benefits were a reduced timeframe for assessments and approvals – at either 140 or 288 days. </w:t>
      </w:r>
      <w:r w:rsidRPr="0020003A">
        <w:t xml:space="preserve"> </w:t>
      </w:r>
    </w:p>
    <w:p w14:paraId="6B44927E" w14:textId="77777777" w:rsidR="007F0D2D" w:rsidRPr="00496940" w:rsidRDefault="007F0D2D" w:rsidP="007F0D2D">
      <w:pPr>
        <w:spacing w:after="0"/>
      </w:pPr>
      <w:r w:rsidRPr="481D3560">
        <w:rPr>
          <w:b/>
          <w:bCs/>
        </w:rPr>
        <w:t>Table 1.</w:t>
      </w:r>
      <w:r>
        <w:t xml:space="preserve"> Estimated positive impact from reductions to delay costs from the introduction of the streamlined assessment pathway and related reform measures per relevant population per annum. </w:t>
      </w:r>
      <w:r>
        <w:tab/>
      </w:r>
    </w:p>
    <w:tbl>
      <w:tblPr>
        <w:tblW w:w="5000" w:type="pct"/>
        <w:tblLook w:val="04A0" w:firstRow="1" w:lastRow="0" w:firstColumn="1" w:lastColumn="0" w:noHBand="0" w:noVBand="1"/>
      </w:tblPr>
      <w:tblGrid>
        <w:gridCol w:w="2156"/>
        <w:gridCol w:w="1119"/>
        <w:gridCol w:w="2742"/>
        <w:gridCol w:w="1304"/>
        <w:gridCol w:w="2307"/>
      </w:tblGrid>
      <w:tr w:rsidR="007F0D2D" w:rsidRPr="0020003A" w14:paraId="2C52EF20" w14:textId="77777777" w:rsidTr="007E0AD0">
        <w:trPr>
          <w:trHeight w:val="288"/>
        </w:trPr>
        <w:tc>
          <w:tcPr>
            <w:tcW w:w="1120" w:type="pct"/>
            <w:tcBorders>
              <w:top w:val="single" w:sz="4" w:space="0" w:color="000000"/>
              <w:left w:val="single" w:sz="4" w:space="0" w:color="auto"/>
              <w:bottom w:val="single" w:sz="4" w:space="0" w:color="000000"/>
              <w:right w:val="single" w:sz="4" w:space="0" w:color="auto"/>
            </w:tcBorders>
            <w:shd w:val="clear" w:color="000000" w:fill="FFFFFF"/>
            <w:vAlign w:val="center"/>
            <w:hideMark/>
          </w:tcPr>
          <w:p w14:paraId="40B4EA07" w14:textId="77777777" w:rsidR="007F0D2D" w:rsidRPr="0020003A" w:rsidRDefault="007F0D2D" w:rsidP="007E0AD0">
            <w:pPr>
              <w:spacing w:after="0" w:line="240" w:lineRule="auto"/>
              <w:rPr>
                <w:rFonts w:eastAsia="Times New Roman" w:cstheme="minorHAnsi"/>
                <w:b/>
                <w:bCs/>
                <w:color w:val="000000"/>
                <w:sz w:val="20"/>
                <w:szCs w:val="20"/>
                <w:lang w:eastAsia="en-AU"/>
              </w:rPr>
            </w:pPr>
            <w:r>
              <w:rPr>
                <w:rFonts w:eastAsia="Times New Roman" w:cstheme="minorHAnsi"/>
                <w:b/>
                <w:bCs/>
                <w:color w:val="000000"/>
                <w:sz w:val="20"/>
                <w:szCs w:val="20"/>
                <w:lang w:eastAsia="en-AU"/>
              </w:rPr>
              <w:t>Change in Costs ($million)</w:t>
            </w:r>
          </w:p>
        </w:tc>
        <w:tc>
          <w:tcPr>
            <w:tcW w:w="581" w:type="pct"/>
            <w:tcBorders>
              <w:top w:val="single" w:sz="4" w:space="0" w:color="auto"/>
              <w:left w:val="nil"/>
              <w:bottom w:val="single" w:sz="4" w:space="0" w:color="auto"/>
              <w:right w:val="nil"/>
            </w:tcBorders>
            <w:shd w:val="clear" w:color="000000" w:fill="FFFFFF"/>
            <w:noWrap/>
            <w:vAlign w:val="bottom"/>
            <w:hideMark/>
          </w:tcPr>
          <w:p w14:paraId="7782EAED" w14:textId="77777777" w:rsidR="007F0D2D" w:rsidRPr="0020003A" w:rsidRDefault="007F0D2D" w:rsidP="007E0AD0">
            <w:pPr>
              <w:spacing w:after="0" w:line="240" w:lineRule="auto"/>
              <w:jc w:val="right"/>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Business</w:t>
            </w:r>
          </w:p>
        </w:tc>
        <w:tc>
          <w:tcPr>
            <w:tcW w:w="1424" w:type="pct"/>
            <w:tcBorders>
              <w:top w:val="single" w:sz="4" w:space="0" w:color="auto"/>
              <w:left w:val="nil"/>
              <w:bottom w:val="single" w:sz="4" w:space="0" w:color="auto"/>
              <w:right w:val="nil"/>
            </w:tcBorders>
            <w:shd w:val="clear" w:color="000000" w:fill="FFFFFF"/>
            <w:noWrap/>
            <w:vAlign w:val="bottom"/>
            <w:hideMark/>
          </w:tcPr>
          <w:p w14:paraId="747B84E0" w14:textId="77777777" w:rsidR="007F0D2D" w:rsidRPr="0020003A" w:rsidRDefault="007F0D2D" w:rsidP="007E0AD0">
            <w:pPr>
              <w:spacing w:after="0" w:line="240" w:lineRule="auto"/>
              <w:jc w:val="center"/>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Community</w:t>
            </w:r>
            <w:r w:rsidRPr="0020003A">
              <w:rPr>
                <w:rFonts w:eastAsia="Times New Roman" w:cstheme="minorHAnsi"/>
                <w:b/>
                <w:color w:val="000000"/>
                <w:sz w:val="20"/>
                <w:szCs w:val="20"/>
                <w:lang w:eastAsia="en-AU"/>
              </w:rPr>
              <w:t xml:space="preserve"> organisations</w:t>
            </w:r>
          </w:p>
        </w:tc>
        <w:tc>
          <w:tcPr>
            <w:tcW w:w="677" w:type="pct"/>
            <w:tcBorders>
              <w:top w:val="single" w:sz="4" w:space="0" w:color="auto"/>
              <w:left w:val="nil"/>
              <w:bottom w:val="single" w:sz="4" w:space="0" w:color="auto"/>
            </w:tcBorders>
            <w:shd w:val="clear" w:color="000000" w:fill="FFFFFF"/>
            <w:noWrap/>
            <w:vAlign w:val="bottom"/>
            <w:hideMark/>
          </w:tcPr>
          <w:p w14:paraId="41A56C1A" w14:textId="77777777" w:rsidR="007F0D2D" w:rsidRPr="0020003A" w:rsidRDefault="007F0D2D" w:rsidP="007E0AD0">
            <w:pPr>
              <w:spacing w:after="0" w:line="240" w:lineRule="auto"/>
              <w:jc w:val="right"/>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Individuals</w:t>
            </w:r>
          </w:p>
        </w:tc>
        <w:tc>
          <w:tcPr>
            <w:tcW w:w="1200" w:type="pct"/>
            <w:tcBorders>
              <w:top w:val="single" w:sz="4" w:space="0" w:color="auto"/>
              <w:bottom w:val="single" w:sz="4" w:space="0" w:color="auto"/>
              <w:right w:val="single" w:sz="4" w:space="0" w:color="auto"/>
            </w:tcBorders>
            <w:shd w:val="clear" w:color="000000" w:fill="D9D9D9"/>
            <w:noWrap/>
            <w:vAlign w:val="bottom"/>
            <w:hideMark/>
          </w:tcPr>
          <w:p w14:paraId="0230FC7D" w14:textId="77777777" w:rsidR="007F0D2D" w:rsidRPr="0020003A" w:rsidRDefault="007F0D2D" w:rsidP="007E0AD0">
            <w:pPr>
              <w:spacing w:after="0" w:line="240" w:lineRule="auto"/>
              <w:jc w:val="center"/>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Total</w:t>
            </w:r>
            <w:r w:rsidRPr="0020003A">
              <w:rPr>
                <w:rFonts w:eastAsia="Times New Roman" w:cstheme="minorHAnsi"/>
                <w:b/>
                <w:color w:val="000000"/>
                <w:sz w:val="20"/>
                <w:szCs w:val="20"/>
                <w:lang w:eastAsia="en-AU"/>
              </w:rPr>
              <w:t xml:space="preserve"> change in Costs</w:t>
            </w:r>
          </w:p>
        </w:tc>
      </w:tr>
      <w:tr w:rsidR="007F0D2D" w:rsidRPr="0020003A" w14:paraId="1EE04665" w14:textId="77777777" w:rsidTr="007E0AD0">
        <w:trPr>
          <w:trHeight w:val="288"/>
        </w:trPr>
        <w:tc>
          <w:tcPr>
            <w:tcW w:w="1120" w:type="pct"/>
            <w:tcBorders>
              <w:top w:val="nil"/>
              <w:left w:val="single" w:sz="4" w:space="0" w:color="auto"/>
              <w:bottom w:val="nil"/>
              <w:right w:val="nil"/>
            </w:tcBorders>
            <w:shd w:val="clear" w:color="000000" w:fill="FFFFFF"/>
            <w:noWrap/>
            <w:vAlign w:val="bottom"/>
          </w:tcPr>
          <w:p w14:paraId="04AC5C72" w14:textId="77777777" w:rsidR="007F0D2D" w:rsidRPr="00B57517" w:rsidRDefault="007F0D2D" w:rsidP="007E0AD0">
            <w:pPr>
              <w:spacing w:after="0" w:line="240" w:lineRule="auto"/>
              <w:rPr>
                <w:rFonts w:eastAsia="Times New Roman" w:cstheme="minorHAnsi"/>
                <w:color w:val="000000"/>
                <w:sz w:val="20"/>
                <w:szCs w:val="20"/>
                <w:lang w:eastAsia="en-AU"/>
              </w:rPr>
            </w:pPr>
            <w:r w:rsidRPr="00B57517">
              <w:rPr>
                <w:rFonts w:eastAsia="Times New Roman" w:cstheme="minorHAnsi"/>
                <w:color w:val="000000"/>
                <w:sz w:val="20"/>
                <w:szCs w:val="20"/>
                <w:lang w:eastAsia="en-AU"/>
              </w:rPr>
              <w:t xml:space="preserve">Low (20 </w:t>
            </w:r>
            <w:proofErr w:type="gramStart"/>
            <w:r w:rsidRPr="00B57517">
              <w:rPr>
                <w:rFonts w:eastAsia="Times New Roman" w:cstheme="minorHAnsi"/>
                <w:color w:val="000000"/>
                <w:sz w:val="20"/>
                <w:szCs w:val="20"/>
                <w:lang w:eastAsia="en-AU"/>
              </w:rPr>
              <w:t>days)*</w:t>
            </w:r>
            <w:proofErr w:type="gramEnd"/>
          </w:p>
        </w:tc>
        <w:tc>
          <w:tcPr>
            <w:tcW w:w="581" w:type="pct"/>
            <w:tcBorders>
              <w:top w:val="single" w:sz="4" w:space="0" w:color="auto"/>
              <w:left w:val="single" w:sz="4" w:space="0" w:color="auto"/>
              <w:bottom w:val="nil"/>
              <w:right w:val="nil"/>
            </w:tcBorders>
            <w:shd w:val="clear" w:color="000000" w:fill="FFFFFF"/>
            <w:noWrap/>
          </w:tcPr>
          <w:p w14:paraId="63634645" w14:textId="77777777" w:rsidR="007F0D2D" w:rsidRPr="00B57517" w:rsidRDefault="007F0D2D" w:rsidP="007E0AD0">
            <w:pPr>
              <w:spacing w:after="0" w:line="240" w:lineRule="auto"/>
              <w:jc w:val="right"/>
              <w:rPr>
                <w:rFonts w:eastAsia="Times New Roman" w:cstheme="minorHAnsi"/>
                <w:color w:val="000000"/>
                <w:sz w:val="20"/>
                <w:szCs w:val="20"/>
                <w:lang w:eastAsia="en-AU"/>
              </w:rPr>
            </w:pPr>
            <w:r w:rsidRPr="00B57517">
              <w:rPr>
                <w:sz w:val="20"/>
                <w:szCs w:val="20"/>
              </w:rPr>
              <w:t>$441</w:t>
            </w:r>
          </w:p>
        </w:tc>
        <w:tc>
          <w:tcPr>
            <w:tcW w:w="1424" w:type="pct"/>
            <w:tcBorders>
              <w:top w:val="single" w:sz="4" w:space="0" w:color="auto"/>
              <w:left w:val="nil"/>
              <w:bottom w:val="nil"/>
              <w:right w:val="nil"/>
            </w:tcBorders>
            <w:shd w:val="clear" w:color="000000" w:fill="FFFFFF"/>
            <w:noWrap/>
          </w:tcPr>
          <w:p w14:paraId="728BC27E" w14:textId="77777777" w:rsidR="007F0D2D" w:rsidRPr="00B57517" w:rsidRDefault="007F0D2D" w:rsidP="007E0AD0">
            <w:pPr>
              <w:spacing w:after="0" w:line="240" w:lineRule="auto"/>
              <w:jc w:val="right"/>
              <w:rPr>
                <w:rFonts w:eastAsia="Times New Roman" w:cstheme="minorHAnsi"/>
                <w:color w:val="000000"/>
                <w:sz w:val="20"/>
                <w:szCs w:val="20"/>
                <w:lang w:eastAsia="en-AU"/>
              </w:rPr>
            </w:pPr>
            <w:r w:rsidRPr="00B57517">
              <w:rPr>
                <w:sz w:val="20"/>
                <w:szCs w:val="20"/>
              </w:rPr>
              <w:t>$4</w:t>
            </w:r>
          </w:p>
        </w:tc>
        <w:tc>
          <w:tcPr>
            <w:tcW w:w="677" w:type="pct"/>
            <w:tcBorders>
              <w:top w:val="single" w:sz="4" w:space="0" w:color="auto"/>
              <w:left w:val="nil"/>
              <w:bottom w:val="nil"/>
            </w:tcBorders>
            <w:shd w:val="clear" w:color="000000" w:fill="FFFFFF"/>
            <w:noWrap/>
          </w:tcPr>
          <w:p w14:paraId="76B15E85" w14:textId="77777777" w:rsidR="007F0D2D" w:rsidRPr="00B57517" w:rsidRDefault="007F0D2D" w:rsidP="007E0AD0">
            <w:pPr>
              <w:spacing w:after="0" w:line="240" w:lineRule="auto"/>
              <w:jc w:val="right"/>
              <w:rPr>
                <w:rFonts w:eastAsia="Times New Roman" w:cstheme="minorHAnsi"/>
                <w:color w:val="000000"/>
                <w:sz w:val="20"/>
                <w:szCs w:val="20"/>
                <w:lang w:eastAsia="en-AU"/>
              </w:rPr>
            </w:pPr>
            <w:r w:rsidRPr="00B57517">
              <w:rPr>
                <w:sz w:val="20"/>
                <w:szCs w:val="20"/>
              </w:rPr>
              <w:t>$0</w:t>
            </w:r>
          </w:p>
        </w:tc>
        <w:tc>
          <w:tcPr>
            <w:tcW w:w="1200" w:type="pct"/>
            <w:tcBorders>
              <w:top w:val="single" w:sz="4" w:space="0" w:color="auto"/>
              <w:bottom w:val="nil"/>
              <w:right w:val="single" w:sz="4" w:space="0" w:color="auto"/>
            </w:tcBorders>
            <w:shd w:val="clear" w:color="000000" w:fill="D9D9D9"/>
            <w:noWrap/>
          </w:tcPr>
          <w:p w14:paraId="0D84132C" w14:textId="77777777" w:rsidR="007F0D2D" w:rsidRPr="00B57517" w:rsidRDefault="007F0D2D" w:rsidP="007E0AD0">
            <w:pPr>
              <w:spacing w:after="0" w:line="240" w:lineRule="auto"/>
              <w:jc w:val="right"/>
              <w:rPr>
                <w:rFonts w:eastAsia="Times New Roman" w:cstheme="minorHAnsi"/>
                <w:color w:val="000000"/>
                <w:sz w:val="20"/>
                <w:szCs w:val="20"/>
                <w:lang w:eastAsia="en-AU"/>
              </w:rPr>
            </w:pPr>
            <w:r w:rsidRPr="00B57517">
              <w:rPr>
                <w:sz w:val="20"/>
                <w:szCs w:val="20"/>
              </w:rPr>
              <w:t>$445</w:t>
            </w:r>
          </w:p>
        </w:tc>
      </w:tr>
      <w:tr w:rsidR="007F0D2D" w:rsidRPr="0020003A" w14:paraId="7B957EDA" w14:textId="77777777" w:rsidTr="007E0AD0">
        <w:trPr>
          <w:trHeight w:val="288"/>
        </w:trPr>
        <w:tc>
          <w:tcPr>
            <w:tcW w:w="1120" w:type="pct"/>
            <w:tcBorders>
              <w:top w:val="nil"/>
              <w:left w:val="single" w:sz="4" w:space="0" w:color="auto"/>
              <w:bottom w:val="nil"/>
              <w:right w:val="nil"/>
            </w:tcBorders>
            <w:shd w:val="clear" w:color="000000" w:fill="FFFFFF"/>
            <w:noWrap/>
            <w:vAlign w:val="bottom"/>
            <w:hideMark/>
          </w:tcPr>
          <w:p w14:paraId="1CF94824" w14:textId="77777777" w:rsidR="007F0D2D" w:rsidRPr="0020003A" w:rsidRDefault="007F0D2D" w:rsidP="007E0AD0">
            <w:pPr>
              <w:spacing w:after="0" w:line="240" w:lineRule="auto"/>
              <w:rPr>
                <w:rFonts w:eastAsia="Times New Roman" w:cstheme="minorHAnsi"/>
                <w:color w:val="000000"/>
                <w:sz w:val="20"/>
                <w:szCs w:val="20"/>
                <w:lang w:eastAsia="en-AU"/>
              </w:rPr>
            </w:pPr>
            <w:r w:rsidRPr="0020003A">
              <w:rPr>
                <w:rFonts w:eastAsia="Times New Roman" w:cstheme="minorHAnsi"/>
                <w:color w:val="000000"/>
                <w:sz w:val="20"/>
                <w:szCs w:val="20"/>
                <w:lang w:eastAsia="en-AU"/>
              </w:rPr>
              <w:t>Medium (14</w:t>
            </w:r>
            <w:r>
              <w:rPr>
                <w:rFonts w:eastAsia="Times New Roman" w:cstheme="minorHAnsi"/>
                <w:color w:val="000000"/>
                <w:sz w:val="20"/>
                <w:szCs w:val="20"/>
                <w:lang w:eastAsia="en-AU"/>
              </w:rPr>
              <w:t>0</w:t>
            </w:r>
            <w:r w:rsidRPr="0020003A">
              <w:rPr>
                <w:rFonts w:eastAsia="Times New Roman" w:cstheme="minorHAnsi"/>
                <w:color w:val="000000"/>
                <w:sz w:val="20"/>
                <w:szCs w:val="20"/>
                <w:lang w:eastAsia="en-AU"/>
              </w:rPr>
              <w:t xml:space="preserve"> days) </w:t>
            </w:r>
          </w:p>
        </w:tc>
        <w:tc>
          <w:tcPr>
            <w:tcW w:w="581" w:type="pct"/>
            <w:tcBorders>
              <w:top w:val="nil"/>
              <w:left w:val="single" w:sz="4" w:space="0" w:color="auto"/>
              <w:bottom w:val="nil"/>
              <w:right w:val="nil"/>
            </w:tcBorders>
            <w:shd w:val="clear" w:color="000000" w:fill="FFFFFF"/>
            <w:noWrap/>
          </w:tcPr>
          <w:p w14:paraId="22515071" w14:textId="77777777" w:rsidR="007F0D2D" w:rsidRPr="0020003A" w:rsidRDefault="007F0D2D" w:rsidP="007E0AD0">
            <w:pPr>
              <w:spacing w:after="0" w:line="240" w:lineRule="auto"/>
              <w:jc w:val="right"/>
              <w:rPr>
                <w:rFonts w:eastAsia="Times New Roman" w:cstheme="minorHAnsi"/>
                <w:color w:val="000000"/>
                <w:sz w:val="20"/>
                <w:szCs w:val="20"/>
                <w:lang w:eastAsia="en-AU"/>
              </w:rPr>
            </w:pPr>
            <w:r w:rsidRPr="0020003A">
              <w:rPr>
                <w:sz w:val="20"/>
                <w:szCs w:val="20"/>
              </w:rPr>
              <w:t>$3019</w:t>
            </w:r>
          </w:p>
        </w:tc>
        <w:tc>
          <w:tcPr>
            <w:tcW w:w="1424" w:type="pct"/>
            <w:tcBorders>
              <w:top w:val="nil"/>
              <w:left w:val="nil"/>
              <w:bottom w:val="nil"/>
              <w:right w:val="nil"/>
            </w:tcBorders>
            <w:shd w:val="clear" w:color="000000" w:fill="FFFFFF"/>
            <w:noWrap/>
          </w:tcPr>
          <w:p w14:paraId="2487BDD8" w14:textId="77777777" w:rsidR="007F0D2D" w:rsidRPr="0020003A" w:rsidRDefault="007F0D2D" w:rsidP="007E0AD0">
            <w:pPr>
              <w:spacing w:after="0" w:line="240" w:lineRule="auto"/>
              <w:jc w:val="right"/>
              <w:rPr>
                <w:rFonts w:eastAsia="Times New Roman" w:cstheme="minorHAnsi"/>
                <w:color w:val="000000"/>
                <w:sz w:val="20"/>
                <w:szCs w:val="20"/>
                <w:lang w:eastAsia="en-AU"/>
              </w:rPr>
            </w:pPr>
            <w:r w:rsidRPr="0020003A">
              <w:rPr>
                <w:sz w:val="20"/>
                <w:szCs w:val="20"/>
              </w:rPr>
              <w:t>$25</w:t>
            </w:r>
          </w:p>
        </w:tc>
        <w:tc>
          <w:tcPr>
            <w:tcW w:w="677" w:type="pct"/>
            <w:tcBorders>
              <w:top w:val="nil"/>
              <w:left w:val="nil"/>
              <w:bottom w:val="nil"/>
            </w:tcBorders>
            <w:shd w:val="clear" w:color="000000" w:fill="FFFFFF"/>
            <w:noWrap/>
          </w:tcPr>
          <w:p w14:paraId="068AC331" w14:textId="77777777" w:rsidR="007F0D2D" w:rsidRPr="0020003A" w:rsidRDefault="007F0D2D" w:rsidP="007E0AD0">
            <w:pPr>
              <w:spacing w:after="0" w:line="240" w:lineRule="auto"/>
              <w:jc w:val="right"/>
              <w:rPr>
                <w:rFonts w:eastAsia="Times New Roman" w:cstheme="minorHAnsi"/>
                <w:color w:val="000000"/>
                <w:sz w:val="20"/>
                <w:szCs w:val="20"/>
                <w:lang w:eastAsia="en-AU"/>
              </w:rPr>
            </w:pPr>
            <w:r w:rsidRPr="0020003A">
              <w:rPr>
                <w:sz w:val="20"/>
                <w:szCs w:val="20"/>
              </w:rPr>
              <w:t>$0</w:t>
            </w:r>
          </w:p>
        </w:tc>
        <w:tc>
          <w:tcPr>
            <w:tcW w:w="1200" w:type="pct"/>
            <w:tcBorders>
              <w:top w:val="nil"/>
              <w:bottom w:val="nil"/>
              <w:right w:val="single" w:sz="4" w:space="0" w:color="auto"/>
            </w:tcBorders>
            <w:shd w:val="clear" w:color="000000" w:fill="D9D9D9"/>
            <w:noWrap/>
          </w:tcPr>
          <w:p w14:paraId="146ED95D" w14:textId="77777777" w:rsidR="007F0D2D" w:rsidRPr="0020003A" w:rsidRDefault="007F0D2D" w:rsidP="007E0AD0">
            <w:pPr>
              <w:spacing w:after="0" w:line="240" w:lineRule="auto"/>
              <w:jc w:val="right"/>
              <w:rPr>
                <w:rFonts w:eastAsia="Times New Roman" w:cstheme="minorHAnsi"/>
                <w:color w:val="000000"/>
                <w:sz w:val="20"/>
                <w:szCs w:val="20"/>
                <w:lang w:eastAsia="en-AU"/>
              </w:rPr>
            </w:pPr>
            <w:r w:rsidRPr="0020003A">
              <w:rPr>
                <w:sz w:val="20"/>
                <w:szCs w:val="20"/>
              </w:rPr>
              <w:t>$3045</w:t>
            </w:r>
          </w:p>
        </w:tc>
      </w:tr>
      <w:tr w:rsidR="007F0D2D" w:rsidRPr="0020003A" w14:paraId="6A57D2FD" w14:textId="77777777" w:rsidTr="007E0AD0">
        <w:trPr>
          <w:trHeight w:val="288"/>
        </w:trPr>
        <w:tc>
          <w:tcPr>
            <w:tcW w:w="1120" w:type="pct"/>
            <w:tcBorders>
              <w:top w:val="nil"/>
              <w:left w:val="single" w:sz="4" w:space="0" w:color="auto"/>
              <w:bottom w:val="single" w:sz="4" w:space="0" w:color="auto"/>
              <w:right w:val="nil"/>
            </w:tcBorders>
            <w:noWrap/>
            <w:vAlign w:val="bottom"/>
            <w:hideMark/>
          </w:tcPr>
          <w:p w14:paraId="313068A2" w14:textId="77777777" w:rsidR="007F0D2D" w:rsidRPr="0020003A" w:rsidRDefault="007F0D2D" w:rsidP="007E0AD0">
            <w:pPr>
              <w:spacing w:after="0" w:line="240" w:lineRule="auto"/>
              <w:rPr>
                <w:rFonts w:eastAsia="Times New Roman" w:cstheme="minorHAnsi"/>
                <w:color w:val="000000"/>
                <w:sz w:val="20"/>
                <w:szCs w:val="20"/>
                <w:lang w:eastAsia="en-AU"/>
              </w:rPr>
            </w:pPr>
            <w:r w:rsidRPr="0020003A">
              <w:rPr>
                <w:rFonts w:eastAsia="Times New Roman" w:cstheme="minorHAnsi"/>
                <w:color w:val="000000"/>
                <w:sz w:val="20"/>
                <w:szCs w:val="20"/>
                <w:lang w:eastAsia="en-AU"/>
              </w:rPr>
              <w:t>High (288 days)</w:t>
            </w:r>
          </w:p>
        </w:tc>
        <w:tc>
          <w:tcPr>
            <w:tcW w:w="581" w:type="pct"/>
            <w:tcBorders>
              <w:top w:val="nil"/>
              <w:left w:val="single" w:sz="4" w:space="0" w:color="auto"/>
              <w:bottom w:val="single" w:sz="4" w:space="0" w:color="auto"/>
              <w:right w:val="nil"/>
            </w:tcBorders>
            <w:shd w:val="clear" w:color="000000" w:fill="FFFFFF"/>
            <w:noWrap/>
            <w:vAlign w:val="bottom"/>
          </w:tcPr>
          <w:p w14:paraId="292AD702" w14:textId="77777777" w:rsidR="007F0D2D" w:rsidRPr="0020003A" w:rsidRDefault="007F0D2D" w:rsidP="007E0AD0">
            <w:pPr>
              <w:spacing w:after="0" w:line="240" w:lineRule="auto"/>
              <w:jc w:val="right"/>
              <w:rPr>
                <w:rFonts w:eastAsia="Times New Roman" w:cstheme="minorHAnsi"/>
                <w:color w:val="000000"/>
                <w:sz w:val="20"/>
                <w:szCs w:val="20"/>
                <w:lang w:eastAsia="en-AU"/>
              </w:rPr>
            </w:pPr>
            <w:r w:rsidRPr="0020003A">
              <w:rPr>
                <w:rFonts w:ascii="Calibri" w:hAnsi="Calibri" w:cs="Calibri"/>
                <w:color w:val="000000"/>
                <w:sz w:val="20"/>
                <w:szCs w:val="20"/>
              </w:rPr>
              <w:t>$</w:t>
            </w:r>
            <w:r w:rsidRPr="00496940">
              <w:rPr>
                <w:sz w:val="20"/>
                <w:szCs w:val="20"/>
              </w:rPr>
              <w:t>6878</w:t>
            </w:r>
          </w:p>
        </w:tc>
        <w:tc>
          <w:tcPr>
            <w:tcW w:w="1424" w:type="pct"/>
            <w:tcBorders>
              <w:top w:val="nil"/>
              <w:left w:val="nil"/>
              <w:bottom w:val="single" w:sz="4" w:space="0" w:color="auto"/>
              <w:right w:val="nil"/>
            </w:tcBorders>
            <w:shd w:val="clear" w:color="000000" w:fill="FFFFFF"/>
            <w:noWrap/>
            <w:vAlign w:val="bottom"/>
          </w:tcPr>
          <w:p w14:paraId="6B873E7E" w14:textId="77777777" w:rsidR="007F0D2D" w:rsidRPr="0020003A" w:rsidRDefault="007F0D2D" w:rsidP="007E0AD0">
            <w:pPr>
              <w:spacing w:after="0" w:line="240" w:lineRule="auto"/>
              <w:jc w:val="right"/>
              <w:rPr>
                <w:rFonts w:eastAsia="Times New Roman" w:cstheme="minorHAnsi"/>
                <w:color w:val="000000"/>
                <w:sz w:val="20"/>
                <w:szCs w:val="20"/>
                <w:lang w:eastAsia="en-AU"/>
              </w:rPr>
            </w:pPr>
            <w:r w:rsidRPr="0020003A">
              <w:rPr>
                <w:rFonts w:ascii="Calibri" w:hAnsi="Calibri" w:cs="Calibri"/>
                <w:color w:val="000000"/>
                <w:sz w:val="20"/>
                <w:szCs w:val="20"/>
              </w:rPr>
              <w:t>$</w:t>
            </w:r>
            <w:r w:rsidRPr="00496940">
              <w:rPr>
                <w:sz w:val="20"/>
                <w:szCs w:val="20"/>
              </w:rPr>
              <w:t>36</w:t>
            </w:r>
          </w:p>
        </w:tc>
        <w:tc>
          <w:tcPr>
            <w:tcW w:w="677" w:type="pct"/>
            <w:tcBorders>
              <w:top w:val="nil"/>
              <w:left w:val="nil"/>
              <w:bottom w:val="single" w:sz="4" w:space="0" w:color="auto"/>
            </w:tcBorders>
            <w:shd w:val="clear" w:color="000000" w:fill="FFFFFF"/>
            <w:noWrap/>
            <w:vAlign w:val="bottom"/>
          </w:tcPr>
          <w:p w14:paraId="3E754EA7" w14:textId="77777777" w:rsidR="007F0D2D" w:rsidRPr="0020003A" w:rsidRDefault="007F0D2D" w:rsidP="007E0AD0">
            <w:pPr>
              <w:spacing w:after="0" w:line="240" w:lineRule="auto"/>
              <w:jc w:val="right"/>
              <w:rPr>
                <w:rFonts w:eastAsia="Times New Roman" w:cstheme="minorHAnsi"/>
                <w:color w:val="000000"/>
                <w:sz w:val="20"/>
                <w:szCs w:val="20"/>
                <w:lang w:eastAsia="en-AU"/>
              </w:rPr>
            </w:pPr>
            <w:r w:rsidRPr="00496940">
              <w:rPr>
                <w:sz w:val="20"/>
                <w:szCs w:val="20"/>
              </w:rPr>
              <w:t>$1</w:t>
            </w:r>
          </w:p>
        </w:tc>
        <w:tc>
          <w:tcPr>
            <w:tcW w:w="1200" w:type="pct"/>
            <w:tcBorders>
              <w:top w:val="nil"/>
              <w:bottom w:val="single" w:sz="4" w:space="0" w:color="auto"/>
              <w:right w:val="single" w:sz="4" w:space="0" w:color="auto"/>
            </w:tcBorders>
            <w:shd w:val="clear" w:color="000000" w:fill="D9D9D9"/>
            <w:noWrap/>
            <w:vAlign w:val="bottom"/>
          </w:tcPr>
          <w:p w14:paraId="35571F48" w14:textId="77777777" w:rsidR="007F0D2D" w:rsidRPr="00496940" w:rsidRDefault="007F0D2D" w:rsidP="007E0AD0">
            <w:pPr>
              <w:spacing w:after="0" w:line="240" w:lineRule="auto"/>
              <w:jc w:val="right"/>
              <w:rPr>
                <w:sz w:val="20"/>
                <w:szCs w:val="20"/>
              </w:rPr>
            </w:pPr>
            <w:r w:rsidRPr="00496940">
              <w:rPr>
                <w:sz w:val="20"/>
                <w:szCs w:val="20"/>
              </w:rPr>
              <w:t>$6914</w:t>
            </w:r>
          </w:p>
        </w:tc>
      </w:tr>
    </w:tbl>
    <w:p w14:paraId="464618D7" w14:textId="77777777" w:rsidR="007F0D2D" w:rsidRPr="0020003A" w:rsidRDefault="007F0D2D" w:rsidP="007F0D2D">
      <w:pPr>
        <w:spacing w:after="0"/>
      </w:pPr>
      <w:r w:rsidRPr="007D290C">
        <w:rPr>
          <w:i/>
          <w:iCs/>
          <w:sz w:val="18"/>
          <w:szCs w:val="18"/>
        </w:rPr>
        <w:t>Note* = baseline SAP case from the Addendum</w:t>
      </w:r>
    </w:p>
    <w:p w14:paraId="5B38DFCB" w14:textId="2650921B" w:rsidR="005A3121" w:rsidRDefault="007F0D2D" w:rsidP="007F0D2D">
      <w:r>
        <w:br/>
        <w:t xml:space="preserve">This analysis adopts a contributory portion of the medium scenario as the expect impact of the MNES Standard to expedite approvals. The medium and high estimates in Table 1 include the streamlined assessment pathway and other reform measures so cannot be attributed solely to the MNES Standard. The MNES Standard is expected to contribute to the medium scenario savings through greater clarity regarding upfront environmental requirements and supporting information. </w:t>
      </w:r>
    </w:p>
    <w:tbl>
      <w:tblPr>
        <w:tblStyle w:val="TableGrid"/>
        <w:tblW w:w="9634" w:type="dxa"/>
        <w:tblLayout w:type="fixed"/>
        <w:tblLook w:val="04A0" w:firstRow="1" w:lastRow="0" w:firstColumn="1" w:lastColumn="0" w:noHBand="0" w:noVBand="1"/>
      </w:tblPr>
      <w:tblGrid>
        <w:gridCol w:w="1295"/>
        <w:gridCol w:w="2433"/>
        <w:gridCol w:w="1654"/>
        <w:gridCol w:w="1751"/>
        <w:gridCol w:w="2501"/>
      </w:tblGrid>
      <w:tr w:rsidR="00E86393" w:rsidRPr="00E86393" w14:paraId="0497860A" w14:textId="77777777" w:rsidTr="00E86393">
        <w:trPr>
          <w:trHeight w:val="340"/>
        </w:trPr>
        <w:tc>
          <w:tcPr>
            <w:tcW w:w="1295" w:type="dxa"/>
            <w:shd w:val="clear" w:color="auto" w:fill="0F1F35" w:themeFill="text2"/>
          </w:tcPr>
          <w:p w14:paraId="6E9F0C6F" w14:textId="1CA84702" w:rsidR="00E86393" w:rsidRPr="00E86393" w:rsidRDefault="00E86393" w:rsidP="00E86393">
            <w:pPr>
              <w:rPr>
                <w:b/>
                <w:bCs/>
                <w:color w:val="FFFFFF" w:themeColor="background1"/>
                <w:sz w:val="18"/>
                <w:szCs w:val="18"/>
              </w:rPr>
            </w:pPr>
            <w:r w:rsidRPr="00E86393">
              <w:rPr>
                <w:b/>
                <w:bCs/>
                <w:color w:val="FFFFFF" w:themeColor="background1"/>
                <w:sz w:val="18"/>
                <w:szCs w:val="18"/>
              </w:rPr>
              <w:t>Option</w:t>
            </w:r>
          </w:p>
        </w:tc>
        <w:tc>
          <w:tcPr>
            <w:tcW w:w="2433" w:type="dxa"/>
            <w:shd w:val="clear" w:color="auto" w:fill="0F1F35" w:themeFill="text2"/>
          </w:tcPr>
          <w:p w14:paraId="66ACE68C" w14:textId="6C04B77C" w:rsidR="00E86393" w:rsidRPr="00E86393" w:rsidRDefault="00E86393" w:rsidP="00E86393">
            <w:pPr>
              <w:jc w:val="center"/>
              <w:rPr>
                <w:b/>
                <w:bCs/>
                <w:color w:val="FFFFFF" w:themeColor="background1"/>
                <w:sz w:val="18"/>
                <w:szCs w:val="18"/>
              </w:rPr>
            </w:pPr>
            <w:r w:rsidRPr="00E86393">
              <w:rPr>
                <w:b/>
                <w:bCs/>
                <w:color w:val="FFFFFF" w:themeColor="background1"/>
                <w:sz w:val="18"/>
                <w:szCs w:val="18"/>
              </w:rPr>
              <w:t>Benefits</w:t>
            </w:r>
          </w:p>
        </w:tc>
        <w:tc>
          <w:tcPr>
            <w:tcW w:w="1654" w:type="dxa"/>
            <w:shd w:val="clear" w:color="auto" w:fill="0F1F35" w:themeFill="text2"/>
          </w:tcPr>
          <w:p w14:paraId="12157C2D" w14:textId="659D8D22" w:rsidR="00E86393" w:rsidRPr="00E86393" w:rsidRDefault="00E86393" w:rsidP="00E86393">
            <w:pPr>
              <w:jc w:val="center"/>
              <w:rPr>
                <w:b/>
                <w:bCs/>
                <w:color w:val="FFFFFF" w:themeColor="background1"/>
                <w:sz w:val="18"/>
                <w:szCs w:val="18"/>
              </w:rPr>
            </w:pPr>
            <w:r w:rsidRPr="00E86393">
              <w:rPr>
                <w:b/>
                <w:bCs/>
                <w:color w:val="FFFFFF" w:themeColor="background1"/>
                <w:sz w:val="18"/>
                <w:szCs w:val="18"/>
              </w:rPr>
              <w:t>Other costs</w:t>
            </w:r>
          </w:p>
        </w:tc>
        <w:tc>
          <w:tcPr>
            <w:tcW w:w="1751" w:type="dxa"/>
            <w:shd w:val="clear" w:color="auto" w:fill="0F1F35" w:themeFill="text2"/>
          </w:tcPr>
          <w:p w14:paraId="5D4992BA" w14:textId="1FA70DC6" w:rsidR="00E86393" w:rsidRPr="00E86393" w:rsidRDefault="00E86393" w:rsidP="00E86393">
            <w:pPr>
              <w:jc w:val="center"/>
              <w:rPr>
                <w:b/>
                <w:bCs/>
                <w:color w:val="FFFFFF" w:themeColor="background1"/>
                <w:sz w:val="18"/>
                <w:szCs w:val="18"/>
              </w:rPr>
            </w:pPr>
            <w:r w:rsidRPr="00E86393">
              <w:rPr>
                <w:b/>
                <w:bCs/>
                <w:color w:val="FFFFFF" w:themeColor="background1"/>
                <w:sz w:val="18"/>
                <w:szCs w:val="18"/>
              </w:rPr>
              <w:t>Net impact</w:t>
            </w:r>
          </w:p>
        </w:tc>
        <w:tc>
          <w:tcPr>
            <w:tcW w:w="2501" w:type="dxa"/>
            <w:shd w:val="clear" w:color="auto" w:fill="0F1F35" w:themeFill="text2"/>
          </w:tcPr>
          <w:p w14:paraId="6A8ED53D" w14:textId="4DC5144A" w:rsidR="00E86393" w:rsidRPr="00E86393" w:rsidRDefault="00E86393" w:rsidP="00E86393">
            <w:pPr>
              <w:jc w:val="center"/>
              <w:rPr>
                <w:b/>
                <w:bCs/>
                <w:color w:val="FFFFFF" w:themeColor="background1"/>
                <w:sz w:val="18"/>
                <w:szCs w:val="18"/>
              </w:rPr>
            </w:pPr>
            <w:r w:rsidRPr="00E86393">
              <w:rPr>
                <w:b/>
                <w:bCs/>
                <w:color w:val="FFFFFF" w:themeColor="background1"/>
                <w:sz w:val="18"/>
                <w:szCs w:val="18"/>
              </w:rPr>
              <w:t>Regulatory burden</w:t>
            </w:r>
          </w:p>
        </w:tc>
      </w:tr>
      <w:tr w:rsidR="007F0D2D" w14:paraId="354A98AB" w14:textId="77777777" w:rsidTr="005A3121">
        <w:trPr>
          <w:trHeight w:val="2488"/>
        </w:trPr>
        <w:tc>
          <w:tcPr>
            <w:tcW w:w="1295" w:type="dxa"/>
          </w:tcPr>
          <w:p w14:paraId="59284440" w14:textId="77777777" w:rsidR="007F0D2D" w:rsidRPr="007D290C" w:rsidRDefault="007F0D2D" w:rsidP="007E0AD0">
            <w:pPr>
              <w:rPr>
                <w:sz w:val="18"/>
                <w:szCs w:val="18"/>
              </w:rPr>
            </w:pPr>
            <w:r w:rsidRPr="007D290C">
              <w:rPr>
                <w:sz w:val="18"/>
                <w:szCs w:val="18"/>
              </w:rPr>
              <w:t>Proposed: MNES Standard</w:t>
            </w:r>
          </w:p>
        </w:tc>
        <w:tc>
          <w:tcPr>
            <w:tcW w:w="2433" w:type="dxa"/>
          </w:tcPr>
          <w:p w14:paraId="78CF41C9" w14:textId="77777777" w:rsidR="007F0D2D" w:rsidRPr="007D290C" w:rsidRDefault="007F0D2D" w:rsidP="007E0AD0">
            <w:pPr>
              <w:rPr>
                <w:sz w:val="18"/>
                <w:szCs w:val="18"/>
              </w:rPr>
            </w:pPr>
            <w:r w:rsidRPr="007D290C">
              <w:rPr>
                <w:sz w:val="18"/>
                <w:szCs w:val="18"/>
              </w:rPr>
              <w:t>A contributory portion of the overall $3,045,000,000 p/a in reduced delay costs for the further information pathway. Improved environmental outcomes; greater certainty; more consistent decisions.</w:t>
            </w:r>
          </w:p>
        </w:tc>
        <w:tc>
          <w:tcPr>
            <w:tcW w:w="1654" w:type="dxa"/>
          </w:tcPr>
          <w:p w14:paraId="421BA37F" w14:textId="77777777" w:rsidR="007F0D2D" w:rsidRPr="007D290C" w:rsidRDefault="007F0D2D" w:rsidP="007E0AD0">
            <w:pPr>
              <w:rPr>
                <w:sz w:val="18"/>
                <w:szCs w:val="18"/>
              </w:rPr>
            </w:pPr>
            <w:r w:rsidRPr="007D290C">
              <w:rPr>
                <w:sz w:val="18"/>
                <w:szCs w:val="18"/>
              </w:rPr>
              <w:t xml:space="preserve">Compliance, evidence and transition costs. </w:t>
            </w:r>
          </w:p>
          <w:p w14:paraId="395C1322" w14:textId="77777777" w:rsidR="007F0D2D" w:rsidRPr="007D290C" w:rsidRDefault="007F0D2D" w:rsidP="007E0AD0">
            <w:pPr>
              <w:rPr>
                <w:sz w:val="18"/>
                <w:szCs w:val="18"/>
              </w:rPr>
            </w:pPr>
          </w:p>
        </w:tc>
        <w:tc>
          <w:tcPr>
            <w:tcW w:w="1751" w:type="dxa"/>
          </w:tcPr>
          <w:p w14:paraId="1C56CA95" w14:textId="77777777" w:rsidR="007F0D2D" w:rsidRPr="007D290C" w:rsidRDefault="007F0D2D" w:rsidP="007E0AD0">
            <w:pPr>
              <w:rPr>
                <w:sz w:val="18"/>
                <w:szCs w:val="18"/>
              </w:rPr>
            </w:pPr>
            <w:r w:rsidRPr="007D290C">
              <w:rPr>
                <w:sz w:val="18"/>
                <w:szCs w:val="18"/>
              </w:rPr>
              <w:t>These have not been quantified, but costs are expected to be ameliorated by the benefits in more efficient assessment pathways.</w:t>
            </w:r>
          </w:p>
        </w:tc>
        <w:tc>
          <w:tcPr>
            <w:tcW w:w="2501" w:type="dxa"/>
          </w:tcPr>
          <w:p w14:paraId="48A677B1" w14:textId="77777777" w:rsidR="007F0D2D" w:rsidRPr="007D290C" w:rsidRDefault="007F0D2D" w:rsidP="007E0AD0">
            <w:pPr>
              <w:rPr>
                <w:sz w:val="18"/>
                <w:szCs w:val="18"/>
              </w:rPr>
            </w:pPr>
            <w:r w:rsidRPr="007D290C">
              <w:rPr>
                <w:sz w:val="18"/>
                <w:szCs w:val="18"/>
              </w:rPr>
              <w:t>A contributory portion of the overall minimum $3,045,000,000 p/a in reduced regulatory burden.</w:t>
            </w:r>
          </w:p>
        </w:tc>
      </w:tr>
      <w:tr w:rsidR="007F0D2D" w14:paraId="5877138E" w14:textId="77777777" w:rsidTr="005A3121">
        <w:trPr>
          <w:trHeight w:val="1981"/>
        </w:trPr>
        <w:tc>
          <w:tcPr>
            <w:tcW w:w="1295" w:type="dxa"/>
          </w:tcPr>
          <w:p w14:paraId="09CFAA05" w14:textId="77777777" w:rsidR="007F0D2D" w:rsidRPr="007D290C" w:rsidRDefault="007F0D2D" w:rsidP="007E0AD0">
            <w:pPr>
              <w:rPr>
                <w:sz w:val="18"/>
                <w:szCs w:val="18"/>
              </w:rPr>
            </w:pPr>
            <w:r w:rsidRPr="007D290C">
              <w:rPr>
                <w:sz w:val="18"/>
                <w:szCs w:val="18"/>
              </w:rPr>
              <w:lastRenderedPageBreak/>
              <w:t xml:space="preserve">Alternative: </w:t>
            </w:r>
            <w:r>
              <w:rPr>
                <w:sz w:val="18"/>
                <w:szCs w:val="18"/>
              </w:rPr>
              <w:t xml:space="preserve">Policy </w:t>
            </w:r>
            <w:r w:rsidRPr="007D290C">
              <w:rPr>
                <w:sz w:val="18"/>
                <w:szCs w:val="18"/>
              </w:rPr>
              <w:t>Guidance only</w:t>
            </w:r>
          </w:p>
        </w:tc>
        <w:tc>
          <w:tcPr>
            <w:tcW w:w="2433" w:type="dxa"/>
          </w:tcPr>
          <w:p w14:paraId="7EBA49BE" w14:textId="77777777" w:rsidR="007F0D2D" w:rsidRPr="007D290C" w:rsidRDefault="007F0D2D" w:rsidP="007E0AD0">
            <w:pPr>
              <w:rPr>
                <w:sz w:val="18"/>
                <w:szCs w:val="18"/>
              </w:rPr>
            </w:pPr>
            <w:r w:rsidRPr="007D290C">
              <w:rPr>
                <w:sz w:val="18"/>
                <w:szCs w:val="18"/>
              </w:rPr>
              <w:t>Some transparency benefits</w:t>
            </w:r>
          </w:p>
        </w:tc>
        <w:tc>
          <w:tcPr>
            <w:tcW w:w="1654" w:type="dxa"/>
          </w:tcPr>
          <w:p w14:paraId="4BAC0C9D" w14:textId="77777777" w:rsidR="007F0D2D" w:rsidRPr="007D290C" w:rsidRDefault="007F0D2D" w:rsidP="007E0AD0">
            <w:pPr>
              <w:rPr>
                <w:sz w:val="18"/>
                <w:szCs w:val="18"/>
              </w:rPr>
            </w:pPr>
            <w:r w:rsidRPr="007D290C">
              <w:rPr>
                <w:sz w:val="18"/>
                <w:szCs w:val="18"/>
              </w:rPr>
              <w:t>Low implementation cost</w:t>
            </w:r>
          </w:p>
        </w:tc>
        <w:tc>
          <w:tcPr>
            <w:tcW w:w="1751" w:type="dxa"/>
          </w:tcPr>
          <w:p w14:paraId="226CAFFD" w14:textId="77777777" w:rsidR="007F0D2D" w:rsidRPr="007D290C" w:rsidRDefault="007F0D2D" w:rsidP="007E0AD0">
            <w:pPr>
              <w:rPr>
                <w:sz w:val="18"/>
                <w:szCs w:val="18"/>
              </w:rPr>
            </w:pPr>
            <w:r w:rsidRPr="007D290C">
              <w:rPr>
                <w:sz w:val="18"/>
                <w:szCs w:val="18"/>
              </w:rPr>
              <w:t>Limited net benefit</w:t>
            </w:r>
          </w:p>
        </w:tc>
        <w:tc>
          <w:tcPr>
            <w:tcW w:w="2501" w:type="dxa"/>
          </w:tcPr>
          <w:p w14:paraId="3EA8454B" w14:textId="77777777" w:rsidR="007F0D2D" w:rsidRPr="007D290C" w:rsidRDefault="007F0D2D" w:rsidP="007E0AD0">
            <w:pPr>
              <w:rPr>
                <w:sz w:val="18"/>
                <w:szCs w:val="18"/>
              </w:rPr>
            </w:pPr>
            <w:r w:rsidRPr="007D290C">
              <w:rPr>
                <w:sz w:val="18"/>
                <w:szCs w:val="18"/>
              </w:rPr>
              <w:t>Expected to reduce benefits as would not sufficiently provide guidance on MNES, Ministerial discretion would remain high. Further information request</w:t>
            </w:r>
            <w:r>
              <w:rPr>
                <w:sz w:val="18"/>
                <w:szCs w:val="18"/>
              </w:rPr>
              <w:t>s</w:t>
            </w:r>
            <w:r w:rsidRPr="007D290C">
              <w:rPr>
                <w:sz w:val="18"/>
                <w:szCs w:val="18"/>
              </w:rPr>
              <w:t xml:space="preserve"> anticipated.</w:t>
            </w:r>
          </w:p>
        </w:tc>
      </w:tr>
    </w:tbl>
    <w:p w14:paraId="6B360919" w14:textId="77777777" w:rsidR="007F0D2D" w:rsidRPr="0004246F" w:rsidRDefault="007F0D2D" w:rsidP="007F0D2D">
      <w:pPr>
        <w:pStyle w:val="Heading2"/>
      </w:pPr>
      <w:r w:rsidRPr="0004246F">
        <w:t>Economic</w:t>
      </w:r>
      <w:r>
        <w:t xml:space="preserve"> and</w:t>
      </w:r>
      <w:r w:rsidRPr="0004246F">
        <w:t xml:space="preserve"> social impacts</w:t>
      </w:r>
    </w:p>
    <w:tbl>
      <w:tblPr>
        <w:tblStyle w:val="Style1"/>
        <w:tblW w:w="9634" w:type="dxa"/>
        <w:tblBorders>
          <w:top w:val="single" w:sz="4" w:space="0" w:color="0F1F35" w:themeColor="text2"/>
          <w:left w:val="single" w:sz="4" w:space="0" w:color="0F1F35" w:themeColor="text2"/>
          <w:bottom w:val="single" w:sz="4" w:space="0" w:color="0F1F35" w:themeColor="text2"/>
          <w:right w:val="single" w:sz="4" w:space="0" w:color="0F1F35" w:themeColor="text2"/>
          <w:insideH w:val="single" w:sz="4" w:space="0" w:color="0F1F35" w:themeColor="text2"/>
          <w:insideV w:val="single" w:sz="4" w:space="0" w:color="0F1F35" w:themeColor="text2"/>
        </w:tblBorders>
        <w:tblCellMar>
          <w:left w:w="85" w:type="dxa"/>
          <w:right w:w="85" w:type="dxa"/>
        </w:tblCellMar>
        <w:tblLook w:val="0620" w:firstRow="1" w:lastRow="0" w:firstColumn="0" w:lastColumn="0" w:noHBand="1" w:noVBand="1"/>
      </w:tblPr>
      <w:tblGrid>
        <w:gridCol w:w="2689"/>
        <w:gridCol w:w="6945"/>
      </w:tblGrid>
      <w:tr w:rsidR="007F0D2D" w14:paraId="50593F6D" w14:textId="77777777" w:rsidTr="007E0AD0">
        <w:trPr>
          <w:cnfStyle w:val="100000000000" w:firstRow="1" w:lastRow="0" w:firstColumn="0" w:lastColumn="0" w:oddVBand="0" w:evenVBand="0" w:oddHBand="0" w:evenHBand="0" w:firstRowFirstColumn="0" w:firstRowLastColumn="0" w:lastRowFirstColumn="0" w:lastRowLastColumn="0"/>
          <w:tblHeader/>
        </w:trPr>
        <w:tc>
          <w:tcPr>
            <w:tcW w:w="2689" w:type="dxa"/>
            <w:tcBorders>
              <w:bottom w:val="single" w:sz="8" w:space="0" w:color="0F1F35" w:themeColor="text2"/>
            </w:tcBorders>
            <w:shd w:val="clear" w:color="auto" w:fill="0F1F35" w:themeFill="text2"/>
          </w:tcPr>
          <w:p w14:paraId="1307EE1C" w14:textId="77777777" w:rsidR="007F0D2D" w:rsidRPr="00473172" w:rsidRDefault="007F0D2D" w:rsidP="007E0AD0">
            <w:pPr>
              <w:pStyle w:val="TBLText"/>
              <w:spacing w:after="0"/>
              <w:rPr>
                <w:color w:val="FFFFFF" w:themeColor="background1"/>
              </w:rPr>
            </w:pPr>
            <w:r w:rsidRPr="00473172">
              <w:rPr>
                <w:color w:val="FFFFFF" w:themeColor="background1"/>
              </w:rPr>
              <w:t>Status quo</w:t>
            </w:r>
          </w:p>
        </w:tc>
        <w:tc>
          <w:tcPr>
            <w:tcW w:w="6945" w:type="dxa"/>
            <w:tcBorders>
              <w:bottom w:val="single" w:sz="8" w:space="0" w:color="0F1F35" w:themeColor="text2"/>
            </w:tcBorders>
            <w:shd w:val="clear" w:color="auto" w:fill="0F1F35" w:themeFill="text2"/>
          </w:tcPr>
          <w:p w14:paraId="32465C8C" w14:textId="77777777" w:rsidR="007F0D2D" w:rsidRPr="00473172" w:rsidRDefault="007F0D2D" w:rsidP="007E0AD0">
            <w:pPr>
              <w:pStyle w:val="TBLText"/>
              <w:spacing w:after="0"/>
              <w:rPr>
                <w:color w:val="FFFFFF" w:themeColor="background1"/>
              </w:rPr>
            </w:pPr>
            <w:r w:rsidRPr="00473172">
              <w:rPr>
                <w:color w:val="FFFFFF" w:themeColor="background1"/>
              </w:rPr>
              <w:t>Proposed option</w:t>
            </w:r>
          </w:p>
        </w:tc>
      </w:tr>
      <w:tr w:rsidR="007F0D2D" w:rsidRPr="004D3335" w14:paraId="1DBA071A" w14:textId="77777777" w:rsidTr="007E0AD0">
        <w:tc>
          <w:tcPr>
            <w:tcW w:w="2689" w:type="dxa"/>
            <w:tcBorders>
              <w:top w:val="single" w:sz="8" w:space="0" w:color="0F1F35" w:themeColor="text2"/>
              <w:left w:val="single" w:sz="8" w:space="0" w:color="0F1F35" w:themeColor="text2"/>
              <w:bottom w:val="single" w:sz="8" w:space="0" w:color="0F1F35" w:themeColor="text2"/>
              <w:right w:val="single" w:sz="8" w:space="0" w:color="0F1F35" w:themeColor="text2"/>
            </w:tcBorders>
          </w:tcPr>
          <w:p w14:paraId="0AE306E7" w14:textId="77777777" w:rsidR="007F0D2D" w:rsidRPr="00016FDA" w:rsidRDefault="007F0D2D" w:rsidP="007E0AD0">
            <w:pPr>
              <w:pStyle w:val="TBLText"/>
              <w:rPr>
                <w:color w:val="auto"/>
              </w:rPr>
            </w:pPr>
            <w:r w:rsidRPr="00016FDA">
              <w:rPr>
                <w:color w:val="auto"/>
              </w:rPr>
              <w:t xml:space="preserve">People, business and other groups will </w:t>
            </w:r>
            <w:r>
              <w:rPr>
                <w:color w:val="auto"/>
              </w:rPr>
              <w:t xml:space="preserve">continue to be made aware of the </w:t>
            </w:r>
            <w:r w:rsidRPr="00016FDA">
              <w:rPr>
                <w:color w:val="auto"/>
              </w:rPr>
              <w:t>evidence required to assess the impacts of proposals</w:t>
            </w:r>
            <w:r>
              <w:rPr>
                <w:color w:val="auto"/>
              </w:rPr>
              <w:t xml:space="preserve"> through policy guidance only.</w:t>
            </w:r>
          </w:p>
          <w:p w14:paraId="428C7847" w14:textId="77777777" w:rsidR="007F0D2D" w:rsidRPr="00016FDA" w:rsidRDefault="007F0D2D" w:rsidP="007E0AD0">
            <w:pPr>
              <w:pStyle w:val="TBLText"/>
              <w:rPr>
                <w:color w:val="auto"/>
              </w:rPr>
            </w:pPr>
            <w:r w:rsidRPr="00016FDA">
              <w:rPr>
                <w:color w:val="auto"/>
              </w:rPr>
              <w:t>Ministerial decision-making would remain inconsistent and not transparent. Multiple requests for additional information would likely continue.</w:t>
            </w:r>
          </w:p>
        </w:tc>
        <w:tc>
          <w:tcPr>
            <w:tcW w:w="6945" w:type="dxa"/>
            <w:tcBorders>
              <w:top w:val="single" w:sz="8" w:space="0" w:color="0F1F35" w:themeColor="text2"/>
              <w:left w:val="single" w:sz="8" w:space="0" w:color="0F1F35" w:themeColor="text2"/>
              <w:bottom w:val="single" w:sz="8" w:space="0" w:color="0F1F35" w:themeColor="text2"/>
              <w:right w:val="single" w:sz="8" w:space="0" w:color="0F1F35" w:themeColor="text2"/>
            </w:tcBorders>
          </w:tcPr>
          <w:p w14:paraId="21EF03A7" w14:textId="77777777" w:rsidR="007F0D2D" w:rsidRPr="00016FDA" w:rsidRDefault="007F0D2D" w:rsidP="007E0AD0">
            <w:pPr>
              <w:rPr>
                <w:sz w:val="18"/>
                <w:szCs w:val="18"/>
              </w:rPr>
            </w:pPr>
            <w:r w:rsidRPr="00016FDA">
              <w:rPr>
                <w:sz w:val="18"/>
                <w:szCs w:val="18"/>
              </w:rPr>
              <w:t>The MNES Standard will support the operation of a reformed EPBC Act by setting expectations for regulated activities and uplifting the quality and consistency of decision-making.</w:t>
            </w:r>
            <w:r>
              <w:rPr>
                <w:sz w:val="18"/>
                <w:szCs w:val="18"/>
              </w:rPr>
              <w:t xml:space="preserve"> By replacing policy with a Standard to which the Minister must have regard, this</w:t>
            </w:r>
            <w:r w:rsidRPr="00016FDA">
              <w:rPr>
                <w:sz w:val="18"/>
                <w:szCs w:val="18"/>
              </w:rPr>
              <w:t xml:space="preserve"> will lead to clearer expectations, improved transparency, increased confidence in decisions and better outcomes for protected matters. Benefits are expected across proponents, governments, First Nations stakeholders and communities. Business should see the greatest benefit in reduced regulatory burden and administration costs.</w:t>
            </w:r>
          </w:p>
          <w:p w14:paraId="696BD88F" w14:textId="77777777" w:rsidR="007F0D2D" w:rsidRPr="00016FDA" w:rsidRDefault="007F0D2D" w:rsidP="007E0AD0">
            <w:pPr>
              <w:pStyle w:val="TBLText"/>
              <w:rPr>
                <w:b/>
                <w:bCs/>
                <w:color w:val="auto"/>
              </w:rPr>
            </w:pPr>
            <w:r w:rsidRPr="00016FDA">
              <w:rPr>
                <w:b/>
                <w:bCs/>
                <w:color w:val="auto"/>
              </w:rPr>
              <w:t xml:space="preserve">Stakeholder views: </w:t>
            </w:r>
          </w:p>
          <w:p w14:paraId="695FDD4F" w14:textId="77777777" w:rsidR="007F0D2D" w:rsidRPr="00016FDA" w:rsidRDefault="007F0D2D" w:rsidP="007E0AD0">
            <w:pPr>
              <w:pStyle w:val="TBLText"/>
              <w:rPr>
                <w:color w:val="auto"/>
              </w:rPr>
            </w:pPr>
            <w:r w:rsidRPr="00016FDA">
              <w:rPr>
                <w:color w:val="auto"/>
              </w:rPr>
              <w:t>Stakeholders across sectors are broadly supportive of the MNES Standard’s intent and underlying principles.</w:t>
            </w:r>
          </w:p>
        </w:tc>
      </w:tr>
    </w:tbl>
    <w:p w14:paraId="04AF3D67" w14:textId="77777777" w:rsidR="007F0D2D" w:rsidRDefault="007F0D2D" w:rsidP="007F0D2D">
      <w:pPr>
        <w:pStyle w:val="Heading2"/>
      </w:pPr>
      <w:r w:rsidRPr="001A5542">
        <w:t xml:space="preserve">Regulatory </w:t>
      </w:r>
      <w:r>
        <w:t>burden</w:t>
      </w:r>
    </w:p>
    <w:tbl>
      <w:tblPr>
        <w:tblStyle w:val="Style1"/>
        <w:tblW w:w="9634" w:type="dxa"/>
        <w:tblBorders>
          <w:top w:val="single" w:sz="4" w:space="0" w:color="0F1F35" w:themeColor="text2"/>
          <w:left w:val="single" w:sz="4" w:space="0" w:color="0F1F35" w:themeColor="text2"/>
          <w:bottom w:val="single" w:sz="4" w:space="0" w:color="0F1F35" w:themeColor="text2"/>
          <w:right w:val="single" w:sz="4" w:space="0" w:color="0F1F35" w:themeColor="text2"/>
          <w:insideH w:val="single" w:sz="4" w:space="0" w:color="0F1F35" w:themeColor="text2"/>
          <w:insideV w:val="single" w:sz="4" w:space="0" w:color="0F1F35" w:themeColor="text2"/>
        </w:tblBorders>
        <w:tblCellMar>
          <w:left w:w="85" w:type="dxa"/>
          <w:right w:w="85" w:type="dxa"/>
        </w:tblCellMar>
        <w:tblLook w:val="0620" w:firstRow="1" w:lastRow="0" w:firstColumn="0" w:lastColumn="0" w:noHBand="1" w:noVBand="1"/>
      </w:tblPr>
      <w:tblGrid>
        <w:gridCol w:w="2689"/>
        <w:gridCol w:w="6945"/>
      </w:tblGrid>
      <w:tr w:rsidR="007F0D2D" w14:paraId="4E87D426" w14:textId="77777777" w:rsidTr="007E0AD0">
        <w:trPr>
          <w:cnfStyle w:val="100000000000" w:firstRow="1" w:lastRow="0" w:firstColumn="0" w:lastColumn="0" w:oddVBand="0" w:evenVBand="0" w:oddHBand="0" w:evenHBand="0" w:firstRowFirstColumn="0" w:firstRowLastColumn="0" w:lastRowFirstColumn="0" w:lastRowLastColumn="0"/>
          <w:trHeight w:val="200"/>
          <w:tblHeader/>
        </w:trPr>
        <w:tc>
          <w:tcPr>
            <w:tcW w:w="2689" w:type="dxa"/>
            <w:shd w:val="clear" w:color="auto" w:fill="0F1F35" w:themeFill="text2"/>
          </w:tcPr>
          <w:p w14:paraId="51D33A6F" w14:textId="77777777" w:rsidR="007F0D2D" w:rsidRPr="00473172" w:rsidRDefault="007F0D2D" w:rsidP="007E0AD0">
            <w:pPr>
              <w:pStyle w:val="TBLText"/>
              <w:spacing w:after="0"/>
              <w:rPr>
                <w:color w:val="FFFFFF" w:themeColor="background1"/>
              </w:rPr>
            </w:pPr>
            <w:r w:rsidRPr="00473172">
              <w:rPr>
                <w:color w:val="FFFFFF" w:themeColor="background1"/>
              </w:rPr>
              <w:t>Status quo</w:t>
            </w:r>
          </w:p>
        </w:tc>
        <w:tc>
          <w:tcPr>
            <w:tcW w:w="6945" w:type="dxa"/>
            <w:shd w:val="clear" w:color="auto" w:fill="0F1F35" w:themeFill="text2"/>
          </w:tcPr>
          <w:p w14:paraId="2F759FFF" w14:textId="77777777" w:rsidR="007F0D2D" w:rsidRPr="00473172" w:rsidRDefault="007F0D2D" w:rsidP="007E0AD0">
            <w:pPr>
              <w:pStyle w:val="TBLText"/>
              <w:spacing w:after="0"/>
              <w:rPr>
                <w:color w:val="FFFFFF" w:themeColor="background1"/>
              </w:rPr>
            </w:pPr>
            <w:r w:rsidRPr="00473172">
              <w:rPr>
                <w:color w:val="FFFFFF" w:themeColor="background1"/>
              </w:rPr>
              <w:t>Proposed option</w:t>
            </w:r>
          </w:p>
        </w:tc>
      </w:tr>
      <w:tr w:rsidR="007F0D2D" w:rsidRPr="004D3335" w14:paraId="4A793786" w14:textId="77777777" w:rsidTr="007E0AD0">
        <w:tc>
          <w:tcPr>
            <w:tcW w:w="2689" w:type="dxa"/>
          </w:tcPr>
          <w:p w14:paraId="4BE29FD4" w14:textId="77777777" w:rsidR="007F0D2D" w:rsidRPr="00016FDA" w:rsidRDefault="007F0D2D" w:rsidP="007E0AD0">
            <w:pPr>
              <w:pStyle w:val="TBLText"/>
              <w:rPr>
                <w:color w:val="auto"/>
              </w:rPr>
            </w:pPr>
            <w:r w:rsidRPr="00016FDA">
              <w:rPr>
                <w:b/>
                <w:bCs/>
                <w:color w:val="auto"/>
              </w:rPr>
              <w:t>Assessment of any existing compliance and/or delay costs:</w:t>
            </w:r>
          </w:p>
          <w:p w14:paraId="501A62AE" w14:textId="77777777" w:rsidR="007F0D2D" w:rsidRPr="00016FDA" w:rsidRDefault="007F0D2D" w:rsidP="007E0AD0">
            <w:pPr>
              <w:pStyle w:val="TBLText"/>
              <w:rPr>
                <w:color w:val="auto"/>
              </w:rPr>
            </w:pPr>
            <w:r w:rsidRPr="00016FDA">
              <w:rPr>
                <w:color w:val="auto"/>
              </w:rPr>
              <w:t>These costs are outlined in the Addendum.</w:t>
            </w:r>
          </w:p>
          <w:p w14:paraId="1F487ECF" w14:textId="77777777" w:rsidR="007F0D2D" w:rsidRPr="00016FDA" w:rsidRDefault="007F0D2D" w:rsidP="007E0AD0">
            <w:pPr>
              <w:pStyle w:val="TBLText"/>
              <w:rPr>
                <w:color w:val="auto"/>
              </w:rPr>
            </w:pPr>
          </w:p>
        </w:tc>
        <w:tc>
          <w:tcPr>
            <w:tcW w:w="6945" w:type="dxa"/>
          </w:tcPr>
          <w:p w14:paraId="3B359D9F" w14:textId="77777777" w:rsidR="007F0D2D" w:rsidRPr="00016FDA" w:rsidRDefault="007F0D2D" w:rsidP="007E0AD0">
            <w:pPr>
              <w:pStyle w:val="TBLText"/>
              <w:rPr>
                <w:b/>
                <w:bCs/>
                <w:color w:val="auto"/>
              </w:rPr>
            </w:pPr>
            <w:r w:rsidRPr="00016FDA">
              <w:rPr>
                <w:b/>
                <w:bCs/>
                <w:color w:val="auto"/>
              </w:rPr>
              <w:t>Change in the regulatory burden:</w:t>
            </w:r>
          </w:p>
          <w:p w14:paraId="12ECAF1C" w14:textId="77777777" w:rsidR="007F0D2D" w:rsidRPr="00016FDA" w:rsidRDefault="007F0D2D" w:rsidP="007E0AD0">
            <w:pPr>
              <w:rPr>
                <w:sz w:val="18"/>
                <w:szCs w:val="18"/>
              </w:rPr>
            </w:pPr>
            <w:r w:rsidRPr="00016FDA">
              <w:rPr>
                <w:sz w:val="18"/>
                <w:szCs w:val="18"/>
              </w:rPr>
              <w:t>The MNES Standard will include compliance and evidence requirements, application of the mitigation hierarchy and assessment documentation. These requirements are expected to be offset by reduced uncertainty, fewer information requests and more efficient assessments, as outlined in the Addendum. The Department has considered the regulatory burden of the MNES Standard for people, businesses and other groups and considers the MNES Standard creates greater regulatory certainty and less burden for referrals and assessments under the new provisions of the EPBC Act.</w:t>
            </w:r>
          </w:p>
          <w:p w14:paraId="1D06908D" w14:textId="77777777" w:rsidR="007F0D2D" w:rsidRPr="00016FDA" w:rsidRDefault="007F0D2D" w:rsidP="007E0AD0">
            <w:pPr>
              <w:pStyle w:val="TBLText"/>
              <w:rPr>
                <w:color w:val="auto"/>
              </w:rPr>
            </w:pPr>
            <w:r w:rsidRPr="00016FDA">
              <w:rPr>
                <w:b/>
                <w:color w:val="auto"/>
              </w:rPr>
              <w:t>Stakeholder views</w:t>
            </w:r>
            <w:r w:rsidRPr="00016FDA">
              <w:rPr>
                <w:color w:val="auto"/>
              </w:rPr>
              <w:t>:</w:t>
            </w:r>
          </w:p>
          <w:p w14:paraId="1FE440B9" w14:textId="77777777" w:rsidR="007F0D2D" w:rsidRPr="00016FDA" w:rsidRDefault="007F0D2D" w:rsidP="007E0AD0">
            <w:pPr>
              <w:pStyle w:val="TBLText"/>
              <w:rPr>
                <w:color w:val="auto"/>
              </w:rPr>
            </w:pPr>
            <w:r w:rsidRPr="00016FDA">
              <w:rPr>
                <w:color w:val="auto"/>
                <w:lang w:val="en-US"/>
              </w:rPr>
              <w:t xml:space="preserve">Consultation feedback </w:t>
            </w:r>
            <w:r w:rsidRPr="00016FDA">
              <w:rPr>
                <w:color w:val="auto"/>
              </w:rPr>
              <w:t xml:space="preserve">across sectors was broadly supportive of the MNES Standard. Industry sought clarity on aspects of the MNES Standard, particularly the ambit of the principles and breadth of the definitions. </w:t>
            </w:r>
          </w:p>
          <w:p w14:paraId="1293C856" w14:textId="77777777" w:rsidR="007F0D2D" w:rsidRPr="00016FDA" w:rsidRDefault="007F0D2D" w:rsidP="007E0AD0">
            <w:pPr>
              <w:pStyle w:val="TBLText"/>
              <w:rPr>
                <w:color w:val="auto"/>
              </w:rPr>
            </w:pPr>
            <w:r w:rsidRPr="00016FDA">
              <w:rPr>
                <w:color w:val="auto"/>
              </w:rPr>
              <w:t xml:space="preserve">A single submission estimated that the evidence requirements for the MNES Standard will be an additional cost to referrals, but this view was not shared among its sector peers. This submission assumed costs to meet the MNES Standard was in addition to costs obtaining approvals which is not the intent of the MNES Standard.  </w:t>
            </w:r>
          </w:p>
        </w:tc>
      </w:tr>
    </w:tbl>
    <w:p w14:paraId="5B34EDD6" w14:textId="77777777" w:rsidR="007F0D2D" w:rsidRDefault="007F0D2D" w:rsidP="007F0D2D">
      <w:pPr>
        <w:pStyle w:val="Heading2"/>
      </w:pPr>
      <w:r w:rsidRPr="00CA3925">
        <w:lastRenderedPageBreak/>
        <w:t>Other considerations and implementation</w:t>
      </w:r>
    </w:p>
    <w:p w14:paraId="189521BB" w14:textId="77777777" w:rsidR="007F0D2D" w:rsidRDefault="007F0D2D" w:rsidP="007F0D2D">
      <w:r>
        <w:t>Other options considered were the status quo and non-regulatory. These options would not provide a legally enforceable, consistent framework and provide practical guidance for applicants as to how the legislative requirements will be considered by the Minister. The preferred option will be implemented through standards-making provisions of the reformed EPBC Act.</w:t>
      </w:r>
    </w:p>
    <w:p w14:paraId="2C3BC77F" w14:textId="77777777" w:rsidR="007F0D2D" w:rsidRDefault="007F0D2D" w:rsidP="007F0D2D">
      <w:pPr>
        <w:pStyle w:val="Heading3"/>
      </w:pPr>
      <w:r w:rsidRPr="00CA3925">
        <w:t>What success looks like</w:t>
      </w:r>
    </w:p>
    <w:p w14:paraId="0C610E55" w14:textId="77777777" w:rsidR="007F0D2D" w:rsidRDefault="007F0D2D" w:rsidP="007F0D2D">
      <w:r>
        <w:t xml:space="preserve">The Standards will provide sufficient clarity whilst retaining flexibility as to how proponents demonstrate that the substantive approval requirements for decision-making are met. </w:t>
      </w:r>
    </w:p>
    <w:p w14:paraId="026F9964" w14:textId="77777777" w:rsidR="007F0D2D" w:rsidRDefault="007F0D2D" w:rsidP="007F0D2D">
      <w:r>
        <w:t xml:space="preserve">This will lead to more consistent environmental decisions; improved outcomes for protected matters; fewer requests for additional information; increased stakeholder confidence; improved transparency and regulatory certainty. </w:t>
      </w:r>
    </w:p>
    <w:p w14:paraId="0E5C41E3" w14:textId="77777777" w:rsidR="007F0D2D" w:rsidRDefault="007F0D2D" w:rsidP="007F0D2D">
      <w:pPr>
        <w:pStyle w:val="Heading3"/>
      </w:pPr>
      <w:r w:rsidRPr="000E5B4B">
        <w:t>Implementation approach</w:t>
      </w:r>
    </w:p>
    <w:p w14:paraId="0458498F" w14:textId="77777777" w:rsidR="007F0D2D" w:rsidRDefault="007F0D2D" w:rsidP="007F0D2D">
      <w:r w:rsidRPr="00936AD4">
        <w:t>Implementation will occur through the ongoing tranches of legislative reform supporting the new EPBC arrangements and may include guidance materials to support specific sectors to access the benefits of streamlined pathways, National EPA oversight and Environment Information Australia reporting.</w:t>
      </w:r>
      <w:r>
        <w:t xml:space="preserve"> </w:t>
      </w:r>
    </w:p>
    <w:p w14:paraId="4A0A9DE2" w14:textId="77777777" w:rsidR="007F0D2D" w:rsidRDefault="007F0D2D" w:rsidP="007F0D2D">
      <w:pPr>
        <w:pStyle w:val="Heading3"/>
      </w:pPr>
      <w:r>
        <w:t>Planned evaluation</w:t>
      </w:r>
    </w:p>
    <w:p w14:paraId="1457C404" w14:textId="77777777" w:rsidR="007F0D2D" w:rsidRPr="007A6B02" w:rsidRDefault="007F0D2D" w:rsidP="007F0D2D">
      <w:r>
        <w:t>Formal review is required within 18 months of commencement and at least every five years thereafter by section 514YJ of the reformed EPBC Act.</w:t>
      </w:r>
    </w:p>
    <w:p w14:paraId="0DC19622" w14:textId="370E4664" w:rsidR="00403DBF" w:rsidRDefault="00403DBF">
      <w:pPr>
        <w:spacing w:after="200" w:line="288" w:lineRule="auto"/>
        <w:rPr>
          <w:color w:val="A6A6A6" w:themeColor="background1" w:themeShade="A6"/>
        </w:rPr>
      </w:pPr>
      <w:r>
        <w:rPr>
          <w:color w:val="A6A6A6" w:themeColor="background1" w:themeShade="A6"/>
        </w:rPr>
        <w:br w:type="page"/>
      </w:r>
    </w:p>
    <w:p w14:paraId="39AF473D" w14:textId="144CD1FE" w:rsidR="005C32EF" w:rsidRPr="000558ED" w:rsidRDefault="00403DBF" w:rsidP="007F0D2D">
      <w:pPr>
        <w:rPr>
          <w:color w:val="A6A6A6" w:themeColor="background1" w:themeShade="A6"/>
        </w:rPr>
      </w:pPr>
      <w:r w:rsidRPr="0014665A">
        <w:rPr>
          <w:noProof/>
        </w:rPr>
        <w:lastRenderedPageBreak/>
        <w:drawing>
          <wp:inline distT="0" distB="0" distL="0" distR="0" wp14:anchorId="6220C727" wp14:editId="5A58CCD4">
            <wp:extent cx="6120130" cy="5646631"/>
            <wp:effectExtent l="0" t="0" r="0" b="0"/>
            <wp:docPr id="17477442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lum bright="-12000" contrast="40000"/>
                      <a:extLst>
                        <a:ext uri="{28A0092B-C50C-407E-A947-70E740481C1C}">
                          <a14:useLocalDpi xmlns:a14="http://schemas.microsoft.com/office/drawing/2010/main" val="0"/>
                        </a:ext>
                      </a:extLst>
                    </a:blip>
                    <a:srcRect l="8227" t="8579" r="8560" b="37107"/>
                    <a:stretch>
                      <a:fillRect/>
                    </a:stretch>
                  </pic:blipFill>
                  <pic:spPr bwMode="auto">
                    <a:xfrm>
                      <a:off x="0" y="0"/>
                      <a:ext cx="6120130" cy="5646631"/>
                    </a:xfrm>
                    <a:prstGeom prst="rect">
                      <a:avLst/>
                    </a:prstGeom>
                    <a:noFill/>
                    <a:ln>
                      <a:noFill/>
                    </a:ln>
                    <a:extLst>
                      <a:ext uri="{53640926-AAD7-44D8-BBD7-CCE9431645EC}">
                        <a14:shadowObscured xmlns:a14="http://schemas.microsoft.com/office/drawing/2010/main"/>
                      </a:ext>
                    </a:extLst>
                  </pic:spPr>
                </pic:pic>
              </a:graphicData>
            </a:graphic>
          </wp:inline>
        </w:drawing>
      </w:r>
    </w:p>
    <w:sectPr w:rsidR="005C32EF" w:rsidRPr="000558ED" w:rsidSect="00106330">
      <w:footerReference w:type="default" r:id="rId8"/>
      <w:headerReference w:type="first" r:id="rId9"/>
      <w:footerReference w:type="first" r:id="rId10"/>
      <w:pgSz w:w="11906" w:h="16838"/>
      <w:pgMar w:top="1843" w:right="1134" w:bottom="1134" w:left="1134" w:header="992"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ABDC4" w14:textId="77777777" w:rsidR="002051FF" w:rsidRDefault="002051FF" w:rsidP="00F957C6">
      <w:pPr>
        <w:spacing w:after="0" w:line="240" w:lineRule="auto"/>
      </w:pPr>
      <w:r>
        <w:separator/>
      </w:r>
    </w:p>
  </w:endnote>
  <w:endnote w:type="continuationSeparator" w:id="0">
    <w:p w14:paraId="181DBC08" w14:textId="77777777" w:rsidR="002051FF" w:rsidRDefault="002051FF" w:rsidP="00F95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do">
    <w:altName w:val="Times New Roman"/>
    <w:charset w:val="00"/>
    <w:family w:val="roman"/>
    <w:pitch w:val="variable"/>
    <w:sig w:usb0="E40008FF" w:usb1="5201E0FB" w:usb2="04608000" w:usb3="00000000" w:csb0="000000BB"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 w:name="Segoe UI Semilight">
    <w:panose1 w:val="020B0402040204020203"/>
    <w:charset w:val="00"/>
    <w:family w:val="swiss"/>
    <w:pitch w:val="variable"/>
    <w:sig w:usb0="E4002EFF" w:usb1="C000E47F" w:usb2="00000009" w:usb3="00000000" w:csb0="000001FF" w:csb1="00000000"/>
  </w:font>
  <w:font w:name="Inter Light">
    <w:charset w:val="00"/>
    <w:family w:val="auto"/>
    <w:pitch w:val="variable"/>
    <w:sig w:usb0="E00002FF" w:usb1="1200A1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437FA" w14:textId="54D39955" w:rsidR="00037513" w:rsidRPr="00852F35" w:rsidRDefault="00936C83" w:rsidP="00936C83">
    <w:pPr>
      <w:pStyle w:val="Header"/>
      <w:rPr>
        <w:rFonts w:ascii="Segoe UI" w:hAnsi="Segoe UI" w:cs="Segoe UI"/>
        <w:color w:val="6E6E6E"/>
        <w:sz w:val="18"/>
      </w:rPr>
    </w:pPr>
    <w:r>
      <w:rPr>
        <w:color w:val="6E6E6E"/>
        <w:sz w:val="18"/>
        <w:szCs w:val="18"/>
      </w:rPr>
      <w:t xml:space="preserve">Australian Government </w:t>
    </w:r>
    <w:r w:rsidRPr="00852F35">
      <w:rPr>
        <w:color w:val="6E6E6E"/>
        <w:sz w:val="18"/>
        <w:szCs w:val="18"/>
      </w:rPr>
      <w:t xml:space="preserve">| </w:t>
    </w:r>
    <w:r>
      <w:rPr>
        <w:color w:val="6E6E6E"/>
        <w:sz w:val="18"/>
        <w:szCs w:val="18"/>
      </w:rPr>
      <w:t xml:space="preserve">Dashboard Impact Analysis (IA) – </w:t>
    </w:r>
    <w:r w:rsidR="00D045DF">
      <w:rPr>
        <w:color w:val="6E6E6E"/>
        <w:sz w:val="18"/>
        <w:szCs w:val="18"/>
      </w:rPr>
      <w:t xml:space="preserve">EPBC Act </w:t>
    </w:r>
    <w:r w:rsidR="003A08B7">
      <w:rPr>
        <w:color w:val="6E6E6E"/>
        <w:sz w:val="18"/>
        <w:szCs w:val="18"/>
      </w:rPr>
      <w:t>1999</w:t>
    </w:r>
    <w:r w:rsidR="00D045DF">
      <w:rPr>
        <w:color w:val="6E6E6E"/>
        <w:sz w:val="18"/>
        <w:szCs w:val="18"/>
      </w:rPr>
      <w:t xml:space="preserve"> Matters of National Environmental Significance Standard </w:t>
    </w:r>
    <w:r w:rsidRPr="00852F35">
      <w:rPr>
        <w:color w:val="6E6E6E"/>
      </w:rPr>
      <w:ptab w:relativeTo="margin" w:alignment="right" w:leader="none"/>
    </w:r>
    <w:r w:rsidRPr="00852F35">
      <w:rPr>
        <w:rFonts w:ascii="Segoe UI" w:hAnsi="Segoe UI" w:cs="Segoe UI"/>
        <w:color w:val="6E6E6E"/>
        <w:sz w:val="18"/>
      </w:rPr>
      <w:fldChar w:fldCharType="begin"/>
    </w:r>
    <w:r w:rsidRPr="00852F35">
      <w:rPr>
        <w:rFonts w:ascii="Segoe UI" w:hAnsi="Segoe UI" w:cs="Segoe UI"/>
        <w:color w:val="6E6E6E"/>
        <w:sz w:val="18"/>
      </w:rPr>
      <w:instrText xml:space="preserve"> PAGE   \* MERGEFORMAT </w:instrText>
    </w:r>
    <w:r w:rsidRPr="00852F35">
      <w:rPr>
        <w:rFonts w:ascii="Segoe UI" w:hAnsi="Segoe UI" w:cs="Segoe UI"/>
        <w:color w:val="6E6E6E"/>
        <w:sz w:val="18"/>
      </w:rPr>
      <w:fldChar w:fldCharType="separate"/>
    </w:r>
    <w:r>
      <w:rPr>
        <w:rFonts w:ascii="Segoe UI" w:hAnsi="Segoe UI" w:cs="Segoe UI"/>
        <w:color w:val="6E6E6E"/>
        <w:sz w:val="18"/>
      </w:rPr>
      <w:t>1</w:t>
    </w:r>
    <w:r w:rsidRPr="00852F35">
      <w:rPr>
        <w:rFonts w:ascii="Segoe UI" w:hAnsi="Segoe UI" w:cs="Segoe UI"/>
        <w:noProof/>
        <w:color w:val="6E6E6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D690D" w14:textId="77777777" w:rsidR="006E7551" w:rsidRDefault="006E7551" w:rsidP="00BB1526">
    <w:pPr>
      <w:pStyle w:val="Header"/>
      <w:rPr>
        <w:color w:val="6E6E6E"/>
        <w:sz w:val="18"/>
        <w:szCs w:val="18"/>
      </w:rPr>
    </w:pPr>
  </w:p>
  <w:p w14:paraId="7743EB31" w14:textId="52D7D10F" w:rsidR="00464D89" w:rsidRPr="00BB1526" w:rsidRDefault="005A3632" w:rsidP="00BB1526">
    <w:pPr>
      <w:pStyle w:val="Header"/>
      <w:rPr>
        <w:rFonts w:ascii="Segoe UI" w:hAnsi="Segoe UI" w:cs="Segoe UI"/>
        <w:color w:val="6E6E6E"/>
        <w:sz w:val="18"/>
      </w:rPr>
    </w:pPr>
    <w:r>
      <w:rPr>
        <w:color w:val="6E6E6E"/>
        <w:sz w:val="18"/>
        <w:szCs w:val="18"/>
      </w:rPr>
      <w:t xml:space="preserve">Australian Government </w:t>
    </w:r>
    <w:r w:rsidRPr="00852F35">
      <w:rPr>
        <w:color w:val="6E6E6E"/>
        <w:sz w:val="18"/>
        <w:szCs w:val="18"/>
      </w:rPr>
      <w:t>|</w:t>
    </w:r>
    <w:r w:rsidR="00BB1526" w:rsidRPr="00852F35">
      <w:rPr>
        <w:color w:val="6E6E6E"/>
        <w:sz w:val="18"/>
        <w:szCs w:val="18"/>
      </w:rPr>
      <w:t xml:space="preserve"> </w:t>
    </w:r>
    <w:r w:rsidR="005D7C45">
      <w:rPr>
        <w:color w:val="6E6E6E"/>
        <w:sz w:val="18"/>
        <w:szCs w:val="18"/>
      </w:rPr>
      <w:t xml:space="preserve">Dashboard Impact Analysis (IA) – </w:t>
    </w:r>
    <w:r w:rsidR="001D1074">
      <w:rPr>
        <w:color w:val="6E6E6E"/>
        <w:sz w:val="18"/>
        <w:szCs w:val="18"/>
      </w:rPr>
      <w:t>EPBC Act 1999 Matters</w:t>
    </w:r>
    <w:r w:rsidR="005D7C45">
      <w:rPr>
        <w:color w:val="6E6E6E"/>
        <w:sz w:val="18"/>
        <w:szCs w:val="18"/>
      </w:rPr>
      <w:t xml:space="preserve"> of </w:t>
    </w:r>
    <w:r w:rsidR="001D1074">
      <w:rPr>
        <w:color w:val="6E6E6E"/>
        <w:sz w:val="18"/>
        <w:szCs w:val="18"/>
      </w:rPr>
      <w:t xml:space="preserve">National Environmental Significance Standard </w:t>
    </w:r>
    <w:r w:rsidR="00BB1526" w:rsidRPr="00852F35">
      <w:rPr>
        <w:color w:val="6E6E6E"/>
      </w:rPr>
      <w:ptab w:relativeTo="margin" w:alignment="right" w:leader="none"/>
    </w:r>
    <w:r w:rsidR="00BB1526" w:rsidRPr="00852F35">
      <w:rPr>
        <w:rFonts w:ascii="Segoe UI" w:hAnsi="Segoe UI" w:cs="Segoe UI"/>
        <w:color w:val="6E6E6E"/>
        <w:sz w:val="18"/>
      </w:rPr>
      <w:fldChar w:fldCharType="begin"/>
    </w:r>
    <w:r w:rsidR="00BB1526" w:rsidRPr="00852F35">
      <w:rPr>
        <w:rFonts w:ascii="Segoe UI" w:hAnsi="Segoe UI" w:cs="Segoe UI"/>
        <w:color w:val="6E6E6E"/>
        <w:sz w:val="18"/>
      </w:rPr>
      <w:instrText xml:space="preserve"> PAGE   \* MERGEFORMAT </w:instrText>
    </w:r>
    <w:r w:rsidR="00BB1526" w:rsidRPr="00852F35">
      <w:rPr>
        <w:rFonts w:ascii="Segoe UI" w:hAnsi="Segoe UI" w:cs="Segoe UI"/>
        <w:color w:val="6E6E6E"/>
        <w:sz w:val="18"/>
      </w:rPr>
      <w:fldChar w:fldCharType="separate"/>
    </w:r>
    <w:r w:rsidR="00E155C1">
      <w:rPr>
        <w:rFonts w:ascii="Segoe UI" w:hAnsi="Segoe UI" w:cs="Segoe UI"/>
        <w:noProof/>
        <w:color w:val="6E6E6E"/>
        <w:sz w:val="18"/>
      </w:rPr>
      <w:t>1</w:t>
    </w:r>
    <w:r w:rsidR="00BB1526" w:rsidRPr="00852F35">
      <w:rPr>
        <w:rFonts w:ascii="Segoe UI" w:hAnsi="Segoe UI" w:cs="Segoe UI"/>
        <w:noProof/>
        <w:color w:val="6E6E6E"/>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93A8A" w14:textId="77777777" w:rsidR="002051FF" w:rsidRDefault="002051FF" w:rsidP="00F957C6">
      <w:pPr>
        <w:spacing w:after="0" w:line="240" w:lineRule="auto"/>
      </w:pPr>
      <w:r>
        <w:separator/>
      </w:r>
    </w:p>
  </w:footnote>
  <w:footnote w:type="continuationSeparator" w:id="0">
    <w:p w14:paraId="344335C9" w14:textId="77777777" w:rsidR="002051FF" w:rsidRDefault="002051FF" w:rsidP="00F957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8A34A" w14:textId="77777777" w:rsidR="0026634E" w:rsidRDefault="0026634E" w:rsidP="0026634E">
    <w:pPr>
      <w:pStyle w:val="Header"/>
      <w:jc w:val="center"/>
      <w:rPr>
        <w:rStyle w:val="CLASSIFICATIONChar"/>
      </w:rPr>
    </w:pPr>
    <w:r>
      <w:rPr>
        <w:rStyle w:val="CLASSIFICATIONChar"/>
        <w:noProof/>
        <w:lang w:eastAsia="en-AU"/>
      </w:rPr>
      <w:drawing>
        <wp:anchor distT="0" distB="0" distL="114300" distR="114300" simplePos="0" relativeHeight="251658240" behindDoc="1" locked="0" layoutInCell="1" allowOverlap="1" wp14:anchorId="0BAD895F" wp14:editId="1B7BAD46">
          <wp:simplePos x="0" y="0"/>
          <wp:positionH relativeFrom="column">
            <wp:posOffset>-46990</wp:posOffset>
          </wp:positionH>
          <wp:positionV relativeFrom="paragraph">
            <wp:posOffset>-217805</wp:posOffset>
          </wp:positionV>
          <wp:extent cx="2322830" cy="621665"/>
          <wp:effectExtent l="0" t="0" r="1270" b="6985"/>
          <wp:wrapNone/>
          <wp:docPr id="898388666" name="Picture 898388666" descr="Australian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ustralian Govern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621665"/>
                  </a:xfrm>
                  <a:prstGeom prst="rect">
                    <a:avLst/>
                  </a:prstGeom>
                  <a:noFill/>
                </pic:spPr>
              </pic:pic>
            </a:graphicData>
          </a:graphic>
        </wp:anchor>
      </w:drawing>
    </w:r>
  </w:p>
  <w:p w14:paraId="294D34E9" w14:textId="77777777" w:rsidR="0026634E" w:rsidRDefault="0026634E" w:rsidP="0026634E">
    <w:pPr>
      <w:pStyle w:val="Header"/>
      <w:jc w:val="center"/>
      <w:rPr>
        <w:rStyle w:val="CLASSIFICATIONChar"/>
      </w:rPr>
    </w:pPr>
  </w:p>
  <w:p w14:paraId="11F39F1F" w14:textId="77777777" w:rsidR="0026634E" w:rsidRDefault="0026634E" w:rsidP="0026634E">
    <w:pPr>
      <w:pStyle w:val="Header"/>
      <w:jc w:val="center"/>
      <w:rPr>
        <w:rStyle w:val="CLASSIFICATIONCha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004592A"/>
    <w:lvl w:ilvl="0">
      <w:start w:val="1"/>
      <w:numFmt w:val="decimal"/>
      <w:lvlText w:val="%1."/>
      <w:lvlJc w:val="left"/>
      <w:pPr>
        <w:tabs>
          <w:tab w:val="num" w:pos="2060"/>
        </w:tabs>
        <w:ind w:left="2060" w:hanging="360"/>
      </w:pPr>
    </w:lvl>
  </w:abstractNum>
  <w:abstractNum w:abstractNumId="1" w15:restartNumberingAfterBreak="0">
    <w:nsid w:val="FFFFFF7D"/>
    <w:multiLevelType w:val="singleLevel"/>
    <w:tmpl w:val="35487F0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450D9C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D6120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714693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F01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5FE081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9813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0620C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A4281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3B706F"/>
    <w:multiLevelType w:val="multilevel"/>
    <w:tmpl w:val="2112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B75033"/>
    <w:multiLevelType w:val="hybridMultilevel"/>
    <w:tmpl w:val="C6DC8A2C"/>
    <w:lvl w:ilvl="0" w:tplc="458A1C2C">
      <w:start w:val="1"/>
      <w:numFmt w:val="bullet"/>
      <w:pStyle w:val="TBLBulleted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B014CCD"/>
    <w:multiLevelType w:val="hybridMultilevel"/>
    <w:tmpl w:val="D0E0AE74"/>
    <w:lvl w:ilvl="0" w:tplc="42CAA44A">
      <w:start w:val="1"/>
      <w:numFmt w:val="bullet"/>
      <w:pStyle w:val="BOXBulletedList"/>
      <w:lvlText w:val=""/>
      <w:lvlJc w:val="left"/>
      <w:pPr>
        <w:ind w:left="284" w:hanging="284"/>
      </w:pPr>
      <w:rPr>
        <w:rFonts w:ascii="Symbol" w:hAnsi="Symbol" w:hint="default"/>
      </w:rPr>
    </w:lvl>
    <w:lvl w:ilvl="1" w:tplc="AFD06412">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0C374406"/>
    <w:multiLevelType w:val="hybridMultilevel"/>
    <w:tmpl w:val="BBC290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0FAF6F03"/>
    <w:multiLevelType w:val="hybridMultilevel"/>
    <w:tmpl w:val="4CF49542"/>
    <w:lvl w:ilvl="0" w:tplc="6C069990">
      <w:start w:val="1"/>
      <w:numFmt w:val="bullet"/>
      <w:pStyle w:val="BulletedList-Level3"/>
      <w:lvlText w:val="o"/>
      <w:lvlJc w:val="left"/>
      <w:pPr>
        <w:ind w:left="1134" w:hanging="283"/>
      </w:pPr>
      <w:rPr>
        <w:rFonts w:ascii="Courier New" w:hAnsi="Courier New"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5" w15:restartNumberingAfterBreak="0">
    <w:nsid w:val="13A3105B"/>
    <w:multiLevelType w:val="hybridMultilevel"/>
    <w:tmpl w:val="2F88CC68"/>
    <w:lvl w:ilvl="0" w:tplc="93300146">
      <w:start w:val="1"/>
      <w:numFmt w:val="decimal"/>
      <w:pStyle w:val="BoxDark-NumberedList"/>
      <w:lvlText w:val="%1."/>
      <w:lvlJc w:val="left"/>
      <w:pPr>
        <w:ind w:left="947" w:hanging="360"/>
      </w:pPr>
    </w:lvl>
    <w:lvl w:ilvl="1" w:tplc="0C090019" w:tentative="1">
      <w:start w:val="1"/>
      <w:numFmt w:val="lowerLetter"/>
      <w:lvlText w:val="%2."/>
      <w:lvlJc w:val="left"/>
      <w:pPr>
        <w:ind w:left="1667" w:hanging="360"/>
      </w:pPr>
    </w:lvl>
    <w:lvl w:ilvl="2" w:tplc="0C09001B" w:tentative="1">
      <w:start w:val="1"/>
      <w:numFmt w:val="lowerRoman"/>
      <w:lvlText w:val="%3."/>
      <w:lvlJc w:val="right"/>
      <w:pPr>
        <w:ind w:left="2387" w:hanging="180"/>
      </w:pPr>
    </w:lvl>
    <w:lvl w:ilvl="3" w:tplc="0C09000F" w:tentative="1">
      <w:start w:val="1"/>
      <w:numFmt w:val="decimal"/>
      <w:lvlText w:val="%4."/>
      <w:lvlJc w:val="left"/>
      <w:pPr>
        <w:ind w:left="3107" w:hanging="360"/>
      </w:pPr>
    </w:lvl>
    <w:lvl w:ilvl="4" w:tplc="0C090019" w:tentative="1">
      <w:start w:val="1"/>
      <w:numFmt w:val="lowerLetter"/>
      <w:lvlText w:val="%5."/>
      <w:lvlJc w:val="left"/>
      <w:pPr>
        <w:ind w:left="3827" w:hanging="360"/>
      </w:pPr>
    </w:lvl>
    <w:lvl w:ilvl="5" w:tplc="0C09001B" w:tentative="1">
      <w:start w:val="1"/>
      <w:numFmt w:val="lowerRoman"/>
      <w:lvlText w:val="%6."/>
      <w:lvlJc w:val="right"/>
      <w:pPr>
        <w:ind w:left="4547" w:hanging="180"/>
      </w:pPr>
    </w:lvl>
    <w:lvl w:ilvl="6" w:tplc="0C09000F" w:tentative="1">
      <w:start w:val="1"/>
      <w:numFmt w:val="decimal"/>
      <w:lvlText w:val="%7."/>
      <w:lvlJc w:val="left"/>
      <w:pPr>
        <w:ind w:left="5267" w:hanging="360"/>
      </w:pPr>
    </w:lvl>
    <w:lvl w:ilvl="7" w:tplc="0C090019" w:tentative="1">
      <w:start w:val="1"/>
      <w:numFmt w:val="lowerLetter"/>
      <w:lvlText w:val="%8."/>
      <w:lvlJc w:val="left"/>
      <w:pPr>
        <w:ind w:left="5987" w:hanging="360"/>
      </w:pPr>
    </w:lvl>
    <w:lvl w:ilvl="8" w:tplc="0C09001B" w:tentative="1">
      <w:start w:val="1"/>
      <w:numFmt w:val="lowerRoman"/>
      <w:lvlText w:val="%9."/>
      <w:lvlJc w:val="right"/>
      <w:pPr>
        <w:ind w:left="6707" w:hanging="180"/>
      </w:pPr>
    </w:lvl>
  </w:abstractNum>
  <w:abstractNum w:abstractNumId="16" w15:restartNumberingAfterBreak="0">
    <w:nsid w:val="15592ABD"/>
    <w:multiLevelType w:val="multilevel"/>
    <w:tmpl w:val="BF96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A279CA"/>
    <w:multiLevelType w:val="hybridMultilevel"/>
    <w:tmpl w:val="4E5C8694"/>
    <w:lvl w:ilvl="0" w:tplc="0C090017">
      <w:start w:val="1"/>
      <w:numFmt w:val="lowerLetter"/>
      <w:lvlText w:val="%1)"/>
      <w:lvlJc w:val="left"/>
      <w:pPr>
        <w:ind w:left="360" w:hanging="360"/>
      </w:pPr>
    </w:lvl>
    <w:lvl w:ilvl="1" w:tplc="F7169A98">
      <w:start w:val="1"/>
      <w:numFmt w:val="decimal"/>
      <w:lvlText w:val="(%2)"/>
      <w:lvlJc w:val="left"/>
      <w:pPr>
        <w:ind w:left="1440" w:hanging="72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19F33BBA"/>
    <w:multiLevelType w:val="hybridMultilevel"/>
    <w:tmpl w:val="0812E2DE"/>
    <w:lvl w:ilvl="0" w:tplc="E1AE5D66">
      <w:start w:val="1"/>
      <w:numFmt w:val="decimal"/>
      <w:pStyle w:val="Figure"/>
      <w:suff w:val="space"/>
      <w:lvlText w:val="Figure %1."/>
      <w:lvlJc w:val="left"/>
      <w:pPr>
        <w:ind w:left="567" w:hanging="56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F507AC4"/>
    <w:multiLevelType w:val="hybridMultilevel"/>
    <w:tmpl w:val="6FFA548C"/>
    <w:lvl w:ilvl="0" w:tplc="E7066796">
      <w:start w:val="1"/>
      <w:numFmt w:val="bullet"/>
      <w:pStyle w:val="BulletedList-Level2"/>
      <w:lvlText w:val="−"/>
      <w:lvlJc w:val="left"/>
      <w:pPr>
        <w:ind w:left="851" w:hanging="284"/>
      </w:pPr>
      <w:rPr>
        <w:rFonts w:ascii="Cardo" w:hAnsi="Cardo"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0" w15:restartNumberingAfterBreak="0">
    <w:nsid w:val="26DF05D0"/>
    <w:multiLevelType w:val="hybridMultilevel"/>
    <w:tmpl w:val="361C27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7854A54"/>
    <w:multiLevelType w:val="hybridMultilevel"/>
    <w:tmpl w:val="253E2E62"/>
    <w:lvl w:ilvl="0" w:tplc="B2AA9F56">
      <w:start w:val="1"/>
      <w:numFmt w:val="bullet"/>
      <w:pStyle w:val="BulletedList-Level1"/>
      <w:lvlText w:val=""/>
      <w:lvlJc w:val="left"/>
      <w:pPr>
        <w:ind w:left="425" w:hanging="283"/>
      </w:pPr>
      <w:rPr>
        <w:rFonts w:ascii="Symbol" w:hAnsi="Symbol" w:hint="default"/>
      </w:rPr>
    </w:lvl>
    <w:lvl w:ilvl="1" w:tplc="4BB4D094">
      <w:start w:val="1"/>
      <w:numFmt w:val="bullet"/>
      <w:lvlText w:val="o"/>
      <w:lvlJc w:val="left"/>
      <w:pPr>
        <w:ind w:left="709" w:hanging="28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1EFC13BC">
      <w:start w:val="1"/>
      <w:numFmt w:val="bullet"/>
      <w:lvlText w:val=""/>
      <w:lvlJc w:val="left"/>
      <w:pPr>
        <w:ind w:left="992" w:hanging="283"/>
      </w:pPr>
      <w:rPr>
        <w:rFonts w:ascii="Wingdings" w:hAnsi="Wingdings" w:hint="default"/>
      </w:rPr>
    </w:lvl>
    <w:lvl w:ilvl="3" w:tplc="0C090001" w:tentative="1">
      <w:start w:val="1"/>
      <w:numFmt w:val="bullet"/>
      <w:lvlText w:val=""/>
      <w:lvlJc w:val="left"/>
      <w:pPr>
        <w:ind w:left="2738" w:hanging="360"/>
      </w:pPr>
      <w:rPr>
        <w:rFonts w:ascii="Symbol" w:hAnsi="Symbol" w:hint="default"/>
      </w:rPr>
    </w:lvl>
    <w:lvl w:ilvl="4" w:tplc="0C090003" w:tentative="1">
      <w:start w:val="1"/>
      <w:numFmt w:val="bullet"/>
      <w:lvlText w:val="o"/>
      <w:lvlJc w:val="left"/>
      <w:pPr>
        <w:ind w:left="3458" w:hanging="360"/>
      </w:pPr>
      <w:rPr>
        <w:rFonts w:ascii="Courier New" w:hAnsi="Courier New" w:cs="Courier New" w:hint="default"/>
      </w:rPr>
    </w:lvl>
    <w:lvl w:ilvl="5" w:tplc="0C090005" w:tentative="1">
      <w:start w:val="1"/>
      <w:numFmt w:val="bullet"/>
      <w:lvlText w:val=""/>
      <w:lvlJc w:val="left"/>
      <w:pPr>
        <w:ind w:left="4178" w:hanging="360"/>
      </w:pPr>
      <w:rPr>
        <w:rFonts w:ascii="Wingdings" w:hAnsi="Wingdings" w:hint="default"/>
      </w:rPr>
    </w:lvl>
    <w:lvl w:ilvl="6" w:tplc="0C090001" w:tentative="1">
      <w:start w:val="1"/>
      <w:numFmt w:val="bullet"/>
      <w:lvlText w:val=""/>
      <w:lvlJc w:val="left"/>
      <w:pPr>
        <w:ind w:left="4898" w:hanging="360"/>
      </w:pPr>
      <w:rPr>
        <w:rFonts w:ascii="Symbol" w:hAnsi="Symbol" w:hint="default"/>
      </w:rPr>
    </w:lvl>
    <w:lvl w:ilvl="7" w:tplc="0C090003" w:tentative="1">
      <w:start w:val="1"/>
      <w:numFmt w:val="bullet"/>
      <w:lvlText w:val="o"/>
      <w:lvlJc w:val="left"/>
      <w:pPr>
        <w:ind w:left="5618" w:hanging="360"/>
      </w:pPr>
      <w:rPr>
        <w:rFonts w:ascii="Courier New" w:hAnsi="Courier New" w:cs="Courier New" w:hint="default"/>
      </w:rPr>
    </w:lvl>
    <w:lvl w:ilvl="8" w:tplc="0C090005" w:tentative="1">
      <w:start w:val="1"/>
      <w:numFmt w:val="bullet"/>
      <w:lvlText w:val=""/>
      <w:lvlJc w:val="left"/>
      <w:pPr>
        <w:ind w:left="6338" w:hanging="360"/>
      </w:pPr>
      <w:rPr>
        <w:rFonts w:ascii="Wingdings" w:hAnsi="Wingdings" w:hint="default"/>
      </w:rPr>
    </w:lvl>
  </w:abstractNum>
  <w:abstractNum w:abstractNumId="22" w15:restartNumberingAfterBreak="0">
    <w:nsid w:val="299C0458"/>
    <w:multiLevelType w:val="hybridMultilevel"/>
    <w:tmpl w:val="C48CBF2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2F43606D"/>
    <w:multiLevelType w:val="multilevel"/>
    <w:tmpl w:val="EABCD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FA45179"/>
    <w:multiLevelType w:val="hybridMultilevel"/>
    <w:tmpl w:val="CFEAE87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A43634D"/>
    <w:multiLevelType w:val="hybridMultilevel"/>
    <w:tmpl w:val="BCB85E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6C7FF6"/>
    <w:multiLevelType w:val="hybridMultilevel"/>
    <w:tmpl w:val="4D4A750C"/>
    <w:lvl w:ilvl="0" w:tplc="D6643B58">
      <w:start w:val="1"/>
      <w:numFmt w:val="decimal"/>
      <w:pStyle w:val="BOXNumberedList"/>
      <w:lvlText w:val="%1."/>
      <w:lvlJc w:val="left"/>
      <w:pPr>
        <w:ind w:left="840" w:hanging="360"/>
      </w:pPr>
    </w:lvl>
    <w:lvl w:ilvl="1" w:tplc="0C090019" w:tentative="1">
      <w:start w:val="1"/>
      <w:numFmt w:val="lowerLetter"/>
      <w:lvlText w:val="%2."/>
      <w:lvlJc w:val="left"/>
      <w:pPr>
        <w:ind w:left="1560" w:hanging="360"/>
      </w:pPr>
    </w:lvl>
    <w:lvl w:ilvl="2" w:tplc="0C09001B" w:tentative="1">
      <w:start w:val="1"/>
      <w:numFmt w:val="lowerRoman"/>
      <w:lvlText w:val="%3."/>
      <w:lvlJc w:val="right"/>
      <w:pPr>
        <w:ind w:left="2280" w:hanging="180"/>
      </w:pPr>
    </w:lvl>
    <w:lvl w:ilvl="3" w:tplc="0C09000F" w:tentative="1">
      <w:start w:val="1"/>
      <w:numFmt w:val="decimal"/>
      <w:lvlText w:val="%4."/>
      <w:lvlJc w:val="left"/>
      <w:pPr>
        <w:ind w:left="3000" w:hanging="360"/>
      </w:pPr>
    </w:lvl>
    <w:lvl w:ilvl="4" w:tplc="0C090019" w:tentative="1">
      <w:start w:val="1"/>
      <w:numFmt w:val="lowerLetter"/>
      <w:lvlText w:val="%5."/>
      <w:lvlJc w:val="left"/>
      <w:pPr>
        <w:ind w:left="3720" w:hanging="360"/>
      </w:pPr>
    </w:lvl>
    <w:lvl w:ilvl="5" w:tplc="0C09001B" w:tentative="1">
      <w:start w:val="1"/>
      <w:numFmt w:val="lowerRoman"/>
      <w:lvlText w:val="%6."/>
      <w:lvlJc w:val="right"/>
      <w:pPr>
        <w:ind w:left="4440" w:hanging="180"/>
      </w:pPr>
    </w:lvl>
    <w:lvl w:ilvl="6" w:tplc="0C09000F" w:tentative="1">
      <w:start w:val="1"/>
      <w:numFmt w:val="decimal"/>
      <w:lvlText w:val="%7."/>
      <w:lvlJc w:val="left"/>
      <w:pPr>
        <w:ind w:left="5160" w:hanging="360"/>
      </w:pPr>
    </w:lvl>
    <w:lvl w:ilvl="7" w:tplc="0C090019" w:tentative="1">
      <w:start w:val="1"/>
      <w:numFmt w:val="lowerLetter"/>
      <w:lvlText w:val="%8."/>
      <w:lvlJc w:val="left"/>
      <w:pPr>
        <w:ind w:left="5880" w:hanging="360"/>
      </w:pPr>
    </w:lvl>
    <w:lvl w:ilvl="8" w:tplc="0C09001B" w:tentative="1">
      <w:start w:val="1"/>
      <w:numFmt w:val="lowerRoman"/>
      <w:lvlText w:val="%9."/>
      <w:lvlJc w:val="right"/>
      <w:pPr>
        <w:ind w:left="6600" w:hanging="180"/>
      </w:pPr>
    </w:lvl>
  </w:abstractNum>
  <w:abstractNum w:abstractNumId="27" w15:restartNumberingAfterBreak="0">
    <w:nsid w:val="498C4EBC"/>
    <w:multiLevelType w:val="multilevel"/>
    <w:tmpl w:val="A1B88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E781EDD"/>
    <w:multiLevelType w:val="hybridMultilevel"/>
    <w:tmpl w:val="6B225E28"/>
    <w:lvl w:ilvl="0" w:tplc="1B58674C">
      <w:start w:val="1"/>
      <w:numFmt w:val="bullet"/>
      <w:lvlText w:val="–"/>
      <w:lvlJc w:val="left"/>
      <w:pPr>
        <w:ind w:left="851" w:hanging="284"/>
      </w:pPr>
      <w:rPr>
        <w:rFonts w:ascii="Arial Black" w:hAnsi="Arial Black"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9" w15:restartNumberingAfterBreak="0">
    <w:nsid w:val="584818CD"/>
    <w:multiLevelType w:val="hybridMultilevel"/>
    <w:tmpl w:val="34E221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1135143"/>
    <w:multiLevelType w:val="hybridMultilevel"/>
    <w:tmpl w:val="7D8C0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ABF0286"/>
    <w:multiLevelType w:val="hybridMultilevel"/>
    <w:tmpl w:val="70C6C990"/>
    <w:lvl w:ilvl="0" w:tplc="56D0C196">
      <w:start w:val="1"/>
      <w:numFmt w:val="decimal"/>
      <w:lvlText w:val="%1."/>
      <w:lvlJc w:val="left"/>
      <w:pPr>
        <w:ind w:left="284" w:hanging="284"/>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EE51B32"/>
    <w:multiLevelType w:val="hybridMultilevel"/>
    <w:tmpl w:val="F2CE71E2"/>
    <w:lvl w:ilvl="0" w:tplc="5E348A7E">
      <w:start w:val="1"/>
      <w:numFmt w:val="decimal"/>
      <w:pStyle w:val="TBLNumberedList"/>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81170D5"/>
    <w:multiLevelType w:val="hybridMultilevel"/>
    <w:tmpl w:val="38E03EE6"/>
    <w:lvl w:ilvl="0" w:tplc="9C7CCF60">
      <w:start w:val="1"/>
      <w:numFmt w:val="decimal"/>
      <w:pStyle w:val="NumberedList-Level1"/>
      <w:lvlText w:val="%1."/>
      <w:lvlJc w:val="left"/>
      <w:pPr>
        <w:ind w:left="567" w:hanging="283"/>
      </w:pPr>
      <w:rPr>
        <w:rFonts w:hint="default"/>
      </w:rPr>
    </w:lvl>
    <w:lvl w:ilvl="1" w:tplc="1FAA0FEC">
      <w:start w:val="1"/>
      <w:numFmt w:val="lowerLetter"/>
      <w:pStyle w:val="NumberedList-level2"/>
      <w:lvlText w:val="%2."/>
      <w:lvlJc w:val="left"/>
      <w:pPr>
        <w:ind w:left="851" w:hanging="284"/>
      </w:pPr>
      <w:rPr>
        <w:rFonts w:hint="default"/>
      </w:rPr>
    </w:lvl>
    <w:lvl w:ilvl="2" w:tplc="65FAA32A">
      <w:start w:val="1"/>
      <w:numFmt w:val="lowerRoman"/>
      <w:pStyle w:val="NumberedList-Level3"/>
      <w:lvlText w:val="%3."/>
      <w:lvlJc w:val="right"/>
      <w:pPr>
        <w:ind w:left="1134" w:hanging="170"/>
      </w:pPr>
      <w:rPr>
        <w:rFonts w:hint="default"/>
      </w:r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25884965">
    <w:abstractNumId w:val="12"/>
  </w:num>
  <w:num w:numId="2" w16cid:durableId="404568253">
    <w:abstractNumId w:val="9"/>
  </w:num>
  <w:num w:numId="3" w16cid:durableId="504319927">
    <w:abstractNumId w:val="7"/>
  </w:num>
  <w:num w:numId="4" w16cid:durableId="302465916">
    <w:abstractNumId w:val="6"/>
  </w:num>
  <w:num w:numId="5" w16cid:durableId="1197698854">
    <w:abstractNumId w:val="5"/>
  </w:num>
  <w:num w:numId="6" w16cid:durableId="680863680">
    <w:abstractNumId w:val="4"/>
  </w:num>
  <w:num w:numId="7" w16cid:durableId="255748006">
    <w:abstractNumId w:val="8"/>
  </w:num>
  <w:num w:numId="8" w16cid:durableId="1137651052">
    <w:abstractNumId w:val="3"/>
  </w:num>
  <w:num w:numId="9" w16cid:durableId="96338727">
    <w:abstractNumId w:val="2"/>
  </w:num>
  <w:num w:numId="10" w16cid:durableId="372266075">
    <w:abstractNumId w:val="1"/>
  </w:num>
  <w:num w:numId="11" w16cid:durableId="888490440">
    <w:abstractNumId w:val="0"/>
  </w:num>
  <w:num w:numId="12" w16cid:durableId="1815296940">
    <w:abstractNumId w:val="11"/>
  </w:num>
  <w:num w:numId="13" w16cid:durableId="1560096658">
    <w:abstractNumId w:val="32"/>
  </w:num>
  <w:num w:numId="14" w16cid:durableId="219633512">
    <w:abstractNumId w:val="21"/>
  </w:num>
  <w:num w:numId="15" w16cid:durableId="590897300">
    <w:abstractNumId w:val="21"/>
    <w:lvlOverride w:ilvl="0">
      <w:startOverride w:val="1"/>
    </w:lvlOverride>
  </w:num>
  <w:num w:numId="16" w16cid:durableId="534200502">
    <w:abstractNumId w:val="21"/>
    <w:lvlOverride w:ilvl="0">
      <w:startOverride w:val="1"/>
    </w:lvlOverride>
  </w:num>
  <w:num w:numId="17" w16cid:durableId="2023972854">
    <w:abstractNumId w:val="21"/>
    <w:lvlOverride w:ilvl="0">
      <w:startOverride w:val="1"/>
    </w:lvlOverride>
  </w:num>
  <w:num w:numId="18" w16cid:durableId="564725321">
    <w:abstractNumId w:val="21"/>
    <w:lvlOverride w:ilvl="0">
      <w:startOverride w:val="1"/>
    </w:lvlOverride>
  </w:num>
  <w:num w:numId="19" w16cid:durableId="224335938">
    <w:abstractNumId w:val="28"/>
  </w:num>
  <w:num w:numId="20" w16cid:durableId="1190410526">
    <w:abstractNumId w:val="28"/>
    <w:lvlOverride w:ilvl="0">
      <w:startOverride w:val="1"/>
    </w:lvlOverride>
  </w:num>
  <w:num w:numId="21" w16cid:durableId="1408385144">
    <w:abstractNumId w:val="33"/>
  </w:num>
  <w:num w:numId="22" w16cid:durableId="1652633785">
    <w:abstractNumId w:val="31"/>
  </w:num>
  <w:num w:numId="23" w16cid:durableId="1863855379">
    <w:abstractNumId w:val="12"/>
    <w:lvlOverride w:ilvl="0">
      <w:startOverride w:val="1"/>
    </w:lvlOverride>
  </w:num>
  <w:num w:numId="24" w16cid:durableId="1004935679">
    <w:abstractNumId w:val="33"/>
    <w:lvlOverride w:ilvl="0">
      <w:startOverride w:val="1"/>
    </w:lvlOverride>
  </w:num>
  <w:num w:numId="25" w16cid:durableId="556090353">
    <w:abstractNumId w:val="31"/>
    <w:lvlOverride w:ilvl="0">
      <w:startOverride w:val="1"/>
    </w:lvlOverride>
  </w:num>
  <w:num w:numId="26" w16cid:durableId="1451320037">
    <w:abstractNumId w:val="31"/>
    <w:lvlOverride w:ilvl="0">
      <w:startOverride w:val="1"/>
    </w:lvlOverride>
  </w:num>
  <w:num w:numId="27" w16cid:durableId="343560202">
    <w:abstractNumId w:val="18"/>
  </w:num>
  <w:num w:numId="28" w16cid:durableId="183137696">
    <w:abstractNumId w:val="26"/>
  </w:num>
  <w:num w:numId="29" w16cid:durableId="1159925919">
    <w:abstractNumId w:val="15"/>
  </w:num>
  <w:num w:numId="30" w16cid:durableId="506991561">
    <w:abstractNumId w:val="19"/>
  </w:num>
  <w:num w:numId="31" w16cid:durableId="762264085">
    <w:abstractNumId w:val="14"/>
  </w:num>
  <w:num w:numId="32" w16cid:durableId="1275554476">
    <w:abstractNumId w:val="33"/>
    <w:lvlOverride w:ilvl="0">
      <w:startOverride w:val="1"/>
    </w:lvlOverride>
  </w:num>
  <w:num w:numId="33" w16cid:durableId="22633587">
    <w:abstractNumId w:val="33"/>
    <w:lvlOverride w:ilvl="0">
      <w:startOverride w:val="1"/>
    </w:lvlOverride>
  </w:num>
  <w:num w:numId="34" w16cid:durableId="1153646539">
    <w:abstractNumId w:val="33"/>
    <w:lvlOverride w:ilvl="0">
      <w:startOverride w:val="1"/>
    </w:lvlOverride>
  </w:num>
  <w:num w:numId="35" w16cid:durableId="162401463">
    <w:abstractNumId w:val="32"/>
    <w:lvlOverride w:ilvl="0">
      <w:startOverride w:val="1"/>
    </w:lvlOverride>
  </w:num>
  <w:num w:numId="36" w16cid:durableId="450367212">
    <w:abstractNumId w:val="32"/>
    <w:lvlOverride w:ilvl="0">
      <w:startOverride w:val="1"/>
    </w:lvlOverride>
  </w:num>
  <w:num w:numId="37" w16cid:durableId="1187674628">
    <w:abstractNumId w:val="32"/>
    <w:lvlOverride w:ilvl="0">
      <w:startOverride w:val="1"/>
    </w:lvlOverride>
  </w:num>
  <w:num w:numId="38" w16cid:durableId="246689910">
    <w:abstractNumId w:val="30"/>
  </w:num>
  <w:num w:numId="39" w16cid:durableId="1755778916">
    <w:abstractNumId w:val="20"/>
  </w:num>
  <w:num w:numId="40" w16cid:durableId="307176929">
    <w:abstractNumId w:val="25"/>
  </w:num>
  <w:num w:numId="41" w16cid:durableId="1723403701">
    <w:abstractNumId w:val="17"/>
  </w:num>
  <w:num w:numId="42" w16cid:durableId="458035215">
    <w:abstractNumId w:val="24"/>
  </w:num>
  <w:num w:numId="43" w16cid:durableId="75790288">
    <w:abstractNumId w:val="22"/>
  </w:num>
  <w:num w:numId="44" w16cid:durableId="1535146022">
    <w:abstractNumId w:val="13"/>
  </w:num>
  <w:num w:numId="45" w16cid:durableId="1144930320">
    <w:abstractNumId w:val="10"/>
  </w:num>
  <w:num w:numId="46" w16cid:durableId="948045228">
    <w:abstractNumId w:val="29"/>
  </w:num>
  <w:num w:numId="47" w16cid:durableId="1618760226">
    <w:abstractNumId w:val="16"/>
  </w:num>
  <w:num w:numId="48" w16cid:durableId="1468162276">
    <w:abstractNumId w:val="23"/>
  </w:num>
  <w:num w:numId="49" w16cid:durableId="7017892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AU"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C83"/>
    <w:rsid w:val="00002CE3"/>
    <w:rsid w:val="00004408"/>
    <w:rsid w:val="000102CD"/>
    <w:rsid w:val="00010906"/>
    <w:rsid w:val="000109F5"/>
    <w:rsid w:val="0001122E"/>
    <w:rsid w:val="00011B6A"/>
    <w:rsid w:val="00012DA4"/>
    <w:rsid w:val="00013113"/>
    <w:rsid w:val="00015101"/>
    <w:rsid w:val="00015D23"/>
    <w:rsid w:val="000203E9"/>
    <w:rsid w:val="00020457"/>
    <w:rsid w:val="00020CC0"/>
    <w:rsid w:val="0002216E"/>
    <w:rsid w:val="0002248D"/>
    <w:rsid w:val="00023C58"/>
    <w:rsid w:val="000241F0"/>
    <w:rsid w:val="00024A34"/>
    <w:rsid w:val="00027038"/>
    <w:rsid w:val="00027D84"/>
    <w:rsid w:val="0003154E"/>
    <w:rsid w:val="00031C3A"/>
    <w:rsid w:val="000328DF"/>
    <w:rsid w:val="000338B1"/>
    <w:rsid w:val="0003470C"/>
    <w:rsid w:val="00035963"/>
    <w:rsid w:val="00036162"/>
    <w:rsid w:val="00036586"/>
    <w:rsid w:val="000371BC"/>
    <w:rsid w:val="00037513"/>
    <w:rsid w:val="0004246F"/>
    <w:rsid w:val="00042916"/>
    <w:rsid w:val="00044930"/>
    <w:rsid w:val="00050E9A"/>
    <w:rsid w:val="000516A2"/>
    <w:rsid w:val="0005170F"/>
    <w:rsid w:val="000519D2"/>
    <w:rsid w:val="0005274B"/>
    <w:rsid w:val="00052F4F"/>
    <w:rsid w:val="0005306D"/>
    <w:rsid w:val="0005348D"/>
    <w:rsid w:val="0005464A"/>
    <w:rsid w:val="00055023"/>
    <w:rsid w:val="000558ED"/>
    <w:rsid w:val="000564B9"/>
    <w:rsid w:val="00057763"/>
    <w:rsid w:val="00060657"/>
    <w:rsid w:val="00061B37"/>
    <w:rsid w:val="000626B9"/>
    <w:rsid w:val="00063F67"/>
    <w:rsid w:val="00064B31"/>
    <w:rsid w:val="00065E64"/>
    <w:rsid w:val="00066017"/>
    <w:rsid w:val="0006627F"/>
    <w:rsid w:val="00067D86"/>
    <w:rsid w:val="0007179E"/>
    <w:rsid w:val="00072768"/>
    <w:rsid w:val="00073005"/>
    <w:rsid w:val="000758E3"/>
    <w:rsid w:val="00075AFA"/>
    <w:rsid w:val="00076ECF"/>
    <w:rsid w:val="000773B0"/>
    <w:rsid w:val="00077EAC"/>
    <w:rsid w:val="00080309"/>
    <w:rsid w:val="00080C58"/>
    <w:rsid w:val="00086F5F"/>
    <w:rsid w:val="00087171"/>
    <w:rsid w:val="00092623"/>
    <w:rsid w:val="00094991"/>
    <w:rsid w:val="00096F84"/>
    <w:rsid w:val="000A07B2"/>
    <w:rsid w:val="000A53F2"/>
    <w:rsid w:val="000A751A"/>
    <w:rsid w:val="000B02F4"/>
    <w:rsid w:val="000B0447"/>
    <w:rsid w:val="000B0493"/>
    <w:rsid w:val="000B2BE2"/>
    <w:rsid w:val="000B3417"/>
    <w:rsid w:val="000B4DF3"/>
    <w:rsid w:val="000B6A28"/>
    <w:rsid w:val="000B75F8"/>
    <w:rsid w:val="000C3F56"/>
    <w:rsid w:val="000C4D6A"/>
    <w:rsid w:val="000C604E"/>
    <w:rsid w:val="000C669B"/>
    <w:rsid w:val="000C7D00"/>
    <w:rsid w:val="000C7FB7"/>
    <w:rsid w:val="000D0AD3"/>
    <w:rsid w:val="000D0E55"/>
    <w:rsid w:val="000D0E92"/>
    <w:rsid w:val="000D1ED4"/>
    <w:rsid w:val="000D376A"/>
    <w:rsid w:val="000D4815"/>
    <w:rsid w:val="000D5832"/>
    <w:rsid w:val="000D749D"/>
    <w:rsid w:val="000E0A07"/>
    <w:rsid w:val="000E0CF4"/>
    <w:rsid w:val="000E0E7A"/>
    <w:rsid w:val="000E23AC"/>
    <w:rsid w:val="000E26DF"/>
    <w:rsid w:val="000E27BD"/>
    <w:rsid w:val="000E2EA4"/>
    <w:rsid w:val="000E5B4B"/>
    <w:rsid w:val="000F48B6"/>
    <w:rsid w:val="000F5436"/>
    <w:rsid w:val="00101162"/>
    <w:rsid w:val="00101C62"/>
    <w:rsid w:val="00103582"/>
    <w:rsid w:val="00106330"/>
    <w:rsid w:val="0011036B"/>
    <w:rsid w:val="00110F93"/>
    <w:rsid w:val="0011289C"/>
    <w:rsid w:val="001134A7"/>
    <w:rsid w:val="001139CE"/>
    <w:rsid w:val="00113D72"/>
    <w:rsid w:val="0011472A"/>
    <w:rsid w:val="00115264"/>
    <w:rsid w:val="00115AB4"/>
    <w:rsid w:val="00117A77"/>
    <w:rsid w:val="001207A0"/>
    <w:rsid w:val="001248AD"/>
    <w:rsid w:val="001255AA"/>
    <w:rsid w:val="00130745"/>
    <w:rsid w:val="001312FF"/>
    <w:rsid w:val="001330D4"/>
    <w:rsid w:val="00137339"/>
    <w:rsid w:val="00137B66"/>
    <w:rsid w:val="00141CC3"/>
    <w:rsid w:val="0014256D"/>
    <w:rsid w:val="00142948"/>
    <w:rsid w:val="00143FFA"/>
    <w:rsid w:val="00144773"/>
    <w:rsid w:val="00147F17"/>
    <w:rsid w:val="00151778"/>
    <w:rsid w:val="00151F9E"/>
    <w:rsid w:val="001545F3"/>
    <w:rsid w:val="00155DDE"/>
    <w:rsid w:val="00156657"/>
    <w:rsid w:val="00160011"/>
    <w:rsid w:val="00160787"/>
    <w:rsid w:val="00160A92"/>
    <w:rsid w:val="001611BF"/>
    <w:rsid w:val="00162BD5"/>
    <w:rsid w:val="0016381B"/>
    <w:rsid w:val="00166023"/>
    <w:rsid w:val="001677FA"/>
    <w:rsid w:val="0017057D"/>
    <w:rsid w:val="00173C03"/>
    <w:rsid w:val="00173C4D"/>
    <w:rsid w:val="0017436A"/>
    <w:rsid w:val="00174914"/>
    <w:rsid w:val="00175625"/>
    <w:rsid w:val="00176C32"/>
    <w:rsid w:val="00177C1F"/>
    <w:rsid w:val="00177CB2"/>
    <w:rsid w:val="00177D32"/>
    <w:rsid w:val="00182858"/>
    <w:rsid w:val="001830BD"/>
    <w:rsid w:val="00183DC2"/>
    <w:rsid w:val="00185017"/>
    <w:rsid w:val="001850B7"/>
    <w:rsid w:val="00190395"/>
    <w:rsid w:val="00192A9F"/>
    <w:rsid w:val="00193A2C"/>
    <w:rsid w:val="001954B4"/>
    <w:rsid w:val="00196E81"/>
    <w:rsid w:val="001A0977"/>
    <w:rsid w:val="001A12D6"/>
    <w:rsid w:val="001A2BE2"/>
    <w:rsid w:val="001A39FA"/>
    <w:rsid w:val="001A3BE8"/>
    <w:rsid w:val="001A5542"/>
    <w:rsid w:val="001A597A"/>
    <w:rsid w:val="001A6056"/>
    <w:rsid w:val="001A6985"/>
    <w:rsid w:val="001A7371"/>
    <w:rsid w:val="001B19EA"/>
    <w:rsid w:val="001B2C89"/>
    <w:rsid w:val="001B2D56"/>
    <w:rsid w:val="001B37AF"/>
    <w:rsid w:val="001B38AB"/>
    <w:rsid w:val="001B41E4"/>
    <w:rsid w:val="001B59BE"/>
    <w:rsid w:val="001B660E"/>
    <w:rsid w:val="001B6AAE"/>
    <w:rsid w:val="001B73E2"/>
    <w:rsid w:val="001B74B5"/>
    <w:rsid w:val="001B7779"/>
    <w:rsid w:val="001B78F4"/>
    <w:rsid w:val="001B7E79"/>
    <w:rsid w:val="001C0480"/>
    <w:rsid w:val="001C4CD1"/>
    <w:rsid w:val="001C5C82"/>
    <w:rsid w:val="001C62EA"/>
    <w:rsid w:val="001C64AA"/>
    <w:rsid w:val="001C710A"/>
    <w:rsid w:val="001C7CCE"/>
    <w:rsid w:val="001C7E52"/>
    <w:rsid w:val="001D1074"/>
    <w:rsid w:val="001D4A8F"/>
    <w:rsid w:val="001D4EBF"/>
    <w:rsid w:val="001D7188"/>
    <w:rsid w:val="001D7F4D"/>
    <w:rsid w:val="001E0391"/>
    <w:rsid w:val="001E1220"/>
    <w:rsid w:val="001E2A67"/>
    <w:rsid w:val="001E3FF3"/>
    <w:rsid w:val="001E44FE"/>
    <w:rsid w:val="001E50B0"/>
    <w:rsid w:val="001E5B08"/>
    <w:rsid w:val="001E7BEB"/>
    <w:rsid w:val="001F0B08"/>
    <w:rsid w:val="001F3AE5"/>
    <w:rsid w:val="001F5291"/>
    <w:rsid w:val="001F6307"/>
    <w:rsid w:val="0020003A"/>
    <w:rsid w:val="00203084"/>
    <w:rsid w:val="0020456E"/>
    <w:rsid w:val="002051FF"/>
    <w:rsid w:val="002067FA"/>
    <w:rsid w:val="0021173F"/>
    <w:rsid w:val="00212015"/>
    <w:rsid w:val="00212443"/>
    <w:rsid w:val="002134DE"/>
    <w:rsid w:val="002137F8"/>
    <w:rsid w:val="00213969"/>
    <w:rsid w:val="00214E46"/>
    <w:rsid w:val="002160A5"/>
    <w:rsid w:val="00217A6F"/>
    <w:rsid w:val="00220C40"/>
    <w:rsid w:val="00220DDA"/>
    <w:rsid w:val="00221FAD"/>
    <w:rsid w:val="00222232"/>
    <w:rsid w:val="00223215"/>
    <w:rsid w:val="00224D69"/>
    <w:rsid w:val="00225E62"/>
    <w:rsid w:val="00227722"/>
    <w:rsid w:val="00227DB5"/>
    <w:rsid w:val="002304B4"/>
    <w:rsid w:val="00232710"/>
    <w:rsid w:val="002327C5"/>
    <w:rsid w:val="00232964"/>
    <w:rsid w:val="00233F66"/>
    <w:rsid w:val="00234E61"/>
    <w:rsid w:val="002356F8"/>
    <w:rsid w:val="00237C6E"/>
    <w:rsid w:val="00240CE9"/>
    <w:rsid w:val="002420B0"/>
    <w:rsid w:val="00245E38"/>
    <w:rsid w:val="002469D3"/>
    <w:rsid w:val="00250595"/>
    <w:rsid w:val="00250ECD"/>
    <w:rsid w:val="00253171"/>
    <w:rsid w:val="00253AA7"/>
    <w:rsid w:val="002550C9"/>
    <w:rsid w:val="00257AE7"/>
    <w:rsid w:val="00260115"/>
    <w:rsid w:val="00260833"/>
    <w:rsid w:val="00260B8A"/>
    <w:rsid w:val="002620AF"/>
    <w:rsid w:val="00263ECB"/>
    <w:rsid w:val="002654F6"/>
    <w:rsid w:val="0026634E"/>
    <w:rsid w:val="0026648E"/>
    <w:rsid w:val="00266CCC"/>
    <w:rsid w:val="00266EAE"/>
    <w:rsid w:val="00271B92"/>
    <w:rsid w:val="00274D42"/>
    <w:rsid w:val="00281445"/>
    <w:rsid w:val="0028266A"/>
    <w:rsid w:val="00282DDF"/>
    <w:rsid w:val="0028391B"/>
    <w:rsid w:val="00285CAF"/>
    <w:rsid w:val="00286018"/>
    <w:rsid w:val="002869AF"/>
    <w:rsid w:val="00291E3F"/>
    <w:rsid w:val="00292DD3"/>
    <w:rsid w:val="00293FF7"/>
    <w:rsid w:val="00294C87"/>
    <w:rsid w:val="00294D7C"/>
    <w:rsid w:val="002964AC"/>
    <w:rsid w:val="0029705F"/>
    <w:rsid w:val="002A0FFF"/>
    <w:rsid w:val="002A1D18"/>
    <w:rsid w:val="002A263F"/>
    <w:rsid w:val="002A28A8"/>
    <w:rsid w:val="002A36CE"/>
    <w:rsid w:val="002A4866"/>
    <w:rsid w:val="002A5FD3"/>
    <w:rsid w:val="002A6B05"/>
    <w:rsid w:val="002A74D3"/>
    <w:rsid w:val="002B11C2"/>
    <w:rsid w:val="002B1DCE"/>
    <w:rsid w:val="002B4709"/>
    <w:rsid w:val="002B4950"/>
    <w:rsid w:val="002B5716"/>
    <w:rsid w:val="002B6051"/>
    <w:rsid w:val="002B661A"/>
    <w:rsid w:val="002B746F"/>
    <w:rsid w:val="002B7E46"/>
    <w:rsid w:val="002C1514"/>
    <w:rsid w:val="002C2B48"/>
    <w:rsid w:val="002C31A2"/>
    <w:rsid w:val="002C46CA"/>
    <w:rsid w:val="002C480C"/>
    <w:rsid w:val="002C6258"/>
    <w:rsid w:val="002C7A05"/>
    <w:rsid w:val="002C7EA7"/>
    <w:rsid w:val="002D1A6E"/>
    <w:rsid w:val="002D20C8"/>
    <w:rsid w:val="002D2AC1"/>
    <w:rsid w:val="002D2EE7"/>
    <w:rsid w:val="002D31F8"/>
    <w:rsid w:val="002D513F"/>
    <w:rsid w:val="002D55FD"/>
    <w:rsid w:val="002D6B3D"/>
    <w:rsid w:val="002E0AD9"/>
    <w:rsid w:val="002E1968"/>
    <w:rsid w:val="002E1E6B"/>
    <w:rsid w:val="002E272D"/>
    <w:rsid w:val="002E4037"/>
    <w:rsid w:val="002E45BC"/>
    <w:rsid w:val="002E52D5"/>
    <w:rsid w:val="002E5916"/>
    <w:rsid w:val="002E6514"/>
    <w:rsid w:val="002E7B19"/>
    <w:rsid w:val="002F23DF"/>
    <w:rsid w:val="002F3CB5"/>
    <w:rsid w:val="002F6B99"/>
    <w:rsid w:val="003005D0"/>
    <w:rsid w:val="00301396"/>
    <w:rsid w:val="003030E1"/>
    <w:rsid w:val="0030332C"/>
    <w:rsid w:val="00303A4D"/>
    <w:rsid w:val="00303C55"/>
    <w:rsid w:val="00307465"/>
    <w:rsid w:val="00311C2D"/>
    <w:rsid w:val="0031310C"/>
    <w:rsid w:val="00316303"/>
    <w:rsid w:val="00317030"/>
    <w:rsid w:val="00321618"/>
    <w:rsid w:val="003217BB"/>
    <w:rsid w:val="00322269"/>
    <w:rsid w:val="00322AF8"/>
    <w:rsid w:val="00324453"/>
    <w:rsid w:val="00324D92"/>
    <w:rsid w:val="00325D41"/>
    <w:rsid w:val="00325ED0"/>
    <w:rsid w:val="00327382"/>
    <w:rsid w:val="003420E0"/>
    <w:rsid w:val="00342302"/>
    <w:rsid w:val="00342C74"/>
    <w:rsid w:val="00344C62"/>
    <w:rsid w:val="00345F2B"/>
    <w:rsid w:val="00347CDE"/>
    <w:rsid w:val="00351F7A"/>
    <w:rsid w:val="00353E5E"/>
    <w:rsid w:val="00357703"/>
    <w:rsid w:val="00361020"/>
    <w:rsid w:val="00362361"/>
    <w:rsid w:val="00362CBB"/>
    <w:rsid w:val="0036396C"/>
    <w:rsid w:val="00363D31"/>
    <w:rsid w:val="00364D89"/>
    <w:rsid w:val="00364ECD"/>
    <w:rsid w:val="00365076"/>
    <w:rsid w:val="0036638C"/>
    <w:rsid w:val="00371E5D"/>
    <w:rsid w:val="00371EBC"/>
    <w:rsid w:val="003721FC"/>
    <w:rsid w:val="00372F3E"/>
    <w:rsid w:val="003739A0"/>
    <w:rsid w:val="00373D2B"/>
    <w:rsid w:val="00374D2A"/>
    <w:rsid w:val="0037686B"/>
    <w:rsid w:val="00376FE6"/>
    <w:rsid w:val="0038465F"/>
    <w:rsid w:val="0038501A"/>
    <w:rsid w:val="00385BD5"/>
    <w:rsid w:val="003863D0"/>
    <w:rsid w:val="0038719C"/>
    <w:rsid w:val="00390871"/>
    <w:rsid w:val="00390F8D"/>
    <w:rsid w:val="0039113C"/>
    <w:rsid w:val="0039118C"/>
    <w:rsid w:val="003915C8"/>
    <w:rsid w:val="00391C90"/>
    <w:rsid w:val="00392101"/>
    <w:rsid w:val="0039399C"/>
    <w:rsid w:val="00393E47"/>
    <w:rsid w:val="00394D42"/>
    <w:rsid w:val="0039549E"/>
    <w:rsid w:val="00397435"/>
    <w:rsid w:val="003A08B7"/>
    <w:rsid w:val="003A1DB8"/>
    <w:rsid w:val="003A403D"/>
    <w:rsid w:val="003A5177"/>
    <w:rsid w:val="003A595B"/>
    <w:rsid w:val="003A75F2"/>
    <w:rsid w:val="003A7EFA"/>
    <w:rsid w:val="003B2CA2"/>
    <w:rsid w:val="003B40A2"/>
    <w:rsid w:val="003B4FB1"/>
    <w:rsid w:val="003B722E"/>
    <w:rsid w:val="003C03EB"/>
    <w:rsid w:val="003C181D"/>
    <w:rsid w:val="003C2A09"/>
    <w:rsid w:val="003C41D9"/>
    <w:rsid w:val="003C624C"/>
    <w:rsid w:val="003C6606"/>
    <w:rsid w:val="003C6FE8"/>
    <w:rsid w:val="003C7C0A"/>
    <w:rsid w:val="003D0887"/>
    <w:rsid w:val="003D09F9"/>
    <w:rsid w:val="003D1562"/>
    <w:rsid w:val="003D2EA4"/>
    <w:rsid w:val="003D5026"/>
    <w:rsid w:val="003D551C"/>
    <w:rsid w:val="003D5DFA"/>
    <w:rsid w:val="003D6446"/>
    <w:rsid w:val="003D65BC"/>
    <w:rsid w:val="003D676D"/>
    <w:rsid w:val="003D7787"/>
    <w:rsid w:val="003D7D7C"/>
    <w:rsid w:val="003E13E1"/>
    <w:rsid w:val="003E33BC"/>
    <w:rsid w:val="003E3FF9"/>
    <w:rsid w:val="003E40C8"/>
    <w:rsid w:val="003E44BB"/>
    <w:rsid w:val="003E4572"/>
    <w:rsid w:val="003E6E3B"/>
    <w:rsid w:val="003F0796"/>
    <w:rsid w:val="003F0AA2"/>
    <w:rsid w:val="003F23E9"/>
    <w:rsid w:val="003F2B18"/>
    <w:rsid w:val="003F3C01"/>
    <w:rsid w:val="003F6808"/>
    <w:rsid w:val="003F7C60"/>
    <w:rsid w:val="00400E4D"/>
    <w:rsid w:val="00401804"/>
    <w:rsid w:val="00401A0F"/>
    <w:rsid w:val="00401A99"/>
    <w:rsid w:val="0040218D"/>
    <w:rsid w:val="00403DBF"/>
    <w:rsid w:val="00404E1F"/>
    <w:rsid w:val="00405991"/>
    <w:rsid w:val="00406606"/>
    <w:rsid w:val="00407321"/>
    <w:rsid w:val="004103B6"/>
    <w:rsid w:val="00414994"/>
    <w:rsid w:val="0041560B"/>
    <w:rsid w:val="004164CD"/>
    <w:rsid w:val="0041795D"/>
    <w:rsid w:val="00417DF4"/>
    <w:rsid w:val="00423F5E"/>
    <w:rsid w:val="0042565C"/>
    <w:rsid w:val="004263C4"/>
    <w:rsid w:val="00426A45"/>
    <w:rsid w:val="004312E1"/>
    <w:rsid w:val="00432495"/>
    <w:rsid w:val="00433477"/>
    <w:rsid w:val="004335DE"/>
    <w:rsid w:val="00433BE4"/>
    <w:rsid w:val="00435960"/>
    <w:rsid w:val="00435DEC"/>
    <w:rsid w:val="00440C31"/>
    <w:rsid w:val="0044149D"/>
    <w:rsid w:val="0044159D"/>
    <w:rsid w:val="00441CD6"/>
    <w:rsid w:val="00441E9D"/>
    <w:rsid w:val="004425C1"/>
    <w:rsid w:val="004434B2"/>
    <w:rsid w:val="00443F97"/>
    <w:rsid w:val="00444B2F"/>
    <w:rsid w:val="0044525C"/>
    <w:rsid w:val="00445C09"/>
    <w:rsid w:val="004460CD"/>
    <w:rsid w:val="00447D30"/>
    <w:rsid w:val="0045080D"/>
    <w:rsid w:val="00450C6A"/>
    <w:rsid w:val="00451360"/>
    <w:rsid w:val="00455096"/>
    <w:rsid w:val="004551C7"/>
    <w:rsid w:val="004554A8"/>
    <w:rsid w:val="00456759"/>
    <w:rsid w:val="00456A74"/>
    <w:rsid w:val="00456BC2"/>
    <w:rsid w:val="00461018"/>
    <w:rsid w:val="004624CD"/>
    <w:rsid w:val="00464D89"/>
    <w:rsid w:val="00465B39"/>
    <w:rsid w:val="00466D26"/>
    <w:rsid w:val="0046769B"/>
    <w:rsid w:val="00470028"/>
    <w:rsid w:val="00472197"/>
    <w:rsid w:val="00473172"/>
    <w:rsid w:val="00475A5A"/>
    <w:rsid w:val="00475E14"/>
    <w:rsid w:val="00476C4D"/>
    <w:rsid w:val="00481411"/>
    <w:rsid w:val="00483D5C"/>
    <w:rsid w:val="0048667A"/>
    <w:rsid w:val="00486D84"/>
    <w:rsid w:val="004872A5"/>
    <w:rsid w:val="004878D3"/>
    <w:rsid w:val="0049021B"/>
    <w:rsid w:val="00490B90"/>
    <w:rsid w:val="00490E1F"/>
    <w:rsid w:val="00491621"/>
    <w:rsid w:val="004916D6"/>
    <w:rsid w:val="004926A5"/>
    <w:rsid w:val="00492739"/>
    <w:rsid w:val="00494422"/>
    <w:rsid w:val="00495448"/>
    <w:rsid w:val="004958F2"/>
    <w:rsid w:val="00496211"/>
    <w:rsid w:val="00496448"/>
    <w:rsid w:val="00496940"/>
    <w:rsid w:val="00496AD6"/>
    <w:rsid w:val="00497F2D"/>
    <w:rsid w:val="004A13B9"/>
    <w:rsid w:val="004A161A"/>
    <w:rsid w:val="004A2265"/>
    <w:rsid w:val="004A4824"/>
    <w:rsid w:val="004A4EC7"/>
    <w:rsid w:val="004B14BD"/>
    <w:rsid w:val="004B1A79"/>
    <w:rsid w:val="004B1E4C"/>
    <w:rsid w:val="004B2C90"/>
    <w:rsid w:val="004B2FDA"/>
    <w:rsid w:val="004B30C7"/>
    <w:rsid w:val="004B43A9"/>
    <w:rsid w:val="004B7C9B"/>
    <w:rsid w:val="004C0F3E"/>
    <w:rsid w:val="004C17DE"/>
    <w:rsid w:val="004C1AA9"/>
    <w:rsid w:val="004C1F8C"/>
    <w:rsid w:val="004C2DEA"/>
    <w:rsid w:val="004C3E3D"/>
    <w:rsid w:val="004C4418"/>
    <w:rsid w:val="004C51B5"/>
    <w:rsid w:val="004C6BB9"/>
    <w:rsid w:val="004D0451"/>
    <w:rsid w:val="004D0EE7"/>
    <w:rsid w:val="004D3335"/>
    <w:rsid w:val="004D4D98"/>
    <w:rsid w:val="004D6620"/>
    <w:rsid w:val="004D6925"/>
    <w:rsid w:val="004D6D28"/>
    <w:rsid w:val="004D78DD"/>
    <w:rsid w:val="004D7C3E"/>
    <w:rsid w:val="004E0C63"/>
    <w:rsid w:val="004E1D44"/>
    <w:rsid w:val="004E21AD"/>
    <w:rsid w:val="004E69C0"/>
    <w:rsid w:val="004E73B5"/>
    <w:rsid w:val="004F0362"/>
    <w:rsid w:val="004F11FD"/>
    <w:rsid w:val="004F13DF"/>
    <w:rsid w:val="004F163D"/>
    <w:rsid w:val="004F27FC"/>
    <w:rsid w:val="004F3A53"/>
    <w:rsid w:val="004F4C4F"/>
    <w:rsid w:val="004F4D77"/>
    <w:rsid w:val="004F4F10"/>
    <w:rsid w:val="004F5CB5"/>
    <w:rsid w:val="00500526"/>
    <w:rsid w:val="00500C86"/>
    <w:rsid w:val="00501768"/>
    <w:rsid w:val="00507A91"/>
    <w:rsid w:val="005122D0"/>
    <w:rsid w:val="00512EBA"/>
    <w:rsid w:val="00514DC5"/>
    <w:rsid w:val="00514FC5"/>
    <w:rsid w:val="005157D6"/>
    <w:rsid w:val="005202BA"/>
    <w:rsid w:val="005206E2"/>
    <w:rsid w:val="005216AB"/>
    <w:rsid w:val="00521EDC"/>
    <w:rsid w:val="00522022"/>
    <w:rsid w:val="005223BD"/>
    <w:rsid w:val="005226B9"/>
    <w:rsid w:val="00522D9C"/>
    <w:rsid w:val="0052381D"/>
    <w:rsid w:val="00523940"/>
    <w:rsid w:val="00523A1B"/>
    <w:rsid w:val="005261F1"/>
    <w:rsid w:val="0052757F"/>
    <w:rsid w:val="00527E61"/>
    <w:rsid w:val="00530887"/>
    <w:rsid w:val="00531746"/>
    <w:rsid w:val="00532AB0"/>
    <w:rsid w:val="005338AE"/>
    <w:rsid w:val="00533C80"/>
    <w:rsid w:val="00533FFE"/>
    <w:rsid w:val="00535B2D"/>
    <w:rsid w:val="00542ECD"/>
    <w:rsid w:val="00543900"/>
    <w:rsid w:val="00543C86"/>
    <w:rsid w:val="00545C47"/>
    <w:rsid w:val="005478FE"/>
    <w:rsid w:val="0055012B"/>
    <w:rsid w:val="00550963"/>
    <w:rsid w:val="00550A47"/>
    <w:rsid w:val="00553722"/>
    <w:rsid w:val="00553EBB"/>
    <w:rsid w:val="005557C7"/>
    <w:rsid w:val="00557882"/>
    <w:rsid w:val="00560401"/>
    <w:rsid w:val="005606A1"/>
    <w:rsid w:val="00560FCA"/>
    <w:rsid w:val="00561D39"/>
    <w:rsid w:val="00561FB9"/>
    <w:rsid w:val="00562592"/>
    <w:rsid w:val="00563000"/>
    <w:rsid w:val="005647ED"/>
    <w:rsid w:val="00564D92"/>
    <w:rsid w:val="0056572B"/>
    <w:rsid w:val="00565A05"/>
    <w:rsid w:val="00565E6A"/>
    <w:rsid w:val="00571466"/>
    <w:rsid w:val="005755D6"/>
    <w:rsid w:val="00575AC9"/>
    <w:rsid w:val="005760E2"/>
    <w:rsid w:val="00576144"/>
    <w:rsid w:val="00576572"/>
    <w:rsid w:val="005818AA"/>
    <w:rsid w:val="00581935"/>
    <w:rsid w:val="005830BA"/>
    <w:rsid w:val="00584C18"/>
    <w:rsid w:val="00584D63"/>
    <w:rsid w:val="00586B9D"/>
    <w:rsid w:val="0059000F"/>
    <w:rsid w:val="00590677"/>
    <w:rsid w:val="00591288"/>
    <w:rsid w:val="00591391"/>
    <w:rsid w:val="005917FD"/>
    <w:rsid w:val="00594008"/>
    <w:rsid w:val="0059541A"/>
    <w:rsid w:val="005968D2"/>
    <w:rsid w:val="005A0C6D"/>
    <w:rsid w:val="005A1272"/>
    <w:rsid w:val="005A3121"/>
    <w:rsid w:val="005A3632"/>
    <w:rsid w:val="005A4AA1"/>
    <w:rsid w:val="005A53D4"/>
    <w:rsid w:val="005A6162"/>
    <w:rsid w:val="005A699D"/>
    <w:rsid w:val="005A7E1E"/>
    <w:rsid w:val="005B10CB"/>
    <w:rsid w:val="005B25AA"/>
    <w:rsid w:val="005B2AAE"/>
    <w:rsid w:val="005B3358"/>
    <w:rsid w:val="005B5027"/>
    <w:rsid w:val="005B7160"/>
    <w:rsid w:val="005B73AF"/>
    <w:rsid w:val="005B79FB"/>
    <w:rsid w:val="005C0043"/>
    <w:rsid w:val="005C0F15"/>
    <w:rsid w:val="005C13C6"/>
    <w:rsid w:val="005C32EF"/>
    <w:rsid w:val="005C3C13"/>
    <w:rsid w:val="005C584A"/>
    <w:rsid w:val="005C5A25"/>
    <w:rsid w:val="005C62CB"/>
    <w:rsid w:val="005D00E4"/>
    <w:rsid w:val="005D0381"/>
    <w:rsid w:val="005D04D5"/>
    <w:rsid w:val="005D12BE"/>
    <w:rsid w:val="005D4706"/>
    <w:rsid w:val="005D5F5E"/>
    <w:rsid w:val="005D652B"/>
    <w:rsid w:val="005D7618"/>
    <w:rsid w:val="005D7C45"/>
    <w:rsid w:val="005E05EC"/>
    <w:rsid w:val="005E0938"/>
    <w:rsid w:val="005E3199"/>
    <w:rsid w:val="005E3226"/>
    <w:rsid w:val="005E32DB"/>
    <w:rsid w:val="005F0F2E"/>
    <w:rsid w:val="005F2F0C"/>
    <w:rsid w:val="005F3B45"/>
    <w:rsid w:val="005F4010"/>
    <w:rsid w:val="005F5A9C"/>
    <w:rsid w:val="005F6264"/>
    <w:rsid w:val="005F66F9"/>
    <w:rsid w:val="005F73E7"/>
    <w:rsid w:val="0060021F"/>
    <w:rsid w:val="00601A7B"/>
    <w:rsid w:val="00601F2A"/>
    <w:rsid w:val="0060237E"/>
    <w:rsid w:val="00602807"/>
    <w:rsid w:val="00603533"/>
    <w:rsid w:val="00603B56"/>
    <w:rsid w:val="00603F00"/>
    <w:rsid w:val="00604F35"/>
    <w:rsid w:val="00606CF1"/>
    <w:rsid w:val="00610168"/>
    <w:rsid w:val="00610DAE"/>
    <w:rsid w:val="00612BF2"/>
    <w:rsid w:val="00613F08"/>
    <w:rsid w:val="006143D2"/>
    <w:rsid w:val="006147EB"/>
    <w:rsid w:val="00614EFF"/>
    <w:rsid w:val="0061565B"/>
    <w:rsid w:val="00615B58"/>
    <w:rsid w:val="00616B9C"/>
    <w:rsid w:val="006170EC"/>
    <w:rsid w:val="0061788B"/>
    <w:rsid w:val="006200EB"/>
    <w:rsid w:val="00621EA3"/>
    <w:rsid w:val="006237C5"/>
    <w:rsid w:val="00623876"/>
    <w:rsid w:val="006266BE"/>
    <w:rsid w:val="006266EA"/>
    <w:rsid w:val="00627813"/>
    <w:rsid w:val="00627B0F"/>
    <w:rsid w:val="0063075A"/>
    <w:rsid w:val="00630B03"/>
    <w:rsid w:val="00631F45"/>
    <w:rsid w:val="00632123"/>
    <w:rsid w:val="006322DA"/>
    <w:rsid w:val="006327F4"/>
    <w:rsid w:val="00640234"/>
    <w:rsid w:val="00641543"/>
    <w:rsid w:val="0064252D"/>
    <w:rsid w:val="00642D6A"/>
    <w:rsid w:val="0064343A"/>
    <w:rsid w:val="00643E11"/>
    <w:rsid w:val="00645015"/>
    <w:rsid w:val="00647750"/>
    <w:rsid w:val="006501EF"/>
    <w:rsid w:val="00653214"/>
    <w:rsid w:val="00653832"/>
    <w:rsid w:val="00653A6C"/>
    <w:rsid w:val="00654195"/>
    <w:rsid w:val="006561EC"/>
    <w:rsid w:val="00657448"/>
    <w:rsid w:val="00657506"/>
    <w:rsid w:val="00660BC5"/>
    <w:rsid w:val="00660C9C"/>
    <w:rsid w:val="00662819"/>
    <w:rsid w:val="00662838"/>
    <w:rsid w:val="00663FF0"/>
    <w:rsid w:val="00665567"/>
    <w:rsid w:val="00665FB6"/>
    <w:rsid w:val="00667DBC"/>
    <w:rsid w:val="0067092D"/>
    <w:rsid w:val="00671240"/>
    <w:rsid w:val="00671D3E"/>
    <w:rsid w:val="00671DEE"/>
    <w:rsid w:val="0067263F"/>
    <w:rsid w:val="00673810"/>
    <w:rsid w:val="00674B63"/>
    <w:rsid w:val="006766E8"/>
    <w:rsid w:val="00676E32"/>
    <w:rsid w:val="00680138"/>
    <w:rsid w:val="00680431"/>
    <w:rsid w:val="0068119C"/>
    <w:rsid w:val="00681673"/>
    <w:rsid w:val="00681DFA"/>
    <w:rsid w:val="006845C1"/>
    <w:rsid w:val="006879FB"/>
    <w:rsid w:val="006912FA"/>
    <w:rsid w:val="00692856"/>
    <w:rsid w:val="00692EEB"/>
    <w:rsid w:val="00693D20"/>
    <w:rsid w:val="00694168"/>
    <w:rsid w:val="006945A3"/>
    <w:rsid w:val="00695CB5"/>
    <w:rsid w:val="006971BA"/>
    <w:rsid w:val="00697877"/>
    <w:rsid w:val="00697ECE"/>
    <w:rsid w:val="006A008F"/>
    <w:rsid w:val="006A1599"/>
    <w:rsid w:val="006A44F5"/>
    <w:rsid w:val="006A5AA6"/>
    <w:rsid w:val="006A5E17"/>
    <w:rsid w:val="006A5FE8"/>
    <w:rsid w:val="006A6D2A"/>
    <w:rsid w:val="006A6F8D"/>
    <w:rsid w:val="006B0D1B"/>
    <w:rsid w:val="006B1ECD"/>
    <w:rsid w:val="006B1F84"/>
    <w:rsid w:val="006B2CE3"/>
    <w:rsid w:val="006B3835"/>
    <w:rsid w:val="006B6B21"/>
    <w:rsid w:val="006B728B"/>
    <w:rsid w:val="006B7CD5"/>
    <w:rsid w:val="006B7F16"/>
    <w:rsid w:val="006C62B2"/>
    <w:rsid w:val="006C7687"/>
    <w:rsid w:val="006C7E16"/>
    <w:rsid w:val="006D0ACF"/>
    <w:rsid w:val="006D1B4D"/>
    <w:rsid w:val="006D1D5E"/>
    <w:rsid w:val="006D28E8"/>
    <w:rsid w:val="006D2B80"/>
    <w:rsid w:val="006D38DB"/>
    <w:rsid w:val="006D411C"/>
    <w:rsid w:val="006D445E"/>
    <w:rsid w:val="006D4826"/>
    <w:rsid w:val="006D72C7"/>
    <w:rsid w:val="006E0AFF"/>
    <w:rsid w:val="006E170D"/>
    <w:rsid w:val="006E1DFD"/>
    <w:rsid w:val="006E3503"/>
    <w:rsid w:val="006E3E37"/>
    <w:rsid w:val="006E5D65"/>
    <w:rsid w:val="006E6059"/>
    <w:rsid w:val="006E698B"/>
    <w:rsid w:val="006E7551"/>
    <w:rsid w:val="006F0349"/>
    <w:rsid w:val="006F234E"/>
    <w:rsid w:val="006F2601"/>
    <w:rsid w:val="006F2F35"/>
    <w:rsid w:val="006F37C0"/>
    <w:rsid w:val="006F4C59"/>
    <w:rsid w:val="006F63EF"/>
    <w:rsid w:val="006F68A0"/>
    <w:rsid w:val="006F6901"/>
    <w:rsid w:val="006F731F"/>
    <w:rsid w:val="006F7EFE"/>
    <w:rsid w:val="00700CF8"/>
    <w:rsid w:val="007010DE"/>
    <w:rsid w:val="007027B9"/>
    <w:rsid w:val="00702CBD"/>
    <w:rsid w:val="00702E8C"/>
    <w:rsid w:val="007031BD"/>
    <w:rsid w:val="00703B3A"/>
    <w:rsid w:val="00703DF2"/>
    <w:rsid w:val="0070418E"/>
    <w:rsid w:val="00704F8D"/>
    <w:rsid w:val="007060F3"/>
    <w:rsid w:val="00706246"/>
    <w:rsid w:val="00706B21"/>
    <w:rsid w:val="007104C4"/>
    <w:rsid w:val="0071077B"/>
    <w:rsid w:val="00710CB9"/>
    <w:rsid w:val="00711007"/>
    <w:rsid w:val="007114AC"/>
    <w:rsid w:val="00711A1C"/>
    <w:rsid w:val="007132E9"/>
    <w:rsid w:val="0071358C"/>
    <w:rsid w:val="007151E9"/>
    <w:rsid w:val="0071548B"/>
    <w:rsid w:val="007176D8"/>
    <w:rsid w:val="007203C8"/>
    <w:rsid w:val="007203E4"/>
    <w:rsid w:val="007204A9"/>
    <w:rsid w:val="00721D5E"/>
    <w:rsid w:val="00722C0F"/>
    <w:rsid w:val="00722D12"/>
    <w:rsid w:val="00723586"/>
    <w:rsid w:val="007240CA"/>
    <w:rsid w:val="0072497F"/>
    <w:rsid w:val="0073043E"/>
    <w:rsid w:val="00732081"/>
    <w:rsid w:val="00733661"/>
    <w:rsid w:val="00733901"/>
    <w:rsid w:val="00734EFE"/>
    <w:rsid w:val="00735FCC"/>
    <w:rsid w:val="007409CF"/>
    <w:rsid w:val="00740D2D"/>
    <w:rsid w:val="00741783"/>
    <w:rsid w:val="00743B31"/>
    <w:rsid w:val="00743CC0"/>
    <w:rsid w:val="00745287"/>
    <w:rsid w:val="007452B7"/>
    <w:rsid w:val="0074565F"/>
    <w:rsid w:val="007461F3"/>
    <w:rsid w:val="0075061A"/>
    <w:rsid w:val="0075101B"/>
    <w:rsid w:val="0075271B"/>
    <w:rsid w:val="00752FCC"/>
    <w:rsid w:val="00754586"/>
    <w:rsid w:val="00755298"/>
    <w:rsid w:val="00756929"/>
    <w:rsid w:val="00757DCC"/>
    <w:rsid w:val="00761094"/>
    <w:rsid w:val="0076288C"/>
    <w:rsid w:val="00765B33"/>
    <w:rsid w:val="00767DBB"/>
    <w:rsid w:val="00767DD8"/>
    <w:rsid w:val="00771BF9"/>
    <w:rsid w:val="0077206D"/>
    <w:rsid w:val="00774646"/>
    <w:rsid w:val="00774861"/>
    <w:rsid w:val="00774E9A"/>
    <w:rsid w:val="00776D82"/>
    <w:rsid w:val="00777DE5"/>
    <w:rsid w:val="00780844"/>
    <w:rsid w:val="00781695"/>
    <w:rsid w:val="007818C1"/>
    <w:rsid w:val="007820F5"/>
    <w:rsid w:val="007837FE"/>
    <w:rsid w:val="00783F69"/>
    <w:rsid w:val="00784DA0"/>
    <w:rsid w:val="00787693"/>
    <w:rsid w:val="007877ED"/>
    <w:rsid w:val="00787CD8"/>
    <w:rsid w:val="007926FA"/>
    <w:rsid w:val="00793856"/>
    <w:rsid w:val="00794E3B"/>
    <w:rsid w:val="007971E4"/>
    <w:rsid w:val="00797240"/>
    <w:rsid w:val="007A02A7"/>
    <w:rsid w:val="007A11FC"/>
    <w:rsid w:val="007A1EEB"/>
    <w:rsid w:val="007A3B00"/>
    <w:rsid w:val="007A5116"/>
    <w:rsid w:val="007A6F08"/>
    <w:rsid w:val="007A73F6"/>
    <w:rsid w:val="007B06AE"/>
    <w:rsid w:val="007B1BD0"/>
    <w:rsid w:val="007B3321"/>
    <w:rsid w:val="007B5581"/>
    <w:rsid w:val="007B61AA"/>
    <w:rsid w:val="007B6328"/>
    <w:rsid w:val="007B7344"/>
    <w:rsid w:val="007C01F9"/>
    <w:rsid w:val="007C0935"/>
    <w:rsid w:val="007C4378"/>
    <w:rsid w:val="007C771C"/>
    <w:rsid w:val="007D1A5E"/>
    <w:rsid w:val="007D2417"/>
    <w:rsid w:val="007D290C"/>
    <w:rsid w:val="007D2B47"/>
    <w:rsid w:val="007D515C"/>
    <w:rsid w:val="007D657B"/>
    <w:rsid w:val="007D67BD"/>
    <w:rsid w:val="007D6C8A"/>
    <w:rsid w:val="007D7CD9"/>
    <w:rsid w:val="007E1467"/>
    <w:rsid w:val="007E44F3"/>
    <w:rsid w:val="007E596A"/>
    <w:rsid w:val="007E6D00"/>
    <w:rsid w:val="007E7B68"/>
    <w:rsid w:val="007F017B"/>
    <w:rsid w:val="007F019E"/>
    <w:rsid w:val="007F0D2D"/>
    <w:rsid w:val="007F2A7D"/>
    <w:rsid w:val="007F45F0"/>
    <w:rsid w:val="007F4E93"/>
    <w:rsid w:val="007F52B4"/>
    <w:rsid w:val="007F6049"/>
    <w:rsid w:val="007F67E0"/>
    <w:rsid w:val="007F73D9"/>
    <w:rsid w:val="00800A66"/>
    <w:rsid w:val="00801C4F"/>
    <w:rsid w:val="008042B4"/>
    <w:rsid w:val="008046D4"/>
    <w:rsid w:val="00804703"/>
    <w:rsid w:val="00805A5D"/>
    <w:rsid w:val="00806488"/>
    <w:rsid w:val="008073B5"/>
    <w:rsid w:val="008079E0"/>
    <w:rsid w:val="0081007F"/>
    <w:rsid w:val="0081058A"/>
    <w:rsid w:val="00810E90"/>
    <w:rsid w:val="0081101A"/>
    <w:rsid w:val="008119BA"/>
    <w:rsid w:val="008123CE"/>
    <w:rsid w:val="00812C43"/>
    <w:rsid w:val="00813887"/>
    <w:rsid w:val="0081494C"/>
    <w:rsid w:val="00815750"/>
    <w:rsid w:val="00815896"/>
    <w:rsid w:val="00820415"/>
    <w:rsid w:val="00821B01"/>
    <w:rsid w:val="00822269"/>
    <w:rsid w:val="008226C7"/>
    <w:rsid w:val="00823F98"/>
    <w:rsid w:val="00825808"/>
    <w:rsid w:val="00825DED"/>
    <w:rsid w:val="00826E1B"/>
    <w:rsid w:val="00831F64"/>
    <w:rsid w:val="00832FE5"/>
    <w:rsid w:val="00833792"/>
    <w:rsid w:val="0083467D"/>
    <w:rsid w:val="00834E98"/>
    <w:rsid w:val="008358CD"/>
    <w:rsid w:val="00836C0F"/>
    <w:rsid w:val="00836FCD"/>
    <w:rsid w:val="008370A8"/>
    <w:rsid w:val="00837255"/>
    <w:rsid w:val="008375FC"/>
    <w:rsid w:val="00837707"/>
    <w:rsid w:val="008404BD"/>
    <w:rsid w:val="008406BB"/>
    <w:rsid w:val="00841433"/>
    <w:rsid w:val="00841A8F"/>
    <w:rsid w:val="00843CBA"/>
    <w:rsid w:val="00846743"/>
    <w:rsid w:val="00847AF6"/>
    <w:rsid w:val="008500C0"/>
    <w:rsid w:val="00850888"/>
    <w:rsid w:val="00852882"/>
    <w:rsid w:val="00852C15"/>
    <w:rsid w:val="00852F35"/>
    <w:rsid w:val="008531A6"/>
    <w:rsid w:val="0085481F"/>
    <w:rsid w:val="0085662D"/>
    <w:rsid w:val="00856B74"/>
    <w:rsid w:val="00857363"/>
    <w:rsid w:val="00861CF6"/>
    <w:rsid w:val="008630ED"/>
    <w:rsid w:val="00863331"/>
    <w:rsid w:val="0086394C"/>
    <w:rsid w:val="00865BA7"/>
    <w:rsid w:val="008667C4"/>
    <w:rsid w:val="00867A4A"/>
    <w:rsid w:val="008703E7"/>
    <w:rsid w:val="00870A74"/>
    <w:rsid w:val="00872D90"/>
    <w:rsid w:val="008737F9"/>
    <w:rsid w:val="008756E6"/>
    <w:rsid w:val="00875C91"/>
    <w:rsid w:val="0087619F"/>
    <w:rsid w:val="00876A08"/>
    <w:rsid w:val="008770F3"/>
    <w:rsid w:val="00880485"/>
    <w:rsid w:val="008804EF"/>
    <w:rsid w:val="00880C3F"/>
    <w:rsid w:val="0088169E"/>
    <w:rsid w:val="00881A82"/>
    <w:rsid w:val="008821B5"/>
    <w:rsid w:val="00883248"/>
    <w:rsid w:val="008842FE"/>
    <w:rsid w:val="00884872"/>
    <w:rsid w:val="00886A22"/>
    <w:rsid w:val="00886EB1"/>
    <w:rsid w:val="00887EB5"/>
    <w:rsid w:val="00890D44"/>
    <w:rsid w:val="008921BE"/>
    <w:rsid w:val="00892D49"/>
    <w:rsid w:val="00893137"/>
    <w:rsid w:val="00893F7D"/>
    <w:rsid w:val="00895CE8"/>
    <w:rsid w:val="00896171"/>
    <w:rsid w:val="008A0448"/>
    <w:rsid w:val="008A0614"/>
    <w:rsid w:val="008A3133"/>
    <w:rsid w:val="008A3F7B"/>
    <w:rsid w:val="008A45F8"/>
    <w:rsid w:val="008A51FD"/>
    <w:rsid w:val="008A69F0"/>
    <w:rsid w:val="008A775E"/>
    <w:rsid w:val="008B00B8"/>
    <w:rsid w:val="008B0957"/>
    <w:rsid w:val="008B2600"/>
    <w:rsid w:val="008B28D9"/>
    <w:rsid w:val="008B33E6"/>
    <w:rsid w:val="008B44F5"/>
    <w:rsid w:val="008B57F9"/>
    <w:rsid w:val="008B7808"/>
    <w:rsid w:val="008B78D1"/>
    <w:rsid w:val="008C1523"/>
    <w:rsid w:val="008C1E66"/>
    <w:rsid w:val="008C3C83"/>
    <w:rsid w:val="008C45FF"/>
    <w:rsid w:val="008C47A1"/>
    <w:rsid w:val="008C5D68"/>
    <w:rsid w:val="008C69D8"/>
    <w:rsid w:val="008C738F"/>
    <w:rsid w:val="008C7A6F"/>
    <w:rsid w:val="008D06DD"/>
    <w:rsid w:val="008D18C1"/>
    <w:rsid w:val="008D2BCE"/>
    <w:rsid w:val="008D2DFB"/>
    <w:rsid w:val="008D3109"/>
    <w:rsid w:val="008D3AE9"/>
    <w:rsid w:val="008D6B9E"/>
    <w:rsid w:val="008E005C"/>
    <w:rsid w:val="008E1024"/>
    <w:rsid w:val="008E1FCD"/>
    <w:rsid w:val="008E3F32"/>
    <w:rsid w:val="008E4DA6"/>
    <w:rsid w:val="008E5613"/>
    <w:rsid w:val="008E641F"/>
    <w:rsid w:val="008E67FA"/>
    <w:rsid w:val="008F352D"/>
    <w:rsid w:val="008F49EE"/>
    <w:rsid w:val="008F4C6A"/>
    <w:rsid w:val="009031DB"/>
    <w:rsid w:val="0090365D"/>
    <w:rsid w:val="009036C2"/>
    <w:rsid w:val="00905A4C"/>
    <w:rsid w:val="00906D5D"/>
    <w:rsid w:val="00906F08"/>
    <w:rsid w:val="0091141A"/>
    <w:rsid w:val="0091143A"/>
    <w:rsid w:val="00911AEE"/>
    <w:rsid w:val="00912463"/>
    <w:rsid w:val="009124F6"/>
    <w:rsid w:val="00913336"/>
    <w:rsid w:val="0091347B"/>
    <w:rsid w:val="009137B6"/>
    <w:rsid w:val="00913ED0"/>
    <w:rsid w:val="00917159"/>
    <w:rsid w:val="00917CF6"/>
    <w:rsid w:val="00921481"/>
    <w:rsid w:val="0092164F"/>
    <w:rsid w:val="00927650"/>
    <w:rsid w:val="00930578"/>
    <w:rsid w:val="009316C9"/>
    <w:rsid w:val="00931A92"/>
    <w:rsid w:val="0093222B"/>
    <w:rsid w:val="009323CB"/>
    <w:rsid w:val="00932786"/>
    <w:rsid w:val="00932DE1"/>
    <w:rsid w:val="00933510"/>
    <w:rsid w:val="009335C4"/>
    <w:rsid w:val="00934827"/>
    <w:rsid w:val="00935741"/>
    <w:rsid w:val="00935EA5"/>
    <w:rsid w:val="00936AD4"/>
    <w:rsid w:val="00936C83"/>
    <w:rsid w:val="00937A52"/>
    <w:rsid w:val="009418EB"/>
    <w:rsid w:val="00942014"/>
    <w:rsid w:val="00942896"/>
    <w:rsid w:val="00942CB6"/>
    <w:rsid w:val="00942CE9"/>
    <w:rsid w:val="009433AF"/>
    <w:rsid w:val="00944A0A"/>
    <w:rsid w:val="00944CCF"/>
    <w:rsid w:val="00945DCA"/>
    <w:rsid w:val="00945E1B"/>
    <w:rsid w:val="00945F3A"/>
    <w:rsid w:val="00946C59"/>
    <w:rsid w:val="009477CE"/>
    <w:rsid w:val="00954F72"/>
    <w:rsid w:val="00954FF2"/>
    <w:rsid w:val="009572F8"/>
    <w:rsid w:val="00960E33"/>
    <w:rsid w:val="0096139E"/>
    <w:rsid w:val="009615D2"/>
    <w:rsid w:val="00962EE8"/>
    <w:rsid w:val="00962FA7"/>
    <w:rsid w:val="009647EE"/>
    <w:rsid w:val="00966791"/>
    <w:rsid w:val="00971222"/>
    <w:rsid w:val="00971421"/>
    <w:rsid w:val="0097163A"/>
    <w:rsid w:val="00972C50"/>
    <w:rsid w:val="00973D88"/>
    <w:rsid w:val="00974666"/>
    <w:rsid w:val="0097491E"/>
    <w:rsid w:val="00975A53"/>
    <w:rsid w:val="00976EE9"/>
    <w:rsid w:val="009772CB"/>
    <w:rsid w:val="00977EBA"/>
    <w:rsid w:val="00980BF1"/>
    <w:rsid w:val="0098197D"/>
    <w:rsid w:val="00983B87"/>
    <w:rsid w:val="00984376"/>
    <w:rsid w:val="00985A01"/>
    <w:rsid w:val="00991110"/>
    <w:rsid w:val="00991C32"/>
    <w:rsid w:val="00994E57"/>
    <w:rsid w:val="009963C0"/>
    <w:rsid w:val="0099693A"/>
    <w:rsid w:val="00997385"/>
    <w:rsid w:val="009A2549"/>
    <w:rsid w:val="009A2629"/>
    <w:rsid w:val="009A3FA9"/>
    <w:rsid w:val="009A43DE"/>
    <w:rsid w:val="009A46E5"/>
    <w:rsid w:val="009A50DD"/>
    <w:rsid w:val="009A6120"/>
    <w:rsid w:val="009A6D9C"/>
    <w:rsid w:val="009B1378"/>
    <w:rsid w:val="009B3DCB"/>
    <w:rsid w:val="009B3E82"/>
    <w:rsid w:val="009B6B2D"/>
    <w:rsid w:val="009C051A"/>
    <w:rsid w:val="009C139B"/>
    <w:rsid w:val="009C3DD6"/>
    <w:rsid w:val="009C4FBE"/>
    <w:rsid w:val="009C529C"/>
    <w:rsid w:val="009C5B8C"/>
    <w:rsid w:val="009C60F6"/>
    <w:rsid w:val="009D136D"/>
    <w:rsid w:val="009D2232"/>
    <w:rsid w:val="009D32C5"/>
    <w:rsid w:val="009D5BBB"/>
    <w:rsid w:val="009D789B"/>
    <w:rsid w:val="009E2661"/>
    <w:rsid w:val="009E4002"/>
    <w:rsid w:val="009E491F"/>
    <w:rsid w:val="009E64E8"/>
    <w:rsid w:val="009E652D"/>
    <w:rsid w:val="009F0889"/>
    <w:rsid w:val="009F08D0"/>
    <w:rsid w:val="009F33B6"/>
    <w:rsid w:val="009F407D"/>
    <w:rsid w:val="009F5354"/>
    <w:rsid w:val="009F5A34"/>
    <w:rsid w:val="009F69BD"/>
    <w:rsid w:val="009F6A0F"/>
    <w:rsid w:val="009F7E42"/>
    <w:rsid w:val="009F7EA6"/>
    <w:rsid w:val="00A008E6"/>
    <w:rsid w:val="00A008F6"/>
    <w:rsid w:val="00A00DE3"/>
    <w:rsid w:val="00A00E29"/>
    <w:rsid w:val="00A0111B"/>
    <w:rsid w:val="00A04ACF"/>
    <w:rsid w:val="00A05AED"/>
    <w:rsid w:val="00A05B0C"/>
    <w:rsid w:val="00A11969"/>
    <w:rsid w:val="00A12A30"/>
    <w:rsid w:val="00A12C83"/>
    <w:rsid w:val="00A141BC"/>
    <w:rsid w:val="00A14260"/>
    <w:rsid w:val="00A1565C"/>
    <w:rsid w:val="00A1585F"/>
    <w:rsid w:val="00A158D4"/>
    <w:rsid w:val="00A16996"/>
    <w:rsid w:val="00A16A07"/>
    <w:rsid w:val="00A16DC0"/>
    <w:rsid w:val="00A17097"/>
    <w:rsid w:val="00A21BFA"/>
    <w:rsid w:val="00A22B9A"/>
    <w:rsid w:val="00A243B3"/>
    <w:rsid w:val="00A24CD9"/>
    <w:rsid w:val="00A269B3"/>
    <w:rsid w:val="00A26D73"/>
    <w:rsid w:val="00A31757"/>
    <w:rsid w:val="00A31CD9"/>
    <w:rsid w:val="00A3440B"/>
    <w:rsid w:val="00A35E13"/>
    <w:rsid w:val="00A36D34"/>
    <w:rsid w:val="00A37393"/>
    <w:rsid w:val="00A40524"/>
    <w:rsid w:val="00A443C2"/>
    <w:rsid w:val="00A46063"/>
    <w:rsid w:val="00A46DB5"/>
    <w:rsid w:val="00A47011"/>
    <w:rsid w:val="00A47488"/>
    <w:rsid w:val="00A4752A"/>
    <w:rsid w:val="00A506CF"/>
    <w:rsid w:val="00A51597"/>
    <w:rsid w:val="00A51AEA"/>
    <w:rsid w:val="00A53BD6"/>
    <w:rsid w:val="00A54E1B"/>
    <w:rsid w:val="00A54FF1"/>
    <w:rsid w:val="00A56821"/>
    <w:rsid w:val="00A57820"/>
    <w:rsid w:val="00A60412"/>
    <w:rsid w:val="00A61B2C"/>
    <w:rsid w:val="00A62EF3"/>
    <w:rsid w:val="00A64FE4"/>
    <w:rsid w:val="00A66549"/>
    <w:rsid w:val="00A67EC4"/>
    <w:rsid w:val="00A71346"/>
    <w:rsid w:val="00A71474"/>
    <w:rsid w:val="00A72015"/>
    <w:rsid w:val="00A72C23"/>
    <w:rsid w:val="00A760D8"/>
    <w:rsid w:val="00A772F9"/>
    <w:rsid w:val="00A77467"/>
    <w:rsid w:val="00A80675"/>
    <w:rsid w:val="00A82C8E"/>
    <w:rsid w:val="00A832CD"/>
    <w:rsid w:val="00A83B6A"/>
    <w:rsid w:val="00A85067"/>
    <w:rsid w:val="00A87A5B"/>
    <w:rsid w:val="00A918A7"/>
    <w:rsid w:val="00A91FBC"/>
    <w:rsid w:val="00A921E5"/>
    <w:rsid w:val="00A9318B"/>
    <w:rsid w:val="00A934C4"/>
    <w:rsid w:val="00A93D1B"/>
    <w:rsid w:val="00A95218"/>
    <w:rsid w:val="00A955FC"/>
    <w:rsid w:val="00A97664"/>
    <w:rsid w:val="00A97DBA"/>
    <w:rsid w:val="00AA057D"/>
    <w:rsid w:val="00AA1D88"/>
    <w:rsid w:val="00AA2158"/>
    <w:rsid w:val="00AA3C24"/>
    <w:rsid w:val="00AA3F82"/>
    <w:rsid w:val="00AA537A"/>
    <w:rsid w:val="00AA5F0B"/>
    <w:rsid w:val="00AA705F"/>
    <w:rsid w:val="00AA7F82"/>
    <w:rsid w:val="00AB2696"/>
    <w:rsid w:val="00AB2984"/>
    <w:rsid w:val="00AB51E7"/>
    <w:rsid w:val="00AB583E"/>
    <w:rsid w:val="00AB5975"/>
    <w:rsid w:val="00AB607F"/>
    <w:rsid w:val="00AB6B14"/>
    <w:rsid w:val="00AB71DD"/>
    <w:rsid w:val="00AC0A35"/>
    <w:rsid w:val="00AC2CDC"/>
    <w:rsid w:val="00AC323C"/>
    <w:rsid w:val="00AC3E51"/>
    <w:rsid w:val="00AC5304"/>
    <w:rsid w:val="00AC531D"/>
    <w:rsid w:val="00AC76A2"/>
    <w:rsid w:val="00AD099E"/>
    <w:rsid w:val="00AD12AC"/>
    <w:rsid w:val="00AD1A9B"/>
    <w:rsid w:val="00AD1B38"/>
    <w:rsid w:val="00AD3A11"/>
    <w:rsid w:val="00AD47BC"/>
    <w:rsid w:val="00AD4DA1"/>
    <w:rsid w:val="00AD5237"/>
    <w:rsid w:val="00AD5A0E"/>
    <w:rsid w:val="00AD7805"/>
    <w:rsid w:val="00AE0C6D"/>
    <w:rsid w:val="00AE39E1"/>
    <w:rsid w:val="00AF019F"/>
    <w:rsid w:val="00AF080A"/>
    <w:rsid w:val="00AF0832"/>
    <w:rsid w:val="00AF16C1"/>
    <w:rsid w:val="00AF34C1"/>
    <w:rsid w:val="00AF3736"/>
    <w:rsid w:val="00AF42A8"/>
    <w:rsid w:val="00AF7576"/>
    <w:rsid w:val="00B00B1D"/>
    <w:rsid w:val="00B016AD"/>
    <w:rsid w:val="00B0188C"/>
    <w:rsid w:val="00B02059"/>
    <w:rsid w:val="00B0275E"/>
    <w:rsid w:val="00B05561"/>
    <w:rsid w:val="00B05FFD"/>
    <w:rsid w:val="00B0673A"/>
    <w:rsid w:val="00B13935"/>
    <w:rsid w:val="00B13CBD"/>
    <w:rsid w:val="00B2045F"/>
    <w:rsid w:val="00B20958"/>
    <w:rsid w:val="00B21608"/>
    <w:rsid w:val="00B21E9B"/>
    <w:rsid w:val="00B226E2"/>
    <w:rsid w:val="00B228C0"/>
    <w:rsid w:val="00B24D29"/>
    <w:rsid w:val="00B253F5"/>
    <w:rsid w:val="00B27D08"/>
    <w:rsid w:val="00B3073B"/>
    <w:rsid w:val="00B30BD6"/>
    <w:rsid w:val="00B31016"/>
    <w:rsid w:val="00B322A4"/>
    <w:rsid w:val="00B32CE9"/>
    <w:rsid w:val="00B33B30"/>
    <w:rsid w:val="00B37133"/>
    <w:rsid w:val="00B40469"/>
    <w:rsid w:val="00B40A66"/>
    <w:rsid w:val="00B41C57"/>
    <w:rsid w:val="00B4377B"/>
    <w:rsid w:val="00B44B60"/>
    <w:rsid w:val="00B45A70"/>
    <w:rsid w:val="00B5013D"/>
    <w:rsid w:val="00B521D2"/>
    <w:rsid w:val="00B5373A"/>
    <w:rsid w:val="00B556A0"/>
    <w:rsid w:val="00B55E8F"/>
    <w:rsid w:val="00B5640A"/>
    <w:rsid w:val="00B56736"/>
    <w:rsid w:val="00B56ECE"/>
    <w:rsid w:val="00B57517"/>
    <w:rsid w:val="00B6222A"/>
    <w:rsid w:val="00B62A0F"/>
    <w:rsid w:val="00B63C19"/>
    <w:rsid w:val="00B64324"/>
    <w:rsid w:val="00B6596F"/>
    <w:rsid w:val="00B70A45"/>
    <w:rsid w:val="00B71973"/>
    <w:rsid w:val="00B746ED"/>
    <w:rsid w:val="00B7491C"/>
    <w:rsid w:val="00B74924"/>
    <w:rsid w:val="00B74A69"/>
    <w:rsid w:val="00B813C8"/>
    <w:rsid w:val="00B818B4"/>
    <w:rsid w:val="00B81A17"/>
    <w:rsid w:val="00B820BA"/>
    <w:rsid w:val="00B82A65"/>
    <w:rsid w:val="00B838FD"/>
    <w:rsid w:val="00B85BEA"/>
    <w:rsid w:val="00B90337"/>
    <w:rsid w:val="00B917A8"/>
    <w:rsid w:val="00B922B2"/>
    <w:rsid w:val="00B92851"/>
    <w:rsid w:val="00B92892"/>
    <w:rsid w:val="00B95BCC"/>
    <w:rsid w:val="00B95C8F"/>
    <w:rsid w:val="00B96848"/>
    <w:rsid w:val="00B9781B"/>
    <w:rsid w:val="00B97D02"/>
    <w:rsid w:val="00BA3D8E"/>
    <w:rsid w:val="00BA48D2"/>
    <w:rsid w:val="00BA4ADB"/>
    <w:rsid w:val="00BA66D7"/>
    <w:rsid w:val="00BA68AA"/>
    <w:rsid w:val="00BB04DC"/>
    <w:rsid w:val="00BB1526"/>
    <w:rsid w:val="00BB1D7B"/>
    <w:rsid w:val="00BB2333"/>
    <w:rsid w:val="00BB2D95"/>
    <w:rsid w:val="00BB38C3"/>
    <w:rsid w:val="00BB3D1D"/>
    <w:rsid w:val="00BB3D4D"/>
    <w:rsid w:val="00BB79E5"/>
    <w:rsid w:val="00BC0414"/>
    <w:rsid w:val="00BC0BF7"/>
    <w:rsid w:val="00BC0EBC"/>
    <w:rsid w:val="00BC0ED5"/>
    <w:rsid w:val="00BC1903"/>
    <w:rsid w:val="00BC1E8D"/>
    <w:rsid w:val="00BC23FA"/>
    <w:rsid w:val="00BC330E"/>
    <w:rsid w:val="00BC394B"/>
    <w:rsid w:val="00BC535A"/>
    <w:rsid w:val="00BC5893"/>
    <w:rsid w:val="00BC73AB"/>
    <w:rsid w:val="00BC7940"/>
    <w:rsid w:val="00BD034D"/>
    <w:rsid w:val="00BD141C"/>
    <w:rsid w:val="00BD171D"/>
    <w:rsid w:val="00BD25DD"/>
    <w:rsid w:val="00BD2752"/>
    <w:rsid w:val="00BD33DD"/>
    <w:rsid w:val="00BD37B8"/>
    <w:rsid w:val="00BD3F5E"/>
    <w:rsid w:val="00BD4925"/>
    <w:rsid w:val="00BD57F5"/>
    <w:rsid w:val="00BD5EFD"/>
    <w:rsid w:val="00BD62E7"/>
    <w:rsid w:val="00BD715B"/>
    <w:rsid w:val="00BD7890"/>
    <w:rsid w:val="00BE07B3"/>
    <w:rsid w:val="00BE281D"/>
    <w:rsid w:val="00BE2FC9"/>
    <w:rsid w:val="00BE35E5"/>
    <w:rsid w:val="00BE38ED"/>
    <w:rsid w:val="00BE3CCF"/>
    <w:rsid w:val="00BE48A4"/>
    <w:rsid w:val="00BE4B2C"/>
    <w:rsid w:val="00BE56F0"/>
    <w:rsid w:val="00BE692D"/>
    <w:rsid w:val="00BE6A33"/>
    <w:rsid w:val="00BF0672"/>
    <w:rsid w:val="00BF17B9"/>
    <w:rsid w:val="00BF2BAC"/>
    <w:rsid w:val="00BF3B71"/>
    <w:rsid w:val="00BF5A50"/>
    <w:rsid w:val="00BF5B81"/>
    <w:rsid w:val="00BF5F61"/>
    <w:rsid w:val="00BF7349"/>
    <w:rsid w:val="00BF74C4"/>
    <w:rsid w:val="00C0025C"/>
    <w:rsid w:val="00C01EF9"/>
    <w:rsid w:val="00C058F8"/>
    <w:rsid w:val="00C066BA"/>
    <w:rsid w:val="00C12769"/>
    <w:rsid w:val="00C12D35"/>
    <w:rsid w:val="00C13092"/>
    <w:rsid w:val="00C1330C"/>
    <w:rsid w:val="00C13746"/>
    <w:rsid w:val="00C17807"/>
    <w:rsid w:val="00C2079A"/>
    <w:rsid w:val="00C20E16"/>
    <w:rsid w:val="00C20E17"/>
    <w:rsid w:val="00C2181C"/>
    <w:rsid w:val="00C22088"/>
    <w:rsid w:val="00C2307F"/>
    <w:rsid w:val="00C2371A"/>
    <w:rsid w:val="00C240E8"/>
    <w:rsid w:val="00C25BA2"/>
    <w:rsid w:val="00C264AE"/>
    <w:rsid w:val="00C27A33"/>
    <w:rsid w:val="00C30570"/>
    <w:rsid w:val="00C30B39"/>
    <w:rsid w:val="00C31252"/>
    <w:rsid w:val="00C31ECA"/>
    <w:rsid w:val="00C332B2"/>
    <w:rsid w:val="00C338CD"/>
    <w:rsid w:val="00C34227"/>
    <w:rsid w:val="00C35645"/>
    <w:rsid w:val="00C357C0"/>
    <w:rsid w:val="00C4405F"/>
    <w:rsid w:val="00C44076"/>
    <w:rsid w:val="00C44AA6"/>
    <w:rsid w:val="00C4602E"/>
    <w:rsid w:val="00C46578"/>
    <w:rsid w:val="00C47620"/>
    <w:rsid w:val="00C506D9"/>
    <w:rsid w:val="00C51A1D"/>
    <w:rsid w:val="00C51EEE"/>
    <w:rsid w:val="00C5293B"/>
    <w:rsid w:val="00C53068"/>
    <w:rsid w:val="00C54A70"/>
    <w:rsid w:val="00C56E3A"/>
    <w:rsid w:val="00C57B67"/>
    <w:rsid w:val="00C610AA"/>
    <w:rsid w:val="00C615B6"/>
    <w:rsid w:val="00C632B8"/>
    <w:rsid w:val="00C63705"/>
    <w:rsid w:val="00C64006"/>
    <w:rsid w:val="00C64CA6"/>
    <w:rsid w:val="00C65612"/>
    <w:rsid w:val="00C65E93"/>
    <w:rsid w:val="00C65E9C"/>
    <w:rsid w:val="00C662BA"/>
    <w:rsid w:val="00C674C2"/>
    <w:rsid w:val="00C6754B"/>
    <w:rsid w:val="00C70947"/>
    <w:rsid w:val="00C70A92"/>
    <w:rsid w:val="00C7298B"/>
    <w:rsid w:val="00C740AE"/>
    <w:rsid w:val="00C77C7E"/>
    <w:rsid w:val="00C809CF"/>
    <w:rsid w:val="00C80A40"/>
    <w:rsid w:val="00C8196B"/>
    <w:rsid w:val="00C82C8C"/>
    <w:rsid w:val="00C82E71"/>
    <w:rsid w:val="00C849B1"/>
    <w:rsid w:val="00C84BDF"/>
    <w:rsid w:val="00C8762C"/>
    <w:rsid w:val="00C90B2A"/>
    <w:rsid w:val="00C95ECB"/>
    <w:rsid w:val="00C969DC"/>
    <w:rsid w:val="00C97540"/>
    <w:rsid w:val="00C976F9"/>
    <w:rsid w:val="00CA319B"/>
    <w:rsid w:val="00CA3925"/>
    <w:rsid w:val="00CA3B0F"/>
    <w:rsid w:val="00CA537E"/>
    <w:rsid w:val="00CA5D8A"/>
    <w:rsid w:val="00CA614F"/>
    <w:rsid w:val="00CA6763"/>
    <w:rsid w:val="00CA75F7"/>
    <w:rsid w:val="00CB0070"/>
    <w:rsid w:val="00CB033C"/>
    <w:rsid w:val="00CB11F0"/>
    <w:rsid w:val="00CB182D"/>
    <w:rsid w:val="00CB2D37"/>
    <w:rsid w:val="00CB3852"/>
    <w:rsid w:val="00CB3B5F"/>
    <w:rsid w:val="00CB3EC5"/>
    <w:rsid w:val="00CB44FA"/>
    <w:rsid w:val="00CB4E08"/>
    <w:rsid w:val="00CB5752"/>
    <w:rsid w:val="00CB63EF"/>
    <w:rsid w:val="00CB75E6"/>
    <w:rsid w:val="00CB7E98"/>
    <w:rsid w:val="00CC0373"/>
    <w:rsid w:val="00CC1466"/>
    <w:rsid w:val="00CC1F7D"/>
    <w:rsid w:val="00CC280B"/>
    <w:rsid w:val="00CC43BD"/>
    <w:rsid w:val="00CC43D6"/>
    <w:rsid w:val="00CC6110"/>
    <w:rsid w:val="00CC6D68"/>
    <w:rsid w:val="00CC757B"/>
    <w:rsid w:val="00CC7960"/>
    <w:rsid w:val="00CC7DD7"/>
    <w:rsid w:val="00CD17DB"/>
    <w:rsid w:val="00CD192D"/>
    <w:rsid w:val="00CD3644"/>
    <w:rsid w:val="00CD3E33"/>
    <w:rsid w:val="00CD4319"/>
    <w:rsid w:val="00CD443A"/>
    <w:rsid w:val="00CD6921"/>
    <w:rsid w:val="00CD73F1"/>
    <w:rsid w:val="00CD7D9B"/>
    <w:rsid w:val="00CE2339"/>
    <w:rsid w:val="00CE30BE"/>
    <w:rsid w:val="00CE5DC0"/>
    <w:rsid w:val="00CE7EF5"/>
    <w:rsid w:val="00CF033D"/>
    <w:rsid w:val="00CF05F3"/>
    <w:rsid w:val="00CF0DE3"/>
    <w:rsid w:val="00CF10BA"/>
    <w:rsid w:val="00CF3A2E"/>
    <w:rsid w:val="00CF4BE9"/>
    <w:rsid w:val="00CF4CA3"/>
    <w:rsid w:val="00CF5141"/>
    <w:rsid w:val="00CF5E56"/>
    <w:rsid w:val="00CF672F"/>
    <w:rsid w:val="00CF6B45"/>
    <w:rsid w:val="00D022DD"/>
    <w:rsid w:val="00D027FA"/>
    <w:rsid w:val="00D028F2"/>
    <w:rsid w:val="00D02957"/>
    <w:rsid w:val="00D03799"/>
    <w:rsid w:val="00D03B15"/>
    <w:rsid w:val="00D03D9E"/>
    <w:rsid w:val="00D045DF"/>
    <w:rsid w:val="00D04E61"/>
    <w:rsid w:val="00D0555B"/>
    <w:rsid w:val="00D065BC"/>
    <w:rsid w:val="00D10635"/>
    <w:rsid w:val="00D11A9A"/>
    <w:rsid w:val="00D121C6"/>
    <w:rsid w:val="00D12282"/>
    <w:rsid w:val="00D13446"/>
    <w:rsid w:val="00D13A6B"/>
    <w:rsid w:val="00D145CC"/>
    <w:rsid w:val="00D14C99"/>
    <w:rsid w:val="00D150C9"/>
    <w:rsid w:val="00D17A95"/>
    <w:rsid w:val="00D17B4E"/>
    <w:rsid w:val="00D20BBF"/>
    <w:rsid w:val="00D212EA"/>
    <w:rsid w:val="00D21D9E"/>
    <w:rsid w:val="00D22740"/>
    <w:rsid w:val="00D23435"/>
    <w:rsid w:val="00D253C5"/>
    <w:rsid w:val="00D269F4"/>
    <w:rsid w:val="00D304CB"/>
    <w:rsid w:val="00D33142"/>
    <w:rsid w:val="00D33677"/>
    <w:rsid w:val="00D378C4"/>
    <w:rsid w:val="00D405EE"/>
    <w:rsid w:val="00D41CB7"/>
    <w:rsid w:val="00D422DC"/>
    <w:rsid w:val="00D42B6E"/>
    <w:rsid w:val="00D450FB"/>
    <w:rsid w:val="00D500C1"/>
    <w:rsid w:val="00D50DBB"/>
    <w:rsid w:val="00D525B8"/>
    <w:rsid w:val="00D533B0"/>
    <w:rsid w:val="00D54F32"/>
    <w:rsid w:val="00D5545E"/>
    <w:rsid w:val="00D55A8E"/>
    <w:rsid w:val="00D570BF"/>
    <w:rsid w:val="00D62694"/>
    <w:rsid w:val="00D62D49"/>
    <w:rsid w:val="00D639FA"/>
    <w:rsid w:val="00D63FEF"/>
    <w:rsid w:val="00D644BE"/>
    <w:rsid w:val="00D679A7"/>
    <w:rsid w:val="00D67E08"/>
    <w:rsid w:val="00D70021"/>
    <w:rsid w:val="00D717D0"/>
    <w:rsid w:val="00D73571"/>
    <w:rsid w:val="00D7362A"/>
    <w:rsid w:val="00D7699B"/>
    <w:rsid w:val="00D80ABC"/>
    <w:rsid w:val="00D82F07"/>
    <w:rsid w:val="00D84122"/>
    <w:rsid w:val="00D90C71"/>
    <w:rsid w:val="00D91024"/>
    <w:rsid w:val="00D91E5A"/>
    <w:rsid w:val="00D95A71"/>
    <w:rsid w:val="00D96B32"/>
    <w:rsid w:val="00DA18A2"/>
    <w:rsid w:val="00DA1953"/>
    <w:rsid w:val="00DA2ECD"/>
    <w:rsid w:val="00DA3E94"/>
    <w:rsid w:val="00DA40A5"/>
    <w:rsid w:val="00DA60B3"/>
    <w:rsid w:val="00DA6819"/>
    <w:rsid w:val="00DB00C8"/>
    <w:rsid w:val="00DB1EBA"/>
    <w:rsid w:val="00DB5895"/>
    <w:rsid w:val="00DB6C76"/>
    <w:rsid w:val="00DC4013"/>
    <w:rsid w:val="00DC4A04"/>
    <w:rsid w:val="00DC4CC1"/>
    <w:rsid w:val="00DC6CF7"/>
    <w:rsid w:val="00DD1329"/>
    <w:rsid w:val="00DD1CCF"/>
    <w:rsid w:val="00DD1D15"/>
    <w:rsid w:val="00DD1DE9"/>
    <w:rsid w:val="00DD243F"/>
    <w:rsid w:val="00DD4880"/>
    <w:rsid w:val="00DD615D"/>
    <w:rsid w:val="00DE052A"/>
    <w:rsid w:val="00DE124F"/>
    <w:rsid w:val="00DE2129"/>
    <w:rsid w:val="00DE261F"/>
    <w:rsid w:val="00DE2927"/>
    <w:rsid w:val="00DE2C0E"/>
    <w:rsid w:val="00DE3F61"/>
    <w:rsid w:val="00DE43DA"/>
    <w:rsid w:val="00DE44A3"/>
    <w:rsid w:val="00DE4CC9"/>
    <w:rsid w:val="00DE5B12"/>
    <w:rsid w:val="00DF068F"/>
    <w:rsid w:val="00DF127D"/>
    <w:rsid w:val="00DF1FBC"/>
    <w:rsid w:val="00DF2F75"/>
    <w:rsid w:val="00DF2F8D"/>
    <w:rsid w:val="00DF4D3F"/>
    <w:rsid w:val="00DF6C57"/>
    <w:rsid w:val="00DF7809"/>
    <w:rsid w:val="00DF7DD9"/>
    <w:rsid w:val="00E002A9"/>
    <w:rsid w:val="00E00912"/>
    <w:rsid w:val="00E00B54"/>
    <w:rsid w:val="00E011A4"/>
    <w:rsid w:val="00E03431"/>
    <w:rsid w:val="00E04A5E"/>
    <w:rsid w:val="00E052CA"/>
    <w:rsid w:val="00E05A60"/>
    <w:rsid w:val="00E05FA4"/>
    <w:rsid w:val="00E065BB"/>
    <w:rsid w:val="00E07454"/>
    <w:rsid w:val="00E100E9"/>
    <w:rsid w:val="00E10886"/>
    <w:rsid w:val="00E118E4"/>
    <w:rsid w:val="00E132B3"/>
    <w:rsid w:val="00E13603"/>
    <w:rsid w:val="00E13F49"/>
    <w:rsid w:val="00E140DB"/>
    <w:rsid w:val="00E14934"/>
    <w:rsid w:val="00E149D2"/>
    <w:rsid w:val="00E155C1"/>
    <w:rsid w:val="00E15E8D"/>
    <w:rsid w:val="00E16319"/>
    <w:rsid w:val="00E1753C"/>
    <w:rsid w:val="00E201E2"/>
    <w:rsid w:val="00E206D9"/>
    <w:rsid w:val="00E21038"/>
    <w:rsid w:val="00E21122"/>
    <w:rsid w:val="00E224F4"/>
    <w:rsid w:val="00E24246"/>
    <w:rsid w:val="00E25FEB"/>
    <w:rsid w:val="00E26729"/>
    <w:rsid w:val="00E2753F"/>
    <w:rsid w:val="00E276EA"/>
    <w:rsid w:val="00E308EB"/>
    <w:rsid w:val="00E34D5F"/>
    <w:rsid w:val="00E43609"/>
    <w:rsid w:val="00E43B5F"/>
    <w:rsid w:val="00E45524"/>
    <w:rsid w:val="00E459F5"/>
    <w:rsid w:val="00E45E43"/>
    <w:rsid w:val="00E46AAA"/>
    <w:rsid w:val="00E47213"/>
    <w:rsid w:val="00E47BF3"/>
    <w:rsid w:val="00E55EFC"/>
    <w:rsid w:val="00E6050C"/>
    <w:rsid w:val="00E60630"/>
    <w:rsid w:val="00E620AB"/>
    <w:rsid w:val="00E649D3"/>
    <w:rsid w:val="00E64E22"/>
    <w:rsid w:val="00E677A1"/>
    <w:rsid w:val="00E70D7B"/>
    <w:rsid w:val="00E71003"/>
    <w:rsid w:val="00E710D4"/>
    <w:rsid w:val="00E7227E"/>
    <w:rsid w:val="00E7302B"/>
    <w:rsid w:val="00E74D53"/>
    <w:rsid w:val="00E75FFE"/>
    <w:rsid w:val="00E766C7"/>
    <w:rsid w:val="00E778B8"/>
    <w:rsid w:val="00E84D84"/>
    <w:rsid w:val="00E84E98"/>
    <w:rsid w:val="00E84F06"/>
    <w:rsid w:val="00E85473"/>
    <w:rsid w:val="00E86393"/>
    <w:rsid w:val="00E902B0"/>
    <w:rsid w:val="00E91560"/>
    <w:rsid w:val="00E92551"/>
    <w:rsid w:val="00E94AC5"/>
    <w:rsid w:val="00E94E1E"/>
    <w:rsid w:val="00E9549E"/>
    <w:rsid w:val="00E95757"/>
    <w:rsid w:val="00E97847"/>
    <w:rsid w:val="00E97A7A"/>
    <w:rsid w:val="00EA01D8"/>
    <w:rsid w:val="00EA10AC"/>
    <w:rsid w:val="00EA1D8E"/>
    <w:rsid w:val="00EA21C6"/>
    <w:rsid w:val="00EA287E"/>
    <w:rsid w:val="00EA2925"/>
    <w:rsid w:val="00EA2EE7"/>
    <w:rsid w:val="00EA364A"/>
    <w:rsid w:val="00EA37FA"/>
    <w:rsid w:val="00EA3B82"/>
    <w:rsid w:val="00EA4C6C"/>
    <w:rsid w:val="00EA5AB1"/>
    <w:rsid w:val="00EA5FA2"/>
    <w:rsid w:val="00EA6068"/>
    <w:rsid w:val="00EA6FEF"/>
    <w:rsid w:val="00EB12B1"/>
    <w:rsid w:val="00EB3B37"/>
    <w:rsid w:val="00EB4CC5"/>
    <w:rsid w:val="00EB7292"/>
    <w:rsid w:val="00EB763B"/>
    <w:rsid w:val="00EB79CF"/>
    <w:rsid w:val="00EB7E1D"/>
    <w:rsid w:val="00EC188E"/>
    <w:rsid w:val="00EC27E9"/>
    <w:rsid w:val="00EC32F6"/>
    <w:rsid w:val="00EC421F"/>
    <w:rsid w:val="00EC5F21"/>
    <w:rsid w:val="00EC6D96"/>
    <w:rsid w:val="00EC7406"/>
    <w:rsid w:val="00ED0450"/>
    <w:rsid w:val="00ED0697"/>
    <w:rsid w:val="00ED1F7B"/>
    <w:rsid w:val="00ED2B12"/>
    <w:rsid w:val="00ED2ED3"/>
    <w:rsid w:val="00ED42D3"/>
    <w:rsid w:val="00ED48D0"/>
    <w:rsid w:val="00ED5073"/>
    <w:rsid w:val="00ED5079"/>
    <w:rsid w:val="00ED6A98"/>
    <w:rsid w:val="00EE0B44"/>
    <w:rsid w:val="00EE2391"/>
    <w:rsid w:val="00EE2E3F"/>
    <w:rsid w:val="00EE3D67"/>
    <w:rsid w:val="00EF119A"/>
    <w:rsid w:val="00EF12CD"/>
    <w:rsid w:val="00EF183B"/>
    <w:rsid w:val="00EF323F"/>
    <w:rsid w:val="00EF329F"/>
    <w:rsid w:val="00F02051"/>
    <w:rsid w:val="00F03073"/>
    <w:rsid w:val="00F04906"/>
    <w:rsid w:val="00F04B2F"/>
    <w:rsid w:val="00F04C39"/>
    <w:rsid w:val="00F04EAF"/>
    <w:rsid w:val="00F052D8"/>
    <w:rsid w:val="00F05614"/>
    <w:rsid w:val="00F0697B"/>
    <w:rsid w:val="00F070B5"/>
    <w:rsid w:val="00F079F1"/>
    <w:rsid w:val="00F07B0E"/>
    <w:rsid w:val="00F109A1"/>
    <w:rsid w:val="00F12BD3"/>
    <w:rsid w:val="00F13A7A"/>
    <w:rsid w:val="00F16AC8"/>
    <w:rsid w:val="00F20A5D"/>
    <w:rsid w:val="00F22407"/>
    <w:rsid w:val="00F23885"/>
    <w:rsid w:val="00F2407C"/>
    <w:rsid w:val="00F24405"/>
    <w:rsid w:val="00F24B38"/>
    <w:rsid w:val="00F25C41"/>
    <w:rsid w:val="00F2746B"/>
    <w:rsid w:val="00F310A7"/>
    <w:rsid w:val="00F33F75"/>
    <w:rsid w:val="00F34840"/>
    <w:rsid w:val="00F3600D"/>
    <w:rsid w:val="00F36B27"/>
    <w:rsid w:val="00F37355"/>
    <w:rsid w:val="00F37A89"/>
    <w:rsid w:val="00F4045F"/>
    <w:rsid w:val="00F41A18"/>
    <w:rsid w:val="00F41C01"/>
    <w:rsid w:val="00F44FF1"/>
    <w:rsid w:val="00F45AF9"/>
    <w:rsid w:val="00F47E9C"/>
    <w:rsid w:val="00F52E5D"/>
    <w:rsid w:val="00F5520E"/>
    <w:rsid w:val="00F568A6"/>
    <w:rsid w:val="00F5772C"/>
    <w:rsid w:val="00F57EE2"/>
    <w:rsid w:val="00F60919"/>
    <w:rsid w:val="00F60F72"/>
    <w:rsid w:val="00F63EFD"/>
    <w:rsid w:val="00F64736"/>
    <w:rsid w:val="00F6599E"/>
    <w:rsid w:val="00F66078"/>
    <w:rsid w:val="00F67E54"/>
    <w:rsid w:val="00F702BE"/>
    <w:rsid w:val="00F70680"/>
    <w:rsid w:val="00F70C5D"/>
    <w:rsid w:val="00F72803"/>
    <w:rsid w:val="00F72DB4"/>
    <w:rsid w:val="00F74230"/>
    <w:rsid w:val="00F75482"/>
    <w:rsid w:val="00F80AD0"/>
    <w:rsid w:val="00F80EF4"/>
    <w:rsid w:val="00F8132F"/>
    <w:rsid w:val="00F82092"/>
    <w:rsid w:val="00F8271D"/>
    <w:rsid w:val="00F8298A"/>
    <w:rsid w:val="00F834BD"/>
    <w:rsid w:val="00F837E6"/>
    <w:rsid w:val="00F8420D"/>
    <w:rsid w:val="00F84847"/>
    <w:rsid w:val="00F84A25"/>
    <w:rsid w:val="00F84BE3"/>
    <w:rsid w:val="00F85DEC"/>
    <w:rsid w:val="00F862D1"/>
    <w:rsid w:val="00F86700"/>
    <w:rsid w:val="00F86EA9"/>
    <w:rsid w:val="00F87586"/>
    <w:rsid w:val="00F90787"/>
    <w:rsid w:val="00F920C0"/>
    <w:rsid w:val="00F94876"/>
    <w:rsid w:val="00F94902"/>
    <w:rsid w:val="00F957C6"/>
    <w:rsid w:val="00FA11DF"/>
    <w:rsid w:val="00FA2596"/>
    <w:rsid w:val="00FA47DE"/>
    <w:rsid w:val="00FA725F"/>
    <w:rsid w:val="00FA7F7F"/>
    <w:rsid w:val="00FB2E02"/>
    <w:rsid w:val="00FB3B23"/>
    <w:rsid w:val="00FB4C2D"/>
    <w:rsid w:val="00FB6DF3"/>
    <w:rsid w:val="00FB73F0"/>
    <w:rsid w:val="00FC1213"/>
    <w:rsid w:val="00FC311C"/>
    <w:rsid w:val="00FC3380"/>
    <w:rsid w:val="00FC448F"/>
    <w:rsid w:val="00FC4D5F"/>
    <w:rsid w:val="00FC50CB"/>
    <w:rsid w:val="00FC51B9"/>
    <w:rsid w:val="00FC5518"/>
    <w:rsid w:val="00FC6DB9"/>
    <w:rsid w:val="00FC6DDE"/>
    <w:rsid w:val="00FC7A0E"/>
    <w:rsid w:val="00FC7AA6"/>
    <w:rsid w:val="00FD15D0"/>
    <w:rsid w:val="00FD1ECD"/>
    <w:rsid w:val="00FD20A5"/>
    <w:rsid w:val="00FD2C22"/>
    <w:rsid w:val="00FD3D95"/>
    <w:rsid w:val="00FD4A7E"/>
    <w:rsid w:val="00FD4CB2"/>
    <w:rsid w:val="00FD6FD8"/>
    <w:rsid w:val="00FD7968"/>
    <w:rsid w:val="00FE0A19"/>
    <w:rsid w:val="00FE0D2E"/>
    <w:rsid w:val="00FE10DE"/>
    <w:rsid w:val="00FE1A0B"/>
    <w:rsid w:val="00FE2C7F"/>
    <w:rsid w:val="00FE4F02"/>
    <w:rsid w:val="00FE56C3"/>
    <w:rsid w:val="00FE62F1"/>
    <w:rsid w:val="00FE67EE"/>
    <w:rsid w:val="00FE6B4D"/>
    <w:rsid w:val="00FF0D83"/>
    <w:rsid w:val="00FF1B62"/>
    <w:rsid w:val="00FF2877"/>
    <w:rsid w:val="00FF44D9"/>
    <w:rsid w:val="00FF4D08"/>
    <w:rsid w:val="00FF5532"/>
    <w:rsid w:val="00FF74BD"/>
    <w:rsid w:val="00FF75BA"/>
    <w:rsid w:val="00FF7FF5"/>
    <w:rsid w:val="033079CB"/>
    <w:rsid w:val="037D71B6"/>
    <w:rsid w:val="0749FF28"/>
    <w:rsid w:val="076614AA"/>
    <w:rsid w:val="086B9BA5"/>
    <w:rsid w:val="091F52EB"/>
    <w:rsid w:val="09E42BCA"/>
    <w:rsid w:val="0A5E7DCC"/>
    <w:rsid w:val="0C88FEB9"/>
    <w:rsid w:val="0D6D5695"/>
    <w:rsid w:val="10021030"/>
    <w:rsid w:val="10116455"/>
    <w:rsid w:val="108540C0"/>
    <w:rsid w:val="1159F37E"/>
    <w:rsid w:val="12C86CD5"/>
    <w:rsid w:val="14681817"/>
    <w:rsid w:val="16ACCA06"/>
    <w:rsid w:val="1A625E58"/>
    <w:rsid w:val="1AD3AABE"/>
    <w:rsid w:val="1B9F12D5"/>
    <w:rsid w:val="1BC2527B"/>
    <w:rsid w:val="1CD1D55A"/>
    <w:rsid w:val="1E158D3D"/>
    <w:rsid w:val="1E595538"/>
    <w:rsid w:val="1E8132B0"/>
    <w:rsid w:val="1EE18650"/>
    <w:rsid w:val="21216FEB"/>
    <w:rsid w:val="22330848"/>
    <w:rsid w:val="23809563"/>
    <w:rsid w:val="249B5D7D"/>
    <w:rsid w:val="2648D74E"/>
    <w:rsid w:val="26E197BF"/>
    <w:rsid w:val="2760B52A"/>
    <w:rsid w:val="2A7E5DD1"/>
    <w:rsid w:val="2B20A08C"/>
    <w:rsid w:val="2F0F0CC0"/>
    <w:rsid w:val="2F477241"/>
    <w:rsid w:val="30DA5D59"/>
    <w:rsid w:val="32F6650C"/>
    <w:rsid w:val="344A104D"/>
    <w:rsid w:val="346572C4"/>
    <w:rsid w:val="35298F0C"/>
    <w:rsid w:val="35374550"/>
    <w:rsid w:val="3755D1AA"/>
    <w:rsid w:val="39654645"/>
    <w:rsid w:val="3C35F00D"/>
    <w:rsid w:val="3C99B6F2"/>
    <w:rsid w:val="3D9E4E1B"/>
    <w:rsid w:val="40F8CB5E"/>
    <w:rsid w:val="41CA00A2"/>
    <w:rsid w:val="431A7C66"/>
    <w:rsid w:val="44876F60"/>
    <w:rsid w:val="44BC1529"/>
    <w:rsid w:val="457759DA"/>
    <w:rsid w:val="481D3560"/>
    <w:rsid w:val="4898A80A"/>
    <w:rsid w:val="48DD2FCC"/>
    <w:rsid w:val="4AA9443E"/>
    <w:rsid w:val="4C21E36F"/>
    <w:rsid w:val="4C7E0CD2"/>
    <w:rsid w:val="4EB9A281"/>
    <w:rsid w:val="4F4A1894"/>
    <w:rsid w:val="4FAA52E2"/>
    <w:rsid w:val="50A71CDF"/>
    <w:rsid w:val="518A5310"/>
    <w:rsid w:val="52E5D453"/>
    <w:rsid w:val="53885B99"/>
    <w:rsid w:val="53EC2156"/>
    <w:rsid w:val="54FEDAA3"/>
    <w:rsid w:val="561E4B68"/>
    <w:rsid w:val="56E41A8D"/>
    <w:rsid w:val="5A721D2A"/>
    <w:rsid w:val="5B0A027C"/>
    <w:rsid w:val="5B89E2C2"/>
    <w:rsid w:val="5E8D2E1E"/>
    <w:rsid w:val="60C6EABA"/>
    <w:rsid w:val="6127263D"/>
    <w:rsid w:val="624A1D0D"/>
    <w:rsid w:val="6649C974"/>
    <w:rsid w:val="66C4413C"/>
    <w:rsid w:val="672BFDF0"/>
    <w:rsid w:val="688BC30D"/>
    <w:rsid w:val="6A0E32C5"/>
    <w:rsid w:val="6B276B0A"/>
    <w:rsid w:val="6E158B70"/>
    <w:rsid w:val="72BFD3B1"/>
    <w:rsid w:val="73C77E57"/>
    <w:rsid w:val="750ABD71"/>
    <w:rsid w:val="766373F0"/>
    <w:rsid w:val="77024C8B"/>
    <w:rsid w:val="77288464"/>
    <w:rsid w:val="77D54F82"/>
    <w:rsid w:val="796CD5A1"/>
    <w:rsid w:val="7974FB6B"/>
    <w:rsid w:val="7A86F8B1"/>
    <w:rsid w:val="7ED424DC"/>
    <w:rsid w:val="7F8EF6B0"/>
    <w:rsid w:val="7FE0E0A9"/>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62DC93"/>
  <w14:discardImageEditingDat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AU"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8"/>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6" w:qFormat="1"/>
    <w:lsdException w:name="Intense Quote" w:uiPriority="17"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34E"/>
    <w:pPr>
      <w:spacing w:after="160" w:line="264" w:lineRule="auto"/>
    </w:pPr>
    <w:rPr>
      <w:color w:val="262626" w:themeColor="text1" w:themeTint="D9"/>
      <w:sz w:val="22"/>
    </w:rPr>
  </w:style>
  <w:style w:type="paragraph" w:styleId="Heading1">
    <w:name w:val="heading 1"/>
    <w:basedOn w:val="Normal"/>
    <w:next w:val="Normal"/>
    <w:link w:val="Heading1Char"/>
    <w:uiPriority w:val="2"/>
    <w:qFormat/>
    <w:rsid w:val="0091141A"/>
    <w:pPr>
      <w:keepNext/>
      <w:keepLines/>
      <w:spacing w:before="360" w:line="240" w:lineRule="auto"/>
      <w:outlineLvl w:val="0"/>
    </w:pPr>
    <w:rPr>
      <w:rFonts w:eastAsiaTheme="majorEastAsia" w:cstheme="minorHAnsi"/>
      <w:b/>
      <w:bCs/>
      <w:noProof/>
      <w:color w:val="007279" w:themeColor="accent1"/>
      <w:sz w:val="32"/>
      <w:szCs w:val="24"/>
    </w:rPr>
  </w:style>
  <w:style w:type="paragraph" w:styleId="Heading2">
    <w:name w:val="heading 2"/>
    <w:basedOn w:val="Normal"/>
    <w:next w:val="Normal"/>
    <w:link w:val="Heading2Char"/>
    <w:uiPriority w:val="2"/>
    <w:qFormat/>
    <w:rsid w:val="0091141A"/>
    <w:pPr>
      <w:keepNext/>
      <w:keepLines/>
      <w:spacing w:before="240" w:line="240" w:lineRule="auto"/>
      <w:outlineLvl w:val="1"/>
    </w:pPr>
    <w:rPr>
      <w:rFonts w:eastAsiaTheme="majorEastAsia" w:cstheme="minorHAnsi"/>
      <w:color w:val="007279" w:themeColor="accent1"/>
      <w:sz w:val="28"/>
      <w:szCs w:val="22"/>
    </w:rPr>
  </w:style>
  <w:style w:type="paragraph" w:styleId="Heading3">
    <w:name w:val="heading 3"/>
    <w:basedOn w:val="Heading4"/>
    <w:next w:val="Normal"/>
    <w:link w:val="Heading3Char"/>
    <w:uiPriority w:val="2"/>
    <w:qFormat/>
    <w:rsid w:val="00AE39E1"/>
    <w:pPr>
      <w:outlineLvl w:val="2"/>
    </w:pPr>
    <w:rPr>
      <w:color w:val="262626" w:themeColor="text1" w:themeTint="D9"/>
      <w:sz w:val="24"/>
      <w:szCs w:val="24"/>
    </w:rPr>
  </w:style>
  <w:style w:type="paragraph" w:styleId="Heading4">
    <w:name w:val="heading 4"/>
    <w:basedOn w:val="Normal"/>
    <w:next w:val="Normal"/>
    <w:link w:val="Heading4Char"/>
    <w:uiPriority w:val="2"/>
    <w:rsid w:val="006147EB"/>
    <w:pPr>
      <w:keepNext/>
      <w:keepLines/>
      <w:spacing w:before="240"/>
      <w:outlineLvl w:val="3"/>
    </w:pPr>
    <w:rPr>
      <w:rFonts w:eastAsiaTheme="majorEastAsia" w:cstheme="minorHAnsi"/>
      <w:b/>
      <w:color w:val="3266AB"/>
      <w:szCs w:val="22"/>
    </w:rPr>
  </w:style>
  <w:style w:type="paragraph" w:styleId="Heading5">
    <w:name w:val="heading 5"/>
    <w:basedOn w:val="Normal"/>
    <w:next w:val="Normal"/>
    <w:link w:val="Heading5Char"/>
    <w:uiPriority w:val="2"/>
    <w:unhideWhenUsed/>
    <w:rsid w:val="00857363"/>
    <w:pPr>
      <w:keepNext/>
      <w:keepLines/>
      <w:spacing w:before="240"/>
      <w:outlineLvl w:val="4"/>
    </w:pPr>
    <w:rPr>
      <w:rFonts w:eastAsiaTheme="majorEastAsia" w:cstheme="majorBidi"/>
      <w:iCs/>
      <w:color w:val="3266AB"/>
      <w:szCs w:val="22"/>
    </w:rPr>
  </w:style>
  <w:style w:type="paragraph" w:styleId="Heading6">
    <w:name w:val="heading 6"/>
    <w:basedOn w:val="Normal"/>
    <w:next w:val="Normal"/>
    <w:link w:val="Heading6Char"/>
    <w:uiPriority w:val="2"/>
    <w:unhideWhenUsed/>
    <w:rsid w:val="006200EB"/>
    <w:pPr>
      <w:keepNext/>
      <w:keepLines/>
      <w:spacing w:before="240"/>
      <w:outlineLvl w:val="5"/>
    </w:pPr>
    <w:rPr>
      <w:rFonts w:asciiTheme="majorHAnsi" w:eastAsiaTheme="majorEastAsia" w:hAnsiTheme="majorHAnsi" w:cstheme="majorBidi"/>
      <w:color w:val="3266AB"/>
    </w:rPr>
  </w:style>
  <w:style w:type="paragraph" w:styleId="Heading7">
    <w:name w:val="heading 7"/>
    <w:basedOn w:val="Normal"/>
    <w:next w:val="Normal"/>
    <w:link w:val="Heading7Char"/>
    <w:uiPriority w:val="2"/>
    <w:unhideWhenUsed/>
    <w:rsid w:val="006200EB"/>
    <w:pPr>
      <w:keepNext/>
      <w:keepLines/>
      <w:spacing w:before="240"/>
      <w:outlineLvl w:val="6"/>
    </w:pPr>
    <w:rPr>
      <w:rFonts w:asciiTheme="majorHAnsi" w:eastAsiaTheme="majorEastAsia" w:hAnsiTheme="majorHAnsi" w:cstheme="majorBidi"/>
      <w:b/>
      <w:bCs/>
      <w:color w:val="3266AB"/>
    </w:rPr>
  </w:style>
  <w:style w:type="paragraph" w:styleId="Heading8">
    <w:name w:val="heading 8"/>
    <w:basedOn w:val="Normal"/>
    <w:next w:val="Normal"/>
    <w:link w:val="Heading8Char"/>
    <w:uiPriority w:val="2"/>
    <w:unhideWhenUsed/>
    <w:rsid w:val="006200EB"/>
    <w:pPr>
      <w:keepNext/>
      <w:keepLines/>
      <w:spacing w:before="240"/>
      <w:outlineLvl w:val="7"/>
    </w:pPr>
    <w:rPr>
      <w:rFonts w:asciiTheme="majorHAnsi" w:eastAsiaTheme="majorEastAsia" w:hAnsiTheme="majorHAnsi" w:cstheme="majorBidi"/>
      <w:b/>
      <w:bCs/>
      <w:i/>
      <w:iCs/>
      <w:color w:val="3266AB"/>
      <w:sz w:val="20"/>
      <w:szCs w:val="20"/>
    </w:rPr>
  </w:style>
  <w:style w:type="paragraph" w:styleId="Heading9">
    <w:name w:val="heading 9"/>
    <w:basedOn w:val="Normal"/>
    <w:next w:val="Normal"/>
    <w:link w:val="Heading9Char"/>
    <w:uiPriority w:val="2"/>
    <w:unhideWhenUsed/>
    <w:rsid w:val="006200EB"/>
    <w:pPr>
      <w:keepNext/>
      <w:keepLines/>
      <w:spacing w:before="240"/>
      <w:outlineLvl w:val="8"/>
    </w:pPr>
    <w:rPr>
      <w:rFonts w:asciiTheme="majorHAnsi" w:eastAsiaTheme="majorEastAsia" w:hAnsiTheme="majorHAnsi" w:cstheme="majorBidi"/>
      <w:i/>
      <w:iCs/>
      <w:color w:val="3266A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91141A"/>
    <w:rPr>
      <w:rFonts w:eastAsiaTheme="majorEastAsia" w:cstheme="minorHAnsi"/>
      <w:b/>
      <w:bCs/>
      <w:noProof/>
      <w:color w:val="007279" w:themeColor="accent1"/>
      <w:sz w:val="32"/>
      <w:szCs w:val="24"/>
    </w:rPr>
  </w:style>
  <w:style w:type="paragraph" w:styleId="Title">
    <w:name w:val="Title"/>
    <w:basedOn w:val="Normal"/>
    <w:next w:val="Normal"/>
    <w:link w:val="TitleChar"/>
    <w:uiPriority w:val="18"/>
    <w:rsid w:val="0091141A"/>
    <w:pPr>
      <w:spacing w:after="240" w:line="240" w:lineRule="auto"/>
      <w:contextualSpacing/>
    </w:pPr>
    <w:rPr>
      <w:rFonts w:asciiTheme="majorHAnsi" w:eastAsiaTheme="majorEastAsia" w:hAnsiTheme="majorHAnsi" w:cstheme="majorBidi"/>
      <w:noProof/>
      <w:spacing w:val="-15"/>
      <w:sz w:val="48"/>
      <w:szCs w:val="56"/>
    </w:rPr>
  </w:style>
  <w:style w:type="character" w:customStyle="1" w:styleId="TitleChar">
    <w:name w:val="Title Char"/>
    <w:basedOn w:val="DefaultParagraphFont"/>
    <w:link w:val="Title"/>
    <w:uiPriority w:val="18"/>
    <w:rsid w:val="0091141A"/>
    <w:rPr>
      <w:rFonts w:asciiTheme="majorHAnsi" w:eastAsiaTheme="majorEastAsia" w:hAnsiTheme="majorHAnsi" w:cstheme="majorBidi"/>
      <w:noProof/>
      <w:spacing w:val="-15"/>
      <w:sz w:val="48"/>
      <w:szCs w:val="56"/>
    </w:rPr>
  </w:style>
  <w:style w:type="character" w:customStyle="1" w:styleId="Heading2Char">
    <w:name w:val="Heading 2 Char"/>
    <w:basedOn w:val="DefaultParagraphFont"/>
    <w:link w:val="Heading2"/>
    <w:uiPriority w:val="2"/>
    <w:rsid w:val="0091141A"/>
    <w:rPr>
      <w:rFonts w:eastAsiaTheme="majorEastAsia" w:cstheme="minorHAnsi"/>
      <w:color w:val="007279" w:themeColor="accent1"/>
      <w:sz w:val="28"/>
      <w:szCs w:val="22"/>
    </w:rPr>
  </w:style>
  <w:style w:type="character" w:customStyle="1" w:styleId="Heading3Char">
    <w:name w:val="Heading 3 Char"/>
    <w:basedOn w:val="DefaultParagraphFont"/>
    <w:link w:val="Heading3"/>
    <w:uiPriority w:val="2"/>
    <w:rsid w:val="00AE39E1"/>
    <w:rPr>
      <w:rFonts w:eastAsiaTheme="majorEastAsia" w:cstheme="minorHAnsi"/>
      <w:b/>
      <w:color w:val="262626" w:themeColor="text1" w:themeTint="D9"/>
      <w:sz w:val="24"/>
      <w:szCs w:val="24"/>
    </w:rPr>
  </w:style>
  <w:style w:type="character" w:customStyle="1" w:styleId="Heading4Char">
    <w:name w:val="Heading 4 Char"/>
    <w:basedOn w:val="DefaultParagraphFont"/>
    <w:link w:val="Heading4"/>
    <w:uiPriority w:val="2"/>
    <w:rsid w:val="006147EB"/>
    <w:rPr>
      <w:rFonts w:eastAsiaTheme="majorEastAsia" w:cstheme="minorHAnsi"/>
      <w:b/>
      <w:color w:val="3266AB"/>
      <w:sz w:val="22"/>
      <w:szCs w:val="22"/>
    </w:rPr>
  </w:style>
  <w:style w:type="character" w:customStyle="1" w:styleId="Heading5Char">
    <w:name w:val="Heading 5 Char"/>
    <w:basedOn w:val="DefaultParagraphFont"/>
    <w:link w:val="Heading5"/>
    <w:uiPriority w:val="2"/>
    <w:rsid w:val="00857363"/>
    <w:rPr>
      <w:rFonts w:eastAsiaTheme="majorEastAsia" w:cstheme="majorBidi"/>
      <w:iCs/>
      <w:color w:val="3266AB"/>
      <w:sz w:val="22"/>
      <w:szCs w:val="22"/>
    </w:rPr>
  </w:style>
  <w:style w:type="character" w:customStyle="1" w:styleId="Heading6Char">
    <w:name w:val="Heading 6 Char"/>
    <w:basedOn w:val="DefaultParagraphFont"/>
    <w:link w:val="Heading6"/>
    <w:uiPriority w:val="2"/>
    <w:rsid w:val="006200EB"/>
    <w:rPr>
      <w:rFonts w:asciiTheme="majorHAnsi" w:eastAsiaTheme="majorEastAsia" w:hAnsiTheme="majorHAnsi" w:cstheme="majorBidi"/>
      <w:color w:val="3266AB"/>
      <w:sz w:val="22"/>
    </w:rPr>
  </w:style>
  <w:style w:type="character" w:customStyle="1" w:styleId="Heading7Char">
    <w:name w:val="Heading 7 Char"/>
    <w:basedOn w:val="DefaultParagraphFont"/>
    <w:link w:val="Heading7"/>
    <w:uiPriority w:val="2"/>
    <w:rsid w:val="006200EB"/>
    <w:rPr>
      <w:rFonts w:asciiTheme="majorHAnsi" w:eastAsiaTheme="majorEastAsia" w:hAnsiTheme="majorHAnsi" w:cstheme="majorBidi"/>
      <w:b/>
      <w:bCs/>
      <w:color w:val="3266AB"/>
      <w:sz w:val="22"/>
    </w:rPr>
  </w:style>
  <w:style w:type="character" w:customStyle="1" w:styleId="Heading8Char">
    <w:name w:val="Heading 8 Char"/>
    <w:basedOn w:val="DefaultParagraphFont"/>
    <w:link w:val="Heading8"/>
    <w:uiPriority w:val="2"/>
    <w:rsid w:val="006200EB"/>
    <w:rPr>
      <w:rFonts w:asciiTheme="majorHAnsi" w:eastAsiaTheme="majorEastAsia" w:hAnsiTheme="majorHAnsi" w:cstheme="majorBidi"/>
      <w:b/>
      <w:bCs/>
      <w:i/>
      <w:iCs/>
      <w:color w:val="3266AB"/>
      <w:sz w:val="20"/>
      <w:szCs w:val="20"/>
    </w:rPr>
  </w:style>
  <w:style w:type="character" w:customStyle="1" w:styleId="Heading9Char">
    <w:name w:val="Heading 9 Char"/>
    <w:basedOn w:val="DefaultParagraphFont"/>
    <w:link w:val="Heading9"/>
    <w:uiPriority w:val="2"/>
    <w:rsid w:val="006200EB"/>
    <w:rPr>
      <w:rFonts w:asciiTheme="majorHAnsi" w:eastAsiaTheme="majorEastAsia" w:hAnsiTheme="majorHAnsi" w:cstheme="majorBidi"/>
      <w:i/>
      <w:iCs/>
      <w:color w:val="3266AB"/>
      <w:sz w:val="20"/>
      <w:szCs w:val="20"/>
    </w:rPr>
  </w:style>
  <w:style w:type="paragraph" w:styleId="Subtitle">
    <w:name w:val="Subtitle"/>
    <w:basedOn w:val="Normal"/>
    <w:next w:val="Normal"/>
    <w:link w:val="SubtitleChar"/>
    <w:uiPriority w:val="19"/>
    <w:rsid w:val="0091141A"/>
    <w:pPr>
      <w:numPr>
        <w:ilvl w:val="1"/>
      </w:numPr>
      <w:spacing w:line="240" w:lineRule="auto"/>
    </w:pPr>
    <w:rPr>
      <w:rFonts w:eastAsiaTheme="majorEastAsia" w:cstheme="minorHAnsi"/>
      <w:noProof/>
      <w:color w:val="6C6C6C" w:themeColor="background2" w:themeShade="80"/>
      <w:sz w:val="28"/>
      <w:szCs w:val="30"/>
    </w:rPr>
  </w:style>
  <w:style w:type="character" w:customStyle="1" w:styleId="SubtitleChar">
    <w:name w:val="Subtitle Char"/>
    <w:basedOn w:val="DefaultParagraphFont"/>
    <w:link w:val="Subtitle"/>
    <w:uiPriority w:val="19"/>
    <w:rsid w:val="0091141A"/>
    <w:rPr>
      <w:rFonts w:eastAsiaTheme="majorEastAsia" w:cstheme="minorHAnsi"/>
      <w:noProof/>
      <w:color w:val="6C6C6C" w:themeColor="background2" w:themeShade="80"/>
      <w:sz w:val="28"/>
      <w:szCs w:val="30"/>
    </w:rPr>
  </w:style>
  <w:style w:type="paragraph" w:styleId="NoSpacing">
    <w:name w:val="No Spacing"/>
    <w:uiPriority w:val="98"/>
    <w:unhideWhenUsed/>
    <w:rsid w:val="00D525B8"/>
    <w:pPr>
      <w:spacing w:after="0" w:line="240" w:lineRule="auto"/>
    </w:pPr>
  </w:style>
  <w:style w:type="paragraph" w:styleId="Caption">
    <w:name w:val="caption"/>
    <w:basedOn w:val="Normal"/>
    <w:next w:val="Normal"/>
    <w:uiPriority w:val="35"/>
    <w:semiHidden/>
    <w:unhideWhenUsed/>
    <w:qFormat/>
    <w:rsid w:val="00D525B8"/>
    <w:pPr>
      <w:spacing w:line="240" w:lineRule="auto"/>
    </w:pPr>
    <w:rPr>
      <w:b/>
      <w:bCs/>
      <w:smallCaps/>
      <w:color w:val="595959" w:themeColor="text1" w:themeTint="A6"/>
    </w:rPr>
  </w:style>
  <w:style w:type="character" w:styleId="Strong">
    <w:name w:val="Strong"/>
    <w:basedOn w:val="DefaultParagraphFont"/>
    <w:uiPriority w:val="22"/>
    <w:unhideWhenUsed/>
    <w:rsid w:val="00D525B8"/>
    <w:rPr>
      <w:b/>
      <w:bCs/>
    </w:rPr>
  </w:style>
  <w:style w:type="character" w:styleId="Emphasis">
    <w:name w:val="Emphasis"/>
    <w:basedOn w:val="DefaultParagraphFont"/>
    <w:uiPriority w:val="20"/>
    <w:unhideWhenUsed/>
    <w:qFormat/>
    <w:rsid w:val="005C0F15"/>
    <w:rPr>
      <w:i/>
      <w:iCs/>
      <w:color w:val="auto"/>
    </w:rPr>
  </w:style>
  <w:style w:type="paragraph" w:styleId="Quote">
    <w:name w:val="Quote"/>
    <w:basedOn w:val="Normal"/>
    <w:next w:val="Normal"/>
    <w:link w:val="QuoteChar"/>
    <w:uiPriority w:val="16"/>
    <w:qFormat/>
    <w:rsid w:val="00857363"/>
    <w:pPr>
      <w:spacing w:before="240"/>
      <w:ind w:left="720" w:right="720"/>
    </w:pPr>
    <w:rPr>
      <w:i/>
      <w:iCs/>
      <w:color w:val="3266AB"/>
    </w:rPr>
  </w:style>
  <w:style w:type="character" w:customStyle="1" w:styleId="QuoteChar">
    <w:name w:val="Quote Char"/>
    <w:basedOn w:val="DefaultParagraphFont"/>
    <w:link w:val="Quote"/>
    <w:uiPriority w:val="16"/>
    <w:rsid w:val="00857363"/>
    <w:rPr>
      <w:i/>
      <w:iCs/>
      <w:color w:val="3266AB"/>
      <w:sz w:val="22"/>
    </w:rPr>
  </w:style>
  <w:style w:type="paragraph" w:styleId="IntenseQuote">
    <w:name w:val="Intense Quote"/>
    <w:basedOn w:val="Normal"/>
    <w:next w:val="Normal"/>
    <w:link w:val="IntenseQuoteChar"/>
    <w:uiPriority w:val="17"/>
    <w:qFormat/>
    <w:rsid w:val="00857363"/>
    <w:pPr>
      <w:spacing w:before="120"/>
      <w:ind w:left="720" w:right="720"/>
    </w:pPr>
    <w:rPr>
      <w:rFonts w:asciiTheme="majorHAnsi" w:eastAsiaTheme="majorEastAsia" w:hAnsiTheme="majorHAnsi" w:cstheme="majorBidi"/>
      <w:i/>
      <w:iCs/>
      <w:color w:val="3266AB"/>
      <w:sz w:val="32"/>
      <w:szCs w:val="32"/>
    </w:rPr>
  </w:style>
  <w:style w:type="character" w:customStyle="1" w:styleId="IntenseQuoteChar">
    <w:name w:val="Intense Quote Char"/>
    <w:basedOn w:val="DefaultParagraphFont"/>
    <w:link w:val="IntenseQuote"/>
    <w:uiPriority w:val="17"/>
    <w:rsid w:val="00857363"/>
    <w:rPr>
      <w:rFonts w:asciiTheme="majorHAnsi" w:eastAsiaTheme="majorEastAsia" w:hAnsiTheme="majorHAnsi" w:cstheme="majorBidi"/>
      <w:i/>
      <w:iCs/>
      <w:color w:val="3266AB"/>
      <w:sz w:val="32"/>
      <w:szCs w:val="32"/>
    </w:rPr>
  </w:style>
  <w:style w:type="character" w:styleId="SubtleEmphasis">
    <w:name w:val="Subtle Emphasis"/>
    <w:basedOn w:val="DefaultParagraphFont"/>
    <w:uiPriority w:val="19"/>
    <w:unhideWhenUsed/>
    <w:rsid w:val="00D525B8"/>
    <w:rPr>
      <w:i/>
      <w:iCs/>
    </w:rPr>
  </w:style>
  <w:style w:type="character" w:styleId="IntenseEmphasis">
    <w:name w:val="Intense Emphasis"/>
    <w:basedOn w:val="DefaultParagraphFont"/>
    <w:uiPriority w:val="21"/>
    <w:unhideWhenUsed/>
    <w:rsid w:val="00D525B8"/>
    <w:rPr>
      <w:b/>
      <w:bCs/>
      <w:i/>
      <w:iCs/>
    </w:rPr>
  </w:style>
  <w:style w:type="character" w:styleId="SubtleReference">
    <w:name w:val="Subtle Reference"/>
    <w:basedOn w:val="DefaultParagraphFont"/>
    <w:uiPriority w:val="31"/>
    <w:unhideWhenUsed/>
    <w:rsid w:val="00D525B8"/>
    <w:rPr>
      <w:smallCaps/>
      <w:color w:val="595959" w:themeColor="text1" w:themeTint="A6"/>
    </w:rPr>
  </w:style>
  <w:style w:type="character" w:styleId="IntenseReference">
    <w:name w:val="Intense Reference"/>
    <w:basedOn w:val="DefaultParagraphFont"/>
    <w:uiPriority w:val="32"/>
    <w:unhideWhenUsed/>
    <w:rsid w:val="006200EB"/>
    <w:rPr>
      <w:b/>
      <w:bCs/>
      <w:smallCaps/>
      <w:color w:val="3266AB"/>
    </w:rPr>
  </w:style>
  <w:style w:type="paragraph" w:styleId="TOCHeading">
    <w:name w:val="TOC Heading"/>
    <w:basedOn w:val="Heading1"/>
    <w:next w:val="Normal"/>
    <w:uiPriority w:val="39"/>
    <w:unhideWhenUsed/>
    <w:rsid w:val="00D525B8"/>
    <w:pPr>
      <w:outlineLvl w:val="9"/>
    </w:pPr>
  </w:style>
  <w:style w:type="paragraph" w:styleId="Header">
    <w:name w:val="header"/>
    <w:basedOn w:val="Normal"/>
    <w:link w:val="HeaderChar"/>
    <w:uiPriority w:val="99"/>
    <w:unhideWhenUsed/>
    <w:rsid w:val="00F957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7C6"/>
  </w:style>
  <w:style w:type="paragraph" w:styleId="Footer">
    <w:name w:val="footer"/>
    <w:basedOn w:val="Normal"/>
    <w:link w:val="FooterChar"/>
    <w:uiPriority w:val="99"/>
    <w:unhideWhenUsed/>
    <w:rsid w:val="00F957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7C6"/>
  </w:style>
  <w:style w:type="character" w:styleId="PlaceholderText">
    <w:name w:val="Placeholder Text"/>
    <w:basedOn w:val="DefaultParagraphFont"/>
    <w:uiPriority w:val="99"/>
    <w:semiHidden/>
    <w:rsid w:val="005226B9"/>
    <w:rPr>
      <w:color w:val="808080"/>
    </w:rPr>
  </w:style>
  <w:style w:type="paragraph" w:styleId="BalloonText">
    <w:name w:val="Balloon Text"/>
    <w:basedOn w:val="Normal"/>
    <w:link w:val="BalloonTextChar"/>
    <w:uiPriority w:val="99"/>
    <w:semiHidden/>
    <w:unhideWhenUsed/>
    <w:rsid w:val="005226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26B9"/>
    <w:rPr>
      <w:rFonts w:ascii="Segoe UI" w:hAnsi="Segoe UI" w:cs="Segoe UI"/>
      <w:sz w:val="18"/>
      <w:szCs w:val="18"/>
    </w:rPr>
  </w:style>
  <w:style w:type="paragraph" w:customStyle="1" w:styleId="CLASSIFICATION">
    <w:name w:val="CLASSIFICATION"/>
    <w:basedOn w:val="Normal"/>
    <w:link w:val="CLASSIFICATIONChar"/>
    <w:autoRedefine/>
    <w:uiPriority w:val="99"/>
    <w:unhideWhenUsed/>
    <w:rsid w:val="00F86700"/>
    <w:pPr>
      <w:jc w:val="center"/>
    </w:pPr>
    <w:rPr>
      <w:rFonts w:ascii="Segoe UI" w:hAnsi="Segoe UI"/>
      <w:caps/>
      <w:color w:val="C00000"/>
      <w:sz w:val="18"/>
    </w:rPr>
  </w:style>
  <w:style w:type="paragraph" w:customStyle="1" w:styleId="BOXHeading2">
    <w:name w:val="BOX Heading 2"/>
    <w:basedOn w:val="Heading2"/>
    <w:next w:val="BOXText"/>
    <w:uiPriority w:val="6"/>
    <w:qFormat/>
    <w:rsid w:val="0091141A"/>
    <w:pPr>
      <w:pBdr>
        <w:top w:val="single" w:sz="48" w:space="1" w:color="F2F2F2" w:themeColor="background1" w:themeShade="F2"/>
        <w:left w:val="single" w:sz="48" w:space="4" w:color="F2F2F2" w:themeColor="background1" w:themeShade="F2"/>
        <w:bottom w:val="single" w:sz="48" w:space="1" w:color="F2F2F2" w:themeColor="background1" w:themeShade="F2"/>
        <w:right w:val="single" w:sz="48" w:space="4" w:color="F2F2F2" w:themeColor="background1" w:themeShade="F2"/>
      </w:pBdr>
      <w:shd w:val="clear" w:color="auto" w:fill="F2F2F2" w:themeFill="background1" w:themeFillShade="F2"/>
      <w:ind w:left="227" w:right="227"/>
    </w:pPr>
  </w:style>
  <w:style w:type="character" w:customStyle="1" w:styleId="CLASSIFICATIONChar">
    <w:name w:val="CLASSIFICATION Char"/>
    <w:basedOn w:val="DefaultParagraphFont"/>
    <w:link w:val="CLASSIFICATION"/>
    <w:uiPriority w:val="99"/>
    <w:rsid w:val="00F86700"/>
    <w:rPr>
      <w:rFonts w:ascii="Segoe UI" w:hAnsi="Segoe UI"/>
      <w:caps/>
      <w:color w:val="C00000"/>
      <w:sz w:val="18"/>
    </w:rPr>
  </w:style>
  <w:style w:type="paragraph" w:customStyle="1" w:styleId="BOXText">
    <w:name w:val="BOX Text"/>
    <w:basedOn w:val="Normal"/>
    <w:next w:val="Normal"/>
    <w:uiPriority w:val="4"/>
    <w:qFormat/>
    <w:rsid w:val="005F3B45"/>
    <w:pPr>
      <w:pBdr>
        <w:top w:val="single" w:sz="48" w:space="1" w:color="F2F2F2" w:themeColor="background1" w:themeShade="F2"/>
        <w:left w:val="single" w:sz="48" w:space="4" w:color="F2F2F2" w:themeColor="background1" w:themeShade="F2"/>
        <w:bottom w:val="single" w:sz="48" w:space="1" w:color="F2F2F2" w:themeColor="background1" w:themeShade="F2"/>
        <w:right w:val="single" w:sz="48" w:space="4" w:color="F2F2F2" w:themeColor="background1" w:themeShade="F2"/>
      </w:pBdr>
      <w:shd w:val="clear" w:color="auto" w:fill="F2F2F2" w:themeFill="background1" w:themeFillShade="F2"/>
      <w:tabs>
        <w:tab w:val="left" w:pos="3300"/>
      </w:tabs>
      <w:ind w:left="227" w:right="227"/>
    </w:pPr>
    <w:rPr>
      <w:sz w:val="18"/>
      <w:szCs w:val="18"/>
    </w:rPr>
  </w:style>
  <w:style w:type="paragraph" w:customStyle="1" w:styleId="BOXBulletedList">
    <w:name w:val="BOX Bulleted List"/>
    <w:basedOn w:val="BOXText"/>
    <w:uiPriority w:val="5"/>
    <w:qFormat/>
    <w:rsid w:val="00BD171D"/>
    <w:pPr>
      <w:numPr>
        <w:numId w:val="1"/>
      </w:numPr>
      <w:ind w:left="511"/>
    </w:pPr>
  </w:style>
  <w:style w:type="table" w:styleId="TableGrid">
    <w:name w:val="Table Grid"/>
    <w:basedOn w:val="TableNormal"/>
    <w:uiPriority w:val="59"/>
    <w:rsid w:val="00BD5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BD57F5"/>
    <w:pPr>
      <w:spacing w:after="0" w:line="240" w:lineRule="auto"/>
    </w:pPr>
    <w:tblPr>
      <w:tblStyleRowBandSize w:val="1"/>
      <w:tblStyleColBandSize w:val="1"/>
      <w:tblBorders>
        <w:top w:val="single" w:sz="4" w:space="0" w:color="15F1FF" w:themeColor="accent1" w:themeTint="99"/>
        <w:left w:val="single" w:sz="4" w:space="0" w:color="15F1FF" w:themeColor="accent1" w:themeTint="99"/>
        <w:bottom w:val="single" w:sz="4" w:space="0" w:color="15F1FF" w:themeColor="accent1" w:themeTint="99"/>
        <w:right w:val="single" w:sz="4" w:space="0" w:color="15F1FF" w:themeColor="accent1" w:themeTint="99"/>
        <w:insideH w:val="single" w:sz="4" w:space="0" w:color="15F1FF" w:themeColor="accent1" w:themeTint="99"/>
      </w:tblBorders>
    </w:tblPr>
    <w:tblStylePr w:type="firstRow">
      <w:rPr>
        <w:b/>
        <w:bCs/>
        <w:color w:val="FFFFFF" w:themeColor="background1"/>
      </w:rPr>
      <w:tblPr/>
      <w:tcPr>
        <w:tcBorders>
          <w:top w:val="single" w:sz="4" w:space="0" w:color="007279" w:themeColor="accent1"/>
          <w:left w:val="single" w:sz="4" w:space="0" w:color="007279" w:themeColor="accent1"/>
          <w:bottom w:val="single" w:sz="4" w:space="0" w:color="007279" w:themeColor="accent1"/>
          <w:right w:val="single" w:sz="4" w:space="0" w:color="007279" w:themeColor="accent1"/>
          <w:insideH w:val="nil"/>
        </w:tcBorders>
        <w:shd w:val="clear" w:color="auto" w:fill="007279" w:themeFill="accent1"/>
      </w:tcPr>
    </w:tblStylePr>
    <w:tblStylePr w:type="lastRow">
      <w:rPr>
        <w:b/>
        <w:bCs/>
      </w:rPr>
      <w:tblPr/>
      <w:tcPr>
        <w:tcBorders>
          <w:top w:val="double" w:sz="4" w:space="0" w:color="15F1FF" w:themeColor="accent1" w:themeTint="99"/>
        </w:tcBorders>
      </w:tcPr>
    </w:tblStylePr>
    <w:tblStylePr w:type="firstCol">
      <w:rPr>
        <w:b/>
        <w:bCs/>
      </w:rPr>
    </w:tblStylePr>
    <w:tblStylePr w:type="lastCol">
      <w:rPr>
        <w:b/>
        <w:bCs/>
      </w:rPr>
    </w:tblStylePr>
    <w:tblStylePr w:type="band1Vert">
      <w:tblPr/>
      <w:tcPr>
        <w:shd w:val="clear" w:color="auto" w:fill="B1FAFF" w:themeFill="accent1" w:themeFillTint="33"/>
      </w:tcPr>
    </w:tblStylePr>
    <w:tblStylePr w:type="band1Horz">
      <w:tblPr/>
      <w:tcPr>
        <w:shd w:val="clear" w:color="auto" w:fill="B1FAFF" w:themeFill="accent1" w:themeFillTint="33"/>
      </w:tcPr>
    </w:tblStylePr>
  </w:style>
  <w:style w:type="paragraph" w:customStyle="1" w:styleId="Figure">
    <w:name w:val="Figure"/>
    <w:basedOn w:val="Normal"/>
    <w:uiPriority w:val="2"/>
    <w:qFormat/>
    <w:rsid w:val="006147EB"/>
    <w:pPr>
      <w:numPr>
        <w:numId w:val="27"/>
      </w:numPr>
      <w:spacing w:before="240"/>
    </w:pPr>
    <w:rPr>
      <w:rFonts w:ascii="Segoe UI" w:hAnsi="Segoe UI" w:cs="Segoe UI"/>
      <w:color w:val="3266AB"/>
    </w:rPr>
  </w:style>
  <w:style w:type="paragraph" w:customStyle="1" w:styleId="TBLHeading">
    <w:name w:val="TBL Heading"/>
    <w:basedOn w:val="Normal"/>
    <w:autoRedefine/>
    <w:uiPriority w:val="11"/>
    <w:qFormat/>
    <w:rsid w:val="009615D2"/>
    <w:pPr>
      <w:spacing w:after="0" w:line="240" w:lineRule="auto"/>
    </w:pPr>
    <w:rPr>
      <w:rFonts w:ascii="Segoe UI" w:hAnsi="Segoe UI" w:cs="Segoe UI"/>
      <w:color w:val="FFFFFF" w:themeColor="background1"/>
      <w:sz w:val="18"/>
    </w:rPr>
  </w:style>
  <w:style w:type="paragraph" w:customStyle="1" w:styleId="TBLText">
    <w:name w:val="TBL Text"/>
    <w:basedOn w:val="Normal"/>
    <w:uiPriority w:val="9"/>
    <w:qFormat/>
    <w:rsid w:val="004D3335"/>
    <w:pPr>
      <w:spacing w:after="120" w:line="240" w:lineRule="auto"/>
    </w:pPr>
    <w:rPr>
      <w:sz w:val="18"/>
      <w:szCs w:val="18"/>
    </w:rPr>
  </w:style>
  <w:style w:type="paragraph" w:customStyle="1" w:styleId="TBLBulletedList">
    <w:name w:val="TBL Bulleted List"/>
    <w:basedOn w:val="TBLText"/>
    <w:uiPriority w:val="10"/>
    <w:qFormat/>
    <w:rsid w:val="006C62B2"/>
    <w:pPr>
      <w:numPr>
        <w:numId w:val="12"/>
      </w:numPr>
      <w:ind w:left="204" w:hanging="204"/>
    </w:pPr>
  </w:style>
  <w:style w:type="paragraph" w:customStyle="1" w:styleId="TBLNumberedList">
    <w:name w:val="TBL Numbered List"/>
    <w:basedOn w:val="TBLText"/>
    <w:uiPriority w:val="10"/>
    <w:qFormat/>
    <w:rsid w:val="00E05FA4"/>
    <w:pPr>
      <w:numPr>
        <w:numId w:val="13"/>
      </w:numPr>
      <w:ind w:left="270" w:hanging="270"/>
    </w:pPr>
  </w:style>
  <w:style w:type="paragraph" w:customStyle="1" w:styleId="BOXHeading3">
    <w:name w:val="BOX Heading 3"/>
    <w:basedOn w:val="BOXHeading2"/>
    <w:next w:val="BOXText"/>
    <w:uiPriority w:val="6"/>
    <w:qFormat/>
    <w:rsid w:val="00857363"/>
    <w:pPr>
      <w:outlineLvl w:val="2"/>
    </w:pPr>
    <w:rPr>
      <w:b/>
      <w:sz w:val="24"/>
      <w:szCs w:val="26"/>
    </w:rPr>
  </w:style>
  <w:style w:type="paragraph" w:styleId="ListParagraph">
    <w:name w:val="List Paragraph"/>
    <w:aliases w:val="Bulleted Para,CV text,DDM Gen Text,Dot pt,F5 List Paragraph,FooterText,L,List Paragraph1,List Paragraph11,List Paragraph111,List Paragraph2,Medium Grid 1 - Accent 21,NFP GP Bulleted List,Numbered Paragraph,Recommendation,numbered,列出段落,3,l"/>
    <w:basedOn w:val="Normal"/>
    <w:link w:val="ListParagraphChar"/>
    <w:uiPriority w:val="34"/>
    <w:unhideWhenUsed/>
    <w:qFormat/>
    <w:rsid w:val="005917FD"/>
    <w:pPr>
      <w:ind w:left="720"/>
      <w:contextualSpacing/>
    </w:pPr>
  </w:style>
  <w:style w:type="paragraph" w:customStyle="1" w:styleId="BulletedList-Level1">
    <w:name w:val="Bulleted List - Level 1"/>
    <w:basedOn w:val="ListParagraph"/>
    <w:uiPriority w:val="1"/>
    <w:qFormat/>
    <w:rsid w:val="00BD171D"/>
    <w:pPr>
      <w:numPr>
        <w:numId w:val="14"/>
      </w:numPr>
      <w:ind w:left="568" w:hanging="284"/>
    </w:pPr>
  </w:style>
  <w:style w:type="paragraph" w:customStyle="1" w:styleId="BulletedList-Level2">
    <w:name w:val="Bulleted List - Level 2"/>
    <w:basedOn w:val="BulletedList-Level1"/>
    <w:uiPriority w:val="1"/>
    <w:qFormat/>
    <w:rsid w:val="00BD171D"/>
    <w:pPr>
      <w:numPr>
        <w:numId w:val="30"/>
      </w:numPr>
    </w:pPr>
  </w:style>
  <w:style w:type="paragraph" w:customStyle="1" w:styleId="BulletedList-Level3">
    <w:name w:val="Bulleted List - Level 3"/>
    <w:basedOn w:val="ListParagraph"/>
    <w:uiPriority w:val="1"/>
    <w:qFormat/>
    <w:rsid w:val="00BD171D"/>
    <w:pPr>
      <w:numPr>
        <w:numId w:val="31"/>
      </w:numPr>
      <w:ind w:left="1135" w:hanging="284"/>
    </w:pPr>
  </w:style>
  <w:style w:type="paragraph" w:customStyle="1" w:styleId="NumberedList-Level1">
    <w:name w:val="Numbered List - Level 1"/>
    <w:basedOn w:val="ListParagraph"/>
    <w:uiPriority w:val="1"/>
    <w:qFormat/>
    <w:rsid w:val="00BD171D"/>
    <w:pPr>
      <w:numPr>
        <w:numId w:val="21"/>
      </w:numPr>
      <w:ind w:left="568" w:hanging="284"/>
    </w:pPr>
  </w:style>
  <w:style w:type="paragraph" w:customStyle="1" w:styleId="NumberedList-level2">
    <w:name w:val="Numbered List - level 2"/>
    <w:basedOn w:val="ListParagraph"/>
    <w:uiPriority w:val="1"/>
    <w:qFormat/>
    <w:rsid w:val="00BD171D"/>
    <w:pPr>
      <w:numPr>
        <w:ilvl w:val="1"/>
        <w:numId w:val="21"/>
      </w:numPr>
    </w:pPr>
  </w:style>
  <w:style w:type="paragraph" w:customStyle="1" w:styleId="NumberedList-Level3">
    <w:name w:val="Numbered List - Level 3"/>
    <w:basedOn w:val="ListParagraph"/>
    <w:uiPriority w:val="1"/>
    <w:qFormat/>
    <w:rsid w:val="00BD171D"/>
    <w:pPr>
      <w:numPr>
        <w:ilvl w:val="2"/>
        <w:numId w:val="21"/>
      </w:numPr>
    </w:pPr>
  </w:style>
  <w:style w:type="paragraph" w:customStyle="1" w:styleId="BoxDark-HeadingLevel1">
    <w:name w:val="Box Dark - Heading Level 1"/>
    <w:basedOn w:val="BOXHeading2"/>
    <w:uiPriority w:val="9"/>
    <w:rsid w:val="00311C2D"/>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color w:val="FFFFFF" w:themeColor="background1"/>
    </w:rPr>
  </w:style>
  <w:style w:type="paragraph" w:styleId="TOC1">
    <w:name w:val="toc 1"/>
    <w:basedOn w:val="Normal"/>
    <w:next w:val="Normal"/>
    <w:autoRedefine/>
    <w:uiPriority w:val="39"/>
    <w:unhideWhenUsed/>
    <w:rsid w:val="00117A77"/>
    <w:pPr>
      <w:spacing w:after="100"/>
    </w:pPr>
  </w:style>
  <w:style w:type="paragraph" w:styleId="TOC2">
    <w:name w:val="toc 2"/>
    <w:basedOn w:val="Normal"/>
    <w:next w:val="Normal"/>
    <w:autoRedefine/>
    <w:uiPriority w:val="39"/>
    <w:unhideWhenUsed/>
    <w:rsid w:val="00117A77"/>
    <w:pPr>
      <w:spacing w:after="100"/>
      <w:ind w:left="220"/>
    </w:pPr>
  </w:style>
  <w:style w:type="paragraph" w:styleId="TOC3">
    <w:name w:val="toc 3"/>
    <w:basedOn w:val="Normal"/>
    <w:next w:val="Normal"/>
    <w:autoRedefine/>
    <w:uiPriority w:val="39"/>
    <w:unhideWhenUsed/>
    <w:rsid w:val="00117A77"/>
    <w:pPr>
      <w:spacing w:after="100"/>
      <w:ind w:left="440"/>
    </w:pPr>
  </w:style>
  <w:style w:type="character" w:styleId="Hyperlink">
    <w:name w:val="Hyperlink"/>
    <w:basedOn w:val="DefaultParagraphFont"/>
    <w:uiPriority w:val="99"/>
    <w:unhideWhenUsed/>
    <w:rsid w:val="00117A77"/>
    <w:rPr>
      <w:color w:val="007279" w:themeColor="hyperlink"/>
      <w:u w:val="single"/>
    </w:rPr>
  </w:style>
  <w:style w:type="paragraph" w:customStyle="1" w:styleId="BoxDark-HeadingLevel3">
    <w:name w:val="Box Dark - Heading Level 3"/>
    <w:basedOn w:val="BOXHeading3"/>
    <w:uiPriority w:val="9"/>
    <w:rsid w:val="00311C2D"/>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color w:val="FFFFFF" w:themeColor="background1"/>
    </w:rPr>
  </w:style>
  <w:style w:type="paragraph" w:customStyle="1" w:styleId="BoxDark-Text">
    <w:name w:val="Box Dark - Text"/>
    <w:basedOn w:val="BOXText"/>
    <w:uiPriority w:val="7"/>
    <w:rsid w:val="00FE2C7F"/>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rFonts w:ascii="Segoe UI Semilight" w:hAnsi="Segoe UI Semilight"/>
      <w:color w:val="FFFFFF" w:themeColor="background1"/>
    </w:rPr>
  </w:style>
  <w:style w:type="paragraph" w:customStyle="1" w:styleId="BoxDark-BulletedList">
    <w:name w:val="Box Dark - Bulleted List"/>
    <w:basedOn w:val="BOXBulletedList"/>
    <w:uiPriority w:val="8"/>
    <w:rsid w:val="00FE2C7F"/>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rFonts w:ascii="Segoe UI Semilight" w:hAnsi="Segoe UI Semilight"/>
    </w:rPr>
  </w:style>
  <w:style w:type="paragraph" w:customStyle="1" w:styleId="BOXNumberedList">
    <w:name w:val="BOX Numbered List"/>
    <w:basedOn w:val="BOXText"/>
    <w:uiPriority w:val="5"/>
    <w:qFormat/>
    <w:rsid w:val="00BD171D"/>
    <w:pPr>
      <w:numPr>
        <w:numId w:val="28"/>
      </w:numPr>
      <w:ind w:left="584" w:hanging="357"/>
    </w:pPr>
  </w:style>
  <w:style w:type="paragraph" w:customStyle="1" w:styleId="BoxDark-NumberedList">
    <w:name w:val="Box Dark - Numbered List"/>
    <w:basedOn w:val="BOXNumberedList"/>
    <w:uiPriority w:val="8"/>
    <w:rsid w:val="00FE2C7F"/>
    <w:pPr>
      <w:numPr>
        <w:numId w:val="29"/>
      </w:num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ind w:left="584" w:hanging="357"/>
    </w:pPr>
  </w:style>
  <w:style w:type="table" w:customStyle="1" w:styleId="Custom1">
    <w:name w:val="Custom 1"/>
    <w:basedOn w:val="TableNormal"/>
    <w:uiPriority w:val="99"/>
    <w:rsid w:val="00665FB6"/>
    <w:pPr>
      <w:spacing w:after="0" w:line="240" w:lineRule="auto"/>
    </w:pPr>
    <w:rPr>
      <w:sz w:val="18"/>
    </w:rPr>
    <w:tblPr>
      <w:tblStyleRowBandSize w:val="1"/>
      <w:tblBorders>
        <w:top w:val="single" w:sz="4" w:space="0" w:color="007279" w:themeColor="accent1"/>
        <w:bottom w:val="single" w:sz="12" w:space="0" w:color="007279" w:themeColor="accent1"/>
        <w:insideH w:val="single" w:sz="4" w:space="0" w:color="007279" w:themeColor="accent1"/>
      </w:tblBorders>
      <w:tblCellMar>
        <w:top w:w="57" w:type="dxa"/>
        <w:bottom w:w="57" w:type="dxa"/>
      </w:tblCellMar>
    </w:tblPr>
    <w:tblStylePr w:type="firstRow">
      <w:rPr>
        <w:rFonts w:asciiTheme="minorHAnsi" w:hAnsiTheme="minorHAnsi"/>
        <w:b/>
        <w:sz w:val="18"/>
      </w:rPr>
      <w:tblPr/>
      <w:tcPr>
        <w:shd w:val="clear" w:color="auto" w:fill="007279" w:themeFill="accent1"/>
      </w:tcPr>
    </w:tblStylePr>
    <w:tblStylePr w:type="band1Horz">
      <w:tblPr/>
      <w:tcPr>
        <w:shd w:val="clear" w:color="auto" w:fill="D8D8D8" w:themeFill="background2"/>
      </w:tcPr>
    </w:tblStylePr>
  </w:style>
  <w:style w:type="table" w:customStyle="1" w:styleId="Style1">
    <w:name w:val="Style1"/>
    <w:basedOn w:val="Custom1"/>
    <w:uiPriority w:val="99"/>
    <w:rsid w:val="00D500C1"/>
    <w:tblPr>
      <w:tblBorders>
        <w:top w:val="none" w:sz="0" w:space="0" w:color="auto"/>
        <w:left w:val="single" w:sz="4" w:space="0" w:color="007279" w:themeColor="accent1"/>
        <w:bottom w:val="single" w:sz="4" w:space="0" w:color="007279" w:themeColor="accent1"/>
        <w:right w:val="single" w:sz="4" w:space="0" w:color="007279" w:themeColor="accent1"/>
        <w:insideH w:val="none" w:sz="0" w:space="0" w:color="auto"/>
        <w:insideV w:val="single" w:sz="4" w:space="0" w:color="007279" w:themeColor="accent1"/>
      </w:tblBorders>
    </w:tblPr>
    <w:tblStylePr w:type="firstRow">
      <w:rPr>
        <w:rFonts w:asciiTheme="minorHAnsi" w:hAnsiTheme="minorHAnsi"/>
        <w:b/>
        <w:sz w:val="18"/>
      </w:rPr>
      <w:tblPr/>
      <w:tcPr>
        <w:shd w:val="clear" w:color="auto" w:fill="007279" w:themeFill="accent1"/>
      </w:tcPr>
    </w:tblStylePr>
    <w:tblStylePr w:type="firstCol">
      <w:rPr>
        <w:b/>
      </w:rPr>
      <w:tblPr/>
      <w:tcPr>
        <w:shd w:val="clear" w:color="auto" w:fill="007279" w:themeFill="accent1"/>
      </w:tcPr>
    </w:tblStylePr>
    <w:tblStylePr w:type="band1Horz">
      <w:tblPr/>
      <w:tcPr>
        <w:shd w:val="clear" w:color="auto" w:fill="D8D8D8" w:themeFill="background2"/>
      </w:tcPr>
    </w:tblStylePr>
  </w:style>
  <w:style w:type="character" w:styleId="UnresolvedMention">
    <w:name w:val="Unresolved Mention"/>
    <w:basedOn w:val="DefaultParagraphFont"/>
    <w:uiPriority w:val="99"/>
    <w:semiHidden/>
    <w:unhideWhenUsed/>
    <w:rsid w:val="006C7E16"/>
    <w:rPr>
      <w:color w:val="605E5C"/>
      <w:shd w:val="clear" w:color="auto" w:fill="E1DFDD"/>
    </w:rPr>
  </w:style>
  <w:style w:type="paragraph" w:styleId="Revision">
    <w:name w:val="Revision"/>
    <w:hidden/>
    <w:uiPriority w:val="99"/>
    <w:semiHidden/>
    <w:rsid w:val="005F66F9"/>
    <w:pPr>
      <w:spacing w:after="0" w:line="240" w:lineRule="auto"/>
    </w:pPr>
    <w:rPr>
      <w:sz w:val="22"/>
    </w:rPr>
  </w:style>
  <w:style w:type="character" w:styleId="CommentReference">
    <w:name w:val="annotation reference"/>
    <w:basedOn w:val="DefaultParagraphFont"/>
    <w:uiPriority w:val="99"/>
    <w:semiHidden/>
    <w:unhideWhenUsed/>
    <w:rsid w:val="00810E90"/>
    <w:rPr>
      <w:sz w:val="16"/>
      <w:szCs w:val="16"/>
    </w:rPr>
  </w:style>
  <w:style w:type="paragraph" w:styleId="CommentText">
    <w:name w:val="annotation text"/>
    <w:basedOn w:val="Normal"/>
    <w:link w:val="CommentTextChar"/>
    <w:uiPriority w:val="99"/>
    <w:unhideWhenUsed/>
    <w:rsid w:val="00810E90"/>
    <w:pPr>
      <w:spacing w:line="240" w:lineRule="auto"/>
    </w:pPr>
    <w:rPr>
      <w:sz w:val="20"/>
      <w:szCs w:val="20"/>
    </w:rPr>
  </w:style>
  <w:style w:type="character" w:customStyle="1" w:styleId="CommentTextChar">
    <w:name w:val="Comment Text Char"/>
    <w:basedOn w:val="DefaultParagraphFont"/>
    <w:link w:val="CommentText"/>
    <w:uiPriority w:val="99"/>
    <w:rsid w:val="00810E90"/>
    <w:rPr>
      <w:sz w:val="20"/>
      <w:szCs w:val="20"/>
    </w:rPr>
  </w:style>
  <w:style w:type="paragraph" w:styleId="CommentSubject">
    <w:name w:val="annotation subject"/>
    <w:basedOn w:val="CommentText"/>
    <w:next w:val="CommentText"/>
    <w:link w:val="CommentSubjectChar"/>
    <w:uiPriority w:val="99"/>
    <w:semiHidden/>
    <w:unhideWhenUsed/>
    <w:rsid w:val="00810E90"/>
    <w:rPr>
      <w:b/>
      <w:bCs/>
    </w:rPr>
  </w:style>
  <w:style w:type="character" w:customStyle="1" w:styleId="CommentSubjectChar">
    <w:name w:val="Comment Subject Char"/>
    <w:basedOn w:val="CommentTextChar"/>
    <w:link w:val="CommentSubject"/>
    <w:uiPriority w:val="99"/>
    <w:semiHidden/>
    <w:rsid w:val="00810E90"/>
    <w:rPr>
      <w:b/>
      <w:bCs/>
      <w:sz w:val="20"/>
      <w:szCs w:val="20"/>
    </w:rPr>
  </w:style>
  <w:style w:type="character" w:styleId="FollowedHyperlink">
    <w:name w:val="FollowedHyperlink"/>
    <w:basedOn w:val="DefaultParagraphFont"/>
    <w:uiPriority w:val="99"/>
    <w:semiHidden/>
    <w:unhideWhenUsed/>
    <w:rsid w:val="000E5B4B"/>
    <w:rPr>
      <w:color w:val="007279" w:themeColor="followedHyperlink"/>
      <w:u w:val="single"/>
    </w:rPr>
  </w:style>
  <w:style w:type="table" w:customStyle="1" w:styleId="LightGrid-Accent21">
    <w:name w:val="Light Grid - Accent 21"/>
    <w:basedOn w:val="TableNormal"/>
    <w:next w:val="LightGrid-Accent2"/>
    <w:uiPriority w:val="62"/>
    <w:rsid w:val="00A17097"/>
    <w:pPr>
      <w:spacing w:after="0" w:line="240" w:lineRule="auto"/>
    </w:pPr>
    <w:rPr>
      <w:rFonts w:eastAsia="Times New Roman" w:cs="Times New Roman"/>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auto"/>
    </w:tcPr>
    <w:tblStylePr w:type="firstRow">
      <w:pPr>
        <w:spacing w:before="0" w:after="0" w:line="240" w:lineRule="auto"/>
      </w:pPr>
      <w:rPr>
        <w:rFonts w:ascii="Cardo" w:eastAsia="Times New Roman" w:hAnsi="Cardo" w:cs="Times New Roman"/>
        <w:b/>
        <w:bCs/>
      </w:rPr>
      <w:tblPr/>
      <w:tcPr>
        <w:shd w:val="clear" w:color="auto" w:fill="CD0920"/>
      </w:tcPr>
    </w:tblStylePr>
    <w:tblStylePr w:type="lastRow">
      <w:pPr>
        <w:spacing w:before="0" w:after="0" w:line="240" w:lineRule="auto"/>
      </w:pPr>
      <w:rPr>
        <w:rFonts w:ascii="Cardo" w:eastAsia="Times New Roman" w:hAnsi="Cardo"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rdo" w:eastAsia="Times New Roman" w:hAnsi="Cardo" w:cs="Times New Roman"/>
        <w:b/>
        <w:bCs/>
      </w:rPr>
    </w:tblStylePr>
    <w:tblStylePr w:type="lastCol">
      <w:rPr>
        <w:rFonts w:ascii="Cardo" w:eastAsia="Times New Roman" w:hAnsi="Cardo"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2">
    <w:name w:val="Light Grid Accent 2"/>
    <w:basedOn w:val="TableNormal"/>
    <w:uiPriority w:val="62"/>
    <w:semiHidden/>
    <w:unhideWhenUsed/>
    <w:rsid w:val="00A17097"/>
    <w:pPr>
      <w:spacing w:after="0" w:line="240" w:lineRule="auto"/>
    </w:pPr>
    <w:tblPr>
      <w:tblStyleRowBandSize w:val="1"/>
      <w:tblStyleColBandSize w:val="1"/>
      <w:tblBorders>
        <w:top w:val="single" w:sz="8" w:space="0" w:color="1C2B39" w:themeColor="accent2"/>
        <w:left w:val="single" w:sz="8" w:space="0" w:color="1C2B39" w:themeColor="accent2"/>
        <w:bottom w:val="single" w:sz="8" w:space="0" w:color="1C2B39" w:themeColor="accent2"/>
        <w:right w:val="single" w:sz="8" w:space="0" w:color="1C2B39" w:themeColor="accent2"/>
        <w:insideH w:val="single" w:sz="8" w:space="0" w:color="1C2B39" w:themeColor="accent2"/>
        <w:insideV w:val="single" w:sz="8" w:space="0" w:color="1C2B3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C2B39" w:themeColor="accent2"/>
          <w:left w:val="single" w:sz="8" w:space="0" w:color="1C2B39" w:themeColor="accent2"/>
          <w:bottom w:val="single" w:sz="18" w:space="0" w:color="1C2B39" w:themeColor="accent2"/>
          <w:right w:val="single" w:sz="8" w:space="0" w:color="1C2B39" w:themeColor="accent2"/>
          <w:insideH w:val="nil"/>
          <w:insideV w:val="single" w:sz="8" w:space="0" w:color="1C2B3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C2B39" w:themeColor="accent2"/>
          <w:left w:val="single" w:sz="8" w:space="0" w:color="1C2B39" w:themeColor="accent2"/>
          <w:bottom w:val="single" w:sz="8" w:space="0" w:color="1C2B39" w:themeColor="accent2"/>
          <w:right w:val="single" w:sz="8" w:space="0" w:color="1C2B39" w:themeColor="accent2"/>
          <w:insideH w:val="nil"/>
          <w:insideV w:val="single" w:sz="8" w:space="0" w:color="1C2B3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C2B39" w:themeColor="accent2"/>
          <w:left w:val="single" w:sz="8" w:space="0" w:color="1C2B39" w:themeColor="accent2"/>
          <w:bottom w:val="single" w:sz="8" w:space="0" w:color="1C2B39" w:themeColor="accent2"/>
          <w:right w:val="single" w:sz="8" w:space="0" w:color="1C2B39" w:themeColor="accent2"/>
        </w:tcBorders>
      </w:tcPr>
    </w:tblStylePr>
    <w:tblStylePr w:type="band1Vert">
      <w:tblPr/>
      <w:tcPr>
        <w:tcBorders>
          <w:top w:val="single" w:sz="8" w:space="0" w:color="1C2B39" w:themeColor="accent2"/>
          <w:left w:val="single" w:sz="8" w:space="0" w:color="1C2B39" w:themeColor="accent2"/>
          <w:bottom w:val="single" w:sz="8" w:space="0" w:color="1C2B39" w:themeColor="accent2"/>
          <w:right w:val="single" w:sz="8" w:space="0" w:color="1C2B39" w:themeColor="accent2"/>
        </w:tcBorders>
        <w:shd w:val="clear" w:color="auto" w:fill="B8CADC" w:themeFill="accent2" w:themeFillTint="3F"/>
      </w:tcPr>
    </w:tblStylePr>
    <w:tblStylePr w:type="band1Horz">
      <w:tblPr/>
      <w:tcPr>
        <w:tcBorders>
          <w:top w:val="single" w:sz="8" w:space="0" w:color="1C2B39" w:themeColor="accent2"/>
          <w:left w:val="single" w:sz="8" w:space="0" w:color="1C2B39" w:themeColor="accent2"/>
          <w:bottom w:val="single" w:sz="8" w:space="0" w:color="1C2B39" w:themeColor="accent2"/>
          <w:right w:val="single" w:sz="8" w:space="0" w:color="1C2B39" w:themeColor="accent2"/>
          <w:insideV w:val="single" w:sz="8" w:space="0" w:color="1C2B39" w:themeColor="accent2"/>
        </w:tcBorders>
        <w:shd w:val="clear" w:color="auto" w:fill="B8CADC" w:themeFill="accent2" w:themeFillTint="3F"/>
      </w:tcPr>
    </w:tblStylePr>
    <w:tblStylePr w:type="band2Horz">
      <w:tblPr/>
      <w:tcPr>
        <w:tcBorders>
          <w:top w:val="single" w:sz="8" w:space="0" w:color="1C2B39" w:themeColor="accent2"/>
          <w:left w:val="single" w:sz="8" w:space="0" w:color="1C2B39" w:themeColor="accent2"/>
          <w:bottom w:val="single" w:sz="8" w:space="0" w:color="1C2B39" w:themeColor="accent2"/>
          <w:right w:val="single" w:sz="8" w:space="0" w:color="1C2B39" w:themeColor="accent2"/>
          <w:insideV w:val="single" w:sz="8" w:space="0" w:color="1C2B39" w:themeColor="accent2"/>
        </w:tcBorders>
      </w:tcPr>
    </w:tblStylePr>
  </w:style>
  <w:style w:type="paragraph" w:customStyle="1" w:styleId="Default">
    <w:name w:val="Default"/>
    <w:rsid w:val="008A3133"/>
    <w:pPr>
      <w:autoSpaceDE w:val="0"/>
      <w:autoSpaceDN w:val="0"/>
      <w:adjustRightInd w:val="0"/>
      <w:spacing w:after="0" w:line="240" w:lineRule="auto"/>
    </w:pPr>
    <w:rPr>
      <w:rFonts w:ascii="Inter Light" w:hAnsi="Inter Light" w:cs="Inter Light"/>
      <w:color w:val="000000"/>
      <w:sz w:val="24"/>
      <w:szCs w:val="24"/>
    </w:rPr>
  </w:style>
  <w:style w:type="character" w:customStyle="1" w:styleId="A9">
    <w:name w:val="A9"/>
    <w:uiPriority w:val="99"/>
    <w:rsid w:val="008A3133"/>
    <w:rPr>
      <w:rFonts w:cs="Inter Light"/>
      <w:color w:val="042534"/>
    </w:rPr>
  </w:style>
  <w:style w:type="character" w:customStyle="1" w:styleId="ListParagraphChar">
    <w:name w:val="List Paragraph Char"/>
    <w:aliases w:val="Bulleted Para Char,CV text Char,DDM Gen Text Char,Dot pt Char,F5 List Paragraph Char,FooterText Char,L Char,List Paragraph1 Char,List Paragraph11 Char,List Paragraph111 Char,List Paragraph2 Char,Medium Grid 1 - Accent 21 Char,3 Char"/>
    <w:basedOn w:val="DefaultParagraphFont"/>
    <w:link w:val="ListParagraph"/>
    <w:uiPriority w:val="34"/>
    <w:qFormat/>
    <w:rsid w:val="00F8420D"/>
    <w:rPr>
      <w:color w:val="262626" w:themeColor="text1" w:themeTint="D9"/>
      <w:sz w:val="22"/>
    </w:rPr>
  </w:style>
  <w:style w:type="character" w:styleId="Mention">
    <w:name w:val="Mention"/>
    <w:basedOn w:val="DefaultParagraphFont"/>
    <w:uiPriority w:val="99"/>
    <w:unhideWhenUsed/>
    <w:rsid w:val="002A1D1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185144">
      <w:bodyDiv w:val="1"/>
      <w:marLeft w:val="0"/>
      <w:marRight w:val="0"/>
      <w:marTop w:val="0"/>
      <w:marBottom w:val="0"/>
      <w:divBdr>
        <w:top w:val="none" w:sz="0" w:space="0" w:color="auto"/>
        <w:left w:val="none" w:sz="0" w:space="0" w:color="auto"/>
        <w:bottom w:val="none" w:sz="0" w:space="0" w:color="auto"/>
        <w:right w:val="none" w:sz="0" w:space="0" w:color="auto"/>
      </w:divBdr>
    </w:div>
    <w:div w:id="187383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16">
      <a:dk1>
        <a:srgbClr val="000000"/>
      </a:dk1>
      <a:lt1>
        <a:srgbClr val="FFFFFF"/>
      </a:lt1>
      <a:dk2>
        <a:srgbClr val="0F1F35"/>
      </a:dk2>
      <a:lt2>
        <a:srgbClr val="D8D8D8"/>
      </a:lt2>
      <a:accent1>
        <a:srgbClr val="007279"/>
      </a:accent1>
      <a:accent2>
        <a:srgbClr val="1C2B39"/>
      </a:accent2>
      <a:accent3>
        <a:srgbClr val="F26337"/>
      </a:accent3>
      <a:accent4>
        <a:srgbClr val="4BADB0"/>
      </a:accent4>
      <a:accent5>
        <a:srgbClr val="B75B53"/>
      </a:accent5>
      <a:accent6>
        <a:srgbClr val="FCB76C"/>
      </a:accent6>
      <a:hlink>
        <a:srgbClr val="007279"/>
      </a:hlink>
      <a:folHlink>
        <a:srgbClr val="007279"/>
      </a:folHlink>
    </a:clrScheme>
    <a:fontScheme name="PM&amp;C light">
      <a:majorFont>
        <a:latin typeface="Times New Roman"/>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e6ba7ff-9897-4e65-9803-3be34fd9cf5a}" enabled="1" method="Privileged" siteId="{8c3c81bc-2b3c-44af-b3f7-6f620b3910ee}"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1291</Words>
  <Characters>7362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2026-09-02T01:02:00Z</dcterms:created>
  <dcterms:modified xsi:type="dcterms:W3CDTF">2026-09-02T01:02:00Z</dcterms:modified>
</cp:coreProperties>
</file>