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5C46A" w14:textId="5FB868A1" w:rsidR="00A62EF3" w:rsidRPr="00892D49" w:rsidRDefault="005D7C45" w:rsidP="002356F8">
      <w:pPr>
        <w:pStyle w:val="Title"/>
        <w:spacing w:after="120"/>
        <w:rPr>
          <w:sz w:val="44"/>
          <w:szCs w:val="44"/>
        </w:rPr>
      </w:pPr>
      <w:bookmarkStart w:id="0" w:name="_Toc96326909"/>
      <w:r w:rsidRPr="761CD7A3">
        <w:rPr>
          <w:sz w:val="44"/>
          <w:szCs w:val="44"/>
        </w:rPr>
        <w:t xml:space="preserve">Dashboard </w:t>
      </w:r>
      <w:r w:rsidR="00936C83" w:rsidRPr="761CD7A3">
        <w:rPr>
          <w:sz w:val="44"/>
          <w:szCs w:val="44"/>
        </w:rPr>
        <w:t xml:space="preserve">Impact Analysis </w:t>
      </w:r>
      <w:r w:rsidR="00232964" w:rsidRPr="761CD7A3">
        <w:rPr>
          <w:sz w:val="44"/>
          <w:szCs w:val="44"/>
        </w:rPr>
        <w:t xml:space="preserve">(IA) </w:t>
      </w:r>
      <w:r w:rsidR="005F66F9" w:rsidRPr="761CD7A3">
        <w:rPr>
          <w:sz w:val="44"/>
          <w:szCs w:val="44"/>
        </w:rPr>
        <w:t xml:space="preserve">– </w:t>
      </w:r>
      <w:r w:rsidR="007E6D00" w:rsidRPr="761CD7A3">
        <w:rPr>
          <w:sz w:val="44"/>
          <w:szCs w:val="44"/>
        </w:rPr>
        <w:t xml:space="preserve">National Environmental Standard for </w:t>
      </w:r>
      <w:r w:rsidR="00B56860" w:rsidRPr="761CD7A3">
        <w:rPr>
          <w:sz w:val="44"/>
          <w:szCs w:val="44"/>
        </w:rPr>
        <w:t>Data and Information</w:t>
      </w:r>
    </w:p>
    <w:bookmarkEnd w:id="0"/>
    <w:p w14:paraId="298B81AB" w14:textId="77777777" w:rsidR="007E6D00" w:rsidRPr="0034154C" w:rsidRDefault="007E6D00" w:rsidP="761CD7A3">
      <w:pPr>
        <w:pStyle w:val="Subtitle"/>
        <w:rPr>
          <w:b/>
          <w:bCs/>
          <w:sz w:val="24"/>
          <w:szCs w:val="24"/>
        </w:rPr>
      </w:pPr>
      <w:r w:rsidRPr="761CD7A3">
        <w:rPr>
          <w:b/>
          <w:bCs/>
          <w:sz w:val="24"/>
          <w:szCs w:val="24"/>
        </w:rPr>
        <w:t>Department of Climate Change, Energy, the Environment and Water</w:t>
      </w:r>
    </w:p>
    <w:p w14:paraId="6EAF1914" w14:textId="571F46AD" w:rsidR="00A62EF3" w:rsidRPr="0091141A" w:rsidRDefault="006C7E16" w:rsidP="0026634E">
      <w:pPr>
        <w:pStyle w:val="Heading1"/>
      </w:pPr>
      <w:r w:rsidRPr="0091141A">
        <w:t xml:space="preserve">The policy problem </w:t>
      </w:r>
      <w:r w:rsidR="00462A4A">
        <w:t xml:space="preserve">and </w:t>
      </w:r>
      <w:r w:rsidR="00462A4A" w:rsidRPr="0091141A">
        <w:t xml:space="preserve">proposed approach </w:t>
      </w:r>
    </w:p>
    <w:p w14:paraId="526DA888" w14:textId="77777777" w:rsidR="00AC1348" w:rsidRDefault="00AC1348" w:rsidP="00AC1348">
      <w:pPr>
        <w:pStyle w:val="Heading2"/>
      </w:pPr>
      <w:r w:rsidRPr="005F3B45">
        <w:t>Proposed approach</w:t>
      </w:r>
    </w:p>
    <w:p w14:paraId="53E74C3C" w14:textId="77777777" w:rsidR="00AC1348" w:rsidRPr="00DE0DF3" w:rsidRDefault="00AC1348" w:rsidP="00AC1348">
      <w:pPr>
        <w:rPr>
          <w:rFonts w:ascii="Calibri" w:eastAsia="Segoe UI" w:hAnsi="Calibri" w:cs="Calibri"/>
        </w:rPr>
      </w:pPr>
      <w:r w:rsidRPr="00DE0DF3">
        <w:rPr>
          <w:rFonts w:ascii="Calibri" w:hAnsi="Calibri" w:cs="Calibri"/>
        </w:rPr>
        <w:t xml:space="preserve">The proposed approach is a legally enforceable National Environmental Standard for Data and Information (D&amp;I Standard) under section 514YD of the </w:t>
      </w:r>
      <w:r w:rsidRPr="00DE0DF3">
        <w:rPr>
          <w:rFonts w:ascii="Calibri" w:hAnsi="Calibri" w:cs="Calibri"/>
          <w:i/>
          <w:iCs/>
        </w:rPr>
        <w:t xml:space="preserve">Environment Protection and Biodiversity Conservation Act 1999 </w:t>
      </w:r>
      <w:r w:rsidRPr="00DE0DF3">
        <w:rPr>
          <w:rFonts w:ascii="Calibri" w:hAnsi="Calibri" w:cs="Calibri"/>
        </w:rPr>
        <w:t xml:space="preserve">(EPBC Act). </w:t>
      </w:r>
    </w:p>
    <w:p w14:paraId="6B648A0A" w14:textId="77777777" w:rsidR="00AC1348" w:rsidRPr="00DE0DF3" w:rsidRDefault="00AC1348" w:rsidP="00AC1348">
      <w:pPr>
        <w:rPr>
          <w:rFonts w:ascii="Calibri" w:eastAsia="Segoe UI" w:hAnsi="Calibri" w:cs="Calibri"/>
        </w:rPr>
      </w:pPr>
      <w:r w:rsidRPr="00DE0DF3">
        <w:rPr>
          <w:rFonts w:ascii="Calibri" w:eastAsia="Segoe UI" w:hAnsi="Calibri" w:cs="Calibri"/>
        </w:rPr>
        <w:t>The D&amp;I Standard sets out an Objective, Outcomes and Principles. The Objective is to ensure that prescribed decisions made under the EPBC Act are based on appropriate data and information and to extend the availability of credible data and information assets for use in such decisions. Ministerial decision-making will be more transparent as the minister must now be satisfied that a proposal is consistent with all relevant National Environmental Standards.</w:t>
      </w:r>
    </w:p>
    <w:p w14:paraId="0B107F39" w14:textId="77777777" w:rsidR="00AC1348" w:rsidRPr="00DE0DF3" w:rsidRDefault="00AC1348" w:rsidP="00AC1348">
      <w:pPr>
        <w:rPr>
          <w:rFonts w:ascii="Calibri" w:eastAsia="Segoe UI" w:hAnsi="Calibri" w:cs="Calibri"/>
          <w:lang w:val="en-US"/>
        </w:rPr>
      </w:pPr>
      <w:r w:rsidRPr="00DE0DF3">
        <w:rPr>
          <w:rFonts w:ascii="Calibri" w:eastAsia="Segoe UI" w:hAnsi="Calibri" w:cs="Calibri"/>
        </w:rPr>
        <w:t xml:space="preserve">The D&amp;I Standard aims to improve consistency of decision-making and regulatory under the EPBC Act. </w:t>
      </w:r>
      <w:r w:rsidRPr="00DE0DF3">
        <w:rPr>
          <w:rFonts w:ascii="Calibri" w:eastAsia="Segoe UI" w:hAnsi="Calibri" w:cs="Calibri"/>
          <w:lang w:val="en-US"/>
        </w:rPr>
        <w:t>This should expedite assessments and reduce the need for further information requests, which have led to delays and further administrative costs for actions under the EPBC Act.</w:t>
      </w:r>
    </w:p>
    <w:p w14:paraId="12ED5C3E" w14:textId="77777777" w:rsidR="00AC1348" w:rsidRPr="00DE0DF3" w:rsidRDefault="00AC1348" w:rsidP="00AC1348">
      <w:pPr>
        <w:rPr>
          <w:rFonts w:ascii="Calibri" w:eastAsia="Segoe UI" w:hAnsi="Calibri" w:cs="Calibri"/>
          <w:lang w:val="en-US"/>
        </w:rPr>
      </w:pPr>
      <w:r w:rsidRPr="00DE0DF3">
        <w:rPr>
          <w:rFonts w:ascii="Calibri" w:eastAsia="Segoe UI" w:hAnsi="Calibri" w:cs="Calibri"/>
          <w:lang w:val="en-US"/>
        </w:rPr>
        <w:t>If made, consistency with the D&amp;I Standard would be assessed by the decision-maker in relation to:</w:t>
      </w:r>
    </w:p>
    <w:p w14:paraId="36F86248" w14:textId="77777777" w:rsidR="00AC1348" w:rsidRPr="00DE0DF3" w:rsidRDefault="00AC1348" w:rsidP="00AC1348">
      <w:pPr>
        <w:pStyle w:val="ListParagraph"/>
        <w:numPr>
          <w:ilvl w:val="0"/>
          <w:numId w:val="44"/>
        </w:numPr>
        <w:rPr>
          <w:rFonts w:ascii="Calibri" w:hAnsi="Calibri" w:cs="Calibri"/>
        </w:rPr>
      </w:pPr>
      <w:r w:rsidRPr="00DE0DF3">
        <w:rPr>
          <w:rFonts w:ascii="Calibri" w:eastAsia="Segoe UI" w:hAnsi="Calibri" w:cs="Calibri"/>
          <w:lang w:val="en-US"/>
        </w:rPr>
        <w:t>Decisions to approve the taking of an action, including conditions, and decisions to approve actions in accordance with an endorsed policy, plan or program</w:t>
      </w:r>
      <w:r w:rsidRPr="00DE0DF3">
        <w:rPr>
          <w:rFonts w:ascii="Calibri" w:hAnsi="Calibri" w:cs="Calibri"/>
        </w:rPr>
        <w:t>, as well as variations to such approvals</w:t>
      </w:r>
    </w:p>
    <w:p w14:paraId="71DF40FD" w14:textId="77777777" w:rsidR="00AC1348" w:rsidRPr="00DE0DF3" w:rsidRDefault="00AC1348" w:rsidP="00AC1348">
      <w:pPr>
        <w:pStyle w:val="ListParagraph"/>
        <w:numPr>
          <w:ilvl w:val="0"/>
          <w:numId w:val="44"/>
        </w:numPr>
        <w:rPr>
          <w:rFonts w:ascii="Calibri" w:eastAsia="Segoe UI" w:hAnsi="Calibri" w:cs="Calibri"/>
          <w:lang w:val="en-US"/>
        </w:rPr>
      </w:pPr>
      <w:r w:rsidRPr="00DE0DF3">
        <w:rPr>
          <w:rFonts w:ascii="Calibri" w:eastAsia="Segoe UI" w:hAnsi="Calibri" w:cs="Calibri"/>
          <w:lang w:val="en-US"/>
        </w:rPr>
        <w:t xml:space="preserve">Decisions in relation </w:t>
      </w:r>
      <w:r w:rsidRPr="00DE0DF3">
        <w:rPr>
          <w:rFonts w:ascii="Calibri" w:hAnsi="Calibri" w:cs="Calibri"/>
          <w:lang w:val="en-US"/>
        </w:rPr>
        <w:t xml:space="preserve">to accrediting a </w:t>
      </w:r>
      <w:r w:rsidRPr="00DE0DF3">
        <w:rPr>
          <w:rFonts w:ascii="Calibri" w:eastAsia="Segoe UI" w:hAnsi="Calibri" w:cs="Calibri"/>
          <w:lang w:val="en-US"/>
        </w:rPr>
        <w:t xml:space="preserve">management or </w:t>
      </w:r>
      <w:proofErr w:type="spellStart"/>
      <w:r w:rsidRPr="00DE0DF3">
        <w:rPr>
          <w:rFonts w:ascii="Calibri" w:eastAsia="Segoe UI" w:hAnsi="Calibri" w:cs="Calibri"/>
          <w:lang w:val="en-US"/>
        </w:rPr>
        <w:t>authorisation</w:t>
      </w:r>
      <w:proofErr w:type="spellEnd"/>
      <w:r w:rsidRPr="00DE0DF3">
        <w:rPr>
          <w:rFonts w:ascii="Calibri" w:eastAsia="Segoe UI" w:hAnsi="Calibri" w:cs="Calibri"/>
          <w:lang w:val="en-US"/>
        </w:rPr>
        <w:t xml:space="preserve"> framework or NOPSEMA management or </w:t>
      </w:r>
      <w:proofErr w:type="spellStart"/>
      <w:r w:rsidRPr="00DE0DF3">
        <w:rPr>
          <w:rFonts w:ascii="Calibri" w:eastAsia="Segoe UI" w:hAnsi="Calibri" w:cs="Calibri"/>
          <w:lang w:val="en-US"/>
        </w:rPr>
        <w:t>authorisation</w:t>
      </w:r>
      <w:proofErr w:type="spellEnd"/>
      <w:r w:rsidRPr="00DE0DF3">
        <w:rPr>
          <w:rFonts w:ascii="Calibri" w:eastAsia="Segoe UI" w:hAnsi="Calibri" w:cs="Calibri"/>
          <w:lang w:val="en-US"/>
        </w:rPr>
        <w:t xml:space="preserve"> framework</w:t>
      </w:r>
    </w:p>
    <w:p w14:paraId="1CCD2C23" w14:textId="77777777" w:rsidR="00AC1348" w:rsidRPr="00DE0DF3" w:rsidRDefault="00AC1348" w:rsidP="00AC1348">
      <w:pPr>
        <w:pStyle w:val="ListParagraph"/>
        <w:numPr>
          <w:ilvl w:val="0"/>
          <w:numId w:val="44"/>
        </w:numPr>
        <w:rPr>
          <w:rFonts w:ascii="Calibri" w:eastAsia="Segoe UI" w:hAnsi="Calibri" w:cs="Calibri"/>
          <w:lang w:val="en-US"/>
        </w:rPr>
      </w:pPr>
      <w:r w:rsidRPr="00DE0DF3">
        <w:rPr>
          <w:rFonts w:ascii="Calibri" w:eastAsia="Segoe UI" w:hAnsi="Calibri" w:cs="Calibri"/>
          <w:lang w:val="en-US"/>
        </w:rPr>
        <w:t xml:space="preserve">Making or varying a bioregional plan or bioregional guidance plan. </w:t>
      </w:r>
    </w:p>
    <w:p w14:paraId="062308DE" w14:textId="77777777" w:rsidR="00AC1348" w:rsidRPr="0020003A" w:rsidRDefault="00AC1348" w:rsidP="00AC1348">
      <w:pPr>
        <w:pStyle w:val="Heading2"/>
      </w:pPr>
      <w:r w:rsidRPr="0020003A">
        <w:t>Policy problem</w:t>
      </w:r>
    </w:p>
    <w:p w14:paraId="0917F170" w14:textId="77777777" w:rsidR="00AC1348" w:rsidRPr="00F326CB" w:rsidRDefault="00AC1348" w:rsidP="00AC1348">
      <w:pPr>
        <w:rPr>
          <w:rFonts w:eastAsia="Segoe UI" w:cstheme="minorHAnsi"/>
        </w:rPr>
      </w:pPr>
      <w:r w:rsidRPr="00F326CB">
        <w:rPr>
          <w:rFonts w:cstheme="minorHAnsi"/>
        </w:rPr>
        <w:t xml:space="preserve">The 2020 </w:t>
      </w:r>
      <w:r w:rsidRPr="00F326CB">
        <w:rPr>
          <w:rFonts w:cstheme="minorHAnsi"/>
          <w:lang w:val="en-US"/>
        </w:rPr>
        <w:t>Independent Review of the EPBC Act</w:t>
      </w:r>
      <w:r w:rsidRPr="00F326CB">
        <w:rPr>
          <w:rFonts w:cstheme="minorHAnsi"/>
        </w:rPr>
        <w:t xml:space="preserve"> Final Report </w:t>
      </w:r>
      <w:r w:rsidRPr="00F326CB">
        <w:rPr>
          <w:rFonts w:cstheme="minorHAnsi"/>
          <w:lang w:val="en-US"/>
        </w:rPr>
        <w:t>(Samuel Review)</w:t>
      </w:r>
      <w:r w:rsidRPr="00F326CB">
        <w:rPr>
          <w:rFonts w:cstheme="minorHAnsi"/>
        </w:rPr>
        <w:t xml:space="preserve"> </w:t>
      </w:r>
      <w:r w:rsidRPr="00F326CB">
        <w:rPr>
          <w:rFonts w:eastAsia="Segoe UI" w:cstheme="minorHAnsi"/>
        </w:rPr>
        <w:t>identified the need for a consistent and interoperable approach to data and information management to support robust, transparent and timely decisions. The Samuel Review recommended a National Environmental Standard to address long-standing issues of fragmented, inconsistent, and incomplete environmental data and information by clarifying requirements for its collection, management and provision to improve quality and transparency. Without a Standard, the potential for inconsistency of data and information used for EPBC Act approvals both at the Commonwealth and state and territory levels will be high and the underlying evidence base will continue to be fragmented and incomplete. </w:t>
      </w:r>
    </w:p>
    <w:p w14:paraId="7695FF6B" w14:textId="77777777" w:rsidR="00AC1348" w:rsidRPr="0020003A" w:rsidRDefault="00AC1348" w:rsidP="00AC1348">
      <w:pPr>
        <w:pStyle w:val="Heading1"/>
      </w:pPr>
      <w:r w:rsidRPr="0020003A">
        <w:lastRenderedPageBreak/>
        <w:t xml:space="preserve">Summary of impacts and methodology </w:t>
      </w:r>
    </w:p>
    <w:p w14:paraId="7374B2BD" w14:textId="3648F91F" w:rsidR="00AC1348" w:rsidRPr="00934FD8" w:rsidRDefault="00BF0742" w:rsidP="00AC1348">
      <w:pPr>
        <w:spacing w:before="120"/>
        <w:rPr>
          <w:rFonts w:cstheme="minorHAnsi"/>
        </w:rPr>
      </w:pPr>
      <w:r w:rsidRPr="00BF0742">
        <w:rPr>
          <w:rFonts w:cstheme="minorHAnsi"/>
          <w:lang w:val="en-US"/>
        </w:rPr>
        <w:t>The Department prepared an Addendum to the Samuel Review on 30 October 2025</w:t>
      </w:r>
      <w:r w:rsidR="00AC1348" w:rsidRPr="00934FD8">
        <w:rPr>
          <w:rFonts w:cstheme="minorHAnsi"/>
          <w:lang w:val="en-US"/>
        </w:rPr>
        <w:t>. The Addendum focuse</w:t>
      </w:r>
      <w:r>
        <w:rPr>
          <w:rFonts w:cstheme="minorHAnsi"/>
          <w:lang w:val="en-US"/>
        </w:rPr>
        <w:t>s</w:t>
      </w:r>
      <w:r w:rsidR="00AC1348" w:rsidRPr="00934FD8">
        <w:rPr>
          <w:rFonts w:cstheme="minorHAnsi"/>
          <w:lang w:val="en-US"/>
        </w:rPr>
        <w:t xml:space="preserve"> on the streamlined assessment pathway (reducing statutory timeframes from 70 to 50 days) and related reform measures – including </w:t>
      </w:r>
      <w:r w:rsidR="00AC1348" w:rsidRPr="00934FD8">
        <w:rPr>
          <w:rFonts w:cstheme="minorHAnsi"/>
        </w:rPr>
        <w:t>the making of National Environmental Standards, rulings, defining unacceptable impacts, and requiring a ‘net gain’ for any residual significant impacts. These related reforms aim to improve environmental outcomes and reduce delays commonly caused by further information requests.</w:t>
      </w:r>
    </w:p>
    <w:p w14:paraId="5EF9FB10" w14:textId="77777777" w:rsidR="00AC1348" w:rsidRPr="00934FD8" w:rsidRDefault="00AC1348" w:rsidP="00AC1348">
      <w:pPr>
        <w:spacing w:before="120"/>
        <w:rPr>
          <w:rFonts w:cstheme="minorHAnsi"/>
          <w:lang w:val="en-US"/>
        </w:rPr>
      </w:pPr>
      <w:r w:rsidRPr="00934FD8">
        <w:rPr>
          <w:rFonts w:cstheme="minorHAnsi"/>
          <w:lang w:val="en-US"/>
        </w:rPr>
        <w:t>The Addendum estimates the impact of the streamlined assessment pathway (SAP, low scenario) and SAP and related reforms (medium and high scenario), as reproduced below in Table 1.</w:t>
      </w:r>
    </w:p>
    <w:p w14:paraId="37217F23" w14:textId="77777777" w:rsidR="00AC1348" w:rsidRPr="00934FD8" w:rsidRDefault="00AC1348" w:rsidP="00AC1348">
      <w:pPr>
        <w:rPr>
          <w:rFonts w:cstheme="minorHAnsi"/>
        </w:rPr>
      </w:pPr>
      <w:r w:rsidRPr="00934FD8">
        <w:rPr>
          <w:rFonts w:cstheme="minorHAnsi"/>
        </w:rPr>
        <w:t xml:space="preserve">The Addendum estimates that under medium and low scenarios, requests for information would be reduced and avoided (respectively). Benefits were a reduced timeframe for assessments and approvals – at either 140 or 288 days.  </w:t>
      </w:r>
    </w:p>
    <w:p w14:paraId="1B1731E4" w14:textId="77777777" w:rsidR="00AC1348" w:rsidRDefault="00AC1348" w:rsidP="00AC1348">
      <w:pPr>
        <w:spacing w:after="0"/>
      </w:pPr>
      <w:r w:rsidRPr="00934FD8">
        <w:rPr>
          <w:rFonts w:cstheme="minorHAnsi"/>
          <w:b/>
          <w:bCs/>
        </w:rPr>
        <w:t>Table 1.</w:t>
      </w:r>
      <w:r w:rsidRPr="00934FD8">
        <w:rPr>
          <w:rFonts w:cstheme="minorHAnsi"/>
        </w:rPr>
        <w:t xml:space="preserve"> Estimated positive impact from reductions to delay costs from the introduction of the streamlined assessment pathway and related reform measures per relevant population per annum.</w:t>
      </w:r>
      <w:r>
        <w:tab/>
      </w:r>
    </w:p>
    <w:p w14:paraId="63E1B8F0" w14:textId="77777777" w:rsidR="00AC1348" w:rsidRPr="00496940" w:rsidRDefault="00AC1348" w:rsidP="00AC1348">
      <w:pPr>
        <w:spacing w:after="0"/>
      </w:pPr>
    </w:p>
    <w:tbl>
      <w:tblPr>
        <w:tblW w:w="5000" w:type="pct"/>
        <w:tblLook w:val="04A0" w:firstRow="1" w:lastRow="0" w:firstColumn="1" w:lastColumn="0" w:noHBand="0" w:noVBand="1"/>
      </w:tblPr>
      <w:tblGrid>
        <w:gridCol w:w="2156"/>
        <w:gridCol w:w="1119"/>
        <w:gridCol w:w="2742"/>
        <w:gridCol w:w="1304"/>
        <w:gridCol w:w="2307"/>
      </w:tblGrid>
      <w:tr w:rsidR="00AC1348" w:rsidRPr="0020003A" w14:paraId="7052BEF9" w14:textId="77777777" w:rsidTr="007E0AD0">
        <w:trPr>
          <w:trHeight w:val="288"/>
        </w:trPr>
        <w:tc>
          <w:tcPr>
            <w:tcW w:w="1120" w:type="pct"/>
            <w:tcBorders>
              <w:top w:val="single" w:sz="4" w:space="0" w:color="000000"/>
              <w:left w:val="single" w:sz="4" w:space="0" w:color="auto"/>
              <w:bottom w:val="single" w:sz="4" w:space="0" w:color="000000"/>
              <w:right w:val="single" w:sz="4" w:space="0" w:color="auto"/>
            </w:tcBorders>
            <w:shd w:val="clear" w:color="000000" w:fill="FFFFFF"/>
            <w:vAlign w:val="center"/>
            <w:hideMark/>
          </w:tcPr>
          <w:p w14:paraId="6580C978" w14:textId="77777777" w:rsidR="00AC1348" w:rsidRPr="0020003A" w:rsidRDefault="00AC1348" w:rsidP="007E0AD0">
            <w:pPr>
              <w:spacing w:after="0" w:line="240" w:lineRule="auto"/>
              <w:rPr>
                <w:rFonts w:eastAsia="Times New Roman" w:cstheme="minorHAnsi"/>
                <w:b/>
                <w:bCs/>
                <w:color w:val="000000"/>
                <w:sz w:val="20"/>
                <w:szCs w:val="20"/>
                <w:lang w:eastAsia="en-AU"/>
              </w:rPr>
            </w:pPr>
            <w:r>
              <w:rPr>
                <w:rFonts w:eastAsia="Times New Roman" w:cstheme="minorHAnsi"/>
                <w:b/>
                <w:bCs/>
                <w:color w:val="000000"/>
                <w:sz w:val="20"/>
                <w:szCs w:val="20"/>
                <w:lang w:eastAsia="en-AU"/>
              </w:rPr>
              <w:t>Change in Costs ($million)</w:t>
            </w:r>
          </w:p>
        </w:tc>
        <w:tc>
          <w:tcPr>
            <w:tcW w:w="581" w:type="pct"/>
            <w:tcBorders>
              <w:top w:val="single" w:sz="4" w:space="0" w:color="auto"/>
              <w:left w:val="nil"/>
              <w:bottom w:val="single" w:sz="4" w:space="0" w:color="auto"/>
              <w:right w:val="nil"/>
            </w:tcBorders>
            <w:shd w:val="clear" w:color="000000" w:fill="FFFFFF"/>
            <w:noWrap/>
            <w:vAlign w:val="bottom"/>
            <w:hideMark/>
          </w:tcPr>
          <w:p w14:paraId="18BDEB38" w14:textId="77777777" w:rsidR="00AC1348" w:rsidRPr="0020003A" w:rsidRDefault="00AC1348" w:rsidP="007E0AD0">
            <w:pPr>
              <w:spacing w:after="0" w:line="240" w:lineRule="auto"/>
              <w:jc w:val="right"/>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Business</w:t>
            </w:r>
          </w:p>
        </w:tc>
        <w:tc>
          <w:tcPr>
            <w:tcW w:w="1424" w:type="pct"/>
            <w:tcBorders>
              <w:top w:val="single" w:sz="4" w:space="0" w:color="auto"/>
              <w:left w:val="nil"/>
              <w:bottom w:val="single" w:sz="4" w:space="0" w:color="auto"/>
              <w:right w:val="nil"/>
            </w:tcBorders>
            <w:shd w:val="clear" w:color="000000" w:fill="FFFFFF"/>
            <w:noWrap/>
            <w:vAlign w:val="bottom"/>
            <w:hideMark/>
          </w:tcPr>
          <w:p w14:paraId="48F58907" w14:textId="77777777" w:rsidR="00AC1348" w:rsidRPr="0020003A" w:rsidRDefault="00AC1348" w:rsidP="007E0AD0">
            <w:pPr>
              <w:spacing w:after="0" w:line="240" w:lineRule="auto"/>
              <w:jc w:val="center"/>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Community</w:t>
            </w:r>
            <w:r w:rsidRPr="0020003A">
              <w:rPr>
                <w:rFonts w:eastAsia="Times New Roman" w:cstheme="minorHAnsi"/>
                <w:b/>
                <w:color w:val="000000"/>
                <w:sz w:val="20"/>
                <w:szCs w:val="20"/>
                <w:lang w:eastAsia="en-AU"/>
              </w:rPr>
              <w:t xml:space="preserve"> organisations</w:t>
            </w:r>
          </w:p>
        </w:tc>
        <w:tc>
          <w:tcPr>
            <w:tcW w:w="677" w:type="pct"/>
            <w:tcBorders>
              <w:top w:val="single" w:sz="4" w:space="0" w:color="auto"/>
              <w:left w:val="nil"/>
              <w:bottom w:val="single" w:sz="4" w:space="0" w:color="auto"/>
            </w:tcBorders>
            <w:shd w:val="clear" w:color="000000" w:fill="FFFFFF"/>
            <w:noWrap/>
            <w:vAlign w:val="bottom"/>
            <w:hideMark/>
          </w:tcPr>
          <w:p w14:paraId="0E96A88A" w14:textId="77777777" w:rsidR="00AC1348" w:rsidRPr="0020003A" w:rsidRDefault="00AC1348" w:rsidP="007E0AD0">
            <w:pPr>
              <w:spacing w:after="0" w:line="240" w:lineRule="auto"/>
              <w:jc w:val="right"/>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Individuals</w:t>
            </w:r>
          </w:p>
        </w:tc>
        <w:tc>
          <w:tcPr>
            <w:tcW w:w="1200" w:type="pct"/>
            <w:tcBorders>
              <w:top w:val="single" w:sz="4" w:space="0" w:color="auto"/>
              <w:bottom w:val="single" w:sz="4" w:space="0" w:color="auto"/>
              <w:right w:val="single" w:sz="4" w:space="0" w:color="auto"/>
            </w:tcBorders>
            <w:shd w:val="clear" w:color="000000" w:fill="D9D9D9"/>
            <w:noWrap/>
            <w:vAlign w:val="bottom"/>
            <w:hideMark/>
          </w:tcPr>
          <w:p w14:paraId="44CC6530" w14:textId="77777777" w:rsidR="00AC1348" w:rsidRPr="0020003A" w:rsidRDefault="00AC1348" w:rsidP="007E0AD0">
            <w:pPr>
              <w:spacing w:after="0" w:line="240" w:lineRule="auto"/>
              <w:jc w:val="center"/>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Total</w:t>
            </w:r>
            <w:r w:rsidRPr="0020003A">
              <w:rPr>
                <w:rFonts w:eastAsia="Times New Roman" w:cstheme="minorHAnsi"/>
                <w:b/>
                <w:color w:val="000000"/>
                <w:sz w:val="20"/>
                <w:szCs w:val="20"/>
                <w:lang w:eastAsia="en-AU"/>
              </w:rPr>
              <w:t xml:space="preserve"> change in Costs</w:t>
            </w:r>
          </w:p>
        </w:tc>
      </w:tr>
      <w:tr w:rsidR="00AC1348" w:rsidRPr="0020003A" w14:paraId="7A7DA341" w14:textId="77777777" w:rsidTr="007E0AD0">
        <w:trPr>
          <w:trHeight w:val="288"/>
        </w:trPr>
        <w:tc>
          <w:tcPr>
            <w:tcW w:w="1120" w:type="pct"/>
            <w:tcBorders>
              <w:top w:val="nil"/>
              <w:left w:val="single" w:sz="4" w:space="0" w:color="auto"/>
              <w:bottom w:val="nil"/>
              <w:right w:val="nil"/>
            </w:tcBorders>
            <w:shd w:val="clear" w:color="000000" w:fill="FFFFFF"/>
            <w:noWrap/>
            <w:vAlign w:val="bottom"/>
          </w:tcPr>
          <w:p w14:paraId="31753CCF" w14:textId="77777777" w:rsidR="00AC1348" w:rsidRPr="00B57517" w:rsidRDefault="00AC1348" w:rsidP="007E0AD0">
            <w:pPr>
              <w:spacing w:after="0" w:line="240" w:lineRule="auto"/>
              <w:rPr>
                <w:rFonts w:eastAsia="Times New Roman" w:cstheme="minorHAnsi"/>
                <w:color w:val="000000"/>
                <w:sz w:val="20"/>
                <w:szCs w:val="20"/>
                <w:lang w:eastAsia="en-AU"/>
              </w:rPr>
            </w:pPr>
            <w:r w:rsidRPr="00B57517">
              <w:rPr>
                <w:rFonts w:eastAsia="Times New Roman" w:cstheme="minorHAnsi"/>
                <w:color w:val="000000"/>
                <w:sz w:val="20"/>
                <w:szCs w:val="20"/>
                <w:lang w:eastAsia="en-AU"/>
              </w:rPr>
              <w:t xml:space="preserve">Low (20 </w:t>
            </w:r>
            <w:proofErr w:type="gramStart"/>
            <w:r w:rsidRPr="00B57517">
              <w:rPr>
                <w:rFonts w:eastAsia="Times New Roman" w:cstheme="minorHAnsi"/>
                <w:color w:val="000000"/>
                <w:sz w:val="20"/>
                <w:szCs w:val="20"/>
                <w:lang w:eastAsia="en-AU"/>
              </w:rPr>
              <w:t>days)*</w:t>
            </w:r>
            <w:proofErr w:type="gramEnd"/>
          </w:p>
        </w:tc>
        <w:tc>
          <w:tcPr>
            <w:tcW w:w="581" w:type="pct"/>
            <w:tcBorders>
              <w:top w:val="single" w:sz="4" w:space="0" w:color="auto"/>
              <w:left w:val="single" w:sz="4" w:space="0" w:color="auto"/>
              <w:bottom w:val="nil"/>
              <w:right w:val="nil"/>
            </w:tcBorders>
            <w:shd w:val="clear" w:color="000000" w:fill="FFFFFF"/>
            <w:noWrap/>
          </w:tcPr>
          <w:p w14:paraId="79AAAFD5" w14:textId="77777777" w:rsidR="00AC1348" w:rsidRPr="00B57517" w:rsidRDefault="00AC1348" w:rsidP="007E0AD0">
            <w:pPr>
              <w:spacing w:after="0" w:line="240" w:lineRule="auto"/>
              <w:jc w:val="right"/>
              <w:rPr>
                <w:rFonts w:eastAsia="Times New Roman" w:cstheme="minorHAnsi"/>
                <w:color w:val="000000"/>
                <w:sz w:val="20"/>
                <w:szCs w:val="20"/>
                <w:lang w:eastAsia="en-AU"/>
              </w:rPr>
            </w:pPr>
            <w:r w:rsidRPr="00B57517">
              <w:rPr>
                <w:sz w:val="20"/>
                <w:szCs w:val="20"/>
              </w:rPr>
              <w:t>$441</w:t>
            </w:r>
          </w:p>
        </w:tc>
        <w:tc>
          <w:tcPr>
            <w:tcW w:w="1424" w:type="pct"/>
            <w:tcBorders>
              <w:top w:val="single" w:sz="4" w:space="0" w:color="auto"/>
              <w:left w:val="nil"/>
              <w:bottom w:val="nil"/>
              <w:right w:val="nil"/>
            </w:tcBorders>
            <w:shd w:val="clear" w:color="000000" w:fill="FFFFFF"/>
            <w:noWrap/>
          </w:tcPr>
          <w:p w14:paraId="24286808" w14:textId="77777777" w:rsidR="00AC1348" w:rsidRPr="00B57517" w:rsidRDefault="00AC1348" w:rsidP="007E0AD0">
            <w:pPr>
              <w:spacing w:after="0" w:line="240" w:lineRule="auto"/>
              <w:jc w:val="right"/>
              <w:rPr>
                <w:rFonts w:eastAsia="Times New Roman" w:cstheme="minorHAnsi"/>
                <w:color w:val="000000"/>
                <w:sz w:val="20"/>
                <w:szCs w:val="20"/>
                <w:lang w:eastAsia="en-AU"/>
              </w:rPr>
            </w:pPr>
            <w:r w:rsidRPr="00B57517">
              <w:rPr>
                <w:sz w:val="20"/>
                <w:szCs w:val="20"/>
              </w:rPr>
              <w:t>$4</w:t>
            </w:r>
          </w:p>
        </w:tc>
        <w:tc>
          <w:tcPr>
            <w:tcW w:w="677" w:type="pct"/>
            <w:tcBorders>
              <w:top w:val="single" w:sz="4" w:space="0" w:color="auto"/>
              <w:left w:val="nil"/>
              <w:bottom w:val="nil"/>
            </w:tcBorders>
            <w:shd w:val="clear" w:color="000000" w:fill="FFFFFF"/>
            <w:noWrap/>
          </w:tcPr>
          <w:p w14:paraId="3D2BB2E1" w14:textId="77777777" w:rsidR="00AC1348" w:rsidRPr="00B57517" w:rsidRDefault="00AC1348" w:rsidP="007E0AD0">
            <w:pPr>
              <w:spacing w:after="0" w:line="240" w:lineRule="auto"/>
              <w:jc w:val="right"/>
              <w:rPr>
                <w:rFonts w:eastAsia="Times New Roman" w:cstheme="minorHAnsi"/>
                <w:color w:val="000000"/>
                <w:sz w:val="20"/>
                <w:szCs w:val="20"/>
                <w:lang w:eastAsia="en-AU"/>
              </w:rPr>
            </w:pPr>
            <w:r w:rsidRPr="00B57517">
              <w:rPr>
                <w:sz w:val="20"/>
                <w:szCs w:val="20"/>
              </w:rPr>
              <w:t>$0</w:t>
            </w:r>
          </w:p>
        </w:tc>
        <w:tc>
          <w:tcPr>
            <w:tcW w:w="1200" w:type="pct"/>
            <w:tcBorders>
              <w:top w:val="single" w:sz="4" w:space="0" w:color="auto"/>
              <w:bottom w:val="nil"/>
              <w:right w:val="single" w:sz="4" w:space="0" w:color="auto"/>
            </w:tcBorders>
            <w:shd w:val="clear" w:color="000000" w:fill="D9D9D9"/>
            <w:noWrap/>
          </w:tcPr>
          <w:p w14:paraId="507A2F83" w14:textId="77777777" w:rsidR="00AC1348" w:rsidRPr="00B57517" w:rsidRDefault="00AC1348" w:rsidP="007E0AD0">
            <w:pPr>
              <w:spacing w:after="0" w:line="240" w:lineRule="auto"/>
              <w:jc w:val="right"/>
              <w:rPr>
                <w:rFonts w:eastAsia="Times New Roman" w:cstheme="minorHAnsi"/>
                <w:color w:val="000000"/>
                <w:sz w:val="20"/>
                <w:szCs w:val="20"/>
                <w:lang w:eastAsia="en-AU"/>
              </w:rPr>
            </w:pPr>
            <w:r w:rsidRPr="00B57517">
              <w:rPr>
                <w:sz w:val="20"/>
                <w:szCs w:val="20"/>
              </w:rPr>
              <w:t>$445</w:t>
            </w:r>
          </w:p>
        </w:tc>
      </w:tr>
      <w:tr w:rsidR="00AC1348" w:rsidRPr="0020003A" w14:paraId="7580DBCB" w14:textId="77777777" w:rsidTr="007E0AD0">
        <w:trPr>
          <w:trHeight w:val="288"/>
        </w:trPr>
        <w:tc>
          <w:tcPr>
            <w:tcW w:w="1120" w:type="pct"/>
            <w:tcBorders>
              <w:top w:val="nil"/>
              <w:left w:val="single" w:sz="4" w:space="0" w:color="auto"/>
              <w:bottom w:val="nil"/>
              <w:right w:val="nil"/>
            </w:tcBorders>
            <w:shd w:val="clear" w:color="000000" w:fill="FFFFFF"/>
            <w:noWrap/>
            <w:vAlign w:val="bottom"/>
            <w:hideMark/>
          </w:tcPr>
          <w:p w14:paraId="40ECFFAE" w14:textId="77777777" w:rsidR="00AC1348" w:rsidRPr="0020003A" w:rsidRDefault="00AC1348" w:rsidP="007E0AD0">
            <w:pPr>
              <w:spacing w:after="0" w:line="240" w:lineRule="auto"/>
              <w:rPr>
                <w:rFonts w:eastAsia="Times New Roman" w:cstheme="minorHAnsi"/>
                <w:color w:val="000000"/>
                <w:sz w:val="20"/>
                <w:szCs w:val="20"/>
                <w:lang w:eastAsia="en-AU"/>
              </w:rPr>
            </w:pPr>
            <w:r w:rsidRPr="0020003A">
              <w:rPr>
                <w:rFonts w:eastAsia="Times New Roman" w:cstheme="minorHAnsi"/>
                <w:color w:val="000000"/>
                <w:sz w:val="20"/>
                <w:szCs w:val="20"/>
                <w:lang w:eastAsia="en-AU"/>
              </w:rPr>
              <w:t>Medium (14</w:t>
            </w:r>
            <w:r>
              <w:rPr>
                <w:rFonts w:eastAsia="Times New Roman" w:cstheme="minorHAnsi"/>
                <w:color w:val="000000"/>
                <w:sz w:val="20"/>
                <w:szCs w:val="20"/>
                <w:lang w:eastAsia="en-AU"/>
              </w:rPr>
              <w:t>0</w:t>
            </w:r>
            <w:r w:rsidRPr="0020003A">
              <w:rPr>
                <w:rFonts w:eastAsia="Times New Roman" w:cstheme="minorHAnsi"/>
                <w:color w:val="000000"/>
                <w:sz w:val="20"/>
                <w:szCs w:val="20"/>
                <w:lang w:eastAsia="en-AU"/>
              </w:rPr>
              <w:t xml:space="preserve"> days) </w:t>
            </w:r>
          </w:p>
        </w:tc>
        <w:tc>
          <w:tcPr>
            <w:tcW w:w="581" w:type="pct"/>
            <w:tcBorders>
              <w:top w:val="nil"/>
              <w:left w:val="single" w:sz="4" w:space="0" w:color="auto"/>
              <w:bottom w:val="nil"/>
              <w:right w:val="nil"/>
            </w:tcBorders>
            <w:shd w:val="clear" w:color="000000" w:fill="FFFFFF"/>
            <w:noWrap/>
          </w:tcPr>
          <w:p w14:paraId="5F1994D8" w14:textId="77777777" w:rsidR="00AC1348" w:rsidRPr="0020003A" w:rsidRDefault="00AC1348" w:rsidP="007E0AD0">
            <w:pPr>
              <w:spacing w:after="0" w:line="240" w:lineRule="auto"/>
              <w:jc w:val="right"/>
              <w:rPr>
                <w:rFonts w:eastAsia="Times New Roman" w:cstheme="minorHAnsi"/>
                <w:color w:val="000000"/>
                <w:sz w:val="20"/>
                <w:szCs w:val="20"/>
                <w:lang w:eastAsia="en-AU"/>
              </w:rPr>
            </w:pPr>
            <w:r w:rsidRPr="0020003A">
              <w:rPr>
                <w:sz w:val="20"/>
                <w:szCs w:val="20"/>
              </w:rPr>
              <w:t>$3019</w:t>
            </w:r>
          </w:p>
        </w:tc>
        <w:tc>
          <w:tcPr>
            <w:tcW w:w="1424" w:type="pct"/>
            <w:tcBorders>
              <w:top w:val="nil"/>
              <w:left w:val="nil"/>
              <w:bottom w:val="nil"/>
              <w:right w:val="nil"/>
            </w:tcBorders>
            <w:shd w:val="clear" w:color="000000" w:fill="FFFFFF"/>
            <w:noWrap/>
          </w:tcPr>
          <w:p w14:paraId="73700C1D" w14:textId="77777777" w:rsidR="00AC1348" w:rsidRPr="0020003A" w:rsidRDefault="00AC1348" w:rsidP="007E0AD0">
            <w:pPr>
              <w:spacing w:after="0" w:line="240" w:lineRule="auto"/>
              <w:jc w:val="right"/>
              <w:rPr>
                <w:rFonts w:eastAsia="Times New Roman" w:cstheme="minorHAnsi"/>
                <w:color w:val="000000"/>
                <w:sz w:val="20"/>
                <w:szCs w:val="20"/>
                <w:lang w:eastAsia="en-AU"/>
              </w:rPr>
            </w:pPr>
            <w:r w:rsidRPr="0020003A">
              <w:rPr>
                <w:sz w:val="20"/>
                <w:szCs w:val="20"/>
              </w:rPr>
              <w:t>$25</w:t>
            </w:r>
          </w:p>
        </w:tc>
        <w:tc>
          <w:tcPr>
            <w:tcW w:w="677" w:type="pct"/>
            <w:tcBorders>
              <w:top w:val="nil"/>
              <w:left w:val="nil"/>
              <w:bottom w:val="nil"/>
            </w:tcBorders>
            <w:shd w:val="clear" w:color="000000" w:fill="FFFFFF"/>
            <w:noWrap/>
          </w:tcPr>
          <w:p w14:paraId="2C8DB916" w14:textId="77777777" w:rsidR="00AC1348" w:rsidRPr="0020003A" w:rsidRDefault="00AC1348" w:rsidP="007E0AD0">
            <w:pPr>
              <w:spacing w:after="0" w:line="240" w:lineRule="auto"/>
              <w:jc w:val="right"/>
              <w:rPr>
                <w:rFonts w:eastAsia="Times New Roman" w:cstheme="minorHAnsi"/>
                <w:color w:val="000000"/>
                <w:sz w:val="20"/>
                <w:szCs w:val="20"/>
                <w:lang w:eastAsia="en-AU"/>
              </w:rPr>
            </w:pPr>
            <w:r w:rsidRPr="0020003A">
              <w:rPr>
                <w:sz w:val="20"/>
                <w:szCs w:val="20"/>
              </w:rPr>
              <w:t>$0</w:t>
            </w:r>
          </w:p>
        </w:tc>
        <w:tc>
          <w:tcPr>
            <w:tcW w:w="1200" w:type="pct"/>
            <w:tcBorders>
              <w:top w:val="nil"/>
              <w:bottom w:val="nil"/>
              <w:right w:val="single" w:sz="4" w:space="0" w:color="auto"/>
            </w:tcBorders>
            <w:shd w:val="clear" w:color="000000" w:fill="D9D9D9"/>
            <w:noWrap/>
          </w:tcPr>
          <w:p w14:paraId="540240E8" w14:textId="77777777" w:rsidR="00AC1348" w:rsidRPr="0020003A" w:rsidRDefault="00AC1348" w:rsidP="007E0AD0">
            <w:pPr>
              <w:spacing w:after="0" w:line="240" w:lineRule="auto"/>
              <w:jc w:val="right"/>
              <w:rPr>
                <w:rFonts w:eastAsia="Times New Roman" w:cstheme="minorHAnsi"/>
                <w:color w:val="000000"/>
                <w:sz w:val="20"/>
                <w:szCs w:val="20"/>
                <w:lang w:eastAsia="en-AU"/>
              </w:rPr>
            </w:pPr>
            <w:r w:rsidRPr="0020003A">
              <w:rPr>
                <w:sz w:val="20"/>
                <w:szCs w:val="20"/>
              </w:rPr>
              <w:t>$3045</w:t>
            </w:r>
          </w:p>
        </w:tc>
      </w:tr>
      <w:tr w:rsidR="00AC1348" w:rsidRPr="0020003A" w14:paraId="166C8BCD" w14:textId="77777777" w:rsidTr="007E0AD0">
        <w:trPr>
          <w:trHeight w:val="288"/>
        </w:trPr>
        <w:tc>
          <w:tcPr>
            <w:tcW w:w="1120" w:type="pct"/>
            <w:tcBorders>
              <w:top w:val="nil"/>
              <w:left w:val="single" w:sz="4" w:space="0" w:color="auto"/>
              <w:bottom w:val="single" w:sz="4" w:space="0" w:color="auto"/>
              <w:right w:val="nil"/>
            </w:tcBorders>
            <w:noWrap/>
            <w:vAlign w:val="bottom"/>
            <w:hideMark/>
          </w:tcPr>
          <w:p w14:paraId="6B7D00F1" w14:textId="77777777" w:rsidR="00AC1348" w:rsidRPr="0020003A" w:rsidRDefault="00AC1348" w:rsidP="007E0AD0">
            <w:pPr>
              <w:spacing w:after="0" w:line="240" w:lineRule="auto"/>
              <w:rPr>
                <w:rFonts w:eastAsia="Times New Roman" w:cstheme="minorHAnsi"/>
                <w:color w:val="000000"/>
                <w:sz w:val="20"/>
                <w:szCs w:val="20"/>
                <w:lang w:eastAsia="en-AU"/>
              </w:rPr>
            </w:pPr>
            <w:r w:rsidRPr="0020003A">
              <w:rPr>
                <w:rFonts w:eastAsia="Times New Roman" w:cstheme="minorHAnsi"/>
                <w:color w:val="000000"/>
                <w:sz w:val="20"/>
                <w:szCs w:val="20"/>
                <w:lang w:eastAsia="en-AU"/>
              </w:rPr>
              <w:t>High (288 days)</w:t>
            </w:r>
          </w:p>
        </w:tc>
        <w:tc>
          <w:tcPr>
            <w:tcW w:w="581" w:type="pct"/>
            <w:tcBorders>
              <w:top w:val="nil"/>
              <w:left w:val="single" w:sz="4" w:space="0" w:color="auto"/>
              <w:bottom w:val="single" w:sz="4" w:space="0" w:color="auto"/>
              <w:right w:val="nil"/>
            </w:tcBorders>
            <w:shd w:val="clear" w:color="000000" w:fill="FFFFFF"/>
            <w:noWrap/>
            <w:vAlign w:val="bottom"/>
          </w:tcPr>
          <w:p w14:paraId="359A03AE" w14:textId="77777777" w:rsidR="00AC1348" w:rsidRPr="0020003A" w:rsidRDefault="00AC1348" w:rsidP="007E0AD0">
            <w:pPr>
              <w:spacing w:after="0" w:line="240" w:lineRule="auto"/>
              <w:jc w:val="right"/>
              <w:rPr>
                <w:rFonts w:eastAsia="Times New Roman" w:cstheme="minorHAnsi"/>
                <w:color w:val="000000"/>
                <w:sz w:val="20"/>
                <w:szCs w:val="20"/>
                <w:lang w:eastAsia="en-AU"/>
              </w:rPr>
            </w:pPr>
            <w:r w:rsidRPr="0020003A">
              <w:rPr>
                <w:rFonts w:ascii="Calibri" w:hAnsi="Calibri" w:cs="Calibri"/>
                <w:color w:val="000000"/>
                <w:sz w:val="20"/>
                <w:szCs w:val="20"/>
              </w:rPr>
              <w:t>$</w:t>
            </w:r>
            <w:r w:rsidRPr="00496940">
              <w:rPr>
                <w:sz w:val="20"/>
                <w:szCs w:val="20"/>
              </w:rPr>
              <w:t>6878</w:t>
            </w:r>
          </w:p>
        </w:tc>
        <w:tc>
          <w:tcPr>
            <w:tcW w:w="1424" w:type="pct"/>
            <w:tcBorders>
              <w:top w:val="nil"/>
              <w:left w:val="nil"/>
              <w:bottom w:val="single" w:sz="4" w:space="0" w:color="auto"/>
              <w:right w:val="nil"/>
            </w:tcBorders>
            <w:shd w:val="clear" w:color="000000" w:fill="FFFFFF"/>
            <w:noWrap/>
            <w:vAlign w:val="bottom"/>
          </w:tcPr>
          <w:p w14:paraId="708BF3DD" w14:textId="77777777" w:rsidR="00AC1348" w:rsidRPr="0020003A" w:rsidRDefault="00AC1348" w:rsidP="007E0AD0">
            <w:pPr>
              <w:spacing w:after="0" w:line="240" w:lineRule="auto"/>
              <w:jc w:val="right"/>
              <w:rPr>
                <w:rFonts w:eastAsia="Times New Roman" w:cstheme="minorHAnsi"/>
                <w:color w:val="000000"/>
                <w:sz w:val="20"/>
                <w:szCs w:val="20"/>
                <w:lang w:eastAsia="en-AU"/>
              </w:rPr>
            </w:pPr>
            <w:r w:rsidRPr="0020003A">
              <w:rPr>
                <w:rFonts w:ascii="Calibri" w:hAnsi="Calibri" w:cs="Calibri"/>
                <w:color w:val="000000"/>
                <w:sz w:val="20"/>
                <w:szCs w:val="20"/>
              </w:rPr>
              <w:t>$</w:t>
            </w:r>
            <w:r w:rsidRPr="00496940">
              <w:rPr>
                <w:sz w:val="20"/>
                <w:szCs w:val="20"/>
              </w:rPr>
              <w:t>36</w:t>
            </w:r>
          </w:p>
        </w:tc>
        <w:tc>
          <w:tcPr>
            <w:tcW w:w="677" w:type="pct"/>
            <w:tcBorders>
              <w:top w:val="nil"/>
              <w:left w:val="nil"/>
              <w:bottom w:val="single" w:sz="4" w:space="0" w:color="auto"/>
            </w:tcBorders>
            <w:shd w:val="clear" w:color="000000" w:fill="FFFFFF"/>
            <w:noWrap/>
            <w:vAlign w:val="bottom"/>
          </w:tcPr>
          <w:p w14:paraId="44175454" w14:textId="77777777" w:rsidR="00AC1348" w:rsidRPr="0020003A" w:rsidRDefault="00AC1348" w:rsidP="007E0AD0">
            <w:pPr>
              <w:spacing w:after="0" w:line="240" w:lineRule="auto"/>
              <w:jc w:val="right"/>
              <w:rPr>
                <w:rFonts w:eastAsia="Times New Roman" w:cstheme="minorHAnsi"/>
                <w:color w:val="000000"/>
                <w:sz w:val="20"/>
                <w:szCs w:val="20"/>
                <w:lang w:eastAsia="en-AU"/>
              </w:rPr>
            </w:pPr>
            <w:r w:rsidRPr="00496940">
              <w:rPr>
                <w:sz w:val="20"/>
                <w:szCs w:val="20"/>
              </w:rPr>
              <w:t>$1</w:t>
            </w:r>
          </w:p>
        </w:tc>
        <w:tc>
          <w:tcPr>
            <w:tcW w:w="1200" w:type="pct"/>
            <w:tcBorders>
              <w:top w:val="nil"/>
              <w:bottom w:val="single" w:sz="4" w:space="0" w:color="auto"/>
              <w:right w:val="single" w:sz="4" w:space="0" w:color="auto"/>
            </w:tcBorders>
            <w:shd w:val="clear" w:color="000000" w:fill="D9D9D9"/>
            <w:noWrap/>
            <w:vAlign w:val="bottom"/>
          </w:tcPr>
          <w:p w14:paraId="4E0AFBD9" w14:textId="77777777" w:rsidR="00AC1348" w:rsidRPr="00496940" w:rsidRDefault="00AC1348" w:rsidP="007E0AD0">
            <w:pPr>
              <w:spacing w:after="0" w:line="240" w:lineRule="auto"/>
              <w:jc w:val="right"/>
              <w:rPr>
                <w:sz w:val="20"/>
                <w:szCs w:val="20"/>
              </w:rPr>
            </w:pPr>
            <w:r w:rsidRPr="00496940">
              <w:rPr>
                <w:sz w:val="20"/>
                <w:szCs w:val="20"/>
              </w:rPr>
              <w:t>$6914</w:t>
            </w:r>
          </w:p>
        </w:tc>
      </w:tr>
    </w:tbl>
    <w:p w14:paraId="5D3BF463" w14:textId="77777777" w:rsidR="00AC1348" w:rsidRPr="0020003A" w:rsidRDefault="00AC1348" w:rsidP="00AC1348">
      <w:pPr>
        <w:spacing w:after="0"/>
      </w:pPr>
      <w:r w:rsidRPr="007D290C">
        <w:rPr>
          <w:i/>
          <w:iCs/>
          <w:sz w:val="18"/>
          <w:szCs w:val="18"/>
        </w:rPr>
        <w:t>Note* = baseline SAP case from the Addendum</w:t>
      </w:r>
    </w:p>
    <w:p w14:paraId="563E7352" w14:textId="08682AB4" w:rsidR="00E46B1A" w:rsidRDefault="00AC1348" w:rsidP="00E46B1A">
      <w:pPr>
        <w:spacing w:after="0"/>
      </w:pPr>
      <w:r>
        <w:br/>
      </w:r>
      <w:r w:rsidRPr="001D3F4C">
        <w:rPr>
          <w:rFonts w:cstheme="minorHAnsi"/>
        </w:rPr>
        <w:t>This analysis adopts a contributory portion of the medium scenario as the expect impact of the D&amp;I Standard to expedite approvals. The medium and high estimates in Table 1 include the streamlined assessment pathway and other reform measures so cannot be attributed solely to the D&amp;I Standard. The D&amp;I Standard is expected to contribute to the medium scenario savings through greater clarity regarding upfront environmental requirements and supporting information.</w:t>
      </w:r>
    </w:p>
    <w:p w14:paraId="4C14CEE2" w14:textId="77777777" w:rsidR="00E46B1A" w:rsidRDefault="00E46B1A" w:rsidP="00AC1348"/>
    <w:tbl>
      <w:tblPr>
        <w:tblStyle w:val="TableGrid"/>
        <w:tblW w:w="9634" w:type="dxa"/>
        <w:tblLayout w:type="fixed"/>
        <w:tblLook w:val="04A0" w:firstRow="1" w:lastRow="0" w:firstColumn="1" w:lastColumn="0" w:noHBand="0" w:noVBand="1"/>
      </w:tblPr>
      <w:tblGrid>
        <w:gridCol w:w="1295"/>
        <w:gridCol w:w="2433"/>
        <w:gridCol w:w="1654"/>
        <w:gridCol w:w="1751"/>
        <w:gridCol w:w="2501"/>
      </w:tblGrid>
      <w:tr w:rsidR="00E46B1A" w:rsidRPr="00E46B1A" w14:paraId="3736C51F" w14:textId="77777777" w:rsidTr="00E46B1A">
        <w:trPr>
          <w:trHeight w:val="60"/>
        </w:trPr>
        <w:tc>
          <w:tcPr>
            <w:tcW w:w="1295" w:type="dxa"/>
            <w:shd w:val="clear" w:color="auto" w:fill="0F1F35" w:themeFill="text2"/>
          </w:tcPr>
          <w:p w14:paraId="313142A2" w14:textId="07DB1EE4" w:rsidR="00E46B1A" w:rsidRPr="00E46B1A" w:rsidRDefault="00E46B1A" w:rsidP="007E0AD0">
            <w:pPr>
              <w:rPr>
                <w:b/>
                <w:bCs/>
                <w:color w:val="FFFFFF" w:themeColor="background1"/>
                <w:sz w:val="18"/>
                <w:szCs w:val="18"/>
              </w:rPr>
            </w:pPr>
            <w:r>
              <w:rPr>
                <w:b/>
                <w:bCs/>
                <w:color w:val="FFFFFF" w:themeColor="background1"/>
                <w:sz w:val="18"/>
                <w:szCs w:val="18"/>
              </w:rPr>
              <w:t xml:space="preserve">Option </w:t>
            </w:r>
          </w:p>
        </w:tc>
        <w:tc>
          <w:tcPr>
            <w:tcW w:w="2433" w:type="dxa"/>
            <w:shd w:val="clear" w:color="auto" w:fill="0F1F35" w:themeFill="text2"/>
          </w:tcPr>
          <w:p w14:paraId="49D60902" w14:textId="1544F5F3" w:rsidR="00E46B1A" w:rsidRPr="00E46B1A" w:rsidRDefault="00E46B1A" w:rsidP="00E46B1A">
            <w:pPr>
              <w:jc w:val="center"/>
              <w:rPr>
                <w:b/>
                <w:bCs/>
                <w:color w:val="FFFFFF" w:themeColor="background1"/>
                <w:sz w:val="18"/>
                <w:szCs w:val="18"/>
              </w:rPr>
            </w:pPr>
            <w:r>
              <w:rPr>
                <w:b/>
                <w:bCs/>
                <w:color w:val="FFFFFF" w:themeColor="background1"/>
                <w:sz w:val="18"/>
                <w:szCs w:val="18"/>
              </w:rPr>
              <w:t>Benefits</w:t>
            </w:r>
          </w:p>
        </w:tc>
        <w:tc>
          <w:tcPr>
            <w:tcW w:w="1654" w:type="dxa"/>
            <w:shd w:val="clear" w:color="auto" w:fill="0F1F35" w:themeFill="text2"/>
          </w:tcPr>
          <w:p w14:paraId="3324687F" w14:textId="7BAC2527" w:rsidR="00E46B1A" w:rsidRPr="00E46B1A" w:rsidRDefault="00E46B1A" w:rsidP="00E46B1A">
            <w:pPr>
              <w:jc w:val="center"/>
              <w:rPr>
                <w:b/>
                <w:bCs/>
                <w:color w:val="FFFFFF" w:themeColor="background1"/>
                <w:sz w:val="18"/>
                <w:szCs w:val="18"/>
              </w:rPr>
            </w:pPr>
            <w:r>
              <w:rPr>
                <w:b/>
                <w:bCs/>
                <w:color w:val="FFFFFF" w:themeColor="background1"/>
                <w:sz w:val="18"/>
                <w:szCs w:val="18"/>
              </w:rPr>
              <w:t>Other costs</w:t>
            </w:r>
          </w:p>
        </w:tc>
        <w:tc>
          <w:tcPr>
            <w:tcW w:w="1751" w:type="dxa"/>
            <w:shd w:val="clear" w:color="auto" w:fill="0F1F35" w:themeFill="text2"/>
          </w:tcPr>
          <w:p w14:paraId="16C990A7" w14:textId="43454D69" w:rsidR="00E46B1A" w:rsidRPr="00E46B1A" w:rsidRDefault="00E46B1A" w:rsidP="00E46B1A">
            <w:pPr>
              <w:jc w:val="center"/>
              <w:rPr>
                <w:b/>
                <w:bCs/>
                <w:color w:val="FFFFFF" w:themeColor="background1"/>
                <w:sz w:val="18"/>
                <w:szCs w:val="18"/>
              </w:rPr>
            </w:pPr>
            <w:r>
              <w:rPr>
                <w:b/>
                <w:bCs/>
                <w:color w:val="FFFFFF" w:themeColor="background1"/>
                <w:sz w:val="18"/>
                <w:szCs w:val="18"/>
              </w:rPr>
              <w:t>Net impact</w:t>
            </w:r>
          </w:p>
        </w:tc>
        <w:tc>
          <w:tcPr>
            <w:tcW w:w="2501" w:type="dxa"/>
            <w:shd w:val="clear" w:color="auto" w:fill="0F1F35" w:themeFill="text2"/>
          </w:tcPr>
          <w:p w14:paraId="4DBF1934" w14:textId="0A285DD2" w:rsidR="00E46B1A" w:rsidRPr="00E46B1A" w:rsidRDefault="00E46B1A" w:rsidP="00E46B1A">
            <w:pPr>
              <w:jc w:val="center"/>
              <w:rPr>
                <w:b/>
                <w:bCs/>
                <w:color w:val="FFFFFF" w:themeColor="background1"/>
                <w:sz w:val="18"/>
                <w:szCs w:val="18"/>
              </w:rPr>
            </w:pPr>
            <w:r>
              <w:rPr>
                <w:b/>
                <w:bCs/>
                <w:color w:val="FFFFFF" w:themeColor="background1"/>
                <w:sz w:val="18"/>
                <w:szCs w:val="18"/>
              </w:rPr>
              <w:t>Regulatory burden</w:t>
            </w:r>
          </w:p>
        </w:tc>
      </w:tr>
      <w:tr w:rsidR="00AC1348" w14:paraId="71E783B2" w14:textId="77777777" w:rsidTr="001045A1">
        <w:trPr>
          <w:trHeight w:val="2488"/>
        </w:trPr>
        <w:tc>
          <w:tcPr>
            <w:tcW w:w="1295" w:type="dxa"/>
          </w:tcPr>
          <w:p w14:paraId="57BFF93B" w14:textId="77777777" w:rsidR="00AC1348" w:rsidRPr="007D290C" w:rsidRDefault="00AC1348" w:rsidP="007E0AD0">
            <w:pPr>
              <w:rPr>
                <w:sz w:val="18"/>
                <w:szCs w:val="18"/>
              </w:rPr>
            </w:pPr>
            <w:r w:rsidRPr="007D290C">
              <w:rPr>
                <w:sz w:val="18"/>
                <w:szCs w:val="18"/>
              </w:rPr>
              <w:t xml:space="preserve">Proposed: </w:t>
            </w:r>
            <w:r>
              <w:rPr>
                <w:sz w:val="18"/>
                <w:szCs w:val="18"/>
              </w:rPr>
              <w:t>D&amp;I</w:t>
            </w:r>
            <w:r w:rsidRPr="007D290C">
              <w:rPr>
                <w:sz w:val="18"/>
                <w:szCs w:val="18"/>
              </w:rPr>
              <w:t xml:space="preserve"> Standard</w:t>
            </w:r>
          </w:p>
        </w:tc>
        <w:tc>
          <w:tcPr>
            <w:tcW w:w="2433" w:type="dxa"/>
          </w:tcPr>
          <w:p w14:paraId="7AC92046" w14:textId="77777777" w:rsidR="00AC1348" w:rsidRPr="007D290C" w:rsidRDefault="00AC1348" w:rsidP="007E0AD0">
            <w:pPr>
              <w:rPr>
                <w:sz w:val="18"/>
                <w:szCs w:val="18"/>
              </w:rPr>
            </w:pPr>
            <w:r w:rsidRPr="007D290C">
              <w:rPr>
                <w:sz w:val="18"/>
                <w:szCs w:val="18"/>
              </w:rPr>
              <w:t>A contributory portion of the overall $3,045,000,000 p/a in reduced delay costs for the further information pathway. Improved environmental outcomes; greater certainty; more consistent decisions.</w:t>
            </w:r>
          </w:p>
        </w:tc>
        <w:tc>
          <w:tcPr>
            <w:tcW w:w="1654" w:type="dxa"/>
          </w:tcPr>
          <w:p w14:paraId="10E82773" w14:textId="77777777" w:rsidR="00AC1348" w:rsidRPr="007D290C" w:rsidRDefault="00AC1348" w:rsidP="007E0AD0">
            <w:pPr>
              <w:rPr>
                <w:sz w:val="18"/>
                <w:szCs w:val="18"/>
              </w:rPr>
            </w:pPr>
            <w:r w:rsidRPr="007D290C">
              <w:rPr>
                <w:sz w:val="18"/>
                <w:szCs w:val="18"/>
              </w:rPr>
              <w:t xml:space="preserve">Compliance, evidence and transition costs. </w:t>
            </w:r>
          </w:p>
          <w:p w14:paraId="353E30BC" w14:textId="77777777" w:rsidR="00AC1348" w:rsidRPr="007D290C" w:rsidRDefault="00AC1348" w:rsidP="007E0AD0">
            <w:pPr>
              <w:rPr>
                <w:sz w:val="18"/>
                <w:szCs w:val="18"/>
              </w:rPr>
            </w:pPr>
          </w:p>
        </w:tc>
        <w:tc>
          <w:tcPr>
            <w:tcW w:w="1751" w:type="dxa"/>
          </w:tcPr>
          <w:p w14:paraId="2DE05A7D" w14:textId="77777777" w:rsidR="00AC1348" w:rsidRPr="007D290C" w:rsidRDefault="00AC1348" w:rsidP="007E0AD0">
            <w:pPr>
              <w:rPr>
                <w:sz w:val="18"/>
                <w:szCs w:val="18"/>
              </w:rPr>
            </w:pPr>
            <w:r w:rsidRPr="007D290C">
              <w:rPr>
                <w:sz w:val="18"/>
                <w:szCs w:val="18"/>
              </w:rPr>
              <w:t>These have not been quantified, but costs are expected to be ameliorated by the benefits in more efficient assessment pathways.</w:t>
            </w:r>
          </w:p>
        </w:tc>
        <w:tc>
          <w:tcPr>
            <w:tcW w:w="2501" w:type="dxa"/>
          </w:tcPr>
          <w:p w14:paraId="12FC3E1C" w14:textId="77777777" w:rsidR="00AC1348" w:rsidRPr="007D290C" w:rsidRDefault="00AC1348" w:rsidP="007E0AD0">
            <w:pPr>
              <w:rPr>
                <w:sz w:val="18"/>
                <w:szCs w:val="18"/>
              </w:rPr>
            </w:pPr>
            <w:r w:rsidRPr="007D290C">
              <w:rPr>
                <w:sz w:val="18"/>
                <w:szCs w:val="18"/>
              </w:rPr>
              <w:t>A contributory portion of the overall minimum $3,045,000,000 p/a in reduced regulatory burden.</w:t>
            </w:r>
          </w:p>
        </w:tc>
      </w:tr>
      <w:tr w:rsidR="00AC1348" w14:paraId="40541693" w14:textId="77777777" w:rsidTr="001045A1">
        <w:trPr>
          <w:trHeight w:val="1981"/>
        </w:trPr>
        <w:tc>
          <w:tcPr>
            <w:tcW w:w="1295" w:type="dxa"/>
          </w:tcPr>
          <w:p w14:paraId="59B44776" w14:textId="77777777" w:rsidR="00AC1348" w:rsidRPr="007D290C" w:rsidRDefault="00AC1348" w:rsidP="007E0AD0">
            <w:pPr>
              <w:rPr>
                <w:sz w:val="18"/>
                <w:szCs w:val="18"/>
              </w:rPr>
            </w:pPr>
            <w:r w:rsidRPr="007D290C">
              <w:rPr>
                <w:sz w:val="18"/>
                <w:szCs w:val="18"/>
              </w:rPr>
              <w:lastRenderedPageBreak/>
              <w:t xml:space="preserve">Alternative: </w:t>
            </w:r>
            <w:r>
              <w:rPr>
                <w:sz w:val="18"/>
                <w:szCs w:val="18"/>
              </w:rPr>
              <w:t xml:space="preserve">Policy </w:t>
            </w:r>
            <w:r w:rsidRPr="007D290C">
              <w:rPr>
                <w:sz w:val="18"/>
                <w:szCs w:val="18"/>
              </w:rPr>
              <w:t>Guidance only</w:t>
            </w:r>
          </w:p>
        </w:tc>
        <w:tc>
          <w:tcPr>
            <w:tcW w:w="2433" w:type="dxa"/>
          </w:tcPr>
          <w:p w14:paraId="7426672F" w14:textId="77777777" w:rsidR="00AC1348" w:rsidRPr="007D290C" w:rsidRDefault="00AC1348" w:rsidP="007E0AD0">
            <w:pPr>
              <w:rPr>
                <w:sz w:val="18"/>
                <w:szCs w:val="18"/>
              </w:rPr>
            </w:pPr>
            <w:r w:rsidRPr="007D290C">
              <w:rPr>
                <w:sz w:val="18"/>
                <w:szCs w:val="18"/>
              </w:rPr>
              <w:t>Some transparency benefits</w:t>
            </w:r>
          </w:p>
        </w:tc>
        <w:tc>
          <w:tcPr>
            <w:tcW w:w="1654" w:type="dxa"/>
          </w:tcPr>
          <w:p w14:paraId="005176CE" w14:textId="77777777" w:rsidR="00AC1348" w:rsidRPr="007D290C" w:rsidRDefault="00AC1348" w:rsidP="007E0AD0">
            <w:pPr>
              <w:rPr>
                <w:sz w:val="18"/>
                <w:szCs w:val="18"/>
              </w:rPr>
            </w:pPr>
            <w:r w:rsidRPr="007D290C">
              <w:rPr>
                <w:sz w:val="18"/>
                <w:szCs w:val="18"/>
              </w:rPr>
              <w:t>Low implementation cost</w:t>
            </w:r>
          </w:p>
        </w:tc>
        <w:tc>
          <w:tcPr>
            <w:tcW w:w="1751" w:type="dxa"/>
          </w:tcPr>
          <w:p w14:paraId="504772B5" w14:textId="77777777" w:rsidR="00AC1348" w:rsidRPr="007D290C" w:rsidRDefault="00AC1348" w:rsidP="007E0AD0">
            <w:pPr>
              <w:rPr>
                <w:sz w:val="18"/>
                <w:szCs w:val="18"/>
              </w:rPr>
            </w:pPr>
            <w:r w:rsidRPr="007D290C">
              <w:rPr>
                <w:sz w:val="18"/>
                <w:szCs w:val="18"/>
              </w:rPr>
              <w:t>Limited net benefit</w:t>
            </w:r>
          </w:p>
        </w:tc>
        <w:tc>
          <w:tcPr>
            <w:tcW w:w="2501" w:type="dxa"/>
          </w:tcPr>
          <w:p w14:paraId="60087A99" w14:textId="77777777" w:rsidR="00AC1348" w:rsidRPr="007D290C" w:rsidRDefault="00AC1348" w:rsidP="007E0AD0">
            <w:pPr>
              <w:rPr>
                <w:sz w:val="18"/>
                <w:szCs w:val="18"/>
              </w:rPr>
            </w:pPr>
            <w:r w:rsidRPr="007D290C">
              <w:rPr>
                <w:sz w:val="18"/>
                <w:szCs w:val="18"/>
              </w:rPr>
              <w:t xml:space="preserve">Expected to reduce benefits as would not sufficiently provide guidance on </w:t>
            </w:r>
            <w:r>
              <w:rPr>
                <w:sz w:val="18"/>
                <w:szCs w:val="18"/>
              </w:rPr>
              <w:t>D&amp;I</w:t>
            </w:r>
            <w:r w:rsidRPr="007D290C">
              <w:rPr>
                <w:sz w:val="18"/>
                <w:szCs w:val="18"/>
              </w:rPr>
              <w:t>, Ministerial discretion would remain high. Further information request</w:t>
            </w:r>
            <w:r>
              <w:rPr>
                <w:sz w:val="18"/>
                <w:szCs w:val="18"/>
              </w:rPr>
              <w:t>s</w:t>
            </w:r>
            <w:r w:rsidRPr="007D290C">
              <w:rPr>
                <w:sz w:val="18"/>
                <w:szCs w:val="18"/>
              </w:rPr>
              <w:t xml:space="preserve"> anticipated.</w:t>
            </w:r>
          </w:p>
        </w:tc>
      </w:tr>
    </w:tbl>
    <w:p w14:paraId="74F2DAD1" w14:textId="77777777" w:rsidR="00AC1348" w:rsidRPr="0004246F" w:rsidRDefault="00AC1348" w:rsidP="00AC1348">
      <w:pPr>
        <w:pStyle w:val="Heading2"/>
      </w:pPr>
      <w:r w:rsidRPr="0004246F">
        <w:t>Economic</w:t>
      </w:r>
      <w:r>
        <w:t xml:space="preserve"> and</w:t>
      </w:r>
      <w:r w:rsidRPr="0004246F">
        <w:t xml:space="preserve"> social impacts</w:t>
      </w:r>
    </w:p>
    <w:tbl>
      <w:tblPr>
        <w:tblStyle w:val="Style1"/>
        <w:tblW w:w="9634" w:type="dxa"/>
        <w:tblBorders>
          <w:top w:val="single" w:sz="4" w:space="0" w:color="0F1F35" w:themeColor="text2"/>
          <w:left w:val="single" w:sz="4" w:space="0" w:color="0F1F35" w:themeColor="text2"/>
          <w:bottom w:val="single" w:sz="4" w:space="0" w:color="0F1F35" w:themeColor="text2"/>
          <w:right w:val="single" w:sz="4" w:space="0" w:color="0F1F35" w:themeColor="text2"/>
          <w:insideH w:val="single" w:sz="4" w:space="0" w:color="0F1F35" w:themeColor="text2"/>
          <w:insideV w:val="single" w:sz="4" w:space="0" w:color="0F1F35" w:themeColor="text2"/>
        </w:tblBorders>
        <w:tblCellMar>
          <w:left w:w="85" w:type="dxa"/>
          <w:right w:w="85" w:type="dxa"/>
        </w:tblCellMar>
        <w:tblLook w:val="0620" w:firstRow="1" w:lastRow="0" w:firstColumn="0" w:lastColumn="0" w:noHBand="1" w:noVBand="1"/>
      </w:tblPr>
      <w:tblGrid>
        <w:gridCol w:w="3681"/>
        <w:gridCol w:w="5953"/>
      </w:tblGrid>
      <w:tr w:rsidR="00AC1348" w14:paraId="02DA6BB9" w14:textId="77777777" w:rsidTr="007E0AD0">
        <w:trPr>
          <w:cnfStyle w:val="100000000000" w:firstRow="1" w:lastRow="0" w:firstColumn="0" w:lastColumn="0" w:oddVBand="0" w:evenVBand="0" w:oddHBand="0" w:evenHBand="0" w:firstRowFirstColumn="0" w:firstRowLastColumn="0" w:lastRowFirstColumn="0" w:lastRowLastColumn="0"/>
          <w:tblHeader/>
        </w:trPr>
        <w:tc>
          <w:tcPr>
            <w:tcW w:w="3681" w:type="dxa"/>
            <w:tcBorders>
              <w:bottom w:val="single" w:sz="8" w:space="0" w:color="0F1F35" w:themeColor="text2"/>
            </w:tcBorders>
            <w:shd w:val="clear" w:color="auto" w:fill="0F1F35" w:themeFill="text2"/>
          </w:tcPr>
          <w:p w14:paraId="23C186D4" w14:textId="77777777" w:rsidR="00AC1348" w:rsidRPr="00473172" w:rsidRDefault="00AC1348" w:rsidP="007E0AD0">
            <w:pPr>
              <w:pStyle w:val="TBLText"/>
              <w:spacing w:after="0"/>
              <w:rPr>
                <w:color w:val="FFFFFF" w:themeColor="background1"/>
              </w:rPr>
            </w:pPr>
            <w:r w:rsidRPr="00473172">
              <w:rPr>
                <w:color w:val="FFFFFF" w:themeColor="background1"/>
              </w:rPr>
              <w:t>Status quo</w:t>
            </w:r>
          </w:p>
        </w:tc>
        <w:tc>
          <w:tcPr>
            <w:tcW w:w="5953" w:type="dxa"/>
            <w:tcBorders>
              <w:bottom w:val="single" w:sz="8" w:space="0" w:color="0F1F35" w:themeColor="text2"/>
            </w:tcBorders>
            <w:shd w:val="clear" w:color="auto" w:fill="0F1F35" w:themeFill="text2"/>
          </w:tcPr>
          <w:p w14:paraId="525E3314" w14:textId="77777777" w:rsidR="00AC1348" w:rsidRPr="00473172" w:rsidRDefault="00AC1348" w:rsidP="007E0AD0">
            <w:pPr>
              <w:pStyle w:val="TBLText"/>
              <w:spacing w:after="0"/>
              <w:rPr>
                <w:color w:val="FFFFFF" w:themeColor="background1"/>
              </w:rPr>
            </w:pPr>
            <w:r w:rsidRPr="00473172">
              <w:rPr>
                <w:color w:val="FFFFFF" w:themeColor="background1"/>
              </w:rPr>
              <w:t>Proposed option</w:t>
            </w:r>
          </w:p>
        </w:tc>
      </w:tr>
      <w:tr w:rsidR="00AC1348" w:rsidRPr="004D3335" w14:paraId="2D4F1671" w14:textId="77777777" w:rsidTr="007E0AD0">
        <w:tc>
          <w:tcPr>
            <w:tcW w:w="3681" w:type="dxa"/>
            <w:tcBorders>
              <w:top w:val="single" w:sz="8" w:space="0" w:color="0F1F35" w:themeColor="text2"/>
              <w:left w:val="single" w:sz="8" w:space="0" w:color="0F1F35" w:themeColor="text2"/>
              <w:bottom w:val="single" w:sz="8" w:space="0" w:color="0F1F35" w:themeColor="text2"/>
              <w:right w:val="single" w:sz="8" w:space="0" w:color="0F1F35" w:themeColor="text2"/>
            </w:tcBorders>
          </w:tcPr>
          <w:p w14:paraId="10634970" w14:textId="77777777" w:rsidR="00AC1348" w:rsidRPr="00B10C52" w:rsidRDefault="00AC1348" w:rsidP="007E0AD0">
            <w:pPr>
              <w:pStyle w:val="TBLText"/>
              <w:rPr>
                <w:color w:val="auto"/>
              </w:rPr>
            </w:pPr>
            <w:r w:rsidRPr="00B10C52">
              <w:rPr>
                <w:color w:val="auto"/>
              </w:rPr>
              <w:t xml:space="preserve">People, business and other groups will not be aware of the evidence required to assess the impacts of proposals, leading to requests for further information. </w:t>
            </w:r>
          </w:p>
          <w:p w14:paraId="4C050E21" w14:textId="77777777" w:rsidR="00AC1348" w:rsidRPr="00B10C52" w:rsidRDefault="00AC1348" w:rsidP="007E0AD0">
            <w:pPr>
              <w:pStyle w:val="TBLText"/>
              <w:rPr>
                <w:color w:val="auto"/>
              </w:rPr>
            </w:pPr>
            <w:r w:rsidRPr="00B10C52">
              <w:rPr>
                <w:color w:val="auto"/>
              </w:rPr>
              <w:t>Ministerial decision-making would remain inconsistent and not transparent. Multiple requests for additional information would likely continue.</w:t>
            </w:r>
          </w:p>
          <w:p w14:paraId="78FBDA8E" w14:textId="77777777" w:rsidR="00AC1348" w:rsidRPr="00016FDA" w:rsidRDefault="00AC1348" w:rsidP="007E0AD0">
            <w:pPr>
              <w:pStyle w:val="TBLText"/>
              <w:rPr>
                <w:color w:val="auto"/>
              </w:rPr>
            </w:pPr>
          </w:p>
        </w:tc>
        <w:tc>
          <w:tcPr>
            <w:tcW w:w="5953" w:type="dxa"/>
            <w:tcBorders>
              <w:top w:val="single" w:sz="8" w:space="0" w:color="0F1F35" w:themeColor="text2"/>
              <w:left w:val="single" w:sz="8" w:space="0" w:color="0F1F35" w:themeColor="text2"/>
              <w:bottom w:val="single" w:sz="8" w:space="0" w:color="0F1F35" w:themeColor="text2"/>
              <w:right w:val="single" w:sz="8" w:space="0" w:color="0F1F35" w:themeColor="text2"/>
            </w:tcBorders>
          </w:tcPr>
          <w:p w14:paraId="70FC803B" w14:textId="77777777" w:rsidR="00AC1348" w:rsidRDefault="00AC1348" w:rsidP="007E0AD0">
            <w:pPr>
              <w:rPr>
                <w:sz w:val="18"/>
                <w:szCs w:val="18"/>
              </w:rPr>
            </w:pPr>
            <w:r w:rsidRPr="008B4861">
              <w:rPr>
                <w:sz w:val="18"/>
                <w:szCs w:val="18"/>
              </w:rPr>
              <w:t>Standards will support the operation of a reformed EPBC Act by clarifying expectations for data and information to support regulated activities and uplifting the quality and consistency of decision-making. </w:t>
            </w:r>
            <w:r>
              <w:rPr>
                <w:sz w:val="18"/>
                <w:szCs w:val="18"/>
              </w:rPr>
              <w:t>By making a Standard to which the Minister must have regard, this will lead to c</w:t>
            </w:r>
            <w:r w:rsidRPr="008370A8">
              <w:rPr>
                <w:sz w:val="18"/>
                <w:szCs w:val="18"/>
              </w:rPr>
              <w:t xml:space="preserve">learer expectations, improved transparency, increased confidence in decisions </w:t>
            </w:r>
            <w:r w:rsidRPr="008B4861">
              <w:rPr>
                <w:sz w:val="18"/>
                <w:szCs w:val="18"/>
              </w:rPr>
              <w:t>and better outcomes for protected matters. Benefits are expected across proponents, governments, First Nations stakeholders and communities. Business should see the greatest benefit in reduced regulatory burden and administration costs.</w:t>
            </w:r>
          </w:p>
          <w:p w14:paraId="21D04102" w14:textId="77777777" w:rsidR="00AC1348" w:rsidRPr="00790DAC" w:rsidRDefault="00AC1348" w:rsidP="007E0AD0">
            <w:pPr>
              <w:rPr>
                <w:sz w:val="18"/>
                <w:szCs w:val="18"/>
              </w:rPr>
            </w:pPr>
            <w:r w:rsidRPr="088FE665">
              <w:rPr>
                <w:sz w:val="18"/>
                <w:szCs w:val="18"/>
              </w:rPr>
              <w:t xml:space="preserve">The D&amp;I Standard makes best practice data and information usage transparent, allowing for </w:t>
            </w:r>
            <w:r w:rsidRPr="00790DAC">
              <w:rPr>
                <w:sz w:val="18"/>
                <w:szCs w:val="18"/>
              </w:rPr>
              <w:t>reusability to avoid cost, where practicable and appropriate.</w:t>
            </w:r>
          </w:p>
          <w:p w14:paraId="4D5AC104" w14:textId="77777777" w:rsidR="00AC1348" w:rsidRPr="00790DAC" w:rsidRDefault="00AC1348" w:rsidP="007E0AD0">
            <w:pPr>
              <w:pStyle w:val="TBLText"/>
              <w:rPr>
                <w:b/>
                <w:bCs/>
                <w:color w:val="auto"/>
              </w:rPr>
            </w:pPr>
            <w:r w:rsidRPr="00790DAC">
              <w:rPr>
                <w:b/>
                <w:bCs/>
                <w:color w:val="auto"/>
              </w:rPr>
              <w:t xml:space="preserve">Stakeholder views: </w:t>
            </w:r>
          </w:p>
          <w:p w14:paraId="2DABA7BF" w14:textId="77777777" w:rsidR="00AC1348" w:rsidRPr="00016FDA" w:rsidRDefault="00AC1348" w:rsidP="007E0AD0">
            <w:pPr>
              <w:pStyle w:val="TBLText"/>
              <w:rPr>
                <w:color w:val="auto"/>
              </w:rPr>
            </w:pPr>
            <w:r w:rsidRPr="00790DAC">
              <w:rPr>
                <w:color w:val="auto"/>
              </w:rPr>
              <w:t>Stakeholders across sectors are broadly supportive of the D&amp;I Standard’s intent and underlying principles.</w:t>
            </w:r>
          </w:p>
        </w:tc>
      </w:tr>
    </w:tbl>
    <w:p w14:paraId="4E1CAE8A" w14:textId="77777777" w:rsidR="00AC1348" w:rsidRDefault="00AC1348" w:rsidP="00AC1348">
      <w:pPr>
        <w:pStyle w:val="Heading2"/>
      </w:pPr>
      <w:r w:rsidRPr="001A5542">
        <w:t xml:space="preserve">Regulatory </w:t>
      </w:r>
      <w:r>
        <w:t>burden</w:t>
      </w:r>
    </w:p>
    <w:tbl>
      <w:tblPr>
        <w:tblStyle w:val="Style1"/>
        <w:tblW w:w="9634" w:type="dxa"/>
        <w:tblBorders>
          <w:top w:val="single" w:sz="4" w:space="0" w:color="0F1F35" w:themeColor="text2"/>
          <w:left w:val="single" w:sz="4" w:space="0" w:color="0F1F35" w:themeColor="text2"/>
          <w:bottom w:val="single" w:sz="4" w:space="0" w:color="0F1F35" w:themeColor="text2"/>
          <w:right w:val="single" w:sz="4" w:space="0" w:color="0F1F35" w:themeColor="text2"/>
          <w:insideH w:val="single" w:sz="4" w:space="0" w:color="0F1F35" w:themeColor="text2"/>
          <w:insideV w:val="single" w:sz="4" w:space="0" w:color="0F1F35" w:themeColor="text2"/>
        </w:tblBorders>
        <w:tblCellMar>
          <w:left w:w="85" w:type="dxa"/>
          <w:right w:w="85" w:type="dxa"/>
        </w:tblCellMar>
        <w:tblLook w:val="0620" w:firstRow="1" w:lastRow="0" w:firstColumn="0" w:lastColumn="0" w:noHBand="1" w:noVBand="1"/>
      </w:tblPr>
      <w:tblGrid>
        <w:gridCol w:w="3681"/>
        <w:gridCol w:w="5953"/>
      </w:tblGrid>
      <w:tr w:rsidR="00AC1348" w14:paraId="46296C27" w14:textId="77777777" w:rsidTr="007E0AD0">
        <w:trPr>
          <w:cnfStyle w:val="100000000000" w:firstRow="1" w:lastRow="0" w:firstColumn="0" w:lastColumn="0" w:oddVBand="0" w:evenVBand="0" w:oddHBand="0" w:evenHBand="0" w:firstRowFirstColumn="0" w:firstRowLastColumn="0" w:lastRowFirstColumn="0" w:lastRowLastColumn="0"/>
          <w:trHeight w:val="200"/>
          <w:tblHeader/>
        </w:trPr>
        <w:tc>
          <w:tcPr>
            <w:tcW w:w="3681" w:type="dxa"/>
            <w:shd w:val="clear" w:color="auto" w:fill="0F1F35" w:themeFill="text2"/>
          </w:tcPr>
          <w:p w14:paraId="3D60B488" w14:textId="77777777" w:rsidR="00AC1348" w:rsidRPr="00473172" w:rsidRDefault="00AC1348" w:rsidP="007E0AD0">
            <w:pPr>
              <w:pStyle w:val="TBLText"/>
              <w:spacing w:after="0"/>
              <w:rPr>
                <w:color w:val="FFFFFF" w:themeColor="background1"/>
              </w:rPr>
            </w:pPr>
            <w:r w:rsidRPr="00473172">
              <w:rPr>
                <w:color w:val="FFFFFF" w:themeColor="background1"/>
              </w:rPr>
              <w:t>Status quo</w:t>
            </w:r>
          </w:p>
        </w:tc>
        <w:tc>
          <w:tcPr>
            <w:tcW w:w="5953" w:type="dxa"/>
            <w:shd w:val="clear" w:color="auto" w:fill="0F1F35" w:themeFill="text2"/>
          </w:tcPr>
          <w:p w14:paraId="41FA9B6D" w14:textId="77777777" w:rsidR="00AC1348" w:rsidRPr="00473172" w:rsidRDefault="00AC1348" w:rsidP="007E0AD0">
            <w:pPr>
              <w:pStyle w:val="TBLText"/>
              <w:spacing w:after="0"/>
              <w:rPr>
                <w:color w:val="FFFFFF" w:themeColor="background1"/>
              </w:rPr>
            </w:pPr>
            <w:r w:rsidRPr="00473172">
              <w:rPr>
                <w:color w:val="FFFFFF" w:themeColor="background1"/>
              </w:rPr>
              <w:t>Proposed option</w:t>
            </w:r>
          </w:p>
        </w:tc>
      </w:tr>
      <w:tr w:rsidR="00AC1348" w:rsidRPr="004D3335" w14:paraId="2BFF1B28" w14:textId="77777777" w:rsidTr="007E0AD0">
        <w:tc>
          <w:tcPr>
            <w:tcW w:w="3681" w:type="dxa"/>
          </w:tcPr>
          <w:p w14:paraId="3E26FFEA" w14:textId="77777777" w:rsidR="00AC1348" w:rsidRPr="00016FDA" w:rsidRDefault="00AC1348" w:rsidP="007E0AD0">
            <w:pPr>
              <w:pStyle w:val="TBLText"/>
              <w:rPr>
                <w:color w:val="auto"/>
              </w:rPr>
            </w:pPr>
            <w:r w:rsidRPr="00016FDA">
              <w:rPr>
                <w:b/>
                <w:bCs/>
                <w:color w:val="auto"/>
              </w:rPr>
              <w:t>Assessment of any existing compliance and/or delay costs:</w:t>
            </w:r>
          </w:p>
          <w:p w14:paraId="7934957D" w14:textId="77777777" w:rsidR="00AC1348" w:rsidRPr="00B10C52" w:rsidRDefault="00AC1348" w:rsidP="007E0AD0">
            <w:pPr>
              <w:pStyle w:val="TBLText"/>
              <w:rPr>
                <w:color w:val="auto"/>
              </w:rPr>
            </w:pPr>
            <w:r w:rsidRPr="00B10C52">
              <w:rPr>
                <w:color w:val="auto"/>
              </w:rPr>
              <w:t>These costs are outlined in the Addendum.</w:t>
            </w:r>
          </w:p>
          <w:p w14:paraId="7157C24F" w14:textId="77777777" w:rsidR="00AC1348" w:rsidRPr="00B10C52" w:rsidRDefault="00AC1348" w:rsidP="007E0AD0">
            <w:pPr>
              <w:pStyle w:val="TBLText"/>
              <w:rPr>
                <w:color w:val="auto"/>
              </w:rPr>
            </w:pPr>
            <w:r w:rsidRPr="00B10C52">
              <w:rPr>
                <w:color w:val="auto"/>
              </w:rPr>
              <w:t>Data and information expectations are articulated on a case-by-case basis which lacks transparency leading to potentially inconsistent burdens and outcomes.</w:t>
            </w:r>
          </w:p>
          <w:p w14:paraId="4EC6521A" w14:textId="77777777" w:rsidR="00AC1348" w:rsidRPr="00016FDA" w:rsidRDefault="00AC1348" w:rsidP="007E0AD0">
            <w:pPr>
              <w:pStyle w:val="TBLText"/>
              <w:rPr>
                <w:color w:val="auto"/>
              </w:rPr>
            </w:pPr>
          </w:p>
        </w:tc>
        <w:tc>
          <w:tcPr>
            <w:tcW w:w="5953" w:type="dxa"/>
          </w:tcPr>
          <w:p w14:paraId="29487D99" w14:textId="77777777" w:rsidR="00AC1348" w:rsidRPr="004F28B6" w:rsidRDefault="00AC1348" w:rsidP="007E0AD0">
            <w:pPr>
              <w:rPr>
                <w:sz w:val="18"/>
                <w:szCs w:val="18"/>
              </w:rPr>
            </w:pPr>
            <w:r w:rsidRPr="088FE665">
              <w:rPr>
                <w:sz w:val="18"/>
                <w:szCs w:val="18"/>
              </w:rPr>
              <w:t xml:space="preserve">By clarifying and explicitly stating expected data and information standards, the D&amp;I Standard may require administrative work to adjust approaches by businesses seeking EPBC Act approvals. These impacts are expected to be offset by reduced uncertainty, fewer </w:t>
            </w:r>
            <w:r w:rsidRPr="004F28B6">
              <w:rPr>
                <w:sz w:val="18"/>
                <w:szCs w:val="18"/>
              </w:rPr>
              <w:t xml:space="preserve">information requests and more and consistent efficient assessments. </w:t>
            </w:r>
          </w:p>
          <w:p w14:paraId="5D071B5D" w14:textId="77777777" w:rsidR="00AC1348" w:rsidRPr="004F28B6" w:rsidRDefault="00AC1348" w:rsidP="007E0AD0">
            <w:pPr>
              <w:pStyle w:val="TBLText"/>
              <w:rPr>
                <w:b/>
                <w:bCs/>
                <w:color w:val="auto"/>
              </w:rPr>
            </w:pPr>
            <w:r w:rsidRPr="004F28B6">
              <w:rPr>
                <w:b/>
                <w:bCs/>
                <w:color w:val="auto"/>
              </w:rPr>
              <w:t>Change in the regulatory burden:</w:t>
            </w:r>
          </w:p>
          <w:p w14:paraId="74B1B53E" w14:textId="77777777" w:rsidR="00AC1348" w:rsidRPr="004F28B6" w:rsidRDefault="00AC1348" w:rsidP="007E0AD0">
            <w:pPr>
              <w:rPr>
                <w:sz w:val="18"/>
                <w:szCs w:val="18"/>
              </w:rPr>
            </w:pPr>
            <w:r w:rsidRPr="004F28B6">
              <w:rPr>
                <w:sz w:val="18"/>
                <w:szCs w:val="18"/>
              </w:rPr>
              <w:t xml:space="preserve">The Department has assessed the administrative effort anticipated by the D&amp;I Standard and considers that on </w:t>
            </w:r>
            <w:proofErr w:type="gramStart"/>
            <w:r w:rsidRPr="004F28B6">
              <w:rPr>
                <w:sz w:val="18"/>
                <w:szCs w:val="18"/>
              </w:rPr>
              <w:t>balance,</w:t>
            </w:r>
            <w:proofErr w:type="gramEnd"/>
            <w:r w:rsidRPr="004F28B6">
              <w:rPr>
                <w:sz w:val="18"/>
                <w:szCs w:val="18"/>
              </w:rPr>
              <w:t xml:space="preserve"> the D&amp;I Standard creates greater certainty as to administrative tasks required to obtain approvals under the new provisions of the Act.</w:t>
            </w:r>
          </w:p>
          <w:p w14:paraId="60831265" w14:textId="77777777" w:rsidR="00AC1348" w:rsidRPr="004F28B6" w:rsidRDefault="00AC1348" w:rsidP="007E0AD0">
            <w:pPr>
              <w:rPr>
                <w:sz w:val="18"/>
                <w:szCs w:val="18"/>
              </w:rPr>
            </w:pPr>
            <w:r w:rsidRPr="004F28B6">
              <w:rPr>
                <w:sz w:val="18"/>
                <w:szCs w:val="18"/>
              </w:rPr>
              <w:t xml:space="preserve">Consultation feedback across sectors was broadly supportive of the D&amp;I Standard’s intent and underlying principles. </w:t>
            </w:r>
          </w:p>
          <w:p w14:paraId="1F6584BC" w14:textId="77777777" w:rsidR="00AC1348" w:rsidRPr="004F28B6" w:rsidRDefault="00AC1348" w:rsidP="007E0AD0">
            <w:pPr>
              <w:rPr>
                <w:b/>
                <w:bCs/>
                <w:sz w:val="18"/>
                <w:szCs w:val="18"/>
              </w:rPr>
            </w:pPr>
            <w:r w:rsidRPr="004F28B6">
              <w:rPr>
                <w:b/>
                <w:bCs/>
                <w:sz w:val="18"/>
                <w:szCs w:val="18"/>
              </w:rPr>
              <w:t>Stakeholder views:</w:t>
            </w:r>
          </w:p>
          <w:p w14:paraId="14A1E42F" w14:textId="77777777" w:rsidR="00AC1348" w:rsidRPr="004F28B6" w:rsidRDefault="00AC1348" w:rsidP="007E0AD0">
            <w:pPr>
              <w:rPr>
                <w:sz w:val="18"/>
                <w:szCs w:val="18"/>
              </w:rPr>
            </w:pPr>
            <w:r w:rsidRPr="004F28B6">
              <w:rPr>
                <w:sz w:val="18"/>
                <w:szCs w:val="18"/>
              </w:rPr>
              <w:t xml:space="preserve">There is broad support for the D&amp;I Standard, but feedback was received regarding the concept of ‘reuse’, data control and protection and how it handles First Nations Knowledge. Environment groups were also </w:t>
            </w:r>
            <w:r w:rsidRPr="004F28B6">
              <w:rPr>
                <w:sz w:val="18"/>
                <w:szCs w:val="18"/>
              </w:rPr>
              <w:lastRenderedPageBreak/>
              <w:t>concerned about the use of an ‘other evidence’ pathway to meet the D&amp;I Standard, whereas industry is more supportive as it provides more flexibility.</w:t>
            </w:r>
          </w:p>
          <w:p w14:paraId="21BBA848" w14:textId="77777777" w:rsidR="00AC1348" w:rsidRPr="004F28B6" w:rsidRDefault="00AC1348" w:rsidP="007E0AD0">
            <w:pPr>
              <w:rPr>
                <w:sz w:val="18"/>
                <w:szCs w:val="18"/>
              </w:rPr>
            </w:pPr>
            <w:r w:rsidRPr="004F28B6">
              <w:rPr>
                <w:sz w:val="18"/>
                <w:szCs w:val="18"/>
              </w:rPr>
              <w:t>The D&amp;I Standard was updated following consultation to clarify the ‘other evidence’ pathway, and refer explicitly to indigenous knowledge, and enable reuse of data where practicable, subject to consent and confidentiality arrangements.</w:t>
            </w:r>
          </w:p>
          <w:p w14:paraId="37339764" w14:textId="77777777" w:rsidR="00AC1348" w:rsidRPr="004F28B6" w:rsidRDefault="00AC1348" w:rsidP="007E0AD0">
            <w:pPr>
              <w:rPr>
                <w:sz w:val="18"/>
                <w:szCs w:val="18"/>
              </w:rPr>
            </w:pPr>
            <w:r w:rsidRPr="004F28B6">
              <w:rPr>
                <w:sz w:val="18"/>
                <w:szCs w:val="18"/>
              </w:rPr>
              <w:t>Whilst business stakeholders raised concerns about integrating Standards within existing systems, these costs have been assessed by the Addendum report using a net present methodology that confirms that the longer-term net benefits of the reform measures will be delivered over time.</w:t>
            </w:r>
          </w:p>
          <w:p w14:paraId="5143AADF" w14:textId="77777777" w:rsidR="00AC1348" w:rsidRPr="00016FDA" w:rsidRDefault="00AC1348" w:rsidP="007E0AD0">
            <w:pPr>
              <w:pStyle w:val="TBLText"/>
              <w:rPr>
                <w:color w:val="auto"/>
              </w:rPr>
            </w:pPr>
            <w:r w:rsidRPr="004F28B6">
              <w:rPr>
                <w:color w:val="auto"/>
              </w:rPr>
              <w:t xml:space="preserve">Submissions raised the need for practical guidance, which is outside the scope of this assessment. </w:t>
            </w:r>
            <w:r w:rsidRPr="004F28B6" w:rsidDel="00066622">
              <w:rPr>
                <w:color w:val="auto"/>
                <w:lang w:val="en-US"/>
              </w:rPr>
              <w:t xml:space="preserve"> </w:t>
            </w:r>
          </w:p>
        </w:tc>
      </w:tr>
    </w:tbl>
    <w:p w14:paraId="74C1A7D1" w14:textId="77777777" w:rsidR="00AC1348" w:rsidRDefault="00AC1348" w:rsidP="00AC1348">
      <w:pPr>
        <w:pStyle w:val="Heading2"/>
      </w:pPr>
      <w:r w:rsidRPr="00CA3925">
        <w:lastRenderedPageBreak/>
        <w:t>Other considerations and implementation</w:t>
      </w:r>
    </w:p>
    <w:p w14:paraId="444FF868" w14:textId="77777777" w:rsidR="00AC1348" w:rsidRDefault="00AC1348" w:rsidP="00AC1348">
      <w:r>
        <w:t>Other options considered were the status quo and non-regulatory. These options would not provide a legally enforceable, consistent framework and provide practical guidance for applicants as to how the legislative requirements will be considered by the Minister. The preferred option will be implemented through standards-making provisions of the reformed EPBC Act supported by guidance, consultation and National EPA assurance processes.</w:t>
      </w:r>
    </w:p>
    <w:p w14:paraId="4AF994CF" w14:textId="77777777" w:rsidR="00AC1348" w:rsidRDefault="00AC1348" w:rsidP="00AC1348">
      <w:pPr>
        <w:pStyle w:val="Heading3"/>
      </w:pPr>
      <w:r w:rsidRPr="00CA3925">
        <w:t>What success looks like</w:t>
      </w:r>
    </w:p>
    <w:p w14:paraId="63CE99AC" w14:textId="77777777" w:rsidR="00AC1348" w:rsidRDefault="00AC1348" w:rsidP="00AC1348">
      <w:r>
        <w:t xml:space="preserve">The Standards will provide sufficient clarity whilst retaining flexibility as to how proponents demonstrate that the substantive approval requirements for decision-making are met. </w:t>
      </w:r>
    </w:p>
    <w:p w14:paraId="07EA3879" w14:textId="77777777" w:rsidR="00AC1348" w:rsidRDefault="00AC1348" w:rsidP="00AC1348">
      <w:r>
        <w:t xml:space="preserve">This will lead to more consistent environmental decisions; improved outcomes for protected matters; fewer requests for additional information; increased stakeholder confidence; improved transparency; reduced regulatory uncertainty.  </w:t>
      </w:r>
    </w:p>
    <w:p w14:paraId="3F853D65" w14:textId="77777777" w:rsidR="00AC1348" w:rsidRDefault="00AC1348" w:rsidP="00AC1348">
      <w:pPr>
        <w:pStyle w:val="Heading3"/>
      </w:pPr>
      <w:r w:rsidRPr="000E5B4B">
        <w:t>Implementation approach</w:t>
      </w:r>
    </w:p>
    <w:p w14:paraId="75911172" w14:textId="77777777" w:rsidR="00AC1348" w:rsidRDefault="00AC1348" w:rsidP="00AC1348">
      <w:r>
        <w:t xml:space="preserve">Implementation will occur through the ongoing tranches of legislative reform supporting the new EPBC arrangements and may include guidance materials to access the benefits of streamlined pathways, National EPA oversight and Environment Information Australia reporting. </w:t>
      </w:r>
    </w:p>
    <w:p w14:paraId="595746BC" w14:textId="77777777" w:rsidR="00AC1348" w:rsidRDefault="00AC1348" w:rsidP="00AC1348">
      <w:pPr>
        <w:pStyle w:val="Heading3"/>
      </w:pPr>
      <w:r>
        <w:t>Planned evaluation</w:t>
      </w:r>
    </w:p>
    <w:p w14:paraId="379CCF67" w14:textId="6AB38205" w:rsidR="00AC1348" w:rsidRPr="00AC1348" w:rsidRDefault="00AC1348" w:rsidP="00AC1348">
      <w:r w:rsidRPr="000477C8">
        <w:t>Formal review is required to commence within 18 months of the making of the Standard and at least every five years thereafter by section 514YJ of the reformed EPBC Act.</w:t>
      </w:r>
    </w:p>
    <w:p w14:paraId="39CF43AC" w14:textId="71B105A4" w:rsidR="006A17FA" w:rsidRDefault="006A17FA">
      <w:pPr>
        <w:spacing w:after="200" w:line="288" w:lineRule="auto"/>
      </w:pPr>
      <w:r>
        <w:br w:type="page"/>
      </w:r>
    </w:p>
    <w:p w14:paraId="2F32641C" w14:textId="50672E6B" w:rsidR="00AC1348" w:rsidRPr="00AC1348" w:rsidRDefault="00902878" w:rsidP="00AC1348">
      <w:r w:rsidRPr="003B246A">
        <w:rPr>
          <w:noProof/>
        </w:rPr>
        <w:lastRenderedPageBreak/>
        <w:drawing>
          <wp:inline distT="0" distB="0" distL="0" distR="0" wp14:anchorId="216C9258" wp14:editId="5285A095">
            <wp:extent cx="6120130" cy="5267482"/>
            <wp:effectExtent l="0" t="0" r="0" b="9525"/>
            <wp:docPr id="7176882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lum bright="-12000" contrast="36000"/>
                      <a:extLst>
                        <a:ext uri="{28A0092B-C50C-407E-A947-70E740481C1C}">
                          <a14:useLocalDpi xmlns:a14="http://schemas.microsoft.com/office/drawing/2010/main" val="0"/>
                        </a:ext>
                      </a:extLst>
                    </a:blip>
                    <a:srcRect l="8649" t="9422" r="7034" b="39280"/>
                    <a:stretch>
                      <a:fillRect/>
                    </a:stretch>
                  </pic:blipFill>
                  <pic:spPr bwMode="auto">
                    <a:xfrm>
                      <a:off x="0" y="0"/>
                      <a:ext cx="6120130" cy="5267482"/>
                    </a:xfrm>
                    <a:prstGeom prst="rect">
                      <a:avLst/>
                    </a:prstGeom>
                    <a:noFill/>
                    <a:ln>
                      <a:noFill/>
                    </a:ln>
                    <a:extLst>
                      <a:ext uri="{53640926-AAD7-44D8-BBD7-CCE9431645EC}">
                        <a14:shadowObscured xmlns:a14="http://schemas.microsoft.com/office/drawing/2010/main"/>
                      </a:ext>
                    </a:extLst>
                  </pic:spPr>
                </pic:pic>
              </a:graphicData>
            </a:graphic>
          </wp:inline>
        </w:drawing>
      </w:r>
    </w:p>
    <w:sectPr w:rsidR="00AC1348" w:rsidRPr="00AC1348" w:rsidSect="002356F8">
      <w:footerReference w:type="default" r:id="rId9"/>
      <w:headerReference w:type="first" r:id="rId10"/>
      <w:footerReference w:type="first" r:id="rId11"/>
      <w:pgSz w:w="11906" w:h="16838"/>
      <w:pgMar w:top="1701" w:right="1134" w:bottom="1134" w:left="1134" w:header="992"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252C6" w14:textId="77777777" w:rsidR="009E1324" w:rsidRDefault="009E1324" w:rsidP="00F957C6">
      <w:pPr>
        <w:spacing w:after="0" w:line="240" w:lineRule="auto"/>
      </w:pPr>
      <w:r>
        <w:separator/>
      </w:r>
    </w:p>
  </w:endnote>
  <w:endnote w:type="continuationSeparator" w:id="0">
    <w:p w14:paraId="3181BC79" w14:textId="77777777" w:rsidR="009E1324" w:rsidRDefault="009E1324" w:rsidP="00F95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do">
    <w:altName w:val="Times New Roman"/>
    <w:charset w:val="00"/>
    <w:family w:val="roman"/>
    <w:pitch w:val="variable"/>
    <w:sig w:usb0="E40008FF" w:usb1="5201E0FB" w:usb2="04608000" w:usb3="00000000" w:csb0="000000BB"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emilight">
    <w:panose1 w:val="020B0402040204020203"/>
    <w:charset w:val="00"/>
    <w:family w:val="swiss"/>
    <w:pitch w:val="variable"/>
    <w:sig w:usb0="E4002EFF" w:usb1="C000E47F" w:usb2="00000009" w:usb3="00000000" w:csb0="000001FF" w:csb1="00000000"/>
  </w:font>
  <w:font w:name="Inter Light">
    <w:charset w:val="00"/>
    <w:family w:val="auto"/>
    <w:pitch w:val="variable"/>
    <w:sig w:usb0="E00002FF" w:usb1="1200A1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437FA" w14:textId="7151F046" w:rsidR="00037513" w:rsidRPr="00852F35" w:rsidRDefault="00936C83" w:rsidP="00936C83">
    <w:pPr>
      <w:pStyle w:val="Header"/>
      <w:rPr>
        <w:rFonts w:ascii="Segoe UI" w:hAnsi="Segoe UI" w:cs="Segoe UI"/>
        <w:color w:val="6E6E6E"/>
        <w:sz w:val="18"/>
      </w:rPr>
    </w:pPr>
    <w:r>
      <w:rPr>
        <w:color w:val="6E6E6E"/>
        <w:sz w:val="18"/>
        <w:szCs w:val="18"/>
      </w:rPr>
      <w:t xml:space="preserve">Australian Government </w:t>
    </w:r>
    <w:r w:rsidRPr="00852F35">
      <w:rPr>
        <w:color w:val="6E6E6E"/>
        <w:sz w:val="18"/>
        <w:szCs w:val="18"/>
      </w:rPr>
      <w:t xml:space="preserve">| </w:t>
    </w:r>
    <w:r>
      <w:rPr>
        <w:color w:val="6E6E6E"/>
        <w:sz w:val="18"/>
        <w:szCs w:val="18"/>
      </w:rPr>
      <w:t xml:space="preserve">Dashboard Impact Analysis (IA) – </w:t>
    </w:r>
    <w:r w:rsidR="00CA466B">
      <w:rPr>
        <w:color w:val="6E6E6E"/>
        <w:sz w:val="18"/>
        <w:szCs w:val="18"/>
      </w:rPr>
      <w:t>EPBC Act 1999 Data and Information Standard</w:t>
    </w:r>
    <w:r w:rsidRPr="00852F35">
      <w:rPr>
        <w:color w:val="6E6E6E"/>
      </w:rPr>
      <w:ptab w:relativeTo="margin" w:alignment="right" w:leader="none"/>
    </w:r>
    <w:r w:rsidRPr="00852F35">
      <w:rPr>
        <w:rFonts w:ascii="Segoe UI" w:hAnsi="Segoe UI" w:cs="Segoe UI"/>
        <w:color w:val="6E6E6E"/>
        <w:sz w:val="18"/>
      </w:rPr>
      <w:fldChar w:fldCharType="begin"/>
    </w:r>
    <w:r w:rsidRPr="00852F35">
      <w:rPr>
        <w:rFonts w:ascii="Segoe UI" w:hAnsi="Segoe UI" w:cs="Segoe UI"/>
        <w:color w:val="6E6E6E"/>
        <w:sz w:val="18"/>
      </w:rPr>
      <w:instrText xml:space="preserve"> PAGE   \* MERGEFORMAT </w:instrText>
    </w:r>
    <w:r w:rsidRPr="00852F35">
      <w:rPr>
        <w:rFonts w:ascii="Segoe UI" w:hAnsi="Segoe UI" w:cs="Segoe UI"/>
        <w:color w:val="6E6E6E"/>
        <w:sz w:val="18"/>
      </w:rPr>
      <w:fldChar w:fldCharType="separate"/>
    </w:r>
    <w:r>
      <w:rPr>
        <w:rFonts w:ascii="Segoe UI" w:hAnsi="Segoe UI" w:cs="Segoe UI"/>
        <w:color w:val="6E6E6E"/>
        <w:sz w:val="18"/>
      </w:rPr>
      <w:t>1</w:t>
    </w:r>
    <w:r w:rsidRPr="00852F35">
      <w:rPr>
        <w:rFonts w:ascii="Segoe UI" w:hAnsi="Segoe UI" w:cs="Segoe UI"/>
        <w:noProof/>
        <w:color w:val="6E6E6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D690D" w14:textId="0824554F" w:rsidR="006E7551" w:rsidRDefault="006E7551" w:rsidP="00BB1526">
    <w:pPr>
      <w:pStyle w:val="Header"/>
      <w:rPr>
        <w:color w:val="6E6E6E"/>
        <w:sz w:val="18"/>
        <w:szCs w:val="18"/>
      </w:rPr>
    </w:pPr>
  </w:p>
  <w:p w14:paraId="7743EB31" w14:textId="1E09AD49" w:rsidR="00464D89" w:rsidRPr="00BB1526" w:rsidRDefault="005A3632" w:rsidP="00BB1526">
    <w:pPr>
      <w:pStyle w:val="Header"/>
      <w:rPr>
        <w:rFonts w:ascii="Segoe UI" w:hAnsi="Segoe UI" w:cs="Segoe UI"/>
        <w:color w:val="6E6E6E"/>
        <w:sz w:val="18"/>
      </w:rPr>
    </w:pPr>
    <w:r>
      <w:rPr>
        <w:color w:val="6E6E6E"/>
        <w:sz w:val="18"/>
        <w:szCs w:val="18"/>
      </w:rPr>
      <w:t xml:space="preserve">Australian Government </w:t>
    </w:r>
    <w:r w:rsidRPr="00852F35">
      <w:rPr>
        <w:color w:val="6E6E6E"/>
        <w:sz w:val="18"/>
        <w:szCs w:val="18"/>
      </w:rPr>
      <w:t>|</w:t>
    </w:r>
    <w:r w:rsidR="00BB1526" w:rsidRPr="00852F35">
      <w:rPr>
        <w:color w:val="6E6E6E"/>
        <w:sz w:val="18"/>
        <w:szCs w:val="18"/>
      </w:rPr>
      <w:t xml:space="preserve"> </w:t>
    </w:r>
    <w:r w:rsidR="005D7C45">
      <w:rPr>
        <w:color w:val="6E6E6E"/>
        <w:sz w:val="18"/>
        <w:szCs w:val="18"/>
      </w:rPr>
      <w:t xml:space="preserve">Dashboard Impact Analysis (IA) – </w:t>
    </w:r>
    <w:r w:rsidR="0014059A">
      <w:rPr>
        <w:color w:val="6E6E6E"/>
        <w:sz w:val="18"/>
        <w:szCs w:val="18"/>
      </w:rPr>
      <w:t>EPBC Act 1999 Offsets Standard</w:t>
    </w:r>
    <w:r w:rsidR="00BB1526" w:rsidRPr="00852F35">
      <w:rPr>
        <w:color w:val="6E6E6E"/>
      </w:rPr>
      <w:ptab w:relativeTo="margin" w:alignment="right" w:leader="none"/>
    </w:r>
    <w:r w:rsidR="00BB1526" w:rsidRPr="00852F35">
      <w:rPr>
        <w:rFonts w:ascii="Segoe UI" w:hAnsi="Segoe UI" w:cs="Segoe UI"/>
        <w:color w:val="6E6E6E"/>
        <w:sz w:val="18"/>
      </w:rPr>
      <w:fldChar w:fldCharType="begin"/>
    </w:r>
    <w:r w:rsidR="00BB1526" w:rsidRPr="00852F35">
      <w:rPr>
        <w:rFonts w:ascii="Segoe UI" w:hAnsi="Segoe UI" w:cs="Segoe UI"/>
        <w:color w:val="6E6E6E"/>
        <w:sz w:val="18"/>
      </w:rPr>
      <w:instrText xml:space="preserve"> PAGE   \* MERGEFORMAT </w:instrText>
    </w:r>
    <w:r w:rsidR="00BB1526" w:rsidRPr="00852F35">
      <w:rPr>
        <w:rFonts w:ascii="Segoe UI" w:hAnsi="Segoe UI" w:cs="Segoe UI"/>
        <w:color w:val="6E6E6E"/>
        <w:sz w:val="18"/>
      </w:rPr>
      <w:fldChar w:fldCharType="separate"/>
    </w:r>
    <w:r w:rsidR="00E155C1">
      <w:rPr>
        <w:rFonts w:ascii="Segoe UI" w:hAnsi="Segoe UI" w:cs="Segoe UI"/>
        <w:noProof/>
        <w:color w:val="6E6E6E"/>
        <w:sz w:val="18"/>
      </w:rPr>
      <w:t>1</w:t>
    </w:r>
    <w:r w:rsidR="00BB1526" w:rsidRPr="00852F35">
      <w:rPr>
        <w:rFonts w:ascii="Segoe UI" w:hAnsi="Segoe UI" w:cs="Segoe UI"/>
        <w:noProof/>
        <w:color w:val="6E6E6E"/>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902A1" w14:textId="77777777" w:rsidR="009E1324" w:rsidRDefault="009E1324" w:rsidP="00F957C6">
      <w:pPr>
        <w:spacing w:after="0" w:line="240" w:lineRule="auto"/>
      </w:pPr>
      <w:r>
        <w:separator/>
      </w:r>
    </w:p>
  </w:footnote>
  <w:footnote w:type="continuationSeparator" w:id="0">
    <w:p w14:paraId="008EFBC9" w14:textId="77777777" w:rsidR="009E1324" w:rsidRDefault="009E1324" w:rsidP="00F95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8A34A" w14:textId="793E950E" w:rsidR="0026634E" w:rsidRDefault="0026634E" w:rsidP="0026634E">
    <w:pPr>
      <w:pStyle w:val="Header"/>
      <w:jc w:val="center"/>
      <w:rPr>
        <w:rStyle w:val="CLASSIFICATIONChar"/>
      </w:rPr>
    </w:pPr>
    <w:r>
      <w:rPr>
        <w:rStyle w:val="CLASSIFICATIONChar"/>
        <w:noProof/>
        <w:lang w:eastAsia="en-AU"/>
      </w:rPr>
      <w:drawing>
        <wp:anchor distT="0" distB="0" distL="114300" distR="114300" simplePos="0" relativeHeight="251658240" behindDoc="1" locked="0" layoutInCell="1" allowOverlap="1" wp14:anchorId="0BAD895F" wp14:editId="1B7BAD46">
          <wp:simplePos x="0" y="0"/>
          <wp:positionH relativeFrom="column">
            <wp:posOffset>-46990</wp:posOffset>
          </wp:positionH>
          <wp:positionV relativeFrom="paragraph">
            <wp:posOffset>-217805</wp:posOffset>
          </wp:positionV>
          <wp:extent cx="2322830" cy="621665"/>
          <wp:effectExtent l="0" t="0" r="1270" b="6985"/>
          <wp:wrapNone/>
          <wp:docPr id="16" name="Picture 16" descr="Australian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ustralian Govern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621665"/>
                  </a:xfrm>
                  <a:prstGeom prst="rect">
                    <a:avLst/>
                  </a:prstGeom>
                  <a:noFill/>
                </pic:spPr>
              </pic:pic>
            </a:graphicData>
          </a:graphic>
        </wp:anchor>
      </w:drawing>
    </w:r>
  </w:p>
  <w:p w14:paraId="294D34E9" w14:textId="77777777" w:rsidR="0026634E" w:rsidRDefault="0026634E" w:rsidP="0026634E">
    <w:pPr>
      <w:pStyle w:val="Header"/>
      <w:jc w:val="center"/>
      <w:rPr>
        <w:rStyle w:val="CLASSIFICATIONChar"/>
      </w:rPr>
    </w:pPr>
  </w:p>
  <w:p w14:paraId="11F39F1F" w14:textId="77777777" w:rsidR="0026634E" w:rsidRDefault="0026634E" w:rsidP="0026634E">
    <w:pPr>
      <w:pStyle w:val="Header"/>
      <w:jc w:val="center"/>
      <w:rPr>
        <w:rStyle w:val="CLASSIFICATIONChar"/>
      </w:rPr>
    </w:pPr>
  </w:p>
  <w:p w14:paraId="1D813CAE" w14:textId="77777777" w:rsidR="00037513" w:rsidRPr="0026634E" w:rsidRDefault="00037513" w:rsidP="00266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004592A"/>
    <w:lvl w:ilvl="0">
      <w:start w:val="1"/>
      <w:numFmt w:val="decimal"/>
      <w:lvlText w:val="%1."/>
      <w:lvlJc w:val="left"/>
      <w:pPr>
        <w:tabs>
          <w:tab w:val="num" w:pos="2060"/>
        </w:tabs>
        <w:ind w:left="2060" w:hanging="360"/>
      </w:pPr>
    </w:lvl>
  </w:abstractNum>
  <w:abstractNum w:abstractNumId="1" w15:restartNumberingAfterBreak="0">
    <w:nsid w:val="FFFFFF7D"/>
    <w:multiLevelType w:val="singleLevel"/>
    <w:tmpl w:val="35487F0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450D9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D612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71469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F01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5FE08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9813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620C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4281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75033"/>
    <w:multiLevelType w:val="hybridMultilevel"/>
    <w:tmpl w:val="C6DC8A2C"/>
    <w:lvl w:ilvl="0" w:tplc="458A1C2C">
      <w:start w:val="1"/>
      <w:numFmt w:val="bullet"/>
      <w:pStyle w:val="TBLBulleted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B014CCD"/>
    <w:multiLevelType w:val="hybridMultilevel"/>
    <w:tmpl w:val="D0E0AE74"/>
    <w:lvl w:ilvl="0" w:tplc="42CAA44A">
      <w:start w:val="1"/>
      <w:numFmt w:val="bullet"/>
      <w:pStyle w:val="BOXBulletedList"/>
      <w:lvlText w:val=""/>
      <w:lvlJc w:val="left"/>
      <w:pPr>
        <w:ind w:left="284" w:hanging="284"/>
      </w:pPr>
      <w:rPr>
        <w:rFonts w:ascii="Symbol" w:hAnsi="Symbol" w:hint="default"/>
      </w:rPr>
    </w:lvl>
    <w:lvl w:ilvl="1" w:tplc="AFD06412">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FAF6F03"/>
    <w:multiLevelType w:val="hybridMultilevel"/>
    <w:tmpl w:val="4CF49542"/>
    <w:lvl w:ilvl="0" w:tplc="6C069990">
      <w:start w:val="1"/>
      <w:numFmt w:val="bullet"/>
      <w:pStyle w:val="BulletedList-Level3"/>
      <w:lvlText w:val="o"/>
      <w:lvlJc w:val="left"/>
      <w:pPr>
        <w:ind w:left="1134" w:hanging="283"/>
      </w:pPr>
      <w:rPr>
        <w:rFonts w:ascii="Courier New" w:hAnsi="Courier New"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3" w15:restartNumberingAfterBreak="0">
    <w:nsid w:val="13A3105B"/>
    <w:multiLevelType w:val="hybridMultilevel"/>
    <w:tmpl w:val="2F88CC68"/>
    <w:lvl w:ilvl="0" w:tplc="93300146">
      <w:start w:val="1"/>
      <w:numFmt w:val="decimal"/>
      <w:pStyle w:val="BoxDark-NumberedList"/>
      <w:lvlText w:val="%1."/>
      <w:lvlJc w:val="left"/>
      <w:pPr>
        <w:ind w:left="947" w:hanging="360"/>
      </w:pPr>
    </w:lvl>
    <w:lvl w:ilvl="1" w:tplc="0C090019" w:tentative="1">
      <w:start w:val="1"/>
      <w:numFmt w:val="lowerLetter"/>
      <w:lvlText w:val="%2."/>
      <w:lvlJc w:val="left"/>
      <w:pPr>
        <w:ind w:left="1667" w:hanging="360"/>
      </w:pPr>
    </w:lvl>
    <w:lvl w:ilvl="2" w:tplc="0C09001B" w:tentative="1">
      <w:start w:val="1"/>
      <w:numFmt w:val="lowerRoman"/>
      <w:lvlText w:val="%3."/>
      <w:lvlJc w:val="right"/>
      <w:pPr>
        <w:ind w:left="2387" w:hanging="180"/>
      </w:pPr>
    </w:lvl>
    <w:lvl w:ilvl="3" w:tplc="0C09000F" w:tentative="1">
      <w:start w:val="1"/>
      <w:numFmt w:val="decimal"/>
      <w:lvlText w:val="%4."/>
      <w:lvlJc w:val="left"/>
      <w:pPr>
        <w:ind w:left="3107" w:hanging="360"/>
      </w:pPr>
    </w:lvl>
    <w:lvl w:ilvl="4" w:tplc="0C090019" w:tentative="1">
      <w:start w:val="1"/>
      <w:numFmt w:val="lowerLetter"/>
      <w:lvlText w:val="%5."/>
      <w:lvlJc w:val="left"/>
      <w:pPr>
        <w:ind w:left="3827" w:hanging="360"/>
      </w:pPr>
    </w:lvl>
    <w:lvl w:ilvl="5" w:tplc="0C09001B" w:tentative="1">
      <w:start w:val="1"/>
      <w:numFmt w:val="lowerRoman"/>
      <w:lvlText w:val="%6."/>
      <w:lvlJc w:val="right"/>
      <w:pPr>
        <w:ind w:left="4547" w:hanging="180"/>
      </w:pPr>
    </w:lvl>
    <w:lvl w:ilvl="6" w:tplc="0C09000F" w:tentative="1">
      <w:start w:val="1"/>
      <w:numFmt w:val="decimal"/>
      <w:lvlText w:val="%7."/>
      <w:lvlJc w:val="left"/>
      <w:pPr>
        <w:ind w:left="5267" w:hanging="360"/>
      </w:pPr>
    </w:lvl>
    <w:lvl w:ilvl="7" w:tplc="0C090019" w:tentative="1">
      <w:start w:val="1"/>
      <w:numFmt w:val="lowerLetter"/>
      <w:lvlText w:val="%8."/>
      <w:lvlJc w:val="left"/>
      <w:pPr>
        <w:ind w:left="5987" w:hanging="360"/>
      </w:pPr>
    </w:lvl>
    <w:lvl w:ilvl="8" w:tplc="0C09001B" w:tentative="1">
      <w:start w:val="1"/>
      <w:numFmt w:val="lowerRoman"/>
      <w:lvlText w:val="%9."/>
      <w:lvlJc w:val="right"/>
      <w:pPr>
        <w:ind w:left="6707" w:hanging="180"/>
      </w:pPr>
    </w:lvl>
  </w:abstractNum>
  <w:abstractNum w:abstractNumId="14" w15:restartNumberingAfterBreak="0">
    <w:nsid w:val="19F33BBA"/>
    <w:multiLevelType w:val="hybridMultilevel"/>
    <w:tmpl w:val="0812E2DE"/>
    <w:lvl w:ilvl="0" w:tplc="E1AE5D66">
      <w:start w:val="1"/>
      <w:numFmt w:val="decimal"/>
      <w:pStyle w:val="Figure"/>
      <w:suff w:val="space"/>
      <w:lvlText w:val="Figure %1."/>
      <w:lvlJc w:val="left"/>
      <w:pPr>
        <w:ind w:left="567"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F507AC4"/>
    <w:multiLevelType w:val="hybridMultilevel"/>
    <w:tmpl w:val="6FFA548C"/>
    <w:lvl w:ilvl="0" w:tplc="E7066796">
      <w:start w:val="1"/>
      <w:numFmt w:val="bullet"/>
      <w:pStyle w:val="BulletedList-Level2"/>
      <w:lvlText w:val="−"/>
      <w:lvlJc w:val="left"/>
      <w:pPr>
        <w:ind w:left="851" w:hanging="284"/>
      </w:pPr>
      <w:rPr>
        <w:rFonts w:ascii="Cardo" w:hAnsi="Cardo"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16" w15:restartNumberingAfterBreak="0">
    <w:nsid w:val="26DF05D0"/>
    <w:multiLevelType w:val="hybridMultilevel"/>
    <w:tmpl w:val="361C27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7854A54"/>
    <w:multiLevelType w:val="hybridMultilevel"/>
    <w:tmpl w:val="253E2E62"/>
    <w:lvl w:ilvl="0" w:tplc="B2AA9F56">
      <w:start w:val="1"/>
      <w:numFmt w:val="bullet"/>
      <w:pStyle w:val="BulletedList-Level1"/>
      <w:lvlText w:val=""/>
      <w:lvlJc w:val="left"/>
      <w:pPr>
        <w:ind w:left="425" w:hanging="283"/>
      </w:pPr>
      <w:rPr>
        <w:rFonts w:ascii="Symbol" w:hAnsi="Symbol" w:hint="default"/>
      </w:rPr>
    </w:lvl>
    <w:lvl w:ilvl="1" w:tplc="4BB4D094">
      <w:start w:val="1"/>
      <w:numFmt w:val="bullet"/>
      <w:lvlText w:val="o"/>
      <w:lvlJc w:val="left"/>
      <w:pPr>
        <w:ind w:left="709" w:hanging="28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1EFC13BC">
      <w:start w:val="1"/>
      <w:numFmt w:val="bullet"/>
      <w:lvlText w:val=""/>
      <w:lvlJc w:val="left"/>
      <w:pPr>
        <w:ind w:left="992" w:hanging="283"/>
      </w:pPr>
      <w:rPr>
        <w:rFonts w:ascii="Wingdings" w:hAnsi="Wingdings" w:hint="default"/>
      </w:rPr>
    </w:lvl>
    <w:lvl w:ilvl="3" w:tplc="0C090001" w:tentative="1">
      <w:start w:val="1"/>
      <w:numFmt w:val="bullet"/>
      <w:lvlText w:val=""/>
      <w:lvlJc w:val="left"/>
      <w:pPr>
        <w:ind w:left="2738" w:hanging="360"/>
      </w:pPr>
      <w:rPr>
        <w:rFonts w:ascii="Symbol" w:hAnsi="Symbol" w:hint="default"/>
      </w:rPr>
    </w:lvl>
    <w:lvl w:ilvl="4" w:tplc="0C090003" w:tentative="1">
      <w:start w:val="1"/>
      <w:numFmt w:val="bullet"/>
      <w:lvlText w:val="o"/>
      <w:lvlJc w:val="left"/>
      <w:pPr>
        <w:ind w:left="3458" w:hanging="360"/>
      </w:pPr>
      <w:rPr>
        <w:rFonts w:ascii="Courier New" w:hAnsi="Courier New" w:cs="Courier New" w:hint="default"/>
      </w:rPr>
    </w:lvl>
    <w:lvl w:ilvl="5" w:tplc="0C090005" w:tentative="1">
      <w:start w:val="1"/>
      <w:numFmt w:val="bullet"/>
      <w:lvlText w:val=""/>
      <w:lvlJc w:val="left"/>
      <w:pPr>
        <w:ind w:left="4178" w:hanging="360"/>
      </w:pPr>
      <w:rPr>
        <w:rFonts w:ascii="Wingdings" w:hAnsi="Wingdings" w:hint="default"/>
      </w:rPr>
    </w:lvl>
    <w:lvl w:ilvl="6" w:tplc="0C090001" w:tentative="1">
      <w:start w:val="1"/>
      <w:numFmt w:val="bullet"/>
      <w:lvlText w:val=""/>
      <w:lvlJc w:val="left"/>
      <w:pPr>
        <w:ind w:left="4898" w:hanging="360"/>
      </w:pPr>
      <w:rPr>
        <w:rFonts w:ascii="Symbol" w:hAnsi="Symbol" w:hint="default"/>
      </w:rPr>
    </w:lvl>
    <w:lvl w:ilvl="7" w:tplc="0C090003" w:tentative="1">
      <w:start w:val="1"/>
      <w:numFmt w:val="bullet"/>
      <w:lvlText w:val="o"/>
      <w:lvlJc w:val="left"/>
      <w:pPr>
        <w:ind w:left="5618" w:hanging="360"/>
      </w:pPr>
      <w:rPr>
        <w:rFonts w:ascii="Courier New" w:hAnsi="Courier New" w:cs="Courier New" w:hint="default"/>
      </w:rPr>
    </w:lvl>
    <w:lvl w:ilvl="8" w:tplc="0C090005" w:tentative="1">
      <w:start w:val="1"/>
      <w:numFmt w:val="bullet"/>
      <w:lvlText w:val=""/>
      <w:lvlJc w:val="left"/>
      <w:pPr>
        <w:ind w:left="6338" w:hanging="360"/>
      </w:pPr>
      <w:rPr>
        <w:rFonts w:ascii="Wingdings" w:hAnsi="Wingdings" w:hint="default"/>
      </w:rPr>
    </w:lvl>
  </w:abstractNum>
  <w:abstractNum w:abstractNumId="18" w15:restartNumberingAfterBreak="0">
    <w:nsid w:val="3A43634D"/>
    <w:multiLevelType w:val="hybridMultilevel"/>
    <w:tmpl w:val="BCB85E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FA36958"/>
    <w:multiLevelType w:val="hybridMultilevel"/>
    <w:tmpl w:val="FFFFFFFF"/>
    <w:lvl w:ilvl="0" w:tplc="A8F89C56">
      <w:start w:val="1"/>
      <w:numFmt w:val="bullet"/>
      <w:lvlText w:val="·"/>
      <w:lvlJc w:val="left"/>
      <w:pPr>
        <w:ind w:left="720" w:hanging="360"/>
      </w:pPr>
      <w:rPr>
        <w:rFonts w:ascii="Symbol" w:hAnsi="Symbol" w:hint="default"/>
      </w:rPr>
    </w:lvl>
    <w:lvl w:ilvl="1" w:tplc="0DA6049C">
      <w:start w:val="1"/>
      <w:numFmt w:val="bullet"/>
      <w:lvlText w:val="o"/>
      <w:lvlJc w:val="left"/>
      <w:pPr>
        <w:ind w:left="1440" w:hanging="360"/>
      </w:pPr>
      <w:rPr>
        <w:rFonts w:ascii="Courier New" w:hAnsi="Courier New" w:hint="default"/>
      </w:rPr>
    </w:lvl>
    <w:lvl w:ilvl="2" w:tplc="53FC556A">
      <w:start w:val="1"/>
      <w:numFmt w:val="bullet"/>
      <w:lvlText w:val=""/>
      <w:lvlJc w:val="left"/>
      <w:pPr>
        <w:ind w:left="2160" w:hanging="360"/>
      </w:pPr>
      <w:rPr>
        <w:rFonts w:ascii="Wingdings" w:hAnsi="Wingdings" w:hint="default"/>
      </w:rPr>
    </w:lvl>
    <w:lvl w:ilvl="3" w:tplc="1FDE0824">
      <w:start w:val="1"/>
      <w:numFmt w:val="bullet"/>
      <w:lvlText w:val=""/>
      <w:lvlJc w:val="left"/>
      <w:pPr>
        <w:ind w:left="2880" w:hanging="360"/>
      </w:pPr>
      <w:rPr>
        <w:rFonts w:ascii="Symbol" w:hAnsi="Symbol" w:hint="default"/>
      </w:rPr>
    </w:lvl>
    <w:lvl w:ilvl="4" w:tplc="A8CAE0A4">
      <w:start w:val="1"/>
      <w:numFmt w:val="bullet"/>
      <w:lvlText w:val="o"/>
      <w:lvlJc w:val="left"/>
      <w:pPr>
        <w:ind w:left="3600" w:hanging="360"/>
      </w:pPr>
      <w:rPr>
        <w:rFonts w:ascii="Courier New" w:hAnsi="Courier New" w:hint="default"/>
      </w:rPr>
    </w:lvl>
    <w:lvl w:ilvl="5" w:tplc="7C346264">
      <w:start w:val="1"/>
      <w:numFmt w:val="bullet"/>
      <w:lvlText w:val=""/>
      <w:lvlJc w:val="left"/>
      <w:pPr>
        <w:ind w:left="4320" w:hanging="360"/>
      </w:pPr>
      <w:rPr>
        <w:rFonts w:ascii="Wingdings" w:hAnsi="Wingdings" w:hint="default"/>
      </w:rPr>
    </w:lvl>
    <w:lvl w:ilvl="6" w:tplc="2C9813C6">
      <w:start w:val="1"/>
      <w:numFmt w:val="bullet"/>
      <w:lvlText w:val=""/>
      <w:lvlJc w:val="left"/>
      <w:pPr>
        <w:ind w:left="5040" w:hanging="360"/>
      </w:pPr>
      <w:rPr>
        <w:rFonts w:ascii="Symbol" w:hAnsi="Symbol" w:hint="default"/>
      </w:rPr>
    </w:lvl>
    <w:lvl w:ilvl="7" w:tplc="D1F4358A">
      <w:start w:val="1"/>
      <w:numFmt w:val="bullet"/>
      <w:lvlText w:val="o"/>
      <w:lvlJc w:val="left"/>
      <w:pPr>
        <w:ind w:left="5760" w:hanging="360"/>
      </w:pPr>
      <w:rPr>
        <w:rFonts w:ascii="Courier New" w:hAnsi="Courier New" w:hint="default"/>
      </w:rPr>
    </w:lvl>
    <w:lvl w:ilvl="8" w:tplc="5D562882">
      <w:start w:val="1"/>
      <w:numFmt w:val="bullet"/>
      <w:lvlText w:val=""/>
      <w:lvlJc w:val="left"/>
      <w:pPr>
        <w:ind w:left="6480" w:hanging="360"/>
      </w:pPr>
      <w:rPr>
        <w:rFonts w:ascii="Wingdings" w:hAnsi="Wingdings" w:hint="default"/>
      </w:rPr>
    </w:lvl>
  </w:abstractNum>
  <w:abstractNum w:abstractNumId="20" w15:restartNumberingAfterBreak="0">
    <w:nsid w:val="40B072FA"/>
    <w:multiLevelType w:val="hybridMultilevel"/>
    <w:tmpl w:val="45A8CDD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96C7FF6"/>
    <w:multiLevelType w:val="hybridMultilevel"/>
    <w:tmpl w:val="4D4A750C"/>
    <w:lvl w:ilvl="0" w:tplc="D6643B58">
      <w:start w:val="1"/>
      <w:numFmt w:val="decimal"/>
      <w:pStyle w:val="BOXNumberedList"/>
      <w:lvlText w:val="%1."/>
      <w:lvlJc w:val="left"/>
      <w:pPr>
        <w:ind w:left="840" w:hanging="360"/>
      </w:pPr>
    </w:lvl>
    <w:lvl w:ilvl="1" w:tplc="0C090019" w:tentative="1">
      <w:start w:val="1"/>
      <w:numFmt w:val="lowerLetter"/>
      <w:lvlText w:val="%2."/>
      <w:lvlJc w:val="left"/>
      <w:pPr>
        <w:ind w:left="1560" w:hanging="360"/>
      </w:pPr>
    </w:lvl>
    <w:lvl w:ilvl="2" w:tplc="0C09001B" w:tentative="1">
      <w:start w:val="1"/>
      <w:numFmt w:val="lowerRoman"/>
      <w:lvlText w:val="%3."/>
      <w:lvlJc w:val="right"/>
      <w:pPr>
        <w:ind w:left="2280" w:hanging="180"/>
      </w:pPr>
    </w:lvl>
    <w:lvl w:ilvl="3" w:tplc="0C09000F" w:tentative="1">
      <w:start w:val="1"/>
      <w:numFmt w:val="decimal"/>
      <w:lvlText w:val="%4."/>
      <w:lvlJc w:val="left"/>
      <w:pPr>
        <w:ind w:left="3000" w:hanging="360"/>
      </w:pPr>
    </w:lvl>
    <w:lvl w:ilvl="4" w:tplc="0C090019" w:tentative="1">
      <w:start w:val="1"/>
      <w:numFmt w:val="lowerLetter"/>
      <w:lvlText w:val="%5."/>
      <w:lvlJc w:val="left"/>
      <w:pPr>
        <w:ind w:left="3720" w:hanging="360"/>
      </w:pPr>
    </w:lvl>
    <w:lvl w:ilvl="5" w:tplc="0C09001B" w:tentative="1">
      <w:start w:val="1"/>
      <w:numFmt w:val="lowerRoman"/>
      <w:lvlText w:val="%6."/>
      <w:lvlJc w:val="right"/>
      <w:pPr>
        <w:ind w:left="4440" w:hanging="180"/>
      </w:pPr>
    </w:lvl>
    <w:lvl w:ilvl="6" w:tplc="0C09000F" w:tentative="1">
      <w:start w:val="1"/>
      <w:numFmt w:val="decimal"/>
      <w:lvlText w:val="%7."/>
      <w:lvlJc w:val="left"/>
      <w:pPr>
        <w:ind w:left="5160" w:hanging="360"/>
      </w:pPr>
    </w:lvl>
    <w:lvl w:ilvl="7" w:tplc="0C090019" w:tentative="1">
      <w:start w:val="1"/>
      <w:numFmt w:val="lowerLetter"/>
      <w:lvlText w:val="%8."/>
      <w:lvlJc w:val="left"/>
      <w:pPr>
        <w:ind w:left="5880" w:hanging="360"/>
      </w:pPr>
    </w:lvl>
    <w:lvl w:ilvl="8" w:tplc="0C09001B" w:tentative="1">
      <w:start w:val="1"/>
      <w:numFmt w:val="lowerRoman"/>
      <w:lvlText w:val="%9."/>
      <w:lvlJc w:val="right"/>
      <w:pPr>
        <w:ind w:left="6600" w:hanging="180"/>
      </w:pPr>
    </w:lvl>
  </w:abstractNum>
  <w:abstractNum w:abstractNumId="22" w15:restartNumberingAfterBreak="0">
    <w:nsid w:val="4B239551"/>
    <w:multiLevelType w:val="hybridMultilevel"/>
    <w:tmpl w:val="FFFFFFFF"/>
    <w:lvl w:ilvl="0" w:tplc="F44216BC">
      <w:start w:val="1"/>
      <w:numFmt w:val="bullet"/>
      <w:lvlText w:val="·"/>
      <w:lvlJc w:val="left"/>
      <w:pPr>
        <w:ind w:left="720" w:hanging="360"/>
      </w:pPr>
      <w:rPr>
        <w:rFonts w:ascii="Symbol" w:hAnsi="Symbol" w:hint="default"/>
      </w:rPr>
    </w:lvl>
    <w:lvl w:ilvl="1" w:tplc="7E70056C">
      <w:start w:val="1"/>
      <w:numFmt w:val="bullet"/>
      <w:lvlText w:val="o"/>
      <w:lvlJc w:val="left"/>
      <w:pPr>
        <w:ind w:left="1440" w:hanging="360"/>
      </w:pPr>
      <w:rPr>
        <w:rFonts w:ascii="Courier New" w:hAnsi="Courier New" w:hint="default"/>
      </w:rPr>
    </w:lvl>
    <w:lvl w:ilvl="2" w:tplc="6C90484A">
      <w:start w:val="1"/>
      <w:numFmt w:val="bullet"/>
      <w:lvlText w:val=""/>
      <w:lvlJc w:val="left"/>
      <w:pPr>
        <w:ind w:left="2160" w:hanging="360"/>
      </w:pPr>
      <w:rPr>
        <w:rFonts w:ascii="Wingdings" w:hAnsi="Wingdings" w:hint="default"/>
      </w:rPr>
    </w:lvl>
    <w:lvl w:ilvl="3" w:tplc="AE521198">
      <w:start w:val="1"/>
      <w:numFmt w:val="bullet"/>
      <w:lvlText w:val=""/>
      <w:lvlJc w:val="left"/>
      <w:pPr>
        <w:ind w:left="2880" w:hanging="360"/>
      </w:pPr>
      <w:rPr>
        <w:rFonts w:ascii="Symbol" w:hAnsi="Symbol" w:hint="default"/>
      </w:rPr>
    </w:lvl>
    <w:lvl w:ilvl="4" w:tplc="57FCE93A">
      <w:start w:val="1"/>
      <w:numFmt w:val="bullet"/>
      <w:lvlText w:val="o"/>
      <w:lvlJc w:val="left"/>
      <w:pPr>
        <w:ind w:left="3600" w:hanging="360"/>
      </w:pPr>
      <w:rPr>
        <w:rFonts w:ascii="Courier New" w:hAnsi="Courier New" w:hint="default"/>
      </w:rPr>
    </w:lvl>
    <w:lvl w:ilvl="5" w:tplc="E3D27352">
      <w:start w:val="1"/>
      <w:numFmt w:val="bullet"/>
      <w:lvlText w:val=""/>
      <w:lvlJc w:val="left"/>
      <w:pPr>
        <w:ind w:left="4320" w:hanging="360"/>
      </w:pPr>
      <w:rPr>
        <w:rFonts w:ascii="Wingdings" w:hAnsi="Wingdings" w:hint="default"/>
      </w:rPr>
    </w:lvl>
    <w:lvl w:ilvl="6" w:tplc="709CAFF8">
      <w:start w:val="1"/>
      <w:numFmt w:val="bullet"/>
      <w:lvlText w:val=""/>
      <w:lvlJc w:val="left"/>
      <w:pPr>
        <w:ind w:left="5040" w:hanging="360"/>
      </w:pPr>
      <w:rPr>
        <w:rFonts w:ascii="Symbol" w:hAnsi="Symbol" w:hint="default"/>
      </w:rPr>
    </w:lvl>
    <w:lvl w:ilvl="7" w:tplc="6100D248">
      <w:start w:val="1"/>
      <w:numFmt w:val="bullet"/>
      <w:lvlText w:val="o"/>
      <w:lvlJc w:val="left"/>
      <w:pPr>
        <w:ind w:left="5760" w:hanging="360"/>
      </w:pPr>
      <w:rPr>
        <w:rFonts w:ascii="Courier New" w:hAnsi="Courier New" w:hint="default"/>
      </w:rPr>
    </w:lvl>
    <w:lvl w:ilvl="8" w:tplc="B26669EA">
      <w:start w:val="1"/>
      <w:numFmt w:val="bullet"/>
      <w:lvlText w:val=""/>
      <w:lvlJc w:val="left"/>
      <w:pPr>
        <w:ind w:left="6480" w:hanging="360"/>
      </w:pPr>
      <w:rPr>
        <w:rFonts w:ascii="Wingdings" w:hAnsi="Wingdings" w:hint="default"/>
      </w:rPr>
    </w:lvl>
  </w:abstractNum>
  <w:abstractNum w:abstractNumId="23" w15:restartNumberingAfterBreak="0">
    <w:nsid w:val="4E781EDD"/>
    <w:multiLevelType w:val="hybridMultilevel"/>
    <w:tmpl w:val="6B225E28"/>
    <w:lvl w:ilvl="0" w:tplc="1B58674C">
      <w:start w:val="1"/>
      <w:numFmt w:val="bullet"/>
      <w:lvlText w:val="–"/>
      <w:lvlJc w:val="left"/>
      <w:pPr>
        <w:ind w:left="851" w:hanging="284"/>
      </w:pPr>
      <w:rPr>
        <w:rFonts w:ascii="Arial Black" w:hAnsi="Arial Black"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5AFC3C82"/>
    <w:multiLevelType w:val="hybridMultilevel"/>
    <w:tmpl w:val="3064DD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1135143"/>
    <w:multiLevelType w:val="hybridMultilevel"/>
    <w:tmpl w:val="7D8C0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ABF0286"/>
    <w:multiLevelType w:val="hybridMultilevel"/>
    <w:tmpl w:val="70C6C990"/>
    <w:lvl w:ilvl="0" w:tplc="56D0C196">
      <w:start w:val="1"/>
      <w:numFmt w:val="decimal"/>
      <w:lvlText w:val="%1."/>
      <w:lvlJc w:val="left"/>
      <w:pPr>
        <w:ind w:left="284" w:hanging="284"/>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EE51B32"/>
    <w:multiLevelType w:val="hybridMultilevel"/>
    <w:tmpl w:val="F2CE71E2"/>
    <w:lvl w:ilvl="0" w:tplc="5E348A7E">
      <w:start w:val="1"/>
      <w:numFmt w:val="decimal"/>
      <w:pStyle w:val="TBLNumberedLis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81170D5"/>
    <w:multiLevelType w:val="hybridMultilevel"/>
    <w:tmpl w:val="38E03EE6"/>
    <w:lvl w:ilvl="0" w:tplc="9C7CCF60">
      <w:start w:val="1"/>
      <w:numFmt w:val="decimal"/>
      <w:pStyle w:val="NumberedList-Level1"/>
      <w:lvlText w:val="%1."/>
      <w:lvlJc w:val="left"/>
      <w:pPr>
        <w:ind w:left="567" w:hanging="283"/>
      </w:pPr>
      <w:rPr>
        <w:rFonts w:hint="default"/>
      </w:rPr>
    </w:lvl>
    <w:lvl w:ilvl="1" w:tplc="1FAA0FEC">
      <w:start w:val="1"/>
      <w:numFmt w:val="lowerLetter"/>
      <w:pStyle w:val="NumberedList-level2"/>
      <w:lvlText w:val="%2."/>
      <w:lvlJc w:val="left"/>
      <w:pPr>
        <w:ind w:left="851" w:hanging="284"/>
      </w:pPr>
      <w:rPr>
        <w:rFonts w:hint="default"/>
      </w:rPr>
    </w:lvl>
    <w:lvl w:ilvl="2" w:tplc="65FAA32A">
      <w:start w:val="1"/>
      <w:numFmt w:val="lowerRoman"/>
      <w:pStyle w:val="NumberedList-Level3"/>
      <w:lvlText w:val="%3."/>
      <w:lvlJc w:val="right"/>
      <w:pPr>
        <w:ind w:left="1134" w:hanging="170"/>
      </w:pPr>
      <w:rPr>
        <w:rFonts w:hint="default"/>
      </w:r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25884965">
    <w:abstractNumId w:val="11"/>
  </w:num>
  <w:num w:numId="2" w16cid:durableId="404568253">
    <w:abstractNumId w:val="9"/>
  </w:num>
  <w:num w:numId="3" w16cid:durableId="504319927">
    <w:abstractNumId w:val="7"/>
  </w:num>
  <w:num w:numId="4" w16cid:durableId="302465916">
    <w:abstractNumId w:val="6"/>
  </w:num>
  <w:num w:numId="5" w16cid:durableId="1197698854">
    <w:abstractNumId w:val="5"/>
  </w:num>
  <w:num w:numId="6" w16cid:durableId="680863680">
    <w:abstractNumId w:val="4"/>
  </w:num>
  <w:num w:numId="7" w16cid:durableId="255748006">
    <w:abstractNumId w:val="8"/>
  </w:num>
  <w:num w:numId="8" w16cid:durableId="1137651052">
    <w:abstractNumId w:val="3"/>
  </w:num>
  <w:num w:numId="9" w16cid:durableId="96338727">
    <w:abstractNumId w:val="2"/>
  </w:num>
  <w:num w:numId="10" w16cid:durableId="372266075">
    <w:abstractNumId w:val="1"/>
  </w:num>
  <w:num w:numId="11" w16cid:durableId="888490440">
    <w:abstractNumId w:val="0"/>
  </w:num>
  <w:num w:numId="12" w16cid:durableId="1815296940">
    <w:abstractNumId w:val="10"/>
  </w:num>
  <w:num w:numId="13" w16cid:durableId="1560096658">
    <w:abstractNumId w:val="27"/>
  </w:num>
  <w:num w:numId="14" w16cid:durableId="219633512">
    <w:abstractNumId w:val="17"/>
  </w:num>
  <w:num w:numId="15" w16cid:durableId="590897300">
    <w:abstractNumId w:val="17"/>
    <w:lvlOverride w:ilvl="0">
      <w:startOverride w:val="1"/>
    </w:lvlOverride>
  </w:num>
  <w:num w:numId="16" w16cid:durableId="534200502">
    <w:abstractNumId w:val="17"/>
    <w:lvlOverride w:ilvl="0">
      <w:startOverride w:val="1"/>
    </w:lvlOverride>
  </w:num>
  <w:num w:numId="17" w16cid:durableId="2023972854">
    <w:abstractNumId w:val="17"/>
    <w:lvlOverride w:ilvl="0">
      <w:startOverride w:val="1"/>
    </w:lvlOverride>
  </w:num>
  <w:num w:numId="18" w16cid:durableId="564725321">
    <w:abstractNumId w:val="17"/>
    <w:lvlOverride w:ilvl="0">
      <w:startOverride w:val="1"/>
    </w:lvlOverride>
  </w:num>
  <w:num w:numId="19" w16cid:durableId="224335938">
    <w:abstractNumId w:val="23"/>
  </w:num>
  <w:num w:numId="20" w16cid:durableId="1190410526">
    <w:abstractNumId w:val="23"/>
    <w:lvlOverride w:ilvl="0">
      <w:startOverride w:val="1"/>
    </w:lvlOverride>
  </w:num>
  <w:num w:numId="21" w16cid:durableId="1408385144">
    <w:abstractNumId w:val="28"/>
  </w:num>
  <w:num w:numId="22" w16cid:durableId="1652633785">
    <w:abstractNumId w:val="26"/>
  </w:num>
  <w:num w:numId="23" w16cid:durableId="1863855379">
    <w:abstractNumId w:val="11"/>
    <w:lvlOverride w:ilvl="0">
      <w:startOverride w:val="1"/>
    </w:lvlOverride>
  </w:num>
  <w:num w:numId="24" w16cid:durableId="1004935679">
    <w:abstractNumId w:val="28"/>
    <w:lvlOverride w:ilvl="0">
      <w:startOverride w:val="1"/>
    </w:lvlOverride>
  </w:num>
  <w:num w:numId="25" w16cid:durableId="556090353">
    <w:abstractNumId w:val="26"/>
    <w:lvlOverride w:ilvl="0">
      <w:startOverride w:val="1"/>
    </w:lvlOverride>
  </w:num>
  <w:num w:numId="26" w16cid:durableId="1451320037">
    <w:abstractNumId w:val="26"/>
    <w:lvlOverride w:ilvl="0">
      <w:startOverride w:val="1"/>
    </w:lvlOverride>
  </w:num>
  <w:num w:numId="27" w16cid:durableId="343560202">
    <w:abstractNumId w:val="14"/>
  </w:num>
  <w:num w:numId="28" w16cid:durableId="183137696">
    <w:abstractNumId w:val="21"/>
  </w:num>
  <w:num w:numId="29" w16cid:durableId="1159925919">
    <w:abstractNumId w:val="13"/>
  </w:num>
  <w:num w:numId="30" w16cid:durableId="506991561">
    <w:abstractNumId w:val="15"/>
  </w:num>
  <w:num w:numId="31" w16cid:durableId="762264085">
    <w:abstractNumId w:val="12"/>
  </w:num>
  <w:num w:numId="32" w16cid:durableId="1275554476">
    <w:abstractNumId w:val="28"/>
    <w:lvlOverride w:ilvl="0">
      <w:startOverride w:val="1"/>
    </w:lvlOverride>
  </w:num>
  <w:num w:numId="33" w16cid:durableId="22633587">
    <w:abstractNumId w:val="28"/>
    <w:lvlOverride w:ilvl="0">
      <w:startOverride w:val="1"/>
    </w:lvlOverride>
  </w:num>
  <w:num w:numId="34" w16cid:durableId="1153646539">
    <w:abstractNumId w:val="28"/>
    <w:lvlOverride w:ilvl="0">
      <w:startOverride w:val="1"/>
    </w:lvlOverride>
  </w:num>
  <w:num w:numId="35" w16cid:durableId="162401463">
    <w:abstractNumId w:val="27"/>
    <w:lvlOverride w:ilvl="0">
      <w:startOverride w:val="1"/>
    </w:lvlOverride>
  </w:num>
  <w:num w:numId="36" w16cid:durableId="450367212">
    <w:abstractNumId w:val="27"/>
    <w:lvlOverride w:ilvl="0">
      <w:startOverride w:val="1"/>
    </w:lvlOverride>
  </w:num>
  <w:num w:numId="37" w16cid:durableId="1187674628">
    <w:abstractNumId w:val="27"/>
    <w:lvlOverride w:ilvl="0">
      <w:startOverride w:val="1"/>
    </w:lvlOverride>
  </w:num>
  <w:num w:numId="38" w16cid:durableId="246689910">
    <w:abstractNumId w:val="25"/>
  </w:num>
  <w:num w:numId="39" w16cid:durableId="1755778916">
    <w:abstractNumId w:val="16"/>
  </w:num>
  <w:num w:numId="40" w16cid:durableId="307176929">
    <w:abstractNumId w:val="18"/>
  </w:num>
  <w:num w:numId="41" w16cid:durableId="2121559061">
    <w:abstractNumId w:val="20"/>
  </w:num>
  <w:num w:numId="42" w16cid:durableId="2004818114">
    <w:abstractNumId w:val="19"/>
  </w:num>
  <w:num w:numId="43" w16cid:durableId="1522082268">
    <w:abstractNumId w:val="22"/>
  </w:num>
  <w:num w:numId="44" w16cid:durableId="12691168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0" w:nlCheck="1" w:checkStyle="0"/>
  <w:activeWritingStyle w:appName="MSWord" w:lang="en-AU"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C83"/>
    <w:rsid w:val="0000045E"/>
    <w:rsid w:val="00000B4D"/>
    <w:rsid w:val="00001A3B"/>
    <w:rsid w:val="00005451"/>
    <w:rsid w:val="0000662E"/>
    <w:rsid w:val="000102CD"/>
    <w:rsid w:val="000109F5"/>
    <w:rsid w:val="00013113"/>
    <w:rsid w:val="00014D2A"/>
    <w:rsid w:val="00015101"/>
    <w:rsid w:val="000203E9"/>
    <w:rsid w:val="00020727"/>
    <w:rsid w:val="00021457"/>
    <w:rsid w:val="00027038"/>
    <w:rsid w:val="00027F50"/>
    <w:rsid w:val="0003154E"/>
    <w:rsid w:val="00031C3A"/>
    <w:rsid w:val="000328DF"/>
    <w:rsid w:val="00035963"/>
    <w:rsid w:val="00036162"/>
    <w:rsid w:val="00036586"/>
    <w:rsid w:val="000371BC"/>
    <w:rsid w:val="00037513"/>
    <w:rsid w:val="0004246F"/>
    <w:rsid w:val="00042916"/>
    <w:rsid w:val="00046BBE"/>
    <w:rsid w:val="00050E9A"/>
    <w:rsid w:val="0005170F"/>
    <w:rsid w:val="0005464A"/>
    <w:rsid w:val="000558ED"/>
    <w:rsid w:val="00057763"/>
    <w:rsid w:val="00060657"/>
    <w:rsid w:val="0006627F"/>
    <w:rsid w:val="00066622"/>
    <w:rsid w:val="00067D86"/>
    <w:rsid w:val="0007179E"/>
    <w:rsid w:val="000758E3"/>
    <w:rsid w:val="0007723E"/>
    <w:rsid w:val="00077BA7"/>
    <w:rsid w:val="00077EAC"/>
    <w:rsid w:val="00081027"/>
    <w:rsid w:val="000941BC"/>
    <w:rsid w:val="000A4224"/>
    <w:rsid w:val="000A50A6"/>
    <w:rsid w:val="000B02F4"/>
    <w:rsid w:val="000B160B"/>
    <w:rsid w:val="000B3417"/>
    <w:rsid w:val="000B6A28"/>
    <w:rsid w:val="000C1F4C"/>
    <w:rsid w:val="000C669B"/>
    <w:rsid w:val="000D1ED4"/>
    <w:rsid w:val="000D3A9B"/>
    <w:rsid w:val="000D4815"/>
    <w:rsid w:val="000D5B39"/>
    <w:rsid w:val="000D749D"/>
    <w:rsid w:val="000E0A07"/>
    <w:rsid w:val="000E0E7A"/>
    <w:rsid w:val="000E23AC"/>
    <w:rsid w:val="000E27BD"/>
    <w:rsid w:val="000E5B4B"/>
    <w:rsid w:val="000E6F33"/>
    <w:rsid w:val="00101162"/>
    <w:rsid w:val="00103582"/>
    <w:rsid w:val="001045A1"/>
    <w:rsid w:val="00104F43"/>
    <w:rsid w:val="001078C2"/>
    <w:rsid w:val="0011289C"/>
    <w:rsid w:val="00113D72"/>
    <w:rsid w:val="00115264"/>
    <w:rsid w:val="00117A77"/>
    <w:rsid w:val="001202BE"/>
    <w:rsid w:val="001207A0"/>
    <w:rsid w:val="00122767"/>
    <w:rsid w:val="001255AA"/>
    <w:rsid w:val="001312FF"/>
    <w:rsid w:val="00136D02"/>
    <w:rsid w:val="001375DC"/>
    <w:rsid w:val="0014059A"/>
    <w:rsid w:val="00143FFA"/>
    <w:rsid w:val="00144773"/>
    <w:rsid w:val="001517B9"/>
    <w:rsid w:val="0015751D"/>
    <w:rsid w:val="00160787"/>
    <w:rsid w:val="001611BF"/>
    <w:rsid w:val="0017057D"/>
    <w:rsid w:val="001706DF"/>
    <w:rsid w:val="00170E6D"/>
    <w:rsid w:val="0017203C"/>
    <w:rsid w:val="00173C03"/>
    <w:rsid w:val="00173C4D"/>
    <w:rsid w:val="0017436A"/>
    <w:rsid w:val="00176C32"/>
    <w:rsid w:val="0017743D"/>
    <w:rsid w:val="00177C1F"/>
    <w:rsid w:val="00177CB2"/>
    <w:rsid w:val="00182858"/>
    <w:rsid w:val="001836C9"/>
    <w:rsid w:val="0018704F"/>
    <w:rsid w:val="00190395"/>
    <w:rsid w:val="00192A9F"/>
    <w:rsid w:val="0019367B"/>
    <w:rsid w:val="00193A2C"/>
    <w:rsid w:val="00194102"/>
    <w:rsid w:val="001954B4"/>
    <w:rsid w:val="001A2BE2"/>
    <w:rsid w:val="001A3BE8"/>
    <w:rsid w:val="001A5542"/>
    <w:rsid w:val="001A5613"/>
    <w:rsid w:val="001A6CD8"/>
    <w:rsid w:val="001B19EA"/>
    <w:rsid w:val="001B1E91"/>
    <w:rsid w:val="001B2C89"/>
    <w:rsid w:val="001B2D56"/>
    <w:rsid w:val="001B37AF"/>
    <w:rsid w:val="001B38AB"/>
    <w:rsid w:val="001B41E4"/>
    <w:rsid w:val="001B73E2"/>
    <w:rsid w:val="001B7E79"/>
    <w:rsid w:val="001C0480"/>
    <w:rsid w:val="001C1901"/>
    <w:rsid w:val="001C4359"/>
    <w:rsid w:val="001C5C82"/>
    <w:rsid w:val="001C710A"/>
    <w:rsid w:val="001C757A"/>
    <w:rsid w:val="001C7E52"/>
    <w:rsid w:val="001D5401"/>
    <w:rsid w:val="001D6E27"/>
    <w:rsid w:val="001D7F4D"/>
    <w:rsid w:val="001E25BF"/>
    <w:rsid w:val="001E4F25"/>
    <w:rsid w:val="001E50B0"/>
    <w:rsid w:val="001E73FC"/>
    <w:rsid w:val="001E7BEB"/>
    <w:rsid w:val="001F0B08"/>
    <w:rsid w:val="001F4609"/>
    <w:rsid w:val="001F6307"/>
    <w:rsid w:val="00201422"/>
    <w:rsid w:val="00205D45"/>
    <w:rsid w:val="0021173F"/>
    <w:rsid w:val="00212015"/>
    <w:rsid w:val="00212443"/>
    <w:rsid w:val="00212B56"/>
    <w:rsid w:val="00217A6F"/>
    <w:rsid w:val="00220D53"/>
    <w:rsid w:val="00220DDA"/>
    <w:rsid w:val="00223067"/>
    <w:rsid w:val="002270B8"/>
    <w:rsid w:val="00227722"/>
    <w:rsid w:val="00227DB5"/>
    <w:rsid w:val="002304B4"/>
    <w:rsid w:val="00232710"/>
    <w:rsid w:val="00232964"/>
    <w:rsid w:val="00233F66"/>
    <w:rsid w:val="002356F8"/>
    <w:rsid w:val="00241843"/>
    <w:rsid w:val="002420B0"/>
    <w:rsid w:val="00245E38"/>
    <w:rsid w:val="002536E0"/>
    <w:rsid w:val="00253AA7"/>
    <w:rsid w:val="00256FA9"/>
    <w:rsid w:val="00257AE7"/>
    <w:rsid w:val="0026634E"/>
    <w:rsid w:val="0026648E"/>
    <w:rsid w:val="00266CCC"/>
    <w:rsid w:val="00273977"/>
    <w:rsid w:val="00274D42"/>
    <w:rsid w:val="0027586E"/>
    <w:rsid w:val="00276203"/>
    <w:rsid w:val="00281445"/>
    <w:rsid w:val="00281F41"/>
    <w:rsid w:val="0028266A"/>
    <w:rsid w:val="00282DDF"/>
    <w:rsid w:val="00285CAF"/>
    <w:rsid w:val="002924B7"/>
    <w:rsid w:val="00292DD3"/>
    <w:rsid w:val="002941ED"/>
    <w:rsid w:val="00294C40"/>
    <w:rsid w:val="00294D7C"/>
    <w:rsid w:val="0029705F"/>
    <w:rsid w:val="002A104E"/>
    <w:rsid w:val="002A28A8"/>
    <w:rsid w:val="002A4866"/>
    <w:rsid w:val="002A662C"/>
    <w:rsid w:val="002B11C2"/>
    <w:rsid w:val="002B4950"/>
    <w:rsid w:val="002B5611"/>
    <w:rsid w:val="002B5716"/>
    <w:rsid w:val="002B57A2"/>
    <w:rsid w:val="002B661A"/>
    <w:rsid w:val="002B7D88"/>
    <w:rsid w:val="002C1514"/>
    <w:rsid w:val="002C31A2"/>
    <w:rsid w:val="002C412B"/>
    <w:rsid w:val="002C46CA"/>
    <w:rsid w:val="002C6258"/>
    <w:rsid w:val="002C7A05"/>
    <w:rsid w:val="002D18C3"/>
    <w:rsid w:val="002D2AC1"/>
    <w:rsid w:val="002D55FD"/>
    <w:rsid w:val="002D6B3D"/>
    <w:rsid w:val="002E1968"/>
    <w:rsid w:val="002E272D"/>
    <w:rsid w:val="002E4037"/>
    <w:rsid w:val="002E5916"/>
    <w:rsid w:val="002E7B19"/>
    <w:rsid w:val="002F02F6"/>
    <w:rsid w:val="002F212B"/>
    <w:rsid w:val="002F3CB5"/>
    <w:rsid w:val="002F52A5"/>
    <w:rsid w:val="002F6B99"/>
    <w:rsid w:val="003000F0"/>
    <w:rsid w:val="00301396"/>
    <w:rsid w:val="003030E1"/>
    <w:rsid w:val="0030332C"/>
    <w:rsid w:val="00303C55"/>
    <w:rsid w:val="00307465"/>
    <w:rsid w:val="00311C2D"/>
    <w:rsid w:val="0031310C"/>
    <w:rsid w:val="00316303"/>
    <w:rsid w:val="00317030"/>
    <w:rsid w:val="003171A4"/>
    <w:rsid w:val="00321618"/>
    <w:rsid w:val="00325304"/>
    <w:rsid w:val="00332684"/>
    <w:rsid w:val="00333802"/>
    <w:rsid w:val="00335732"/>
    <w:rsid w:val="00335E3B"/>
    <w:rsid w:val="00337A98"/>
    <w:rsid w:val="0034154C"/>
    <w:rsid w:val="00342C74"/>
    <w:rsid w:val="0034493A"/>
    <w:rsid w:val="00353E5E"/>
    <w:rsid w:val="00354561"/>
    <w:rsid w:val="00355F84"/>
    <w:rsid w:val="00361020"/>
    <w:rsid w:val="0036172B"/>
    <w:rsid w:val="00363113"/>
    <w:rsid w:val="003633C2"/>
    <w:rsid w:val="00363D31"/>
    <w:rsid w:val="00364D34"/>
    <w:rsid w:val="00364D89"/>
    <w:rsid w:val="0036638C"/>
    <w:rsid w:val="003739A0"/>
    <w:rsid w:val="00374D2A"/>
    <w:rsid w:val="00375370"/>
    <w:rsid w:val="0037686B"/>
    <w:rsid w:val="00376FE6"/>
    <w:rsid w:val="003778E3"/>
    <w:rsid w:val="0038465F"/>
    <w:rsid w:val="0038501A"/>
    <w:rsid w:val="00385BD5"/>
    <w:rsid w:val="003863D0"/>
    <w:rsid w:val="0038737E"/>
    <w:rsid w:val="00390523"/>
    <w:rsid w:val="00390F8D"/>
    <w:rsid w:val="0039118C"/>
    <w:rsid w:val="003915C8"/>
    <w:rsid w:val="00391A43"/>
    <w:rsid w:val="00392101"/>
    <w:rsid w:val="00393F75"/>
    <w:rsid w:val="00394ADB"/>
    <w:rsid w:val="00397435"/>
    <w:rsid w:val="003A2367"/>
    <w:rsid w:val="003A7EFA"/>
    <w:rsid w:val="003C0F66"/>
    <w:rsid w:val="003C181D"/>
    <w:rsid w:val="003C55DC"/>
    <w:rsid w:val="003C6606"/>
    <w:rsid w:val="003D2E3F"/>
    <w:rsid w:val="003D2EA4"/>
    <w:rsid w:val="003D393E"/>
    <w:rsid w:val="003D53A6"/>
    <w:rsid w:val="003D551C"/>
    <w:rsid w:val="003D5DFA"/>
    <w:rsid w:val="003D6446"/>
    <w:rsid w:val="003D676D"/>
    <w:rsid w:val="003E0EDB"/>
    <w:rsid w:val="003E13E1"/>
    <w:rsid w:val="003E40C8"/>
    <w:rsid w:val="003E44BB"/>
    <w:rsid w:val="003E4572"/>
    <w:rsid w:val="003F0796"/>
    <w:rsid w:val="003F23E9"/>
    <w:rsid w:val="003F3C01"/>
    <w:rsid w:val="003F5FC3"/>
    <w:rsid w:val="003F6D6A"/>
    <w:rsid w:val="003F7179"/>
    <w:rsid w:val="00401A0F"/>
    <w:rsid w:val="00401A99"/>
    <w:rsid w:val="0040218D"/>
    <w:rsid w:val="00404E1F"/>
    <w:rsid w:val="004052C8"/>
    <w:rsid w:val="00406C53"/>
    <w:rsid w:val="00407F86"/>
    <w:rsid w:val="004103B6"/>
    <w:rsid w:val="004164CD"/>
    <w:rsid w:val="0041795D"/>
    <w:rsid w:val="00417DF4"/>
    <w:rsid w:val="00420242"/>
    <w:rsid w:val="00423F5E"/>
    <w:rsid w:val="004263C4"/>
    <w:rsid w:val="00433477"/>
    <w:rsid w:val="004335DE"/>
    <w:rsid w:val="00433BE4"/>
    <w:rsid w:val="00435DEC"/>
    <w:rsid w:val="00436F36"/>
    <w:rsid w:val="004377ED"/>
    <w:rsid w:val="00441163"/>
    <w:rsid w:val="00441CD6"/>
    <w:rsid w:val="00441E9D"/>
    <w:rsid w:val="004425C1"/>
    <w:rsid w:val="00442E08"/>
    <w:rsid w:val="004434B2"/>
    <w:rsid w:val="00443F97"/>
    <w:rsid w:val="0044525C"/>
    <w:rsid w:val="0044552A"/>
    <w:rsid w:val="00445C09"/>
    <w:rsid w:val="004460CD"/>
    <w:rsid w:val="00456E5F"/>
    <w:rsid w:val="00462A4A"/>
    <w:rsid w:val="0046478C"/>
    <w:rsid w:val="00464D89"/>
    <w:rsid w:val="004654F8"/>
    <w:rsid w:val="00466B44"/>
    <w:rsid w:val="00470974"/>
    <w:rsid w:val="00473172"/>
    <w:rsid w:val="00477F01"/>
    <w:rsid w:val="00481144"/>
    <w:rsid w:val="00482F04"/>
    <w:rsid w:val="004857B3"/>
    <w:rsid w:val="0048667A"/>
    <w:rsid w:val="004878D3"/>
    <w:rsid w:val="00490B90"/>
    <w:rsid w:val="004958F2"/>
    <w:rsid w:val="00496211"/>
    <w:rsid w:val="00496448"/>
    <w:rsid w:val="00497F2D"/>
    <w:rsid w:val="004A3570"/>
    <w:rsid w:val="004A41E5"/>
    <w:rsid w:val="004A4EC7"/>
    <w:rsid w:val="004A5CAA"/>
    <w:rsid w:val="004A5D77"/>
    <w:rsid w:val="004B2C90"/>
    <w:rsid w:val="004B2F07"/>
    <w:rsid w:val="004B53F2"/>
    <w:rsid w:val="004B5ADD"/>
    <w:rsid w:val="004B7C9B"/>
    <w:rsid w:val="004C0F3E"/>
    <w:rsid w:val="004C17DE"/>
    <w:rsid w:val="004C4418"/>
    <w:rsid w:val="004C66C9"/>
    <w:rsid w:val="004C6BB9"/>
    <w:rsid w:val="004D3335"/>
    <w:rsid w:val="004D6D28"/>
    <w:rsid w:val="004E09D2"/>
    <w:rsid w:val="004E0C63"/>
    <w:rsid w:val="004E1D44"/>
    <w:rsid w:val="004E73B5"/>
    <w:rsid w:val="004E7AF1"/>
    <w:rsid w:val="004F13DF"/>
    <w:rsid w:val="004F163D"/>
    <w:rsid w:val="004F4C4F"/>
    <w:rsid w:val="004F4D77"/>
    <w:rsid w:val="004F5D69"/>
    <w:rsid w:val="00501768"/>
    <w:rsid w:val="00506B50"/>
    <w:rsid w:val="005122D0"/>
    <w:rsid w:val="00514DC5"/>
    <w:rsid w:val="005151A7"/>
    <w:rsid w:val="005202BA"/>
    <w:rsid w:val="00521EDC"/>
    <w:rsid w:val="005226B9"/>
    <w:rsid w:val="00522D9C"/>
    <w:rsid w:val="005266CB"/>
    <w:rsid w:val="00527E61"/>
    <w:rsid w:val="00530887"/>
    <w:rsid w:val="005338AE"/>
    <w:rsid w:val="00533C80"/>
    <w:rsid w:val="00536860"/>
    <w:rsid w:val="00537689"/>
    <w:rsid w:val="0054218B"/>
    <w:rsid w:val="00542ECD"/>
    <w:rsid w:val="00543C86"/>
    <w:rsid w:val="0054509A"/>
    <w:rsid w:val="005478FE"/>
    <w:rsid w:val="00550797"/>
    <w:rsid w:val="00560F70"/>
    <w:rsid w:val="00560FCA"/>
    <w:rsid w:val="00561D39"/>
    <w:rsid w:val="00561FB9"/>
    <w:rsid w:val="00563000"/>
    <w:rsid w:val="005647ED"/>
    <w:rsid w:val="00564D92"/>
    <w:rsid w:val="00571466"/>
    <w:rsid w:val="00575143"/>
    <w:rsid w:val="005755D6"/>
    <w:rsid w:val="00576572"/>
    <w:rsid w:val="00577832"/>
    <w:rsid w:val="00577BF1"/>
    <w:rsid w:val="005818AA"/>
    <w:rsid w:val="00583403"/>
    <w:rsid w:val="00584C18"/>
    <w:rsid w:val="00584D63"/>
    <w:rsid w:val="0059086E"/>
    <w:rsid w:val="00591288"/>
    <w:rsid w:val="005917FD"/>
    <w:rsid w:val="005934F7"/>
    <w:rsid w:val="0059541A"/>
    <w:rsid w:val="005A0798"/>
    <w:rsid w:val="005A3632"/>
    <w:rsid w:val="005A4AA1"/>
    <w:rsid w:val="005A58D1"/>
    <w:rsid w:val="005A698F"/>
    <w:rsid w:val="005A699D"/>
    <w:rsid w:val="005B10CB"/>
    <w:rsid w:val="005B2D66"/>
    <w:rsid w:val="005B3358"/>
    <w:rsid w:val="005C0043"/>
    <w:rsid w:val="005C0F15"/>
    <w:rsid w:val="005C1D61"/>
    <w:rsid w:val="005C2AB1"/>
    <w:rsid w:val="005C32EF"/>
    <w:rsid w:val="005C3C13"/>
    <w:rsid w:val="005C584A"/>
    <w:rsid w:val="005C62CB"/>
    <w:rsid w:val="005D00E4"/>
    <w:rsid w:val="005D0381"/>
    <w:rsid w:val="005D131B"/>
    <w:rsid w:val="005D13A3"/>
    <w:rsid w:val="005D4706"/>
    <w:rsid w:val="005D5F5E"/>
    <w:rsid w:val="005D7618"/>
    <w:rsid w:val="005D7C45"/>
    <w:rsid w:val="005E05EC"/>
    <w:rsid w:val="005E3199"/>
    <w:rsid w:val="005E3226"/>
    <w:rsid w:val="005E32DB"/>
    <w:rsid w:val="005F3B45"/>
    <w:rsid w:val="005F66F9"/>
    <w:rsid w:val="005F7741"/>
    <w:rsid w:val="00601A7B"/>
    <w:rsid w:val="00601C9C"/>
    <w:rsid w:val="00603F00"/>
    <w:rsid w:val="00604931"/>
    <w:rsid w:val="00604F35"/>
    <w:rsid w:val="00605256"/>
    <w:rsid w:val="006067D6"/>
    <w:rsid w:val="00606CF1"/>
    <w:rsid w:val="00612AAE"/>
    <w:rsid w:val="00612DB9"/>
    <w:rsid w:val="00613F08"/>
    <w:rsid w:val="006147EB"/>
    <w:rsid w:val="00614E30"/>
    <w:rsid w:val="006150DC"/>
    <w:rsid w:val="00615B58"/>
    <w:rsid w:val="00616B9C"/>
    <w:rsid w:val="006200EB"/>
    <w:rsid w:val="0062155C"/>
    <w:rsid w:val="0062197B"/>
    <w:rsid w:val="00621EA3"/>
    <w:rsid w:val="00623876"/>
    <w:rsid w:val="00623E6B"/>
    <w:rsid w:val="00624488"/>
    <w:rsid w:val="006266EA"/>
    <w:rsid w:val="00627A97"/>
    <w:rsid w:val="00630B03"/>
    <w:rsid w:val="00630B58"/>
    <w:rsid w:val="00631F45"/>
    <w:rsid w:val="00632123"/>
    <w:rsid w:val="00640234"/>
    <w:rsid w:val="00642D6A"/>
    <w:rsid w:val="0064343A"/>
    <w:rsid w:val="00645ABA"/>
    <w:rsid w:val="00653331"/>
    <w:rsid w:val="00653832"/>
    <w:rsid w:val="00653936"/>
    <w:rsid w:val="00660BC5"/>
    <w:rsid w:val="00663FF0"/>
    <w:rsid w:val="00665421"/>
    <w:rsid w:val="00665FB6"/>
    <w:rsid w:val="00667DBC"/>
    <w:rsid w:val="006766E8"/>
    <w:rsid w:val="00677136"/>
    <w:rsid w:val="00680138"/>
    <w:rsid w:val="0068119C"/>
    <w:rsid w:val="00681DFA"/>
    <w:rsid w:val="0069043A"/>
    <w:rsid w:val="00690D75"/>
    <w:rsid w:val="006915AA"/>
    <w:rsid w:val="00692EEB"/>
    <w:rsid w:val="006945A3"/>
    <w:rsid w:val="00695CB5"/>
    <w:rsid w:val="006A008F"/>
    <w:rsid w:val="006A17FA"/>
    <w:rsid w:val="006A243F"/>
    <w:rsid w:val="006A5AA6"/>
    <w:rsid w:val="006B0D1B"/>
    <w:rsid w:val="006B1F84"/>
    <w:rsid w:val="006B3835"/>
    <w:rsid w:val="006B6B21"/>
    <w:rsid w:val="006C62B2"/>
    <w:rsid w:val="006C71E6"/>
    <w:rsid w:val="006C7687"/>
    <w:rsid w:val="006C7E16"/>
    <w:rsid w:val="006D0ACF"/>
    <w:rsid w:val="006D1D5E"/>
    <w:rsid w:val="006D2B80"/>
    <w:rsid w:val="006D4826"/>
    <w:rsid w:val="006E0C63"/>
    <w:rsid w:val="006E170D"/>
    <w:rsid w:val="006E5BA3"/>
    <w:rsid w:val="006E698B"/>
    <w:rsid w:val="006E7551"/>
    <w:rsid w:val="006F2892"/>
    <w:rsid w:val="006F3B9F"/>
    <w:rsid w:val="006F731F"/>
    <w:rsid w:val="006F7EFE"/>
    <w:rsid w:val="00702CBD"/>
    <w:rsid w:val="00702E8C"/>
    <w:rsid w:val="00704931"/>
    <w:rsid w:val="00707022"/>
    <w:rsid w:val="007114AC"/>
    <w:rsid w:val="00712D6B"/>
    <w:rsid w:val="007132E9"/>
    <w:rsid w:val="007151E9"/>
    <w:rsid w:val="0071548B"/>
    <w:rsid w:val="00715B6C"/>
    <w:rsid w:val="007203C8"/>
    <w:rsid w:val="007203E4"/>
    <w:rsid w:val="007204A9"/>
    <w:rsid w:val="00722D12"/>
    <w:rsid w:val="007240CA"/>
    <w:rsid w:val="0072497F"/>
    <w:rsid w:val="00724A6C"/>
    <w:rsid w:val="00726C8B"/>
    <w:rsid w:val="00732081"/>
    <w:rsid w:val="00734154"/>
    <w:rsid w:val="00735B9B"/>
    <w:rsid w:val="00743B31"/>
    <w:rsid w:val="0074565F"/>
    <w:rsid w:val="007461F3"/>
    <w:rsid w:val="007467C6"/>
    <w:rsid w:val="00747B1E"/>
    <w:rsid w:val="0075061A"/>
    <w:rsid w:val="00756929"/>
    <w:rsid w:val="00763D16"/>
    <w:rsid w:val="00765B33"/>
    <w:rsid w:val="007668CA"/>
    <w:rsid w:val="00767DBB"/>
    <w:rsid w:val="00770412"/>
    <w:rsid w:val="00771BF9"/>
    <w:rsid w:val="0077206D"/>
    <w:rsid w:val="00773872"/>
    <w:rsid w:val="00774646"/>
    <w:rsid w:val="007766B2"/>
    <w:rsid w:val="00776D82"/>
    <w:rsid w:val="00777DE5"/>
    <w:rsid w:val="00781695"/>
    <w:rsid w:val="007820F5"/>
    <w:rsid w:val="007837FE"/>
    <w:rsid w:val="00783C8F"/>
    <w:rsid w:val="00784BA7"/>
    <w:rsid w:val="00784DA0"/>
    <w:rsid w:val="00787CD8"/>
    <w:rsid w:val="00793856"/>
    <w:rsid w:val="007971E4"/>
    <w:rsid w:val="007A02A7"/>
    <w:rsid w:val="007A0601"/>
    <w:rsid w:val="007A1EEB"/>
    <w:rsid w:val="007A5116"/>
    <w:rsid w:val="007A56F0"/>
    <w:rsid w:val="007A73F6"/>
    <w:rsid w:val="007B0C33"/>
    <w:rsid w:val="007B0FBF"/>
    <w:rsid w:val="007B1BD0"/>
    <w:rsid w:val="007B7344"/>
    <w:rsid w:val="007C01F9"/>
    <w:rsid w:val="007C0935"/>
    <w:rsid w:val="007C194A"/>
    <w:rsid w:val="007C27F6"/>
    <w:rsid w:val="007C771C"/>
    <w:rsid w:val="007D1A5E"/>
    <w:rsid w:val="007D3249"/>
    <w:rsid w:val="007D6386"/>
    <w:rsid w:val="007D7CD9"/>
    <w:rsid w:val="007E21DC"/>
    <w:rsid w:val="007E596A"/>
    <w:rsid w:val="007E6D00"/>
    <w:rsid w:val="007E7B68"/>
    <w:rsid w:val="007F1FE3"/>
    <w:rsid w:val="007F2A7D"/>
    <w:rsid w:val="007F4E93"/>
    <w:rsid w:val="007F67E0"/>
    <w:rsid w:val="00800A66"/>
    <w:rsid w:val="00801C4F"/>
    <w:rsid w:val="0080299F"/>
    <w:rsid w:val="008042B4"/>
    <w:rsid w:val="008046D4"/>
    <w:rsid w:val="00804703"/>
    <w:rsid w:val="00805A5D"/>
    <w:rsid w:val="00810E90"/>
    <w:rsid w:val="00812972"/>
    <w:rsid w:val="00813887"/>
    <w:rsid w:val="00815D39"/>
    <w:rsid w:val="00820415"/>
    <w:rsid w:val="008237D5"/>
    <w:rsid w:val="00823F98"/>
    <w:rsid w:val="00824850"/>
    <w:rsid w:val="00825DED"/>
    <w:rsid w:val="00831F64"/>
    <w:rsid w:val="00833792"/>
    <w:rsid w:val="0083467D"/>
    <w:rsid w:val="00836756"/>
    <w:rsid w:val="008370A8"/>
    <w:rsid w:val="00837707"/>
    <w:rsid w:val="00841433"/>
    <w:rsid w:val="008420CB"/>
    <w:rsid w:val="00846743"/>
    <w:rsid w:val="008500C0"/>
    <w:rsid w:val="00850888"/>
    <w:rsid w:val="00852F35"/>
    <w:rsid w:val="008531A6"/>
    <w:rsid w:val="00856AE2"/>
    <w:rsid w:val="00856B74"/>
    <w:rsid w:val="00857363"/>
    <w:rsid w:val="00860474"/>
    <w:rsid w:val="008630ED"/>
    <w:rsid w:val="0086394C"/>
    <w:rsid w:val="00864C05"/>
    <w:rsid w:val="008667C4"/>
    <w:rsid w:val="0087306E"/>
    <w:rsid w:val="00875C91"/>
    <w:rsid w:val="0087619F"/>
    <w:rsid w:val="00876A08"/>
    <w:rsid w:val="00880485"/>
    <w:rsid w:val="00881A82"/>
    <w:rsid w:val="008824E4"/>
    <w:rsid w:val="00883248"/>
    <w:rsid w:val="008842FE"/>
    <w:rsid w:val="00886A22"/>
    <w:rsid w:val="00890D44"/>
    <w:rsid w:val="008921BE"/>
    <w:rsid w:val="00892D49"/>
    <w:rsid w:val="00893137"/>
    <w:rsid w:val="008A0614"/>
    <w:rsid w:val="008A24D2"/>
    <w:rsid w:val="008A3133"/>
    <w:rsid w:val="008A45F8"/>
    <w:rsid w:val="008A51FD"/>
    <w:rsid w:val="008A69F0"/>
    <w:rsid w:val="008B0957"/>
    <w:rsid w:val="008B1631"/>
    <w:rsid w:val="008B28D9"/>
    <w:rsid w:val="008B44F5"/>
    <w:rsid w:val="008B4861"/>
    <w:rsid w:val="008B63D2"/>
    <w:rsid w:val="008B7808"/>
    <w:rsid w:val="008B78D1"/>
    <w:rsid w:val="008C16E7"/>
    <w:rsid w:val="008C1E66"/>
    <w:rsid w:val="008C2806"/>
    <w:rsid w:val="008C45FF"/>
    <w:rsid w:val="008C47A1"/>
    <w:rsid w:val="008C629B"/>
    <w:rsid w:val="008C738F"/>
    <w:rsid w:val="008D07C9"/>
    <w:rsid w:val="008D18C1"/>
    <w:rsid w:val="008D2797"/>
    <w:rsid w:val="008D3B43"/>
    <w:rsid w:val="008D6B9E"/>
    <w:rsid w:val="008E005C"/>
    <w:rsid w:val="008E1024"/>
    <w:rsid w:val="008E1FCD"/>
    <w:rsid w:val="008E2A31"/>
    <w:rsid w:val="008E36E2"/>
    <w:rsid w:val="008E3BAD"/>
    <w:rsid w:val="008E5613"/>
    <w:rsid w:val="008E5A13"/>
    <w:rsid w:val="008E641F"/>
    <w:rsid w:val="008E709B"/>
    <w:rsid w:val="008F352D"/>
    <w:rsid w:val="008F4C6A"/>
    <w:rsid w:val="008F6696"/>
    <w:rsid w:val="008F741C"/>
    <w:rsid w:val="00902878"/>
    <w:rsid w:val="009055B4"/>
    <w:rsid w:val="00906D5D"/>
    <w:rsid w:val="0091141A"/>
    <w:rsid w:val="0091143A"/>
    <w:rsid w:val="0091347B"/>
    <w:rsid w:val="009137B6"/>
    <w:rsid w:val="00913ED0"/>
    <w:rsid w:val="00914C38"/>
    <w:rsid w:val="0091618E"/>
    <w:rsid w:val="00927650"/>
    <w:rsid w:val="00930578"/>
    <w:rsid w:val="00931AED"/>
    <w:rsid w:val="0093222B"/>
    <w:rsid w:val="00932DE1"/>
    <w:rsid w:val="00935EA5"/>
    <w:rsid w:val="00936C83"/>
    <w:rsid w:val="00937A52"/>
    <w:rsid w:val="0094015E"/>
    <w:rsid w:val="00940DC2"/>
    <w:rsid w:val="009418EB"/>
    <w:rsid w:val="00941E73"/>
    <w:rsid w:val="00942CB6"/>
    <w:rsid w:val="00942CE9"/>
    <w:rsid w:val="009433AF"/>
    <w:rsid w:val="00944908"/>
    <w:rsid w:val="00944A0A"/>
    <w:rsid w:val="00944CCF"/>
    <w:rsid w:val="00945E1B"/>
    <w:rsid w:val="00952454"/>
    <w:rsid w:val="00953D68"/>
    <w:rsid w:val="00954FF2"/>
    <w:rsid w:val="00957BBD"/>
    <w:rsid w:val="009615D2"/>
    <w:rsid w:val="00962EE8"/>
    <w:rsid w:val="00963BC2"/>
    <w:rsid w:val="00971222"/>
    <w:rsid w:val="00972C50"/>
    <w:rsid w:val="00974666"/>
    <w:rsid w:val="0097491E"/>
    <w:rsid w:val="00976EE9"/>
    <w:rsid w:val="00977EBA"/>
    <w:rsid w:val="00984376"/>
    <w:rsid w:val="0098552C"/>
    <w:rsid w:val="00991110"/>
    <w:rsid w:val="00991C32"/>
    <w:rsid w:val="0099693A"/>
    <w:rsid w:val="00996B38"/>
    <w:rsid w:val="009A1AF4"/>
    <w:rsid w:val="009A43DE"/>
    <w:rsid w:val="009A6120"/>
    <w:rsid w:val="009A6D9C"/>
    <w:rsid w:val="009A78C6"/>
    <w:rsid w:val="009B1378"/>
    <w:rsid w:val="009C051A"/>
    <w:rsid w:val="009C139B"/>
    <w:rsid w:val="009C1BD7"/>
    <w:rsid w:val="009C275C"/>
    <w:rsid w:val="009C529C"/>
    <w:rsid w:val="009C5B8C"/>
    <w:rsid w:val="009C60F6"/>
    <w:rsid w:val="009D2232"/>
    <w:rsid w:val="009D3EF0"/>
    <w:rsid w:val="009D4AB8"/>
    <w:rsid w:val="009D5D8E"/>
    <w:rsid w:val="009D789B"/>
    <w:rsid w:val="009E1324"/>
    <w:rsid w:val="009E3F47"/>
    <w:rsid w:val="009E4002"/>
    <w:rsid w:val="009E64E8"/>
    <w:rsid w:val="009F0889"/>
    <w:rsid w:val="009F5A34"/>
    <w:rsid w:val="009F69BD"/>
    <w:rsid w:val="009F6A0F"/>
    <w:rsid w:val="009F7B86"/>
    <w:rsid w:val="009F7EA6"/>
    <w:rsid w:val="00A008E6"/>
    <w:rsid w:val="00A008F6"/>
    <w:rsid w:val="00A00DE3"/>
    <w:rsid w:val="00A02AB2"/>
    <w:rsid w:val="00A03956"/>
    <w:rsid w:val="00A04ACF"/>
    <w:rsid w:val="00A067AF"/>
    <w:rsid w:val="00A0743A"/>
    <w:rsid w:val="00A12C83"/>
    <w:rsid w:val="00A1585F"/>
    <w:rsid w:val="00A158D4"/>
    <w:rsid w:val="00A16996"/>
    <w:rsid w:val="00A17097"/>
    <w:rsid w:val="00A17E68"/>
    <w:rsid w:val="00A20183"/>
    <w:rsid w:val="00A20FBF"/>
    <w:rsid w:val="00A21BFA"/>
    <w:rsid w:val="00A269B3"/>
    <w:rsid w:val="00A26D73"/>
    <w:rsid w:val="00A31CD9"/>
    <w:rsid w:val="00A3440B"/>
    <w:rsid w:val="00A35E13"/>
    <w:rsid w:val="00A40DA9"/>
    <w:rsid w:val="00A442A5"/>
    <w:rsid w:val="00A47011"/>
    <w:rsid w:val="00A51597"/>
    <w:rsid w:val="00A54E1B"/>
    <w:rsid w:val="00A56821"/>
    <w:rsid w:val="00A57820"/>
    <w:rsid w:val="00A60412"/>
    <w:rsid w:val="00A6073A"/>
    <w:rsid w:val="00A62EF3"/>
    <w:rsid w:val="00A67EC4"/>
    <w:rsid w:val="00A70773"/>
    <w:rsid w:val="00A70C7E"/>
    <w:rsid w:val="00A71346"/>
    <w:rsid w:val="00A72C23"/>
    <w:rsid w:val="00A73BC2"/>
    <w:rsid w:val="00A73D3D"/>
    <w:rsid w:val="00A76212"/>
    <w:rsid w:val="00A85011"/>
    <w:rsid w:val="00A918A7"/>
    <w:rsid w:val="00A91FBC"/>
    <w:rsid w:val="00A934C4"/>
    <w:rsid w:val="00A93D1B"/>
    <w:rsid w:val="00A95218"/>
    <w:rsid w:val="00A959FE"/>
    <w:rsid w:val="00A96E20"/>
    <w:rsid w:val="00A97664"/>
    <w:rsid w:val="00AA13FB"/>
    <w:rsid w:val="00AA2158"/>
    <w:rsid w:val="00AA31E9"/>
    <w:rsid w:val="00AA5F0B"/>
    <w:rsid w:val="00AA705F"/>
    <w:rsid w:val="00AA7F82"/>
    <w:rsid w:val="00AA7FA2"/>
    <w:rsid w:val="00AB2696"/>
    <w:rsid w:val="00AB3324"/>
    <w:rsid w:val="00AB37C9"/>
    <w:rsid w:val="00AB4008"/>
    <w:rsid w:val="00AB583E"/>
    <w:rsid w:val="00AB6B14"/>
    <w:rsid w:val="00AC0243"/>
    <w:rsid w:val="00AC0A35"/>
    <w:rsid w:val="00AC1348"/>
    <w:rsid w:val="00AC2CDC"/>
    <w:rsid w:val="00AC5304"/>
    <w:rsid w:val="00AD5237"/>
    <w:rsid w:val="00AD54E1"/>
    <w:rsid w:val="00AD7805"/>
    <w:rsid w:val="00AE0C6D"/>
    <w:rsid w:val="00AE3230"/>
    <w:rsid w:val="00AE3658"/>
    <w:rsid w:val="00AE39E1"/>
    <w:rsid w:val="00AF080A"/>
    <w:rsid w:val="00AF0832"/>
    <w:rsid w:val="00AF6703"/>
    <w:rsid w:val="00AF7C7C"/>
    <w:rsid w:val="00B0132F"/>
    <w:rsid w:val="00B016AD"/>
    <w:rsid w:val="00B0273E"/>
    <w:rsid w:val="00B05561"/>
    <w:rsid w:val="00B05FFD"/>
    <w:rsid w:val="00B10C52"/>
    <w:rsid w:val="00B13935"/>
    <w:rsid w:val="00B13CBD"/>
    <w:rsid w:val="00B1558F"/>
    <w:rsid w:val="00B1734F"/>
    <w:rsid w:val="00B2045F"/>
    <w:rsid w:val="00B20AB3"/>
    <w:rsid w:val="00B21608"/>
    <w:rsid w:val="00B21E9B"/>
    <w:rsid w:val="00B24BC0"/>
    <w:rsid w:val="00B32CE9"/>
    <w:rsid w:val="00B34A4C"/>
    <w:rsid w:val="00B4396C"/>
    <w:rsid w:val="00B45A70"/>
    <w:rsid w:val="00B46BD4"/>
    <w:rsid w:val="00B5013D"/>
    <w:rsid w:val="00B56736"/>
    <w:rsid w:val="00B56860"/>
    <w:rsid w:val="00B56ECE"/>
    <w:rsid w:val="00B62A0F"/>
    <w:rsid w:val="00B64324"/>
    <w:rsid w:val="00B6596F"/>
    <w:rsid w:val="00B70A45"/>
    <w:rsid w:val="00B746ED"/>
    <w:rsid w:val="00B74924"/>
    <w:rsid w:val="00B75545"/>
    <w:rsid w:val="00B818B4"/>
    <w:rsid w:val="00B820BA"/>
    <w:rsid w:val="00B82A65"/>
    <w:rsid w:val="00B83A85"/>
    <w:rsid w:val="00B85BEA"/>
    <w:rsid w:val="00B922B2"/>
    <w:rsid w:val="00B92F2C"/>
    <w:rsid w:val="00B95C8F"/>
    <w:rsid w:val="00B9781B"/>
    <w:rsid w:val="00BA25ED"/>
    <w:rsid w:val="00BA28A0"/>
    <w:rsid w:val="00BA3D8E"/>
    <w:rsid w:val="00BA4ADB"/>
    <w:rsid w:val="00BA66D7"/>
    <w:rsid w:val="00BA68AA"/>
    <w:rsid w:val="00BB04DC"/>
    <w:rsid w:val="00BB096F"/>
    <w:rsid w:val="00BB1526"/>
    <w:rsid w:val="00BB29CB"/>
    <w:rsid w:val="00BB2D95"/>
    <w:rsid w:val="00BB38C3"/>
    <w:rsid w:val="00BB3D4D"/>
    <w:rsid w:val="00BB4158"/>
    <w:rsid w:val="00BB4A34"/>
    <w:rsid w:val="00BB79E5"/>
    <w:rsid w:val="00BC0BF7"/>
    <w:rsid w:val="00BC0ED5"/>
    <w:rsid w:val="00BC1E8D"/>
    <w:rsid w:val="00BC330E"/>
    <w:rsid w:val="00BC394B"/>
    <w:rsid w:val="00BC4A99"/>
    <w:rsid w:val="00BC505F"/>
    <w:rsid w:val="00BC535A"/>
    <w:rsid w:val="00BC5893"/>
    <w:rsid w:val="00BD141C"/>
    <w:rsid w:val="00BD171D"/>
    <w:rsid w:val="00BD25DD"/>
    <w:rsid w:val="00BD37B8"/>
    <w:rsid w:val="00BD3F5E"/>
    <w:rsid w:val="00BD57F5"/>
    <w:rsid w:val="00BD67BB"/>
    <w:rsid w:val="00BD7890"/>
    <w:rsid w:val="00BE07B3"/>
    <w:rsid w:val="00BE11BF"/>
    <w:rsid w:val="00BE281D"/>
    <w:rsid w:val="00BE3E40"/>
    <w:rsid w:val="00BE48A4"/>
    <w:rsid w:val="00BE56F0"/>
    <w:rsid w:val="00BE6CD9"/>
    <w:rsid w:val="00BF0742"/>
    <w:rsid w:val="00BF0B2A"/>
    <w:rsid w:val="00BF17B9"/>
    <w:rsid w:val="00BF220F"/>
    <w:rsid w:val="00BF532B"/>
    <w:rsid w:val="00BF5A50"/>
    <w:rsid w:val="00BF5F61"/>
    <w:rsid w:val="00BF7349"/>
    <w:rsid w:val="00C00B2E"/>
    <w:rsid w:val="00C066BA"/>
    <w:rsid w:val="00C12D35"/>
    <w:rsid w:val="00C1330C"/>
    <w:rsid w:val="00C13746"/>
    <w:rsid w:val="00C17807"/>
    <w:rsid w:val="00C22088"/>
    <w:rsid w:val="00C2307F"/>
    <w:rsid w:val="00C2371A"/>
    <w:rsid w:val="00C264AE"/>
    <w:rsid w:val="00C26547"/>
    <w:rsid w:val="00C31252"/>
    <w:rsid w:val="00C332B2"/>
    <w:rsid w:val="00C34227"/>
    <w:rsid w:val="00C4071F"/>
    <w:rsid w:val="00C44076"/>
    <w:rsid w:val="00C4602E"/>
    <w:rsid w:val="00C46578"/>
    <w:rsid w:val="00C47620"/>
    <w:rsid w:val="00C52716"/>
    <w:rsid w:val="00C5293B"/>
    <w:rsid w:val="00C53068"/>
    <w:rsid w:val="00C56E3A"/>
    <w:rsid w:val="00C6198A"/>
    <w:rsid w:val="00C65612"/>
    <w:rsid w:val="00C674C2"/>
    <w:rsid w:val="00C70947"/>
    <w:rsid w:val="00C73D4D"/>
    <w:rsid w:val="00C84BDF"/>
    <w:rsid w:val="00C95B20"/>
    <w:rsid w:val="00C95ECB"/>
    <w:rsid w:val="00C969DC"/>
    <w:rsid w:val="00C976F9"/>
    <w:rsid w:val="00CA089B"/>
    <w:rsid w:val="00CA3925"/>
    <w:rsid w:val="00CA3B0F"/>
    <w:rsid w:val="00CA466B"/>
    <w:rsid w:val="00CA75F7"/>
    <w:rsid w:val="00CB11F0"/>
    <w:rsid w:val="00CB182D"/>
    <w:rsid w:val="00CB2D37"/>
    <w:rsid w:val="00CB44FA"/>
    <w:rsid w:val="00CB4E08"/>
    <w:rsid w:val="00CB7E98"/>
    <w:rsid w:val="00CC1F7D"/>
    <w:rsid w:val="00CC43D6"/>
    <w:rsid w:val="00CC5A5F"/>
    <w:rsid w:val="00CC6110"/>
    <w:rsid w:val="00CC6D68"/>
    <w:rsid w:val="00CD17DB"/>
    <w:rsid w:val="00CD192D"/>
    <w:rsid w:val="00CD3644"/>
    <w:rsid w:val="00CD4319"/>
    <w:rsid w:val="00CD4569"/>
    <w:rsid w:val="00CD49FA"/>
    <w:rsid w:val="00CE338B"/>
    <w:rsid w:val="00CE5DC0"/>
    <w:rsid w:val="00CE6012"/>
    <w:rsid w:val="00CF0DE3"/>
    <w:rsid w:val="00CF2C67"/>
    <w:rsid w:val="00CF3A2E"/>
    <w:rsid w:val="00CF65D5"/>
    <w:rsid w:val="00CF6B45"/>
    <w:rsid w:val="00CF72CB"/>
    <w:rsid w:val="00D02B54"/>
    <w:rsid w:val="00D03799"/>
    <w:rsid w:val="00D03B15"/>
    <w:rsid w:val="00D04E61"/>
    <w:rsid w:val="00D05CCF"/>
    <w:rsid w:val="00D100B5"/>
    <w:rsid w:val="00D10635"/>
    <w:rsid w:val="00D11A9A"/>
    <w:rsid w:val="00D11D5B"/>
    <w:rsid w:val="00D121C6"/>
    <w:rsid w:val="00D158B2"/>
    <w:rsid w:val="00D17A95"/>
    <w:rsid w:val="00D20BBF"/>
    <w:rsid w:val="00D21D9E"/>
    <w:rsid w:val="00D22740"/>
    <w:rsid w:val="00D25BDF"/>
    <w:rsid w:val="00D33677"/>
    <w:rsid w:val="00D500C1"/>
    <w:rsid w:val="00D525B8"/>
    <w:rsid w:val="00D603A7"/>
    <w:rsid w:val="00D7261C"/>
    <w:rsid w:val="00D7359B"/>
    <w:rsid w:val="00D7683C"/>
    <w:rsid w:val="00D82F07"/>
    <w:rsid w:val="00D84122"/>
    <w:rsid w:val="00D908E8"/>
    <w:rsid w:val="00D90C71"/>
    <w:rsid w:val="00D91024"/>
    <w:rsid w:val="00D91E5A"/>
    <w:rsid w:val="00D927C8"/>
    <w:rsid w:val="00D948BD"/>
    <w:rsid w:val="00D96AF3"/>
    <w:rsid w:val="00DA1251"/>
    <w:rsid w:val="00DA18A2"/>
    <w:rsid w:val="00DA246B"/>
    <w:rsid w:val="00DA3E94"/>
    <w:rsid w:val="00DA40A5"/>
    <w:rsid w:val="00DA56F2"/>
    <w:rsid w:val="00DA5EFF"/>
    <w:rsid w:val="00DA60B3"/>
    <w:rsid w:val="00DB00C8"/>
    <w:rsid w:val="00DB6C76"/>
    <w:rsid w:val="00DC2C4D"/>
    <w:rsid w:val="00DC55DE"/>
    <w:rsid w:val="00DC6CF7"/>
    <w:rsid w:val="00DC7B3B"/>
    <w:rsid w:val="00DD0C57"/>
    <w:rsid w:val="00DD1329"/>
    <w:rsid w:val="00DD1D15"/>
    <w:rsid w:val="00DD1DE9"/>
    <w:rsid w:val="00DD4880"/>
    <w:rsid w:val="00DD4EFF"/>
    <w:rsid w:val="00DD615D"/>
    <w:rsid w:val="00DE052A"/>
    <w:rsid w:val="00DE2C0E"/>
    <w:rsid w:val="00DE4B19"/>
    <w:rsid w:val="00DE4FEF"/>
    <w:rsid w:val="00DE616B"/>
    <w:rsid w:val="00DE7DA8"/>
    <w:rsid w:val="00DF2F8D"/>
    <w:rsid w:val="00DF5AA1"/>
    <w:rsid w:val="00DF6C57"/>
    <w:rsid w:val="00E002A9"/>
    <w:rsid w:val="00E00912"/>
    <w:rsid w:val="00E04A5E"/>
    <w:rsid w:val="00E05FA4"/>
    <w:rsid w:val="00E065BB"/>
    <w:rsid w:val="00E100E9"/>
    <w:rsid w:val="00E126F8"/>
    <w:rsid w:val="00E12E33"/>
    <w:rsid w:val="00E13603"/>
    <w:rsid w:val="00E14066"/>
    <w:rsid w:val="00E149D2"/>
    <w:rsid w:val="00E14B74"/>
    <w:rsid w:val="00E155C1"/>
    <w:rsid w:val="00E15E8D"/>
    <w:rsid w:val="00E177BA"/>
    <w:rsid w:val="00E21038"/>
    <w:rsid w:val="00E2108B"/>
    <w:rsid w:val="00E21122"/>
    <w:rsid w:val="00E224F4"/>
    <w:rsid w:val="00E24246"/>
    <w:rsid w:val="00E272ED"/>
    <w:rsid w:val="00E2753F"/>
    <w:rsid w:val="00E31E5E"/>
    <w:rsid w:val="00E361A0"/>
    <w:rsid w:val="00E37921"/>
    <w:rsid w:val="00E43609"/>
    <w:rsid w:val="00E46B1A"/>
    <w:rsid w:val="00E47102"/>
    <w:rsid w:val="00E47BF3"/>
    <w:rsid w:val="00E51AE4"/>
    <w:rsid w:val="00E57269"/>
    <w:rsid w:val="00E60630"/>
    <w:rsid w:val="00E621B2"/>
    <w:rsid w:val="00E64E22"/>
    <w:rsid w:val="00E72B3E"/>
    <w:rsid w:val="00E75361"/>
    <w:rsid w:val="00E81C96"/>
    <w:rsid w:val="00E84E98"/>
    <w:rsid w:val="00E84F04"/>
    <w:rsid w:val="00E84F06"/>
    <w:rsid w:val="00E902B0"/>
    <w:rsid w:val="00E91560"/>
    <w:rsid w:val="00E92551"/>
    <w:rsid w:val="00E94AC5"/>
    <w:rsid w:val="00E9601D"/>
    <w:rsid w:val="00E9771A"/>
    <w:rsid w:val="00EA1D8E"/>
    <w:rsid w:val="00EA287E"/>
    <w:rsid w:val="00EA364A"/>
    <w:rsid w:val="00EA4C6C"/>
    <w:rsid w:val="00EA6068"/>
    <w:rsid w:val="00EA6FEF"/>
    <w:rsid w:val="00EA72F3"/>
    <w:rsid w:val="00EA7908"/>
    <w:rsid w:val="00EB49D8"/>
    <w:rsid w:val="00EB7292"/>
    <w:rsid w:val="00EB763B"/>
    <w:rsid w:val="00EB7E1D"/>
    <w:rsid w:val="00EC188E"/>
    <w:rsid w:val="00EC32F6"/>
    <w:rsid w:val="00EC3E34"/>
    <w:rsid w:val="00EC5419"/>
    <w:rsid w:val="00EC6D96"/>
    <w:rsid w:val="00EC7406"/>
    <w:rsid w:val="00ED0450"/>
    <w:rsid w:val="00ED0697"/>
    <w:rsid w:val="00ED1F7B"/>
    <w:rsid w:val="00ED2B12"/>
    <w:rsid w:val="00ED42D3"/>
    <w:rsid w:val="00ED6448"/>
    <w:rsid w:val="00EE0B44"/>
    <w:rsid w:val="00EE2E3F"/>
    <w:rsid w:val="00EE3D67"/>
    <w:rsid w:val="00EE63A3"/>
    <w:rsid w:val="00EF12CD"/>
    <w:rsid w:val="00EF183B"/>
    <w:rsid w:val="00EF3945"/>
    <w:rsid w:val="00EF4F3E"/>
    <w:rsid w:val="00F02051"/>
    <w:rsid w:val="00F03073"/>
    <w:rsid w:val="00F03861"/>
    <w:rsid w:val="00F04EAF"/>
    <w:rsid w:val="00F052D8"/>
    <w:rsid w:val="00F05614"/>
    <w:rsid w:val="00F0697B"/>
    <w:rsid w:val="00F109A1"/>
    <w:rsid w:val="00F13A7A"/>
    <w:rsid w:val="00F146F7"/>
    <w:rsid w:val="00F226E8"/>
    <w:rsid w:val="00F24405"/>
    <w:rsid w:val="00F31A5C"/>
    <w:rsid w:val="00F33F75"/>
    <w:rsid w:val="00F34840"/>
    <w:rsid w:val="00F41A18"/>
    <w:rsid w:val="00F41BB3"/>
    <w:rsid w:val="00F41C01"/>
    <w:rsid w:val="00F460CD"/>
    <w:rsid w:val="00F467CF"/>
    <w:rsid w:val="00F47E9C"/>
    <w:rsid w:val="00F509AB"/>
    <w:rsid w:val="00F5111B"/>
    <w:rsid w:val="00F53311"/>
    <w:rsid w:val="00F542B3"/>
    <w:rsid w:val="00F54DF1"/>
    <w:rsid w:val="00F568A6"/>
    <w:rsid w:val="00F63EFD"/>
    <w:rsid w:val="00F64736"/>
    <w:rsid w:val="00F66078"/>
    <w:rsid w:val="00F67E54"/>
    <w:rsid w:val="00F72DB4"/>
    <w:rsid w:val="00F74230"/>
    <w:rsid w:val="00F80AD0"/>
    <w:rsid w:val="00F80EF4"/>
    <w:rsid w:val="00F834BD"/>
    <w:rsid w:val="00F837E6"/>
    <w:rsid w:val="00F84847"/>
    <w:rsid w:val="00F84A25"/>
    <w:rsid w:val="00F85011"/>
    <w:rsid w:val="00F862D1"/>
    <w:rsid w:val="00F86700"/>
    <w:rsid w:val="00F86DB1"/>
    <w:rsid w:val="00F86EA9"/>
    <w:rsid w:val="00F87586"/>
    <w:rsid w:val="00F879DC"/>
    <w:rsid w:val="00F957C6"/>
    <w:rsid w:val="00FA2596"/>
    <w:rsid w:val="00FA3AB0"/>
    <w:rsid w:val="00FA47DE"/>
    <w:rsid w:val="00FB3A11"/>
    <w:rsid w:val="00FB3B23"/>
    <w:rsid w:val="00FB4C2D"/>
    <w:rsid w:val="00FB5CA4"/>
    <w:rsid w:val="00FB6818"/>
    <w:rsid w:val="00FB73F0"/>
    <w:rsid w:val="00FC50CB"/>
    <w:rsid w:val="00FC517F"/>
    <w:rsid w:val="00FC5557"/>
    <w:rsid w:val="00FC65FF"/>
    <w:rsid w:val="00FC6DDE"/>
    <w:rsid w:val="00FC7A0E"/>
    <w:rsid w:val="00FD1ECD"/>
    <w:rsid w:val="00FD20A5"/>
    <w:rsid w:val="00FD2C22"/>
    <w:rsid w:val="00FD43E9"/>
    <w:rsid w:val="00FD4A7E"/>
    <w:rsid w:val="00FD5D7C"/>
    <w:rsid w:val="00FD6FD8"/>
    <w:rsid w:val="00FE0D2E"/>
    <w:rsid w:val="00FE2C7F"/>
    <w:rsid w:val="00FE4F02"/>
    <w:rsid w:val="00FF0D83"/>
    <w:rsid w:val="00FF2341"/>
    <w:rsid w:val="00FF3EB0"/>
    <w:rsid w:val="00FF44D9"/>
    <w:rsid w:val="00FF4D08"/>
    <w:rsid w:val="00FF75BA"/>
    <w:rsid w:val="00FF7FF5"/>
    <w:rsid w:val="013FED6E"/>
    <w:rsid w:val="021F7CE5"/>
    <w:rsid w:val="0260902F"/>
    <w:rsid w:val="03210046"/>
    <w:rsid w:val="037C07E5"/>
    <w:rsid w:val="0436A0BC"/>
    <w:rsid w:val="0595B36C"/>
    <w:rsid w:val="06808B3A"/>
    <w:rsid w:val="0695D652"/>
    <w:rsid w:val="088FE665"/>
    <w:rsid w:val="09F7A566"/>
    <w:rsid w:val="0A7CEBFF"/>
    <w:rsid w:val="133C4CD2"/>
    <w:rsid w:val="1376542D"/>
    <w:rsid w:val="148DF941"/>
    <w:rsid w:val="14CD27C9"/>
    <w:rsid w:val="15A3CA34"/>
    <w:rsid w:val="1B01622C"/>
    <w:rsid w:val="1B403D8C"/>
    <w:rsid w:val="1E40BBF6"/>
    <w:rsid w:val="1EE18650"/>
    <w:rsid w:val="1F98C52E"/>
    <w:rsid w:val="204B4787"/>
    <w:rsid w:val="244ED050"/>
    <w:rsid w:val="26D53B5B"/>
    <w:rsid w:val="2BDE2DF2"/>
    <w:rsid w:val="2CEABC13"/>
    <w:rsid w:val="2D76B120"/>
    <w:rsid w:val="33249204"/>
    <w:rsid w:val="34C5B3BD"/>
    <w:rsid w:val="3CBD18DE"/>
    <w:rsid w:val="3EA29A24"/>
    <w:rsid w:val="414A97E3"/>
    <w:rsid w:val="457AB235"/>
    <w:rsid w:val="46DC9626"/>
    <w:rsid w:val="4734C267"/>
    <w:rsid w:val="49413B95"/>
    <w:rsid w:val="4AE96072"/>
    <w:rsid w:val="4B14EF25"/>
    <w:rsid w:val="51196DC4"/>
    <w:rsid w:val="517D892C"/>
    <w:rsid w:val="51A8F1D1"/>
    <w:rsid w:val="53333700"/>
    <w:rsid w:val="549FFF86"/>
    <w:rsid w:val="54D27605"/>
    <w:rsid w:val="55249304"/>
    <w:rsid w:val="555D6362"/>
    <w:rsid w:val="56588944"/>
    <w:rsid w:val="57017A05"/>
    <w:rsid w:val="575B4D59"/>
    <w:rsid w:val="5798778E"/>
    <w:rsid w:val="5969A9D2"/>
    <w:rsid w:val="5B0737EA"/>
    <w:rsid w:val="5BA52B99"/>
    <w:rsid w:val="5D7CEBF9"/>
    <w:rsid w:val="5DE372D8"/>
    <w:rsid w:val="609010B8"/>
    <w:rsid w:val="6274C680"/>
    <w:rsid w:val="64591EA1"/>
    <w:rsid w:val="6495D652"/>
    <w:rsid w:val="6834CC9F"/>
    <w:rsid w:val="689D7B5D"/>
    <w:rsid w:val="68BA662A"/>
    <w:rsid w:val="68CCE63A"/>
    <w:rsid w:val="69FA873A"/>
    <w:rsid w:val="6B2D2863"/>
    <w:rsid w:val="6D87A19D"/>
    <w:rsid w:val="6DCAB3A0"/>
    <w:rsid w:val="6F159ACD"/>
    <w:rsid w:val="70BEE14B"/>
    <w:rsid w:val="761CD7A3"/>
    <w:rsid w:val="77EED0A5"/>
    <w:rsid w:val="7BDF6CFC"/>
    <w:rsid w:val="7CB883A6"/>
    <w:rsid w:val="7D04C731"/>
    <w:rsid w:val="7D051C40"/>
    <w:rsid w:val="7FB8C94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2DC93"/>
  <w14:discardImageEditingDat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AU"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8"/>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6" w:qFormat="1"/>
    <w:lsdException w:name="Intense Quote" w:uiPriority="17"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34E"/>
    <w:pPr>
      <w:spacing w:after="160" w:line="264" w:lineRule="auto"/>
    </w:pPr>
    <w:rPr>
      <w:color w:val="262626" w:themeColor="text1" w:themeTint="D9"/>
      <w:sz w:val="22"/>
    </w:rPr>
  </w:style>
  <w:style w:type="paragraph" w:styleId="Heading1">
    <w:name w:val="heading 1"/>
    <w:basedOn w:val="Normal"/>
    <w:next w:val="Normal"/>
    <w:link w:val="Heading1Char"/>
    <w:uiPriority w:val="2"/>
    <w:qFormat/>
    <w:rsid w:val="0091141A"/>
    <w:pPr>
      <w:keepNext/>
      <w:keepLines/>
      <w:spacing w:before="360" w:line="240" w:lineRule="auto"/>
      <w:outlineLvl w:val="0"/>
    </w:pPr>
    <w:rPr>
      <w:rFonts w:eastAsiaTheme="majorEastAsia" w:cstheme="minorHAnsi"/>
      <w:b/>
      <w:bCs/>
      <w:noProof/>
      <w:color w:val="007279" w:themeColor="accent1"/>
      <w:sz w:val="32"/>
      <w:szCs w:val="24"/>
    </w:rPr>
  </w:style>
  <w:style w:type="paragraph" w:styleId="Heading2">
    <w:name w:val="heading 2"/>
    <w:basedOn w:val="Normal"/>
    <w:next w:val="Normal"/>
    <w:link w:val="Heading2Char"/>
    <w:uiPriority w:val="2"/>
    <w:qFormat/>
    <w:rsid w:val="0091141A"/>
    <w:pPr>
      <w:keepNext/>
      <w:keepLines/>
      <w:spacing w:before="240" w:line="240" w:lineRule="auto"/>
      <w:outlineLvl w:val="1"/>
    </w:pPr>
    <w:rPr>
      <w:rFonts w:eastAsiaTheme="majorEastAsia" w:cstheme="minorHAnsi"/>
      <w:color w:val="007279" w:themeColor="accent1"/>
      <w:sz w:val="28"/>
      <w:szCs w:val="22"/>
    </w:rPr>
  </w:style>
  <w:style w:type="paragraph" w:styleId="Heading3">
    <w:name w:val="heading 3"/>
    <w:basedOn w:val="Heading4"/>
    <w:next w:val="Normal"/>
    <w:link w:val="Heading3Char"/>
    <w:uiPriority w:val="2"/>
    <w:qFormat/>
    <w:rsid w:val="00AE39E1"/>
    <w:pPr>
      <w:outlineLvl w:val="2"/>
    </w:pPr>
    <w:rPr>
      <w:color w:val="262626" w:themeColor="text1" w:themeTint="D9"/>
      <w:sz w:val="24"/>
      <w:szCs w:val="24"/>
    </w:rPr>
  </w:style>
  <w:style w:type="paragraph" w:styleId="Heading4">
    <w:name w:val="heading 4"/>
    <w:basedOn w:val="Normal"/>
    <w:next w:val="Normal"/>
    <w:link w:val="Heading4Char"/>
    <w:uiPriority w:val="2"/>
    <w:rsid w:val="006147EB"/>
    <w:pPr>
      <w:keepNext/>
      <w:keepLines/>
      <w:spacing w:before="240"/>
      <w:outlineLvl w:val="3"/>
    </w:pPr>
    <w:rPr>
      <w:rFonts w:eastAsiaTheme="majorEastAsia" w:cstheme="minorHAnsi"/>
      <w:b/>
      <w:color w:val="3266AB"/>
      <w:szCs w:val="22"/>
    </w:rPr>
  </w:style>
  <w:style w:type="paragraph" w:styleId="Heading5">
    <w:name w:val="heading 5"/>
    <w:basedOn w:val="Normal"/>
    <w:next w:val="Normal"/>
    <w:link w:val="Heading5Char"/>
    <w:uiPriority w:val="2"/>
    <w:unhideWhenUsed/>
    <w:rsid w:val="00857363"/>
    <w:pPr>
      <w:keepNext/>
      <w:keepLines/>
      <w:spacing w:before="240"/>
      <w:outlineLvl w:val="4"/>
    </w:pPr>
    <w:rPr>
      <w:rFonts w:eastAsiaTheme="majorEastAsia" w:cstheme="majorBidi"/>
      <w:iCs/>
      <w:color w:val="3266AB"/>
      <w:szCs w:val="22"/>
    </w:rPr>
  </w:style>
  <w:style w:type="paragraph" w:styleId="Heading6">
    <w:name w:val="heading 6"/>
    <w:basedOn w:val="Normal"/>
    <w:next w:val="Normal"/>
    <w:link w:val="Heading6Char"/>
    <w:uiPriority w:val="2"/>
    <w:unhideWhenUsed/>
    <w:rsid w:val="006200EB"/>
    <w:pPr>
      <w:keepNext/>
      <w:keepLines/>
      <w:spacing w:before="240"/>
      <w:outlineLvl w:val="5"/>
    </w:pPr>
    <w:rPr>
      <w:rFonts w:asciiTheme="majorHAnsi" w:eastAsiaTheme="majorEastAsia" w:hAnsiTheme="majorHAnsi" w:cstheme="majorBidi"/>
      <w:color w:val="3266AB"/>
    </w:rPr>
  </w:style>
  <w:style w:type="paragraph" w:styleId="Heading7">
    <w:name w:val="heading 7"/>
    <w:basedOn w:val="Normal"/>
    <w:next w:val="Normal"/>
    <w:link w:val="Heading7Char"/>
    <w:uiPriority w:val="2"/>
    <w:unhideWhenUsed/>
    <w:rsid w:val="006200EB"/>
    <w:pPr>
      <w:keepNext/>
      <w:keepLines/>
      <w:spacing w:before="240"/>
      <w:outlineLvl w:val="6"/>
    </w:pPr>
    <w:rPr>
      <w:rFonts w:asciiTheme="majorHAnsi" w:eastAsiaTheme="majorEastAsia" w:hAnsiTheme="majorHAnsi" w:cstheme="majorBidi"/>
      <w:b/>
      <w:bCs/>
      <w:color w:val="3266AB"/>
    </w:rPr>
  </w:style>
  <w:style w:type="paragraph" w:styleId="Heading8">
    <w:name w:val="heading 8"/>
    <w:basedOn w:val="Normal"/>
    <w:next w:val="Normal"/>
    <w:link w:val="Heading8Char"/>
    <w:uiPriority w:val="2"/>
    <w:unhideWhenUsed/>
    <w:rsid w:val="006200EB"/>
    <w:pPr>
      <w:keepNext/>
      <w:keepLines/>
      <w:spacing w:before="240"/>
      <w:outlineLvl w:val="7"/>
    </w:pPr>
    <w:rPr>
      <w:rFonts w:asciiTheme="majorHAnsi" w:eastAsiaTheme="majorEastAsia" w:hAnsiTheme="majorHAnsi" w:cstheme="majorBidi"/>
      <w:b/>
      <w:bCs/>
      <w:i/>
      <w:iCs/>
      <w:color w:val="3266AB"/>
      <w:sz w:val="20"/>
      <w:szCs w:val="20"/>
    </w:rPr>
  </w:style>
  <w:style w:type="paragraph" w:styleId="Heading9">
    <w:name w:val="heading 9"/>
    <w:basedOn w:val="Normal"/>
    <w:next w:val="Normal"/>
    <w:link w:val="Heading9Char"/>
    <w:uiPriority w:val="2"/>
    <w:unhideWhenUsed/>
    <w:rsid w:val="006200EB"/>
    <w:pPr>
      <w:keepNext/>
      <w:keepLines/>
      <w:spacing w:before="240"/>
      <w:outlineLvl w:val="8"/>
    </w:pPr>
    <w:rPr>
      <w:rFonts w:asciiTheme="majorHAnsi" w:eastAsiaTheme="majorEastAsia" w:hAnsiTheme="majorHAnsi" w:cstheme="majorBidi"/>
      <w:i/>
      <w:iCs/>
      <w:color w:val="3266A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91141A"/>
    <w:rPr>
      <w:rFonts w:eastAsiaTheme="majorEastAsia" w:cstheme="minorHAnsi"/>
      <w:b/>
      <w:bCs/>
      <w:noProof/>
      <w:color w:val="007279" w:themeColor="accent1"/>
      <w:sz w:val="32"/>
      <w:szCs w:val="24"/>
    </w:rPr>
  </w:style>
  <w:style w:type="paragraph" w:styleId="Title">
    <w:name w:val="Title"/>
    <w:basedOn w:val="Normal"/>
    <w:next w:val="Normal"/>
    <w:link w:val="TitleChar"/>
    <w:uiPriority w:val="18"/>
    <w:rsid w:val="0091141A"/>
    <w:pPr>
      <w:spacing w:after="240" w:line="240" w:lineRule="auto"/>
      <w:contextualSpacing/>
    </w:pPr>
    <w:rPr>
      <w:rFonts w:asciiTheme="majorHAnsi" w:eastAsiaTheme="majorEastAsia" w:hAnsiTheme="majorHAnsi" w:cstheme="majorBidi"/>
      <w:noProof/>
      <w:spacing w:val="-15"/>
      <w:sz w:val="48"/>
      <w:szCs w:val="56"/>
    </w:rPr>
  </w:style>
  <w:style w:type="character" w:customStyle="1" w:styleId="TitleChar">
    <w:name w:val="Title Char"/>
    <w:basedOn w:val="DefaultParagraphFont"/>
    <w:link w:val="Title"/>
    <w:uiPriority w:val="18"/>
    <w:rsid w:val="0091141A"/>
    <w:rPr>
      <w:rFonts w:asciiTheme="majorHAnsi" w:eastAsiaTheme="majorEastAsia" w:hAnsiTheme="majorHAnsi" w:cstheme="majorBidi"/>
      <w:noProof/>
      <w:spacing w:val="-15"/>
      <w:sz w:val="48"/>
      <w:szCs w:val="56"/>
    </w:rPr>
  </w:style>
  <w:style w:type="character" w:customStyle="1" w:styleId="Heading2Char">
    <w:name w:val="Heading 2 Char"/>
    <w:basedOn w:val="DefaultParagraphFont"/>
    <w:link w:val="Heading2"/>
    <w:uiPriority w:val="2"/>
    <w:rsid w:val="0091141A"/>
    <w:rPr>
      <w:rFonts w:eastAsiaTheme="majorEastAsia" w:cstheme="minorHAnsi"/>
      <w:color w:val="007279" w:themeColor="accent1"/>
      <w:sz w:val="28"/>
      <w:szCs w:val="22"/>
    </w:rPr>
  </w:style>
  <w:style w:type="character" w:customStyle="1" w:styleId="Heading3Char">
    <w:name w:val="Heading 3 Char"/>
    <w:basedOn w:val="DefaultParagraphFont"/>
    <w:link w:val="Heading3"/>
    <w:uiPriority w:val="2"/>
    <w:rsid w:val="00AE39E1"/>
    <w:rPr>
      <w:rFonts w:eastAsiaTheme="majorEastAsia" w:cstheme="minorHAnsi"/>
      <w:b/>
      <w:color w:val="262626" w:themeColor="text1" w:themeTint="D9"/>
      <w:sz w:val="24"/>
      <w:szCs w:val="24"/>
    </w:rPr>
  </w:style>
  <w:style w:type="character" w:customStyle="1" w:styleId="Heading4Char">
    <w:name w:val="Heading 4 Char"/>
    <w:basedOn w:val="DefaultParagraphFont"/>
    <w:link w:val="Heading4"/>
    <w:uiPriority w:val="2"/>
    <w:rsid w:val="006147EB"/>
    <w:rPr>
      <w:rFonts w:eastAsiaTheme="majorEastAsia" w:cstheme="minorHAnsi"/>
      <w:b/>
      <w:color w:val="3266AB"/>
      <w:sz w:val="22"/>
      <w:szCs w:val="22"/>
    </w:rPr>
  </w:style>
  <w:style w:type="character" w:customStyle="1" w:styleId="Heading5Char">
    <w:name w:val="Heading 5 Char"/>
    <w:basedOn w:val="DefaultParagraphFont"/>
    <w:link w:val="Heading5"/>
    <w:uiPriority w:val="2"/>
    <w:rsid w:val="00857363"/>
    <w:rPr>
      <w:rFonts w:eastAsiaTheme="majorEastAsia" w:cstheme="majorBidi"/>
      <w:iCs/>
      <w:color w:val="3266AB"/>
      <w:sz w:val="22"/>
      <w:szCs w:val="22"/>
    </w:rPr>
  </w:style>
  <w:style w:type="character" w:customStyle="1" w:styleId="Heading6Char">
    <w:name w:val="Heading 6 Char"/>
    <w:basedOn w:val="DefaultParagraphFont"/>
    <w:link w:val="Heading6"/>
    <w:uiPriority w:val="2"/>
    <w:rsid w:val="006200EB"/>
    <w:rPr>
      <w:rFonts w:asciiTheme="majorHAnsi" w:eastAsiaTheme="majorEastAsia" w:hAnsiTheme="majorHAnsi" w:cstheme="majorBidi"/>
      <w:color w:val="3266AB"/>
      <w:sz w:val="22"/>
    </w:rPr>
  </w:style>
  <w:style w:type="character" w:customStyle="1" w:styleId="Heading7Char">
    <w:name w:val="Heading 7 Char"/>
    <w:basedOn w:val="DefaultParagraphFont"/>
    <w:link w:val="Heading7"/>
    <w:uiPriority w:val="2"/>
    <w:rsid w:val="006200EB"/>
    <w:rPr>
      <w:rFonts w:asciiTheme="majorHAnsi" w:eastAsiaTheme="majorEastAsia" w:hAnsiTheme="majorHAnsi" w:cstheme="majorBidi"/>
      <w:b/>
      <w:bCs/>
      <w:color w:val="3266AB"/>
      <w:sz w:val="22"/>
    </w:rPr>
  </w:style>
  <w:style w:type="character" w:customStyle="1" w:styleId="Heading8Char">
    <w:name w:val="Heading 8 Char"/>
    <w:basedOn w:val="DefaultParagraphFont"/>
    <w:link w:val="Heading8"/>
    <w:uiPriority w:val="2"/>
    <w:rsid w:val="006200EB"/>
    <w:rPr>
      <w:rFonts w:asciiTheme="majorHAnsi" w:eastAsiaTheme="majorEastAsia" w:hAnsiTheme="majorHAnsi" w:cstheme="majorBidi"/>
      <w:b/>
      <w:bCs/>
      <w:i/>
      <w:iCs/>
      <w:color w:val="3266AB"/>
      <w:sz w:val="20"/>
      <w:szCs w:val="20"/>
    </w:rPr>
  </w:style>
  <w:style w:type="character" w:customStyle="1" w:styleId="Heading9Char">
    <w:name w:val="Heading 9 Char"/>
    <w:basedOn w:val="DefaultParagraphFont"/>
    <w:link w:val="Heading9"/>
    <w:uiPriority w:val="2"/>
    <w:rsid w:val="006200EB"/>
    <w:rPr>
      <w:rFonts w:asciiTheme="majorHAnsi" w:eastAsiaTheme="majorEastAsia" w:hAnsiTheme="majorHAnsi" w:cstheme="majorBidi"/>
      <w:i/>
      <w:iCs/>
      <w:color w:val="3266AB"/>
      <w:sz w:val="20"/>
      <w:szCs w:val="20"/>
    </w:rPr>
  </w:style>
  <w:style w:type="paragraph" w:styleId="Subtitle">
    <w:name w:val="Subtitle"/>
    <w:basedOn w:val="Normal"/>
    <w:next w:val="Normal"/>
    <w:link w:val="SubtitleChar"/>
    <w:uiPriority w:val="19"/>
    <w:rsid w:val="0091141A"/>
    <w:pPr>
      <w:numPr>
        <w:ilvl w:val="1"/>
      </w:numPr>
      <w:spacing w:line="240" w:lineRule="auto"/>
    </w:pPr>
    <w:rPr>
      <w:rFonts w:eastAsiaTheme="majorEastAsia" w:cstheme="minorHAnsi"/>
      <w:noProof/>
      <w:color w:val="6C6C6C" w:themeColor="background2" w:themeShade="80"/>
      <w:sz w:val="28"/>
      <w:szCs w:val="30"/>
    </w:rPr>
  </w:style>
  <w:style w:type="character" w:customStyle="1" w:styleId="SubtitleChar">
    <w:name w:val="Subtitle Char"/>
    <w:basedOn w:val="DefaultParagraphFont"/>
    <w:link w:val="Subtitle"/>
    <w:uiPriority w:val="19"/>
    <w:rsid w:val="0091141A"/>
    <w:rPr>
      <w:rFonts w:eastAsiaTheme="majorEastAsia" w:cstheme="minorHAnsi"/>
      <w:noProof/>
      <w:color w:val="6C6C6C" w:themeColor="background2" w:themeShade="80"/>
      <w:sz w:val="28"/>
      <w:szCs w:val="30"/>
    </w:rPr>
  </w:style>
  <w:style w:type="paragraph" w:styleId="NoSpacing">
    <w:name w:val="No Spacing"/>
    <w:uiPriority w:val="98"/>
    <w:unhideWhenUsed/>
    <w:rsid w:val="00D525B8"/>
    <w:pPr>
      <w:spacing w:after="0" w:line="240" w:lineRule="auto"/>
    </w:pPr>
  </w:style>
  <w:style w:type="paragraph" w:styleId="Caption">
    <w:name w:val="caption"/>
    <w:basedOn w:val="Normal"/>
    <w:next w:val="Normal"/>
    <w:uiPriority w:val="35"/>
    <w:semiHidden/>
    <w:unhideWhenUsed/>
    <w:qFormat/>
    <w:rsid w:val="00D525B8"/>
    <w:pPr>
      <w:spacing w:line="240" w:lineRule="auto"/>
    </w:pPr>
    <w:rPr>
      <w:b/>
      <w:bCs/>
      <w:smallCaps/>
      <w:color w:val="595959" w:themeColor="text1" w:themeTint="A6"/>
    </w:rPr>
  </w:style>
  <w:style w:type="character" w:styleId="Strong">
    <w:name w:val="Strong"/>
    <w:basedOn w:val="DefaultParagraphFont"/>
    <w:uiPriority w:val="22"/>
    <w:unhideWhenUsed/>
    <w:rsid w:val="00D525B8"/>
    <w:rPr>
      <w:b/>
      <w:bCs/>
    </w:rPr>
  </w:style>
  <w:style w:type="character" w:styleId="Emphasis">
    <w:name w:val="Emphasis"/>
    <w:basedOn w:val="DefaultParagraphFont"/>
    <w:uiPriority w:val="20"/>
    <w:unhideWhenUsed/>
    <w:qFormat/>
    <w:rsid w:val="005C0F15"/>
    <w:rPr>
      <w:i/>
      <w:iCs/>
      <w:color w:val="auto"/>
    </w:rPr>
  </w:style>
  <w:style w:type="paragraph" w:styleId="Quote">
    <w:name w:val="Quote"/>
    <w:basedOn w:val="Normal"/>
    <w:next w:val="Normal"/>
    <w:link w:val="QuoteChar"/>
    <w:uiPriority w:val="16"/>
    <w:qFormat/>
    <w:rsid w:val="00857363"/>
    <w:pPr>
      <w:spacing w:before="240"/>
      <w:ind w:left="720" w:right="720"/>
    </w:pPr>
    <w:rPr>
      <w:i/>
      <w:iCs/>
      <w:color w:val="3266AB"/>
    </w:rPr>
  </w:style>
  <w:style w:type="character" w:customStyle="1" w:styleId="QuoteChar">
    <w:name w:val="Quote Char"/>
    <w:basedOn w:val="DefaultParagraphFont"/>
    <w:link w:val="Quote"/>
    <w:uiPriority w:val="16"/>
    <w:rsid w:val="00857363"/>
    <w:rPr>
      <w:i/>
      <w:iCs/>
      <w:color w:val="3266AB"/>
      <w:sz w:val="22"/>
    </w:rPr>
  </w:style>
  <w:style w:type="paragraph" w:styleId="IntenseQuote">
    <w:name w:val="Intense Quote"/>
    <w:basedOn w:val="Normal"/>
    <w:next w:val="Normal"/>
    <w:link w:val="IntenseQuoteChar"/>
    <w:uiPriority w:val="17"/>
    <w:qFormat/>
    <w:rsid w:val="00857363"/>
    <w:pPr>
      <w:spacing w:before="120"/>
      <w:ind w:left="720" w:right="720"/>
    </w:pPr>
    <w:rPr>
      <w:rFonts w:asciiTheme="majorHAnsi" w:eastAsiaTheme="majorEastAsia" w:hAnsiTheme="majorHAnsi" w:cstheme="majorBidi"/>
      <w:i/>
      <w:iCs/>
      <w:color w:val="3266AB"/>
      <w:sz w:val="32"/>
      <w:szCs w:val="32"/>
    </w:rPr>
  </w:style>
  <w:style w:type="character" w:customStyle="1" w:styleId="IntenseQuoteChar">
    <w:name w:val="Intense Quote Char"/>
    <w:basedOn w:val="DefaultParagraphFont"/>
    <w:link w:val="IntenseQuote"/>
    <w:uiPriority w:val="17"/>
    <w:rsid w:val="00857363"/>
    <w:rPr>
      <w:rFonts w:asciiTheme="majorHAnsi" w:eastAsiaTheme="majorEastAsia" w:hAnsiTheme="majorHAnsi" w:cstheme="majorBidi"/>
      <w:i/>
      <w:iCs/>
      <w:color w:val="3266AB"/>
      <w:sz w:val="32"/>
      <w:szCs w:val="32"/>
    </w:rPr>
  </w:style>
  <w:style w:type="character" w:styleId="SubtleEmphasis">
    <w:name w:val="Subtle Emphasis"/>
    <w:basedOn w:val="DefaultParagraphFont"/>
    <w:uiPriority w:val="19"/>
    <w:unhideWhenUsed/>
    <w:rsid w:val="00D525B8"/>
    <w:rPr>
      <w:i/>
      <w:iCs/>
    </w:rPr>
  </w:style>
  <w:style w:type="character" w:styleId="IntenseEmphasis">
    <w:name w:val="Intense Emphasis"/>
    <w:basedOn w:val="DefaultParagraphFont"/>
    <w:uiPriority w:val="21"/>
    <w:unhideWhenUsed/>
    <w:rsid w:val="00D525B8"/>
    <w:rPr>
      <w:b/>
      <w:bCs/>
      <w:i/>
      <w:iCs/>
    </w:rPr>
  </w:style>
  <w:style w:type="character" w:styleId="SubtleReference">
    <w:name w:val="Subtle Reference"/>
    <w:basedOn w:val="DefaultParagraphFont"/>
    <w:uiPriority w:val="31"/>
    <w:unhideWhenUsed/>
    <w:rsid w:val="00D525B8"/>
    <w:rPr>
      <w:smallCaps/>
      <w:color w:val="595959" w:themeColor="text1" w:themeTint="A6"/>
    </w:rPr>
  </w:style>
  <w:style w:type="character" w:styleId="IntenseReference">
    <w:name w:val="Intense Reference"/>
    <w:basedOn w:val="DefaultParagraphFont"/>
    <w:uiPriority w:val="32"/>
    <w:unhideWhenUsed/>
    <w:rsid w:val="006200EB"/>
    <w:rPr>
      <w:b/>
      <w:bCs/>
      <w:smallCaps/>
      <w:color w:val="3266AB"/>
    </w:rPr>
  </w:style>
  <w:style w:type="paragraph" w:styleId="TOCHeading">
    <w:name w:val="TOC Heading"/>
    <w:basedOn w:val="Heading1"/>
    <w:next w:val="Normal"/>
    <w:uiPriority w:val="39"/>
    <w:unhideWhenUsed/>
    <w:rsid w:val="00D525B8"/>
    <w:pPr>
      <w:outlineLvl w:val="9"/>
    </w:pPr>
  </w:style>
  <w:style w:type="paragraph" w:styleId="Header">
    <w:name w:val="header"/>
    <w:basedOn w:val="Normal"/>
    <w:link w:val="HeaderChar"/>
    <w:uiPriority w:val="99"/>
    <w:unhideWhenUsed/>
    <w:rsid w:val="00F95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7C6"/>
  </w:style>
  <w:style w:type="paragraph" w:styleId="Footer">
    <w:name w:val="footer"/>
    <w:basedOn w:val="Normal"/>
    <w:link w:val="FooterChar"/>
    <w:uiPriority w:val="99"/>
    <w:unhideWhenUsed/>
    <w:rsid w:val="00F95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7C6"/>
  </w:style>
  <w:style w:type="character" w:styleId="PlaceholderText">
    <w:name w:val="Placeholder Text"/>
    <w:basedOn w:val="DefaultParagraphFont"/>
    <w:uiPriority w:val="99"/>
    <w:semiHidden/>
    <w:rsid w:val="005226B9"/>
    <w:rPr>
      <w:color w:val="808080"/>
    </w:rPr>
  </w:style>
  <w:style w:type="paragraph" w:styleId="BalloonText">
    <w:name w:val="Balloon Text"/>
    <w:basedOn w:val="Normal"/>
    <w:link w:val="BalloonTextChar"/>
    <w:uiPriority w:val="99"/>
    <w:semiHidden/>
    <w:unhideWhenUsed/>
    <w:rsid w:val="005226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6B9"/>
    <w:rPr>
      <w:rFonts w:ascii="Segoe UI" w:hAnsi="Segoe UI" w:cs="Segoe UI"/>
      <w:sz w:val="18"/>
      <w:szCs w:val="18"/>
    </w:rPr>
  </w:style>
  <w:style w:type="paragraph" w:customStyle="1" w:styleId="CLASSIFICATION">
    <w:name w:val="CLASSIFICATION"/>
    <w:basedOn w:val="Normal"/>
    <w:link w:val="CLASSIFICATIONChar"/>
    <w:autoRedefine/>
    <w:uiPriority w:val="99"/>
    <w:unhideWhenUsed/>
    <w:rsid w:val="00F86700"/>
    <w:pPr>
      <w:jc w:val="center"/>
    </w:pPr>
    <w:rPr>
      <w:rFonts w:ascii="Segoe UI" w:hAnsi="Segoe UI"/>
      <w:caps/>
      <w:color w:val="C00000"/>
      <w:sz w:val="18"/>
    </w:rPr>
  </w:style>
  <w:style w:type="paragraph" w:customStyle="1" w:styleId="BOXHeading2">
    <w:name w:val="BOX Heading 2"/>
    <w:basedOn w:val="Heading2"/>
    <w:next w:val="BOXText"/>
    <w:uiPriority w:val="6"/>
    <w:qFormat/>
    <w:rsid w:val="0091141A"/>
    <w:pPr>
      <w:pBdr>
        <w:top w:val="single" w:sz="48" w:space="1" w:color="F2F2F2" w:themeColor="background1" w:themeShade="F2"/>
        <w:left w:val="single" w:sz="48" w:space="4" w:color="F2F2F2" w:themeColor="background1" w:themeShade="F2"/>
        <w:bottom w:val="single" w:sz="48" w:space="1" w:color="F2F2F2" w:themeColor="background1" w:themeShade="F2"/>
        <w:right w:val="single" w:sz="48" w:space="4" w:color="F2F2F2" w:themeColor="background1" w:themeShade="F2"/>
      </w:pBdr>
      <w:shd w:val="clear" w:color="auto" w:fill="F2F2F2" w:themeFill="background1" w:themeFillShade="F2"/>
      <w:ind w:left="227" w:right="227"/>
    </w:pPr>
  </w:style>
  <w:style w:type="character" w:customStyle="1" w:styleId="CLASSIFICATIONChar">
    <w:name w:val="CLASSIFICATION Char"/>
    <w:basedOn w:val="DefaultParagraphFont"/>
    <w:link w:val="CLASSIFICATION"/>
    <w:uiPriority w:val="99"/>
    <w:rsid w:val="00F86700"/>
    <w:rPr>
      <w:rFonts w:ascii="Segoe UI" w:hAnsi="Segoe UI"/>
      <w:caps/>
      <w:color w:val="C00000"/>
      <w:sz w:val="18"/>
    </w:rPr>
  </w:style>
  <w:style w:type="paragraph" w:customStyle="1" w:styleId="BOXText">
    <w:name w:val="BOX Text"/>
    <w:basedOn w:val="Normal"/>
    <w:next w:val="Normal"/>
    <w:uiPriority w:val="4"/>
    <w:qFormat/>
    <w:rsid w:val="005F3B45"/>
    <w:pPr>
      <w:pBdr>
        <w:top w:val="single" w:sz="48" w:space="1" w:color="F2F2F2" w:themeColor="background1" w:themeShade="F2"/>
        <w:left w:val="single" w:sz="48" w:space="4" w:color="F2F2F2" w:themeColor="background1" w:themeShade="F2"/>
        <w:bottom w:val="single" w:sz="48" w:space="1" w:color="F2F2F2" w:themeColor="background1" w:themeShade="F2"/>
        <w:right w:val="single" w:sz="48" w:space="4" w:color="F2F2F2" w:themeColor="background1" w:themeShade="F2"/>
      </w:pBdr>
      <w:shd w:val="clear" w:color="auto" w:fill="F2F2F2" w:themeFill="background1" w:themeFillShade="F2"/>
      <w:tabs>
        <w:tab w:val="left" w:pos="3300"/>
      </w:tabs>
      <w:ind w:left="227" w:right="227"/>
    </w:pPr>
    <w:rPr>
      <w:sz w:val="18"/>
      <w:szCs w:val="18"/>
    </w:rPr>
  </w:style>
  <w:style w:type="paragraph" w:customStyle="1" w:styleId="BOXBulletedList">
    <w:name w:val="BOX Bulleted List"/>
    <w:basedOn w:val="BOXText"/>
    <w:uiPriority w:val="5"/>
    <w:qFormat/>
    <w:rsid w:val="00BD171D"/>
    <w:pPr>
      <w:numPr>
        <w:numId w:val="1"/>
      </w:numPr>
      <w:ind w:left="511"/>
    </w:pPr>
  </w:style>
  <w:style w:type="table" w:styleId="TableGrid">
    <w:name w:val="Table Grid"/>
    <w:basedOn w:val="TableNormal"/>
    <w:uiPriority w:val="59"/>
    <w:rsid w:val="00BD5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BD57F5"/>
    <w:pPr>
      <w:spacing w:after="0" w:line="240" w:lineRule="auto"/>
    </w:pPr>
    <w:tblPr>
      <w:tblStyleRowBandSize w:val="1"/>
      <w:tblStyleColBandSize w:val="1"/>
      <w:tblBorders>
        <w:top w:val="single" w:sz="4" w:space="0" w:color="15F1FF" w:themeColor="accent1" w:themeTint="99"/>
        <w:left w:val="single" w:sz="4" w:space="0" w:color="15F1FF" w:themeColor="accent1" w:themeTint="99"/>
        <w:bottom w:val="single" w:sz="4" w:space="0" w:color="15F1FF" w:themeColor="accent1" w:themeTint="99"/>
        <w:right w:val="single" w:sz="4" w:space="0" w:color="15F1FF" w:themeColor="accent1" w:themeTint="99"/>
        <w:insideH w:val="single" w:sz="4" w:space="0" w:color="15F1FF" w:themeColor="accent1" w:themeTint="99"/>
      </w:tblBorders>
    </w:tblPr>
    <w:tblStylePr w:type="firstRow">
      <w:rPr>
        <w:b/>
        <w:bCs/>
        <w:color w:val="FFFFFF" w:themeColor="background1"/>
      </w:rPr>
      <w:tblPr/>
      <w:tcPr>
        <w:tcBorders>
          <w:top w:val="single" w:sz="4" w:space="0" w:color="007279" w:themeColor="accent1"/>
          <w:left w:val="single" w:sz="4" w:space="0" w:color="007279" w:themeColor="accent1"/>
          <w:bottom w:val="single" w:sz="4" w:space="0" w:color="007279" w:themeColor="accent1"/>
          <w:right w:val="single" w:sz="4" w:space="0" w:color="007279" w:themeColor="accent1"/>
          <w:insideH w:val="nil"/>
        </w:tcBorders>
        <w:shd w:val="clear" w:color="auto" w:fill="007279" w:themeFill="accent1"/>
      </w:tcPr>
    </w:tblStylePr>
    <w:tblStylePr w:type="lastRow">
      <w:rPr>
        <w:b/>
        <w:bCs/>
      </w:rPr>
      <w:tblPr/>
      <w:tcPr>
        <w:tcBorders>
          <w:top w:val="double" w:sz="4" w:space="0" w:color="15F1FF" w:themeColor="accent1" w:themeTint="99"/>
        </w:tcBorders>
      </w:tcPr>
    </w:tblStylePr>
    <w:tblStylePr w:type="firstCol">
      <w:rPr>
        <w:b/>
        <w:bCs/>
      </w:rPr>
    </w:tblStylePr>
    <w:tblStylePr w:type="lastCol">
      <w:rPr>
        <w:b/>
        <w:bCs/>
      </w:rPr>
    </w:tblStylePr>
    <w:tblStylePr w:type="band1Vert">
      <w:tblPr/>
      <w:tcPr>
        <w:shd w:val="clear" w:color="auto" w:fill="B1FAFF" w:themeFill="accent1" w:themeFillTint="33"/>
      </w:tcPr>
    </w:tblStylePr>
    <w:tblStylePr w:type="band1Horz">
      <w:tblPr/>
      <w:tcPr>
        <w:shd w:val="clear" w:color="auto" w:fill="B1FAFF" w:themeFill="accent1" w:themeFillTint="33"/>
      </w:tcPr>
    </w:tblStylePr>
  </w:style>
  <w:style w:type="paragraph" w:customStyle="1" w:styleId="Figure">
    <w:name w:val="Figure"/>
    <w:basedOn w:val="Normal"/>
    <w:uiPriority w:val="2"/>
    <w:qFormat/>
    <w:rsid w:val="006147EB"/>
    <w:pPr>
      <w:numPr>
        <w:numId w:val="27"/>
      </w:numPr>
      <w:spacing w:before="240"/>
    </w:pPr>
    <w:rPr>
      <w:rFonts w:ascii="Segoe UI" w:hAnsi="Segoe UI" w:cs="Segoe UI"/>
      <w:color w:val="3266AB"/>
    </w:rPr>
  </w:style>
  <w:style w:type="paragraph" w:customStyle="1" w:styleId="TBLHeading">
    <w:name w:val="TBL Heading"/>
    <w:basedOn w:val="Normal"/>
    <w:autoRedefine/>
    <w:uiPriority w:val="11"/>
    <w:qFormat/>
    <w:rsid w:val="009615D2"/>
    <w:pPr>
      <w:spacing w:after="0" w:line="240" w:lineRule="auto"/>
    </w:pPr>
    <w:rPr>
      <w:rFonts w:ascii="Segoe UI" w:hAnsi="Segoe UI" w:cs="Segoe UI"/>
      <w:color w:val="FFFFFF" w:themeColor="background1"/>
      <w:sz w:val="18"/>
    </w:rPr>
  </w:style>
  <w:style w:type="paragraph" w:customStyle="1" w:styleId="TBLText">
    <w:name w:val="TBL Text"/>
    <w:basedOn w:val="Normal"/>
    <w:uiPriority w:val="9"/>
    <w:qFormat/>
    <w:rsid w:val="004D3335"/>
    <w:pPr>
      <w:spacing w:after="120" w:line="240" w:lineRule="auto"/>
    </w:pPr>
    <w:rPr>
      <w:sz w:val="18"/>
      <w:szCs w:val="18"/>
    </w:rPr>
  </w:style>
  <w:style w:type="paragraph" w:customStyle="1" w:styleId="TBLBulletedList">
    <w:name w:val="TBL Bulleted List"/>
    <w:basedOn w:val="TBLText"/>
    <w:uiPriority w:val="10"/>
    <w:qFormat/>
    <w:rsid w:val="006C62B2"/>
    <w:pPr>
      <w:numPr>
        <w:numId w:val="12"/>
      </w:numPr>
      <w:ind w:left="204" w:hanging="204"/>
    </w:pPr>
  </w:style>
  <w:style w:type="paragraph" w:customStyle="1" w:styleId="TBLNumberedList">
    <w:name w:val="TBL Numbered List"/>
    <w:basedOn w:val="TBLText"/>
    <w:uiPriority w:val="10"/>
    <w:qFormat/>
    <w:rsid w:val="00E05FA4"/>
    <w:pPr>
      <w:numPr>
        <w:numId w:val="13"/>
      </w:numPr>
      <w:ind w:left="270" w:hanging="270"/>
    </w:pPr>
  </w:style>
  <w:style w:type="paragraph" w:customStyle="1" w:styleId="BOXHeading3">
    <w:name w:val="BOX Heading 3"/>
    <w:basedOn w:val="BOXHeading2"/>
    <w:next w:val="BOXText"/>
    <w:uiPriority w:val="6"/>
    <w:qFormat/>
    <w:rsid w:val="00857363"/>
    <w:pPr>
      <w:outlineLvl w:val="2"/>
    </w:pPr>
    <w:rPr>
      <w:b/>
      <w:sz w:val="24"/>
      <w:szCs w:val="26"/>
    </w:rPr>
  </w:style>
  <w:style w:type="paragraph" w:styleId="ListParagraph">
    <w:name w:val="List Paragraph"/>
    <w:basedOn w:val="Normal"/>
    <w:uiPriority w:val="34"/>
    <w:unhideWhenUsed/>
    <w:qFormat/>
    <w:rsid w:val="005917FD"/>
    <w:pPr>
      <w:ind w:left="720"/>
      <w:contextualSpacing/>
    </w:pPr>
  </w:style>
  <w:style w:type="paragraph" w:customStyle="1" w:styleId="BulletedList-Level1">
    <w:name w:val="Bulleted List - Level 1"/>
    <w:basedOn w:val="ListParagraph"/>
    <w:uiPriority w:val="1"/>
    <w:qFormat/>
    <w:rsid w:val="00BD171D"/>
    <w:pPr>
      <w:numPr>
        <w:numId w:val="14"/>
      </w:numPr>
      <w:ind w:left="568" w:hanging="284"/>
    </w:pPr>
  </w:style>
  <w:style w:type="paragraph" w:customStyle="1" w:styleId="BulletedList-Level2">
    <w:name w:val="Bulleted List - Level 2"/>
    <w:basedOn w:val="BulletedList-Level1"/>
    <w:uiPriority w:val="1"/>
    <w:qFormat/>
    <w:rsid w:val="00BD171D"/>
    <w:pPr>
      <w:numPr>
        <w:numId w:val="30"/>
      </w:numPr>
    </w:pPr>
  </w:style>
  <w:style w:type="paragraph" w:customStyle="1" w:styleId="BulletedList-Level3">
    <w:name w:val="Bulleted List - Level 3"/>
    <w:basedOn w:val="ListParagraph"/>
    <w:uiPriority w:val="1"/>
    <w:qFormat/>
    <w:rsid w:val="00BD171D"/>
    <w:pPr>
      <w:numPr>
        <w:numId w:val="31"/>
      </w:numPr>
      <w:ind w:left="1135" w:hanging="284"/>
    </w:pPr>
  </w:style>
  <w:style w:type="paragraph" w:customStyle="1" w:styleId="NumberedList-Level1">
    <w:name w:val="Numbered List - Level 1"/>
    <w:basedOn w:val="ListParagraph"/>
    <w:uiPriority w:val="1"/>
    <w:qFormat/>
    <w:rsid w:val="00BD171D"/>
    <w:pPr>
      <w:numPr>
        <w:numId w:val="21"/>
      </w:numPr>
      <w:ind w:left="568" w:hanging="284"/>
    </w:pPr>
  </w:style>
  <w:style w:type="paragraph" w:customStyle="1" w:styleId="NumberedList-level2">
    <w:name w:val="Numbered List - level 2"/>
    <w:basedOn w:val="ListParagraph"/>
    <w:uiPriority w:val="1"/>
    <w:qFormat/>
    <w:rsid w:val="00BD171D"/>
    <w:pPr>
      <w:numPr>
        <w:ilvl w:val="1"/>
        <w:numId w:val="21"/>
      </w:numPr>
    </w:pPr>
  </w:style>
  <w:style w:type="paragraph" w:customStyle="1" w:styleId="NumberedList-Level3">
    <w:name w:val="Numbered List - Level 3"/>
    <w:basedOn w:val="ListParagraph"/>
    <w:uiPriority w:val="1"/>
    <w:qFormat/>
    <w:rsid w:val="00BD171D"/>
    <w:pPr>
      <w:numPr>
        <w:ilvl w:val="2"/>
        <w:numId w:val="21"/>
      </w:numPr>
    </w:pPr>
  </w:style>
  <w:style w:type="paragraph" w:customStyle="1" w:styleId="BoxDark-HeadingLevel1">
    <w:name w:val="Box Dark - Heading Level 1"/>
    <w:basedOn w:val="BOXHeading2"/>
    <w:uiPriority w:val="9"/>
    <w:rsid w:val="00311C2D"/>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color w:val="FFFFFF" w:themeColor="background1"/>
    </w:rPr>
  </w:style>
  <w:style w:type="paragraph" w:styleId="TOC1">
    <w:name w:val="toc 1"/>
    <w:basedOn w:val="Normal"/>
    <w:next w:val="Normal"/>
    <w:autoRedefine/>
    <w:uiPriority w:val="39"/>
    <w:unhideWhenUsed/>
    <w:rsid w:val="00117A77"/>
    <w:pPr>
      <w:spacing w:after="100"/>
    </w:pPr>
  </w:style>
  <w:style w:type="paragraph" w:styleId="TOC2">
    <w:name w:val="toc 2"/>
    <w:basedOn w:val="Normal"/>
    <w:next w:val="Normal"/>
    <w:autoRedefine/>
    <w:uiPriority w:val="39"/>
    <w:unhideWhenUsed/>
    <w:rsid w:val="00117A77"/>
    <w:pPr>
      <w:spacing w:after="100"/>
      <w:ind w:left="220"/>
    </w:pPr>
  </w:style>
  <w:style w:type="paragraph" w:styleId="TOC3">
    <w:name w:val="toc 3"/>
    <w:basedOn w:val="Normal"/>
    <w:next w:val="Normal"/>
    <w:autoRedefine/>
    <w:uiPriority w:val="39"/>
    <w:unhideWhenUsed/>
    <w:rsid w:val="00117A77"/>
    <w:pPr>
      <w:spacing w:after="100"/>
      <w:ind w:left="440"/>
    </w:pPr>
  </w:style>
  <w:style w:type="character" w:styleId="Hyperlink">
    <w:name w:val="Hyperlink"/>
    <w:basedOn w:val="DefaultParagraphFont"/>
    <w:uiPriority w:val="99"/>
    <w:unhideWhenUsed/>
    <w:rsid w:val="00117A77"/>
    <w:rPr>
      <w:color w:val="007279" w:themeColor="hyperlink"/>
      <w:u w:val="single"/>
    </w:rPr>
  </w:style>
  <w:style w:type="paragraph" w:customStyle="1" w:styleId="BoxDark-HeadingLevel3">
    <w:name w:val="Box Dark - Heading Level 3"/>
    <w:basedOn w:val="BOXHeading3"/>
    <w:uiPriority w:val="9"/>
    <w:rsid w:val="00311C2D"/>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color w:val="FFFFFF" w:themeColor="background1"/>
    </w:rPr>
  </w:style>
  <w:style w:type="paragraph" w:customStyle="1" w:styleId="BoxDark-Text">
    <w:name w:val="Box Dark - Text"/>
    <w:basedOn w:val="BOXText"/>
    <w:uiPriority w:val="7"/>
    <w:rsid w:val="00FE2C7F"/>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rFonts w:ascii="Segoe UI Semilight" w:hAnsi="Segoe UI Semilight"/>
      <w:color w:val="FFFFFF" w:themeColor="background1"/>
    </w:rPr>
  </w:style>
  <w:style w:type="paragraph" w:customStyle="1" w:styleId="BoxDark-BulletedList">
    <w:name w:val="Box Dark - Bulleted List"/>
    <w:basedOn w:val="BOXBulletedList"/>
    <w:uiPriority w:val="8"/>
    <w:rsid w:val="00FE2C7F"/>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rFonts w:ascii="Segoe UI Semilight" w:hAnsi="Segoe UI Semilight"/>
    </w:rPr>
  </w:style>
  <w:style w:type="paragraph" w:customStyle="1" w:styleId="BOXNumberedList">
    <w:name w:val="BOX Numbered List"/>
    <w:basedOn w:val="BOXText"/>
    <w:uiPriority w:val="5"/>
    <w:qFormat/>
    <w:rsid w:val="00BD171D"/>
    <w:pPr>
      <w:numPr>
        <w:numId w:val="28"/>
      </w:numPr>
      <w:ind w:left="584" w:hanging="357"/>
    </w:pPr>
  </w:style>
  <w:style w:type="paragraph" w:customStyle="1" w:styleId="BoxDark-NumberedList">
    <w:name w:val="Box Dark - Numbered List"/>
    <w:basedOn w:val="BOXNumberedList"/>
    <w:uiPriority w:val="8"/>
    <w:rsid w:val="00FE2C7F"/>
    <w:pPr>
      <w:numPr>
        <w:numId w:val="29"/>
      </w:num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ind w:left="584" w:hanging="357"/>
    </w:pPr>
  </w:style>
  <w:style w:type="table" w:customStyle="1" w:styleId="Custom1">
    <w:name w:val="Custom 1"/>
    <w:basedOn w:val="TableNormal"/>
    <w:uiPriority w:val="99"/>
    <w:rsid w:val="00665FB6"/>
    <w:pPr>
      <w:spacing w:after="0" w:line="240" w:lineRule="auto"/>
    </w:pPr>
    <w:rPr>
      <w:sz w:val="18"/>
    </w:rPr>
    <w:tblPr>
      <w:tblStyleRowBandSize w:val="1"/>
      <w:tblBorders>
        <w:top w:val="single" w:sz="4" w:space="0" w:color="007279" w:themeColor="accent1"/>
        <w:bottom w:val="single" w:sz="12" w:space="0" w:color="007279" w:themeColor="accent1"/>
        <w:insideH w:val="single" w:sz="4" w:space="0" w:color="007279" w:themeColor="accent1"/>
      </w:tblBorders>
      <w:tblCellMar>
        <w:top w:w="57" w:type="dxa"/>
        <w:bottom w:w="57" w:type="dxa"/>
      </w:tblCellMar>
    </w:tblPr>
    <w:tblStylePr w:type="firstRow">
      <w:rPr>
        <w:rFonts w:asciiTheme="minorHAnsi" w:hAnsiTheme="minorHAnsi"/>
        <w:b/>
        <w:sz w:val="18"/>
      </w:rPr>
      <w:tblPr/>
      <w:tcPr>
        <w:shd w:val="clear" w:color="auto" w:fill="007279" w:themeFill="accent1"/>
      </w:tcPr>
    </w:tblStylePr>
    <w:tblStylePr w:type="band1Horz">
      <w:tblPr/>
      <w:tcPr>
        <w:shd w:val="clear" w:color="auto" w:fill="D8D8D8" w:themeFill="background2"/>
      </w:tcPr>
    </w:tblStylePr>
  </w:style>
  <w:style w:type="table" w:customStyle="1" w:styleId="Style1">
    <w:name w:val="Style1"/>
    <w:basedOn w:val="Custom1"/>
    <w:uiPriority w:val="99"/>
    <w:rsid w:val="00D500C1"/>
    <w:tblPr>
      <w:tblBorders>
        <w:top w:val="none" w:sz="0" w:space="0" w:color="auto"/>
        <w:left w:val="single" w:sz="4" w:space="0" w:color="007279" w:themeColor="accent1"/>
        <w:bottom w:val="single" w:sz="4" w:space="0" w:color="007279" w:themeColor="accent1"/>
        <w:right w:val="single" w:sz="4" w:space="0" w:color="007279" w:themeColor="accent1"/>
        <w:insideH w:val="none" w:sz="0" w:space="0" w:color="auto"/>
        <w:insideV w:val="single" w:sz="4" w:space="0" w:color="007279" w:themeColor="accent1"/>
      </w:tblBorders>
    </w:tblPr>
    <w:tblStylePr w:type="firstRow">
      <w:rPr>
        <w:rFonts w:asciiTheme="minorHAnsi" w:hAnsiTheme="minorHAnsi"/>
        <w:b/>
        <w:sz w:val="18"/>
      </w:rPr>
      <w:tblPr/>
      <w:tcPr>
        <w:shd w:val="clear" w:color="auto" w:fill="007279" w:themeFill="accent1"/>
      </w:tcPr>
    </w:tblStylePr>
    <w:tblStylePr w:type="firstCol">
      <w:rPr>
        <w:b/>
      </w:rPr>
      <w:tblPr/>
      <w:tcPr>
        <w:shd w:val="clear" w:color="auto" w:fill="007279" w:themeFill="accent1"/>
      </w:tcPr>
    </w:tblStylePr>
    <w:tblStylePr w:type="band1Horz">
      <w:tblPr/>
      <w:tcPr>
        <w:shd w:val="clear" w:color="auto" w:fill="D8D8D8" w:themeFill="background2"/>
      </w:tcPr>
    </w:tblStylePr>
  </w:style>
  <w:style w:type="character" w:styleId="UnresolvedMention">
    <w:name w:val="Unresolved Mention"/>
    <w:basedOn w:val="DefaultParagraphFont"/>
    <w:uiPriority w:val="99"/>
    <w:semiHidden/>
    <w:unhideWhenUsed/>
    <w:rsid w:val="006C7E16"/>
    <w:rPr>
      <w:color w:val="605E5C"/>
      <w:shd w:val="clear" w:color="auto" w:fill="E1DFDD"/>
    </w:rPr>
  </w:style>
  <w:style w:type="paragraph" w:styleId="Revision">
    <w:name w:val="Revision"/>
    <w:hidden/>
    <w:uiPriority w:val="99"/>
    <w:semiHidden/>
    <w:rsid w:val="005F66F9"/>
    <w:pPr>
      <w:spacing w:after="0" w:line="240" w:lineRule="auto"/>
    </w:pPr>
    <w:rPr>
      <w:sz w:val="22"/>
    </w:rPr>
  </w:style>
  <w:style w:type="character" w:styleId="CommentReference">
    <w:name w:val="annotation reference"/>
    <w:basedOn w:val="DefaultParagraphFont"/>
    <w:uiPriority w:val="99"/>
    <w:semiHidden/>
    <w:unhideWhenUsed/>
    <w:rsid w:val="00810E90"/>
    <w:rPr>
      <w:sz w:val="16"/>
      <w:szCs w:val="16"/>
    </w:rPr>
  </w:style>
  <w:style w:type="paragraph" w:styleId="CommentText">
    <w:name w:val="annotation text"/>
    <w:basedOn w:val="Normal"/>
    <w:link w:val="CommentTextChar"/>
    <w:uiPriority w:val="99"/>
    <w:unhideWhenUsed/>
    <w:rsid w:val="00810E90"/>
    <w:pPr>
      <w:spacing w:line="240" w:lineRule="auto"/>
    </w:pPr>
    <w:rPr>
      <w:sz w:val="20"/>
      <w:szCs w:val="20"/>
    </w:rPr>
  </w:style>
  <w:style w:type="character" w:customStyle="1" w:styleId="CommentTextChar">
    <w:name w:val="Comment Text Char"/>
    <w:basedOn w:val="DefaultParagraphFont"/>
    <w:link w:val="CommentText"/>
    <w:uiPriority w:val="99"/>
    <w:rsid w:val="00810E90"/>
    <w:rPr>
      <w:sz w:val="20"/>
      <w:szCs w:val="20"/>
    </w:rPr>
  </w:style>
  <w:style w:type="paragraph" w:styleId="CommentSubject">
    <w:name w:val="annotation subject"/>
    <w:basedOn w:val="CommentText"/>
    <w:next w:val="CommentText"/>
    <w:link w:val="CommentSubjectChar"/>
    <w:uiPriority w:val="99"/>
    <w:semiHidden/>
    <w:unhideWhenUsed/>
    <w:rsid w:val="00810E90"/>
    <w:rPr>
      <w:b/>
      <w:bCs/>
    </w:rPr>
  </w:style>
  <w:style w:type="character" w:customStyle="1" w:styleId="CommentSubjectChar">
    <w:name w:val="Comment Subject Char"/>
    <w:basedOn w:val="CommentTextChar"/>
    <w:link w:val="CommentSubject"/>
    <w:uiPriority w:val="99"/>
    <w:semiHidden/>
    <w:rsid w:val="00810E90"/>
    <w:rPr>
      <w:b/>
      <w:bCs/>
      <w:sz w:val="20"/>
      <w:szCs w:val="20"/>
    </w:rPr>
  </w:style>
  <w:style w:type="character" w:styleId="FollowedHyperlink">
    <w:name w:val="FollowedHyperlink"/>
    <w:basedOn w:val="DefaultParagraphFont"/>
    <w:uiPriority w:val="99"/>
    <w:semiHidden/>
    <w:unhideWhenUsed/>
    <w:rsid w:val="000E5B4B"/>
    <w:rPr>
      <w:color w:val="007279" w:themeColor="followedHyperlink"/>
      <w:u w:val="single"/>
    </w:rPr>
  </w:style>
  <w:style w:type="table" w:customStyle="1" w:styleId="LightGrid-Accent21">
    <w:name w:val="Light Grid - Accent 21"/>
    <w:basedOn w:val="TableNormal"/>
    <w:next w:val="LightGrid-Accent2"/>
    <w:uiPriority w:val="62"/>
    <w:rsid w:val="00A17097"/>
    <w:pPr>
      <w:spacing w:after="0" w:line="240" w:lineRule="auto"/>
    </w:pPr>
    <w:rPr>
      <w:rFonts w:eastAsia="Times New Roman" w:cs="Times New Roman"/>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auto"/>
    </w:tcPr>
    <w:tblStylePr w:type="firstRow">
      <w:pPr>
        <w:spacing w:before="0" w:after="0" w:line="240" w:lineRule="auto"/>
      </w:pPr>
      <w:rPr>
        <w:rFonts w:ascii="Inter Light" w:eastAsia="Times New Roman" w:hAnsi="Inter Light" w:cs="Times New Roman"/>
        <w:b/>
        <w:bCs/>
      </w:rPr>
      <w:tblPr/>
      <w:tcPr>
        <w:shd w:val="clear" w:color="auto" w:fill="CD0920"/>
      </w:tcPr>
    </w:tblStylePr>
    <w:tblStylePr w:type="lastRow">
      <w:pPr>
        <w:spacing w:before="0" w:after="0" w:line="240" w:lineRule="auto"/>
      </w:pPr>
      <w:rPr>
        <w:rFonts w:ascii="Inter Light" w:eastAsia="Times New Roman" w:hAnsi="Inter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Inter Light" w:eastAsia="Times New Roman" w:hAnsi="Inter Light" w:cs="Times New Roman"/>
        <w:b/>
        <w:bCs/>
      </w:rPr>
    </w:tblStylePr>
    <w:tblStylePr w:type="lastCol">
      <w:rPr>
        <w:rFonts w:ascii="Inter Light" w:eastAsia="Times New Roman" w:hAnsi="Inter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2">
    <w:name w:val="Light Grid Accent 2"/>
    <w:basedOn w:val="TableNormal"/>
    <w:uiPriority w:val="62"/>
    <w:semiHidden/>
    <w:unhideWhenUsed/>
    <w:rsid w:val="00A17097"/>
    <w:pPr>
      <w:spacing w:after="0" w:line="240" w:lineRule="auto"/>
    </w:pPr>
    <w:tblPr>
      <w:tblStyleRowBandSize w:val="1"/>
      <w:tblStyleColBandSize w:val="1"/>
      <w:tblBorders>
        <w:top w:val="single" w:sz="8" w:space="0" w:color="1C2B39" w:themeColor="accent2"/>
        <w:left w:val="single" w:sz="8" w:space="0" w:color="1C2B39" w:themeColor="accent2"/>
        <w:bottom w:val="single" w:sz="8" w:space="0" w:color="1C2B39" w:themeColor="accent2"/>
        <w:right w:val="single" w:sz="8" w:space="0" w:color="1C2B39" w:themeColor="accent2"/>
        <w:insideH w:val="single" w:sz="8" w:space="0" w:color="1C2B39" w:themeColor="accent2"/>
        <w:insideV w:val="single" w:sz="8" w:space="0" w:color="1C2B3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C2B39" w:themeColor="accent2"/>
          <w:left w:val="single" w:sz="8" w:space="0" w:color="1C2B39" w:themeColor="accent2"/>
          <w:bottom w:val="single" w:sz="18" w:space="0" w:color="1C2B39" w:themeColor="accent2"/>
          <w:right w:val="single" w:sz="8" w:space="0" w:color="1C2B39" w:themeColor="accent2"/>
          <w:insideH w:val="nil"/>
          <w:insideV w:val="single" w:sz="8" w:space="0" w:color="1C2B3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C2B39" w:themeColor="accent2"/>
          <w:left w:val="single" w:sz="8" w:space="0" w:color="1C2B39" w:themeColor="accent2"/>
          <w:bottom w:val="single" w:sz="8" w:space="0" w:color="1C2B39" w:themeColor="accent2"/>
          <w:right w:val="single" w:sz="8" w:space="0" w:color="1C2B39" w:themeColor="accent2"/>
          <w:insideH w:val="nil"/>
          <w:insideV w:val="single" w:sz="8" w:space="0" w:color="1C2B3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C2B39" w:themeColor="accent2"/>
          <w:left w:val="single" w:sz="8" w:space="0" w:color="1C2B39" w:themeColor="accent2"/>
          <w:bottom w:val="single" w:sz="8" w:space="0" w:color="1C2B39" w:themeColor="accent2"/>
          <w:right w:val="single" w:sz="8" w:space="0" w:color="1C2B39" w:themeColor="accent2"/>
        </w:tcBorders>
      </w:tcPr>
    </w:tblStylePr>
    <w:tblStylePr w:type="band1Vert">
      <w:tblPr/>
      <w:tcPr>
        <w:tcBorders>
          <w:top w:val="single" w:sz="8" w:space="0" w:color="1C2B39" w:themeColor="accent2"/>
          <w:left w:val="single" w:sz="8" w:space="0" w:color="1C2B39" w:themeColor="accent2"/>
          <w:bottom w:val="single" w:sz="8" w:space="0" w:color="1C2B39" w:themeColor="accent2"/>
          <w:right w:val="single" w:sz="8" w:space="0" w:color="1C2B39" w:themeColor="accent2"/>
        </w:tcBorders>
        <w:shd w:val="clear" w:color="auto" w:fill="B8CADC" w:themeFill="accent2" w:themeFillTint="3F"/>
      </w:tcPr>
    </w:tblStylePr>
    <w:tblStylePr w:type="band1Horz">
      <w:tblPr/>
      <w:tcPr>
        <w:tcBorders>
          <w:top w:val="single" w:sz="8" w:space="0" w:color="1C2B39" w:themeColor="accent2"/>
          <w:left w:val="single" w:sz="8" w:space="0" w:color="1C2B39" w:themeColor="accent2"/>
          <w:bottom w:val="single" w:sz="8" w:space="0" w:color="1C2B39" w:themeColor="accent2"/>
          <w:right w:val="single" w:sz="8" w:space="0" w:color="1C2B39" w:themeColor="accent2"/>
          <w:insideV w:val="single" w:sz="8" w:space="0" w:color="1C2B39" w:themeColor="accent2"/>
        </w:tcBorders>
        <w:shd w:val="clear" w:color="auto" w:fill="B8CADC" w:themeFill="accent2" w:themeFillTint="3F"/>
      </w:tcPr>
    </w:tblStylePr>
    <w:tblStylePr w:type="band2Horz">
      <w:tblPr/>
      <w:tcPr>
        <w:tcBorders>
          <w:top w:val="single" w:sz="8" w:space="0" w:color="1C2B39" w:themeColor="accent2"/>
          <w:left w:val="single" w:sz="8" w:space="0" w:color="1C2B39" w:themeColor="accent2"/>
          <w:bottom w:val="single" w:sz="8" w:space="0" w:color="1C2B39" w:themeColor="accent2"/>
          <w:right w:val="single" w:sz="8" w:space="0" w:color="1C2B39" w:themeColor="accent2"/>
          <w:insideV w:val="single" w:sz="8" w:space="0" w:color="1C2B39" w:themeColor="accent2"/>
        </w:tcBorders>
      </w:tcPr>
    </w:tblStylePr>
  </w:style>
  <w:style w:type="paragraph" w:customStyle="1" w:styleId="Default">
    <w:name w:val="Default"/>
    <w:rsid w:val="008A3133"/>
    <w:pPr>
      <w:autoSpaceDE w:val="0"/>
      <w:autoSpaceDN w:val="0"/>
      <w:adjustRightInd w:val="0"/>
      <w:spacing w:after="0" w:line="240" w:lineRule="auto"/>
    </w:pPr>
    <w:rPr>
      <w:rFonts w:ascii="Inter Light" w:hAnsi="Inter Light" w:cs="Inter Light"/>
      <w:color w:val="000000"/>
      <w:sz w:val="24"/>
      <w:szCs w:val="24"/>
    </w:rPr>
  </w:style>
  <w:style w:type="character" w:customStyle="1" w:styleId="A9">
    <w:name w:val="A9"/>
    <w:uiPriority w:val="99"/>
    <w:rsid w:val="008A3133"/>
    <w:rPr>
      <w:rFonts w:cs="Inter Light"/>
      <w:color w:val="042534"/>
    </w:rPr>
  </w:style>
  <w:style w:type="character" w:styleId="Mention">
    <w:name w:val="Mention"/>
    <w:basedOn w:val="DefaultParagraphFont"/>
    <w:uiPriority w:val="99"/>
    <w:unhideWhenUsed/>
    <w:rsid w:val="00FD43E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185144">
      <w:bodyDiv w:val="1"/>
      <w:marLeft w:val="0"/>
      <w:marRight w:val="0"/>
      <w:marTop w:val="0"/>
      <w:marBottom w:val="0"/>
      <w:divBdr>
        <w:top w:val="none" w:sz="0" w:space="0" w:color="auto"/>
        <w:left w:val="none" w:sz="0" w:space="0" w:color="auto"/>
        <w:bottom w:val="none" w:sz="0" w:space="0" w:color="auto"/>
        <w:right w:val="none" w:sz="0" w:space="0" w:color="auto"/>
      </w:divBdr>
    </w:div>
    <w:div w:id="187383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16">
      <a:dk1>
        <a:srgbClr val="000000"/>
      </a:dk1>
      <a:lt1>
        <a:srgbClr val="FFFFFF"/>
      </a:lt1>
      <a:dk2>
        <a:srgbClr val="0F1F35"/>
      </a:dk2>
      <a:lt2>
        <a:srgbClr val="D8D8D8"/>
      </a:lt2>
      <a:accent1>
        <a:srgbClr val="007279"/>
      </a:accent1>
      <a:accent2>
        <a:srgbClr val="1C2B39"/>
      </a:accent2>
      <a:accent3>
        <a:srgbClr val="F26337"/>
      </a:accent3>
      <a:accent4>
        <a:srgbClr val="4BADB0"/>
      </a:accent4>
      <a:accent5>
        <a:srgbClr val="B75B53"/>
      </a:accent5>
      <a:accent6>
        <a:srgbClr val="FCB76C"/>
      </a:accent6>
      <a:hlink>
        <a:srgbClr val="007279"/>
      </a:hlink>
      <a:folHlink>
        <a:srgbClr val="007279"/>
      </a:folHlink>
    </a:clrScheme>
    <a:fontScheme name="PM&amp;C light">
      <a:majorFont>
        <a:latin typeface="Times New Roman"/>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3B22B-6829-40F3-BD6E-8A8AB61B9819}">
  <ds:schemaRefs>
    <ds:schemaRef ds:uri="http://schemas.openxmlformats.org/officeDocument/2006/bibliography"/>
  </ds:schemaRefs>
</ds:datastoreItem>
</file>

<file path=docMetadata/LabelInfo.xml><?xml version="1.0" encoding="utf-8"?>
<clbl:labelList xmlns:clbl="http://schemas.microsoft.com/office/2020/mipLabelMetadata">
  <clbl:label id="{2e6ba7ff-9897-4e65-9803-3be34fd9cf5a}" enabled="1" method="Privileged" siteId="{8c3c81bc-2b3c-44af-b3f7-6f620b3910ee}"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1459</Words>
  <Characters>8322</Characters>
  <Application>Microsoft Office Word</Application>
  <DocSecurity>0</DocSecurity>
  <Lines>69</Lines>
  <Paragraphs>19</Paragraphs>
  <ScaleCrop>false</ScaleCrop>
  <Company/>
  <LinksUpToDate>false</LinksUpToDate>
  <CharactersWithSpaces>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2026-09-02T00:59:00Z</dcterms:created>
  <dcterms:modified xsi:type="dcterms:W3CDTF">2026-09-02T01:00:00Z</dcterms:modified>
</cp:coreProperties>
</file>