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8BD5D" w14:textId="77777777" w:rsidR="00A62EF3" w:rsidRPr="00892D49" w:rsidRDefault="005D7C45" w:rsidP="002356F8">
      <w:pPr>
        <w:pStyle w:val="Title"/>
        <w:spacing w:after="120"/>
        <w:rPr>
          <w:sz w:val="44"/>
          <w:szCs w:val="52"/>
        </w:rPr>
      </w:pPr>
      <w:bookmarkStart w:id="0" w:name="_Toc96326909"/>
      <w:r w:rsidRPr="00892D49">
        <w:rPr>
          <w:sz w:val="44"/>
          <w:szCs w:val="52"/>
        </w:rPr>
        <w:t xml:space="preserve">Dashboard </w:t>
      </w:r>
      <w:r w:rsidR="00936C83">
        <w:rPr>
          <w:sz w:val="44"/>
          <w:szCs w:val="52"/>
        </w:rPr>
        <w:t>I</w:t>
      </w:r>
      <w:r w:rsidR="00936C83" w:rsidRPr="00892D49">
        <w:rPr>
          <w:sz w:val="44"/>
          <w:szCs w:val="52"/>
        </w:rPr>
        <w:t xml:space="preserve">mpact </w:t>
      </w:r>
      <w:r w:rsidR="00936C83">
        <w:rPr>
          <w:sz w:val="44"/>
          <w:szCs w:val="52"/>
        </w:rPr>
        <w:t>A</w:t>
      </w:r>
      <w:r w:rsidR="00936C83" w:rsidRPr="00892D49">
        <w:rPr>
          <w:sz w:val="44"/>
          <w:szCs w:val="52"/>
        </w:rPr>
        <w:t xml:space="preserve">nalysis </w:t>
      </w:r>
      <w:r w:rsidR="00232964" w:rsidRPr="00892D49">
        <w:rPr>
          <w:sz w:val="44"/>
          <w:szCs w:val="52"/>
        </w:rPr>
        <w:t xml:space="preserve">(IA) </w:t>
      </w:r>
      <w:r w:rsidR="005F66F9" w:rsidRPr="00892D49">
        <w:rPr>
          <w:sz w:val="44"/>
          <w:szCs w:val="52"/>
        </w:rPr>
        <w:t xml:space="preserve">– </w:t>
      </w:r>
      <w:r w:rsidR="007E6D00" w:rsidRPr="007E6D00">
        <w:rPr>
          <w:sz w:val="44"/>
          <w:szCs w:val="52"/>
        </w:rPr>
        <w:t xml:space="preserve">National Environmental Standard for </w:t>
      </w:r>
      <w:r w:rsidR="00407318">
        <w:rPr>
          <w:sz w:val="44"/>
          <w:szCs w:val="52"/>
        </w:rPr>
        <w:t>Community Engagement</w:t>
      </w:r>
    </w:p>
    <w:bookmarkEnd w:id="0"/>
    <w:p w14:paraId="21D54871" w14:textId="77777777" w:rsidR="007E6D00" w:rsidRPr="006666CD" w:rsidRDefault="007E6D00" w:rsidP="7EAA248A">
      <w:pPr>
        <w:pStyle w:val="Subtitle"/>
        <w:rPr>
          <w:b/>
          <w:bCs/>
          <w:sz w:val="24"/>
          <w:szCs w:val="24"/>
        </w:rPr>
      </w:pPr>
      <w:r w:rsidRPr="7EAA248A">
        <w:rPr>
          <w:b/>
          <w:bCs/>
          <w:sz w:val="24"/>
          <w:szCs w:val="24"/>
        </w:rPr>
        <w:t>Department of Climate Change, Energy, the Environment and Water</w:t>
      </w:r>
    </w:p>
    <w:p w14:paraId="0E48DE9C" w14:textId="77777777" w:rsidR="00A62EF3" w:rsidRPr="0091141A" w:rsidRDefault="006C7E16" w:rsidP="0026634E">
      <w:pPr>
        <w:pStyle w:val="Heading1"/>
      </w:pPr>
      <w:r w:rsidRPr="0091141A">
        <w:t xml:space="preserve">The </w:t>
      </w:r>
      <w:r w:rsidR="00E15984">
        <w:t xml:space="preserve">proposed </w:t>
      </w:r>
      <w:r w:rsidRPr="0091141A">
        <w:t xml:space="preserve">approach </w:t>
      </w:r>
      <w:r w:rsidR="00C61719">
        <w:t>and policy problem</w:t>
      </w:r>
    </w:p>
    <w:p w14:paraId="31C0ECCC" w14:textId="77777777" w:rsidR="0037567B" w:rsidRDefault="0037567B" w:rsidP="0037567B">
      <w:pPr>
        <w:pStyle w:val="Heading2"/>
      </w:pPr>
      <w:r w:rsidRPr="005F3B45">
        <w:t>Proposed approach</w:t>
      </w:r>
    </w:p>
    <w:p w14:paraId="51491FDB" w14:textId="77777777" w:rsidR="0037567B" w:rsidRPr="009506AA" w:rsidRDefault="0037567B" w:rsidP="0037567B">
      <w:pPr>
        <w:rPr>
          <w:rFonts w:cstheme="minorHAnsi"/>
        </w:rPr>
      </w:pPr>
      <w:r w:rsidRPr="009506AA">
        <w:rPr>
          <w:rFonts w:cstheme="minorHAnsi"/>
        </w:rPr>
        <w:t xml:space="preserve">The proposed approach is a legally enforceable National Environmental Standard for Community Engagement (CE Standard) under section 514 YD of the reformed </w:t>
      </w:r>
      <w:r w:rsidRPr="009506AA">
        <w:rPr>
          <w:rFonts w:cstheme="minorHAnsi"/>
          <w:i/>
          <w:iCs/>
        </w:rPr>
        <w:t xml:space="preserve">Environment Protection and Biodiversity Conservation Act 1999 </w:t>
      </w:r>
      <w:r w:rsidRPr="009506AA">
        <w:rPr>
          <w:rFonts w:cstheme="minorHAnsi"/>
        </w:rPr>
        <w:t xml:space="preserve">(the EPBC Act). </w:t>
      </w:r>
    </w:p>
    <w:p w14:paraId="7D57F4EA" w14:textId="77777777" w:rsidR="0037567B" w:rsidRPr="009506AA" w:rsidRDefault="0037567B" w:rsidP="0037567B">
      <w:pPr>
        <w:rPr>
          <w:rFonts w:cstheme="minorHAnsi"/>
        </w:rPr>
      </w:pPr>
      <w:r w:rsidRPr="009506AA">
        <w:rPr>
          <w:rFonts w:cstheme="minorHAnsi"/>
        </w:rPr>
        <w:t>The CE Standard would enable community engagement to be completed under the EPBC Act and detail what proponents should do to enable the decision-maker to be satisfied that decisions made under the Act are supported by meaningful engagement with the public. Ministerial decision-making will be more transparent as the minister must now be satisfied that a proposal is consistent with all relevant National Environmental Standards.</w:t>
      </w:r>
    </w:p>
    <w:p w14:paraId="325BA57A" w14:textId="77777777" w:rsidR="0037567B" w:rsidRPr="009506AA" w:rsidRDefault="0037567B" w:rsidP="0037567B">
      <w:pPr>
        <w:rPr>
          <w:rFonts w:cstheme="minorHAnsi"/>
        </w:rPr>
      </w:pPr>
      <w:r w:rsidRPr="009506AA">
        <w:rPr>
          <w:rFonts w:cstheme="minorHAnsi"/>
          <w:lang w:val="en-US"/>
        </w:rPr>
        <w:t>If made, consistency with the CE Standard would be assessed by the decision-maker in relation to:</w:t>
      </w:r>
      <w:r w:rsidRPr="009506AA">
        <w:rPr>
          <w:rFonts w:cstheme="minorHAnsi"/>
        </w:rPr>
        <w:t> </w:t>
      </w:r>
    </w:p>
    <w:p w14:paraId="00E80587" w14:textId="77777777" w:rsidR="0037567B" w:rsidRPr="009506AA" w:rsidRDefault="0037567B" w:rsidP="0037567B">
      <w:pPr>
        <w:numPr>
          <w:ilvl w:val="0"/>
          <w:numId w:val="44"/>
        </w:numPr>
        <w:rPr>
          <w:rFonts w:cstheme="minorHAnsi"/>
        </w:rPr>
      </w:pPr>
      <w:r w:rsidRPr="009506AA">
        <w:rPr>
          <w:rFonts w:cstheme="minorHAnsi"/>
          <w:lang w:val="en-US"/>
        </w:rPr>
        <w:t>Decisions to approve the taking of an action, including conditions, and decisions to approve actions in accordance with an endorsed policy, plan or program</w:t>
      </w:r>
      <w:r w:rsidRPr="009506AA">
        <w:rPr>
          <w:rFonts w:cstheme="minorHAnsi"/>
        </w:rPr>
        <w:t>, as well as variations to such approvals.</w:t>
      </w:r>
    </w:p>
    <w:p w14:paraId="6028B51A" w14:textId="77777777" w:rsidR="0037567B" w:rsidRPr="009506AA" w:rsidRDefault="0037567B" w:rsidP="0037567B">
      <w:pPr>
        <w:numPr>
          <w:ilvl w:val="0"/>
          <w:numId w:val="45"/>
        </w:numPr>
        <w:rPr>
          <w:rFonts w:cstheme="minorHAnsi"/>
        </w:rPr>
      </w:pPr>
      <w:r w:rsidRPr="009506AA">
        <w:rPr>
          <w:rFonts w:cstheme="minorHAnsi"/>
          <w:lang w:val="en-US"/>
        </w:rPr>
        <w:t xml:space="preserve">Decisions in relation to accrediting a management or </w:t>
      </w:r>
      <w:proofErr w:type="spellStart"/>
      <w:r w:rsidRPr="009506AA">
        <w:rPr>
          <w:rFonts w:cstheme="minorHAnsi"/>
          <w:lang w:val="en-US"/>
        </w:rPr>
        <w:t>authorisation</w:t>
      </w:r>
      <w:proofErr w:type="spellEnd"/>
      <w:r w:rsidRPr="009506AA">
        <w:rPr>
          <w:rFonts w:cstheme="minorHAnsi"/>
          <w:lang w:val="en-US"/>
        </w:rPr>
        <w:t xml:space="preserve"> framework or NOPSEMA management or </w:t>
      </w:r>
      <w:proofErr w:type="spellStart"/>
      <w:r w:rsidRPr="009506AA">
        <w:rPr>
          <w:rFonts w:cstheme="minorHAnsi"/>
          <w:lang w:val="en-US"/>
        </w:rPr>
        <w:t>authorisation</w:t>
      </w:r>
      <w:proofErr w:type="spellEnd"/>
      <w:r w:rsidRPr="009506AA">
        <w:rPr>
          <w:rFonts w:cstheme="minorHAnsi"/>
          <w:lang w:val="en-US"/>
        </w:rPr>
        <w:t xml:space="preserve"> framework</w:t>
      </w:r>
      <w:r w:rsidRPr="009506AA">
        <w:rPr>
          <w:rFonts w:cstheme="minorHAnsi"/>
        </w:rPr>
        <w:t>.</w:t>
      </w:r>
    </w:p>
    <w:p w14:paraId="14B894F8" w14:textId="77777777" w:rsidR="0037567B" w:rsidRPr="009506AA" w:rsidRDefault="0037567B" w:rsidP="0037567B">
      <w:pPr>
        <w:numPr>
          <w:ilvl w:val="0"/>
          <w:numId w:val="46"/>
        </w:numPr>
        <w:rPr>
          <w:rFonts w:cstheme="minorHAnsi"/>
        </w:rPr>
      </w:pPr>
      <w:r w:rsidRPr="009506AA">
        <w:rPr>
          <w:rFonts w:cstheme="minorHAnsi"/>
          <w:lang w:val="en-US"/>
        </w:rPr>
        <w:t>Making or varying a bioregional plan or bioregional guidance plan. </w:t>
      </w:r>
      <w:r w:rsidRPr="009506AA">
        <w:rPr>
          <w:rFonts w:cstheme="minorHAnsi"/>
        </w:rPr>
        <w:t> </w:t>
      </w:r>
    </w:p>
    <w:p w14:paraId="0837A9F7" w14:textId="77777777" w:rsidR="0037567B" w:rsidRPr="009506AA" w:rsidRDefault="0037567B" w:rsidP="0037567B">
      <w:pPr>
        <w:rPr>
          <w:rFonts w:cstheme="minorHAnsi"/>
        </w:rPr>
      </w:pPr>
      <w:r w:rsidRPr="009506AA">
        <w:rPr>
          <w:rFonts w:cstheme="minorHAnsi"/>
        </w:rPr>
        <w:t xml:space="preserve">The Objective of the CE Standard is to ensure decisions made under the Act relating to the protection, conservation, restoration, recovery or management of protected matters are supported by meaningful engagement with members of the public and to assist in the co-operative implementation of Australia's international environmental obligations. </w:t>
      </w:r>
    </w:p>
    <w:p w14:paraId="5A80213A" w14:textId="77777777" w:rsidR="0037567B" w:rsidRPr="0020003A" w:rsidRDefault="0037567B" w:rsidP="0037567B">
      <w:pPr>
        <w:pStyle w:val="Heading2"/>
      </w:pPr>
      <w:r w:rsidRPr="0020003A">
        <w:t>Policy problem</w:t>
      </w:r>
    </w:p>
    <w:p w14:paraId="00878644" w14:textId="77777777" w:rsidR="0037567B" w:rsidRPr="000F3FD2" w:rsidRDefault="0037567B" w:rsidP="0037567B">
      <w:pPr>
        <w:spacing w:line="259" w:lineRule="auto"/>
        <w:rPr>
          <w:rFonts w:cs="Calibri"/>
        </w:rPr>
      </w:pPr>
      <w:r>
        <w:t xml:space="preserve">The 2020 </w:t>
      </w:r>
      <w:r w:rsidRPr="16EA1C30">
        <w:rPr>
          <w:lang w:val="en-US"/>
        </w:rPr>
        <w:t xml:space="preserve">Independent Review of the </w:t>
      </w:r>
      <w:r>
        <w:t xml:space="preserve">EPBC Act Final Report </w:t>
      </w:r>
      <w:r w:rsidRPr="16EA1C30">
        <w:rPr>
          <w:lang w:val="en-US"/>
        </w:rPr>
        <w:t>(Samuel Review)</w:t>
      </w:r>
      <w:r>
        <w:t xml:space="preserve"> </w:t>
      </w:r>
      <w:r w:rsidRPr="16EA1C30">
        <w:rPr>
          <w:rFonts w:cs="Calibri"/>
        </w:rPr>
        <w:t xml:space="preserve">found </w:t>
      </w:r>
      <w:r>
        <w:rPr>
          <w:rFonts w:cs="Calibri"/>
        </w:rPr>
        <w:t>there</w:t>
      </w:r>
      <w:r w:rsidRPr="16EA1C30">
        <w:rPr>
          <w:rFonts w:cs="Calibri"/>
        </w:rPr>
        <w:t xml:space="preserve"> are limited opportunities for the public to substantively engage in and contribute to decision-making. The community does not have the opportunity to raise concerns until late in the process.</w:t>
      </w:r>
    </w:p>
    <w:p w14:paraId="6A368A29" w14:textId="77777777" w:rsidR="0037567B" w:rsidRDefault="0037567B" w:rsidP="0037567B">
      <w:r w:rsidRPr="16EA1C30">
        <w:rPr>
          <w:rFonts w:cs="Calibri"/>
        </w:rPr>
        <w:t xml:space="preserve">The Samuel Review recommended that community participation in decision-making processes be improved, including through the National Environmental Standards and making both the information used and the reasons for decisions transparent. </w:t>
      </w:r>
    </w:p>
    <w:p w14:paraId="495F2E39" w14:textId="77777777" w:rsidR="0037567B" w:rsidRPr="0020003A" w:rsidRDefault="0037567B" w:rsidP="0037567B">
      <w:pPr>
        <w:pStyle w:val="Heading1"/>
      </w:pPr>
      <w:r w:rsidRPr="0020003A">
        <w:lastRenderedPageBreak/>
        <w:t xml:space="preserve">Summary of impacts and methodology </w:t>
      </w:r>
    </w:p>
    <w:p w14:paraId="637D1227" w14:textId="7E4EFFD5" w:rsidR="0037567B" w:rsidRDefault="00E97AF9" w:rsidP="0037567B">
      <w:pPr>
        <w:spacing w:before="120"/>
      </w:pPr>
      <w:r>
        <w:rPr>
          <w:lang w:val="en-US"/>
        </w:rPr>
        <w:t xml:space="preserve">The Department prepared an Addendum to the Samuel Review on 30 October </w:t>
      </w:r>
      <w:r w:rsidR="0037567B" w:rsidRPr="7EAA248A">
        <w:rPr>
          <w:lang w:val="en-US"/>
        </w:rPr>
        <w:t>2025</w:t>
      </w:r>
      <w:r>
        <w:rPr>
          <w:lang w:val="en-US"/>
        </w:rPr>
        <w:t>. Th</w:t>
      </w:r>
      <w:r w:rsidR="0037567B" w:rsidRPr="7EAA248A">
        <w:rPr>
          <w:lang w:val="en-US"/>
        </w:rPr>
        <w:t>e Addendum focuse</w:t>
      </w:r>
      <w:r>
        <w:rPr>
          <w:lang w:val="en-US"/>
        </w:rPr>
        <w:t>s</w:t>
      </w:r>
      <w:r w:rsidR="0037567B" w:rsidRPr="7EAA248A">
        <w:rPr>
          <w:lang w:val="en-US"/>
        </w:rPr>
        <w:t xml:space="preserve"> on the streamlined assessment pathway (reducing statutory timeframes from 70 to 50) and related reform measures – including </w:t>
      </w:r>
      <w:r w:rsidR="0037567B">
        <w:t xml:space="preserve">the making of National Environmental Standards, rulings, defining unacceptable impacts, and requiring a ‘net gain’ for any residual significant impacts. These related reforms aim to improve environmental outcomes and reduce delays commonly caused by further information requests. </w:t>
      </w:r>
    </w:p>
    <w:p w14:paraId="502E4D04" w14:textId="77777777" w:rsidR="0037567B" w:rsidRDefault="0037567B" w:rsidP="0037567B">
      <w:pPr>
        <w:spacing w:before="120"/>
        <w:rPr>
          <w:lang w:val="en-US"/>
        </w:rPr>
      </w:pPr>
      <w:r w:rsidRPr="16EA1C30">
        <w:rPr>
          <w:lang w:val="en-US"/>
        </w:rPr>
        <w:t>The Addendum estimates the impact of the streamlined assessment pathway (SAP, low scenario) and SAP and related reforms (medium and high scenario), as reproduced below in Table 1.</w:t>
      </w:r>
    </w:p>
    <w:p w14:paraId="1B4D6D0B" w14:textId="77777777" w:rsidR="0037567B" w:rsidRDefault="0037567B" w:rsidP="0037567B">
      <w:r>
        <w:t>T</w:t>
      </w:r>
      <w:r w:rsidRPr="00080C58">
        <w:t>he</w:t>
      </w:r>
      <w:r w:rsidRPr="0020003A">
        <w:t xml:space="preserve"> Addendum estimate</w:t>
      </w:r>
      <w:r>
        <w:t xml:space="preserve">s that under medium and low scenarios, requests for information would be reduced and avoided (respectively). Benefits were a reduced timeframe for assessments and approvals – at either 140 or 288 days. </w:t>
      </w:r>
      <w:r w:rsidRPr="0020003A">
        <w:t xml:space="preserve"> </w:t>
      </w:r>
    </w:p>
    <w:p w14:paraId="045D09A1" w14:textId="77777777" w:rsidR="0037567B" w:rsidRDefault="0037567B" w:rsidP="0037567B">
      <w:pPr>
        <w:spacing w:after="0"/>
      </w:pPr>
      <w:r w:rsidRPr="16EA1C30">
        <w:rPr>
          <w:b/>
          <w:bCs/>
        </w:rPr>
        <w:t>Table 1.</w:t>
      </w:r>
      <w:r>
        <w:t xml:space="preserve"> Estimated positive impact from reductions to delay costs from the introduction of the streamlined assessment pathway and related reform measures per relevant population per annum.</w:t>
      </w:r>
    </w:p>
    <w:p w14:paraId="004715AC" w14:textId="77777777" w:rsidR="0037567B" w:rsidRPr="00496940" w:rsidRDefault="0037567B" w:rsidP="0037567B">
      <w:pPr>
        <w:spacing w:after="0"/>
      </w:pPr>
      <w:r>
        <w:tab/>
      </w:r>
    </w:p>
    <w:tbl>
      <w:tblPr>
        <w:tblW w:w="5000" w:type="pct"/>
        <w:tblLook w:val="04A0" w:firstRow="1" w:lastRow="0" w:firstColumn="1" w:lastColumn="0" w:noHBand="0" w:noVBand="1"/>
      </w:tblPr>
      <w:tblGrid>
        <w:gridCol w:w="2156"/>
        <w:gridCol w:w="1119"/>
        <w:gridCol w:w="2742"/>
        <w:gridCol w:w="1304"/>
        <w:gridCol w:w="2307"/>
      </w:tblGrid>
      <w:tr w:rsidR="0037567B" w:rsidRPr="0020003A" w14:paraId="150E2860" w14:textId="77777777" w:rsidTr="007E0AD0">
        <w:trPr>
          <w:trHeight w:val="288"/>
        </w:trPr>
        <w:tc>
          <w:tcPr>
            <w:tcW w:w="1120" w:type="pct"/>
            <w:tcBorders>
              <w:top w:val="single" w:sz="4" w:space="0" w:color="000000"/>
              <w:left w:val="single" w:sz="4" w:space="0" w:color="auto"/>
              <w:bottom w:val="single" w:sz="4" w:space="0" w:color="000000"/>
              <w:right w:val="single" w:sz="4" w:space="0" w:color="auto"/>
            </w:tcBorders>
            <w:shd w:val="clear" w:color="000000" w:fill="FFFFFF"/>
            <w:vAlign w:val="center"/>
            <w:hideMark/>
          </w:tcPr>
          <w:p w14:paraId="42171318" w14:textId="77777777" w:rsidR="0037567B" w:rsidRPr="0020003A" w:rsidRDefault="0037567B" w:rsidP="007E0AD0">
            <w:pPr>
              <w:spacing w:after="0" w:line="240" w:lineRule="auto"/>
              <w:rPr>
                <w:rFonts w:eastAsia="Times New Roman" w:cstheme="minorHAnsi"/>
                <w:b/>
                <w:bCs/>
                <w:color w:val="000000"/>
                <w:sz w:val="20"/>
                <w:szCs w:val="20"/>
                <w:lang w:eastAsia="en-AU"/>
              </w:rPr>
            </w:pPr>
            <w:r>
              <w:rPr>
                <w:rFonts w:eastAsia="Times New Roman" w:cstheme="minorHAnsi"/>
                <w:b/>
                <w:bCs/>
                <w:color w:val="000000"/>
                <w:sz w:val="20"/>
                <w:szCs w:val="20"/>
                <w:lang w:eastAsia="en-AU"/>
              </w:rPr>
              <w:t>Change in Costs ($million)</w:t>
            </w:r>
          </w:p>
        </w:tc>
        <w:tc>
          <w:tcPr>
            <w:tcW w:w="581" w:type="pct"/>
            <w:tcBorders>
              <w:top w:val="single" w:sz="4" w:space="0" w:color="auto"/>
              <w:left w:val="nil"/>
              <w:bottom w:val="single" w:sz="4" w:space="0" w:color="auto"/>
              <w:right w:val="nil"/>
            </w:tcBorders>
            <w:shd w:val="clear" w:color="000000" w:fill="FFFFFF"/>
            <w:noWrap/>
            <w:vAlign w:val="bottom"/>
            <w:hideMark/>
          </w:tcPr>
          <w:p w14:paraId="0A444EA0" w14:textId="77777777" w:rsidR="0037567B" w:rsidRPr="0020003A" w:rsidRDefault="0037567B"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Business</w:t>
            </w:r>
          </w:p>
        </w:tc>
        <w:tc>
          <w:tcPr>
            <w:tcW w:w="1424" w:type="pct"/>
            <w:tcBorders>
              <w:top w:val="single" w:sz="4" w:space="0" w:color="auto"/>
              <w:left w:val="nil"/>
              <w:bottom w:val="single" w:sz="4" w:space="0" w:color="auto"/>
              <w:right w:val="nil"/>
            </w:tcBorders>
            <w:shd w:val="clear" w:color="000000" w:fill="FFFFFF"/>
            <w:noWrap/>
            <w:vAlign w:val="bottom"/>
            <w:hideMark/>
          </w:tcPr>
          <w:p w14:paraId="7988F5E3" w14:textId="77777777" w:rsidR="0037567B" w:rsidRPr="0020003A" w:rsidRDefault="0037567B"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Community</w:t>
            </w:r>
            <w:r w:rsidRPr="0020003A">
              <w:rPr>
                <w:rFonts w:eastAsia="Times New Roman" w:cstheme="minorHAnsi"/>
                <w:b/>
                <w:color w:val="000000"/>
                <w:sz w:val="20"/>
                <w:szCs w:val="20"/>
                <w:lang w:eastAsia="en-AU"/>
              </w:rPr>
              <w:t xml:space="preserve"> organisations</w:t>
            </w:r>
          </w:p>
        </w:tc>
        <w:tc>
          <w:tcPr>
            <w:tcW w:w="677" w:type="pct"/>
            <w:tcBorders>
              <w:top w:val="single" w:sz="4" w:space="0" w:color="auto"/>
              <w:left w:val="nil"/>
              <w:bottom w:val="single" w:sz="4" w:space="0" w:color="auto"/>
            </w:tcBorders>
            <w:shd w:val="clear" w:color="000000" w:fill="FFFFFF"/>
            <w:noWrap/>
            <w:vAlign w:val="bottom"/>
            <w:hideMark/>
          </w:tcPr>
          <w:p w14:paraId="164DF449" w14:textId="77777777" w:rsidR="0037567B" w:rsidRPr="0020003A" w:rsidRDefault="0037567B" w:rsidP="007E0AD0">
            <w:pPr>
              <w:spacing w:after="0" w:line="240" w:lineRule="auto"/>
              <w:jc w:val="right"/>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Individuals</w:t>
            </w:r>
          </w:p>
        </w:tc>
        <w:tc>
          <w:tcPr>
            <w:tcW w:w="1200" w:type="pct"/>
            <w:tcBorders>
              <w:top w:val="single" w:sz="4" w:space="0" w:color="auto"/>
              <w:bottom w:val="single" w:sz="4" w:space="0" w:color="auto"/>
              <w:right w:val="single" w:sz="4" w:space="0" w:color="auto"/>
            </w:tcBorders>
            <w:shd w:val="clear" w:color="000000" w:fill="D9D9D9"/>
            <w:noWrap/>
            <w:vAlign w:val="bottom"/>
            <w:hideMark/>
          </w:tcPr>
          <w:p w14:paraId="47A160DF" w14:textId="77777777" w:rsidR="0037567B" w:rsidRPr="0020003A" w:rsidRDefault="0037567B" w:rsidP="007E0AD0">
            <w:pPr>
              <w:spacing w:after="0" w:line="240" w:lineRule="auto"/>
              <w:jc w:val="center"/>
              <w:rPr>
                <w:rFonts w:eastAsia="Times New Roman" w:cstheme="minorHAnsi"/>
                <w:b/>
                <w:color w:val="000000"/>
                <w:sz w:val="20"/>
                <w:szCs w:val="20"/>
                <w:lang w:eastAsia="en-AU"/>
              </w:rPr>
            </w:pPr>
            <w:r w:rsidRPr="0020003A">
              <w:rPr>
                <w:rFonts w:eastAsia="Times New Roman" w:cstheme="minorHAnsi"/>
                <w:b/>
                <w:bCs/>
                <w:color w:val="000000"/>
                <w:sz w:val="20"/>
                <w:szCs w:val="20"/>
                <w:lang w:eastAsia="en-AU"/>
              </w:rPr>
              <w:t>Total</w:t>
            </w:r>
            <w:r w:rsidRPr="0020003A">
              <w:rPr>
                <w:rFonts w:eastAsia="Times New Roman" w:cstheme="minorHAnsi"/>
                <w:b/>
                <w:color w:val="000000"/>
                <w:sz w:val="20"/>
                <w:szCs w:val="20"/>
                <w:lang w:eastAsia="en-AU"/>
              </w:rPr>
              <w:t xml:space="preserve"> change in Costs</w:t>
            </w:r>
          </w:p>
        </w:tc>
      </w:tr>
      <w:tr w:rsidR="0037567B" w:rsidRPr="0020003A" w14:paraId="2E3CC889" w14:textId="77777777" w:rsidTr="007E0AD0">
        <w:trPr>
          <w:trHeight w:val="288"/>
        </w:trPr>
        <w:tc>
          <w:tcPr>
            <w:tcW w:w="1120" w:type="pct"/>
            <w:tcBorders>
              <w:top w:val="nil"/>
              <w:left w:val="single" w:sz="4" w:space="0" w:color="auto"/>
              <w:bottom w:val="nil"/>
              <w:right w:val="nil"/>
            </w:tcBorders>
            <w:shd w:val="clear" w:color="000000" w:fill="FFFFFF"/>
            <w:noWrap/>
            <w:vAlign w:val="bottom"/>
          </w:tcPr>
          <w:p w14:paraId="5B2FAACA" w14:textId="77777777" w:rsidR="0037567B" w:rsidRPr="00B57517" w:rsidRDefault="0037567B" w:rsidP="007E0AD0">
            <w:pPr>
              <w:spacing w:after="0" w:line="240" w:lineRule="auto"/>
              <w:rPr>
                <w:rFonts w:eastAsia="Times New Roman" w:cstheme="minorHAnsi"/>
                <w:color w:val="000000"/>
                <w:sz w:val="20"/>
                <w:szCs w:val="20"/>
                <w:lang w:eastAsia="en-AU"/>
              </w:rPr>
            </w:pPr>
            <w:r w:rsidRPr="00B57517">
              <w:rPr>
                <w:rFonts w:eastAsia="Times New Roman" w:cstheme="minorHAnsi"/>
                <w:color w:val="000000"/>
                <w:sz w:val="20"/>
                <w:szCs w:val="20"/>
                <w:lang w:eastAsia="en-AU"/>
              </w:rPr>
              <w:t xml:space="preserve">Low (20 </w:t>
            </w:r>
            <w:proofErr w:type="gramStart"/>
            <w:r w:rsidRPr="00B57517">
              <w:rPr>
                <w:rFonts w:eastAsia="Times New Roman" w:cstheme="minorHAnsi"/>
                <w:color w:val="000000"/>
                <w:sz w:val="20"/>
                <w:szCs w:val="20"/>
                <w:lang w:eastAsia="en-AU"/>
              </w:rPr>
              <w:t>days)*</w:t>
            </w:r>
            <w:proofErr w:type="gramEnd"/>
          </w:p>
        </w:tc>
        <w:tc>
          <w:tcPr>
            <w:tcW w:w="581" w:type="pct"/>
            <w:tcBorders>
              <w:top w:val="single" w:sz="4" w:space="0" w:color="auto"/>
              <w:left w:val="single" w:sz="4" w:space="0" w:color="auto"/>
              <w:bottom w:val="nil"/>
              <w:right w:val="nil"/>
            </w:tcBorders>
            <w:shd w:val="clear" w:color="000000" w:fill="FFFFFF"/>
            <w:noWrap/>
          </w:tcPr>
          <w:p w14:paraId="4EB7DEE6" w14:textId="77777777" w:rsidR="0037567B" w:rsidRPr="00B57517" w:rsidRDefault="0037567B" w:rsidP="007E0AD0">
            <w:pPr>
              <w:spacing w:after="0" w:line="240" w:lineRule="auto"/>
              <w:jc w:val="right"/>
              <w:rPr>
                <w:rFonts w:eastAsia="Times New Roman" w:cstheme="minorHAnsi"/>
                <w:color w:val="000000"/>
                <w:sz w:val="20"/>
                <w:szCs w:val="20"/>
                <w:lang w:eastAsia="en-AU"/>
              </w:rPr>
            </w:pPr>
            <w:r w:rsidRPr="00B57517">
              <w:rPr>
                <w:sz w:val="20"/>
                <w:szCs w:val="20"/>
              </w:rPr>
              <w:t>$441</w:t>
            </w:r>
          </w:p>
        </w:tc>
        <w:tc>
          <w:tcPr>
            <w:tcW w:w="1424" w:type="pct"/>
            <w:tcBorders>
              <w:top w:val="single" w:sz="4" w:space="0" w:color="auto"/>
              <w:left w:val="nil"/>
              <w:bottom w:val="nil"/>
              <w:right w:val="nil"/>
            </w:tcBorders>
            <w:shd w:val="clear" w:color="000000" w:fill="FFFFFF"/>
            <w:noWrap/>
          </w:tcPr>
          <w:p w14:paraId="7EEEFD62" w14:textId="77777777" w:rsidR="0037567B" w:rsidRPr="00B57517" w:rsidRDefault="0037567B" w:rsidP="007E0AD0">
            <w:pPr>
              <w:spacing w:after="0" w:line="240" w:lineRule="auto"/>
              <w:jc w:val="right"/>
              <w:rPr>
                <w:rFonts w:eastAsia="Times New Roman" w:cstheme="minorHAnsi"/>
                <w:color w:val="000000"/>
                <w:sz w:val="20"/>
                <w:szCs w:val="20"/>
                <w:lang w:eastAsia="en-AU"/>
              </w:rPr>
            </w:pPr>
            <w:r w:rsidRPr="00B57517">
              <w:rPr>
                <w:sz w:val="20"/>
                <w:szCs w:val="20"/>
              </w:rPr>
              <w:t>$4</w:t>
            </w:r>
          </w:p>
        </w:tc>
        <w:tc>
          <w:tcPr>
            <w:tcW w:w="677" w:type="pct"/>
            <w:tcBorders>
              <w:top w:val="single" w:sz="4" w:space="0" w:color="auto"/>
              <w:left w:val="nil"/>
              <w:bottom w:val="nil"/>
            </w:tcBorders>
            <w:shd w:val="clear" w:color="000000" w:fill="FFFFFF"/>
            <w:noWrap/>
          </w:tcPr>
          <w:p w14:paraId="317BA505" w14:textId="77777777" w:rsidR="0037567B" w:rsidRPr="00B57517" w:rsidRDefault="0037567B" w:rsidP="007E0AD0">
            <w:pPr>
              <w:spacing w:after="0" w:line="240" w:lineRule="auto"/>
              <w:jc w:val="right"/>
              <w:rPr>
                <w:rFonts w:eastAsia="Times New Roman" w:cstheme="minorHAnsi"/>
                <w:color w:val="000000"/>
                <w:sz w:val="20"/>
                <w:szCs w:val="20"/>
                <w:lang w:eastAsia="en-AU"/>
              </w:rPr>
            </w:pPr>
            <w:r w:rsidRPr="00B57517">
              <w:rPr>
                <w:sz w:val="20"/>
                <w:szCs w:val="20"/>
              </w:rPr>
              <w:t>$0</w:t>
            </w:r>
          </w:p>
        </w:tc>
        <w:tc>
          <w:tcPr>
            <w:tcW w:w="1200" w:type="pct"/>
            <w:tcBorders>
              <w:top w:val="single" w:sz="4" w:space="0" w:color="auto"/>
              <w:bottom w:val="nil"/>
              <w:right w:val="single" w:sz="4" w:space="0" w:color="auto"/>
            </w:tcBorders>
            <w:shd w:val="clear" w:color="000000" w:fill="D9D9D9"/>
            <w:noWrap/>
          </w:tcPr>
          <w:p w14:paraId="6F767393" w14:textId="77777777" w:rsidR="0037567B" w:rsidRPr="00B57517" w:rsidRDefault="0037567B" w:rsidP="007E0AD0">
            <w:pPr>
              <w:spacing w:after="0" w:line="240" w:lineRule="auto"/>
              <w:jc w:val="right"/>
              <w:rPr>
                <w:rFonts w:eastAsia="Times New Roman" w:cstheme="minorHAnsi"/>
                <w:color w:val="000000"/>
                <w:sz w:val="20"/>
                <w:szCs w:val="20"/>
                <w:lang w:eastAsia="en-AU"/>
              </w:rPr>
            </w:pPr>
            <w:r w:rsidRPr="00B57517">
              <w:rPr>
                <w:sz w:val="20"/>
                <w:szCs w:val="20"/>
              </w:rPr>
              <w:t>$445</w:t>
            </w:r>
          </w:p>
        </w:tc>
      </w:tr>
      <w:tr w:rsidR="0037567B" w:rsidRPr="0020003A" w14:paraId="17FC7F2B" w14:textId="77777777" w:rsidTr="007E0AD0">
        <w:trPr>
          <w:trHeight w:val="288"/>
        </w:trPr>
        <w:tc>
          <w:tcPr>
            <w:tcW w:w="1120" w:type="pct"/>
            <w:tcBorders>
              <w:top w:val="nil"/>
              <w:left w:val="single" w:sz="4" w:space="0" w:color="auto"/>
              <w:bottom w:val="nil"/>
              <w:right w:val="nil"/>
            </w:tcBorders>
            <w:shd w:val="clear" w:color="000000" w:fill="FFFFFF"/>
            <w:noWrap/>
            <w:vAlign w:val="bottom"/>
            <w:hideMark/>
          </w:tcPr>
          <w:p w14:paraId="6CE60C9A" w14:textId="77777777" w:rsidR="0037567B" w:rsidRPr="0020003A" w:rsidRDefault="0037567B"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Medium (14</w:t>
            </w:r>
            <w:r>
              <w:rPr>
                <w:rFonts w:eastAsia="Times New Roman" w:cstheme="minorHAnsi"/>
                <w:color w:val="000000"/>
                <w:sz w:val="20"/>
                <w:szCs w:val="20"/>
                <w:lang w:eastAsia="en-AU"/>
              </w:rPr>
              <w:t>0</w:t>
            </w:r>
            <w:r w:rsidRPr="0020003A">
              <w:rPr>
                <w:rFonts w:eastAsia="Times New Roman" w:cstheme="minorHAnsi"/>
                <w:color w:val="000000"/>
                <w:sz w:val="20"/>
                <w:szCs w:val="20"/>
                <w:lang w:eastAsia="en-AU"/>
              </w:rPr>
              <w:t xml:space="preserve"> days) </w:t>
            </w:r>
          </w:p>
        </w:tc>
        <w:tc>
          <w:tcPr>
            <w:tcW w:w="581" w:type="pct"/>
            <w:tcBorders>
              <w:top w:val="nil"/>
              <w:left w:val="single" w:sz="4" w:space="0" w:color="auto"/>
              <w:bottom w:val="nil"/>
              <w:right w:val="nil"/>
            </w:tcBorders>
            <w:shd w:val="clear" w:color="000000" w:fill="FFFFFF"/>
            <w:noWrap/>
          </w:tcPr>
          <w:p w14:paraId="507E722C"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sz w:val="20"/>
                <w:szCs w:val="20"/>
              </w:rPr>
              <w:t>$3019</w:t>
            </w:r>
          </w:p>
        </w:tc>
        <w:tc>
          <w:tcPr>
            <w:tcW w:w="1424" w:type="pct"/>
            <w:tcBorders>
              <w:top w:val="nil"/>
              <w:left w:val="nil"/>
              <w:bottom w:val="nil"/>
              <w:right w:val="nil"/>
            </w:tcBorders>
            <w:shd w:val="clear" w:color="000000" w:fill="FFFFFF"/>
            <w:noWrap/>
          </w:tcPr>
          <w:p w14:paraId="1DEED023"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sz w:val="20"/>
                <w:szCs w:val="20"/>
              </w:rPr>
              <w:t>$25</w:t>
            </w:r>
          </w:p>
        </w:tc>
        <w:tc>
          <w:tcPr>
            <w:tcW w:w="677" w:type="pct"/>
            <w:tcBorders>
              <w:top w:val="nil"/>
              <w:left w:val="nil"/>
              <w:bottom w:val="nil"/>
            </w:tcBorders>
            <w:shd w:val="clear" w:color="000000" w:fill="FFFFFF"/>
            <w:noWrap/>
          </w:tcPr>
          <w:p w14:paraId="6DB3937F"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sz w:val="20"/>
                <w:szCs w:val="20"/>
              </w:rPr>
              <w:t>$0</w:t>
            </w:r>
          </w:p>
        </w:tc>
        <w:tc>
          <w:tcPr>
            <w:tcW w:w="1200" w:type="pct"/>
            <w:tcBorders>
              <w:top w:val="nil"/>
              <w:bottom w:val="nil"/>
              <w:right w:val="single" w:sz="4" w:space="0" w:color="auto"/>
            </w:tcBorders>
            <w:shd w:val="clear" w:color="000000" w:fill="D9D9D9"/>
            <w:noWrap/>
          </w:tcPr>
          <w:p w14:paraId="1D2E659A"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sz w:val="20"/>
                <w:szCs w:val="20"/>
              </w:rPr>
              <w:t>$3045</w:t>
            </w:r>
          </w:p>
        </w:tc>
      </w:tr>
      <w:tr w:rsidR="0037567B" w:rsidRPr="0020003A" w14:paraId="0ABA18B3" w14:textId="77777777" w:rsidTr="007E0AD0">
        <w:trPr>
          <w:trHeight w:val="288"/>
        </w:trPr>
        <w:tc>
          <w:tcPr>
            <w:tcW w:w="1120" w:type="pct"/>
            <w:tcBorders>
              <w:top w:val="nil"/>
              <w:left w:val="single" w:sz="4" w:space="0" w:color="auto"/>
              <w:bottom w:val="single" w:sz="4" w:space="0" w:color="auto"/>
              <w:right w:val="nil"/>
            </w:tcBorders>
            <w:noWrap/>
            <w:vAlign w:val="bottom"/>
            <w:hideMark/>
          </w:tcPr>
          <w:p w14:paraId="4CA74D44" w14:textId="77777777" w:rsidR="0037567B" w:rsidRPr="0020003A" w:rsidRDefault="0037567B" w:rsidP="007E0AD0">
            <w:pPr>
              <w:spacing w:after="0" w:line="240" w:lineRule="auto"/>
              <w:rPr>
                <w:rFonts w:eastAsia="Times New Roman" w:cstheme="minorHAnsi"/>
                <w:color w:val="000000"/>
                <w:sz w:val="20"/>
                <w:szCs w:val="20"/>
                <w:lang w:eastAsia="en-AU"/>
              </w:rPr>
            </w:pPr>
            <w:r w:rsidRPr="0020003A">
              <w:rPr>
                <w:rFonts w:eastAsia="Times New Roman" w:cstheme="minorHAnsi"/>
                <w:color w:val="000000"/>
                <w:sz w:val="20"/>
                <w:szCs w:val="20"/>
                <w:lang w:eastAsia="en-AU"/>
              </w:rPr>
              <w:t>High (288 days)</w:t>
            </w:r>
          </w:p>
        </w:tc>
        <w:tc>
          <w:tcPr>
            <w:tcW w:w="581" w:type="pct"/>
            <w:tcBorders>
              <w:top w:val="nil"/>
              <w:left w:val="single" w:sz="4" w:space="0" w:color="auto"/>
              <w:bottom w:val="single" w:sz="4" w:space="0" w:color="auto"/>
              <w:right w:val="nil"/>
            </w:tcBorders>
            <w:shd w:val="clear" w:color="000000" w:fill="FFFFFF"/>
            <w:noWrap/>
            <w:vAlign w:val="bottom"/>
          </w:tcPr>
          <w:p w14:paraId="494C0FD5"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6878</w:t>
            </w:r>
          </w:p>
        </w:tc>
        <w:tc>
          <w:tcPr>
            <w:tcW w:w="1424" w:type="pct"/>
            <w:tcBorders>
              <w:top w:val="nil"/>
              <w:left w:val="nil"/>
              <w:bottom w:val="single" w:sz="4" w:space="0" w:color="auto"/>
              <w:right w:val="nil"/>
            </w:tcBorders>
            <w:shd w:val="clear" w:color="000000" w:fill="FFFFFF"/>
            <w:noWrap/>
            <w:vAlign w:val="bottom"/>
          </w:tcPr>
          <w:p w14:paraId="060827F6"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20003A">
              <w:rPr>
                <w:rFonts w:ascii="Calibri" w:hAnsi="Calibri" w:cs="Calibri"/>
                <w:color w:val="000000"/>
                <w:sz w:val="20"/>
                <w:szCs w:val="20"/>
              </w:rPr>
              <w:t>$</w:t>
            </w:r>
            <w:r w:rsidRPr="00496940">
              <w:rPr>
                <w:sz w:val="20"/>
                <w:szCs w:val="20"/>
              </w:rPr>
              <w:t>36</w:t>
            </w:r>
          </w:p>
        </w:tc>
        <w:tc>
          <w:tcPr>
            <w:tcW w:w="677" w:type="pct"/>
            <w:tcBorders>
              <w:top w:val="nil"/>
              <w:left w:val="nil"/>
              <w:bottom w:val="single" w:sz="4" w:space="0" w:color="auto"/>
            </w:tcBorders>
            <w:shd w:val="clear" w:color="000000" w:fill="FFFFFF"/>
            <w:noWrap/>
            <w:vAlign w:val="bottom"/>
          </w:tcPr>
          <w:p w14:paraId="01F1CA15" w14:textId="77777777" w:rsidR="0037567B" w:rsidRPr="0020003A" w:rsidRDefault="0037567B" w:rsidP="007E0AD0">
            <w:pPr>
              <w:spacing w:after="0" w:line="240" w:lineRule="auto"/>
              <w:jc w:val="right"/>
              <w:rPr>
                <w:rFonts w:eastAsia="Times New Roman" w:cstheme="minorHAnsi"/>
                <w:color w:val="000000"/>
                <w:sz w:val="20"/>
                <w:szCs w:val="20"/>
                <w:lang w:eastAsia="en-AU"/>
              </w:rPr>
            </w:pPr>
            <w:r w:rsidRPr="00496940">
              <w:rPr>
                <w:sz w:val="20"/>
                <w:szCs w:val="20"/>
              </w:rPr>
              <w:t>$1</w:t>
            </w:r>
          </w:p>
        </w:tc>
        <w:tc>
          <w:tcPr>
            <w:tcW w:w="1200" w:type="pct"/>
            <w:tcBorders>
              <w:top w:val="nil"/>
              <w:bottom w:val="single" w:sz="4" w:space="0" w:color="auto"/>
              <w:right w:val="single" w:sz="4" w:space="0" w:color="auto"/>
            </w:tcBorders>
            <w:shd w:val="clear" w:color="000000" w:fill="D9D9D9"/>
            <w:noWrap/>
            <w:vAlign w:val="bottom"/>
          </w:tcPr>
          <w:p w14:paraId="33E24692" w14:textId="77777777" w:rsidR="0037567B" w:rsidRPr="00496940" w:rsidRDefault="0037567B" w:rsidP="007E0AD0">
            <w:pPr>
              <w:spacing w:after="0" w:line="240" w:lineRule="auto"/>
              <w:jc w:val="right"/>
              <w:rPr>
                <w:sz w:val="20"/>
                <w:szCs w:val="20"/>
              </w:rPr>
            </w:pPr>
            <w:r w:rsidRPr="00496940">
              <w:rPr>
                <w:sz w:val="20"/>
                <w:szCs w:val="20"/>
              </w:rPr>
              <w:t>$6914</w:t>
            </w:r>
          </w:p>
        </w:tc>
      </w:tr>
    </w:tbl>
    <w:p w14:paraId="2052445A" w14:textId="77777777" w:rsidR="0037567B" w:rsidRPr="0020003A" w:rsidRDefault="0037567B" w:rsidP="0037567B">
      <w:pPr>
        <w:spacing w:after="0"/>
      </w:pPr>
      <w:r w:rsidRPr="007D290C">
        <w:rPr>
          <w:i/>
          <w:iCs/>
          <w:sz w:val="18"/>
          <w:szCs w:val="18"/>
        </w:rPr>
        <w:t>Note* = baseline SAP case from the Addendum</w:t>
      </w:r>
    </w:p>
    <w:p w14:paraId="745D7D3E" w14:textId="48C59810" w:rsidR="005023DF" w:rsidRPr="005023DF" w:rsidRDefault="0037567B" w:rsidP="005023DF">
      <w:pPr>
        <w:spacing w:after="0"/>
      </w:pPr>
      <w:r>
        <w:br/>
      </w:r>
      <w:r w:rsidRPr="13B33AE0">
        <w:rPr>
          <w:rFonts w:ascii="Segoe UI" w:eastAsia="Segoe UI" w:hAnsi="Segoe UI" w:cs="Segoe UI"/>
        </w:rPr>
        <w:t>This analysis adopts a contributory portion of the medium scenario as the expect impact of the CE Standard to expedite approvals. The medium and high estimates in Table 1 include the streamlined assessment pathway and other reform measures so cannot be attributed solely to the CE Standard. The CE Standard is expected to contribute to the medium scenario savings through greater clarity regarding upfront environmental requirements and supporting information.</w:t>
      </w:r>
    </w:p>
    <w:p w14:paraId="6D2076A7" w14:textId="77777777" w:rsidR="005023DF" w:rsidRPr="00977A4B" w:rsidRDefault="005023DF" w:rsidP="0037567B">
      <w:pPr>
        <w:rPr>
          <w:rFonts w:cstheme="minorHAnsi"/>
        </w:rPr>
      </w:pPr>
    </w:p>
    <w:tbl>
      <w:tblPr>
        <w:tblStyle w:val="TableGrid"/>
        <w:tblW w:w="9634" w:type="dxa"/>
        <w:tblLayout w:type="fixed"/>
        <w:tblLook w:val="04A0" w:firstRow="1" w:lastRow="0" w:firstColumn="1" w:lastColumn="0" w:noHBand="0" w:noVBand="1"/>
      </w:tblPr>
      <w:tblGrid>
        <w:gridCol w:w="1295"/>
        <w:gridCol w:w="2433"/>
        <w:gridCol w:w="1654"/>
        <w:gridCol w:w="1751"/>
        <w:gridCol w:w="2501"/>
      </w:tblGrid>
      <w:tr w:rsidR="005023DF" w:rsidRPr="005023DF" w14:paraId="37EA1CE7" w14:textId="77777777" w:rsidTr="005023DF">
        <w:trPr>
          <w:trHeight w:val="60"/>
        </w:trPr>
        <w:tc>
          <w:tcPr>
            <w:tcW w:w="1295" w:type="dxa"/>
            <w:shd w:val="clear" w:color="auto" w:fill="0F1F35" w:themeFill="text2"/>
          </w:tcPr>
          <w:p w14:paraId="512D9C1A" w14:textId="6200F438" w:rsidR="005023DF" w:rsidRPr="005023DF" w:rsidRDefault="005023DF" w:rsidP="007E0AD0">
            <w:pPr>
              <w:rPr>
                <w:b/>
                <w:bCs/>
                <w:color w:val="FFFFFF" w:themeColor="background1"/>
                <w:sz w:val="18"/>
                <w:szCs w:val="18"/>
              </w:rPr>
            </w:pPr>
            <w:r w:rsidRPr="005023DF">
              <w:rPr>
                <w:b/>
                <w:bCs/>
                <w:color w:val="FFFFFF" w:themeColor="background1"/>
                <w:sz w:val="18"/>
                <w:szCs w:val="18"/>
              </w:rPr>
              <w:t>Option</w:t>
            </w:r>
          </w:p>
        </w:tc>
        <w:tc>
          <w:tcPr>
            <w:tcW w:w="2433" w:type="dxa"/>
            <w:shd w:val="clear" w:color="auto" w:fill="0F1F35" w:themeFill="text2"/>
          </w:tcPr>
          <w:p w14:paraId="5DCA82F6" w14:textId="2750BE1D" w:rsidR="005023DF" w:rsidRPr="005023DF" w:rsidRDefault="005023DF" w:rsidP="007E0AD0">
            <w:pPr>
              <w:rPr>
                <w:b/>
                <w:bCs/>
                <w:color w:val="FFFFFF" w:themeColor="background1"/>
                <w:sz w:val="18"/>
                <w:szCs w:val="18"/>
              </w:rPr>
            </w:pPr>
            <w:r w:rsidRPr="005023DF">
              <w:rPr>
                <w:b/>
                <w:bCs/>
                <w:color w:val="FFFFFF" w:themeColor="background1"/>
                <w:sz w:val="18"/>
                <w:szCs w:val="18"/>
              </w:rPr>
              <w:t>Benefits</w:t>
            </w:r>
          </w:p>
        </w:tc>
        <w:tc>
          <w:tcPr>
            <w:tcW w:w="1654" w:type="dxa"/>
            <w:shd w:val="clear" w:color="auto" w:fill="0F1F35" w:themeFill="text2"/>
          </w:tcPr>
          <w:p w14:paraId="3D0EF853" w14:textId="05B174FD" w:rsidR="005023DF" w:rsidRPr="005023DF" w:rsidRDefault="005023DF" w:rsidP="007E0AD0">
            <w:pPr>
              <w:rPr>
                <w:b/>
                <w:bCs/>
                <w:color w:val="FFFFFF" w:themeColor="background1"/>
                <w:sz w:val="18"/>
                <w:szCs w:val="18"/>
              </w:rPr>
            </w:pPr>
            <w:r w:rsidRPr="005023DF">
              <w:rPr>
                <w:b/>
                <w:bCs/>
                <w:color w:val="FFFFFF" w:themeColor="background1"/>
                <w:sz w:val="18"/>
                <w:szCs w:val="18"/>
              </w:rPr>
              <w:t>Other costs</w:t>
            </w:r>
          </w:p>
        </w:tc>
        <w:tc>
          <w:tcPr>
            <w:tcW w:w="1751" w:type="dxa"/>
            <w:shd w:val="clear" w:color="auto" w:fill="0F1F35" w:themeFill="text2"/>
          </w:tcPr>
          <w:p w14:paraId="025963A5" w14:textId="4462FFAE" w:rsidR="005023DF" w:rsidRPr="005023DF" w:rsidRDefault="005023DF" w:rsidP="007E0AD0">
            <w:pPr>
              <w:rPr>
                <w:b/>
                <w:bCs/>
                <w:color w:val="FFFFFF" w:themeColor="background1"/>
                <w:sz w:val="18"/>
                <w:szCs w:val="18"/>
              </w:rPr>
            </w:pPr>
            <w:r w:rsidRPr="005023DF">
              <w:rPr>
                <w:b/>
                <w:bCs/>
                <w:color w:val="FFFFFF" w:themeColor="background1"/>
                <w:sz w:val="18"/>
                <w:szCs w:val="18"/>
              </w:rPr>
              <w:t>Net impact</w:t>
            </w:r>
          </w:p>
        </w:tc>
        <w:tc>
          <w:tcPr>
            <w:tcW w:w="2501" w:type="dxa"/>
            <w:shd w:val="clear" w:color="auto" w:fill="0F1F35" w:themeFill="text2"/>
          </w:tcPr>
          <w:p w14:paraId="3A505C1A" w14:textId="01188418" w:rsidR="005023DF" w:rsidRPr="005023DF" w:rsidRDefault="005023DF" w:rsidP="007E0AD0">
            <w:pPr>
              <w:rPr>
                <w:b/>
                <w:bCs/>
                <w:color w:val="FFFFFF" w:themeColor="background1"/>
                <w:sz w:val="18"/>
                <w:szCs w:val="18"/>
              </w:rPr>
            </w:pPr>
            <w:r w:rsidRPr="005023DF">
              <w:rPr>
                <w:b/>
                <w:bCs/>
                <w:color w:val="FFFFFF" w:themeColor="background1"/>
                <w:sz w:val="18"/>
                <w:szCs w:val="18"/>
              </w:rPr>
              <w:t>Regulatory burden</w:t>
            </w:r>
          </w:p>
        </w:tc>
      </w:tr>
      <w:tr w:rsidR="0037567B" w14:paraId="01E14BD0" w14:textId="77777777" w:rsidTr="005F2E87">
        <w:trPr>
          <w:trHeight w:val="2488"/>
        </w:trPr>
        <w:tc>
          <w:tcPr>
            <w:tcW w:w="1295" w:type="dxa"/>
          </w:tcPr>
          <w:p w14:paraId="6BB92579" w14:textId="77777777" w:rsidR="0037567B" w:rsidRPr="007D290C" w:rsidRDefault="0037567B" w:rsidP="007E0AD0">
            <w:pPr>
              <w:rPr>
                <w:sz w:val="18"/>
                <w:szCs w:val="18"/>
              </w:rPr>
            </w:pPr>
            <w:r w:rsidRPr="007D290C">
              <w:rPr>
                <w:sz w:val="18"/>
                <w:szCs w:val="18"/>
              </w:rPr>
              <w:t xml:space="preserve">Proposed: </w:t>
            </w:r>
            <w:r>
              <w:rPr>
                <w:sz w:val="18"/>
                <w:szCs w:val="18"/>
              </w:rPr>
              <w:t>CE</w:t>
            </w:r>
            <w:r w:rsidRPr="007D290C">
              <w:rPr>
                <w:sz w:val="18"/>
                <w:szCs w:val="18"/>
              </w:rPr>
              <w:t xml:space="preserve"> Standard</w:t>
            </w:r>
          </w:p>
        </w:tc>
        <w:tc>
          <w:tcPr>
            <w:tcW w:w="2433" w:type="dxa"/>
          </w:tcPr>
          <w:p w14:paraId="38DF744A" w14:textId="77777777" w:rsidR="0037567B" w:rsidRPr="007D290C" w:rsidRDefault="0037567B" w:rsidP="007E0AD0">
            <w:pPr>
              <w:rPr>
                <w:sz w:val="18"/>
                <w:szCs w:val="18"/>
              </w:rPr>
            </w:pPr>
            <w:r w:rsidRPr="007D290C">
              <w:rPr>
                <w:sz w:val="18"/>
                <w:szCs w:val="18"/>
              </w:rPr>
              <w:t>A contributory portion of the overall $3,045,000,000 p/a in reduced delay costs for the further information pathway. Improved environmental outcomes; greater certainty; more consistent decisions.</w:t>
            </w:r>
          </w:p>
        </w:tc>
        <w:tc>
          <w:tcPr>
            <w:tcW w:w="1654" w:type="dxa"/>
          </w:tcPr>
          <w:p w14:paraId="6F7D12EC" w14:textId="77777777" w:rsidR="0037567B" w:rsidRPr="007D290C" w:rsidRDefault="0037567B" w:rsidP="007E0AD0">
            <w:pPr>
              <w:rPr>
                <w:sz w:val="18"/>
                <w:szCs w:val="18"/>
              </w:rPr>
            </w:pPr>
            <w:r w:rsidRPr="007D290C">
              <w:rPr>
                <w:sz w:val="18"/>
                <w:szCs w:val="18"/>
              </w:rPr>
              <w:t xml:space="preserve">Compliance, evidence and transition costs. </w:t>
            </w:r>
          </w:p>
          <w:p w14:paraId="2C4BD1FC" w14:textId="77777777" w:rsidR="0037567B" w:rsidRPr="007D290C" w:rsidRDefault="0037567B" w:rsidP="007E0AD0">
            <w:pPr>
              <w:rPr>
                <w:sz w:val="18"/>
                <w:szCs w:val="18"/>
              </w:rPr>
            </w:pPr>
          </w:p>
        </w:tc>
        <w:tc>
          <w:tcPr>
            <w:tcW w:w="1751" w:type="dxa"/>
          </w:tcPr>
          <w:p w14:paraId="73C379E6" w14:textId="77777777" w:rsidR="0037567B" w:rsidRPr="007D290C" w:rsidRDefault="0037567B" w:rsidP="007E0AD0">
            <w:pPr>
              <w:rPr>
                <w:sz w:val="18"/>
                <w:szCs w:val="18"/>
              </w:rPr>
            </w:pPr>
            <w:r w:rsidRPr="007D290C">
              <w:rPr>
                <w:sz w:val="18"/>
                <w:szCs w:val="18"/>
              </w:rPr>
              <w:t>These have not been quantified, but costs are expected to be ameliorated by the benefits in more efficient assessment pathways.</w:t>
            </w:r>
          </w:p>
        </w:tc>
        <w:tc>
          <w:tcPr>
            <w:tcW w:w="2501" w:type="dxa"/>
          </w:tcPr>
          <w:p w14:paraId="2D286617" w14:textId="77777777" w:rsidR="0037567B" w:rsidRPr="007D290C" w:rsidRDefault="0037567B" w:rsidP="007E0AD0">
            <w:pPr>
              <w:rPr>
                <w:sz w:val="18"/>
                <w:szCs w:val="18"/>
              </w:rPr>
            </w:pPr>
            <w:r w:rsidRPr="007D290C">
              <w:rPr>
                <w:sz w:val="18"/>
                <w:szCs w:val="18"/>
              </w:rPr>
              <w:t>A contributory portion of the overall minimum $3,045,000,000 p/a in reduced regulatory burden.</w:t>
            </w:r>
          </w:p>
        </w:tc>
      </w:tr>
      <w:tr w:rsidR="0037567B" w14:paraId="4D0B87CC" w14:textId="77777777" w:rsidTr="005F2E87">
        <w:trPr>
          <w:trHeight w:val="1981"/>
        </w:trPr>
        <w:tc>
          <w:tcPr>
            <w:tcW w:w="1295" w:type="dxa"/>
          </w:tcPr>
          <w:p w14:paraId="3B261AAB" w14:textId="77777777" w:rsidR="0037567B" w:rsidRPr="007D290C" w:rsidRDefault="0037567B" w:rsidP="007E0AD0">
            <w:pPr>
              <w:rPr>
                <w:sz w:val="18"/>
                <w:szCs w:val="18"/>
              </w:rPr>
            </w:pPr>
            <w:r w:rsidRPr="007D290C">
              <w:rPr>
                <w:sz w:val="18"/>
                <w:szCs w:val="18"/>
              </w:rPr>
              <w:lastRenderedPageBreak/>
              <w:t xml:space="preserve">Alternative: </w:t>
            </w:r>
            <w:r>
              <w:rPr>
                <w:sz w:val="18"/>
                <w:szCs w:val="18"/>
              </w:rPr>
              <w:t xml:space="preserve">Policy </w:t>
            </w:r>
            <w:r w:rsidRPr="007D290C">
              <w:rPr>
                <w:sz w:val="18"/>
                <w:szCs w:val="18"/>
              </w:rPr>
              <w:t>Guidance only</w:t>
            </w:r>
          </w:p>
        </w:tc>
        <w:tc>
          <w:tcPr>
            <w:tcW w:w="2433" w:type="dxa"/>
          </w:tcPr>
          <w:p w14:paraId="3FD9DD21" w14:textId="77777777" w:rsidR="0037567B" w:rsidRPr="007D290C" w:rsidRDefault="0037567B" w:rsidP="007E0AD0">
            <w:pPr>
              <w:rPr>
                <w:sz w:val="18"/>
                <w:szCs w:val="18"/>
              </w:rPr>
            </w:pPr>
            <w:r w:rsidRPr="007D290C">
              <w:rPr>
                <w:sz w:val="18"/>
                <w:szCs w:val="18"/>
              </w:rPr>
              <w:t>Some transparency benefits</w:t>
            </w:r>
          </w:p>
        </w:tc>
        <w:tc>
          <w:tcPr>
            <w:tcW w:w="1654" w:type="dxa"/>
          </w:tcPr>
          <w:p w14:paraId="2404FEA7" w14:textId="77777777" w:rsidR="0037567B" w:rsidRPr="007D290C" w:rsidRDefault="0037567B" w:rsidP="007E0AD0">
            <w:pPr>
              <w:rPr>
                <w:sz w:val="18"/>
                <w:szCs w:val="18"/>
              </w:rPr>
            </w:pPr>
            <w:r w:rsidRPr="007D290C">
              <w:rPr>
                <w:sz w:val="18"/>
                <w:szCs w:val="18"/>
              </w:rPr>
              <w:t>Low implementation cost</w:t>
            </w:r>
          </w:p>
        </w:tc>
        <w:tc>
          <w:tcPr>
            <w:tcW w:w="1751" w:type="dxa"/>
          </w:tcPr>
          <w:p w14:paraId="6EAA00F7" w14:textId="77777777" w:rsidR="0037567B" w:rsidRPr="007D290C" w:rsidRDefault="0037567B" w:rsidP="007E0AD0">
            <w:pPr>
              <w:rPr>
                <w:sz w:val="18"/>
                <w:szCs w:val="18"/>
              </w:rPr>
            </w:pPr>
            <w:r w:rsidRPr="007D290C">
              <w:rPr>
                <w:sz w:val="18"/>
                <w:szCs w:val="18"/>
              </w:rPr>
              <w:t>Limited net benefit</w:t>
            </w:r>
          </w:p>
        </w:tc>
        <w:tc>
          <w:tcPr>
            <w:tcW w:w="2501" w:type="dxa"/>
          </w:tcPr>
          <w:p w14:paraId="0AF3FBB2" w14:textId="77777777" w:rsidR="0037567B" w:rsidRPr="007D290C" w:rsidRDefault="0037567B" w:rsidP="007E0AD0">
            <w:pPr>
              <w:rPr>
                <w:sz w:val="18"/>
                <w:szCs w:val="18"/>
              </w:rPr>
            </w:pPr>
            <w:r w:rsidRPr="007D290C">
              <w:rPr>
                <w:sz w:val="18"/>
                <w:szCs w:val="18"/>
              </w:rPr>
              <w:t xml:space="preserve">Expected to reduce benefits as would not sufficiently provide guidance on </w:t>
            </w:r>
            <w:r>
              <w:rPr>
                <w:sz w:val="18"/>
                <w:szCs w:val="18"/>
              </w:rPr>
              <w:t>Community Engagement</w:t>
            </w:r>
            <w:r w:rsidRPr="007D290C">
              <w:rPr>
                <w:sz w:val="18"/>
                <w:szCs w:val="18"/>
              </w:rPr>
              <w:t>, Ministerial discretion would remain high. Further information request</w:t>
            </w:r>
            <w:r>
              <w:rPr>
                <w:sz w:val="18"/>
                <w:szCs w:val="18"/>
              </w:rPr>
              <w:t>s</w:t>
            </w:r>
            <w:r w:rsidRPr="007D290C">
              <w:rPr>
                <w:sz w:val="18"/>
                <w:szCs w:val="18"/>
              </w:rPr>
              <w:t xml:space="preserve"> anticipated.</w:t>
            </w:r>
          </w:p>
        </w:tc>
      </w:tr>
    </w:tbl>
    <w:p w14:paraId="4E65766C" w14:textId="77777777" w:rsidR="0037567B" w:rsidRPr="0004246F" w:rsidRDefault="0037567B" w:rsidP="0037567B">
      <w:pPr>
        <w:pStyle w:val="Heading2"/>
      </w:pPr>
      <w:r w:rsidRPr="0004246F">
        <w:t>Economic</w:t>
      </w:r>
      <w:r>
        <w:t xml:space="preserve"> and</w:t>
      </w:r>
      <w:r w:rsidRPr="0004246F">
        <w:t xml:space="preserve"> social impacts</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3823"/>
        <w:gridCol w:w="5811"/>
      </w:tblGrid>
      <w:tr w:rsidR="0037567B" w14:paraId="7A4934EC" w14:textId="77777777" w:rsidTr="00F53143">
        <w:trPr>
          <w:cnfStyle w:val="100000000000" w:firstRow="1" w:lastRow="0" w:firstColumn="0" w:lastColumn="0" w:oddVBand="0" w:evenVBand="0" w:oddHBand="0" w:evenHBand="0" w:firstRowFirstColumn="0" w:firstRowLastColumn="0" w:lastRowFirstColumn="0" w:lastRowLastColumn="0"/>
          <w:tblHeader/>
        </w:trPr>
        <w:tc>
          <w:tcPr>
            <w:tcW w:w="3823" w:type="dxa"/>
            <w:tcBorders>
              <w:bottom w:val="single" w:sz="8" w:space="0" w:color="0F1F35" w:themeColor="text2"/>
            </w:tcBorders>
            <w:shd w:val="clear" w:color="auto" w:fill="0F1F35" w:themeFill="text2"/>
          </w:tcPr>
          <w:p w14:paraId="257CFADB" w14:textId="77777777" w:rsidR="0037567B" w:rsidRPr="00473172" w:rsidRDefault="0037567B" w:rsidP="007E0AD0">
            <w:pPr>
              <w:pStyle w:val="TBLText"/>
              <w:spacing w:after="0"/>
              <w:rPr>
                <w:color w:val="FFFFFF" w:themeColor="background1"/>
              </w:rPr>
            </w:pPr>
            <w:r w:rsidRPr="00473172">
              <w:rPr>
                <w:color w:val="FFFFFF" w:themeColor="background1"/>
              </w:rPr>
              <w:t>Status quo</w:t>
            </w:r>
          </w:p>
        </w:tc>
        <w:tc>
          <w:tcPr>
            <w:tcW w:w="5811" w:type="dxa"/>
            <w:tcBorders>
              <w:bottom w:val="single" w:sz="8" w:space="0" w:color="0F1F35" w:themeColor="text2"/>
            </w:tcBorders>
            <w:shd w:val="clear" w:color="auto" w:fill="0F1F35" w:themeFill="text2"/>
          </w:tcPr>
          <w:p w14:paraId="46B0736F" w14:textId="77777777" w:rsidR="0037567B" w:rsidRPr="00473172" w:rsidRDefault="0037567B" w:rsidP="007E0AD0">
            <w:pPr>
              <w:pStyle w:val="TBLText"/>
              <w:spacing w:after="0"/>
              <w:rPr>
                <w:color w:val="FFFFFF" w:themeColor="background1"/>
              </w:rPr>
            </w:pPr>
            <w:r w:rsidRPr="00473172">
              <w:rPr>
                <w:color w:val="FFFFFF" w:themeColor="background1"/>
              </w:rPr>
              <w:t>Proposed option</w:t>
            </w:r>
          </w:p>
        </w:tc>
      </w:tr>
      <w:tr w:rsidR="0037567B" w:rsidRPr="004D3335" w14:paraId="26F81A01" w14:textId="77777777" w:rsidTr="00F53143">
        <w:tc>
          <w:tcPr>
            <w:tcW w:w="3823"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65804C80" w14:textId="77777777" w:rsidR="0037567B" w:rsidRPr="00910DEB" w:rsidRDefault="0037567B" w:rsidP="007E0AD0">
            <w:pPr>
              <w:pStyle w:val="TBLText"/>
              <w:rPr>
                <w:color w:val="auto"/>
              </w:rPr>
            </w:pPr>
            <w:r w:rsidRPr="00910DEB">
              <w:rPr>
                <w:color w:val="auto"/>
              </w:rPr>
              <w:t xml:space="preserve">People, business and other groups will continue to be made aware of the evidence required to assess the impacts of proposals through policy guidance only. </w:t>
            </w:r>
          </w:p>
          <w:p w14:paraId="0603B3A1" w14:textId="77777777" w:rsidR="0037567B" w:rsidRPr="00016FDA" w:rsidRDefault="0037567B" w:rsidP="007E0AD0">
            <w:pPr>
              <w:pStyle w:val="TBLText"/>
              <w:rPr>
                <w:color w:val="auto"/>
              </w:rPr>
            </w:pPr>
            <w:r w:rsidRPr="00910DEB">
              <w:rPr>
                <w:color w:val="auto"/>
              </w:rPr>
              <w:t>Ministerial decision-making would remain inconsistent and not transparent. Multiple requests for additional information would likely continue</w:t>
            </w:r>
            <w:r>
              <w:rPr>
                <w:color w:val="auto"/>
              </w:rPr>
              <w:t>.</w:t>
            </w:r>
          </w:p>
        </w:tc>
        <w:tc>
          <w:tcPr>
            <w:tcW w:w="5811" w:type="dxa"/>
            <w:tcBorders>
              <w:top w:val="single" w:sz="8" w:space="0" w:color="0F1F35" w:themeColor="text2"/>
              <w:left w:val="single" w:sz="8" w:space="0" w:color="0F1F35" w:themeColor="text2"/>
              <w:bottom w:val="single" w:sz="8" w:space="0" w:color="0F1F35" w:themeColor="text2"/>
              <w:right w:val="single" w:sz="8" w:space="0" w:color="0F1F35" w:themeColor="text2"/>
            </w:tcBorders>
          </w:tcPr>
          <w:p w14:paraId="570ED4E5" w14:textId="77777777" w:rsidR="0037567B" w:rsidRPr="0025167E" w:rsidRDefault="0037567B" w:rsidP="007E0AD0">
            <w:pPr>
              <w:rPr>
                <w:sz w:val="18"/>
                <w:szCs w:val="18"/>
              </w:rPr>
            </w:pPr>
            <w:r w:rsidRPr="0025167E">
              <w:rPr>
                <w:sz w:val="18"/>
                <w:szCs w:val="18"/>
              </w:rPr>
              <w:t xml:space="preserve">The CE Standard will support the operation of a reformed EPBC Act by setting out principles for effective community engagement to support and inform decisions made under the Act. </w:t>
            </w:r>
          </w:p>
          <w:p w14:paraId="6F0A31E0" w14:textId="77777777" w:rsidR="0037567B" w:rsidRPr="0025167E" w:rsidRDefault="0037567B" w:rsidP="007E0AD0">
            <w:pPr>
              <w:pStyle w:val="TBLText"/>
              <w:rPr>
                <w:color w:val="auto"/>
              </w:rPr>
            </w:pPr>
            <w:r w:rsidRPr="0025167E">
              <w:rPr>
                <w:color w:val="auto"/>
              </w:rPr>
              <w:t>By replacing policy with a Standard to which the Minister must have regard, this will lead to clearer expectations, improved transparency, increased confidence in decisions and better outcomes for protected matters. Benefits are expected across proponents, governments, First Nations stakeholders and communities. Business should see the greatest benefit in reduced regulatory burden and administration costs.</w:t>
            </w:r>
          </w:p>
          <w:p w14:paraId="752852A9" w14:textId="77777777" w:rsidR="0037567B" w:rsidRPr="007103B3" w:rsidRDefault="0037567B" w:rsidP="007E0AD0">
            <w:pPr>
              <w:pStyle w:val="TBLText"/>
              <w:rPr>
                <w:color w:val="auto"/>
              </w:rPr>
            </w:pPr>
            <w:r w:rsidRPr="0025167E">
              <w:rPr>
                <w:b/>
                <w:bCs/>
                <w:color w:val="auto"/>
              </w:rPr>
              <w:t>Stakeholder views:</w:t>
            </w:r>
            <w:r w:rsidRPr="0025167E">
              <w:rPr>
                <w:color w:val="auto"/>
              </w:rPr>
              <w:t xml:space="preserve"> Businesses and people, including both agriculture and environment groups, broadly support the CE Standard’s intent, while calling for greater implementation guidance.</w:t>
            </w:r>
          </w:p>
        </w:tc>
      </w:tr>
    </w:tbl>
    <w:p w14:paraId="170A4E8A" w14:textId="77777777" w:rsidR="0037567B" w:rsidRDefault="0037567B" w:rsidP="0037567B">
      <w:pPr>
        <w:pStyle w:val="Heading2"/>
      </w:pPr>
      <w:r w:rsidRPr="001A5542">
        <w:t xml:space="preserve">Regulatory </w:t>
      </w:r>
      <w:r>
        <w:t>burden</w:t>
      </w:r>
    </w:p>
    <w:tbl>
      <w:tblPr>
        <w:tblStyle w:val="Style1"/>
        <w:tblW w:w="9634" w:type="dxa"/>
        <w:tblBorders>
          <w:top w:val="single" w:sz="4" w:space="0" w:color="0F1F35" w:themeColor="text2"/>
          <w:left w:val="single" w:sz="4" w:space="0" w:color="0F1F35" w:themeColor="text2"/>
          <w:bottom w:val="single" w:sz="4" w:space="0" w:color="0F1F35" w:themeColor="text2"/>
          <w:right w:val="single" w:sz="4" w:space="0" w:color="0F1F35" w:themeColor="text2"/>
          <w:insideH w:val="single" w:sz="4" w:space="0" w:color="0F1F35" w:themeColor="text2"/>
          <w:insideV w:val="single" w:sz="4" w:space="0" w:color="0F1F35" w:themeColor="text2"/>
        </w:tblBorders>
        <w:tblCellMar>
          <w:left w:w="85" w:type="dxa"/>
          <w:right w:w="85" w:type="dxa"/>
        </w:tblCellMar>
        <w:tblLook w:val="0620" w:firstRow="1" w:lastRow="0" w:firstColumn="0" w:lastColumn="0" w:noHBand="1" w:noVBand="1"/>
      </w:tblPr>
      <w:tblGrid>
        <w:gridCol w:w="3823"/>
        <w:gridCol w:w="5811"/>
      </w:tblGrid>
      <w:tr w:rsidR="0037567B" w14:paraId="6190F619" w14:textId="77777777" w:rsidTr="00F53143">
        <w:trPr>
          <w:cnfStyle w:val="100000000000" w:firstRow="1" w:lastRow="0" w:firstColumn="0" w:lastColumn="0" w:oddVBand="0" w:evenVBand="0" w:oddHBand="0" w:evenHBand="0" w:firstRowFirstColumn="0" w:firstRowLastColumn="0" w:lastRowFirstColumn="0" w:lastRowLastColumn="0"/>
          <w:trHeight w:val="200"/>
          <w:tblHeader/>
        </w:trPr>
        <w:tc>
          <w:tcPr>
            <w:tcW w:w="3823" w:type="dxa"/>
            <w:shd w:val="clear" w:color="auto" w:fill="0F1F35" w:themeFill="text2"/>
          </w:tcPr>
          <w:p w14:paraId="0173C420" w14:textId="77777777" w:rsidR="0037567B" w:rsidRPr="00473172" w:rsidRDefault="0037567B" w:rsidP="007E0AD0">
            <w:pPr>
              <w:pStyle w:val="TBLText"/>
              <w:spacing w:after="0"/>
              <w:rPr>
                <w:color w:val="FFFFFF" w:themeColor="background1"/>
              </w:rPr>
            </w:pPr>
            <w:r w:rsidRPr="00473172">
              <w:rPr>
                <w:color w:val="FFFFFF" w:themeColor="background1"/>
              </w:rPr>
              <w:t>Status quo</w:t>
            </w:r>
          </w:p>
        </w:tc>
        <w:tc>
          <w:tcPr>
            <w:tcW w:w="5811" w:type="dxa"/>
            <w:shd w:val="clear" w:color="auto" w:fill="0F1F35" w:themeFill="text2"/>
          </w:tcPr>
          <w:p w14:paraId="5137B7BF" w14:textId="77777777" w:rsidR="0037567B" w:rsidRPr="00473172" w:rsidRDefault="0037567B" w:rsidP="007E0AD0">
            <w:pPr>
              <w:pStyle w:val="TBLText"/>
              <w:spacing w:after="0"/>
              <w:rPr>
                <w:color w:val="FFFFFF" w:themeColor="background1"/>
              </w:rPr>
            </w:pPr>
            <w:r w:rsidRPr="00473172">
              <w:rPr>
                <w:color w:val="FFFFFF" w:themeColor="background1"/>
              </w:rPr>
              <w:t>Proposed option</w:t>
            </w:r>
          </w:p>
        </w:tc>
      </w:tr>
      <w:tr w:rsidR="0037567B" w:rsidRPr="004D3335" w14:paraId="33BB6A85" w14:textId="77777777" w:rsidTr="00F53143">
        <w:tc>
          <w:tcPr>
            <w:tcW w:w="3823" w:type="dxa"/>
          </w:tcPr>
          <w:p w14:paraId="113E0EFA" w14:textId="77777777" w:rsidR="0037567B" w:rsidRPr="00A64462" w:rsidRDefault="0037567B" w:rsidP="007E0AD0">
            <w:pPr>
              <w:pStyle w:val="TBLText"/>
              <w:rPr>
                <w:color w:val="auto"/>
              </w:rPr>
            </w:pPr>
            <w:r w:rsidRPr="00A64462">
              <w:rPr>
                <w:b/>
                <w:bCs/>
                <w:color w:val="auto"/>
              </w:rPr>
              <w:t>Assessment of any existing compliance and/or delay costs:</w:t>
            </w:r>
          </w:p>
          <w:p w14:paraId="14D143E5" w14:textId="77777777" w:rsidR="0037567B" w:rsidRPr="00A64462" w:rsidRDefault="0037567B" w:rsidP="007E0AD0">
            <w:pPr>
              <w:pStyle w:val="TBLText"/>
              <w:rPr>
                <w:rFonts w:ascii="Segoe UI" w:eastAsia="Segoe UI" w:hAnsi="Segoe UI" w:cs="Segoe UI"/>
                <w:color w:val="auto"/>
              </w:rPr>
            </w:pPr>
            <w:r w:rsidRPr="00A64462">
              <w:rPr>
                <w:rFonts w:ascii="Segoe UI" w:eastAsia="Segoe UI" w:hAnsi="Segoe UI" w:cs="Segoe UI"/>
                <w:color w:val="auto"/>
              </w:rPr>
              <w:t>These costs are outlined in the Addendum.</w:t>
            </w:r>
          </w:p>
          <w:p w14:paraId="3B266F13" w14:textId="77777777" w:rsidR="0037567B" w:rsidRPr="00016FDA" w:rsidRDefault="0037567B" w:rsidP="007E0AD0">
            <w:pPr>
              <w:pStyle w:val="TBLText"/>
              <w:rPr>
                <w:color w:val="auto"/>
              </w:rPr>
            </w:pPr>
          </w:p>
        </w:tc>
        <w:tc>
          <w:tcPr>
            <w:tcW w:w="5811" w:type="dxa"/>
          </w:tcPr>
          <w:p w14:paraId="4C7FFF4C" w14:textId="77777777" w:rsidR="0037567B" w:rsidRPr="003B780B" w:rsidRDefault="0037567B" w:rsidP="007E0AD0">
            <w:pPr>
              <w:rPr>
                <w:b/>
                <w:bCs/>
                <w:sz w:val="18"/>
                <w:szCs w:val="18"/>
              </w:rPr>
            </w:pPr>
            <w:r w:rsidRPr="003B780B">
              <w:rPr>
                <w:b/>
                <w:bCs/>
                <w:sz w:val="18"/>
                <w:szCs w:val="18"/>
              </w:rPr>
              <w:t>Change in the regulatory burden:</w:t>
            </w:r>
          </w:p>
          <w:p w14:paraId="6571E6D1" w14:textId="77777777" w:rsidR="0037567B" w:rsidRPr="00C5559C" w:rsidRDefault="0037567B" w:rsidP="007E0AD0">
            <w:pPr>
              <w:rPr>
                <w:sz w:val="18"/>
                <w:szCs w:val="18"/>
              </w:rPr>
            </w:pPr>
            <w:r w:rsidRPr="16EA1C30">
              <w:rPr>
                <w:sz w:val="18"/>
                <w:szCs w:val="18"/>
              </w:rPr>
              <w:t xml:space="preserve">The Department has reconsidered the administrative effort anticipated by the CE Standard considers that on balance, the CE Standard provides the benefit of setting out more clearly, good community engagement practice for specific </w:t>
            </w:r>
            <w:r w:rsidRPr="00C5559C">
              <w:rPr>
                <w:sz w:val="18"/>
                <w:szCs w:val="18"/>
              </w:rPr>
              <w:t>decisions and therefore improves certainty.</w:t>
            </w:r>
          </w:p>
          <w:p w14:paraId="5DB0C274" w14:textId="77777777" w:rsidR="0037567B" w:rsidRDefault="0037567B" w:rsidP="007E0AD0">
            <w:pPr>
              <w:rPr>
                <w:sz w:val="18"/>
                <w:szCs w:val="18"/>
              </w:rPr>
            </w:pPr>
            <w:r w:rsidRPr="00C5559C">
              <w:rPr>
                <w:sz w:val="18"/>
                <w:szCs w:val="18"/>
              </w:rPr>
              <w:t xml:space="preserve">Consultation feedback across </w:t>
            </w:r>
            <w:r w:rsidRPr="16EA1C30">
              <w:rPr>
                <w:sz w:val="18"/>
                <w:szCs w:val="18"/>
              </w:rPr>
              <w:t xml:space="preserve">sectors was broadly supportive of the Community Engagement Standard’s intent and underlying principles. </w:t>
            </w:r>
          </w:p>
          <w:p w14:paraId="6120D6DF" w14:textId="77777777" w:rsidR="0037567B" w:rsidRPr="00EC0F0C" w:rsidRDefault="0037567B" w:rsidP="007E0AD0">
            <w:pPr>
              <w:rPr>
                <w:b/>
                <w:bCs/>
                <w:sz w:val="18"/>
                <w:szCs w:val="18"/>
              </w:rPr>
            </w:pPr>
            <w:r>
              <w:rPr>
                <w:b/>
                <w:bCs/>
                <w:sz w:val="18"/>
                <w:szCs w:val="18"/>
              </w:rPr>
              <w:t>Stakeholder views:</w:t>
            </w:r>
          </w:p>
          <w:p w14:paraId="43E01715" w14:textId="77777777" w:rsidR="0037567B" w:rsidRDefault="0037567B" w:rsidP="007E0AD0">
            <w:pPr>
              <w:rPr>
                <w:sz w:val="18"/>
                <w:szCs w:val="18"/>
              </w:rPr>
            </w:pPr>
            <w:r w:rsidRPr="16EA1C30">
              <w:rPr>
                <w:sz w:val="18"/>
                <w:szCs w:val="18"/>
              </w:rPr>
              <w:t>Stakeholders were mostly concerned about how the CE Standard defined the subset of community that should be engage</w:t>
            </w:r>
            <w:r>
              <w:rPr>
                <w:sz w:val="18"/>
                <w:szCs w:val="18"/>
              </w:rPr>
              <w:t>d</w:t>
            </w:r>
            <w:r w:rsidRPr="16EA1C30">
              <w:rPr>
                <w:sz w:val="18"/>
                <w:szCs w:val="18"/>
              </w:rPr>
              <w:t xml:space="preserve"> in two-way dialogue, which has been addressed. Environment groups were concerned about the use of an ‘other evidence’ pathway to meet the </w:t>
            </w:r>
            <w:r>
              <w:rPr>
                <w:sz w:val="18"/>
                <w:szCs w:val="18"/>
              </w:rPr>
              <w:t xml:space="preserve">CE </w:t>
            </w:r>
            <w:r w:rsidRPr="16EA1C30">
              <w:rPr>
                <w:sz w:val="18"/>
                <w:szCs w:val="18"/>
              </w:rPr>
              <w:t xml:space="preserve">Standard, whereas industry is more supportive as it provides more flexibility. </w:t>
            </w:r>
          </w:p>
          <w:p w14:paraId="06E253F4" w14:textId="77777777" w:rsidR="0037567B" w:rsidRPr="003979E6" w:rsidRDefault="0037567B" w:rsidP="007E0AD0">
            <w:pPr>
              <w:pStyle w:val="TBLText"/>
              <w:rPr>
                <w:color w:val="auto"/>
              </w:rPr>
            </w:pPr>
            <w:r w:rsidRPr="00C5559C">
              <w:rPr>
                <w:color w:val="auto"/>
              </w:rPr>
              <w:t xml:space="preserve">The CE Standard has been updated to clarify the application of terms, whilst preserving flexibility and implementation to specific cases. Where relevant, language has been adjusted to enable reasonableness </w:t>
            </w:r>
            <w:r w:rsidRPr="00C5559C">
              <w:rPr>
                <w:color w:val="auto"/>
              </w:rPr>
              <w:lastRenderedPageBreak/>
              <w:t>for specific considerations, which reinforces the flexibility of the CE Standard.</w:t>
            </w:r>
          </w:p>
        </w:tc>
      </w:tr>
    </w:tbl>
    <w:p w14:paraId="37F2309B" w14:textId="77777777" w:rsidR="0037567B" w:rsidRDefault="0037567B" w:rsidP="0037567B">
      <w:pPr>
        <w:pStyle w:val="Heading2"/>
      </w:pPr>
      <w:r w:rsidRPr="00CA3925">
        <w:lastRenderedPageBreak/>
        <w:t>Other considerations and implementation</w:t>
      </w:r>
    </w:p>
    <w:p w14:paraId="613F7E4D" w14:textId="77777777" w:rsidR="0037567B" w:rsidRDefault="0037567B" w:rsidP="0037567B">
      <w:r>
        <w:t>Other options considered were the status quo (reformed EPBC Act) and non-regulatory (guidance). These options would not provide a legally enforceable, consistent framework and provide practical guidance for applicants as to how the legislative requirements will be considered by the Minister for the Environment. The preferred option will be implemented through standards-making provisions of the reformed EPBC Act supported by guidance, consultation and National EPA assurance processes.</w:t>
      </w:r>
    </w:p>
    <w:p w14:paraId="5BDD4190" w14:textId="77777777" w:rsidR="0037567B" w:rsidRDefault="0037567B" w:rsidP="0037567B">
      <w:pPr>
        <w:pStyle w:val="Heading3"/>
      </w:pPr>
      <w:r w:rsidRPr="00CA3925">
        <w:t>What success looks like</w:t>
      </w:r>
    </w:p>
    <w:p w14:paraId="5229193D" w14:textId="77777777" w:rsidR="0037567B" w:rsidRDefault="0037567B" w:rsidP="0037567B">
      <w:r>
        <w:t xml:space="preserve">The Standards will provide sufficient clarity whilst retaining flexibility as to how proponents demonstrate that the substantive approval requirements for decision-making are met. </w:t>
      </w:r>
    </w:p>
    <w:p w14:paraId="0DBA1088" w14:textId="77777777" w:rsidR="0037567B" w:rsidRDefault="0037567B" w:rsidP="0037567B">
      <w:r>
        <w:t xml:space="preserve">This will lead to more consistent environmental decisions; improved outcomes for protected matters; fewer requests for additional information; increased stakeholder confidence; improved transparency; reduced regulatory uncertainty. The outcomes will be assessed through legislated reviews. </w:t>
      </w:r>
    </w:p>
    <w:p w14:paraId="3618DCF1" w14:textId="77777777" w:rsidR="0037567B" w:rsidRDefault="0037567B" w:rsidP="0037567B">
      <w:pPr>
        <w:pStyle w:val="Heading3"/>
      </w:pPr>
      <w:r w:rsidRPr="000E5B4B">
        <w:t>Implementation approach</w:t>
      </w:r>
    </w:p>
    <w:p w14:paraId="72E0D17B" w14:textId="77777777" w:rsidR="0037567B" w:rsidRDefault="0037567B" w:rsidP="0037567B">
      <w:r>
        <w:t xml:space="preserve">Implementation will occur through the ongoing tranches of legislative reform supporting the new EPBC arrangements and may include guidance materials to access the benefits of streamlined pathways, National EPA oversight and Environment Information Australia reporting. </w:t>
      </w:r>
    </w:p>
    <w:p w14:paraId="35D143E9" w14:textId="77777777" w:rsidR="0037567B" w:rsidRDefault="0037567B" w:rsidP="0037567B">
      <w:pPr>
        <w:pStyle w:val="Heading3"/>
      </w:pPr>
      <w:r>
        <w:t>Planned evaluation</w:t>
      </w:r>
    </w:p>
    <w:p w14:paraId="266531E6" w14:textId="57EDE3C8" w:rsidR="005C32EF" w:rsidRDefault="0037567B" w:rsidP="00697B19">
      <w:pPr>
        <w:rPr>
          <w:rFonts w:ascii="Segoe UI" w:eastAsia="Segoe UI" w:hAnsi="Segoe UI" w:cs="Segoe UI"/>
        </w:rPr>
      </w:pPr>
      <w:r w:rsidRPr="13B33AE0">
        <w:rPr>
          <w:rFonts w:ascii="Segoe UI" w:eastAsia="Segoe UI" w:hAnsi="Segoe UI" w:cs="Segoe UI"/>
        </w:rPr>
        <w:t xml:space="preserve">Formal review is required within 18 months of commencement </w:t>
      </w:r>
      <w:r>
        <w:rPr>
          <w:rFonts w:ascii="Segoe UI" w:eastAsia="Segoe UI" w:hAnsi="Segoe UI" w:cs="Segoe UI"/>
        </w:rPr>
        <w:t xml:space="preserve">of the Standard </w:t>
      </w:r>
      <w:r w:rsidRPr="13B33AE0">
        <w:rPr>
          <w:rFonts w:ascii="Segoe UI" w:eastAsia="Segoe UI" w:hAnsi="Segoe UI" w:cs="Segoe UI"/>
        </w:rPr>
        <w:t>and at least every five years thereafter by section 514YJ of the reformed EPBC Act.</w:t>
      </w:r>
    </w:p>
    <w:p w14:paraId="752ED344" w14:textId="206BD031" w:rsidR="00B76FEE" w:rsidRDefault="00B76FEE">
      <w:pPr>
        <w:spacing w:after="200" w:line="288" w:lineRule="auto"/>
        <w:rPr>
          <w:rFonts w:ascii="Segoe UI" w:eastAsia="Segoe UI" w:hAnsi="Segoe UI" w:cs="Segoe UI"/>
        </w:rPr>
      </w:pPr>
      <w:r>
        <w:rPr>
          <w:rFonts w:ascii="Segoe UI" w:eastAsia="Segoe UI" w:hAnsi="Segoe UI" w:cs="Segoe UI"/>
        </w:rPr>
        <w:br w:type="page"/>
      </w:r>
    </w:p>
    <w:p w14:paraId="631E9E46" w14:textId="3AF94A43" w:rsidR="00B76FEE" w:rsidRPr="00697B19" w:rsidRDefault="00701E75" w:rsidP="00697B19">
      <w:r>
        <w:rPr>
          <w:noProof/>
        </w:rPr>
        <w:lastRenderedPageBreak/>
        <w:drawing>
          <wp:inline distT="0" distB="0" distL="0" distR="0" wp14:anchorId="08A2B27A" wp14:editId="0888B015">
            <wp:extent cx="6120130" cy="5074733"/>
            <wp:effectExtent l="0" t="0" r="0" b="0"/>
            <wp:docPr id="1897175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175252" name=""/>
                    <pic:cNvPicPr/>
                  </pic:nvPicPr>
                  <pic:blipFill rotWithShape="1">
                    <a:blip r:embed="rId7"/>
                    <a:srcRect l="8004" t="10098" r="7680" b="40464"/>
                    <a:stretch>
                      <a:fillRect/>
                    </a:stretch>
                  </pic:blipFill>
                  <pic:spPr bwMode="auto">
                    <a:xfrm>
                      <a:off x="0" y="0"/>
                      <a:ext cx="6120130" cy="5074733"/>
                    </a:xfrm>
                    <a:prstGeom prst="rect">
                      <a:avLst/>
                    </a:prstGeom>
                    <a:ln>
                      <a:noFill/>
                    </a:ln>
                    <a:extLst>
                      <a:ext uri="{53640926-AAD7-44D8-BBD7-CCE9431645EC}">
                        <a14:shadowObscured xmlns:a14="http://schemas.microsoft.com/office/drawing/2010/main"/>
                      </a:ext>
                    </a:extLst>
                  </pic:spPr>
                </pic:pic>
              </a:graphicData>
            </a:graphic>
          </wp:inline>
        </w:drawing>
      </w:r>
    </w:p>
    <w:sectPr w:rsidR="00B76FEE" w:rsidRPr="00697B19" w:rsidSect="002356F8">
      <w:footerReference w:type="default" r:id="rId8"/>
      <w:headerReference w:type="first" r:id="rId9"/>
      <w:footerReference w:type="first" r:id="rId10"/>
      <w:pgSz w:w="11906" w:h="16838"/>
      <w:pgMar w:top="1701" w:right="1134" w:bottom="1134" w:left="1134" w:header="992"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CFA79" w14:textId="77777777" w:rsidR="00C86CDB" w:rsidRDefault="00C86CDB" w:rsidP="00F957C6">
      <w:pPr>
        <w:spacing w:after="0" w:line="240" w:lineRule="auto"/>
      </w:pPr>
      <w:r>
        <w:separator/>
      </w:r>
    </w:p>
  </w:endnote>
  <w:endnote w:type="continuationSeparator" w:id="0">
    <w:p w14:paraId="08BBA3D3" w14:textId="77777777" w:rsidR="00C86CDB" w:rsidRDefault="00C86CDB" w:rsidP="00F95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do">
    <w:altName w:val="Times New Roman"/>
    <w:charset w:val="00"/>
    <w:family w:val="roman"/>
    <w:pitch w:val="variable"/>
    <w:sig w:usb0="E40008FF" w:usb1="5201E0FB" w:usb2="04608000" w:usb3="00000000" w:csb0="000000BB"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panose1 w:val="02010600030101010101"/>
    <w:charset w:val="86"/>
    <w:family w:val="modern"/>
    <w:pitch w:val="fixed"/>
    <w:sig w:usb0="800002BF" w:usb1="38CF7CFA" w:usb2="00000016" w:usb3="00000000" w:csb0="00040001" w:csb1="00000000"/>
  </w:font>
  <w:font w:name="Segoe UI Semilight">
    <w:panose1 w:val="020B0402040204020203"/>
    <w:charset w:val="00"/>
    <w:family w:val="swiss"/>
    <w:pitch w:val="variable"/>
    <w:sig w:usb0="E4002EFF" w:usb1="C000E47F" w:usb2="00000009" w:usb3="00000000" w:csb0="000001FF" w:csb1="00000000"/>
  </w:font>
  <w:font w:name="Bahnschrift SemiCondensed">
    <w:panose1 w:val="020B0502040204020203"/>
    <w:charset w:val="00"/>
    <w:family w:val="swiss"/>
    <w:pitch w:val="variable"/>
    <w:sig w:usb0="A00002C7" w:usb1="00000002" w:usb2="00000000" w:usb3="00000000" w:csb0="0000019F" w:csb1="00000000"/>
  </w:font>
  <w:font w:name="Inter Light">
    <w:charset w:val="00"/>
    <w:family w:val="auto"/>
    <w:pitch w:val="variable"/>
    <w:sig w:usb0="E00002FF" w:usb1="1200A1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8E2A" w14:textId="77777777" w:rsidR="00037513" w:rsidRPr="00852F35" w:rsidRDefault="00936C83" w:rsidP="00936C83">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 xml:space="preserve">| </w:t>
    </w:r>
    <w:r>
      <w:rPr>
        <w:color w:val="6E6E6E"/>
        <w:sz w:val="18"/>
        <w:szCs w:val="18"/>
      </w:rPr>
      <w:t xml:space="preserve">Dashboard Impact Analysis (IA) – </w:t>
    </w:r>
    <w:r w:rsidR="00355773">
      <w:rPr>
        <w:color w:val="6E6E6E"/>
        <w:sz w:val="18"/>
        <w:szCs w:val="18"/>
      </w:rPr>
      <w:t xml:space="preserve">EPBC Act 1999 </w:t>
    </w:r>
    <w:r w:rsidR="00E935FD">
      <w:rPr>
        <w:color w:val="6E6E6E"/>
        <w:sz w:val="18"/>
        <w:szCs w:val="18"/>
      </w:rPr>
      <w:t>Community Engagement</w:t>
    </w:r>
    <w:r w:rsidR="00355773">
      <w:rPr>
        <w:color w:val="6E6E6E"/>
        <w:sz w:val="18"/>
        <w:szCs w:val="18"/>
      </w:rPr>
      <w:t xml:space="preserve"> Standard</w:t>
    </w:r>
    <w:r w:rsidRPr="00852F35">
      <w:rPr>
        <w:color w:val="6E6E6E"/>
      </w:rPr>
      <w:ptab w:relativeTo="margin" w:alignment="right" w:leader="none"/>
    </w:r>
    <w:r w:rsidRPr="00852F35">
      <w:rPr>
        <w:rFonts w:ascii="Segoe UI" w:hAnsi="Segoe UI" w:cs="Segoe UI"/>
        <w:color w:val="6E6E6E"/>
        <w:sz w:val="18"/>
      </w:rPr>
      <w:fldChar w:fldCharType="begin"/>
    </w:r>
    <w:r w:rsidRPr="00852F35">
      <w:rPr>
        <w:rFonts w:ascii="Segoe UI" w:hAnsi="Segoe UI" w:cs="Segoe UI"/>
        <w:color w:val="6E6E6E"/>
        <w:sz w:val="18"/>
      </w:rPr>
      <w:instrText xml:space="preserve"> PAGE   \* MERGEFORMAT </w:instrText>
    </w:r>
    <w:r w:rsidRPr="00852F35">
      <w:rPr>
        <w:rFonts w:ascii="Segoe UI" w:hAnsi="Segoe UI" w:cs="Segoe UI"/>
        <w:color w:val="6E6E6E"/>
        <w:sz w:val="18"/>
      </w:rPr>
      <w:fldChar w:fldCharType="separate"/>
    </w:r>
    <w:r>
      <w:rPr>
        <w:rFonts w:ascii="Segoe UI" w:hAnsi="Segoe UI" w:cs="Segoe UI"/>
        <w:color w:val="6E6E6E"/>
        <w:sz w:val="18"/>
      </w:rPr>
      <w:t>1</w:t>
    </w:r>
    <w:r w:rsidRPr="00852F35">
      <w:rPr>
        <w:rFonts w:ascii="Segoe UI" w:hAnsi="Segoe UI" w:cs="Segoe UI"/>
        <w:noProof/>
        <w:color w:val="6E6E6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6CFD" w14:textId="77777777" w:rsidR="006E7551" w:rsidRDefault="006E7551" w:rsidP="00BB1526">
    <w:pPr>
      <w:pStyle w:val="Header"/>
      <w:rPr>
        <w:color w:val="6E6E6E"/>
        <w:sz w:val="18"/>
        <w:szCs w:val="18"/>
      </w:rPr>
    </w:pPr>
  </w:p>
  <w:p w14:paraId="57B621EA" w14:textId="77777777" w:rsidR="00464D89" w:rsidRPr="00BB1526" w:rsidRDefault="005A3632" w:rsidP="00BB1526">
    <w:pPr>
      <w:pStyle w:val="Header"/>
      <w:rPr>
        <w:rFonts w:ascii="Segoe UI" w:hAnsi="Segoe UI" w:cs="Segoe UI"/>
        <w:color w:val="6E6E6E"/>
        <w:sz w:val="18"/>
      </w:rPr>
    </w:pPr>
    <w:r>
      <w:rPr>
        <w:color w:val="6E6E6E"/>
        <w:sz w:val="18"/>
        <w:szCs w:val="18"/>
      </w:rPr>
      <w:t xml:space="preserve">Australian Government </w:t>
    </w:r>
    <w:r w:rsidRPr="00852F35">
      <w:rPr>
        <w:color w:val="6E6E6E"/>
        <w:sz w:val="18"/>
        <w:szCs w:val="18"/>
      </w:rPr>
      <w:t>|</w:t>
    </w:r>
    <w:r w:rsidR="00BB1526" w:rsidRPr="00852F35">
      <w:rPr>
        <w:color w:val="6E6E6E"/>
        <w:sz w:val="18"/>
        <w:szCs w:val="18"/>
      </w:rPr>
      <w:t xml:space="preserve"> </w:t>
    </w:r>
    <w:r w:rsidR="005D7C45">
      <w:rPr>
        <w:color w:val="6E6E6E"/>
        <w:sz w:val="18"/>
        <w:szCs w:val="18"/>
      </w:rPr>
      <w:t xml:space="preserve">Dashboard Impact Analysis (IA) – </w:t>
    </w:r>
    <w:r w:rsidR="009A6B1D">
      <w:rPr>
        <w:color w:val="6E6E6E"/>
        <w:sz w:val="18"/>
        <w:szCs w:val="18"/>
      </w:rPr>
      <w:t>EPBC Act 1999 – National Environmental Standard for Community Engagement</w:t>
    </w:r>
    <w:r w:rsidR="00BB1526" w:rsidRPr="00852F35">
      <w:rPr>
        <w:color w:val="6E6E6E"/>
      </w:rPr>
      <w:ptab w:relativeTo="margin" w:alignment="right" w:leader="none"/>
    </w:r>
    <w:r w:rsidR="00BB1526" w:rsidRPr="00852F35">
      <w:rPr>
        <w:rFonts w:ascii="Segoe UI" w:hAnsi="Segoe UI" w:cs="Segoe UI"/>
        <w:color w:val="6E6E6E"/>
        <w:sz w:val="18"/>
      </w:rPr>
      <w:fldChar w:fldCharType="begin"/>
    </w:r>
    <w:r w:rsidR="00BB1526" w:rsidRPr="00852F35">
      <w:rPr>
        <w:rFonts w:ascii="Segoe UI" w:hAnsi="Segoe UI" w:cs="Segoe UI"/>
        <w:color w:val="6E6E6E"/>
        <w:sz w:val="18"/>
      </w:rPr>
      <w:instrText xml:space="preserve"> PAGE   \* MERGEFORMAT </w:instrText>
    </w:r>
    <w:r w:rsidR="00BB1526" w:rsidRPr="00852F35">
      <w:rPr>
        <w:rFonts w:ascii="Segoe UI" w:hAnsi="Segoe UI" w:cs="Segoe UI"/>
        <w:color w:val="6E6E6E"/>
        <w:sz w:val="18"/>
      </w:rPr>
      <w:fldChar w:fldCharType="separate"/>
    </w:r>
    <w:r w:rsidR="00E155C1">
      <w:rPr>
        <w:rFonts w:ascii="Segoe UI" w:hAnsi="Segoe UI" w:cs="Segoe UI"/>
        <w:noProof/>
        <w:color w:val="6E6E6E"/>
        <w:sz w:val="18"/>
      </w:rPr>
      <w:t>1</w:t>
    </w:r>
    <w:r w:rsidR="00BB1526" w:rsidRPr="00852F35">
      <w:rPr>
        <w:rFonts w:ascii="Segoe UI" w:hAnsi="Segoe UI" w:cs="Segoe UI"/>
        <w:noProof/>
        <w:color w:val="6E6E6E"/>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A08E7" w14:textId="77777777" w:rsidR="00C86CDB" w:rsidRDefault="00C86CDB" w:rsidP="00F957C6">
      <w:pPr>
        <w:spacing w:after="0" w:line="240" w:lineRule="auto"/>
      </w:pPr>
      <w:r>
        <w:separator/>
      </w:r>
    </w:p>
  </w:footnote>
  <w:footnote w:type="continuationSeparator" w:id="0">
    <w:p w14:paraId="3AB3260B" w14:textId="77777777" w:rsidR="00C86CDB" w:rsidRDefault="00C86CDB" w:rsidP="00F95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CE5CE" w14:textId="4B21FF5C" w:rsidR="0026634E" w:rsidRDefault="0026634E" w:rsidP="0026634E">
    <w:pPr>
      <w:pStyle w:val="Header"/>
      <w:jc w:val="center"/>
      <w:rPr>
        <w:rStyle w:val="CLASSIFICATIONChar"/>
      </w:rPr>
    </w:pPr>
    <w:r>
      <w:rPr>
        <w:rStyle w:val="CLASSIFICATIONChar"/>
        <w:noProof/>
        <w:lang w:eastAsia="en-AU"/>
      </w:rPr>
      <w:drawing>
        <wp:anchor distT="0" distB="0" distL="114300" distR="114300" simplePos="0" relativeHeight="251658240" behindDoc="1" locked="0" layoutInCell="1" allowOverlap="1" wp14:anchorId="0BAD895F" wp14:editId="1B7BAD46">
          <wp:simplePos x="0" y="0"/>
          <wp:positionH relativeFrom="column">
            <wp:posOffset>-46990</wp:posOffset>
          </wp:positionH>
          <wp:positionV relativeFrom="paragraph">
            <wp:posOffset>-217805</wp:posOffset>
          </wp:positionV>
          <wp:extent cx="2322830" cy="621665"/>
          <wp:effectExtent l="0" t="0" r="1270" b="6985"/>
          <wp:wrapNone/>
          <wp:docPr id="16" name="Picture 16" descr="Australian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ustralian Govern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22830" cy="621665"/>
                  </a:xfrm>
                  <a:prstGeom prst="rect">
                    <a:avLst/>
                  </a:prstGeom>
                  <a:noFill/>
                </pic:spPr>
              </pic:pic>
            </a:graphicData>
          </a:graphic>
        </wp:anchor>
      </w:drawing>
    </w:r>
  </w:p>
  <w:p w14:paraId="4023C76D" w14:textId="77777777" w:rsidR="00471D6B" w:rsidRDefault="00471D6B" w:rsidP="0026634E">
    <w:pPr>
      <w:pStyle w:val="Header"/>
      <w:jc w:val="center"/>
      <w:rPr>
        <w:rStyle w:val="CLASSIFICATIONChar"/>
      </w:rPr>
    </w:pPr>
  </w:p>
  <w:p w14:paraId="470908B2" w14:textId="77777777" w:rsidR="0026634E" w:rsidRDefault="0026634E" w:rsidP="0026634E">
    <w:pPr>
      <w:pStyle w:val="Header"/>
      <w:jc w:val="center"/>
      <w:rPr>
        <w:rStyle w:val="CLASSIFICATIONChar"/>
      </w:rPr>
    </w:pPr>
  </w:p>
  <w:p w14:paraId="409F6E0E" w14:textId="77777777" w:rsidR="0026634E" w:rsidRDefault="0026634E" w:rsidP="0026634E">
    <w:pPr>
      <w:pStyle w:val="Header"/>
      <w:jc w:val="center"/>
      <w:rPr>
        <w:rStyle w:val="CLASSIFICATIONCha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004592A"/>
    <w:lvl w:ilvl="0">
      <w:start w:val="1"/>
      <w:numFmt w:val="decimal"/>
      <w:lvlText w:val="%1."/>
      <w:lvlJc w:val="left"/>
      <w:pPr>
        <w:tabs>
          <w:tab w:val="num" w:pos="2060"/>
        </w:tabs>
        <w:ind w:left="2060" w:hanging="360"/>
      </w:pPr>
    </w:lvl>
  </w:abstractNum>
  <w:abstractNum w:abstractNumId="1" w15:restartNumberingAfterBreak="0">
    <w:nsid w:val="FFFFFF7D"/>
    <w:multiLevelType w:val="singleLevel"/>
    <w:tmpl w:val="35487F0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450D9C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D6120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1469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0F017F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5FE081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9813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620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4281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75033"/>
    <w:multiLevelType w:val="hybridMultilevel"/>
    <w:tmpl w:val="C6DC8A2C"/>
    <w:lvl w:ilvl="0" w:tplc="458A1C2C">
      <w:start w:val="1"/>
      <w:numFmt w:val="bullet"/>
      <w:pStyle w:val="TBLBulleted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0AC67BEB"/>
    <w:multiLevelType w:val="hybridMultilevel"/>
    <w:tmpl w:val="844E23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0B014CCD"/>
    <w:multiLevelType w:val="hybridMultilevel"/>
    <w:tmpl w:val="D0E0AE74"/>
    <w:lvl w:ilvl="0" w:tplc="42CAA44A">
      <w:start w:val="1"/>
      <w:numFmt w:val="bullet"/>
      <w:pStyle w:val="BOXBulletedList"/>
      <w:lvlText w:val=""/>
      <w:lvlJc w:val="left"/>
      <w:pPr>
        <w:ind w:left="284" w:hanging="284"/>
      </w:pPr>
      <w:rPr>
        <w:rFonts w:ascii="Symbol" w:hAnsi="Symbol" w:hint="default"/>
      </w:rPr>
    </w:lvl>
    <w:lvl w:ilvl="1" w:tplc="AFD06412">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FAF6F03"/>
    <w:multiLevelType w:val="hybridMultilevel"/>
    <w:tmpl w:val="4CF49542"/>
    <w:lvl w:ilvl="0" w:tplc="6C069990">
      <w:start w:val="1"/>
      <w:numFmt w:val="bullet"/>
      <w:pStyle w:val="BulletedList-Level3"/>
      <w:lvlText w:val="o"/>
      <w:lvlJc w:val="left"/>
      <w:pPr>
        <w:ind w:left="1134" w:hanging="283"/>
      </w:pPr>
      <w:rPr>
        <w:rFonts w:ascii="Courier New" w:hAnsi="Courier New" w:hint="default"/>
      </w:rPr>
    </w:lvl>
    <w:lvl w:ilvl="1" w:tplc="0C090003" w:tentative="1">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4" w15:restartNumberingAfterBreak="0">
    <w:nsid w:val="1263028F"/>
    <w:multiLevelType w:val="hybridMultilevel"/>
    <w:tmpl w:val="AA003D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3A3105B"/>
    <w:multiLevelType w:val="hybridMultilevel"/>
    <w:tmpl w:val="2F88CC68"/>
    <w:lvl w:ilvl="0" w:tplc="93300146">
      <w:start w:val="1"/>
      <w:numFmt w:val="decimal"/>
      <w:pStyle w:val="BoxDark-NumberedList"/>
      <w:lvlText w:val="%1."/>
      <w:lvlJc w:val="left"/>
      <w:pPr>
        <w:ind w:left="947" w:hanging="360"/>
      </w:pPr>
    </w:lvl>
    <w:lvl w:ilvl="1" w:tplc="0C090019" w:tentative="1">
      <w:start w:val="1"/>
      <w:numFmt w:val="lowerLetter"/>
      <w:lvlText w:val="%2."/>
      <w:lvlJc w:val="left"/>
      <w:pPr>
        <w:ind w:left="1667" w:hanging="360"/>
      </w:pPr>
    </w:lvl>
    <w:lvl w:ilvl="2" w:tplc="0C09001B" w:tentative="1">
      <w:start w:val="1"/>
      <w:numFmt w:val="lowerRoman"/>
      <w:lvlText w:val="%3."/>
      <w:lvlJc w:val="right"/>
      <w:pPr>
        <w:ind w:left="2387" w:hanging="180"/>
      </w:pPr>
    </w:lvl>
    <w:lvl w:ilvl="3" w:tplc="0C09000F" w:tentative="1">
      <w:start w:val="1"/>
      <w:numFmt w:val="decimal"/>
      <w:lvlText w:val="%4."/>
      <w:lvlJc w:val="left"/>
      <w:pPr>
        <w:ind w:left="3107" w:hanging="360"/>
      </w:pPr>
    </w:lvl>
    <w:lvl w:ilvl="4" w:tplc="0C090019" w:tentative="1">
      <w:start w:val="1"/>
      <w:numFmt w:val="lowerLetter"/>
      <w:lvlText w:val="%5."/>
      <w:lvlJc w:val="left"/>
      <w:pPr>
        <w:ind w:left="3827" w:hanging="360"/>
      </w:pPr>
    </w:lvl>
    <w:lvl w:ilvl="5" w:tplc="0C09001B" w:tentative="1">
      <w:start w:val="1"/>
      <w:numFmt w:val="lowerRoman"/>
      <w:lvlText w:val="%6."/>
      <w:lvlJc w:val="right"/>
      <w:pPr>
        <w:ind w:left="4547" w:hanging="180"/>
      </w:pPr>
    </w:lvl>
    <w:lvl w:ilvl="6" w:tplc="0C09000F" w:tentative="1">
      <w:start w:val="1"/>
      <w:numFmt w:val="decimal"/>
      <w:lvlText w:val="%7."/>
      <w:lvlJc w:val="left"/>
      <w:pPr>
        <w:ind w:left="5267" w:hanging="360"/>
      </w:pPr>
    </w:lvl>
    <w:lvl w:ilvl="7" w:tplc="0C090019" w:tentative="1">
      <w:start w:val="1"/>
      <w:numFmt w:val="lowerLetter"/>
      <w:lvlText w:val="%8."/>
      <w:lvlJc w:val="left"/>
      <w:pPr>
        <w:ind w:left="5987" w:hanging="360"/>
      </w:pPr>
    </w:lvl>
    <w:lvl w:ilvl="8" w:tplc="0C09001B" w:tentative="1">
      <w:start w:val="1"/>
      <w:numFmt w:val="lowerRoman"/>
      <w:lvlText w:val="%9."/>
      <w:lvlJc w:val="right"/>
      <w:pPr>
        <w:ind w:left="6707" w:hanging="180"/>
      </w:pPr>
    </w:lvl>
  </w:abstractNum>
  <w:abstractNum w:abstractNumId="16" w15:restartNumberingAfterBreak="0">
    <w:nsid w:val="176E7FCF"/>
    <w:multiLevelType w:val="multilevel"/>
    <w:tmpl w:val="F4D8C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9F33BBA"/>
    <w:multiLevelType w:val="hybridMultilevel"/>
    <w:tmpl w:val="0812E2DE"/>
    <w:lvl w:ilvl="0" w:tplc="E1AE5D66">
      <w:start w:val="1"/>
      <w:numFmt w:val="decimal"/>
      <w:pStyle w:val="Figure"/>
      <w:suff w:val="space"/>
      <w:lvlText w:val="Figure %1."/>
      <w:lvlJc w:val="left"/>
      <w:pPr>
        <w:ind w:left="567" w:hanging="56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F507AC4"/>
    <w:multiLevelType w:val="hybridMultilevel"/>
    <w:tmpl w:val="6FFA548C"/>
    <w:lvl w:ilvl="0" w:tplc="E7066796">
      <w:start w:val="1"/>
      <w:numFmt w:val="bullet"/>
      <w:pStyle w:val="BulletedList-Level2"/>
      <w:lvlText w:val="−"/>
      <w:lvlJc w:val="left"/>
      <w:pPr>
        <w:ind w:left="851" w:hanging="284"/>
      </w:pPr>
      <w:rPr>
        <w:rFonts w:ascii="Cardo" w:hAnsi="Cardo"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19" w15:restartNumberingAfterBreak="0">
    <w:nsid w:val="26DF05D0"/>
    <w:multiLevelType w:val="hybridMultilevel"/>
    <w:tmpl w:val="361C27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7854A54"/>
    <w:multiLevelType w:val="hybridMultilevel"/>
    <w:tmpl w:val="253E2E62"/>
    <w:lvl w:ilvl="0" w:tplc="B2AA9F56">
      <w:start w:val="1"/>
      <w:numFmt w:val="bullet"/>
      <w:pStyle w:val="BulletedList-Level1"/>
      <w:lvlText w:val=""/>
      <w:lvlJc w:val="left"/>
      <w:pPr>
        <w:ind w:left="425" w:hanging="283"/>
      </w:pPr>
      <w:rPr>
        <w:rFonts w:ascii="Symbol" w:hAnsi="Symbol" w:hint="default"/>
      </w:rPr>
    </w:lvl>
    <w:lvl w:ilvl="1" w:tplc="4BB4D094">
      <w:start w:val="1"/>
      <w:numFmt w:val="bullet"/>
      <w:lvlText w:val="o"/>
      <w:lvlJc w:val="left"/>
      <w:pPr>
        <w:ind w:left="709" w:hanging="28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EFC13BC">
      <w:start w:val="1"/>
      <w:numFmt w:val="bullet"/>
      <w:lvlText w:val=""/>
      <w:lvlJc w:val="left"/>
      <w:pPr>
        <w:ind w:left="992" w:hanging="283"/>
      </w:pPr>
      <w:rPr>
        <w:rFonts w:ascii="Wingdings" w:hAnsi="Wingdings" w:hint="default"/>
      </w:rPr>
    </w:lvl>
    <w:lvl w:ilvl="3" w:tplc="0C090001" w:tentative="1">
      <w:start w:val="1"/>
      <w:numFmt w:val="bullet"/>
      <w:lvlText w:val=""/>
      <w:lvlJc w:val="left"/>
      <w:pPr>
        <w:ind w:left="2738" w:hanging="360"/>
      </w:pPr>
      <w:rPr>
        <w:rFonts w:ascii="Symbol" w:hAnsi="Symbol" w:hint="default"/>
      </w:rPr>
    </w:lvl>
    <w:lvl w:ilvl="4" w:tplc="0C090003" w:tentative="1">
      <w:start w:val="1"/>
      <w:numFmt w:val="bullet"/>
      <w:lvlText w:val="o"/>
      <w:lvlJc w:val="left"/>
      <w:pPr>
        <w:ind w:left="3458" w:hanging="360"/>
      </w:pPr>
      <w:rPr>
        <w:rFonts w:ascii="Courier New" w:hAnsi="Courier New" w:cs="Courier New" w:hint="default"/>
      </w:rPr>
    </w:lvl>
    <w:lvl w:ilvl="5" w:tplc="0C090005" w:tentative="1">
      <w:start w:val="1"/>
      <w:numFmt w:val="bullet"/>
      <w:lvlText w:val=""/>
      <w:lvlJc w:val="left"/>
      <w:pPr>
        <w:ind w:left="4178" w:hanging="360"/>
      </w:pPr>
      <w:rPr>
        <w:rFonts w:ascii="Wingdings" w:hAnsi="Wingdings" w:hint="default"/>
      </w:rPr>
    </w:lvl>
    <w:lvl w:ilvl="6" w:tplc="0C090001" w:tentative="1">
      <w:start w:val="1"/>
      <w:numFmt w:val="bullet"/>
      <w:lvlText w:val=""/>
      <w:lvlJc w:val="left"/>
      <w:pPr>
        <w:ind w:left="4898" w:hanging="360"/>
      </w:pPr>
      <w:rPr>
        <w:rFonts w:ascii="Symbol" w:hAnsi="Symbol" w:hint="default"/>
      </w:rPr>
    </w:lvl>
    <w:lvl w:ilvl="7" w:tplc="0C090003" w:tentative="1">
      <w:start w:val="1"/>
      <w:numFmt w:val="bullet"/>
      <w:lvlText w:val="o"/>
      <w:lvlJc w:val="left"/>
      <w:pPr>
        <w:ind w:left="5618" w:hanging="360"/>
      </w:pPr>
      <w:rPr>
        <w:rFonts w:ascii="Courier New" w:hAnsi="Courier New" w:cs="Courier New" w:hint="default"/>
      </w:rPr>
    </w:lvl>
    <w:lvl w:ilvl="8" w:tplc="0C090005" w:tentative="1">
      <w:start w:val="1"/>
      <w:numFmt w:val="bullet"/>
      <w:lvlText w:val=""/>
      <w:lvlJc w:val="left"/>
      <w:pPr>
        <w:ind w:left="6338" w:hanging="360"/>
      </w:pPr>
      <w:rPr>
        <w:rFonts w:ascii="Wingdings" w:hAnsi="Wingdings" w:hint="default"/>
      </w:rPr>
    </w:lvl>
  </w:abstractNum>
  <w:abstractNum w:abstractNumId="21" w15:restartNumberingAfterBreak="0">
    <w:nsid w:val="3A43634D"/>
    <w:multiLevelType w:val="hybridMultilevel"/>
    <w:tmpl w:val="BCB85E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96C7FF6"/>
    <w:multiLevelType w:val="hybridMultilevel"/>
    <w:tmpl w:val="4D4A750C"/>
    <w:lvl w:ilvl="0" w:tplc="D6643B58">
      <w:start w:val="1"/>
      <w:numFmt w:val="decimal"/>
      <w:pStyle w:val="BOXNumberedList"/>
      <w:lvlText w:val="%1."/>
      <w:lvlJc w:val="left"/>
      <w:pPr>
        <w:ind w:left="840" w:hanging="360"/>
      </w:pPr>
    </w:lvl>
    <w:lvl w:ilvl="1" w:tplc="0C090019" w:tentative="1">
      <w:start w:val="1"/>
      <w:numFmt w:val="lowerLetter"/>
      <w:lvlText w:val="%2."/>
      <w:lvlJc w:val="left"/>
      <w:pPr>
        <w:ind w:left="1560" w:hanging="360"/>
      </w:pPr>
    </w:lvl>
    <w:lvl w:ilvl="2" w:tplc="0C09001B" w:tentative="1">
      <w:start w:val="1"/>
      <w:numFmt w:val="lowerRoman"/>
      <w:lvlText w:val="%3."/>
      <w:lvlJc w:val="right"/>
      <w:pPr>
        <w:ind w:left="2280" w:hanging="180"/>
      </w:pPr>
    </w:lvl>
    <w:lvl w:ilvl="3" w:tplc="0C09000F" w:tentative="1">
      <w:start w:val="1"/>
      <w:numFmt w:val="decimal"/>
      <w:lvlText w:val="%4."/>
      <w:lvlJc w:val="left"/>
      <w:pPr>
        <w:ind w:left="3000" w:hanging="360"/>
      </w:pPr>
    </w:lvl>
    <w:lvl w:ilvl="4" w:tplc="0C090019" w:tentative="1">
      <w:start w:val="1"/>
      <w:numFmt w:val="lowerLetter"/>
      <w:lvlText w:val="%5."/>
      <w:lvlJc w:val="left"/>
      <w:pPr>
        <w:ind w:left="3720" w:hanging="360"/>
      </w:pPr>
    </w:lvl>
    <w:lvl w:ilvl="5" w:tplc="0C09001B" w:tentative="1">
      <w:start w:val="1"/>
      <w:numFmt w:val="lowerRoman"/>
      <w:lvlText w:val="%6."/>
      <w:lvlJc w:val="right"/>
      <w:pPr>
        <w:ind w:left="4440" w:hanging="180"/>
      </w:pPr>
    </w:lvl>
    <w:lvl w:ilvl="6" w:tplc="0C09000F" w:tentative="1">
      <w:start w:val="1"/>
      <w:numFmt w:val="decimal"/>
      <w:lvlText w:val="%7."/>
      <w:lvlJc w:val="left"/>
      <w:pPr>
        <w:ind w:left="5160" w:hanging="360"/>
      </w:pPr>
    </w:lvl>
    <w:lvl w:ilvl="7" w:tplc="0C090019" w:tentative="1">
      <w:start w:val="1"/>
      <w:numFmt w:val="lowerLetter"/>
      <w:lvlText w:val="%8."/>
      <w:lvlJc w:val="left"/>
      <w:pPr>
        <w:ind w:left="5880" w:hanging="360"/>
      </w:pPr>
    </w:lvl>
    <w:lvl w:ilvl="8" w:tplc="0C09001B" w:tentative="1">
      <w:start w:val="1"/>
      <w:numFmt w:val="lowerRoman"/>
      <w:lvlText w:val="%9."/>
      <w:lvlJc w:val="right"/>
      <w:pPr>
        <w:ind w:left="6600" w:hanging="180"/>
      </w:pPr>
    </w:lvl>
  </w:abstractNum>
  <w:abstractNum w:abstractNumId="23" w15:restartNumberingAfterBreak="0">
    <w:nsid w:val="4E781EDD"/>
    <w:multiLevelType w:val="hybridMultilevel"/>
    <w:tmpl w:val="6B225E28"/>
    <w:lvl w:ilvl="0" w:tplc="1B58674C">
      <w:start w:val="1"/>
      <w:numFmt w:val="bullet"/>
      <w:lvlText w:val="–"/>
      <w:lvlJc w:val="left"/>
      <w:pPr>
        <w:ind w:left="851" w:hanging="284"/>
      </w:pPr>
      <w:rPr>
        <w:rFonts w:ascii="Arial Black" w:hAnsi="Arial Black"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543243CA"/>
    <w:multiLevelType w:val="multilevel"/>
    <w:tmpl w:val="D4148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1135143"/>
    <w:multiLevelType w:val="hybridMultilevel"/>
    <w:tmpl w:val="7D8C0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66E77B51"/>
    <w:multiLevelType w:val="multilevel"/>
    <w:tmpl w:val="2E3A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83237B"/>
    <w:multiLevelType w:val="hybridMultilevel"/>
    <w:tmpl w:val="BAF8423A"/>
    <w:lvl w:ilvl="0" w:tplc="0C09000F">
      <w:start w:val="1"/>
      <w:numFmt w:val="decimal"/>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8" w15:restartNumberingAfterBreak="0">
    <w:nsid w:val="6ABF0286"/>
    <w:multiLevelType w:val="hybridMultilevel"/>
    <w:tmpl w:val="70C6C990"/>
    <w:lvl w:ilvl="0" w:tplc="56D0C196">
      <w:start w:val="1"/>
      <w:numFmt w:val="decimal"/>
      <w:lvlText w:val="%1."/>
      <w:lvlJc w:val="left"/>
      <w:pPr>
        <w:ind w:left="284" w:hanging="284"/>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EE51B32"/>
    <w:multiLevelType w:val="hybridMultilevel"/>
    <w:tmpl w:val="F2CE71E2"/>
    <w:lvl w:ilvl="0" w:tplc="5E348A7E">
      <w:start w:val="1"/>
      <w:numFmt w:val="decimal"/>
      <w:pStyle w:val="TBLNumberedLis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81170D5"/>
    <w:multiLevelType w:val="hybridMultilevel"/>
    <w:tmpl w:val="38E03EE6"/>
    <w:lvl w:ilvl="0" w:tplc="9C7CCF60">
      <w:start w:val="1"/>
      <w:numFmt w:val="decimal"/>
      <w:pStyle w:val="NumberedList-Level1"/>
      <w:lvlText w:val="%1."/>
      <w:lvlJc w:val="left"/>
      <w:pPr>
        <w:ind w:left="567" w:hanging="283"/>
      </w:pPr>
      <w:rPr>
        <w:rFonts w:hint="default"/>
      </w:rPr>
    </w:lvl>
    <w:lvl w:ilvl="1" w:tplc="1FAA0FEC">
      <w:start w:val="1"/>
      <w:numFmt w:val="lowerLetter"/>
      <w:pStyle w:val="NumberedList-level2"/>
      <w:lvlText w:val="%2."/>
      <w:lvlJc w:val="left"/>
      <w:pPr>
        <w:ind w:left="851" w:hanging="284"/>
      </w:pPr>
      <w:rPr>
        <w:rFonts w:hint="default"/>
      </w:rPr>
    </w:lvl>
    <w:lvl w:ilvl="2" w:tplc="65FAA32A">
      <w:start w:val="1"/>
      <w:numFmt w:val="lowerRoman"/>
      <w:pStyle w:val="NumberedList-Level3"/>
      <w:lvlText w:val="%3."/>
      <w:lvlJc w:val="right"/>
      <w:pPr>
        <w:ind w:left="1134" w:hanging="170"/>
      </w:pPr>
      <w:rPr>
        <w:rFonts w:hint="default"/>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25884965">
    <w:abstractNumId w:val="12"/>
  </w:num>
  <w:num w:numId="2" w16cid:durableId="404568253">
    <w:abstractNumId w:val="9"/>
  </w:num>
  <w:num w:numId="3" w16cid:durableId="504319927">
    <w:abstractNumId w:val="7"/>
  </w:num>
  <w:num w:numId="4" w16cid:durableId="302465916">
    <w:abstractNumId w:val="6"/>
  </w:num>
  <w:num w:numId="5" w16cid:durableId="1197698854">
    <w:abstractNumId w:val="5"/>
  </w:num>
  <w:num w:numId="6" w16cid:durableId="680863680">
    <w:abstractNumId w:val="4"/>
  </w:num>
  <w:num w:numId="7" w16cid:durableId="255748006">
    <w:abstractNumId w:val="8"/>
  </w:num>
  <w:num w:numId="8" w16cid:durableId="1137651052">
    <w:abstractNumId w:val="3"/>
  </w:num>
  <w:num w:numId="9" w16cid:durableId="96338727">
    <w:abstractNumId w:val="2"/>
  </w:num>
  <w:num w:numId="10" w16cid:durableId="372266075">
    <w:abstractNumId w:val="1"/>
  </w:num>
  <w:num w:numId="11" w16cid:durableId="888490440">
    <w:abstractNumId w:val="0"/>
  </w:num>
  <w:num w:numId="12" w16cid:durableId="1815296940">
    <w:abstractNumId w:val="10"/>
  </w:num>
  <w:num w:numId="13" w16cid:durableId="1560096658">
    <w:abstractNumId w:val="29"/>
  </w:num>
  <w:num w:numId="14" w16cid:durableId="219633512">
    <w:abstractNumId w:val="20"/>
  </w:num>
  <w:num w:numId="15" w16cid:durableId="590897300">
    <w:abstractNumId w:val="20"/>
    <w:lvlOverride w:ilvl="0">
      <w:startOverride w:val="1"/>
    </w:lvlOverride>
  </w:num>
  <w:num w:numId="16" w16cid:durableId="534200502">
    <w:abstractNumId w:val="20"/>
    <w:lvlOverride w:ilvl="0">
      <w:startOverride w:val="1"/>
    </w:lvlOverride>
  </w:num>
  <w:num w:numId="17" w16cid:durableId="2023972854">
    <w:abstractNumId w:val="20"/>
    <w:lvlOverride w:ilvl="0">
      <w:startOverride w:val="1"/>
    </w:lvlOverride>
  </w:num>
  <w:num w:numId="18" w16cid:durableId="564725321">
    <w:abstractNumId w:val="20"/>
    <w:lvlOverride w:ilvl="0">
      <w:startOverride w:val="1"/>
    </w:lvlOverride>
  </w:num>
  <w:num w:numId="19" w16cid:durableId="224335938">
    <w:abstractNumId w:val="23"/>
  </w:num>
  <w:num w:numId="20" w16cid:durableId="1190410526">
    <w:abstractNumId w:val="23"/>
    <w:lvlOverride w:ilvl="0">
      <w:startOverride w:val="1"/>
    </w:lvlOverride>
  </w:num>
  <w:num w:numId="21" w16cid:durableId="1408385144">
    <w:abstractNumId w:val="30"/>
  </w:num>
  <w:num w:numId="22" w16cid:durableId="1652633785">
    <w:abstractNumId w:val="28"/>
  </w:num>
  <w:num w:numId="23" w16cid:durableId="1863855379">
    <w:abstractNumId w:val="12"/>
    <w:lvlOverride w:ilvl="0">
      <w:startOverride w:val="1"/>
    </w:lvlOverride>
  </w:num>
  <w:num w:numId="24" w16cid:durableId="1004935679">
    <w:abstractNumId w:val="30"/>
    <w:lvlOverride w:ilvl="0">
      <w:startOverride w:val="1"/>
    </w:lvlOverride>
  </w:num>
  <w:num w:numId="25" w16cid:durableId="556090353">
    <w:abstractNumId w:val="28"/>
    <w:lvlOverride w:ilvl="0">
      <w:startOverride w:val="1"/>
    </w:lvlOverride>
  </w:num>
  <w:num w:numId="26" w16cid:durableId="1451320037">
    <w:abstractNumId w:val="28"/>
    <w:lvlOverride w:ilvl="0">
      <w:startOverride w:val="1"/>
    </w:lvlOverride>
  </w:num>
  <w:num w:numId="27" w16cid:durableId="343560202">
    <w:abstractNumId w:val="17"/>
  </w:num>
  <w:num w:numId="28" w16cid:durableId="183137696">
    <w:abstractNumId w:val="22"/>
  </w:num>
  <w:num w:numId="29" w16cid:durableId="1159925919">
    <w:abstractNumId w:val="15"/>
  </w:num>
  <w:num w:numId="30" w16cid:durableId="506991561">
    <w:abstractNumId w:val="18"/>
  </w:num>
  <w:num w:numId="31" w16cid:durableId="762264085">
    <w:abstractNumId w:val="13"/>
  </w:num>
  <w:num w:numId="32" w16cid:durableId="1275554476">
    <w:abstractNumId w:val="30"/>
    <w:lvlOverride w:ilvl="0">
      <w:startOverride w:val="1"/>
    </w:lvlOverride>
  </w:num>
  <w:num w:numId="33" w16cid:durableId="22633587">
    <w:abstractNumId w:val="30"/>
    <w:lvlOverride w:ilvl="0">
      <w:startOverride w:val="1"/>
    </w:lvlOverride>
  </w:num>
  <w:num w:numId="34" w16cid:durableId="1153646539">
    <w:abstractNumId w:val="30"/>
    <w:lvlOverride w:ilvl="0">
      <w:startOverride w:val="1"/>
    </w:lvlOverride>
  </w:num>
  <w:num w:numId="35" w16cid:durableId="162401463">
    <w:abstractNumId w:val="29"/>
    <w:lvlOverride w:ilvl="0">
      <w:startOverride w:val="1"/>
    </w:lvlOverride>
  </w:num>
  <w:num w:numId="36" w16cid:durableId="450367212">
    <w:abstractNumId w:val="29"/>
    <w:lvlOverride w:ilvl="0">
      <w:startOverride w:val="1"/>
    </w:lvlOverride>
  </w:num>
  <w:num w:numId="37" w16cid:durableId="1187674628">
    <w:abstractNumId w:val="29"/>
    <w:lvlOverride w:ilvl="0">
      <w:startOverride w:val="1"/>
    </w:lvlOverride>
  </w:num>
  <w:num w:numId="38" w16cid:durableId="246689910">
    <w:abstractNumId w:val="25"/>
  </w:num>
  <w:num w:numId="39" w16cid:durableId="1755778916">
    <w:abstractNumId w:val="19"/>
  </w:num>
  <w:num w:numId="40" w16cid:durableId="307176929">
    <w:abstractNumId w:val="21"/>
  </w:num>
  <w:num w:numId="41" w16cid:durableId="756753686">
    <w:abstractNumId w:val="27"/>
  </w:num>
  <w:num w:numId="42" w16cid:durableId="673455505">
    <w:abstractNumId w:val="11"/>
  </w:num>
  <w:num w:numId="43" w16cid:durableId="1561598640">
    <w:abstractNumId w:val="14"/>
  </w:num>
  <w:num w:numId="44" w16cid:durableId="1393387896">
    <w:abstractNumId w:val="24"/>
  </w:num>
  <w:num w:numId="45" w16cid:durableId="669285865">
    <w:abstractNumId w:val="26"/>
  </w:num>
  <w:num w:numId="46" w16cid:durableId="178672816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0" w:nlCheck="1" w:checkStyle="0"/>
  <w:activeWritingStyle w:appName="MSWord" w:lang="en-AU"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36"/>
    <w:rsid w:val="000102CD"/>
    <w:rsid w:val="000109F5"/>
    <w:rsid w:val="00013113"/>
    <w:rsid w:val="0001465C"/>
    <w:rsid w:val="00015101"/>
    <w:rsid w:val="000203E9"/>
    <w:rsid w:val="00027038"/>
    <w:rsid w:val="0003154E"/>
    <w:rsid w:val="00031C3A"/>
    <w:rsid w:val="000328DF"/>
    <w:rsid w:val="0003395F"/>
    <w:rsid w:val="00035963"/>
    <w:rsid w:val="00036162"/>
    <w:rsid w:val="00036586"/>
    <w:rsid w:val="000371BC"/>
    <w:rsid w:val="00037513"/>
    <w:rsid w:val="0004246F"/>
    <w:rsid w:val="00042916"/>
    <w:rsid w:val="00050E9A"/>
    <w:rsid w:val="0005170F"/>
    <w:rsid w:val="0005464A"/>
    <w:rsid w:val="000558ED"/>
    <w:rsid w:val="00057763"/>
    <w:rsid w:val="00060657"/>
    <w:rsid w:val="00063DA8"/>
    <w:rsid w:val="0006627F"/>
    <w:rsid w:val="00067D86"/>
    <w:rsid w:val="0007179E"/>
    <w:rsid w:val="000758E3"/>
    <w:rsid w:val="00077EAC"/>
    <w:rsid w:val="0008626E"/>
    <w:rsid w:val="000B02F4"/>
    <w:rsid w:val="000B3417"/>
    <w:rsid w:val="000B4CF1"/>
    <w:rsid w:val="000B6A28"/>
    <w:rsid w:val="000C0446"/>
    <w:rsid w:val="000C669B"/>
    <w:rsid w:val="000C7011"/>
    <w:rsid w:val="000D1ED4"/>
    <w:rsid w:val="000D4815"/>
    <w:rsid w:val="000D693C"/>
    <w:rsid w:val="000D6AC5"/>
    <w:rsid w:val="000D749D"/>
    <w:rsid w:val="000E0A07"/>
    <w:rsid w:val="000E0E7A"/>
    <w:rsid w:val="000E23AC"/>
    <w:rsid w:val="000E27BD"/>
    <w:rsid w:val="000E5B4B"/>
    <w:rsid w:val="00101162"/>
    <w:rsid w:val="00103582"/>
    <w:rsid w:val="00104F43"/>
    <w:rsid w:val="00106321"/>
    <w:rsid w:val="00113D72"/>
    <w:rsid w:val="00115264"/>
    <w:rsid w:val="001167CC"/>
    <w:rsid w:val="00117A77"/>
    <w:rsid w:val="001207A0"/>
    <w:rsid w:val="001232AF"/>
    <w:rsid w:val="001255AA"/>
    <w:rsid w:val="00130516"/>
    <w:rsid w:val="001312FF"/>
    <w:rsid w:val="00143FFA"/>
    <w:rsid w:val="00144773"/>
    <w:rsid w:val="00160787"/>
    <w:rsid w:val="001611BF"/>
    <w:rsid w:val="00165958"/>
    <w:rsid w:val="0017057D"/>
    <w:rsid w:val="00173C03"/>
    <w:rsid w:val="00173C4D"/>
    <w:rsid w:val="0017436A"/>
    <w:rsid w:val="00176C32"/>
    <w:rsid w:val="00177C1F"/>
    <w:rsid w:val="00177CB2"/>
    <w:rsid w:val="00182858"/>
    <w:rsid w:val="00190395"/>
    <w:rsid w:val="00192A9F"/>
    <w:rsid w:val="00193A2C"/>
    <w:rsid w:val="001954B4"/>
    <w:rsid w:val="001A0CAE"/>
    <w:rsid w:val="001A2BE2"/>
    <w:rsid w:val="001A3BE8"/>
    <w:rsid w:val="001A5542"/>
    <w:rsid w:val="001B19EA"/>
    <w:rsid w:val="001B2C89"/>
    <w:rsid w:val="001B2D56"/>
    <w:rsid w:val="001B37AF"/>
    <w:rsid w:val="001B38AB"/>
    <w:rsid w:val="001B41E4"/>
    <w:rsid w:val="001B4EE6"/>
    <w:rsid w:val="001B73E2"/>
    <w:rsid w:val="001B7E79"/>
    <w:rsid w:val="001C0480"/>
    <w:rsid w:val="001C5C82"/>
    <w:rsid w:val="001C6C07"/>
    <w:rsid w:val="001C710A"/>
    <w:rsid w:val="001C7E52"/>
    <w:rsid w:val="001D7F4D"/>
    <w:rsid w:val="001E50B0"/>
    <w:rsid w:val="001E7BEB"/>
    <w:rsid w:val="001F0B08"/>
    <w:rsid w:val="001F6307"/>
    <w:rsid w:val="001F69EF"/>
    <w:rsid w:val="0021173F"/>
    <w:rsid w:val="00212015"/>
    <w:rsid w:val="00212443"/>
    <w:rsid w:val="00217A6F"/>
    <w:rsid w:val="00220DDA"/>
    <w:rsid w:val="00227722"/>
    <w:rsid w:val="00227DB5"/>
    <w:rsid w:val="002304B4"/>
    <w:rsid w:val="00230A67"/>
    <w:rsid w:val="00232710"/>
    <w:rsid w:val="00232964"/>
    <w:rsid w:val="00233F66"/>
    <w:rsid w:val="002356F8"/>
    <w:rsid w:val="002420B0"/>
    <w:rsid w:val="002458C4"/>
    <w:rsid w:val="00245E38"/>
    <w:rsid w:val="00253AA7"/>
    <w:rsid w:val="00257AE7"/>
    <w:rsid w:val="00261BE8"/>
    <w:rsid w:val="0026634E"/>
    <w:rsid w:val="0026648E"/>
    <w:rsid w:val="00266CCC"/>
    <w:rsid w:val="002726E0"/>
    <w:rsid w:val="00274D42"/>
    <w:rsid w:val="00281445"/>
    <w:rsid w:val="0028266A"/>
    <w:rsid w:val="00282DDF"/>
    <w:rsid w:val="00285CAF"/>
    <w:rsid w:val="002925F4"/>
    <w:rsid w:val="00292DD3"/>
    <w:rsid w:val="00294D7C"/>
    <w:rsid w:val="0029705F"/>
    <w:rsid w:val="002A28A8"/>
    <w:rsid w:val="002A4866"/>
    <w:rsid w:val="002B11C2"/>
    <w:rsid w:val="002B4950"/>
    <w:rsid w:val="002B5716"/>
    <w:rsid w:val="002B661A"/>
    <w:rsid w:val="002C1514"/>
    <w:rsid w:val="002C31A2"/>
    <w:rsid w:val="002C46CA"/>
    <w:rsid w:val="002C6258"/>
    <w:rsid w:val="002C7A05"/>
    <w:rsid w:val="002D2AC1"/>
    <w:rsid w:val="002D55FD"/>
    <w:rsid w:val="002D6B3D"/>
    <w:rsid w:val="002E1968"/>
    <w:rsid w:val="002E272D"/>
    <w:rsid w:val="002E32C7"/>
    <w:rsid w:val="002E4037"/>
    <w:rsid w:val="002E5916"/>
    <w:rsid w:val="002E7B19"/>
    <w:rsid w:val="002F3CB5"/>
    <w:rsid w:val="002F404E"/>
    <w:rsid w:val="002F6B99"/>
    <w:rsid w:val="00301396"/>
    <w:rsid w:val="003030E1"/>
    <w:rsid w:val="0030332C"/>
    <w:rsid w:val="00303C55"/>
    <w:rsid w:val="00307465"/>
    <w:rsid w:val="00311254"/>
    <w:rsid w:val="00311C2D"/>
    <w:rsid w:val="0031310C"/>
    <w:rsid w:val="00316303"/>
    <w:rsid w:val="00317030"/>
    <w:rsid w:val="00321618"/>
    <w:rsid w:val="003315D4"/>
    <w:rsid w:val="00342C74"/>
    <w:rsid w:val="00353E5E"/>
    <w:rsid w:val="00355773"/>
    <w:rsid w:val="00361020"/>
    <w:rsid w:val="00363D31"/>
    <w:rsid w:val="00364D89"/>
    <w:rsid w:val="0036638C"/>
    <w:rsid w:val="00370575"/>
    <w:rsid w:val="003739A0"/>
    <w:rsid w:val="00374D2A"/>
    <w:rsid w:val="0037567B"/>
    <w:rsid w:val="0037686B"/>
    <w:rsid w:val="00376FE6"/>
    <w:rsid w:val="0038465F"/>
    <w:rsid w:val="0038501A"/>
    <w:rsid w:val="00385BD5"/>
    <w:rsid w:val="003863D0"/>
    <w:rsid w:val="00390F8D"/>
    <w:rsid w:val="0039118C"/>
    <w:rsid w:val="003915C8"/>
    <w:rsid w:val="00392101"/>
    <w:rsid w:val="00397435"/>
    <w:rsid w:val="003A7E2F"/>
    <w:rsid w:val="003A7EFA"/>
    <w:rsid w:val="003B780B"/>
    <w:rsid w:val="003C181D"/>
    <w:rsid w:val="003C6606"/>
    <w:rsid w:val="003D2EA4"/>
    <w:rsid w:val="003D3030"/>
    <w:rsid w:val="003D551C"/>
    <w:rsid w:val="003D5DFA"/>
    <w:rsid w:val="003D6446"/>
    <w:rsid w:val="003D676D"/>
    <w:rsid w:val="003E13E1"/>
    <w:rsid w:val="003E40C8"/>
    <w:rsid w:val="003E44BB"/>
    <w:rsid w:val="003E4572"/>
    <w:rsid w:val="003F0796"/>
    <w:rsid w:val="003F1AC6"/>
    <w:rsid w:val="003F23E9"/>
    <w:rsid w:val="003F3C01"/>
    <w:rsid w:val="00401A0F"/>
    <w:rsid w:val="00401A99"/>
    <w:rsid w:val="0040218D"/>
    <w:rsid w:val="004042A3"/>
    <w:rsid w:val="004049BF"/>
    <w:rsid w:val="00404E1F"/>
    <w:rsid w:val="00406D33"/>
    <w:rsid w:val="00406FDF"/>
    <w:rsid w:val="00407318"/>
    <w:rsid w:val="004103B6"/>
    <w:rsid w:val="004164CD"/>
    <w:rsid w:val="00416595"/>
    <w:rsid w:val="0041795D"/>
    <w:rsid w:val="00417DF4"/>
    <w:rsid w:val="004244CF"/>
    <w:rsid w:val="00425135"/>
    <w:rsid w:val="00425965"/>
    <w:rsid w:val="004263C4"/>
    <w:rsid w:val="00433477"/>
    <w:rsid w:val="004335DE"/>
    <w:rsid w:val="00433BE4"/>
    <w:rsid w:val="00435DEC"/>
    <w:rsid w:val="00441CD6"/>
    <w:rsid w:val="00441E9D"/>
    <w:rsid w:val="004425C1"/>
    <w:rsid w:val="004434B2"/>
    <w:rsid w:val="00443F97"/>
    <w:rsid w:val="00444A41"/>
    <w:rsid w:val="0044525C"/>
    <w:rsid w:val="00445C09"/>
    <w:rsid w:val="004460CD"/>
    <w:rsid w:val="00447D9D"/>
    <w:rsid w:val="004505C3"/>
    <w:rsid w:val="00461DD1"/>
    <w:rsid w:val="00464D89"/>
    <w:rsid w:val="00471D6B"/>
    <w:rsid w:val="00473172"/>
    <w:rsid w:val="00475A5A"/>
    <w:rsid w:val="0048667A"/>
    <w:rsid w:val="004878D3"/>
    <w:rsid w:val="00490B90"/>
    <w:rsid w:val="00491A78"/>
    <w:rsid w:val="004958F2"/>
    <w:rsid w:val="00496211"/>
    <w:rsid w:val="00496448"/>
    <w:rsid w:val="00497F2D"/>
    <w:rsid w:val="004A4EC7"/>
    <w:rsid w:val="004B2C90"/>
    <w:rsid w:val="004B3C4A"/>
    <w:rsid w:val="004B4FB8"/>
    <w:rsid w:val="004B7C9B"/>
    <w:rsid w:val="004C0F3E"/>
    <w:rsid w:val="004C17DE"/>
    <w:rsid w:val="004C4418"/>
    <w:rsid w:val="004C6BB9"/>
    <w:rsid w:val="004D3335"/>
    <w:rsid w:val="004D3B84"/>
    <w:rsid w:val="004D6D28"/>
    <w:rsid w:val="004E0C63"/>
    <w:rsid w:val="004E1D44"/>
    <w:rsid w:val="004E47AB"/>
    <w:rsid w:val="004E598E"/>
    <w:rsid w:val="004E73B5"/>
    <w:rsid w:val="004F105B"/>
    <w:rsid w:val="004F13DF"/>
    <w:rsid w:val="004F163D"/>
    <w:rsid w:val="004F4C4F"/>
    <w:rsid w:val="004F4D77"/>
    <w:rsid w:val="004F7236"/>
    <w:rsid w:val="00501768"/>
    <w:rsid w:val="005023DF"/>
    <w:rsid w:val="005122D0"/>
    <w:rsid w:val="00514DC5"/>
    <w:rsid w:val="005202BA"/>
    <w:rsid w:val="00521EDC"/>
    <w:rsid w:val="005226B9"/>
    <w:rsid w:val="00522D9C"/>
    <w:rsid w:val="00527E61"/>
    <w:rsid w:val="00530887"/>
    <w:rsid w:val="005338AE"/>
    <w:rsid w:val="00533C80"/>
    <w:rsid w:val="00542ECD"/>
    <w:rsid w:val="00543C86"/>
    <w:rsid w:val="005478FE"/>
    <w:rsid w:val="00556E3A"/>
    <w:rsid w:val="00560675"/>
    <w:rsid w:val="00560FCA"/>
    <w:rsid w:val="00561D39"/>
    <w:rsid w:val="00561FB9"/>
    <w:rsid w:val="00563000"/>
    <w:rsid w:val="005647ED"/>
    <w:rsid w:val="00564D92"/>
    <w:rsid w:val="00571466"/>
    <w:rsid w:val="005755D6"/>
    <w:rsid w:val="00576572"/>
    <w:rsid w:val="0058002D"/>
    <w:rsid w:val="005818AA"/>
    <w:rsid w:val="00583ACA"/>
    <w:rsid w:val="00584C18"/>
    <w:rsid w:val="00584D63"/>
    <w:rsid w:val="005901FA"/>
    <w:rsid w:val="00591288"/>
    <w:rsid w:val="005917FD"/>
    <w:rsid w:val="0059541A"/>
    <w:rsid w:val="005A3632"/>
    <w:rsid w:val="005A4AA1"/>
    <w:rsid w:val="005A699D"/>
    <w:rsid w:val="005A742E"/>
    <w:rsid w:val="005B10CB"/>
    <w:rsid w:val="005B3358"/>
    <w:rsid w:val="005C0043"/>
    <w:rsid w:val="005C0F15"/>
    <w:rsid w:val="005C32EF"/>
    <w:rsid w:val="005C3C13"/>
    <w:rsid w:val="005C584A"/>
    <w:rsid w:val="005C62CB"/>
    <w:rsid w:val="005D00E4"/>
    <w:rsid w:val="005D0381"/>
    <w:rsid w:val="005D4706"/>
    <w:rsid w:val="005D5F5E"/>
    <w:rsid w:val="005D7618"/>
    <w:rsid w:val="005D7C45"/>
    <w:rsid w:val="005E05EC"/>
    <w:rsid w:val="005E3199"/>
    <w:rsid w:val="005E3226"/>
    <w:rsid w:val="005E32DB"/>
    <w:rsid w:val="005E4F85"/>
    <w:rsid w:val="005F2E87"/>
    <w:rsid w:val="005F3B45"/>
    <w:rsid w:val="005F66F9"/>
    <w:rsid w:val="00601A7B"/>
    <w:rsid w:val="00603F00"/>
    <w:rsid w:val="00604F35"/>
    <w:rsid w:val="00606CF1"/>
    <w:rsid w:val="00610A55"/>
    <w:rsid w:val="00612798"/>
    <w:rsid w:val="00613F08"/>
    <w:rsid w:val="006147EB"/>
    <w:rsid w:val="00615B58"/>
    <w:rsid w:val="00616B9C"/>
    <w:rsid w:val="006200EB"/>
    <w:rsid w:val="00621EA3"/>
    <w:rsid w:val="00623876"/>
    <w:rsid w:val="006266EA"/>
    <w:rsid w:val="00630B03"/>
    <w:rsid w:val="00631F45"/>
    <w:rsid w:val="00632123"/>
    <w:rsid w:val="00634D70"/>
    <w:rsid w:val="00640234"/>
    <w:rsid w:val="00642D6A"/>
    <w:rsid w:val="00642EF8"/>
    <w:rsid w:val="0064343A"/>
    <w:rsid w:val="00653832"/>
    <w:rsid w:val="00660BC5"/>
    <w:rsid w:val="00663FF0"/>
    <w:rsid w:val="00665547"/>
    <w:rsid w:val="00665FB6"/>
    <w:rsid w:val="006666CD"/>
    <w:rsid w:val="00667DBC"/>
    <w:rsid w:val="006766E8"/>
    <w:rsid w:val="00680138"/>
    <w:rsid w:val="0068119C"/>
    <w:rsid w:val="00681DFA"/>
    <w:rsid w:val="006915AA"/>
    <w:rsid w:val="00692EEB"/>
    <w:rsid w:val="006945A3"/>
    <w:rsid w:val="00694D95"/>
    <w:rsid w:val="00695CB5"/>
    <w:rsid w:val="00697B19"/>
    <w:rsid w:val="006A008F"/>
    <w:rsid w:val="006A383C"/>
    <w:rsid w:val="006A5AA6"/>
    <w:rsid w:val="006B0D1B"/>
    <w:rsid w:val="006B1F84"/>
    <w:rsid w:val="006B3835"/>
    <w:rsid w:val="006B6B21"/>
    <w:rsid w:val="006C1F2B"/>
    <w:rsid w:val="006C62B2"/>
    <w:rsid w:val="006C7687"/>
    <w:rsid w:val="006C7E16"/>
    <w:rsid w:val="006D0ACF"/>
    <w:rsid w:val="006D1D5E"/>
    <w:rsid w:val="006D2B80"/>
    <w:rsid w:val="006D4826"/>
    <w:rsid w:val="006E170D"/>
    <w:rsid w:val="006E698B"/>
    <w:rsid w:val="006E7551"/>
    <w:rsid w:val="006F731F"/>
    <w:rsid w:val="006F7EFE"/>
    <w:rsid w:val="00701E75"/>
    <w:rsid w:val="00702CBD"/>
    <w:rsid w:val="00702E8C"/>
    <w:rsid w:val="00706A05"/>
    <w:rsid w:val="00711007"/>
    <w:rsid w:val="007114AC"/>
    <w:rsid w:val="007132E9"/>
    <w:rsid w:val="007151E9"/>
    <w:rsid w:val="0071548B"/>
    <w:rsid w:val="007203C8"/>
    <w:rsid w:val="007203E4"/>
    <w:rsid w:val="007204A9"/>
    <w:rsid w:val="00722D12"/>
    <w:rsid w:val="00723D6F"/>
    <w:rsid w:val="007240CA"/>
    <w:rsid w:val="0072497F"/>
    <w:rsid w:val="00732081"/>
    <w:rsid w:val="00743B31"/>
    <w:rsid w:val="0074565F"/>
    <w:rsid w:val="007461F3"/>
    <w:rsid w:val="0075061A"/>
    <w:rsid w:val="00756929"/>
    <w:rsid w:val="00765B33"/>
    <w:rsid w:val="00767DBB"/>
    <w:rsid w:val="00770EF6"/>
    <w:rsid w:val="00771BF9"/>
    <w:rsid w:val="0077206D"/>
    <w:rsid w:val="00774646"/>
    <w:rsid w:val="00776D82"/>
    <w:rsid w:val="00777DE5"/>
    <w:rsid w:val="00781695"/>
    <w:rsid w:val="007820F5"/>
    <w:rsid w:val="007837FE"/>
    <w:rsid w:val="00784DA0"/>
    <w:rsid w:val="00787CD8"/>
    <w:rsid w:val="00793856"/>
    <w:rsid w:val="007971E4"/>
    <w:rsid w:val="007A02A7"/>
    <w:rsid w:val="007A1EEB"/>
    <w:rsid w:val="007A3F29"/>
    <w:rsid w:val="007A5116"/>
    <w:rsid w:val="007A73F6"/>
    <w:rsid w:val="007B1BD0"/>
    <w:rsid w:val="007B7344"/>
    <w:rsid w:val="007C0935"/>
    <w:rsid w:val="007C771C"/>
    <w:rsid w:val="007D1A5E"/>
    <w:rsid w:val="007D7CD9"/>
    <w:rsid w:val="007E596A"/>
    <w:rsid w:val="007E6D00"/>
    <w:rsid w:val="007E7B68"/>
    <w:rsid w:val="007F2A7D"/>
    <w:rsid w:val="007F31C2"/>
    <w:rsid w:val="007F4E93"/>
    <w:rsid w:val="007F67E0"/>
    <w:rsid w:val="00800A66"/>
    <w:rsid w:val="00801C4F"/>
    <w:rsid w:val="008042B4"/>
    <w:rsid w:val="008046D4"/>
    <w:rsid w:val="00804703"/>
    <w:rsid w:val="00805A5D"/>
    <w:rsid w:val="00810E90"/>
    <w:rsid w:val="00813887"/>
    <w:rsid w:val="0081483E"/>
    <w:rsid w:val="00820415"/>
    <w:rsid w:val="00823F98"/>
    <w:rsid w:val="008244C6"/>
    <w:rsid w:val="00825974"/>
    <w:rsid w:val="00825DED"/>
    <w:rsid w:val="00831F64"/>
    <w:rsid w:val="00833792"/>
    <w:rsid w:val="0083467D"/>
    <w:rsid w:val="00836A54"/>
    <w:rsid w:val="008370A8"/>
    <w:rsid w:val="00837707"/>
    <w:rsid w:val="00841433"/>
    <w:rsid w:val="0084462C"/>
    <w:rsid w:val="00846743"/>
    <w:rsid w:val="00846866"/>
    <w:rsid w:val="008500C0"/>
    <w:rsid w:val="00850888"/>
    <w:rsid w:val="00852F35"/>
    <w:rsid w:val="008531A6"/>
    <w:rsid w:val="00856B74"/>
    <w:rsid w:val="00857363"/>
    <w:rsid w:val="008630ED"/>
    <w:rsid w:val="0086394C"/>
    <w:rsid w:val="008667C4"/>
    <w:rsid w:val="00875C91"/>
    <w:rsid w:val="0087619F"/>
    <w:rsid w:val="00876686"/>
    <w:rsid w:val="00876A08"/>
    <w:rsid w:val="00880485"/>
    <w:rsid w:val="00881A82"/>
    <w:rsid w:val="00883248"/>
    <w:rsid w:val="008842FE"/>
    <w:rsid w:val="00886A22"/>
    <w:rsid w:val="00890D44"/>
    <w:rsid w:val="008921BE"/>
    <w:rsid w:val="00892D49"/>
    <w:rsid w:val="00893137"/>
    <w:rsid w:val="008A0614"/>
    <w:rsid w:val="008A3133"/>
    <w:rsid w:val="008A45F8"/>
    <w:rsid w:val="008A51FD"/>
    <w:rsid w:val="008A69F0"/>
    <w:rsid w:val="008B0957"/>
    <w:rsid w:val="008B28D9"/>
    <w:rsid w:val="008B44F5"/>
    <w:rsid w:val="008B59CF"/>
    <w:rsid w:val="008B7808"/>
    <w:rsid w:val="008B78D1"/>
    <w:rsid w:val="008C1E66"/>
    <w:rsid w:val="008C45FF"/>
    <w:rsid w:val="008C47A1"/>
    <w:rsid w:val="008C738F"/>
    <w:rsid w:val="008D18C1"/>
    <w:rsid w:val="008D5F4B"/>
    <w:rsid w:val="008D6B9E"/>
    <w:rsid w:val="008E005C"/>
    <w:rsid w:val="008E1024"/>
    <w:rsid w:val="008E1FCD"/>
    <w:rsid w:val="008E5613"/>
    <w:rsid w:val="008E6252"/>
    <w:rsid w:val="008E641F"/>
    <w:rsid w:val="008F352D"/>
    <w:rsid w:val="008F4C6A"/>
    <w:rsid w:val="00906D5D"/>
    <w:rsid w:val="0091141A"/>
    <w:rsid w:val="0091143A"/>
    <w:rsid w:val="009124E8"/>
    <w:rsid w:val="0091347B"/>
    <w:rsid w:val="009137B6"/>
    <w:rsid w:val="00913ED0"/>
    <w:rsid w:val="009264D4"/>
    <w:rsid w:val="00927650"/>
    <w:rsid w:val="00930578"/>
    <w:rsid w:val="0093222B"/>
    <w:rsid w:val="00932DE1"/>
    <w:rsid w:val="00935EA5"/>
    <w:rsid w:val="00936C83"/>
    <w:rsid w:val="00937A52"/>
    <w:rsid w:val="009418EB"/>
    <w:rsid w:val="00942CB6"/>
    <w:rsid w:val="00942CE9"/>
    <w:rsid w:val="009433AF"/>
    <w:rsid w:val="00944A0A"/>
    <w:rsid w:val="00944CCF"/>
    <w:rsid w:val="00945E1B"/>
    <w:rsid w:val="00952B69"/>
    <w:rsid w:val="00954FF2"/>
    <w:rsid w:val="009615D2"/>
    <w:rsid w:val="00962EE8"/>
    <w:rsid w:val="009673B5"/>
    <w:rsid w:val="00971222"/>
    <w:rsid w:val="00972377"/>
    <w:rsid w:val="00972C50"/>
    <w:rsid w:val="00974666"/>
    <w:rsid w:val="0097491E"/>
    <w:rsid w:val="00976EE9"/>
    <w:rsid w:val="00977EBA"/>
    <w:rsid w:val="00984376"/>
    <w:rsid w:val="009859FA"/>
    <w:rsid w:val="00991110"/>
    <w:rsid w:val="00991C32"/>
    <w:rsid w:val="0099693A"/>
    <w:rsid w:val="009A43DE"/>
    <w:rsid w:val="009A6120"/>
    <w:rsid w:val="009A6B1D"/>
    <w:rsid w:val="009A6D9C"/>
    <w:rsid w:val="009B1378"/>
    <w:rsid w:val="009B2F32"/>
    <w:rsid w:val="009B72C9"/>
    <w:rsid w:val="009C051A"/>
    <w:rsid w:val="009C139B"/>
    <w:rsid w:val="009C1C31"/>
    <w:rsid w:val="009C529C"/>
    <w:rsid w:val="009C5B8C"/>
    <w:rsid w:val="009C60F6"/>
    <w:rsid w:val="009D2232"/>
    <w:rsid w:val="009D601F"/>
    <w:rsid w:val="009D789B"/>
    <w:rsid w:val="009E4002"/>
    <w:rsid w:val="009E5C18"/>
    <w:rsid w:val="009E64E8"/>
    <w:rsid w:val="009F0889"/>
    <w:rsid w:val="009F5A34"/>
    <w:rsid w:val="009F69BD"/>
    <w:rsid w:val="009F6A0F"/>
    <w:rsid w:val="009F7EA6"/>
    <w:rsid w:val="00A008E6"/>
    <w:rsid w:val="00A008F6"/>
    <w:rsid w:val="00A00DE3"/>
    <w:rsid w:val="00A04ACF"/>
    <w:rsid w:val="00A12C83"/>
    <w:rsid w:val="00A1585F"/>
    <w:rsid w:val="00A158D4"/>
    <w:rsid w:val="00A16996"/>
    <w:rsid w:val="00A17097"/>
    <w:rsid w:val="00A209B3"/>
    <w:rsid w:val="00A21BFA"/>
    <w:rsid w:val="00A2270E"/>
    <w:rsid w:val="00A269B3"/>
    <w:rsid w:val="00A26D73"/>
    <w:rsid w:val="00A31CD9"/>
    <w:rsid w:val="00A3440B"/>
    <w:rsid w:val="00A35E13"/>
    <w:rsid w:val="00A37751"/>
    <w:rsid w:val="00A43C1E"/>
    <w:rsid w:val="00A47011"/>
    <w:rsid w:val="00A51597"/>
    <w:rsid w:val="00A54E1B"/>
    <w:rsid w:val="00A564E6"/>
    <w:rsid w:val="00A56821"/>
    <w:rsid w:val="00A56848"/>
    <w:rsid w:val="00A57820"/>
    <w:rsid w:val="00A60412"/>
    <w:rsid w:val="00A62EF3"/>
    <w:rsid w:val="00A67EC4"/>
    <w:rsid w:val="00A71346"/>
    <w:rsid w:val="00A72735"/>
    <w:rsid w:val="00A72C23"/>
    <w:rsid w:val="00A75C18"/>
    <w:rsid w:val="00A918A7"/>
    <w:rsid w:val="00A91FBC"/>
    <w:rsid w:val="00A934C4"/>
    <w:rsid w:val="00A93D1B"/>
    <w:rsid w:val="00A95218"/>
    <w:rsid w:val="00A965EF"/>
    <w:rsid w:val="00A97664"/>
    <w:rsid w:val="00AA2158"/>
    <w:rsid w:val="00AA5F0B"/>
    <w:rsid w:val="00AA705F"/>
    <w:rsid w:val="00AA7F82"/>
    <w:rsid w:val="00AB2696"/>
    <w:rsid w:val="00AB583E"/>
    <w:rsid w:val="00AB6B14"/>
    <w:rsid w:val="00AB75F7"/>
    <w:rsid w:val="00AC0A35"/>
    <w:rsid w:val="00AC2CDC"/>
    <w:rsid w:val="00AC5304"/>
    <w:rsid w:val="00AD5237"/>
    <w:rsid w:val="00AD7805"/>
    <w:rsid w:val="00AE0C6D"/>
    <w:rsid w:val="00AE39E1"/>
    <w:rsid w:val="00AF080A"/>
    <w:rsid w:val="00AF0832"/>
    <w:rsid w:val="00B0164A"/>
    <w:rsid w:val="00B016AD"/>
    <w:rsid w:val="00B05561"/>
    <w:rsid w:val="00B05FFD"/>
    <w:rsid w:val="00B13935"/>
    <w:rsid w:val="00B13CBD"/>
    <w:rsid w:val="00B2045F"/>
    <w:rsid w:val="00B21608"/>
    <w:rsid w:val="00B21E9B"/>
    <w:rsid w:val="00B32CE9"/>
    <w:rsid w:val="00B34415"/>
    <w:rsid w:val="00B440E3"/>
    <w:rsid w:val="00B45A70"/>
    <w:rsid w:val="00B5013D"/>
    <w:rsid w:val="00B50E0A"/>
    <w:rsid w:val="00B53D8D"/>
    <w:rsid w:val="00B56736"/>
    <w:rsid w:val="00B56ECE"/>
    <w:rsid w:val="00B61AE9"/>
    <w:rsid w:val="00B62A0F"/>
    <w:rsid w:val="00B64324"/>
    <w:rsid w:val="00B6596F"/>
    <w:rsid w:val="00B65F45"/>
    <w:rsid w:val="00B70A45"/>
    <w:rsid w:val="00B746ED"/>
    <w:rsid w:val="00B74924"/>
    <w:rsid w:val="00B76FEE"/>
    <w:rsid w:val="00B818B4"/>
    <w:rsid w:val="00B820BA"/>
    <w:rsid w:val="00B82A65"/>
    <w:rsid w:val="00B85BEA"/>
    <w:rsid w:val="00B922B2"/>
    <w:rsid w:val="00B95C8F"/>
    <w:rsid w:val="00B97500"/>
    <w:rsid w:val="00B9781B"/>
    <w:rsid w:val="00BA3D8E"/>
    <w:rsid w:val="00BA43C9"/>
    <w:rsid w:val="00BA4ADB"/>
    <w:rsid w:val="00BA66D7"/>
    <w:rsid w:val="00BA68AA"/>
    <w:rsid w:val="00BB04DC"/>
    <w:rsid w:val="00BB1526"/>
    <w:rsid w:val="00BB2D95"/>
    <w:rsid w:val="00BB38C3"/>
    <w:rsid w:val="00BB3D4D"/>
    <w:rsid w:val="00BB64EC"/>
    <w:rsid w:val="00BB79E5"/>
    <w:rsid w:val="00BC0BF7"/>
    <w:rsid w:val="00BC0ED5"/>
    <w:rsid w:val="00BC1E8D"/>
    <w:rsid w:val="00BC330E"/>
    <w:rsid w:val="00BC394B"/>
    <w:rsid w:val="00BC535A"/>
    <w:rsid w:val="00BC5893"/>
    <w:rsid w:val="00BD141C"/>
    <w:rsid w:val="00BD171D"/>
    <w:rsid w:val="00BD25DD"/>
    <w:rsid w:val="00BD37B8"/>
    <w:rsid w:val="00BD3F5E"/>
    <w:rsid w:val="00BD57F5"/>
    <w:rsid w:val="00BD7890"/>
    <w:rsid w:val="00BE07B3"/>
    <w:rsid w:val="00BE281D"/>
    <w:rsid w:val="00BE48A4"/>
    <w:rsid w:val="00BE56F0"/>
    <w:rsid w:val="00BF17B9"/>
    <w:rsid w:val="00BF5778"/>
    <w:rsid w:val="00BF5A50"/>
    <w:rsid w:val="00BF5F61"/>
    <w:rsid w:val="00BF7349"/>
    <w:rsid w:val="00C0422C"/>
    <w:rsid w:val="00C066BA"/>
    <w:rsid w:val="00C06D95"/>
    <w:rsid w:val="00C12D35"/>
    <w:rsid w:val="00C1330C"/>
    <w:rsid w:val="00C13746"/>
    <w:rsid w:val="00C17807"/>
    <w:rsid w:val="00C22088"/>
    <w:rsid w:val="00C2307F"/>
    <w:rsid w:val="00C2371A"/>
    <w:rsid w:val="00C240B8"/>
    <w:rsid w:val="00C264AE"/>
    <w:rsid w:val="00C31252"/>
    <w:rsid w:val="00C32B1E"/>
    <w:rsid w:val="00C332B2"/>
    <w:rsid w:val="00C34227"/>
    <w:rsid w:val="00C44076"/>
    <w:rsid w:val="00C4602E"/>
    <w:rsid w:val="00C46578"/>
    <w:rsid w:val="00C47620"/>
    <w:rsid w:val="00C5293B"/>
    <w:rsid w:val="00C53068"/>
    <w:rsid w:val="00C56E3A"/>
    <w:rsid w:val="00C61719"/>
    <w:rsid w:val="00C65612"/>
    <w:rsid w:val="00C670E8"/>
    <w:rsid w:val="00C674C2"/>
    <w:rsid w:val="00C70947"/>
    <w:rsid w:val="00C73AF6"/>
    <w:rsid w:val="00C84BDF"/>
    <w:rsid w:val="00C84DD4"/>
    <w:rsid w:val="00C86CDB"/>
    <w:rsid w:val="00C95ECB"/>
    <w:rsid w:val="00C969DC"/>
    <w:rsid w:val="00C976F9"/>
    <w:rsid w:val="00CA3925"/>
    <w:rsid w:val="00CA3B0F"/>
    <w:rsid w:val="00CA75F7"/>
    <w:rsid w:val="00CB11F0"/>
    <w:rsid w:val="00CB182D"/>
    <w:rsid w:val="00CB2D37"/>
    <w:rsid w:val="00CB44FA"/>
    <w:rsid w:val="00CB4E08"/>
    <w:rsid w:val="00CB7226"/>
    <w:rsid w:val="00CB7E98"/>
    <w:rsid w:val="00CC1F7D"/>
    <w:rsid w:val="00CC43D6"/>
    <w:rsid w:val="00CC6110"/>
    <w:rsid w:val="00CC637E"/>
    <w:rsid w:val="00CC6D68"/>
    <w:rsid w:val="00CD17DB"/>
    <w:rsid w:val="00CD192D"/>
    <w:rsid w:val="00CD3644"/>
    <w:rsid w:val="00CD4319"/>
    <w:rsid w:val="00CE57BF"/>
    <w:rsid w:val="00CE5DC0"/>
    <w:rsid w:val="00CE6BAF"/>
    <w:rsid w:val="00CF0DE3"/>
    <w:rsid w:val="00CF3A2E"/>
    <w:rsid w:val="00CF6B45"/>
    <w:rsid w:val="00D03799"/>
    <w:rsid w:val="00D03B15"/>
    <w:rsid w:val="00D04E61"/>
    <w:rsid w:val="00D10635"/>
    <w:rsid w:val="00D11A9A"/>
    <w:rsid w:val="00D121C6"/>
    <w:rsid w:val="00D17A95"/>
    <w:rsid w:val="00D20BBF"/>
    <w:rsid w:val="00D21D9E"/>
    <w:rsid w:val="00D22740"/>
    <w:rsid w:val="00D33677"/>
    <w:rsid w:val="00D500C1"/>
    <w:rsid w:val="00D525B8"/>
    <w:rsid w:val="00D63098"/>
    <w:rsid w:val="00D63AA9"/>
    <w:rsid w:val="00D64E4E"/>
    <w:rsid w:val="00D75DE9"/>
    <w:rsid w:val="00D82F07"/>
    <w:rsid w:val="00D84122"/>
    <w:rsid w:val="00D90107"/>
    <w:rsid w:val="00D90C71"/>
    <w:rsid w:val="00D91024"/>
    <w:rsid w:val="00D91E5A"/>
    <w:rsid w:val="00DA18A2"/>
    <w:rsid w:val="00DA3E94"/>
    <w:rsid w:val="00DA40A5"/>
    <w:rsid w:val="00DA60B3"/>
    <w:rsid w:val="00DB00C8"/>
    <w:rsid w:val="00DB6C76"/>
    <w:rsid w:val="00DC26DD"/>
    <w:rsid w:val="00DC6CF7"/>
    <w:rsid w:val="00DD1329"/>
    <w:rsid w:val="00DD1D15"/>
    <w:rsid w:val="00DD1DE9"/>
    <w:rsid w:val="00DD3F82"/>
    <w:rsid w:val="00DD4880"/>
    <w:rsid w:val="00DD615D"/>
    <w:rsid w:val="00DE052A"/>
    <w:rsid w:val="00DE2C0E"/>
    <w:rsid w:val="00DE7795"/>
    <w:rsid w:val="00DF2F8D"/>
    <w:rsid w:val="00DF6C57"/>
    <w:rsid w:val="00DF6C9B"/>
    <w:rsid w:val="00E002A9"/>
    <w:rsid w:val="00E00912"/>
    <w:rsid w:val="00E046FB"/>
    <w:rsid w:val="00E04A5E"/>
    <w:rsid w:val="00E05FA4"/>
    <w:rsid w:val="00E065BB"/>
    <w:rsid w:val="00E100E9"/>
    <w:rsid w:val="00E13603"/>
    <w:rsid w:val="00E13993"/>
    <w:rsid w:val="00E149D2"/>
    <w:rsid w:val="00E155C1"/>
    <w:rsid w:val="00E15984"/>
    <w:rsid w:val="00E15E8D"/>
    <w:rsid w:val="00E21038"/>
    <w:rsid w:val="00E21122"/>
    <w:rsid w:val="00E224F4"/>
    <w:rsid w:val="00E24246"/>
    <w:rsid w:val="00E2753F"/>
    <w:rsid w:val="00E330AB"/>
    <w:rsid w:val="00E43609"/>
    <w:rsid w:val="00E47BF3"/>
    <w:rsid w:val="00E47F04"/>
    <w:rsid w:val="00E60630"/>
    <w:rsid w:val="00E61810"/>
    <w:rsid w:val="00E64756"/>
    <w:rsid w:val="00E64E22"/>
    <w:rsid w:val="00E84E98"/>
    <w:rsid w:val="00E84F06"/>
    <w:rsid w:val="00E902B0"/>
    <w:rsid w:val="00E91560"/>
    <w:rsid w:val="00E92551"/>
    <w:rsid w:val="00E92A73"/>
    <w:rsid w:val="00E935FD"/>
    <w:rsid w:val="00E94AC5"/>
    <w:rsid w:val="00E95BA9"/>
    <w:rsid w:val="00E97AF9"/>
    <w:rsid w:val="00EA1D8E"/>
    <w:rsid w:val="00EA287E"/>
    <w:rsid w:val="00EA364A"/>
    <w:rsid w:val="00EA4C6C"/>
    <w:rsid w:val="00EA6068"/>
    <w:rsid w:val="00EA6FEF"/>
    <w:rsid w:val="00EB7292"/>
    <w:rsid w:val="00EB763B"/>
    <w:rsid w:val="00EB7E1D"/>
    <w:rsid w:val="00EC188E"/>
    <w:rsid w:val="00EC32F6"/>
    <w:rsid w:val="00EC6D96"/>
    <w:rsid w:val="00EC7406"/>
    <w:rsid w:val="00ED0450"/>
    <w:rsid w:val="00ED0697"/>
    <w:rsid w:val="00ED1F7B"/>
    <w:rsid w:val="00ED2B12"/>
    <w:rsid w:val="00ED42D3"/>
    <w:rsid w:val="00EE0B44"/>
    <w:rsid w:val="00EE2E3F"/>
    <w:rsid w:val="00EE3D67"/>
    <w:rsid w:val="00EE472C"/>
    <w:rsid w:val="00EF12CD"/>
    <w:rsid w:val="00EF183B"/>
    <w:rsid w:val="00F02051"/>
    <w:rsid w:val="00F03073"/>
    <w:rsid w:val="00F04EAF"/>
    <w:rsid w:val="00F052D8"/>
    <w:rsid w:val="00F05614"/>
    <w:rsid w:val="00F0697B"/>
    <w:rsid w:val="00F109A1"/>
    <w:rsid w:val="00F13A7A"/>
    <w:rsid w:val="00F24405"/>
    <w:rsid w:val="00F33F75"/>
    <w:rsid w:val="00F34840"/>
    <w:rsid w:val="00F41A18"/>
    <w:rsid w:val="00F41C01"/>
    <w:rsid w:val="00F47E9C"/>
    <w:rsid w:val="00F47F7D"/>
    <w:rsid w:val="00F53143"/>
    <w:rsid w:val="00F568A6"/>
    <w:rsid w:val="00F63EFD"/>
    <w:rsid w:val="00F64736"/>
    <w:rsid w:val="00F66078"/>
    <w:rsid w:val="00F67E54"/>
    <w:rsid w:val="00F72DB4"/>
    <w:rsid w:val="00F74230"/>
    <w:rsid w:val="00F80AD0"/>
    <w:rsid w:val="00F80EF4"/>
    <w:rsid w:val="00F834BD"/>
    <w:rsid w:val="00F837E6"/>
    <w:rsid w:val="00F84847"/>
    <w:rsid w:val="00F84A25"/>
    <w:rsid w:val="00F862D1"/>
    <w:rsid w:val="00F86700"/>
    <w:rsid w:val="00F86EA9"/>
    <w:rsid w:val="00F87586"/>
    <w:rsid w:val="00F9225C"/>
    <w:rsid w:val="00F957C6"/>
    <w:rsid w:val="00FA2596"/>
    <w:rsid w:val="00FA47DE"/>
    <w:rsid w:val="00FB3B23"/>
    <w:rsid w:val="00FB4C2D"/>
    <w:rsid w:val="00FB73F0"/>
    <w:rsid w:val="00FB7825"/>
    <w:rsid w:val="00FC50CB"/>
    <w:rsid w:val="00FC6DDE"/>
    <w:rsid w:val="00FC7A0E"/>
    <w:rsid w:val="00FD1ECD"/>
    <w:rsid w:val="00FD20A5"/>
    <w:rsid w:val="00FD2C22"/>
    <w:rsid w:val="00FD4A7E"/>
    <w:rsid w:val="00FD6FD8"/>
    <w:rsid w:val="00FE0D2E"/>
    <w:rsid w:val="00FE2C7F"/>
    <w:rsid w:val="00FE4F02"/>
    <w:rsid w:val="00FF0D83"/>
    <w:rsid w:val="00FF44D9"/>
    <w:rsid w:val="00FF4D08"/>
    <w:rsid w:val="00FF75BA"/>
    <w:rsid w:val="00FF7FF5"/>
    <w:rsid w:val="0184DB0E"/>
    <w:rsid w:val="092D3977"/>
    <w:rsid w:val="0964A541"/>
    <w:rsid w:val="0E6845A0"/>
    <w:rsid w:val="13B33AE0"/>
    <w:rsid w:val="13BEC7A0"/>
    <w:rsid w:val="16EA1C30"/>
    <w:rsid w:val="1914DEE4"/>
    <w:rsid w:val="199F0A4E"/>
    <w:rsid w:val="1A01EE89"/>
    <w:rsid w:val="1EE18650"/>
    <w:rsid w:val="20EBADF4"/>
    <w:rsid w:val="245ECE79"/>
    <w:rsid w:val="2CD129EB"/>
    <w:rsid w:val="2F4CB465"/>
    <w:rsid w:val="39FB42AC"/>
    <w:rsid w:val="3C90C16F"/>
    <w:rsid w:val="43EDF0F0"/>
    <w:rsid w:val="49544A4A"/>
    <w:rsid w:val="4EFFEEB6"/>
    <w:rsid w:val="524A5396"/>
    <w:rsid w:val="53F833C9"/>
    <w:rsid w:val="66154C2A"/>
    <w:rsid w:val="6E0654F5"/>
    <w:rsid w:val="7384B679"/>
    <w:rsid w:val="73FBD788"/>
    <w:rsid w:val="776E8780"/>
    <w:rsid w:val="7ABE44E5"/>
    <w:rsid w:val="7EAA248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E97F3"/>
  <w14:discardImageEditingDat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AU"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8"/>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9"/>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16" w:qFormat="1"/>
    <w:lsdException w:name="Intense Quote" w:uiPriority="1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34E"/>
    <w:pPr>
      <w:spacing w:after="160" w:line="264" w:lineRule="auto"/>
    </w:pPr>
    <w:rPr>
      <w:color w:val="262626" w:themeColor="text1" w:themeTint="D9"/>
      <w:sz w:val="22"/>
    </w:rPr>
  </w:style>
  <w:style w:type="paragraph" w:styleId="Heading1">
    <w:name w:val="heading 1"/>
    <w:basedOn w:val="Normal"/>
    <w:next w:val="Normal"/>
    <w:link w:val="Heading1Char"/>
    <w:uiPriority w:val="2"/>
    <w:qFormat/>
    <w:rsid w:val="0091141A"/>
    <w:pPr>
      <w:keepNext/>
      <w:keepLines/>
      <w:spacing w:before="360" w:line="240" w:lineRule="auto"/>
      <w:outlineLvl w:val="0"/>
    </w:pPr>
    <w:rPr>
      <w:rFonts w:eastAsiaTheme="majorEastAsia" w:cstheme="minorHAnsi"/>
      <w:b/>
      <w:bCs/>
      <w:noProof/>
      <w:color w:val="007279" w:themeColor="accent1"/>
      <w:sz w:val="32"/>
      <w:szCs w:val="24"/>
    </w:rPr>
  </w:style>
  <w:style w:type="paragraph" w:styleId="Heading2">
    <w:name w:val="heading 2"/>
    <w:basedOn w:val="Normal"/>
    <w:next w:val="Normal"/>
    <w:link w:val="Heading2Char"/>
    <w:uiPriority w:val="2"/>
    <w:qFormat/>
    <w:rsid w:val="0091141A"/>
    <w:pPr>
      <w:keepNext/>
      <w:keepLines/>
      <w:spacing w:before="240" w:line="240" w:lineRule="auto"/>
      <w:outlineLvl w:val="1"/>
    </w:pPr>
    <w:rPr>
      <w:rFonts w:eastAsiaTheme="majorEastAsia" w:cstheme="minorHAnsi"/>
      <w:color w:val="007279" w:themeColor="accent1"/>
      <w:sz w:val="28"/>
      <w:szCs w:val="22"/>
    </w:rPr>
  </w:style>
  <w:style w:type="paragraph" w:styleId="Heading3">
    <w:name w:val="heading 3"/>
    <w:basedOn w:val="Heading4"/>
    <w:next w:val="Normal"/>
    <w:link w:val="Heading3Char"/>
    <w:uiPriority w:val="2"/>
    <w:qFormat/>
    <w:rsid w:val="00AE39E1"/>
    <w:pPr>
      <w:outlineLvl w:val="2"/>
    </w:pPr>
    <w:rPr>
      <w:color w:val="262626" w:themeColor="text1" w:themeTint="D9"/>
      <w:sz w:val="24"/>
      <w:szCs w:val="24"/>
    </w:rPr>
  </w:style>
  <w:style w:type="paragraph" w:styleId="Heading4">
    <w:name w:val="heading 4"/>
    <w:basedOn w:val="Normal"/>
    <w:next w:val="Normal"/>
    <w:link w:val="Heading4Char"/>
    <w:uiPriority w:val="2"/>
    <w:rsid w:val="006147EB"/>
    <w:pPr>
      <w:keepNext/>
      <w:keepLines/>
      <w:spacing w:before="240"/>
      <w:outlineLvl w:val="3"/>
    </w:pPr>
    <w:rPr>
      <w:rFonts w:eastAsiaTheme="majorEastAsia" w:cstheme="minorHAnsi"/>
      <w:b/>
      <w:color w:val="3266AB"/>
      <w:szCs w:val="22"/>
    </w:rPr>
  </w:style>
  <w:style w:type="paragraph" w:styleId="Heading5">
    <w:name w:val="heading 5"/>
    <w:basedOn w:val="Normal"/>
    <w:next w:val="Normal"/>
    <w:link w:val="Heading5Char"/>
    <w:uiPriority w:val="2"/>
    <w:unhideWhenUsed/>
    <w:rsid w:val="00857363"/>
    <w:pPr>
      <w:keepNext/>
      <w:keepLines/>
      <w:spacing w:before="240"/>
      <w:outlineLvl w:val="4"/>
    </w:pPr>
    <w:rPr>
      <w:rFonts w:eastAsiaTheme="majorEastAsia" w:cstheme="majorBidi"/>
      <w:iCs/>
      <w:color w:val="3266AB"/>
      <w:szCs w:val="22"/>
    </w:rPr>
  </w:style>
  <w:style w:type="paragraph" w:styleId="Heading6">
    <w:name w:val="heading 6"/>
    <w:basedOn w:val="Normal"/>
    <w:next w:val="Normal"/>
    <w:link w:val="Heading6Char"/>
    <w:uiPriority w:val="2"/>
    <w:unhideWhenUsed/>
    <w:rsid w:val="006200EB"/>
    <w:pPr>
      <w:keepNext/>
      <w:keepLines/>
      <w:spacing w:before="240"/>
      <w:outlineLvl w:val="5"/>
    </w:pPr>
    <w:rPr>
      <w:rFonts w:asciiTheme="majorHAnsi" w:eastAsiaTheme="majorEastAsia" w:hAnsiTheme="majorHAnsi" w:cstheme="majorBidi"/>
      <w:color w:val="3266AB"/>
    </w:rPr>
  </w:style>
  <w:style w:type="paragraph" w:styleId="Heading7">
    <w:name w:val="heading 7"/>
    <w:basedOn w:val="Normal"/>
    <w:next w:val="Normal"/>
    <w:link w:val="Heading7Char"/>
    <w:uiPriority w:val="2"/>
    <w:unhideWhenUsed/>
    <w:rsid w:val="006200EB"/>
    <w:pPr>
      <w:keepNext/>
      <w:keepLines/>
      <w:spacing w:before="240"/>
      <w:outlineLvl w:val="6"/>
    </w:pPr>
    <w:rPr>
      <w:rFonts w:asciiTheme="majorHAnsi" w:eastAsiaTheme="majorEastAsia" w:hAnsiTheme="majorHAnsi" w:cstheme="majorBidi"/>
      <w:b/>
      <w:bCs/>
      <w:color w:val="3266AB"/>
    </w:rPr>
  </w:style>
  <w:style w:type="paragraph" w:styleId="Heading8">
    <w:name w:val="heading 8"/>
    <w:basedOn w:val="Normal"/>
    <w:next w:val="Normal"/>
    <w:link w:val="Heading8Char"/>
    <w:uiPriority w:val="2"/>
    <w:unhideWhenUsed/>
    <w:rsid w:val="006200EB"/>
    <w:pPr>
      <w:keepNext/>
      <w:keepLines/>
      <w:spacing w:before="240"/>
      <w:outlineLvl w:val="7"/>
    </w:pPr>
    <w:rPr>
      <w:rFonts w:asciiTheme="majorHAnsi" w:eastAsiaTheme="majorEastAsia" w:hAnsiTheme="majorHAnsi" w:cstheme="majorBidi"/>
      <w:b/>
      <w:bCs/>
      <w:i/>
      <w:iCs/>
      <w:color w:val="3266AB"/>
      <w:sz w:val="20"/>
      <w:szCs w:val="20"/>
    </w:rPr>
  </w:style>
  <w:style w:type="paragraph" w:styleId="Heading9">
    <w:name w:val="heading 9"/>
    <w:basedOn w:val="Normal"/>
    <w:next w:val="Normal"/>
    <w:link w:val="Heading9Char"/>
    <w:uiPriority w:val="2"/>
    <w:unhideWhenUsed/>
    <w:rsid w:val="006200EB"/>
    <w:pPr>
      <w:keepNext/>
      <w:keepLines/>
      <w:spacing w:before="240"/>
      <w:outlineLvl w:val="8"/>
    </w:pPr>
    <w:rPr>
      <w:rFonts w:asciiTheme="majorHAnsi" w:eastAsiaTheme="majorEastAsia" w:hAnsiTheme="majorHAnsi" w:cstheme="majorBidi"/>
      <w:i/>
      <w:iCs/>
      <w:color w:val="3266A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91141A"/>
    <w:rPr>
      <w:rFonts w:eastAsiaTheme="majorEastAsia" w:cstheme="minorHAnsi"/>
      <w:b/>
      <w:bCs/>
      <w:noProof/>
      <w:color w:val="007279" w:themeColor="accent1"/>
      <w:sz w:val="32"/>
      <w:szCs w:val="24"/>
    </w:rPr>
  </w:style>
  <w:style w:type="paragraph" w:styleId="Title">
    <w:name w:val="Title"/>
    <w:basedOn w:val="Normal"/>
    <w:next w:val="Normal"/>
    <w:link w:val="TitleChar"/>
    <w:uiPriority w:val="18"/>
    <w:rsid w:val="0091141A"/>
    <w:pPr>
      <w:spacing w:after="240" w:line="240" w:lineRule="auto"/>
      <w:contextualSpacing/>
    </w:pPr>
    <w:rPr>
      <w:rFonts w:asciiTheme="majorHAnsi" w:eastAsiaTheme="majorEastAsia" w:hAnsiTheme="majorHAnsi" w:cstheme="majorBidi"/>
      <w:noProof/>
      <w:spacing w:val="-15"/>
      <w:sz w:val="48"/>
      <w:szCs w:val="56"/>
    </w:rPr>
  </w:style>
  <w:style w:type="character" w:customStyle="1" w:styleId="TitleChar">
    <w:name w:val="Title Char"/>
    <w:basedOn w:val="DefaultParagraphFont"/>
    <w:link w:val="Title"/>
    <w:uiPriority w:val="18"/>
    <w:rsid w:val="0091141A"/>
    <w:rPr>
      <w:rFonts w:asciiTheme="majorHAnsi" w:eastAsiaTheme="majorEastAsia" w:hAnsiTheme="majorHAnsi" w:cstheme="majorBidi"/>
      <w:noProof/>
      <w:spacing w:val="-15"/>
      <w:sz w:val="48"/>
      <w:szCs w:val="56"/>
    </w:rPr>
  </w:style>
  <w:style w:type="character" w:customStyle="1" w:styleId="Heading2Char">
    <w:name w:val="Heading 2 Char"/>
    <w:basedOn w:val="DefaultParagraphFont"/>
    <w:link w:val="Heading2"/>
    <w:uiPriority w:val="2"/>
    <w:rsid w:val="0091141A"/>
    <w:rPr>
      <w:rFonts w:eastAsiaTheme="majorEastAsia" w:cstheme="minorHAnsi"/>
      <w:color w:val="007279" w:themeColor="accent1"/>
      <w:sz w:val="28"/>
      <w:szCs w:val="22"/>
    </w:rPr>
  </w:style>
  <w:style w:type="character" w:customStyle="1" w:styleId="Heading3Char">
    <w:name w:val="Heading 3 Char"/>
    <w:basedOn w:val="DefaultParagraphFont"/>
    <w:link w:val="Heading3"/>
    <w:uiPriority w:val="2"/>
    <w:rsid w:val="00AE39E1"/>
    <w:rPr>
      <w:rFonts w:eastAsiaTheme="majorEastAsia" w:cstheme="minorHAnsi"/>
      <w:b/>
      <w:color w:val="262626" w:themeColor="text1" w:themeTint="D9"/>
      <w:sz w:val="24"/>
      <w:szCs w:val="24"/>
    </w:rPr>
  </w:style>
  <w:style w:type="character" w:customStyle="1" w:styleId="Heading4Char">
    <w:name w:val="Heading 4 Char"/>
    <w:basedOn w:val="DefaultParagraphFont"/>
    <w:link w:val="Heading4"/>
    <w:uiPriority w:val="2"/>
    <w:rsid w:val="006147EB"/>
    <w:rPr>
      <w:rFonts w:eastAsiaTheme="majorEastAsia" w:cstheme="minorHAnsi"/>
      <w:b/>
      <w:color w:val="3266AB"/>
      <w:sz w:val="22"/>
      <w:szCs w:val="22"/>
    </w:rPr>
  </w:style>
  <w:style w:type="character" w:customStyle="1" w:styleId="Heading5Char">
    <w:name w:val="Heading 5 Char"/>
    <w:basedOn w:val="DefaultParagraphFont"/>
    <w:link w:val="Heading5"/>
    <w:uiPriority w:val="2"/>
    <w:rsid w:val="00857363"/>
    <w:rPr>
      <w:rFonts w:eastAsiaTheme="majorEastAsia" w:cstheme="majorBidi"/>
      <w:iCs/>
      <w:color w:val="3266AB"/>
      <w:sz w:val="22"/>
      <w:szCs w:val="22"/>
    </w:rPr>
  </w:style>
  <w:style w:type="character" w:customStyle="1" w:styleId="Heading6Char">
    <w:name w:val="Heading 6 Char"/>
    <w:basedOn w:val="DefaultParagraphFont"/>
    <w:link w:val="Heading6"/>
    <w:uiPriority w:val="2"/>
    <w:rsid w:val="006200EB"/>
    <w:rPr>
      <w:rFonts w:asciiTheme="majorHAnsi" w:eastAsiaTheme="majorEastAsia" w:hAnsiTheme="majorHAnsi" w:cstheme="majorBidi"/>
      <w:color w:val="3266AB"/>
      <w:sz w:val="22"/>
    </w:rPr>
  </w:style>
  <w:style w:type="character" w:customStyle="1" w:styleId="Heading7Char">
    <w:name w:val="Heading 7 Char"/>
    <w:basedOn w:val="DefaultParagraphFont"/>
    <w:link w:val="Heading7"/>
    <w:uiPriority w:val="2"/>
    <w:rsid w:val="006200EB"/>
    <w:rPr>
      <w:rFonts w:asciiTheme="majorHAnsi" w:eastAsiaTheme="majorEastAsia" w:hAnsiTheme="majorHAnsi" w:cstheme="majorBidi"/>
      <w:b/>
      <w:bCs/>
      <w:color w:val="3266AB"/>
      <w:sz w:val="22"/>
    </w:rPr>
  </w:style>
  <w:style w:type="character" w:customStyle="1" w:styleId="Heading8Char">
    <w:name w:val="Heading 8 Char"/>
    <w:basedOn w:val="DefaultParagraphFont"/>
    <w:link w:val="Heading8"/>
    <w:uiPriority w:val="2"/>
    <w:rsid w:val="006200EB"/>
    <w:rPr>
      <w:rFonts w:asciiTheme="majorHAnsi" w:eastAsiaTheme="majorEastAsia" w:hAnsiTheme="majorHAnsi" w:cstheme="majorBidi"/>
      <w:b/>
      <w:bCs/>
      <w:i/>
      <w:iCs/>
      <w:color w:val="3266AB"/>
      <w:sz w:val="20"/>
      <w:szCs w:val="20"/>
    </w:rPr>
  </w:style>
  <w:style w:type="character" w:customStyle="1" w:styleId="Heading9Char">
    <w:name w:val="Heading 9 Char"/>
    <w:basedOn w:val="DefaultParagraphFont"/>
    <w:link w:val="Heading9"/>
    <w:uiPriority w:val="2"/>
    <w:rsid w:val="006200EB"/>
    <w:rPr>
      <w:rFonts w:asciiTheme="majorHAnsi" w:eastAsiaTheme="majorEastAsia" w:hAnsiTheme="majorHAnsi" w:cstheme="majorBidi"/>
      <w:i/>
      <w:iCs/>
      <w:color w:val="3266AB"/>
      <w:sz w:val="20"/>
      <w:szCs w:val="20"/>
    </w:rPr>
  </w:style>
  <w:style w:type="paragraph" w:styleId="Subtitle">
    <w:name w:val="Subtitle"/>
    <w:basedOn w:val="Normal"/>
    <w:next w:val="Normal"/>
    <w:link w:val="SubtitleChar"/>
    <w:uiPriority w:val="19"/>
    <w:rsid w:val="0091141A"/>
    <w:pPr>
      <w:numPr>
        <w:ilvl w:val="1"/>
      </w:numPr>
      <w:spacing w:line="240" w:lineRule="auto"/>
    </w:pPr>
    <w:rPr>
      <w:rFonts w:eastAsiaTheme="majorEastAsia" w:cstheme="minorHAnsi"/>
      <w:noProof/>
      <w:color w:val="6C6C6C" w:themeColor="background2" w:themeShade="80"/>
      <w:sz w:val="28"/>
      <w:szCs w:val="30"/>
    </w:rPr>
  </w:style>
  <w:style w:type="character" w:customStyle="1" w:styleId="SubtitleChar">
    <w:name w:val="Subtitle Char"/>
    <w:basedOn w:val="DefaultParagraphFont"/>
    <w:link w:val="Subtitle"/>
    <w:uiPriority w:val="19"/>
    <w:rsid w:val="0091141A"/>
    <w:rPr>
      <w:rFonts w:eastAsiaTheme="majorEastAsia" w:cstheme="minorHAnsi"/>
      <w:noProof/>
      <w:color w:val="6C6C6C" w:themeColor="background2" w:themeShade="80"/>
      <w:sz w:val="28"/>
      <w:szCs w:val="30"/>
    </w:rPr>
  </w:style>
  <w:style w:type="paragraph" w:styleId="NoSpacing">
    <w:name w:val="No Spacing"/>
    <w:uiPriority w:val="98"/>
    <w:unhideWhenUsed/>
    <w:rsid w:val="00D525B8"/>
    <w:pPr>
      <w:spacing w:after="0" w:line="240" w:lineRule="auto"/>
    </w:pPr>
  </w:style>
  <w:style w:type="paragraph" w:styleId="Caption">
    <w:name w:val="caption"/>
    <w:basedOn w:val="Normal"/>
    <w:next w:val="Normal"/>
    <w:uiPriority w:val="35"/>
    <w:semiHidden/>
    <w:unhideWhenUsed/>
    <w:qFormat/>
    <w:rsid w:val="00D525B8"/>
    <w:pPr>
      <w:spacing w:line="240" w:lineRule="auto"/>
    </w:pPr>
    <w:rPr>
      <w:b/>
      <w:bCs/>
      <w:smallCaps/>
      <w:color w:val="595959" w:themeColor="text1" w:themeTint="A6"/>
    </w:rPr>
  </w:style>
  <w:style w:type="character" w:styleId="Strong">
    <w:name w:val="Strong"/>
    <w:basedOn w:val="DefaultParagraphFont"/>
    <w:uiPriority w:val="22"/>
    <w:unhideWhenUsed/>
    <w:rsid w:val="00D525B8"/>
    <w:rPr>
      <w:b/>
      <w:bCs/>
    </w:rPr>
  </w:style>
  <w:style w:type="character" w:styleId="Emphasis">
    <w:name w:val="Emphasis"/>
    <w:basedOn w:val="DefaultParagraphFont"/>
    <w:uiPriority w:val="20"/>
    <w:unhideWhenUsed/>
    <w:qFormat/>
    <w:rsid w:val="005C0F15"/>
    <w:rPr>
      <w:i/>
      <w:iCs/>
      <w:color w:val="auto"/>
    </w:rPr>
  </w:style>
  <w:style w:type="paragraph" w:styleId="Quote">
    <w:name w:val="Quote"/>
    <w:basedOn w:val="Normal"/>
    <w:next w:val="Normal"/>
    <w:link w:val="QuoteChar"/>
    <w:uiPriority w:val="16"/>
    <w:qFormat/>
    <w:rsid w:val="00857363"/>
    <w:pPr>
      <w:spacing w:before="240"/>
      <w:ind w:left="720" w:right="720"/>
    </w:pPr>
    <w:rPr>
      <w:i/>
      <w:iCs/>
      <w:color w:val="3266AB"/>
    </w:rPr>
  </w:style>
  <w:style w:type="character" w:customStyle="1" w:styleId="QuoteChar">
    <w:name w:val="Quote Char"/>
    <w:basedOn w:val="DefaultParagraphFont"/>
    <w:link w:val="Quote"/>
    <w:uiPriority w:val="16"/>
    <w:rsid w:val="00857363"/>
    <w:rPr>
      <w:i/>
      <w:iCs/>
      <w:color w:val="3266AB"/>
      <w:sz w:val="22"/>
    </w:rPr>
  </w:style>
  <w:style w:type="paragraph" w:styleId="IntenseQuote">
    <w:name w:val="Intense Quote"/>
    <w:basedOn w:val="Normal"/>
    <w:next w:val="Normal"/>
    <w:link w:val="IntenseQuoteChar"/>
    <w:uiPriority w:val="17"/>
    <w:qFormat/>
    <w:rsid w:val="00857363"/>
    <w:pPr>
      <w:spacing w:before="120"/>
      <w:ind w:left="720" w:right="720"/>
    </w:pPr>
    <w:rPr>
      <w:rFonts w:asciiTheme="majorHAnsi" w:eastAsiaTheme="majorEastAsia" w:hAnsiTheme="majorHAnsi" w:cstheme="majorBidi"/>
      <w:i/>
      <w:iCs/>
      <w:color w:val="3266AB"/>
      <w:sz w:val="32"/>
      <w:szCs w:val="32"/>
    </w:rPr>
  </w:style>
  <w:style w:type="character" w:customStyle="1" w:styleId="IntenseQuoteChar">
    <w:name w:val="Intense Quote Char"/>
    <w:basedOn w:val="DefaultParagraphFont"/>
    <w:link w:val="IntenseQuote"/>
    <w:uiPriority w:val="17"/>
    <w:rsid w:val="00857363"/>
    <w:rPr>
      <w:rFonts w:asciiTheme="majorHAnsi" w:eastAsiaTheme="majorEastAsia" w:hAnsiTheme="majorHAnsi" w:cstheme="majorBidi"/>
      <w:i/>
      <w:iCs/>
      <w:color w:val="3266AB"/>
      <w:sz w:val="32"/>
      <w:szCs w:val="32"/>
    </w:rPr>
  </w:style>
  <w:style w:type="character" w:styleId="SubtleEmphasis">
    <w:name w:val="Subtle Emphasis"/>
    <w:basedOn w:val="DefaultParagraphFont"/>
    <w:uiPriority w:val="19"/>
    <w:unhideWhenUsed/>
    <w:rsid w:val="00D525B8"/>
    <w:rPr>
      <w:i/>
      <w:iCs/>
    </w:rPr>
  </w:style>
  <w:style w:type="character" w:styleId="IntenseEmphasis">
    <w:name w:val="Intense Emphasis"/>
    <w:basedOn w:val="DefaultParagraphFont"/>
    <w:uiPriority w:val="21"/>
    <w:unhideWhenUsed/>
    <w:rsid w:val="00D525B8"/>
    <w:rPr>
      <w:b/>
      <w:bCs/>
      <w:i/>
      <w:iCs/>
    </w:rPr>
  </w:style>
  <w:style w:type="character" w:styleId="SubtleReference">
    <w:name w:val="Subtle Reference"/>
    <w:basedOn w:val="DefaultParagraphFont"/>
    <w:uiPriority w:val="31"/>
    <w:unhideWhenUsed/>
    <w:rsid w:val="00D525B8"/>
    <w:rPr>
      <w:smallCaps/>
      <w:color w:val="595959" w:themeColor="text1" w:themeTint="A6"/>
    </w:rPr>
  </w:style>
  <w:style w:type="character" w:styleId="IntenseReference">
    <w:name w:val="Intense Reference"/>
    <w:basedOn w:val="DefaultParagraphFont"/>
    <w:uiPriority w:val="32"/>
    <w:unhideWhenUsed/>
    <w:rsid w:val="006200EB"/>
    <w:rPr>
      <w:b/>
      <w:bCs/>
      <w:smallCaps/>
      <w:color w:val="3266AB"/>
    </w:rPr>
  </w:style>
  <w:style w:type="paragraph" w:styleId="TOCHeading">
    <w:name w:val="TOC Heading"/>
    <w:basedOn w:val="Heading1"/>
    <w:next w:val="Normal"/>
    <w:uiPriority w:val="39"/>
    <w:unhideWhenUsed/>
    <w:rsid w:val="00D525B8"/>
    <w:pPr>
      <w:outlineLvl w:val="9"/>
    </w:pPr>
  </w:style>
  <w:style w:type="paragraph" w:styleId="Header">
    <w:name w:val="header"/>
    <w:basedOn w:val="Normal"/>
    <w:link w:val="HeaderChar"/>
    <w:uiPriority w:val="99"/>
    <w:unhideWhenUsed/>
    <w:rsid w:val="00F957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7C6"/>
  </w:style>
  <w:style w:type="paragraph" w:styleId="Footer">
    <w:name w:val="footer"/>
    <w:basedOn w:val="Normal"/>
    <w:link w:val="FooterChar"/>
    <w:uiPriority w:val="99"/>
    <w:unhideWhenUsed/>
    <w:rsid w:val="00F957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7C6"/>
  </w:style>
  <w:style w:type="character" w:styleId="PlaceholderText">
    <w:name w:val="Placeholder Text"/>
    <w:basedOn w:val="DefaultParagraphFont"/>
    <w:uiPriority w:val="99"/>
    <w:semiHidden/>
    <w:rsid w:val="005226B9"/>
    <w:rPr>
      <w:color w:val="808080"/>
    </w:rPr>
  </w:style>
  <w:style w:type="paragraph" w:styleId="BalloonText">
    <w:name w:val="Balloon Text"/>
    <w:basedOn w:val="Normal"/>
    <w:link w:val="BalloonTextChar"/>
    <w:uiPriority w:val="99"/>
    <w:semiHidden/>
    <w:unhideWhenUsed/>
    <w:rsid w:val="005226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6B9"/>
    <w:rPr>
      <w:rFonts w:ascii="Segoe UI" w:hAnsi="Segoe UI" w:cs="Segoe UI"/>
      <w:sz w:val="18"/>
      <w:szCs w:val="18"/>
    </w:rPr>
  </w:style>
  <w:style w:type="paragraph" w:customStyle="1" w:styleId="CLASSIFICATION">
    <w:name w:val="CLASSIFICATION"/>
    <w:basedOn w:val="Normal"/>
    <w:link w:val="CLASSIFICATIONChar"/>
    <w:autoRedefine/>
    <w:uiPriority w:val="99"/>
    <w:unhideWhenUsed/>
    <w:rsid w:val="00F86700"/>
    <w:pPr>
      <w:jc w:val="center"/>
    </w:pPr>
    <w:rPr>
      <w:rFonts w:ascii="Segoe UI" w:hAnsi="Segoe UI"/>
      <w:caps/>
      <w:color w:val="C00000"/>
      <w:sz w:val="18"/>
    </w:rPr>
  </w:style>
  <w:style w:type="paragraph" w:customStyle="1" w:styleId="BOXHeading2">
    <w:name w:val="BOX Heading 2"/>
    <w:basedOn w:val="Heading2"/>
    <w:next w:val="BOXText"/>
    <w:uiPriority w:val="6"/>
    <w:qFormat/>
    <w:rsid w:val="0091141A"/>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ind w:left="227" w:right="227"/>
    </w:pPr>
  </w:style>
  <w:style w:type="character" w:customStyle="1" w:styleId="CLASSIFICATIONChar">
    <w:name w:val="CLASSIFICATION Char"/>
    <w:basedOn w:val="DefaultParagraphFont"/>
    <w:link w:val="CLASSIFICATION"/>
    <w:uiPriority w:val="99"/>
    <w:rsid w:val="00F86700"/>
    <w:rPr>
      <w:rFonts w:ascii="Segoe UI" w:hAnsi="Segoe UI"/>
      <w:caps/>
      <w:color w:val="C00000"/>
      <w:sz w:val="18"/>
    </w:rPr>
  </w:style>
  <w:style w:type="paragraph" w:customStyle="1" w:styleId="BOXText">
    <w:name w:val="BOX Text"/>
    <w:basedOn w:val="Normal"/>
    <w:next w:val="Normal"/>
    <w:uiPriority w:val="4"/>
    <w:qFormat/>
    <w:rsid w:val="005F3B45"/>
    <w:pPr>
      <w:pBdr>
        <w:top w:val="single" w:sz="48" w:space="1" w:color="F2F2F2" w:themeColor="background1" w:themeShade="F2"/>
        <w:left w:val="single" w:sz="48" w:space="4" w:color="F2F2F2" w:themeColor="background1" w:themeShade="F2"/>
        <w:bottom w:val="single" w:sz="48" w:space="1" w:color="F2F2F2" w:themeColor="background1" w:themeShade="F2"/>
        <w:right w:val="single" w:sz="48" w:space="4" w:color="F2F2F2" w:themeColor="background1" w:themeShade="F2"/>
      </w:pBdr>
      <w:shd w:val="clear" w:color="auto" w:fill="F2F2F2" w:themeFill="background1" w:themeFillShade="F2"/>
      <w:tabs>
        <w:tab w:val="left" w:pos="3300"/>
      </w:tabs>
      <w:ind w:left="227" w:right="227"/>
    </w:pPr>
    <w:rPr>
      <w:sz w:val="18"/>
      <w:szCs w:val="18"/>
    </w:rPr>
  </w:style>
  <w:style w:type="paragraph" w:customStyle="1" w:styleId="BOXBulletedList">
    <w:name w:val="BOX Bulleted List"/>
    <w:basedOn w:val="BOXText"/>
    <w:uiPriority w:val="5"/>
    <w:qFormat/>
    <w:rsid w:val="00BD171D"/>
    <w:pPr>
      <w:numPr>
        <w:numId w:val="1"/>
      </w:numPr>
      <w:ind w:left="511"/>
    </w:pPr>
  </w:style>
  <w:style w:type="table" w:styleId="TableGrid">
    <w:name w:val="Table Grid"/>
    <w:basedOn w:val="TableNormal"/>
    <w:uiPriority w:val="59"/>
    <w:rsid w:val="00BD5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BD57F5"/>
    <w:pPr>
      <w:spacing w:after="0" w:line="240" w:lineRule="auto"/>
    </w:pPr>
    <w:tblPr>
      <w:tblStyleRowBandSize w:val="1"/>
      <w:tblStyleColBandSize w:val="1"/>
      <w:tblBorders>
        <w:top w:val="single" w:sz="4" w:space="0" w:color="15F1FF" w:themeColor="accent1" w:themeTint="99"/>
        <w:left w:val="single" w:sz="4" w:space="0" w:color="15F1FF" w:themeColor="accent1" w:themeTint="99"/>
        <w:bottom w:val="single" w:sz="4" w:space="0" w:color="15F1FF" w:themeColor="accent1" w:themeTint="99"/>
        <w:right w:val="single" w:sz="4" w:space="0" w:color="15F1FF" w:themeColor="accent1" w:themeTint="99"/>
        <w:insideH w:val="single" w:sz="4" w:space="0" w:color="15F1FF" w:themeColor="accent1" w:themeTint="99"/>
      </w:tblBorders>
    </w:tblPr>
    <w:tblStylePr w:type="firstRow">
      <w:rPr>
        <w:b/>
        <w:bCs/>
        <w:color w:val="FFFFFF" w:themeColor="background1"/>
      </w:rPr>
      <w:tblPr/>
      <w:tcPr>
        <w:tcBorders>
          <w:top w:val="single" w:sz="4" w:space="0" w:color="007279" w:themeColor="accent1"/>
          <w:left w:val="single" w:sz="4" w:space="0" w:color="007279" w:themeColor="accent1"/>
          <w:bottom w:val="single" w:sz="4" w:space="0" w:color="007279" w:themeColor="accent1"/>
          <w:right w:val="single" w:sz="4" w:space="0" w:color="007279" w:themeColor="accent1"/>
          <w:insideH w:val="nil"/>
        </w:tcBorders>
        <w:shd w:val="clear" w:color="auto" w:fill="007279" w:themeFill="accent1"/>
      </w:tcPr>
    </w:tblStylePr>
    <w:tblStylePr w:type="lastRow">
      <w:rPr>
        <w:b/>
        <w:bCs/>
      </w:rPr>
      <w:tblPr/>
      <w:tcPr>
        <w:tcBorders>
          <w:top w:val="double" w:sz="4" w:space="0" w:color="15F1FF" w:themeColor="accent1" w:themeTint="99"/>
        </w:tcBorders>
      </w:tcPr>
    </w:tblStylePr>
    <w:tblStylePr w:type="firstCol">
      <w:rPr>
        <w:b/>
        <w:bCs/>
      </w:rPr>
    </w:tblStylePr>
    <w:tblStylePr w:type="lastCol">
      <w:rPr>
        <w:b/>
        <w:bCs/>
      </w:rPr>
    </w:tblStylePr>
    <w:tblStylePr w:type="band1Vert">
      <w:tblPr/>
      <w:tcPr>
        <w:shd w:val="clear" w:color="auto" w:fill="B1FAFF" w:themeFill="accent1" w:themeFillTint="33"/>
      </w:tcPr>
    </w:tblStylePr>
    <w:tblStylePr w:type="band1Horz">
      <w:tblPr/>
      <w:tcPr>
        <w:shd w:val="clear" w:color="auto" w:fill="B1FAFF" w:themeFill="accent1" w:themeFillTint="33"/>
      </w:tcPr>
    </w:tblStylePr>
  </w:style>
  <w:style w:type="paragraph" w:customStyle="1" w:styleId="Figure">
    <w:name w:val="Figure"/>
    <w:basedOn w:val="Normal"/>
    <w:uiPriority w:val="2"/>
    <w:qFormat/>
    <w:rsid w:val="006147EB"/>
    <w:pPr>
      <w:numPr>
        <w:numId w:val="27"/>
      </w:numPr>
      <w:spacing w:before="240"/>
    </w:pPr>
    <w:rPr>
      <w:rFonts w:ascii="Segoe UI" w:hAnsi="Segoe UI" w:cs="Segoe UI"/>
      <w:color w:val="3266AB"/>
    </w:rPr>
  </w:style>
  <w:style w:type="paragraph" w:customStyle="1" w:styleId="TBLHeading">
    <w:name w:val="TBL Heading"/>
    <w:basedOn w:val="Normal"/>
    <w:autoRedefine/>
    <w:uiPriority w:val="11"/>
    <w:qFormat/>
    <w:rsid w:val="009615D2"/>
    <w:pPr>
      <w:spacing w:after="0" w:line="240" w:lineRule="auto"/>
    </w:pPr>
    <w:rPr>
      <w:rFonts w:ascii="Segoe UI" w:hAnsi="Segoe UI" w:cs="Segoe UI"/>
      <w:color w:val="FFFFFF" w:themeColor="background1"/>
      <w:sz w:val="18"/>
    </w:rPr>
  </w:style>
  <w:style w:type="paragraph" w:customStyle="1" w:styleId="TBLText">
    <w:name w:val="TBL Text"/>
    <w:basedOn w:val="Normal"/>
    <w:uiPriority w:val="9"/>
    <w:qFormat/>
    <w:rsid w:val="004D3335"/>
    <w:pPr>
      <w:spacing w:after="120" w:line="240" w:lineRule="auto"/>
    </w:pPr>
    <w:rPr>
      <w:sz w:val="18"/>
      <w:szCs w:val="18"/>
    </w:rPr>
  </w:style>
  <w:style w:type="paragraph" w:customStyle="1" w:styleId="TBLBulletedList">
    <w:name w:val="TBL Bulleted List"/>
    <w:basedOn w:val="TBLText"/>
    <w:uiPriority w:val="10"/>
    <w:qFormat/>
    <w:rsid w:val="006C62B2"/>
    <w:pPr>
      <w:numPr>
        <w:numId w:val="12"/>
      </w:numPr>
      <w:ind w:left="204" w:hanging="204"/>
    </w:pPr>
  </w:style>
  <w:style w:type="paragraph" w:customStyle="1" w:styleId="TBLNumberedList">
    <w:name w:val="TBL Numbered List"/>
    <w:basedOn w:val="TBLText"/>
    <w:uiPriority w:val="10"/>
    <w:qFormat/>
    <w:rsid w:val="00E05FA4"/>
    <w:pPr>
      <w:numPr>
        <w:numId w:val="13"/>
      </w:numPr>
      <w:ind w:left="270" w:hanging="270"/>
    </w:pPr>
  </w:style>
  <w:style w:type="paragraph" w:customStyle="1" w:styleId="BOXHeading3">
    <w:name w:val="BOX Heading 3"/>
    <w:basedOn w:val="BOXHeading2"/>
    <w:next w:val="BOXText"/>
    <w:uiPriority w:val="6"/>
    <w:qFormat/>
    <w:rsid w:val="00857363"/>
    <w:pPr>
      <w:outlineLvl w:val="2"/>
    </w:pPr>
    <w:rPr>
      <w:b/>
      <w:sz w:val="24"/>
      <w:szCs w:val="26"/>
    </w:rPr>
  </w:style>
  <w:style w:type="paragraph" w:styleId="ListParagraph">
    <w:name w:val="List Paragraph"/>
    <w:basedOn w:val="Normal"/>
    <w:uiPriority w:val="34"/>
    <w:unhideWhenUsed/>
    <w:rsid w:val="005917FD"/>
    <w:pPr>
      <w:ind w:left="720"/>
      <w:contextualSpacing/>
    </w:pPr>
  </w:style>
  <w:style w:type="paragraph" w:customStyle="1" w:styleId="BulletedList-Level1">
    <w:name w:val="Bulleted List - Level 1"/>
    <w:basedOn w:val="ListParagraph"/>
    <w:uiPriority w:val="1"/>
    <w:qFormat/>
    <w:rsid w:val="00BD171D"/>
    <w:pPr>
      <w:numPr>
        <w:numId w:val="14"/>
      </w:numPr>
      <w:ind w:left="568" w:hanging="284"/>
    </w:pPr>
  </w:style>
  <w:style w:type="paragraph" w:customStyle="1" w:styleId="BulletedList-Level2">
    <w:name w:val="Bulleted List - Level 2"/>
    <w:basedOn w:val="BulletedList-Level1"/>
    <w:uiPriority w:val="1"/>
    <w:qFormat/>
    <w:rsid w:val="00BD171D"/>
    <w:pPr>
      <w:numPr>
        <w:numId w:val="30"/>
      </w:numPr>
    </w:pPr>
  </w:style>
  <w:style w:type="paragraph" w:customStyle="1" w:styleId="BulletedList-Level3">
    <w:name w:val="Bulleted List - Level 3"/>
    <w:basedOn w:val="ListParagraph"/>
    <w:uiPriority w:val="1"/>
    <w:qFormat/>
    <w:rsid w:val="00BD171D"/>
    <w:pPr>
      <w:numPr>
        <w:numId w:val="31"/>
      </w:numPr>
      <w:ind w:left="1135" w:hanging="284"/>
    </w:pPr>
  </w:style>
  <w:style w:type="paragraph" w:customStyle="1" w:styleId="NumberedList-Level1">
    <w:name w:val="Numbered List - Level 1"/>
    <w:basedOn w:val="ListParagraph"/>
    <w:uiPriority w:val="1"/>
    <w:qFormat/>
    <w:rsid w:val="00BD171D"/>
    <w:pPr>
      <w:numPr>
        <w:numId w:val="21"/>
      </w:numPr>
      <w:ind w:left="568" w:hanging="284"/>
    </w:pPr>
  </w:style>
  <w:style w:type="paragraph" w:customStyle="1" w:styleId="NumberedList-level2">
    <w:name w:val="Numbered List - level 2"/>
    <w:basedOn w:val="ListParagraph"/>
    <w:uiPriority w:val="1"/>
    <w:qFormat/>
    <w:rsid w:val="00BD171D"/>
    <w:pPr>
      <w:numPr>
        <w:ilvl w:val="1"/>
        <w:numId w:val="21"/>
      </w:numPr>
    </w:pPr>
  </w:style>
  <w:style w:type="paragraph" w:customStyle="1" w:styleId="NumberedList-Level3">
    <w:name w:val="Numbered List - Level 3"/>
    <w:basedOn w:val="ListParagraph"/>
    <w:uiPriority w:val="1"/>
    <w:qFormat/>
    <w:rsid w:val="00BD171D"/>
    <w:pPr>
      <w:numPr>
        <w:ilvl w:val="2"/>
        <w:numId w:val="21"/>
      </w:numPr>
    </w:pPr>
  </w:style>
  <w:style w:type="paragraph" w:customStyle="1" w:styleId="BoxDark-HeadingLevel1">
    <w:name w:val="Box Dark - Heading Level 1"/>
    <w:basedOn w:val="BOXHeading2"/>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styleId="TOC1">
    <w:name w:val="toc 1"/>
    <w:basedOn w:val="Normal"/>
    <w:next w:val="Normal"/>
    <w:autoRedefine/>
    <w:uiPriority w:val="39"/>
    <w:unhideWhenUsed/>
    <w:rsid w:val="00117A77"/>
    <w:pPr>
      <w:spacing w:after="100"/>
    </w:pPr>
  </w:style>
  <w:style w:type="paragraph" w:styleId="TOC2">
    <w:name w:val="toc 2"/>
    <w:basedOn w:val="Normal"/>
    <w:next w:val="Normal"/>
    <w:autoRedefine/>
    <w:uiPriority w:val="39"/>
    <w:unhideWhenUsed/>
    <w:rsid w:val="00117A77"/>
    <w:pPr>
      <w:spacing w:after="100"/>
      <w:ind w:left="220"/>
    </w:pPr>
  </w:style>
  <w:style w:type="paragraph" w:styleId="TOC3">
    <w:name w:val="toc 3"/>
    <w:basedOn w:val="Normal"/>
    <w:next w:val="Normal"/>
    <w:autoRedefine/>
    <w:uiPriority w:val="39"/>
    <w:unhideWhenUsed/>
    <w:rsid w:val="00117A77"/>
    <w:pPr>
      <w:spacing w:after="100"/>
      <w:ind w:left="440"/>
    </w:pPr>
  </w:style>
  <w:style w:type="character" w:styleId="Hyperlink">
    <w:name w:val="Hyperlink"/>
    <w:basedOn w:val="DefaultParagraphFont"/>
    <w:uiPriority w:val="99"/>
    <w:unhideWhenUsed/>
    <w:rsid w:val="00117A77"/>
    <w:rPr>
      <w:color w:val="007279" w:themeColor="hyperlink"/>
      <w:u w:val="single"/>
    </w:rPr>
  </w:style>
  <w:style w:type="paragraph" w:customStyle="1" w:styleId="BoxDark-HeadingLevel3">
    <w:name w:val="Box Dark - Heading Level 3"/>
    <w:basedOn w:val="BOXHeading3"/>
    <w:uiPriority w:val="9"/>
    <w:rsid w:val="00311C2D"/>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color w:val="FFFFFF" w:themeColor="background1"/>
    </w:rPr>
  </w:style>
  <w:style w:type="paragraph" w:customStyle="1" w:styleId="BoxDark-Text">
    <w:name w:val="Box Dark - Text"/>
    <w:basedOn w:val="BOXText"/>
    <w:uiPriority w:val="7"/>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color w:val="FFFFFF" w:themeColor="background1"/>
    </w:rPr>
  </w:style>
  <w:style w:type="paragraph" w:customStyle="1" w:styleId="BoxDark-BulletedList">
    <w:name w:val="Box Dark - Bulleted List"/>
    <w:basedOn w:val="BOXBulletedList"/>
    <w:uiPriority w:val="8"/>
    <w:rsid w:val="00FE2C7F"/>
    <w:p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pPr>
    <w:rPr>
      <w:rFonts w:ascii="Segoe UI Semilight" w:hAnsi="Segoe UI Semilight"/>
    </w:rPr>
  </w:style>
  <w:style w:type="paragraph" w:customStyle="1" w:styleId="BOXNumberedList">
    <w:name w:val="BOX Numbered List"/>
    <w:basedOn w:val="BOXText"/>
    <w:uiPriority w:val="5"/>
    <w:qFormat/>
    <w:rsid w:val="00BD171D"/>
    <w:pPr>
      <w:numPr>
        <w:numId w:val="28"/>
      </w:numPr>
      <w:ind w:left="584" w:hanging="357"/>
    </w:pPr>
  </w:style>
  <w:style w:type="paragraph" w:customStyle="1" w:styleId="BoxDark-NumberedList">
    <w:name w:val="Box Dark - Numbered List"/>
    <w:basedOn w:val="BOXNumberedList"/>
    <w:uiPriority w:val="8"/>
    <w:rsid w:val="00FE2C7F"/>
    <w:pPr>
      <w:numPr>
        <w:numId w:val="29"/>
      </w:numPr>
      <w:pBdr>
        <w:top w:val="single" w:sz="48" w:space="1" w:color="007279" w:themeColor="accent1"/>
        <w:left w:val="single" w:sz="48" w:space="4" w:color="007279" w:themeColor="accent1"/>
        <w:bottom w:val="single" w:sz="48" w:space="1" w:color="007279" w:themeColor="accent1"/>
        <w:right w:val="single" w:sz="48" w:space="4" w:color="007279" w:themeColor="accent1"/>
      </w:pBdr>
      <w:shd w:val="clear" w:color="auto" w:fill="007279" w:themeFill="accent1"/>
      <w:ind w:left="584" w:hanging="357"/>
    </w:pPr>
  </w:style>
  <w:style w:type="table" w:customStyle="1" w:styleId="Custom1">
    <w:name w:val="Custom 1"/>
    <w:basedOn w:val="TableNormal"/>
    <w:uiPriority w:val="99"/>
    <w:rsid w:val="00665FB6"/>
    <w:pPr>
      <w:spacing w:after="0" w:line="240" w:lineRule="auto"/>
    </w:pPr>
    <w:rPr>
      <w:sz w:val="18"/>
    </w:rPr>
    <w:tblPr>
      <w:tblStyleRowBandSize w:val="1"/>
      <w:tblBorders>
        <w:top w:val="single" w:sz="4" w:space="0" w:color="007279" w:themeColor="accent1"/>
        <w:bottom w:val="single" w:sz="12" w:space="0" w:color="007279" w:themeColor="accent1"/>
        <w:insideH w:val="single" w:sz="4" w:space="0" w:color="007279" w:themeColor="accent1"/>
      </w:tblBorders>
      <w:tblCellMar>
        <w:top w:w="57" w:type="dxa"/>
        <w:bottom w:w="57" w:type="dxa"/>
      </w:tblCellMar>
    </w:tblPr>
    <w:tblStylePr w:type="firstRow">
      <w:rPr>
        <w:rFonts w:asciiTheme="minorHAnsi" w:hAnsiTheme="minorHAnsi"/>
        <w:b/>
        <w:sz w:val="18"/>
      </w:rPr>
      <w:tblPr/>
      <w:tcPr>
        <w:shd w:val="clear" w:color="auto" w:fill="007279" w:themeFill="accent1"/>
      </w:tcPr>
    </w:tblStylePr>
    <w:tblStylePr w:type="band1Horz">
      <w:tblPr/>
      <w:tcPr>
        <w:shd w:val="clear" w:color="auto" w:fill="D8D8D8" w:themeFill="background2"/>
      </w:tcPr>
    </w:tblStylePr>
  </w:style>
  <w:style w:type="table" w:customStyle="1" w:styleId="Style1">
    <w:name w:val="Style1"/>
    <w:basedOn w:val="Custom1"/>
    <w:uiPriority w:val="99"/>
    <w:rsid w:val="00D500C1"/>
    <w:tblPr>
      <w:tblBorders>
        <w:top w:val="none" w:sz="0" w:space="0" w:color="auto"/>
        <w:left w:val="single" w:sz="4" w:space="0" w:color="007279" w:themeColor="accent1"/>
        <w:bottom w:val="single" w:sz="4" w:space="0" w:color="007279" w:themeColor="accent1"/>
        <w:right w:val="single" w:sz="4" w:space="0" w:color="007279" w:themeColor="accent1"/>
        <w:insideH w:val="none" w:sz="0" w:space="0" w:color="auto"/>
        <w:insideV w:val="single" w:sz="4" w:space="0" w:color="007279" w:themeColor="accent1"/>
      </w:tblBorders>
    </w:tblPr>
    <w:tblStylePr w:type="firstRow">
      <w:rPr>
        <w:rFonts w:asciiTheme="minorHAnsi" w:hAnsiTheme="minorHAnsi"/>
        <w:b/>
        <w:sz w:val="18"/>
      </w:rPr>
      <w:tblPr/>
      <w:tcPr>
        <w:shd w:val="clear" w:color="auto" w:fill="007279" w:themeFill="accent1"/>
      </w:tcPr>
    </w:tblStylePr>
    <w:tblStylePr w:type="firstCol">
      <w:rPr>
        <w:b/>
      </w:rPr>
      <w:tblPr/>
      <w:tcPr>
        <w:shd w:val="clear" w:color="auto" w:fill="007279" w:themeFill="accent1"/>
      </w:tcPr>
    </w:tblStylePr>
    <w:tblStylePr w:type="band1Horz">
      <w:tblPr/>
      <w:tcPr>
        <w:shd w:val="clear" w:color="auto" w:fill="D8D8D8" w:themeFill="background2"/>
      </w:tcPr>
    </w:tblStylePr>
  </w:style>
  <w:style w:type="character" w:styleId="UnresolvedMention">
    <w:name w:val="Unresolved Mention"/>
    <w:basedOn w:val="DefaultParagraphFont"/>
    <w:uiPriority w:val="99"/>
    <w:semiHidden/>
    <w:unhideWhenUsed/>
    <w:rsid w:val="006C7E16"/>
    <w:rPr>
      <w:color w:val="605E5C"/>
      <w:shd w:val="clear" w:color="auto" w:fill="E1DFDD"/>
    </w:rPr>
  </w:style>
  <w:style w:type="paragraph" w:styleId="Revision">
    <w:name w:val="Revision"/>
    <w:hidden/>
    <w:uiPriority w:val="99"/>
    <w:semiHidden/>
    <w:rsid w:val="005F66F9"/>
    <w:pPr>
      <w:spacing w:after="0" w:line="240" w:lineRule="auto"/>
    </w:pPr>
    <w:rPr>
      <w:sz w:val="22"/>
    </w:rPr>
  </w:style>
  <w:style w:type="character" w:styleId="CommentReference">
    <w:name w:val="annotation reference"/>
    <w:basedOn w:val="DefaultParagraphFont"/>
    <w:uiPriority w:val="99"/>
    <w:semiHidden/>
    <w:unhideWhenUsed/>
    <w:rsid w:val="00810E90"/>
    <w:rPr>
      <w:sz w:val="16"/>
      <w:szCs w:val="16"/>
    </w:rPr>
  </w:style>
  <w:style w:type="paragraph" w:styleId="CommentText">
    <w:name w:val="annotation text"/>
    <w:basedOn w:val="Normal"/>
    <w:link w:val="CommentTextChar"/>
    <w:uiPriority w:val="99"/>
    <w:unhideWhenUsed/>
    <w:rsid w:val="00810E90"/>
    <w:pPr>
      <w:spacing w:line="240" w:lineRule="auto"/>
    </w:pPr>
    <w:rPr>
      <w:sz w:val="20"/>
      <w:szCs w:val="20"/>
    </w:rPr>
  </w:style>
  <w:style w:type="character" w:customStyle="1" w:styleId="CommentTextChar">
    <w:name w:val="Comment Text Char"/>
    <w:basedOn w:val="DefaultParagraphFont"/>
    <w:link w:val="CommentText"/>
    <w:uiPriority w:val="99"/>
    <w:rsid w:val="00810E90"/>
    <w:rPr>
      <w:sz w:val="20"/>
      <w:szCs w:val="20"/>
    </w:rPr>
  </w:style>
  <w:style w:type="paragraph" w:styleId="CommentSubject">
    <w:name w:val="annotation subject"/>
    <w:basedOn w:val="CommentText"/>
    <w:next w:val="CommentText"/>
    <w:link w:val="CommentSubjectChar"/>
    <w:uiPriority w:val="99"/>
    <w:semiHidden/>
    <w:unhideWhenUsed/>
    <w:rsid w:val="00810E90"/>
    <w:rPr>
      <w:b/>
      <w:bCs/>
    </w:rPr>
  </w:style>
  <w:style w:type="character" w:customStyle="1" w:styleId="CommentSubjectChar">
    <w:name w:val="Comment Subject Char"/>
    <w:basedOn w:val="CommentTextChar"/>
    <w:link w:val="CommentSubject"/>
    <w:uiPriority w:val="99"/>
    <w:semiHidden/>
    <w:rsid w:val="00810E90"/>
    <w:rPr>
      <w:b/>
      <w:bCs/>
      <w:sz w:val="20"/>
      <w:szCs w:val="20"/>
    </w:rPr>
  </w:style>
  <w:style w:type="character" w:styleId="FollowedHyperlink">
    <w:name w:val="FollowedHyperlink"/>
    <w:basedOn w:val="DefaultParagraphFont"/>
    <w:uiPriority w:val="99"/>
    <w:semiHidden/>
    <w:unhideWhenUsed/>
    <w:rsid w:val="000E5B4B"/>
    <w:rPr>
      <w:color w:val="007279" w:themeColor="followedHyperlink"/>
      <w:u w:val="single"/>
    </w:rPr>
  </w:style>
  <w:style w:type="table" w:customStyle="1" w:styleId="LightGrid-Accent21">
    <w:name w:val="Light Grid - Accent 21"/>
    <w:basedOn w:val="TableNormal"/>
    <w:next w:val="LightGrid-Accent2"/>
    <w:uiPriority w:val="62"/>
    <w:rsid w:val="00A17097"/>
    <w:pPr>
      <w:spacing w:after="0" w:line="240" w:lineRule="auto"/>
    </w:pPr>
    <w:rPr>
      <w:rFonts w:eastAsia="Times New Roman"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auto"/>
    </w:tcPr>
    <w:tblStylePr w:type="firstRow">
      <w:pPr>
        <w:spacing w:before="0" w:after="0" w:line="240" w:lineRule="auto"/>
      </w:pPr>
      <w:rPr>
        <w:rFonts w:ascii="Bahnschrift SemiCondensed" w:eastAsia="Times New Roman" w:hAnsi="Bahnschrift SemiCondensed" w:cs="Times New Roman"/>
        <w:b/>
        <w:bCs/>
      </w:rPr>
      <w:tblPr/>
      <w:tcPr>
        <w:shd w:val="clear" w:color="auto" w:fill="CD0920"/>
      </w:tcPr>
    </w:tblStylePr>
    <w:tblStylePr w:type="lastRow">
      <w:pPr>
        <w:spacing w:before="0" w:after="0" w:line="240" w:lineRule="auto"/>
      </w:pPr>
      <w:rPr>
        <w:rFonts w:ascii="Bahnschrift SemiCondensed" w:eastAsia="Times New Roman" w:hAnsi="Bahnschrift SemiCondensed"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Bahnschrift SemiCondensed" w:eastAsia="Times New Roman" w:hAnsi="Bahnschrift SemiCondensed" w:cs="Times New Roman"/>
        <w:b/>
        <w:bCs/>
      </w:rPr>
    </w:tblStylePr>
    <w:tblStylePr w:type="lastCol">
      <w:rPr>
        <w:rFonts w:ascii="Bahnschrift SemiCondensed" w:eastAsia="Times New Roman" w:hAnsi="Bahnschrift SemiCondensed"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2">
    <w:name w:val="Light Grid Accent 2"/>
    <w:basedOn w:val="TableNormal"/>
    <w:uiPriority w:val="62"/>
    <w:semiHidden/>
    <w:unhideWhenUsed/>
    <w:rsid w:val="00A17097"/>
    <w:pPr>
      <w:spacing w:after="0" w:line="240" w:lineRule="auto"/>
    </w:pPr>
    <w:tblPr>
      <w:tblStyleRowBandSize w:val="1"/>
      <w:tblStyleColBandSize w:val="1"/>
      <w:tblBorders>
        <w:top w:val="single" w:sz="8" w:space="0" w:color="1C2B39" w:themeColor="accent2"/>
        <w:left w:val="single" w:sz="8" w:space="0" w:color="1C2B39" w:themeColor="accent2"/>
        <w:bottom w:val="single" w:sz="8" w:space="0" w:color="1C2B39" w:themeColor="accent2"/>
        <w:right w:val="single" w:sz="8" w:space="0" w:color="1C2B39" w:themeColor="accent2"/>
        <w:insideH w:val="single" w:sz="8" w:space="0" w:color="1C2B39" w:themeColor="accent2"/>
        <w:insideV w:val="single" w:sz="8" w:space="0" w:color="1C2B39"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18" w:space="0" w:color="1C2B39" w:themeColor="accent2"/>
          <w:right w:val="single" w:sz="8" w:space="0" w:color="1C2B39" w:themeColor="accent2"/>
          <w:insideH w:val="nil"/>
          <w:insideV w:val="single" w:sz="8" w:space="0" w:color="1C2B39"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C2B39" w:themeColor="accent2"/>
          <w:left w:val="single" w:sz="8" w:space="0" w:color="1C2B39" w:themeColor="accent2"/>
          <w:bottom w:val="single" w:sz="8" w:space="0" w:color="1C2B39" w:themeColor="accent2"/>
          <w:right w:val="single" w:sz="8" w:space="0" w:color="1C2B39" w:themeColor="accent2"/>
          <w:insideH w:val="nil"/>
          <w:insideV w:val="single" w:sz="8" w:space="0" w:color="1C2B39"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tcPr>
    </w:tblStylePr>
    <w:tblStylePr w:type="band1Vert">
      <w:tblPr/>
      <w:tcPr>
        <w:tcBorders>
          <w:top w:val="single" w:sz="8" w:space="0" w:color="1C2B39" w:themeColor="accent2"/>
          <w:left w:val="single" w:sz="8" w:space="0" w:color="1C2B39" w:themeColor="accent2"/>
          <w:bottom w:val="single" w:sz="8" w:space="0" w:color="1C2B39" w:themeColor="accent2"/>
          <w:right w:val="single" w:sz="8" w:space="0" w:color="1C2B39" w:themeColor="accent2"/>
        </w:tcBorders>
        <w:shd w:val="clear" w:color="auto" w:fill="B8CADC" w:themeFill="accent2" w:themeFillTint="3F"/>
      </w:tcPr>
    </w:tblStylePr>
    <w:tblStylePr w:type="band1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shd w:val="clear" w:color="auto" w:fill="B8CADC" w:themeFill="accent2" w:themeFillTint="3F"/>
      </w:tcPr>
    </w:tblStylePr>
    <w:tblStylePr w:type="band2Horz">
      <w:tblPr/>
      <w:tcPr>
        <w:tcBorders>
          <w:top w:val="single" w:sz="8" w:space="0" w:color="1C2B39" w:themeColor="accent2"/>
          <w:left w:val="single" w:sz="8" w:space="0" w:color="1C2B39" w:themeColor="accent2"/>
          <w:bottom w:val="single" w:sz="8" w:space="0" w:color="1C2B39" w:themeColor="accent2"/>
          <w:right w:val="single" w:sz="8" w:space="0" w:color="1C2B39" w:themeColor="accent2"/>
          <w:insideV w:val="single" w:sz="8" w:space="0" w:color="1C2B39" w:themeColor="accent2"/>
        </w:tcBorders>
      </w:tcPr>
    </w:tblStylePr>
  </w:style>
  <w:style w:type="paragraph" w:customStyle="1" w:styleId="Default">
    <w:name w:val="Default"/>
    <w:rsid w:val="008A3133"/>
    <w:pPr>
      <w:autoSpaceDE w:val="0"/>
      <w:autoSpaceDN w:val="0"/>
      <w:adjustRightInd w:val="0"/>
      <w:spacing w:after="0" w:line="240" w:lineRule="auto"/>
    </w:pPr>
    <w:rPr>
      <w:rFonts w:ascii="Inter Light" w:hAnsi="Inter Light" w:cs="Inter Light"/>
      <w:color w:val="000000"/>
      <w:sz w:val="24"/>
      <w:szCs w:val="24"/>
    </w:rPr>
  </w:style>
  <w:style w:type="character" w:customStyle="1" w:styleId="A9">
    <w:name w:val="A9"/>
    <w:uiPriority w:val="99"/>
    <w:rsid w:val="008A3133"/>
    <w:rPr>
      <w:rFonts w:cs="Inter Light"/>
      <w:color w:val="042534"/>
    </w:rPr>
  </w:style>
  <w:style w:type="paragraph" w:styleId="NormalWeb">
    <w:name w:val="Normal (Web)"/>
    <w:basedOn w:val="Normal"/>
    <w:uiPriority w:val="99"/>
    <w:semiHidden/>
    <w:unhideWhenUsed/>
    <w:rsid w:val="00370575"/>
    <w:pPr>
      <w:spacing w:before="100" w:beforeAutospacing="1" w:after="100" w:afterAutospacing="1" w:line="240" w:lineRule="auto"/>
    </w:pPr>
    <w:rPr>
      <w:rFonts w:ascii="Times New Roman" w:eastAsia="Times New Roman" w:hAnsi="Times New Roman" w:cs="Times New Roman"/>
      <w:color w:val="auto"/>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4185144">
      <w:bodyDiv w:val="1"/>
      <w:marLeft w:val="0"/>
      <w:marRight w:val="0"/>
      <w:marTop w:val="0"/>
      <w:marBottom w:val="0"/>
      <w:divBdr>
        <w:top w:val="none" w:sz="0" w:space="0" w:color="auto"/>
        <w:left w:val="none" w:sz="0" w:space="0" w:color="auto"/>
        <w:bottom w:val="none" w:sz="0" w:space="0" w:color="auto"/>
        <w:right w:val="none" w:sz="0" w:space="0" w:color="auto"/>
      </w:divBdr>
    </w:div>
    <w:div w:id="187383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6">
      <a:dk1>
        <a:srgbClr val="000000"/>
      </a:dk1>
      <a:lt1>
        <a:srgbClr val="FFFFFF"/>
      </a:lt1>
      <a:dk2>
        <a:srgbClr val="0F1F35"/>
      </a:dk2>
      <a:lt2>
        <a:srgbClr val="D8D8D8"/>
      </a:lt2>
      <a:accent1>
        <a:srgbClr val="007279"/>
      </a:accent1>
      <a:accent2>
        <a:srgbClr val="1C2B39"/>
      </a:accent2>
      <a:accent3>
        <a:srgbClr val="F26337"/>
      </a:accent3>
      <a:accent4>
        <a:srgbClr val="4BADB0"/>
      </a:accent4>
      <a:accent5>
        <a:srgbClr val="B75B53"/>
      </a:accent5>
      <a:accent6>
        <a:srgbClr val="FCB76C"/>
      </a:accent6>
      <a:hlink>
        <a:srgbClr val="007279"/>
      </a:hlink>
      <a:folHlink>
        <a:srgbClr val="007279"/>
      </a:folHlink>
    </a:clrScheme>
    <a:fontScheme name="PM&amp;C light">
      <a:majorFont>
        <a:latin typeface="Times New Roman"/>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2e6ba7ff-9897-4e65-9803-3be34fd9cf5a}" enabled="1" method="Privileged" siteId="{8c3c81bc-2b3c-44af-b3f7-6f620b3910ee}"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2026-09-02T01:05:00Z</dcterms:created>
  <dcterms:modified xsi:type="dcterms:W3CDTF">2026-09-02T01:05:00Z</dcterms:modified>
</cp:coreProperties>
</file>