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2CBBD" w14:textId="77777777" w:rsidR="001352AA" w:rsidRDefault="006A3C26" w:rsidP="006A3C26">
      <w:pPr>
        <w:pStyle w:val="Title"/>
        <w:spacing w:after="120"/>
        <w:rPr>
          <w:rFonts w:ascii="Times New Roman" w:hAnsi="Times New Roman" w:cs="Times New Roman"/>
          <w:sz w:val="44"/>
          <w:szCs w:val="52"/>
        </w:rPr>
      </w:pPr>
      <w:bookmarkStart w:id="0" w:name="_Toc96326909"/>
      <w:r w:rsidRPr="006A3C26">
        <w:rPr>
          <w:rFonts w:ascii="Times New Roman" w:hAnsi="Times New Roman" w:cs="Times New Roman"/>
          <w:sz w:val="44"/>
          <w:szCs w:val="52"/>
        </w:rPr>
        <w:t>Dashboard Impact Analysis</w:t>
      </w:r>
      <w:r w:rsidR="001352AA">
        <w:rPr>
          <w:rFonts w:ascii="Times New Roman" w:hAnsi="Times New Roman" w:cs="Times New Roman"/>
          <w:sz w:val="44"/>
          <w:szCs w:val="52"/>
        </w:rPr>
        <w:t xml:space="preserve">: </w:t>
      </w:r>
    </w:p>
    <w:p w14:paraId="1883FBC7" w14:textId="71C90E34" w:rsidR="006A3C26" w:rsidRPr="006A3C26" w:rsidRDefault="006A3C26" w:rsidP="006A3C26">
      <w:pPr>
        <w:pStyle w:val="Title"/>
        <w:spacing w:after="120"/>
        <w:rPr>
          <w:rFonts w:ascii="Times New Roman" w:hAnsi="Times New Roman" w:cs="Times New Roman"/>
          <w:sz w:val="44"/>
          <w:szCs w:val="52"/>
        </w:rPr>
      </w:pPr>
      <w:r w:rsidRPr="006A3C26">
        <w:rPr>
          <w:rFonts w:ascii="Times New Roman" w:hAnsi="Times New Roman" w:cs="Times New Roman"/>
          <w:sz w:val="44"/>
          <w:szCs w:val="52"/>
        </w:rPr>
        <w:t xml:space="preserve">Exemption from Public Tenders Threshold under the </w:t>
      </w:r>
      <w:r w:rsidRPr="006A3C26">
        <w:rPr>
          <w:rFonts w:ascii="Times New Roman" w:hAnsi="Times New Roman" w:cs="Times New Roman"/>
          <w:i/>
          <w:iCs/>
          <w:sz w:val="44"/>
          <w:szCs w:val="52"/>
        </w:rPr>
        <w:t xml:space="preserve">National Land Transport Act 2014 </w:t>
      </w:r>
      <w:r w:rsidRPr="006A3C26">
        <w:rPr>
          <w:rFonts w:ascii="Times New Roman" w:hAnsi="Times New Roman" w:cs="Times New Roman"/>
          <w:sz w:val="44"/>
          <w:szCs w:val="52"/>
        </w:rPr>
        <w:t>(OIA26-12047)</w:t>
      </w:r>
    </w:p>
    <w:p w14:paraId="1A5EAF3A" w14:textId="77777777" w:rsidR="006A3C26" w:rsidRPr="00F77405" w:rsidRDefault="006A3C26" w:rsidP="006A3C26">
      <w:pPr>
        <w:pStyle w:val="Subtitle"/>
        <w:rPr>
          <w:rFonts w:ascii="Times New Roman" w:hAnsi="Times New Roman" w:cs="Times New Roman"/>
          <w:color w:val="1D1B11" w:themeColor="background2" w:themeShade="1A"/>
          <w:sz w:val="24"/>
          <w:szCs w:val="28"/>
        </w:rPr>
      </w:pPr>
      <w:r w:rsidRPr="00F77405">
        <w:rPr>
          <w:rFonts w:ascii="Times New Roman" w:hAnsi="Times New Roman" w:cs="Times New Roman"/>
          <w:color w:val="1D1B11" w:themeColor="background2" w:themeShade="1A"/>
          <w:sz w:val="24"/>
          <w:szCs w:val="28"/>
        </w:rPr>
        <w:t>Department of Infrastructure, Transport, Regional Development, Communications, Sport and the Arts</w:t>
      </w:r>
    </w:p>
    <w:bookmarkEnd w:id="0"/>
    <w:p w14:paraId="3D7504CF" w14:textId="77777777" w:rsidR="006A3C26" w:rsidRPr="006A3C26" w:rsidRDefault="006A3C26" w:rsidP="006A3C26">
      <w:pPr>
        <w:pStyle w:val="Heading1"/>
        <w:rPr>
          <w:rFonts w:ascii="Times New Roman" w:hAnsi="Times New Roman" w:cs="Times New Roman"/>
        </w:rPr>
      </w:pPr>
      <w:r w:rsidRPr="006A3C26">
        <w:rPr>
          <w:rFonts w:ascii="Times New Roman" w:hAnsi="Times New Roman" w:cs="Times New Roman"/>
        </w:rPr>
        <w:t>The proposed policy approach and policy problem addressing</w:t>
      </w:r>
    </w:p>
    <w:p w14:paraId="4D4650A4"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t>Proposed approach</w:t>
      </w:r>
    </w:p>
    <w:p w14:paraId="1D907C72" w14:textId="77777777"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The proposal is to remake the legislative instrument, the National Land Transport (Public Tender Exemption Limit) Determination 2014 (No. 1) (the Determination), made under the </w:t>
      </w:r>
      <w:r w:rsidRPr="006A3C26">
        <w:rPr>
          <w:rFonts w:ascii="Times New Roman" w:hAnsi="Times New Roman" w:cs="Times New Roman"/>
          <w:i/>
          <w:iCs/>
        </w:rPr>
        <w:t xml:space="preserve">National Land Transport Act 2014 </w:t>
      </w:r>
      <w:r w:rsidRPr="006A3C26">
        <w:rPr>
          <w:rFonts w:ascii="Times New Roman" w:hAnsi="Times New Roman" w:cs="Times New Roman"/>
        </w:rPr>
        <w:t xml:space="preserve">(NLT Act), ahead of its sunset date on 1 April 2027 and increase the tender exemption threshold from </w:t>
      </w:r>
      <w:r w:rsidRPr="006A3C26">
        <w:rPr>
          <w:rFonts w:ascii="Times New Roman" w:hAnsi="Times New Roman" w:cs="Times New Roman"/>
          <w:b/>
          <w:bCs/>
        </w:rPr>
        <w:t xml:space="preserve">$100,000 to </w:t>
      </w:r>
      <w:r w:rsidRPr="006A3C26">
        <w:rPr>
          <w:rFonts w:ascii="Times New Roman" w:hAnsi="Times New Roman" w:cs="Times New Roman"/>
          <w:b/>
        </w:rPr>
        <w:t>$250,000</w:t>
      </w:r>
      <w:r w:rsidRPr="006A3C26">
        <w:rPr>
          <w:rFonts w:ascii="Times New Roman" w:hAnsi="Times New Roman" w:cs="Times New Roman"/>
        </w:rPr>
        <w:t xml:space="preserve">. </w:t>
      </w:r>
    </w:p>
    <w:p w14:paraId="4B02E539" w14:textId="210C15F9" w:rsidR="006A3C26" w:rsidRPr="006A3C26" w:rsidRDefault="006A3C26" w:rsidP="006A3C26">
      <w:pPr>
        <w:rPr>
          <w:rFonts w:ascii="Times New Roman" w:hAnsi="Times New Roman" w:cs="Times New Roman"/>
        </w:rPr>
      </w:pPr>
      <w:r w:rsidRPr="006A3C26">
        <w:rPr>
          <w:rFonts w:ascii="Times New Roman" w:hAnsi="Times New Roman" w:cs="Times New Roman"/>
        </w:rPr>
        <w:t>The objective of the Determination is to apply public tender requirements proportionate to the scale, value and risk of infrastructure projects. The Determination aims to reduce the administrative burden of seeking bids for low</w:t>
      </w:r>
      <w:r w:rsidR="008A05E1">
        <w:rPr>
          <w:rFonts w:ascii="Times New Roman" w:hAnsi="Times New Roman" w:cs="Times New Roman"/>
        </w:rPr>
        <w:t xml:space="preserve"> </w:t>
      </w:r>
      <w:r w:rsidRPr="006A3C26">
        <w:rPr>
          <w:rFonts w:ascii="Times New Roman" w:hAnsi="Times New Roman" w:cs="Times New Roman"/>
        </w:rPr>
        <w:t>value work that the construction industry considers minor in nature, with the costs and burden of conducting an open tender process likely to outweigh the competitive benefits. The current Determination was made in 2014 and prescribes an amount of $100,000 below which work on a funded project can be exempted from public tender requirements.</w:t>
      </w:r>
    </w:p>
    <w:p w14:paraId="4920A44F" w14:textId="0A615AE5" w:rsidR="006A3C26" w:rsidRPr="006A3C26" w:rsidRDefault="006A3C26" w:rsidP="006A3C26">
      <w:pPr>
        <w:rPr>
          <w:rFonts w:ascii="Times New Roman" w:hAnsi="Times New Roman" w:cs="Times New Roman"/>
        </w:rPr>
      </w:pPr>
      <w:r w:rsidRPr="006A3C26">
        <w:rPr>
          <w:rFonts w:ascii="Times New Roman" w:hAnsi="Times New Roman" w:cs="Times New Roman"/>
        </w:rPr>
        <w:t>The proposal involves re-making the Determination and increasing the threshold to $250,000. Its remaking maintains the policy intent of reducing the administrative burden for low</w:t>
      </w:r>
      <w:r w:rsidR="007A7224">
        <w:rPr>
          <w:rFonts w:ascii="Times New Roman" w:hAnsi="Times New Roman" w:cs="Times New Roman"/>
        </w:rPr>
        <w:t xml:space="preserve"> </w:t>
      </w:r>
      <w:r w:rsidRPr="006A3C26">
        <w:rPr>
          <w:rFonts w:ascii="Times New Roman" w:hAnsi="Times New Roman" w:cs="Times New Roman"/>
        </w:rPr>
        <w:t>value works that the construction industry considers minor in nature</w:t>
      </w:r>
      <w:r w:rsidR="006B5C21">
        <w:rPr>
          <w:rFonts w:ascii="Times New Roman" w:hAnsi="Times New Roman" w:cs="Times New Roman"/>
        </w:rPr>
        <w:t xml:space="preserve"> and the </w:t>
      </w:r>
      <w:r w:rsidRPr="006A3C26">
        <w:rPr>
          <w:rFonts w:ascii="Times New Roman" w:hAnsi="Times New Roman" w:cs="Times New Roman"/>
        </w:rPr>
        <w:t xml:space="preserve">threshold </w:t>
      </w:r>
      <w:r w:rsidR="006B5C21">
        <w:rPr>
          <w:rFonts w:ascii="Times New Roman" w:hAnsi="Times New Roman" w:cs="Times New Roman"/>
        </w:rPr>
        <w:t xml:space="preserve">increase to $250,000 </w:t>
      </w:r>
      <w:r w:rsidRPr="006A3C26">
        <w:rPr>
          <w:rFonts w:ascii="Times New Roman" w:hAnsi="Times New Roman" w:cs="Times New Roman"/>
        </w:rPr>
        <w:t>align</w:t>
      </w:r>
      <w:r w:rsidR="006B5C21">
        <w:rPr>
          <w:rFonts w:ascii="Times New Roman" w:hAnsi="Times New Roman" w:cs="Times New Roman"/>
        </w:rPr>
        <w:t>s</w:t>
      </w:r>
      <w:r w:rsidRPr="006A3C26">
        <w:rPr>
          <w:rFonts w:ascii="Times New Roman" w:hAnsi="Times New Roman" w:cs="Times New Roman"/>
        </w:rPr>
        <w:t xml:space="preserve"> with some state and territory (state) procurement thresholds</w:t>
      </w:r>
      <w:r w:rsidR="002E194F">
        <w:rPr>
          <w:rFonts w:ascii="Times New Roman" w:hAnsi="Times New Roman" w:cs="Times New Roman"/>
        </w:rPr>
        <w:t>, reducing their regulatory burden</w:t>
      </w:r>
      <w:r w:rsidRPr="006A3C26">
        <w:rPr>
          <w:rFonts w:ascii="Times New Roman" w:hAnsi="Times New Roman" w:cs="Times New Roman"/>
        </w:rPr>
        <w:t xml:space="preserve">. </w:t>
      </w:r>
    </w:p>
    <w:p w14:paraId="044C340F" w14:textId="07F45946"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Risks associated with </w:t>
      </w:r>
      <w:r w:rsidR="007A7224">
        <w:rPr>
          <w:rFonts w:ascii="Times New Roman" w:hAnsi="Times New Roman" w:cs="Times New Roman"/>
        </w:rPr>
        <w:t>increasing</w:t>
      </w:r>
      <w:r w:rsidR="007A7224" w:rsidRPr="006A3C26">
        <w:rPr>
          <w:rFonts w:ascii="Times New Roman" w:hAnsi="Times New Roman" w:cs="Times New Roman"/>
        </w:rPr>
        <w:t xml:space="preserve"> </w:t>
      </w:r>
      <w:r w:rsidRPr="006A3C26">
        <w:rPr>
          <w:rFonts w:ascii="Times New Roman" w:hAnsi="Times New Roman" w:cs="Times New Roman"/>
        </w:rPr>
        <w:t xml:space="preserve">the threshold will be mitigated through Australian Government and state safeguards on transparency, probity and value-for-money outcomes. </w:t>
      </w:r>
    </w:p>
    <w:p w14:paraId="7A75D041" w14:textId="5D751A62" w:rsidR="006A3C26" w:rsidRPr="006A3C26" w:rsidRDefault="006A3C26" w:rsidP="006A3C26">
      <w:pPr>
        <w:rPr>
          <w:rFonts w:ascii="Times New Roman" w:hAnsi="Times New Roman" w:cs="Times New Roman"/>
        </w:rPr>
      </w:pPr>
      <w:r w:rsidRPr="006A3C26">
        <w:rPr>
          <w:rFonts w:ascii="Times New Roman" w:hAnsi="Times New Roman" w:cs="Times New Roman"/>
        </w:rPr>
        <w:t>The objective</w:t>
      </w:r>
      <w:r w:rsidR="002E194F">
        <w:rPr>
          <w:rFonts w:ascii="Times New Roman" w:hAnsi="Times New Roman" w:cs="Times New Roman"/>
        </w:rPr>
        <w:t>s</w:t>
      </w:r>
      <w:r w:rsidRPr="006A3C26">
        <w:rPr>
          <w:rFonts w:ascii="Times New Roman" w:hAnsi="Times New Roman" w:cs="Times New Roman"/>
        </w:rPr>
        <w:t xml:space="preserve"> of the proposed approach </w:t>
      </w:r>
      <w:r w:rsidR="00DE0BB7">
        <w:rPr>
          <w:rFonts w:ascii="Times New Roman" w:hAnsi="Times New Roman" w:cs="Times New Roman"/>
        </w:rPr>
        <w:t>are</w:t>
      </w:r>
      <w:r w:rsidR="00DE0BB7" w:rsidRPr="006A3C26">
        <w:rPr>
          <w:rFonts w:ascii="Times New Roman" w:hAnsi="Times New Roman" w:cs="Times New Roman"/>
        </w:rPr>
        <w:t xml:space="preserve"> </w:t>
      </w:r>
      <w:r w:rsidRPr="006A3C26">
        <w:rPr>
          <w:rFonts w:ascii="Times New Roman" w:hAnsi="Times New Roman" w:cs="Times New Roman"/>
        </w:rPr>
        <w:t>to:</w:t>
      </w:r>
    </w:p>
    <w:p w14:paraId="14C33F48" w14:textId="0DA20006" w:rsidR="006A3C26" w:rsidRPr="006A3C26" w:rsidRDefault="006A3C26" w:rsidP="006A3C26">
      <w:pPr>
        <w:numPr>
          <w:ilvl w:val="0"/>
          <w:numId w:val="4"/>
        </w:numPr>
        <w:tabs>
          <w:tab w:val="num" w:pos="720"/>
        </w:tabs>
        <w:spacing w:after="160" w:line="264" w:lineRule="auto"/>
        <w:rPr>
          <w:rFonts w:ascii="Times New Roman" w:hAnsi="Times New Roman" w:cs="Times New Roman"/>
        </w:rPr>
      </w:pPr>
      <w:r w:rsidRPr="006A3C26">
        <w:rPr>
          <w:rFonts w:ascii="Times New Roman" w:hAnsi="Times New Roman" w:cs="Times New Roman"/>
        </w:rPr>
        <w:t>provide greater flexibility for low</w:t>
      </w:r>
      <w:r w:rsidR="007A7224">
        <w:rPr>
          <w:rFonts w:ascii="Times New Roman" w:hAnsi="Times New Roman" w:cs="Times New Roman"/>
        </w:rPr>
        <w:t xml:space="preserve"> </w:t>
      </w:r>
      <w:r w:rsidRPr="006A3C26">
        <w:rPr>
          <w:rFonts w:ascii="Times New Roman" w:hAnsi="Times New Roman" w:cs="Times New Roman"/>
        </w:rPr>
        <w:t xml:space="preserve">value works where a public tender process may not provide competitive benefit; </w:t>
      </w:r>
    </w:p>
    <w:p w14:paraId="215F75C4" w14:textId="77777777" w:rsidR="006A3C26" w:rsidRPr="006A3C26" w:rsidRDefault="006A3C26" w:rsidP="006A3C26">
      <w:pPr>
        <w:numPr>
          <w:ilvl w:val="0"/>
          <w:numId w:val="4"/>
        </w:numPr>
        <w:spacing w:after="160" w:line="264" w:lineRule="auto"/>
        <w:rPr>
          <w:rFonts w:ascii="Times New Roman" w:hAnsi="Times New Roman" w:cs="Times New Roman"/>
        </w:rPr>
      </w:pPr>
      <w:r w:rsidRPr="006A3C26">
        <w:rPr>
          <w:rFonts w:ascii="Times New Roman" w:hAnsi="Times New Roman" w:cs="Times New Roman"/>
        </w:rPr>
        <w:t>ensure that the procurement process aligns to the risk and value of the procurement, leading to better value for money as suppliers are not building in high tendering costs for low value procurements;</w:t>
      </w:r>
    </w:p>
    <w:p w14:paraId="6635940D" w14:textId="6B68881A" w:rsidR="006A3C26" w:rsidRPr="006A3C26" w:rsidRDefault="006A3C26" w:rsidP="006A3C26">
      <w:pPr>
        <w:numPr>
          <w:ilvl w:val="0"/>
          <w:numId w:val="4"/>
        </w:numPr>
        <w:tabs>
          <w:tab w:val="num" w:pos="720"/>
        </w:tabs>
        <w:spacing w:after="160" w:line="264" w:lineRule="auto"/>
        <w:rPr>
          <w:rFonts w:ascii="Times New Roman" w:hAnsi="Times New Roman" w:cs="Times New Roman"/>
        </w:rPr>
      </w:pPr>
      <w:r w:rsidRPr="006A3C26">
        <w:rPr>
          <w:rFonts w:ascii="Times New Roman" w:hAnsi="Times New Roman" w:cs="Times New Roman"/>
        </w:rPr>
        <w:t>maintain appropriate tender requirements for higher</w:t>
      </w:r>
      <w:r w:rsidR="00392BB5">
        <w:rPr>
          <w:rFonts w:ascii="Times New Roman" w:hAnsi="Times New Roman" w:cs="Times New Roman"/>
        </w:rPr>
        <w:t xml:space="preserve"> </w:t>
      </w:r>
      <w:r w:rsidRPr="006A3C26">
        <w:rPr>
          <w:rFonts w:ascii="Times New Roman" w:hAnsi="Times New Roman" w:cs="Times New Roman"/>
        </w:rPr>
        <w:t>value procurements;</w:t>
      </w:r>
    </w:p>
    <w:p w14:paraId="307DAB3D" w14:textId="77777777" w:rsidR="006A3C26" w:rsidRPr="006A3C26" w:rsidRDefault="006A3C26" w:rsidP="006A3C26">
      <w:pPr>
        <w:numPr>
          <w:ilvl w:val="0"/>
          <w:numId w:val="4"/>
        </w:numPr>
        <w:tabs>
          <w:tab w:val="num" w:pos="720"/>
        </w:tabs>
        <w:spacing w:after="160" w:line="264" w:lineRule="auto"/>
        <w:rPr>
          <w:rFonts w:ascii="Times New Roman" w:hAnsi="Times New Roman" w:cs="Times New Roman"/>
        </w:rPr>
      </w:pPr>
      <w:r w:rsidRPr="006A3C26">
        <w:rPr>
          <w:rFonts w:ascii="Times New Roman" w:hAnsi="Times New Roman" w:cs="Times New Roman"/>
        </w:rPr>
        <w:t>support timely delivery of funded land transport projects; and</w:t>
      </w:r>
    </w:p>
    <w:p w14:paraId="601F07F1" w14:textId="77777777" w:rsidR="006A3C26" w:rsidRPr="006A3C26" w:rsidRDefault="006A3C26" w:rsidP="006A3C26">
      <w:pPr>
        <w:numPr>
          <w:ilvl w:val="0"/>
          <w:numId w:val="4"/>
        </w:numPr>
        <w:spacing w:after="160" w:line="264" w:lineRule="auto"/>
        <w:rPr>
          <w:rFonts w:ascii="Times New Roman" w:hAnsi="Times New Roman" w:cs="Times New Roman"/>
        </w:rPr>
      </w:pPr>
      <w:r w:rsidRPr="006A3C26">
        <w:rPr>
          <w:rFonts w:ascii="Times New Roman" w:hAnsi="Times New Roman" w:cs="Times New Roman"/>
        </w:rPr>
        <w:t>ensure the Determination remains fit for purpose over its expected lifespan.</w:t>
      </w:r>
    </w:p>
    <w:p w14:paraId="21809F04"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lastRenderedPageBreak/>
        <w:t>Policy problem</w:t>
      </w:r>
    </w:p>
    <w:p w14:paraId="5E611699" w14:textId="77777777"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Under the NLT Act, states receiving Australian Government funding for investment projects are required to call for public tenders for all work on the project (s. 24). The NLT Act allows for work on a funded project to be exempt from public tender requirements if it is less than an amount determined by the Minister (s. 24(1)(c)(vi)). This acknowledges that for low value work, the costs of conducting a public tender process are likely to outweigh the benefits. The current Determination prescribes an amount of $100,000 (the threshold) below which work on a funded infrastructure project is exempt from public tender requirements under the NLT Act. </w:t>
      </w:r>
    </w:p>
    <w:p w14:paraId="4DACC39F" w14:textId="77777777"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The threshold was established in 2014 and has not been updated. As such, the current threshold: </w:t>
      </w:r>
    </w:p>
    <w:p w14:paraId="77D99502" w14:textId="37582DE1" w:rsidR="006A3C26" w:rsidRPr="006A3C26" w:rsidRDefault="006A3C26" w:rsidP="006A3C26">
      <w:pPr>
        <w:pStyle w:val="ListParagraph"/>
        <w:numPr>
          <w:ilvl w:val="0"/>
          <w:numId w:val="5"/>
        </w:numPr>
        <w:spacing w:after="160" w:line="264" w:lineRule="auto"/>
        <w:rPr>
          <w:rFonts w:ascii="Times New Roman" w:hAnsi="Times New Roman" w:cs="Times New Roman"/>
        </w:rPr>
      </w:pPr>
      <w:r w:rsidRPr="006A3C26">
        <w:rPr>
          <w:rFonts w:ascii="Times New Roman" w:hAnsi="Times New Roman" w:cs="Times New Roman"/>
        </w:rPr>
        <w:t>applies to a declining number of procurement activities due to increasing infrastructure procurement and delivery costs;</w:t>
      </w:r>
    </w:p>
    <w:p w14:paraId="71365D4B" w14:textId="74B99806" w:rsidR="006A3C26" w:rsidRPr="006A3C26" w:rsidRDefault="006A3C26" w:rsidP="006A3C26">
      <w:pPr>
        <w:pStyle w:val="ListParagraph"/>
        <w:numPr>
          <w:ilvl w:val="0"/>
          <w:numId w:val="5"/>
        </w:numPr>
        <w:spacing w:after="160" w:line="264" w:lineRule="auto"/>
        <w:rPr>
          <w:rFonts w:ascii="Times New Roman" w:hAnsi="Times New Roman" w:cs="Times New Roman"/>
        </w:rPr>
      </w:pPr>
      <w:r w:rsidRPr="006A3C26">
        <w:rPr>
          <w:rFonts w:ascii="Times New Roman" w:hAnsi="Times New Roman" w:cs="Times New Roman"/>
        </w:rPr>
        <w:t>can require open tender processes for relatively low</w:t>
      </w:r>
      <w:r w:rsidR="00CD041B">
        <w:rPr>
          <w:rFonts w:ascii="Times New Roman" w:hAnsi="Times New Roman" w:cs="Times New Roman"/>
        </w:rPr>
        <w:t xml:space="preserve"> </w:t>
      </w:r>
      <w:r w:rsidRPr="006A3C26">
        <w:rPr>
          <w:rFonts w:ascii="Times New Roman" w:hAnsi="Times New Roman" w:cs="Times New Roman"/>
        </w:rPr>
        <w:t>value works where states' own procurement frameworks do not require these processes; and</w:t>
      </w:r>
    </w:p>
    <w:p w14:paraId="4DA5F1EB" w14:textId="77777777" w:rsidR="006A3C26" w:rsidRPr="006A3C26" w:rsidRDefault="006A3C26" w:rsidP="006A3C26">
      <w:pPr>
        <w:pStyle w:val="ListParagraph"/>
        <w:numPr>
          <w:ilvl w:val="0"/>
          <w:numId w:val="5"/>
        </w:numPr>
        <w:spacing w:after="160" w:line="264" w:lineRule="auto"/>
        <w:rPr>
          <w:rFonts w:ascii="Times New Roman" w:hAnsi="Times New Roman" w:cs="Times New Roman"/>
        </w:rPr>
      </w:pPr>
      <w:r w:rsidRPr="006A3C26">
        <w:rPr>
          <w:rFonts w:ascii="Times New Roman" w:hAnsi="Times New Roman" w:cs="Times New Roman"/>
        </w:rPr>
        <w:t>may delay project delivery where procurement activities are low value.</w:t>
      </w:r>
    </w:p>
    <w:p w14:paraId="723E9EF5" w14:textId="080FA381"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The proposal aims to address these issues by remaking the Determination and increasing the threshold to $250,000. The proposal draws on consultation undertaken with </w:t>
      </w:r>
      <w:r w:rsidRPr="006A3C26" w:rsidDel="00AC5008">
        <w:rPr>
          <w:rFonts w:ascii="Times New Roman" w:hAnsi="Times New Roman" w:cs="Times New Roman"/>
        </w:rPr>
        <w:t xml:space="preserve">state </w:t>
      </w:r>
      <w:r w:rsidRPr="006A3C26">
        <w:rPr>
          <w:rFonts w:ascii="Times New Roman" w:hAnsi="Times New Roman" w:cs="Times New Roman"/>
        </w:rPr>
        <w:t>government agencies and relevant Australian Government departments.</w:t>
      </w:r>
    </w:p>
    <w:p w14:paraId="67650DFE" w14:textId="004B565D" w:rsidR="006A3C26" w:rsidRPr="006A3C26" w:rsidRDefault="006A3C26" w:rsidP="006A3C26">
      <w:pPr>
        <w:rPr>
          <w:rFonts w:ascii="Times New Roman" w:hAnsi="Times New Roman" w:cs="Times New Roman"/>
        </w:rPr>
      </w:pPr>
      <w:r w:rsidRPr="006A3C26">
        <w:rPr>
          <w:rFonts w:ascii="Times New Roman" w:hAnsi="Times New Roman" w:cs="Times New Roman"/>
        </w:rPr>
        <w:t xml:space="preserve">Consultation identified strong support for replacing the Determination and increasing the threshold. No stakeholder supported allowing the Determination to lapse and all respondents supported a threshold higher than the current $100,000 threshold. </w:t>
      </w:r>
    </w:p>
    <w:p w14:paraId="2AD6C62E" w14:textId="36BA7EEE" w:rsidR="006A3C26" w:rsidRPr="006A3C26" w:rsidRDefault="006A3C26" w:rsidP="006A3C26">
      <w:pPr>
        <w:rPr>
          <w:rFonts w:ascii="Times New Roman" w:hAnsi="Times New Roman" w:cs="Times New Roman"/>
        </w:rPr>
      </w:pPr>
      <w:r w:rsidRPr="006A3C26">
        <w:rPr>
          <w:rFonts w:ascii="Times New Roman" w:hAnsi="Times New Roman" w:cs="Times New Roman"/>
        </w:rPr>
        <w:t>In relation to maintaining the Determination, consultation indicated the Determination continues to be important for low</w:t>
      </w:r>
      <w:r w:rsidR="00CD041B">
        <w:rPr>
          <w:rFonts w:ascii="Times New Roman" w:hAnsi="Times New Roman" w:cs="Times New Roman"/>
        </w:rPr>
        <w:t xml:space="preserve"> </w:t>
      </w:r>
      <w:r w:rsidRPr="006A3C26">
        <w:rPr>
          <w:rFonts w:ascii="Times New Roman" w:hAnsi="Times New Roman" w:cs="Times New Roman"/>
        </w:rPr>
        <w:t xml:space="preserve">value works. In these circumstances, the Determination is required as there is limited benefit of conducting competitive tenders. </w:t>
      </w:r>
    </w:p>
    <w:p w14:paraId="0C7DA4B0" w14:textId="20E4791D" w:rsidR="006A3C26" w:rsidRPr="006A3C26" w:rsidRDefault="006A3C26" w:rsidP="006A3C26">
      <w:pPr>
        <w:rPr>
          <w:rFonts w:ascii="Times New Roman" w:hAnsi="Times New Roman" w:cs="Times New Roman"/>
        </w:rPr>
        <w:sectPr w:rsidR="006A3C26" w:rsidRPr="006A3C26" w:rsidSect="005964F7">
          <w:headerReference w:type="even" r:id="rId8"/>
          <w:footerReference w:type="even" r:id="rId9"/>
          <w:footerReference w:type="default" r:id="rId10"/>
          <w:headerReference w:type="first" r:id="rId11"/>
          <w:footerReference w:type="first" r:id="rId12"/>
          <w:pgSz w:w="11906" w:h="16838"/>
          <w:pgMar w:top="1701" w:right="1134" w:bottom="1134" w:left="1134" w:header="992" w:footer="709" w:gutter="0"/>
          <w:cols w:space="708"/>
          <w:titlePg/>
          <w:docGrid w:linePitch="360"/>
        </w:sectPr>
      </w:pPr>
      <w:r w:rsidRPr="006A3C26">
        <w:rPr>
          <w:rFonts w:ascii="Times New Roman" w:hAnsi="Times New Roman" w:cs="Times New Roman"/>
        </w:rPr>
        <w:t>In relation to the threshold amount, consultation indicated that the $100,000 threshold, set in 2014, has been eroded in value by increasing infrastructure procurement and delivery costs. Several states currently apply tender exemption thresholds of $250,000 for low</w:t>
      </w:r>
      <w:r w:rsidR="00CD041B">
        <w:rPr>
          <w:rFonts w:ascii="Times New Roman" w:hAnsi="Times New Roman" w:cs="Times New Roman"/>
        </w:rPr>
        <w:t xml:space="preserve"> </w:t>
      </w:r>
      <w:r w:rsidRPr="006A3C26">
        <w:rPr>
          <w:rFonts w:ascii="Times New Roman" w:hAnsi="Times New Roman" w:cs="Times New Roman"/>
        </w:rPr>
        <w:t>value, low</w:t>
      </w:r>
      <w:r w:rsidR="00CD041B">
        <w:rPr>
          <w:rFonts w:ascii="Times New Roman" w:hAnsi="Times New Roman" w:cs="Times New Roman"/>
        </w:rPr>
        <w:t xml:space="preserve"> </w:t>
      </w:r>
      <w:r w:rsidRPr="006A3C26">
        <w:rPr>
          <w:rFonts w:ascii="Times New Roman" w:hAnsi="Times New Roman" w:cs="Times New Roman"/>
        </w:rPr>
        <w:t>risk works.</w:t>
      </w:r>
    </w:p>
    <w:p w14:paraId="3036B210" w14:textId="77777777" w:rsidR="006A3C26" w:rsidRPr="006A3C26" w:rsidRDefault="006A3C26" w:rsidP="006A3C26">
      <w:pPr>
        <w:pStyle w:val="Heading1"/>
        <w:rPr>
          <w:rFonts w:ascii="Times New Roman" w:hAnsi="Times New Roman" w:cs="Times New Roman"/>
        </w:rPr>
      </w:pPr>
      <w:r w:rsidRPr="006A3C26">
        <w:rPr>
          <w:rFonts w:ascii="Times New Roman" w:hAnsi="Times New Roman" w:cs="Times New Roman"/>
        </w:rPr>
        <w:lastRenderedPageBreak/>
        <w:t xml:space="preserve">Summary of impacts and methodology </w:t>
      </w:r>
    </w:p>
    <w:p w14:paraId="3D59DD10"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t>Impacts</w:t>
      </w:r>
    </w:p>
    <w:p w14:paraId="3B829311" w14:textId="77777777" w:rsidR="006A3C26" w:rsidRPr="006A3C26" w:rsidRDefault="006A3C26" w:rsidP="006A3C26">
      <w:pPr>
        <w:rPr>
          <w:rFonts w:ascii="Times New Roman" w:hAnsi="Times New Roman" w:cs="Times New Roman"/>
        </w:rPr>
      </w:pPr>
      <w:r w:rsidRPr="006A3C26">
        <w:rPr>
          <w:rFonts w:ascii="Times New Roman" w:hAnsi="Times New Roman" w:cs="Times New Roman"/>
        </w:rPr>
        <w:t>The following assessment of benefits, costs and net impact is qualitative as no reliable national dataset exists on the value of procurement transactions that would be affected by a threshold increase from $100,000 to $250,000. The analysis is therefore based on consultation evidence and states’ experience administering the Determination.</w:t>
      </w:r>
    </w:p>
    <w:tbl>
      <w:tblPr>
        <w:tblStyle w:val="Style1"/>
        <w:tblW w:w="5319" w:type="pct"/>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CellMar>
          <w:left w:w="85" w:type="dxa"/>
          <w:right w:w="85" w:type="dxa"/>
        </w:tblCellMar>
        <w:tblLook w:val="0620" w:firstRow="1" w:lastRow="0" w:firstColumn="0" w:lastColumn="0" w:noHBand="1" w:noVBand="1"/>
      </w:tblPr>
      <w:tblGrid>
        <w:gridCol w:w="2081"/>
        <w:gridCol w:w="3199"/>
        <w:gridCol w:w="3199"/>
        <w:gridCol w:w="3198"/>
        <w:gridCol w:w="3198"/>
      </w:tblGrid>
      <w:tr w:rsidR="006A3C26" w:rsidRPr="006A3C26" w14:paraId="71A16605" w14:textId="77777777" w:rsidTr="00932B2B">
        <w:trPr>
          <w:cnfStyle w:val="100000000000" w:firstRow="1" w:lastRow="0" w:firstColumn="0" w:lastColumn="0" w:oddVBand="0" w:evenVBand="0" w:oddHBand="0" w:evenHBand="0" w:firstRowFirstColumn="0" w:firstRowLastColumn="0" w:lastRowFirstColumn="0" w:lastRowLastColumn="0"/>
          <w:tblHeader/>
        </w:trPr>
        <w:tc>
          <w:tcPr>
            <w:tcW w:w="699" w:type="pct"/>
            <w:shd w:val="clear" w:color="auto" w:fill="1F497D" w:themeFill="text2"/>
          </w:tcPr>
          <w:p w14:paraId="1B50CE5E" w14:textId="77777777" w:rsidR="006A3C26" w:rsidRPr="006A3C26" w:rsidRDefault="006A3C26" w:rsidP="00932B2B">
            <w:pPr>
              <w:pStyle w:val="TBLText"/>
              <w:spacing w:after="0"/>
              <w:rPr>
                <w:rFonts w:ascii="Times New Roman" w:hAnsi="Times New Roman" w:cs="Times New Roman"/>
                <w:color w:val="FFFFFF" w:themeColor="background1"/>
              </w:rPr>
            </w:pPr>
            <w:r w:rsidRPr="006A3C26">
              <w:rPr>
                <w:rFonts w:ascii="Times New Roman" w:hAnsi="Times New Roman" w:cs="Times New Roman"/>
                <w:color w:val="FFFFFF" w:themeColor="background1"/>
              </w:rPr>
              <w:t>Option</w:t>
            </w:r>
          </w:p>
        </w:tc>
        <w:tc>
          <w:tcPr>
            <w:tcW w:w="1075" w:type="pct"/>
            <w:shd w:val="clear" w:color="auto" w:fill="1F497D" w:themeFill="text2"/>
          </w:tcPr>
          <w:p w14:paraId="0609A1CD" w14:textId="77777777" w:rsidR="006A3C26" w:rsidRPr="006A3C26" w:rsidRDefault="006A3C26" w:rsidP="00932B2B">
            <w:pPr>
              <w:pStyle w:val="TBLText"/>
              <w:spacing w:after="0"/>
              <w:jc w:val="center"/>
              <w:rPr>
                <w:rFonts w:ascii="Times New Roman" w:hAnsi="Times New Roman" w:cs="Times New Roman"/>
                <w:color w:val="FFFFFF" w:themeColor="background1"/>
              </w:rPr>
            </w:pPr>
            <w:r w:rsidRPr="006A3C26">
              <w:rPr>
                <w:rFonts w:ascii="Times New Roman" w:hAnsi="Times New Roman" w:cs="Times New Roman"/>
                <w:color w:val="FFFFFF" w:themeColor="background1"/>
              </w:rPr>
              <w:t xml:space="preserve">Benefits </w:t>
            </w:r>
            <w:r w:rsidRPr="006A3C26">
              <w:rPr>
                <w:rFonts w:ascii="Times New Roman" w:hAnsi="Times New Roman" w:cs="Times New Roman"/>
                <w:color w:val="FFFFFF" w:themeColor="background1"/>
              </w:rPr>
              <w:br/>
            </w:r>
          </w:p>
        </w:tc>
        <w:tc>
          <w:tcPr>
            <w:tcW w:w="1075" w:type="pct"/>
            <w:shd w:val="clear" w:color="auto" w:fill="1F497D" w:themeFill="text2"/>
          </w:tcPr>
          <w:p w14:paraId="3A90EB0C" w14:textId="77777777" w:rsidR="006A3C26" w:rsidRPr="006A3C26" w:rsidRDefault="006A3C26" w:rsidP="00932B2B">
            <w:pPr>
              <w:pStyle w:val="TBLText"/>
              <w:spacing w:after="0"/>
              <w:jc w:val="center"/>
              <w:rPr>
                <w:rFonts w:ascii="Times New Roman" w:hAnsi="Times New Roman" w:cs="Times New Roman"/>
                <w:color w:val="FFFFFF" w:themeColor="background1"/>
              </w:rPr>
            </w:pPr>
            <w:r w:rsidRPr="006A3C26">
              <w:rPr>
                <w:rFonts w:ascii="Times New Roman" w:hAnsi="Times New Roman" w:cs="Times New Roman"/>
                <w:color w:val="FFFFFF" w:themeColor="background1"/>
              </w:rPr>
              <w:t xml:space="preserve">Other costs </w:t>
            </w:r>
            <w:r w:rsidRPr="006A3C26">
              <w:rPr>
                <w:rFonts w:ascii="Times New Roman" w:hAnsi="Times New Roman" w:cs="Times New Roman"/>
                <w:color w:val="FFFFFF" w:themeColor="background1"/>
              </w:rPr>
              <w:br/>
            </w:r>
          </w:p>
        </w:tc>
        <w:tc>
          <w:tcPr>
            <w:tcW w:w="1075" w:type="pct"/>
            <w:shd w:val="clear" w:color="auto" w:fill="1F497D" w:themeFill="text2"/>
          </w:tcPr>
          <w:p w14:paraId="64960053" w14:textId="77777777" w:rsidR="006A3C26" w:rsidRPr="006A3C26" w:rsidRDefault="006A3C26" w:rsidP="00932B2B">
            <w:pPr>
              <w:pStyle w:val="TBLText"/>
              <w:spacing w:after="0"/>
              <w:jc w:val="center"/>
              <w:rPr>
                <w:rFonts w:ascii="Times New Roman" w:hAnsi="Times New Roman" w:cs="Times New Roman"/>
                <w:color w:val="FFFFFF" w:themeColor="background1"/>
              </w:rPr>
            </w:pPr>
            <w:r w:rsidRPr="006A3C26">
              <w:rPr>
                <w:rFonts w:ascii="Times New Roman" w:hAnsi="Times New Roman" w:cs="Times New Roman"/>
                <w:color w:val="FFFFFF" w:themeColor="background1"/>
              </w:rPr>
              <w:t xml:space="preserve">Net impact </w:t>
            </w:r>
            <w:r w:rsidRPr="006A3C26">
              <w:rPr>
                <w:rFonts w:ascii="Times New Roman" w:hAnsi="Times New Roman" w:cs="Times New Roman"/>
                <w:color w:val="FFFFFF" w:themeColor="background1"/>
              </w:rPr>
              <w:br/>
            </w:r>
          </w:p>
        </w:tc>
        <w:tc>
          <w:tcPr>
            <w:tcW w:w="1075" w:type="pct"/>
            <w:shd w:val="clear" w:color="auto" w:fill="1F497D" w:themeFill="text2"/>
          </w:tcPr>
          <w:p w14:paraId="69976F9A" w14:textId="77777777" w:rsidR="006A3C26" w:rsidRPr="006A3C26" w:rsidRDefault="006A3C26" w:rsidP="00932B2B">
            <w:pPr>
              <w:pStyle w:val="TBLText"/>
              <w:spacing w:after="0"/>
              <w:jc w:val="center"/>
              <w:rPr>
                <w:rFonts w:ascii="Times New Roman" w:hAnsi="Times New Roman" w:cs="Times New Roman"/>
                <w:color w:val="FFFFFF" w:themeColor="background1"/>
              </w:rPr>
            </w:pPr>
            <w:r w:rsidRPr="006A3C26">
              <w:rPr>
                <w:rFonts w:ascii="Times New Roman" w:hAnsi="Times New Roman" w:cs="Times New Roman"/>
                <w:color w:val="FFFFFF" w:themeColor="background1"/>
              </w:rPr>
              <w:t xml:space="preserve">Regulatory burden </w:t>
            </w:r>
            <w:r w:rsidRPr="006A3C26">
              <w:rPr>
                <w:rFonts w:ascii="Times New Roman" w:hAnsi="Times New Roman" w:cs="Times New Roman"/>
                <w:color w:val="FFFFFF" w:themeColor="background1"/>
              </w:rPr>
              <w:br/>
            </w:r>
          </w:p>
        </w:tc>
      </w:tr>
      <w:tr w:rsidR="006A3C26" w:rsidRPr="006A3C26" w14:paraId="07BC5B43" w14:textId="77777777" w:rsidTr="00932B2B">
        <w:trPr>
          <w:trHeight w:val="1050"/>
        </w:trPr>
        <w:tc>
          <w:tcPr>
            <w:tcW w:w="699" w:type="pct"/>
          </w:tcPr>
          <w:p w14:paraId="57D3D06A"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 xml:space="preserve">Status quo: </w:t>
            </w:r>
            <w:r w:rsidRPr="006A3C26">
              <w:rPr>
                <w:rFonts w:ascii="Times New Roman" w:hAnsi="Times New Roman" w:cs="Times New Roman"/>
              </w:rPr>
              <w:t>Allow the Determination to sunset</w:t>
            </w:r>
          </w:p>
        </w:tc>
        <w:tc>
          <w:tcPr>
            <w:tcW w:w="1075" w:type="pct"/>
          </w:tcPr>
          <w:p w14:paraId="73EF636C" w14:textId="13DA8894"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Removes the need </w:t>
            </w:r>
            <w:r w:rsidR="00A05987">
              <w:rPr>
                <w:rFonts w:ascii="Times New Roman" w:hAnsi="Times New Roman" w:cs="Times New Roman"/>
              </w:rPr>
              <w:t xml:space="preserve">for compliance with </w:t>
            </w:r>
            <w:r w:rsidRPr="006A3C26">
              <w:rPr>
                <w:rFonts w:ascii="Times New Roman" w:hAnsi="Times New Roman" w:cs="Times New Roman"/>
              </w:rPr>
              <w:t xml:space="preserve">the </w:t>
            </w:r>
            <w:r w:rsidR="00A05987">
              <w:rPr>
                <w:rFonts w:ascii="Times New Roman" w:hAnsi="Times New Roman" w:cs="Times New Roman"/>
              </w:rPr>
              <w:t xml:space="preserve">2014 </w:t>
            </w:r>
            <w:r w:rsidRPr="006A3C26">
              <w:rPr>
                <w:rFonts w:ascii="Times New Roman" w:hAnsi="Times New Roman" w:cs="Times New Roman"/>
              </w:rPr>
              <w:t>Determination and eliminates any procurement exemptions based on a prescribed threshold.</w:t>
            </w:r>
          </w:p>
          <w:p w14:paraId="41C61C2C" w14:textId="77777777" w:rsidR="006A3C26" w:rsidRPr="006A3C26" w:rsidRDefault="006A3C26" w:rsidP="00932B2B">
            <w:pPr>
              <w:pStyle w:val="TBLText"/>
              <w:rPr>
                <w:rFonts w:ascii="Times New Roman" w:hAnsi="Times New Roman" w:cs="Times New Roman"/>
              </w:rPr>
            </w:pPr>
          </w:p>
        </w:tc>
        <w:tc>
          <w:tcPr>
            <w:tcW w:w="1075" w:type="pct"/>
          </w:tcPr>
          <w:p w14:paraId="68339A3A"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More works funded under the NLT Act would be subject to public tender requirements, increasing the regulatory burden, costs and project delays</w:t>
            </w:r>
            <w:r w:rsidRPr="006A3C26" w:rsidDel="00F70CA6">
              <w:rPr>
                <w:rFonts w:ascii="Times New Roman" w:hAnsi="Times New Roman" w:cs="Times New Roman"/>
              </w:rPr>
              <w:t xml:space="preserve"> </w:t>
            </w:r>
            <w:r w:rsidRPr="006A3C26">
              <w:rPr>
                <w:rFonts w:ascii="Times New Roman" w:hAnsi="Times New Roman" w:cs="Times New Roman"/>
              </w:rPr>
              <w:t xml:space="preserve">from public tender processes (unless another exemption applies). </w:t>
            </w:r>
          </w:p>
          <w:p w14:paraId="1EB07F89"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It would be inconsistent with stakeholder feedback that the Determination continues to serve a useful purpose. </w:t>
            </w:r>
          </w:p>
          <w:p w14:paraId="741963CA"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No stakeholder supported this option.</w:t>
            </w:r>
          </w:p>
          <w:p w14:paraId="0D161EFE" w14:textId="544244D3"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Potentially increases the costs of low</w:t>
            </w:r>
            <w:r w:rsidR="00CD041B">
              <w:rPr>
                <w:rFonts w:ascii="Times New Roman" w:hAnsi="Times New Roman" w:cs="Times New Roman"/>
              </w:rPr>
              <w:t xml:space="preserve"> </w:t>
            </w:r>
            <w:r w:rsidRPr="006A3C26">
              <w:rPr>
                <w:rFonts w:ascii="Times New Roman" w:hAnsi="Times New Roman" w:cs="Times New Roman"/>
              </w:rPr>
              <w:t>value works as suppliers build in high tendering costs for low value procurements.</w:t>
            </w:r>
          </w:p>
        </w:tc>
        <w:tc>
          <w:tcPr>
            <w:tcW w:w="1075" w:type="pct"/>
          </w:tcPr>
          <w:p w14:paraId="24AFAB40"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Does not address stakeholder feedback and removes an established mechanism for proportionate procurement arrangements.</w:t>
            </w:r>
          </w:p>
          <w:p w14:paraId="024979D7" w14:textId="77777777" w:rsidR="006A3C26" w:rsidRPr="006A3C26" w:rsidRDefault="006A3C26" w:rsidP="00932B2B">
            <w:pPr>
              <w:pStyle w:val="TBLText"/>
              <w:rPr>
                <w:rFonts w:ascii="Times New Roman" w:hAnsi="Times New Roman" w:cs="Times New Roman"/>
              </w:rPr>
            </w:pPr>
          </w:p>
        </w:tc>
        <w:tc>
          <w:tcPr>
            <w:tcW w:w="1075" w:type="pct"/>
          </w:tcPr>
          <w:p w14:paraId="57D3DA70"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Baseline</w:t>
            </w:r>
          </w:p>
          <w:p w14:paraId="756FD068" w14:textId="4BE095C1"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Compared to existing settings</w:t>
            </w:r>
            <w:r w:rsidR="00A05987">
              <w:rPr>
                <w:rFonts w:ascii="Times New Roman" w:hAnsi="Times New Roman" w:cs="Times New Roman"/>
              </w:rPr>
              <w:t xml:space="preserve"> (2014 Determination)</w:t>
            </w:r>
            <w:r w:rsidRPr="006A3C26">
              <w:rPr>
                <w:rFonts w:ascii="Times New Roman" w:hAnsi="Times New Roman" w:cs="Times New Roman"/>
              </w:rPr>
              <w:t xml:space="preserve">, there will be an increase in regulatory burden from conducting open tenders for work currently exempted (under the $100,000 threshold). </w:t>
            </w:r>
          </w:p>
          <w:p w14:paraId="5D9B0ED4" w14:textId="77777777" w:rsidR="006A3C26" w:rsidRPr="006A3C26" w:rsidRDefault="006A3C26" w:rsidP="00932B2B">
            <w:pPr>
              <w:pStyle w:val="TBLText"/>
              <w:rPr>
                <w:rFonts w:ascii="Times New Roman" w:hAnsi="Times New Roman" w:cs="Times New Roman"/>
              </w:rPr>
            </w:pPr>
          </w:p>
          <w:p w14:paraId="2094CE55" w14:textId="77777777" w:rsidR="006A3C26" w:rsidRPr="006A3C26" w:rsidRDefault="006A3C26" w:rsidP="00932B2B">
            <w:pPr>
              <w:pStyle w:val="TBLText"/>
              <w:rPr>
                <w:rFonts w:ascii="Times New Roman" w:hAnsi="Times New Roman" w:cs="Times New Roman"/>
              </w:rPr>
            </w:pPr>
          </w:p>
        </w:tc>
      </w:tr>
      <w:tr w:rsidR="006A3C26" w:rsidRPr="006A3C26" w14:paraId="3D29722F" w14:textId="77777777" w:rsidTr="00932B2B">
        <w:trPr>
          <w:cantSplit/>
          <w:trHeight w:val="1050"/>
        </w:trPr>
        <w:tc>
          <w:tcPr>
            <w:tcW w:w="699" w:type="pct"/>
          </w:tcPr>
          <w:p w14:paraId="6005DEA6"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lastRenderedPageBreak/>
              <w:t xml:space="preserve">Proposed: </w:t>
            </w:r>
            <w:r w:rsidRPr="006A3C26">
              <w:rPr>
                <w:rFonts w:ascii="Times New Roman" w:hAnsi="Times New Roman" w:cs="Times New Roman"/>
              </w:rPr>
              <w:t>Increase threshold to $250,000</w:t>
            </w:r>
          </w:p>
        </w:tc>
        <w:tc>
          <w:tcPr>
            <w:tcW w:w="1075" w:type="pct"/>
          </w:tcPr>
          <w:p w14:paraId="5C3B60D1" w14:textId="37052BBE"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Better reflects increased infrastructure delivery costs since 2014, preserving the policy intent that the exemption applies only to </w:t>
            </w:r>
            <w:r w:rsidR="00A05987" w:rsidRPr="006A3C26">
              <w:rPr>
                <w:rFonts w:ascii="Times New Roman" w:hAnsi="Times New Roman" w:cs="Times New Roman"/>
              </w:rPr>
              <w:t>low value</w:t>
            </w:r>
            <w:r w:rsidRPr="006A3C26">
              <w:rPr>
                <w:rFonts w:ascii="Times New Roman" w:hAnsi="Times New Roman" w:cs="Times New Roman"/>
              </w:rPr>
              <w:t xml:space="preserve"> works. </w:t>
            </w:r>
            <w:r w:rsidR="00A05987">
              <w:rPr>
                <w:rFonts w:ascii="Times New Roman" w:hAnsi="Times New Roman" w:cs="Times New Roman"/>
              </w:rPr>
              <w:t>This r</w:t>
            </w:r>
            <w:r w:rsidRPr="006A3C26">
              <w:rPr>
                <w:rFonts w:ascii="Times New Roman" w:hAnsi="Times New Roman" w:cs="Times New Roman"/>
              </w:rPr>
              <w:t xml:space="preserve">educes </w:t>
            </w:r>
            <w:r w:rsidR="00A05987">
              <w:rPr>
                <w:rFonts w:ascii="Times New Roman" w:hAnsi="Times New Roman" w:cs="Times New Roman"/>
              </w:rPr>
              <w:t xml:space="preserve">the regulatory </w:t>
            </w:r>
            <w:r w:rsidRPr="006A3C26">
              <w:rPr>
                <w:rFonts w:ascii="Times New Roman" w:hAnsi="Times New Roman" w:cs="Times New Roman"/>
              </w:rPr>
              <w:t xml:space="preserve">burden, simplifies procurement processes, and supports timely project delivery. </w:t>
            </w:r>
          </w:p>
          <w:p w14:paraId="6CFE1BF2"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Aligns with some state thresholds, reducing their regulatory burden.</w:t>
            </w:r>
          </w:p>
          <w:p w14:paraId="6B8313F0"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This threshold also accounts for likely increases in construction and delivery costs over the next ten years until the Determination’s next sunset date of 1 April 2037.</w:t>
            </w:r>
          </w:p>
        </w:tc>
        <w:tc>
          <w:tcPr>
            <w:tcW w:w="1075" w:type="pct"/>
          </w:tcPr>
          <w:p w14:paraId="1EA0D64D"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Very limited reduction in competitive tendering for procurements valued between $100,000 and $250,000. </w:t>
            </w:r>
          </w:p>
          <w:p w14:paraId="1B4A020B" w14:textId="68D352AB"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However, risks relating to transparency, probity and competition remain relatively limited as the threshold remains only for low</w:t>
            </w:r>
            <w:r w:rsidR="00CD041B">
              <w:rPr>
                <w:rFonts w:ascii="Times New Roman" w:hAnsi="Times New Roman" w:cs="Times New Roman"/>
              </w:rPr>
              <w:t xml:space="preserve"> </w:t>
            </w:r>
            <w:r w:rsidRPr="006A3C26">
              <w:rPr>
                <w:rFonts w:ascii="Times New Roman" w:hAnsi="Times New Roman" w:cs="Times New Roman"/>
              </w:rPr>
              <w:t xml:space="preserve">value works. </w:t>
            </w:r>
          </w:p>
          <w:p w14:paraId="013D3113" w14:textId="77777777" w:rsidR="006A3C26" w:rsidRPr="006A3C26" w:rsidRDefault="006A3C26" w:rsidP="00932B2B">
            <w:pPr>
              <w:pStyle w:val="TBLText"/>
              <w:rPr>
                <w:rFonts w:ascii="Times New Roman" w:hAnsi="Times New Roman" w:cs="Times New Roman"/>
              </w:rPr>
            </w:pPr>
          </w:p>
        </w:tc>
        <w:tc>
          <w:tcPr>
            <w:tcW w:w="1075" w:type="pct"/>
          </w:tcPr>
          <w:p w14:paraId="2390478C"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Provides the best balance between reducing regulatory burden and maintaining appropriate procurement safeguards.</w:t>
            </w:r>
          </w:p>
        </w:tc>
        <w:tc>
          <w:tcPr>
            <w:tcW w:w="1075" w:type="pct"/>
          </w:tcPr>
          <w:p w14:paraId="71158EB0"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-$3,501,405 over ten years</w:t>
            </w:r>
          </w:p>
          <w:p w14:paraId="630FF08E"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Substantial decrease in regulatory burden from the baseline.</w:t>
            </w:r>
          </w:p>
          <w:p w14:paraId="758C6E7F" w14:textId="48B5E024"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Substantial reduction in </w:t>
            </w:r>
            <w:r w:rsidR="002C45DC">
              <w:rPr>
                <w:rFonts w:ascii="Times New Roman" w:hAnsi="Times New Roman" w:cs="Times New Roman"/>
              </w:rPr>
              <w:t xml:space="preserve">regulatory burden for governments and </w:t>
            </w:r>
            <w:r w:rsidRPr="006A3C26">
              <w:rPr>
                <w:rFonts w:ascii="Times New Roman" w:hAnsi="Times New Roman" w:cs="Times New Roman"/>
              </w:rPr>
              <w:t>procurement costs for tender bidders relating to tendering activity. The higher $250,000 threshold captures more low</w:t>
            </w:r>
            <w:r w:rsidR="00CD041B">
              <w:rPr>
                <w:rFonts w:ascii="Times New Roman" w:hAnsi="Times New Roman" w:cs="Times New Roman"/>
              </w:rPr>
              <w:t xml:space="preserve"> </w:t>
            </w:r>
            <w:r w:rsidRPr="006A3C26">
              <w:rPr>
                <w:rFonts w:ascii="Times New Roman" w:hAnsi="Times New Roman" w:cs="Times New Roman"/>
              </w:rPr>
              <w:t xml:space="preserve">value work resulting in substantial savings in </w:t>
            </w:r>
            <w:r w:rsidR="002C45DC">
              <w:rPr>
                <w:rFonts w:ascii="Times New Roman" w:hAnsi="Times New Roman" w:cs="Times New Roman"/>
              </w:rPr>
              <w:t xml:space="preserve">the </w:t>
            </w:r>
            <w:r w:rsidR="002C45DC" w:rsidRPr="006A3C26">
              <w:rPr>
                <w:rFonts w:ascii="Times New Roman" w:hAnsi="Times New Roman" w:cs="Times New Roman"/>
              </w:rPr>
              <w:t xml:space="preserve">in </w:t>
            </w:r>
            <w:r w:rsidR="002C45DC">
              <w:rPr>
                <w:rFonts w:ascii="Times New Roman" w:hAnsi="Times New Roman" w:cs="Times New Roman"/>
              </w:rPr>
              <w:t>regulatory burden</w:t>
            </w:r>
            <w:r w:rsidR="002C45DC" w:rsidRPr="006A3C26">
              <w:rPr>
                <w:rFonts w:ascii="Times New Roman" w:hAnsi="Times New Roman" w:cs="Times New Roman"/>
              </w:rPr>
              <w:t xml:space="preserve"> </w:t>
            </w:r>
            <w:r w:rsidRPr="006A3C26">
              <w:rPr>
                <w:rFonts w:ascii="Times New Roman" w:hAnsi="Times New Roman" w:cs="Times New Roman"/>
              </w:rPr>
              <w:t>and supplier tender preparation activity.</w:t>
            </w:r>
          </w:p>
          <w:p w14:paraId="2777E218"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(Please see the methodology section for calculations)</w:t>
            </w:r>
          </w:p>
        </w:tc>
      </w:tr>
      <w:tr w:rsidR="006A3C26" w:rsidRPr="006A3C26" w14:paraId="38467FA3" w14:textId="77777777" w:rsidTr="00932B2B">
        <w:trPr>
          <w:trHeight w:val="1050"/>
        </w:trPr>
        <w:tc>
          <w:tcPr>
            <w:tcW w:w="699" w:type="pct"/>
          </w:tcPr>
          <w:p w14:paraId="7A0E4924"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 xml:space="preserve">Alternative: </w:t>
            </w:r>
            <w:r w:rsidRPr="006A3C26">
              <w:rPr>
                <w:rFonts w:ascii="Times New Roman" w:hAnsi="Times New Roman" w:cs="Times New Roman"/>
              </w:rPr>
              <w:t>Retain current threshold of $100,000</w:t>
            </w:r>
          </w:p>
        </w:tc>
        <w:tc>
          <w:tcPr>
            <w:tcW w:w="1075" w:type="pct"/>
          </w:tcPr>
          <w:p w14:paraId="1118E2A4"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Reduction in regulatory burden from the status quo.</w:t>
            </w:r>
          </w:p>
        </w:tc>
        <w:tc>
          <w:tcPr>
            <w:tcW w:w="1075" w:type="pct"/>
          </w:tcPr>
          <w:p w14:paraId="02BB6B19" w14:textId="0D58EC14"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Threshold has not been updated since 2014 and applies to a declining number of procurements due to inflation increasing construction costs. Consultation found no stakeholder support for retaining the current threshold.</w:t>
            </w:r>
          </w:p>
          <w:p w14:paraId="6B08566D" w14:textId="66559F8E" w:rsidR="006A3C26" w:rsidRPr="006A3C26" w:rsidRDefault="006A3C26" w:rsidP="00932B2B">
            <w:pPr>
              <w:pStyle w:val="TBLText"/>
              <w:rPr>
                <w:rFonts w:ascii="Times New Roman" w:hAnsi="Times New Roman" w:cs="Times New Roman"/>
              </w:rPr>
            </w:pPr>
          </w:p>
        </w:tc>
        <w:tc>
          <w:tcPr>
            <w:tcW w:w="1075" w:type="pct"/>
          </w:tcPr>
          <w:p w14:paraId="39E88438"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Maintains existing safeguards but does not address the identified policy problem.</w:t>
            </w:r>
          </w:p>
          <w:p w14:paraId="2825230D" w14:textId="77777777" w:rsidR="006A3C26" w:rsidRPr="006A3C26" w:rsidRDefault="006A3C26" w:rsidP="00932B2B">
            <w:pPr>
              <w:pStyle w:val="TBLText"/>
              <w:rPr>
                <w:rFonts w:ascii="Times New Roman" w:hAnsi="Times New Roman" w:cs="Times New Roman"/>
              </w:rPr>
            </w:pPr>
          </w:p>
        </w:tc>
        <w:tc>
          <w:tcPr>
            <w:tcW w:w="1075" w:type="pct"/>
          </w:tcPr>
          <w:p w14:paraId="33BE60DF"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-$961,170 over ten years</w:t>
            </w:r>
          </w:p>
          <w:p w14:paraId="299718DD"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Moderate decrease in regulatory burden from baseline.</w:t>
            </w:r>
          </w:p>
          <w:p w14:paraId="24A1A590" w14:textId="239A018B"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Compared to the baseline, this option results in a decrease in </w:t>
            </w:r>
            <w:r w:rsidR="002C45DC">
              <w:rPr>
                <w:rFonts w:ascii="Times New Roman" w:hAnsi="Times New Roman" w:cs="Times New Roman"/>
              </w:rPr>
              <w:t>governments’</w:t>
            </w:r>
            <w:r w:rsidR="002C45DC" w:rsidRPr="006A3C26">
              <w:rPr>
                <w:rFonts w:ascii="Times New Roman" w:hAnsi="Times New Roman" w:cs="Times New Roman"/>
              </w:rPr>
              <w:t xml:space="preserve"> </w:t>
            </w:r>
            <w:r w:rsidRPr="006A3C26">
              <w:rPr>
                <w:rFonts w:ascii="Times New Roman" w:hAnsi="Times New Roman" w:cs="Times New Roman"/>
              </w:rPr>
              <w:t xml:space="preserve">regulatory burden and supplier tender </w:t>
            </w:r>
            <w:r w:rsidR="002C45DC">
              <w:rPr>
                <w:rFonts w:ascii="Times New Roman" w:hAnsi="Times New Roman" w:cs="Times New Roman"/>
              </w:rPr>
              <w:t>costs</w:t>
            </w:r>
            <w:r w:rsidRPr="006A3C26">
              <w:rPr>
                <w:rFonts w:ascii="Times New Roman" w:hAnsi="Times New Roman" w:cs="Times New Roman"/>
              </w:rPr>
              <w:t>.</w:t>
            </w:r>
          </w:p>
          <w:p w14:paraId="68593F88"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 xml:space="preserve">Given the current $100,000 threshold, this option would result in a gradual increase in compliance costs over 10 years as costs increase and an increasingly smaller number of projects fall under the threshold. </w:t>
            </w:r>
          </w:p>
          <w:p w14:paraId="42E7236A"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rPr>
              <w:t>(Please see the methodology section for calculations)</w:t>
            </w:r>
          </w:p>
        </w:tc>
      </w:tr>
    </w:tbl>
    <w:p w14:paraId="039B59CC" w14:textId="77777777" w:rsidR="006A3C26" w:rsidRPr="00F77405" w:rsidRDefault="006A3C26" w:rsidP="006A3C26">
      <w:pPr>
        <w:pStyle w:val="Heading2"/>
        <w:rPr>
          <w:rFonts w:ascii="Times New Roman" w:hAnsi="Times New Roman" w:cs="Times New Roman"/>
          <w:color w:val="244061" w:themeColor="accent1" w:themeShade="80"/>
        </w:rPr>
        <w:sectPr w:rsidR="006A3C26" w:rsidRPr="00F77405" w:rsidSect="005964F7">
          <w:headerReference w:type="first" r:id="rId13"/>
          <w:footerReference w:type="first" r:id="rId14"/>
          <w:pgSz w:w="16838" w:h="11906" w:orient="landscape"/>
          <w:pgMar w:top="1134" w:right="1701" w:bottom="1134" w:left="1134" w:header="992" w:footer="709" w:gutter="0"/>
          <w:cols w:space="708"/>
          <w:titlePg/>
          <w:docGrid w:linePitch="360"/>
        </w:sectPr>
      </w:pPr>
    </w:p>
    <w:p w14:paraId="79D0A8D1"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lastRenderedPageBreak/>
        <w:t>Methodology</w:t>
      </w:r>
    </w:p>
    <w:p w14:paraId="54E96597" w14:textId="77777777" w:rsidR="006A3C26" w:rsidRPr="006A3C26" w:rsidRDefault="006A3C26" w:rsidP="006A3C26">
      <w:pPr>
        <w:spacing w:line="288" w:lineRule="auto"/>
        <w:rPr>
          <w:rFonts w:ascii="Times New Roman" w:hAnsi="Times New Roman" w:cs="Times New Roman"/>
          <w:u w:val="single"/>
        </w:rPr>
      </w:pPr>
      <w:r w:rsidRPr="006A3C26">
        <w:rPr>
          <w:rFonts w:ascii="Times New Roman" w:hAnsi="Times New Roman" w:cs="Times New Roman"/>
          <w:u w:val="single"/>
        </w:rPr>
        <w:t>Assumptions</w:t>
      </w:r>
    </w:p>
    <w:p w14:paraId="18EB41E0" w14:textId="7568CCDA" w:rsidR="006A3C26" w:rsidRPr="006A3C26" w:rsidRDefault="006A3C26" w:rsidP="006A3C26">
      <w:pPr>
        <w:pStyle w:val="ListParagraph"/>
        <w:numPr>
          <w:ilvl w:val="0"/>
          <w:numId w:val="5"/>
        </w:numPr>
        <w:spacing w:line="288" w:lineRule="auto"/>
        <w:rPr>
          <w:rFonts w:ascii="Times New Roman" w:hAnsi="Times New Roman" w:cs="Times New Roman"/>
          <w:u w:val="single"/>
        </w:rPr>
      </w:pPr>
      <w:r w:rsidRPr="006A3C26">
        <w:rPr>
          <w:rFonts w:ascii="Times New Roman" w:hAnsi="Times New Roman" w:cs="Times New Roman"/>
        </w:rPr>
        <w:t>One of the states consulted advised that it submitted 13 low</w:t>
      </w:r>
      <w:r w:rsidR="008A05E1">
        <w:rPr>
          <w:rFonts w:ascii="Times New Roman" w:hAnsi="Times New Roman" w:cs="Times New Roman"/>
        </w:rPr>
        <w:t xml:space="preserve"> </w:t>
      </w:r>
      <w:r w:rsidRPr="006A3C26">
        <w:rPr>
          <w:rFonts w:ascii="Times New Roman" w:hAnsi="Times New Roman" w:cs="Times New Roman"/>
        </w:rPr>
        <w:t>value work exemption applications over the last three years (about 4.3 per year) for works under $100,000.</w:t>
      </w:r>
    </w:p>
    <w:p w14:paraId="144AF70F" w14:textId="77777777" w:rsidR="006A3C26" w:rsidRPr="006A3C26" w:rsidRDefault="006A3C26" w:rsidP="006A3C26">
      <w:pPr>
        <w:pStyle w:val="ListParagraph"/>
        <w:numPr>
          <w:ilvl w:val="0"/>
          <w:numId w:val="5"/>
        </w:numPr>
        <w:spacing w:line="288" w:lineRule="auto"/>
        <w:rPr>
          <w:rFonts w:ascii="Times New Roman" w:hAnsi="Times New Roman" w:cs="Times New Roman"/>
          <w:u w:val="single"/>
        </w:rPr>
      </w:pPr>
      <w:r w:rsidRPr="006A3C26">
        <w:rPr>
          <w:rFonts w:ascii="Times New Roman" w:hAnsi="Times New Roman" w:cs="Times New Roman"/>
        </w:rPr>
        <w:t>4.3 applications per state per year x 8 states = 34.4 applications across all states per year.</w:t>
      </w:r>
    </w:p>
    <w:p w14:paraId="1AF4B545" w14:textId="77777777" w:rsidR="006A3C26" w:rsidRPr="006A3C26" w:rsidRDefault="006A3C26" w:rsidP="006A3C26">
      <w:pPr>
        <w:pStyle w:val="ListParagraph"/>
        <w:numPr>
          <w:ilvl w:val="1"/>
          <w:numId w:val="5"/>
        </w:numPr>
        <w:spacing w:line="288" w:lineRule="auto"/>
        <w:rPr>
          <w:rFonts w:ascii="Times New Roman" w:hAnsi="Times New Roman" w:cs="Times New Roman"/>
          <w:u w:val="single"/>
        </w:rPr>
      </w:pPr>
      <w:r w:rsidRPr="006A3C26">
        <w:rPr>
          <w:rFonts w:ascii="Times New Roman" w:hAnsi="Times New Roman" w:cs="Times New Roman"/>
        </w:rPr>
        <w:t xml:space="preserve">34.4 applications </w:t>
      </w:r>
      <w:proofErr w:type="gramStart"/>
      <w:r w:rsidRPr="006A3C26">
        <w:rPr>
          <w:rFonts w:ascii="Times New Roman" w:hAnsi="Times New Roman" w:cs="Times New Roman"/>
        </w:rPr>
        <w:t>is</w:t>
      </w:r>
      <w:proofErr w:type="gramEnd"/>
      <w:r w:rsidRPr="006A3C26">
        <w:rPr>
          <w:rFonts w:ascii="Times New Roman" w:hAnsi="Times New Roman" w:cs="Times New Roman"/>
        </w:rPr>
        <w:t xml:space="preserve"> rounded to ~30 applications nationally of the $100,000 threshold exemption per year.</w:t>
      </w:r>
    </w:p>
    <w:p w14:paraId="38DAE219" w14:textId="79A5C506" w:rsidR="006A3C26" w:rsidRPr="006A3C26" w:rsidRDefault="006A3C26" w:rsidP="006A3C26">
      <w:pPr>
        <w:pStyle w:val="ListParagraph"/>
        <w:numPr>
          <w:ilvl w:val="0"/>
          <w:numId w:val="5"/>
        </w:numPr>
        <w:spacing w:line="288" w:lineRule="auto"/>
        <w:rPr>
          <w:rFonts w:ascii="Times New Roman" w:hAnsi="Times New Roman" w:cs="Times New Roman"/>
        </w:rPr>
      </w:pPr>
      <w:r w:rsidRPr="006A3C26">
        <w:rPr>
          <w:rFonts w:ascii="Times New Roman" w:hAnsi="Times New Roman" w:cs="Times New Roman"/>
        </w:rPr>
        <w:t>It is estimated that an average of 3 suppliers submit tender bids at $100</w:t>
      </w:r>
      <w:r w:rsidR="002C45DC">
        <w:rPr>
          <w:rFonts w:ascii="Times New Roman" w:hAnsi="Times New Roman" w:cs="Times New Roman"/>
        </w:rPr>
        <w:t>,000</w:t>
      </w:r>
      <w:r w:rsidRPr="006A3C26">
        <w:rPr>
          <w:rFonts w:ascii="Times New Roman" w:hAnsi="Times New Roman" w:cs="Times New Roman"/>
        </w:rPr>
        <w:t xml:space="preserve"> threshold. </w:t>
      </w:r>
    </w:p>
    <w:p w14:paraId="40209E3E" w14:textId="67846672" w:rsidR="006A3C26" w:rsidRPr="006A3C26" w:rsidRDefault="006A3C26" w:rsidP="006A3C26">
      <w:pPr>
        <w:pStyle w:val="ListParagraph"/>
        <w:numPr>
          <w:ilvl w:val="0"/>
          <w:numId w:val="5"/>
        </w:numPr>
        <w:spacing w:line="288" w:lineRule="auto"/>
        <w:rPr>
          <w:rFonts w:ascii="Times New Roman" w:hAnsi="Times New Roman" w:cs="Times New Roman"/>
        </w:rPr>
      </w:pPr>
      <w:r w:rsidRPr="006A3C26">
        <w:rPr>
          <w:rFonts w:ascii="Times New Roman" w:hAnsi="Times New Roman" w:cs="Times New Roman"/>
        </w:rPr>
        <w:t>It is estimated that an average of 5 suppliers submit tender bids at $250</w:t>
      </w:r>
      <w:r w:rsidR="002C45DC">
        <w:rPr>
          <w:rFonts w:ascii="Times New Roman" w:hAnsi="Times New Roman" w:cs="Times New Roman"/>
        </w:rPr>
        <w:t>,000</w:t>
      </w:r>
      <w:r w:rsidRPr="006A3C26">
        <w:rPr>
          <w:rFonts w:ascii="Times New Roman" w:hAnsi="Times New Roman" w:cs="Times New Roman"/>
        </w:rPr>
        <w:t xml:space="preserve"> threshold.</w:t>
      </w:r>
    </w:p>
    <w:p w14:paraId="3E637D1A" w14:textId="77777777" w:rsidR="006A3C26" w:rsidRPr="006A3C26" w:rsidRDefault="006A3C26" w:rsidP="006A3C26">
      <w:pPr>
        <w:pStyle w:val="ListParagraph"/>
        <w:numPr>
          <w:ilvl w:val="0"/>
          <w:numId w:val="5"/>
        </w:numPr>
        <w:spacing w:line="288" w:lineRule="auto"/>
        <w:rPr>
          <w:rFonts w:ascii="Times New Roman" w:hAnsi="Times New Roman" w:cs="Times New Roman"/>
          <w:b/>
          <w:bCs/>
        </w:rPr>
      </w:pPr>
      <w:r w:rsidRPr="006A3C26">
        <w:rPr>
          <w:rFonts w:ascii="Times New Roman" w:hAnsi="Times New Roman" w:cs="Times New Roman"/>
        </w:rPr>
        <w:t xml:space="preserve">Labour rate = $91.54/hour based on the Office of Impact Assessment’s Regulatory Burden Measurement Framework. </w:t>
      </w:r>
    </w:p>
    <w:p w14:paraId="09C31A5A" w14:textId="77777777" w:rsidR="006A3C26" w:rsidRPr="006A3C26" w:rsidRDefault="006A3C26" w:rsidP="006A3C26">
      <w:pPr>
        <w:spacing w:line="288" w:lineRule="auto"/>
        <w:rPr>
          <w:rFonts w:ascii="Times New Roman" w:hAnsi="Times New Roman" w:cs="Times New Roman"/>
          <w:b/>
          <w:bCs/>
        </w:rPr>
      </w:pPr>
      <w:r w:rsidRPr="006A3C26">
        <w:rPr>
          <w:rFonts w:ascii="Times New Roman" w:hAnsi="Times New Roman" w:cs="Times New Roman"/>
          <w:b/>
          <w:bCs/>
        </w:rPr>
        <w:t>Government administrative effort (Administrative costs)</w:t>
      </w:r>
    </w:p>
    <w:p w14:paraId="1CD6A240" w14:textId="4F8169F9" w:rsidR="006A3C26" w:rsidRPr="006A3C26" w:rsidRDefault="006A3C26" w:rsidP="006A3C26">
      <w:pPr>
        <w:pStyle w:val="ListParagraph"/>
        <w:numPr>
          <w:ilvl w:val="0"/>
          <w:numId w:val="6"/>
        </w:numPr>
        <w:spacing w:line="288" w:lineRule="auto"/>
        <w:rPr>
          <w:rFonts w:ascii="Times New Roman" w:hAnsi="Times New Roman" w:cs="Times New Roman"/>
          <w:b/>
          <w:bCs/>
        </w:rPr>
      </w:pPr>
      <w:r w:rsidRPr="006A3C26">
        <w:rPr>
          <w:rFonts w:ascii="Times New Roman" w:hAnsi="Times New Roman" w:cs="Times New Roman"/>
        </w:rPr>
        <w:t xml:space="preserve">30 applications nationally of the $100,000 threshold exemption per year. </w:t>
      </w:r>
    </w:p>
    <w:p w14:paraId="711B2386" w14:textId="3D868F77" w:rsidR="006A3C26" w:rsidRPr="006A3C26" w:rsidRDefault="006A3C26" w:rsidP="006A3C26">
      <w:pPr>
        <w:pStyle w:val="ListParagraph"/>
        <w:numPr>
          <w:ilvl w:val="0"/>
          <w:numId w:val="6"/>
        </w:numPr>
        <w:spacing w:line="288" w:lineRule="auto"/>
        <w:rPr>
          <w:rFonts w:ascii="Times New Roman" w:hAnsi="Times New Roman" w:cs="Times New Roman"/>
          <w:b/>
          <w:bCs/>
        </w:rPr>
      </w:pPr>
      <w:r w:rsidRPr="006A3C26">
        <w:rPr>
          <w:rFonts w:ascii="Times New Roman" w:hAnsi="Times New Roman" w:cs="Times New Roman"/>
        </w:rPr>
        <w:t>30 applications nationally at the $100</w:t>
      </w:r>
      <w:r w:rsidR="002C45DC">
        <w:rPr>
          <w:rFonts w:ascii="Times New Roman" w:hAnsi="Times New Roman" w:cs="Times New Roman"/>
        </w:rPr>
        <w:t>,000</w:t>
      </w:r>
      <w:r w:rsidRPr="006A3C26">
        <w:rPr>
          <w:rFonts w:ascii="Times New Roman" w:hAnsi="Times New Roman" w:cs="Times New Roman"/>
        </w:rPr>
        <w:t xml:space="preserve"> level = 75 applications nationally of the $250,000 threshold exemption per year.</w:t>
      </w:r>
    </w:p>
    <w:p w14:paraId="392EC750" w14:textId="00840DA3" w:rsidR="006A3C26" w:rsidRPr="006A3C26" w:rsidRDefault="006A3C26" w:rsidP="006A3C26">
      <w:pPr>
        <w:spacing w:line="288" w:lineRule="auto"/>
        <w:rPr>
          <w:rFonts w:ascii="Times New Roman" w:hAnsi="Times New Roman" w:cs="Times New Roman"/>
          <w:b/>
          <w:bCs/>
        </w:rPr>
      </w:pPr>
      <w:r w:rsidRPr="006A3C26">
        <w:rPr>
          <w:rFonts w:ascii="Times New Roman" w:hAnsi="Times New Roman" w:cs="Times New Roman"/>
        </w:rPr>
        <w:t>If there was no low</w:t>
      </w:r>
      <w:r w:rsidR="008A05E1">
        <w:rPr>
          <w:rFonts w:ascii="Times New Roman" w:hAnsi="Times New Roman" w:cs="Times New Roman"/>
        </w:rPr>
        <w:t xml:space="preserve"> </w:t>
      </w:r>
      <w:r w:rsidRPr="006A3C26">
        <w:rPr>
          <w:rFonts w:ascii="Times New Roman" w:hAnsi="Times New Roman" w:cs="Times New Roman"/>
        </w:rPr>
        <w:t xml:space="preserve">value work exemption, all applications would be subject to tender requirements. We assume this involves: </w:t>
      </w:r>
    </w:p>
    <w:p w14:paraId="52A116D0" w14:textId="77777777" w:rsidR="006A3C26" w:rsidRPr="006A3C26" w:rsidRDefault="006A3C26" w:rsidP="006A3C26">
      <w:pPr>
        <w:pStyle w:val="ListParagraph"/>
        <w:numPr>
          <w:ilvl w:val="0"/>
          <w:numId w:val="6"/>
        </w:numPr>
        <w:spacing w:line="288" w:lineRule="auto"/>
        <w:rPr>
          <w:rFonts w:ascii="Times New Roman" w:hAnsi="Times New Roman" w:cs="Times New Roman"/>
          <w:b/>
          <w:bCs/>
        </w:rPr>
      </w:pPr>
      <w:r w:rsidRPr="006A3C26">
        <w:rPr>
          <w:rFonts w:ascii="Times New Roman" w:hAnsi="Times New Roman" w:cs="Times New Roman"/>
        </w:rPr>
        <w:t xml:space="preserve">10 hours of state officer time to conduct a tender including preparation of tender documents and assessing tender bids. </w:t>
      </w:r>
    </w:p>
    <w:p w14:paraId="08F4FFBC" w14:textId="77777777" w:rsidR="006A3C26" w:rsidRPr="006A3C26" w:rsidRDefault="006A3C26" w:rsidP="006A3C26">
      <w:pPr>
        <w:pStyle w:val="ListParagraph"/>
        <w:numPr>
          <w:ilvl w:val="0"/>
          <w:numId w:val="6"/>
        </w:numPr>
        <w:spacing w:line="288" w:lineRule="auto"/>
        <w:rPr>
          <w:rFonts w:ascii="Times New Roman" w:hAnsi="Times New Roman" w:cs="Times New Roman"/>
          <w:b/>
          <w:bCs/>
        </w:rPr>
      </w:pPr>
      <w:r w:rsidRPr="006A3C26">
        <w:rPr>
          <w:rFonts w:ascii="Times New Roman" w:hAnsi="Times New Roman" w:cs="Times New Roman"/>
        </w:rPr>
        <w:t>1 hour of Australian Government officer time to process advice on the status of the procurement.</w:t>
      </w:r>
    </w:p>
    <w:p w14:paraId="3A037E6D" w14:textId="77777777" w:rsidR="006A3C26" w:rsidRPr="006A3C26" w:rsidRDefault="006A3C26" w:rsidP="006A3C26">
      <w:pPr>
        <w:spacing w:line="288" w:lineRule="auto"/>
        <w:rPr>
          <w:rFonts w:ascii="Times New Roman" w:hAnsi="Times New Roman" w:cs="Times New Roman"/>
        </w:rPr>
      </w:pPr>
      <w:r w:rsidRPr="006A3C26">
        <w:rPr>
          <w:rFonts w:ascii="Times New Roman" w:hAnsi="Times New Roman" w:cs="Times New Roman"/>
        </w:rPr>
        <w:t xml:space="preserve">Therefore: </w:t>
      </w:r>
    </w:p>
    <w:p w14:paraId="3315FF1B" w14:textId="1423BC09" w:rsidR="006A3C26" w:rsidRPr="006A3C26" w:rsidRDefault="006A3C26" w:rsidP="006A3C26">
      <w:pPr>
        <w:pStyle w:val="ListParagraph"/>
        <w:numPr>
          <w:ilvl w:val="0"/>
          <w:numId w:val="6"/>
        </w:numPr>
        <w:spacing w:line="288" w:lineRule="auto"/>
        <w:rPr>
          <w:rFonts w:ascii="Times New Roman" w:hAnsi="Times New Roman" w:cs="Times New Roman"/>
        </w:rPr>
      </w:pPr>
      <w:r w:rsidRPr="006A3C26">
        <w:rPr>
          <w:rFonts w:ascii="Times New Roman" w:hAnsi="Times New Roman" w:cs="Times New Roman"/>
        </w:rPr>
        <w:t>Labour cost for conducting a tender for low</w:t>
      </w:r>
      <w:r w:rsidR="008A05E1">
        <w:rPr>
          <w:rFonts w:ascii="Times New Roman" w:hAnsi="Times New Roman" w:cs="Times New Roman"/>
        </w:rPr>
        <w:t xml:space="preserve"> </w:t>
      </w:r>
      <w:r w:rsidRPr="006A3C26">
        <w:rPr>
          <w:rFonts w:ascii="Times New Roman" w:hAnsi="Times New Roman" w:cs="Times New Roman"/>
        </w:rPr>
        <w:t>value work = 11 hours x $91.54/hour = $1,006.94</w:t>
      </w:r>
    </w:p>
    <w:p w14:paraId="6DE86AAC" w14:textId="7C229AD4" w:rsidR="006A3C26" w:rsidRPr="006A3C26" w:rsidRDefault="006A3C26" w:rsidP="006A3C26">
      <w:pPr>
        <w:pStyle w:val="ListParagraph"/>
        <w:numPr>
          <w:ilvl w:val="0"/>
          <w:numId w:val="6"/>
        </w:numPr>
        <w:spacing w:line="288" w:lineRule="auto"/>
        <w:rPr>
          <w:rFonts w:ascii="Times New Roman" w:hAnsi="Times New Roman" w:cs="Times New Roman"/>
        </w:rPr>
      </w:pPr>
      <w:r w:rsidRPr="006A3C26">
        <w:rPr>
          <w:rFonts w:ascii="Times New Roman" w:hAnsi="Times New Roman" w:cs="Times New Roman"/>
        </w:rPr>
        <w:t>Annual administrative cost for conducting tenders for low</w:t>
      </w:r>
      <w:r w:rsidR="008A05E1">
        <w:rPr>
          <w:rFonts w:ascii="Times New Roman" w:hAnsi="Times New Roman" w:cs="Times New Roman"/>
        </w:rPr>
        <w:t xml:space="preserve"> </w:t>
      </w:r>
      <w:r w:rsidRPr="006A3C26">
        <w:rPr>
          <w:rFonts w:ascii="Times New Roman" w:hAnsi="Times New Roman" w:cs="Times New Roman"/>
        </w:rPr>
        <w:t xml:space="preserve">value work </w:t>
      </w:r>
      <w:r w:rsidRPr="006A3C26">
        <w:rPr>
          <w:rFonts w:ascii="Times New Roman" w:hAnsi="Times New Roman" w:cs="Times New Roman"/>
          <w:b/>
          <w:bCs/>
        </w:rPr>
        <w:t>($100</w:t>
      </w:r>
      <w:r w:rsid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08514DB6"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$1,006.94 x 30 applications = </w:t>
      </w:r>
      <w:r w:rsidRPr="006A3C26">
        <w:rPr>
          <w:rFonts w:ascii="Times New Roman" w:hAnsi="Times New Roman" w:cs="Times New Roman"/>
          <w:b/>
          <w:bCs/>
        </w:rPr>
        <w:t>$30,208.20</w:t>
      </w:r>
    </w:p>
    <w:p w14:paraId="321EF118" w14:textId="0970A5B7" w:rsidR="006A3C26" w:rsidRPr="006A3C26" w:rsidRDefault="006A3C26" w:rsidP="006A3C26">
      <w:pPr>
        <w:pStyle w:val="ListParagraph"/>
        <w:numPr>
          <w:ilvl w:val="0"/>
          <w:numId w:val="6"/>
        </w:numPr>
        <w:spacing w:line="288" w:lineRule="auto"/>
        <w:rPr>
          <w:rFonts w:ascii="Times New Roman" w:hAnsi="Times New Roman" w:cs="Times New Roman"/>
        </w:rPr>
      </w:pPr>
      <w:r w:rsidRPr="006A3C26">
        <w:rPr>
          <w:rFonts w:ascii="Times New Roman" w:hAnsi="Times New Roman" w:cs="Times New Roman"/>
        </w:rPr>
        <w:t>Annual administrative cost for conducting tenders for low</w:t>
      </w:r>
      <w:r w:rsidR="008A05E1">
        <w:rPr>
          <w:rFonts w:ascii="Times New Roman" w:hAnsi="Times New Roman" w:cs="Times New Roman"/>
        </w:rPr>
        <w:t xml:space="preserve"> </w:t>
      </w:r>
      <w:r w:rsidRPr="006A3C26">
        <w:rPr>
          <w:rFonts w:ascii="Times New Roman" w:hAnsi="Times New Roman" w:cs="Times New Roman"/>
        </w:rPr>
        <w:t xml:space="preserve">value work </w:t>
      </w:r>
      <w:r w:rsidRPr="006A3C26">
        <w:rPr>
          <w:rFonts w:ascii="Times New Roman" w:hAnsi="Times New Roman" w:cs="Times New Roman"/>
          <w:b/>
          <w:bCs/>
        </w:rPr>
        <w:t>($250</w:t>
      </w:r>
      <w:r w:rsid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6814057A"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$1,006.94 x 75 applications = </w:t>
      </w:r>
      <w:r w:rsidRPr="006A3C26">
        <w:rPr>
          <w:rFonts w:ascii="Times New Roman" w:hAnsi="Times New Roman" w:cs="Times New Roman"/>
          <w:b/>
          <w:bCs/>
        </w:rPr>
        <w:t>$75,520.50</w:t>
      </w:r>
    </w:p>
    <w:p w14:paraId="6322F867" w14:textId="77777777" w:rsidR="006A3C26" w:rsidRPr="006A3C26" w:rsidRDefault="006A3C26" w:rsidP="006A3C26">
      <w:pPr>
        <w:spacing w:line="288" w:lineRule="auto"/>
        <w:rPr>
          <w:rFonts w:ascii="Times New Roman" w:hAnsi="Times New Roman" w:cs="Times New Roman"/>
          <w:b/>
          <w:bCs/>
        </w:rPr>
      </w:pPr>
      <w:r w:rsidRPr="006A3C26">
        <w:rPr>
          <w:rFonts w:ascii="Times New Roman" w:hAnsi="Times New Roman" w:cs="Times New Roman"/>
          <w:b/>
          <w:bCs/>
        </w:rPr>
        <w:t>Supplier tender preparation costs (Tendering costs)</w:t>
      </w:r>
    </w:p>
    <w:p w14:paraId="4FA07483" w14:textId="77777777"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It is estimated that each supplier takes 8 hours to prepare and submit a tender bid.</w:t>
      </w:r>
    </w:p>
    <w:p w14:paraId="59A2B169" w14:textId="121F5DFD" w:rsidR="006A3C26" w:rsidRPr="006A3C26" w:rsidRDefault="006A3C26" w:rsidP="006A3C26">
      <w:pPr>
        <w:spacing w:line="288" w:lineRule="auto"/>
        <w:rPr>
          <w:rFonts w:ascii="Times New Roman" w:hAnsi="Times New Roman" w:cs="Times New Roman"/>
        </w:rPr>
      </w:pPr>
      <w:r w:rsidRPr="006A3C26">
        <w:rPr>
          <w:rFonts w:ascii="Times New Roman" w:hAnsi="Times New Roman" w:cs="Times New Roman"/>
        </w:rPr>
        <w:t>If there was no low</w:t>
      </w:r>
      <w:r w:rsidR="00C20F73">
        <w:rPr>
          <w:rFonts w:ascii="Times New Roman" w:hAnsi="Times New Roman" w:cs="Times New Roman"/>
        </w:rPr>
        <w:t xml:space="preserve"> </w:t>
      </w:r>
      <w:r w:rsidRPr="006A3C26">
        <w:rPr>
          <w:rFonts w:ascii="Times New Roman" w:hAnsi="Times New Roman" w:cs="Times New Roman"/>
        </w:rPr>
        <w:t>value work exemption, suppliers would face costs relating to preparing and submitting bids for each low</w:t>
      </w:r>
      <w:r w:rsidR="00C20F73">
        <w:rPr>
          <w:rFonts w:ascii="Times New Roman" w:hAnsi="Times New Roman" w:cs="Times New Roman"/>
        </w:rPr>
        <w:t xml:space="preserve"> </w:t>
      </w:r>
      <w:r w:rsidRPr="006A3C26">
        <w:rPr>
          <w:rFonts w:ascii="Times New Roman" w:hAnsi="Times New Roman" w:cs="Times New Roman"/>
        </w:rPr>
        <w:t xml:space="preserve">value work open tender. </w:t>
      </w:r>
    </w:p>
    <w:p w14:paraId="517CF198" w14:textId="16CD8EB6"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Labour cost to suppliers ($100</w:t>
      </w:r>
      <w:r w:rsidR="002C45DC">
        <w:rPr>
          <w:rFonts w:ascii="Times New Roman" w:hAnsi="Times New Roman" w:cs="Times New Roman"/>
        </w:rPr>
        <w:t>,000</w:t>
      </w:r>
      <w:r w:rsidRPr="006A3C26">
        <w:rPr>
          <w:rFonts w:ascii="Times New Roman" w:hAnsi="Times New Roman" w:cs="Times New Roman"/>
        </w:rPr>
        <w:t xml:space="preserve"> threshold) = 3 suppliers x 8 hours x $91.54/hour = $2,196.96</w:t>
      </w:r>
    </w:p>
    <w:p w14:paraId="414D3600" w14:textId="66E8A1E0"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Labour cost to suppliers ($250</w:t>
      </w:r>
      <w:r w:rsidR="002C45DC">
        <w:rPr>
          <w:rFonts w:ascii="Times New Roman" w:hAnsi="Times New Roman" w:cs="Times New Roman"/>
        </w:rPr>
        <w:t>,000</w:t>
      </w:r>
      <w:r w:rsidRPr="006A3C26">
        <w:rPr>
          <w:rFonts w:ascii="Times New Roman" w:hAnsi="Times New Roman" w:cs="Times New Roman"/>
        </w:rPr>
        <w:t xml:space="preserve"> threshold) = 5 suppliers x 8 hours x $91.54/hour = $3,661.60</w:t>
      </w:r>
    </w:p>
    <w:p w14:paraId="4A1D796A" w14:textId="77777777" w:rsidR="006A3C26" w:rsidRPr="006A3C26" w:rsidRDefault="006A3C26" w:rsidP="006A3C26">
      <w:pPr>
        <w:pStyle w:val="ListParagraph"/>
        <w:spacing w:line="288" w:lineRule="auto"/>
        <w:ind w:left="360"/>
        <w:rPr>
          <w:rFonts w:ascii="Times New Roman" w:hAnsi="Times New Roman" w:cs="Times New Roman"/>
        </w:rPr>
      </w:pPr>
    </w:p>
    <w:p w14:paraId="30C4AAD0" w14:textId="77777777" w:rsidR="0029322E" w:rsidRDefault="0029322E" w:rsidP="0029322E">
      <w:pPr>
        <w:pStyle w:val="ListParagraph"/>
        <w:spacing w:line="288" w:lineRule="auto"/>
        <w:ind w:left="360"/>
        <w:rPr>
          <w:rFonts w:ascii="Times New Roman" w:hAnsi="Times New Roman" w:cs="Times New Roman"/>
        </w:rPr>
      </w:pPr>
    </w:p>
    <w:p w14:paraId="03D9ADEE" w14:textId="77777777" w:rsidR="0029322E" w:rsidRPr="0029322E" w:rsidRDefault="0029322E" w:rsidP="0029322E">
      <w:pPr>
        <w:pStyle w:val="ListParagraph"/>
        <w:rPr>
          <w:rFonts w:ascii="Times New Roman" w:hAnsi="Times New Roman" w:cs="Times New Roman"/>
        </w:rPr>
      </w:pPr>
    </w:p>
    <w:p w14:paraId="2486CA3F" w14:textId="77777777" w:rsidR="0029322E" w:rsidRDefault="0029322E" w:rsidP="0029322E">
      <w:pPr>
        <w:pStyle w:val="ListParagraph"/>
        <w:spacing w:line="288" w:lineRule="auto"/>
        <w:ind w:left="360"/>
        <w:rPr>
          <w:rFonts w:ascii="Times New Roman" w:hAnsi="Times New Roman" w:cs="Times New Roman"/>
        </w:rPr>
      </w:pPr>
    </w:p>
    <w:p w14:paraId="67C7A20F" w14:textId="4CFD17CC"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lastRenderedPageBreak/>
        <w:t xml:space="preserve">Annual cost to suppliers of submitting </w:t>
      </w:r>
      <w:r w:rsidR="002C45DC" w:rsidRPr="006A3C26">
        <w:rPr>
          <w:rFonts w:ascii="Times New Roman" w:hAnsi="Times New Roman" w:cs="Times New Roman"/>
        </w:rPr>
        <w:t>low value</w:t>
      </w:r>
      <w:r w:rsidRPr="006A3C26">
        <w:rPr>
          <w:rFonts w:ascii="Times New Roman" w:hAnsi="Times New Roman" w:cs="Times New Roman"/>
        </w:rPr>
        <w:t xml:space="preserve"> work tender bids </w:t>
      </w:r>
      <w:r w:rsidRPr="006A3C26">
        <w:rPr>
          <w:rFonts w:ascii="Times New Roman" w:hAnsi="Times New Roman" w:cs="Times New Roman"/>
          <w:b/>
          <w:bCs/>
        </w:rPr>
        <w:t>($100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70A10F62"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$2,196.96 x 30 applications = </w:t>
      </w:r>
      <w:r w:rsidRPr="006A3C26">
        <w:rPr>
          <w:rFonts w:ascii="Times New Roman" w:hAnsi="Times New Roman" w:cs="Times New Roman"/>
          <w:b/>
          <w:bCs/>
        </w:rPr>
        <w:t>$65,908.80</w:t>
      </w:r>
    </w:p>
    <w:p w14:paraId="6DD81F0E" w14:textId="09DDDF12"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 xml:space="preserve">Annual cost to suppliers of submitting </w:t>
      </w:r>
      <w:r w:rsidR="002C45DC" w:rsidRPr="006A3C26">
        <w:rPr>
          <w:rFonts w:ascii="Times New Roman" w:hAnsi="Times New Roman" w:cs="Times New Roman"/>
        </w:rPr>
        <w:t>low value</w:t>
      </w:r>
      <w:r w:rsidRPr="006A3C26">
        <w:rPr>
          <w:rFonts w:ascii="Times New Roman" w:hAnsi="Times New Roman" w:cs="Times New Roman"/>
        </w:rPr>
        <w:t xml:space="preserve"> work tender bids </w:t>
      </w:r>
      <w:r w:rsidRPr="006A3C26">
        <w:rPr>
          <w:rFonts w:ascii="Times New Roman" w:hAnsi="Times New Roman" w:cs="Times New Roman"/>
          <w:b/>
          <w:bCs/>
        </w:rPr>
        <w:t>($250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172C510D"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$3,661.60 x 75 applications = </w:t>
      </w:r>
      <w:r w:rsidRPr="006A3C26">
        <w:rPr>
          <w:rFonts w:ascii="Times New Roman" w:hAnsi="Times New Roman" w:cs="Times New Roman"/>
          <w:b/>
          <w:bCs/>
        </w:rPr>
        <w:t>$274,620.00</w:t>
      </w:r>
    </w:p>
    <w:p w14:paraId="1A2E2808" w14:textId="77777777" w:rsidR="006A3C26" w:rsidRPr="006A3C26" w:rsidRDefault="006A3C26" w:rsidP="006A3C26">
      <w:pPr>
        <w:spacing w:line="288" w:lineRule="auto"/>
        <w:rPr>
          <w:rFonts w:ascii="Times New Roman" w:hAnsi="Times New Roman" w:cs="Times New Roman"/>
          <w:b/>
          <w:bCs/>
        </w:rPr>
      </w:pPr>
      <w:r w:rsidRPr="006A3C26">
        <w:rPr>
          <w:rFonts w:ascii="Times New Roman" w:hAnsi="Times New Roman" w:cs="Times New Roman"/>
          <w:b/>
          <w:bCs/>
        </w:rPr>
        <w:t>Regulatory burden</w:t>
      </w:r>
    </w:p>
    <w:p w14:paraId="77C2793E" w14:textId="77777777" w:rsidR="006A3C26" w:rsidRPr="006A3C26" w:rsidRDefault="006A3C26" w:rsidP="006A3C26">
      <w:pPr>
        <w:spacing w:line="288" w:lineRule="auto"/>
        <w:rPr>
          <w:rFonts w:ascii="Times New Roman" w:hAnsi="Times New Roman" w:cs="Times New Roman"/>
          <w:u w:val="single"/>
        </w:rPr>
      </w:pPr>
      <w:r w:rsidRPr="006A3C26">
        <w:rPr>
          <w:rFonts w:ascii="Times New Roman" w:hAnsi="Times New Roman" w:cs="Times New Roman"/>
          <w:u w:val="single"/>
        </w:rPr>
        <w:t xml:space="preserve">Annual regulatory burden </w:t>
      </w:r>
    </w:p>
    <w:p w14:paraId="7AB24485" w14:textId="2B2FF7FC"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 xml:space="preserve">Total annual </w:t>
      </w:r>
      <w:r w:rsidRPr="006A3C26">
        <w:rPr>
          <w:rFonts w:ascii="Times New Roman" w:hAnsi="Times New Roman" w:cs="Times New Roman"/>
          <w:b/>
          <w:bCs/>
        </w:rPr>
        <w:t>($100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23FB8C0B"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$30,208.20 (Administrative costs) + $65,908.80 (Tendering costs) = </w:t>
      </w:r>
      <w:r w:rsidRPr="006A3C26">
        <w:rPr>
          <w:rFonts w:ascii="Times New Roman" w:hAnsi="Times New Roman" w:cs="Times New Roman"/>
          <w:b/>
          <w:bCs/>
        </w:rPr>
        <w:t>$96,117.00 per year</w:t>
      </w:r>
    </w:p>
    <w:p w14:paraId="043840DD" w14:textId="77777777" w:rsidR="006A3C26" w:rsidRPr="006A3C26" w:rsidRDefault="006A3C26" w:rsidP="006A3C26">
      <w:pPr>
        <w:pStyle w:val="ListParagraph"/>
        <w:spacing w:line="288" w:lineRule="auto"/>
        <w:ind w:left="360"/>
        <w:rPr>
          <w:rFonts w:ascii="Times New Roman" w:hAnsi="Times New Roman" w:cs="Times New Roman"/>
        </w:rPr>
      </w:pPr>
    </w:p>
    <w:p w14:paraId="7D1D20F8" w14:textId="6A494F18"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 xml:space="preserve">Total </w:t>
      </w:r>
      <w:r w:rsidRPr="006A3C26">
        <w:rPr>
          <w:rFonts w:ascii="Times New Roman" w:hAnsi="Times New Roman" w:cs="Times New Roman"/>
          <w:b/>
          <w:bCs/>
        </w:rPr>
        <w:t>($250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6186BD42"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$75,520.50 (Administrative costs) + $274,620.00 (Tendering costs) = </w:t>
      </w:r>
      <w:r w:rsidRPr="006A3C26">
        <w:rPr>
          <w:rFonts w:ascii="Times New Roman" w:hAnsi="Times New Roman" w:cs="Times New Roman"/>
          <w:b/>
          <w:bCs/>
        </w:rPr>
        <w:t>$350,140.50 per year</w:t>
      </w:r>
    </w:p>
    <w:p w14:paraId="09176DDD" w14:textId="77777777" w:rsidR="006A3C26" w:rsidRPr="006A3C26" w:rsidRDefault="006A3C26" w:rsidP="006A3C26">
      <w:pPr>
        <w:spacing w:line="288" w:lineRule="auto"/>
        <w:rPr>
          <w:rFonts w:ascii="Times New Roman" w:hAnsi="Times New Roman" w:cs="Times New Roman"/>
          <w:u w:val="single"/>
        </w:rPr>
      </w:pPr>
      <w:r w:rsidRPr="006A3C26">
        <w:rPr>
          <w:rFonts w:ascii="Times New Roman" w:hAnsi="Times New Roman" w:cs="Times New Roman"/>
          <w:u w:val="single"/>
        </w:rPr>
        <w:t>Ten-year regulatory burden</w:t>
      </w:r>
    </w:p>
    <w:p w14:paraId="62DE6570" w14:textId="196C2FAD"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 xml:space="preserve">Total </w:t>
      </w:r>
      <w:r w:rsidRPr="006A3C26">
        <w:rPr>
          <w:rFonts w:ascii="Times New Roman" w:hAnsi="Times New Roman" w:cs="Times New Roman"/>
          <w:b/>
          <w:bCs/>
        </w:rPr>
        <w:t>($100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08E675B3"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$96,117.00 per year x 10 years = </w:t>
      </w:r>
      <w:r w:rsidRPr="006A3C26">
        <w:rPr>
          <w:rFonts w:ascii="Times New Roman" w:hAnsi="Times New Roman" w:cs="Times New Roman"/>
          <w:b/>
          <w:bCs/>
        </w:rPr>
        <w:t>$961,170.00 over 10 years</w:t>
      </w:r>
    </w:p>
    <w:p w14:paraId="0C3DF8BF" w14:textId="77777777" w:rsidR="006A3C26" w:rsidRPr="006A3C26" w:rsidRDefault="006A3C26" w:rsidP="006A3C26">
      <w:pPr>
        <w:pStyle w:val="ListParagraph"/>
        <w:spacing w:line="288" w:lineRule="auto"/>
        <w:ind w:left="360"/>
        <w:rPr>
          <w:rFonts w:ascii="Times New Roman" w:hAnsi="Times New Roman" w:cs="Times New Roman"/>
        </w:rPr>
      </w:pPr>
    </w:p>
    <w:p w14:paraId="407C6B03" w14:textId="666DBF29" w:rsidR="006A3C26" w:rsidRPr="006A3C26" w:rsidRDefault="006A3C26" w:rsidP="006A3C26">
      <w:pPr>
        <w:pStyle w:val="ListParagraph"/>
        <w:numPr>
          <w:ilvl w:val="0"/>
          <w:numId w:val="7"/>
        </w:numPr>
        <w:spacing w:line="288" w:lineRule="auto"/>
        <w:rPr>
          <w:rFonts w:ascii="Times New Roman" w:hAnsi="Times New Roman" w:cs="Times New Roman"/>
        </w:rPr>
      </w:pPr>
      <w:r w:rsidRPr="006A3C26">
        <w:rPr>
          <w:rFonts w:ascii="Times New Roman" w:hAnsi="Times New Roman" w:cs="Times New Roman"/>
        </w:rPr>
        <w:t xml:space="preserve">Total </w:t>
      </w:r>
      <w:r w:rsidRPr="006A3C26">
        <w:rPr>
          <w:rFonts w:ascii="Times New Roman" w:hAnsi="Times New Roman" w:cs="Times New Roman"/>
          <w:b/>
          <w:bCs/>
        </w:rPr>
        <w:t>($250</w:t>
      </w:r>
      <w:r w:rsidR="002C45DC" w:rsidRPr="002C45DC">
        <w:rPr>
          <w:rFonts w:ascii="Times New Roman" w:hAnsi="Times New Roman" w:cs="Times New Roman"/>
          <w:b/>
          <w:bCs/>
        </w:rPr>
        <w:t>,000</w:t>
      </w:r>
      <w:r w:rsidRPr="006A3C26">
        <w:rPr>
          <w:rFonts w:ascii="Times New Roman" w:hAnsi="Times New Roman" w:cs="Times New Roman"/>
          <w:b/>
          <w:bCs/>
        </w:rPr>
        <w:t xml:space="preserve"> threshold)</w:t>
      </w:r>
      <w:r w:rsidRPr="006A3C26">
        <w:rPr>
          <w:rFonts w:ascii="Times New Roman" w:hAnsi="Times New Roman" w:cs="Times New Roman"/>
        </w:rPr>
        <w:t xml:space="preserve"> </w:t>
      </w:r>
    </w:p>
    <w:p w14:paraId="002231B4" w14:textId="77777777" w:rsidR="006A3C26" w:rsidRPr="006A3C26" w:rsidRDefault="006A3C26" w:rsidP="006A3C26">
      <w:pPr>
        <w:pStyle w:val="ListParagraph"/>
        <w:spacing w:line="288" w:lineRule="auto"/>
        <w:ind w:left="360"/>
        <w:rPr>
          <w:rFonts w:ascii="Times New Roman" w:hAnsi="Times New Roman" w:cs="Times New Roman"/>
        </w:rPr>
      </w:pPr>
      <w:r w:rsidRPr="006A3C26">
        <w:rPr>
          <w:rFonts w:ascii="Times New Roman" w:hAnsi="Times New Roman" w:cs="Times New Roman"/>
        </w:rPr>
        <w:t xml:space="preserve">= $350,140.50 per year x 10 years = </w:t>
      </w:r>
      <w:r w:rsidRPr="006A3C26">
        <w:rPr>
          <w:rFonts w:ascii="Times New Roman" w:hAnsi="Times New Roman" w:cs="Times New Roman"/>
          <w:b/>
          <w:bCs/>
        </w:rPr>
        <w:t>$3,501,405.00 over 10 years</w:t>
      </w:r>
    </w:p>
    <w:p w14:paraId="2F345225" w14:textId="05401F66" w:rsidR="00C20F73" w:rsidRDefault="006A3C26" w:rsidP="006A3C26">
      <w:pPr>
        <w:spacing w:line="288" w:lineRule="auto"/>
        <w:rPr>
          <w:rFonts w:ascii="Times New Roman" w:hAnsi="Times New Roman" w:cs="Times New Roman"/>
        </w:rPr>
      </w:pPr>
      <w:r w:rsidRPr="006A3C26">
        <w:rPr>
          <w:rFonts w:ascii="Times New Roman" w:hAnsi="Times New Roman" w:cs="Times New Roman"/>
          <w:b/>
          <w:bCs/>
        </w:rPr>
        <w:t>Preferred option</w:t>
      </w:r>
      <w:r w:rsidRPr="006A3C26">
        <w:rPr>
          <w:rFonts w:ascii="Times New Roman" w:hAnsi="Times New Roman" w:cs="Times New Roman"/>
        </w:rPr>
        <w:t xml:space="preserve"> </w:t>
      </w:r>
    </w:p>
    <w:p w14:paraId="45F75A49" w14:textId="3D4F887F" w:rsidR="00C20F73" w:rsidRDefault="006A3C26" w:rsidP="006A3C26">
      <w:pPr>
        <w:spacing w:line="288" w:lineRule="auto"/>
        <w:rPr>
          <w:rFonts w:ascii="Times New Roman" w:hAnsi="Times New Roman" w:cs="Times New Roman"/>
        </w:rPr>
      </w:pPr>
      <w:r w:rsidRPr="006A3C26">
        <w:rPr>
          <w:rFonts w:ascii="Times New Roman" w:hAnsi="Times New Roman" w:cs="Times New Roman"/>
        </w:rPr>
        <w:t xml:space="preserve">Re-make the Determination and increase the threshold to </w:t>
      </w:r>
      <w:r w:rsidRPr="006A3C26">
        <w:rPr>
          <w:rFonts w:ascii="Times New Roman" w:hAnsi="Times New Roman" w:cs="Times New Roman"/>
          <w:b/>
        </w:rPr>
        <w:t>$250,000</w:t>
      </w:r>
      <w:r w:rsidRPr="006A3C26">
        <w:rPr>
          <w:rFonts w:ascii="Times New Roman" w:hAnsi="Times New Roman" w:cs="Times New Roman"/>
        </w:rPr>
        <w:t>. This option best balances efficiency, proportionality and reduced administrative burden with the need to maintain competition, transparency and value-for-money outcomes under the NLT Act</w:t>
      </w:r>
      <w:r w:rsidRPr="006A3C26">
        <w:rPr>
          <w:rFonts w:ascii="Times New Roman" w:hAnsi="Times New Roman" w:cs="Times New Roman"/>
          <w:i/>
          <w:iCs/>
        </w:rPr>
        <w:t>.</w:t>
      </w:r>
      <w:r w:rsidR="00FC4F16">
        <w:rPr>
          <w:rFonts w:ascii="Times New Roman" w:hAnsi="Times New Roman" w:cs="Times New Roman"/>
        </w:rPr>
        <w:t xml:space="preserve"> </w:t>
      </w:r>
    </w:p>
    <w:p w14:paraId="42D79A53" w14:textId="3C13AC95" w:rsidR="006A3C26" w:rsidRPr="00FC4F16" w:rsidRDefault="00102B7F" w:rsidP="006A3C26">
      <w:pPr>
        <w:spacing w:line="288" w:lineRule="auto"/>
        <w:rPr>
          <w:rFonts w:ascii="Times New Roman" w:hAnsi="Times New Roman" w:cs="Times New Roman"/>
        </w:rPr>
      </w:pPr>
      <w:r>
        <w:rPr>
          <w:rFonts w:ascii="Times New Roman" w:hAnsi="Times New Roman" w:cs="Times New Roman"/>
        </w:rPr>
        <w:t>T</w:t>
      </w:r>
      <w:r w:rsidR="00FC4F16" w:rsidRPr="00FC4F16">
        <w:rPr>
          <w:rFonts w:ascii="Times New Roman" w:hAnsi="Times New Roman" w:cs="Times New Roman"/>
        </w:rPr>
        <w:t>he risk of corruption and criminal conduct from this change is low, as $250,000 remains relatively low for the construction sector, and projects remain subject to the existing legislative and governance arrangements. These include the NLT Act, the Federation Funding Agreement Schedule on Land Transport Infrastructure Projects (FFAS) and its associated Notes on Administration (</w:t>
      </w:r>
      <w:proofErr w:type="spellStart"/>
      <w:r w:rsidR="00FC4F16" w:rsidRPr="00FC4F16">
        <w:rPr>
          <w:rFonts w:ascii="Times New Roman" w:hAnsi="Times New Roman" w:cs="Times New Roman"/>
        </w:rPr>
        <w:t>NoA</w:t>
      </w:r>
      <w:proofErr w:type="spellEnd"/>
      <w:r w:rsidR="00FC4F16" w:rsidRPr="00FC4F16">
        <w:rPr>
          <w:rFonts w:ascii="Times New Roman" w:hAnsi="Times New Roman" w:cs="Times New Roman"/>
        </w:rPr>
        <w:t xml:space="preserve">), and the </w:t>
      </w:r>
      <w:r w:rsidR="00FC4F16" w:rsidRPr="00C20F73">
        <w:rPr>
          <w:rFonts w:ascii="Times New Roman" w:hAnsi="Times New Roman" w:cs="Times New Roman"/>
          <w:i/>
          <w:iCs/>
        </w:rPr>
        <w:t>Public Governance, Performance and Accountability Act 2013</w:t>
      </w:r>
      <w:r w:rsidR="00FC4F16" w:rsidRPr="00FC4F16">
        <w:rPr>
          <w:rFonts w:ascii="Times New Roman" w:hAnsi="Times New Roman" w:cs="Times New Roman"/>
        </w:rPr>
        <w:t xml:space="preserve"> and similar state Acts. The Department of Employment and Workplace Relations shares this view.</w:t>
      </w:r>
    </w:p>
    <w:p w14:paraId="6448353F" w14:textId="77777777" w:rsidR="006A3C26" w:rsidRPr="006A3C26" w:rsidRDefault="006A3C26" w:rsidP="006A3C26">
      <w:pPr>
        <w:spacing w:line="288" w:lineRule="auto"/>
        <w:rPr>
          <w:rFonts w:ascii="Times New Roman" w:hAnsi="Times New Roman" w:cs="Times New Roman"/>
        </w:rPr>
      </w:pPr>
    </w:p>
    <w:p w14:paraId="412F9C96" w14:textId="77777777" w:rsidR="006A3C26" w:rsidRPr="006A3C26" w:rsidRDefault="006A3C26" w:rsidP="006A3C26">
      <w:pPr>
        <w:spacing w:line="288" w:lineRule="auto"/>
        <w:rPr>
          <w:rFonts w:ascii="Times New Roman" w:eastAsiaTheme="majorEastAsia" w:hAnsi="Times New Roman" w:cs="Times New Roman"/>
          <w:color w:val="4F81BD" w:themeColor="accent1"/>
          <w:sz w:val="28"/>
        </w:rPr>
      </w:pPr>
      <w:r w:rsidRPr="006A3C26">
        <w:rPr>
          <w:rFonts w:ascii="Times New Roman" w:hAnsi="Times New Roman" w:cs="Times New Roman"/>
        </w:rPr>
        <w:br w:type="page"/>
      </w:r>
    </w:p>
    <w:p w14:paraId="5A96F324"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lastRenderedPageBreak/>
        <w:t>Economic and social impacts</w:t>
      </w:r>
    </w:p>
    <w:tbl>
      <w:tblPr>
        <w:tblStyle w:val="Style1"/>
        <w:tblW w:w="963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CellMar>
          <w:left w:w="85" w:type="dxa"/>
          <w:right w:w="85" w:type="dxa"/>
        </w:tblCellMar>
        <w:tblLook w:val="0620" w:firstRow="1" w:lastRow="0" w:firstColumn="0" w:lastColumn="0" w:noHBand="1" w:noVBand="1"/>
      </w:tblPr>
      <w:tblGrid>
        <w:gridCol w:w="4178"/>
        <w:gridCol w:w="5456"/>
      </w:tblGrid>
      <w:tr w:rsidR="006A3C26" w:rsidRPr="006A3C26" w14:paraId="10FA81A7" w14:textId="77777777" w:rsidTr="00932B2B">
        <w:trPr>
          <w:cnfStyle w:val="100000000000" w:firstRow="1" w:lastRow="0" w:firstColumn="0" w:lastColumn="0" w:oddVBand="0" w:evenVBand="0" w:oddHBand="0" w:evenHBand="0" w:firstRowFirstColumn="0" w:firstRowLastColumn="0" w:lastRowFirstColumn="0" w:lastRowLastColumn="0"/>
          <w:tblHeader/>
        </w:trPr>
        <w:tc>
          <w:tcPr>
            <w:tcW w:w="4178" w:type="dxa"/>
            <w:tcBorders>
              <w:bottom w:val="single" w:sz="8" w:space="0" w:color="1F497D" w:themeColor="text2"/>
            </w:tcBorders>
            <w:shd w:val="clear" w:color="auto" w:fill="1F497D" w:themeFill="text2"/>
          </w:tcPr>
          <w:p w14:paraId="6BFAA54F" w14:textId="77777777" w:rsidR="006A3C26" w:rsidRPr="006A3C26" w:rsidRDefault="006A3C26" w:rsidP="00932B2B">
            <w:pPr>
              <w:pStyle w:val="TBLText"/>
              <w:spacing w:after="0"/>
              <w:rPr>
                <w:rFonts w:ascii="Times New Roman" w:hAnsi="Times New Roman" w:cs="Times New Roman"/>
                <w:color w:val="FFFFFF" w:themeColor="background1"/>
              </w:rPr>
            </w:pPr>
            <w:r w:rsidRPr="006A3C26">
              <w:rPr>
                <w:rFonts w:ascii="Times New Roman" w:hAnsi="Times New Roman" w:cs="Times New Roman"/>
                <w:color w:val="FFFFFF" w:themeColor="background1"/>
              </w:rPr>
              <w:t>Status quo (allow the Determination to sunset)</w:t>
            </w:r>
          </w:p>
        </w:tc>
        <w:tc>
          <w:tcPr>
            <w:tcW w:w="5456" w:type="dxa"/>
            <w:tcBorders>
              <w:bottom w:val="single" w:sz="8" w:space="0" w:color="1F497D" w:themeColor="text2"/>
            </w:tcBorders>
            <w:shd w:val="clear" w:color="auto" w:fill="1F497D" w:themeFill="text2"/>
          </w:tcPr>
          <w:p w14:paraId="09A4C3DC" w14:textId="77777777" w:rsidR="006A3C26" w:rsidRPr="006A3C26" w:rsidRDefault="006A3C26" w:rsidP="00932B2B">
            <w:pPr>
              <w:pStyle w:val="TBLText"/>
              <w:spacing w:after="0"/>
              <w:rPr>
                <w:rFonts w:ascii="Times New Roman" w:hAnsi="Times New Roman" w:cs="Times New Roman"/>
                <w:color w:val="FFFFFF" w:themeColor="background1"/>
              </w:rPr>
            </w:pPr>
            <w:r w:rsidRPr="006A3C26">
              <w:rPr>
                <w:rFonts w:ascii="Times New Roman" w:hAnsi="Times New Roman" w:cs="Times New Roman"/>
                <w:color w:val="FFFFFF" w:themeColor="background1"/>
              </w:rPr>
              <w:t>Proposed option ($250,000 threshold)</w:t>
            </w:r>
          </w:p>
        </w:tc>
      </w:tr>
      <w:tr w:rsidR="006A3C26" w:rsidRPr="006A3C26" w14:paraId="7BCED2D4" w14:textId="77777777" w:rsidTr="00932B2B">
        <w:tc>
          <w:tcPr>
            <w:tcW w:w="4178" w:type="dxa"/>
            <w:tcBorders>
              <w:top w:val="single" w:sz="8" w:space="0" w:color="1F497D" w:themeColor="text2"/>
              <w:left w:val="single" w:sz="8" w:space="0" w:color="1F497D" w:themeColor="text2"/>
              <w:bottom w:val="single" w:sz="8" w:space="0" w:color="1F497D" w:themeColor="text2"/>
              <w:right w:val="single" w:sz="8" w:space="0" w:color="1F497D" w:themeColor="text2"/>
            </w:tcBorders>
          </w:tcPr>
          <w:p w14:paraId="754C9604"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Assessment of existing economic impacts on:</w:t>
            </w:r>
          </w:p>
          <w:p w14:paraId="16241A0E" w14:textId="7C889187"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People –</w:t>
            </w:r>
            <w:r w:rsidRPr="006A3C26">
              <w:rPr>
                <w:rFonts w:ascii="Times New Roman" w:hAnsi="Times New Roman" w:cs="Times New Roman"/>
              </w:rPr>
              <w:t xml:space="preserve"> Limited direct impact on individuals. Administrative requirements associated with low</w:t>
            </w:r>
            <w:r w:rsidR="003F5A2C">
              <w:rPr>
                <w:rFonts w:ascii="Times New Roman" w:hAnsi="Times New Roman" w:cs="Times New Roman"/>
              </w:rPr>
              <w:t xml:space="preserve"> </w:t>
            </w:r>
            <w:r w:rsidRPr="006A3C26">
              <w:rPr>
                <w:rFonts w:ascii="Times New Roman" w:hAnsi="Times New Roman" w:cs="Times New Roman"/>
              </w:rPr>
              <w:t>value procurements can delay the delivery of transport infrastructure projects and the associated community benefits.</w:t>
            </w:r>
          </w:p>
          <w:p w14:paraId="020855A5" w14:textId="2BB08766"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Businesses – </w:t>
            </w:r>
            <w:r w:rsidRPr="006A3C26">
              <w:rPr>
                <w:rFonts w:ascii="Times New Roman" w:hAnsi="Times New Roman" w:cs="Times New Roman"/>
              </w:rPr>
              <w:t>Suppliers incur costs preparing tender responses for lower</w:t>
            </w:r>
            <w:r w:rsidR="003F5A2C">
              <w:rPr>
                <w:rFonts w:ascii="Times New Roman" w:hAnsi="Times New Roman" w:cs="Times New Roman"/>
              </w:rPr>
              <w:t xml:space="preserve"> </w:t>
            </w:r>
            <w:r w:rsidRPr="006A3C26">
              <w:rPr>
                <w:rFonts w:ascii="Times New Roman" w:hAnsi="Times New Roman" w:cs="Times New Roman"/>
              </w:rPr>
              <w:t>value procurements, even where the procurement is low risk, highly specialised or where limited market competition exists. Small businesses, regional businesses and specialist service providers may face disproportionate compliance costs relative to contract value.</w:t>
            </w:r>
          </w:p>
          <w:p w14:paraId="14CA4428" w14:textId="77777777"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Others – </w:t>
            </w:r>
            <w:r w:rsidRPr="006A3C26">
              <w:rPr>
                <w:rFonts w:ascii="Times New Roman" w:hAnsi="Times New Roman" w:cs="Times New Roman"/>
              </w:rPr>
              <w:t>N/A</w:t>
            </w:r>
          </w:p>
          <w:p w14:paraId="2EA56244"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Stakeholder views:</w:t>
            </w:r>
            <w:r w:rsidRPr="006A3C26">
              <w:rPr>
                <w:rFonts w:ascii="Times New Roman" w:hAnsi="Times New Roman" w:cs="Times New Roman"/>
              </w:rPr>
              <w:t xml:space="preserve"> No states supported the status quo of allowing the Determination to sunset.  </w:t>
            </w:r>
          </w:p>
        </w:tc>
        <w:tc>
          <w:tcPr>
            <w:tcW w:w="5456" w:type="dxa"/>
            <w:tcBorders>
              <w:top w:val="single" w:sz="8" w:space="0" w:color="1F497D" w:themeColor="text2"/>
              <w:left w:val="single" w:sz="8" w:space="0" w:color="1F497D" w:themeColor="text2"/>
              <w:bottom w:val="single" w:sz="8" w:space="0" w:color="1F497D" w:themeColor="text2"/>
              <w:right w:val="single" w:sz="8" w:space="0" w:color="1F497D" w:themeColor="text2"/>
            </w:tcBorders>
          </w:tcPr>
          <w:p w14:paraId="19B789DF" w14:textId="77777777" w:rsidR="006A3C26" w:rsidRPr="006A3C26" w:rsidRDefault="006A3C26" w:rsidP="00932B2B">
            <w:pPr>
              <w:pStyle w:val="TBLText"/>
              <w:rPr>
                <w:rFonts w:ascii="Times New Roman" w:hAnsi="Times New Roman" w:cs="Times New Roman"/>
                <w:b/>
                <w:bCs/>
              </w:rPr>
            </w:pPr>
            <w:r w:rsidRPr="006A3C26">
              <w:rPr>
                <w:rFonts w:ascii="Times New Roman" w:hAnsi="Times New Roman" w:cs="Times New Roman"/>
                <w:b/>
                <w:bCs/>
              </w:rPr>
              <w:t>Economic and social impacts on:</w:t>
            </w:r>
          </w:p>
          <w:p w14:paraId="3130E836" w14:textId="7B651F9C"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People –</w:t>
            </w:r>
            <w:r w:rsidRPr="006A3C26">
              <w:rPr>
                <w:rFonts w:ascii="Times New Roman" w:hAnsi="Times New Roman" w:cs="Times New Roman"/>
              </w:rPr>
              <w:t xml:space="preserve"> Potential for more timely project delivery and earlier realisation of transport infrastructure benefits through more proportionate procurement arrangements for low</w:t>
            </w:r>
            <w:r w:rsidR="003F5A2C">
              <w:rPr>
                <w:rFonts w:ascii="Times New Roman" w:hAnsi="Times New Roman" w:cs="Times New Roman"/>
              </w:rPr>
              <w:t xml:space="preserve"> </w:t>
            </w:r>
            <w:r w:rsidRPr="006A3C26">
              <w:rPr>
                <w:rFonts w:ascii="Times New Roman" w:hAnsi="Times New Roman" w:cs="Times New Roman"/>
              </w:rPr>
              <w:t>value works.</w:t>
            </w:r>
          </w:p>
          <w:p w14:paraId="3C491BEF" w14:textId="1A008B6E"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Businesses – </w:t>
            </w:r>
            <w:r w:rsidRPr="006A3C26">
              <w:rPr>
                <w:rFonts w:ascii="Times New Roman" w:hAnsi="Times New Roman" w:cs="Times New Roman"/>
              </w:rPr>
              <w:t>Reduced costs associated with preparing tender responses for low</w:t>
            </w:r>
            <w:r w:rsidR="008A05E1">
              <w:rPr>
                <w:rFonts w:ascii="Times New Roman" w:hAnsi="Times New Roman" w:cs="Times New Roman"/>
              </w:rPr>
              <w:t xml:space="preserve"> </w:t>
            </w:r>
            <w:r w:rsidRPr="006A3C26">
              <w:rPr>
                <w:rFonts w:ascii="Times New Roman" w:hAnsi="Times New Roman" w:cs="Times New Roman"/>
              </w:rPr>
              <w:t>value procurements. Greater flexibility may support participation by local, regional, specialist and First Nations businesses where direct engagement is appropriate and value for money can be demonstrated.</w:t>
            </w:r>
          </w:p>
          <w:p w14:paraId="5BC18221" w14:textId="0985F332"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Others – </w:t>
            </w:r>
            <w:r w:rsidRPr="006A3C26">
              <w:rPr>
                <w:rFonts w:ascii="Times New Roman" w:hAnsi="Times New Roman" w:cs="Times New Roman"/>
              </w:rPr>
              <w:t>Reduced administrative burden for state governments and the Australian Government through streamlined procurement processes for low</w:t>
            </w:r>
            <w:r w:rsidR="003F5A2C">
              <w:rPr>
                <w:rFonts w:ascii="Times New Roman" w:hAnsi="Times New Roman" w:cs="Times New Roman"/>
              </w:rPr>
              <w:t xml:space="preserve"> </w:t>
            </w:r>
            <w:r w:rsidRPr="006A3C26">
              <w:rPr>
                <w:rFonts w:ascii="Times New Roman" w:hAnsi="Times New Roman" w:cs="Times New Roman"/>
              </w:rPr>
              <w:t>value works. Increased flexibility may be particularly beneficial in regional and remote areas where competitive markets are limited.</w:t>
            </w:r>
          </w:p>
          <w:p w14:paraId="7C7A52FE" w14:textId="63692809" w:rsidR="006A3C26" w:rsidRPr="006A3C26" w:rsidRDefault="006A3C26" w:rsidP="00DE0BB7">
            <w:pPr>
              <w:pStyle w:val="TBLText"/>
              <w:rPr>
                <w:rFonts w:ascii="Times New Roman" w:hAnsi="Times New Roman" w:cs="Times New Roman"/>
              </w:rPr>
            </w:pPr>
            <w:r w:rsidRPr="006A3C26">
              <w:rPr>
                <w:rFonts w:ascii="Times New Roman" w:hAnsi="Times New Roman" w:cs="Times New Roman"/>
                <w:b/>
                <w:bCs/>
              </w:rPr>
              <w:t>Stakeholder views:</w:t>
            </w:r>
            <w:r w:rsidRPr="006A3C26">
              <w:rPr>
                <w:rFonts w:ascii="Times New Roman" w:hAnsi="Times New Roman" w:cs="Times New Roman"/>
              </w:rPr>
              <w:t xml:space="preserve"> </w:t>
            </w:r>
            <w:r w:rsidR="00DE0BB7" w:rsidRPr="006A3C26">
              <w:rPr>
                <w:rFonts w:ascii="Times New Roman" w:hAnsi="Times New Roman" w:cs="Times New Roman"/>
              </w:rPr>
              <w:t>States considered that a higher threshold would better align with inflation and increases in construction and procurement costs.</w:t>
            </w:r>
            <w:r w:rsidR="00DE0BB7">
              <w:rPr>
                <w:rFonts w:ascii="Times New Roman" w:hAnsi="Times New Roman" w:cs="Times New Roman"/>
              </w:rPr>
              <w:t xml:space="preserve"> </w:t>
            </w:r>
            <w:r w:rsidRPr="006A3C26">
              <w:rPr>
                <w:rFonts w:ascii="Times New Roman" w:hAnsi="Times New Roman" w:cs="Times New Roman"/>
              </w:rPr>
              <w:t>Consultation demonstrated broad support for increasing the threshold, with most states supporting a threshold of $250,000</w:t>
            </w:r>
            <w:r w:rsidR="00DE0BB7">
              <w:rPr>
                <w:rFonts w:ascii="Times New Roman" w:hAnsi="Times New Roman" w:cs="Times New Roman"/>
              </w:rPr>
              <w:t>, which would align with their thresholds and decrease the regulatory burden</w:t>
            </w:r>
            <w:r w:rsidRPr="006A3C26">
              <w:rPr>
                <w:rFonts w:ascii="Times New Roman" w:hAnsi="Times New Roman" w:cs="Times New Roman"/>
              </w:rPr>
              <w:t xml:space="preserve">. </w:t>
            </w:r>
          </w:p>
        </w:tc>
      </w:tr>
    </w:tbl>
    <w:p w14:paraId="3584D7C3"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t>Regulatory burden</w:t>
      </w:r>
    </w:p>
    <w:tbl>
      <w:tblPr>
        <w:tblStyle w:val="Style1"/>
        <w:tblW w:w="9634"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CellMar>
          <w:left w:w="85" w:type="dxa"/>
          <w:right w:w="85" w:type="dxa"/>
        </w:tblCellMar>
        <w:tblLook w:val="0620" w:firstRow="1" w:lastRow="0" w:firstColumn="0" w:lastColumn="0" w:noHBand="1" w:noVBand="1"/>
      </w:tblPr>
      <w:tblGrid>
        <w:gridCol w:w="4178"/>
        <w:gridCol w:w="5456"/>
      </w:tblGrid>
      <w:tr w:rsidR="006A3C26" w:rsidRPr="006A3C26" w14:paraId="0E684F11" w14:textId="77777777" w:rsidTr="00932B2B">
        <w:trPr>
          <w:cnfStyle w:val="100000000000" w:firstRow="1" w:lastRow="0" w:firstColumn="0" w:lastColumn="0" w:oddVBand="0" w:evenVBand="0" w:oddHBand="0" w:evenHBand="0" w:firstRowFirstColumn="0" w:firstRowLastColumn="0" w:lastRowFirstColumn="0" w:lastRowLastColumn="0"/>
          <w:trHeight w:val="200"/>
          <w:tblHeader/>
        </w:trPr>
        <w:tc>
          <w:tcPr>
            <w:tcW w:w="4178" w:type="dxa"/>
            <w:shd w:val="clear" w:color="auto" w:fill="1F497D" w:themeFill="text2"/>
          </w:tcPr>
          <w:p w14:paraId="44562510" w14:textId="77777777" w:rsidR="006A3C26" w:rsidRPr="006A3C26" w:rsidRDefault="006A3C26" w:rsidP="00932B2B">
            <w:pPr>
              <w:pStyle w:val="TBLText"/>
              <w:spacing w:after="0"/>
              <w:rPr>
                <w:rFonts w:ascii="Times New Roman" w:hAnsi="Times New Roman" w:cs="Times New Roman"/>
                <w:color w:val="FFFFFF" w:themeColor="background1"/>
              </w:rPr>
            </w:pPr>
            <w:r w:rsidRPr="006A3C26">
              <w:rPr>
                <w:rFonts w:ascii="Times New Roman" w:hAnsi="Times New Roman" w:cs="Times New Roman"/>
                <w:color w:val="FFFFFF" w:themeColor="background1"/>
              </w:rPr>
              <w:t>Status quo (allow the Determination to sunset)</w:t>
            </w:r>
          </w:p>
        </w:tc>
        <w:tc>
          <w:tcPr>
            <w:tcW w:w="5456" w:type="dxa"/>
            <w:shd w:val="clear" w:color="auto" w:fill="1F497D" w:themeFill="text2"/>
          </w:tcPr>
          <w:p w14:paraId="37D8ACC2" w14:textId="77777777" w:rsidR="006A3C26" w:rsidRPr="006A3C26" w:rsidRDefault="006A3C26" w:rsidP="00932B2B">
            <w:pPr>
              <w:pStyle w:val="TBLText"/>
              <w:spacing w:after="0"/>
              <w:rPr>
                <w:rFonts w:ascii="Times New Roman" w:hAnsi="Times New Roman" w:cs="Times New Roman"/>
                <w:color w:val="FFFFFF" w:themeColor="background1"/>
              </w:rPr>
            </w:pPr>
            <w:r w:rsidRPr="006A3C26">
              <w:rPr>
                <w:rFonts w:ascii="Times New Roman" w:hAnsi="Times New Roman" w:cs="Times New Roman"/>
                <w:color w:val="FFFFFF" w:themeColor="background1"/>
              </w:rPr>
              <w:t>Proposed option ($250,000 threshold)</w:t>
            </w:r>
          </w:p>
        </w:tc>
      </w:tr>
      <w:tr w:rsidR="006A3C26" w:rsidRPr="006A3C26" w14:paraId="384CC0E0" w14:textId="77777777" w:rsidTr="00932B2B">
        <w:tc>
          <w:tcPr>
            <w:tcW w:w="4178" w:type="dxa"/>
          </w:tcPr>
          <w:p w14:paraId="52AE08AE"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Assessment of any existing compliance and/or delay costs facing:</w:t>
            </w:r>
          </w:p>
          <w:p w14:paraId="798FDC51" w14:textId="77777777"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People - </w:t>
            </w:r>
            <w:r w:rsidRPr="006A3C26">
              <w:rPr>
                <w:rFonts w:ascii="Times New Roman" w:hAnsi="Times New Roman" w:cs="Times New Roman"/>
              </w:rPr>
              <w:t>No material direct compliance burden.</w:t>
            </w:r>
          </w:p>
          <w:p w14:paraId="1F03F8DA" w14:textId="1E08E998"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Businesses – </w:t>
            </w:r>
            <w:r w:rsidRPr="006A3C26">
              <w:rPr>
                <w:rFonts w:ascii="Times New Roman" w:hAnsi="Times New Roman" w:cs="Times New Roman"/>
              </w:rPr>
              <w:t>Costs associated with preparing tender documentation and participating in procurement processes for lower</w:t>
            </w:r>
            <w:r w:rsidR="003F5A2C">
              <w:rPr>
                <w:rFonts w:ascii="Times New Roman" w:hAnsi="Times New Roman" w:cs="Times New Roman"/>
              </w:rPr>
              <w:t xml:space="preserve"> </w:t>
            </w:r>
            <w:r w:rsidRPr="006A3C26">
              <w:rPr>
                <w:rFonts w:ascii="Times New Roman" w:hAnsi="Times New Roman" w:cs="Times New Roman"/>
              </w:rPr>
              <w:t>value procurements. These costs can be significant relative to contract value for small procurements.</w:t>
            </w:r>
          </w:p>
          <w:p w14:paraId="766E8C8C" w14:textId="56F6392B"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Others – </w:t>
            </w:r>
            <w:r w:rsidRPr="006A3C26">
              <w:rPr>
                <w:rFonts w:ascii="Times New Roman" w:hAnsi="Times New Roman" w:cs="Times New Roman"/>
              </w:rPr>
              <w:t xml:space="preserve">State governments and the Australian Government incur </w:t>
            </w:r>
            <w:r w:rsidR="00DE0BB7" w:rsidRPr="00DE0BB7">
              <w:rPr>
                <w:rFonts w:ascii="Times New Roman" w:hAnsi="Times New Roman" w:cs="Times New Roman"/>
              </w:rPr>
              <w:t>regulatory burden</w:t>
            </w:r>
            <w:r w:rsidR="00DE0BB7" w:rsidRPr="00DE0BB7" w:rsidDel="00DE0BB7">
              <w:rPr>
                <w:rFonts w:ascii="Times New Roman" w:hAnsi="Times New Roman" w:cs="Times New Roman"/>
              </w:rPr>
              <w:t xml:space="preserve"> </w:t>
            </w:r>
            <w:r w:rsidRPr="006A3C26">
              <w:rPr>
                <w:rFonts w:ascii="Times New Roman" w:hAnsi="Times New Roman" w:cs="Times New Roman"/>
              </w:rPr>
              <w:t>preparing, assessing and approving open tenders for low</w:t>
            </w:r>
            <w:r w:rsidR="003F5A2C">
              <w:rPr>
                <w:rFonts w:ascii="Times New Roman" w:hAnsi="Times New Roman" w:cs="Times New Roman"/>
              </w:rPr>
              <w:t xml:space="preserve"> </w:t>
            </w:r>
            <w:r w:rsidRPr="006A3C26">
              <w:rPr>
                <w:rFonts w:ascii="Times New Roman" w:hAnsi="Times New Roman" w:cs="Times New Roman"/>
              </w:rPr>
              <w:t>value works.</w:t>
            </w:r>
          </w:p>
          <w:p w14:paraId="0A12D066"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Stakeholder views:</w:t>
            </w:r>
            <w:r w:rsidRPr="006A3C26">
              <w:rPr>
                <w:rFonts w:ascii="Times New Roman" w:hAnsi="Times New Roman" w:cs="Times New Roman"/>
              </w:rPr>
              <w:t xml:space="preserve"> No states supported the status quo of allowing the Determination to sunset as it would increase the overall regulatory burden.  </w:t>
            </w:r>
          </w:p>
        </w:tc>
        <w:tc>
          <w:tcPr>
            <w:tcW w:w="5456" w:type="dxa"/>
          </w:tcPr>
          <w:p w14:paraId="0ED17E26"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Change in the regulatory burden for:</w:t>
            </w:r>
          </w:p>
          <w:p w14:paraId="15E127E9" w14:textId="77777777"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People – </w:t>
            </w:r>
            <w:r w:rsidRPr="006A3C26">
              <w:rPr>
                <w:rFonts w:ascii="Times New Roman" w:hAnsi="Times New Roman" w:cs="Times New Roman"/>
              </w:rPr>
              <w:t>No material direct compliance burden</w:t>
            </w:r>
          </w:p>
          <w:p w14:paraId="79C4E0A5" w14:textId="77777777"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 xml:space="preserve">Businesses – </w:t>
            </w:r>
            <w:r w:rsidRPr="006A3C26">
              <w:rPr>
                <w:rFonts w:ascii="Times New Roman" w:hAnsi="Times New Roman" w:cs="Times New Roman"/>
              </w:rPr>
              <w:t>Reduction in regulatory burden through fewer tender processes and lower costs associated with preparing bids for procurements between $0 and $250,000. Based on indicative assumptions, the proposal is estimated to generate an average annual regulatory saving of approximately $274,620 per year relating to supplier tender preparation costs.</w:t>
            </w:r>
          </w:p>
          <w:p w14:paraId="10EB1354" w14:textId="52FC8AFC" w:rsidR="006A3C26" w:rsidRPr="006A3C26" w:rsidRDefault="006A3C26" w:rsidP="00932B2B">
            <w:pPr>
              <w:pStyle w:val="TBLBulletedList"/>
              <w:rPr>
                <w:rFonts w:ascii="Times New Roman" w:hAnsi="Times New Roman" w:cs="Times New Roman"/>
              </w:rPr>
            </w:pPr>
            <w:r w:rsidRPr="006A3C26">
              <w:rPr>
                <w:rFonts w:ascii="Times New Roman" w:hAnsi="Times New Roman" w:cs="Times New Roman"/>
                <w:b/>
                <w:bCs/>
              </w:rPr>
              <w:t>Others –</w:t>
            </w:r>
            <w:r w:rsidRPr="006A3C26">
              <w:rPr>
                <w:rFonts w:ascii="Times New Roman" w:hAnsi="Times New Roman" w:cs="Times New Roman"/>
              </w:rPr>
              <w:t xml:space="preserve"> Reduction in </w:t>
            </w:r>
            <w:r w:rsidR="00DE0BB7" w:rsidRPr="00DE0BB7">
              <w:rPr>
                <w:rFonts w:ascii="Times New Roman" w:hAnsi="Times New Roman" w:cs="Times New Roman"/>
              </w:rPr>
              <w:t>regulatory burden</w:t>
            </w:r>
            <w:r w:rsidR="00DE0BB7" w:rsidRPr="00DE0BB7" w:rsidDel="00DE0BB7">
              <w:rPr>
                <w:rFonts w:ascii="Times New Roman" w:hAnsi="Times New Roman" w:cs="Times New Roman"/>
              </w:rPr>
              <w:t xml:space="preserve"> </w:t>
            </w:r>
            <w:r w:rsidRPr="006A3C26">
              <w:rPr>
                <w:rFonts w:ascii="Times New Roman" w:hAnsi="Times New Roman" w:cs="Times New Roman"/>
              </w:rPr>
              <w:t xml:space="preserve">for </w:t>
            </w:r>
            <w:r w:rsidR="00DE0BB7">
              <w:rPr>
                <w:rFonts w:ascii="Times New Roman" w:hAnsi="Times New Roman" w:cs="Times New Roman"/>
              </w:rPr>
              <w:t xml:space="preserve">the </w:t>
            </w:r>
            <w:r w:rsidRPr="006A3C26">
              <w:rPr>
                <w:rFonts w:ascii="Times New Roman" w:hAnsi="Times New Roman" w:cs="Times New Roman"/>
              </w:rPr>
              <w:t xml:space="preserve">Australian </w:t>
            </w:r>
            <w:r w:rsidR="00DE0BB7">
              <w:rPr>
                <w:rFonts w:ascii="Times New Roman" w:hAnsi="Times New Roman" w:cs="Times New Roman"/>
              </w:rPr>
              <w:t xml:space="preserve">Government </w:t>
            </w:r>
            <w:r w:rsidRPr="006A3C26">
              <w:rPr>
                <w:rFonts w:ascii="Times New Roman" w:hAnsi="Times New Roman" w:cs="Times New Roman"/>
              </w:rPr>
              <w:t>and state governments relating to seeking, preparing and assessing tenders for low</w:t>
            </w:r>
            <w:r w:rsidR="008A05E1">
              <w:rPr>
                <w:rFonts w:ascii="Times New Roman" w:hAnsi="Times New Roman" w:cs="Times New Roman"/>
              </w:rPr>
              <w:t xml:space="preserve"> </w:t>
            </w:r>
            <w:r w:rsidRPr="006A3C26">
              <w:rPr>
                <w:rFonts w:ascii="Times New Roman" w:hAnsi="Times New Roman" w:cs="Times New Roman"/>
              </w:rPr>
              <w:t xml:space="preserve">value works. The proposal is deregulatory in nature because it reduces compliance activity with an average annual regulatory saving of approximately $75,520.50 per year relating to government administration. </w:t>
            </w:r>
          </w:p>
          <w:p w14:paraId="25513AE2" w14:textId="77777777" w:rsidR="006A3C26" w:rsidRPr="006A3C26" w:rsidRDefault="006A3C26" w:rsidP="00932B2B">
            <w:pPr>
              <w:pStyle w:val="TBLText"/>
              <w:rPr>
                <w:rFonts w:ascii="Times New Roman" w:hAnsi="Times New Roman" w:cs="Times New Roman"/>
              </w:rPr>
            </w:pPr>
            <w:r w:rsidRPr="006A3C26">
              <w:rPr>
                <w:rFonts w:ascii="Times New Roman" w:hAnsi="Times New Roman" w:cs="Times New Roman"/>
                <w:b/>
                <w:bCs/>
              </w:rPr>
              <w:t>Stakeholder views:</w:t>
            </w:r>
            <w:r w:rsidRPr="006A3C26">
              <w:rPr>
                <w:rFonts w:ascii="Times New Roman" w:hAnsi="Times New Roman" w:cs="Times New Roman"/>
              </w:rPr>
              <w:t xml:space="preserve"> Consultations identified reducing the regulatory burden in terms of administrative and supplier tending costs as key benefits of a higher threshold.</w:t>
            </w:r>
          </w:p>
        </w:tc>
      </w:tr>
    </w:tbl>
    <w:p w14:paraId="7BFD053D" w14:textId="77777777" w:rsidR="006A3C26" w:rsidRPr="00F77405" w:rsidRDefault="006A3C26" w:rsidP="006A3C26">
      <w:pPr>
        <w:pStyle w:val="Heading2"/>
        <w:rPr>
          <w:rFonts w:ascii="Times New Roman" w:hAnsi="Times New Roman" w:cs="Times New Roman"/>
          <w:color w:val="244061" w:themeColor="accent1" w:themeShade="80"/>
        </w:rPr>
      </w:pPr>
      <w:r w:rsidRPr="00F77405">
        <w:rPr>
          <w:rFonts w:ascii="Times New Roman" w:hAnsi="Times New Roman" w:cs="Times New Roman"/>
          <w:color w:val="244061" w:themeColor="accent1" w:themeShade="80"/>
        </w:rPr>
        <w:t>Other considerations and implementation</w:t>
      </w:r>
    </w:p>
    <w:p w14:paraId="34BEDCC9" w14:textId="77777777" w:rsidR="006A3C26" w:rsidRPr="006A3C26" w:rsidRDefault="006A3C26" w:rsidP="006A3C26">
      <w:pPr>
        <w:pStyle w:val="Heading3"/>
        <w:rPr>
          <w:rFonts w:ascii="Times New Roman" w:hAnsi="Times New Roman" w:cs="Times New Roman"/>
        </w:rPr>
      </w:pPr>
      <w:r w:rsidRPr="006A3C26">
        <w:rPr>
          <w:rFonts w:ascii="Times New Roman" w:hAnsi="Times New Roman" w:cs="Times New Roman"/>
        </w:rPr>
        <w:t>What success looks like</w:t>
      </w:r>
    </w:p>
    <w:p w14:paraId="1928ECF4" w14:textId="0FA3AE64" w:rsidR="006A3C26" w:rsidRPr="006A3C26" w:rsidRDefault="006A3C26" w:rsidP="006A3C26">
      <w:pPr>
        <w:pStyle w:val="ListParagraph"/>
        <w:numPr>
          <w:ilvl w:val="0"/>
          <w:numId w:val="8"/>
        </w:numPr>
        <w:spacing w:after="160" w:line="264" w:lineRule="auto"/>
        <w:rPr>
          <w:rFonts w:ascii="Times New Roman" w:hAnsi="Times New Roman" w:cs="Times New Roman"/>
        </w:rPr>
      </w:pPr>
      <w:r w:rsidRPr="006A3C26">
        <w:rPr>
          <w:rFonts w:ascii="Times New Roman" w:hAnsi="Times New Roman" w:cs="Times New Roman"/>
        </w:rPr>
        <w:t xml:space="preserve">Reduced </w:t>
      </w:r>
      <w:r w:rsidR="00026E0B" w:rsidRPr="00026E0B">
        <w:rPr>
          <w:rFonts w:ascii="Times New Roman" w:hAnsi="Times New Roman" w:cs="Times New Roman"/>
        </w:rPr>
        <w:t>regulatory burden</w:t>
      </w:r>
      <w:r w:rsidR="00026E0B" w:rsidRPr="00026E0B" w:rsidDel="00026E0B">
        <w:rPr>
          <w:rFonts w:ascii="Times New Roman" w:hAnsi="Times New Roman" w:cs="Times New Roman"/>
        </w:rPr>
        <w:t xml:space="preserve"> </w:t>
      </w:r>
      <w:r w:rsidRPr="006A3C26">
        <w:rPr>
          <w:rFonts w:ascii="Times New Roman" w:hAnsi="Times New Roman" w:cs="Times New Roman"/>
        </w:rPr>
        <w:t>for states and the Australian Government associated with low</w:t>
      </w:r>
      <w:r w:rsidR="008A05E1">
        <w:rPr>
          <w:rFonts w:ascii="Times New Roman" w:hAnsi="Times New Roman" w:cs="Times New Roman"/>
        </w:rPr>
        <w:t xml:space="preserve"> </w:t>
      </w:r>
      <w:r w:rsidRPr="006A3C26">
        <w:rPr>
          <w:rFonts w:ascii="Times New Roman" w:hAnsi="Times New Roman" w:cs="Times New Roman"/>
        </w:rPr>
        <w:t>value procurement activities in infrastructure project delivery</w:t>
      </w:r>
      <w:r w:rsidR="00026E0B">
        <w:rPr>
          <w:rFonts w:ascii="Times New Roman" w:hAnsi="Times New Roman" w:cs="Times New Roman"/>
        </w:rPr>
        <w:t xml:space="preserve"> and reduced costs for business for low value procurements</w:t>
      </w:r>
      <w:r w:rsidRPr="006A3C26">
        <w:rPr>
          <w:rFonts w:ascii="Times New Roman" w:hAnsi="Times New Roman" w:cs="Times New Roman"/>
        </w:rPr>
        <w:t xml:space="preserve">. </w:t>
      </w:r>
    </w:p>
    <w:p w14:paraId="52170FA0" w14:textId="72858AFD" w:rsidR="006A3C26" w:rsidRPr="006A3C26" w:rsidRDefault="006A3C26" w:rsidP="006A3C26">
      <w:pPr>
        <w:pStyle w:val="ListParagraph"/>
        <w:numPr>
          <w:ilvl w:val="0"/>
          <w:numId w:val="8"/>
        </w:numPr>
        <w:spacing w:after="160" w:line="264" w:lineRule="auto"/>
        <w:rPr>
          <w:rFonts w:ascii="Times New Roman" w:hAnsi="Times New Roman" w:cs="Times New Roman"/>
        </w:rPr>
      </w:pPr>
      <w:r w:rsidRPr="006A3C26">
        <w:rPr>
          <w:rFonts w:ascii="Times New Roman" w:hAnsi="Times New Roman" w:cs="Times New Roman"/>
        </w:rPr>
        <w:t>Improved timeliness of project delivery for work below the threshold.</w:t>
      </w:r>
    </w:p>
    <w:p w14:paraId="59BF55CC" w14:textId="77777777" w:rsidR="006A3C26" w:rsidRPr="006A3C26" w:rsidRDefault="006A3C26" w:rsidP="006A3C26">
      <w:pPr>
        <w:pStyle w:val="Heading3"/>
        <w:rPr>
          <w:rFonts w:ascii="Times New Roman" w:hAnsi="Times New Roman" w:cs="Times New Roman"/>
        </w:rPr>
      </w:pPr>
      <w:r w:rsidRPr="006A3C26">
        <w:rPr>
          <w:rFonts w:ascii="Times New Roman" w:hAnsi="Times New Roman" w:cs="Times New Roman"/>
        </w:rPr>
        <w:lastRenderedPageBreak/>
        <w:t>Implementation approach</w:t>
      </w:r>
    </w:p>
    <w:p w14:paraId="1C4B69CC" w14:textId="34B079EB" w:rsidR="006A3C26" w:rsidRPr="006A3C26" w:rsidRDefault="006A3C26" w:rsidP="006A3C26">
      <w:pPr>
        <w:rPr>
          <w:rFonts w:ascii="Times New Roman" w:hAnsi="Times New Roman" w:cs="Times New Roman"/>
        </w:rPr>
      </w:pPr>
      <w:r w:rsidRPr="006A3C26">
        <w:rPr>
          <w:rFonts w:ascii="Times New Roman" w:hAnsi="Times New Roman" w:cs="Times New Roman"/>
        </w:rPr>
        <w:t>The proposal would be implemented</w:t>
      </w:r>
      <w:r w:rsidRPr="006A3C26">
        <w:rPr>
          <w:rFonts w:ascii="Times New Roman" w:hAnsi="Times New Roman" w:cs="Times New Roman"/>
          <w:b/>
          <w:bCs/>
        </w:rPr>
        <w:t xml:space="preserve"> </w:t>
      </w:r>
      <w:r w:rsidRPr="006A3C26">
        <w:rPr>
          <w:rFonts w:ascii="Times New Roman" w:hAnsi="Times New Roman" w:cs="Times New Roman"/>
        </w:rPr>
        <w:t>by remaking the National Land Transport (</w:t>
      </w:r>
      <w:r w:rsidR="009C78A1">
        <w:rPr>
          <w:rFonts w:ascii="Times New Roman" w:hAnsi="Times New Roman" w:cs="Times New Roman"/>
        </w:rPr>
        <w:t>Public Tender Exemption Limit</w:t>
      </w:r>
      <w:r w:rsidRPr="006A3C26">
        <w:rPr>
          <w:rFonts w:ascii="Times New Roman" w:hAnsi="Times New Roman" w:cs="Times New Roman"/>
        </w:rPr>
        <w:t>) Determination 2014</w:t>
      </w:r>
      <w:r w:rsidR="009C78A1">
        <w:rPr>
          <w:rFonts w:ascii="Times New Roman" w:hAnsi="Times New Roman" w:cs="Times New Roman"/>
        </w:rPr>
        <w:t xml:space="preserve"> (No. 1)</w:t>
      </w:r>
      <w:r w:rsidRPr="006A3C26">
        <w:rPr>
          <w:rFonts w:ascii="Times New Roman" w:hAnsi="Times New Roman" w:cs="Times New Roman"/>
        </w:rPr>
        <w:t xml:space="preserve">, made under the </w:t>
      </w:r>
      <w:r w:rsidRPr="006A3C26">
        <w:rPr>
          <w:rFonts w:ascii="Times New Roman" w:hAnsi="Times New Roman" w:cs="Times New Roman"/>
          <w:i/>
          <w:iCs/>
        </w:rPr>
        <w:t xml:space="preserve">National Land Transport Act 2014 </w:t>
      </w:r>
      <w:r w:rsidRPr="006A3C26">
        <w:rPr>
          <w:rFonts w:ascii="Times New Roman" w:hAnsi="Times New Roman" w:cs="Times New Roman"/>
        </w:rPr>
        <w:t>(NLT Act), ahead of its sunset date on 1 April 2027</w:t>
      </w:r>
      <w:r w:rsidR="00026E0B">
        <w:rPr>
          <w:rFonts w:ascii="Times New Roman" w:hAnsi="Times New Roman" w:cs="Times New Roman"/>
        </w:rPr>
        <w:t>,</w:t>
      </w:r>
      <w:r w:rsidRPr="006A3C26">
        <w:rPr>
          <w:rFonts w:ascii="Times New Roman" w:hAnsi="Times New Roman" w:cs="Times New Roman"/>
        </w:rPr>
        <w:t xml:space="preserve"> with a new tender exemption threshold of</w:t>
      </w:r>
      <w:r w:rsidRPr="006A3C26">
        <w:rPr>
          <w:rFonts w:ascii="Times New Roman" w:hAnsi="Times New Roman" w:cs="Times New Roman"/>
          <w:b/>
          <w:bCs/>
        </w:rPr>
        <w:t xml:space="preserve"> </w:t>
      </w:r>
      <w:r w:rsidRPr="006A3C26">
        <w:rPr>
          <w:rFonts w:ascii="Times New Roman" w:hAnsi="Times New Roman" w:cs="Times New Roman"/>
          <w:b/>
        </w:rPr>
        <w:t>$250,000</w:t>
      </w:r>
      <w:r w:rsidRPr="006A3C26">
        <w:rPr>
          <w:rFonts w:ascii="Times New Roman" w:hAnsi="Times New Roman" w:cs="Times New Roman"/>
        </w:rPr>
        <w:t xml:space="preserve">. </w:t>
      </w:r>
    </w:p>
    <w:p w14:paraId="14268629" w14:textId="77777777" w:rsidR="006A3C26" w:rsidRPr="006A3C26" w:rsidRDefault="006A3C26" w:rsidP="006A3C26">
      <w:pPr>
        <w:pStyle w:val="Heading3"/>
        <w:rPr>
          <w:rFonts w:ascii="Times New Roman" w:hAnsi="Times New Roman" w:cs="Times New Roman"/>
        </w:rPr>
      </w:pPr>
      <w:r w:rsidRPr="006A3C26">
        <w:rPr>
          <w:rFonts w:ascii="Times New Roman" w:hAnsi="Times New Roman" w:cs="Times New Roman"/>
        </w:rPr>
        <w:t>Planned evaluation</w:t>
      </w:r>
    </w:p>
    <w:p w14:paraId="5A91B035" w14:textId="77777777" w:rsidR="00421B08" w:rsidRDefault="006A3C26" w:rsidP="006A3C26">
      <w:pPr>
        <w:spacing w:line="288" w:lineRule="auto"/>
        <w:rPr>
          <w:rFonts w:ascii="Times New Roman" w:hAnsi="Times New Roman" w:cs="Times New Roman"/>
        </w:rPr>
      </w:pPr>
      <w:r w:rsidRPr="006A3C26">
        <w:rPr>
          <w:rFonts w:ascii="Times New Roman" w:hAnsi="Times New Roman" w:cs="Times New Roman"/>
        </w:rPr>
        <w:t xml:space="preserve">Consistent with section 50 of the </w:t>
      </w:r>
      <w:r w:rsidRPr="006A3C26">
        <w:rPr>
          <w:rFonts w:ascii="Times New Roman" w:hAnsi="Times New Roman" w:cs="Times New Roman"/>
          <w:i/>
          <w:iCs/>
        </w:rPr>
        <w:t>Legislation Act</w:t>
      </w:r>
      <w:r w:rsidRPr="006A3C26">
        <w:rPr>
          <w:rFonts w:ascii="Times New Roman" w:hAnsi="Times New Roman" w:cs="Times New Roman"/>
        </w:rPr>
        <w:t xml:space="preserve">, legislative instruments registered after </w:t>
      </w:r>
      <w:r w:rsidR="00026E0B" w:rsidRPr="006A3C26">
        <w:rPr>
          <w:rFonts w:ascii="Times New Roman" w:hAnsi="Times New Roman" w:cs="Times New Roman"/>
        </w:rPr>
        <w:t>1</w:t>
      </w:r>
      <w:r w:rsidR="00026E0B">
        <w:rPr>
          <w:rFonts w:ascii="Times New Roman" w:hAnsi="Times New Roman" w:cs="Times New Roman"/>
        </w:rPr>
        <w:t> </w:t>
      </w:r>
      <w:r w:rsidR="00026E0B" w:rsidRPr="006A3C26">
        <w:rPr>
          <w:rFonts w:ascii="Times New Roman" w:hAnsi="Times New Roman" w:cs="Times New Roman"/>
        </w:rPr>
        <w:t>January</w:t>
      </w:r>
      <w:r w:rsidR="00026E0B">
        <w:rPr>
          <w:rFonts w:ascii="Times New Roman" w:hAnsi="Times New Roman" w:cs="Times New Roman"/>
        </w:rPr>
        <w:t> </w:t>
      </w:r>
      <w:r w:rsidRPr="006A3C26">
        <w:rPr>
          <w:rFonts w:ascii="Times New Roman" w:hAnsi="Times New Roman" w:cs="Times New Roman"/>
        </w:rPr>
        <w:t xml:space="preserve">2005 are automatically repealed on 1 April or 1 October on or immediately following the tenth anniversary of their registration. A formal review of the operation of a new 2026 Determination will be undertaken before the instrument’s sunset date. </w:t>
      </w:r>
    </w:p>
    <w:p w14:paraId="069CD0A8" w14:textId="77777777" w:rsidR="00421B08" w:rsidRDefault="00421B08">
      <w:pPr>
        <w:rPr>
          <w:rFonts w:ascii="Times New Roman" w:hAnsi="Times New Roman" w:cs="Times New Roman"/>
        </w:rPr>
      </w:pPr>
      <w:r>
        <w:rPr>
          <w:rFonts w:ascii="Times New Roman" w:hAnsi="Times New Roman" w:cs="Times New Roman"/>
        </w:rPr>
        <w:br w:type="page"/>
      </w:r>
    </w:p>
    <w:p w14:paraId="48FD7647" w14:textId="77777777" w:rsidR="00421B08" w:rsidRPr="00370EA1" w:rsidRDefault="00421B08" w:rsidP="00421B08">
      <w:pPr>
        <w:pStyle w:val="Heading1"/>
      </w:pPr>
      <w:r>
        <w:lastRenderedPageBreak/>
        <w:t>S</w:t>
      </w:r>
      <w:r w:rsidRPr="00370EA1">
        <w:t xml:space="preserve">tatement </w:t>
      </w:r>
      <w:r>
        <w:t>of Sufficiency</w:t>
      </w:r>
    </w:p>
    <w:p w14:paraId="3EAF52F1" w14:textId="77777777" w:rsidR="00421B08" w:rsidRPr="00370EA1" w:rsidRDefault="00421B08" w:rsidP="00421B08">
      <w:r w:rsidRPr="00AE39E1">
        <w:t xml:space="preserve">I confirm that this Dashboard Impact Analysis (IA) prepared for </w:t>
      </w:r>
      <w:r>
        <w:rPr>
          <w:b/>
          <w:bCs/>
        </w:rPr>
        <w:t xml:space="preserve">Exemption from Public Tenders Threshold under the </w:t>
      </w:r>
      <w:r>
        <w:rPr>
          <w:b/>
          <w:bCs/>
          <w:i/>
          <w:iCs/>
        </w:rPr>
        <w:t>National Land Transport Act 2014</w:t>
      </w:r>
      <w:r w:rsidRPr="00AE39E1">
        <w:t xml:space="preserve"> meets the requirements</w:t>
      </w:r>
      <w:r w:rsidRPr="00370EA1">
        <w:t xml:space="preserve"> set out in the </w:t>
      </w:r>
      <w:r w:rsidRPr="0087619F">
        <w:rPr>
          <w:i/>
          <w:iCs/>
        </w:rPr>
        <w:t xml:space="preserve">Australian Government </w:t>
      </w:r>
      <w:r w:rsidRPr="00370EA1">
        <w:rPr>
          <w:i/>
        </w:rPr>
        <w:t>Impact Analysis Framework</w:t>
      </w:r>
      <w:r>
        <w:rPr>
          <w:i/>
        </w:rPr>
        <w:t>.</w:t>
      </w:r>
    </w:p>
    <w:p w14:paraId="670DB686" w14:textId="77777777" w:rsidR="00421B08" w:rsidRPr="00370EA1" w:rsidRDefault="00421B08" w:rsidP="00421B08">
      <w:r w:rsidRPr="00370EA1">
        <w:t xml:space="preserve">I confirm that the level of analysis is proportionate to the policy issue being considered. </w:t>
      </w:r>
    </w:p>
    <w:p w14:paraId="14201DC1" w14:textId="77777777" w:rsidR="00421B08" w:rsidRPr="00370EA1" w:rsidRDefault="00421B08" w:rsidP="00421B08">
      <w:pPr>
        <w:spacing w:after="0"/>
      </w:pPr>
      <w:r w:rsidRPr="00370EA1">
        <w:t>I note the</w:t>
      </w:r>
      <w:r>
        <w:t xml:space="preserve"> Dashboard</w:t>
      </w:r>
      <w:r w:rsidRPr="00370EA1">
        <w:t xml:space="preserve"> IA provides</w:t>
      </w:r>
      <w:r w:rsidRPr="00561D39">
        <w:t xml:space="preserve"> </w:t>
      </w:r>
      <w:r w:rsidRPr="00370EA1">
        <w:t xml:space="preserve">analysis of the impacts of the proposal using the </w:t>
      </w:r>
      <w:r>
        <w:t>7</w:t>
      </w:r>
      <w:r w:rsidRPr="00370EA1">
        <w:t xml:space="preserve"> IA questions</w:t>
      </w:r>
      <w:r>
        <w:t xml:space="preserve"> and</w:t>
      </w:r>
      <w:r w:rsidRPr="00370EA1">
        <w:t>:</w:t>
      </w:r>
    </w:p>
    <w:p w14:paraId="2F223E3F" w14:textId="77777777" w:rsidR="00421B08" w:rsidRPr="00370EA1" w:rsidRDefault="00421B08" w:rsidP="00421B08">
      <w:pPr>
        <w:pStyle w:val="BulletedList-Level1"/>
      </w:pPr>
      <w:r>
        <w:t xml:space="preserve">a high-level summary of </w:t>
      </w:r>
      <w:r w:rsidRPr="00370EA1">
        <w:t>costs and benefits</w:t>
      </w:r>
      <w:r>
        <w:t xml:space="preserve"> and an estimate in the change in the regulatory burden,</w:t>
      </w:r>
      <w:r w:rsidRPr="00370EA1">
        <w:t xml:space="preserve"> of </w:t>
      </w:r>
      <w:r>
        <w:t xml:space="preserve">the policy options under consideration </w:t>
      </w:r>
    </w:p>
    <w:p w14:paraId="4FBAB527" w14:textId="77777777" w:rsidR="00421B08" w:rsidRPr="00370EA1" w:rsidRDefault="00421B08" w:rsidP="00421B08">
      <w:pPr>
        <w:pStyle w:val="BulletedList-Level1"/>
      </w:pPr>
      <w:r w:rsidRPr="00370EA1">
        <w:t xml:space="preserve">high-level analysis of the policy option against the </w:t>
      </w:r>
      <w:r>
        <w:t>g</w:t>
      </w:r>
      <w:r w:rsidRPr="00370EA1">
        <w:t>overnment’s key strategic priorities</w:t>
      </w:r>
    </w:p>
    <w:p w14:paraId="48C470D5" w14:textId="77777777" w:rsidR="00421B08" w:rsidRPr="00370EA1" w:rsidRDefault="00421B08" w:rsidP="00421B08">
      <w:pPr>
        <w:pStyle w:val="BulletedList-Level1"/>
      </w:pPr>
      <w:r w:rsidRPr="00370EA1">
        <w:t xml:space="preserve">a summary of </w:t>
      </w:r>
      <w:r>
        <w:t>relevant</w:t>
      </w:r>
      <w:r w:rsidRPr="00370EA1">
        <w:t xml:space="preserve"> distributional effects</w:t>
      </w:r>
      <w:r>
        <w:t xml:space="preserve"> and evidence of </w:t>
      </w:r>
      <w:r w:rsidRPr="007114AC">
        <w:t>key stakeholder feedback incorporated into the policy design</w:t>
      </w:r>
    </w:p>
    <w:p w14:paraId="33298926" w14:textId="77777777" w:rsidR="00421B08" w:rsidRPr="00370EA1" w:rsidRDefault="00421B08" w:rsidP="00421B08">
      <w:pPr>
        <w:pStyle w:val="BulletedList-Level1"/>
        <w:spacing w:after="600"/>
      </w:pPr>
      <w:r w:rsidRPr="00370EA1">
        <w:t>other details required to understand and assess the proposal.</w:t>
      </w:r>
    </w:p>
    <w:p w14:paraId="5B7F549D" w14:textId="77777777" w:rsidR="00421B08" w:rsidRPr="00AE39E1" w:rsidRDefault="00421B08" w:rsidP="00421B08">
      <w:pPr>
        <w:spacing w:after="0"/>
        <w:rPr>
          <w:b/>
          <w:bCs/>
        </w:rPr>
      </w:pPr>
      <w:r w:rsidRPr="00AE39E1">
        <w:rPr>
          <w:b/>
          <w:bCs/>
        </w:rPr>
        <w:t>Endorsed by</w:t>
      </w:r>
    </w:p>
    <w:p w14:paraId="3EDDF4C2" w14:textId="77777777" w:rsidR="00421B08" w:rsidRPr="0043491A" w:rsidRDefault="00421B08" w:rsidP="00421B08">
      <w:pPr>
        <w:spacing w:after="0"/>
      </w:pPr>
      <w:r>
        <w:t>Anita Langford</w:t>
      </w:r>
    </w:p>
    <w:p w14:paraId="64039BA1" w14:textId="77777777" w:rsidR="00421B08" w:rsidRPr="0043491A" w:rsidRDefault="00421B08" w:rsidP="00421B08">
      <w:pPr>
        <w:spacing w:after="0"/>
      </w:pPr>
      <w:r>
        <w:t>Acting Deputy Secretary, Regional Development and Infrastructure Group</w:t>
      </w:r>
    </w:p>
    <w:p w14:paraId="79765191" w14:textId="77777777" w:rsidR="00421B08" w:rsidRPr="00D85CAB" w:rsidRDefault="00421B08" w:rsidP="00421B08">
      <w:pPr>
        <w:spacing w:after="0"/>
      </w:pPr>
      <w:r>
        <w:t>Department of Infrastructure, Transport, Regional Development, Communications, Sport and the Arts</w:t>
      </w:r>
    </w:p>
    <w:p w14:paraId="4B241EF6" w14:textId="74636F38" w:rsidR="00421B08" w:rsidRPr="005C32EF" w:rsidRDefault="003D18CF" w:rsidP="00421B08">
      <w:pPr>
        <w:spacing w:after="0"/>
      </w:pPr>
      <w:r w:rsidRPr="009B03EA">
        <w:t>18 August 2026</w:t>
      </w:r>
    </w:p>
    <w:p w14:paraId="24F59E93" w14:textId="2221D2B3" w:rsidR="006A3C26" w:rsidRPr="006A3C26" w:rsidRDefault="006A3C26" w:rsidP="006A3C26">
      <w:pPr>
        <w:spacing w:line="288" w:lineRule="auto"/>
        <w:rPr>
          <w:rFonts w:ascii="Times New Roman" w:hAnsi="Times New Roman" w:cs="Times New Roman"/>
        </w:rPr>
      </w:pPr>
      <w:r w:rsidRPr="006A3C26">
        <w:rPr>
          <w:rFonts w:ascii="Times New Roman" w:hAnsi="Times New Roman" w:cs="Times New Roman"/>
        </w:rPr>
        <w:t xml:space="preserve"> </w:t>
      </w:r>
    </w:p>
    <w:p w14:paraId="6C67E1C3" w14:textId="77777777" w:rsidR="006A3C26" w:rsidRPr="00547F8D" w:rsidRDefault="006A3C26" w:rsidP="006A3C26">
      <w:pPr>
        <w:spacing w:before="240" w:after="240"/>
        <w:jc w:val="right"/>
        <w:rPr>
          <w:rFonts w:ascii="Times New Roman" w:hAnsi="Times New Roman" w:cs="Times New Roman"/>
          <w:b/>
          <w:sz w:val="24"/>
          <w:szCs w:val="24"/>
        </w:rPr>
      </w:pPr>
    </w:p>
    <w:sectPr w:rsidR="006A3C26" w:rsidRPr="00547F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9623C" w14:textId="77777777" w:rsidR="00D06F13" w:rsidRDefault="00D06F13" w:rsidP="00383C7E">
      <w:pPr>
        <w:spacing w:after="0" w:line="240" w:lineRule="auto"/>
      </w:pPr>
      <w:r>
        <w:separator/>
      </w:r>
    </w:p>
  </w:endnote>
  <w:endnote w:type="continuationSeparator" w:id="0">
    <w:p w14:paraId="3B3BC0E9" w14:textId="77777777" w:rsidR="00D06F13" w:rsidRDefault="00D06F13" w:rsidP="00383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8A1D" w14:textId="77777777" w:rsidR="006A3C26" w:rsidRDefault="006A3C26">
    <w:pPr>
      <w:pStyle w:val="Footer"/>
    </w:pPr>
    <w:r>
      <w:rPr>
        <w:noProof/>
      </w:rPr>
      <mc:AlternateContent>
        <mc:Choice Requires="wps">
          <w:drawing>
            <wp:anchor distT="0" distB="0" distL="0" distR="0" simplePos="0" relativeHeight="251658251" behindDoc="0" locked="0" layoutInCell="1" allowOverlap="1" wp14:anchorId="023A03DE" wp14:editId="06B31F63">
              <wp:simplePos x="635" y="635"/>
              <wp:positionH relativeFrom="page">
                <wp:align>center</wp:align>
              </wp:positionH>
              <wp:positionV relativeFrom="page">
                <wp:align>bottom</wp:align>
              </wp:positionV>
              <wp:extent cx="726440" cy="429260"/>
              <wp:effectExtent l="0" t="0" r="16510" b="0"/>
              <wp:wrapNone/>
              <wp:docPr id="129195818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9260"/>
                      </a:xfrm>
                      <a:prstGeom prst="rect">
                        <a:avLst/>
                      </a:prstGeom>
                      <a:noFill/>
                      <a:ln>
                        <a:noFill/>
                      </a:ln>
                    </wps:spPr>
                    <wps:txbx>
                      <w:txbxContent>
                        <w:p w14:paraId="2FEF89BC" w14:textId="77777777" w:rsidR="006A3C26" w:rsidRPr="00E02A45" w:rsidRDefault="006A3C26" w:rsidP="00E02A45">
                          <w:pPr>
                            <w:spacing w:after="0"/>
                            <w:rPr>
                              <w:rFonts w:ascii="Aptos" w:eastAsia="Aptos" w:hAnsi="Aptos" w:cs="Aptos"/>
                              <w:noProof/>
                              <w:color w:val="FF0000"/>
                              <w:sz w:val="28"/>
                              <w:szCs w:val="28"/>
                            </w:rPr>
                          </w:pPr>
                          <w:r w:rsidRPr="00E02A45">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23A03DE" id="_x0000_t202" coordsize="21600,21600" o:spt="202" path="m,l,21600r21600,l21600,xe">
              <v:stroke joinstyle="miter"/>
              <v:path gradientshapeok="t" o:connecttype="rect"/>
            </v:shapetype>
            <v:shape id="Text Box 5" o:spid="_x0000_s1027" type="#_x0000_t202" alt="OFFICIAL" style="position:absolute;margin-left:0;margin-top:0;width:57.2pt;height:33.8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" filled="f" stroked="f">
              <v:textbox style="mso-fit-shape-to-text:t" inset="0,0,0,15pt">
                <w:txbxContent>
                  <w:p w14:paraId="2FEF89BC" w14:textId="77777777" w:rsidR="006A3C26" w:rsidRPr="00E02A45" w:rsidRDefault="006A3C26" w:rsidP="00E02A45">
                    <w:pPr>
                      <w:spacing w:after="0"/>
                      <w:rPr>
                        <w:rFonts w:ascii="Aptos" w:eastAsia="Aptos" w:hAnsi="Aptos" w:cs="Aptos"/>
                        <w:noProof/>
                        <w:color w:val="FF0000"/>
                        <w:sz w:val="28"/>
                        <w:szCs w:val="28"/>
                      </w:rPr>
                    </w:pPr>
                    <w:r w:rsidRPr="00E02A45">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D2C98" w14:textId="687564FB" w:rsidR="006A3C26" w:rsidRPr="00F86700" w:rsidRDefault="006A3C26" w:rsidP="00F86700">
    <w:pPr>
      <w:pStyle w:val="CLASSIFICATION"/>
    </w:pPr>
  </w:p>
  <w:p w14:paraId="5E048F32" w14:textId="783C6267" w:rsidR="006A3C26" w:rsidRPr="00852F35" w:rsidRDefault="006A3C26" w:rsidP="00936C83">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005964F7" w:rsidRPr="004E7259">
      <w:rPr>
        <w:color w:val="6E6E6E"/>
        <w:sz w:val="18"/>
        <w:szCs w:val="18"/>
      </w:rPr>
      <w:t xml:space="preserve">Exemption from Public Tenders Threshold under the </w:t>
    </w:r>
    <w:r w:rsidR="005964F7" w:rsidRPr="004E7259">
      <w:rPr>
        <w:i/>
        <w:iCs/>
        <w:color w:val="6E6E6E"/>
        <w:sz w:val="18"/>
        <w:szCs w:val="18"/>
      </w:rPr>
      <w:t>National Land Transport Act 2014</w:t>
    </w:r>
    <w:r w:rsidRPr="00852F35">
      <w:rPr>
        <w:color w:val="6E6E6E"/>
      </w:rPr>
      <w:ptab w:relativeTo="margin" w:alignment="right" w:leader="none"/>
    </w:r>
    <w:r w:rsidRPr="005964F7">
      <w:rPr>
        <w:rFonts w:ascii="Times New Roman" w:hAnsi="Times New Roman" w:cs="Times New Roman"/>
        <w:color w:val="6E6E6E"/>
        <w:sz w:val="24"/>
        <w:szCs w:val="24"/>
      </w:rPr>
      <w:fldChar w:fldCharType="begin"/>
    </w:r>
    <w:r w:rsidRPr="005964F7">
      <w:rPr>
        <w:rFonts w:ascii="Times New Roman" w:hAnsi="Times New Roman" w:cs="Times New Roman"/>
        <w:color w:val="6E6E6E"/>
        <w:sz w:val="24"/>
        <w:szCs w:val="24"/>
      </w:rPr>
      <w:instrText xml:space="preserve"> PAGE   \* MERGEFORMAT </w:instrText>
    </w:r>
    <w:r w:rsidRPr="005964F7">
      <w:rPr>
        <w:rFonts w:ascii="Times New Roman" w:hAnsi="Times New Roman" w:cs="Times New Roman"/>
        <w:color w:val="6E6E6E"/>
        <w:sz w:val="24"/>
        <w:szCs w:val="24"/>
      </w:rPr>
      <w:fldChar w:fldCharType="separate"/>
    </w:r>
    <w:r w:rsidRPr="005964F7">
      <w:rPr>
        <w:rFonts w:ascii="Times New Roman" w:hAnsi="Times New Roman" w:cs="Times New Roman"/>
        <w:color w:val="6E6E6E"/>
        <w:sz w:val="24"/>
        <w:szCs w:val="24"/>
      </w:rPr>
      <w:t>1</w:t>
    </w:r>
    <w:r w:rsidRPr="005964F7">
      <w:rPr>
        <w:rFonts w:ascii="Times New Roman" w:hAnsi="Times New Roman" w:cs="Times New Roman"/>
        <w:noProof/>
        <w:color w:val="6E6E6E"/>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B223" w14:textId="407B4BF3" w:rsidR="006A3C26" w:rsidRDefault="006A3C26" w:rsidP="00464D89">
    <w:pPr>
      <w:pStyle w:val="Header"/>
      <w:jc w:val="center"/>
    </w:pPr>
  </w:p>
  <w:p w14:paraId="2CF4B9DD" w14:textId="77777777" w:rsidR="006A3C26" w:rsidRDefault="006A3C26" w:rsidP="00BB1526">
    <w:pPr>
      <w:pStyle w:val="Header"/>
      <w:rPr>
        <w:color w:val="6E6E6E"/>
        <w:sz w:val="18"/>
        <w:szCs w:val="18"/>
      </w:rPr>
    </w:pPr>
  </w:p>
  <w:p w14:paraId="438B2242" w14:textId="191E665B" w:rsidR="006A3C26" w:rsidRPr="00BB1526" w:rsidRDefault="005964F7"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Pr="004E7259">
      <w:rPr>
        <w:color w:val="6E6E6E"/>
        <w:sz w:val="18"/>
        <w:szCs w:val="18"/>
      </w:rPr>
      <w:t xml:space="preserve">Exemption from Public Tenders Threshold under the </w:t>
    </w:r>
    <w:r w:rsidRPr="004E7259">
      <w:rPr>
        <w:i/>
        <w:iCs/>
        <w:color w:val="6E6E6E"/>
        <w:sz w:val="18"/>
        <w:szCs w:val="18"/>
      </w:rPr>
      <w:t>National Land Transport Act 2014</w:t>
    </w:r>
    <w:r w:rsidRPr="00852F35">
      <w:rPr>
        <w:color w:val="6E6E6E"/>
      </w:rPr>
      <w:ptab w:relativeTo="margin" w:alignment="right" w:leader="none"/>
    </w:r>
    <w:r w:rsidRPr="005964F7">
      <w:rPr>
        <w:rFonts w:ascii="Times New Roman" w:hAnsi="Times New Roman" w:cs="Times New Roman"/>
        <w:color w:val="6E6E6E"/>
        <w:sz w:val="24"/>
        <w:szCs w:val="24"/>
      </w:rPr>
      <w:fldChar w:fldCharType="begin"/>
    </w:r>
    <w:r w:rsidRPr="005964F7">
      <w:rPr>
        <w:rFonts w:ascii="Times New Roman" w:hAnsi="Times New Roman" w:cs="Times New Roman"/>
        <w:color w:val="6E6E6E"/>
        <w:sz w:val="24"/>
        <w:szCs w:val="24"/>
      </w:rPr>
      <w:instrText xml:space="preserve"> PAGE   \* MERGEFORMAT </w:instrText>
    </w:r>
    <w:r w:rsidRPr="005964F7">
      <w:rPr>
        <w:rFonts w:ascii="Times New Roman" w:hAnsi="Times New Roman" w:cs="Times New Roman"/>
        <w:color w:val="6E6E6E"/>
        <w:sz w:val="24"/>
        <w:szCs w:val="24"/>
      </w:rPr>
      <w:fldChar w:fldCharType="separate"/>
    </w:r>
    <w:r>
      <w:rPr>
        <w:rFonts w:ascii="Times New Roman" w:hAnsi="Times New Roman" w:cs="Times New Roman"/>
        <w:color w:val="6E6E6E"/>
        <w:sz w:val="24"/>
        <w:szCs w:val="24"/>
      </w:rPr>
      <w:t>6</w:t>
    </w:r>
    <w:r w:rsidRPr="005964F7">
      <w:rPr>
        <w:rFonts w:ascii="Times New Roman" w:hAnsi="Times New Roman" w:cs="Times New Roman"/>
        <w:noProof/>
        <w:color w:val="6E6E6E"/>
        <w:sz w:val="24"/>
        <w:szCs w:val="24"/>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C860" w14:textId="447E3F92" w:rsidR="00047FBC" w:rsidRDefault="00047FBC" w:rsidP="00464D89">
    <w:pPr>
      <w:pStyle w:val="Header"/>
      <w:jc w:val="center"/>
    </w:pPr>
  </w:p>
  <w:p w14:paraId="5C33DC65" w14:textId="77777777" w:rsidR="00047FBC" w:rsidRDefault="00047FBC" w:rsidP="00BB1526">
    <w:pPr>
      <w:pStyle w:val="Header"/>
      <w:rPr>
        <w:color w:val="6E6E6E"/>
        <w:sz w:val="18"/>
        <w:szCs w:val="18"/>
      </w:rPr>
    </w:pPr>
  </w:p>
  <w:p w14:paraId="4C9B0082" w14:textId="77777777" w:rsidR="003039B4" w:rsidRPr="00BB1526" w:rsidRDefault="00047FBC" w:rsidP="00BB1526">
    <w:pPr>
      <w:pStyle w:val="Header"/>
      <w:rPr>
        <w:rFonts w:ascii="Segoe UI" w:hAnsi="Segoe UI" w:cs="Segoe UI"/>
        <w:color w:val="6E6E6E"/>
        <w:sz w:val="18"/>
      </w:rPr>
    </w:pPr>
    <w:r>
      <w:rPr>
        <w:color w:val="6E6E6E"/>
        <w:sz w:val="18"/>
        <w:szCs w:val="18"/>
      </w:rPr>
      <w:t xml:space="preserve">Australian Government </w:t>
    </w:r>
    <w:r w:rsidRPr="00852F35">
      <w:rPr>
        <w:color w:val="6E6E6E"/>
        <w:sz w:val="18"/>
        <w:szCs w:val="18"/>
      </w:rPr>
      <w:t xml:space="preserve">| </w:t>
    </w:r>
    <w:r>
      <w:rPr>
        <w:color w:val="6E6E6E"/>
        <w:sz w:val="18"/>
        <w:szCs w:val="18"/>
      </w:rPr>
      <w:t xml:space="preserve">Dashboard Impact Analysis (IA) – </w:t>
    </w:r>
    <w:r w:rsidRPr="004E7259">
      <w:rPr>
        <w:color w:val="6E6E6E"/>
        <w:sz w:val="18"/>
        <w:szCs w:val="18"/>
      </w:rPr>
      <w:t xml:space="preserve">Exemption from Public Tenders Threshold under the </w:t>
    </w:r>
    <w:r w:rsidRPr="004E7259">
      <w:rPr>
        <w:i/>
        <w:iCs/>
        <w:color w:val="6E6E6E"/>
        <w:sz w:val="18"/>
        <w:szCs w:val="18"/>
      </w:rPr>
      <w:t>National Land Transport Act 2014</w:t>
    </w:r>
    <w:r w:rsidRPr="00852F35">
      <w:rPr>
        <w:color w:val="6E6E6E"/>
      </w:rPr>
      <w:ptab w:relativeTo="margin" w:alignment="right" w:leader="none"/>
    </w:r>
    <w:r w:rsidRPr="005964F7">
      <w:rPr>
        <w:rFonts w:ascii="Times New Roman" w:hAnsi="Times New Roman" w:cs="Times New Roman"/>
        <w:color w:val="6E6E6E"/>
        <w:sz w:val="24"/>
        <w:szCs w:val="24"/>
      </w:rPr>
      <w:fldChar w:fldCharType="begin"/>
    </w:r>
    <w:r w:rsidRPr="005964F7">
      <w:rPr>
        <w:rFonts w:ascii="Times New Roman" w:hAnsi="Times New Roman" w:cs="Times New Roman"/>
        <w:color w:val="6E6E6E"/>
        <w:sz w:val="24"/>
        <w:szCs w:val="24"/>
      </w:rPr>
      <w:instrText xml:space="preserve"> PAGE   \* MERGEFORMAT </w:instrText>
    </w:r>
    <w:r w:rsidRPr="005964F7">
      <w:rPr>
        <w:rFonts w:ascii="Times New Roman" w:hAnsi="Times New Roman" w:cs="Times New Roman"/>
        <w:color w:val="6E6E6E"/>
        <w:sz w:val="24"/>
        <w:szCs w:val="24"/>
      </w:rPr>
      <w:fldChar w:fldCharType="separate"/>
    </w:r>
    <w:r>
      <w:rPr>
        <w:rFonts w:ascii="Times New Roman" w:hAnsi="Times New Roman" w:cs="Times New Roman"/>
        <w:color w:val="6E6E6E"/>
        <w:sz w:val="24"/>
        <w:szCs w:val="24"/>
      </w:rPr>
      <w:t>6</w:t>
    </w:r>
    <w:r w:rsidRPr="005964F7">
      <w:rPr>
        <w:rFonts w:ascii="Times New Roman" w:hAnsi="Times New Roman" w:cs="Times New Roman"/>
        <w:noProof/>
        <w:color w:val="6E6E6E"/>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5AE72" w14:textId="77777777" w:rsidR="00D06F13" w:rsidRDefault="00D06F13" w:rsidP="00383C7E">
      <w:pPr>
        <w:spacing w:after="0" w:line="240" w:lineRule="auto"/>
      </w:pPr>
      <w:r>
        <w:separator/>
      </w:r>
    </w:p>
  </w:footnote>
  <w:footnote w:type="continuationSeparator" w:id="0">
    <w:p w14:paraId="06943240" w14:textId="77777777" w:rsidR="00D06F13" w:rsidRDefault="00D06F13" w:rsidP="00383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71B0D" w14:textId="77777777" w:rsidR="006A3C26" w:rsidRDefault="006A3C26">
    <w:pPr>
      <w:pStyle w:val="Header"/>
    </w:pPr>
    <w:r>
      <w:rPr>
        <w:noProof/>
      </w:rPr>
      <mc:AlternateContent>
        <mc:Choice Requires="wps">
          <w:drawing>
            <wp:anchor distT="0" distB="0" distL="0" distR="0" simplePos="0" relativeHeight="251658248" behindDoc="0" locked="0" layoutInCell="1" allowOverlap="1" wp14:anchorId="7369A0DA" wp14:editId="364CAFD3">
              <wp:simplePos x="635" y="635"/>
              <wp:positionH relativeFrom="page">
                <wp:align>center</wp:align>
              </wp:positionH>
              <wp:positionV relativeFrom="page">
                <wp:align>top</wp:align>
              </wp:positionV>
              <wp:extent cx="726440" cy="429260"/>
              <wp:effectExtent l="0" t="0" r="16510" b="8890"/>
              <wp:wrapNone/>
              <wp:docPr id="75402750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9260"/>
                      </a:xfrm>
                      <a:prstGeom prst="rect">
                        <a:avLst/>
                      </a:prstGeom>
                      <a:noFill/>
                      <a:ln>
                        <a:noFill/>
                      </a:ln>
                    </wps:spPr>
                    <wps:txbx>
                      <w:txbxContent>
                        <w:p w14:paraId="7DD13268" w14:textId="77777777" w:rsidR="006A3C26" w:rsidRPr="00E02A45" w:rsidRDefault="006A3C26" w:rsidP="00E02A45">
                          <w:pPr>
                            <w:spacing w:after="0"/>
                            <w:rPr>
                              <w:rFonts w:ascii="Aptos" w:eastAsia="Aptos" w:hAnsi="Aptos" w:cs="Aptos"/>
                              <w:noProof/>
                              <w:color w:val="FF0000"/>
                              <w:sz w:val="28"/>
                              <w:szCs w:val="28"/>
                            </w:rPr>
                          </w:pPr>
                          <w:r w:rsidRPr="00E02A45">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69A0DA" id="_x0000_t202" coordsize="21600,21600" o:spt="202" path="m,l,21600r21600,l21600,xe">
              <v:stroke joinstyle="miter"/>
              <v:path gradientshapeok="t" o:connecttype="rect"/>
            </v:shapetype>
            <v:shape id="Text Box 2" o:spid="_x0000_s1026" type="#_x0000_t202" alt="OFFICIAL" style="position:absolute;margin-left:0;margin-top:0;width:57.2pt;height:33.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" filled="f" stroked="f">
              <v:textbox style="mso-fit-shape-to-text:t" inset="0,15pt,0,0">
                <w:txbxContent>
                  <w:p w14:paraId="7DD13268" w14:textId="77777777" w:rsidR="006A3C26" w:rsidRPr="00E02A45" w:rsidRDefault="006A3C26" w:rsidP="00E02A45">
                    <w:pPr>
                      <w:spacing w:after="0"/>
                      <w:rPr>
                        <w:rFonts w:ascii="Aptos" w:eastAsia="Aptos" w:hAnsi="Aptos" w:cs="Aptos"/>
                        <w:noProof/>
                        <w:color w:val="FF0000"/>
                        <w:sz w:val="28"/>
                        <w:szCs w:val="28"/>
                      </w:rPr>
                    </w:pPr>
                    <w:r w:rsidRPr="00E02A45">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6AE1" w14:textId="77777777" w:rsidR="006A3C26" w:rsidRDefault="006A3C26" w:rsidP="0026634E">
    <w:pPr>
      <w:pStyle w:val="Header"/>
      <w:jc w:val="center"/>
      <w:rPr>
        <w:rStyle w:val="CLASSIFICATIONChar"/>
      </w:rPr>
    </w:pPr>
    <w:r>
      <w:rPr>
        <w:rFonts w:ascii="Segoe UI" w:hAnsi="Segoe UI"/>
        <w:caps/>
        <w:noProof/>
        <w:color w:val="C00000"/>
        <w:sz w:val="18"/>
        <w:lang w:eastAsia="en-AU"/>
      </w:rPr>
      <mc:AlternateContent>
        <mc:Choice Requires="wps">
          <w:drawing>
            <wp:anchor distT="0" distB="0" distL="0" distR="0" simplePos="0" relativeHeight="251658247" behindDoc="0" locked="0" layoutInCell="1" allowOverlap="1" wp14:anchorId="21FF9F8D" wp14:editId="6698A213">
              <wp:simplePos x="723900" y="628650"/>
              <wp:positionH relativeFrom="page">
                <wp:align>center</wp:align>
              </wp:positionH>
              <wp:positionV relativeFrom="page">
                <wp:align>top</wp:align>
              </wp:positionV>
              <wp:extent cx="726440" cy="429260"/>
              <wp:effectExtent l="0" t="0" r="16510" b="8890"/>
              <wp:wrapNone/>
              <wp:docPr id="189465469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9260"/>
                      </a:xfrm>
                      <a:prstGeom prst="rect">
                        <a:avLst/>
                      </a:prstGeom>
                      <a:noFill/>
                      <a:ln>
                        <a:noFill/>
                      </a:ln>
                    </wps:spPr>
                    <wps:txbx>
                      <w:txbxContent>
                        <w:p w14:paraId="7471569E" w14:textId="492A6CE2" w:rsidR="006A3C26" w:rsidRPr="00E02A45" w:rsidRDefault="006A3C26" w:rsidP="00E02A45">
                          <w:pPr>
                            <w:spacing w:after="0"/>
                            <w:rPr>
                              <w:rFonts w:ascii="Aptos" w:eastAsia="Aptos" w:hAnsi="Aptos" w:cs="Aptos"/>
                              <w:noProof/>
                              <w:color w:val="FF0000"/>
                              <w:sz w:val="28"/>
                              <w:szCs w:val="28"/>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FF9F8D" id="_x0000_t202" coordsize="21600,21600" o:spt="202" path="m,l,21600r21600,l21600,xe">
              <v:stroke joinstyle="miter"/>
              <v:path gradientshapeok="t" o:connecttype="rect"/>
            </v:shapetype>
            <v:shape id="Text Box 1" o:spid="_x0000_s1028" type="#_x0000_t202" alt="OFFICIAL" style="position:absolute;left:0;text-align:left;margin-left:0;margin-top:0;width:57.2pt;height:33.8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" filled="f" stroked="f">
              <v:textbox style="mso-fit-shape-to-text:t" inset="0,15pt,0,0">
                <w:txbxContent>
                  <w:p w14:paraId="7471569E" w14:textId="492A6CE2" w:rsidR="006A3C26" w:rsidRPr="00E02A45" w:rsidRDefault="006A3C26" w:rsidP="00E02A45">
                    <w:pPr>
                      <w:spacing w:after="0"/>
                      <w:rPr>
                        <w:rFonts w:ascii="Aptos" w:eastAsia="Aptos" w:hAnsi="Aptos" w:cs="Aptos"/>
                        <w:noProof/>
                        <w:color w:val="FF0000"/>
                        <w:sz w:val="28"/>
                        <w:szCs w:val="28"/>
                      </w:rPr>
                    </w:pPr>
                  </w:p>
                </w:txbxContent>
              </v:textbox>
              <w10:wrap anchorx="page" anchory="page"/>
            </v:shape>
          </w:pict>
        </mc:Fallback>
      </mc:AlternateContent>
    </w:r>
    <w:r>
      <w:rPr>
        <w:rStyle w:val="CLASSIFICATIONChar"/>
        <w:noProof/>
        <w:lang w:eastAsia="en-AU"/>
      </w:rPr>
      <w:drawing>
        <wp:anchor distT="0" distB="0" distL="114300" distR="114300" simplePos="0" relativeHeight="251658246" behindDoc="1" locked="0" layoutInCell="1" allowOverlap="1" wp14:anchorId="088E9DCB" wp14:editId="6248194F">
          <wp:simplePos x="0" y="0"/>
          <wp:positionH relativeFrom="column">
            <wp:posOffset>-46990</wp:posOffset>
          </wp:positionH>
          <wp:positionV relativeFrom="paragraph">
            <wp:posOffset>-217805</wp:posOffset>
          </wp:positionV>
          <wp:extent cx="2322830" cy="621665"/>
          <wp:effectExtent l="0" t="0" r="1270" b="6985"/>
          <wp:wrapNone/>
          <wp:docPr id="16" name="Picture 1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0C2F0F63" w14:textId="77777777" w:rsidR="006A3C26" w:rsidRDefault="006A3C26" w:rsidP="00B31478">
    <w:pPr>
      <w:pStyle w:val="Header"/>
    </w:pPr>
  </w:p>
  <w:p w14:paraId="046DEDAF" w14:textId="77777777" w:rsidR="006A3C26" w:rsidRPr="0026634E" w:rsidRDefault="006A3C26" w:rsidP="0026634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3D0D0" w14:textId="7AAFEB3D" w:rsidR="00047FBC" w:rsidRDefault="00047FBC" w:rsidP="0026634E">
    <w:pPr>
      <w:pStyle w:val="Header"/>
      <w:jc w:val="center"/>
      <w:rPr>
        <w:rStyle w:val="CLASSIFICATIONChar"/>
      </w:rPr>
    </w:pPr>
    <w:r>
      <w:rPr>
        <w:rStyle w:val="CLASSIFICATIONChar"/>
        <w:noProof/>
        <w:lang w:eastAsia="en-AU"/>
      </w:rPr>
      <w:drawing>
        <wp:anchor distT="0" distB="0" distL="114300" distR="114300" simplePos="0" relativeHeight="251658253" behindDoc="1" locked="0" layoutInCell="1" allowOverlap="1" wp14:anchorId="45E1B21E" wp14:editId="49E07F3E">
          <wp:simplePos x="0" y="0"/>
          <wp:positionH relativeFrom="column">
            <wp:posOffset>-46990</wp:posOffset>
          </wp:positionH>
          <wp:positionV relativeFrom="paragraph">
            <wp:posOffset>-217805</wp:posOffset>
          </wp:positionV>
          <wp:extent cx="2322830" cy="621665"/>
          <wp:effectExtent l="0" t="0" r="1270" b="6985"/>
          <wp:wrapNone/>
          <wp:docPr id="737883806" name="Picture 737883806"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ustralian Govern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2830" cy="621665"/>
                  </a:xfrm>
                  <a:prstGeom prst="rect">
                    <a:avLst/>
                  </a:prstGeom>
                  <a:noFill/>
                </pic:spPr>
              </pic:pic>
            </a:graphicData>
          </a:graphic>
        </wp:anchor>
      </w:drawing>
    </w:r>
  </w:p>
  <w:p w14:paraId="516EAFDA" w14:textId="77777777" w:rsidR="00047FBC" w:rsidRDefault="00047FBC" w:rsidP="00B31478">
    <w:pPr>
      <w:pStyle w:val="Header"/>
    </w:pPr>
  </w:p>
  <w:p w14:paraId="1E5D1471" w14:textId="77777777" w:rsidR="003039B4" w:rsidRDefault="0030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F70"/>
    <w:multiLevelType w:val="multilevel"/>
    <w:tmpl w:val="4E1613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7002E45"/>
    <w:multiLevelType w:val="hybridMultilevel"/>
    <w:tmpl w:val="8D7A16A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AB75033"/>
    <w:multiLevelType w:val="hybridMultilevel"/>
    <w:tmpl w:val="C6DC8A2C"/>
    <w:lvl w:ilvl="0" w:tplc="458A1C2C">
      <w:start w:val="1"/>
      <w:numFmt w:val="bullet"/>
      <w:pStyle w:val="TBLBulletedLis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AC8270E"/>
    <w:multiLevelType w:val="hybridMultilevel"/>
    <w:tmpl w:val="FF9A5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08420CB"/>
    <w:multiLevelType w:val="hybridMultilevel"/>
    <w:tmpl w:val="952646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7854A54"/>
    <w:multiLevelType w:val="hybridMultilevel"/>
    <w:tmpl w:val="253E2E62"/>
    <w:lvl w:ilvl="0" w:tplc="B2AA9F56">
      <w:start w:val="1"/>
      <w:numFmt w:val="bullet"/>
      <w:pStyle w:val="BulletedList-Level1"/>
      <w:lvlText w:val=""/>
      <w:lvlJc w:val="left"/>
      <w:pPr>
        <w:ind w:left="425" w:hanging="283"/>
      </w:pPr>
      <w:rPr>
        <w:rFonts w:ascii="Symbol" w:hAnsi="Symbol" w:hint="default"/>
      </w:rPr>
    </w:lvl>
    <w:lvl w:ilvl="1" w:tplc="4BB4D094">
      <w:start w:val="1"/>
      <w:numFmt w:val="bullet"/>
      <w:lvlText w:val="o"/>
      <w:lvlJc w:val="left"/>
      <w:pPr>
        <w:ind w:left="709" w:hanging="28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tplc="1EFC13BC">
      <w:start w:val="1"/>
      <w:numFmt w:val="bullet"/>
      <w:lvlText w:val=""/>
      <w:lvlJc w:val="left"/>
      <w:pPr>
        <w:ind w:left="992" w:hanging="283"/>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6" w15:restartNumberingAfterBreak="0">
    <w:nsid w:val="39617AFF"/>
    <w:multiLevelType w:val="hybridMultilevel"/>
    <w:tmpl w:val="A6F242B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D7E2AC1"/>
    <w:multiLevelType w:val="hybridMultilevel"/>
    <w:tmpl w:val="F4A28D7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8" w15:restartNumberingAfterBreak="0">
    <w:nsid w:val="7D002EA5"/>
    <w:multiLevelType w:val="hybridMultilevel"/>
    <w:tmpl w:val="F13290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502471270">
    <w:abstractNumId w:val="3"/>
  </w:num>
  <w:num w:numId="2" w16cid:durableId="1011640896">
    <w:abstractNumId w:val="7"/>
  </w:num>
  <w:num w:numId="3" w16cid:durableId="1815296940">
    <w:abstractNumId w:val="2"/>
  </w:num>
  <w:num w:numId="4" w16cid:durableId="145633783">
    <w:abstractNumId w:val="0"/>
  </w:num>
  <w:num w:numId="5" w16cid:durableId="719062773">
    <w:abstractNumId w:val="1"/>
  </w:num>
  <w:num w:numId="6" w16cid:durableId="1039008628">
    <w:abstractNumId w:val="6"/>
  </w:num>
  <w:num w:numId="7" w16cid:durableId="1679963856">
    <w:abstractNumId w:val="8"/>
  </w:num>
  <w:num w:numId="8" w16cid:durableId="43146393">
    <w:abstractNumId w:val="4"/>
  </w:num>
  <w:num w:numId="9" w16cid:durableId="2196335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7BD"/>
    <w:rsid w:val="00025C5F"/>
    <w:rsid w:val="000267C3"/>
    <w:rsid w:val="00026E0B"/>
    <w:rsid w:val="000375D2"/>
    <w:rsid w:val="00047FBC"/>
    <w:rsid w:val="0005528F"/>
    <w:rsid w:val="0005646F"/>
    <w:rsid w:val="000B7D3D"/>
    <w:rsid w:val="000C0082"/>
    <w:rsid w:val="000D0E22"/>
    <w:rsid w:val="000F6F51"/>
    <w:rsid w:val="00102B7F"/>
    <w:rsid w:val="00105F01"/>
    <w:rsid w:val="00107D8F"/>
    <w:rsid w:val="001352AA"/>
    <w:rsid w:val="0013767C"/>
    <w:rsid w:val="001578F1"/>
    <w:rsid w:val="00163ABF"/>
    <w:rsid w:val="001735AD"/>
    <w:rsid w:val="00176597"/>
    <w:rsid w:val="001B67BD"/>
    <w:rsid w:val="001B6CC3"/>
    <w:rsid w:val="001C1CF5"/>
    <w:rsid w:val="001D1E72"/>
    <w:rsid w:val="001E6167"/>
    <w:rsid w:val="0020022A"/>
    <w:rsid w:val="002019FE"/>
    <w:rsid w:val="002105F8"/>
    <w:rsid w:val="00235AA0"/>
    <w:rsid w:val="0024495F"/>
    <w:rsid w:val="00247891"/>
    <w:rsid w:val="00252BBB"/>
    <w:rsid w:val="00274430"/>
    <w:rsid w:val="00275191"/>
    <w:rsid w:val="00280C54"/>
    <w:rsid w:val="00285BE8"/>
    <w:rsid w:val="0028774D"/>
    <w:rsid w:val="0029322E"/>
    <w:rsid w:val="002C45DC"/>
    <w:rsid w:val="002E194F"/>
    <w:rsid w:val="002E1A9B"/>
    <w:rsid w:val="002E3895"/>
    <w:rsid w:val="002F0C31"/>
    <w:rsid w:val="003039B4"/>
    <w:rsid w:val="0033600F"/>
    <w:rsid w:val="00342FEC"/>
    <w:rsid w:val="00350076"/>
    <w:rsid w:val="00350C21"/>
    <w:rsid w:val="003664A9"/>
    <w:rsid w:val="00366EF0"/>
    <w:rsid w:val="00375E5D"/>
    <w:rsid w:val="00383C7E"/>
    <w:rsid w:val="00390909"/>
    <w:rsid w:val="00392542"/>
    <w:rsid w:val="00392BB5"/>
    <w:rsid w:val="003A540C"/>
    <w:rsid w:val="003A757F"/>
    <w:rsid w:val="003B094A"/>
    <w:rsid w:val="003C4EBA"/>
    <w:rsid w:val="003D18CF"/>
    <w:rsid w:val="003D3ADD"/>
    <w:rsid w:val="003E0696"/>
    <w:rsid w:val="003F5A2C"/>
    <w:rsid w:val="00407F1E"/>
    <w:rsid w:val="00421B08"/>
    <w:rsid w:val="004348F4"/>
    <w:rsid w:val="0044068B"/>
    <w:rsid w:val="00460C5E"/>
    <w:rsid w:val="00483E3E"/>
    <w:rsid w:val="004B21E3"/>
    <w:rsid w:val="004C0F8D"/>
    <w:rsid w:val="004D084A"/>
    <w:rsid w:val="004D5504"/>
    <w:rsid w:val="004F1F0C"/>
    <w:rsid w:val="005058FA"/>
    <w:rsid w:val="00512A26"/>
    <w:rsid w:val="00520A68"/>
    <w:rsid w:val="00527A8D"/>
    <w:rsid w:val="00547F8D"/>
    <w:rsid w:val="00550F9E"/>
    <w:rsid w:val="00551051"/>
    <w:rsid w:val="00573D26"/>
    <w:rsid w:val="005964F7"/>
    <w:rsid w:val="005A24B0"/>
    <w:rsid w:val="005B4F5E"/>
    <w:rsid w:val="005B6BF4"/>
    <w:rsid w:val="005E230F"/>
    <w:rsid w:val="00602FE1"/>
    <w:rsid w:val="00603BEF"/>
    <w:rsid w:val="00617E29"/>
    <w:rsid w:val="006472E0"/>
    <w:rsid w:val="00666FF7"/>
    <w:rsid w:val="006745C3"/>
    <w:rsid w:val="00675F32"/>
    <w:rsid w:val="006763F8"/>
    <w:rsid w:val="006776B3"/>
    <w:rsid w:val="00686659"/>
    <w:rsid w:val="00692B1C"/>
    <w:rsid w:val="00696CF6"/>
    <w:rsid w:val="006A3C26"/>
    <w:rsid w:val="006B3A5A"/>
    <w:rsid w:val="006B5C21"/>
    <w:rsid w:val="006D2280"/>
    <w:rsid w:val="0071040E"/>
    <w:rsid w:val="00713599"/>
    <w:rsid w:val="0072231E"/>
    <w:rsid w:val="0072540E"/>
    <w:rsid w:val="00752058"/>
    <w:rsid w:val="00772484"/>
    <w:rsid w:val="007A156D"/>
    <w:rsid w:val="007A7224"/>
    <w:rsid w:val="007B11CF"/>
    <w:rsid w:val="007B2B63"/>
    <w:rsid w:val="007C1588"/>
    <w:rsid w:val="007C79B1"/>
    <w:rsid w:val="007D2EF1"/>
    <w:rsid w:val="007E4790"/>
    <w:rsid w:val="008018EF"/>
    <w:rsid w:val="0080326B"/>
    <w:rsid w:val="0080470C"/>
    <w:rsid w:val="008169FA"/>
    <w:rsid w:val="0082502E"/>
    <w:rsid w:val="00826335"/>
    <w:rsid w:val="008570BC"/>
    <w:rsid w:val="00882263"/>
    <w:rsid w:val="008A05E1"/>
    <w:rsid w:val="008B17E9"/>
    <w:rsid w:val="008C09B4"/>
    <w:rsid w:val="008C1985"/>
    <w:rsid w:val="008D502E"/>
    <w:rsid w:val="008E5FA5"/>
    <w:rsid w:val="009128C0"/>
    <w:rsid w:val="0091658B"/>
    <w:rsid w:val="00933484"/>
    <w:rsid w:val="00936DAD"/>
    <w:rsid w:val="009544A0"/>
    <w:rsid w:val="00990BB4"/>
    <w:rsid w:val="0099172B"/>
    <w:rsid w:val="009A0CA2"/>
    <w:rsid w:val="009B03EA"/>
    <w:rsid w:val="009B788E"/>
    <w:rsid w:val="009C2884"/>
    <w:rsid w:val="009C2AD9"/>
    <w:rsid w:val="009C78A1"/>
    <w:rsid w:val="009F3122"/>
    <w:rsid w:val="00A05987"/>
    <w:rsid w:val="00A52C06"/>
    <w:rsid w:val="00AB7DF3"/>
    <w:rsid w:val="00AE563E"/>
    <w:rsid w:val="00AF6621"/>
    <w:rsid w:val="00B0096C"/>
    <w:rsid w:val="00B04C25"/>
    <w:rsid w:val="00B277A6"/>
    <w:rsid w:val="00B3472F"/>
    <w:rsid w:val="00B42582"/>
    <w:rsid w:val="00B51C70"/>
    <w:rsid w:val="00B94290"/>
    <w:rsid w:val="00BC642D"/>
    <w:rsid w:val="00BF41A0"/>
    <w:rsid w:val="00C20F73"/>
    <w:rsid w:val="00C254D0"/>
    <w:rsid w:val="00C43AF3"/>
    <w:rsid w:val="00CA0803"/>
    <w:rsid w:val="00CD041B"/>
    <w:rsid w:val="00CD2C0B"/>
    <w:rsid w:val="00D02863"/>
    <w:rsid w:val="00D06F13"/>
    <w:rsid w:val="00D130B7"/>
    <w:rsid w:val="00D201FB"/>
    <w:rsid w:val="00D21A71"/>
    <w:rsid w:val="00D30DCC"/>
    <w:rsid w:val="00D342CE"/>
    <w:rsid w:val="00D45DFF"/>
    <w:rsid w:val="00D96F7E"/>
    <w:rsid w:val="00DA1EED"/>
    <w:rsid w:val="00DE0BB7"/>
    <w:rsid w:val="00DE56A8"/>
    <w:rsid w:val="00DF78AE"/>
    <w:rsid w:val="00E03765"/>
    <w:rsid w:val="00E34A1B"/>
    <w:rsid w:val="00E35D30"/>
    <w:rsid w:val="00E36B25"/>
    <w:rsid w:val="00E536FB"/>
    <w:rsid w:val="00E72FA1"/>
    <w:rsid w:val="00E75684"/>
    <w:rsid w:val="00E9781F"/>
    <w:rsid w:val="00EB7D0D"/>
    <w:rsid w:val="00EC58E8"/>
    <w:rsid w:val="00ED3911"/>
    <w:rsid w:val="00F05F4B"/>
    <w:rsid w:val="00F14CC6"/>
    <w:rsid w:val="00F77405"/>
    <w:rsid w:val="00F77A3A"/>
    <w:rsid w:val="00FC4F16"/>
    <w:rsid w:val="00FE2C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14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2"/>
    <w:qFormat/>
    <w:rsid w:val="006A3C26"/>
    <w:pPr>
      <w:keepNext/>
      <w:keepLines/>
      <w:spacing w:before="360" w:after="160" w:line="240" w:lineRule="auto"/>
      <w:outlineLvl w:val="0"/>
    </w:pPr>
    <w:rPr>
      <w:rFonts w:eastAsiaTheme="majorEastAsia" w:cstheme="minorHAnsi"/>
      <w:b/>
      <w:bCs/>
      <w:noProof/>
      <w:color w:val="4F81BD" w:themeColor="accent1"/>
      <w:sz w:val="32"/>
      <w:szCs w:val="24"/>
    </w:rPr>
  </w:style>
  <w:style w:type="paragraph" w:styleId="Heading2">
    <w:name w:val="heading 2"/>
    <w:basedOn w:val="Normal"/>
    <w:next w:val="Normal"/>
    <w:link w:val="Heading2Char"/>
    <w:uiPriority w:val="2"/>
    <w:qFormat/>
    <w:rsid w:val="006A3C26"/>
    <w:pPr>
      <w:keepNext/>
      <w:keepLines/>
      <w:spacing w:before="240" w:after="160" w:line="240" w:lineRule="auto"/>
      <w:outlineLvl w:val="1"/>
    </w:pPr>
    <w:rPr>
      <w:rFonts w:eastAsiaTheme="majorEastAsia" w:cstheme="minorHAnsi"/>
      <w:color w:val="4F81BD" w:themeColor="accent1"/>
      <w:sz w:val="28"/>
    </w:rPr>
  </w:style>
  <w:style w:type="paragraph" w:styleId="Heading3">
    <w:name w:val="heading 3"/>
    <w:basedOn w:val="Heading4"/>
    <w:next w:val="Normal"/>
    <w:link w:val="Heading3Char"/>
    <w:uiPriority w:val="2"/>
    <w:qFormat/>
    <w:rsid w:val="006A3C26"/>
    <w:pPr>
      <w:spacing w:before="240" w:after="160" w:line="264" w:lineRule="auto"/>
      <w:outlineLvl w:val="2"/>
    </w:pPr>
    <w:rPr>
      <w:rFonts w:asciiTheme="minorHAnsi" w:hAnsiTheme="minorHAnsi" w:cstheme="minorHAnsi"/>
      <w:b/>
      <w:i w:val="0"/>
      <w:iCs w:val="0"/>
      <w:color w:val="262626" w:themeColor="text1" w:themeTint="D9"/>
      <w:sz w:val="24"/>
      <w:szCs w:val="24"/>
    </w:rPr>
  </w:style>
  <w:style w:type="paragraph" w:styleId="Heading4">
    <w:name w:val="heading 4"/>
    <w:basedOn w:val="Normal"/>
    <w:next w:val="Normal"/>
    <w:link w:val="Heading4Char"/>
    <w:uiPriority w:val="9"/>
    <w:semiHidden/>
    <w:unhideWhenUsed/>
    <w:qFormat/>
    <w:rsid w:val="006A3C2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C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C7E"/>
  </w:style>
  <w:style w:type="paragraph" w:styleId="Footer">
    <w:name w:val="footer"/>
    <w:basedOn w:val="Normal"/>
    <w:link w:val="FooterChar"/>
    <w:uiPriority w:val="99"/>
    <w:unhideWhenUsed/>
    <w:rsid w:val="00383C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C7E"/>
  </w:style>
  <w:style w:type="paragraph" w:styleId="ListParagraph">
    <w:name w:val="List Paragraph"/>
    <w:basedOn w:val="Normal"/>
    <w:uiPriority w:val="34"/>
    <w:qFormat/>
    <w:rsid w:val="00617E29"/>
    <w:pPr>
      <w:ind w:left="720"/>
      <w:contextualSpacing/>
    </w:pPr>
  </w:style>
  <w:style w:type="table" w:styleId="TableGrid">
    <w:name w:val="Table Grid"/>
    <w:basedOn w:val="TableNormal"/>
    <w:uiPriority w:val="39"/>
    <w:rsid w:val="00EB7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EB7D0D"/>
  </w:style>
  <w:style w:type="character" w:styleId="CommentReference">
    <w:name w:val="annotation reference"/>
    <w:basedOn w:val="DefaultParagraphFont"/>
    <w:uiPriority w:val="99"/>
    <w:semiHidden/>
    <w:unhideWhenUsed/>
    <w:rsid w:val="00713599"/>
    <w:rPr>
      <w:sz w:val="16"/>
      <w:szCs w:val="16"/>
    </w:rPr>
  </w:style>
  <w:style w:type="paragraph" w:styleId="CommentText">
    <w:name w:val="annotation text"/>
    <w:basedOn w:val="Normal"/>
    <w:link w:val="CommentTextChar"/>
    <w:uiPriority w:val="99"/>
    <w:unhideWhenUsed/>
    <w:rsid w:val="00713599"/>
    <w:pPr>
      <w:spacing w:line="240" w:lineRule="auto"/>
    </w:pPr>
    <w:rPr>
      <w:sz w:val="20"/>
      <w:szCs w:val="20"/>
    </w:rPr>
  </w:style>
  <w:style w:type="character" w:customStyle="1" w:styleId="CommentTextChar">
    <w:name w:val="Comment Text Char"/>
    <w:basedOn w:val="DefaultParagraphFont"/>
    <w:link w:val="CommentText"/>
    <w:uiPriority w:val="99"/>
    <w:rsid w:val="00713599"/>
    <w:rPr>
      <w:sz w:val="20"/>
      <w:szCs w:val="20"/>
    </w:rPr>
  </w:style>
  <w:style w:type="paragraph" w:styleId="CommentSubject">
    <w:name w:val="annotation subject"/>
    <w:basedOn w:val="CommentText"/>
    <w:next w:val="CommentText"/>
    <w:link w:val="CommentSubjectChar"/>
    <w:uiPriority w:val="99"/>
    <w:semiHidden/>
    <w:unhideWhenUsed/>
    <w:rsid w:val="00713599"/>
    <w:rPr>
      <w:b/>
      <w:bCs/>
    </w:rPr>
  </w:style>
  <w:style w:type="character" w:customStyle="1" w:styleId="CommentSubjectChar">
    <w:name w:val="Comment Subject Char"/>
    <w:basedOn w:val="CommentTextChar"/>
    <w:link w:val="CommentSubject"/>
    <w:uiPriority w:val="99"/>
    <w:semiHidden/>
    <w:rsid w:val="00713599"/>
    <w:rPr>
      <w:b/>
      <w:bCs/>
      <w:sz w:val="20"/>
      <w:szCs w:val="20"/>
    </w:rPr>
  </w:style>
  <w:style w:type="paragraph" w:styleId="Revision">
    <w:name w:val="Revision"/>
    <w:hidden/>
    <w:uiPriority w:val="99"/>
    <w:semiHidden/>
    <w:rsid w:val="00AB7DF3"/>
    <w:pPr>
      <w:spacing w:after="0" w:line="240" w:lineRule="auto"/>
    </w:pPr>
  </w:style>
  <w:style w:type="character" w:styleId="Hyperlink">
    <w:name w:val="Hyperlink"/>
    <w:basedOn w:val="DefaultParagraphFont"/>
    <w:uiPriority w:val="99"/>
    <w:unhideWhenUsed/>
    <w:rsid w:val="00602FE1"/>
    <w:rPr>
      <w:color w:val="0000FF" w:themeColor="hyperlink"/>
      <w:u w:val="single"/>
    </w:rPr>
  </w:style>
  <w:style w:type="character" w:styleId="UnresolvedMention">
    <w:name w:val="Unresolved Mention"/>
    <w:basedOn w:val="DefaultParagraphFont"/>
    <w:uiPriority w:val="99"/>
    <w:semiHidden/>
    <w:unhideWhenUsed/>
    <w:rsid w:val="00602FE1"/>
    <w:rPr>
      <w:color w:val="605E5C"/>
      <w:shd w:val="clear" w:color="auto" w:fill="E1DFDD"/>
    </w:rPr>
  </w:style>
  <w:style w:type="character" w:customStyle="1" w:styleId="Heading1Char">
    <w:name w:val="Heading 1 Char"/>
    <w:basedOn w:val="DefaultParagraphFont"/>
    <w:link w:val="Heading1"/>
    <w:uiPriority w:val="2"/>
    <w:rsid w:val="006A3C26"/>
    <w:rPr>
      <w:rFonts w:eastAsiaTheme="majorEastAsia" w:cstheme="minorHAnsi"/>
      <w:b/>
      <w:bCs/>
      <w:noProof/>
      <w:color w:val="4F81BD" w:themeColor="accent1"/>
      <w:sz w:val="32"/>
      <w:szCs w:val="24"/>
    </w:rPr>
  </w:style>
  <w:style w:type="character" w:customStyle="1" w:styleId="Heading2Char">
    <w:name w:val="Heading 2 Char"/>
    <w:basedOn w:val="DefaultParagraphFont"/>
    <w:link w:val="Heading2"/>
    <w:uiPriority w:val="2"/>
    <w:rsid w:val="006A3C26"/>
    <w:rPr>
      <w:rFonts w:eastAsiaTheme="majorEastAsia" w:cstheme="minorHAnsi"/>
      <w:color w:val="4F81BD" w:themeColor="accent1"/>
      <w:sz w:val="28"/>
    </w:rPr>
  </w:style>
  <w:style w:type="character" w:customStyle="1" w:styleId="Heading3Char">
    <w:name w:val="Heading 3 Char"/>
    <w:basedOn w:val="DefaultParagraphFont"/>
    <w:link w:val="Heading3"/>
    <w:uiPriority w:val="2"/>
    <w:rsid w:val="006A3C26"/>
    <w:rPr>
      <w:rFonts w:eastAsiaTheme="majorEastAsia" w:cstheme="minorHAnsi"/>
      <w:b/>
      <w:color w:val="262626" w:themeColor="text1" w:themeTint="D9"/>
      <w:sz w:val="24"/>
      <w:szCs w:val="24"/>
    </w:rPr>
  </w:style>
  <w:style w:type="paragraph" w:styleId="Title">
    <w:name w:val="Title"/>
    <w:basedOn w:val="Normal"/>
    <w:next w:val="Normal"/>
    <w:link w:val="TitleChar"/>
    <w:uiPriority w:val="18"/>
    <w:rsid w:val="006A3C26"/>
    <w:pPr>
      <w:spacing w:after="240" w:line="240" w:lineRule="auto"/>
      <w:contextualSpacing/>
    </w:pPr>
    <w:rPr>
      <w:rFonts w:asciiTheme="majorHAnsi" w:eastAsiaTheme="majorEastAsia" w:hAnsiTheme="majorHAnsi" w:cstheme="majorBidi"/>
      <w:noProof/>
      <w:color w:val="262626" w:themeColor="text1" w:themeTint="D9"/>
      <w:spacing w:val="-15"/>
      <w:sz w:val="48"/>
      <w:szCs w:val="56"/>
    </w:rPr>
  </w:style>
  <w:style w:type="character" w:customStyle="1" w:styleId="TitleChar">
    <w:name w:val="Title Char"/>
    <w:basedOn w:val="DefaultParagraphFont"/>
    <w:link w:val="Title"/>
    <w:uiPriority w:val="18"/>
    <w:rsid w:val="006A3C26"/>
    <w:rPr>
      <w:rFonts w:asciiTheme="majorHAnsi" w:eastAsiaTheme="majorEastAsia" w:hAnsiTheme="majorHAnsi" w:cstheme="majorBidi"/>
      <w:noProof/>
      <w:color w:val="262626" w:themeColor="text1" w:themeTint="D9"/>
      <w:spacing w:val="-15"/>
      <w:sz w:val="48"/>
      <w:szCs w:val="56"/>
    </w:rPr>
  </w:style>
  <w:style w:type="paragraph" w:styleId="Subtitle">
    <w:name w:val="Subtitle"/>
    <w:basedOn w:val="Normal"/>
    <w:next w:val="Normal"/>
    <w:link w:val="SubtitleChar"/>
    <w:uiPriority w:val="19"/>
    <w:rsid w:val="006A3C26"/>
    <w:pPr>
      <w:numPr>
        <w:ilvl w:val="1"/>
      </w:numPr>
      <w:spacing w:after="160" w:line="240" w:lineRule="auto"/>
    </w:pPr>
    <w:rPr>
      <w:rFonts w:eastAsiaTheme="majorEastAsia" w:cstheme="minorHAnsi"/>
      <w:noProof/>
      <w:color w:val="948A54" w:themeColor="background2" w:themeShade="80"/>
      <w:sz w:val="28"/>
      <w:szCs w:val="30"/>
    </w:rPr>
  </w:style>
  <w:style w:type="character" w:customStyle="1" w:styleId="SubtitleChar">
    <w:name w:val="Subtitle Char"/>
    <w:basedOn w:val="DefaultParagraphFont"/>
    <w:link w:val="Subtitle"/>
    <w:uiPriority w:val="19"/>
    <w:rsid w:val="006A3C26"/>
    <w:rPr>
      <w:rFonts w:eastAsiaTheme="majorEastAsia" w:cstheme="minorHAnsi"/>
      <w:noProof/>
      <w:color w:val="948A54" w:themeColor="background2" w:themeShade="80"/>
      <w:sz w:val="28"/>
      <w:szCs w:val="30"/>
    </w:rPr>
  </w:style>
  <w:style w:type="paragraph" w:customStyle="1" w:styleId="CLASSIFICATION">
    <w:name w:val="CLASSIFICATION"/>
    <w:basedOn w:val="Normal"/>
    <w:link w:val="CLASSIFICATIONChar"/>
    <w:autoRedefine/>
    <w:uiPriority w:val="99"/>
    <w:unhideWhenUsed/>
    <w:rsid w:val="006A3C26"/>
    <w:pPr>
      <w:spacing w:after="160" w:line="264" w:lineRule="auto"/>
      <w:jc w:val="center"/>
    </w:pPr>
    <w:rPr>
      <w:rFonts w:ascii="Segoe UI" w:eastAsiaTheme="minorEastAsia" w:hAnsi="Segoe UI"/>
      <w:caps/>
      <w:color w:val="C00000"/>
      <w:sz w:val="18"/>
      <w:szCs w:val="21"/>
    </w:rPr>
  </w:style>
  <w:style w:type="character" w:customStyle="1" w:styleId="CLASSIFICATIONChar">
    <w:name w:val="CLASSIFICATION Char"/>
    <w:basedOn w:val="DefaultParagraphFont"/>
    <w:link w:val="CLASSIFICATION"/>
    <w:uiPriority w:val="99"/>
    <w:rsid w:val="006A3C26"/>
    <w:rPr>
      <w:rFonts w:ascii="Segoe UI" w:eastAsiaTheme="minorEastAsia" w:hAnsi="Segoe UI"/>
      <w:caps/>
      <w:color w:val="C00000"/>
      <w:sz w:val="18"/>
      <w:szCs w:val="21"/>
    </w:rPr>
  </w:style>
  <w:style w:type="paragraph" w:customStyle="1" w:styleId="TBLText">
    <w:name w:val="TBL Text"/>
    <w:basedOn w:val="Normal"/>
    <w:uiPriority w:val="9"/>
    <w:qFormat/>
    <w:rsid w:val="006A3C26"/>
    <w:pPr>
      <w:spacing w:after="120" w:line="240" w:lineRule="auto"/>
    </w:pPr>
    <w:rPr>
      <w:rFonts w:eastAsiaTheme="minorEastAsia"/>
      <w:color w:val="262626" w:themeColor="text1" w:themeTint="D9"/>
      <w:sz w:val="18"/>
      <w:szCs w:val="18"/>
    </w:rPr>
  </w:style>
  <w:style w:type="paragraph" w:customStyle="1" w:styleId="TBLBulletedList">
    <w:name w:val="TBL Bulleted List"/>
    <w:basedOn w:val="TBLText"/>
    <w:uiPriority w:val="10"/>
    <w:qFormat/>
    <w:rsid w:val="006A3C26"/>
    <w:pPr>
      <w:numPr>
        <w:numId w:val="3"/>
      </w:numPr>
      <w:ind w:left="204" w:hanging="204"/>
    </w:pPr>
  </w:style>
  <w:style w:type="table" w:customStyle="1" w:styleId="Custom1">
    <w:name w:val="Custom 1"/>
    <w:basedOn w:val="TableNormal"/>
    <w:uiPriority w:val="99"/>
    <w:rsid w:val="006A3C26"/>
    <w:pPr>
      <w:spacing w:after="0" w:line="240" w:lineRule="auto"/>
    </w:pPr>
    <w:rPr>
      <w:rFonts w:eastAsiaTheme="minorEastAsia"/>
      <w:sz w:val="18"/>
      <w:szCs w:val="21"/>
    </w:rPr>
    <w:tblPr>
      <w:tblStyleRowBandSize w:val="1"/>
      <w:tblBorders>
        <w:top w:val="single" w:sz="4" w:space="0" w:color="4F81BD" w:themeColor="accent1"/>
        <w:bottom w:val="single" w:sz="12" w:space="0" w:color="4F81BD" w:themeColor="accent1"/>
        <w:insideH w:val="single" w:sz="4" w:space="0" w:color="4F81BD" w:themeColor="accent1"/>
      </w:tblBorders>
      <w:tblCellMar>
        <w:top w:w="57" w:type="dxa"/>
        <w:bottom w:w="57" w:type="dxa"/>
      </w:tblCellMar>
    </w:tblPr>
    <w:tblStylePr w:type="firstRow">
      <w:rPr>
        <w:rFonts w:asciiTheme="minorHAnsi" w:hAnsiTheme="minorHAnsi"/>
        <w:b/>
        <w:sz w:val="18"/>
      </w:rPr>
      <w:tblPr/>
      <w:tcPr>
        <w:shd w:val="clear" w:color="auto" w:fill="4F81BD" w:themeFill="accent1"/>
      </w:tcPr>
    </w:tblStylePr>
    <w:tblStylePr w:type="band1Horz">
      <w:tblPr/>
      <w:tcPr>
        <w:shd w:val="clear" w:color="auto" w:fill="EEECE1" w:themeFill="background2"/>
      </w:tcPr>
    </w:tblStylePr>
  </w:style>
  <w:style w:type="table" w:customStyle="1" w:styleId="Style1">
    <w:name w:val="Style1"/>
    <w:basedOn w:val="Custom1"/>
    <w:uiPriority w:val="99"/>
    <w:rsid w:val="006A3C26"/>
    <w:tblPr>
      <w:tblBorders>
        <w:top w:val="none" w:sz="0" w:space="0" w:color="auto"/>
        <w:left w:val="single" w:sz="4" w:space="0" w:color="4F81BD" w:themeColor="accent1"/>
        <w:bottom w:val="single" w:sz="4" w:space="0" w:color="4F81BD" w:themeColor="accent1"/>
        <w:right w:val="single" w:sz="4" w:space="0" w:color="4F81BD" w:themeColor="accent1"/>
        <w:insideH w:val="none" w:sz="0" w:space="0" w:color="auto"/>
        <w:insideV w:val="single" w:sz="4" w:space="0" w:color="4F81BD" w:themeColor="accent1"/>
      </w:tblBorders>
    </w:tblPr>
    <w:tblStylePr w:type="firstRow">
      <w:rPr>
        <w:rFonts w:asciiTheme="minorHAnsi" w:hAnsiTheme="minorHAnsi"/>
        <w:b/>
        <w:sz w:val="18"/>
      </w:rPr>
      <w:tblPr/>
      <w:tcPr>
        <w:shd w:val="clear" w:color="auto" w:fill="4F81BD" w:themeFill="accent1"/>
      </w:tcPr>
    </w:tblStylePr>
    <w:tblStylePr w:type="firstCol">
      <w:rPr>
        <w:b/>
      </w:rPr>
      <w:tblPr/>
      <w:tcPr>
        <w:shd w:val="clear" w:color="auto" w:fill="4F81BD" w:themeFill="accent1"/>
      </w:tcPr>
    </w:tblStylePr>
    <w:tblStylePr w:type="band1Horz">
      <w:tblPr/>
      <w:tcPr>
        <w:shd w:val="clear" w:color="auto" w:fill="EEECE1" w:themeFill="background2"/>
      </w:tcPr>
    </w:tblStylePr>
  </w:style>
  <w:style w:type="character" w:customStyle="1" w:styleId="Heading4Char">
    <w:name w:val="Heading 4 Char"/>
    <w:basedOn w:val="DefaultParagraphFont"/>
    <w:link w:val="Heading4"/>
    <w:uiPriority w:val="9"/>
    <w:semiHidden/>
    <w:rsid w:val="006A3C26"/>
    <w:rPr>
      <w:rFonts w:asciiTheme="majorHAnsi" w:eastAsiaTheme="majorEastAsia" w:hAnsiTheme="majorHAnsi" w:cstheme="majorBidi"/>
      <w:i/>
      <w:iCs/>
      <w:color w:val="365F91" w:themeColor="accent1" w:themeShade="BF"/>
    </w:rPr>
  </w:style>
  <w:style w:type="paragraph" w:customStyle="1" w:styleId="BulletedList-Level1">
    <w:name w:val="Bulleted List - Level 1"/>
    <w:basedOn w:val="ListParagraph"/>
    <w:uiPriority w:val="1"/>
    <w:qFormat/>
    <w:rsid w:val="00421B08"/>
    <w:pPr>
      <w:numPr>
        <w:numId w:val="9"/>
      </w:numPr>
      <w:spacing w:after="160" w:line="264" w:lineRule="auto"/>
      <w:ind w:left="568" w:hanging="284"/>
    </w:pPr>
    <w:rPr>
      <w:rFonts w:eastAsiaTheme="minorEastAsia"/>
      <w:color w:val="262626" w:themeColor="text1" w:themeTint="D9"/>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C7237D-24F7-4294-B2E7-E6D65DA7761C}">
  <ds:schemaRefs>
    <ds:schemaRef ds:uri="http://schemas.openxmlformats.org/officeDocument/2006/bibliography"/>
  </ds:schemaRefs>
</ds:datastoreItem>
</file>

<file path=docMetadata/LabelInfo.xml><?xml version="1.0" encoding="utf-8"?>
<clbl:labelList xmlns:clbl="http://schemas.microsoft.com/office/2020/mipLabelMetadata">
  <clbl:label id="{c5d841c0-d07a-4506-b2df-5c92512d008e}"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2026-09-16T06:39:00Z</dcterms:created>
  <dcterms:modified xsi:type="dcterms:W3CDTF">2026-09-16T06:39:00Z</dcterms:modified>
</cp:coreProperties>
</file>