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C1703" w14:textId="77777777" w:rsidR="00654747" w:rsidRDefault="00654747" w:rsidP="00654747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Author"/>
      <w:r>
        <w:rPr>
          <w:rFonts w:ascii="Times New Roman" w:hAnsi="Times New Roman" w:cs="Times New Roman"/>
          <w:sz w:val="24"/>
          <w:szCs w:val="24"/>
        </w:rPr>
        <w:t xml:space="preserve">Ms </w:t>
      </w:r>
      <w:r w:rsidRPr="00D475F5">
        <w:rPr>
          <w:rFonts w:ascii="Times New Roman" w:hAnsi="Times New Roman" w:cs="Times New Roman"/>
          <w:sz w:val="24"/>
          <w:szCs w:val="24"/>
        </w:rPr>
        <w:t>Joanna Abhayaratna</w:t>
      </w:r>
    </w:p>
    <w:p w14:paraId="0A3BC8FA" w14:textId="77777777" w:rsidR="00654747" w:rsidRPr="00C63E98" w:rsidRDefault="00654747" w:rsidP="0065474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475F5">
        <w:rPr>
          <w:rFonts w:ascii="Times New Roman" w:hAnsi="Times New Roman" w:cs="Times New Roman"/>
          <w:sz w:val="24"/>
          <w:szCs w:val="24"/>
        </w:rPr>
        <w:t>Executive Director</w:t>
      </w:r>
      <w:r w:rsidRPr="00C63E98" w:rsidDel="000211D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99CE1A" w14:textId="77777777" w:rsidR="00654747" w:rsidRPr="00C63E98" w:rsidRDefault="00654747" w:rsidP="0065474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63E98">
        <w:rPr>
          <w:rFonts w:ascii="Times New Roman" w:hAnsi="Times New Roman" w:cs="Times New Roman"/>
          <w:sz w:val="24"/>
          <w:szCs w:val="24"/>
        </w:rPr>
        <w:t>Office of Impact Analysis</w:t>
      </w:r>
    </w:p>
    <w:p w14:paraId="51848686" w14:textId="77777777" w:rsidR="00654747" w:rsidRPr="00C63E98" w:rsidRDefault="00654747" w:rsidP="0065474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63E98">
        <w:rPr>
          <w:rFonts w:ascii="Times New Roman" w:hAnsi="Times New Roman" w:cs="Times New Roman"/>
          <w:sz w:val="24"/>
          <w:szCs w:val="24"/>
        </w:rPr>
        <w:t>Department of the Prime Minister and Cabinet</w:t>
      </w:r>
    </w:p>
    <w:p w14:paraId="64299CAB" w14:textId="77777777" w:rsidR="00654747" w:rsidRPr="000E6D0B" w:rsidRDefault="00654747" w:rsidP="0065474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6D0B">
        <w:rPr>
          <w:rFonts w:ascii="Times New Roman" w:hAnsi="Times New Roman" w:cs="Times New Roman"/>
          <w:sz w:val="24"/>
          <w:szCs w:val="24"/>
        </w:rPr>
        <w:t>1 National Circuit</w:t>
      </w:r>
    </w:p>
    <w:p w14:paraId="2B6C2BBB" w14:textId="77777777" w:rsidR="00654747" w:rsidRPr="00C63E98" w:rsidRDefault="00654747" w:rsidP="006547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BARTON ACT </w:t>
      </w:r>
      <w:r w:rsidRPr="000E6D0B">
        <w:rPr>
          <w:rFonts w:ascii="Times New Roman" w:hAnsi="Times New Roman" w:cs="Times New Roman"/>
          <w:sz w:val="24"/>
          <w:szCs w:val="24"/>
        </w:rPr>
        <w:t>2600</w:t>
      </w:r>
    </w:p>
    <w:p w14:paraId="6FD67614" w14:textId="77777777" w:rsidR="00654747" w:rsidRPr="00732DC3" w:rsidRDefault="00654747" w:rsidP="00654747">
      <w:pPr>
        <w:spacing w:before="160"/>
        <w:rPr>
          <w:rFonts w:ascii="Times New Roman" w:hAnsi="Times New Roman"/>
          <w:sz w:val="24"/>
          <w:szCs w:val="24"/>
        </w:rPr>
      </w:pPr>
      <w:r w:rsidRPr="00732DC3">
        <w:rPr>
          <w:rFonts w:ascii="Times New Roman" w:hAnsi="Times New Roman"/>
          <w:sz w:val="24"/>
          <w:szCs w:val="24"/>
        </w:rPr>
        <w:t>Email: helpdesk-OIA@pmc.gov.au</w:t>
      </w:r>
    </w:p>
    <w:p w14:paraId="117CD29B" w14:textId="77777777" w:rsidR="00654747" w:rsidRPr="00732DC3" w:rsidRDefault="00654747" w:rsidP="00654747">
      <w:pPr>
        <w:spacing w:before="240"/>
        <w:rPr>
          <w:rFonts w:ascii="Times New Roman" w:hAnsi="Times New Roman"/>
          <w:sz w:val="24"/>
          <w:szCs w:val="24"/>
        </w:rPr>
      </w:pPr>
      <w:r w:rsidRPr="00732DC3">
        <w:rPr>
          <w:rFonts w:ascii="Times New Roman" w:hAnsi="Times New Roman"/>
          <w:sz w:val="24"/>
          <w:szCs w:val="24"/>
        </w:rPr>
        <w:t>Dear Ms Abhayaratna</w:t>
      </w:r>
      <w:r w:rsidRPr="00732DC3" w:rsidDel="000211D5">
        <w:rPr>
          <w:rFonts w:ascii="Times New Roman" w:hAnsi="Times New Roman"/>
          <w:sz w:val="24"/>
          <w:szCs w:val="24"/>
        </w:rPr>
        <w:t xml:space="preserve"> </w:t>
      </w:r>
    </w:p>
    <w:p w14:paraId="7CA8492A" w14:textId="56F1860B" w:rsidR="00654747" w:rsidRPr="004D6A26" w:rsidRDefault="00654747" w:rsidP="00654747">
      <w:pPr>
        <w:pStyle w:val="Heading1"/>
        <w:spacing w:before="120" w:after="120" w:line="300" w:lineRule="exact"/>
        <w:rPr>
          <w:sz w:val="24"/>
          <w:szCs w:val="24"/>
        </w:rPr>
      </w:pPr>
      <w:r>
        <w:rPr>
          <w:sz w:val="24"/>
          <w:szCs w:val="24"/>
        </w:rPr>
        <w:t xml:space="preserve">Impact Analysis – </w:t>
      </w:r>
      <w:r w:rsidR="00A17D78" w:rsidRPr="00A17D78">
        <w:rPr>
          <w:sz w:val="24"/>
          <w:szCs w:val="24"/>
        </w:rPr>
        <w:t xml:space="preserve">Reforms to non-competes and other worker restraints </w:t>
      </w:r>
      <w:r>
        <w:rPr>
          <w:sz w:val="24"/>
          <w:szCs w:val="24"/>
        </w:rPr>
        <w:t>– Second Pass Final Assessment</w:t>
      </w:r>
    </w:p>
    <w:p w14:paraId="5F0BCDB0" w14:textId="474B70D5" w:rsidR="00654747" w:rsidRDefault="00654747" w:rsidP="00654747">
      <w:pPr>
        <w:pStyle w:val="BodyText"/>
        <w:spacing w:before="120" w:after="120"/>
        <w:jc w:val="left"/>
        <w:rPr>
          <w:szCs w:val="24"/>
        </w:rPr>
      </w:pPr>
      <w:r>
        <w:t xml:space="preserve">I am writing in relation to the attached Impact Analysis (IA) prepared for </w:t>
      </w:r>
      <w:r w:rsidR="004C7322">
        <w:t xml:space="preserve">Reforms to Non-Competes and Other Worker Restraints. </w:t>
      </w:r>
    </w:p>
    <w:p w14:paraId="62DEB579" w14:textId="3999FE8C" w:rsidR="00654747" w:rsidRDefault="00654747" w:rsidP="00654747">
      <w:pPr>
        <w:pStyle w:val="BodyText"/>
        <w:spacing w:before="120" w:after="120"/>
        <w:jc w:val="left"/>
      </w:pPr>
      <w:r>
        <w:t xml:space="preserve">I am satisfied that the IA addresses the concerns raised in your letter of </w:t>
      </w:r>
      <w:r w:rsidR="004C7322">
        <w:t>29 September 2025.</w:t>
      </w:r>
      <w:r>
        <w:t xml:space="preserve"> Specifically, </w:t>
      </w:r>
      <w:r w:rsidR="006C6DD8">
        <w:t xml:space="preserve">the IA now </w:t>
      </w:r>
      <w:r w:rsidR="005F12F4">
        <w:t xml:space="preserve">has a more detailed </w:t>
      </w:r>
      <w:r w:rsidR="00887D38">
        <w:t>assessment of the qualified costs and benefits, an updated regulatory burden estimate</w:t>
      </w:r>
      <w:r w:rsidR="70FFEAC4">
        <w:t>,</w:t>
      </w:r>
      <w:r w:rsidR="00887D38">
        <w:t xml:space="preserve"> and a more detailed and clear evaluation plan</w:t>
      </w:r>
      <w:r w:rsidR="000710B6">
        <w:t xml:space="preserve">. </w:t>
      </w:r>
    </w:p>
    <w:p w14:paraId="1A1D088C" w14:textId="17976F87" w:rsidR="00635404" w:rsidRDefault="00CF2530" w:rsidP="00654747">
      <w:pPr>
        <w:pStyle w:val="BodyText"/>
        <w:spacing w:before="120" w:after="120"/>
        <w:jc w:val="left"/>
        <w:rPr>
          <w:szCs w:val="24"/>
        </w:rPr>
      </w:pPr>
      <w:r>
        <w:rPr>
          <w:szCs w:val="24"/>
          <w:u w:val="single"/>
        </w:rPr>
        <w:t>In relation to Question 4</w:t>
      </w:r>
      <w:r w:rsidR="00D407F4" w:rsidRPr="000A4E8D">
        <w:rPr>
          <w:szCs w:val="24"/>
        </w:rPr>
        <w:t xml:space="preserve"> </w:t>
      </w:r>
      <w:r w:rsidR="006A6617" w:rsidRPr="00732DC3">
        <w:rPr>
          <w:i/>
          <w:iCs/>
          <w:szCs w:val="24"/>
        </w:rPr>
        <w:t>(What is the likely net benefit of each option)</w:t>
      </w:r>
      <w:r w:rsidR="00B81CDD">
        <w:rPr>
          <w:szCs w:val="24"/>
        </w:rPr>
        <w:t>, a more detailed cost-benefit analysis</w:t>
      </w:r>
      <w:r w:rsidR="005711F8">
        <w:rPr>
          <w:szCs w:val="24"/>
        </w:rPr>
        <w:t xml:space="preserve"> has been </w:t>
      </w:r>
      <w:r w:rsidR="00AB2010">
        <w:rPr>
          <w:szCs w:val="24"/>
        </w:rPr>
        <w:t>provided</w:t>
      </w:r>
      <w:r w:rsidR="005711F8">
        <w:rPr>
          <w:szCs w:val="24"/>
        </w:rPr>
        <w:t xml:space="preserve"> </w:t>
      </w:r>
      <w:r w:rsidR="00AB2010">
        <w:rPr>
          <w:szCs w:val="24"/>
        </w:rPr>
        <w:t>including,</w:t>
      </w:r>
      <w:r w:rsidR="005711F8">
        <w:rPr>
          <w:szCs w:val="24"/>
        </w:rPr>
        <w:t xml:space="preserve"> where possible, the </w:t>
      </w:r>
      <w:r w:rsidR="00AB2010">
        <w:rPr>
          <w:szCs w:val="24"/>
        </w:rPr>
        <w:t xml:space="preserve">quantification </w:t>
      </w:r>
      <w:r w:rsidR="005711F8">
        <w:rPr>
          <w:szCs w:val="24"/>
        </w:rPr>
        <w:t>of individual costs and benefits based on domestic data and inter</w:t>
      </w:r>
      <w:r w:rsidR="0015132C">
        <w:rPr>
          <w:szCs w:val="24"/>
        </w:rPr>
        <w:t>national evidence.</w:t>
      </w:r>
      <w:r w:rsidR="00AC1923">
        <w:rPr>
          <w:szCs w:val="24"/>
        </w:rPr>
        <w:t xml:space="preserve"> </w:t>
      </w:r>
      <w:r w:rsidR="00B81CDD">
        <w:rPr>
          <w:szCs w:val="24"/>
        </w:rPr>
        <w:t>This</w:t>
      </w:r>
      <w:r w:rsidR="00F44BD4">
        <w:rPr>
          <w:szCs w:val="24"/>
        </w:rPr>
        <w:t xml:space="preserve"> </w:t>
      </w:r>
      <w:r w:rsidR="00FA4085">
        <w:rPr>
          <w:szCs w:val="24"/>
        </w:rPr>
        <w:t>includes improved</w:t>
      </w:r>
      <w:r w:rsidR="00335640">
        <w:rPr>
          <w:szCs w:val="24"/>
        </w:rPr>
        <w:t xml:space="preserve"> linkages between</w:t>
      </w:r>
      <w:r w:rsidR="00FA4085">
        <w:rPr>
          <w:szCs w:val="24"/>
        </w:rPr>
        <w:t xml:space="preserve"> </w:t>
      </w:r>
      <w:r w:rsidR="005E1253">
        <w:rPr>
          <w:szCs w:val="24"/>
        </w:rPr>
        <w:t xml:space="preserve">empirical </w:t>
      </w:r>
      <w:r w:rsidR="00FE37FD">
        <w:rPr>
          <w:szCs w:val="24"/>
        </w:rPr>
        <w:t xml:space="preserve">studies using recent reforms </w:t>
      </w:r>
      <w:r w:rsidR="00FA4085">
        <w:rPr>
          <w:szCs w:val="24"/>
        </w:rPr>
        <w:t xml:space="preserve">to restraints of trade in other </w:t>
      </w:r>
      <w:r w:rsidR="00DC3700">
        <w:rPr>
          <w:szCs w:val="24"/>
        </w:rPr>
        <w:t xml:space="preserve">international </w:t>
      </w:r>
      <w:r w:rsidR="00FA4085">
        <w:rPr>
          <w:szCs w:val="24"/>
        </w:rPr>
        <w:t>jurisdictions</w:t>
      </w:r>
      <w:r w:rsidR="00BA5CAB">
        <w:rPr>
          <w:szCs w:val="24"/>
        </w:rPr>
        <w:t xml:space="preserve"> and</w:t>
      </w:r>
      <w:r w:rsidR="00A66CE1">
        <w:rPr>
          <w:szCs w:val="24"/>
        </w:rPr>
        <w:t xml:space="preserve"> how it is transferrable </w:t>
      </w:r>
      <w:r w:rsidR="00975A56">
        <w:rPr>
          <w:szCs w:val="24"/>
        </w:rPr>
        <w:t>to the</w:t>
      </w:r>
      <w:r w:rsidR="00BA5CAB">
        <w:rPr>
          <w:szCs w:val="24"/>
        </w:rPr>
        <w:t xml:space="preserve"> Australian context</w:t>
      </w:r>
      <w:r w:rsidR="00FA4085">
        <w:rPr>
          <w:szCs w:val="24"/>
        </w:rPr>
        <w:t>,</w:t>
      </w:r>
      <w:r w:rsidR="00BF3E85">
        <w:rPr>
          <w:szCs w:val="24"/>
        </w:rPr>
        <w:t xml:space="preserve"> with </w:t>
      </w:r>
      <w:r w:rsidR="00FA4085">
        <w:rPr>
          <w:szCs w:val="24"/>
        </w:rPr>
        <w:t>updated</w:t>
      </w:r>
      <w:r w:rsidR="003F765D">
        <w:rPr>
          <w:szCs w:val="24"/>
        </w:rPr>
        <w:t xml:space="preserve"> references included</w:t>
      </w:r>
      <w:r w:rsidR="00C80BEB">
        <w:rPr>
          <w:szCs w:val="24"/>
        </w:rPr>
        <w:t>.</w:t>
      </w:r>
      <w:r w:rsidR="000356BA">
        <w:rPr>
          <w:szCs w:val="24"/>
        </w:rPr>
        <w:t xml:space="preserve"> </w:t>
      </w:r>
      <w:r w:rsidR="001363A0">
        <w:rPr>
          <w:szCs w:val="24"/>
        </w:rPr>
        <w:t xml:space="preserve">The </w:t>
      </w:r>
      <w:r w:rsidR="0041132B">
        <w:rPr>
          <w:szCs w:val="24"/>
        </w:rPr>
        <w:t xml:space="preserve">estimates of </w:t>
      </w:r>
      <w:r w:rsidR="001363A0">
        <w:rPr>
          <w:szCs w:val="24"/>
        </w:rPr>
        <w:t xml:space="preserve">regulatory </w:t>
      </w:r>
      <w:r w:rsidR="007D2A55">
        <w:rPr>
          <w:szCs w:val="24"/>
        </w:rPr>
        <w:t>burden</w:t>
      </w:r>
      <w:r w:rsidR="00975A56">
        <w:rPr>
          <w:szCs w:val="24"/>
        </w:rPr>
        <w:t xml:space="preserve"> and savings</w:t>
      </w:r>
      <w:r w:rsidR="007D2A55">
        <w:rPr>
          <w:szCs w:val="24"/>
        </w:rPr>
        <w:t xml:space="preserve"> </w:t>
      </w:r>
      <w:r w:rsidR="00FA4085">
        <w:rPr>
          <w:szCs w:val="24"/>
        </w:rPr>
        <w:t>ha</w:t>
      </w:r>
      <w:r w:rsidR="00975A56">
        <w:rPr>
          <w:szCs w:val="24"/>
        </w:rPr>
        <w:t>ve</w:t>
      </w:r>
      <w:r w:rsidR="007D2A55">
        <w:rPr>
          <w:szCs w:val="24"/>
        </w:rPr>
        <w:t xml:space="preserve"> also </w:t>
      </w:r>
      <w:r w:rsidR="0043321F">
        <w:rPr>
          <w:szCs w:val="24"/>
        </w:rPr>
        <w:t xml:space="preserve">been </w:t>
      </w:r>
      <w:r w:rsidR="007D2A55">
        <w:rPr>
          <w:szCs w:val="24"/>
        </w:rPr>
        <w:t>updated</w:t>
      </w:r>
      <w:r w:rsidR="00975A56">
        <w:rPr>
          <w:szCs w:val="24"/>
        </w:rPr>
        <w:t xml:space="preserve"> to be more comprehensive.</w:t>
      </w:r>
      <w:r w:rsidR="007D2A55">
        <w:rPr>
          <w:szCs w:val="24"/>
        </w:rPr>
        <w:t xml:space="preserve"> </w:t>
      </w:r>
    </w:p>
    <w:p w14:paraId="7D97B8C8" w14:textId="06897F13" w:rsidR="00C80BEB" w:rsidRDefault="00C80BEB" w:rsidP="00654747">
      <w:pPr>
        <w:pStyle w:val="BodyText"/>
        <w:spacing w:before="120" w:after="120"/>
        <w:jc w:val="left"/>
        <w:rPr>
          <w:szCs w:val="24"/>
        </w:rPr>
      </w:pPr>
      <w:r>
        <w:rPr>
          <w:szCs w:val="24"/>
          <w:u w:val="single"/>
        </w:rPr>
        <w:t>In relation to Question 5</w:t>
      </w:r>
      <w:r w:rsidR="001363A0">
        <w:rPr>
          <w:szCs w:val="24"/>
        </w:rPr>
        <w:t xml:space="preserve"> </w:t>
      </w:r>
      <w:r w:rsidR="001363A0">
        <w:rPr>
          <w:i/>
          <w:iCs/>
          <w:szCs w:val="24"/>
        </w:rPr>
        <w:t>(Who did you consult and how did you incorporate their feedback)</w:t>
      </w:r>
      <w:r w:rsidR="001363A0">
        <w:rPr>
          <w:szCs w:val="24"/>
        </w:rPr>
        <w:t>,</w:t>
      </w:r>
      <w:r w:rsidR="003E2EB7">
        <w:rPr>
          <w:szCs w:val="24"/>
        </w:rPr>
        <w:t xml:space="preserve"> </w:t>
      </w:r>
      <w:r w:rsidR="00395A19">
        <w:rPr>
          <w:szCs w:val="24"/>
        </w:rPr>
        <w:t>further discussion</w:t>
      </w:r>
      <w:r w:rsidR="007C2A15">
        <w:rPr>
          <w:szCs w:val="24"/>
        </w:rPr>
        <w:t xml:space="preserve"> is provided</w:t>
      </w:r>
      <w:r w:rsidR="00395A19">
        <w:rPr>
          <w:szCs w:val="24"/>
        </w:rPr>
        <w:t xml:space="preserve"> o</w:t>
      </w:r>
      <w:r w:rsidR="003E2EB7">
        <w:rPr>
          <w:szCs w:val="24"/>
        </w:rPr>
        <w:t>n what was heard from stakeholders</w:t>
      </w:r>
      <w:r w:rsidR="0085112D">
        <w:rPr>
          <w:szCs w:val="24"/>
        </w:rPr>
        <w:t>, specifically from the</w:t>
      </w:r>
      <w:r w:rsidR="00CC74AC">
        <w:rPr>
          <w:szCs w:val="24"/>
        </w:rPr>
        <w:t xml:space="preserve"> 20</w:t>
      </w:r>
      <w:r w:rsidR="00D5008D">
        <w:rPr>
          <w:szCs w:val="24"/>
        </w:rPr>
        <w:t xml:space="preserve">24 </w:t>
      </w:r>
      <w:r w:rsidR="0085112D">
        <w:rPr>
          <w:szCs w:val="24"/>
        </w:rPr>
        <w:t>Issues</w:t>
      </w:r>
      <w:r w:rsidR="00CC74AC">
        <w:rPr>
          <w:szCs w:val="24"/>
        </w:rPr>
        <w:t xml:space="preserve"> Paper</w:t>
      </w:r>
      <w:r w:rsidR="0085112D">
        <w:rPr>
          <w:szCs w:val="24"/>
        </w:rPr>
        <w:t xml:space="preserve"> and </w:t>
      </w:r>
      <w:r w:rsidR="00CC74AC">
        <w:rPr>
          <w:szCs w:val="24"/>
        </w:rPr>
        <w:t xml:space="preserve">2025 </w:t>
      </w:r>
      <w:r w:rsidR="0085112D">
        <w:rPr>
          <w:szCs w:val="24"/>
        </w:rPr>
        <w:t>Consultation</w:t>
      </w:r>
      <w:r w:rsidR="00CC74AC">
        <w:rPr>
          <w:szCs w:val="24"/>
        </w:rPr>
        <w:t xml:space="preserve"> Paper</w:t>
      </w:r>
      <w:r w:rsidR="00234ACE">
        <w:rPr>
          <w:szCs w:val="24"/>
        </w:rPr>
        <w:t>,</w:t>
      </w:r>
      <w:r w:rsidR="0085112D">
        <w:rPr>
          <w:szCs w:val="24"/>
        </w:rPr>
        <w:t xml:space="preserve"> and</w:t>
      </w:r>
      <w:r w:rsidR="003E2EB7">
        <w:rPr>
          <w:szCs w:val="24"/>
        </w:rPr>
        <w:t xml:space="preserve"> how </w:t>
      </w:r>
      <w:r w:rsidR="00CD3522">
        <w:rPr>
          <w:szCs w:val="24"/>
        </w:rPr>
        <w:t xml:space="preserve">that </w:t>
      </w:r>
      <w:r w:rsidR="003E2EB7">
        <w:rPr>
          <w:szCs w:val="24"/>
        </w:rPr>
        <w:t>feedback inform</w:t>
      </w:r>
      <w:r w:rsidR="004D5FAA">
        <w:rPr>
          <w:szCs w:val="24"/>
        </w:rPr>
        <w:t>ed</w:t>
      </w:r>
      <w:r w:rsidR="003E2EB7">
        <w:rPr>
          <w:szCs w:val="24"/>
        </w:rPr>
        <w:t xml:space="preserve"> </w:t>
      </w:r>
      <w:r w:rsidR="002E6BF3">
        <w:rPr>
          <w:szCs w:val="24"/>
        </w:rPr>
        <w:t xml:space="preserve">the different </w:t>
      </w:r>
      <w:r w:rsidR="000267B1">
        <w:rPr>
          <w:szCs w:val="24"/>
        </w:rPr>
        <w:t xml:space="preserve">policy </w:t>
      </w:r>
      <w:r w:rsidR="002E6BF3">
        <w:rPr>
          <w:szCs w:val="24"/>
        </w:rPr>
        <w:t xml:space="preserve">options. </w:t>
      </w:r>
    </w:p>
    <w:p w14:paraId="63247FC6" w14:textId="33F90FED" w:rsidR="002E6BF3" w:rsidRPr="0010651A" w:rsidRDefault="002E6BF3" w:rsidP="00654747">
      <w:pPr>
        <w:pStyle w:val="BodyText"/>
        <w:spacing w:before="120" w:after="120"/>
        <w:jc w:val="left"/>
      </w:pPr>
      <w:r w:rsidRPr="4A28558F">
        <w:rPr>
          <w:u w:val="single"/>
        </w:rPr>
        <w:t>In relation to Question 7</w:t>
      </w:r>
      <w:r>
        <w:t xml:space="preserve"> </w:t>
      </w:r>
      <w:r w:rsidRPr="4A28558F">
        <w:rPr>
          <w:i/>
          <w:iCs/>
        </w:rPr>
        <w:t>(</w:t>
      </w:r>
      <w:r w:rsidR="00EF5D5B" w:rsidRPr="4A28558F">
        <w:rPr>
          <w:i/>
          <w:iCs/>
        </w:rPr>
        <w:t>How will you evaluate your chosen option against the success metrics)</w:t>
      </w:r>
      <w:r w:rsidR="00AA2B4F">
        <w:t xml:space="preserve">, </w:t>
      </w:r>
      <w:r w:rsidR="0010651A">
        <w:t xml:space="preserve">a </w:t>
      </w:r>
      <w:r w:rsidR="009748CE">
        <w:t>clear</w:t>
      </w:r>
      <w:r w:rsidR="0010651A">
        <w:t xml:space="preserve"> evaluation plan has</w:t>
      </w:r>
      <w:r w:rsidR="009748CE">
        <w:t xml:space="preserve"> </w:t>
      </w:r>
      <w:r w:rsidR="0010651A">
        <w:t xml:space="preserve">been provided that </w:t>
      </w:r>
      <w:r w:rsidR="00AA778F">
        <w:t xml:space="preserve">includes </w:t>
      </w:r>
      <w:r w:rsidR="009E5026">
        <w:t xml:space="preserve">identifying </w:t>
      </w:r>
      <w:r w:rsidR="00B51C1C">
        <w:t>key responsibilities</w:t>
      </w:r>
      <w:r w:rsidR="00015B96">
        <w:t xml:space="preserve"> for data collection</w:t>
      </w:r>
      <w:r w:rsidR="00B51C1C">
        <w:t xml:space="preserve"> </w:t>
      </w:r>
      <w:r w:rsidR="149E3B2A">
        <w:t>(</w:t>
      </w:r>
      <w:r w:rsidR="00B51C1C">
        <w:t>subject to resourc</w:t>
      </w:r>
      <w:r w:rsidR="6C8C3D95">
        <w:t>e</w:t>
      </w:r>
      <w:r w:rsidR="00B51C1C">
        <w:t xml:space="preserve"> prioritisation</w:t>
      </w:r>
      <w:r w:rsidR="22B101C5">
        <w:t>)</w:t>
      </w:r>
      <w:r w:rsidR="00B51C1C">
        <w:t xml:space="preserve">, establishing </w:t>
      </w:r>
      <w:r w:rsidR="009748CE">
        <w:t>evaluation questions</w:t>
      </w:r>
      <w:r w:rsidR="004B5A14">
        <w:t xml:space="preserve"> </w:t>
      </w:r>
      <w:r w:rsidR="66EA83AD">
        <w:t xml:space="preserve">linked to </w:t>
      </w:r>
      <w:r w:rsidR="004B5A14">
        <w:t>the overall objective</w:t>
      </w:r>
      <w:r w:rsidR="2E4ED50F">
        <w:t>s</w:t>
      </w:r>
      <w:r w:rsidR="004B5A14">
        <w:t xml:space="preserve"> of the policy</w:t>
      </w:r>
      <w:r w:rsidR="009F3C0C">
        <w:t xml:space="preserve">, and </w:t>
      </w:r>
      <w:r w:rsidR="00371827">
        <w:t xml:space="preserve">identifying key decision </w:t>
      </w:r>
      <w:r w:rsidR="00DA78D0">
        <w:t>milestones</w:t>
      </w:r>
      <w:r w:rsidR="00371827">
        <w:t xml:space="preserve"> after implementation. </w:t>
      </w:r>
    </w:p>
    <w:p w14:paraId="280BBA30" w14:textId="4538F836" w:rsidR="00654747" w:rsidRPr="00654747" w:rsidRDefault="00654747" w:rsidP="00732DC3">
      <w:pPr>
        <w:pStyle w:val="BodyText"/>
        <w:spacing w:before="120" w:after="120"/>
        <w:jc w:val="left"/>
        <w:rPr>
          <w:szCs w:val="24"/>
        </w:rPr>
      </w:pPr>
      <w:r w:rsidRPr="00E82EEF">
        <w:t xml:space="preserve">The </w:t>
      </w:r>
      <w:r w:rsidRPr="00E82EEF">
        <w:rPr>
          <w:szCs w:val="24"/>
        </w:rPr>
        <w:t>regulatory burden to business, community organisations or individuals</w:t>
      </w:r>
      <w:r w:rsidR="004F4799">
        <w:rPr>
          <w:szCs w:val="24"/>
        </w:rPr>
        <w:t xml:space="preserve"> is</w:t>
      </w:r>
      <w:r w:rsidRPr="00E82EEF">
        <w:rPr>
          <w:szCs w:val="24"/>
        </w:rPr>
        <w:t xml:space="preserve"> quantified </w:t>
      </w:r>
      <w:r w:rsidR="004F4799">
        <w:rPr>
          <w:szCs w:val="24"/>
        </w:rPr>
        <w:t>as a one-</w:t>
      </w:r>
      <w:r w:rsidR="0056645B">
        <w:rPr>
          <w:szCs w:val="24"/>
        </w:rPr>
        <w:t xml:space="preserve">off direct familiarisation cost of $46.4 million to businesses to understand the </w:t>
      </w:r>
      <w:r w:rsidR="0056645B">
        <w:rPr>
          <w:szCs w:val="24"/>
        </w:rPr>
        <w:lastRenderedPageBreak/>
        <w:t>proposed reforms.</w:t>
      </w:r>
      <w:r w:rsidR="00C5051B">
        <w:rPr>
          <w:szCs w:val="24"/>
        </w:rPr>
        <w:t xml:space="preserve"> </w:t>
      </w:r>
      <w:r w:rsidR="00C5051B" w:rsidRPr="007B0ECA">
        <w:rPr>
          <w:szCs w:val="24"/>
        </w:rPr>
        <w:t xml:space="preserve">However, this </w:t>
      </w:r>
      <w:r w:rsidR="00BB45E7">
        <w:rPr>
          <w:szCs w:val="24"/>
        </w:rPr>
        <w:t xml:space="preserve">is expected to </w:t>
      </w:r>
      <w:r w:rsidR="00C5051B" w:rsidRPr="007B0ECA">
        <w:rPr>
          <w:szCs w:val="24"/>
        </w:rPr>
        <w:t xml:space="preserve">be </w:t>
      </w:r>
      <w:r w:rsidR="00847F4C">
        <w:rPr>
          <w:szCs w:val="24"/>
        </w:rPr>
        <w:t xml:space="preserve">significantly </w:t>
      </w:r>
      <w:r w:rsidR="00C5051B" w:rsidRPr="007B0ECA">
        <w:rPr>
          <w:szCs w:val="24"/>
        </w:rPr>
        <w:t>offset by</w:t>
      </w:r>
      <w:r w:rsidR="00463428" w:rsidRPr="007B0ECA">
        <w:rPr>
          <w:szCs w:val="24"/>
        </w:rPr>
        <w:t xml:space="preserve"> </w:t>
      </w:r>
      <w:r w:rsidR="00BB45E7">
        <w:rPr>
          <w:szCs w:val="24"/>
        </w:rPr>
        <w:t xml:space="preserve">ongoing </w:t>
      </w:r>
      <w:r w:rsidR="00A96377">
        <w:rPr>
          <w:szCs w:val="24"/>
        </w:rPr>
        <w:t xml:space="preserve">regulatory compliance </w:t>
      </w:r>
      <w:r w:rsidR="00C5051B" w:rsidRPr="007B0ECA">
        <w:rPr>
          <w:szCs w:val="24"/>
        </w:rPr>
        <w:t>savings</w:t>
      </w:r>
      <w:r w:rsidR="002362D0" w:rsidRPr="007B0ECA">
        <w:rPr>
          <w:szCs w:val="24"/>
        </w:rPr>
        <w:t xml:space="preserve"> from improved </w:t>
      </w:r>
      <w:r w:rsidR="00B95893">
        <w:rPr>
          <w:szCs w:val="24"/>
        </w:rPr>
        <w:t xml:space="preserve">legal </w:t>
      </w:r>
      <w:r w:rsidR="002362D0" w:rsidRPr="007B0ECA">
        <w:rPr>
          <w:szCs w:val="24"/>
        </w:rPr>
        <w:t>certainty</w:t>
      </w:r>
      <w:r w:rsidR="00A96377">
        <w:rPr>
          <w:szCs w:val="24"/>
        </w:rPr>
        <w:t xml:space="preserve">. </w:t>
      </w:r>
    </w:p>
    <w:p w14:paraId="64F278C9" w14:textId="77777777" w:rsidR="00654747" w:rsidRPr="00E82EEF" w:rsidRDefault="00654747" w:rsidP="00654747">
      <w:pPr>
        <w:keepNext/>
        <w:keepLines/>
        <w:spacing w:before="40"/>
        <w:outlineLvl w:val="1"/>
        <w:rPr>
          <w:rFonts w:ascii="Cambria" w:hAnsi="Cambria"/>
          <w:b/>
          <w:color w:val="000000"/>
          <w:sz w:val="26"/>
          <w:szCs w:val="26"/>
        </w:rPr>
      </w:pPr>
      <w:r w:rsidRPr="00E82EEF">
        <w:rPr>
          <w:rFonts w:ascii="Cambria" w:hAnsi="Cambria"/>
          <w:b/>
          <w:color w:val="000000"/>
          <w:sz w:val="26"/>
          <w:szCs w:val="26"/>
        </w:rPr>
        <w:t>Regulatory burden estimate table</w:t>
      </w:r>
    </w:p>
    <w:tbl>
      <w:tblPr>
        <w:tblStyle w:val="ListTable3-Accent1"/>
        <w:tblW w:w="9356" w:type="dxa"/>
        <w:tblLayout w:type="fixed"/>
        <w:tblLook w:val="04A0" w:firstRow="1" w:lastRow="0" w:firstColumn="1" w:lastColumn="0" w:noHBand="0" w:noVBand="1"/>
        <w:tblCaption w:val="Regulatory burden and cost offset estimate table"/>
        <w:tblDescription w:val="Template for the Regulatory burden and cost offset estimate table"/>
      </w:tblPr>
      <w:tblGrid>
        <w:gridCol w:w="1872"/>
        <w:gridCol w:w="1871"/>
        <w:gridCol w:w="1871"/>
        <w:gridCol w:w="1871"/>
        <w:gridCol w:w="1871"/>
      </w:tblGrid>
      <w:tr w:rsidR="00654747" w:rsidRPr="00E82EEF" w14:paraId="297503DE" w14:textId="77777777" w:rsidTr="00732D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dxa"/>
            <w:gridSpan w:val="5"/>
            <w:noWrap/>
          </w:tcPr>
          <w:p w14:paraId="45109D72" w14:textId="43E41730" w:rsidR="00654747" w:rsidRPr="00E82EEF" w:rsidRDefault="00F83623" w:rsidP="00285579">
            <w:pPr>
              <w:spacing w:before="120" w:after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One-off direct familiarisation cost</w:t>
            </w:r>
            <w:r w:rsidR="00654747" w:rsidRPr="00E82EEF">
              <w:rPr>
                <w:rFonts w:ascii="Arial" w:hAnsi="Arial" w:cs="Arial"/>
                <w:sz w:val="20"/>
              </w:rPr>
              <w:t xml:space="preserve"> </w:t>
            </w:r>
          </w:p>
        </w:tc>
      </w:tr>
      <w:tr w:rsidR="00654747" w:rsidRPr="00E82EEF" w14:paraId="0F549700" w14:textId="77777777" w:rsidTr="00732D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</w:tcPr>
          <w:p w14:paraId="0922333E" w14:textId="77777777" w:rsidR="00654747" w:rsidRPr="00E82EEF" w:rsidRDefault="00654747" w:rsidP="00285579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E82EEF">
              <w:rPr>
                <w:rFonts w:ascii="Arial" w:hAnsi="Arial" w:cs="Arial"/>
                <w:sz w:val="20"/>
              </w:rPr>
              <w:t>Change in costs ($ million)</w:t>
            </w:r>
          </w:p>
        </w:tc>
        <w:tc>
          <w:tcPr>
            <w:tcW w:w="0" w:type="dxa"/>
            <w:noWrap/>
          </w:tcPr>
          <w:p w14:paraId="001491F7" w14:textId="77777777" w:rsidR="00654747" w:rsidRPr="00E82EEF" w:rsidRDefault="00654747" w:rsidP="00285579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20"/>
              </w:rPr>
            </w:pPr>
            <w:r w:rsidRPr="00E82EEF">
              <w:rPr>
                <w:rFonts w:ascii="Arial" w:hAnsi="Arial" w:cs="Arial"/>
                <w:bCs/>
                <w:sz w:val="20"/>
              </w:rPr>
              <w:t>Business</w:t>
            </w:r>
          </w:p>
        </w:tc>
        <w:tc>
          <w:tcPr>
            <w:tcW w:w="0" w:type="dxa"/>
            <w:noWrap/>
          </w:tcPr>
          <w:p w14:paraId="30306C4D" w14:textId="77777777" w:rsidR="00654747" w:rsidRPr="00E82EEF" w:rsidRDefault="00654747" w:rsidP="00285579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E82EEF">
              <w:rPr>
                <w:rFonts w:ascii="Arial" w:hAnsi="Arial" w:cs="Arial"/>
                <w:sz w:val="20"/>
              </w:rPr>
              <w:t>Community organisations</w:t>
            </w:r>
          </w:p>
        </w:tc>
        <w:tc>
          <w:tcPr>
            <w:tcW w:w="0" w:type="dxa"/>
            <w:noWrap/>
          </w:tcPr>
          <w:p w14:paraId="4CB788F6" w14:textId="77777777" w:rsidR="00654747" w:rsidRPr="00E82EEF" w:rsidRDefault="00654747" w:rsidP="00285579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E82EEF">
              <w:rPr>
                <w:rFonts w:ascii="Arial" w:hAnsi="Arial" w:cs="Arial"/>
                <w:sz w:val="20"/>
              </w:rPr>
              <w:t>Individuals</w:t>
            </w:r>
          </w:p>
        </w:tc>
        <w:tc>
          <w:tcPr>
            <w:tcW w:w="0" w:type="dxa"/>
            <w:noWrap/>
          </w:tcPr>
          <w:p w14:paraId="380E1551" w14:textId="77777777" w:rsidR="00654747" w:rsidRPr="00E82EEF" w:rsidRDefault="00654747" w:rsidP="00285579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E82EEF">
              <w:rPr>
                <w:rFonts w:ascii="Arial" w:hAnsi="Arial" w:cs="Arial"/>
                <w:sz w:val="20"/>
              </w:rPr>
              <w:t>Total change in costs</w:t>
            </w:r>
          </w:p>
        </w:tc>
      </w:tr>
      <w:tr w:rsidR="00654747" w:rsidRPr="00E82EEF" w14:paraId="206B57F2" w14:textId="77777777" w:rsidTr="00732DC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noWrap/>
          </w:tcPr>
          <w:p w14:paraId="3B3194EC" w14:textId="77777777" w:rsidR="00654747" w:rsidRPr="00E82EEF" w:rsidRDefault="00654747" w:rsidP="00285579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E82EEF">
              <w:rPr>
                <w:rFonts w:ascii="Arial" w:hAnsi="Arial" w:cs="Arial"/>
                <w:sz w:val="20"/>
              </w:rPr>
              <w:t>Total, by sector</w:t>
            </w:r>
          </w:p>
        </w:tc>
        <w:tc>
          <w:tcPr>
            <w:tcW w:w="0" w:type="dxa"/>
            <w:noWrap/>
          </w:tcPr>
          <w:p w14:paraId="782AE4DE" w14:textId="2A049809" w:rsidR="00654747" w:rsidRPr="00E82EEF" w:rsidRDefault="00654747" w:rsidP="00285579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E82EEF">
              <w:rPr>
                <w:rFonts w:ascii="Arial" w:hAnsi="Arial" w:cs="Arial"/>
                <w:sz w:val="20"/>
              </w:rPr>
              <w:t>$</w:t>
            </w:r>
            <w:r w:rsidR="0065452F">
              <w:rPr>
                <w:rFonts w:ascii="Arial" w:hAnsi="Arial" w:cs="Arial"/>
                <w:sz w:val="20"/>
              </w:rPr>
              <w:t xml:space="preserve"> 46.4 million</w:t>
            </w:r>
          </w:p>
        </w:tc>
        <w:tc>
          <w:tcPr>
            <w:tcW w:w="0" w:type="dxa"/>
            <w:noWrap/>
          </w:tcPr>
          <w:p w14:paraId="209B0F43" w14:textId="3FCC8E5C" w:rsidR="00654747" w:rsidRPr="00E82EEF" w:rsidRDefault="00654747" w:rsidP="00285579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E82EEF">
              <w:rPr>
                <w:rFonts w:ascii="Arial" w:hAnsi="Arial" w:cs="Arial"/>
                <w:sz w:val="20"/>
              </w:rPr>
              <w:t>$</w:t>
            </w:r>
            <w:r w:rsidR="0065452F">
              <w:rPr>
                <w:rFonts w:ascii="Arial" w:hAnsi="Arial" w:cs="Arial"/>
                <w:sz w:val="20"/>
              </w:rPr>
              <w:t xml:space="preserve"> 0</w:t>
            </w:r>
          </w:p>
        </w:tc>
        <w:tc>
          <w:tcPr>
            <w:tcW w:w="0" w:type="dxa"/>
            <w:noWrap/>
          </w:tcPr>
          <w:p w14:paraId="77A5457E" w14:textId="16CF22EF" w:rsidR="00654747" w:rsidRPr="00E82EEF" w:rsidRDefault="00654747" w:rsidP="00285579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E82EEF">
              <w:rPr>
                <w:rFonts w:ascii="Arial" w:hAnsi="Arial" w:cs="Arial"/>
                <w:sz w:val="20"/>
              </w:rPr>
              <w:t>$</w:t>
            </w:r>
            <w:r w:rsidR="0065452F">
              <w:rPr>
                <w:rFonts w:ascii="Arial" w:hAnsi="Arial" w:cs="Arial"/>
                <w:sz w:val="20"/>
              </w:rPr>
              <w:t xml:space="preserve"> 0</w:t>
            </w:r>
          </w:p>
        </w:tc>
        <w:tc>
          <w:tcPr>
            <w:tcW w:w="0" w:type="dxa"/>
            <w:noWrap/>
          </w:tcPr>
          <w:p w14:paraId="1A67EFE8" w14:textId="669F4C08" w:rsidR="00654747" w:rsidRPr="00E82EEF" w:rsidRDefault="00654747" w:rsidP="00285579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E82EEF">
              <w:rPr>
                <w:rFonts w:ascii="Arial" w:hAnsi="Arial" w:cs="Arial"/>
                <w:sz w:val="20"/>
              </w:rPr>
              <w:t>$</w:t>
            </w:r>
            <w:r w:rsidR="0065452F">
              <w:rPr>
                <w:rFonts w:ascii="Arial" w:hAnsi="Arial" w:cs="Arial"/>
                <w:sz w:val="20"/>
              </w:rPr>
              <w:t xml:space="preserve"> 46.4 million</w:t>
            </w:r>
          </w:p>
        </w:tc>
      </w:tr>
    </w:tbl>
    <w:p w14:paraId="616A45F3" w14:textId="77777777" w:rsidR="00654747" w:rsidRDefault="00654747" w:rsidP="00654747">
      <w:pPr>
        <w:pStyle w:val="BodyText"/>
        <w:spacing w:before="120" w:after="120"/>
        <w:jc w:val="left"/>
        <w:rPr>
          <w:szCs w:val="24"/>
        </w:rPr>
      </w:pPr>
      <w:r>
        <w:rPr>
          <w:szCs w:val="24"/>
        </w:rPr>
        <w:t xml:space="preserve">Accordingly, I am satisfied that the IA is consistent with the six principles for Australian Government policy makers as specified in the </w:t>
      </w:r>
      <w:r>
        <w:rPr>
          <w:i/>
          <w:szCs w:val="24"/>
        </w:rPr>
        <w:t>Australian Government Guide to Policy Impact Analysis</w:t>
      </w:r>
      <w:r>
        <w:rPr>
          <w:szCs w:val="24"/>
        </w:rPr>
        <w:t>.</w:t>
      </w:r>
    </w:p>
    <w:p w14:paraId="3AD47606" w14:textId="2A2939BA" w:rsidR="00654747" w:rsidRPr="00654747" w:rsidRDefault="00654747" w:rsidP="00654747">
      <w:pPr>
        <w:pStyle w:val="BodyText"/>
        <w:spacing w:before="120" w:after="120"/>
        <w:jc w:val="left"/>
        <w:rPr>
          <w:szCs w:val="24"/>
        </w:rPr>
      </w:pPr>
      <w:r>
        <w:rPr>
          <w:szCs w:val="24"/>
        </w:rPr>
        <w:t>I submit the IA to the Office of Impact Analysis for formal final assessment.</w:t>
      </w:r>
    </w:p>
    <w:p w14:paraId="03C0A225" w14:textId="77777777" w:rsidR="00654747" w:rsidRPr="002F1AFC" w:rsidRDefault="00654747" w:rsidP="00654747">
      <w:pPr>
        <w:pStyle w:val="Header"/>
        <w:spacing w:before="120" w:after="120"/>
        <w:rPr>
          <w:rFonts w:ascii="Times New Roman" w:hAnsi="Times New Roman"/>
          <w:b w:val="0"/>
          <w:bCs/>
          <w:sz w:val="24"/>
          <w:szCs w:val="24"/>
        </w:rPr>
      </w:pPr>
      <w:r w:rsidRPr="002F1AFC">
        <w:rPr>
          <w:rFonts w:ascii="Times New Roman" w:hAnsi="Times New Roman"/>
          <w:b w:val="0"/>
          <w:bCs/>
          <w:sz w:val="24"/>
          <w:szCs w:val="24"/>
        </w:rPr>
        <w:t>Yours sincerely</w:t>
      </w:r>
    </w:p>
    <w:p w14:paraId="7548288C" w14:textId="77777777" w:rsidR="00D157C3" w:rsidRPr="00732DC3" w:rsidRDefault="00D157C3" w:rsidP="00654747">
      <w:pPr>
        <w:pStyle w:val="Header"/>
        <w:spacing w:before="120" w:after="120"/>
        <w:rPr>
          <w:rFonts w:ascii="Times New Roman" w:hAnsi="Times New Roman"/>
          <w:sz w:val="24"/>
          <w:szCs w:val="24"/>
        </w:rPr>
      </w:pPr>
    </w:p>
    <w:p w14:paraId="13E874DA" w14:textId="77777777" w:rsidR="00654747" w:rsidRPr="00732DC3" w:rsidRDefault="00654747" w:rsidP="00654747">
      <w:pPr>
        <w:pStyle w:val="Header"/>
        <w:spacing w:before="120" w:after="120"/>
        <w:rPr>
          <w:rFonts w:ascii="Times New Roman" w:hAnsi="Times New Roman"/>
          <w:sz w:val="24"/>
          <w:szCs w:val="24"/>
        </w:rPr>
      </w:pPr>
    </w:p>
    <w:p w14:paraId="396E1C48" w14:textId="76266F74" w:rsidR="00C47A2E" w:rsidRDefault="00C007F5" w:rsidP="00654747">
      <w:r w:rsidRPr="00732DC3">
        <w:rPr>
          <w:rFonts w:ascii="Times New Roman" w:hAnsi="Times New Roman"/>
          <w:sz w:val="24"/>
          <w:szCs w:val="24"/>
        </w:rPr>
        <w:t>James Kelly</w:t>
      </w:r>
      <w:r w:rsidR="00D157C3">
        <w:rPr>
          <w:rFonts w:ascii="Times New Roman" w:hAnsi="Times New Roman"/>
          <w:sz w:val="24"/>
          <w:szCs w:val="24"/>
        </w:rPr>
        <w:br/>
      </w:r>
      <w:r w:rsidRPr="00732DC3">
        <w:rPr>
          <w:rFonts w:ascii="Times New Roman" w:hAnsi="Times New Roman"/>
          <w:sz w:val="24"/>
          <w:szCs w:val="24"/>
        </w:rPr>
        <w:t>Deputy Secretary</w:t>
      </w:r>
      <w:r w:rsidR="009B10A7" w:rsidRPr="00732DC3">
        <w:rPr>
          <w:rFonts w:ascii="Times New Roman" w:hAnsi="Times New Roman"/>
          <w:sz w:val="24"/>
          <w:szCs w:val="24"/>
        </w:rPr>
        <w:t xml:space="preserve"> - </w:t>
      </w:r>
      <w:r w:rsidR="00F9627C" w:rsidRPr="00732DC3">
        <w:rPr>
          <w:rFonts w:ascii="Times New Roman" w:hAnsi="Times New Roman"/>
          <w:sz w:val="24"/>
          <w:szCs w:val="24"/>
        </w:rPr>
        <w:t>Markets Group</w:t>
      </w:r>
      <w:r w:rsidR="009B10A7" w:rsidRPr="00732DC3">
        <w:rPr>
          <w:rFonts w:ascii="Times New Roman" w:hAnsi="Times New Roman"/>
          <w:sz w:val="24"/>
          <w:szCs w:val="24"/>
        </w:rPr>
        <w:br/>
        <w:t>The Department of the Treasury</w:t>
      </w:r>
      <w:r w:rsidR="009B10A7">
        <w:t xml:space="preserve">  </w:t>
      </w:r>
      <w:r w:rsidR="00C47A2E">
        <w:br/>
      </w:r>
      <w:r w:rsidR="00211927">
        <w:rPr>
          <w:rFonts w:ascii="Times New Roman" w:hAnsi="Times New Roman"/>
          <w:sz w:val="24"/>
          <w:szCs w:val="24"/>
        </w:rPr>
        <w:t>24</w:t>
      </w:r>
      <w:r w:rsidR="00F80D05" w:rsidRPr="00732DC3">
        <w:rPr>
          <w:rFonts w:ascii="Times New Roman" w:hAnsi="Times New Roman"/>
          <w:sz w:val="24"/>
          <w:szCs w:val="24"/>
        </w:rPr>
        <w:t xml:space="preserve"> October 2025</w:t>
      </w:r>
      <w:r w:rsidR="00F80D05">
        <w:t xml:space="preserve"> </w:t>
      </w:r>
    </w:p>
    <w:bookmarkEnd w:id="0"/>
    <w:p w14:paraId="62A10FEB" w14:textId="77777777" w:rsidR="00FD1DFD" w:rsidRDefault="00FD1DFD" w:rsidP="006B2510">
      <w:pPr>
        <w:pStyle w:val="Address"/>
      </w:pPr>
    </w:p>
    <w:sectPr w:rsidR="00FD1DFD" w:rsidSect="00654747">
      <w:footerReference w:type="even" r:id="rId6"/>
      <w:footerReference w:type="default" r:id="rId7"/>
      <w:headerReference w:type="first" r:id="rId8"/>
      <w:footerReference w:type="first" r:id="rId9"/>
      <w:pgSz w:w="11907" w:h="16840" w:code="9"/>
      <w:pgMar w:top="1134" w:right="1701" w:bottom="1134" w:left="1701" w:header="57" w:footer="11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91CDB7" w14:textId="77777777" w:rsidR="00121764" w:rsidRDefault="00121764">
      <w:r>
        <w:separator/>
      </w:r>
    </w:p>
  </w:endnote>
  <w:endnote w:type="continuationSeparator" w:id="0">
    <w:p w14:paraId="2A4FD7AA" w14:textId="77777777" w:rsidR="00121764" w:rsidRDefault="00121764">
      <w:r>
        <w:continuationSeparator/>
      </w:r>
    </w:p>
  </w:endnote>
  <w:endnote w:type="continuationNotice" w:id="1">
    <w:p w14:paraId="3A6E0508" w14:textId="77777777" w:rsidR="00121764" w:rsidRDefault="00121764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0B516" w14:textId="77777777" w:rsidR="002B692A" w:rsidRDefault="002B692A" w:rsidP="002B692A">
    <w:pPr>
      <w:pStyle w:val="SecurityClassificationFooter"/>
    </w:pPr>
  </w:p>
  <w:p w14:paraId="061FC9CD" w14:textId="391A0A04" w:rsidR="002B692A" w:rsidRDefault="00C8731A" w:rsidP="002B692A">
    <w:pPr>
      <w:pStyle w:val="SecurityClassificationFooter"/>
    </w:pPr>
    <w:r>
      <w:fldChar w:fldCharType="begin"/>
    </w:r>
    <w:r>
      <w:instrText xml:space="preserve"> DOCPROPERTY WorkingDocStatus \* MERGEFORMAT </w:instrText>
    </w:r>
    <w:r>
      <w:fldChar w:fldCharType="end"/>
    </w:r>
    <w:fldSimple w:instr="DOCPROPERTY SecurityClassification \* MERGEFORMAT">
      <w:r w:rsidR="00211927">
        <w:t>For Official Use Only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1C27B" w14:textId="77777777" w:rsidR="002B692A" w:rsidRPr="004A5077" w:rsidRDefault="004A5077" w:rsidP="004A5077">
    <w:pPr>
      <w:pStyle w:val="FooterAddress"/>
      <w:rPr>
        <w:b/>
      </w:rPr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C5743" w14:textId="66E2E99E" w:rsidR="005F6F02" w:rsidRPr="00A23E22" w:rsidRDefault="005F6F02" w:rsidP="00240E21">
    <w:pPr>
      <w:pStyle w:val="FooterAddress"/>
      <w:spacing w:before="840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BF93D" w14:textId="77777777" w:rsidR="00121764" w:rsidRDefault="00121764">
      <w:r>
        <w:separator/>
      </w:r>
    </w:p>
  </w:footnote>
  <w:footnote w:type="continuationSeparator" w:id="0">
    <w:p w14:paraId="6FE9B9C7" w14:textId="77777777" w:rsidR="00121764" w:rsidRDefault="00121764">
      <w:r>
        <w:continuationSeparator/>
      </w:r>
    </w:p>
  </w:footnote>
  <w:footnote w:type="continuationNotice" w:id="1">
    <w:p w14:paraId="450046C4" w14:textId="77777777" w:rsidR="00121764" w:rsidRDefault="00121764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9761C" w14:textId="77777777" w:rsidR="005F6F02" w:rsidRPr="006A320D" w:rsidRDefault="00B87DE1" w:rsidP="00F36BED">
    <w:pPr>
      <w:spacing w:after="480"/>
      <w:rPr>
        <w:color w:val="000000" w:themeColor="text1"/>
      </w:rPr>
    </w:pPr>
    <w:r>
      <w:rPr>
        <w:noProof/>
        <w:color w:val="000000" w:themeColor="text1"/>
      </w:rPr>
      <w:drawing>
        <wp:anchor distT="0" distB="0" distL="114300" distR="114300" simplePos="0" relativeHeight="251658240" behindDoc="0" locked="0" layoutInCell="1" allowOverlap="1" wp14:anchorId="10F9D89F" wp14:editId="5ADE12EB">
          <wp:simplePos x="723900" y="266700"/>
          <wp:positionH relativeFrom="page">
            <wp:align>center</wp:align>
          </wp:positionH>
          <wp:positionV relativeFrom="page">
            <wp:align>top</wp:align>
          </wp:positionV>
          <wp:extent cx="7560000" cy="1512000"/>
          <wp:effectExtent l="0" t="0" r="3175" b="0"/>
          <wp:wrapTopAndBottom/>
          <wp:docPr id="7" name="Picture 7" descr="A picture containing 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picture containing graphical user interfac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51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8"/>
  <w:embedSystemFonts/>
  <w:proofState w:spelling="clean" w:grammar="clean"/>
  <w:stylePaneFormatFilter w:val="3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567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uppressBottomSpacing/>
    <w:suppressTop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FOIClassificationInHeader" w:val="False"/>
    <w:docVar w:name="SecurityClassificationInHeader" w:val="False"/>
    <w:docVar w:name="SecurityDLMInHeader" w:val="False"/>
  </w:docVars>
  <w:rsids>
    <w:rsidRoot w:val="00654747"/>
    <w:rsid w:val="0000160B"/>
    <w:rsid w:val="00006F88"/>
    <w:rsid w:val="00010558"/>
    <w:rsid w:val="00013C16"/>
    <w:rsid w:val="00015B96"/>
    <w:rsid w:val="00021A7F"/>
    <w:rsid w:val="000267B1"/>
    <w:rsid w:val="0003089B"/>
    <w:rsid w:val="000356BA"/>
    <w:rsid w:val="00041147"/>
    <w:rsid w:val="00070A45"/>
    <w:rsid w:val="000710B6"/>
    <w:rsid w:val="000828AA"/>
    <w:rsid w:val="000853B5"/>
    <w:rsid w:val="00091999"/>
    <w:rsid w:val="000A4E8D"/>
    <w:rsid w:val="000C3D77"/>
    <w:rsid w:val="000D2875"/>
    <w:rsid w:val="000D4C68"/>
    <w:rsid w:val="000E70A5"/>
    <w:rsid w:val="0010651A"/>
    <w:rsid w:val="00106901"/>
    <w:rsid w:val="001105EE"/>
    <w:rsid w:val="00121764"/>
    <w:rsid w:val="001363A0"/>
    <w:rsid w:val="00150F3C"/>
    <w:rsid w:val="0015132C"/>
    <w:rsid w:val="00160837"/>
    <w:rsid w:val="001639A2"/>
    <w:rsid w:val="00166132"/>
    <w:rsid w:val="00187181"/>
    <w:rsid w:val="00187598"/>
    <w:rsid w:val="00190BE3"/>
    <w:rsid w:val="001B0964"/>
    <w:rsid w:val="001C4FA6"/>
    <w:rsid w:val="001C538E"/>
    <w:rsid w:val="001E57B1"/>
    <w:rsid w:val="001F4A93"/>
    <w:rsid w:val="001F5439"/>
    <w:rsid w:val="001F6841"/>
    <w:rsid w:val="002009C6"/>
    <w:rsid w:val="00211927"/>
    <w:rsid w:val="002214A9"/>
    <w:rsid w:val="00234ACE"/>
    <w:rsid w:val="002362D0"/>
    <w:rsid w:val="00240E21"/>
    <w:rsid w:val="002554F2"/>
    <w:rsid w:val="002613F5"/>
    <w:rsid w:val="00277273"/>
    <w:rsid w:val="00283F20"/>
    <w:rsid w:val="002B4ACE"/>
    <w:rsid w:val="002B692A"/>
    <w:rsid w:val="002B6F2D"/>
    <w:rsid w:val="002C5445"/>
    <w:rsid w:val="002E6BF3"/>
    <w:rsid w:val="002F1AFC"/>
    <w:rsid w:val="002F4B14"/>
    <w:rsid w:val="002F767C"/>
    <w:rsid w:val="00335640"/>
    <w:rsid w:val="00337317"/>
    <w:rsid w:val="00350523"/>
    <w:rsid w:val="00371827"/>
    <w:rsid w:val="00375CB3"/>
    <w:rsid w:val="00383CDB"/>
    <w:rsid w:val="00395A19"/>
    <w:rsid w:val="003D0F23"/>
    <w:rsid w:val="003E2EB7"/>
    <w:rsid w:val="003F765D"/>
    <w:rsid w:val="00401C8D"/>
    <w:rsid w:val="00410BC2"/>
    <w:rsid w:val="00410E18"/>
    <w:rsid w:val="0041132B"/>
    <w:rsid w:val="0043321F"/>
    <w:rsid w:val="00436CCC"/>
    <w:rsid w:val="00437881"/>
    <w:rsid w:val="00444ADC"/>
    <w:rsid w:val="00463428"/>
    <w:rsid w:val="00485E79"/>
    <w:rsid w:val="004A277F"/>
    <w:rsid w:val="004A5077"/>
    <w:rsid w:val="004B0455"/>
    <w:rsid w:val="004B5A14"/>
    <w:rsid w:val="004C489F"/>
    <w:rsid w:val="004C7322"/>
    <w:rsid w:val="004D2EA3"/>
    <w:rsid w:val="004D59F6"/>
    <w:rsid w:val="004D5FAA"/>
    <w:rsid w:val="004F4799"/>
    <w:rsid w:val="00521D21"/>
    <w:rsid w:val="00524282"/>
    <w:rsid w:val="00562457"/>
    <w:rsid w:val="0056645B"/>
    <w:rsid w:val="005711F8"/>
    <w:rsid w:val="005734A5"/>
    <w:rsid w:val="005755DF"/>
    <w:rsid w:val="0058454C"/>
    <w:rsid w:val="00585D8B"/>
    <w:rsid w:val="005A67ED"/>
    <w:rsid w:val="005A79B5"/>
    <w:rsid w:val="005C2E83"/>
    <w:rsid w:val="005E1253"/>
    <w:rsid w:val="005F01D5"/>
    <w:rsid w:val="005F12F4"/>
    <w:rsid w:val="005F6F02"/>
    <w:rsid w:val="006016D6"/>
    <w:rsid w:val="00620E00"/>
    <w:rsid w:val="00631446"/>
    <w:rsid w:val="00635404"/>
    <w:rsid w:val="0065452F"/>
    <w:rsid w:val="00654747"/>
    <w:rsid w:val="006664E7"/>
    <w:rsid w:val="00694DE2"/>
    <w:rsid w:val="006A1A29"/>
    <w:rsid w:val="006A320D"/>
    <w:rsid w:val="006A446E"/>
    <w:rsid w:val="006A6617"/>
    <w:rsid w:val="006B2510"/>
    <w:rsid w:val="006C11C1"/>
    <w:rsid w:val="006C6DD8"/>
    <w:rsid w:val="006C76F1"/>
    <w:rsid w:val="006D1020"/>
    <w:rsid w:val="006E13D3"/>
    <w:rsid w:val="006F2190"/>
    <w:rsid w:val="00710D20"/>
    <w:rsid w:val="007232C5"/>
    <w:rsid w:val="0072543A"/>
    <w:rsid w:val="00732DC3"/>
    <w:rsid w:val="00773914"/>
    <w:rsid w:val="00784FF9"/>
    <w:rsid w:val="007B0ECA"/>
    <w:rsid w:val="007C2A15"/>
    <w:rsid w:val="007D2A55"/>
    <w:rsid w:val="007F7BE2"/>
    <w:rsid w:val="00810900"/>
    <w:rsid w:val="00820FF4"/>
    <w:rsid w:val="00847F4C"/>
    <w:rsid w:val="0085112D"/>
    <w:rsid w:val="00857F46"/>
    <w:rsid w:val="008741F9"/>
    <w:rsid w:val="00887D38"/>
    <w:rsid w:val="008A2993"/>
    <w:rsid w:val="008D172E"/>
    <w:rsid w:val="008E7A4F"/>
    <w:rsid w:val="008F08D4"/>
    <w:rsid w:val="008F0B5A"/>
    <w:rsid w:val="009063D8"/>
    <w:rsid w:val="0092186E"/>
    <w:rsid w:val="00931DEE"/>
    <w:rsid w:val="00936311"/>
    <w:rsid w:val="00943A33"/>
    <w:rsid w:val="00971FAD"/>
    <w:rsid w:val="009748CE"/>
    <w:rsid w:val="00975A56"/>
    <w:rsid w:val="0098490B"/>
    <w:rsid w:val="0099309D"/>
    <w:rsid w:val="009B10A7"/>
    <w:rsid w:val="009C693C"/>
    <w:rsid w:val="009D0E2F"/>
    <w:rsid w:val="009D31EC"/>
    <w:rsid w:val="009D389E"/>
    <w:rsid w:val="009D7A6F"/>
    <w:rsid w:val="009E5026"/>
    <w:rsid w:val="009F3C0C"/>
    <w:rsid w:val="00A07175"/>
    <w:rsid w:val="00A1770C"/>
    <w:rsid w:val="00A17D78"/>
    <w:rsid w:val="00A2213D"/>
    <w:rsid w:val="00A23E22"/>
    <w:rsid w:val="00A24156"/>
    <w:rsid w:val="00A36607"/>
    <w:rsid w:val="00A42F2F"/>
    <w:rsid w:val="00A66CE1"/>
    <w:rsid w:val="00A8795A"/>
    <w:rsid w:val="00A96377"/>
    <w:rsid w:val="00AA2B4F"/>
    <w:rsid w:val="00AA778F"/>
    <w:rsid w:val="00AB2010"/>
    <w:rsid w:val="00AC1923"/>
    <w:rsid w:val="00AD44A4"/>
    <w:rsid w:val="00AD739B"/>
    <w:rsid w:val="00AE3E76"/>
    <w:rsid w:val="00AF2C7B"/>
    <w:rsid w:val="00AF7D1E"/>
    <w:rsid w:val="00B112A0"/>
    <w:rsid w:val="00B14970"/>
    <w:rsid w:val="00B17460"/>
    <w:rsid w:val="00B315A0"/>
    <w:rsid w:val="00B45038"/>
    <w:rsid w:val="00B457FE"/>
    <w:rsid w:val="00B51C1C"/>
    <w:rsid w:val="00B81CDD"/>
    <w:rsid w:val="00B8256A"/>
    <w:rsid w:val="00B84E7B"/>
    <w:rsid w:val="00B87DE1"/>
    <w:rsid w:val="00B91CFA"/>
    <w:rsid w:val="00B95893"/>
    <w:rsid w:val="00BA5CAB"/>
    <w:rsid w:val="00BB186C"/>
    <w:rsid w:val="00BB45E7"/>
    <w:rsid w:val="00BF3E85"/>
    <w:rsid w:val="00C007F5"/>
    <w:rsid w:val="00C16C06"/>
    <w:rsid w:val="00C47A2E"/>
    <w:rsid w:val="00C5051B"/>
    <w:rsid w:val="00C52B9A"/>
    <w:rsid w:val="00C55053"/>
    <w:rsid w:val="00C80BEB"/>
    <w:rsid w:val="00C8731A"/>
    <w:rsid w:val="00CA030C"/>
    <w:rsid w:val="00CA62A6"/>
    <w:rsid w:val="00CB10ED"/>
    <w:rsid w:val="00CC65BE"/>
    <w:rsid w:val="00CC74AC"/>
    <w:rsid w:val="00CD3522"/>
    <w:rsid w:val="00CE457F"/>
    <w:rsid w:val="00CF2530"/>
    <w:rsid w:val="00CF61E1"/>
    <w:rsid w:val="00CF6E08"/>
    <w:rsid w:val="00D150E1"/>
    <w:rsid w:val="00D157C3"/>
    <w:rsid w:val="00D407F4"/>
    <w:rsid w:val="00D42E28"/>
    <w:rsid w:val="00D5008D"/>
    <w:rsid w:val="00D77C56"/>
    <w:rsid w:val="00D8197E"/>
    <w:rsid w:val="00DA3E57"/>
    <w:rsid w:val="00DA54C5"/>
    <w:rsid w:val="00DA6FB9"/>
    <w:rsid w:val="00DA78D0"/>
    <w:rsid w:val="00DC3700"/>
    <w:rsid w:val="00DC5262"/>
    <w:rsid w:val="00DC76B2"/>
    <w:rsid w:val="00DE39FC"/>
    <w:rsid w:val="00E1192F"/>
    <w:rsid w:val="00E217CF"/>
    <w:rsid w:val="00E31658"/>
    <w:rsid w:val="00E42405"/>
    <w:rsid w:val="00E51C9D"/>
    <w:rsid w:val="00E73A06"/>
    <w:rsid w:val="00E76667"/>
    <w:rsid w:val="00E8411A"/>
    <w:rsid w:val="00E90177"/>
    <w:rsid w:val="00EB393B"/>
    <w:rsid w:val="00EC5544"/>
    <w:rsid w:val="00ED47AB"/>
    <w:rsid w:val="00EE2F9A"/>
    <w:rsid w:val="00EF5D5B"/>
    <w:rsid w:val="00F36BED"/>
    <w:rsid w:val="00F36FE7"/>
    <w:rsid w:val="00F40B61"/>
    <w:rsid w:val="00F44BD4"/>
    <w:rsid w:val="00F46A47"/>
    <w:rsid w:val="00F5164B"/>
    <w:rsid w:val="00F80D05"/>
    <w:rsid w:val="00F83623"/>
    <w:rsid w:val="00F9627C"/>
    <w:rsid w:val="00FA4085"/>
    <w:rsid w:val="00FD1DFD"/>
    <w:rsid w:val="00FE37FD"/>
    <w:rsid w:val="00FF00B4"/>
    <w:rsid w:val="149E3B2A"/>
    <w:rsid w:val="1B8BCF04"/>
    <w:rsid w:val="22B101C5"/>
    <w:rsid w:val="2E4ED50F"/>
    <w:rsid w:val="4A28558F"/>
    <w:rsid w:val="66EA83AD"/>
    <w:rsid w:val="6C8C3D95"/>
    <w:rsid w:val="70FFE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967F8D"/>
  <w15:docId w15:val="{475FBFF6-F1B1-4EFA-ADEF-B88AA08A2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112A0"/>
    <w:pPr>
      <w:spacing w:after="240"/>
    </w:pPr>
    <w:rPr>
      <w:rFonts w:ascii="Calibri" w:hAnsi="Calibri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1C9D"/>
    <w:pPr>
      <w:keepNext/>
      <w:spacing w:before="240" w:after="360"/>
      <w:outlineLvl w:val="0"/>
    </w:pPr>
    <w:rPr>
      <w:b/>
      <w:caps/>
      <w:sz w:val="28"/>
      <w:szCs w:val="28"/>
    </w:rPr>
  </w:style>
  <w:style w:type="paragraph" w:styleId="Heading2">
    <w:name w:val="heading 2"/>
    <w:basedOn w:val="Normal"/>
    <w:next w:val="Normal"/>
    <w:qFormat/>
    <w:rsid w:val="00E51C9D"/>
    <w:pPr>
      <w:keepNext/>
      <w:spacing w:before="120"/>
      <w:outlineLvl w:val="1"/>
    </w:pPr>
    <w:rPr>
      <w:b/>
      <w:caps/>
    </w:rPr>
  </w:style>
  <w:style w:type="paragraph" w:styleId="Heading3">
    <w:name w:val="heading 3"/>
    <w:basedOn w:val="Normal"/>
    <w:next w:val="Normal"/>
    <w:qFormat/>
    <w:rsid w:val="00E51C9D"/>
    <w:pPr>
      <w:keepNext/>
      <w:spacing w:before="6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E51C9D"/>
    <w:pPr>
      <w:keepNext/>
      <w:outlineLvl w:val="3"/>
    </w:pPr>
    <w:rPr>
      <w:i/>
      <w:szCs w:val="24"/>
    </w:rPr>
  </w:style>
  <w:style w:type="paragraph" w:styleId="Heading5">
    <w:name w:val="heading 5"/>
    <w:basedOn w:val="Normal"/>
    <w:next w:val="Normal"/>
    <w:qFormat/>
    <w:rsid w:val="006A1A29"/>
    <w:pPr>
      <w:spacing w:before="240"/>
      <w:outlineLvl w:val="4"/>
    </w:pPr>
    <w:rPr>
      <w:b/>
    </w:rPr>
  </w:style>
  <w:style w:type="paragraph" w:styleId="Heading6">
    <w:name w:val="heading 6"/>
    <w:basedOn w:val="Normal"/>
    <w:next w:val="Normal"/>
    <w:qFormat/>
    <w:rsid w:val="006A1A29"/>
    <w:pPr>
      <w:spacing w:before="24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6A1A29"/>
    <w:pPr>
      <w:keepNext/>
      <w:tabs>
        <w:tab w:val="right" w:pos="2835"/>
        <w:tab w:val="center" w:pos="4820"/>
      </w:tabs>
      <w:spacing w:after="0"/>
      <w:outlineLvl w:val="6"/>
    </w:pPr>
    <w:rPr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6A1A29"/>
    <w:pPr>
      <w:framePr w:w="7920" w:h="1980" w:hRule="exact" w:hSpace="180" w:wrap="auto" w:hAnchor="page" w:xAlign="center" w:yAlign="bottom"/>
      <w:spacing w:after="0"/>
      <w:ind w:left="2880"/>
    </w:pPr>
  </w:style>
  <w:style w:type="paragraph" w:styleId="Footer">
    <w:name w:val="footer"/>
    <w:basedOn w:val="Normal"/>
    <w:rsid w:val="006A1A29"/>
    <w:pPr>
      <w:tabs>
        <w:tab w:val="center" w:pos="4819"/>
        <w:tab w:val="right" w:pos="9639"/>
      </w:tabs>
    </w:pPr>
  </w:style>
  <w:style w:type="paragraph" w:styleId="Header">
    <w:name w:val="header"/>
    <w:basedOn w:val="Normal"/>
    <w:link w:val="HeaderChar"/>
    <w:uiPriority w:val="99"/>
    <w:rsid w:val="006A1A29"/>
    <w:pPr>
      <w:tabs>
        <w:tab w:val="center" w:pos="4819"/>
        <w:tab w:val="right" w:pos="9639"/>
      </w:tabs>
    </w:pPr>
    <w:rPr>
      <w:b/>
    </w:rPr>
  </w:style>
  <w:style w:type="paragraph" w:styleId="MacroText">
    <w:name w:val="macro"/>
    <w:semiHidden/>
    <w:rsid w:val="006A1A29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after="60"/>
    </w:pPr>
    <w:rPr>
      <w:rFonts w:ascii="Arial" w:hAnsi="Arial"/>
      <w:kern w:val="16"/>
    </w:rPr>
  </w:style>
  <w:style w:type="paragraph" w:styleId="NormalIndent">
    <w:name w:val="Normal Indent"/>
    <w:basedOn w:val="Normal"/>
    <w:rsid w:val="006A1A29"/>
    <w:pPr>
      <w:ind w:left="720"/>
    </w:pPr>
  </w:style>
  <w:style w:type="paragraph" w:customStyle="1" w:styleId="SinglePara">
    <w:name w:val="Single Para"/>
    <w:basedOn w:val="Normal"/>
    <w:rsid w:val="006A1A29"/>
    <w:pPr>
      <w:spacing w:after="0"/>
    </w:pPr>
  </w:style>
  <w:style w:type="paragraph" w:customStyle="1" w:styleId="Footerbase">
    <w:name w:val="Footerbase"/>
    <w:link w:val="FooterbaseChar"/>
    <w:rsid w:val="006A1A29"/>
    <w:pPr>
      <w:tabs>
        <w:tab w:val="center" w:pos="4820"/>
      </w:tabs>
    </w:pPr>
    <w:rPr>
      <w:b/>
      <w:sz w:val="16"/>
    </w:rPr>
  </w:style>
  <w:style w:type="paragraph" w:customStyle="1" w:styleId="FooterAddress">
    <w:name w:val="FooterAddress"/>
    <w:basedOn w:val="Footerbase"/>
    <w:next w:val="Normal"/>
    <w:link w:val="FooterAddressChar"/>
    <w:rsid w:val="004A5077"/>
    <w:pPr>
      <w:jc w:val="right"/>
    </w:pPr>
    <w:rPr>
      <w:rFonts w:asciiTheme="minorHAnsi" w:hAnsiTheme="minorHAnsi"/>
      <w:b w:val="0"/>
      <w:color w:val="2C384A" w:themeColor="accent1"/>
    </w:rPr>
  </w:style>
  <w:style w:type="paragraph" w:customStyle="1" w:styleId="FooterCopies">
    <w:name w:val="FooterCopies"/>
    <w:basedOn w:val="Footer"/>
    <w:rsid w:val="006A1A29"/>
    <w:pPr>
      <w:tabs>
        <w:tab w:val="clear" w:pos="4819"/>
        <w:tab w:val="clear" w:pos="9639"/>
      </w:tabs>
      <w:spacing w:after="120"/>
    </w:pPr>
    <w:rPr>
      <w:vanish/>
      <w:sz w:val="20"/>
    </w:rPr>
  </w:style>
  <w:style w:type="paragraph" w:customStyle="1" w:styleId="FooterFilename">
    <w:name w:val="FooterFilename"/>
    <w:basedOn w:val="Footerbase"/>
    <w:next w:val="FooterAddress"/>
    <w:rsid w:val="00021A7F"/>
    <w:pPr>
      <w:widowControl w:val="0"/>
      <w:spacing w:before="120" w:after="120"/>
    </w:pPr>
    <w:rPr>
      <w:b w:val="0"/>
      <w:vanish/>
      <w:sz w:val="12"/>
    </w:rPr>
  </w:style>
  <w:style w:type="paragraph" w:customStyle="1" w:styleId="Graphic">
    <w:name w:val="Graphic"/>
    <w:basedOn w:val="Normal"/>
    <w:next w:val="Normal"/>
    <w:rsid w:val="006A1A29"/>
    <w:pPr>
      <w:jc w:val="center"/>
    </w:pPr>
  </w:style>
  <w:style w:type="character" w:styleId="Hyperlink">
    <w:name w:val="Hyperlink"/>
    <w:basedOn w:val="DefaultParagraphFont"/>
    <w:rsid w:val="00041147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857F4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7F46"/>
    <w:rPr>
      <w:rFonts w:ascii="Tahoma" w:hAnsi="Tahoma" w:cs="Tahoma"/>
      <w:sz w:val="16"/>
      <w:szCs w:val="16"/>
    </w:rPr>
  </w:style>
  <w:style w:type="character" w:customStyle="1" w:styleId="FooterbaseChar">
    <w:name w:val="Footerbase Char"/>
    <w:basedOn w:val="DefaultParagraphFont"/>
    <w:link w:val="Footerbase"/>
    <w:rsid w:val="000C3D77"/>
    <w:rPr>
      <w:b/>
      <w:sz w:val="16"/>
    </w:rPr>
  </w:style>
  <w:style w:type="character" w:customStyle="1" w:styleId="FooterAddressChar">
    <w:name w:val="FooterAddress Char"/>
    <w:basedOn w:val="FooterbaseChar"/>
    <w:link w:val="FooterAddress"/>
    <w:rsid w:val="004A5077"/>
    <w:rPr>
      <w:rFonts w:asciiTheme="minorHAnsi" w:hAnsiTheme="minorHAnsi"/>
      <w:b w:val="0"/>
      <w:color w:val="2C384A" w:themeColor="accent1"/>
      <w:sz w:val="16"/>
    </w:rPr>
  </w:style>
  <w:style w:type="paragraph" w:customStyle="1" w:styleId="SecurityClassificationHeader">
    <w:name w:val="Security Classification Header"/>
    <w:link w:val="SecurityClassificationHeaderChar"/>
    <w:rsid w:val="002B692A"/>
    <w:pPr>
      <w:spacing w:before="240" w:after="60"/>
      <w:jc w:val="center"/>
    </w:pPr>
    <w:rPr>
      <w:rFonts w:ascii="Calibri" w:hAnsi="Calibri"/>
      <w:b/>
      <w:caps/>
      <w:color w:val="000000" w:themeColor="text1"/>
      <w:sz w:val="24"/>
    </w:rPr>
  </w:style>
  <w:style w:type="character" w:customStyle="1" w:styleId="SecurityClassificationHeaderChar">
    <w:name w:val="Security Classification Header Char"/>
    <w:basedOn w:val="DefaultParagraphFont"/>
    <w:link w:val="SecurityClassificationHeader"/>
    <w:rsid w:val="002B692A"/>
    <w:rPr>
      <w:rFonts w:ascii="Calibri" w:hAnsi="Calibri"/>
      <w:b/>
      <w:caps/>
      <w:color w:val="000000" w:themeColor="text1"/>
      <w:sz w:val="24"/>
    </w:rPr>
  </w:style>
  <w:style w:type="paragraph" w:customStyle="1" w:styleId="SecurityClassificationFooter">
    <w:name w:val="Security Classification Footer"/>
    <w:link w:val="SecurityClassificationFooterChar"/>
    <w:rsid w:val="002B692A"/>
    <w:pPr>
      <w:spacing w:before="60" w:after="240"/>
      <w:jc w:val="center"/>
    </w:pPr>
    <w:rPr>
      <w:rFonts w:ascii="Calibri" w:hAnsi="Calibri"/>
      <w:b/>
      <w:caps/>
      <w:color w:val="000000" w:themeColor="text1"/>
      <w:sz w:val="24"/>
    </w:rPr>
  </w:style>
  <w:style w:type="character" w:customStyle="1" w:styleId="SecurityClassificationFooterChar">
    <w:name w:val="Security Classification Footer Char"/>
    <w:basedOn w:val="DefaultParagraphFont"/>
    <w:link w:val="SecurityClassificationFooter"/>
    <w:rsid w:val="002B692A"/>
    <w:rPr>
      <w:rFonts w:ascii="Calibri" w:hAnsi="Calibri"/>
      <w:b/>
      <w:caps/>
      <w:color w:val="000000" w:themeColor="text1"/>
      <w:sz w:val="24"/>
    </w:rPr>
  </w:style>
  <w:style w:type="paragraph" w:customStyle="1" w:styleId="Address">
    <w:name w:val="Address"/>
    <w:basedOn w:val="Normal"/>
    <w:qFormat/>
    <w:rsid w:val="00A36607"/>
    <w:pPr>
      <w:spacing w:after="0"/>
    </w:pPr>
  </w:style>
  <w:style w:type="character" w:styleId="PlaceholderText">
    <w:name w:val="Placeholder Text"/>
    <w:basedOn w:val="DefaultParagraphFont"/>
    <w:uiPriority w:val="99"/>
    <w:semiHidden/>
    <w:rsid w:val="00A36607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locked/>
    <w:rsid w:val="00654747"/>
    <w:rPr>
      <w:rFonts w:ascii="Calibri" w:hAnsi="Calibri"/>
      <w:b/>
      <w:caps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654747"/>
    <w:rPr>
      <w:rFonts w:ascii="Calibri" w:hAnsi="Calibri"/>
      <w:b/>
      <w:sz w:val="22"/>
    </w:rPr>
  </w:style>
  <w:style w:type="paragraph" w:styleId="BodyText">
    <w:name w:val="Body Text"/>
    <w:basedOn w:val="Normal"/>
    <w:link w:val="BodyTextChar"/>
    <w:uiPriority w:val="99"/>
    <w:rsid w:val="00654747"/>
    <w:pPr>
      <w:spacing w:before="240" w:after="0" w:line="300" w:lineRule="exact"/>
      <w:jc w:val="both"/>
    </w:pPr>
    <w:rPr>
      <w:rFonts w:ascii="Times New Roman" w:hAnsi="Times New Roman"/>
      <w:sz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654747"/>
    <w:rPr>
      <w:sz w:val="24"/>
    </w:rPr>
  </w:style>
  <w:style w:type="paragraph" w:styleId="NoSpacing">
    <w:name w:val="No Spacing"/>
    <w:uiPriority w:val="98"/>
    <w:unhideWhenUsed/>
    <w:rsid w:val="00654747"/>
    <w:rPr>
      <w:rFonts w:asciiTheme="minorHAnsi" w:eastAsiaTheme="minorEastAsia" w:hAnsiTheme="minorHAnsi" w:cstheme="minorBidi"/>
      <w:sz w:val="21"/>
      <w:szCs w:val="21"/>
      <w:lang w:eastAsia="en-US"/>
    </w:rPr>
  </w:style>
  <w:style w:type="table" w:customStyle="1" w:styleId="LightGrid-Accent21">
    <w:name w:val="Light Grid - Accent 21"/>
    <w:basedOn w:val="TableNormal"/>
    <w:next w:val="LightGrid-Accent2"/>
    <w:uiPriority w:val="62"/>
    <w:rsid w:val="00654747"/>
    <w:rPr>
      <w:rFonts w:asciiTheme="minorHAnsi" w:hAnsiTheme="minorHAnsi"/>
      <w:sz w:val="24"/>
      <w:szCs w:val="24"/>
      <w:lang w:eastAsia="en-US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auto"/>
    </w:tc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shd w:val="clear" w:color="auto" w:fill="CD0920"/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654747"/>
    <w:tblPr>
      <w:tblStyleRowBandSize w:val="1"/>
      <w:tblStyleColBandSize w:val="1"/>
      <w:tblBorders>
        <w:top w:val="single" w:sz="8" w:space="0" w:color="4D7861" w:themeColor="accent2"/>
        <w:left w:val="single" w:sz="8" w:space="0" w:color="4D7861" w:themeColor="accent2"/>
        <w:bottom w:val="single" w:sz="8" w:space="0" w:color="4D7861" w:themeColor="accent2"/>
        <w:right w:val="single" w:sz="8" w:space="0" w:color="4D7861" w:themeColor="accent2"/>
        <w:insideH w:val="single" w:sz="8" w:space="0" w:color="4D7861" w:themeColor="accent2"/>
        <w:insideV w:val="single" w:sz="8" w:space="0" w:color="4D786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7861" w:themeColor="accent2"/>
          <w:left w:val="single" w:sz="8" w:space="0" w:color="4D7861" w:themeColor="accent2"/>
          <w:bottom w:val="single" w:sz="18" w:space="0" w:color="4D7861" w:themeColor="accent2"/>
          <w:right w:val="single" w:sz="8" w:space="0" w:color="4D7861" w:themeColor="accent2"/>
          <w:insideH w:val="nil"/>
          <w:insideV w:val="single" w:sz="8" w:space="0" w:color="4D786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7861" w:themeColor="accent2"/>
          <w:left w:val="single" w:sz="8" w:space="0" w:color="4D7861" w:themeColor="accent2"/>
          <w:bottom w:val="single" w:sz="8" w:space="0" w:color="4D7861" w:themeColor="accent2"/>
          <w:right w:val="single" w:sz="8" w:space="0" w:color="4D7861" w:themeColor="accent2"/>
          <w:insideH w:val="nil"/>
          <w:insideV w:val="single" w:sz="8" w:space="0" w:color="4D786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7861" w:themeColor="accent2"/>
          <w:left w:val="single" w:sz="8" w:space="0" w:color="4D7861" w:themeColor="accent2"/>
          <w:bottom w:val="single" w:sz="8" w:space="0" w:color="4D7861" w:themeColor="accent2"/>
          <w:right w:val="single" w:sz="8" w:space="0" w:color="4D7861" w:themeColor="accent2"/>
        </w:tcBorders>
      </w:tcPr>
    </w:tblStylePr>
    <w:tblStylePr w:type="band1Vert">
      <w:tblPr/>
      <w:tcPr>
        <w:tcBorders>
          <w:top w:val="single" w:sz="8" w:space="0" w:color="4D7861" w:themeColor="accent2"/>
          <w:left w:val="single" w:sz="8" w:space="0" w:color="4D7861" w:themeColor="accent2"/>
          <w:bottom w:val="single" w:sz="8" w:space="0" w:color="4D7861" w:themeColor="accent2"/>
          <w:right w:val="single" w:sz="8" w:space="0" w:color="4D7861" w:themeColor="accent2"/>
        </w:tcBorders>
        <w:shd w:val="clear" w:color="auto" w:fill="CFE0D7" w:themeFill="accent2" w:themeFillTint="3F"/>
      </w:tcPr>
    </w:tblStylePr>
    <w:tblStylePr w:type="band1Horz">
      <w:tblPr/>
      <w:tcPr>
        <w:tcBorders>
          <w:top w:val="single" w:sz="8" w:space="0" w:color="4D7861" w:themeColor="accent2"/>
          <w:left w:val="single" w:sz="8" w:space="0" w:color="4D7861" w:themeColor="accent2"/>
          <w:bottom w:val="single" w:sz="8" w:space="0" w:color="4D7861" w:themeColor="accent2"/>
          <w:right w:val="single" w:sz="8" w:space="0" w:color="4D7861" w:themeColor="accent2"/>
          <w:insideV w:val="single" w:sz="8" w:space="0" w:color="4D7861" w:themeColor="accent2"/>
        </w:tcBorders>
        <w:shd w:val="clear" w:color="auto" w:fill="CFE0D7" w:themeFill="accent2" w:themeFillTint="3F"/>
      </w:tcPr>
    </w:tblStylePr>
    <w:tblStylePr w:type="band2Horz">
      <w:tblPr/>
      <w:tcPr>
        <w:tcBorders>
          <w:top w:val="single" w:sz="8" w:space="0" w:color="4D7861" w:themeColor="accent2"/>
          <w:left w:val="single" w:sz="8" w:space="0" w:color="4D7861" w:themeColor="accent2"/>
          <w:bottom w:val="single" w:sz="8" w:space="0" w:color="4D7861" w:themeColor="accent2"/>
          <w:right w:val="single" w:sz="8" w:space="0" w:color="4D7861" w:themeColor="accent2"/>
          <w:insideV w:val="single" w:sz="8" w:space="0" w:color="4D7861" w:themeColor="accent2"/>
        </w:tcBorders>
      </w:tcPr>
    </w:tblStylePr>
  </w:style>
  <w:style w:type="paragraph" w:styleId="Revision">
    <w:name w:val="Revision"/>
    <w:hidden/>
    <w:uiPriority w:val="99"/>
    <w:semiHidden/>
    <w:rsid w:val="00A17D78"/>
    <w:rPr>
      <w:rFonts w:ascii="Calibri" w:hAnsi="Calibri"/>
      <w:sz w:val="22"/>
    </w:rPr>
  </w:style>
  <w:style w:type="table" w:styleId="GridTable5Dark-Accent1">
    <w:name w:val="Grid Table 5 Dark Accent 1"/>
    <w:basedOn w:val="TableNormal"/>
    <w:uiPriority w:val="50"/>
    <w:rsid w:val="007B0EC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DD5E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384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384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C384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C384A" w:themeFill="accent1"/>
      </w:tcPr>
    </w:tblStylePr>
    <w:tblStylePr w:type="band1Vert">
      <w:tblPr/>
      <w:tcPr>
        <w:shd w:val="clear" w:color="auto" w:fill="9CACC4" w:themeFill="accent1" w:themeFillTint="66"/>
      </w:tcPr>
    </w:tblStylePr>
    <w:tblStylePr w:type="band1Horz">
      <w:tblPr/>
      <w:tcPr>
        <w:shd w:val="clear" w:color="auto" w:fill="9CACC4" w:themeFill="accent1" w:themeFillTint="66"/>
      </w:tcPr>
    </w:tblStylePr>
  </w:style>
  <w:style w:type="table" w:styleId="ListTable3-Accent1">
    <w:name w:val="List Table 3 Accent 1"/>
    <w:basedOn w:val="TableNormal"/>
    <w:uiPriority w:val="48"/>
    <w:rsid w:val="007B0ECA"/>
    <w:tblPr>
      <w:tblStyleRowBandSize w:val="1"/>
      <w:tblStyleColBandSize w:val="1"/>
      <w:tblBorders>
        <w:top w:val="single" w:sz="4" w:space="0" w:color="2C384A" w:themeColor="accent1"/>
        <w:left w:val="single" w:sz="4" w:space="0" w:color="2C384A" w:themeColor="accent1"/>
        <w:bottom w:val="single" w:sz="4" w:space="0" w:color="2C384A" w:themeColor="accent1"/>
        <w:right w:val="single" w:sz="4" w:space="0" w:color="2C384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C384A" w:themeFill="accent1"/>
      </w:tcPr>
    </w:tblStylePr>
    <w:tblStylePr w:type="lastRow">
      <w:rPr>
        <w:b/>
        <w:bCs/>
      </w:rPr>
      <w:tblPr/>
      <w:tcPr>
        <w:tcBorders>
          <w:top w:val="double" w:sz="4" w:space="0" w:color="2C384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C384A" w:themeColor="accent1"/>
          <w:right w:val="single" w:sz="4" w:space="0" w:color="2C384A" w:themeColor="accent1"/>
        </w:tcBorders>
      </w:tcPr>
    </w:tblStylePr>
    <w:tblStylePr w:type="band1Horz">
      <w:tblPr/>
      <w:tcPr>
        <w:tcBorders>
          <w:top w:val="single" w:sz="4" w:space="0" w:color="2C384A" w:themeColor="accent1"/>
          <w:bottom w:val="single" w:sz="4" w:space="0" w:color="2C384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C384A" w:themeColor="accent1"/>
          <w:left w:val="nil"/>
        </w:tcBorders>
      </w:tcPr>
    </w:tblStylePr>
    <w:tblStylePr w:type="swCell">
      <w:tblPr/>
      <w:tcPr>
        <w:tcBorders>
          <w:top w:val="double" w:sz="4" w:space="0" w:color="2C384A" w:themeColor="accen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TSY Corporate">
      <a:dk1>
        <a:sysClr val="windowText" lastClr="000000"/>
      </a:dk1>
      <a:lt1>
        <a:sysClr val="window" lastClr="FFFFFF"/>
      </a:lt1>
      <a:dk2>
        <a:srgbClr val="5F5F5F"/>
      </a:dk2>
      <a:lt2>
        <a:srgbClr val="EEEEEE"/>
      </a:lt2>
      <a:accent1>
        <a:srgbClr val="2C384A"/>
      </a:accent1>
      <a:accent2>
        <a:srgbClr val="4D7861"/>
      </a:accent2>
      <a:accent3>
        <a:srgbClr val="5D779D"/>
      </a:accent3>
      <a:accent4>
        <a:srgbClr val="B1F0CF"/>
      </a:accent4>
      <a:accent5>
        <a:srgbClr val="90B6F0"/>
      </a:accent5>
      <a:accent6>
        <a:srgbClr val="F0AE81"/>
      </a:accent6>
      <a:hlink>
        <a:srgbClr val="3A6FAF"/>
      </a:hlink>
      <a:folHlink>
        <a:srgbClr val="844D9E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Sugden, Robert</cp:lastModifiedBy>
  <cp:revision>2</cp:revision>
  <dcterms:created xsi:type="dcterms:W3CDTF">2026-09-21T04:30:00Z</dcterms:created>
  <dcterms:modified xsi:type="dcterms:W3CDTF">2026-09-21T04:30:00Z</dcterms:modified>
</cp:coreProperties>
</file>