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548F1" w14:textId="2F9B3B50" w:rsidR="00A62EF3" w:rsidRPr="00892D49" w:rsidRDefault="005D7C45" w:rsidP="002356F8">
      <w:pPr>
        <w:pStyle w:val="Title"/>
        <w:spacing w:after="120"/>
        <w:rPr>
          <w:sz w:val="44"/>
          <w:szCs w:val="52"/>
        </w:rPr>
      </w:pPr>
      <w:bookmarkStart w:id="0" w:name="_Toc96326909"/>
      <w:r w:rsidRPr="00892D49">
        <w:rPr>
          <w:sz w:val="44"/>
          <w:szCs w:val="52"/>
        </w:rPr>
        <w:t xml:space="preserve">Dashboard </w:t>
      </w:r>
      <w:r w:rsidR="00936C83">
        <w:rPr>
          <w:sz w:val="44"/>
          <w:szCs w:val="52"/>
        </w:rPr>
        <w:t>I</w:t>
      </w:r>
      <w:r w:rsidR="00936C83" w:rsidRPr="00892D49">
        <w:rPr>
          <w:sz w:val="44"/>
          <w:szCs w:val="52"/>
        </w:rPr>
        <w:t xml:space="preserve">mpact </w:t>
      </w:r>
      <w:r w:rsidR="00936C83">
        <w:rPr>
          <w:sz w:val="44"/>
          <w:szCs w:val="52"/>
        </w:rPr>
        <w:t>A</w:t>
      </w:r>
      <w:r w:rsidR="00936C83" w:rsidRPr="00892D49">
        <w:rPr>
          <w:sz w:val="44"/>
          <w:szCs w:val="52"/>
        </w:rPr>
        <w:t xml:space="preserve">nalysis </w:t>
      </w:r>
      <w:r w:rsidR="00232964" w:rsidRPr="00892D49">
        <w:rPr>
          <w:sz w:val="44"/>
          <w:szCs w:val="52"/>
        </w:rPr>
        <w:t xml:space="preserve">(IA) </w:t>
      </w:r>
      <w:r w:rsidR="005F66F9" w:rsidRPr="00892D49">
        <w:rPr>
          <w:sz w:val="44"/>
          <w:szCs w:val="52"/>
        </w:rPr>
        <w:t xml:space="preserve">– </w:t>
      </w:r>
      <w:r w:rsidR="00DB79D0">
        <w:rPr>
          <w:sz w:val="44"/>
          <w:szCs w:val="52"/>
        </w:rPr>
        <w:t xml:space="preserve">Enhancing consumer protections for SMSF establishments, and </w:t>
      </w:r>
      <w:r w:rsidR="00826473">
        <w:rPr>
          <w:sz w:val="44"/>
          <w:szCs w:val="52"/>
        </w:rPr>
        <w:t>Realignment</w:t>
      </w:r>
      <w:r w:rsidR="00DB79D0">
        <w:rPr>
          <w:sz w:val="44"/>
          <w:szCs w:val="52"/>
        </w:rPr>
        <w:t xml:space="preserve"> of the </w:t>
      </w:r>
      <w:r w:rsidR="004E5A47">
        <w:rPr>
          <w:sz w:val="44"/>
          <w:szCs w:val="52"/>
        </w:rPr>
        <w:t>SMSF superviso</w:t>
      </w:r>
      <w:r w:rsidR="00E47EE5">
        <w:rPr>
          <w:sz w:val="44"/>
          <w:szCs w:val="52"/>
        </w:rPr>
        <w:t>r</w:t>
      </w:r>
      <w:r w:rsidR="004E5A47">
        <w:rPr>
          <w:sz w:val="44"/>
          <w:szCs w:val="52"/>
        </w:rPr>
        <w:t>y levy</w:t>
      </w:r>
    </w:p>
    <w:p w14:paraId="4FBC03E4" w14:textId="57445FEC" w:rsidR="00A62EF3" w:rsidRPr="00892D49" w:rsidRDefault="004E5A47" w:rsidP="0091141A">
      <w:pPr>
        <w:pStyle w:val="Subtitle"/>
        <w:rPr>
          <w:sz w:val="24"/>
          <w:szCs w:val="28"/>
        </w:rPr>
      </w:pPr>
      <w:r>
        <w:rPr>
          <w:sz w:val="24"/>
          <w:szCs w:val="28"/>
        </w:rPr>
        <w:t>Treasury</w:t>
      </w:r>
    </w:p>
    <w:bookmarkEnd w:id="0"/>
    <w:p w14:paraId="1C603885" w14:textId="2AAFF250" w:rsidR="00A62EF3" w:rsidRPr="0091141A" w:rsidRDefault="006C7E16" w:rsidP="0026634E">
      <w:pPr>
        <w:pStyle w:val="Heading1"/>
      </w:pPr>
      <w:r w:rsidRPr="0091141A">
        <w:t>The proposed policy approach and policy problem addressing</w:t>
      </w:r>
    </w:p>
    <w:p w14:paraId="3264FE4A" w14:textId="77777777" w:rsidR="001B2C89" w:rsidRDefault="005F3B45" w:rsidP="001B2C89">
      <w:pPr>
        <w:pStyle w:val="Heading2"/>
      </w:pPr>
      <w:r w:rsidRPr="005F3B45">
        <w:t>Proposed approach</w:t>
      </w:r>
    </w:p>
    <w:p w14:paraId="7902DAA7" w14:textId="57C5F7B9" w:rsidR="00275527" w:rsidRPr="00F55D72" w:rsidRDefault="00275527" w:rsidP="0026634E">
      <w:pPr>
        <w:rPr>
          <w:color w:val="auto"/>
        </w:rPr>
      </w:pPr>
      <w:r w:rsidRPr="00F55D72">
        <w:rPr>
          <w:color w:val="auto"/>
        </w:rPr>
        <w:t xml:space="preserve">The </w:t>
      </w:r>
      <w:r w:rsidR="002235BF">
        <w:rPr>
          <w:color w:val="auto"/>
        </w:rPr>
        <w:t>reforms</w:t>
      </w:r>
      <w:r w:rsidRPr="00F55D72">
        <w:rPr>
          <w:color w:val="auto"/>
        </w:rPr>
        <w:t xml:space="preserve"> strengthen consumer protections for individuals establishing new self-managed superannuation funds (SMSFs). The </w:t>
      </w:r>
      <w:r w:rsidR="008D1E05">
        <w:rPr>
          <w:color w:val="auto"/>
        </w:rPr>
        <w:t>reforms</w:t>
      </w:r>
      <w:r w:rsidRPr="00F55D72">
        <w:rPr>
          <w:color w:val="auto"/>
        </w:rPr>
        <w:t xml:space="preserve"> respond to recent misconduct and fraud risks highlighted by the Shield and First Guardian collapses, as well as broader concerns regarding inappropriate SMSF establishment</w:t>
      </w:r>
      <w:r w:rsidR="000B70A7">
        <w:rPr>
          <w:color w:val="auto"/>
        </w:rPr>
        <w:t>s</w:t>
      </w:r>
      <w:r w:rsidRPr="00F55D72">
        <w:rPr>
          <w:color w:val="auto"/>
        </w:rPr>
        <w:t xml:space="preserve">, illegal early access schemes and high-risk investment arrangements. </w:t>
      </w:r>
      <w:r w:rsidR="00680AAF">
        <w:rPr>
          <w:color w:val="auto"/>
        </w:rPr>
        <w:t>In the case of Shield and First G</w:t>
      </w:r>
      <w:r w:rsidR="00095AB0">
        <w:rPr>
          <w:color w:val="auto"/>
        </w:rPr>
        <w:t xml:space="preserve">uardian, </w:t>
      </w:r>
      <w:r w:rsidR="00D1174C">
        <w:rPr>
          <w:color w:val="auto"/>
        </w:rPr>
        <w:t xml:space="preserve">losses occurred after members of superannuation funds were contacted by lead generators and referred to </w:t>
      </w:r>
      <w:r w:rsidR="00602BF7">
        <w:rPr>
          <w:color w:val="auto"/>
        </w:rPr>
        <w:t xml:space="preserve">financial advisers. Advisers recommended members roll over to SMSFs or platform funds </w:t>
      </w:r>
      <w:proofErr w:type="gramStart"/>
      <w:r w:rsidR="00602BF7">
        <w:rPr>
          <w:color w:val="auto"/>
        </w:rPr>
        <w:t>in order to</w:t>
      </w:r>
      <w:proofErr w:type="gramEnd"/>
      <w:r w:rsidR="00602BF7">
        <w:rPr>
          <w:color w:val="auto"/>
        </w:rPr>
        <w:t xml:space="preserve"> </w:t>
      </w:r>
      <w:r w:rsidR="00945E92">
        <w:rPr>
          <w:color w:val="auto"/>
        </w:rPr>
        <w:t xml:space="preserve">invest into managed investment schemes which exposed individuals to </w:t>
      </w:r>
      <w:proofErr w:type="gramStart"/>
      <w:r w:rsidR="00945E92">
        <w:rPr>
          <w:color w:val="auto"/>
        </w:rPr>
        <w:t>high risk</w:t>
      </w:r>
      <w:proofErr w:type="gramEnd"/>
      <w:r w:rsidR="00945E92">
        <w:rPr>
          <w:color w:val="auto"/>
        </w:rPr>
        <w:t xml:space="preserve"> products and</w:t>
      </w:r>
      <w:r w:rsidR="00AA37F0">
        <w:rPr>
          <w:color w:val="auto"/>
        </w:rPr>
        <w:t xml:space="preserve"> a lack of diversification. </w:t>
      </w:r>
    </w:p>
    <w:p w14:paraId="27626DE9" w14:textId="2DC03B2F" w:rsidR="00996376" w:rsidRPr="00F55D72" w:rsidRDefault="00996376" w:rsidP="00996376">
      <w:pPr>
        <w:pStyle w:val="NormalWeb"/>
        <w:spacing w:after="0" w:afterAutospacing="0" w:line="300" w:lineRule="atLeast"/>
        <w:rPr>
          <w:rFonts w:asciiTheme="minorHAnsi" w:eastAsiaTheme="minorEastAsia" w:hAnsiTheme="minorHAnsi" w:cstheme="minorBidi"/>
          <w:sz w:val="22"/>
          <w:szCs w:val="21"/>
          <w:lang w:eastAsia="en-US"/>
        </w:rPr>
      </w:pPr>
      <w:r w:rsidRPr="00F55D72">
        <w:rPr>
          <w:rFonts w:asciiTheme="minorHAnsi" w:eastAsiaTheme="minorEastAsia" w:hAnsiTheme="minorHAnsi" w:cstheme="minorBidi"/>
          <w:sz w:val="22"/>
          <w:szCs w:val="21"/>
          <w:lang w:eastAsia="en-US"/>
        </w:rPr>
        <w:t xml:space="preserve">The </w:t>
      </w:r>
      <w:r w:rsidR="00D85EFA">
        <w:rPr>
          <w:rFonts w:asciiTheme="minorHAnsi" w:eastAsiaTheme="minorEastAsia" w:hAnsiTheme="minorHAnsi" w:cstheme="minorBidi"/>
          <w:sz w:val="22"/>
          <w:szCs w:val="21"/>
          <w:lang w:eastAsia="en-US"/>
        </w:rPr>
        <w:t>reforms</w:t>
      </w:r>
      <w:r w:rsidR="00413AC4" w:rsidRPr="00F55D72">
        <w:rPr>
          <w:rFonts w:asciiTheme="minorHAnsi" w:eastAsiaTheme="minorEastAsia" w:hAnsiTheme="minorHAnsi" w:cstheme="minorBidi"/>
          <w:sz w:val="22"/>
          <w:szCs w:val="21"/>
          <w:lang w:eastAsia="en-US"/>
        </w:rPr>
        <w:t xml:space="preserve"> </w:t>
      </w:r>
      <w:r w:rsidRPr="00F55D72">
        <w:rPr>
          <w:rFonts w:asciiTheme="minorHAnsi" w:eastAsiaTheme="minorEastAsia" w:hAnsiTheme="minorHAnsi" w:cstheme="minorBidi"/>
          <w:sz w:val="22"/>
          <w:szCs w:val="21"/>
          <w:lang w:eastAsia="en-US"/>
        </w:rPr>
        <w:t xml:space="preserve">introduce new safeguards at the SMSF establishment </w:t>
      </w:r>
      <w:r w:rsidR="006044DF">
        <w:rPr>
          <w:rFonts w:asciiTheme="minorHAnsi" w:eastAsiaTheme="minorEastAsia" w:hAnsiTheme="minorHAnsi" w:cstheme="minorBidi"/>
          <w:sz w:val="22"/>
          <w:szCs w:val="21"/>
          <w:lang w:eastAsia="en-US"/>
        </w:rPr>
        <w:t xml:space="preserve">and registration </w:t>
      </w:r>
      <w:r w:rsidRPr="00F55D72">
        <w:rPr>
          <w:rFonts w:asciiTheme="minorHAnsi" w:eastAsiaTheme="minorEastAsia" w:hAnsiTheme="minorHAnsi" w:cstheme="minorBidi"/>
          <w:sz w:val="22"/>
          <w:szCs w:val="21"/>
          <w:lang w:eastAsia="en-US"/>
        </w:rPr>
        <w:t>stage:</w:t>
      </w:r>
    </w:p>
    <w:p w14:paraId="061F388C" w14:textId="218990A0" w:rsidR="00996376" w:rsidRPr="00F55D72" w:rsidRDefault="00956629" w:rsidP="0091397D">
      <w:pPr>
        <w:pStyle w:val="Bullet"/>
      </w:pPr>
      <w:r w:rsidRPr="00F55D72">
        <w:t>Introduce n</w:t>
      </w:r>
      <w:r w:rsidR="00996376" w:rsidRPr="00F55D72">
        <w:t>ew powers for the Australian Taxation Office (ATO) to delay SMSF registration and prevent rollovers while concerns are investigated.</w:t>
      </w:r>
    </w:p>
    <w:p w14:paraId="76C90F79" w14:textId="4A5CB37C" w:rsidR="00996376" w:rsidRPr="00F55D72" w:rsidRDefault="003A31DC" w:rsidP="0091397D">
      <w:pPr>
        <w:pStyle w:val="Bullet"/>
      </w:pPr>
      <w:r w:rsidRPr="00F55D72">
        <w:t>Introduce m</w:t>
      </w:r>
      <w:r w:rsidR="00996376" w:rsidRPr="00F55D72">
        <w:t xml:space="preserve">andatory trustee education prior to </w:t>
      </w:r>
      <w:r w:rsidR="00C12EAB">
        <w:t>registration</w:t>
      </w:r>
      <w:r w:rsidR="00FE74A2" w:rsidRPr="00F55D72">
        <w:t>.</w:t>
      </w:r>
    </w:p>
    <w:p w14:paraId="1A639324" w14:textId="52183994" w:rsidR="00996376" w:rsidRPr="00F55D72" w:rsidRDefault="0027328B" w:rsidP="0091397D">
      <w:pPr>
        <w:pStyle w:val="Bullet"/>
      </w:pPr>
      <w:r w:rsidRPr="00F55D72">
        <w:t xml:space="preserve">Require </w:t>
      </w:r>
      <w:r w:rsidR="00996376" w:rsidRPr="00F55D72">
        <w:t>every SMSF to maintain a uniquely identifiable bank account in the name of the SMSF.</w:t>
      </w:r>
    </w:p>
    <w:p w14:paraId="69A2D8C2" w14:textId="1CF35CDD" w:rsidR="00996376" w:rsidRPr="00F55D72" w:rsidRDefault="007D5807" w:rsidP="0091397D">
      <w:pPr>
        <w:pStyle w:val="Bullet"/>
      </w:pPr>
      <w:r w:rsidRPr="00F55D72">
        <w:t>Require</w:t>
      </w:r>
      <w:r w:rsidR="00996376" w:rsidRPr="00F55D72">
        <w:t xml:space="preserve"> preparation of a written</w:t>
      </w:r>
      <w:r w:rsidR="001F0D03" w:rsidRPr="00F55D72">
        <w:t xml:space="preserve"> investment</w:t>
      </w:r>
      <w:r w:rsidR="00996376" w:rsidRPr="00F55D72">
        <w:t xml:space="preserve"> strategy before </w:t>
      </w:r>
      <w:r w:rsidR="00F73D0E">
        <w:t>registration</w:t>
      </w:r>
      <w:r w:rsidR="00F73D0E" w:rsidRPr="00F55D72">
        <w:t xml:space="preserve"> </w:t>
      </w:r>
      <w:r w:rsidR="00996376" w:rsidRPr="00F55D72">
        <w:t>and submission to the ATO.</w:t>
      </w:r>
    </w:p>
    <w:p w14:paraId="31ABF73A" w14:textId="4D32F724" w:rsidR="00653762" w:rsidRPr="00F55D72" w:rsidRDefault="00956629" w:rsidP="0091397D">
      <w:pPr>
        <w:pStyle w:val="Bullet"/>
      </w:pPr>
      <w:r w:rsidRPr="00F55D72">
        <w:t xml:space="preserve">Require </w:t>
      </w:r>
      <w:r w:rsidR="00653762" w:rsidRPr="00F55D72">
        <w:t xml:space="preserve">payment of the first-year SMSF supervisory levy as a condition of </w:t>
      </w:r>
      <w:r w:rsidR="00F73D0E">
        <w:t>registration</w:t>
      </w:r>
      <w:r w:rsidR="0093517C" w:rsidRPr="00F55D72">
        <w:t xml:space="preserve">. </w:t>
      </w:r>
    </w:p>
    <w:p w14:paraId="32834257" w14:textId="4B4D1E52" w:rsidR="00FB10E3" w:rsidRPr="00F55D72" w:rsidRDefault="00FB10E3" w:rsidP="0091397D">
      <w:pPr>
        <w:pStyle w:val="Bullet"/>
      </w:pPr>
      <w:r w:rsidRPr="00F55D72">
        <w:t>Enable ATO collection of information related to advis</w:t>
      </w:r>
      <w:r w:rsidR="008B5E58">
        <w:t>e</w:t>
      </w:r>
      <w:r w:rsidRPr="00F55D72">
        <w:t>rs or other intermediaries involved in the establishment process</w:t>
      </w:r>
      <w:r w:rsidR="00956CCD">
        <w:t>, and collection of information on ongoing advice arrangements</w:t>
      </w:r>
      <w:r w:rsidR="00CE0AEF">
        <w:t xml:space="preserve">. </w:t>
      </w:r>
    </w:p>
    <w:p w14:paraId="7DEEEAD3" w14:textId="039C07A5" w:rsidR="0091397D" w:rsidRPr="00F55D72" w:rsidRDefault="0093517C" w:rsidP="0093517C">
      <w:pPr>
        <w:pStyle w:val="Bullet"/>
        <w:numPr>
          <w:ilvl w:val="0"/>
          <w:numId w:val="0"/>
        </w:numPr>
        <w:spacing w:after="0"/>
      </w:pPr>
      <w:r w:rsidRPr="00F55D72">
        <w:t xml:space="preserve">As well as these safeguards, the </w:t>
      </w:r>
      <w:r w:rsidR="00413AC4">
        <w:t>reforms</w:t>
      </w:r>
      <w:r w:rsidR="00413AC4" w:rsidRPr="00F55D72">
        <w:t xml:space="preserve"> </w:t>
      </w:r>
      <w:r w:rsidRPr="00F55D72">
        <w:t>also raise the level of the annual SMSF levy from $259 to $</w:t>
      </w:r>
      <w:r w:rsidR="00A659F9">
        <w:t>295</w:t>
      </w:r>
      <w:r w:rsidRPr="00F55D72">
        <w:t xml:space="preserve"> </w:t>
      </w:r>
      <w:r w:rsidR="00C83388" w:rsidRPr="00F55D72">
        <w:t xml:space="preserve">to </w:t>
      </w:r>
      <w:r w:rsidR="009F4141" w:rsidRPr="00F55D72">
        <w:t>account for the additional regulatory activities</w:t>
      </w:r>
      <w:r w:rsidR="006A2084" w:rsidRPr="00F55D72">
        <w:t xml:space="preserve"> necessary to give effect to this package. </w:t>
      </w:r>
    </w:p>
    <w:p w14:paraId="7511AD93" w14:textId="77777777" w:rsidR="0091397D" w:rsidRPr="00F55D72" w:rsidRDefault="0091397D" w:rsidP="0093517C">
      <w:pPr>
        <w:pStyle w:val="Bullet"/>
        <w:numPr>
          <w:ilvl w:val="0"/>
          <w:numId w:val="0"/>
        </w:numPr>
        <w:spacing w:after="0"/>
      </w:pPr>
    </w:p>
    <w:p w14:paraId="3E09C163" w14:textId="3431FF6C" w:rsidR="00BE0518" w:rsidRDefault="00BE0518" w:rsidP="0093517C">
      <w:pPr>
        <w:pStyle w:val="Bullet"/>
        <w:numPr>
          <w:ilvl w:val="0"/>
          <w:numId w:val="0"/>
        </w:numPr>
        <w:spacing w:after="0"/>
      </w:pPr>
      <w:r w:rsidRPr="00F55D72">
        <w:t xml:space="preserve">This set of </w:t>
      </w:r>
      <w:r w:rsidR="00413AC4">
        <w:t>reforms</w:t>
      </w:r>
      <w:r w:rsidR="00413AC4" w:rsidRPr="00F55D72">
        <w:t xml:space="preserve"> </w:t>
      </w:r>
      <w:r w:rsidR="00340F34" w:rsidRPr="00F55D72">
        <w:t xml:space="preserve">has </w:t>
      </w:r>
      <w:proofErr w:type="gramStart"/>
      <w:r w:rsidR="00340F34" w:rsidRPr="00F55D72">
        <w:t>a number of</w:t>
      </w:r>
      <w:proofErr w:type="gramEnd"/>
      <w:r w:rsidR="00340F34" w:rsidRPr="00F55D72">
        <w:t xml:space="preserve"> policy objectives, including: </w:t>
      </w:r>
    </w:p>
    <w:p w14:paraId="4B21C7F3" w14:textId="77777777" w:rsidR="002606AA" w:rsidRPr="002606AA" w:rsidRDefault="002606AA" w:rsidP="002606AA">
      <w:pPr>
        <w:jc w:val="center"/>
      </w:pPr>
    </w:p>
    <w:p w14:paraId="18DAE017" w14:textId="2DBE07A9" w:rsidR="00914149" w:rsidRPr="00F55D72" w:rsidRDefault="00914149" w:rsidP="0091397D">
      <w:pPr>
        <w:pStyle w:val="Bullet"/>
      </w:pPr>
      <w:r w:rsidRPr="00F55D72">
        <w:lastRenderedPageBreak/>
        <w:t xml:space="preserve">to improve the regulatory controls </w:t>
      </w:r>
      <w:r w:rsidR="00FE007E" w:rsidRPr="00F55D72">
        <w:t xml:space="preserve">in place </w:t>
      </w:r>
      <w:r w:rsidRPr="00F55D72">
        <w:t>that can interrupt fraudulent or ill-advised and high-risk investment schemes, akin to the Shield and First Guardian business model</w:t>
      </w:r>
    </w:p>
    <w:p w14:paraId="4173EACB" w14:textId="39716E1D" w:rsidR="00340F34" w:rsidRPr="00F55D72" w:rsidRDefault="003A31DC" w:rsidP="0091397D">
      <w:pPr>
        <w:pStyle w:val="Bullet"/>
      </w:pPr>
      <w:r w:rsidRPr="00F55D72">
        <w:t xml:space="preserve">to improve awareness of </w:t>
      </w:r>
      <w:r w:rsidR="00673BE6" w:rsidRPr="00F55D72">
        <w:t xml:space="preserve">the significant step-up in obligations and risks when an individual </w:t>
      </w:r>
      <w:r w:rsidR="002731A0" w:rsidRPr="00F55D72">
        <w:t>moves their superannuation from a</w:t>
      </w:r>
      <w:r w:rsidR="00616D51">
        <w:t xml:space="preserve">n </w:t>
      </w:r>
      <w:r w:rsidR="002731A0" w:rsidRPr="00F55D72">
        <w:t xml:space="preserve">APRA-regulated environment into the SMSF environment </w:t>
      </w:r>
    </w:p>
    <w:p w14:paraId="373B3752" w14:textId="10E9E300" w:rsidR="00863F66" w:rsidRPr="00F55D72" w:rsidRDefault="00BB154A" w:rsidP="0091397D">
      <w:pPr>
        <w:pStyle w:val="Bullet"/>
      </w:pPr>
      <w:r w:rsidRPr="00F55D72">
        <w:t>t</w:t>
      </w:r>
      <w:r w:rsidR="00863F66" w:rsidRPr="00F55D72">
        <w:t xml:space="preserve">o reduce the incidence </w:t>
      </w:r>
      <w:r w:rsidR="00162C59" w:rsidRPr="00F55D72">
        <w:t xml:space="preserve">of SMSFs being set up without genuine intention to operate the fund for the purpose of delivering </w:t>
      </w:r>
      <w:r w:rsidR="00590A6D" w:rsidRPr="00F55D72">
        <w:t>retirement income</w:t>
      </w:r>
      <w:r w:rsidR="00934A8F" w:rsidRPr="00F55D72">
        <w:t>. There are a broad range of misuses of SMSFs due to the autonomy offered</w:t>
      </w:r>
      <w:r w:rsidR="00D42AD4" w:rsidRPr="00F55D72">
        <w:t xml:space="preserve"> – including </w:t>
      </w:r>
      <w:r w:rsidR="00382A41" w:rsidRPr="00F55D72">
        <w:t xml:space="preserve">a </w:t>
      </w:r>
      <w:r w:rsidR="00D42AD4" w:rsidRPr="00F55D72">
        <w:t xml:space="preserve">range of contraventions </w:t>
      </w:r>
      <w:r w:rsidR="00382A41" w:rsidRPr="00F55D72">
        <w:t>of the regulatory framework that exists to ensure SMSFs are used for gen</w:t>
      </w:r>
      <w:r w:rsidR="00A45485" w:rsidRPr="00F55D72">
        <w:t>uine purposes. This may include:</w:t>
      </w:r>
    </w:p>
    <w:p w14:paraId="226D9945" w14:textId="6FECA09D" w:rsidR="00A45485" w:rsidRPr="00F55D72" w:rsidRDefault="00707D87" w:rsidP="006053B0">
      <w:pPr>
        <w:pStyle w:val="Dash"/>
      </w:pPr>
      <w:r w:rsidRPr="00F55D72">
        <w:t>Illegal early access to super through the SMSF</w:t>
      </w:r>
    </w:p>
    <w:p w14:paraId="2E71C50F" w14:textId="7BD37CF2" w:rsidR="00707D87" w:rsidRPr="00F55D72" w:rsidRDefault="00707D87" w:rsidP="00A45485">
      <w:pPr>
        <w:pStyle w:val="Dash"/>
      </w:pPr>
      <w:r w:rsidRPr="00F55D72">
        <w:t xml:space="preserve">Prohibited loans to related parties, including members or relatives </w:t>
      </w:r>
    </w:p>
    <w:p w14:paraId="24A8361B" w14:textId="58D42D56" w:rsidR="00707D87" w:rsidRPr="00F55D72" w:rsidRDefault="004B1F7C" w:rsidP="00A45485">
      <w:pPr>
        <w:pStyle w:val="Dash"/>
      </w:pPr>
      <w:r w:rsidRPr="00F55D72">
        <w:t>Acquiring assets from a related party</w:t>
      </w:r>
    </w:p>
    <w:p w14:paraId="57AC3611" w14:textId="010D9C03" w:rsidR="008634C4" w:rsidRPr="00F55D72" w:rsidRDefault="008634C4" w:rsidP="00A45485">
      <w:pPr>
        <w:pStyle w:val="Dash"/>
      </w:pPr>
      <w:r w:rsidRPr="00F55D72">
        <w:t xml:space="preserve">Failure to submit year-end SMSF annual </w:t>
      </w:r>
      <w:proofErr w:type="gramStart"/>
      <w:r w:rsidRPr="00F55D72">
        <w:t>returns, and</w:t>
      </w:r>
      <w:proofErr w:type="gramEnd"/>
      <w:r w:rsidRPr="00F55D72">
        <w:t xml:space="preserve"> pay the associate</w:t>
      </w:r>
      <w:r w:rsidR="00AB1134" w:rsidRPr="00F55D72">
        <w:t>d</w:t>
      </w:r>
      <w:r w:rsidRPr="00F55D72">
        <w:t xml:space="preserve"> SMSF supervisory levy</w:t>
      </w:r>
      <w:r w:rsidR="008F1507">
        <w:t>.</w:t>
      </w:r>
    </w:p>
    <w:p w14:paraId="175BC997" w14:textId="4B97850B" w:rsidR="00BB154A" w:rsidRPr="00F55D72" w:rsidRDefault="00BB154A" w:rsidP="00BB154A">
      <w:pPr>
        <w:pStyle w:val="Bullet"/>
      </w:pPr>
      <w:r w:rsidRPr="00F55D72">
        <w:t xml:space="preserve">to </w:t>
      </w:r>
      <w:r w:rsidR="00FC753D" w:rsidRPr="00F55D72">
        <w:t xml:space="preserve">improve the </w:t>
      </w:r>
      <w:r w:rsidR="00CD6F00" w:rsidRPr="00F55D72">
        <w:t xml:space="preserve">baseline </w:t>
      </w:r>
      <w:r w:rsidR="00FC753D" w:rsidRPr="00F55D72">
        <w:t>level of commitment and planning that</w:t>
      </w:r>
      <w:r w:rsidR="000D7AFC" w:rsidRPr="00F55D72">
        <w:t xml:space="preserve"> trustees must show prior to an SMSF</w:t>
      </w:r>
      <w:r w:rsidR="004273C0">
        <w:t xml:space="preserve"> being registered and issued a notice of compliance</w:t>
      </w:r>
      <w:r w:rsidR="00BF0D47">
        <w:t>.</w:t>
      </w:r>
    </w:p>
    <w:p w14:paraId="354EDF9D" w14:textId="7A17FFFE" w:rsidR="00FC753D" w:rsidRPr="00F55D72" w:rsidRDefault="00CD6F00" w:rsidP="00BB154A">
      <w:pPr>
        <w:pStyle w:val="Bullet"/>
      </w:pPr>
      <w:r w:rsidRPr="00F55D72">
        <w:t xml:space="preserve">to </w:t>
      </w:r>
      <w:r w:rsidR="002C0B2A" w:rsidRPr="00F55D72">
        <w:t>improve the flow of information to regulators</w:t>
      </w:r>
      <w:r w:rsidR="00CF458A">
        <w:t xml:space="preserve"> to support them t</w:t>
      </w:r>
      <w:r w:rsidR="006E5990">
        <w:t>o intervene to reduce investor losses</w:t>
      </w:r>
      <w:r w:rsidR="002C0B2A" w:rsidRPr="00F55D72">
        <w:t>.</w:t>
      </w:r>
    </w:p>
    <w:p w14:paraId="5C005F24" w14:textId="38C618A7" w:rsidR="00795AC5" w:rsidRPr="00F55D72" w:rsidRDefault="00795AC5" w:rsidP="00782113">
      <w:pPr>
        <w:pStyle w:val="Bullet"/>
        <w:numPr>
          <w:ilvl w:val="0"/>
          <w:numId w:val="0"/>
        </w:numPr>
      </w:pPr>
      <w:r>
        <w:t xml:space="preserve">The reforms will be supported by </w:t>
      </w:r>
      <w:r w:rsidR="00003BB0">
        <w:t xml:space="preserve">other </w:t>
      </w:r>
      <w:r w:rsidR="00197F44">
        <w:t xml:space="preserve">ongoing </w:t>
      </w:r>
      <w:r w:rsidR="00003BB0">
        <w:t xml:space="preserve">ATO regulatory initiatives </w:t>
      </w:r>
      <w:r w:rsidR="00413A39">
        <w:t xml:space="preserve">to better inform individuals of the financial risks involved in choosing to manage superannuation through an SMSF – including </w:t>
      </w:r>
      <w:r w:rsidR="00124FE2">
        <w:t xml:space="preserve">exploring opportunities to </w:t>
      </w:r>
      <w:r w:rsidR="00E64ADF">
        <w:t>improve the visibility of information</w:t>
      </w:r>
      <w:r w:rsidR="000617D0">
        <w:t xml:space="preserve"> on SMSF investment rates of return and SMSF advice fees</w:t>
      </w:r>
      <w:r w:rsidR="00E64ADF">
        <w:t xml:space="preserve">. </w:t>
      </w:r>
    </w:p>
    <w:p w14:paraId="217D5DB4" w14:textId="77777777" w:rsidR="001B2C89" w:rsidRDefault="005F3B45" w:rsidP="001B2C89">
      <w:pPr>
        <w:pStyle w:val="Heading2"/>
      </w:pPr>
      <w:r w:rsidRPr="005F3B45">
        <w:t>Policy problem</w:t>
      </w:r>
    </w:p>
    <w:p w14:paraId="3F3ACC5F" w14:textId="1A4024CA" w:rsidR="004B45F9" w:rsidRPr="00084F44" w:rsidRDefault="00F22E54" w:rsidP="00084F44">
      <w:pPr>
        <w:rPr>
          <w:color w:val="auto"/>
        </w:rPr>
      </w:pPr>
      <w:r w:rsidRPr="00F55D72">
        <w:rPr>
          <w:color w:val="auto"/>
        </w:rPr>
        <w:t xml:space="preserve">The Shield and First Guardian </w:t>
      </w:r>
      <w:r w:rsidR="00CC2458" w:rsidRPr="00F55D72">
        <w:rPr>
          <w:color w:val="auto"/>
        </w:rPr>
        <w:t>collapse exposed a complex</w:t>
      </w:r>
      <w:r w:rsidR="00D826E3" w:rsidRPr="00F55D72">
        <w:rPr>
          <w:color w:val="auto"/>
        </w:rPr>
        <w:t xml:space="preserve"> </w:t>
      </w:r>
      <w:r w:rsidR="00CC2458" w:rsidRPr="00F55D72">
        <w:rPr>
          <w:color w:val="auto"/>
        </w:rPr>
        <w:t xml:space="preserve">business model that ultimately targeted </w:t>
      </w:r>
      <w:r w:rsidR="00E035B5" w:rsidRPr="00F55D72">
        <w:rPr>
          <w:color w:val="auto"/>
        </w:rPr>
        <w:t xml:space="preserve">and led to the loss of </w:t>
      </w:r>
      <w:r w:rsidR="00CC2458" w:rsidRPr="00F55D72">
        <w:rPr>
          <w:color w:val="auto"/>
        </w:rPr>
        <w:t xml:space="preserve">superannuation savings. </w:t>
      </w:r>
      <w:r w:rsidR="00327832">
        <w:rPr>
          <w:color w:val="auto"/>
        </w:rPr>
        <w:t>T</w:t>
      </w:r>
      <w:r w:rsidR="00ED7798" w:rsidRPr="00F55D72">
        <w:rPr>
          <w:color w:val="auto"/>
        </w:rPr>
        <w:t xml:space="preserve">his package </w:t>
      </w:r>
      <w:r w:rsidR="001F02C9">
        <w:rPr>
          <w:color w:val="auto"/>
        </w:rPr>
        <w:t>targeted at SMSF establishments</w:t>
      </w:r>
      <w:r w:rsidR="00ED7798" w:rsidRPr="00F55D72">
        <w:rPr>
          <w:color w:val="auto"/>
        </w:rPr>
        <w:t xml:space="preserve"> is necessary as part of the Government’s response to </w:t>
      </w:r>
      <w:r w:rsidR="009511FA" w:rsidRPr="00F55D72">
        <w:rPr>
          <w:color w:val="auto"/>
        </w:rPr>
        <w:t xml:space="preserve">the Shield and </w:t>
      </w:r>
      <w:r w:rsidR="00ED7798" w:rsidRPr="00F55D72">
        <w:rPr>
          <w:color w:val="auto"/>
        </w:rPr>
        <w:t>First Guardian</w:t>
      </w:r>
      <w:r w:rsidR="009511FA" w:rsidRPr="00F55D72">
        <w:rPr>
          <w:color w:val="auto"/>
        </w:rPr>
        <w:t xml:space="preserve"> collapse</w:t>
      </w:r>
      <w:r w:rsidR="00825D54">
        <w:rPr>
          <w:color w:val="auto"/>
        </w:rPr>
        <w:t xml:space="preserve">. </w:t>
      </w:r>
      <w:r w:rsidR="004B45F9" w:rsidRPr="00CD6905">
        <w:rPr>
          <w:color w:val="auto"/>
        </w:rPr>
        <w:t xml:space="preserve">While the Shield and First Guardian collapses </w:t>
      </w:r>
      <w:r w:rsidR="007519D1" w:rsidRPr="00CD6905">
        <w:rPr>
          <w:color w:val="auto"/>
        </w:rPr>
        <w:t>primarily involved</w:t>
      </w:r>
      <w:r w:rsidR="004B45F9" w:rsidRPr="00CD6905">
        <w:rPr>
          <w:color w:val="auto"/>
        </w:rPr>
        <w:t xml:space="preserve"> superannuation platforms, SMSFs have previously been at the centre of </w:t>
      </w:r>
      <w:r w:rsidR="00482C86" w:rsidRPr="00CD6905">
        <w:rPr>
          <w:color w:val="auto"/>
        </w:rPr>
        <w:t xml:space="preserve">other </w:t>
      </w:r>
      <w:r w:rsidR="004B45F9" w:rsidRPr="00CD6905">
        <w:rPr>
          <w:color w:val="auto"/>
        </w:rPr>
        <w:t>large</w:t>
      </w:r>
      <w:r w:rsidR="004B45F9" w:rsidRPr="00CD6905">
        <w:rPr>
          <w:color w:val="auto"/>
        </w:rPr>
        <w:noBreakHyphen/>
        <w:t>scale loss events involving misconduct</w:t>
      </w:r>
      <w:r w:rsidR="009B3C85">
        <w:rPr>
          <w:rStyle w:val="FootnoteReference"/>
          <w:color w:val="auto"/>
        </w:rPr>
        <w:footnoteReference w:id="1"/>
      </w:r>
      <w:r w:rsidR="00EB4F97" w:rsidRPr="00084F44">
        <w:rPr>
          <w:color w:val="auto"/>
        </w:rPr>
        <w:t>. T</w:t>
      </w:r>
      <w:r w:rsidR="004B45F9" w:rsidRPr="00084F44">
        <w:rPr>
          <w:color w:val="auto"/>
        </w:rPr>
        <w:t>here w</w:t>
      </w:r>
      <w:r w:rsidR="00EB4F97" w:rsidRPr="00084F44">
        <w:rPr>
          <w:color w:val="auto"/>
        </w:rPr>
        <w:t>as also a significant</w:t>
      </w:r>
      <w:r w:rsidR="004B45F9" w:rsidRPr="00084F44">
        <w:rPr>
          <w:color w:val="auto"/>
        </w:rPr>
        <w:t xml:space="preserve"> subset of targeted individuals that invested into Shield and First Guardian through SMSFs.</w:t>
      </w:r>
    </w:p>
    <w:p w14:paraId="2EE6D5BA" w14:textId="556C7243" w:rsidR="00ED7798" w:rsidRPr="00F55D72" w:rsidRDefault="00082F56" w:rsidP="00084F44">
      <w:pPr>
        <w:pStyle w:val="OutlineNumbered1"/>
        <w:numPr>
          <w:ilvl w:val="0"/>
          <w:numId w:val="0"/>
        </w:numPr>
        <w:rPr>
          <w:color w:val="auto"/>
        </w:rPr>
      </w:pPr>
      <w:r w:rsidRPr="00F55D72">
        <w:rPr>
          <w:color w:val="auto"/>
        </w:rPr>
        <w:t xml:space="preserve">The Government’s response to the Shield and First Guardian collapse will enhance protections at various other stages in the business model that led to these collapses – for example protections for members in platforms, and </w:t>
      </w:r>
      <w:r w:rsidR="00B1213E" w:rsidRPr="00F55D72">
        <w:rPr>
          <w:color w:val="auto"/>
        </w:rPr>
        <w:t>restrictions on marketing / lead generation activity</w:t>
      </w:r>
      <w:r w:rsidR="004B45F9" w:rsidRPr="00F55D72">
        <w:rPr>
          <w:color w:val="auto"/>
        </w:rPr>
        <w:t>.</w:t>
      </w:r>
      <w:r w:rsidR="00B1213E" w:rsidRPr="00F55D72">
        <w:rPr>
          <w:color w:val="auto"/>
        </w:rPr>
        <w:t xml:space="preserve"> </w:t>
      </w:r>
      <w:r w:rsidR="00954F86" w:rsidRPr="00F55D72">
        <w:rPr>
          <w:color w:val="auto"/>
        </w:rPr>
        <w:t xml:space="preserve">If a </w:t>
      </w:r>
      <w:r w:rsidR="00C0443C" w:rsidRPr="00F55D72">
        <w:rPr>
          <w:color w:val="auto"/>
        </w:rPr>
        <w:t>government</w:t>
      </w:r>
      <w:r w:rsidR="00954F86" w:rsidRPr="00F55D72">
        <w:rPr>
          <w:color w:val="auto"/>
        </w:rPr>
        <w:t xml:space="preserve"> </w:t>
      </w:r>
      <w:r w:rsidR="00954F86" w:rsidRPr="00F55D72">
        <w:rPr>
          <w:color w:val="auto"/>
        </w:rPr>
        <w:lastRenderedPageBreak/>
        <w:t xml:space="preserve">response did not also include </w:t>
      </w:r>
      <w:r w:rsidR="00FB20C8" w:rsidRPr="00F55D72">
        <w:rPr>
          <w:color w:val="auto"/>
        </w:rPr>
        <w:t xml:space="preserve">improvements in protections for SMSFs, this could expose a gap which </w:t>
      </w:r>
      <w:r w:rsidR="000C55E4" w:rsidRPr="00F55D72">
        <w:rPr>
          <w:color w:val="auto"/>
        </w:rPr>
        <w:t>allows</w:t>
      </w:r>
      <w:r w:rsidR="00FB20C8" w:rsidRPr="00F55D72">
        <w:rPr>
          <w:color w:val="auto"/>
        </w:rPr>
        <w:t xml:space="preserve"> bad actors to refocus their attention on SMSFs for</w:t>
      </w:r>
      <w:r w:rsidR="003820D1" w:rsidRPr="00F55D72">
        <w:rPr>
          <w:color w:val="auto"/>
        </w:rPr>
        <w:t xml:space="preserve"> similar</w:t>
      </w:r>
      <w:r w:rsidR="00FB20C8" w:rsidRPr="00F55D72">
        <w:rPr>
          <w:color w:val="auto"/>
        </w:rPr>
        <w:t xml:space="preserve"> future schemes. </w:t>
      </w:r>
    </w:p>
    <w:p w14:paraId="48E9020F" w14:textId="636EDA59" w:rsidR="00FB20C8" w:rsidRPr="00F55D72" w:rsidRDefault="00D826E3" w:rsidP="003532FB">
      <w:pPr>
        <w:pStyle w:val="OutlineNumbered1"/>
        <w:numPr>
          <w:ilvl w:val="0"/>
          <w:numId w:val="0"/>
        </w:numPr>
        <w:rPr>
          <w:color w:val="auto"/>
        </w:rPr>
      </w:pPr>
      <w:r w:rsidRPr="00F55D72">
        <w:rPr>
          <w:color w:val="auto"/>
        </w:rPr>
        <w:t xml:space="preserve">In addition, there are specific </w:t>
      </w:r>
      <w:r w:rsidR="0025233A" w:rsidRPr="00F55D72">
        <w:rPr>
          <w:color w:val="auto"/>
        </w:rPr>
        <w:t xml:space="preserve">and known </w:t>
      </w:r>
      <w:r w:rsidR="001548EE" w:rsidRPr="00F55D72">
        <w:rPr>
          <w:color w:val="auto"/>
        </w:rPr>
        <w:t xml:space="preserve">deficiencies </w:t>
      </w:r>
      <w:r w:rsidR="003532FB" w:rsidRPr="00F55D72">
        <w:rPr>
          <w:color w:val="auto"/>
        </w:rPr>
        <w:t xml:space="preserve">in the SMSF regulatory environment that the </w:t>
      </w:r>
      <w:r w:rsidR="00112B68">
        <w:rPr>
          <w:color w:val="auto"/>
        </w:rPr>
        <w:t>reforms</w:t>
      </w:r>
      <w:r w:rsidR="00112B68" w:rsidRPr="00F55D72">
        <w:rPr>
          <w:color w:val="auto"/>
        </w:rPr>
        <w:t xml:space="preserve"> </w:t>
      </w:r>
      <w:r w:rsidR="003532FB" w:rsidRPr="00F55D72">
        <w:rPr>
          <w:color w:val="auto"/>
        </w:rPr>
        <w:t>seek to improve upon</w:t>
      </w:r>
      <w:r w:rsidR="006E6648" w:rsidRPr="00F55D72">
        <w:rPr>
          <w:color w:val="auto"/>
        </w:rPr>
        <w:t xml:space="preserve">, as well as general market and environmental </w:t>
      </w:r>
      <w:r w:rsidR="00FB2FE9" w:rsidRPr="00F55D72">
        <w:rPr>
          <w:color w:val="auto"/>
        </w:rPr>
        <w:t>developments in recent years that warrant this intervention</w:t>
      </w:r>
      <w:r w:rsidR="003532FB" w:rsidRPr="00F55D72">
        <w:rPr>
          <w:color w:val="auto"/>
        </w:rPr>
        <w:t>:</w:t>
      </w:r>
    </w:p>
    <w:p w14:paraId="30CD4828" w14:textId="46931010" w:rsidR="003532FB" w:rsidRPr="00F55D72" w:rsidRDefault="00311D8A" w:rsidP="003532FB">
      <w:pPr>
        <w:pStyle w:val="Bullet"/>
      </w:pPr>
      <w:r>
        <w:t xml:space="preserve">Industry </w:t>
      </w:r>
      <w:r w:rsidR="00B43125">
        <w:t>and regulator intelligence sugg</w:t>
      </w:r>
      <w:r w:rsidR="0017273A">
        <w:t>ests that i</w:t>
      </w:r>
      <w:r w:rsidR="006E6648" w:rsidRPr="00F55D72">
        <w:t>mproved t</w:t>
      </w:r>
      <w:r w:rsidR="00B450B6" w:rsidRPr="00F55D72">
        <w:t xml:space="preserve">echnology </w:t>
      </w:r>
      <w:r w:rsidR="00014792">
        <w:t xml:space="preserve">has led to </w:t>
      </w:r>
      <w:r w:rsidR="00FA4FAC">
        <w:t xml:space="preserve">a higher proportion of SMSFs being established with the assistance of low-cost and low-administration burden service providers. </w:t>
      </w:r>
      <w:r w:rsidR="000F2FA5">
        <w:t>Th</w:t>
      </w:r>
      <w:r w:rsidR="00E96D2E">
        <w:t>is means</w:t>
      </w:r>
      <w:r w:rsidR="000F2FA5">
        <w:t xml:space="preserve"> </w:t>
      </w:r>
      <w:r w:rsidR="00D7153D" w:rsidRPr="00F55D72">
        <w:t>SMSF</w:t>
      </w:r>
      <w:r w:rsidR="000F2FA5">
        <w:t>s</w:t>
      </w:r>
      <w:r w:rsidR="00D7153D" w:rsidRPr="00F55D72">
        <w:t xml:space="preserve"> can be established very easily and quickly, with or without licensed </w:t>
      </w:r>
      <w:r w:rsidR="00B1350A" w:rsidRPr="00F55D72">
        <w:t xml:space="preserve">financial advice. </w:t>
      </w:r>
      <w:r w:rsidR="00FD2E9D" w:rsidRPr="00F55D72">
        <w:t xml:space="preserve">While speed and ease of establishment isn’t </w:t>
      </w:r>
      <w:r w:rsidR="004A3538" w:rsidRPr="00F55D72">
        <w:t xml:space="preserve">problematic in and of itself, it adds to the risk of </w:t>
      </w:r>
      <w:r w:rsidR="00F00C9E" w:rsidRPr="00F55D72">
        <w:t>individuals being persuaded to open an SMSF</w:t>
      </w:r>
      <w:r w:rsidR="000E611B" w:rsidRPr="00F55D72">
        <w:t xml:space="preserve"> for inappropriate, </w:t>
      </w:r>
      <w:proofErr w:type="gramStart"/>
      <w:r w:rsidR="000E611B" w:rsidRPr="00F55D72">
        <w:t>high risk</w:t>
      </w:r>
      <w:proofErr w:type="gramEnd"/>
      <w:r w:rsidR="000E611B" w:rsidRPr="00F55D72">
        <w:t xml:space="preserve"> investments or outright fraudulent schemes. </w:t>
      </w:r>
      <w:r w:rsidR="00BE0B7E" w:rsidRPr="00F55D72">
        <w:t>Th</w:t>
      </w:r>
      <w:r w:rsidR="00583D69" w:rsidRPr="00F55D72">
        <w:t>is</w:t>
      </w:r>
      <w:r w:rsidR="00BE0B7E" w:rsidRPr="00F55D72">
        <w:t xml:space="preserve"> speed and ease </w:t>
      </w:r>
      <w:proofErr w:type="gramStart"/>
      <w:r w:rsidR="00BE0B7E" w:rsidRPr="00F55D72">
        <w:t>means</w:t>
      </w:r>
      <w:proofErr w:type="gramEnd"/>
      <w:r w:rsidR="00BE0B7E" w:rsidRPr="00F55D72">
        <w:t xml:space="preserve"> there </w:t>
      </w:r>
      <w:r w:rsidR="00A7127E" w:rsidRPr="00F55D72">
        <w:t xml:space="preserve">can be limited </w:t>
      </w:r>
      <w:r w:rsidR="005A1C2F">
        <w:t xml:space="preserve">access to </w:t>
      </w:r>
      <w:r w:rsidR="00A7127E" w:rsidRPr="00F55D72">
        <w:t xml:space="preserve">third-party </w:t>
      </w:r>
      <w:r w:rsidR="00A7127E">
        <w:t>perspective</w:t>
      </w:r>
      <w:r w:rsidR="005A1C2F">
        <w:t>s</w:t>
      </w:r>
      <w:r w:rsidR="00A7127E" w:rsidRPr="00F55D72">
        <w:t xml:space="preserve"> </w:t>
      </w:r>
      <w:r w:rsidR="007A5A42" w:rsidRPr="00F55D72">
        <w:t xml:space="preserve">for individuals under pressure, and limited time for the individuals to deliberate on the decision. </w:t>
      </w:r>
    </w:p>
    <w:p w14:paraId="0ABD6D2A" w14:textId="3E584FFE" w:rsidR="00501160" w:rsidRPr="00F55D72" w:rsidRDefault="00C46C4F" w:rsidP="003532FB">
      <w:pPr>
        <w:pStyle w:val="Bullet"/>
      </w:pPr>
      <w:r w:rsidRPr="00F55D72">
        <w:t xml:space="preserve">Individuals are not currently required to display an understanding of their regulatory obligations </w:t>
      </w:r>
      <w:r w:rsidR="0068676E">
        <w:t>as the trustee of</w:t>
      </w:r>
      <w:r w:rsidR="0068676E" w:rsidRPr="00F55D72">
        <w:t xml:space="preserve"> </w:t>
      </w:r>
      <w:r w:rsidRPr="00F55D72">
        <w:t>an SMSF</w:t>
      </w:r>
      <w:r w:rsidR="00501160" w:rsidRPr="00F55D72">
        <w:t xml:space="preserve">, </w:t>
      </w:r>
      <w:r w:rsidR="003B3048">
        <w:t>or</w:t>
      </w:r>
      <w:r w:rsidR="00501160" w:rsidRPr="00F55D72">
        <w:t xml:space="preserve"> acknowledge the additional risks involved compared to a</w:t>
      </w:r>
      <w:r w:rsidR="002549B3">
        <w:t>n</w:t>
      </w:r>
      <w:r w:rsidR="00501160" w:rsidRPr="00F55D72">
        <w:t xml:space="preserve"> APRA-regulated super fund</w:t>
      </w:r>
      <w:r w:rsidRPr="00F55D72">
        <w:t>.</w:t>
      </w:r>
    </w:p>
    <w:p w14:paraId="138AFE6A" w14:textId="506D825B" w:rsidR="004915C0" w:rsidRPr="00F55D72" w:rsidRDefault="0005528D" w:rsidP="003532FB">
      <w:pPr>
        <w:pStyle w:val="Bullet"/>
      </w:pPr>
      <w:r w:rsidRPr="00F55D72">
        <w:t xml:space="preserve">The ATO currently has limited </w:t>
      </w:r>
      <w:r w:rsidR="002D74C7" w:rsidRPr="00F55D72">
        <w:t>ability to withhold an SMSF’s notice of compliance where it has concerns</w:t>
      </w:r>
      <w:r w:rsidR="00346A5C" w:rsidRPr="00F55D72">
        <w:t xml:space="preserve">. This means in many cases an SMSF must be </w:t>
      </w:r>
      <w:r w:rsidR="00066690" w:rsidRPr="00F55D72">
        <w:t>established</w:t>
      </w:r>
      <w:r w:rsidR="003E7384">
        <w:t xml:space="preserve"> and registered</w:t>
      </w:r>
      <w:r w:rsidR="00066690" w:rsidRPr="00F55D72">
        <w:t>,</w:t>
      </w:r>
      <w:r w:rsidR="00346A5C" w:rsidRPr="00F55D72">
        <w:t xml:space="preserve"> </w:t>
      </w:r>
      <w:r w:rsidR="007940E4" w:rsidRPr="00F55D72">
        <w:t xml:space="preserve">and a contravention must occur before the ATO can intervene. </w:t>
      </w:r>
      <w:r w:rsidR="00D84FB8" w:rsidRPr="00D84FB8">
        <w:t xml:space="preserve">In cases of illegal early access, it can be the case that the ATO has strong indicators suggesting an individual is intending to access their super </w:t>
      </w:r>
      <w:proofErr w:type="gramStart"/>
      <w:r w:rsidR="00D84FB8" w:rsidRPr="00D84FB8">
        <w:t>illegally</w:t>
      </w:r>
      <w:proofErr w:type="gramEnd"/>
      <w:r w:rsidR="00D84FB8" w:rsidRPr="00D84FB8">
        <w:t xml:space="preserve"> but the ATO cannot intervene to prevent it occurring. In other cases, individuals may have been misled by a scheme promoter to believe that early access to super through an SMSF is legal, and current regulatory requirements and processes are insufficient to warn the individual it is illegal and has significant consequences.</w:t>
      </w:r>
    </w:p>
    <w:p w14:paraId="4CE7FF06" w14:textId="05257D44" w:rsidR="005C3647" w:rsidRDefault="005C3647" w:rsidP="00E677C1">
      <w:pPr>
        <w:pStyle w:val="Dash"/>
      </w:pPr>
      <w:r>
        <w:t>Examples of illegal early access t</w:t>
      </w:r>
      <w:r w:rsidR="006620D9">
        <w:t>hrough SMSFs include withdrawals of superannuation to pay for personal expenses such as credit card debt, buying a house or a car</w:t>
      </w:r>
      <w:r w:rsidR="002A1247">
        <w:t xml:space="preserve"> or other personal asset</w:t>
      </w:r>
      <w:r w:rsidR="00884417">
        <w:t>,</w:t>
      </w:r>
      <w:r w:rsidR="006620D9">
        <w:t xml:space="preserve"> </w:t>
      </w:r>
      <w:r w:rsidR="00A86801">
        <w:t>or going on holiday.</w:t>
      </w:r>
    </w:p>
    <w:p w14:paraId="58F544AB" w14:textId="11F4D5EA" w:rsidR="004F7BE1" w:rsidRDefault="004F7BE1" w:rsidP="00E677C1">
      <w:pPr>
        <w:pStyle w:val="Dash"/>
      </w:pPr>
      <w:r>
        <w:t xml:space="preserve">The ATO currently estimates </w:t>
      </w:r>
      <w:r w:rsidR="002A03CD">
        <w:t xml:space="preserve">the size of </w:t>
      </w:r>
      <w:r>
        <w:t xml:space="preserve">illegal early </w:t>
      </w:r>
      <w:r w:rsidR="002A03CD">
        <w:t>release from SMSFs at around $250</w:t>
      </w:r>
      <w:r w:rsidR="007172E0">
        <w:t> </w:t>
      </w:r>
      <w:r w:rsidR="002A03CD">
        <w:t>million per year</w:t>
      </w:r>
      <w:r w:rsidR="00F00CAE">
        <w:t xml:space="preserve">, and </w:t>
      </w:r>
      <w:proofErr w:type="gramStart"/>
      <w:r w:rsidR="00F00CAE">
        <w:t>fairly stable</w:t>
      </w:r>
      <w:proofErr w:type="gramEnd"/>
      <w:r w:rsidR="00F00CAE">
        <w:t xml:space="preserve"> post-COVID</w:t>
      </w:r>
      <w:r w:rsidR="002A03CD">
        <w:t xml:space="preserve">. </w:t>
      </w:r>
      <w:r w:rsidR="00A86801">
        <w:t>Separately, p</w:t>
      </w:r>
      <w:r w:rsidR="00F00CAE">
        <w:t xml:space="preserve">rohibited </w:t>
      </w:r>
      <w:r w:rsidR="0059135D">
        <w:t xml:space="preserve">SMSF </w:t>
      </w:r>
      <w:r w:rsidR="00F00CAE">
        <w:t>loans</w:t>
      </w:r>
      <w:r w:rsidR="0059135D">
        <w:t xml:space="preserve"> were estimated to </w:t>
      </w:r>
      <w:r w:rsidR="003B79DA">
        <w:t xml:space="preserve">be </w:t>
      </w:r>
      <w:r w:rsidR="00F00CAE">
        <w:t>around</w:t>
      </w:r>
      <w:r w:rsidR="0059135D">
        <w:t xml:space="preserve"> $</w:t>
      </w:r>
      <w:r w:rsidR="00310207">
        <w:t>40</w:t>
      </w:r>
      <w:r w:rsidR="0059135D">
        <w:t>0m</w:t>
      </w:r>
      <w:r w:rsidR="00310207">
        <w:t xml:space="preserve"> in 2022-23 – a 40 per cent increase on </w:t>
      </w:r>
      <w:r w:rsidR="00AD4200">
        <w:t>the previous year’s estimate</w:t>
      </w:r>
      <w:r w:rsidR="00310207">
        <w:t>.</w:t>
      </w:r>
      <w:r w:rsidR="0059135D">
        <w:t xml:space="preserve"> </w:t>
      </w:r>
    </w:p>
    <w:p w14:paraId="154FAC5C" w14:textId="7F6A323C" w:rsidR="007045C2" w:rsidRPr="00F55D72" w:rsidRDefault="00E1741C" w:rsidP="003532FB">
      <w:pPr>
        <w:pStyle w:val="Bullet"/>
      </w:pPr>
      <w:r w:rsidRPr="00F55D72">
        <w:t>SMSFs</w:t>
      </w:r>
      <w:r w:rsidR="00020DEA" w:rsidRPr="00F55D72">
        <w:t xml:space="preserve"> are not currently required to have a unique bank account in the</w:t>
      </w:r>
      <w:r w:rsidR="00B51E2C" w:rsidRPr="00F55D72">
        <w:t xml:space="preserve"> name of the SMSF</w:t>
      </w:r>
      <w:r w:rsidR="00020DEA" w:rsidRPr="00F55D72">
        <w:t xml:space="preserve">. This means that regulators and transferring funds have limited ability to identify if the account </w:t>
      </w:r>
      <w:r w:rsidR="00FE6E72" w:rsidRPr="00F55D72">
        <w:t>being transferred to belongs to the SMSF trustee – creating a level of fraud risk</w:t>
      </w:r>
      <w:r w:rsidR="00931431" w:rsidRPr="00F55D72">
        <w:t xml:space="preserve"> that could easily be avoided with an additional control. </w:t>
      </w:r>
    </w:p>
    <w:p w14:paraId="2235C170" w14:textId="7BC57128" w:rsidR="007940E4" w:rsidRPr="00F55D72" w:rsidRDefault="007045C2" w:rsidP="003532FB">
      <w:pPr>
        <w:pStyle w:val="Bullet"/>
      </w:pPr>
      <w:r w:rsidRPr="00F55D72">
        <w:t>SMSF</w:t>
      </w:r>
      <w:r w:rsidR="00E25854" w:rsidRPr="00F55D72">
        <w:t>s</w:t>
      </w:r>
      <w:r w:rsidRPr="00F55D72">
        <w:t xml:space="preserve"> are required to prepare an investment strategy detailing its plan</w:t>
      </w:r>
      <w:r w:rsidR="00396F6C" w:rsidRPr="00F55D72">
        <w:t xml:space="preserve"> for investment and consideration of risk and liquidity considerations. However, it is not currently a requirement that this be completed </w:t>
      </w:r>
      <w:r w:rsidR="00580A3C">
        <w:t>prior to registration</w:t>
      </w:r>
      <w:r w:rsidR="00F5000E" w:rsidRPr="00F55D72">
        <w:t xml:space="preserve"> or in writing, meaning </w:t>
      </w:r>
      <w:r w:rsidR="00F15111" w:rsidRPr="00F55D72">
        <w:t xml:space="preserve">the strategy may not be prepared until after the SMSF has committed </w:t>
      </w:r>
      <w:proofErr w:type="gramStart"/>
      <w:r w:rsidR="00F15111" w:rsidRPr="00F55D72">
        <w:t>all of</w:t>
      </w:r>
      <w:proofErr w:type="gramEnd"/>
      <w:r w:rsidR="00F15111" w:rsidRPr="00F55D72">
        <w:t xml:space="preserve"> its investments. </w:t>
      </w:r>
    </w:p>
    <w:p w14:paraId="19D76492" w14:textId="77777777" w:rsidR="006C7E16" w:rsidRPr="0091141A" w:rsidRDefault="006C7E16" w:rsidP="0026634E">
      <w:pPr>
        <w:pStyle w:val="Heading1"/>
      </w:pPr>
      <w:r w:rsidRPr="0091141A">
        <w:lastRenderedPageBreak/>
        <w:t xml:space="preserve">Summary of impacts and methodology </w:t>
      </w:r>
    </w:p>
    <w:tbl>
      <w:tblPr>
        <w:tblStyle w:val="Style1"/>
        <w:tblW w:w="5000" w:type="pct"/>
        <w:tblBorders>
          <w:top w:val="single" w:sz="8" w:space="0" w:color="0F1F35" w:themeColor="text2"/>
          <w:left w:val="single" w:sz="8" w:space="0" w:color="0F1F35" w:themeColor="text2"/>
          <w:bottom w:val="single" w:sz="8" w:space="0" w:color="0F1F35" w:themeColor="text2"/>
          <w:right w:val="single" w:sz="8" w:space="0" w:color="0F1F35" w:themeColor="text2"/>
          <w:insideH w:val="single" w:sz="8" w:space="0" w:color="0F1F35" w:themeColor="text2"/>
          <w:insideV w:val="single" w:sz="8" w:space="0" w:color="0F1F35" w:themeColor="text2"/>
        </w:tblBorders>
        <w:tblCellMar>
          <w:left w:w="85" w:type="dxa"/>
          <w:right w:w="85" w:type="dxa"/>
        </w:tblCellMar>
        <w:tblLook w:val="0620" w:firstRow="1" w:lastRow="0" w:firstColumn="0" w:lastColumn="0" w:noHBand="1" w:noVBand="1"/>
      </w:tblPr>
      <w:tblGrid>
        <w:gridCol w:w="1430"/>
        <w:gridCol w:w="2104"/>
        <w:gridCol w:w="1754"/>
        <w:gridCol w:w="1929"/>
        <w:gridCol w:w="2401"/>
      </w:tblGrid>
      <w:tr w:rsidR="00364D89" w14:paraId="52B814F7" w14:textId="77777777" w:rsidTr="001003ED">
        <w:trPr>
          <w:cnfStyle w:val="100000000000" w:firstRow="1" w:lastRow="0" w:firstColumn="0" w:lastColumn="0" w:oddVBand="0" w:evenVBand="0" w:oddHBand="0" w:evenHBand="0" w:firstRowFirstColumn="0" w:firstRowLastColumn="0" w:lastRowFirstColumn="0" w:lastRowLastColumn="0"/>
          <w:tblHeader/>
        </w:trPr>
        <w:tc>
          <w:tcPr>
            <w:tcW w:w="743" w:type="pct"/>
            <w:shd w:val="clear" w:color="auto" w:fill="0F1F35" w:themeFill="text2"/>
          </w:tcPr>
          <w:p w14:paraId="05F86657" w14:textId="77777777" w:rsidR="00364D89" w:rsidRPr="0004246F" w:rsidRDefault="00364D89" w:rsidP="006C62B2">
            <w:pPr>
              <w:pStyle w:val="TBLText"/>
              <w:spacing w:after="0"/>
              <w:rPr>
                <w:color w:val="FFFFFF" w:themeColor="background1"/>
              </w:rPr>
            </w:pPr>
            <w:r w:rsidRPr="0004246F">
              <w:rPr>
                <w:color w:val="FFFFFF" w:themeColor="background1"/>
              </w:rPr>
              <w:t>Option</w:t>
            </w:r>
          </w:p>
        </w:tc>
        <w:tc>
          <w:tcPr>
            <w:tcW w:w="1094" w:type="pct"/>
            <w:shd w:val="clear" w:color="auto" w:fill="0F1F35" w:themeFill="text2"/>
          </w:tcPr>
          <w:p w14:paraId="257AD785" w14:textId="217D019D" w:rsidR="00364D89" w:rsidRPr="0004246F" w:rsidRDefault="00364D89" w:rsidP="00542ECD">
            <w:pPr>
              <w:pStyle w:val="TBLText"/>
              <w:spacing w:after="0"/>
              <w:jc w:val="right"/>
              <w:rPr>
                <w:color w:val="FFFFFF" w:themeColor="background1"/>
              </w:rPr>
            </w:pPr>
            <w:r w:rsidRPr="0004246F">
              <w:rPr>
                <w:color w:val="FFFFFF" w:themeColor="background1"/>
              </w:rPr>
              <w:t xml:space="preserve">Benefits </w:t>
            </w:r>
          </w:p>
        </w:tc>
        <w:tc>
          <w:tcPr>
            <w:tcW w:w="912" w:type="pct"/>
            <w:shd w:val="clear" w:color="auto" w:fill="0F1F35" w:themeFill="text2"/>
          </w:tcPr>
          <w:p w14:paraId="74AAE0D4" w14:textId="1D6F7705" w:rsidR="00364D89" w:rsidRPr="0004246F" w:rsidRDefault="00364D89" w:rsidP="00542ECD">
            <w:pPr>
              <w:pStyle w:val="TBLText"/>
              <w:spacing w:after="0"/>
              <w:jc w:val="right"/>
              <w:rPr>
                <w:color w:val="FFFFFF" w:themeColor="background1"/>
              </w:rPr>
            </w:pPr>
            <w:r w:rsidRPr="0004246F">
              <w:rPr>
                <w:color w:val="FFFFFF" w:themeColor="background1"/>
              </w:rPr>
              <w:t>Other costs</w:t>
            </w:r>
          </w:p>
        </w:tc>
        <w:tc>
          <w:tcPr>
            <w:tcW w:w="1003" w:type="pct"/>
            <w:shd w:val="clear" w:color="auto" w:fill="0F1F35" w:themeFill="text2"/>
          </w:tcPr>
          <w:p w14:paraId="5A802B36" w14:textId="3941F395" w:rsidR="00364D89" w:rsidRPr="0004246F" w:rsidRDefault="00364D89" w:rsidP="00542ECD">
            <w:pPr>
              <w:pStyle w:val="TBLText"/>
              <w:spacing w:after="0"/>
              <w:jc w:val="right"/>
              <w:rPr>
                <w:color w:val="FFFFFF" w:themeColor="background1"/>
              </w:rPr>
            </w:pPr>
            <w:r w:rsidRPr="0004246F">
              <w:rPr>
                <w:color w:val="FFFFFF" w:themeColor="background1"/>
              </w:rPr>
              <w:t>Net impact</w:t>
            </w:r>
          </w:p>
        </w:tc>
        <w:tc>
          <w:tcPr>
            <w:tcW w:w="1248" w:type="pct"/>
            <w:shd w:val="clear" w:color="auto" w:fill="0F1F35" w:themeFill="text2"/>
          </w:tcPr>
          <w:p w14:paraId="02069CC0" w14:textId="38AD07B9" w:rsidR="00364D89" w:rsidRPr="0004246F" w:rsidRDefault="00364D89" w:rsidP="00542ECD">
            <w:pPr>
              <w:pStyle w:val="TBLText"/>
              <w:spacing w:after="0"/>
              <w:jc w:val="right"/>
              <w:rPr>
                <w:color w:val="FFFFFF" w:themeColor="background1"/>
              </w:rPr>
            </w:pPr>
            <w:r w:rsidRPr="0004246F">
              <w:rPr>
                <w:color w:val="FFFFFF" w:themeColor="background1"/>
              </w:rPr>
              <w:t xml:space="preserve">Regulatory burden </w:t>
            </w:r>
          </w:p>
        </w:tc>
      </w:tr>
      <w:tr w:rsidR="00E002A9" w14:paraId="730E7446" w14:textId="77777777" w:rsidTr="001003ED">
        <w:trPr>
          <w:trHeight w:val="1050"/>
        </w:trPr>
        <w:tc>
          <w:tcPr>
            <w:tcW w:w="743" w:type="pct"/>
          </w:tcPr>
          <w:p w14:paraId="7B092FCE" w14:textId="713F4AB2" w:rsidR="00E002A9" w:rsidRPr="00473172" w:rsidRDefault="00E002A9" w:rsidP="00E002A9">
            <w:pPr>
              <w:pStyle w:val="TBLText"/>
              <w:rPr>
                <w:b/>
                <w:bCs/>
              </w:rPr>
            </w:pPr>
            <w:r w:rsidRPr="00473172">
              <w:rPr>
                <w:b/>
                <w:bCs/>
              </w:rPr>
              <w:t>Proposed</w:t>
            </w:r>
            <w:r>
              <w:rPr>
                <w:b/>
                <w:bCs/>
              </w:rPr>
              <w:t xml:space="preserve">: </w:t>
            </w:r>
            <w:r w:rsidR="00DA2075" w:rsidRPr="00DA2075">
              <w:t xml:space="preserve">Enhancing consumer protections for SMSF establishments, and </w:t>
            </w:r>
            <w:r w:rsidR="00826473">
              <w:t>Realignment</w:t>
            </w:r>
            <w:r w:rsidR="00DA2075" w:rsidRPr="00DA2075">
              <w:t xml:space="preserve"> of the SMSF supervisory levy</w:t>
            </w:r>
          </w:p>
        </w:tc>
        <w:tc>
          <w:tcPr>
            <w:tcW w:w="1094" w:type="pct"/>
          </w:tcPr>
          <w:p w14:paraId="2A7BEE25" w14:textId="250FD2B1" w:rsidR="00E002A9" w:rsidRPr="00473172" w:rsidRDefault="00DA2075" w:rsidP="00542ECD">
            <w:pPr>
              <w:pStyle w:val="TBLText"/>
              <w:jc w:val="right"/>
            </w:pPr>
            <w:r>
              <w:t xml:space="preserve">Unquantifiable – the </w:t>
            </w:r>
            <w:r w:rsidR="00112B68">
              <w:t>reform</w:t>
            </w:r>
            <w:r w:rsidR="004543D4">
              <w:t>s</w:t>
            </w:r>
            <w:r w:rsidR="00112B68">
              <w:t xml:space="preserve"> </w:t>
            </w:r>
            <w:r w:rsidR="006F5D61">
              <w:t xml:space="preserve">aim to </w:t>
            </w:r>
            <w:r w:rsidR="00E568B0">
              <w:t xml:space="preserve">improve the protections for individuals at the SMSF establishment phase. </w:t>
            </w:r>
            <w:r w:rsidR="00636E67">
              <w:t xml:space="preserve">This will have outcomes that range from </w:t>
            </w:r>
            <w:r w:rsidR="006372A4">
              <w:t>preventing</w:t>
            </w:r>
            <w:r w:rsidR="00932BBE">
              <w:t xml:space="preserve"> fraudulent </w:t>
            </w:r>
            <w:r w:rsidR="00785D21">
              <w:t xml:space="preserve">rollovers to </w:t>
            </w:r>
            <w:r w:rsidR="00026DB6">
              <w:t>informing</w:t>
            </w:r>
            <w:r w:rsidR="000F2ECB">
              <w:t xml:space="preserve"> individuals </w:t>
            </w:r>
            <w:r w:rsidR="00026DB6">
              <w:t xml:space="preserve">to influence their decision to </w:t>
            </w:r>
            <w:r w:rsidR="006C2A77">
              <w:t>start an SMSF</w:t>
            </w:r>
            <w:r w:rsidR="00553E7E">
              <w:t>, especially where it is an in</w:t>
            </w:r>
            <w:r w:rsidR="000F2ECB">
              <w:t xml:space="preserve">appropriate decision given their circumstances. </w:t>
            </w:r>
            <w:r w:rsidR="00601296">
              <w:t>Th</w:t>
            </w:r>
            <w:r w:rsidR="003B3048">
              <w:t xml:space="preserve">e reforms </w:t>
            </w:r>
            <w:r w:rsidR="00601296">
              <w:t xml:space="preserve">will improve </w:t>
            </w:r>
            <w:r w:rsidR="00763C7B">
              <w:t xml:space="preserve">the likelihood of better retirement income outcomes, </w:t>
            </w:r>
            <w:r w:rsidR="00976387">
              <w:t>but t</w:t>
            </w:r>
            <w:r w:rsidR="00116D4C">
              <w:t xml:space="preserve">he dollar value benefits of this additional protection cannot be estimated. </w:t>
            </w:r>
            <w:r w:rsidR="00D40300">
              <w:t xml:space="preserve">The benefits are however important </w:t>
            </w:r>
            <w:proofErr w:type="gramStart"/>
            <w:r w:rsidR="00D40300">
              <w:t>in light of</w:t>
            </w:r>
            <w:proofErr w:type="gramEnd"/>
            <w:r w:rsidR="00D40300">
              <w:t xml:space="preserve"> the increasing use of SMSFs </w:t>
            </w:r>
            <w:r w:rsidR="00C91B00">
              <w:t>–</w:t>
            </w:r>
            <w:r w:rsidR="00D40300">
              <w:t xml:space="preserve"> </w:t>
            </w:r>
            <w:r w:rsidR="00C91B00">
              <w:t xml:space="preserve">for example with the </w:t>
            </w:r>
            <w:r w:rsidR="007432A2">
              <w:t>number of SMSFs increasing from 550,000 in 2016 to 670,000 in 2026</w:t>
            </w:r>
          </w:p>
        </w:tc>
        <w:tc>
          <w:tcPr>
            <w:tcW w:w="912" w:type="pct"/>
          </w:tcPr>
          <w:p w14:paraId="6F6BC21A" w14:textId="5EE5896E" w:rsidR="00E002A9" w:rsidRPr="00473172" w:rsidRDefault="008628CB" w:rsidP="00542ECD">
            <w:pPr>
              <w:pStyle w:val="TBLText"/>
              <w:jc w:val="right"/>
            </w:pPr>
            <w:r>
              <w:t>Unquantifiable</w:t>
            </w:r>
            <w:r w:rsidR="003628CA">
              <w:t>.</w:t>
            </w:r>
          </w:p>
        </w:tc>
        <w:tc>
          <w:tcPr>
            <w:tcW w:w="1003" w:type="pct"/>
          </w:tcPr>
          <w:p w14:paraId="14025649" w14:textId="29722413" w:rsidR="00E002A9" w:rsidRPr="00473172" w:rsidRDefault="00454BFA" w:rsidP="00542ECD">
            <w:pPr>
              <w:pStyle w:val="TBLText"/>
              <w:jc w:val="right"/>
            </w:pPr>
            <w:r>
              <w:t xml:space="preserve">Unquantifiable. </w:t>
            </w:r>
          </w:p>
        </w:tc>
        <w:tc>
          <w:tcPr>
            <w:tcW w:w="1248" w:type="pct"/>
          </w:tcPr>
          <w:p w14:paraId="6C10A3BC" w14:textId="31A3A443" w:rsidR="00E002A9" w:rsidRDefault="001003ED" w:rsidP="00C6631F">
            <w:pPr>
              <w:pStyle w:val="TBLText"/>
            </w:pPr>
            <w:r>
              <w:t>$</w:t>
            </w:r>
            <w:r w:rsidR="00392030">
              <w:t>84</w:t>
            </w:r>
            <w:r>
              <w:t>.</w:t>
            </w:r>
            <w:r w:rsidR="00392030">
              <w:t>0</w:t>
            </w:r>
            <w:r>
              <w:t xml:space="preserve"> million over 10 years</w:t>
            </w:r>
            <w:r w:rsidR="00DC71F2">
              <w:t>:</w:t>
            </w:r>
            <w:r w:rsidR="00B26C4F">
              <w:t xml:space="preserve"> </w:t>
            </w:r>
          </w:p>
          <w:p w14:paraId="46FAF076" w14:textId="6D0D2F3C" w:rsidR="0043282F" w:rsidRDefault="00DC71F2" w:rsidP="00C6631F">
            <w:pPr>
              <w:pStyle w:val="TBLText"/>
            </w:pPr>
            <w:r>
              <w:t xml:space="preserve">1. </w:t>
            </w:r>
            <w:r w:rsidR="00427474">
              <w:t>People</w:t>
            </w:r>
            <w:r w:rsidR="000E70FA">
              <w:t xml:space="preserve">: </w:t>
            </w:r>
            <w:r w:rsidR="00AE1B24">
              <w:t>$8</w:t>
            </w:r>
            <w:r w:rsidR="000546C2">
              <w:t>0 million</w:t>
            </w:r>
            <w:r w:rsidR="0042413E">
              <w:t>, or $8 million per year</w:t>
            </w:r>
          </w:p>
          <w:p w14:paraId="19E09FFA" w14:textId="72F91884" w:rsidR="008B350F" w:rsidRDefault="00D30ABB" w:rsidP="00C6631F">
            <w:pPr>
              <w:pStyle w:val="TBLText"/>
            </w:pPr>
            <w:r>
              <w:t xml:space="preserve">2. </w:t>
            </w:r>
            <w:r w:rsidR="00694AE3">
              <w:t xml:space="preserve">Businesses: </w:t>
            </w:r>
            <w:r w:rsidR="008B350F">
              <w:t>$4.1 million in one-off costs</w:t>
            </w:r>
          </w:p>
          <w:p w14:paraId="0ECD3F9F" w14:textId="207CCFB4" w:rsidR="00B26C4F" w:rsidRPr="00473172" w:rsidRDefault="003D101E" w:rsidP="00C6631F">
            <w:pPr>
              <w:pStyle w:val="TBLText"/>
            </w:pPr>
            <w:r>
              <w:t xml:space="preserve">As </w:t>
            </w:r>
            <w:proofErr w:type="gramStart"/>
            <w:r>
              <w:t>t</w:t>
            </w:r>
            <w:r w:rsidR="00B26C4F">
              <w:t>he majority of</w:t>
            </w:r>
            <w:proofErr w:type="gramEnd"/>
            <w:r w:rsidR="00B26C4F">
              <w:t xml:space="preserve"> this </w:t>
            </w:r>
            <w:r>
              <w:t>impact is on individuals</w:t>
            </w:r>
            <w:r w:rsidR="00086AC4">
              <w:t xml:space="preserve"> (SMSF trustees), the regulatory burden is spread </w:t>
            </w:r>
            <w:r w:rsidR="00FF6333">
              <w:t>very broadly across a large population</w:t>
            </w:r>
            <w:r w:rsidR="00E73032">
              <w:t xml:space="preserve"> of new SMSFs</w:t>
            </w:r>
            <w:r w:rsidR="00FF6333">
              <w:t xml:space="preserve"> – estimated at $133 </w:t>
            </w:r>
            <w:r w:rsidR="00236CDE">
              <w:t xml:space="preserve">per new SMSF </w:t>
            </w:r>
            <w:r w:rsidR="00FF6333">
              <w:t>in opportunity</w:t>
            </w:r>
            <w:r w:rsidR="006378F7">
              <w:t xml:space="preserve"> cost related to leisure time spent completing the additional training and making upfront payment of the levy. </w:t>
            </w:r>
            <w:r w:rsidR="00FF6333">
              <w:t xml:space="preserve"> </w:t>
            </w:r>
          </w:p>
        </w:tc>
      </w:tr>
      <w:tr w:rsidR="00E002A9" w14:paraId="35AA40A1" w14:textId="77777777" w:rsidTr="001003ED">
        <w:tc>
          <w:tcPr>
            <w:tcW w:w="743" w:type="pct"/>
          </w:tcPr>
          <w:p w14:paraId="77E3E5D8" w14:textId="77777777" w:rsidR="00E002A9" w:rsidRDefault="00E002A9" w:rsidP="00E002A9">
            <w:pPr>
              <w:pStyle w:val="TBLText"/>
              <w:rPr>
                <w:b/>
                <w:bCs/>
              </w:rPr>
            </w:pPr>
            <w:r w:rsidRPr="00473172">
              <w:rPr>
                <w:b/>
                <w:bCs/>
              </w:rPr>
              <w:t>Alternative</w:t>
            </w:r>
            <w:r w:rsidR="00164080">
              <w:rPr>
                <w:b/>
                <w:bCs/>
              </w:rPr>
              <w:t>s:</w:t>
            </w:r>
          </w:p>
          <w:p w14:paraId="0A1B8838" w14:textId="3BF67BFA" w:rsidR="00164080" w:rsidRDefault="00164080" w:rsidP="00E002A9">
            <w:pPr>
              <w:pStyle w:val="TBLText"/>
            </w:pPr>
            <w:r>
              <w:t xml:space="preserve">Increase in </w:t>
            </w:r>
            <w:r w:rsidR="00E53701">
              <w:t xml:space="preserve">compliance funding </w:t>
            </w:r>
            <w:r w:rsidR="00D808F0">
              <w:t xml:space="preserve">without corresponding </w:t>
            </w:r>
            <w:r w:rsidR="006825DA">
              <w:t>increase in regulatory powers</w:t>
            </w:r>
          </w:p>
          <w:p w14:paraId="0C8FA681" w14:textId="68F38D2D" w:rsidR="00D808F0" w:rsidRPr="00164080" w:rsidRDefault="00360A62" w:rsidP="00E002A9">
            <w:pPr>
              <w:pStyle w:val="TBLText"/>
            </w:pPr>
            <w:r>
              <w:t xml:space="preserve">Independent </w:t>
            </w:r>
            <w:r w:rsidR="005576BE">
              <w:t>a</w:t>
            </w:r>
            <w:r w:rsidR="006825DA">
              <w:t>uditor prior to establishment</w:t>
            </w:r>
          </w:p>
        </w:tc>
        <w:tc>
          <w:tcPr>
            <w:tcW w:w="1094" w:type="pct"/>
          </w:tcPr>
          <w:p w14:paraId="7DF36D1D" w14:textId="4D29B10D" w:rsidR="00E002A9" w:rsidRPr="00473172" w:rsidRDefault="00B23A59" w:rsidP="00542ECD">
            <w:pPr>
              <w:pStyle w:val="TBLText"/>
              <w:jc w:val="right"/>
            </w:pPr>
            <w:r>
              <w:t xml:space="preserve">Unquantifiable. </w:t>
            </w:r>
            <w:r w:rsidR="00BA7BCB">
              <w:t xml:space="preserve">Alternative options have been </w:t>
            </w:r>
            <w:proofErr w:type="gramStart"/>
            <w:r w:rsidR="00BA7BCB">
              <w:t>identified,</w:t>
            </w:r>
            <w:proofErr w:type="gramEnd"/>
            <w:r w:rsidR="00BA7BCB">
              <w:t xml:space="preserve"> however the </w:t>
            </w:r>
            <w:r w:rsidR="00C90651">
              <w:t>benefits are similarly unquantifiable to above.</w:t>
            </w:r>
            <w:r w:rsidR="00360A62">
              <w:t xml:space="preserve"> </w:t>
            </w:r>
            <w:r w:rsidR="00C90651">
              <w:t xml:space="preserve"> </w:t>
            </w:r>
          </w:p>
        </w:tc>
        <w:tc>
          <w:tcPr>
            <w:tcW w:w="912" w:type="pct"/>
          </w:tcPr>
          <w:p w14:paraId="7EADF1F5" w14:textId="573ED1D1" w:rsidR="00E002A9" w:rsidRPr="00473172" w:rsidRDefault="00C90651" w:rsidP="00542ECD">
            <w:pPr>
              <w:pStyle w:val="TBLText"/>
              <w:jc w:val="right"/>
            </w:pPr>
            <w:r>
              <w:t>Unquantifiable.</w:t>
            </w:r>
          </w:p>
        </w:tc>
        <w:tc>
          <w:tcPr>
            <w:tcW w:w="1003" w:type="pct"/>
          </w:tcPr>
          <w:p w14:paraId="72285117" w14:textId="5756C9F7" w:rsidR="00E002A9" w:rsidRPr="00473172" w:rsidRDefault="00C90651" w:rsidP="00542ECD">
            <w:pPr>
              <w:pStyle w:val="TBLText"/>
              <w:jc w:val="right"/>
            </w:pPr>
            <w:r>
              <w:t>Unquantifiable.</w:t>
            </w:r>
          </w:p>
        </w:tc>
        <w:tc>
          <w:tcPr>
            <w:tcW w:w="1248" w:type="pct"/>
          </w:tcPr>
          <w:p w14:paraId="0FBBE0C3" w14:textId="73F372CA" w:rsidR="00E002A9" w:rsidRPr="00473172" w:rsidRDefault="0062476A" w:rsidP="00542ECD">
            <w:pPr>
              <w:pStyle w:val="TBLText"/>
              <w:jc w:val="right"/>
            </w:pPr>
            <w:r>
              <w:t xml:space="preserve">Not quantified. </w:t>
            </w:r>
            <w:r w:rsidR="001E31BD">
              <w:t xml:space="preserve">While ATO systems build costs may be lower for the alternatives identified, we expect the additional regulatory burden </w:t>
            </w:r>
            <w:r w:rsidR="00864547">
              <w:t xml:space="preserve">may be higher </w:t>
            </w:r>
            <w:r w:rsidR="002D789A">
              <w:t xml:space="preserve">particularly in the </w:t>
            </w:r>
            <w:r w:rsidR="006F79F5">
              <w:t xml:space="preserve">auditor alternative where </w:t>
            </w:r>
            <w:r w:rsidR="00771620">
              <w:t xml:space="preserve">prospective trustees have an additional engagement with a professional that </w:t>
            </w:r>
            <w:r w:rsidR="00224214">
              <w:t>does not</w:t>
            </w:r>
            <w:r w:rsidR="00771620">
              <w:t xml:space="preserve"> currently exist</w:t>
            </w:r>
            <w:r>
              <w:t>.</w:t>
            </w:r>
          </w:p>
        </w:tc>
      </w:tr>
    </w:tbl>
    <w:p w14:paraId="5F7E2545" w14:textId="77777777" w:rsidR="001B2C89" w:rsidRDefault="001B2C89">
      <w:pPr>
        <w:spacing w:after="200" w:line="288" w:lineRule="auto"/>
      </w:pPr>
      <w:r>
        <w:br w:type="page"/>
      </w:r>
    </w:p>
    <w:p w14:paraId="0568BE88" w14:textId="77777777" w:rsidR="001A5542" w:rsidRPr="0004246F" w:rsidRDefault="001A5542" w:rsidP="0091141A">
      <w:pPr>
        <w:pStyle w:val="Heading2"/>
      </w:pPr>
      <w:r w:rsidRPr="0004246F">
        <w:lastRenderedPageBreak/>
        <w:t>Economic</w:t>
      </w:r>
      <w:r w:rsidR="00603F00">
        <w:t xml:space="preserve"> and</w:t>
      </w:r>
      <w:r w:rsidRPr="0004246F">
        <w:t xml:space="preserve"> social impacts</w:t>
      </w:r>
    </w:p>
    <w:tbl>
      <w:tblPr>
        <w:tblStyle w:val="Style1"/>
        <w:tblW w:w="9634" w:type="dxa"/>
        <w:tblBorders>
          <w:top w:val="single" w:sz="4" w:space="0" w:color="0F1F35" w:themeColor="text2"/>
          <w:left w:val="single" w:sz="4" w:space="0" w:color="0F1F35" w:themeColor="text2"/>
          <w:bottom w:val="single" w:sz="4" w:space="0" w:color="0F1F35" w:themeColor="text2"/>
          <w:right w:val="single" w:sz="4" w:space="0" w:color="0F1F35" w:themeColor="text2"/>
          <w:insideH w:val="single" w:sz="4" w:space="0" w:color="0F1F35" w:themeColor="text2"/>
          <w:insideV w:val="single" w:sz="4" w:space="0" w:color="0F1F35" w:themeColor="text2"/>
        </w:tblBorders>
        <w:tblCellMar>
          <w:left w:w="85" w:type="dxa"/>
          <w:right w:w="85" w:type="dxa"/>
        </w:tblCellMar>
        <w:tblLook w:val="0620" w:firstRow="1" w:lastRow="0" w:firstColumn="0" w:lastColumn="0" w:noHBand="1" w:noVBand="1"/>
      </w:tblPr>
      <w:tblGrid>
        <w:gridCol w:w="4178"/>
        <w:gridCol w:w="5456"/>
      </w:tblGrid>
      <w:tr w:rsidR="001A5542" w14:paraId="6DCD5296" w14:textId="77777777" w:rsidTr="00397435">
        <w:trPr>
          <w:cnfStyle w:val="100000000000" w:firstRow="1" w:lastRow="0" w:firstColumn="0" w:lastColumn="0" w:oddVBand="0" w:evenVBand="0" w:oddHBand="0" w:evenHBand="0" w:firstRowFirstColumn="0" w:firstRowLastColumn="0" w:lastRowFirstColumn="0" w:lastRowLastColumn="0"/>
          <w:tblHeader/>
        </w:trPr>
        <w:tc>
          <w:tcPr>
            <w:tcW w:w="4178" w:type="dxa"/>
            <w:tcBorders>
              <w:bottom w:val="single" w:sz="8" w:space="0" w:color="0F1F35" w:themeColor="text2"/>
            </w:tcBorders>
            <w:shd w:val="clear" w:color="auto" w:fill="0F1F35" w:themeFill="text2"/>
          </w:tcPr>
          <w:p w14:paraId="1E62218E" w14:textId="77777777" w:rsidR="001A5542" w:rsidRPr="00473172" w:rsidRDefault="001A5542" w:rsidP="006C62B2">
            <w:pPr>
              <w:pStyle w:val="TBLText"/>
              <w:spacing w:after="0"/>
              <w:rPr>
                <w:color w:val="FFFFFF" w:themeColor="background1"/>
              </w:rPr>
            </w:pPr>
            <w:r w:rsidRPr="00473172">
              <w:rPr>
                <w:color w:val="FFFFFF" w:themeColor="background1"/>
              </w:rPr>
              <w:t>Status quo</w:t>
            </w:r>
          </w:p>
        </w:tc>
        <w:tc>
          <w:tcPr>
            <w:tcW w:w="5456" w:type="dxa"/>
            <w:tcBorders>
              <w:bottom w:val="single" w:sz="8" w:space="0" w:color="0F1F35" w:themeColor="text2"/>
            </w:tcBorders>
            <w:shd w:val="clear" w:color="auto" w:fill="0F1F35" w:themeFill="text2"/>
          </w:tcPr>
          <w:p w14:paraId="35ADF644" w14:textId="77777777" w:rsidR="001A5542" w:rsidRPr="00473172" w:rsidRDefault="001A5542" w:rsidP="006C62B2">
            <w:pPr>
              <w:pStyle w:val="TBLText"/>
              <w:spacing w:after="0"/>
              <w:rPr>
                <w:color w:val="FFFFFF" w:themeColor="background1"/>
              </w:rPr>
            </w:pPr>
            <w:r w:rsidRPr="00473172">
              <w:rPr>
                <w:color w:val="FFFFFF" w:themeColor="background1"/>
              </w:rPr>
              <w:t>Proposed option</w:t>
            </w:r>
          </w:p>
        </w:tc>
      </w:tr>
      <w:tr w:rsidR="001A5542" w:rsidRPr="004D3335" w14:paraId="11A7CC49" w14:textId="77777777" w:rsidTr="00397435">
        <w:tc>
          <w:tcPr>
            <w:tcW w:w="4178" w:type="dxa"/>
            <w:tcBorders>
              <w:top w:val="single" w:sz="8" w:space="0" w:color="0F1F35" w:themeColor="text2"/>
              <w:left w:val="single" w:sz="8" w:space="0" w:color="0F1F35" w:themeColor="text2"/>
              <w:bottom w:val="single" w:sz="8" w:space="0" w:color="0F1F35" w:themeColor="text2"/>
              <w:right w:val="single" w:sz="8" w:space="0" w:color="0F1F35" w:themeColor="text2"/>
            </w:tcBorders>
          </w:tcPr>
          <w:p w14:paraId="78E6340F" w14:textId="77777777" w:rsidR="001A5542" w:rsidRPr="004D3335" w:rsidRDefault="001A5542" w:rsidP="00B215BF">
            <w:pPr>
              <w:pStyle w:val="TBLText"/>
            </w:pPr>
            <w:r w:rsidRPr="00397435">
              <w:rPr>
                <w:b/>
                <w:bCs/>
              </w:rPr>
              <w:t>Assessment of existing economic impacts on:</w:t>
            </w:r>
          </w:p>
          <w:p w14:paraId="32680F1F" w14:textId="653518C9" w:rsidR="006C62B2" w:rsidRDefault="006C62B2" w:rsidP="006C62B2">
            <w:pPr>
              <w:pStyle w:val="TBLBulletedList"/>
            </w:pPr>
            <w:r w:rsidRPr="00397435">
              <w:rPr>
                <w:b/>
                <w:bCs/>
              </w:rPr>
              <w:t xml:space="preserve">People </w:t>
            </w:r>
            <w:r w:rsidR="00A56943">
              <w:rPr>
                <w:b/>
                <w:bCs/>
              </w:rPr>
              <w:t>–</w:t>
            </w:r>
            <w:r w:rsidRPr="00397435">
              <w:rPr>
                <w:b/>
                <w:bCs/>
              </w:rPr>
              <w:t xml:space="preserve"> </w:t>
            </w:r>
            <w:r w:rsidR="00A56943">
              <w:t>Under the status quo</w:t>
            </w:r>
            <w:r w:rsidR="00456048">
              <w:t xml:space="preserve">, </w:t>
            </w:r>
            <w:r w:rsidR="003A5D7A">
              <w:t xml:space="preserve">there can be a significant and lasting financial impact where individuals intentionally or unintentionally </w:t>
            </w:r>
            <w:r w:rsidR="00CF45F9">
              <w:t xml:space="preserve">contravene their regulatory requirements in an SMSF. This can carry large penalties and tax impacts that will impact on a person’s retirement outcomes. </w:t>
            </w:r>
            <w:r w:rsidR="00564D22">
              <w:t xml:space="preserve">Where an SMSF is opened when not in the best interest of an individual, or to invest in inappropriate high-risk products, there is also a high risk of </w:t>
            </w:r>
            <w:r w:rsidR="00DC09D5">
              <w:t xml:space="preserve">loss to retirement savings through high fees and investment losses. </w:t>
            </w:r>
          </w:p>
          <w:p w14:paraId="25AEC031" w14:textId="76D95B6F" w:rsidR="00F1309C" w:rsidRPr="00AB687E" w:rsidRDefault="00AB687E" w:rsidP="00F1309C">
            <w:pPr>
              <w:pStyle w:val="TBLBulletedList"/>
              <w:numPr>
                <w:ilvl w:val="0"/>
                <w:numId w:val="0"/>
              </w:numPr>
              <w:ind w:left="204"/>
            </w:pPr>
            <w:r w:rsidRPr="00AB687E">
              <w:t>This includes</w:t>
            </w:r>
            <w:r>
              <w:t xml:space="preserve"> a significant </w:t>
            </w:r>
            <w:r w:rsidR="00060CEA">
              <w:t>value of superannuation accessed illegally from SMSFs -</w:t>
            </w:r>
            <w:r w:rsidR="00902BCA">
              <w:t xml:space="preserve"> $252 million in 2022-23 – while the Shield and First Guardian collapse also involved individuals being pressured into high-risk </w:t>
            </w:r>
            <w:r w:rsidR="00554FE4">
              <w:t xml:space="preserve">investments through SMSFs. </w:t>
            </w:r>
            <w:r w:rsidR="00CA7025">
              <w:t>I</w:t>
            </w:r>
            <w:r w:rsidR="00FB2C01">
              <w:t xml:space="preserve">llegal </w:t>
            </w:r>
            <w:r w:rsidR="00CA7025">
              <w:t xml:space="preserve">early </w:t>
            </w:r>
            <w:r w:rsidR="00FB2C01">
              <w:t xml:space="preserve">access </w:t>
            </w:r>
            <w:r w:rsidR="00CA7025">
              <w:t xml:space="preserve">to </w:t>
            </w:r>
            <w:r w:rsidR="00802873">
              <w:t xml:space="preserve">super </w:t>
            </w:r>
            <w:r w:rsidR="00CA7025">
              <w:t xml:space="preserve">can occur through SMSFs because of the additional </w:t>
            </w:r>
            <w:r w:rsidR="00A9516C">
              <w:t xml:space="preserve">control </w:t>
            </w:r>
            <w:r w:rsidR="0064202C">
              <w:t xml:space="preserve">over </w:t>
            </w:r>
            <w:r w:rsidR="00646655">
              <w:t xml:space="preserve">assets and investments in the SMSF environment compared to the </w:t>
            </w:r>
            <w:r w:rsidR="00C2276D">
              <w:t xml:space="preserve">APRA-regulated fund environment. </w:t>
            </w:r>
          </w:p>
          <w:p w14:paraId="5D18F2D9" w14:textId="4770F6FD" w:rsidR="006C62B2" w:rsidRPr="004D3335" w:rsidRDefault="006C62B2" w:rsidP="006C62B2">
            <w:pPr>
              <w:pStyle w:val="TBLBulletedList"/>
            </w:pPr>
            <w:r w:rsidRPr="00397435">
              <w:rPr>
                <w:b/>
                <w:bCs/>
              </w:rPr>
              <w:t xml:space="preserve">Businesses </w:t>
            </w:r>
            <w:r>
              <w:rPr>
                <w:b/>
                <w:bCs/>
              </w:rPr>
              <w:t>–</w:t>
            </w:r>
            <w:r w:rsidRPr="00397435">
              <w:rPr>
                <w:b/>
                <w:bCs/>
              </w:rPr>
              <w:t xml:space="preserve"> </w:t>
            </w:r>
            <w:r w:rsidR="000B365D">
              <w:t xml:space="preserve">Under the status quo, impacts related to SMSF regulations are mostly </w:t>
            </w:r>
            <w:r w:rsidR="002F4854">
              <w:t xml:space="preserve">incurred by individual SMSF trustees rather than businesses. </w:t>
            </w:r>
            <w:r w:rsidR="000E0319">
              <w:t>Industry and regulator intelligence</w:t>
            </w:r>
            <w:r w:rsidR="00AF69FB">
              <w:t xml:space="preserve"> suggest that </w:t>
            </w:r>
            <w:r w:rsidR="00C61D37">
              <w:t xml:space="preserve">many SMSFs are now established with the assistance of SMSF service providers that </w:t>
            </w:r>
            <w:r w:rsidR="002C11F2">
              <w:t xml:space="preserve">are relatively low-cost and </w:t>
            </w:r>
            <w:r w:rsidR="00070CB6">
              <w:t xml:space="preserve">place a </w:t>
            </w:r>
            <w:r w:rsidR="002C11F2">
              <w:t xml:space="preserve">low-administration burden </w:t>
            </w:r>
            <w:r w:rsidR="0022572C">
              <w:t>on</w:t>
            </w:r>
            <w:r w:rsidR="002C11F2">
              <w:t xml:space="preserve"> </w:t>
            </w:r>
            <w:r w:rsidR="00333DBC">
              <w:t xml:space="preserve">SMSF trustees themselves. </w:t>
            </w:r>
          </w:p>
          <w:p w14:paraId="21295FD3" w14:textId="1BF98D80" w:rsidR="006C62B2" w:rsidRPr="004D3335" w:rsidRDefault="006C62B2" w:rsidP="006C62B2">
            <w:pPr>
              <w:pStyle w:val="TBLBulletedList"/>
            </w:pPr>
            <w:r w:rsidRPr="00397435">
              <w:rPr>
                <w:b/>
                <w:bCs/>
              </w:rPr>
              <w:t xml:space="preserve">Others </w:t>
            </w:r>
            <w:r>
              <w:rPr>
                <w:b/>
                <w:bCs/>
              </w:rPr>
              <w:t>–</w:t>
            </w:r>
            <w:r w:rsidRPr="00397435">
              <w:rPr>
                <w:b/>
                <w:bCs/>
              </w:rPr>
              <w:t xml:space="preserve"> </w:t>
            </w:r>
            <w:r w:rsidR="00593C0C">
              <w:t>N/A</w:t>
            </w:r>
          </w:p>
          <w:p w14:paraId="4B4DF832" w14:textId="4A55FE9F" w:rsidR="00C4602E" w:rsidRDefault="00ED7C3C" w:rsidP="00B215BF">
            <w:pPr>
              <w:pStyle w:val="TBLText"/>
            </w:pPr>
            <w:r>
              <w:t xml:space="preserve">If the government does nothing, the </w:t>
            </w:r>
            <w:r w:rsidR="00B26DC1">
              <w:t xml:space="preserve">status </w:t>
            </w:r>
            <w:r w:rsidR="0091303B">
              <w:t xml:space="preserve">quo is unlikely to change. The ATO’s regulatory powers limit its ability to </w:t>
            </w:r>
            <w:r w:rsidR="00204A67">
              <w:t xml:space="preserve">expand compliance activities. </w:t>
            </w:r>
            <w:r w:rsidR="0091303B">
              <w:t xml:space="preserve"> </w:t>
            </w:r>
          </w:p>
          <w:p w14:paraId="09376824" w14:textId="166703FE" w:rsidR="001A5542" w:rsidRPr="004D3335" w:rsidRDefault="001A5542" w:rsidP="00B215BF">
            <w:pPr>
              <w:pStyle w:val="TBLText"/>
            </w:pPr>
            <w:r w:rsidRPr="000E5B4B">
              <w:rPr>
                <w:b/>
                <w:bCs/>
              </w:rPr>
              <w:t>Stakeholder views:</w:t>
            </w:r>
            <w:r w:rsidRPr="004D3335">
              <w:t xml:space="preserve"> </w:t>
            </w:r>
            <w:r w:rsidR="00460FFA">
              <w:t xml:space="preserve">Broadly speaking, SMSF stakeholders acknowledge that the advent of new technology and service providers has made it easy and quick for SMSFs to be established. </w:t>
            </w:r>
            <w:r w:rsidR="008570B5">
              <w:t xml:space="preserve">This can mean SMSFs </w:t>
            </w:r>
            <w:r w:rsidR="00A905D9">
              <w:t>can</w:t>
            </w:r>
            <w:r w:rsidR="00D9658E">
              <w:t xml:space="preserve"> be</w:t>
            </w:r>
            <w:r w:rsidR="008570B5">
              <w:t xml:space="preserve"> exposed to risk </w:t>
            </w:r>
            <w:r w:rsidR="00A905D9">
              <w:t xml:space="preserve">with limited regulatory oversight. </w:t>
            </w:r>
          </w:p>
        </w:tc>
        <w:tc>
          <w:tcPr>
            <w:tcW w:w="5456" w:type="dxa"/>
            <w:tcBorders>
              <w:top w:val="single" w:sz="8" w:space="0" w:color="0F1F35" w:themeColor="text2"/>
              <w:left w:val="single" w:sz="8" w:space="0" w:color="0F1F35" w:themeColor="text2"/>
              <w:bottom w:val="single" w:sz="8" w:space="0" w:color="0F1F35" w:themeColor="text2"/>
              <w:right w:val="single" w:sz="8" w:space="0" w:color="0F1F35" w:themeColor="text2"/>
            </w:tcBorders>
          </w:tcPr>
          <w:p w14:paraId="2DA2D59E" w14:textId="77777777" w:rsidR="001A5542" w:rsidRPr="00397435" w:rsidRDefault="001A5542" w:rsidP="00B215BF">
            <w:pPr>
              <w:pStyle w:val="TBLText"/>
              <w:rPr>
                <w:b/>
                <w:bCs/>
              </w:rPr>
            </w:pPr>
            <w:r w:rsidRPr="00397435">
              <w:rPr>
                <w:b/>
                <w:bCs/>
              </w:rPr>
              <w:t>Economic</w:t>
            </w:r>
            <w:r w:rsidR="00603F00" w:rsidRPr="00397435">
              <w:rPr>
                <w:b/>
                <w:bCs/>
              </w:rPr>
              <w:t xml:space="preserve"> and</w:t>
            </w:r>
            <w:r w:rsidRPr="00397435">
              <w:rPr>
                <w:b/>
                <w:bCs/>
              </w:rPr>
              <w:t xml:space="preserve"> </w:t>
            </w:r>
            <w:r w:rsidR="00232964" w:rsidRPr="00397435">
              <w:rPr>
                <w:b/>
                <w:bCs/>
              </w:rPr>
              <w:t>s</w:t>
            </w:r>
            <w:r w:rsidRPr="00397435">
              <w:rPr>
                <w:b/>
                <w:bCs/>
              </w:rPr>
              <w:t>ocial impacts on:</w:t>
            </w:r>
          </w:p>
          <w:p w14:paraId="5AE9CC23" w14:textId="7A8380EE" w:rsidR="006C62B2" w:rsidRPr="004D3335" w:rsidRDefault="006C62B2" w:rsidP="006C62B2">
            <w:pPr>
              <w:pStyle w:val="TBLBulletedList"/>
            </w:pPr>
            <w:r w:rsidRPr="00397435">
              <w:rPr>
                <w:b/>
                <w:bCs/>
              </w:rPr>
              <w:t xml:space="preserve">People </w:t>
            </w:r>
            <w:r w:rsidR="00542ECD">
              <w:rPr>
                <w:b/>
                <w:bCs/>
              </w:rPr>
              <w:t>–</w:t>
            </w:r>
            <w:r w:rsidRPr="00542ECD">
              <w:t xml:space="preserve"> </w:t>
            </w:r>
            <w:r w:rsidR="008867DB">
              <w:t xml:space="preserve">The reforms may have large financial benefit for individuals that are prevented from inappropriately opening an SMSF. </w:t>
            </w:r>
            <w:r w:rsidR="00D524C8">
              <w:t>To the extent that the reforms preserve retirement savings from misconduct, there is a</w:t>
            </w:r>
            <w:r w:rsidR="009A22ED">
              <w:t xml:space="preserve"> positive future economic benefit through extra retirement savings. There is also a</w:t>
            </w:r>
            <w:r w:rsidR="00D524C8">
              <w:t xml:space="preserve"> positive </w:t>
            </w:r>
            <w:r w:rsidR="009A22ED">
              <w:t>fiscal</w:t>
            </w:r>
            <w:r w:rsidR="00D524C8">
              <w:t xml:space="preserve"> benefit through reducing future reliance on the age pension. </w:t>
            </w:r>
          </w:p>
          <w:p w14:paraId="56494E54" w14:textId="0529E3AD" w:rsidR="006C62B2" w:rsidRPr="004D3335" w:rsidRDefault="006C62B2" w:rsidP="006C62B2">
            <w:pPr>
              <w:pStyle w:val="TBLBulletedList"/>
            </w:pPr>
            <w:r w:rsidRPr="00397435">
              <w:rPr>
                <w:b/>
                <w:bCs/>
              </w:rPr>
              <w:t xml:space="preserve">Businesses </w:t>
            </w:r>
            <w:r>
              <w:rPr>
                <w:b/>
                <w:bCs/>
              </w:rPr>
              <w:t>–</w:t>
            </w:r>
            <w:r w:rsidRPr="00397435">
              <w:rPr>
                <w:b/>
                <w:bCs/>
              </w:rPr>
              <w:t xml:space="preserve"> </w:t>
            </w:r>
            <w:r w:rsidR="00444C1C">
              <w:t xml:space="preserve">The reforms are not expected to have a material </w:t>
            </w:r>
            <w:r w:rsidR="00B97B65">
              <w:t xml:space="preserve">observable </w:t>
            </w:r>
            <w:r w:rsidR="00444C1C">
              <w:t xml:space="preserve">impact on growth, </w:t>
            </w:r>
            <w:r w:rsidR="00B97B65">
              <w:t>output, productivity or competition</w:t>
            </w:r>
            <w:r w:rsidR="003D5654">
              <w:t xml:space="preserve">, as it impacts on the requirements for individual trustees rather than businesses. </w:t>
            </w:r>
            <w:r w:rsidR="000C5150">
              <w:t>The reforms will however aim to disrupt the business model of certain scheme promoters, such as th</w:t>
            </w:r>
            <w:r w:rsidR="00555F14">
              <w:t>ose</w:t>
            </w:r>
            <w:r w:rsidR="000C5150">
              <w:t xml:space="preserve"> that </w:t>
            </w:r>
            <w:r w:rsidR="001D586F">
              <w:t xml:space="preserve">pressure </w:t>
            </w:r>
            <w:r w:rsidR="007B70BA">
              <w:t xml:space="preserve">individuals into inappropriate, </w:t>
            </w:r>
            <w:proofErr w:type="gramStart"/>
            <w:r w:rsidR="007B70BA">
              <w:t>high risk</w:t>
            </w:r>
            <w:proofErr w:type="gramEnd"/>
            <w:r w:rsidR="007B70BA">
              <w:t xml:space="preserve"> </w:t>
            </w:r>
            <w:r w:rsidR="00DA7C06">
              <w:t xml:space="preserve">investments or </w:t>
            </w:r>
            <w:r w:rsidR="001A2AE6">
              <w:t xml:space="preserve">mislead individuals into illegally accessing their super early through an SMSF. </w:t>
            </w:r>
          </w:p>
          <w:p w14:paraId="554ED0C5" w14:textId="15747BE8" w:rsidR="006C62B2" w:rsidRPr="004D3335" w:rsidRDefault="006C62B2" w:rsidP="006C62B2">
            <w:pPr>
              <w:pStyle w:val="TBLBulletedList"/>
            </w:pPr>
            <w:r w:rsidRPr="00397435">
              <w:rPr>
                <w:b/>
                <w:bCs/>
              </w:rPr>
              <w:t xml:space="preserve">Others </w:t>
            </w:r>
            <w:r>
              <w:rPr>
                <w:b/>
                <w:bCs/>
              </w:rPr>
              <w:t>–</w:t>
            </w:r>
            <w:r w:rsidR="009840DE">
              <w:rPr>
                <w:b/>
                <w:bCs/>
              </w:rPr>
              <w:t xml:space="preserve"> </w:t>
            </w:r>
            <w:r w:rsidR="009840DE">
              <w:t xml:space="preserve">Unlikely to be a material economic or social impact elsewhere. </w:t>
            </w:r>
            <w:r w:rsidR="004F08D1">
              <w:t xml:space="preserve">If the reforms </w:t>
            </w:r>
            <w:r w:rsidR="000B57A9">
              <w:t xml:space="preserve">prevent </w:t>
            </w:r>
            <w:r w:rsidR="002C1306">
              <w:t xml:space="preserve">instances of individuals losing all or large portions of their retirement savings </w:t>
            </w:r>
            <w:r w:rsidR="0073295A">
              <w:t xml:space="preserve">to misconduct or fraud, this will have significant </w:t>
            </w:r>
            <w:r w:rsidR="00444C1C">
              <w:t xml:space="preserve">welfare </w:t>
            </w:r>
            <w:r w:rsidR="0073295A">
              <w:t xml:space="preserve">benefits for those individuals </w:t>
            </w:r>
            <w:r w:rsidR="00444C1C">
              <w:t xml:space="preserve">that would be otherwise impacted. </w:t>
            </w:r>
            <w:r w:rsidR="00175167">
              <w:t xml:space="preserve">The introduction of mandatory training for new trustees may also improve the financial literacy for those entering the SMSF environment. </w:t>
            </w:r>
          </w:p>
          <w:p w14:paraId="171EBF91" w14:textId="3514E3DA" w:rsidR="001A5542" w:rsidRPr="004D3335" w:rsidRDefault="001A5542" w:rsidP="002356F8">
            <w:pPr>
              <w:pStyle w:val="TBLText"/>
            </w:pPr>
            <w:r w:rsidRPr="000E5B4B">
              <w:rPr>
                <w:b/>
                <w:bCs/>
              </w:rPr>
              <w:t>Stakeholder views:</w:t>
            </w:r>
            <w:r w:rsidRPr="004D3335">
              <w:t xml:space="preserve"> </w:t>
            </w:r>
            <w:r w:rsidR="00A91B44">
              <w:t xml:space="preserve">Stakeholders </w:t>
            </w:r>
            <w:r w:rsidR="0020696A">
              <w:t xml:space="preserve">will </w:t>
            </w:r>
            <w:r w:rsidR="00045DAE">
              <w:t>support</w:t>
            </w:r>
            <w:r w:rsidR="0020696A">
              <w:t xml:space="preserve"> that the reforms </w:t>
            </w:r>
            <w:r w:rsidR="00637298">
              <w:t xml:space="preserve">are targeted to </w:t>
            </w:r>
            <w:r w:rsidR="00A91B44">
              <w:t xml:space="preserve">uplift </w:t>
            </w:r>
            <w:r w:rsidR="007B230E">
              <w:t xml:space="preserve">SMSF </w:t>
            </w:r>
            <w:r w:rsidR="00A91B44">
              <w:t>regulation</w:t>
            </w:r>
            <w:r w:rsidR="00637298">
              <w:t>s</w:t>
            </w:r>
            <w:r w:rsidR="00A91B44">
              <w:t xml:space="preserve"> to match existing best practice</w:t>
            </w:r>
            <w:r w:rsidR="00DA13A6">
              <w:t>, have a limited impact on existing SMSFs and do not limit the inherent flexibility and choice of SMSFs</w:t>
            </w:r>
            <w:r w:rsidR="00A91B44">
              <w:t>.</w:t>
            </w:r>
          </w:p>
        </w:tc>
      </w:tr>
    </w:tbl>
    <w:p w14:paraId="6D54BF3E" w14:textId="77777777" w:rsidR="001A5542" w:rsidRDefault="001A5542" w:rsidP="0091141A">
      <w:pPr>
        <w:pStyle w:val="Heading2"/>
      </w:pPr>
      <w:r w:rsidRPr="001A5542">
        <w:t xml:space="preserve">Regulatory </w:t>
      </w:r>
      <w:r w:rsidR="00603F00">
        <w:t>burden</w:t>
      </w:r>
    </w:p>
    <w:tbl>
      <w:tblPr>
        <w:tblStyle w:val="Style1"/>
        <w:tblW w:w="9634" w:type="dxa"/>
        <w:tblBorders>
          <w:top w:val="single" w:sz="4" w:space="0" w:color="0F1F35" w:themeColor="text2"/>
          <w:left w:val="single" w:sz="4" w:space="0" w:color="0F1F35" w:themeColor="text2"/>
          <w:bottom w:val="single" w:sz="4" w:space="0" w:color="0F1F35" w:themeColor="text2"/>
          <w:right w:val="single" w:sz="4" w:space="0" w:color="0F1F35" w:themeColor="text2"/>
          <w:insideH w:val="single" w:sz="4" w:space="0" w:color="0F1F35" w:themeColor="text2"/>
          <w:insideV w:val="single" w:sz="4" w:space="0" w:color="0F1F35" w:themeColor="text2"/>
        </w:tblBorders>
        <w:tblCellMar>
          <w:left w:w="85" w:type="dxa"/>
          <w:right w:w="85" w:type="dxa"/>
        </w:tblCellMar>
        <w:tblLook w:val="0620" w:firstRow="1" w:lastRow="0" w:firstColumn="0" w:lastColumn="0" w:noHBand="1" w:noVBand="1"/>
      </w:tblPr>
      <w:tblGrid>
        <w:gridCol w:w="4178"/>
        <w:gridCol w:w="5456"/>
      </w:tblGrid>
      <w:tr w:rsidR="001A5542" w14:paraId="4106118E" w14:textId="77777777" w:rsidTr="00397435">
        <w:trPr>
          <w:cnfStyle w:val="100000000000" w:firstRow="1" w:lastRow="0" w:firstColumn="0" w:lastColumn="0" w:oddVBand="0" w:evenVBand="0" w:oddHBand="0" w:evenHBand="0" w:firstRowFirstColumn="0" w:firstRowLastColumn="0" w:lastRowFirstColumn="0" w:lastRowLastColumn="0"/>
          <w:trHeight w:val="200"/>
          <w:tblHeader/>
        </w:trPr>
        <w:tc>
          <w:tcPr>
            <w:tcW w:w="4178" w:type="dxa"/>
            <w:shd w:val="clear" w:color="auto" w:fill="0F1F35" w:themeFill="text2"/>
          </w:tcPr>
          <w:p w14:paraId="6739AC9A" w14:textId="77777777" w:rsidR="001A5542" w:rsidRPr="00473172" w:rsidRDefault="001A5542" w:rsidP="006C62B2">
            <w:pPr>
              <w:pStyle w:val="TBLText"/>
              <w:spacing w:after="0"/>
              <w:rPr>
                <w:color w:val="FFFFFF" w:themeColor="background1"/>
              </w:rPr>
            </w:pPr>
            <w:r w:rsidRPr="00473172">
              <w:rPr>
                <w:color w:val="FFFFFF" w:themeColor="background1"/>
              </w:rPr>
              <w:t>Status quo</w:t>
            </w:r>
          </w:p>
        </w:tc>
        <w:tc>
          <w:tcPr>
            <w:tcW w:w="5456" w:type="dxa"/>
            <w:shd w:val="clear" w:color="auto" w:fill="0F1F35" w:themeFill="text2"/>
          </w:tcPr>
          <w:p w14:paraId="2A9F6C2F" w14:textId="77777777" w:rsidR="001A5542" w:rsidRPr="00473172" w:rsidRDefault="001A5542" w:rsidP="006C62B2">
            <w:pPr>
              <w:pStyle w:val="TBLText"/>
              <w:spacing w:after="0"/>
              <w:rPr>
                <w:color w:val="FFFFFF" w:themeColor="background1"/>
              </w:rPr>
            </w:pPr>
            <w:r w:rsidRPr="00473172">
              <w:rPr>
                <w:color w:val="FFFFFF" w:themeColor="background1"/>
              </w:rPr>
              <w:t>Proposed option</w:t>
            </w:r>
          </w:p>
        </w:tc>
      </w:tr>
      <w:tr w:rsidR="001A5542" w:rsidRPr="004D3335" w14:paraId="7777F190" w14:textId="77777777" w:rsidTr="00397435">
        <w:tc>
          <w:tcPr>
            <w:tcW w:w="4178" w:type="dxa"/>
          </w:tcPr>
          <w:p w14:paraId="20DC3D32" w14:textId="77777777" w:rsidR="001A5542" w:rsidRPr="004D3335" w:rsidRDefault="001A5542" w:rsidP="00397435">
            <w:pPr>
              <w:pStyle w:val="TBLText"/>
            </w:pPr>
            <w:r w:rsidRPr="00397435">
              <w:rPr>
                <w:b/>
                <w:bCs/>
              </w:rPr>
              <w:t xml:space="preserve">Assessment of </w:t>
            </w:r>
            <w:r w:rsidR="00316303" w:rsidRPr="00397435">
              <w:rPr>
                <w:b/>
                <w:bCs/>
              </w:rPr>
              <w:t>any</w:t>
            </w:r>
            <w:r w:rsidRPr="00397435">
              <w:rPr>
                <w:b/>
                <w:bCs/>
              </w:rPr>
              <w:t xml:space="preserve"> existing </w:t>
            </w:r>
            <w:r w:rsidR="00316303" w:rsidRPr="00397435">
              <w:rPr>
                <w:b/>
                <w:bCs/>
              </w:rPr>
              <w:t>compliance and</w:t>
            </w:r>
            <w:r w:rsidR="00CB11F0" w:rsidRPr="00397435">
              <w:rPr>
                <w:b/>
                <w:bCs/>
              </w:rPr>
              <w:t>/or</w:t>
            </w:r>
            <w:r w:rsidR="00316303" w:rsidRPr="00397435">
              <w:rPr>
                <w:b/>
                <w:bCs/>
              </w:rPr>
              <w:t xml:space="preserve"> delay costs facing</w:t>
            </w:r>
            <w:r w:rsidRPr="00397435">
              <w:rPr>
                <w:b/>
                <w:bCs/>
              </w:rPr>
              <w:t>:</w:t>
            </w:r>
          </w:p>
          <w:p w14:paraId="3C245B04" w14:textId="221E99C9" w:rsidR="001A5542" w:rsidRPr="004D3335" w:rsidRDefault="00397435" w:rsidP="001A5542">
            <w:pPr>
              <w:pStyle w:val="TBLBulletedList"/>
            </w:pPr>
            <w:r w:rsidRPr="00397435">
              <w:rPr>
                <w:b/>
                <w:bCs/>
              </w:rPr>
              <w:lastRenderedPageBreak/>
              <w:t>P</w:t>
            </w:r>
            <w:r w:rsidR="001A5542" w:rsidRPr="00397435">
              <w:rPr>
                <w:b/>
                <w:bCs/>
              </w:rPr>
              <w:t>eople</w:t>
            </w:r>
            <w:r w:rsidRPr="00397435">
              <w:rPr>
                <w:b/>
                <w:bCs/>
              </w:rPr>
              <w:t xml:space="preserve"> </w:t>
            </w:r>
            <w:r w:rsidR="00DA39EA">
              <w:rPr>
                <w:b/>
                <w:bCs/>
              </w:rPr>
              <w:t>–</w:t>
            </w:r>
            <w:r w:rsidRPr="00397435">
              <w:rPr>
                <w:b/>
                <w:bCs/>
              </w:rPr>
              <w:t xml:space="preserve"> </w:t>
            </w:r>
            <w:r w:rsidR="00DA39EA">
              <w:t xml:space="preserve">Currently, the regulatory </w:t>
            </w:r>
            <w:r w:rsidR="00D72856">
              <w:t>and compliance costs involved in opening an SMSF a</w:t>
            </w:r>
            <w:r w:rsidR="00644B66">
              <w:t>re</w:t>
            </w:r>
            <w:r w:rsidR="00D72856">
              <w:t xml:space="preserve"> </w:t>
            </w:r>
            <w:proofErr w:type="gramStart"/>
            <w:r w:rsidR="00D72856">
              <w:t xml:space="preserve">fairly </w:t>
            </w:r>
            <w:r w:rsidR="002634CA">
              <w:t>minimal</w:t>
            </w:r>
            <w:proofErr w:type="gramEnd"/>
            <w:r w:rsidR="002634CA">
              <w:t xml:space="preserve">, in part facilitated by new technology </w:t>
            </w:r>
            <w:r w:rsidR="00E366A0">
              <w:t xml:space="preserve">and </w:t>
            </w:r>
            <w:r w:rsidR="002634CA">
              <w:t xml:space="preserve">SMSF </w:t>
            </w:r>
            <w:r w:rsidR="005529C3">
              <w:t xml:space="preserve">service providers </w:t>
            </w:r>
            <w:r w:rsidR="002634CA">
              <w:t xml:space="preserve">that help people to establish SMSFs. </w:t>
            </w:r>
            <w:r w:rsidR="006D5ECB">
              <w:t xml:space="preserve">However, </w:t>
            </w:r>
            <w:proofErr w:type="gramStart"/>
            <w:r w:rsidR="009C0569">
              <w:t>as a result of</w:t>
            </w:r>
            <w:proofErr w:type="gramEnd"/>
            <w:r w:rsidR="009C0569">
              <w:t xml:space="preserve"> there being relatively light regulatory checks prior to </w:t>
            </w:r>
            <w:r w:rsidR="004C57C8">
              <w:t>registration</w:t>
            </w:r>
            <w:r w:rsidR="009C0569">
              <w:t>,</w:t>
            </w:r>
            <w:r w:rsidR="00AE4BD2">
              <w:t xml:space="preserve"> </w:t>
            </w:r>
            <w:r w:rsidR="003C7F20">
              <w:t xml:space="preserve">many SMSFs are established without </w:t>
            </w:r>
            <w:r w:rsidR="00187D4E">
              <w:t xml:space="preserve">a genuine intention to operate for the purpose of providing income in retirement. </w:t>
            </w:r>
          </w:p>
          <w:p w14:paraId="59C4769A" w14:textId="1A5BEFA5" w:rsidR="001A5542" w:rsidRPr="004D3335" w:rsidRDefault="00397435" w:rsidP="00B7741B">
            <w:pPr>
              <w:pStyle w:val="TBLBulletedList"/>
            </w:pPr>
            <w:r w:rsidRPr="00397435">
              <w:rPr>
                <w:b/>
                <w:bCs/>
              </w:rPr>
              <w:t>B</w:t>
            </w:r>
            <w:r w:rsidR="001A5542" w:rsidRPr="00397435">
              <w:rPr>
                <w:b/>
                <w:bCs/>
              </w:rPr>
              <w:t>usinesses</w:t>
            </w:r>
            <w:r w:rsidRPr="00397435">
              <w:rPr>
                <w:b/>
                <w:bCs/>
              </w:rPr>
              <w:t xml:space="preserve"> </w:t>
            </w:r>
            <w:r>
              <w:rPr>
                <w:b/>
                <w:bCs/>
              </w:rPr>
              <w:t>–</w:t>
            </w:r>
            <w:r w:rsidR="001A5542" w:rsidRPr="00397435">
              <w:rPr>
                <w:b/>
                <w:bCs/>
              </w:rPr>
              <w:t xml:space="preserve"> </w:t>
            </w:r>
            <w:r w:rsidR="00B51808">
              <w:t>SMSFs are a</w:t>
            </w:r>
            <w:r w:rsidR="00A723B8">
              <w:t xml:space="preserve"> type</w:t>
            </w:r>
            <w:r w:rsidR="00B51808">
              <w:t xml:space="preserve"> </w:t>
            </w:r>
            <w:r w:rsidR="00BF261A">
              <w:t>of</w:t>
            </w:r>
            <w:r w:rsidR="00B51808">
              <w:t xml:space="preserve"> private trust that individuals operate to provide retirement benefits for members, who are also trustees.</w:t>
            </w:r>
            <w:r w:rsidR="0024463F">
              <w:t xml:space="preserve"> </w:t>
            </w:r>
            <w:r w:rsidR="00792549">
              <w:t xml:space="preserve">Businesses do provide specialised support to individuals </w:t>
            </w:r>
            <w:r w:rsidR="00DE039B">
              <w:t>establishing an SMSF – notably financial advis</w:t>
            </w:r>
            <w:r w:rsidR="00847E1A">
              <w:t>e</w:t>
            </w:r>
            <w:r w:rsidR="00DE039B">
              <w:t xml:space="preserve">rs, accountants, and legal professionals. </w:t>
            </w:r>
            <w:r w:rsidR="008115D0">
              <w:t xml:space="preserve">However, </w:t>
            </w:r>
            <w:r w:rsidR="00DA2EC4">
              <w:t xml:space="preserve">any costs associated with compliance and delays in current establishment </w:t>
            </w:r>
            <w:r w:rsidR="00E0576D">
              <w:t>and registration</w:t>
            </w:r>
            <w:r w:rsidR="00DA2EC4">
              <w:t xml:space="preserve"> processes will be borne by the individuals seeking to establish an SMSF</w:t>
            </w:r>
            <w:r w:rsidR="00C44F94">
              <w:t xml:space="preserve">. </w:t>
            </w:r>
          </w:p>
          <w:p w14:paraId="6106DD17" w14:textId="3F625865" w:rsidR="001A5542" w:rsidRPr="004D3335" w:rsidRDefault="00397435" w:rsidP="001A5542">
            <w:pPr>
              <w:pStyle w:val="TBLBulletedList"/>
            </w:pPr>
            <w:r w:rsidRPr="00397435">
              <w:rPr>
                <w:b/>
                <w:bCs/>
              </w:rPr>
              <w:t>O</w:t>
            </w:r>
            <w:r w:rsidR="001A5542" w:rsidRPr="00397435">
              <w:rPr>
                <w:b/>
                <w:bCs/>
              </w:rPr>
              <w:t xml:space="preserve">thers </w:t>
            </w:r>
            <w:r>
              <w:rPr>
                <w:b/>
                <w:bCs/>
              </w:rPr>
              <w:t>–</w:t>
            </w:r>
            <w:r w:rsidRPr="00397435">
              <w:rPr>
                <w:b/>
                <w:bCs/>
              </w:rPr>
              <w:t xml:space="preserve"> </w:t>
            </w:r>
            <w:r w:rsidR="00C723E6">
              <w:t>N/A</w:t>
            </w:r>
          </w:p>
          <w:p w14:paraId="2AFCA0C9" w14:textId="05E7992F" w:rsidR="001A5542" w:rsidRDefault="001A5542" w:rsidP="001A5542">
            <w:pPr>
              <w:pStyle w:val="TBLText"/>
            </w:pPr>
            <w:r w:rsidRPr="004D3335">
              <w:rPr>
                <w:b/>
                <w:bCs/>
              </w:rPr>
              <w:t>Stakeholder views:</w:t>
            </w:r>
            <w:r w:rsidRPr="004D3335">
              <w:t xml:space="preserve"> </w:t>
            </w:r>
            <w:r w:rsidR="0052629E">
              <w:t xml:space="preserve">Regulator stakeholders are broadly in agreement </w:t>
            </w:r>
            <w:r w:rsidR="002B7221">
              <w:t xml:space="preserve">that current </w:t>
            </w:r>
            <w:proofErr w:type="spellStart"/>
            <w:r w:rsidR="002B7221">
              <w:t>regulator</w:t>
            </w:r>
            <w:proofErr w:type="spellEnd"/>
            <w:r w:rsidR="002B7221">
              <w:t xml:space="preserve"> powers </w:t>
            </w:r>
            <w:r w:rsidR="00E90FC8">
              <w:t xml:space="preserve">are </w:t>
            </w:r>
            <w:r w:rsidR="00C73497">
              <w:t xml:space="preserve">insufficient </w:t>
            </w:r>
            <w:r w:rsidR="00E90FC8">
              <w:t xml:space="preserve">to intervene in known instances where regulatory contraventions are likely to occur after </w:t>
            </w:r>
            <w:r w:rsidR="00750434">
              <w:t>registration</w:t>
            </w:r>
            <w:r w:rsidR="00E90FC8">
              <w:t xml:space="preserve">. </w:t>
            </w:r>
          </w:p>
          <w:p w14:paraId="5F5CB1D1" w14:textId="1B2AF70C" w:rsidR="00E90FC8" w:rsidRPr="004D3335" w:rsidRDefault="002714C7" w:rsidP="001A5542">
            <w:pPr>
              <w:pStyle w:val="TBLText"/>
            </w:pPr>
            <w:r>
              <w:t xml:space="preserve">Industry stakeholders have also highlighted that </w:t>
            </w:r>
            <w:r w:rsidR="00794508">
              <w:t xml:space="preserve">low-cost SMSF service providers are able to </w:t>
            </w:r>
            <w:r w:rsidR="00FE2A4F">
              <w:t>facilitate the establishment of an SMSF quickly</w:t>
            </w:r>
            <w:r w:rsidR="00BA2980">
              <w:t xml:space="preserve">, with or without professional advice. </w:t>
            </w:r>
          </w:p>
        </w:tc>
        <w:tc>
          <w:tcPr>
            <w:tcW w:w="5456" w:type="dxa"/>
          </w:tcPr>
          <w:p w14:paraId="021E7F70" w14:textId="77777777" w:rsidR="001A5542" w:rsidRPr="004D3335" w:rsidRDefault="00543C86" w:rsidP="00397435">
            <w:pPr>
              <w:pStyle w:val="TBLText"/>
            </w:pPr>
            <w:r>
              <w:rPr>
                <w:b/>
                <w:bCs/>
              </w:rPr>
              <w:lastRenderedPageBreak/>
              <w:t>C</w:t>
            </w:r>
            <w:r w:rsidR="001A5542" w:rsidRPr="004D3335">
              <w:rPr>
                <w:b/>
                <w:bCs/>
              </w:rPr>
              <w:t xml:space="preserve">hange in the </w:t>
            </w:r>
            <w:r w:rsidR="00232964">
              <w:rPr>
                <w:b/>
                <w:bCs/>
              </w:rPr>
              <w:t>r</w:t>
            </w:r>
            <w:r w:rsidR="001A5542" w:rsidRPr="004D3335">
              <w:rPr>
                <w:b/>
                <w:bCs/>
              </w:rPr>
              <w:t xml:space="preserve">egulatory </w:t>
            </w:r>
            <w:r w:rsidR="00232964" w:rsidRPr="00397435">
              <w:rPr>
                <w:b/>
                <w:bCs/>
              </w:rPr>
              <w:t>b</w:t>
            </w:r>
            <w:r w:rsidR="001A5542" w:rsidRPr="00397435">
              <w:rPr>
                <w:b/>
                <w:bCs/>
              </w:rPr>
              <w:t>urden for:</w:t>
            </w:r>
          </w:p>
          <w:p w14:paraId="670B9D5D" w14:textId="79A1DF33" w:rsidR="001A5542" w:rsidRDefault="00E04A5E" w:rsidP="00E073DD">
            <w:pPr>
              <w:pStyle w:val="TBLBulletedList"/>
            </w:pPr>
            <w:r>
              <w:rPr>
                <w:b/>
                <w:bCs/>
              </w:rPr>
              <w:lastRenderedPageBreak/>
              <w:t>P</w:t>
            </w:r>
            <w:r w:rsidR="001A5542" w:rsidRPr="00E04A5E">
              <w:rPr>
                <w:b/>
                <w:bCs/>
              </w:rPr>
              <w:t xml:space="preserve">eople </w:t>
            </w:r>
            <w:r w:rsidRPr="00E04A5E">
              <w:rPr>
                <w:b/>
                <w:bCs/>
              </w:rPr>
              <w:t>–</w:t>
            </w:r>
            <w:r w:rsidRPr="00542ECD">
              <w:rPr>
                <w:b/>
                <w:bCs/>
              </w:rPr>
              <w:t xml:space="preserve"> </w:t>
            </w:r>
            <w:r w:rsidR="00131BC0">
              <w:t xml:space="preserve">The </w:t>
            </w:r>
            <w:r w:rsidR="004543D4">
              <w:t xml:space="preserve">reforms </w:t>
            </w:r>
            <w:r w:rsidR="00131BC0">
              <w:t xml:space="preserve">introduce </w:t>
            </w:r>
            <w:r w:rsidR="00C94855">
              <w:t xml:space="preserve">two new requirements </w:t>
            </w:r>
            <w:r w:rsidR="00077387">
              <w:t>that will result in additional time to individuals establishing an SMSF:</w:t>
            </w:r>
          </w:p>
          <w:p w14:paraId="133FD1BD" w14:textId="64B909E6" w:rsidR="00014E23" w:rsidRDefault="00F8467F" w:rsidP="00F8467F">
            <w:pPr>
              <w:pStyle w:val="TBLBulletedList"/>
              <w:numPr>
                <w:ilvl w:val="0"/>
                <w:numId w:val="0"/>
              </w:numPr>
              <w:ind w:left="204"/>
            </w:pPr>
            <w:r w:rsidRPr="00FD3D0A">
              <w:t>1. The new mandatory trustee training requirement</w:t>
            </w:r>
            <w:r w:rsidR="008A18AC">
              <w:t>:</w:t>
            </w:r>
            <w:r w:rsidR="00DB4DD3" w:rsidRPr="00FD3D0A">
              <w:t xml:space="preserve"> It is expected </w:t>
            </w:r>
            <w:r w:rsidR="008A18AC">
              <w:t xml:space="preserve">all trustees </w:t>
            </w:r>
            <w:r w:rsidR="007012E6">
              <w:t xml:space="preserve">of </w:t>
            </w:r>
            <w:r w:rsidR="00803EFF">
              <w:t xml:space="preserve">new SMSFs </w:t>
            </w:r>
            <w:r w:rsidR="007012E6">
              <w:t>undertake this new training</w:t>
            </w:r>
            <w:r w:rsidR="00284DD1">
              <w:t xml:space="preserve">, with an approximate time commitment of </w:t>
            </w:r>
            <w:r w:rsidR="00F54DB6">
              <w:t>3</w:t>
            </w:r>
            <w:r w:rsidR="00284DD1">
              <w:t xml:space="preserve"> hours. </w:t>
            </w:r>
          </w:p>
          <w:p w14:paraId="5E5E0866" w14:textId="43EFB92E" w:rsidR="00D4151F" w:rsidRDefault="00014E23" w:rsidP="00F8467F">
            <w:pPr>
              <w:pStyle w:val="TBLBulletedList"/>
              <w:numPr>
                <w:ilvl w:val="0"/>
                <w:numId w:val="0"/>
              </w:numPr>
              <w:ind w:left="204"/>
            </w:pPr>
            <w:r>
              <w:t xml:space="preserve">2. </w:t>
            </w:r>
            <w:r w:rsidR="001623E4">
              <w:t xml:space="preserve">Upfront payment of the levy: Previously, SMSFs paid the </w:t>
            </w:r>
            <w:proofErr w:type="gramStart"/>
            <w:r w:rsidR="001623E4">
              <w:t>first year</w:t>
            </w:r>
            <w:proofErr w:type="gramEnd"/>
            <w:r w:rsidR="001623E4">
              <w:t xml:space="preserve"> levy as part of the end-of-first year SMSF annual return process. </w:t>
            </w:r>
            <w:r w:rsidR="00C5477A">
              <w:t xml:space="preserve">There may be a slight additional time commitment as SMSFs have to organise for payment of the levy to a specified ATO account at </w:t>
            </w:r>
            <w:r w:rsidR="00826CF7">
              <w:t>prior to registration</w:t>
            </w:r>
            <w:r w:rsidR="00C5477A">
              <w:t xml:space="preserve">. </w:t>
            </w:r>
            <w:r w:rsidR="00E2266D">
              <w:t xml:space="preserve">It is assumed this additional time commitment is around 0.25 hours. </w:t>
            </w:r>
          </w:p>
          <w:p w14:paraId="7F6BA9D2" w14:textId="6CCB0A4B" w:rsidR="00E073DD" w:rsidRDefault="00B3001D" w:rsidP="00F060BF">
            <w:pPr>
              <w:pStyle w:val="TBLBulletedList"/>
              <w:numPr>
                <w:ilvl w:val="0"/>
                <w:numId w:val="0"/>
              </w:numPr>
              <w:ind w:left="204"/>
            </w:pPr>
            <w:r>
              <w:t xml:space="preserve">The remainder of the </w:t>
            </w:r>
            <w:r w:rsidR="004543D4">
              <w:t xml:space="preserve">reforms </w:t>
            </w:r>
            <w:r>
              <w:t xml:space="preserve">do not involve additional </w:t>
            </w:r>
            <w:r w:rsidR="004F7EC4">
              <w:t xml:space="preserve">regulatory burden for </w:t>
            </w:r>
            <w:proofErr w:type="gramStart"/>
            <w:r w:rsidR="00273706">
              <w:t>SMSFs, but</w:t>
            </w:r>
            <w:proofErr w:type="gramEnd"/>
            <w:r w:rsidR="00273706">
              <w:t xml:space="preserve"> rather reinforce expected practice</w:t>
            </w:r>
            <w:r w:rsidR="00F060BF">
              <w:t xml:space="preserve">. That is, SMSFs already are expected to open a bank account for the </w:t>
            </w:r>
            <w:proofErr w:type="gramStart"/>
            <w:r w:rsidR="00F060BF">
              <w:t>SMSF, and</w:t>
            </w:r>
            <w:proofErr w:type="gramEnd"/>
            <w:r w:rsidR="00F060BF">
              <w:t xml:space="preserve"> </w:t>
            </w:r>
            <w:r w:rsidR="0059278F">
              <w:t>already must prepare an investment strategy</w:t>
            </w:r>
            <w:r w:rsidR="00A92021">
              <w:t xml:space="preserve">; while </w:t>
            </w:r>
            <w:r w:rsidR="006857BB">
              <w:t>inputting details of an advis</w:t>
            </w:r>
            <w:r w:rsidR="00BB6525">
              <w:t>e</w:t>
            </w:r>
            <w:r w:rsidR="006857BB">
              <w:t xml:space="preserve">r </w:t>
            </w:r>
            <w:r w:rsidR="009D70EB">
              <w:t xml:space="preserve">and the cost of advice fees </w:t>
            </w:r>
            <w:r w:rsidR="006857BB">
              <w:t>is not expected to be a material burden within the context of the establishment and registration process</w:t>
            </w:r>
            <w:r w:rsidR="009D70EB">
              <w:t xml:space="preserve"> or tax return lodgement</w:t>
            </w:r>
            <w:r w:rsidR="0059278F">
              <w:t>.</w:t>
            </w:r>
          </w:p>
          <w:p w14:paraId="54370B1C" w14:textId="049BE1A7" w:rsidR="00620C7C" w:rsidRPr="00FD3D0A" w:rsidRDefault="00620C7C" w:rsidP="00FF6333">
            <w:pPr>
              <w:pStyle w:val="TBLBulletedList"/>
              <w:numPr>
                <w:ilvl w:val="0"/>
                <w:numId w:val="0"/>
              </w:numPr>
              <w:ind w:left="204"/>
            </w:pPr>
            <w:r>
              <w:t xml:space="preserve">The combination of these 2 additional </w:t>
            </w:r>
            <w:r w:rsidR="009B0F69">
              <w:t xml:space="preserve">requirements is expected to </w:t>
            </w:r>
            <w:r w:rsidR="002C74CB">
              <w:t xml:space="preserve">result in a per SMSF </w:t>
            </w:r>
            <w:r w:rsidR="005374AC">
              <w:t xml:space="preserve">regulatory cost of </w:t>
            </w:r>
            <w:r w:rsidR="00421000">
              <w:t xml:space="preserve">around $133. </w:t>
            </w:r>
            <w:r w:rsidR="00005441">
              <w:t xml:space="preserve">As this is </w:t>
            </w:r>
            <w:r w:rsidR="004C44FD">
              <w:t xml:space="preserve">an </w:t>
            </w:r>
            <w:r w:rsidR="00D63D1E">
              <w:t>impact on individuals not in the course of their employment</w:t>
            </w:r>
            <w:r w:rsidR="0009673E">
              <w:t xml:space="preserve"> or </w:t>
            </w:r>
            <w:r w:rsidR="005C3CDE">
              <w:t>business operations</w:t>
            </w:r>
            <w:r w:rsidR="00D63D1E">
              <w:t xml:space="preserve">, this leisure time is assumed to be the opportunity cost of the time spent </w:t>
            </w:r>
            <w:r w:rsidR="00005441">
              <w:t xml:space="preserve">completing the </w:t>
            </w:r>
            <w:r w:rsidR="00C46607">
              <w:t>additional training</w:t>
            </w:r>
            <w:r w:rsidR="000E0B09">
              <w:t xml:space="preserve"> and making upfront payment of the levy</w:t>
            </w:r>
            <w:r w:rsidR="00C46607">
              <w:t xml:space="preserve">. </w:t>
            </w:r>
            <w:r w:rsidR="00E61B0A">
              <w:t xml:space="preserve">For most new SMSF trustees, it is assumed that a genuine benefit is obtained over the course of the training by improving </w:t>
            </w:r>
            <w:r w:rsidR="00DB5C22">
              <w:t>knowledge of the requirements and risks involved in having an SMSF</w:t>
            </w:r>
            <w:r w:rsidR="00D63D1E">
              <w:t>.</w:t>
            </w:r>
          </w:p>
          <w:p w14:paraId="69CB1D8F" w14:textId="070E6451" w:rsidR="002344B7" w:rsidRDefault="00E04A5E" w:rsidP="002344B7">
            <w:pPr>
              <w:pStyle w:val="TBLBulletedList"/>
            </w:pPr>
            <w:r>
              <w:rPr>
                <w:b/>
                <w:bCs/>
              </w:rPr>
              <w:t>B</w:t>
            </w:r>
            <w:r w:rsidR="001A5542" w:rsidRPr="00E04A5E">
              <w:rPr>
                <w:b/>
                <w:bCs/>
              </w:rPr>
              <w:t>usinesses</w:t>
            </w:r>
            <w:r w:rsidRPr="00E04A5E">
              <w:rPr>
                <w:b/>
                <w:bCs/>
              </w:rPr>
              <w:t xml:space="preserve"> –</w:t>
            </w:r>
            <w:r w:rsidR="001A5542" w:rsidRPr="00E04A5E">
              <w:rPr>
                <w:b/>
                <w:bCs/>
              </w:rPr>
              <w:t xml:space="preserve"> </w:t>
            </w:r>
            <w:r w:rsidR="00B92EF2">
              <w:t>As noted</w:t>
            </w:r>
            <w:r w:rsidR="00FA3A46">
              <w:t xml:space="preserve"> under the status quo, businesses </w:t>
            </w:r>
            <w:r w:rsidR="00F061EB">
              <w:t xml:space="preserve">do not </w:t>
            </w:r>
            <w:r w:rsidR="00F15F6D">
              <w:t xml:space="preserve">bear the compliance costs associated with </w:t>
            </w:r>
            <w:r w:rsidR="004543D4">
              <w:t xml:space="preserve">reforms </w:t>
            </w:r>
            <w:r w:rsidR="007A6F48">
              <w:t xml:space="preserve">– as the </w:t>
            </w:r>
            <w:r w:rsidR="004543D4">
              <w:t xml:space="preserve">reforms </w:t>
            </w:r>
            <w:r w:rsidR="00956F7D">
              <w:t>impose requirements on the trustees o</w:t>
            </w:r>
            <w:r w:rsidR="003E5ED2">
              <w:t>f</w:t>
            </w:r>
            <w:r w:rsidR="00956F7D">
              <w:t xml:space="preserve"> SMSFs. However, </w:t>
            </w:r>
            <w:r w:rsidR="00B42344">
              <w:t xml:space="preserve">businesses are expected to </w:t>
            </w:r>
            <w:r w:rsidR="00E17D2D">
              <w:t>update procedures to ensure their advice and support of SMSFs takes account of new regulatory requirements</w:t>
            </w:r>
            <w:r w:rsidR="002344B7">
              <w:t>:</w:t>
            </w:r>
          </w:p>
          <w:p w14:paraId="7814479B" w14:textId="62020A70" w:rsidR="002344B7" w:rsidRPr="00CC3E42" w:rsidRDefault="002344B7" w:rsidP="002344B7">
            <w:pPr>
              <w:pStyle w:val="TBLBulletedList"/>
              <w:numPr>
                <w:ilvl w:val="0"/>
                <w:numId w:val="0"/>
              </w:numPr>
              <w:ind w:left="204"/>
            </w:pPr>
            <w:r w:rsidRPr="00CC3E42">
              <w:t xml:space="preserve">1. </w:t>
            </w:r>
            <w:r w:rsidR="001C5529" w:rsidRPr="00CC3E42">
              <w:t xml:space="preserve">Accountants that assist SMSFs are assumed to </w:t>
            </w:r>
            <w:r w:rsidR="007D4BB6" w:rsidRPr="00CC3E42">
              <w:t xml:space="preserve">spend 2 hours </w:t>
            </w:r>
            <w:r w:rsidR="0006178C" w:rsidRPr="00CC3E42">
              <w:t xml:space="preserve">understanding new </w:t>
            </w:r>
            <w:r w:rsidR="00076C08" w:rsidRPr="00CC3E42">
              <w:t xml:space="preserve">requirements. </w:t>
            </w:r>
          </w:p>
          <w:p w14:paraId="4A50AE26" w14:textId="4598A9BA" w:rsidR="00076C08" w:rsidRPr="00CC3E42" w:rsidRDefault="00076C08" w:rsidP="002344B7">
            <w:pPr>
              <w:pStyle w:val="TBLBulletedList"/>
              <w:numPr>
                <w:ilvl w:val="0"/>
                <w:numId w:val="0"/>
              </w:numPr>
              <w:ind w:left="204"/>
            </w:pPr>
            <w:r w:rsidRPr="00CC3E42">
              <w:t xml:space="preserve">2. </w:t>
            </w:r>
            <w:r w:rsidR="00083E72" w:rsidRPr="00CC3E42">
              <w:t>Financial advis</w:t>
            </w:r>
            <w:r w:rsidR="00847E1A">
              <w:t>e</w:t>
            </w:r>
            <w:r w:rsidR="00083E72" w:rsidRPr="00CC3E42">
              <w:t>rs are assumed to spend 1 hour</w:t>
            </w:r>
            <w:r w:rsidR="0061688A" w:rsidRPr="00CC3E42">
              <w:t xml:space="preserve"> understanding new requirements. </w:t>
            </w:r>
          </w:p>
          <w:p w14:paraId="6C0B8D85" w14:textId="1F89774C" w:rsidR="0061688A" w:rsidRPr="00CC3E42" w:rsidRDefault="0061688A" w:rsidP="002344B7">
            <w:pPr>
              <w:pStyle w:val="TBLBulletedList"/>
              <w:numPr>
                <w:ilvl w:val="0"/>
                <w:numId w:val="0"/>
              </w:numPr>
              <w:ind w:left="204"/>
            </w:pPr>
            <w:r w:rsidRPr="00CC3E42">
              <w:t>3. Legal professionals are assumed to spend 2 hours updating guidance</w:t>
            </w:r>
            <w:r w:rsidR="00107F1E" w:rsidRPr="00CC3E42">
              <w:t xml:space="preserve">. </w:t>
            </w:r>
          </w:p>
          <w:p w14:paraId="0E32B07B" w14:textId="7AA0BFE3" w:rsidR="001A5542" w:rsidRPr="004D3335" w:rsidRDefault="00E04A5E" w:rsidP="001A5542">
            <w:pPr>
              <w:pStyle w:val="TBLBulletedList"/>
            </w:pPr>
            <w:r>
              <w:rPr>
                <w:b/>
                <w:bCs/>
              </w:rPr>
              <w:t>O</w:t>
            </w:r>
            <w:r w:rsidR="001A5542" w:rsidRPr="00E04A5E">
              <w:rPr>
                <w:b/>
                <w:bCs/>
              </w:rPr>
              <w:t>thers</w:t>
            </w:r>
            <w:r w:rsidRPr="00E04A5E">
              <w:rPr>
                <w:b/>
                <w:bCs/>
              </w:rPr>
              <w:t xml:space="preserve"> –</w:t>
            </w:r>
            <w:r w:rsidR="001A5542" w:rsidRPr="004D3335">
              <w:t xml:space="preserve"> </w:t>
            </w:r>
            <w:r w:rsidR="00460606">
              <w:t xml:space="preserve">There is not expected to </w:t>
            </w:r>
            <w:r w:rsidR="004E27D5">
              <w:t xml:space="preserve">be </w:t>
            </w:r>
            <w:r w:rsidR="00460606">
              <w:t xml:space="preserve">any material </w:t>
            </w:r>
            <w:r w:rsidR="005C1C58">
              <w:t xml:space="preserve">regulatory burden for other </w:t>
            </w:r>
            <w:r w:rsidR="003561DF">
              <w:t xml:space="preserve">market </w:t>
            </w:r>
            <w:r w:rsidR="00564812">
              <w:t xml:space="preserve">or community participants. </w:t>
            </w:r>
          </w:p>
          <w:p w14:paraId="49A91ADA" w14:textId="6A54CB98" w:rsidR="001A5542" w:rsidRPr="004D3335" w:rsidRDefault="001A5542" w:rsidP="001A5542">
            <w:pPr>
              <w:pStyle w:val="TBLText"/>
            </w:pPr>
            <w:r w:rsidRPr="004D3335">
              <w:rPr>
                <w:b/>
                <w:bCs/>
              </w:rPr>
              <w:t>Stakeholder views:</w:t>
            </w:r>
            <w:r w:rsidRPr="004D3335">
              <w:t xml:space="preserve"> </w:t>
            </w:r>
            <w:r w:rsidR="008E63B4">
              <w:t xml:space="preserve">Stakeholders are expected to broadly support an uplift in </w:t>
            </w:r>
            <w:r w:rsidR="00774597">
              <w:t xml:space="preserve">the regulation to match </w:t>
            </w:r>
            <w:r w:rsidR="00FB142D">
              <w:t xml:space="preserve">existing </w:t>
            </w:r>
            <w:r w:rsidR="00774597">
              <w:t>best practice</w:t>
            </w:r>
            <w:r w:rsidR="00FB142D">
              <w:t>.</w:t>
            </w:r>
          </w:p>
        </w:tc>
      </w:tr>
    </w:tbl>
    <w:p w14:paraId="5B175E49" w14:textId="77777777" w:rsidR="00CA3925" w:rsidRDefault="00CA3925" w:rsidP="0074565F">
      <w:pPr>
        <w:pStyle w:val="Heading2"/>
      </w:pPr>
      <w:r w:rsidRPr="00CA3925">
        <w:lastRenderedPageBreak/>
        <w:t>Other considerations and implementation</w:t>
      </w:r>
    </w:p>
    <w:p w14:paraId="405D1541" w14:textId="77777777" w:rsidR="00B24221" w:rsidRPr="00F55D72" w:rsidRDefault="007A337E" w:rsidP="007A337E">
      <w:pPr>
        <w:pStyle w:val="CABHeading2"/>
        <w:spacing w:before="120" w:after="120"/>
        <w:rPr>
          <w:rFonts w:asciiTheme="minorHAnsi" w:eastAsiaTheme="minorHAnsi" w:hAnsiTheme="minorHAnsi" w:cstheme="minorHAnsi"/>
          <w:b w:val="0"/>
          <w:bCs w:val="0"/>
          <w:color w:val="auto"/>
          <w:sz w:val="22"/>
          <w:szCs w:val="22"/>
        </w:rPr>
      </w:pPr>
      <w:r w:rsidRPr="00F55D72">
        <w:rPr>
          <w:rFonts w:asciiTheme="minorHAnsi" w:eastAsiaTheme="minorHAnsi" w:hAnsiTheme="minorHAnsi" w:cstheme="minorHAnsi"/>
          <w:b w:val="0"/>
          <w:bCs w:val="0"/>
          <w:color w:val="auto"/>
          <w:sz w:val="22"/>
          <w:szCs w:val="22"/>
        </w:rPr>
        <w:t>Other options have been considered</w:t>
      </w:r>
      <w:r w:rsidR="00B24221" w:rsidRPr="00F55D72">
        <w:rPr>
          <w:rFonts w:asciiTheme="minorHAnsi" w:eastAsiaTheme="minorHAnsi" w:hAnsiTheme="minorHAnsi" w:cstheme="minorHAnsi"/>
          <w:b w:val="0"/>
          <w:bCs w:val="0"/>
          <w:color w:val="auto"/>
          <w:sz w:val="22"/>
          <w:szCs w:val="22"/>
        </w:rPr>
        <w:t>, including</w:t>
      </w:r>
      <w:r w:rsidRPr="00F55D72">
        <w:rPr>
          <w:rFonts w:asciiTheme="minorHAnsi" w:eastAsiaTheme="minorHAnsi" w:hAnsiTheme="minorHAnsi" w:cstheme="minorHAnsi"/>
          <w:b w:val="0"/>
          <w:bCs w:val="0"/>
          <w:color w:val="auto"/>
          <w:sz w:val="22"/>
          <w:szCs w:val="22"/>
        </w:rPr>
        <w:t>:</w:t>
      </w:r>
    </w:p>
    <w:p w14:paraId="6846D915" w14:textId="65C4881F" w:rsidR="007A337E" w:rsidRPr="00F55D72" w:rsidRDefault="00A9115B" w:rsidP="00D670AA">
      <w:pPr>
        <w:pStyle w:val="OutlineNumbered1"/>
        <w:numPr>
          <w:ilvl w:val="0"/>
          <w:numId w:val="46"/>
        </w:numPr>
        <w:rPr>
          <w:color w:val="auto"/>
        </w:rPr>
      </w:pPr>
      <w:r w:rsidRPr="00F55D72">
        <w:rPr>
          <w:color w:val="auto"/>
        </w:rPr>
        <w:t xml:space="preserve">Increasing resourcing </w:t>
      </w:r>
      <w:r w:rsidR="00250BBA" w:rsidRPr="00F55D72">
        <w:rPr>
          <w:color w:val="auto"/>
        </w:rPr>
        <w:t xml:space="preserve">for ATO compliance at the </w:t>
      </w:r>
      <w:r w:rsidR="00B023FB">
        <w:rPr>
          <w:color w:val="auto"/>
        </w:rPr>
        <w:t>registration</w:t>
      </w:r>
      <w:r w:rsidR="00B023FB" w:rsidRPr="00F55D72">
        <w:rPr>
          <w:color w:val="auto"/>
        </w:rPr>
        <w:t xml:space="preserve"> </w:t>
      </w:r>
      <w:r w:rsidR="00250BBA" w:rsidRPr="00F55D72">
        <w:rPr>
          <w:color w:val="auto"/>
        </w:rPr>
        <w:t>stage without corresponding updates to regulatory powers</w:t>
      </w:r>
      <w:r w:rsidR="00F60087" w:rsidRPr="00F55D72">
        <w:rPr>
          <w:color w:val="auto"/>
        </w:rPr>
        <w:t>.</w:t>
      </w:r>
    </w:p>
    <w:p w14:paraId="184FAFB7" w14:textId="75F9CFBD" w:rsidR="00F60087" w:rsidRPr="00F55D72" w:rsidRDefault="00F60087" w:rsidP="00F60087">
      <w:pPr>
        <w:pStyle w:val="OutlineNumbered1"/>
        <w:numPr>
          <w:ilvl w:val="0"/>
          <w:numId w:val="0"/>
        </w:numPr>
        <w:ind w:left="520"/>
        <w:rPr>
          <w:color w:val="auto"/>
        </w:rPr>
      </w:pPr>
      <w:r w:rsidRPr="00F55D72">
        <w:rPr>
          <w:color w:val="auto"/>
        </w:rPr>
        <w:t xml:space="preserve">While this option may have a lower </w:t>
      </w:r>
      <w:r w:rsidR="00A75A6A" w:rsidRPr="00F55D72">
        <w:rPr>
          <w:color w:val="auto"/>
        </w:rPr>
        <w:t xml:space="preserve">systems build costs, </w:t>
      </w:r>
      <w:r w:rsidR="00C50322" w:rsidRPr="00F55D72">
        <w:rPr>
          <w:color w:val="auto"/>
        </w:rPr>
        <w:t xml:space="preserve">an increase in resources for compliance </w:t>
      </w:r>
      <w:r w:rsidR="00181B02" w:rsidRPr="00F55D72">
        <w:rPr>
          <w:color w:val="auto"/>
        </w:rPr>
        <w:t>without</w:t>
      </w:r>
      <w:r w:rsidR="00237930" w:rsidRPr="00F55D72">
        <w:rPr>
          <w:color w:val="auto"/>
        </w:rPr>
        <w:t xml:space="preserve"> corresponding </w:t>
      </w:r>
      <w:r w:rsidR="00723903" w:rsidRPr="00F55D72">
        <w:rPr>
          <w:color w:val="auto"/>
        </w:rPr>
        <w:t xml:space="preserve">improvements to ATO </w:t>
      </w:r>
      <w:r w:rsidR="00DE5188" w:rsidRPr="00F55D72">
        <w:rPr>
          <w:color w:val="auto"/>
        </w:rPr>
        <w:t xml:space="preserve">powers </w:t>
      </w:r>
      <w:r w:rsidR="0022163A" w:rsidRPr="00F55D72">
        <w:rPr>
          <w:color w:val="auto"/>
        </w:rPr>
        <w:t xml:space="preserve">is unlikely to be effective. This is because of the </w:t>
      </w:r>
      <w:r w:rsidR="00777D45" w:rsidRPr="00F55D72">
        <w:rPr>
          <w:color w:val="auto"/>
        </w:rPr>
        <w:t xml:space="preserve">regulator’s current </w:t>
      </w:r>
      <w:r w:rsidR="0022163A" w:rsidRPr="00F55D72">
        <w:rPr>
          <w:color w:val="auto"/>
        </w:rPr>
        <w:t xml:space="preserve">limited </w:t>
      </w:r>
      <w:r w:rsidR="003F0C9C" w:rsidRPr="00F55D72">
        <w:rPr>
          <w:color w:val="auto"/>
        </w:rPr>
        <w:t>ability</w:t>
      </w:r>
      <w:r w:rsidR="000A1254" w:rsidRPr="00F55D72">
        <w:rPr>
          <w:color w:val="auto"/>
        </w:rPr>
        <w:t xml:space="preserve"> to consider </w:t>
      </w:r>
      <w:r w:rsidR="005A6221" w:rsidRPr="00F55D72">
        <w:rPr>
          <w:color w:val="auto"/>
        </w:rPr>
        <w:t xml:space="preserve">a variety of risk indicators when </w:t>
      </w:r>
      <w:r w:rsidR="00DF5A87" w:rsidRPr="00F55D72">
        <w:rPr>
          <w:color w:val="auto"/>
        </w:rPr>
        <w:t>assessing an SMSF</w:t>
      </w:r>
      <w:r w:rsidR="00D611BB" w:rsidRPr="00F55D72">
        <w:rPr>
          <w:color w:val="auto"/>
        </w:rPr>
        <w:t xml:space="preserve"> </w:t>
      </w:r>
      <w:r w:rsidR="00433A10" w:rsidRPr="00F55D72">
        <w:rPr>
          <w:color w:val="auto"/>
        </w:rPr>
        <w:t xml:space="preserve">for registration. </w:t>
      </w:r>
      <w:r w:rsidR="0014162B" w:rsidRPr="00F55D72">
        <w:rPr>
          <w:color w:val="auto"/>
        </w:rPr>
        <w:t xml:space="preserve">This means that even if compliance resources </w:t>
      </w:r>
      <w:proofErr w:type="gramStart"/>
      <w:r w:rsidR="0014162B" w:rsidRPr="00F55D72">
        <w:rPr>
          <w:color w:val="auto"/>
        </w:rPr>
        <w:t>are able to</w:t>
      </w:r>
      <w:proofErr w:type="gramEnd"/>
      <w:r w:rsidR="0014162B" w:rsidRPr="00F55D72">
        <w:rPr>
          <w:color w:val="auto"/>
        </w:rPr>
        <w:t xml:space="preserve"> </w:t>
      </w:r>
      <w:r w:rsidR="005D66D5" w:rsidRPr="00F55D72">
        <w:rPr>
          <w:color w:val="auto"/>
        </w:rPr>
        <w:t xml:space="preserve">be used </w:t>
      </w:r>
      <w:r w:rsidR="0014162B" w:rsidRPr="00F55D72">
        <w:rPr>
          <w:color w:val="auto"/>
        </w:rPr>
        <w:t xml:space="preserve">identify </w:t>
      </w:r>
      <w:r w:rsidR="005D66D5" w:rsidRPr="00F55D72">
        <w:rPr>
          <w:color w:val="auto"/>
        </w:rPr>
        <w:t xml:space="preserve">more </w:t>
      </w:r>
      <w:r w:rsidR="0009047F" w:rsidRPr="00F55D72">
        <w:rPr>
          <w:color w:val="auto"/>
        </w:rPr>
        <w:t xml:space="preserve">SMSFs for further investigation, </w:t>
      </w:r>
      <w:r w:rsidR="005D66D5" w:rsidRPr="00F55D72">
        <w:rPr>
          <w:color w:val="auto"/>
        </w:rPr>
        <w:t xml:space="preserve">the ATO may not have legal standing to prevent rollover </w:t>
      </w:r>
      <w:proofErr w:type="gramStart"/>
      <w:r w:rsidR="005D66D5" w:rsidRPr="00F55D72">
        <w:rPr>
          <w:color w:val="auto"/>
        </w:rPr>
        <w:t>in order to</w:t>
      </w:r>
      <w:proofErr w:type="gramEnd"/>
      <w:r w:rsidR="005D66D5" w:rsidRPr="00F55D72">
        <w:rPr>
          <w:color w:val="auto"/>
        </w:rPr>
        <w:t xml:space="preserve"> investigate. </w:t>
      </w:r>
    </w:p>
    <w:p w14:paraId="6EBF827C" w14:textId="7F074DB6" w:rsidR="005D66D5" w:rsidRPr="00F55D72" w:rsidRDefault="007138AF" w:rsidP="005D66D5">
      <w:pPr>
        <w:pStyle w:val="OutlineNumbered1"/>
        <w:numPr>
          <w:ilvl w:val="0"/>
          <w:numId w:val="46"/>
        </w:numPr>
        <w:rPr>
          <w:color w:val="auto"/>
        </w:rPr>
      </w:pPr>
      <w:r w:rsidRPr="00F55D72">
        <w:rPr>
          <w:color w:val="auto"/>
        </w:rPr>
        <w:t>Introducing a requirement for an</w:t>
      </w:r>
      <w:r w:rsidR="007E6A91" w:rsidRPr="00F55D72">
        <w:rPr>
          <w:color w:val="auto"/>
        </w:rPr>
        <w:t xml:space="preserve"> independent audit of the SMSF at establishment, rather than the current requirement to conduct the audit </w:t>
      </w:r>
      <w:r w:rsidR="004603CD" w:rsidRPr="00F55D72">
        <w:rPr>
          <w:color w:val="auto"/>
        </w:rPr>
        <w:t xml:space="preserve">for the end of year one </w:t>
      </w:r>
      <w:r w:rsidR="00D832E3" w:rsidRPr="00F55D72">
        <w:rPr>
          <w:color w:val="auto"/>
        </w:rPr>
        <w:t xml:space="preserve">SMSF annual return. </w:t>
      </w:r>
    </w:p>
    <w:p w14:paraId="735D4FF4" w14:textId="446086E6" w:rsidR="00983DAB" w:rsidRPr="00F55D72" w:rsidRDefault="00DA0124" w:rsidP="006B2FFB">
      <w:pPr>
        <w:pStyle w:val="OutlineNumbered1"/>
        <w:numPr>
          <w:ilvl w:val="0"/>
          <w:numId w:val="0"/>
        </w:numPr>
        <w:ind w:left="520"/>
        <w:rPr>
          <w:color w:val="auto"/>
        </w:rPr>
      </w:pPr>
      <w:r w:rsidRPr="00F55D72">
        <w:rPr>
          <w:color w:val="auto"/>
        </w:rPr>
        <w:t xml:space="preserve">This option has the benefit of introducing </w:t>
      </w:r>
      <w:r w:rsidR="00AE451B" w:rsidRPr="00F55D72">
        <w:rPr>
          <w:color w:val="auto"/>
        </w:rPr>
        <w:t>an independent third party into the establishment process</w:t>
      </w:r>
      <w:r w:rsidR="00167F27" w:rsidRPr="00F55D72">
        <w:rPr>
          <w:color w:val="auto"/>
        </w:rPr>
        <w:t xml:space="preserve">. However, </w:t>
      </w:r>
      <w:r w:rsidR="005E278B" w:rsidRPr="00F55D72">
        <w:rPr>
          <w:color w:val="auto"/>
        </w:rPr>
        <w:t xml:space="preserve">it likely has a larger additional cost to SMSF trustees and to the </w:t>
      </w:r>
      <w:r w:rsidR="00983DAB" w:rsidRPr="00F55D72">
        <w:rPr>
          <w:color w:val="auto"/>
        </w:rPr>
        <w:t xml:space="preserve">auditor industry to update processes to account for a new ‘establishment’ audit, which does not currently exist. </w:t>
      </w:r>
      <w:r w:rsidR="001D14B6" w:rsidRPr="00F55D72">
        <w:rPr>
          <w:color w:val="auto"/>
        </w:rPr>
        <w:t xml:space="preserve">As the auditor would likely be assessing the SMSF prior to any investment or use of the SMSF assets, it </w:t>
      </w:r>
      <w:r w:rsidR="00403DFE" w:rsidRPr="00F55D72">
        <w:rPr>
          <w:color w:val="auto"/>
        </w:rPr>
        <w:t xml:space="preserve">may be </w:t>
      </w:r>
      <w:r w:rsidR="001D14B6" w:rsidRPr="00F55D72">
        <w:rPr>
          <w:color w:val="auto"/>
        </w:rPr>
        <w:t>difficult for the ‘establishment’ auditor t</w:t>
      </w:r>
      <w:r w:rsidR="00403DFE" w:rsidRPr="00F55D72">
        <w:rPr>
          <w:color w:val="auto"/>
        </w:rPr>
        <w:t xml:space="preserve">o </w:t>
      </w:r>
      <w:r w:rsidR="0033701B" w:rsidRPr="00F55D72">
        <w:rPr>
          <w:color w:val="auto"/>
        </w:rPr>
        <w:t xml:space="preserve">ensure later contraventions are not committed. </w:t>
      </w:r>
    </w:p>
    <w:p w14:paraId="62882A72" w14:textId="607AF647" w:rsidR="00AE39E1" w:rsidRDefault="00CA3925" w:rsidP="00AE39E1">
      <w:pPr>
        <w:pStyle w:val="Heading3"/>
      </w:pPr>
      <w:r w:rsidRPr="00CA3925">
        <w:t>What success looks like</w:t>
      </w:r>
    </w:p>
    <w:p w14:paraId="6D0FA7FB" w14:textId="4EFA9742" w:rsidR="00405E85" w:rsidRPr="00F55D72" w:rsidRDefault="00405E85" w:rsidP="00405E85">
      <w:pPr>
        <w:pStyle w:val="CABHeading2"/>
        <w:spacing w:before="120" w:after="120"/>
        <w:rPr>
          <w:rFonts w:asciiTheme="minorHAnsi" w:eastAsiaTheme="minorHAnsi" w:hAnsiTheme="minorHAnsi" w:cstheme="minorHAnsi"/>
          <w:b w:val="0"/>
          <w:color w:val="auto"/>
          <w:sz w:val="22"/>
          <w:szCs w:val="22"/>
        </w:rPr>
      </w:pPr>
      <w:r w:rsidRPr="00F55D72">
        <w:rPr>
          <w:rFonts w:asciiTheme="minorHAnsi" w:eastAsiaTheme="minorHAnsi" w:hAnsiTheme="minorHAnsi" w:cstheme="minorHAnsi"/>
          <w:b w:val="0"/>
          <w:bCs w:val="0"/>
          <w:color w:val="auto"/>
          <w:sz w:val="22"/>
          <w:szCs w:val="22"/>
        </w:rPr>
        <w:t xml:space="preserve">The </w:t>
      </w:r>
      <w:r w:rsidR="004543D4">
        <w:rPr>
          <w:rFonts w:asciiTheme="minorHAnsi" w:eastAsiaTheme="minorHAnsi" w:hAnsiTheme="minorHAnsi" w:cstheme="minorHAnsi"/>
          <w:b w:val="0"/>
          <w:bCs w:val="0"/>
          <w:color w:val="auto"/>
          <w:sz w:val="22"/>
          <w:szCs w:val="22"/>
        </w:rPr>
        <w:t>reforms</w:t>
      </w:r>
      <w:r w:rsidR="004543D4" w:rsidRPr="00F55D72">
        <w:rPr>
          <w:rFonts w:asciiTheme="minorHAnsi" w:eastAsiaTheme="minorHAnsi" w:hAnsiTheme="minorHAnsi" w:cstheme="minorHAnsi"/>
          <w:b w:val="0"/>
          <w:bCs w:val="0"/>
          <w:color w:val="auto"/>
          <w:sz w:val="22"/>
          <w:szCs w:val="22"/>
        </w:rPr>
        <w:t xml:space="preserve"> </w:t>
      </w:r>
      <w:r w:rsidRPr="00F55D72">
        <w:rPr>
          <w:rFonts w:asciiTheme="minorHAnsi" w:eastAsiaTheme="minorHAnsi" w:hAnsiTheme="minorHAnsi" w:cstheme="minorHAnsi"/>
          <w:b w:val="0"/>
          <w:bCs w:val="0"/>
          <w:color w:val="auto"/>
          <w:sz w:val="22"/>
          <w:szCs w:val="22"/>
        </w:rPr>
        <w:t xml:space="preserve">target a wide range of behaviours and outcomes that cannot necessarily be captured by single metrics. </w:t>
      </w:r>
      <w:r w:rsidR="009E714E" w:rsidRPr="00F55D72">
        <w:rPr>
          <w:rFonts w:asciiTheme="minorHAnsi" w:eastAsiaTheme="minorHAnsi" w:hAnsiTheme="minorHAnsi" w:cstheme="minorHAnsi"/>
          <w:b w:val="0"/>
          <w:bCs w:val="0"/>
          <w:color w:val="auto"/>
          <w:sz w:val="22"/>
          <w:szCs w:val="22"/>
        </w:rPr>
        <w:t>Broadly, success will</w:t>
      </w:r>
      <w:r w:rsidRPr="00F55D72">
        <w:rPr>
          <w:rFonts w:asciiTheme="minorHAnsi" w:eastAsiaTheme="minorHAnsi" w:hAnsiTheme="minorHAnsi" w:cstheme="minorHAnsi"/>
          <w:b w:val="0"/>
          <w:bCs w:val="0"/>
          <w:color w:val="auto"/>
          <w:sz w:val="22"/>
          <w:szCs w:val="22"/>
        </w:rPr>
        <w:t xml:space="preserve"> </w:t>
      </w:r>
      <w:r w:rsidR="00EC2670" w:rsidRPr="00F55D72">
        <w:rPr>
          <w:rFonts w:asciiTheme="minorHAnsi" w:eastAsiaTheme="minorHAnsi" w:hAnsiTheme="minorHAnsi" w:cstheme="minorHAnsi"/>
          <w:b w:val="0"/>
          <w:bCs w:val="0"/>
          <w:color w:val="auto"/>
          <w:sz w:val="22"/>
          <w:szCs w:val="22"/>
        </w:rPr>
        <w:t xml:space="preserve">be reflected in </w:t>
      </w:r>
      <w:r w:rsidR="007F1F81" w:rsidRPr="00F55D72">
        <w:rPr>
          <w:rFonts w:asciiTheme="minorHAnsi" w:eastAsiaTheme="minorHAnsi" w:hAnsiTheme="minorHAnsi" w:cstheme="minorHAnsi"/>
          <w:b w:val="0"/>
          <w:bCs w:val="0"/>
          <w:color w:val="auto"/>
          <w:sz w:val="22"/>
          <w:szCs w:val="22"/>
        </w:rPr>
        <w:t>positive momentum across the following areas</w:t>
      </w:r>
      <w:r w:rsidRPr="00F55D72">
        <w:rPr>
          <w:rFonts w:asciiTheme="minorHAnsi" w:eastAsiaTheme="minorHAnsi" w:hAnsiTheme="minorHAnsi" w:cstheme="minorHAnsi"/>
          <w:b w:val="0"/>
          <w:bCs w:val="0"/>
          <w:color w:val="auto"/>
          <w:sz w:val="22"/>
          <w:szCs w:val="22"/>
        </w:rPr>
        <w:t xml:space="preserve">: </w:t>
      </w:r>
    </w:p>
    <w:p w14:paraId="0CAC2CBE" w14:textId="77777777" w:rsidR="00405E85" w:rsidRPr="00F55D72" w:rsidRDefault="00405E85" w:rsidP="00405E85">
      <w:pPr>
        <w:pStyle w:val="Bullet"/>
        <w:spacing w:after="120" w:line="276" w:lineRule="auto"/>
      </w:pPr>
      <w:r w:rsidRPr="00F55D72">
        <w:t>Reducing the rate of non-lodgement and late-lodgement of the SMSF annual return</w:t>
      </w:r>
    </w:p>
    <w:p w14:paraId="443D1F82" w14:textId="77777777" w:rsidR="00405E85" w:rsidRPr="00F55D72" w:rsidRDefault="00405E85" w:rsidP="00405E85">
      <w:pPr>
        <w:pStyle w:val="Bullet"/>
        <w:spacing w:after="120" w:line="276" w:lineRule="auto"/>
      </w:pPr>
      <w:r w:rsidRPr="00F55D72">
        <w:t>Reducing the incidence/value of illegal early access to superannuation through SMSFs, and prohibited loans from SMSFs</w:t>
      </w:r>
    </w:p>
    <w:p w14:paraId="77EE97B0" w14:textId="77777777" w:rsidR="00405E85" w:rsidRPr="00F55D72" w:rsidRDefault="00405E85" w:rsidP="00405E85">
      <w:pPr>
        <w:pStyle w:val="Bullet"/>
        <w:spacing w:after="120" w:line="276" w:lineRule="auto"/>
      </w:pPr>
      <w:r w:rsidRPr="00F55D72">
        <w:t>Broadly reducing rates of non-compliance or contraventions with SMSF regulations</w:t>
      </w:r>
    </w:p>
    <w:p w14:paraId="173E367F" w14:textId="77777777" w:rsidR="00405E85" w:rsidRPr="00F55D72" w:rsidRDefault="00405E85" w:rsidP="00405E85">
      <w:pPr>
        <w:pStyle w:val="Bullet"/>
        <w:spacing w:after="120" w:line="276" w:lineRule="auto"/>
      </w:pPr>
      <w:r w:rsidRPr="00F55D72">
        <w:t>Increasing general awareness of an SMSF’s responsibilities</w:t>
      </w:r>
    </w:p>
    <w:p w14:paraId="48BD6DD8" w14:textId="77777777" w:rsidR="00405E85" w:rsidRPr="00F55D72" w:rsidRDefault="00405E85" w:rsidP="00405E85">
      <w:pPr>
        <w:pStyle w:val="Bullet"/>
        <w:spacing w:after="120" w:line="276" w:lineRule="auto"/>
      </w:pPr>
      <w:r w:rsidRPr="00F55D72">
        <w:t>Reducing the ease or incidence of SMSFs being used for fraud and abuse</w:t>
      </w:r>
    </w:p>
    <w:p w14:paraId="0D6DF459" w14:textId="044A094C" w:rsidR="00DA1BB0" w:rsidRPr="00F55D72" w:rsidRDefault="00DA1BB0" w:rsidP="00405E85">
      <w:pPr>
        <w:pStyle w:val="Bullet"/>
        <w:spacing w:after="120" w:line="276" w:lineRule="auto"/>
      </w:pPr>
      <w:r>
        <w:t xml:space="preserve">Improved information flow for regulators on participants in </w:t>
      </w:r>
      <w:proofErr w:type="gramStart"/>
      <w:r>
        <w:t>high risk</w:t>
      </w:r>
      <w:proofErr w:type="gramEnd"/>
      <w:r>
        <w:t xml:space="preserve"> rollovers or schemes.</w:t>
      </w:r>
    </w:p>
    <w:p w14:paraId="22F35E6A" w14:textId="77777777" w:rsidR="00AE39E1" w:rsidRPr="00F55D72" w:rsidRDefault="00CA3925" w:rsidP="00AE39E1">
      <w:pPr>
        <w:pStyle w:val="Heading3"/>
        <w:rPr>
          <w:color w:val="auto"/>
        </w:rPr>
      </w:pPr>
      <w:r w:rsidRPr="00F55D72">
        <w:rPr>
          <w:color w:val="auto"/>
        </w:rPr>
        <w:t>Implementation approach</w:t>
      </w:r>
    </w:p>
    <w:p w14:paraId="7484FA9C" w14:textId="1D45EE32" w:rsidR="004B35EA" w:rsidRPr="00F55D72" w:rsidRDefault="004B35EA" w:rsidP="002B6794">
      <w:pPr>
        <w:spacing w:before="120" w:after="120" w:line="240" w:lineRule="auto"/>
        <w:rPr>
          <w:color w:val="auto"/>
        </w:rPr>
      </w:pPr>
      <w:r w:rsidRPr="00F55D72">
        <w:rPr>
          <w:color w:val="auto"/>
        </w:rPr>
        <w:t xml:space="preserve">Implementation will be supported by existing </w:t>
      </w:r>
      <w:r w:rsidR="00C14FA5" w:rsidRPr="00F55D72">
        <w:rPr>
          <w:color w:val="auto"/>
        </w:rPr>
        <w:t xml:space="preserve">ATO systems </w:t>
      </w:r>
      <w:r w:rsidR="00016AEF" w:rsidRPr="00F55D72">
        <w:rPr>
          <w:color w:val="auto"/>
        </w:rPr>
        <w:t>and</w:t>
      </w:r>
      <w:r w:rsidR="00C14FA5" w:rsidRPr="00F55D72">
        <w:rPr>
          <w:color w:val="auto"/>
        </w:rPr>
        <w:t xml:space="preserve"> processes</w:t>
      </w:r>
      <w:r w:rsidR="00650CB9" w:rsidRPr="00F55D72">
        <w:rPr>
          <w:color w:val="auto"/>
        </w:rPr>
        <w:t>:</w:t>
      </w:r>
    </w:p>
    <w:p w14:paraId="3E995298" w14:textId="0FEF8BD5" w:rsidR="00650CB9" w:rsidRPr="00F55D72" w:rsidRDefault="004518DD" w:rsidP="00650CB9">
      <w:pPr>
        <w:pStyle w:val="Bullet"/>
      </w:pPr>
      <w:r w:rsidRPr="00F55D72">
        <w:t xml:space="preserve">The </w:t>
      </w:r>
      <w:r w:rsidR="002766E5" w:rsidRPr="00F55D72">
        <w:t xml:space="preserve">ATO has an existing education training module for SMSFs that can be leveraged for </w:t>
      </w:r>
      <w:r w:rsidR="008D1F4D" w:rsidRPr="00F55D72">
        <w:t xml:space="preserve">training </w:t>
      </w:r>
      <w:r w:rsidR="00BD4E46">
        <w:t>prior to registration</w:t>
      </w:r>
      <w:r w:rsidR="00990278" w:rsidRPr="00F55D72">
        <w:t xml:space="preserve">. This module is currently used for </w:t>
      </w:r>
      <w:r w:rsidR="002F4320" w:rsidRPr="00F55D72">
        <w:t xml:space="preserve">education directed </w:t>
      </w:r>
      <w:r w:rsidR="00D56109" w:rsidRPr="00F55D72">
        <w:t>at</w:t>
      </w:r>
      <w:r w:rsidR="002F4320" w:rsidRPr="00F55D72">
        <w:t xml:space="preserve"> existing trustees that have breached their </w:t>
      </w:r>
      <w:r w:rsidR="003D33DC" w:rsidRPr="00F55D72">
        <w:t>regulatory obligations</w:t>
      </w:r>
      <w:r w:rsidR="003F4CF2" w:rsidRPr="00F55D72">
        <w:t xml:space="preserve">. </w:t>
      </w:r>
    </w:p>
    <w:p w14:paraId="0F8F4A08" w14:textId="3D900C86" w:rsidR="007655C9" w:rsidRPr="00F55D72" w:rsidRDefault="000779E3" w:rsidP="00650CB9">
      <w:pPr>
        <w:pStyle w:val="Bullet"/>
      </w:pPr>
      <w:r w:rsidRPr="00F55D72">
        <w:lastRenderedPageBreak/>
        <w:t xml:space="preserve">The </w:t>
      </w:r>
      <w:r w:rsidR="00AE4836" w:rsidRPr="00F55D72">
        <w:t xml:space="preserve">ATO </w:t>
      </w:r>
      <w:r w:rsidR="00343B69" w:rsidRPr="00F55D72">
        <w:t>does currentl</w:t>
      </w:r>
      <w:r w:rsidR="00097A02" w:rsidRPr="00F55D72">
        <w:t xml:space="preserve">y </w:t>
      </w:r>
      <w:r w:rsidR="00D23ADC" w:rsidRPr="00F55D72">
        <w:t xml:space="preserve">have an administrative system </w:t>
      </w:r>
      <w:r w:rsidR="00E60D1D" w:rsidRPr="00F55D72">
        <w:t xml:space="preserve">(the Superfund Lookup </w:t>
      </w:r>
      <w:r w:rsidR="00FA4133" w:rsidRPr="00F55D72">
        <w:t>s</w:t>
      </w:r>
      <w:r w:rsidR="00E60D1D" w:rsidRPr="00F55D72">
        <w:t xml:space="preserve">ervice) it </w:t>
      </w:r>
      <w:r w:rsidR="00D20F67" w:rsidRPr="00F55D72">
        <w:t xml:space="preserve">uses to </w:t>
      </w:r>
      <w:r w:rsidR="006B6957" w:rsidRPr="00F55D72">
        <w:t xml:space="preserve">reflect the compliance status of an SMSF. This compliance status must be confirmed by a transferring fund before </w:t>
      </w:r>
      <w:r w:rsidR="00121B74" w:rsidRPr="00F55D72">
        <w:t>it can roll</w:t>
      </w:r>
      <w:r w:rsidR="00D22F24" w:rsidRPr="00F55D72">
        <w:t xml:space="preserve"> </w:t>
      </w:r>
      <w:r w:rsidR="00121B74" w:rsidRPr="00F55D72">
        <w:t xml:space="preserve">over funds to an SMSF. </w:t>
      </w:r>
      <w:r w:rsidR="002878FE" w:rsidRPr="00F55D72">
        <w:t xml:space="preserve">These </w:t>
      </w:r>
      <w:r w:rsidR="0020082E" w:rsidRPr="00F55D72">
        <w:t xml:space="preserve">systems will broadly </w:t>
      </w:r>
      <w:r w:rsidR="007B0979" w:rsidRPr="00F55D72">
        <w:t xml:space="preserve">be utilised alongside additional ATO powers to prevent rollovers while investigation occurs. </w:t>
      </w:r>
      <w:r w:rsidR="00A81DB0" w:rsidRPr="00F55D72">
        <w:t xml:space="preserve"> </w:t>
      </w:r>
    </w:p>
    <w:p w14:paraId="2ED67143" w14:textId="168B2E89" w:rsidR="00725790" w:rsidRPr="00F55D72" w:rsidRDefault="002B6794" w:rsidP="002B6794">
      <w:pPr>
        <w:spacing w:before="120" w:after="120" w:line="240" w:lineRule="auto"/>
        <w:rPr>
          <w:color w:val="auto"/>
        </w:rPr>
      </w:pPr>
      <w:r w:rsidRPr="00F55D72">
        <w:rPr>
          <w:color w:val="auto"/>
        </w:rPr>
        <w:t>Evaluation will occur through ATO’s regular monitoring and updates on SMSF annual return lodgements</w:t>
      </w:r>
      <w:r w:rsidR="009810E3" w:rsidRPr="00F55D72">
        <w:rPr>
          <w:color w:val="auto"/>
        </w:rPr>
        <w:t xml:space="preserve"> and ‘failure to lodge’ rates</w:t>
      </w:r>
      <w:r w:rsidR="00215E29" w:rsidRPr="00F55D72">
        <w:rPr>
          <w:color w:val="auto"/>
        </w:rPr>
        <w:t xml:space="preserve">, illegal early access rates, and </w:t>
      </w:r>
      <w:r w:rsidR="0033397D" w:rsidRPr="00F55D72">
        <w:rPr>
          <w:color w:val="auto"/>
        </w:rPr>
        <w:t>general intelligence sharing between Treasury and the ATO</w:t>
      </w:r>
      <w:r w:rsidRPr="00F55D72">
        <w:rPr>
          <w:color w:val="auto"/>
        </w:rPr>
        <w:t xml:space="preserve">. No additional evaluations are needed. </w:t>
      </w:r>
    </w:p>
    <w:p w14:paraId="732D58B5" w14:textId="77777777" w:rsidR="00AE39E1" w:rsidRPr="00F55D72" w:rsidRDefault="00AE39E1" w:rsidP="00AE39E1">
      <w:pPr>
        <w:pStyle w:val="Heading3"/>
        <w:rPr>
          <w:color w:val="auto"/>
        </w:rPr>
      </w:pPr>
      <w:r w:rsidRPr="00F55D72">
        <w:rPr>
          <w:color w:val="auto"/>
        </w:rPr>
        <w:t>Planned evaluation</w:t>
      </w:r>
    </w:p>
    <w:p w14:paraId="23639829" w14:textId="0A05AC57" w:rsidR="005B2023" w:rsidRPr="00F55D72" w:rsidRDefault="005B2023" w:rsidP="005B2023">
      <w:pPr>
        <w:rPr>
          <w:color w:val="auto"/>
        </w:rPr>
      </w:pPr>
      <w:r w:rsidRPr="00F55D72">
        <w:rPr>
          <w:color w:val="auto"/>
        </w:rPr>
        <w:t>No separate evaluation is proposed, as outcomes will be monitored through existing ATO reporting and intelligence mechanisms.</w:t>
      </w:r>
    </w:p>
    <w:p w14:paraId="2DB10214" w14:textId="2604C208" w:rsidR="00AE39E1" w:rsidRPr="00F55D72" w:rsidRDefault="00294E55" w:rsidP="00AE39E1">
      <w:pPr>
        <w:rPr>
          <w:color w:val="auto"/>
        </w:rPr>
      </w:pPr>
      <w:r w:rsidRPr="00F55D72">
        <w:rPr>
          <w:color w:val="auto"/>
        </w:rPr>
        <w:t xml:space="preserve">The ATO has </w:t>
      </w:r>
      <w:proofErr w:type="gramStart"/>
      <w:r w:rsidRPr="00F55D72">
        <w:rPr>
          <w:color w:val="auto"/>
        </w:rPr>
        <w:t>a number of</w:t>
      </w:r>
      <w:proofErr w:type="gramEnd"/>
      <w:r w:rsidRPr="00F55D72">
        <w:rPr>
          <w:color w:val="auto"/>
        </w:rPr>
        <w:t xml:space="preserve"> existing </w:t>
      </w:r>
      <w:r w:rsidR="009311FA" w:rsidRPr="00F55D72">
        <w:rPr>
          <w:color w:val="auto"/>
        </w:rPr>
        <w:t xml:space="preserve">mechanisms through which it can track </w:t>
      </w:r>
      <w:r w:rsidR="008F64E7" w:rsidRPr="00F55D72">
        <w:rPr>
          <w:color w:val="auto"/>
        </w:rPr>
        <w:t xml:space="preserve">levels of non-compliance with </w:t>
      </w:r>
      <w:r w:rsidR="00AD7545" w:rsidRPr="00F55D72">
        <w:rPr>
          <w:color w:val="auto"/>
        </w:rPr>
        <w:t xml:space="preserve">regulatory obligations, including </w:t>
      </w:r>
      <w:r w:rsidR="008F64E7" w:rsidRPr="00F55D72">
        <w:rPr>
          <w:color w:val="auto"/>
        </w:rPr>
        <w:t>illegal early access from SMSFs</w:t>
      </w:r>
      <w:r w:rsidR="009311FA" w:rsidRPr="00F55D72">
        <w:rPr>
          <w:color w:val="auto"/>
        </w:rPr>
        <w:t xml:space="preserve"> </w:t>
      </w:r>
      <w:r w:rsidR="00AD7545" w:rsidRPr="00F55D72">
        <w:rPr>
          <w:color w:val="auto"/>
        </w:rPr>
        <w:t xml:space="preserve">and </w:t>
      </w:r>
      <w:r w:rsidR="00BD1D90" w:rsidRPr="00F55D72">
        <w:rPr>
          <w:color w:val="auto"/>
        </w:rPr>
        <w:t xml:space="preserve">rates of non-lodgement of the SMSF annual return and non-payment of the annual </w:t>
      </w:r>
      <w:r w:rsidR="002C4FB8" w:rsidRPr="00F55D72">
        <w:rPr>
          <w:color w:val="auto"/>
        </w:rPr>
        <w:t xml:space="preserve">levy. </w:t>
      </w:r>
    </w:p>
    <w:p w14:paraId="7AA98983" w14:textId="77777777" w:rsidR="00AE39E1" w:rsidRDefault="00AE39E1">
      <w:pPr>
        <w:spacing w:after="200" w:line="288" w:lineRule="auto"/>
      </w:pPr>
      <w:r>
        <w:br w:type="page"/>
      </w:r>
    </w:p>
    <w:p w14:paraId="550D5508" w14:textId="77777777" w:rsidR="00A17097" w:rsidRPr="00370EA1" w:rsidRDefault="00936C83" w:rsidP="00AE39E1">
      <w:pPr>
        <w:pStyle w:val="Heading1"/>
      </w:pPr>
      <w:r>
        <w:lastRenderedPageBreak/>
        <w:t>S</w:t>
      </w:r>
      <w:r w:rsidRPr="00370EA1">
        <w:t xml:space="preserve">tatement </w:t>
      </w:r>
      <w:r w:rsidR="00077EAC">
        <w:t xml:space="preserve">of </w:t>
      </w:r>
      <w:r>
        <w:t>Sufficiency</w:t>
      </w:r>
    </w:p>
    <w:p w14:paraId="7B840A37" w14:textId="673EFCAF" w:rsidR="00A17097" w:rsidRPr="00F55D72" w:rsidRDefault="00A17097" w:rsidP="00AE39E1">
      <w:pPr>
        <w:rPr>
          <w:color w:val="auto"/>
        </w:rPr>
      </w:pPr>
      <w:r w:rsidRPr="00F55D72">
        <w:rPr>
          <w:color w:val="auto"/>
        </w:rPr>
        <w:t xml:space="preserve">I confirm that this Dashboard Impact Analysis (IA) prepared for </w:t>
      </w:r>
      <w:r w:rsidR="00BF1C96" w:rsidRPr="00F55D72">
        <w:rPr>
          <w:b/>
          <w:bCs/>
          <w:color w:val="auto"/>
        </w:rPr>
        <w:t xml:space="preserve">Enhancing Consumer Protections for SMSF Establishments and </w:t>
      </w:r>
      <w:r w:rsidR="00826473" w:rsidRPr="00F55D72">
        <w:rPr>
          <w:b/>
          <w:bCs/>
          <w:color w:val="auto"/>
        </w:rPr>
        <w:t>Realignment of the</w:t>
      </w:r>
      <w:r w:rsidR="000B0416" w:rsidRPr="00F55D72">
        <w:rPr>
          <w:b/>
          <w:bCs/>
          <w:color w:val="auto"/>
        </w:rPr>
        <w:t xml:space="preserve"> SMSF Supervisory Levy</w:t>
      </w:r>
      <w:r w:rsidRPr="00F55D72">
        <w:rPr>
          <w:b/>
          <w:color w:val="auto"/>
        </w:rPr>
        <w:t xml:space="preserve"> </w:t>
      </w:r>
      <w:r w:rsidRPr="00F55D72">
        <w:rPr>
          <w:color w:val="auto"/>
        </w:rPr>
        <w:t xml:space="preserve">meets the requirements set out in the </w:t>
      </w:r>
      <w:r w:rsidR="00695CB5" w:rsidRPr="00F55D72">
        <w:rPr>
          <w:i/>
          <w:iCs/>
          <w:color w:val="auto"/>
        </w:rPr>
        <w:t xml:space="preserve">Australian Government </w:t>
      </w:r>
      <w:r w:rsidRPr="00F55D72">
        <w:rPr>
          <w:i/>
          <w:color w:val="auto"/>
        </w:rPr>
        <w:t>Impact Analysis Framework.</w:t>
      </w:r>
    </w:p>
    <w:p w14:paraId="1388D8EB" w14:textId="77777777" w:rsidR="00A17097" w:rsidRPr="00F55D72" w:rsidRDefault="00A17097" w:rsidP="00AE39E1">
      <w:pPr>
        <w:rPr>
          <w:color w:val="auto"/>
        </w:rPr>
      </w:pPr>
      <w:r w:rsidRPr="00F55D72">
        <w:rPr>
          <w:color w:val="auto"/>
        </w:rPr>
        <w:t xml:space="preserve">I confirm that the level of analysis is proportionate to the policy issue being considered. </w:t>
      </w:r>
    </w:p>
    <w:p w14:paraId="03F66972" w14:textId="77777777" w:rsidR="00A17097" w:rsidRPr="00F55D72" w:rsidRDefault="00A17097" w:rsidP="00AE39E1">
      <w:pPr>
        <w:spacing w:after="0"/>
        <w:rPr>
          <w:color w:val="auto"/>
        </w:rPr>
      </w:pPr>
      <w:r w:rsidRPr="00F55D72">
        <w:rPr>
          <w:color w:val="auto"/>
        </w:rPr>
        <w:t>I note the</w:t>
      </w:r>
      <w:r w:rsidR="001C0480" w:rsidRPr="00F55D72">
        <w:rPr>
          <w:color w:val="auto"/>
        </w:rPr>
        <w:t xml:space="preserve"> Dashboard</w:t>
      </w:r>
      <w:r w:rsidRPr="00F55D72">
        <w:rPr>
          <w:color w:val="auto"/>
        </w:rPr>
        <w:t xml:space="preserve"> IA provides</w:t>
      </w:r>
      <w:r w:rsidR="00561D39" w:rsidRPr="00F55D72">
        <w:rPr>
          <w:color w:val="auto"/>
        </w:rPr>
        <w:t xml:space="preserve"> analysis of the impacts of the proposal using the </w:t>
      </w:r>
      <w:r w:rsidR="007114AC" w:rsidRPr="00F55D72">
        <w:rPr>
          <w:color w:val="auto"/>
        </w:rPr>
        <w:t xml:space="preserve">7 </w:t>
      </w:r>
      <w:r w:rsidR="00561D39" w:rsidRPr="00F55D72">
        <w:rPr>
          <w:color w:val="auto"/>
        </w:rPr>
        <w:t>IA questions and</w:t>
      </w:r>
      <w:r w:rsidRPr="00F55D72">
        <w:rPr>
          <w:color w:val="auto"/>
        </w:rPr>
        <w:t>:</w:t>
      </w:r>
    </w:p>
    <w:p w14:paraId="1F37E520" w14:textId="77777777" w:rsidR="00A17097" w:rsidRPr="00F55D72" w:rsidRDefault="00A17097" w:rsidP="00AE39E1">
      <w:pPr>
        <w:pStyle w:val="BulletedList-Level1"/>
        <w:rPr>
          <w:color w:val="auto"/>
        </w:rPr>
      </w:pPr>
      <w:r w:rsidRPr="00F55D72">
        <w:rPr>
          <w:color w:val="auto"/>
        </w:rPr>
        <w:t xml:space="preserve">a </w:t>
      </w:r>
      <w:r w:rsidR="00EB763B" w:rsidRPr="00F55D72">
        <w:rPr>
          <w:color w:val="auto"/>
        </w:rPr>
        <w:t>high-level</w:t>
      </w:r>
      <w:r w:rsidRPr="00F55D72">
        <w:rPr>
          <w:color w:val="auto"/>
        </w:rPr>
        <w:t xml:space="preserve"> summary</w:t>
      </w:r>
      <w:r w:rsidR="001C0480" w:rsidRPr="00F55D72">
        <w:rPr>
          <w:color w:val="auto"/>
        </w:rPr>
        <w:t xml:space="preserve"> of</w:t>
      </w:r>
      <w:r w:rsidRPr="00F55D72">
        <w:rPr>
          <w:color w:val="auto"/>
        </w:rPr>
        <w:t xml:space="preserve"> costs and benefits</w:t>
      </w:r>
      <w:r w:rsidR="009433AF" w:rsidRPr="00F55D72">
        <w:rPr>
          <w:color w:val="auto"/>
        </w:rPr>
        <w:t xml:space="preserve"> and an estimate in</w:t>
      </w:r>
      <w:r w:rsidRPr="00F55D72">
        <w:rPr>
          <w:color w:val="auto"/>
        </w:rPr>
        <w:t xml:space="preserve"> the change in the regulatory burden, of </w:t>
      </w:r>
      <w:r w:rsidR="009433AF" w:rsidRPr="00F55D72">
        <w:rPr>
          <w:color w:val="auto"/>
        </w:rPr>
        <w:t>the policy options</w:t>
      </w:r>
      <w:r w:rsidR="00F568A6" w:rsidRPr="00F55D72">
        <w:rPr>
          <w:color w:val="auto"/>
        </w:rPr>
        <w:t xml:space="preserve"> under consideration </w:t>
      </w:r>
    </w:p>
    <w:p w14:paraId="3E5DC4A2" w14:textId="77777777" w:rsidR="00A17097" w:rsidRPr="00F55D72" w:rsidRDefault="00A17097" w:rsidP="00AE39E1">
      <w:pPr>
        <w:pStyle w:val="BulletedList-Level1"/>
        <w:rPr>
          <w:color w:val="auto"/>
        </w:rPr>
      </w:pPr>
      <w:r w:rsidRPr="00F55D72">
        <w:rPr>
          <w:color w:val="auto"/>
        </w:rPr>
        <w:t xml:space="preserve">high-level analysis of the policy option against the </w:t>
      </w:r>
      <w:r w:rsidR="00542ECD" w:rsidRPr="00F55D72">
        <w:rPr>
          <w:color w:val="auto"/>
        </w:rPr>
        <w:t>g</w:t>
      </w:r>
      <w:r w:rsidRPr="00F55D72">
        <w:rPr>
          <w:color w:val="auto"/>
        </w:rPr>
        <w:t>overnment’s key strategic priorities</w:t>
      </w:r>
    </w:p>
    <w:p w14:paraId="2E4D43AF" w14:textId="77777777" w:rsidR="00A17097" w:rsidRPr="00F55D72" w:rsidRDefault="00A17097" w:rsidP="00AE39E1">
      <w:pPr>
        <w:pStyle w:val="BulletedList-Level1"/>
        <w:rPr>
          <w:color w:val="auto"/>
        </w:rPr>
      </w:pPr>
      <w:r w:rsidRPr="00F55D72">
        <w:rPr>
          <w:color w:val="auto"/>
        </w:rPr>
        <w:t>a summary of relevant distributional effects</w:t>
      </w:r>
      <w:r w:rsidR="00B922B2" w:rsidRPr="00F55D72">
        <w:rPr>
          <w:color w:val="auto"/>
        </w:rPr>
        <w:t xml:space="preserve"> and </w:t>
      </w:r>
      <w:r w:rsidR="00AA5F0B" w:rsidRPr="00F55D72">
        <w:rPr>
          <w:color w:val="auto"/>
        </w:rPr>
        <w:t xml:space="preserve">evidence </w:t>
      </w:r>
      <w:r w:rsidR="007114AC" w:rsidRPr="00F55D72">
        <w:rPr>
          <w:color w:val="auto"/>
        </w:rPr>
        <w:t>of key stakeholder feedback incorporated into the policy design</w:t>
      </w:r>
    </w:p>
    <w:p w14:paraId="652A5954" w14:textId="77777777" w:rsidR="00A17097" w:rsidRPr="00F55D72" w:rsidRDefault="00A17097" w:rsidP="00AE39E1">
      <w:pPr>
        <w:pStyle w:val="BulletedList-Level1"/>
        <w:spacing w:after="600"/>
        <w:rPr>
          <w:color w:val="auto"/>
        </w:rPr>
      </w:pPr>
      <w:r w:rsidRPr="00F55D72">
        <w:rPr>
          <w:color w:val="auto"/>
        </w:rPr>
        <w:t>other details required to understand and assess the proposal.</w:t>
      </w:r>
    </w:p>
    <w:p w14:paraId="24B1D3AB" w14:textId="77777777" w:rsidR="00AE39E1" w:rsidRPr="00AE39E1" w:rsidRDefault="003D2EA4" w:rsidP="00AE39E1">
      <w:pPr>
        <w:spacing w:after="0"/>
        <w:rPr>
          <w:b/>
          <w:bCs/>
        </w:rPr>
      </w:pPr>
      <w:r w:rsidRPr="00AE39E1">
        <w:rPr>
          <w:b/>
          <w:bCs/>
        </w:rPr>
        <w:t>Endorsed</w:t>
      </w:r>
      <w:r w:rsidR="00A17097" w:rsidRPr="00AE39E1">
        <w:rPr>
          <w:b/>
          <w:bCs/>
        </w:rPr>
        <w:t xml:space="preserve"> by</w:t>
      </w:r>
    </w:p>
    <w:p w14:paraId="5AD85DD9" w14:textId="77777777" w:rsidR="00A17097" w:rsidRPr="007E60A5" w:rsidRDefault="00ED3BD6" w:rsidP="00AE39E1">
      <w:pPr>
        <w:spacing w:after="0"/>
        <w:rPr>
          <w:color w:val="auto"/>
        </w:rPr>
      </w:pPr>
      <w:r w:rsidRPr="007E60A5">
        <w:rPr>
          <w:color w:val="auto"/>
        </w:rPr>
        <w:t>Diane Brown</w:t>
      </w:r>
    </w:p>
    <w:p w14:paraId="39953CCD" w14:textId="77777777" w:rsidR="00A17097" w:rsidRPr="007E60A5" w:rsidRDefault="00ED3BD6" w:rsidP="00AE39E1">
      <w:pPr>
        <w:spacing w:after="0"/>
        <w:rPr>
          <w:color w:val="auto"/>
        </w:rPr>
      </w:pPr>
      <w:r w:rsidRPr="007E60A5">
        <w:rPr>
          <w:color w:val="auto"/>
        </w:rPr>
        <w:t>Deputy Secretary</w:t>
      </w:r>
    </w:p>
    <w:p w14:paraId="2D4A5EB0" w14:textId="77777777" w:rsidR="00A17097" w:rsidRPr="007E60A5" w:rsidRDefault="00ED3BD6" w:rsidP="00AE39E1">
      <w:pPr>
        <w:spacing w:after="0"/>
        <w:rPr>
          <w:color w:val="auto"/>
        </w:rPr>
      </w:pPr>
      <w:r w:rsidRPr="007E60A5">
        <w:rPr>
          <w:color w:val="auto"/>
        </w:rPr>
        <w:t>Treasury</w:t>
      </w:r>
    </w:p>
    <w:p w14:paraId="6EBEBA77" w14:textId="3E7520BD" w:rsidR="005C32EF" w:rsidRPr="00F55D72" w:rsidRDefault="007E60A5" w:rsidP="00AE39E1">
      <w:pPr>
        <w:spacing w:after="0"/>
        <w:rPr>
          <w:color w:val="auto"/>
        </w:rPr>
      </w:pPr>
      <w:r>
        <w:rPr>
          <w:color w:val="auto"/>
        </w:rPr>
        <w:t>3 August 2026</w:t>
      </w:r>
    </w:p>
    <w:sectPr w:rsidR="005C32EF" w:rsidRPr="00F55D72" w:rsidSect="002356F8">
      <w:headerReference w:type="even" r:id="rId7"/>
      <w:footerReference w:type="even" r:id="rId8"/>
      <w:footerReference w:type="default" r:id="rId9"/>
      <w:headerReference w:type="first" r:id="rId10"/>
      <w:footerReference w:type="first" r:id="rId11"/>
      <w:pgSz w:w="11906" w:h="16838"/>
      <w:pgMar w:top="1701" w:right="1134" w:bottom="1134" w:left="1134" w:header="99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315A2" w14:textId="77777777" w:rsidR="00A44A73" w:rsidRDefault="00A44A73" w:rsidP="00F957C6">
      <w:pPr>
        <w:spacing w:after="0" w:line="240" w:lineRule="auto"/>
      </w:pPr>
      <w:r>
        <w:separator/>
      </w:r>
    </w:p>
  </w:endnote>
  <w:endnote w:type="continuationSeparator" w:id="0">
    <w:p w14:paraId="778C2EB1" w14:textId="77777777" w:rsidR="00A44A73" w:rsidRDefault="00A44A73" w:rsidP="00F9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charset w:val="00"/>
    <w:family w:val="roman"/>
    <w:pitch w:val="variable"/>
    <w:sig w:usb0="E40008FF" w:usb1="5201E0FB" w:usb2="04608000" w:usb3="00000000" w:csb0="000000BB"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Inter Light">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954C" w14:textId="08B9D5FD" w:rsidR="00E10FB0" w:rsidRDefault="00E10FB0">
    <w:pPr>
      <w:pStyle w:val="Footer"/>
    </w:pPr>
    <w:r>
      <w:rPr>
        <w:noProof/>
      </w:rPr>
      <mc:AlternateContent>
        <mc:Choice Requires="wps">
          <w:drawing>
            <wp:anchor distT="0" distB="0" distL="0" distR="0" simplePos="0" relativeHeight="251658245" behindDoc="0" locked="0" layoutInCell="1" allowOverlap="1" wp14:anchorId="5C530893" wp14:editId="70449033">
              <wp:simplePos x="635" y="635"/>
              <wp:positionH relativeFrom="page">
                <wp:align>center</wp:align>
              </wp:positionH>
              <wp:positionV relativeFrom="page">
                <wp:align>bottom</wp:align>
              </wp:positionV>
              <wp:extent cx="551815" cy="394970"/>
              <wp:effectExtent l="0" t="0" r="635" b="0"/>
              <wp:wrapNone/>
              <wp:docPr id="137658364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4970"/>
                      </a:xfrm>
                      <a:prstGeom prst="rect">
                        <a:avLst/>
                      </a:prstGeom>
                      <a:noFill/>
                      <a:ln>
                        <a:noFill/>
                      </a:ln>
                    </wps:spPr>
                    <wps:txbx>
                      <w:txbxContent>
                        <w:p w14:paraId="0AAD2730" w14:textId="2FC51C94" w:rsidR="00E10FB0" w:rsidRPr="00E10FB0" w:rsidRDefault="00E10FB0" w:rsidP="00E10FB0">
                          <w:pPr>
                            <w:spacing w:after="0"/>
                            <w:rPr>
                              <w:rFonts w:ascii="Calibri" w:eastAsia="Calibri" w:hAnsi="Calibri" w:cs="Calibri"/>
                              <w:noProof/>
                              <w:color w:val="FF0000"/>
                              <w:sz w:val="24"/>
                              <w:szCs w:val="24"/>
                            </w:rPr>
                          </w:pPr>
                          <w:r w:rsidRPr="00E10FB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530893" id="_x0000_t202" coordsize="21600,21600" o:spt="202" path="m,l,21600r21600,l21600,xe">
              <v:stroke joinstyle="miter"/>
              <v:path gradientshapeok="t" o:connecttype="rect"/>
            </v:shapetype>
            <v:shape id="Text Box 5" o:spid="_x0000_s1027" type="#_x0000_t202" alt="OFFICIAL" style="position:absolute;margin-left:0;margin-top:0;width:43.45pt;height:31.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" filled="f" stroked="f">
              <v:textbox style="mso-fit-shape-to-text:t" inset="0,0,0,15pt">
                <w:txbxContent>
                  <w:p w14:paraId="0AAD2730" w14:textId="2FC51C94" w:rsidR="00E10FB0" w:rsidRPr="00E10FB0" w:rsidRDefault="00E10FB0" w:rsidP="00E10FB0">
                    <w:pPr>
                      <w:spacing w:after="0"/>
                      <w:rPr>
                        <w:rFonts w:ascii="Calibri" w:eastAsia="Calibri" w:hAnsi="Calibri" w:cs="Calibri"/>
                        <w:noProof/>
                        <w:color w:val="FF0000"/>
                        <w:sz w:val="24"/>
                        <w:szCs w:val="24"/>
                      </w:rPr>
                    </w:pPr>
                    <w:r w:rsidRPr="00E10FB0">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A971" w14:textId="5E354D13" w:rsidR="00037513" w:rsidRPr="00852F35" w:rsidRDefault="00936C83" w:rsidP="00936C83">
    <w:pPr>
      <w:pStyle w:val="Header"/>
      <w:rPr>
        <w:rFonts w:ascii="Segoe UI" w:hAnsi="Segoe UI" w:cs="Segoe UI"/>
        <w:color w:val="6E6E6E"/>
        <w:sz w:val="18"/>
      </w:rPr>
    </w:pPr>
    <w:r>
      <w:rPr>
        <w:color w:val="6E6E6E"/>
        <w:sz w:val="18"/>
        <w:szCs w:val="18"/>
      </w:rPr>
      <w:t xml:space="preserve">Australian Government </w:t>
    </w:r>
    <w:r w:rsidRPr="00852F35">
      <w:rPr>
        <w:color w:val="6E6E6E"/>
        <w:sz w:val="18"/>
        <w:szCs w:val="18"/>
      </w:rPr>
      <w:t xml:space="preserve">| </w:t>
    </w:r>
    <w:r>
      <w:rPr>
        <w:color w:val="6E6E6E"/>
        <w:sz w:val="18"/>
        <w:szCs w:val="18"/>
      </w:rPr>
      <w:t xml:space="preserve">Dashboard Impact Analysis (IA) – </w:t>
    </w:r>
    <w:r w:rsidR="00136B09" w:rsidRPr="00136B09">
      <w:rPr>
        <w:color w:val="6E6E6E"/>
        <w:sz w:val="18"/>
        <w:szCs w:val="18"/>
      </w:rPr>
      <w:t xml:space="preserve">Enhancing consumer protections for SMSF establishments </w:t>
    </w:r>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Pr>
        <w:rFonts w:ascii="Segoe UI" w:hAnsi="Segoe UI" w:cs="Segoe UI"/>
        <w:color w:val="6E6E6E"/>
        <w:sz w:val="18"/>
      </w:rPr>
      <w:t>1</w:t>
    </w:r>
    <w:r w:rsidRPr="00852F35">
      <w:rPr>
        <w:rFonts w:ascii="Segoe UI" w:hAnsi="Segoe UI" w:cs="Segoe UI"/>
        <w:noProof/>
        <w:color w:val="6E6E6E"/>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B494" w14:textId="77777777" w:rsidR="006E7551" w:rsidRDefault="006E7551" w:rsidP="00BB1526">
    <w:pPr>
      <w:pStyle w:val="Header"/>
      <w:rPr>
        <w:color w:val="6E6E6E"/>
        <w:sz w:val="18"/>
        <w:szCs w:val="18"/>
      </w:rPr>
    </w:pPr>
  </w:p>
  <w:p w14:paraId="5E6E8AEC" w14:textId="1310CD57" w:rsidR="00464D89" w:rsidRPr="00BB1526" w:rsidRDefault="005A3632" w:rsidP="00BB1526">
    <w:pPr>
      <w:pStyle w:val="Header"/>
      <w:rPr>
        <w:rFonts w:ascii="Segoe UI" w:hAnsi="Segoe UI" w:cs="Segoe UI"/>
        <w:color w:val="6E6E6E"/>
        <w:sz w:val="18"/>
      </w:rPr>
    </w:pPr>
    <w:r>
      <w:rPr>
        <w:color w:val="6E6E6E"/>
        <w:sz w:val="18"/>
        <w:szCs w:val="18"/>
      </w:rPr>
      <w:t xml:space="preserve">Australian Government </w:t>
    </w:r>
    <w:r w:rsidRPr="00852F35">
      <w:rPr>
        <w:color w:val="6E6E6E"/>
        <w:sz w:val="18"/>
        <w:szCs w:val="18"/>
      </w:rPr>
      <w:t>|</w:t>
    </w:r>
    <w:r w:rsidR="00BB1526" w:rsidRPr="00852F35">
      <w:rPr>
        <w:color w:val="6E6E6E"/>
        <w:sz w:val="18"/>
        <w:szCs w:val="18"/>
      </w:rPr>
      <w:t xml:space="preserve"> </w:t>
    </w:r>
    <w:r w:rsidR="005D7C45">
      <w:rPr>
        <w:color w:val="6E6E6E"/>
        <w:sz w:val="18"/>
        <w:szCs w:val="18"/>
      </w:rPr>
      <w:t xml:space="preserve">Dashboard Impact Analysis </w:t>
    </w:r>
    <w:r w:rsidR="005D7C45" w:rsidRPr="001E4C3F">
      <w:rPr>
        <w:color w:val="6E6E6E"/>
        <w:sz w:val="18"/>
        <w:szCs w:val="18"/>
      </w:rPr>
      <w:t xml:space="preserve">(IA) – </w:t>
    </w:r>
    <w:r w:rsidR="001E4C3F" w:rsidRPr="001E4C3F">
      <w:rPr>
        <w:color w:val="6E6E6E"/>
        <w:sz w:val="18"/>
        <w:szCs w:val="18"/>
      </w:rPr>
      <w:t>Enhancing</w:t>
    </w:r>
    <w:r w:rsidR="001E4C3F" w:rsidRPr="00136B09">
      <w:rPr>
        <w:color w:val="6E6E6E"/>
        <w:sz w:val="18"/>
        <w:szCs w:val="18"/>
      </w:rPr>
      <w:t xml:space="preserve"> consumer protections for SMSF </w:t>
    </w:r>
    <w:r w:rsidR="001E4C3F" w:rsidRPr="005D4F5B">
      <w:rPr>
        <w:color w:val="6E6E6E"/>
        <w:sz w:val="18"/>
        <w:szCs w:val="18"/>
      </w:rPr>
      <w:t>establishments</w:t>
    </w:r>
    <w:r w:rsidR="001E4C3F" w:rsidRPr="00794E07" w:rsidDel="001E4C3F">
      <w:rPr>
        <w:color w:val="6E6E6E"/>
        <w:sz w:val="18"/>
        <w:szCs w:val="18"/>
      </w:rPr>
      <w:t xml:space="preserve"> </w:t>
    </w:r>
    <w:r w:rsidR="00BB1526" w:rsidRPr="005D4F5B">
      <w:rPr>
        <w:color w:val="6E6E6E"/>
      </w:rPr>
      <w:ptab w:relativeTo="margin" w:alignment="right" w:leader="none"/>
    </w:r>
    <w:r w:rsidR="00BB1526" w:rsidRPr="00852F35">
      <w:rPr>
        <w:rFonts w:ascii="Segoe UI" w:hAnsi="Segoe UI" w:cs="Segoe UI"/>
        <w:color w:val="6E6E6E"/>
        <w:sz w:val="18"/>
      </w:rPr>
      <w:fldChar w:fldCharType="begin"/>
    </w:r>
    <w:r w:rsidR="00BB1526" w:rsidRPr="00852F35">
      <w:rPr>
        <w:rFonts w:ascii="Segoe UI" w:hAnsi="Segoe UI" w:cs="Segoe UI"/>
        <w:color w:val="6E6E6E"/>
        <w:sz w:val="18"/>
      </w:rPr>
      <w:instrText xml:space="preserve"> PAGE   \* MERGEFORMAT </w:instrText>
    </w:r>
    <w:r w:rsidR="00BB1526" w:rsidRPr="00852F35">
      <w:rPr>
        <w:rFonts w:ascii="Segoe UI" w:hAnsi="Segoe UI" w:cs="Segoe UI"/>
        <w:color w:val="6E6E6E"/>
        <w:sz w:val="18"/>
      </w:rPr>
      <w:fldChar w:fldCharType="separate"/>
    </w:r>
    <w:r w:rsidR="00E155C1">
      <w:rPr>
        <w:rFonts w:ascii="Segoe UI" w:hAnsi="Segoe UI" w:cs="Segoe UI"/>
        <w:noProof/>
        <w:color w:val="6E6E6E"/>
        <w:sz w:val="18"/>
      </w:rPr>
      <w:t>1</w:t>
    </w:r>
    <w:r w:rsidR="00BB1526" w:rsidRPr="00852F35">
      <w:rPr>
        <w:rFonts w:ascii="Segoe UI" w:hAnsi="Segoe UI" w:cs="Segoe UI"/>
        <w:noProof/>
        <w:color w:val="6E6E6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3EBD9" w14:textId="77777777" w:rsidR="00A44A73" w:rsidRDefault="00A44A73" w:rsidP="00F957C6">
      <w:pPr>
        <w:spacing w:after="0" w:line="240" w:lineRule="auto"/>
      </w:pPr>
      <w:r>
        <w:separator/>
      </w:r>
    </w:p>
  </w:footnote>
  <w:footnote w:type="continuationSeparator" w:id="0">
    <w:p w14:paraId="58B8BD89" w14:textId="77777777" w:rsidR="00A44A73" w:rsidRDefault="00A44A73" w:rsidP="00F957C6">
      <w:pPr>
        <w:spacing w:after="0" w:line="240" w:lineRule="auto"/>
      </w:pPr>
      <w:r>
        <w:continuationSeparator/>
      </w:r>
    </w:p>
  </w:footnote>
  <w:footnote w:id="1">
    <w:p w14:paraId="439F243B" w14:textId="681A135F" w:rsidR="009B3C85" w:rsidRDefault="009B3C85">
      <w:pPr>
        <w:pStyle w:val="FootnoteText"/>
      </w:pPr>
      <w:r>
        <w:rPr>
          <w:rStyle w:val="FootnoteReference"/>
        </w:rPr>
        <w:footnoteRef/>
      </w:r>
      <w:r>
        <w:t xml:space="preserve"> </w:t>
      </w:r>
      <w:r w:rsidR="00DB7411">
        <w:t xml:space="preserve">For example, </w:t>
      </w:r>
      <w:r w:rsidR="00AE0A82">
        <w:t xml:space="preserve">Dixon Advisory and </w:t>
      </w:r>
      <w:r w:rsidR="00CC2101">
        <w:t xml:space="preserve">United Global Capital </w:t>
      </w:r>
      <w:r w:rsidR="005626FB">
        <w:t xml:space="preserve">were large scale failures that </w:t>
      </w:r>
      <w:r w:rsidR="00A048A0">
        <w:t xml:space="preserve">predominantly involved investor losses through SMSFs. </w:t>
      </w:r>
      <w:r w:rsidR="00B360F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A884" w14:textId="7D78BA88" w:rsidR="00E10FB0" w:rsidRDefault="00E10FB0">
    <w:pPr>
      <w:pStyle w:val="Header"/>
    </w:pPr>
    <w:r>
      <w:rPr>
        <w:noProof/>
      </w:rPr>
      <mc:AlternateContent>
        <mc:Choice Requires="wps">
          <w:drawing>
            <wp:anchor distT="0" distB="0" distL="0" distR="0" simplePos="0" relativeHeight="251658242" behindDoc="0" locked="0" layoutInCell="1" allowOverlap="1" wp14:anchorId="1B98DDF5" wp14:editId="0CFC6800">
              <wp:simplePos x="635" y="635"/>
              <wp:positionH relativeFrom="page">
                <wp:align>center</wp:align>
              </wp:positionH>
              <wp:positionV relativeFrom="page">
                <wp:align>top</wp:align>
              </wp:positionV>
              <wp:extent cx="551815" cy="394970"/>
              <wp:effectExtent l="0" t="0" r="635" b="5080"/>
              <wp:wrapNone/>
              <wp:docPr id="438794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4970"/>
                      </a:xfrm>
                      <a:prstGeom prst="rect">
                        <a:avLst/>
                      </a:prstGeom>
                      <a:noFill/>
                      <a:ln>
                        <a:noFill/>
                      </a:ln>
                    </wps:spPr>
                    <wps:txbx>
                      <w:txbxContent>
                        <w:p w14:paraId="1B7626D5" w14:textId="1EBC73D3" w:rsidR="00E10FB0" w:rsidRPr="00E10FB0" w:rsidRDefault="00E10FB0" w:rsidP="00E10FB0">
                          <w:pPr>
                            <w:spacing w:after="0"/>
                            <w:rPr>
                              <w:rFonts w:ascii="Calibri" w:eastAsia="Calibri" w:hAnsi="Calibri" w:cs="Calibri"/>
                              <w:noProof/>
                              <w:color w:val="FF0000"/>
                              <w:sz w:val="24"/>
                              <w:szCs w:val="24"/>
                            </w:rPr>
                          </w:pPr>
                          <w:r w:rsidRPr="00E10FB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98DDF5" id="_x0000_t202" coordsize="21600,21600" o:spt="202" path="m,l,21600r21600,l21600,xe">
              <v:stroke joinstyle="miter"/>
              <v:path gradientshapeok="t" o:connecttype="rect"/>
            </v:shapetype>
            <v:shape id="Text Box 2" o:spid="_x0000_s1026" type="#_x0000_t202" alt="OFFICIAL" style="position:absolute;margin-left:0;margin-top:0;width:43.45pt;height:31.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" filled="f" stroked="f">
              <v:textbox style="mso-fit-shape-to-text:t" inset="0,15pt,0,0">
                <w:txbxContent>
                  <w:p w14:paraId="1B7626D5" w14:textId="1EBC73D3" w:rsidR="00E10FB0" w:rsidRPr="00E10FB0" w:rsidRDefault="00E10FB0" w:rsidP="00E10FB0">
                    <w:pPr>
                      <w:spacing w:after="0"/>
                      <w:rPr>
                        <w:rFonts w:ascii="Calibri" w:eastAsia="Calibri" w:hAnsi="Calibri" w:cs="Calibri"/>
                        <w:noProof/>
                        <w:color w:val="FF0000"/>
                        <w:sz w:val="24"/>
                        <w:szCs w:val="24"/>
                      </w:rPr>
                    </w:pPr>
                    <w:r w:rsidRPr="00E10FB0">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99E6" w14:textId="4EFC71EA" w:rsidR="0026634E" w:rsidRDefault="00E10FB0" w:rsidP="0026634E">
    <w:pPr>
      <w:pStyle w:val="Header"/>
      <w:jc w:val="center"/>
      <w:rPr>
        <w:rStyle w:val="CLASSIFICATIONChar"/>
      </w:rPr>
    </w:pPr>
    <w:r>
      <w:rPr>
        <w:rFonts w:ascii="Segoe UI" w:hAnsi="Segoe UI"/>
        <w:caps/>
        <w:noProof/>
        <w:color w:val="C00000"/>
        <w:sz w:val="18"/>
        <w:lang w:eastAsia="en-AU"/>
      </w:rPr>
      <mc:AlternateContent>
        <mc:Choice Requires="wps">
          <w:drawing>
            <wp:anchor distT="0" distB="0" distL="0" distR="0" simplePos="0" relativeHeight="251658241" behindDoc="0" locked="0" layoutInCell="1" allowOverlap="1" wp14:anchorId="45AAF7C6" wp14:editId="54BF54FD">
              <wp:simplePos x="723900" y="628650"/>
              <wp:positionH relativeFrom="page">
                <wp:align>center</wp:align>
              </wp:positionH>
              <wp:positionV relativeFrom="page">
                <wp:align>top</wp:align>
              </wp:positionV>
              <wp:extent cx="551815" cy="394970"/>
              <wp:effectExtent l="0" t="0" r="635" b="5080"/>
              <wp:wrapNone/>
              <wp:docPr id="243401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4970"/>
                      </a:xfrm>
                      <a:prstGeom prst="rect">
                        <a:avLst/>
                      </a:prstGeom>
                      <a:noFill/>
                      <a:ln>
                        <a:noFill/>
                      </a:ln>
                    </wps:spPr>
                    <wps:txbx>
                      <w:txbxContent>
                        <w:p w14:paraId="34B44AA3" w14:textId="7711C43B" w:rsidR="00E10FB0" w:rsidRPr="00E10FB0" w:rsidRDefault="00E10FB0" w:rsidP="00E10FB0">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AF7C6"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31.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" filled="f" stroked="f">
              <v:textbox style="mso-fit-shape-to-text:t" inset="0,15pt,0,0">
                <w:txbxContent>
                  <w:p w14:paraId="34B44AA3" w14:textId="7711C43B" w:rsidR="00E10FB0" w:rsidRPr="00E10FB0" w:rsidRDefault="00E10FB0" w:rsidP="00E10FB0">
                    <w:pPr>
                      <w:spacing w:after="0"/>
                      <w:rPr>
                        <w:rFonts w:ascii="Calibri" w:eastAsia="Calibri" w:hAnsi="Calibri" w:cs="Calibri"/>
                        <w:noProof/>
                        <w:color w:val="FF0000"/>
                        <w:sz w:val="24"/>
                        <w:szCs w:val="24"/>
                      </w:rPr>
                    </w:pPr>
                  </w:p>
                </w:txbxContent>
              </v:textbox>
              <w10:wrap anchorx="page" anchory="page"/>
            </v:shape>
          </w:pict>
        </mc:Fallback>
      </mc:AlternateContent>
    </w:r>
    <w:r w:rsidR="0026634E">
      <w:rPr>
        <w:rStyle w:val="CLASSIFICATIONChar"/>
        <w:noProof/>
        <w:lang w:eastAsia="en-AU"/>
      </w:rPr>
      <w:drawing>
        <wp:anchor distT="0" distB="0" distL="114300" distR="114300" simplePos="0" relativeHeight="251658240" behindDoc="1" locked="0" layoutInCell="1" allowOverlap="1" wp14:anchorId="49C26262" wp14:editId="41452D7B">
          <wp:simplePos x="0" y="0"/>
          <wp:positionH relativeFrom="column">
            <wp:posOffset>-46990</wp:posOffset>
          </wp:positionH>
          <wp:positionV relativeFrom="paragraph">
            <wp:posOffset>-217805</wp:posOffset>
          </wp:positionV>
          <wp:extent cx="2322830" cy="621665"/>
          <wp:effectExtent l="0" t="0" r="1270" b="6985"/>
          <wp:wrapNone/>
          <wp:docPr id="16" name="Picture 16"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21665"/>
                  </a:xfrm>
                  <a:prstGeom prst="rect">
                    <a:avLst/>
                  </a:prstGeom>
                  <a:noFill/>
                </pic:spPr>
              </pic:pic>
            </a:graphicData>
          </a:graphic>
        </wp:anchor>
      </w:drawing>
    </w:r>
  </w:p>
  <w:p w14:paraId="35E9D89C" w14:textId="77777777" w:rsidR="0026634E" w:rsidRDefault="0026634E" w:rsidP="0026634E">
    <w:pPr>
      <w:pStyle w:val="Header"/>
      <w:jc w:val="center"/>
      <w:rPr>
        <w:rStyle w:val="CLASSIFICATIONChar"/>
      </w:rPr>
    </w:pPr>
  </w:p>
  <w:p w14:paraId="67279A28" w14:textId="77777777" w:rsidR="0026634E" w:rsidRDefault="0026634E" w:rsidP="0026634E">
    <w:pPr>
      <w:pStyle w:val="Header"/>
      <w:jc w:val="center"/>
      <w:rPr>
        <w:rStyle w:val="CLASSIFICATIONChar"/>
      </w:rPr>
    </w:pPr>
  </w:p>
  <w:p w14:paraId="73813E42" w14:textId="77777777" w:rsidR="00037513" w:rsidRDefault="00037513" w:rsidP="0026634E">
    <w:pPr>
      <w:pStyle w:val="Header"/>
    </w:pPr>
  </w:p>
  <w:p w14:paraId="0C7E61C8" w14:textId="77777777" w:rsidR="002E6791" w:rsidRPr="0026634E" w:rsidRDefault="002E6791" w:rsidP="00266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04592A"/>
    <w:lvl w:ilvl="0">
      <w:start w:val="1"/>
      <w:numFmt w:val="decimal"/>
      <w:lvlText w:val="%1."/>
      <w:lvlJc w:val="left"/>
      <w:pPr>
        <w:tabs>
          <w:tab w:val="num" w:pos="2060"/>
        </w:tabs>
        <w:ind w:left="2060" w:hanging="360"/>
      </w:pPr>
    </w:lvl>
  </w:abstractNum>
  <w:abstractNum w:abstractNumId="1" w15:restartNumberingAfterBreak="0">
    <w:nsid w:val="FFFFFF7D"/>
    <w:multiLevelType w:val="singleLevel"/>
    <w:tmpl w:val="35487F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50D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D612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146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01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08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9813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620C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4281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5033"/>
    <w:multiLevelType w:val="hybridMultilevel"/>
    <w:tmpl w:val="C6DC8A2C"/>
    <w:lvl w:ilvl="0" w:tplc="458A1C2C">
      <w:start w:val="1"/>
      <w:numFmt w:val="bullet"/>
      <w:pStyle w:val="TBLBulleted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014CCD"/>
    <w:multiLevelType w:val="hybridMultilevel"/>
    <w:tmpl w:val="D0E0AE74"/>
    <w:lvl w:ilvl="0" w:tplc="42CAA44A">
      <w:start w:val="1"/>
      <w:numFmt w:val="bullet"/>
      <w:pStyle w:val="BOX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3" w15:restartNumberingAfterBreak="0">
    <w:nsid w:val="127B25F9"/>
    <w:multiLevelType w:val="multilevel"/>
    <w:tmpl w:val="AFBC54CE"/>
    <w:name w:val="StandardNumberedList"/>
    <w:lvl w:ilvl="0">
      <w:start w:val="1"/>
      <w:numFmt w:val="decimal"/>
      <w:pStyle w:val="OutlineNumbered1"/>
      <w:lvlText w:val="%1."/>
      <w:lvlJc w:val="left"/>
      <w:pPr>
        <w:tabs>
          <w:tab w:val="num" w:pos="520"/>
        </w:tabs>
        <w:ind w:left="520" w:hanging="520"/>
      </w:pPr>
    </w:lvl>
    <w:lvl w:ilvl="1">
      <w:start w:val="1"/>
      <w:numFmt w:val="decimal"/>
      <w:pStyle w:val="OutlineNumbered2"/>
      <w:lvlText w:val="%1.%2."/>
      <w:lvlJc w:val="left"/>
      <w:pPr>
        <w:tabs>
          <w:tab w:val="num" w:pos="1040"/>
        </w:tabs>
        <w:ind w:left="1040" w:hanging="520"/>
      </w:pPr>
    </w:lvl>
    <w:lvl w:ilvl="2">
      <w:start w:val="1"/>
      <w:numFmt w:val="decimal"/>
      <w:pStyle w:val="OutlineNumbered3"/>
      <w:lvlText w:val="%1.%2.%3."/>
      <w:lvlJc w:val="left"/>
      <w:pPr>
        <w:tabs>
          <w:tab w:val="num" w:pos="1560"/>
        </w:tabs>
        <w:ind w:left="1560" w:hanging="5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5" w15:restartNumberingAfterBreak="0">
    <w:nsid w:val="19F33BBA"/>
    <w:multiLevelType w:val="hybridMultilevel"/>
    <w:tmpl w:val="0812E2DE"/>
    <w:lvl w:ilvl="0" w:tplc="E1AE5D66">
      <w:start w:val="1"/>
      <w:numFmt w:val="decimal"/>
      <w:pStyle w:val="Figure"/>
      <w:suff w:val="space"/>
      <w:lvlText w:val="Figure %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26DF05D0"/>
    <w:multiLevelType w:val="hybridMultilevel"/>
    <w:tmpl w:val="361C2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3A43634D"/>
    <w:multiLevelType w:val="hybridMultilevel"/>
    <w:tmpl w:val="BCB85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6C7FF6"/>
    <w:multiLevelType w:val="hybridMultilevel"/>
    <w:tmpl w:val="4D4A750C"/>
    <w:lvl w:ilvl="0" w:tplc="D6643B58">
      <w:start w:val="1"/>
      <w:numFmt w:val="decimal"/>
      <w:pStyle w:val="BOX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21" w15:restartNumberingAfterBreak="0">
    <w:nsid w:val="4E781EDD"/>
    <w:multiLevelType w:val="hybridMultilevel"/>
    <w:tmpl w:val="6B225E28"/>
    <w:lvl w:ilvl="0" w:tplc="1B58674C">
      <w:start w:val="1"/>
      <w:numFmt w:val="bullet"/>
      <w:lvlText w:val="–"/>
      <w:lvlJc w:val="left"/>
      <w:pPr>
        <w:ind w:left="851" w:hanging="284"/>
      </w:pPr>
      <w:rPr>
        <w:rFonts w:ascii="Arial Black" w:hAnsi="Arial Black"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61135143"/>
    <w:multiLevelType w:val="hybridMultilevel"/>
    <w:tmpl w:val="7D8C0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F0286"/>
    <w:multiLevelType w:val="hybridMultilevel"/>
    <w:tmpl w:val="70C6C990"/>
    <w:lvl w:ilvl="0" w:tplc="56D0C196">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CAB7DEB"/>
    <w:multiLevelType w:val="multilevel"/>
    <w:tmpl w:val="2EA4AC96"/>
    <w:name w:val="StandardBulletedList"/>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25884965">
    <w:abstractNumId w:val="11"/>
  </w:num>
  <w:num w:numId="2" w16cid:durableId="404568253">
    <w:abstractNumId w:val="9"/>
  </w:num>
  <w:num w:numId="3" w16cid:durableId="504319927">
    <w:abstractNumId w:val="7"/>
  </w:num>
  <w:num w:numId="4" w16cid:durableId="302465916">
    <w:abstractNumId w:val="6"/>
  </w:num>
  <w:num w:numId="5" w16cid:durableId="1197698854">
    <w:abstractNumId w:val="5"/>
  </w:num>
  <w:num w:numId="6" w16cid:durableId="680863680">
    <w:abstractNumId w:val="4"/>
  </w:num>
  <w:num w:numId="7" w16cid:durableId="255748006">
    <w:abstractNumId w:val="8"/>
  </w:num>
  <w:num w:numId="8" w16cid:durableId="1137651052">
    <w:abstractNumId w:val="3"/>
  </w:num>
  <w:num w:numId="9" w16cid:durableId="96338727">
    <w:abstractNumId w:val="2"/>
  </w:num>
  <w:num w:numId="10" w16cid:durableId="372266075">
    <w:abstractNumId w:val="1"/>
  </w:num>
  <w:num w:numId="11" w16cid:durableId="888490440">
    <w:abstractNumId w:val="0"/>
  </w:num>
  <w:num w:numId="12" w16cid:durableId="1815296940">
    <w:abstractNumId w:val="10"/>
  </w:num>
  <w:num w:numId="13" w16cid:durableId="1560096658">
    <w:abstractNumId w:val="24"/>
  </w:num>
  <w:num w:numId="14" w16cid:durableId="219633512">
    <w:abstractNumId w:val="18"/>
  </w:num>
  <w:num w:numId="15" w16cid:durableId="590897300">
    <w:abstractNumId w:val="18"/>
    <w:lvlOverride w:ilvl="0">
      <w:startOverride w:val="1"/>
    </w:lvlOverride>
  </w:num>
  <w:num w:numId="16" w16cid:durableId="534200502">
    <w:abstractNumId w:val="18"/>
    <w:lvlOverride w:ilvl="0">
      <w:startOverride w:val="1"/>
    </w:lvlOverride>
  </w:num>
  <w:num w:numId="17" w16cid:durableId="2023972854">
    <w:abstractNumId w:val="18"/>
    <w:lvlOverride w:ilvl="0">
      <w:startOverride w:val="1"/>
    </w:lvlOverride>
  </w:num>
  <w:num w:numId="18" w16cid:durableId="564725321">
    <w:abstractNumId w:val="18"/>
    <w:lvlOverride w:ilvl="0">
      <w:startOverride w:val="1"/>
    </w:lvlOverride>
  </w:num>
  <w:num w:numId="19" w16cid:durableId="224335938">
    <w:abstractNumId w:val="21"/>
  </w:num>
  <w:num w:numId="20" w16cid:durableId="1190410526">
    <w:abstractNumId w:val="21"/>
    <w:lvlOverride w:ilvl="0">
      <w:startOverride w:val="1"/>
    </w:lvlOverride>
  </w:num>
  <w:num w:numId="21" w16cid:durableId="1408385144">
    <w:abstractNumId w:val="25"/>
  </w:num>
  <w:num w:numId="22" w16cid:durableId="1652633785">
    <w:abstractNumId w:val="23"/>
  </w:num>
  <w:num w:numId="23" w16cid:durableId="1863855379">
    <w:abstractNumId w:val="11"/>
    <w:lvlOverride w:ilvl="0">
      <w:startOverride w:val="1"/>
    </w:lvlOverride>
  </w:num>
  <w:num w:numId="24" w16cid:durableId="1004935679">
    <w:abstractNumId w:val="25"/>
    <w:lvlOverride w:ilvl="0">
      <w:startOverride w:val="1"/>
    </w:lvlOverride>
  </w:num>
  <w:num w:numId="25" w16cid:durableId="556090353">
    <w:abstractNumId w:val="23"/>
    <w:lvlOverride w:ilvl="0">
      <w:startOverride w:val="1"/>
    </w:lvlOverride>
  </w:num>
  <w:num w:numId="26" w16cid:durableId="1451320037">
    <w:abstractNumId w:val="23"/>
    <w:lvlOverride w:ilvl="0">
      <w:startOverride w:val="1"/>
    </w:lvlOverride>
  </w:num>
  <w:num w:numId="27" w16cid:durableId="343560202">
    <w:abstractNumId w:val="15"/>
  </w:num>
  <w:num w:numId="28" w16cid:durableId="183137696">
    <w:abstractNumId w:val="20"/>
  </w:num>
  <w:num w:numId="29" w16cid:durableId="1159925919">
    <w:abstractNumId w:val="14"/>
  </w:num>
  <w:num w:numId="30" w16cid:durableId="506991561">
    <w:abstractNumId w:val="16"/>
  </w:num>
  <w:num w:numId="31" w16cid:durableId="762264085">
    <w:abstractNumId w:val="12"/>
  </w:num>
  <w:num w:numId="32" w16cid:durableId="1275554476">
    <w:abstractNumId w:val="25"/>
    <w:lvlOverride w:ilvl="0">
      <w:startOverride w:val="1"/>
    </w:lvlOverride>
  </w:num>
  <w:num w:numId="33" w16cid:durableId="22633587">
    <w:abstractNumId w:val="25"/>
    <w:lvlOverride w:ilvl="0">
      <w:startOverride w:val="1"/>
    </w:lvlOverride>
  </w:num>
  <w:num w:numId="34" w16cid:durableId="1153646539">
    <w:abstractNumId w:val="25"/>
    <w:lvlOverride w:ilvl="0">
      <w:startOverride w:val="1"/>
    </w:lvlOverride>
  </w:num>
  <w:num w:numId="35" w16cid:durableId="162401463">
    <w:abstractNumId w:val="24"/>
    <w:lvlOverride w:ilvl="0">
      <w:startOverride w:val="1"/>
    </w:lvlOverride>
  </w:num>
  <w:num w:numId="36" w16cid:durableId="450367212">
    <w:abstractNumId w:val="24"/>
    <w:lvlOverride w:ilvl="0">
      <w:startOverride w:val="1"/>
    </w:lvlOverride>
  </w:num>
  <w:num w:numId="37" w16cid:durableId="1187674628">
    <w:abstractNumId w:val="24"/>
    <w:lvlOverride w:ilvl="0">
      <w:startOverride w:val="1"/>
    </w:lvlOverride>
  </w:num>
  <w:num w:numId="38" w16cid:durableId="246689910">
    <w:abstractNumId w:val="22"/>
  </w:num>
  <w:num w:numId="39" w16cid:durableId="1755778916">
    <w:abstractNumId w:val="17"/>
  </w:num>
  <w:num w:numId="40" w16cid:durableId="307176929">
    <w:abstractNumId w:val="19"/>
  </w:num>
  <w:num w:numId="41" w16cid:durableId="714811284">
    <w:abstractNumId w:val="26"/>
  </w:num>
  <w:num w:numId="42" w16cid:durableId="758909671">
    <w:abstractNumId w:val="26"/>
  </w:num>
  <w:num w:numId="43" w16cid:durableId="1085568778">
    <w:abstractNumId w:val="26"/>
  </w:num>
  <w:num w:numId="44" w16cid:durableId="1433168191">
    <w:abstractNumId w:val="26"/>
  </w:num>
  <w:num w:numId="45" w16cid:durableId="1349714660">
    <w:abstractNumId w:val="13"/>
  </w:num>
  <w:num w:numId="46" w16cid:durableId="14829629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B0"/>
    <w:rsid w:val="00001232"/>
    <w:rsid w:val="000013DD"/>
    <w:rsid w:val="0000171D"/>
    <w:rsid w:val="000025F2"/>
    <w:rsid w:val="00003BB0"/>
    <w:rsid w:val="00005371"/>
    <w:rsid w:val="00005441"/>
    <w:rsid w:val="0000566C"/>
    <w:rsid w:val="00006348"/>
    <w:rsid w:val="00006838"/>
    <w:rsid w:val="00007A50"/>
    <w:rsid w:val="000102CD"/>
    <w:rsid w:val="000109F5"/>
    <w:rsid w:val="00011E78"/>
    <w:rsid w:val="00012367"/>
    <w:rsid w:val="00013113"/>
    <w:rsid w:val="000133ED"/>
    <w:rsid w:val="00013F1F"/>
    <w:rsid w:val="000146EE"/>
    <w:rsid w:val="00014792"/>
    <w:rsid w:val="00014E23"/>
    <w:rsid w:val="00015101"/>
    <w:rsid w:val="00015617"/>
    <w:rsid w:val="00015716"/>
    <w:rsid w:val="00016AEF"/>
    <w:rsid w:val="00017279"/>
    <w:rsid w:val="000203DE"/>
    <w:rsid w:val="0002075B"/>
    <w:rsid w:val="00020961"/>
    <w:rsid w:val="00020DEA"/>
    <w:rsid w:val="000212AD"/>
    <w:rsid w:val="00021431"/>
    <w:rsid w:val="000229A2"/>
    <w:rsid w:val="000254CB"/>
    <w:rsid w:val="000255DA"/>
    <w:rsid w:val="00026DB6"/>
    <w:rsid w:val="00026DBD"/>
    <w:rsid w:val="00027038"/>
    <w:rsid w:val="00027299"/>
    <w:rsid w:val="000277B9"/>
    <w:rsid w:val="0003154E"/>
    <w:rsid w:val="0003160C"/>
    <w:rsid w:val="00031C3A"/>
    <w:rsid w:val="000328DF"/>
    <w:rsid w:val="00032BFC"/>
    <w:rsid w:val="00032C6F"/>
    <w:rsid w:val="00032FFF"/>
    <w:rsid w:val="000348A7"/>
    <w:rsid w:val="00035963"/>
    <w:rsid w:val="00036162"/>
    <w:rsid w:val="0003624F"/>
    <w:rsid w:val="00036586"/>
    <w:rsid w:val="000371BC"/>
    <w:rsid w:val="00037513"/>
    <w:rsid w:val="0004174E"/>
    <w:rsid w:val="0004246F"/>
    <w:rsid w:val="000425EB"/>
    <w:rsid w:val="00042916"/>
    <w:rsid w:val="0004349C"/>
    <w:rsid w:val="0004399C"/>
    <w:rsid w:val="00044BB9"/>
    <w:rsid w:val="00044CA7"/>
    <w:rsid w:val="000456D3"/>
    <w:rsid w:val="00045B3C"/>
    <w:rsid w:val="00045DAE"/>
    <w:rsid w:val="00046FAB"/>
    <w:rsid w:val="00047141"/>
    <w:rsid w:val="000503CC"/>
    <w:rsid w:val="00050E9A"/>
    <w:rsid w:val="0005464A"/>
    <w:rsid w:val="000546C2"/>
    <w:rsid w:val="0005528D"/>
    <w:rsid w:val="00057763"/>
    <w:rsid w:val="00057F75"/>
    <w:rsid w:val="00060657"/>
    <w:rsid w:val="00060946"/>
    <w:rsid w:val="00060CEA"/>
    <w:rsid w:val="000612BF"/>
    <w:rsid w:val="0006178C"/>
    <w:rsid w:val="000617D0"/>
    <w:rsid w:val="00062810"/>
    <w:rsid w:val="00062B6F"/>
    <w:rsid w:val="0006448A"/>
    <w:rsid w:val="00065559"/>
    <w:rsid w:val="0006627F"/>
    <w:rsid w:val="000665C8"/>
    <w:rsid w:val="00066690"/>
    <w:rsid w:val="000675AA"/>
    <w:rsid w:val="00067D86"/>
    <w:rsid w:val="00070983"/>
    <w:rsid w:val="00070BCB"/>
    <w:rsid w:val="00070CB6"/>
    <w:rsid w:val="0007179E"/>
    <w:rsid w:val="00071CC8"/>
    <w:rsid w:val="00071EF8"/>
    <w:rsid w:val="00071F01"/>
    <w:rsid w:val="00073C52"/>
    <w:rsid w:val="0007509E"/>
    <w:rsid w:val="0007534F"/>
    <w:rsid w:val="000758E3"/>
    <w:rsid w:val="00076967"/>
    <w:rsid w:val="00076C08"/>
    <w:rsid w:val="00077387"/>
    <w:rsid w:val="000773C0"/>
    <w:rsid w:val="000779E3"/>
    <w:rsid w:val="00077EAC"/>
    <w:rsid w:val="00081452"/>
    <w:rsid w:val="0008164E"/>
    <w:rsid w:val="00081860"/>
    <w:rsid w:val="00082F56"/>
    <w:rsid w:val="00083E72"/>
    <w:rsid w:val="00084F44"/>
    <w:rsid w:val="000864CD"/>
    <w:rsid w:val="00086AC4"/>
    <w:rsid w:val="000903F6"/>
    <w:rsid w:val="0009047F"/>
    <w:rsid w:val="000914EF"/>
    <w:rsid w:val="000918F0"/>
    <w:rsid w:val="00092BF8"/>
    <w:rsid w:val="00092D22"/>
    <w:rsid w:val="00092F41"/>
    <w:rsid w:val="000935F1"/>
    <w:rsid w:val="000937B8"/>
    <w:rsid w:val="00094E75"/>
    <w:rsid w:val="00094EE1"/>
    <w:rsid w:val="000950E2"/>
    <w:rsid w:val="00095AB0"/>
    <w:rsid w:val="000962EE"/>
    <w:rsid w:val="0009673E"/>
    <w:rsid w:val="00096B96"/>
    <w:rsid w:val="000974E3"/>
    <w:rsid w:val="000977C7"/>
    <w:rsid w:val="00097A02"/>
    <w:rsid w:val="000A1254"/>
    <w:rsid w:val="000A1EB2"/>
    <w:rsid w:val="000A37ED"/>
    <w:rsid w:val="000A492B"/>
    <w:rsid w:val="000A514F"/>
    <w:rsid w:val="000A5271"/>
    <w:rsid w:val="000A6D4A"/>
    <w:rsid w:val="000B02F4"/>
    <w:rsid w:val="000B0416"/>
    <w:rsid w:val="000B0FA3"/>
    <w:rsid w:val="000B3250"/>
    <w:rsid w:val="000B3417"/>
    <w:rsid w:val="000B365D"/>
    <w:rsid w:val="000B3AA4"/>
    <w:rsid w:val="000B4FFD"/>
    <w:rsid w:val="000B57A9"/>
    <w:rsid w:val="000B6A28"/>
    <w:rsid w:val="000B70A7"/>
    <w:rsid w:val="000B7C6D"/>
    <w:rsid w:val="000C09C0"/>
    <w:rsid w:val="000C35F2"/>
    <w:rsid w:val="000C480A"/>
    <w:rsid w:val="000C49A9"/>
    <w:rsid w:val="000C4E00"/>
    <w:rsid w:val="000C5136"/>
    <w:rsid w:val="000C5150"/>
    <w:rsid w:val="000C55E4"/>
    <w:rsid w:val="000C669B"/>
    <w:rsid w:val="000D10F1"/>
    <w:rsid w:val="000D1ED4"/>
    <w:rsid w:val="000D278E"/>
    <w:rsid w:val="000D4743"/>
    <w:rsid w:val="000D4815"/>
    <w:rsid w:val="000D4E0E"/>
    <w:rsid w:val="000D5DDA"/>
    <w:rsid w:val="000D749D"/>
    <w:rsid w:val="000D7AFC"/>
    <w:rsid w:val="000E0319"/>
    <w:rsid w:val="000E0A07"/>
    <w:rsid w:val="000E0B09"/>
    <w:rsid w:val="000E0E7A"/>
    <w:rsid w:val="000E19CA"/>
    <w:rsid w:val="000E1D1C"/>
    <w:rsid w:val="000E23AC"/>
    <w:rsid w:val="000E2413"/>
    <w:rsid w:val="000E27BD"/>
    <w:rsid w:val="000E3CA1"/>
    <w:rsid w:val="000E44A8"/>
    <w:rsid w:val="000E44C7"/>
    <w:rsid w:val="000E4C9D"/>
    <w:rsid w:val="000E5B4B"/>
    <w:rsid w:val="000E5BB4"/>
    <w:rsid w:val="000E611B"/>
    <w:rsid w:val="000E70FA"/>
    <w:rsid w:val="000F132C"/>
    <w:rsid w:val="000F1CEC"/>
    <w:rsid w:val="000F2BFE"/>
    <w:rsid w:val="000F2ECB"/>
    <w:rsid w:val="000F2FA5"/>
    <w:rsid w:val="000F56B4"/>
    <w:rsid w:val="000F6B9D"/>
    <w:rsid w:val="000F7C84"/>
    <w:rsid w:val="000F7E15"/>
    <w:rsid w:val="0010015D"/>
    <w:rsid w:val="001003ED"/>
    <w:rsid w:val="00101162"/>
    <w:rsid w:val="00102689"/>
    <w:rsid w:val="0010346A"/>
    <w:rsid w:val="00103ABA"/>
    <w:rsid w:val="00103F56"/>
    <w:rsid w:val="00107F1E"/>
    <w:rsid w:val="00110F70"/>
    <w:rsid w:val="00111A2F"/>
    <w:rsid w:val="001128D4"/>
    <w:rsid w:val="00112B68"/>
    <w:rsid w:val="00113D72"/>
    <w:rsid w:val="00115264"/>
    <w:rsid w:val="00116D4C"/>
    <w:rsid w:val="00117A77"/>
    <w:rsid w:val="0012040C"/>
    <w:rsid w:val="001207A0"/>
    <w:rsid w:val="00121B74"/>
    <w:rsid w:val="00121C50"/>
    <w:rsid w:val="00121EE9"/>
    <w:rsid w:val="00124861"/>
    <w:rsid w:val="00124FE2"/>
    <w:rsid w:val="001254AF"/>
    <w:rsid w:val="001255AA"/>
    <w:rsid w:val="00125986"/>
    <w:rsid w:val="00126D15"/>
    <w:rsid w:val="0012748A"/>
    <w:rsid w:val="00130790"/>
    <w:rsid w:val="00130D93"/>
    <w:rsid w:val="001312FF"/>
    <w:rsid w:val="00131B49"/>
    <w:rsid w:val="00131BC0"/>
    <w:rsid w:val="00132CEC"/>
    <w:rsid w:val="001349F7"/>
    <w:rsid w:val="001352AA"/>
    <w:rsid w:val="0013620B"/>
    <w:rsid w:val="00136B09"/>
    <w:rsid w:val="00136C73"/>
    <w:rsid w:val="0013737F"/>
    <w:rsid w:val="00137899"/>
    <w:rsid w:val="0014162B"/>
    <w:rsid w:val="001418AE"/>
    <w:rsid w:val="00143FFA"/>
    <w:rsid w:val="00144773"/>
    <w:rsid w:val="0014542E"/>
    <w:rsid w:val="00146569"/>
    <w:rsid w:val="00147B95"/>
    <w:rsid w:val="0015213B"/>
    <w:rsid w:val="00153DBC"/>
    <w:rsid w:val="001543F8"/>
    <w:rsid w:val="001548EE"/>
    <w:rsid w:val="0015507E"/>
    <w:rsid w:val="001559D0"/>
    <w:rsid w:val="001560CF"/>
    <w:rsid w:val="00156590"/>
    <w:rsid w:val="00156A26"/>
    <w:rsid w:val="001606CE"/>
    <w:rsid w:val="00160787"/>
    <w:rsid w:val="00160921"/>
    <w:rsid w:val="00160D3E"/>
    <w:rsid w:val="00161025"/>
    <w:rsid w:val="001611BF"/>
    <w:rsid w:val="001623E4"/>
    <w:rsid w:val="00162576"/>
    <w:rsid w:val="001629FD"/>
    <w:rsid w:val="00162C59"/>
    <w:rsid w:val="00162DAA"/>
    <w:rsid w:val="00164080"/>
    <w:rsid w:val="001663E8"/>
    <w:rsid w:val="001668C9"/>
    <w:rsid w:val="00167F27"/>
    <w:rsid w:val="00170325"/>
    <w:rsid w:val="00170513"/>
    <w:rsid w:val="0017057D"/>
    <w:rsid w:val="0017125A"/>
    <w:rsid w:val="00171DE2"/>
    <w:rsid w:val="001720F2"/>
    <w:rsid w:val="0017273A"/>
    <w:rsid w:val="001736DB"/>
    <w:rsid w:val="00173C03"/>
    <w:rsid w:val="00173C4D"/>
    <w:rsid w:val="0017436A"/>
    <w:rsid w:val="00175109"/>
    <w:rsid w:val="00175167"/>
    <w:rsid w:val="00175CBC"/>
    <w:rsid w:val="00176615"/>
    <w:rsid w:val="00176C32"/>
    <w:rsid w:val="00177043"/>
    <w:rsid w:val="00177A06"/>
    <w:rsid w:val="00177C1F"/>
    <w:rsid w:val="00177CB2"/>
    <w:rsid w:val="00177E5D"/>
    <w:rsid w:val="00181B02"/>
    <w:rsid w:val="00182CF1"/>
    <w:rsid w:val="0018782F"/>
    <w:rsid w:val="00187D4E"/>
    <w:rsid w:val="00190395"/>
    <w:rsid w:val="00190420"/>
    <w:rsid w:val="00190B29"/>
    <w:rsid w:val="00191B5B"/>
    <w:rsid w:val="0019274C"/>
    <w:rsid w:val="00192A9F"/>
    <w:rsid w:val="00193189"/>
    <w:rsid w:val="0019339E"/>
    <w:rsid w:val="00193A2C"/>
    <w:rsid w:val="0019474A"/>
    <w:rsid w:val="001954B4"/>
    <w:rsid w:val="00195E0A"/>
    <w:rsid w:val="0019771E"/>
    <w:rsid w:val="00197B4A"/>
    <w:rsid w:val="00197F44"/>
    <w:rsid w:val="001A05D4"/>
    <w:rsid w:val="001A0B5C"/>
    <w:rsid w:val="001A12EE"/>
    <w:rsid w:val="001A19C1"/>
    <w:rsid w:val="001A2AE6"/>
    <w:rsid w:val="001A2BE2"/>
    <w:rsid w:val="001A35E7"/>
    <w:rsid w:val="001A3BE8"/>
    <w:rsid w:val="001A45BB"/>
    <w:rsid w:val="001A5542"/>
    <w:rsid w:val="001A6D11"/>
    <w:rsid w:val="001A7C5B"/>
    <w:rsid w:val="001B05FC"/>
    <w:rsid w:val="001B07A8"/>
    <w:rsid w:val="001B19EA"/>
    <w:rsid w:val="001B224E"/>
    <w:rsid w:val="001B2C89"/>
    <w:rsid w:val="001B2D56"/>
    <w:rsid w:val="001B33BF"/>
    <w:rsid w:val="001B37AF"/>
    <w:rsid w:val="001B3829"/>
    <w:rsid w:val="001B38AB"/>
    <w:rsid w:val="001B41E4"/>
    <w:rsid w:val="001B6DA8"/>
    <w:rsid w:val="001B73E2"/>
    <w:rsid w:val="001B7C2C"/>
    <w:rsid w:val="001B7E54"/>
    <w:rsid w:val="001B7E79"/>
    <w:rsid w:val="001C0480"/>
    <w:rsid w:val="001C09F2"/>
    <w:rsid w:val="001C13F7"/>
    <w:rsid w:val="001C1828"/>
    <w:rsid w:val="001C2D15"/>
    <w:rsid w:val="001C421E"/>
    <w:rsid w:val="001C5529"/>
    <w:rsid w:val="001C57DB"/>
    <w:rsid w:val="001C5C82"/>
    <w:rsid w:val="001C710A"/>
    <w:rsid w:val="001C7E52"/>
    <w:rsid w:val="001D04FE"/>
    <w:rsid w:val="001D14B6"/>
    <w:rsid w:val="001D1A17"/>
    <w:rsid w:val="001D34C8"/>
    <w:rsid w:val="001D46E1"/>
    <w:rsid w:val="001D4709"/>
    <w:rsid w:val="001D4D63"/>
    <w:rsid w:val="001D586F"/>
    <w:rsid w:val="001D61B4"/>
    <w:rsid w:val="001D6FE7"/>
    <w:rsid w:val="001D7254"/>
    <w:rsid w:val="001D7F4D"/>
    <w:rsid w:val="001E03CB"/>
    <w:rsid w:val="001E1241"/>
    <w:rsid w:val="001E2E13"/>
    <w:rsid w:val="001E31BD"/>
    <w:rsid w:val="001E3E14"/>
    <w:rsid w:val="001E4C3F"/>
    <w:rsid w:val="001E50B0"/>
    <w:rsid w:val="001E5E0F"/>
    <w:rsid w:val="001E6172"/>
    <w:rsid w:val="001E627D"/>
    <w:rsid w:val="001E6902"/>
    <w:rsid w:val="001E75BB"/>
    <w:rsid w:val="001E7AB1"/>
    <w:rsid w:val="001F02C9"/>
    <w:rsid w:val="001F05C1"/>
    <w:rsid w:val="001F0B08"/>
    <w:rsid w:val="001F0D03"/>
    <w:rsid w:val="001F28AD"/>
    <w:rsid w:val="001F2E14"/>
    <w:rsid w:val="001F3C42"/>
    <w:rsid w:val="001F3D14"/>
    <w:rsid w:val="001F4202"/>
    <w:rsid w:val="001F45EC"/>
    <w:rsid w:val="001F47B3"/>
    <w:rsid w:val="001F526F"/>
    <w:rsid w:val="001F52F2"/>
    <w:rsid w:val="001F6307"/>
    <w:rsid w:val="001F661B"/>
    <w:rsid w:val="001F6A6F"/>
    <w:rsid w:val="001F7D7C"/>
    <w:rsid w:val="001F7F5C"/>
    <w:rsid w:val="0020082E"/>
    <w:rsid w:val="0020112C"/>
    <w:rsid w:val="00201654"/>
    <w:rsid w:val="00202914"/>
    <w:rsid w:val="00203889"/>
    <w:rsid w:val="00203CA9"/>
    <w:rsid w:val="00203EB8"/>
    <w:rsid w:val="00204A67"/>
    <w:rsid w:val="00205A43"/>
    <w:rsid w:val="00205B86"/>
    <w:rsid w:val="00206251"/>
    <w:rsid w:val="0020696A"/>
    <w:rsid w:val="0021173F"/>
    <w:rsid w:val="00212015"/>
    <w:rsid w:val="00212443"/>
    <w:rsid w:val="00212562"/>
    <w:rsid w:val="00212B3E"/>
    <w:rsid w:val="0021390F"/>
    <w:rsid w:val="00215555"/>
    <w:rsid w:val="00215E29"/>
    <w:rsid w:val="00217A6F"/>
    <w:rsid w:val="00220171"/>
    <w:rsid w:val="00220731"/>
    <w:rsid w:val="00220DDA"/>
    <w:rsid w:val="00221091"/>
    <w:rsid w:val="0022163A"/>
    <w:rsid w:val="00221738"/>
    <w:rsid w:val="0022184F"/>
    <w:rsid w:val="00222130"/>
    <w:rsid w:val="00222937"/>
    <w:rsid w:val="002235BF"/>
    <w:rsid w:val="002237C3"/>
    <w:rsid w:val="00223D0C"/>
    <w:rsid w:val="00224214"/>
    <w:rsid w:val="0022572C"/>
    <w:rsid w:val="002264E7"/>
    <w:rsid w:val="0022679B"/>
    <w:rsid w:val="00227340"/>
    <w:rsid w:val="00227722"/>
    <w:rsid w:val="00227DB5"/>
    <w:rsid w:val="002304B4"/>
    <w:rsid w:val="0023115C"/>
    <w:rsid w:val="00232710"/>
    <w:rsid w:val="00232964"/>
    <w:rsid w:val="00233F66"/>
    <w:rsid w:val="002342E0"/>
    <w:rsid w:val="002344B7"/>
    <w:rsid w:val="00234C4A"/>
    <w:rsid w:val="002356F8"/>
    <w:rsid w:val="00235A15"/>
    <w:rsid w:val="00235FB5"/>
    <w:rsid w:val="00236CDE"/>
    <w:rsid w:val="00237930"/>
    <w:rsid w:val="00237F16"/>
    <w:rsid w:val="00240940"/>
    <w:rsid w:val="00240A63"/>
    <w:rsid w:val="00241026"/>
    <w:rsid w:val="002420B0"/>
    <w:rsid w:val="00242831"/>
    <w:rsid w:val="00242F17"/>
    <w:rsid w:val="00243015"/>
    <w:rsid w:val="002437E4"/>
    <w:rsid w:val="0024463F"/>
    <w:rsid w:val="002448EB"/>
    <w:rsid w:val="00245E38"/>
    <w:rsid w:val="00246A8C"/>
    <w:rsid w:val="00246B11"/>
    <w:rsid w:val="002476CE"/>
    <w:rsid w:val="00250458"/>
    <w:rsid w:val="002505B8"/>
    <w:rsid w:val="00250BBA"/>
    <w:rsid w:val="00250D07"/>
    <w:rsid w:val="002519AD"/>
    <w:rsid w:val="0025233A"/>
    <w:rsid w:val="00252B1D"/>
    <w:rsid w:val="00253AA7"/>
    <w:rsid w:val="00253B07"/>
    <w:rsid w:val="00253F7C"/>
    <w:rsid w:val="002546BB"/>
    <w:rsid w:val="002549B3"/>
    <w:rsid w:val="00254AC5"/>
    <w:rsid w:val="00254C42"/>
    <w:rsid w:val="00254D28"/>
    <w:rsid w:val="00256ECB"/>
    <w:rsid w:val="00257AE7"/>
    <w:rsid w:val="00257EA7"/>
    <w:rsid w:val="002606AA"/>
    <w:rsid w:val="00261950"/>
    <w:rsid w:val="0026280B"/>
    <w:rsid w:val="00262AE3"/>
    <w:rsid w:val="00262B1A"/>
    <w:rsid w:val="00262CC1"/>
    <w:rsid w:val="002634CA"/>
    <w:rsid w:val="002635A9"/>
    <w:rsid w:val="00264B88"/>
    <w:rsid w:val="0026634E"/>
    <w:rsid w:val="0026648E"/>
    <w:rsid w:val="002664D1"/>
    <w:rsid w:val="00266CCC"/>
    <w:rsid w:val="0026700E"/>
    <w:rsid w:val="0027059A"/>
    <w:rsid w:val="002714C7"/>
    <w:rsid w:val="00271648"/>
    <w:rsid w:val="00271E81"/>
    <w:rsid w:val="002731A0"/>
    <w:rsid w:val="0027328B"/>
    <w:rsid w:val="00273706"/>
    <w:rsid w:val="00273E90"/>
    <w:rsid w:val="00274D42"/>
    <w:rsid w:val="00275527"/>
    <w:rsid w:val="002759C5"/>
    <w:rsid w:val="002766E5"/>
    <w:rsid w:val="002770E9"/>
    <w:rsid w:val="00277548"/>
    <w:rsid w:val="00277CB4"/>
    <w:rsid w:val="00280A98"/>
    <w:rsid w:val="00281091"/>
    <w:rsid w:val="00281445"/>
    <w:rsid w:val="0028266A"/>
    <w:rsid w:val="002827AF"/>
    <w:rsid w:val="00282DDF"/>
    <w:rsid w:val="0028406B"/>
    <w:rsid w:val="00284DD1"/>
    <w:rsid w:val="002850D0"/>
    <w:rsid w:val="00285596"/>
    <w:rsid w:val="00285C87"/>
    <w:rsid w:val="00285CAF"/>
    <w:rsid w:val="00285EBA"/>
    <w:rsid w:val="002878FE"/>
    <w:rsid w:val="00290C35"/>
    <w:rsid w:val="00291249"/>
    <w:rsid w:val="002928F4"/>
    <w:rsid w:val="00292DD3"/>
    <w:rsid w:val="00293266"/>
    <w:rsid w:val="002944C5"/>
    <w:rsid w:val="00294D7C"/>
    <w:rsid w:val="00294E55"/>
    <w:rsid w:val="00295009"/>
    <w:rsid w:val="002978DA"/>
    <w:rsid w:val="00297F7A"/>
    <w:rsid w:val="002A03CD"/>
    <w:rsid w:val="002A1247"/>
    <w:rsid w:val="002A28A8"/>
    <w:rsid w:val="002A44FD"/>
    <w:rsid w:val="002A4866"/>
    <w:rsid w:val="002A524B"/>
    <w:rsid w:val="002A61C9"/>
    <w:rsid w:val="002A65A0"/>
    <w:rsid w:val="002A6B56"/>
    <w:rsid w:val="002B068F"/>
    <w:rsid w:val="002B1015"/>
    <w:rsid w:val="002B25BC"/>
    <w:rsid w:val="002B2C4E"/>
    <w:rsid w:val="002B4950"/>
    <w:rsid w:val="002B5716"/>
    <w:rsid w:val="002B6232"/>
    <w:rsid w:val="002B63F7"/>
    <w:rsid w:val="002B661A"/>
    <w:rsid w:val="002B678F"/>
    <w:rsid w:val="002B6794"/>
    <w:rsid w:val="002B6B97"/>
    <w:rsid w:val="002B7221"/>
    <w:rsid w:val="002B7B08"/>
    <w:rsid w:val="002C0B2A"/>
    <w:rsid w:val="002C0E60"/>
    <w:rsid w:val="002C11F2"/>
    <w:rsid w:val="002C1306"/>
    <w:rsid w:val="002C1514"/>
    <w:rsid w:val="002C15B6"/>
    <w:rsid w:val="002C31A2"/>
    <w:rsid w:val="002C46CA"/>
    <w:rsid w:val="002C4FB8"/>
    <w:rsid w:val="002C5AE4"/>
    <w:rsid w:val="002C5F5E"/>
    <w:rsid w:val="002C6258"/>
    <w:rsid w:val="002C74CB"/>
    <w:rsid w:val="002C77E1"/>
    <w:rsid w:val="002C78B9"/>
    <w:rsid w:val="002C7A05"/>
    <w:rsid w:val="002D10F6"/>
    <w:rsid w:val="002D15E4"/>
    <w:rsid w:val="002D17A0"/>
    <w:rsid w:val="002D2AC1"/>
    <w:rsid w:val="002D2B1E"/>
    <w:rsid w:val="002D4231"/>
    <w:rsid w:val="002D55FD"/>
    <w:rsid w:val="002D5D8D"/>
    <w:rsid w:val="002D5FB6"/>
    <w:rsid w:val="002D6B3D"/>
    <w:rsid w:val="002D6BD4"/>
    <w:rsid w:val="002D710B"/>
    <w:rsid w:val="002D74C7"/>
    <w:rsid w:val="002D789A"/>
    <w:rsid w:val="002E009E"/>
    <w:rsid w:val="002E0E8D"/>
    <w:rsid w:val="002E1458"/>
    <w:rsid w:val="002E1818"/>
    <w:rsid w:val="002E1968"/>
    <w:rsid w:val="002E272D"/>
    <w:rsid w:val="002E2FFB"/>
    <w:rsid w:val="002E5916"/>
    <w:rsid w:val="002E614A"/>
    <w:rsid w:val="002E6791"/>
    <w:rsid w:val="002E7B19"/>
    <w:rsid w:val="002F0CB3"/>
    <w:rsid w:val="002F3CB5"/>
    <w:rsid w:val="002F4320"/>
    <w:rsid w:val="002F4854"/>
    <w:rsid w:val="002F4B2B"/>
    <w:rsid w:val="002F6B99"/>
    <w:rsid w:val="00301396"/>
    <w:rsid w:val="00301A28"/>
    <w:rsid w:val="00301AC6"/>
    <w:rsid w:val="003030E1"/>
    <w:rsid w:val="003031BF"/>
    <w:rsid w:val="0030332C"/>
    <w:rsid w:val="003033DA"/>
    <w:rsid w:val="00303551"/>
    <w:rsid w:val="00303C55"/>
    <w:rsid w:val="00304B49"/>
    <w:rsid w:val="00305898"/>
    <w:rsid w:val="00305C19"/>
    <w:rsid w:val="003062E4"/>
    <w:rsid w:val="00306C72"/>
    <w:rsid w:val="00306DF3"/>
    <w:rsid w:val="00307465"/>
    <w:rsid w:val="00307673"/>
    <w:rsid w:val="00310207"/>
    <w:rsid w:val="003119CE"/>
    <w:rsid w:val="00311C2D"/>
    <w:rsid w:val="00311D8A"/>
    <w:rsid w:val="0031310C"/>
    <w:rsid w:val="00313BBC"/>
    <w:rsid w:val="00313BCA"/>
    <w:rsid w:val="00313DB5"/>
    <w:rsid w:val="00314857"/>
    <w:rsid w:val="00314DF0"/>
    <w:rsid w:val="00315536"/>
    <w:rsid w:val="0031566A"/>
    <w:rsid w:val="00316303"/>
    <w:rsid w:val="00317030"/>
    <w:rsid w:val="00317C85"/>
    <w:rsid w:val="00320E8A"/>
    <w:rsid w:val="00321618"/>
    <w:rsid w:val="0032166C"/>
    <w:rsid w:val="00321880"/>
    <w:rsid w:val="0032280E"/>
    <w:rsid w:val="00322ADE"/>
    <w:rsid w:val="00323066"/>
    <w:rsid w:val="0032322A"/>
    <w:rsid w:val="00325C76"/>
    <w:rsid w:val="00325E3A"/>
    <w:rsid w:val="00327468"/>
    <w:rsid w:val="00327832"/>
    <w:rsid w:val="00330AB9"/>
    <w:rsid w:val="00331041"/>
    <w:rsid w:val="003317AB"/>
    <w:rsid w:val="00332745"/>
    <w:rsid w:val="0033349A"/>
    <w:rsid w:val="0033397D"/>
    <w:rsid w:val="003339AF"/>
    <w:rsid w:val="00333DBC"/>
    <w:rsid w:val="003356B4"/>
    <w:rsid w:val="003359BE"/>
    <w:rsid w:val="0033701B"/>
    <w:rsid w:val="00337466"/>
    <w:rsid w:val="00337C2D"/>
    <w:rsid w:val="0034093B"/>
    <w:rsid w:val="00340F34"/>
    <w:rsid w:val="00340F79"/>
    <w:rsid w:val="00341825"/>
    <w:rsid w:val="00342429"/>
    <w:rsid w:val="00342C74"/>
    <w:rsid w:val="00343079"/>
    <w:rsid w:val="0034341F"/>
    <w:rsid w:val="00343B69"/>
    <w:rsid w:val="00344122"/>
    <w:rsid w:val="00346911"/>
    <w:rsid w:val="00346A5C"/>
    <w:rsid w:val="00346EB8"/>
    <w:rsid w:val="00347BC0"/>
    <w:rsid w:val="003532FB"/>
    <w:rsid w:val="00353B69"/>
    <w:rsid w:val="00353E5E"/>
    <w:rsid w:val="003546C4"/>
    <w:rsid w:val="00354C20"/>
    <w:rsid w:val="003561DF"/>
    <w:rsid w:val="0035654C"/>
    <w:rsid w:val="0035673B"/>
    <w:rsid w:val="003603B6"/>
    <w:rsid w:val="003609B2"/>
    <w:rsid w:val="00360A62"/>
    <w:rsid w:val="00361020"/>
    <w:rsid w:val="00361A73"/>
    <w:rsid w:val="00361BA7"/>
    <w:rsid w:val="00361D92"/>
    <w:rsid w:val="00362318"/>
    <w:rsid w:val="003628CA"/>
    <w:rsid w:val="0036295A"/>
    <w:rsid w:val="00363D31"/>
    <w:rsid w:val="0036475E"/>
    <w:rsid w:val="00364D89"/>
    <w:rsid w:val="00365D72"/>
    <w:rsid w:val="00366127"/>
    <w:rsid w:val="0036638C"/>
    <w:rsid w:val="003701B3"/>
    <w:rsid w:val="00370685"/>
    <w:rsid w:val="00370D46"/>
    <w:rsid w:val="00371741"/>
    <w:rsid w:val="00371A82"/>
    <w:rsid w:val="0037209D"/>
    <w:rsid w:val="003739A0"/>
    <w:rsid w:val="0037491D"/>
    <w:rsid w:val="00374BF8"/>
    <w:rsid w:val="00374D2A"/>
    <w:rsid w:val="0037580F"/>
    <w:rsid w:val="0037686B"/>
    <w:rsid w:val="00376FE6"/>
    <w:rsid w:val="00380355"/>
    <w:rsid w:val="00380BDA"/>
    <w:rsid w:val="0038208A"/>
    <w:rsid w:val="003820D1"/>
    <w:rsid w:val="003822D4"/>
    <w:rsid w:val="00382A41"/>
    <w:rsid w:val="0038426F"/>
    <w:rsid w:val="0038465F"/>
    <w:rsid w:val="003847CB"/>
    <w:rsid w:val="0038501A"/>
    <w:rsid w:val="00385573"/>
    <w:rsid w:val="00385BD5"/>
    <w:rsid w:val="003863D0"/>
    <w:rsid w:val="003901A6"/>
    <w:rsid w:val="00390F8D"/>
    <w:rsid w:val="0039118C"/>
    <w:rsid w:val="003915C8"/>
    <w:rsid w:val="00391E16"/>
    <w:rsid w:val="00392030"/>
    <w:rsid w:val="00392101"/>
    <w:rsid w:val="00394E6D"/>
    <w:rsid w:val="00395B08"/>
    <w:rsid w:val="00396F6C"/>
    <w:rsid w:val="00397435"/>
    <w:rsid w:val="00397B44"/>
    <w:rsid w:val="003A2602"/>
    <w:rsid w:val="003A2CA3"/>
    <w:rsid w:val="003A31DC"/>
    <w:rsid w:val="003A31F5"/>
    <w:rsid w:val="003A34EC"/>
    <w:rsid w:val="003A3D93"/>
    <w:rsid w:val="003A3D9A"/>
    <w:rsid w:val="003A5312"/>
    <w:rsid w:val="003A5D7A"/>
    <w:rsid w:val="003A69F9"/>
    <w:rsid w:val="003A6AAC"/>
    <w:rsid w:val="003A788F"/>
    <w:rsid w:val="003A7EFA"/>
    <w:rsid w:val="003B0AD5"/>
    <w:rsid w:val="003B0F59"/>
    <w:rsid w:val="003B13BC"/>
    <w:rsid w:val="003B15C6"/>
    <w:rsid w:val="003B2E97"/>
    <w:rsid w:val="003B3048"/>
    <w:rsid w:val="003B3973"/>
    <w:rsid w:val="003B4F4B"/>
    <w:rsid w:val="003B642E"/>
    <w:rsid w:val="003B6AA6"/>
    <w:rsid w:val="003B7799"/>
    <w:rsid w:val="003B79A4"/>
    <w:rsid w:val="003B79DA"/>
    <w:rsid w:val="003C181D"/>
    <w:rsid w:val="003C2597"/>
    <w:rsid w:val="003C30BE"/>
    <w:rsid w:val="003C32E8"/>
    <w:rsid w:val="003C4B6A"/>
    <w:rsid w:val="003C53FB"/>
    <w:rsid w:val="003C6606"/>
    <w:rsid w:val="003C6F26"/>
    <w:rsid w:val="003C72C8"/>
    <w:rsid w:val="003C77C2"/>
    <w:rsid w:val="003C79F2"/>
    <w:rsid w:val="003C7F20"/>
    <w:rsid w:val="003D06FC"/>
    <w:rsid w:val="003D101E"/>
    <w:rsid w:val="003D1B2D"/>
    <w:rsid w:val="003D2798"/>
    <w:rsid w:val="003D2861"/>
    <w:rsid w:val="003D2EA4"/>
    <w:rsid w:val="003D33DC"/>
    <w:rsid w:val="003D532F"/>
    <w:rsid w:val="003D5356"/>
    <w:rsid w:val="003D551C"/>
    <w:rsid w:val="003D5654"/>
    <w:rsid w:val="003D5D95"/>
    <w:rsid w:val="003D5DFA"/>
    <w:rsid w:val="003D6446"/>
    <w:rsid w:val="003D676D"/>
    <w:rsid w:val="003E01E4"/>
    <w:rsid w:val="003E13E1"/>
    <w:rsid w:val="003E24B9"/>
    <w:rsid w:val="003E258C"/>
    <w:rsid w:val="003E2A8D"/>
    <w:rsid w:val="003E406C"/>
    <w:rsid w:val="003E40C8"/>
    <w:rsid w:val="003E41DD"/>
    <w:rsid w:val="003E44BB"/>
    <w:rsid w:val="003E4572"/>
    <w:rsid w:val="003E4B70"/>
    <w:rsid w:val="003E5ED2"/>
    <w:rsid w:val="003E7384"/>
    <w:rsid w:val="003F03BF"/>
    <w:rsid w:val="003F0796"/>
    <w:rsid w:val="003F0C9C"/>
    <w:rsid w:val="003F0FCF"/>
    <w:rsid w:val="003F23E9"/>
    <w:rsid w:val="003F2ECA"/>
    <w:rsid w:val="003F3C01"/>
    <w:rsid w:val="003F4783"/>
    <w:rsid w:val="003F4CF2"/>
    <w:rsid w:val="003F5988"/>
    <w:rsid w:val="003F73A4"/>
    <w:rsid w:val="003F78A6"/>
    <w:rsid w:val="00401A0F"/>
    <w:rsid w:val="00401A99"/>
    <w:rsid w:val="0040218D"/>
    <w:rsid w:val="00402D89"/>
    <w:rsid w:val="00403DFE"/>
    <w:rsid w:val="00404422"/>
    <w:rsid w:val="0040451E"/>
    <w:rsid w:val="00404E1F"/>
    <w:rsid w:val="00405B17"/>
    <w:rsid w:val="00405E85"/>
    <w:rsid w:val="00406B5C"/>
    <w:rsid w:val="00406B9E"/>
    <w:rsid w:val="00407757"/>
    <w:rsid w:val="004103B6"/>
    <w:rsid w:val="004119B2"/>
    <w:rsid w:val="00412098"/>
    <w:rsid w:val="00413A39"/>
    <w:rsid w:val="00413AC4"/>
    <w:rsid w:val="00413B13"/>
    <w:rsid w:val="0041513F"/>
    <w:rsid w:val="004153C8"/>
    <w:rsid w:val="00415A8D"/>
    <w:rsid w:val="00416151"/>
    <w:rsid w:val="004164CD"/>
    <w:rsid w:val="0041795D"/>
    <w:rsid w:val="00417DF4"/>
    <w:rsid w:val="00421000"/>
    <w:rsid w:val="004211C0"/>
    <w:rsid w:val="00421335"/>
    <w:rsid w:val="00421719"/>
    <w:rsid w:val="0042413E"/>
    <w:rsid w:val="00424681"/>
    <w:rsid w:val="00424F0B"/>
    <w:rsid w:val="004263C4"/>
    <w:rsid w:val="004273C0"/>
    <w:rsid w:val="00427474"/>
    <w:rsid w:val="004276B4"/>
    <w:rsid w:val="00427EE1"/>
    <w:rsid w:val="00430123"/>
    <w:rsid w:val="004313BE"/>
    <w:rsid w:val="00431945"/>
    <w:rsid w:val="0043282F"/>
    <w:rsid w:val="00433477"/>
    <w:rsid w:val="004335DE"/>
    <w:rsid w:val="004335E2"/>
    <w:rsid w:val="00433A10"/>
    <w:rsid w:val="00433BE4"/>
    <w:rsid w:val="00433C08"/>
    <w:rsid w:val="00434293"/>
    <w:rsid w:val="00434796"/>
    <w:rsid w:val="00435DEC"/>
    <w:rsid w:val="0043699F"/>
    <w:rsid w:val="00437193"/>
    <w:rsid w:val="00437C02"/>
    <w:rsid w:val="0044092C"/>
    <w:rsid w:val="004409A2"/>
    <w:rsid w:val="00441787"/>
    <w:rsid w:val="00441CD6"/>
    <w:rsid w:val="00441E9D"/>
    <w:rsid w:val="004425C1"/>
    <w:rsid w:val="004434B2"/>
    <w:rsid w:val="00443F97"/>
    <w:rsid w:val="00444C1C"/>
    <w:rsid w:val="0044525C"/>
    <w:rsid w:val="004454B1"/>
    <w:rsid w:val="00445C09"/>
    <w:rsid w:val="004460CD"/>
    <w:rsid w:val="004464DF"/>
    <w:rsid w:val="0044661F"/>
    <w:rsid w:val="00446A1C"/>
    <w:rsid w:val="00447B63"/>
    <w:rsid w:val="004515B0"/>
    <w:rsid w:val="004518DD"/>
    <w:rsid w:val="00452374"/>
    <w:rsid w:val="00453894"/>
    <w:rsid w:val="004543D4"/>
    <w:rsid w:val="00454879"/>
    <w:rsid w:val="00454BFA"/>
    <w:rsid w:val="0045501C"/>
    <w:rsid w:val="00455C05"/>
    <w:rsid w:val="00456048"/>
    <w:rsid w:val="00456298"/>
    <w:rsid w:val="0045711D"/>
    <w:rsid w:val="004603CD"/>
    <w:rsid w:val="00460606"/>
    <w:rsid w:val="00460FFA"/>
    <w:rsid w:val="00461854"/>
    <w:rsid w:val="004619D9"/>
    <w:rsid w:val="00461B8E"/>
    <w:rsid w:val="00463478"/>
    <w:rsid w:val="0046460E"/>
    <w:rsid w:val="00464D89"/>
    <w:rsid w:val="004661CE"/>
    <w:rsid w:val="004669FC"/>
    <w:rsid w:val="00467DD5"/>
    <w:rsid w:val="0047014B"/>
    <w:rsid w:val="004706B2"/>
    <w:rsid w:val="00470895"/>
    <w:rsid w:val="00470C37"/>
    <w:rsid w:val="0047109C"/>
    <w:rsid w:val="00471ACB"/>
    <w:rsid w:val="00473172"/>
    <w:rsid w:val="0047321B"/>
    <w:rsid w:val="004732FE"/>
    <w:rsid w:val="004733FA"/>
    <w:rsid w:val="00473FEE"/>
    <w:rsid w:val="00474ECA"/>
    <w:rsid w:val="00475A5C"/>
    <w:rsid w:val="004768A4"/>
    <w:rsid w:val="00480A9E"/>
    <w:rsid w:val="00480B52"/>
    <w:rsid w:val="00481805"/>
    <w:rsid w:val="00481958"/>
    <w:rsid w:val="004821DF"/>
    <w:rsid w:val="00482C86"/>
    <w:rsid w:val="00482DC9"/>
    <w:rsid w:val="0048358B"/>
    <w:rsid w:val="00483F7A"/>
    <w:rsid w:val="004843A1"/>
    <w:rsid w:val="004864EB"/>
    <w:rsid w:val="0048667A"/>
    <w:rsid w:val="00486FFF"/>
    <w:rsid w:val="004878D3"/>
    <w:rsid w:val="0049041F"/>
    <w:rsid w:val="00490B90"/>
    <w:rsid w:val="00491327"/>
    <w:rsid w:val="004915C0"/>
    <w:rsid w:val="00491DF0"/>
    <w:rsid w:val="00492352"/>
    <w:rsid w:val="00492904"/>
    <w:rsid w:val="004942C1"/>
    <w:rsid w:val="00494BEC"/>
    <w:rsid w:val="004958F2"/>
    <w:rsid w:val="00495E96"/>
    <w:rsid w:val="00496211"/>
    <w:rsid w:val="00496448"/>
    <w:rsid w:val="0049715C"/>
    <w:rsid w:val="00497F2D"/>
    <w:rsid w:val="004A0604"/>
    <w:rsid w:val="004A06EA"/>
    <w:rsid w:val="004A0C6D"/>
    <w:rsid w:val="004A19EB"/>
    <w:rsid w:val="004A271D"/>
    <w:rsid w:val="004A3538"/>
    <w:rsid w:val="004A3F6F"/>
    <w:rsid w:val="004A4EC7"/>
    <w:rsid w:val="004A5431"/>
    <w:rsid w:val="004A6CAF"/>
    <w:rsid w:val="004A722B"/>
    <w:rsid w:val="004A7B0F"/>
    <w:rsid w:val="004B0ABA"/>
    <w:rsid w:val="004B1F7C"/>
    <w:rsid w:val="004B2201"/>
    <w:rsid w:val="004B29A7"/>
    <w:rsid w:val="004B2C90"/>
    <w:rsid w:val="004B33F9"/>
    <w:rsid w:val="004B344F"/>
    <w:rsid w:val="004B34CD"/>
    <w:rsid w:val="004B35EA"/>
    <w:rsid w:val="004B38D7"/>
    <w:rsid w:val="004B4352"/>
    <w:rsid w:val="004B45F9"/>
    <w:rsid w:val="004B77C0"/>
    <w:rsid w:val="004B7C9B"/>
    <w:rsid w:val="004C0F3E"/>
    <w:rsid w:val="004C17DE"/>
    <w:rsid w:val="004C1D45"/>
    <w:rsid w:val="004C200F"/>
    <w:rsid w:val="004C2244"/>
    <w:rsid w:val="004C2CE0"/>
    <w:rsid w:val="004C4418"/>
    <w:rsid w:val="004C44FD"/>
    <w:rsid w:val="004C57C8"/>
    <w:rsid w:val="004C5B2B"/>
    <w:rsid w:val="004C676B"/>
    <w:rsid w:val="004C6983"/>
    <w:rsid w:val="004C6BB9"/>
    <w:rsid w:val="004D09A2"/>
    <w:rsid w:val="004D12F1"/>
    <w:rsid w:val="004D3335"/>
    <w:rsid w:val="004D394A"/>
    <w:rsid w:val="004D3CE3"/>
    <w:rsid w:val="004D5554"/>
    <w:rsid w:val="004D5CE7"/>
    <w:rsid w:val="004D6883"/>
    <w:rsid w:val="004D6D28"/>
    <w:rsid w:val="004D71ED"/>
    <w:rsid w:val="004E0341"/>
    <w:rsid w:val="004E03DD"/>
    <w:rsid w:val="004E0C63"/>
    <w:rsid w:val="004E0FCC"/>
    <w:rsid w:val="004E1D44"/>
    <w:rsid w:val="004E27D5"/>
    <w:rsid w:val="004E4BE1"/>
    <w:rsid w:val="004E5A47"/>
    <w:rsid w:val="004E66F8"/>
    <w:rsid w:val="004E73B5"/>
    <w:rsid w:val="004F0642"/>
    <w:rsid w:val="004F08C6"/>
    <w:rsid w:val="004F08D1"/>
    <w:rsid w:val="004F0EB6"/>
    <w:rsid w:val="004F10C9"/>
    <w:rsid w:val="004F13DF"/>
    <w:rsid w:val="004F163D"/>
    <w:rsid w:val="004F174B"/>
    <w:rsid w:val="004F4C4F"/>
    <w:rsid w:val="004F4D77"/>
    <w:rsid w:val="004F66E6"/>
    <w:rsid w:val="004F7B38"/>
    <w:rsid w:val="004F7BE1"/>
    <w:rsid w:val="004F7EC4"/>
    <w:rsid w:val="00500ADD"/>
    <w:rsid w:val="00500B77"/>
    <w:rsid w:val="00500ED1"/>
    <w:rsid w:val="00501160"/>
    <w:rsid w:val="00501768"/>
    <w:rsid w:val="00501D19"/>
    <w:rsid w:val="0050222E"/>
    <w:rsid w:val="005043E8"/>
    <w:rsid w:val="005049E1"/>
    <w:rsid w:val="005055AC"/>
    <w:rsid w:val="00507282"/>
    <w:rsid w:val="00510244"/>
    <w:rsid w:val="005105DB"/>
    <w:rsid w:val="00510EC3"/>
    <w:rsid w:val="005110BB"/>
    <w:rsid w:val="005122D0"/>
    <w:rsid w:val="005127FD"/>
    <w:rsid w:val="00512D2A"/>
    <w:rsid w:val="00512E0D"/>
    <w:rsid w:val="00513D71"/>
    <w:rsid w:val="00514390"/>
    <w:rsid w:val="00514DC5"/>
    <w:rsid w:val="00515370"/>
    <w:rsid w:val="00515D40"/>
    <w:rsid w:val="00516010"/>
    <w:rsid w:val="00517121"/>
    <w:rsid w:val="00517A41"/>
    <w:rsid w:val="00517FC7"/>
    <w:rsid w:val="005202BA"/>
    <w:rsid w:val="0052117F"/>
    <w:rsid w:val="00521284"/>
    <w:rsid w:val="00521BA2"/>
    <w:rsid w:val="00521EDC"/>
    <w:rsid w:val="005226B9"/>
    <w:rsid w:val="00522AA4"/>
    <w:rsid w:val="00522D9C"/>
    <w:rsid w:val="0052303E"/>
    <w:rsid w:val="00523169"/>
    <w:rsid w:val="00526183"/>
    <w:rsid w:val="0052629E"/>
    <w:rsid w:val="00527E61"/>
    <w:rsid w:val="00530887"/>
    <w:rsid w:val="00533A11"/>
    <w:rsid w:val="00533C80"/>
    <w:rsid w:val="005367AA"/>
    <w:rsid w:val="005374AC"/>
    <w:rsid w:val="0054061A"/>
    <w:rsid w:val="00540ADE"/>
    <w:rsid w:val="00540C42"/>
    <w:rsid w:val="00541021"/>
    <w:rsid w:val="00542DB0"/>
    <w:rsid w:val="00542ECD"/>
    <w:rsid w:val="005436E9"/>
    <w:rsid w:val="00543C86"/>
    <w:rsid w:val="005478FE"/>
    <w:rsid w:val="00547F3A"/>
    <w:rsid w:val="00552181"/>
    <w:rsid w:val="005529C3"/>
    <w:rsid w:val="00552B25"/>
    <w:rsid w:val="00553E7E"/>
    <w:rsid w:val="00554FE4"/>
    <w:rsid w:val="00555F14"/>
    <w:rsid w:val="005576BE"/>
    <w:rsid w:val="005578E7"/>
    <w:rsid w:val="00557D9F"/>
    <w:rsid w:val="00557F74"/>
    <w:rsid w:val="00560526"/>
    <w:rsid w:val="00560E58"/>
    <w:rsid w:val="00560F5E"/>
    <w:rsid w:val="00560FCA"/>
    <w:rsid w:val="00561C66"/>
    <w:rsid w:val="00561D39"/>
    <w:rsid w:val="00561FB9"/>
    <w:rsid w:val="005626FB"/>
    <w:rsid w:val="00562824"/>
    <w:rsid w:val="00563000"/>
    <w:rsid w:val="00563708"/>
    <w:rsid w:val="00564390"/>
    <w:rsid w:val="005647ED"/>
    <w:rsid w:val="00564812"/>
    <w:rsid w:val="00564D22"/>
    <w:rsid w:val="00564D92"/>
    <w:rsid w:val="0056599F"/>
    <w:rsid w:val="00565B4E"/>
    <w:rsid w:val="00566948"/>
    <w:rsid w:val="00566CE8"/>
    <w:rsid w:val="00567FDE"/>
    <w:rsid w:val="00571466"/>
    <w:rsid w:val="00571813"/>
    <w:rsid w:val="00573786"/>
    <w:rsid w:val="00573E50"/>
    <w:rsid w:val="005755D6"/>
    <w:rsid w:val="00575F1A"/>
    <w:rsid w:val="00576572"/>
    <w:rsid w:val="005778AD"/>
    <w:rsid w:val="00580A3C"/>
    <w:rsid w:val="005818AA"/>
    <w:rsid w:val="00582906"/>
    <w:rsid w:val="00583D69"/>
    <w:rsid w:val="00583DA8"/>
    <w:rsid w:val="00584C18"/>
    <w:rsid w:val="00584D63"/>
    <w:rsid w:val="00585B21"/>
    <w:rsid w:val="00585CFA"/>
    <w:rsid w:val="00586162"/>
    <w:rsid w:val="00590340"/>
    <w:rsid w:val="0059088B"/>
    <w:rsid w:val="00590A6D"/>
    <w:rsid w:val="00591288"/>
    <w:rsid w:val="0059135D"/>
    <w:rsid w:val="005917FD"/>
    <w:rsid w:val="00591D85"/>
    <w:rsid w:val="0059278F"/>
    <w:rsid w:val="00593635"/>
    <w:rsid w:val="00593C0C"/>
    <w:rsid w:val="00594E5D"/>
    <w:rsid w:val="0059541A"/>
    <w:rsid w:val="00595954"/>
    <w:rsid w:val="00595BBB"/>
    <w:rsid w:val="005975F2"/>
    <w:rsid w:val="00597616"/>
    <w:rsid w:val="00597C52"/>
    <w:rsid w:val="005A06D9"/>
    <w:rsid w:val="005A1C2F"/>
    <w:rsid w:val="005A2A12"/>
    <w:rsid w:val="005A3632"/>
    <w:rsid w:val="005A3CF3"/>
    <w:rsid w:val="005A4AA1"/>
    <w:rsid w:val="005A4CE1"/>
    <w:rsid w:val="005A6221"/>
    <w:rsid w:val="005A66FC"/>
    <w:rsid w:val="005A699D"/>
    <w:rsid w:val="005B0675"/>
    <w:rsid w:val="005B0EE5"/>
    <w:rsid w:val="005B10CB"/>
    <w:rsid w:val="005B2023"/>
    <w:rsid w:val="005B3358"/>
    <w:rsid w:val="005B366C"/>
    <w:rsid w:val="005B4FAD"/>
    <w:rsid w:val="005B6214"/>
    <w:rsid w:val="005B66BF"/>
    <w:rsid w:val="005B7362"/>
    <w:rsid w:val="005B7AAB"/>
    <w:rsid w:val="005B7F53"/>
    <w:rsid w:val="005C0043"/>
    <w:rsid w:val="005C021C"/>
    <w:rsid w:val="005C0F15"/>
    <w:rsid w:val="005C1C58"/>
    <w:rsid w:val="005C3012"/>
    <w:rsid w:val="005C324A"/>
    <w:rsid w:val="005C32EF"/>
    <w:rsid w:val="005C3647"/>
    <w:rsid w:val="005C3C13"/>
    <w:rsid w:val="005C3CDE"/>
    <w:rsid w:val="005C3D87"/>
    <w:rsid w:val="005C3FD6"/>
    <w:rsid w:val="005C584A"/>
    <w:rsid w:val="005C592E"/>
    <w:rsid w:val="005C681F"/>
    <w:rsid w:val="005C7B7F"/>
    <w:rsid w:val="005D00E4"/>
    <w:rsid w:val="005D025E"/>
    <w:rsid w:val="005D0381"/>
    <w:rsid w:val="005D0DF1"/>
    <w:rsid w:val="005D18AF"/>
    <w:rsid w:val="005D4706"/>
    <w:rsid w:val="005D498C"/>
    <w:rsid w:val="005D4F5B"/>
    <w:rsid w:val="005D581F"/>
    <w:rsid w:val="005D5F5E"/>
    <w:rsid w:val="005D6051"/>
    <w:rsid w:val="005D65FE"/>
    <w:rsid w:val="005D66D5"/>
    <w:rsid w:val="005D6FFD"/>
    <w:rsid w:val="005D7080"/>
    <w:rsid w:val="005D7618"/>
    <w:rsid w:val="005D7A0E"/>
    <w:rsid w:val="005D7A7B"/>
    <w:rsid w:val="005D7C45"/>
    <w:rsid w:val="005E036A"/>
    <w:rsid w:val="005E05EC"/>
    <w:rsid w:val="005E110D"/>
    <w:rsid w:val="005E12EB"/>
    <w:rsid w:val="005E15F1"/>
    <w:rsid w:val="005E278B"/>
    <w:rsid w:val="005E3199"/>
    <w:rsid w:val="005E3226"/>
    <w:rsid w:val="005E32DB"/>
    <w:rsid w:val="005E7219"/>
    <w:rsid w:val="005F19DB"/>
    <w:rsid w:val="005F21E3"/>
    <w:rsid w:val="005F27D5"/>
    <w:rsid w:val="005F384D"/>
    <w:rsid w:val="005F3859"/>
    <w:rsid w:val="005F3B45"/>
    <w:rsid w:val="005F4418"/>
    <w:rsid w:val="005F4A91"/>
    <w:rsid w:val="005F4E0E"/>
    <w:rsid w:val="005F5089"/>
    <w:rsid w:val="005F50DA"/>
    <w:rsid w:val="005F588E"/>
    <w:rsid w:val="005F5AAF"/>
    <w:rsid w:val="005F60CF"/>
    <w:rsid w:val="005F6659"/>
    <w:rsid w:val="005F66F9"/>
    <w:rsid w:val="005F707B"/>
    <w:rsid w:val="005F7BCC"/>
    <w:rsid w:val="005F7CD6"/>
    <w:rsid w:val="00600986"/>
    <w:rsid w:val="00600B4B"/>
    <w:rsid w:val="006011DA"/>
    <w:rsid w:val="00601296"/>
    <w:rsid w:val="0060191D"/>
    <w:rsid w:val="00601A7B"/>
    <w:rsid w:val="00602997"/>
    <w:rsid w:val="00602A21"/>
    <w:rsid w:val="00602BF7"/>
    <w:rsid w:val="00602CFF"/>
    <w:rsid w:val="0060370C"/>
    <w:rsid w:val="00603F00"/>
    <w:rsid w:val="006044DF"/>
    <w:rsid w:val="00604F35"/>
    <w:rsid w:val="006050F2"/>
    <w:rsid w:val="006053B0"/>
    <w:rsid w:val="00605F77"/>
    <w:rsid w:val="00606CF1"/>
    <w:rsid w:val="00612EF0"/>
    <w:rsid w:val="00613342"/>
    <w:rsid w:val="0061334C"/>
    <w:rsid w:val="00613F08"/>
    <w:rsid w:val="00614630"/>
    <w:rsid w:val="006147EB"/>
    <w:rsid w:val="00615B58"/>
    <w:rsid w:val="0061688A"/>
    <w:rsid w:val="00616B9C"/>
    <w:rsid w:val="00616D51"/>
    <w:rsid w:val="006200EB"/>
    <w:rsid w:val="00620C7C"/>
    <w:rsid w:val="00621EA3"/>
    <w:rsid w:val="00623442"/>
    <w:rsid w:val="00623876"/>
    <w:rsid w:val="00623CD4"/>
    <w:rsid w:val="00624058"/>
    <w:rsid w:val="0062454E"/>
    <w:rsid w:val="0062476A"/>
    <w:rsid w:val="006254AE"/>
    <w:rsid w:val="0062580D"/>
    <w:rsid w:val="00625C11"/>
    <w:rsid w:val="00625E9E"/>
    <w:rsid w:val="006266EA"/>
    <w:rsid w:val="00626A97"/>
    <w:rsid w:val="006301E3"/>
    <w:rsid w:val="0063053E"/>
    <w:rsid w:val="006309C0"/>
    <w:rsid w:val="00630A8A"/>
    <w:rsid w:val="00630B03"/>
    <w:rsid w:val="00631F45"/>
    <w:rsid w:val="00632123"/>
    <w:rsid w:val="00633585"/>
    <w:rsid w:val="00636E67"/>
    <w:rsid w:val="0063716E"/>
    <w:rsid w:val="00637298"/>
    <w:rsid w:val="006372A4"/>
    <w:rsid w:val="00637449"/>
    <w:rsid w:val="00637590"/>
    <w:rsid w:val="006378F7"/>
    <w:rsid w:val="006378F9"/>
    <w:rsid w:val="00640234"/>
    <w:rsid w:val="00640AAF"/>
    <w:rsid w:val="00640DB7"/>
    <w:rsid w:val="0064202C"/>
    <w:rsid w:val="006420A6"/>
    <w:rsid w:val="006427D7"/>
    <w:rsid w:val="00642D6A"/>
    <w:rsid w:val="0064343A"/>
    <w:rsid w:val="00644155"/>
    <w:rsid w:val="00644B66"/>
    <w:rsid w:val="006459F2"/>
    <w:rsid w:val="00646655"/>
    <w:rsid w:val="006472F0"/>
    <w:rsid w:val="00647E07"/>
    <w:rsid w:val="00647F87"/>
    <w:rsid w:val="00650CB9"/>
    <w:rsid w:val="00652D54"/>
    <w:rsid w:val="00653762"/>
    <w:rsid w:val="0065379B"/>
    <w:rsid w:val="00653832"/>
    <w:rsid w:val="00654279"/>
    <w:rsid w:val="00655C7C"/>
    <w:rsid w:val="00656B06"/>
    <w:rsid w:val="00660BC5"/>
    <w:rsid w:val="00661912"/>
    <w:rsid w:val="006620D9"/>
    <w:rsid w:val="00663723"/>
    <w:rsid w:val="00663FF0"/>
    <w:rsid w:val="00664251"/>
    <w:rsid w:val="006644EF"/>
    <w:rsid w:val="00664875"/>
    <w:rsid w:val="00664C59"/>
    <w:rsid w:val="00665FB6"/>
    <w:rsid w:val="006661B5"/>
    <w:rsid w:val="00667DBC"/>
    <w:rsid w:val="00667DD4"/>
    <w:rsid w:val="006702BF"/>
    <w:rsid w:val="00670575"/>
    <w:rsid w:val="00670AC3"/>
    <w:rsid w:val="00670DA2"/>
    <w:rsid w:val="00671651"/>
    <w:rsid w:val="00671681"/>
    <w:rsid w:val="00671CF9"/>
    <w:rsid w:val="0067246D"/>
    <w:rsid w:val="00673303"/>
    <w:rsid w:val="00673B4B"/>
    <w:rsid w:val="00673BE6"/>
    <w:rsid w:val="006744C1"/>
    <w:rsid w:val="00675534"/>
    <w:rsid w:val="006766E8"/>
    <w:rsid w:val="00676FF7"/>
    <w:rsid w:val="0067789A"/>
    <w:rsid w:val="00677D6A"/>
    <w:rsid w:val="00680138"/>
    <w:rsid w:val="00680AAF"/>
    <w:rsid w:val="0068119C"/>
    <w:rsid w:val="006818FD"/>
    <w:rsid w:val="00681CA7"/>
    <w:rsid w:val="00681D78"/>
    <w:rsid w:val="00681DFA"/>
    <w:rsid w:val="006825DA"/>
    <w:rsid w:val="00684974"/>
    <w:rsid w:val="0068542C"/>
    <w:rsid w:val="006857BB"/>
    <w:rsid w:val="0068676E"/>
    <w:rsid w:val="006917C9"/>
    <w:rsid w:val="00692609"/>
    <w:rsid w:val="00692D50"/>
    <w:rsid w:val="00692EEB"/>
    <w:rsid w:val="006933A1"/>
    <w:rsid w:val="00693597"/>
    <w:rsid w:val="006940D5"/>
    <w:rsid w:val="006945A3"/>
    <w:rsid w:val="00694600"/>
    <w:rsid w:val="00694AE3"/>
    <w:rsid w:val="006952C1"/>
    <w:rsid w:val="006954C6"/>
    <w:rsid w:val="00695968"/>
    <w:rsid w:val="00695CB5"/>
    <w:rsid w:val="0069666C"/>
    <w:rsid w:val="006A008F"/>
    <w:rsid w:val="006A0811"/>
    <w:rsid w:val="006A1003"/>
    <w:rsid w:val="006A13C1"/>
    <w:rsid w:val="006A2084"/>
    <w:rsid w:val="006A2A3A"/>
    <w:rsid w:val="006A39B9"/>
    <w:rsid w:val="006A59AD"/>
    <w:rsid w:val="006A59FB"/>
    <w:rsid w:val="006A5AA6"/>
    <w:rsid w:val="006B0D1B"/>
    <w:rsid w:val="006B1148"/>
    <w:rsid w:val="006B150D"/>
    <w:rsid w:val="006B16E5"/>
    <w:rsid w:val="006B1F84"/>
    <w:rsid w:val="006B2C2C"/>
    <w:rsid w:val="006B2FFB"/>
    <w:rsid w:val="006B3835"/>
    <w:rsid w:val="006B38A4"/>
    <w:rsid w:val="006B3A2A"/>
    <w:rsid w:val="006B41F4"/>
    <w:rsid w:val="006B4409"/>
    <w:rsid w:val="006B45FD"/>
    <w:rsid w:val="006B49B9"/>
    <w:rsid w:val="006B50D3"/>
    <w:rsid w:val="006B59DA"/>
    <w:rsid w:val="006B5C6E"/>
    <w:rsid w:val="006B5C8A"/>
    <w:rsid w:val="006B6178"/>
    <w:rsid w:val="006B66EA"/>
    <w:rsid w:val="006B6957"/>
    <w:rsid w:val="006B6B21"/>
    <w:rsid w:val="006B6BFF"/>
    <w:rsid w:val="006B6F99"/>
    <w:rsid w:val="006B7843"/>
    <w:rsid w:val="006B7BE2"/>
    <w:rsid w:val="006C1173"/>
    <w:rsid w:val="006C1650"/>
    <w:rsid w:val="006C1C83"/>
    <w:rsid w:val="006C2A77"/>
    <w:rsid w:val="006C2BC6"/>
    <w:rsid w:val="006C4507"/>
    <w:rsid w:val="006C4760"/>
    <w:rsid w:val="006C62B2"/>
    <w:rsid w:val="006C633D"/>
    <w:rsid w:val="006C6513"/>
    <w:rsid w:val="006C660B"/>
    <w:rsid w:val="006C6D49"/>
    <w:rsid w:val="006C708A"/>
    <w:rsid w:val="006C7687"/>
    <w:rsid w:val="006C7E16"/>
    <w:rsid w:val="006D07A9"/>
    <w:rsid w:val="006D08E0"/>
    <w:rsid w:val="006D0ACF"/>
    <w:rsid w:val="006D1D5E"/>
    <w:rsid w:val="006D2A1C"/>
    <w:rsid w:val="006D2B80"/>
    <w:rsid w:val="006D3E5C"/>
    <w:rsid w:val="006D3F17"/>
    <w:rsid w:val="006D4826"/>
    <w:rsid w:val="006D5400"/>
    <w:rsid w:val="006D55A2"/>
    <w:rsid w:val="006D5ECB"/>
    <w:rsid w:val="006D78C0"/>
    <w:rsid w:val="006E0883"/>
    <w:rsid w:val="006E1077"/>
    <w:rsid w:val="006E125E"/>
    <w:rsid w:val="006E1447"/>
    <w:rsid w:val="006E170D"/>
    <w:rsid w:val="006E3C83"/>
    <w:rsid w:val="006E42CC"/>
    <w:rsid w:val="006E4699"/>
    <w:rsid w:val="006E478F"/>
    <w:rsid w:val="006E4EE1"/>
    <w:rsid w:val="006E50AD"/>
    <w:rsid w:val="006E55DF"/>
    <w:rsid w:val="006E5990"/>
    <w:rsid w:val="006E6648"/>
    <w:rsid w:val="006E698B"/>
    <w:rsid w:val="006E7551"/>
    <w:rsid w:val="006E7AC7"/>
    <w:rsid w:val="006E7CCB"/>
    <w:rsid w:val="006F03E6"/>
    <w:rsid w:val="006F177C"/>
    <w:rsid w:val="006F1B3E"/>
    <w:rsid w:val="006F375F"/>
    <w:rsid w:val="006F4750"/>
    <w:rsid w:val="006F4AEF"/>
    <w:rsid w:val="006F5D61"/>
    <w:rsid w:val="006F731F"/>
    <w:rsid w:val="006F79F5"/>
    <w:rsid w:val="006F7C2C"/>
    <w:rsid w:val="006F7CFC"/>
    <w:rsid w:val="006F7EFE"/>
    <w:rsid w:val="0070035F"/>
    <w:rsid w:val="00700701"/>
    <w:rsid w:val="00700D9E"/>
    <w:rsid w:val="007011F2"/>
    <w:rsid w:val="007012E6"/>
    <w:rsid w:val="0070180F"/>
    <w:rsid w:val="00702CBD"/>
    <w:rsid w:val="00702E8C"/>
    <w:rsid w:val="007042C0"/>
    <w:rsid w:val="007045C2"/>
    <w:rsid w:val="0070467B"/>
    <w:rsid w:val="0070493D"/>
    <w:rsid w:val="007051D9"/>
    <w:rsid w:val="00705522"/>
    <w:rsid w:val="007061B7"/>
    <w:rsid w:val="00707D87"/>
    <w:rsid w:val="00710E88"/>
    <w:rsid w:val="007114AC"/>
    <w:rsid w:val="00711556"/>
    <w:rsid w:val="00712175"/>
    <w:rsid w:val="00712CB0"/>
    <w:rsid w:val="007132E9"/>
    <w:rsid w:val="007138AF"/>
    <w:rsid w:val="00713CF5"/>
    <w:rsid w:val="007149F7"/>
    <w:rsid w:val="007151E9"/>
    <w:rsid w:val="0071548B"/>
    <w:rsid w:val="007172E0"/>
    <w:rsid w:val="00720269"/>
    <w:rsid w:val="007203C8"/>
    <w:rsid w:val="007203E4"/>
    <w:rsid w:val="007204A9"/>
    <w:rsid w:val="00720FB2"/>
    <w:rsid w:val="00721C87"/>
    <w:rsid w:val="00722578"/>
    <w:rsid w:val="00722D12"/>
    <w:rsid w:val="00723635"/>
    <w:rsid w:val="00723903"/>
    <w:rsid w:val="007240CA"/>
    <w:rsid w:val="0072497F"/>
    <w:rsid w:val="00725790"/>
    <w:rsid w:val="007259A5"/>
    <w:rsid w:val="0072625D"/>
    <w:rsid w:val="00727588"/>
    <w:rsid w:val="007278C3"/>
    <w:rsid w:val="00731FC8"/>
    <w:rsid w:val="00732081"/>
    <w:rsid w:val="007323B8"/>
    <w:rsid w:val="0073295A"/>
    <w:rsid w:val="00732CEE"/>
    <w:rsid w:val="0073375D"/>
    <w:rsid w:val="00733830"/>
    <w:rsid w:val="00733B49"/>
    <w:rsid w:val="00735471"/>
    <w:rsid w:val="00736013"/>
    <w:rsid w:val="007413E7"/>
    <w:rsid w:val="00741856"/>
    <w:rsid w:val="00741EAD"/>
    <w:rsid w:val="00742618"/>
    <w:rsid w:val="00742E80"/>
    <w:rsid w:val="007432A2"/>
    <w:rsid w:val="00743B31"/>
    <w:rsid w:val="00743FEC"/>
    <w:rsid w:val="0074411F"/>
    <w:rsid w:val="0074565F"/>
    <w:rsid w:val="00745EA8"/>
    <w:rsid w:val="007461F3"/>
    <w:rsid w:val="007463C4"/>
    <w:rsid w:val="00747DED"/>
    <w:rsid w:val="007500A9"/>
    <w:rsid w:val="00750434"/>
    <w:rsid w:val="0075061A"/>
    <w:rsid w:val="007519D1"/>
    <w:rsid w:val="00751B7D"/>
    <w:rsid w:val="00751F64"/>
    <w:rsid w:val="007532AD"/>
    <w:rsid w:val="00753388"/>
    <w:rsid w:val="007535E4"/>
    <w:rsid w:val="0075418E"/>
    <w:rsid w:val="00754207"/>
    <w:rsid w:val="0075454D"/>
    <w:rsid w:val="0075505A"/>
    <w:rsid w:val="00756929"/>
    <w:rsid w:val="00757A6A"/>
    <w:rsid w:val="00760721"/>
    <w:rsid w:val="00760A4C"/>
    <w:rsid w:val="00761273"/>
    <w:rsid w:val="0076136F"/>
    <w:rsid w:val="007629E2"/>
    <w:rsid w:val="00762B05"/>
    <w:rsid w:val="00763BFA"/>
    <w:rsid w:val="00763C7B"/>
    <w:rsid w:val="00764457"/>
    <w:rsid w:val="0076467B"/>
    <w:rsid w:val="00764E61"/>
    <w:rsid w:val="007655C9"/>
    <w:rsid w:val="007656B3"/>
    <w:rsid w:val="00765B33"/>
    <w:rsid w:val="00765EC7"/>
    <w:rsid w:val="00767D2D"/>
    <w:rsid w:val="00767DBB"/>
    <w:rsid w:val="00771620"/>
    <w:rsid w:val="00771BF9"/>
    <w:rsid w:val="0077206D"/>
    <w:rsid w:val="00772290"/>
    <w:rsid w:val="0077240B"/>
    <w:rsid w:val="007732FB"/>
    <w:rsid w:val="00773A2A"/>
    <w:rsid w:val="00774597"/>
    <w:rsid w:val="00774646"/>
    <w:rsid w:val="00774773"/>
    <w:rsid w:val="007751F2"/>
    <w:rsid w:val="00776387"/>
    <w:rsid w:val="00776D82"/>
    <w:rsid w:val="007770A3"/>
    <w:rsid w:val="0077771C"/>
    <w:rsid w:val="00777782"/>
    <w:rsid w:val="00777D45"/>
    <w:rsid w:val="00777DE5"/>
    <w:rsid w:val="00780EA6"/>
    <w:rsid w:val="00781695"/>
    <w:rsid w:val="0078207B"/>
    <w:rsid w:val="007820F5"/>
    <w:rsid w:val="00782113"/>
    <w:rsid w:val="00782211"/>
    <w:rsid w:val="0078248C"/>
    <w:rsid w:val="0078272B"/>
    <w:rsid w:val="007837FE"/>
    <w:rsid w:val="0078427E"/>
    <w:rsid w:val="00784344"/>
    <w:rsid w:val="007846EA"/>
    <w:rsid w:val="00784858"/>
    <w:rsid w:val="00784DA0"/>
    <w:rsid w:val="007856E5"/>
    <w:rsid w:val="00785766"/>
    <w:rsid w:val="007859EF"/>
    <w:rsid w:val="00785D21"/>
    <w:rsid w:val="00787808"/>
    <w:rsid w:val="00787CD8"/>
    <w:rsid w:val="00790728"/>
    <w:rsid w:val="00790C35"/>
    <w:rsid w:val="00791561"/>
    <w:rsid w:val="00791A5E"/>
    <w:rsid w:val="00792549"/>
    <w:rsid w:val="007925C7"/>
    <w:rsid w:val="00793856"/>
    <w:rsid w:val="00793D90"/>
    <w:rsid w:val="007940E4"/>
    <w:rsid w:val="00794508"/>
    <w:rsid w:val="00794E07"/>
    <w:rsid w:val="00794F43"/>
    <w:rsid w:val="00795AC5"/>
    <w:rsid w:val="007960BD"/>
    <w:rsid w:val="007971E4"/>
    <w:rsid w:val="00797A37"/>
    <w:rsid w:val="007A02A7"/>
    <w:rsid w:val="007A0C9C"/>
    <w:rsid w:val="007A1A6B"/>
    <w:rsid w:val="007A1EEB"/>
    <w:rsid w:val="007A1F5D"/>
    <w:rsid w:val="007A284D"/>
    <w:rsid w:val="007A337E"/>
    <w:rsid w:val="007A50FF"/>
    <w:rsid w:val="007A5116"/>
    <w:rsid w:val="007A5A42"/>
    <w:rsid w:val="007A6F48"/>
    <w:rsid w:val="007A73F6"/>
    <w:rsid w:val="007A7F0E"/>
    <w:rsid w:val="007B01ED"/>
    <w:rsid w:val="007B0979"/>
    <w:rsid w:val="007B1BD0"/>
    <w:rsid w:val="007B1EF8"/>
    <w:rsid w:val="007B230E"/>
    <w:rsid w:val="007B29A9"/>
    <w:rsid w:val="007B317C"/>
    <w:rsid w:val="007B31B2"/>
    <w:rsid w:val="007B3DC8"/>
    <w:rsid w:val="007B4864"/>
    <w:rsid w:val="007B5467"/>
    <w:rsid w:val="007B55CA"/>
    <w:rsid w:val="007B55DC"/>
    <w:rsid w:val="007B6B41"/>
    <w:rsid w:val="007B6C3B"/>
    <w:rsid w:val="007B70BA"/>
    <w:rsid w:val="007B7344"/>
    <w:rsid w:val="007B7C19"/>
    <w:rsid w:val="007B7DC2"/>
    <w:rsid w:val="007B7F2F"/>
    <w:rsid w:val="007C0935"/>
    <w:rsid w:val="007C1CC8"/>
    <w:rsid w:val="007C26A2"/>
    <w:rsid w:val="007C26A4"/>
    <w:rsid w:val="007C45C8"/>
    <w:rsid w:val="007C4F62"/>
    <w:rsid w:val="007C627A"/>
    <w:rsid w:val="007C6FE6"/>
    <w:rsid w:val="007C7474"/>
    <w:rsid w:val="007C78AB"/>
    <w:rsid w:val="007C7A28"/>
    <w:rsid w:val="007D1A5E"/>
    <w:rsid w:val="007D29B9"/>
    <w:rsid w:val="007D2C03"/>
    <w:rsid w:val="007D2D71"/>
    <w:rsid w:val="007D440E"/>
    <w:rsid w:val="007D456C"/>
    <w:rsid w:val="007D4BB6"/>
    <w:rsid w:val="007D542F"/>
    <w:rsid w:val="007D5807"/>
    <w:rsid w:val="007D7CD9"/>
    <w:rsid w:val="007E04E1"/>
    <w:rsid w:val="007E23DD"/>
    <w:rsid w:val="007E2CE8"/>
    <w:rsid w:val="007E4B4E"/>
    <w:rsid w:val="007E501F"/>
    <w:rsid w:val="007E596A"/>
    <w:rsid w:val="007E60A5"/>
    <w:rsid w:val="007E6248"/>
    <w:rsid w:val="007E6A91"/>
    <w:rsid w:val="007E6EFA"/>
    <w:rsid w:val="007E7B68"/>
    <w:rsid w:val="007F021C"/>
    <w:rsid w:val="007F100A"/>
    <w:rsid w:val="007F1F81"/>
    <w:rsid w:val="007F24DC"/>
    <w:rsid w:val="007F2A7D"/>
    <w:rsid w:val="007F464E"/>
    <w:rsid w:val="007F4E93"/>
    <w:rsid w:val="007F5BF8"/>
    <w:rsid w:val="007F67E0"/>
    <w:rsid w:val="007F68F9"/>
    <w:rsid w:val="007F6A60"/>
    <w:rsid w:val="00800A66"/>
    <w:rsid w:val="00801C4F"/>
    <w:rsid w:val="00802873"/>
    <w:rsid w:val="00803C3C"/>
    <w:rsid w:val="00803EFB"/>
    <w:rsid w:val="00803EFF"/>
    <w:rsid w:val="008042B4"/>
    <w:rsid w:val="00804325"/>
    <w:rsid w:val="008046D4"/>
    <w:rsid w:val="00804703"/>
    <w:rsid w:val="0080529D"/>
    <w:rsid w:val="00805579"/>
    <w:rsid w:val="00805A5D"/>
    <w:rsid w:val="00805A63"/>
    <w:rsid w:val="00806038"/>
    <w:rsid w:val="008062E2"/>
    <w:rsid w:val="0080719E"/>
    <w:rsid w:val="00810E90"/>
    <w:rsid w:val="00811155"/>
    <w:rsid w:val="00811530"/>
    <w:rsid w:val="008115D0"/>
    <w:rsid w:val="0081293B"/>
    <w:rsid w:val="00813887"/>
    <w:rsid w:val="00813A99"/>
    <w:rsid w:val="008150AA"/>
    <w:rsid w:val="00816E7D"/>
    <w:rsid w:val="00817901"/>
    <w:rsid w:val="00820415"/>
    <w:rsid w:val="00820B9E"/>
    <w:rsid w:val="0082146C"/>
    <w:rsid w:val="00821C50"/>
    <w:rsid w:val="0082355C"/>
    <w:rsid w:val="00823E5B"/>
    <w:rsid w:val="00823F98"/>
    <w:rsid w:val="00824E3C"/>
    <w:rsid w:val="00825D54"/>
    <w:rsid w:val="00825DED"/>
    <w:rsid w:val="00826473"/>
    <w:rsid w:val="0082666D"/>
    <w:rsid w:val="00826CF7"/>
    <w:rsid w:val="008273E9"/>
    <w:rsid w:val="0083076C"/>
    <w:rsid w:val="00830D60"/>
    <w:rsid w:val="00830D7A"/>
    <w:rsid w:val="00831761"/>
    <w:rsid w:val="00831F64"/>
    <w:rsid w:val="008329D5"/>
    <w:rsid w:val="00833479"/>
    <w:rsid w:val="00833792"/>
    <w:rsid w:val="00833E8D"/>
    <w:rsid w:val="008343E5"/>
    <w:rsid w:val="00834642"/>
    <w:rsid w:val="00835A26"/>
    <w:rsid w:val="008365F1"/>
    <w:rsid w:val="00836730"/>
    <w:rsid w:val="008367AE"/>
    <w:rsid w:val="0083682D"/>
    <w:rsid w:val="00836D73"/>
    <w:rsid w:val="00837707"/>
    <w:rsid w:val="00840728"/>
    <w:rsid w:val="00841433"/>
    <w:rsid w:val="00844A09"/>
    <w:rsid w:val="00844A3F"/>
    <w:rsid w:val="008450AB"/>
    <w:rsid w:val="00846743"/>
    <w:rsid w:val="008476DB"/>
    <w:rsid w:val="00847E1A"/>
    <w:rsid w:val="008500C0"/>
    <w:rsid w:val="00850888"/>
    <w:rsid w:val="0085096A"/>
    <w:rsid w:val="00852B5B"/>
    <w:rsid w:val="00852F35"/>
    <w:rsid w:val="008538AE"/>
    <w:rsid w:val="00853A65"/>
    <w:rsid w:val="008547E7"/>
    <w:rsid w:val="008568A1"/>
    <w:rsid w:val="00856B74"/>
    <w:rsid w:val="008570B5"/>
    <w:rsid w:val="00857363"/>
    <w:rsid w:val="008606A9"/>
    <w:rsid w:val="00860CBA"/>
    <w:rsid w:val="00861ED4"/>
    <w:rsid w:val="008628CB"/>
    <w:rsid w:val="008630ED"/>
    <w:rsid w:val="008634C4"/>
    <w:rsid w:val="0086383D"/>
    <w:rsid w:val="0086394C"/>
    <w:rsid w:val="00863F66"/>
    <w:rsid w:val="008641B7"/>
    <w:rsid w:val="00864547"/>
    <w:rsid w:val="008647D2"/>
    <w:rsid w:val="00866057"/>
    <w:rsid w:val="008667C4"/>
    <w:rsid w:val="00866B9D"/>
    <w:rsid w:val="00867A59"/>
    <w:rsid w:val="00871003"/>
    <w:rsid w:val="008714C0"/>
    <w:rsid w:val="008717BD"/>
    <w:rsid w:val="008718B1"/>
    <w:rsid w:val="008722D6"/>
    <w:rsid w:val="008747C7"/>
    <w:rsid w:val="008753E7"/>
    <w:rsid w:val="00875C91"/>
    <w:rsid w:val="0087619F"/>
    <w:rsid w:val="00876A08"/>
    <w:rsid w:val="008770BB"/>
    <w:rsid w:val="00880485"/>
    <w:rsid w:val="008808BC"/>
    <w:rsid w:val="00880C14"/>
    <w:rsid w:val="0088171A"/>
    <w:rsid w:val="00881A82"/>
    <w:rsid w:val="0088291E"/>
    <w:rsid w:val="00883248"/>
    <w:rsid w:val="008841D7"/>
    <w:rsid w:val="008842FE"/>
    <w:rsid w:val="00884417"/>
    <w:rsid w:val="00885601"/>
    <w:rsid w:val="008867DB"/>
    <w:rsid w:val="00886A22"/>
    <w:rsid w:val="00886E3D"/>
    <w:rsid w:val="00890D44"/>
    <w:rsid w:val="00891B58"/>
    <w:rsid w:val="008921BE"/>
    <w:rsid w:val="008928DB"/>
    <w:rsid w:val="00892D49"/>
    <w:rsid w:val="00895425"/>
    <w:rsid w:val="00895497"/>
    <w:rsid w:val="00897B70"/>
    <w:rsid w:val="00897D54"/>
    <w:rsid w:val="008A03B7"/>
    <w:rsid w:val="008A0614"/>
    <w:rsid w:val="008A18AC"/>
    <w:rsid w:val="008A1DB7"/>
    <w:rsid w:val="008A30F4"/>
    <w:rsid w:val="008A3133"/>
    <w:rsid w:val="008A45F8"/>
    <w:rsid w:val="008A4825"/>
    <w:rsid w:val="008A48B1"/>
    <w:rsid w:val="008A4BF8"/>
    <w:rsid w:val="008A5CA7"/>
    <w:rsid w:val="008A622A"/>
    <w:rsid w:val="008A69F0"/>
    <w:rsid w:val="008A7322"/>
    <w:rsid w:val="008A7B54"/>
    <w:rsid w:val="008B0748"/>
    <w:rsid w:val="008B0957"/>
    <w:rsid w:val="008B1806"/>
    <w:rsid w:val="008B21B1"/>
    <w:rsid w:val="008B28D9"/>
    <w:rsid w:val="008B350F"/>
    <w:rsid w:val="008B41CF"/>
    <w:rsid w:val="008B43CF"/>
    <w:rsid w:val="008B44F5"/>
    <w:rsid w:val="008B5E58"/>
    <w:rsid w:val="008B7242"/>
    <w:rsid w:val="008B7808"/>
    <w:rsid w:val="008B78D1"/>
    <w:rsid w:val="008B7CBE"/>
    <w:rsid w:val="008C107F"/>
    <w:rsid w:val="008C1E66"/>
    <w:rsid w:val="008C3C5E"/>
    <w:rsid w:val="008C40D2"/>
    <w:rsid w:val="008C41CC"/>
    <w:rsid w:val="008C45FF"/>
    <w:rsid w:val="008C47A1"/>
    <w:rsid w:val="008C5814"/>
    <w:rsid w:val="008C72FF"/>
    <w:rsid w:val="008C738F"/>
    <w:rsid w:val="008D02EE"/>
    <w:rsid w:val="008D15DE"/>
    <w:rsid w:val="008D1876"/>
    <w:rsid w:val="008D18C1"/>
    <w:rsid w:val="008D1CE3"/>
    <w:rsid w:val="008D1E05"/>
    <w:rsid w:val="008D1F4D"/>
    <w:rsid w:val="008D273B"/>
    <w:rsid w:val="008D298E"/>
    <w:rsid w:val="008D2AE7"/>
    <w:rsid w:val="008D505F"/>
    <w:rsid w:val="008D5182"/>
    <w:rsid w:val="008D52EE"/>
    <w:rsid w:val="008D6080"/>
    <w:rsid w:val="008D6280"/>
    <w:rsid w:val="008D6B9E"/>
    <w:rsid w:val="008D7039"/>
    <w:rsid w:val="008E005C"/>
    <w:rsid w:val="008E060A"/>
    <w:rsid w:val="008E1024"/>
    <w:rsid w:val="008E1C06"/>
    <w:rsid w:val="008E1FCD"/>
    <w:rsid w:val="008E2DDC"/>
    <w:rsid w:val="008E5613"/>
    <w:rsid w:val="008E5ADC"/>
    <w:rsid w:val="008E63B4"/>
    <w:rsid w:val="008E641F"/>
    <w:rsid w:val="008F13EE"/>
    <w:rsid w:val="008F1507"/>
    <w:rsid w:val="008F20BD"/>
    <w:rsid w:val="008F27E1"/>
    <w:rsid w:val="008F2F7E"/>
    <w:rsid w:val="008F30F1"/>
    <w:rsid w:val="008F348C"/>
    <w:rsid w:val="008F352D"/>
    <w:rsid w:val="008F4C6A"/>
    <w:rsid w:val="008F6122"/>
    <w:rsid w:val="008F627F"/>
    <w:rsid w:val="008F64E7"/>
    <w:rsid w:val="008F7455"/>
    <w:rsid w:val="008F78DD"/>
    <w:rsid w:val="00900409"/>
    <w:rsid w:val="00902BCA"/>
    <w:rsid w:val="00903080"/>
    <w:rsid w:val="00903BBB"/>
    <w:rsid w:val="0090536E"/>
    <w:rsid w:val="00905416"/>
    <w:rsid w:val="0090552D"/>
    <w:rsid w:val="00906D5D"/>
    <w:rsid w:val="0090707A"/>
    <w:rsid w:val="00907132"/>
    <w:rsid w:val="00907699"/>
    <w:rsid w:val="00907C64"/>
    <w:rsid w:val="00907CB4"/>
    <w:rsid w:val="00910F57"/>
    <w:rsid w:val="009112FD"/>
    <w:rsid w:val="0091141A"/>
    <w:rsid w:val="0091143A"/>
    <w:rsid w:val="009127EE"/>
    <w:rsid w:val="00912ED0"/>
    <w:rsid w:val="0091303B"/>
    <w:rsid w:val="0091312B"/>
    <w:rsid w:val="0091347B"/>
    <w:rsid w:val="009137B6"/>
    <w:rsid w:val="0091397D"/>
    <w:rsid w:val="00913ED0"/>
    <w:rsid w:val="00914149"/>
    <w:rsid w:val="00914E90"/>
    <w:rsid w:val="0091563B"/>
    <w:rsid w:val="00915B2B"/>
    <w:rsid w:val="0091698F"/>
    <w:rsid w:val="00916B50"/>
    <w:rsid w:val="009173DF"/>
    <w:rsid w:val="009204B1"/>
    <w:rsid w:val="00920C60"/>
    <w:rsid w:val="00921080"/>
    <w:rsid w:val="00923D52"/>
    <w:rsid w:val="009241EC"/>
    <w:rsid w:val="009252EC"/>
    <w:rsid w:val="0092587F"/>
    <w:rsid w:val="00925AA3"/>
    <w:rsid w:val="009266A3"/>
    <w:rsid w:val="0092707E"/>
    <w:rsid w:val="00927650"/>
    <w:rsid w:val="00930578"/>
    <w:rsid w:val="00930B56"/>
    <w:rsid w:val="009311FA"/>
    <w:rsid w:val="00931431"/>
    <w:rsid w:val="0093222B"/>
    <w:rsid w:val="0093278F"/>
    <w:rsid w:val="009329CD"/>
    <w:rsid w:val="00932BBE"/>
    <w:rsid w:val="00932DE1"/>
    <w:rsid w:val="00933435"/>
    <w:rsid w:val="009335B0"/>
    <w:rsid w:val="00934A8F"/>
    <w:rsid w:val="00934E78"/>
    <w:rsid w:val="00934F7D"/>
    <w:rsid w:val="0093517C"/>
    <w:rsid w:val="00935EA5"/>
    <w:rsid w:val="0093626B"/>
    <w:rsid w:val="00936C83"/>
    <w:rsid w:val="00936DD1"/>
    <w:rsid w:val="0093704A"/>
    <w:rsid w:val="0093713F"/>
    <w:rsid w:val="00937A52"/>
    <w:rsid w:val="00937B93"/>
    <w:rsid w:val="0094130C"/>
    <w:rsid w:val="009418EB"/>
    <w:rsid w:val="009422A0"/>
    <w:rsid w:val="00942CB6"/>
    <w:rsid w:val="00942CE9"/>
    <w:rsid w:val="009433AF"/>
    <w:rsid w:val="009434E8"/>
    <w:rsid w:val="009446E6"/>
    <w:rsid w:val="00944A0A"/>
    <w:rsid w:val="00944CCF"/>
    <w:rsid w:val="009453AE"/>
    <w:rsid w:val="00945E1B"/>
    <w:rsid w:val="00945E92"/>
    <w:rsid w:val="0094675A"/>
    <w:rsid w:val="009467BD"/>
    <w:rsid w:val="00946E89"/>
    <w:rsid w:val="009473DC"/>
    <w:rsid w:val="00947990"/>
    <w:rsid w:val="009507C0"/>
    <w:rsid w:val="00950907"/>
    <w:rsid w:val="009511FA"/>
    <w:rsid w:val="00951619"/>
    <w:rsid w:val="0095269D"/>
    <w:rsid w:val="00952828"/>
    <w:rsid w:val="009537A1"/>
    <w:rsid w:val="00953B3C"/>
    <w:rsid w:val="00953BFD"/>
    <w:rsid w:val="00954F86"/>
    <w:rsid w:val="00954FF2"/>
    <w:rsid w:val="009556FC"/>
    <w:rsid w:val="00955E5D"/>
    <w:rsid w:val="00956629"/>
    <w:rsid w:val="00956913"/>
    <w:rsid w:val="00956C37"/>
    <w:rsid w:val="00956CCD"/>
    <w:rsid w:val="00956F7D"/>
    <w:rsid w:val="009604F5"/>
    <w:rsid w:val="009606AB"/>
    <w:rsid w:val="00960C09"/>
    <w:rsid w:val="0096146C"/>
    <w:rsid w:val="009615D2"/>
    <w:rsid w:val="009625EC"/>
    <w:rsid w:val="00962CAF"/>
    <w:rsid w:val="00962EE8"/>
    <w:rsid w:val="009630DF"/>
    <w:rsid w:val="009635FF"/>
    <w:rsid w:val="00963F4F"/>
    <w:rsid w:val="009642C3"/>
    <w:rsid w:val="00964C03"/>
    <w:rsid w:val="00964C2A"/>
    <w:rsid w:val="00965992"/>
    <w:rsid w:val="00965EE9"/>
    <w:rsid w:val="00971222"/>
    <w:rsid w:val="009713F0"/>
    <w:rsid w:val="009720B8"/>
    <w:rsid w:val="00972127"/>
    <w:rsid w:val="00972924"/>
    <w:rsid w:val="00972AA6"/>
    <w:rsid w:val="00972C50"/>
    <w:rsid w:val="0097342E"/>
    <w:rsid w:val="00973A81"/>
    <w:rsid w:val="00974666"/>
    <w:rsid w:val="0097491E"/>
    <w:rsid w:val="00974ED1"/>
    <w:rsid w:val="00975407"/>
    <w:rsid w:val="00976387"/>
    <w:rsid w:val="00976C1D"/>
    <w:rsid w:val="00976EAE"/>
    <w:rsid w:val="00976EE9"/>
    <w:rsid w:val="00977EBA"/>
    <w:rsid w:val="009810E3"/>
    <w:rsid w:val="0098212F"/>
    <w:rsid w:val="00983D57"/>
    <w:rsid w:val="00983DAB"/>
    <w:rsid w:val="009840DE"/>
    <w:rsid w:val="00984376"/>
    <w:rsid w:val="00985788"/>
    <w:rsid w:val="00985CF6"/>
    <w:rsid w:val="0098614F"/>
    <w:rsid w:val="0098722C"/>
    <w:rsid w:val="00990278"/>
    <w:rsid w:val="00990BFF"/>
    <w:rsid w:val="00991110"/>
    <w:rsid w:val="00991C32"/>
    <w:rsid w:val="009922A3"/>
    <w:rsid w:val="00992EE0"/>
    <w:rsid w:val="00993C68"/>
    <w:rsid w:val="00993C75"/>
    <w:rsid w:val="009951F9"/>
    <w:rsid w:val="0099575D"/>
    <w:rsid w:val="009960B4"/>
    <w:rsid w:val="00996376"/>
    <w:rsid w:val="00996590"/>
    <w:rsid w:val="0099693A"/>
    <w:rsid w:val="009977D8"/>
    <w:rsid w:val="009A0834"/>
    <w:rsid w:val="009A22ED"/>
    <w:rsid w:val="009A271C"/>
    <w:rsid w:val="009A3D40"/>
    <w:rsid w:val="009A43DE"/>
    <w:rsid w:val="009A45AA"/>
    <w:rsid w:val="009A48FF"/>
    <w:rsid w:val="009A5B6A"/>
    <w:rsid w:val="009A60F5"/>
    <w:rsid w:val="009A6120"/>
    <w:rsid w:val="009A6D9C"/>
    <w:rsid w:val="009B0F69"/>
    <w:rsid w:val="009B1378"/>
    <w:rsid w:val="009B1AFB"/>
    <w:rsid w:val="009B2921"/>
    <w:rsid w:val="009B2BE2"/>
    <w:rsid w:val="009B34EF"/>
    <w:rsid w:val="009B3C83"/>
    <w:rsid w:val="009B3C85"/>
    <w:rsid w:val="009B409C"/>
    <w:rsid w:val="009B7583"/>
    <w:rsid w:val="009C02B6"/>
    <w:rsid w:val="009C051A"/>
    <w:rsid w:val="009C0569"/>
    <w:rsid w:val="009C090E"/>
    <w:rsid w:val="009C0940"/>
    <w:rsid w:val="009C139B"/>
    <w:rsid w:val="009C1939"/>
    <w:rsid w:val="009C1E73"/>
    <w:rsid w:val="009C3998"/>
    <w:rsid w:val="009C529C"/>
    <w:rsid w:val="009C5B8C"/>
    <w:rsid w:val="009C60F6"/>
    <w:rsid w:val="009C7707"/>
    <w:rsid w:val="009D0711"/>
    <w:rsid w:val="009D0FE6"/>
    <w:rsid w:val="009D167E"/>
    <w:rsid w:val="009D2232"/>
    <w:rsid w:val="009D3A7D"/>
    <w:rsid w:val="009D4E00"/>
    <w:rsid w:val="009D51BC"/>
    <w:rsid w:val="009D55F1"/>
    <w:rsid w:val="009D5B66"/>
    <w:rsid w:val="009D7094"/>
    <w:rsid w:val="009D70EB"/>
    <w:rsid w:val="009D744A"/>
    <w:rsid w:val="009D789B"/>
    <w:rsid w:val="009E0C7F"/>
    <w:rsid w:val="009E13E0"/>
    <w:rsid w:val="009E188B"/>
    <w:rsid w:val="009E1A14"/>
    <w:rsid w:val="009E2284"/>
    <w:rsid w:val="009E272E"/>
    <w:rsid w:val="009E3386"/>
    <w:rsid w:val="009E4002"/>
    <w:rsid w:val="009E51DF"/>
    <w:rsid w:val="009E53A4"/>
    <w:rsid w:val="009E6235"/>
    <w:rsid w:val="009E64E8"/>
    <w:rsid w:val="009E714E"/>
    <w:rsid w:val="009F0543"/>
    <w:rsid w:val="009F0889"/>
    <w:rsid w:val="009F0AC4"/>
    <w:rsid w:val="009F0B47"/>
    <w:rsid w:val="009F1927"/>
    <w:rsid w:val="009F1C70"/>
    <w:rsid w:val="009F3A71"/>
    <w:rsid w:val="009F4141"/>
    <w:rsid w:val="009F58BE"/>
    <w:rsid w:val="009F5A34"/>
    <w:rsid w:val="009F69BD"/>
    <w:rsid w:val="009F6A0F"/>
    <w:rsid w:val="009F7C69"/>
    <w:rsid w:val="009F7EA6"/>
    <w:rsid w:val="00A00110"/>
    <w:rsid w:val="00A005E6"/>
    <w:rsid w:val="00A008E6"/>
    <w:rsid w:val="00A008F6"/>
    <w:rsid w:val="00A00B76"/>
    <w:rsid w:val="00A00DE3"/>
    <w:rsid w:val="00A010F1"/>
    <w:rsid w:val="00A0132C"/>
    <w:rsid w:val="00A01A15"/>
    <w:rsid w:val="00A01F79"/>
    <w:rsid w:val="00A02DEA"/>
    <w:rsid w:val="00A048A0"/>
    <w:rsid w:val="00A05D93"/>
    <w:rsid w:val="00A07BB4"/>
    <w:rsid w:val="00A07E2E"/>
    <w:rsid w:val="00A12C83"/>
    <w:rsid w:val="00A133AE"/>
    <w:rsid w:val="00A13421"/>
    <w:rsid w:val="00A1585F"/>
    <w:rsid w:val="00A158D4"/>
    <w:rsid w:val="00A16996"/>
    <w:rsid w:val="00A17097"/>
    <w:rsid w:val="00A17BC0"/>
    <w:rsid w:val="00A21444"/>
    <w:rsid w:val="00A21BFA"/>
    <w:rsid w:val="00A21CEA"/>
    <w:rsid w:val="00A2342B"/>
    <w:rsid w:val="00A245A5"/>
    <w:rsid w:val="00A2514C"/>
    <w:rsid w:val="00A25B61"/>
    <w:rsid w:val="00A267A2"/>
    <w:rsid w:val="00A269B3"/>
    <w:rsid w:val="00A26D73"/>
    <w:rsid w:val="00A27066"/>
    <w:rsid w:val="00A307F6"/>
    <w:rsid w:val="00A311FA"/>
    <w:rsid w:val="00A31C57"/>
    <w:rsid w:val="00A31CD9"/>
    <w:rsid w:val="00A329C5"/>
    <w:rsid w:val="00A3400C"/>
    <w:rsid w:val="00A3440B"/>
    <w:rsid w:val="00A34D1B"/>
    <w:rsid w:val="00A34FD3"/>
    <w:rsid w:val="00A35E13"/>
    <w:rsid w:val="00A406B0"/>
    <w:rsid w:val="00A412F0"/>
    <w:rsid w:val="00A41C1F"/>
    <w:rsid w:val="00A4309E"/>
    <w:rsid w:val="00A4438C"/>
    <w:rsid w:val="00A44A73"/>
    <w:rsid w:val="00A44D83"/>
    <w:rsid w:val="00A45485"/>
    <w:rsid w:val="00A46BE0"/>
    <w:rsid w:val="00A47011"/>
    <w:rsid w:val="00A47C4F"/>
    <w:rsid w:val="00A51597"/>
    <w:rsid w:val="00A518FE"/>
    <w:rsid w:val="00A51E07"/>
    <w:rsid w:val="00A52141"/>
    <w:rsid w:val="00A528A4"/>
    <w:rsid w:val="00A543FA"/>
    <w:rsid w:val="00A54E1B"/>
    <w:rsid w:val="00A554BF"/>
    <w:rsid w:val="00A56943"/>
    <w:rsid w:val="00A57820"/>
    <w:rsid w:val="00A60412"/>
    <w:rsid w:val="00A60643"/>
    <w:rsid w:val="00A614B2"/>
    <w:rsid w:val="00A62281"/>
    <w:rsid w:val="00A62EF3"/>
    <w:rsid w:val="00A631A2"/>
    <w:rsid w:val="00A64D50"/>
    <w:rsid w:val="00A652BF"/>
    <w:rsid w:val="00A65391"/>
    <w:rsid w:val="00A659F9"/>
    <w:rsid w:val="00A65ABF"/>
    <w:rsid w:val="00A6653F"/>
    <w:rsid w:val="00A668BD"/>
    <w:rsid w:val="00A67EC4"/>
    <w:rsid w:val="00A70593"/>
    <w:rsid w:val="00A7127E"/>
    <w:rsid w:val="00A71346"/>
    <w:rsid w:val="00A723B8"/>
    <w:rsid w:val="00A72A5A"/>
    <w:rsid w:val="00A72C23"/>
    <w:rsid w:val="00A732BC"/>
    <w:rsid w:val="00A74C80"/>
    <w:rsid w:val="00A75A6A"/>
    <w:rsid w:val="00A75AA0"/>
    <w:rsid w:val="00A75E3A"/>
    <w:rsid w:val="00A769ED"/>
    <w:rsid w:val="00A76A47"/>
    <w:rsid w:val="00A76CBA"/>
    <w:rsid w:val="00A81378"/>
    <w:rsid w:val="00A81DB0"/>
    <w:rsid w:val="00A82DC0"/>
    <w:rsid w:val="00A83947"/>
    <w:rsid w:val="00A83C02"/>
    <w:rsid w:val="00A86801"/>
    <w:rsid w:val="00A8798E"/>
    <w:rsid w:val="00A9012B"/>
    <w:rsid w:val="00A905D9"/>
    <w:rsid w:val="00A9115B"/>
    <w:rsid w:val="00A918A7"/>
    <w:rsid w:val="00A91B44"/>
    <w:rsid w:val="00A91FBC"/>
    <w:rsid w:val="00A92021"/>
    <w:rsid w:val="00A9218E"/>
    <w:rsid w:val="00A934C4"/>
    <w:rsid w:val="00A93D1B"/>
    <w:rsid w:val="00A9411A"/>
    <w:rsid w:val="00A9505E"/>
    <w:rsid w:val="00A9516C"/>
    <w:rsid w:val="00A95218"/>
    <w:rsid w:val="00A95B04"/>
    <w:rsid w:val="00A95D26"/>
    <w:rsid w:val="00A95F16"/>
    <w:rsid w:val="00A96594"/>
    <w:rsid w:val="00A96840"/>
    <w:rsid w:val="00A96C09"/>
    <w:rsid w:val="00A96FE7"/>
    <w:rsid w:val="00A97664"/>
    <w:rsid w:val="00AA0B89"/>
    <w:rsid w:val="00AA1F66"/>
    <w:rsid w:val="00AA2158"/>
    <w:rsid w:val="00AA2DD6"/>
    <w:rsid w:val="00AA37F0"/>
    <w:rsid w:val="00AA4D40"/>
    <w:rsid w:val="00AA5A65"/>
    <w:rsid w:val="00AA5F0B"/>
    <w:rsid w:val="00AA6FBF"/>
    <w:rsid w:val="00AA705F"/>
    <w:rsid w:val="00AA7F82"/>
    <w:rsid w:val="00AB0ED9"/>
    <w:rsid w:val="00AB1134"/>
    <w:rsid w:val="00AB203E"/>
    <w:rsid w:val="00AB2566"/>
    <w:rsid w:val="00AB2696"/>
    <w:rsid w:val="00AB286E"/>
    <w:rsid w:val="00AB55FF"/>
    <w:rsid w:val="00AB583E"/>
    <w:rsid w:val="00AB58BE"/>
    <w:rsid w:val="00AB5A9D"/>
    <w:rsid w:val="00AB61B1"/>
    <w:rsid w:val="00AB6855"/>
    <w:rsid w:val="00AB687E"/>
    <w:rsid w:val="00AB6B14"/>
    <w:rsid w:val="00AB6E57"/>
    <w:rsid w:val="00AB7D98"/>
    <w:rsid w:val="00AC0A35"/>
    <w:rsid w:val="00AC0AF5"/>
    <w:rsid w:val="00AC145E"/>
    <w:rsid w:val="00AC18E4"/>
    <w:rsid w:val="00AC1C05"/>
    <w:rsid w:val="00AC1E55"/>
    <w:rsid w:val="00AC2196"/>
    <w:rsid w:val="00AC290D"/>
    <w:rsid w:val="00AC2A59"/>
    <w:rsid w:val="00AC2B59"/>
    <w:rsid w:val="00AC2CDC"/>
    <w:rsid w:val="00AC38EC"/>
    <w:rsid w:val="00AC3D3C"/>
    <w:rsid w:val="00AC3EE5"/>
    <w:rsid w:val="00AC40BC"/>
    <w:rsid w:val="00AC41A0"/>
    <w:rsid w:val="00AC5304"/>
    <w:rsid w:val="00AC5A0C"/>
    <w:rsid w:val="00AC5DC7"/>
    <w:rsid w:val="00AD060A"/>
    <w:rsid w:val="00AD0F0A"/>
    <w:rsid w:val="00AD15A0"/>
    <w:rsid w:val="00AD1B00"/>
    <w:rsid w:val="00AD2E79"/>
    <w:rsid w:val="00AD4142"/>
    <w:rsid w:val="00AD4200"/>
    <w:rsid w:val="00AD4396"/>
    <w:rsid w:val="00AD462C"/>
    <w:rsid w:val="00AD5237"/>
    <w:rsid w:val="00AD5A1D"/>
    <w:rsid w:val="00AD6CB5"/>
    <w:rsid w:val="00AD7089"/>
    <w:rsid w:val="00AD7545"/>
    <w:rsid w:val="00AD7805"/>
    <w:rsid w:val="00AE0A82"/>
    <w:rsid w:val="00AE0C6D"/>
    <w:rsid w:val="00AE1B24"/>
    <w:rsid w:val="00AE253C"/>
    <w:rsid w:val="00AE39E1"/>
    <w:rsid w:val="00AE451B"/>
    <w:rsid w:val="00AE4836"/>
    <w:rsid w:val="00AE4BD2"/>
    <w:rsid w:val="00AE56D4"/>
    <w:rsid w:val="00AE6C17"/>
    <w:rsid w:val="00AE6E7B"/>
    <w:rsid w:val="00AF080A"/>
    <w:rsid w:val="00AF0832"/>
    <w:rsid w:val="00AF3516"/>
    <w:rsid w:val="00AF44AA"/>
    <w:rsid w:val="00AF4C32"/>
    <w:rsid w:val="00AF4E2B"/>
    <w:rsid w:val="00AF4E83"/>
    <w:rsid w:val="00AF5AC8"/>
    <w:rsid w:val="00AF5FBF"/>
    <w:rsid w:val="00AF69FB"/>
    <w:rsid w:val="00B00B2A"/>
    <w:rsid w:val="00B016AD"/>
    <w:rsid w:val="00B023FB"/>
    <w:rsid w:val="00B02909"/>
    <w:rsid w:val="00B02F45"/>
    <w:rsid w:val="00B05561"/>
    <w:rsid w:val="00B058C2"/>
    <w:rsid w:val="00B05CC3"/>
    <w:rsid w:val="00B05FFD"/>
    <w:rsid w:val="00B06C48"/>
    <w:rsid w:val="00B06FAA"/>
    <w:rsid w:val="00B07462"/>
    <w:rsid w:val="00B105D3"/>
    <w:rsid w:val="00B10BD8"/>
    <w:rsid w:val="00B10CF4"/>
    <w:rsid w:val="00B10E0D"/>
    <w:rsid w:val="00B119CE"/>
    <w:rsid w:val="00B1213E"/>
    <w:rsid w:val="00B1350A"/>
    <w:rsid w:val="00B13935"/>
    <w:rsid w:val="00B13A74"/>
    <w:rsid w:val="00B13CBD"/>
    <w:rsid w:val="00B145F2"/>
    <w:rsid w:val="00B147E3"/>
    <w:rsid w:val="00B14836"/>
    <w:rsid w:val="00B159B8"/>
    <w:rsid w:val="00B17DD2"/>
    <w:rsid w:val="00B17E49"/>
    <w:rsid w:val="00B2045F"/>
    <w:rsid w:val="00B215BF"/>
    <w:rsid w:val="00B21608"/>
    <w:rsid w:val="00B21DC8"/>
    <w:rsid w:val="00B22418"/>
    <w:rsid w:val="00B22B9F"/>
    <w:rsid w:val="00B23544"/>
    <w:rsid w:val="00B23626"/>
    <w:rsid w:val="00B23A59"/>
    <w:rsid w:val="00B23E6B"/>
    <w:rsid w:val="00B24221"/>
    <w:rsid w:val="00B24753"/>
    <w:rsid w:val="00B2577E"/>
    <w:rsid w:val="00B25C8C"/>
    <w:rsid w:val="00B26C4F"/>
    <w:rsid w:val="00B26DC1"/>
    <w:rsid w:val="00B3001D"/>
    <w:rsid w:val="00B305CB"/>
    <w:rsid w:val="00B309E7"/>
    <w:rsid w:val="00B30AE4"/>
    <w:rsid w:val="00B32CE9"/>
    <w:rsid w:val="00B32F96"/>
    <w:rsid w:val="00B3363C"/>
    <w:rsid w:val="00B33DCC"/>
    <w:rsid w:val="00B33ECB"/>
    <w:rsid w:val="00B360F2"/>
    <w:rsid w:val="00B36D4A"/>
    <w:rsid w:val="00B4180F"/>
    <w:rsid w:val="00B41DCB"/>
    <w:rsid w:val="00B42344"/>
    <w:rsid w:val="00B43125"/>
    <w:rsid w:val="00B43952"/>
    <w:rsid w:val="00B43A69"/>
    <w:rsid w:val="00B44A3C"/>
    <w:rsid w:val="00B44EF8"/>
    <w:rsid w:val="00B450B6"/>
    <w:rsid w:val="00B4673C"/>
    <w:rsid w:val="00B5006D"/>
    <w:rsid w:val="00B5013D"/>
    <w:rsid w:val="00B5018B"/>
    <w:rsid w:val="00B50CE7"/>
    <w:rsid w:val="00B50FD4"/>
    <w:rsid w:val="00B51470"/>
    <w:rsid w:val="00B51808"/>
    <w:rsid w:val="00B51E2C"/>
    <w:rsid w:val="00B534B4"/>
    <w:rsid w:val="00B53DFC"/>
    <w:rsid w:val="00B54264"/>
    <w:rsid w:val="00B54452"/>
    <w:rsid w:val="00B54BF1"/>
    <w:rsid w:val="00B55CC6"/>
    <w:rsid w:val="00B56736"/>
    <w:rsid w:val="00B56ECE"/>
    <w:rsid w:val="00B56FBF"/>
    <w:rsid w:val="00B57B42"/>
    <w:rsid w:val="00B60969"/>
    <w:rsid w:val="00B61D4E"/>
    <w:rsid w:val="00B61DAA"/>
    <w:rsid w:val="00B62A0F"/>
    <w:rsid w:val="00B63D53"/>
    <w:rsid w:val="00B64239"/>
    <w:rsid w:val="00B64324"/>
    <w:rsid w:val="00B6596F"/>
    <w:rsid w:val="00B6676F"/>
    <w:rsid w:val="00B70082"/>
    <w:rsid w:val="00B70523"/>
    <w:rsid w:val="00B70A45"/>
    <w:rsid w:val="00B7136C"/>
    <w:rsid w:val="00B71A71"/>
    <w:rsid w:val="00B72741"/>
    <w:rsid w:val="00B746ED"/>
    <w:rsid w:val="00B74924"/>
    <w:rsid w:val="00B75996"/>
    <w:rsid w:val="00B767A4"/>
    <w:rsid w:val="00B7741B"/>
    <w:rsid w:val="00B77EDF"/>
    <w:rsid w:val="00B80BCD"/>
    <w:rsid w:val="00B810EF"/>
    <w:rsid w:val="00B81862"/>
    <w:rsid w:val="00B818B4"/>
    <w:rsid w:val="00B820BA"/>
    <w:rsid w:val="00B82A65"/>
    <w:rsid w:val="00B835E3"/>
    <w:rsid w:val="00B83764"/>
    <w:rsid w:val="00B839C3"/>
    <w:rsid w:val="00B84002"/>
    <w:rsid w:val="00B84004"/>
    <w:rsid w:val="00B84D42"/>
    <w:rsid w:val="00B856FB"/>
    <w:rsid w:val="00B85BD8"/>
    <w:rsid w:val="00B85BEA"/>
    <w:rsid w:val="00B87226"/>
    <w:rsid w:val="00B922B2"/>
    <w:rsid w:val="00B92326"/>
    <w:rsid w:val="00B92400"/>
    <w:rsid w:val="00B92EF2"/>
    <w:rsid w:val="00B92F75"/>
    <w:rsid w:val="00B9562B"/>
    <w:rsid w:val="00B95C8F"/>
    <w:rsid w:val="00B96406"/>
    <w:rsid w:val="00B9646A"/>
    <w:rsid w:val="00B972F6"/>
    <w:rsid w:val="00B9781B"/>
    <w:rsid w:val="00B97B65"/>
    <w:rsid w:val="00B97CA5"/>
    <w:rsid w:val="00BA1B4E"/>
    <w:rsid w:val="00BA2980"/>
    <w:rsid w:val="00BA37B8"/>
    <w:rsid w:val="00BA3D8E"/>
    <w:rsid w:val="00BA4854"/>
    <w:rsid w:val="00BA4ADB"/>
    <w:rsid w:val="00BA5122"/>
    <w:rsid w:val="00BA5BFF"/>
    <w:rsid w:val="00BA5DC1"/>
    <w:rsid w:val="00BA61BD"/>
    <w:rsid w:val="00BA66D7"/>
    <w:rsid w:val="00BA68AA"/>
    <w:rsid w:val="00BA7BCB"/>
    <w:rsid w:val="00BA7CD0"/>
    <w:rsid w:val="00BB04DC"/>
    <w:rsid w:val="00BB1043"/>
    <w:rsid w:val="00BB1526"/>
    <w:rsid w:val="00BB154A"/>
    <w:rsid w:val="00BB17CC"/>
    <w:rsid w:val="00BB1AA0"/>
    <w:rsid w:val="00BB2D95"/>
    <w:rsid w:val="00BB3196"/>
    <w:rsid w:val="00BB3788"/>
    <w:rsid w:val="00BB38C3"/>
    <w:rsid w:val="00BB3A9F"/>
    <w:rsid w:val="00BB3AA1"/>
    <w:rsid w:val="00BB3D4D"/>
    <w:rsid w:val="00BB422C"/>
    <w:rsid w:val="00BB6525"/>
    <w:rsid w:val="00BB67E8"/>
    <w:rsid w:val="00BB79E5"/>
    <w:rsid w:val="00BB7A35"/>
    <w:rsid w:val="00BC0BF7"/>
    <w:rsid w:val="00BC0ED5"/>
    <w:rsid w:val="00BC1D24"/>
    <w:rsid w:val="00BC1E8D"/>
    <w:rsid w:val="00BC2697"/>
    <w:rsid w:val="00BC29E9"/>
    <w:rsid w:val="00BC3007"/>
    <w:rsid w:val="00BC330E"/>
    <w:rsid w:val="00BC354D"/>
    <w:rsid w:val="00BC394B"/>
    <w:rsid w:val="00BC535A"/>
    <w:rsid w:val="00BC5893"/>
    <w:rsid w:val="00BC5E3B"/>
    <w:rsid w:val="00BC6674"/>
    <w:rsid w:val="00BD0896"/>
    <w:rsid w:val="00BD141C"/>
    <w:rsid w:val="00BD171D"/>
    <w:rsid w:val="00BD1D90"/>
    <w:rsid w:val="00BD25DD"/>
    <w:rsid w:val="00BD37B8"/>
    <w:rsid w:val="00BD3F5E"/>
    <w:rsid w:val="00BD4E46"/>
    <w:rsid w:val="00BD5223"/>
    <w:rsid w:val="00BD5399"/>
    <w:rsid w:val="00BD57F5"/>
    <w:rsid w:val="00BD5F8B"/>
    <w:rsid w:val="00BD7890"/>
    <w:rsid w:val="00BE0518"/>
    <w:rsid w:val="00BE07B3"/>
    <w:rsid w:val="00BE0B7E"/>
    <w:rsid w:val="00BE215C"/>
    <w:rsid w:val="00BE281D"/>
    <w:rsid w:val="00BE30B9"/>
    <w:rsid w:val="00BE48A4"/>
    <w:rsid w:val="00BE4915"/>
    <w:rsid w:val="00BE56F0"/>
    <w:rsid w:val="00BE5D42"/>
    <w:rsid w:val="00BE6467"/>
    <w:rsid w:val="00BE6CB4"/>
    <w:rsid w:val="00BE7310"/>
    <w:rsid w:val="00BF02AC"/>
    <w:rsid w:val="00BF03DB"/>
    <w:rsid w:val="00BF078C"/>
    <w:rsid w:val="00BF0C4D"/>
    <w:rsid w:val="00BF0D47"/>
    <w:rsid w:val="00BF17B9"/>
    <w:rsid w:val="00BF1C96"/>
    <w:rsid w:val="00BF1ED6"/>
    <w:rsid w:val="00BF261A"/>
    <w:rsid w:val="00BF2FB3"/>
    <w:rsid w:val="00BF33FE"/>
    <w:rsid w:val="00BF3C14"/>
    <w:rsid w:val="00BF4E91"/>
    <w:rsid w:val="00BF5190"/>
    <w:rsid w:val="00BF56CC"/>
    <w:rsid w:val="00BF5A50"/>
    <w:rsid w:val="00BF5F61"/>
    <w:rsid w:val="00BF627D"/>
    <w:rsid w:val="00BF6B7E"/>
    <w:rsid w:val="00BF7165"/>
    <w:rsid w:val="00BF7349"/>
    <w:rsid w:val="00BF746E"/>
    <w:rsid w:val="00BF77CA"/>
    <w:rsid w:val="00C008DF"/>
    <w:rsid w:val="00C01564"/>
    <w:rsid w:val="00C01B0A"/>
    <w:rsid w:val="00C01C17"/>
    <w:rsid w:val="00C02D3F"/>
    <w:rsid w:val="00C02D55"/>
    <w:rsid w:val="00C03CDB"/>
    <w:rsid w:val="00C0443C"/>
    <w:rsid w:val="00C0603B"/>
    <w:rsid w:val="00C066BA"/>
    <w:rsid w:val="00C066CF"/>
    <w:rsid w:val="00C11C6F"/>
    <w:rsid w:val="00C1252D"/>
    <w:rsid w:val="00C12C36"/>
    <w:rsid w:val="00C12D35"/>
    <w:rsid w:val="00C12EAB"/>
    <w:rsid w:val="00C1330C"/>
    <w:rsid w:val="00C13746"/>
    <w:rsid w:val="00C1405D"/>
    <w:rsid w:val="00C14FA5"/>
    <w:rsid w:val="00C14FDB"/>
    <w:rsid w:val="00C1585C"/>
    <w:rsid w:val="00C1588B"/>
    <w:rsid w:val="00C1647B"/>
    <w:rsid w:val="00C165ED"/>
    <w:rsid w:val="00C165F4"/>
    <w:rsid w:val="00C17807"/>
    <w:rsid w:val="00C17A54"/>
    <w:rsid w:val="00C22022"/>
    <w:rsid w:val="00C22088"/>
    <w:rsid w:val="00C2276D"/>
    <w:rsid w:val="00C2298C"/>
    <w:rsid w:val="00C2307F"/>
    <w:rsid w:val="00C23425"/>
    <w:rsid w:val="00C23611"/>
    <w:rsid w:val="00C2365F"/>
    <w:rsid w:val="00C2371A"/>
    <w:rsid w:val="00C245E0"/>
    <w:rsid w:val="00C25D92"/>
    <w:rsid w:val="00C264AE"/>
    <w:rsid w:val="00C2693C"/>
    <w:rsid w:val="00C27A02"/>
    <w:rsid w:val="00C31252"/>
    <w:rsid w:val="00C318AD"/>
    <w:rsid w:val="00C3315B"/>
    <w:rsid w:val="00C332B2"/>
    <w:rsid w:val="00C33CD4"/>
    <w:rsid w:val="00C34227"/>
    <w:rsid w:val="00C346CC"/>
    <w:rsid w:val="00C3544E"/>
    <w:rsid w:val="00C36EEA"/>
    <w:rsid w:val="00C37929"/>
    <w:rsid w:val="00C409C0"/>
    <w:rsid w:val="00C40EE2"/>
    <w:rsid w:val="00C41110"/>
    <w:rsid w:val="00C4209C"/>
    <w:rsid w:val="00C42C16"/>
    <w:rsid w:val="00C44076"/>
    <w:rsid w:val="00C44F94"/>
    <w:rsid w:val="00C45EDD"/>
    <w:rsid w:val="00C4602E"/>
    <w:rsid w:val="00C46578"/>
    <w:rsid w:val="00C46607"/>
    <w:rsid w:val="00C466C0"/>
    <w:rsid w:val="00C46C4F"/>
    <w:rsid w:val="00C47620"/>
    <w:rsid w:val="00C50322"/>
    <w:rsid w:val="00C519F6"/>
    <w:rsid w:val="00C5293B"/>
    <w:rsid w:val="00C53068"/>
    <w:rsid w:val="00C53198"/>
    <w:rsid w:val="00C5434A"/>
    <w:rsid w:val="00C5477A"/>
    <w:rsid w:val="00C55E1E"/>
    <w:rsid w:val="00C56C5F"/>
    <w:rsid w:val="00C56E3A"/>
    <w:rsid w:val="00C57425"/>
    <w:rsid w:val="00C61A82"/>
    <w:rsid w:val="00C61D37"/>
    <w:rsid w:val="00C62166"/>
    <w:rsid w:val="00C63F40"/>
    <w:rsid w:val="00C6448C"/>
    <w:rsid w:val="00C65612"/>
    <w:rsid w:val="00C6631F"/>
    <w:rsid w:val="00C67F52"/>
    <w:rsid w:val="00C703C1"/>
    <w:rsid w:val="00C70947"/>
    <w:rsid w:val="00C70AFF"/>
    <w:rsid w:val="00C70CF9"/>
    <w:rsid w:val="00C70DA5"/>
    <w:rsid w:val="00C720FF"/>
    <w:rsid w:val="00C723E6"/>
    <w:rsid w:val="00C72948"/>
    <w:rsid w:val="00C731A3"/>
    <w:rsid w:val="00C73497"/>
    <w:rsid w:val="00C73762"/>
    <w:rsid w:val="00C7379D"/>
    <w:rsid w:val="00C77ED5"/>
    <w:rsid w:val="00C81BA0"/>
    <w:rsid w:val="00C83388"/>
    <w:rsid w:val="00C83D33"/>
    <w:rsid w:val="00C848F1"/>
    <w:rsid w:val="00C84BDF"/>
    <w:rsid w:val="00C874CD"/>
    <w:rsid w:val="00C8754D"/>
    <w:rsid w:val="00C9016A"/>
    <w:rsid w:val="00C90651"/>
    <w:rsid w:val="00C9132E"/>
    <w:rsid w:val="00C91B00"/>
    <w:rsid w:val="00C9253D"/>
    <w:rsid w:val="00C92693"/>
    <w:rsid w:val="00C942A5"/>
    <w:rsid w:val="00C94855"/>
    <w:rsid w:val="00C94B7D"/>
    <w:rsid w:val="00C94D11"/>
    <w:rsid w:val="00C95ECB"/>
    <w:rsid w:val="00C969DC"/>
    <w:rsid w:val="00C9759B"/>
    <w:rsid w:val="00C976F9"/>
    <w:rsid w:val="00CA02D1"/>
    <w:rsid w:val="00CA086E"/>
    <w:rsid w:val="00CA3925"/>
    <w:rsid w:val="00CA39D3"/>
    <w:rsid w:val="00CA3B0F"/>
    <w:rsid w:val="00CA4CFB"/>
    <w:rsid w:val="00CA531A"/>
    <w:rsid w:val="00CA59A4"/>
    <w:rsid w:val="00CA6B57"/>
    <w:rsid w:val="00CA7025"/>
    <w:rsid w:val="00CA72F2"/>
    <w:rsid w:val="00CA75F7"/>
    <w:rsid w:val="00CA7CE5"/>
    <w:rsid w:val="00CB11F0"/>
    <w:rsid w:val="00CB182D"/>
    <w:rsid w:val="00CB1E1C"/>
    <w:rsid w:val="00CB249F"/>
    <w:rsid w:val="00CB2D37"/>
    <w:rsid w:val="00CB3197"/>
    <w:rsid w:val="00CB44FA"/>
    <w:rsid w:val="00CB4E08"/>
    <w:rsid w:val="00CB7594"/>
    <w:rsid w:val="00CB7E98"/>
    <w:rsid w:val="00CC0679"/>
    <w:rsid w:val="00CC0682"/>
    <w:rsid w:val="00CC0825"/>
    <w:rsid w:val="00CC0998"/>
    <w:rsid w:val="00CC1CC3"/>
    <w:rsid w:val="00CC1F7D"/>
    <w:rsid w:val="00CC2101"/>
    <w:rsid w:val="00CC2458"/>
    <w:rsid w:val="00CC2B26"/>
    <w:rsid w:val="00CC35CF"/>
    <w:rsid w:val="00CC3E42"/>
    <w:rsid w:val="00CC43D6"/>
    <w:rsid w:val="00CC5294"/>
    <w:rsid w:val="00CC52FF"/>
    <w:rsid w:val="00CC595C"/>
    <w:rsid w:val="00CC6110"/>
    <w:rsid w:val="00CC6D68"/>
    <w:rsid w:val="00CD17DB"/>
    <w:rsid w:val="00CD192D"/>
    <w:rsid w:val="00CD315F"/>
    <w:rsid w:val="00CD3619"/>
    <w:rsid w:val="00CD3644"/>
    <w:rsid w:val="00CD371A"/>
    <w:rsid w:val="00CD3A2D"/>
    <w:rsid w:val="00CD3C15"/>
    <w:rsid w:val="00CD4319"/>
    <w:rsid w:val="00CD4491"/>
    <w:rsid w:val="00CD5107"/>
    <w:rsid w:val="00CD6576"/>
    <w:rsid w:val="00CD6905"/>
    <w:rsid w:val="00CD6F00"/>
    <w:rsid w:val="00CD7EE1"/>
    <w:rsid w:val="00CE0AEF"/>
    <w:rsid w:val="00CE0C0F"/>
    <w:rsid w:val="00CE1D49"/>
    <w:rsid w:val="00CE2430"/>
    <w:rsid w:val="00CE29CF"/>
    <w:rsid w:val="00CE55CD"/>
    <w:rsid w:val="00CE5DC0"/>
    <w:rsid w:val="00CE6241"/>
    <w:rsid w:val="00CE6785"/>
    <w:rsid w:val="00CE683E"/>
    <w:rsid w:val="00CE6BBC"/>
    <w:rsid w:val="00CE77D4"/>
    <w:rsid w:val="00CF0DE3"/>
    <w:rsid w:val="00CF0F15"/>
    <w:rsid w:val="00CF1E52"/>
    <w:rsid w:val="00CF1FC3"/>
    <w:rsid w:val="00CF214E"/>
    <w:rsid w:val="00CF2AC8"/>
    <w:rsid w:val="00CF330A"/>
    <w:rsid w:val="00CF458A"/>
    <w:rsid w:val="00CF45F9"/>
    <w:rsid w:val="00CF4A35"/>
    <w:rsid w:val="00CF4B28"/>
    <w:rsid w:val="00CF6B45"/>
    <w:rsid w:val="00D009D9"/>
    <w:rsid w:val="00D00A38"/>
    <w:rsid w:val="00D00FBD"/>
    <w:rsid w:val="00D026FD"/>
    <w:rsid w:val="00D03799"/>
    <w:rsid w:val="00D03B15"/>
    <w:rsid w:val="00D04E61"/>
    <w:rsid w:val="00D04FA0"/>
    <w:rsid w:val="00D05DD1"/>
    <w:rsid w:val="00D071C1"/>
    <w:rsid w:val="00D07372"/>
    <w:rsid w:val="00D10635"/>
    <w:rsid w:val="00D10D88"/>
    <w:rsid w:val="00D10E3F"/>
    <w:rsid w:val="00D1174C"/>
    <w:rsid w:val="00D121C6"/>
    <w:rsid w:val="00D1272F"/>
    <w:rsid w:val="00D128DD"/>
    <w:rsid w:val="00D12F00"/>
    <w:rsid w:val="00D1396E"/>
    <w:rsid w:val="00D13B33"/>
    <w:rsid w:val="00D14405"/>
    <w:rsid w:val="00D15605"/>
    <w:rsid w:val="00D15A37"/>
    <w:rsid w:val="00D16749"/>
    <w:rsid w:val="00D176EA"/>
    <w:rsid w:val="00D179CE"/>
    <w:rsid w:val="00D202A1"/>
    <w:rsid w:val="00D20BBF"/>
    <w:rsid w:val="00D20F67"/>
    <w:rsid w:val="00D2162A"/>
    <w:rsid w:val="00D21D9E"/>
    <w:rsid w:val="00D224A8"/>
    <w:rsid w:val="00D22740"/>
    <w:rsid w:val="00D22F24"/>
    <w:rsid w:val="00D23ADC"/>
    <w:rsid w:val="00D240B9"/>
    <w:rsid w:val="00D243BD"/>
    <w:rsid w:val="00D24CE3"/>
    <w:rsid w:val="00D24FF4"/>
    <w:rsid w:val="00D25EE5"/>
    <w:rsid w:val="00D2604A"/>
    <w:rsid w:val="00D2655F"/>
    <w:rsid w:val="00D27CDE"/>
    <w:rsid w:val="00D30ABB"/>
    <w:rsid w:val="00D3226B"/>
    <w:rsid w:val="00D32398"/>
    <w:rsid w:val="00D325E7"/>
    <w:rsid w:val="00D32D1A"/>
    <w:rsid w:val="00D33677"/>
    <w:rsid w:val="00D33C6C"/>
    <w:rsid w:val="00D33C94"/>
    <w:rsid w:val="00D33EC5"/>
    <w:rsid w:val="00D34869"/>
    <w:rsid w:val="00D34943"/>
    <w:rsid w:val="00D356D0"/>
    <w:rsid w:val="00D3668C"/>
    <w:rsid w:val="00D37558"/>
    <w:rsid w:val="00D3784A"/>
    <w:rsid w:val="00D37F59"/>
    <w:rsid w:val="00D40300"/>
    <w:rsid w:val="00D411BC"/>
    <w:rsid w:val="00D41370"/>
    <w:rsid w:val="00D4151F"/>
    <w:rsid w:val="00D41AAF"/>
    <w:rsid w:val="00D41ED8"/>
    <w:rsid w:val="00D42AD4"/>
    <w:rsid w:val="00D444E9"/>
    <w:rsid w:val="00D44E94"/>
    <w:rsid w:val="00D45040"/>
    <w:rsid w:val="00D45D2A"/>
    <w:rsid w:val="00D46914"/>
    <w:rsid w:val="00D500C1"/>
    <w:rsid w:val="00D503AE"/>
    <w:rsid w:val="00D50CD2"/>
    <w:rsid w:val="00D524C8"/>
    <w:rsid w:val="00D525B8"/>
    <w:rsid w:val="00D52C43"/>
    <w:rsid w:val="00D53417"/>
    <w:rsid w:val="00D5353C"/>
    <w:rsid w:val="00D56109"/>
    <w:rsid w:val="00D56B80"/>
    <w:rsid w:val="00D5747C"/>
    <w:rsid w:val="00D611BB"/>
    <w:rsid w:val="00D615F0"/>
    <w:rsid w:val="00D616DF"/>
    <w:rsid w:val="00D619F7"/>
    <w:rsid w:val="00D61F71"/>
    <w:rsid w:val="00D62B8C"/>
    <w:rsid w:val="00D62EE6"/>
    <w:rsid w:val="00D63752"/>
    <w:rsid w:val="00D63D1E"/>
    <w:rsid w:val="00D64825"/>
    <w:rsid w:val="00D6501F"/>
    <w:rsid w:val="00D65392"/>
    <w:rsid w:val="00D66D89"/>
    <w:rsid w:val="00D670AA"/>
    <w:rsid w:val="00D70C6B"/>
    <w:rsid w:val="00D7153D"/>
    <w:rsid w:val="00D719C8"/>
    <w:rsid w:val="00D727B1"/>
    <w:rsid w:val="00D72856"/>
    <w:rsid w:val="00D7314F"/>
    <w:rsid w:val="00D73D4A"/>
    <w:rsid w:val="00D74AFB"/>
    <w:rsid w:val="00D76874"/>
    <w:rsid w:val="00D776FB"/>
    <w:rsid w:val="00D808F0"/>
    <w:rsid w:val="00D826E3"/>
    <w:rsid w:val="00D82F07"/>
    <w:rsid w:val="00D832E3"/>
    <w:rsid w:val="00D8350B"/>
    <w:rsid w:val="00D83BC3"/>
    <w:rsid w:val="00D83F42"/>
    <w:rsid w:val="00D84122"/>
    <w:rsid w:val="00D841AA"/>
    <w:rsid w:val="00D84FB8"/>
    <w:rsid w:val="00D854B8"/>
    <w:rsid w:val="00D8557D"/>
    <w:rsid w:val="00D85EFA"/>
    <w:rsid w:val="00D86209"/>
    <w:rsid w:val="00D86466"/>
    <w:rsid w:val="00D90C71"/>
    <w:rsid w:val="00D91024"/>
    <w:rsid w:val="00D91D15"/>
    <w:rsid w:val="00D91E5A"/>
    <w:rsid w:val="00D925C0"/>
    <w:rsid w:val="00D92715"/>
    <w:rsid w:val="00D92B89"/>
    <w:rsid w:val="00D92C7E"/>
    <w:rsid w:val="00D96566"/>
    <w:rsid w:val="00D9658E"/>
    <w:rsid w:val="00D9695E"/>
    <w:rsid w:val="00D970C4"/>
    <w:rsid w:val="00D9742B"/>
    <w:rsid w:val="00DA0124"/>
    <w:rsid w:val="00DA0B3C"/>
    <w:rsid w:val="00DA13A6"/>
    <w:rsid w:val="00DA18A2"/>
    <w:rsid w:val="00DA1BB0"/>
    <w:rsid w:val="00DA2075"/>
    <w:rsid w:val="00DA2EC4"/>
    <w:rsid w:val="00DA352B"/>
    <w:rsid w:val="00DA3560"/>
    <w:rsid w:val="00DA39EA"/>
    <w:rsid w:val="00DA3A5C"/>
    <w:rsid w:val="00DA3BBC"/>
    <w:rsid w:val="00DA3E94"/>
    <w:rsid w:val="00DA40A5"/>
    <w:rsid w:val="00DA66AA"/>
    <w:rsid w:val="00DA7C06"/>
    <w:rsid w:val="00DB00C8"/>
    <w:rsid w:val="00DB0B3F"/>
    <w:rsid w:val="00DB0C0D"/>
    <w:rsid w:val="00DB4DD3"/>
    <w:rsid w:val="00DB5248"/>
    <w:rsid w:val="00DB54F5"/>
    <w:rsid w:val="00DB5B0F"/>
    <w:rsid w:val="00DB5C22"/>
    <w:rsid w:val="00DB6C76"/>
    <w:rsid w:val="00DB7411"/>
    <w:rsid w:val="00DB75CD"/>
    <w:rsid w:val="00DB79D0"/>
    <w:rsid w:val="00DC03AF"/>
    <w:rsid w:val="00DC09D5"/>
    <w:rsid w:val="00DC2E11"/>
    <w:rsid w:val="00DC2F83"/>
    <w:rsid w:val="00DC4F5B"/>
    <w:rsid w:val="00DC56CA"/>
    <w:rsid w:val="00DC5BC3"/>
    <w:rsid w:val="00DC5F34"/>
    <w:rsid w:val="00DC6869"/>
    <w:rsid w:val="00DC6CF7"/>
    <w:rsid w:val="00DC71F2"/>
    <w:rsid w:val="00DD051D"/>
    <w:rsid w:val="00DD1329"/>
    <w:rsid w:val="00DD1D15"/>
    <w:rsid w:val="00DD1DE9"/>
    <w:rsid w:val="00DD24D5"/>
    <w:rsid w:val="00DD3286"/>
    <w:rsid w:val="00DD3605"/>
    <w:rsid w:val="00DD4880"/>
    <w:rsid w:val="00DD615D"/>
    <w:rsid w:val="00DD77EB"/>
    <w:rsid w:val="00DE039B"/>
    <w:rsid w:val="00DE052A"/>
    <w:rsid w:val="00DE0F0F"/>
    <w:rsid w:val="00DE100B"/>
    <w:rsid w:val="00DE1929"/>
    <w:rsid w:val="00DE1E34"/>
    <w:rsid w:val="00DE2152"/>
    <w:rsid w:val="00DE241F"/>
    <w:rsid w:val="00DE2A3D"/>
    <w:rsid w:val="00DE2BE5"/>
    <w:rsid w:val="00DE2C0E"/>
    <w:rsid w:val="00DE40B6"/>
    <w:rsid w:val="00DE4245"/>
    <w:rsid w:val="00DE5026"/>
    <w:rsid w:val="00DE5188"/>
    <w:rsid w:val="00DE5B6D"/>
    <w:rsid w:val="00DE5CD4"/>
    <w:rsid w:val="00DE5E00"/>
    <w:rsid w:val="00DE5ED3"/>
    <w:rsid w:val="00DE6129"/>
    <w:rsid w:val="00DE78A9"/>
    <w:rsid w:val="00DF2806"/>
    <w:rsid w:val="00DF2F8D"/>
    <w:rsid w:val="00DF32D6"/>
    <w:rsid w:val="00DF497F"/>
    <w:rsid w:val="00DF4DAC"/>
    <w:rsid w:val="00DF5160"/>
    <w:rsid w:val="00DF5A87"/>
    <w:rsid w:val="00DF5C5B"/>
    <w:rsid w:val="00DF6127"/>
    <w:rsid w:val="00DF6C57"/>
    <w:rsid w:val="00DF7ACA"/>
    <w:rsid w:val="00E0016C"/>
    <w:rsid w:val="00E002A9"/>
    <w:rsid w:val="00E01DA2"/>
    <w:rsid w:val="00E01F34"/>
    <w:rsid w:val="00E023F6"/>
    <w:rsid w:val="00E0267E"/>
    <w:rsid w:val="00E02B72"/>
    <w:rsid w:val="00E030BE"/>
    <w:rsid w:val="00E0310D"/>
    <w:rsid w:val="00E035B5"/>
    <w:rsid w:val="00E046D4"/>
    <w:rsid w:val="00E04A5E"/>
    <w:rsid w:val="00E0576D"/>
    <w:rsid w:val="00E05FA4"/>
    <w:rsid w:val="00E069E3"/>
    <w:rsid w:val="00E073DD"/>
    <w:rsid w:val="00E07A10"/>
    <w:rsid w:val="00E10031"/>
    <w:rsid w:val="00E100E9"/>
    <w:rsid w:val="00E10FB0"/>
    <w:rsid w:val="00E11682"/>
    <w:rsid w:val="00E11A0B"/>
    <w:rsid w:val="00E12458"/>
    <w:rsid w:val="00E13603"/>
    <w:rsid w:val="00E13C88"/>
    <w:rsid w:val="00E14569"/>
    <w:rsid w:val="00E149D2"/>
    <w:rsid w:val="00E14D74"/>
    <w:rsid w:val="00E155C1"/>
    <w:rsid w:val="00E15728"/>
    <w:rsid w:val="00E158C7"/>
    <w:rsid w:val="00E15BBF"/>
    <w:rsid w:val="00E15E8D"/>
    <w:rsid w:val="00E1741C"/>
    <w:rsid w:val="00E1782D"/>
    <w:rsid w:val="00E17CDB"/>
    <w:rsid w:val="00E17D2D"/>
    <w:rsid w:val="00E21038"/>
    <w:rsid w:val="00E21122"/>
    <w:rsid w:val="00E2134B"/>
    <w:rsid w:val="00E219F2"/>
    <w:rsid w:val="00E224F4"/>
    <w:rsid w:val="00E2266D"/>
    <w:rsid w:val="00E23DED"/>
    <w:rsid w:val="00E25854"/>
    <w:rsid w:val="00E2753F"/>
    <w:rsid w:val="00E30AD3"/>
    <w:rsid w:val="00E31AE5"/>
    <w:rsid w:val="00E329DF"/>
    <w:rsid w:val="00E33FC8"/>
    <w:rsid w:val="00E356D9"/>
    <w:rsid w:val="00E35EDD"/>
    <w:rsid w:val="00E366A0"/>
    <w:rsid w:val="00E372C0"/>
    <w:rsid w:val="00E42560"/>
    <w:rsid w:val="00E43335"/>
    <w:rsid w:val="00E4341C"/>
    <w:rsid w:val="00E43472"/>
    <w:rsid w:val="00E43609"/>
    <w:rsid w:val="00E43FE0"/>
    <w:rsid w:val="00E444FB"/>
    <w:rsid w:val="00E44850"/>
    <w:rsid w:val="00E44DDD"/>
    <w:rsid w:val="00E44DE5"/>
    <w:rsid w:val="00E457C1"/>
    <w:rsid w:val="00E459C9"/>
    <w:rsid w:val="00E45B06"/>
    <w:rsid w:val="00E47212"/>
    <w:rsid w:val="00E472BC"/>
    <w:rsid w:val="00E47BF3"/>
    <w:rsid w:val="00E47EE5"/>
    <w:rsid w:val="00E50C28"/>
    <w:rsid w:val="00E51BE5"/>
    <w:rsid w:val="00E51C7C"/>
    <w:rsid w:val="00E527E0"/>
    <w:rsid w:val="00E52CBE"/>
    <w:rsid w:val="00E53701"/>
    <w:rsid w:val="00E53C2B"/>
    <w:rsid w:val="00E542C1"/>
    <w:rsid w:val="00E5531D"/>
    <w:rsid w:val="00E56230"/>
    <w:rsid w:val="00E568B0"/>
    <w:rsid w:val="00E57C5F"/>
    <w:rsid w:val="00E57F5E"/>
    <w:rsid w:val="00E60630"/>
    <w:rsid w:val="00E60A8F"/>
    <w:rsid w:val="00E60D1D"/>
    <w:rsid w:val="00E60D3B"/>
    <w:rsid w:val="00E60D72"/>
    <w:rsid w:val="00E6146B"/>
    <w:rsid w:val="00E61511"/>
    <w:rsid w:val="00E61B0A"/>
    <w:rsid w:val="00E61B30"/>
    <w:rsid w:val="00E625E7"/>
    <w:rsid w:val="00E63294"/>
    <w:rsid w:val="00E632EB"/>
    <w:rsid w:val="00E6352A"/>
    <w:rsid w:val="00E6398C"/>
    <w:rsid w:val="00E64ADF"/>
    <w:rsid w:val="00E64E22"/>
    <w:rsid w:val="00E66A2B"/>
    <w:rsid w:val="00E66AE8"/>
    <w:rsid w:val="00E66E9B"/>
    <w:rsid w:val="00E677C1"/>
    <w:rsid w:val="00E70379"/>
    <w:rsid w:val="00E71356"/>
    <w:rsid w:val="00E71D7A"/>
    <w:rsid w:val="00E72022"/>
    <w:rsid w:val="00E72353"/>
    <w:rsid w:val="00E72C1D"/>
    <w:rsid w:val="00E73032"/>
    <w:rsid w:val="00E73D74"/>
    <w:rsid w:val="00E777EF"/>
    <w:rsid w:val="00E81574"/>
    <w:rsid w:val="00E82156"/>
    <w:rsid w:val="00E8301E"/>
    <w:rsid w:val="00E8304A"/>
    <w:rsid w:val="00E83E7E"/>
    <w:rsid w:val="00E84E98"/>
    <w:rsid w:val="00E84F06"/>
    <w:rsid w:val="00E85254"/>
    <w:rsid w:val="00E866DF"/>
    <w:rsid w:val="00E876EE"/>
    <w:rsid w:val="00E90161"/>
    <w:rsid w:val="00E902B0"/>
    <w:rsid w:val="00E90FC8"/>
    <w:rsid w:val="00E91560"/>
    <w:rsid w:val="00E9215E"/>
    <w:rsid w:val="00E922B6"/>
    <w:rsid w:val="00E92551"/>
    <w:rsid w:val="00E949F2"/>
    <w:rsid w:val="00E94AC5"/>
    <w:rsid w:val="00E94B97"/>
    <w:rsid w:val="00E94C32"/>
    <w:rsid w:val="00E94D74"/>
    <w:rsid w:val="00E95282"/>
    <w:rsid w:val="00E953F2"/>
    <w:rsid w:val="00E95B2D"/>
    <w:rsid w:val="00E95FF4"/>
    <w:rsid w:val="00E96D2E"/>
    <w:rsid w:val="00E96D64"/>
    <w:rsid w:val="00EA0256"/>
    <w:rsid w:val="00EA0870"/>
    <w:rsid w:val="00EA132C"/>
    <w:rsid w:val="00EA1D8E"/>
    <w:rsid w:val="00EA287E"/>
    <w:rsid w:val="00EA364A"/>
    <w:rsid w:val="00EA39A5"/>
    <w:rsid w:val="00EA42F2"/>
    <w:rsid w:val="00EA4849"/>
    <w:rsid w:val="00EA4C6C"/>
    <w:rsid w:val="00EA6068"/>
    <w:rsid w:val="00EA6FEF"/>
    <w:rsid w:val="00EB014E"/>
    <w:rsid w:val="00EB2002"/>
    <w:rsid w:val="00EB2045"/>
    <w:rsid w:val="00EB2579"/>
    <w:rsid w:val="00EB2704"/>
    <w:rsid w:val="00EB403A"/>
    <w:rsid w:val="00EB4D94"/>
    <w:rsid w:val="00EB4F97"/>
    <w:rsid w:val="00EB7292"/>
    <w:rsid w:val="00EB763B"/>
    <w:rsid w:val="00EB7E1D"/>
    <w:rsid w:val="00EB7EB5"/>
    <w:rsid w:val="00EC188E"/>
    <w:rsid w:val="00EC2503"/>
    <w:rsid w:val="00EC2670"/>
    <w:rsid w:val="00EC32F6"/>
    <w:rsid w:val="00EC3FC5"/>
    <w:rsid w:val="00EC4AF6"/>
    <w:rsid w:val="00EC5472"/>
    <w:rsid w:val="00EC6322"/>
    <w:rsid w:val="00EC6D96"/>
    <w:rsid w:val="00EC7406"/>
    <w:rsid w:val="00ED0450"/>
    <w:rsid w:val="00ED0697"/>
    <w:rsid w:val="00ED191B"/>
    <w:rsid w:val="00ED28A0"/>
    <w:rsid w:val="00ED2B12"/>
    <w:rsid w:val="00ED3ACB"/>
    <w:rsid w:val="00ED3BD6"/>
    <w:rsid w:val="00ED3E9F"/>
    <w:rsid w:val="00ED42D3"/>
    <w:rsid w:val="00ED4322"/>
    <w:rsid w:val="00ED44B2"/>
    <w:rsid w:val="00ED4A82"/>
    <w:rsid w:val="00ED5520"/>
    <w:rsid w:val="00ED5C8B"/>
    <w:rsid w:val="00ED7798"/>
    <w:rsid w:val="00ED7C3C"/>
    <w:rsid w:val="00EE2E3F"/>
    <w:rsid w:val="00EE3D67"/>
    <w:rsid w:val="00EE416F"/>
    <w:rsid w:val="00EE4E23"/>
    <w:rsid w:val="00EE6735"/>
    <w:rsid w:val="00EE6F76"/>
    <w:rsid w:val="00EF0153"/>
    <w:rsid w:val="00EF12CD"/>
    <w:rsid w:val="00EF183B"/>
    <w:rsid w:val="00EF387C"/>
    <w:rsid w:val="00EF39AC"/>
    <w:rsid w:val="00EF62B3"/>
    <w:rsid w:val="00EF6EAA"/>
    <w:rsid w:val="00EF7C3D"/>
    <w:rsid w:val="00F00C76"/>
    <w:rsid w:val="00F00C9E"/>
    <w:rsid w:val="00F00CAE"/>
    <w:rsid w:val="00F02051"/>
    <w:rsid w:val="00F03073"/>
    <w:rsid w:val="00F0338B"/>
    <w:rsid w:val="00F03604"/>
    <w:rsid w:val="00F03A1B"/>
    <w:rsid w:val="00F04EAF"/>
    <w:rsid w:val="00F052D8"/>
    <w:rsid w:val="00F05614"/>
    <w:rsid w:val="00F060BF"/>
    <w:rsid w:val="00F061EB"/>
    <w:rsid w:val="00F06875"/>
    <w:rsid w:val="00F0697B"/>
    <w:rsid w:val="00F06F1D"/>
    <w:rsid w:val="00F07BF9"/>
    <w:rsid w:val="00F108CE"/>
    <w:rsid w:val="00F109A1"/>
    <w:rsid w:val="00F11364"/>
    <w:rsid w:val="00F1156C"/>
    <w:rsid w:val="00F11EAE"/>
    <w:rsid w:val="00F121A2"/>
    <w:rsid w:val="00F12BBD"/>
    <w:rsid w:val="00F12C6C"/>
    <w:rsid w:val="00F1309C"/>
    <w:rsid w:val="00F13686"/>
    <w:rsid w:val="00F13A7A"/>
    <w:rsid w:val="00F13C49"/>
    <w:rsid w:val="00F141A3"/>
    <w:rsid w:val="00F14467"/>
    <w:rsid w:val="00F14C3F"/>
    <w:rsid w:val="00F15111"/>
    <w:rsid w:val="00F15AAD"/>
    <w:rsid w:val="00F15F6D"/>
    <w:rsid w:val="00F160D4"/>
    <w:rsid w:val="00F16CBF"/>
    <w:rsid w:val="00F214AB"/>
    <w:rsid w:val="00F21DB5"/>
    <w:rsid w:val="00F22C31"/>
    <w:rsid w:val="00F22E54"/>
    <w:rsid w:val="00F238C2"/>
    <w:rsid w:val="00F23DA3"/>
    <w:rsid w:val="00F23DE4"/>
    <w:rsid w:val="00F2420C"/>
    <w:rsid w:val="00F24405"/>
    <w:rsid w:val="00F257A7"/>
    <w:rsid w:val="00F257D1"/>
    <w:rsid w:val="00F268CB"/>
    <w:rsid w:val="00F26B28"/>
    <w:rsid w:val="00F26EEF"/>
    <w:rsid w:val="00F27EF5"/>
    <w:rsid w:val="00F30B89"/>
    <w:rsid w:val="00F32C0E"/>
    <w:rsid w:val="00F33899"/>
    <w:rsid w:val="00F33F75"/>
    <w:rsid w:val="00F36EBB"/>
    <w:rsid w:val="00F37309"/>
    <w:rsid w:val="00F3735C"/>
    <w:rsid w:val="00F40C02"/>
    <w:rsid w:val="00F41593"/>
    <w:rsid w:val="00F41688"/>
    <w:rsid w:val="00F418F6"/>
    <w:rsid w:val="00F41A18"/>
    <w:rsid w:val="00F41C01"/>
    <w:rsid w:val="00F42CF4"/>
    <w:rsid w:val="00F4461E"/>
    <w:rsid w:val="00F4543A"/>
    <w:rsid w:val="00F47E9C"/>
    <w:rsid w:val="00F5000E"/>
    <w:rsid w:val="00F5103C"/>
    <w:rsid w:val="00F51A4F"/>
    <w:rsid w:val="00F5267C"/>
    <w:rsid w:val="00F54DB6"/>
    <w:rsid w:val="00F55D72"/>
    <w:rsid w:val="00F568A6"/>
    <w:rsid w:val="00F60087"/>
    <w:rsid w:val="00F60BBE"/>
    <w:rsid w:val="00F6210C"/>
    <w:rsid w:val="00F63EFD"/>
    <w:rsid w:val="00F64315"/>
    <w:rsid w:val="00F64736"/>
    <w:rsid w:val="00F647F2"/>
    <w:rsid w:val="00F65003"/>
    <w:rsid w:val="00F66078"/>
    <w:rsid w:val="00F66E02"/>
    <w:rsid w:val="00F676DD"/>
    <w:rsid w:val="00F67E12"/>
    <w:rsid w:val="00F67E54"/>
    <w:rsid w:val="00F71138"/>
    <w:rsid w:val="00F726B9"/>
    <w:rsid w:val="00F72DB4"/>
    <w:rsid w:val="00F73D0E"/>
    <w:rsid w:val="00F74230"/>
    <w:rsid w:val="00F75289"/>
    <w:rsid w:val="00F7564A"/>
    <w:rsid w:val="00F770A9"/>
    <w:rsid w:val="00F80337"/>
    <w:rsid w:val="00F80AD0"/>
    <w:rsid w:val="00F80EF4"/>
    <w:rsid w:val="00F81A14"/>
    <w:rsid w:val="00F82835"/>
    <w:rsid w:val="00F82847"/>
    <w:rsid w:val="00F834BD"/>
    <w:rsid w:val="00F837E6"/>
    <w:rsid w:val="00F83E11"/>
    <w:rsid w:val="00F8467F"/>
    <w:rsid w:val="00F84847"/>
    <w:rsid w:val="00F84A25"/>
    <w:rsid w:val="00F859A6"/>
    <w:rsid w:val="00F862D1"/>
    <w:rsid w:val="00F86690"/>
    <w:rsid w:val="00F86700"/>
    <w:rsid w:val="00F86EA9"/>
    <w:rsid w:val="00F87435"/>
    <w:rsid w:val="00F87586"/>
    <w:rsid w:val="00F8794A"/>
    <w:rsid w:val="00F87DD0"/>
    <w:rsid w:val="00F93EEA"/>
    <w:rsid w:val="00F93EEE"/>
    <w:rsid w:val="00F94070"/>
    <w:rsid w:val="00F957C6"/>
    <w:rsid w:val="00FA00E2"/>
    <w:rsid w:val="00FA0C46"/>
    <w:rsid w:val="00FA0F6E"/>
    <w:rsid w:val="00FA224E"/>
    <w:rsid w:val="00FA2596"/>
    <w:rsid w:val="00FA2AC7"/>
    <w:rsid w:val="00FA3421"/>
    <w:rsid w:val="00FA3A46"/>
    <w:rsid w:val="00FA3DB7"/>
    <w:rsid w:val="00FA4061"/>
    <w:rsid w:val="00FA4133"/>
    <w:rsid w:val="00FA487C"/>
    <w:rsid w:val="00FA4FAC"/>
    <w:rsid w:val="00FA54CE"/>
    <w:rsid w:val="00FA5634"/>
    <w:rsid w:val="00FA6079"/>
    <w:rsid w:val="00FB02DD"/>
    <w:rsid w:val="00FB10E3"/>
    <w:rsid w:val="00FB142D"/>
    <w:rsid w:val="00FB20C8"/>
    <w:rsid w:val="00FB2A2F"/>
    <w:rsid w:val="00FB2C01"/>
    <w:rsid w:val="00FB2FE9"/>
    <w:rsid w:val="00FB3B23"/>
    <w:rsid w:val="00FB4A5E"/>
    <w:rsid w:val="00FB4C2D"/>
    <w:rsid w:val="00FB56A4"/>
    <w:rsid w:val="00FB5F0D"/>
    <w:rsid w:val="00FB6BCA"/>
    <w:rsid w:val="00FB6DEF"/>
    <w:rsid w:val="00FB73F0"/>
    <w:rsid w:val="00FB7DDA"/>
    <w:rsid w:val="00FC085B"/>
    <w:rsid w:val="00FC2369"/>
    <w:rsid w:val="00FC50CB"/>
    <w:rsid w:val="00FC562C"/>
    <w:rsid w:val="00FC585B"/>
    <w:rsid w:val="00FC5E9E"/>
    <w:rsid w:val="00FC6256"/>
    <w:rsid w:val="00FC6475"/>
    <w:rsid w:val="00FC689E"/>
    <w:rsid w:val="00FC6DDE"/>
    <w:rsid w:val="00FC753D"/>
    <w:rsid w:val="00FC7A0E"/>
    <w:rsid w:val="00FC7A70"/>
    <w:rsid w:val="00FD01AB"/>
    <w:rsid w:val="00FD0D2D"/>
    <w:rsid w:val="00FD171C"/>
    <w:rsid w:val="00FD1ECD"/>
    <w:rsid w:val="00FD2099"/>
    <w:rsid w:val="00FD20A5"/>
    <w:rsid w:val="00FD2178"/>
    <w:rsid w:val="00FD2C22"/>
    <w:rsid w:val="00FD2C9C"/>
    <w:rsid w:val="00FD2E9D"/>
    <w:rsid w:val="00FD3D0A"/>
    <w:rsid w:val="00FD48D4"/>
    <w:rsid w:val="00FD4A7E"/>
    <w:rsid w:val="00FD6A6F"/>
    <w:rsid w:val="00FD6FD8"/>
    <w:rsid w:val="00FD7A69"/>
    <w:rsid w:val="00FE007E"/>
    <w:rsid w:val="00FE0811"/>
    <w:rsid w:val="00FE0D2E"/>
    <w:rsid w:val="00FE13FB"/>
    <w:rsid w:val="00FE17D6"/>
    <w:rsid w:val="00FE1D31"/>
    <w:rsid w:val="00FE217E"/>
    <w:rsid w:val="00FE26D4"/>
    <w:rsid w:val="00FE27BC"/>
    <w:rsid w:val="00FE2A4F"/>
    <w:rsid w:val="00FE2AE6"/>
    <w:rsid w:val="00FE2C7F"/>
    <w:rsid w:val="00FE4F02"/>
    <w:rsid w:val="00FE5B23"/>
    <w:rsid w:val="00FE6561"/>
    <w:rsid w:val="00FE6974"/>
    <w:rsid w:val="00FE6E5E"/>
    <w:rsid w:val="00FE6E72"/>
    <w:rsid w:val="00FE7328"/>
    <w:rsid w:val="00FE74A2"/>
    <w:rsid w:val="00FF0D83"/>
    <w:rsid w:val="00FF0F8E"/>
    <w:rsid w:val="00FF166E"/>
    <w:rsid w:val="00FF2A18"/>
    <w:rsid w:val="00FF32E0"/>
    <w:rsid w:val="00FF350E"/>
    <w:rsid w:val="00FF3969"/>
    <w:rsid w:val="00FF44D9"/>
    <w:rsid w:val="00FF4B6F"/>
    <w:rsid w:val="00FF4D08"/>
    <w:rsid w:val="00FF5F7C"/>
    <w:rsid w:val="00FF6333"/>
    <w:rsid w:val="00FF75BA"/>
    <w:rsid w:val="00FF7FF5"/>
    <w:rsid w:val="08BB484B"/>
    <w:rsid w:val="11A31D15"/>
    <w:rsid w:val="13BC5DCF"/>
    <w:rsid w:val="1EE18650"/>
    <w:rsid w:val="20827FF4"/>
    <w:rsid w:val="256273D1"/>
    <w:rsid w:val="3C0C2F18"/>
    <w:rsid w:val="5EF0A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23AF1"/>
  <w14:discardImageEditingData/>
  <w15:chartTrackingRefBased/>
  <w15:docId w15:val="{FB149951-E160-487C-86CB-7DDE06A5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6" w:qFormat="1"/>
    <w:lsdException w:name="Intense Quote" w:uiPriority="1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34E"/>
    <w:pPr>
      <w:spacing w:after="160" w:line="264" w:lineRule="auto"/>
    </w:pPr>
    <w:rPr>
      <w:color w:val="262626" w:themeColor="text1" w:themeTint="D9"/>
      <w:sz w:val="22"/>
    </w:rPr>
  </w:style>
  <w:style w:type="paragraph" w:styleId="Heading1">
    <w:name w:val="heading 1"/>
    <w:basedOn w:val="Normal"/>
    <w:next w:val="Normal"/>
    <w:link w:val="Heading1Char"/>
    <w:uiPriority w:val="2"/>
    <w:qFormat/>
    <w:rsid w:val="0091141A"/>
    <w:pPr>
      <w:keepNext/>
      <w:keepLines/>
      <w:spacing w:before="360" w:line="240" w:lineRule="auto"/>
      <w:outlineLvl w:val="0"/>
    </w:pPr>
    <w:rPr>
      <w:rFonts w:eastAsiaTheme="majorEastAsia" w:cstheme="minorHAnsi"/>
      <w:b/>
      <w:bCs/>
      <w:noProof/>
      <w:color w:val="007279" w:themeColor="accent1"/>
      <w:sz w:val="32"/>
      <w:szCs w:val="24"/>
    </w:rPr>
  </w:style>
  <w:style w:type="paragraph" w:styleId="Heading2">
    <w:name w:val="heading 2"/>
    <w:basedOn w:val="Normal"/>
    <w:next w:val="Normal"/>
    <w:link w:val="Heading2Char"/>
    <w:uiPriority w:val="2"/>
    <w:qFormat/>
    <w:rsid w:val="0091141A"/>
    <w:pPr>
      <w:keepNext/>
      <w:keepLines/>
      <w:spacing w:before="240" w:line="240" w:lineRule="auto"/>
      <w:outlineLvl w:val="1"/>
    </w:pPr>
    <w:rPr>
      <w:rFonts w:eastAsiaTheme="majorEastAsia" w:cstheme="minorHAnsi"/>
      <w:color w:val="007279" w:themeColor="accent1"/>
      <w:sz w:val="28"/>
      <w:szCs w:val="22"/>
    </w:rPr>
  </w:style>
  <w:style w:type="paragraph" w:styleId="Heading3">
    <w:name w:val="heading 3"/>
    <w:basedOn w:val="Heading4"/>
    <w:next w:val="Normal"/>
    <w:link w:val="Heading3Char"/>
    <w:uiPriority w:val="2"/>
    <w:qFormat/>
    <w:rsid w:val="00AE39E1"/>
    <w:pPr>
      <w:outlineLvl w:val="2"/>
    </w:pPr>
    <w:rPr>
      <w:color w:val="262626" w:themeColor="text1" w:themeTint="D9"/>
      <w:sz w:val="24"/>
      <w:szCs w:val="24"/>
    </w:rPr>
  </w:style>
  <w:style w:type="paragraph" w:styleId="Heading4">
    <w:name w:val="heading 4"/>
    <w:basedOn w:val="Normal"/>
    <w:next w:val="Normal"/>
    <w:link w:val="Heading4Char"/>
    <w:uiPriority w:val="2"/>
    <w:rsid w:val="006147EB"/>
    <w:pPr>
      <w:keepNext/>
      <w:keepLines/>
      <w:spacing w:before="240"/>
      <w:outlineLvl w:val="3"/>
    </w:pPr>
    <w:rPr>
      <w:rFonts w:eastAsiaTheme="majorEastAsia" w:cstheme="minorHAnsi"/>
      <w:b/>
      <w:color w:val="3266AB"/>
      <w:szCs w:val="22"/>
    </w:rPr>
  </w:style>
  <w:style w:type="paragraph" w:styleId="Heading5">
    <w:name w:val="heading 5"/>
    <w:basedOn w:val="Normal"/>
    <w:next w:val="Normal"/>
    <w:link w:val="Heading5Char"/>
    <w:uiPriority w:val="2"/>
    <w:unhideWhenUsed/>
    <w:rsid w:val="00857363"/>
    <w:pPr>
      <w:keepNext/>
      <w:keepLines/>
      <w:spacing w:before="240"/>
      <w:outlineLvl w:val="4"/>
    </w:pPr>
    <w:rPr>
      <w:rFonts w:eastAsiaTheme="majorEastAsia" w:cstheme="majorBidi"/>
      <w:iCs/>
      <w:color w:val="3266AB"/>
      <w:szCs w:val="22"/>
    </w:rPr>
  </w:style>
  <w:style w:type="paragraph" w:styleId="Heading6">
    <w:name w:val="heading 6"/>
    <w:basedOn w:val="Normal"/>
    <w:next w:val="Normal"/>
    <w:link w:val="Heading6Char"/>
    <w:uiPriority w:val="2"/>
    <w:unhideWhenUsed/>
    <w:rsid w:val="006200EB"/>
    <w:pPr>
      <w:keepNext/>
      <w:keepLines/>
      <w:spacing w:before="240"/>
      <w:outlineLvl w:val="5"/>
    </w:pPr>
    <w:rPr>
      <w:rFonts w:asciiTheme="majorHAnsi" w:eastAsiaTheme="majorEastAsia" w:hAnsiTheme="majorHAnsi" w:cstheme="majorBidi"/>
      <w:color w:val="3266AB"/>
    </w:rPr>
  </w:style>
  <w:style w:type="paragraph" w:styleId="Heading7">
    <w:name w:val="heading 7"/>
    <w:basedOn w:val="Normal"/>
    <w:next w:val="Normal"/>
    <w:link w:val="Heading7Char"/>
    <w:uiPriority w:val="2"/>
    <w:unhideWhenUsed/>
    <w:rsid w:val="006200EB"/>
    <w:pPr>
      <w:keepNext/>
      <w:keepLines/>
      <w:spacing w:before="240"/>
      <w:outlineLvl w:val="6"/>
    </w:pPr>
    <w:rPr>
      <w:rFonts w:asciiTheme="majorHAnsi" w:eastAsiaTheme="majorEastAsia" w:hAnsiTheme="majorHAnsi" w:cstheme="majorBidi"/>
      <w:b/>
      <w:bCs/>
      <w:color w:val="3266AB"/>
    </w:rPr>
  </w:style>
  <w:style w:type="paragraph" w:styleId="Heading8">
    <w:name w:val="heading 8"/>
    <w:basedOn w:val="Normal"/>
    <w:next w:val="Normal"/>
    <w:link w:val="Heading8Char"/>
    <w:uiPriority w:val="2"/>
    <w:unhideWhenUsed/>
    <w:rsid w:val="006200EB"/>
    <w:pPr>
      <w:keepNext/>
      <w:keepLines/>
      <w:spacing w:before="240"/>
      <w:outlineLvl w:val="7"/>
    </w:pPr>
    <w:rPr>
      <w:rFonts w:asciiTheme="majorHAnsi" w:eastAsiaTheme="majorEastAsia" w:hAnsiTheme="majorHAnsi" w:cstheme="majorBidi"/>
      <w:b/>
      <w:bCs/>
      <w:i/>
      <w:iCs/>
      <w:color w:val="3266AB"/>
      <w:sz w:val="20"/>
      <w:szCs w:val="20"/>
    </w:rPr>
  </w:style>
  <w:style w:type="paragraph" w:styleId="Heading9">
    <w:name w:val="heading 9"/>
    <w:basedOn w:val="Normal"/>
    <w:next w:val="Normal"/>
    <w:link w:val="Heading9Char"/>
    <w:uiPriority w:val="2"/>
    <w:unhideWhenUsed/>
    <w:rsid w:val="006200EB"/>
    <w:pPr>
      <w:keepNext/>
      <w:keepLines/>
      <w:spacing w:before="240"/>
      <w:outlineLvl w:val="8"/>
    </w:pPr>
    <w:rPr>
      <w:rFonts w:asciiTheme="majorHAnsi" w:eastAsiaTheme="majorEastAsia" w:hAnsiTheme="majorHAnsi" w:cstheme="majorBidi"/>
      <w:i/>
      <w:iCs/>
      <w:color w:val="3266A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91141A"/>
    <w:rPr>
      <w:rFonts w:eastAsiaTheme="majorEastAsia" w:cstheme="minorHAnsi"/>
      <w:b/>
      <w:bCs/>
      <w:noProof/>
      <w:color w:val="007279" w:themeColor="accent1"/>
      <w:sz w:val="32"/>
      <w:szCs w:val="24"/>
    </w:rPr>
  </w:style>
  <w:style w:type="paragraph" w:styleId="Title">
    <w:name w:val="Title"/>
    <w:basedOn w:val="Normal"/>
    <w:next w:val="Normal"/>
    <w:link w:val="TitleChar"/>
    <w:uiPriority w:val="18"/>
    <w:rsid w:val="0091141A"/>
    <w:pPr>
      <w:spacing w:after="240" w:line="240" w:lineRule="auto"/>
      <w:contextualSpacing/>
    </w:pPr>
    <w:rPr>
      <w:rFonts w:asciiTheme="majorHAnsi" w:eastAsiaTheme="majorEastAsia" w:hAnsiTheme="majorHAnsi" w:cstheme="majorBidi"/>
      <w:noProof/>
      <w:spacing w:val="-15"/>
      <w:sz w:val="48"/>
      <w:szCs w:val="56"/>
    </w:rPr>
  </w:style>
  <w:style w:type="character" w:customStyle="1" w:styleId="TitleChar">
    <w:name w:val="Title Char"/>
    <w:basedOn w:val="DefaultParagraphFont"/>
    <w:link w:val="Title"/>
    <w:uiPriority w:val="18"/>
    <w:rsid w:val="0091141A"/>
    <w:rPr>
      <w:rFonts w:asciiTheme="majorHAnsi" w:eastAsiaTheme="majorEastAsia" w:hAnsiTheme="majorHAnsi" w:cstheme="majorBidi"/>
      <w:noProof/>
      <w:spacing w:val="-15"/>
      <w:sz w:val="48"/>
      <w:szCs w:val="56"/>
    </w:rPr>
  </w:style>
  <w:style w:type="character" w:customStyle="1" w:styleId="Heading2Char">
    <w:name w:val="Heading 2 Char"/>
    <w:basedOn w:val="DefaultParagraphFont"/>
    <w:link w:val="Heading2"/>
    <w:uiPriority w:val="2"/>
    <w:rsid w:val="0091141A"/>
    <w:rPr>
      <w:rFonts w:eastAsiaTheme="majorEastAsia" w:cstheme="minorHAnsi"/>
      <w:color w:val="007279" w:themeColor="accent1"/>
      <w:sz w:val="28"/>
      <w:szCs w:val="22"/>
    </w:rPr>
  </w:style>
  <w:style w:type="character" w:customStyle="1" w:styleId="Heading3Char">
    <w:name w:val="Heading 3 Char"/>
    <w:basedOn w:val="DefaultParagraphFont"/>
    <w:link w:val="Heading3"/>
    <w:uiPriority w:val="2"/>
    <w:rsid w:val="00AE39E1"/>
    <w:rPr>
      <w:rFonts w:eastAsiaTheme="majorEastAsia" w:cstheme="minorHAnsi"/>
      <w:b/>
      <w:color w:val="262626" w:themeColor="text1" w:themeTint="D9"/>
      <w:sz w:val="24"/>
      <w:szCs w:val="24"/>
    </w:rPr>
  </w:style>
  <w:style w:type="character" w:customStyle="1" w:styleId="Heading4Char">
    <w:name w:val="Heading 4 Char"/>
    <w:basedOn w:val="DefaultParagraphFont"/>
    <w:link w:val="Heading4"/>
    <w:uiPriority w:val="2"/>
    <w:rsid w:val="006147EB"/>
    <w:rPr>
      <w:rFonts w:eastAsiaTheme="majorEastAsia" w:cstheme="minorHAnsi"/>
      <w:b/>
      <w:color w:val="3266AB"/>
      <w:sz w:val="22"/>
      <w:szCs w:val="22"/>
    </w:rPr>
  </w:style>
  <w:style w:type="character" w:customStyle="1" w:styleId="Heading5Char">
    <w:name w:val="Heading 5 Char"/>
    <w:basedOn w:val="DefaultParagraphFont"/>
    <w:link w:val="Heading5"/>
    <w:uiPriority w:val="2"/>
    <w:rsid w:val="00857363"/>
    <w:rPr>
      <w:rFonts w:eastAsiaTheme="majorEastAsia" w:cstheme="majorBidi"/>
      <w:iCs/>
      <w:color w:val="3266AB"/>
      <w:sz w:val="22"/>
      <w:szCs w:val="22"/>
    </w:rPr>
  </w:style>
  <w:style w:type="character" w:customStyle="1" w:styleId="Heading6Char">
    <w:name w:val="Heading 6 Char"/>
    <w:basedOn w:val="DefaultParagraphFont"/>
    <w:link w:val="Heading6"/>
    <w:uiPriority w:val="2"/>
    <w:rsid w:val="006200EB"/>
    <w:rPr>
      <w:rFonts w:asciiTheme="majorHAnsi" w:eastAsiaTheme="majorEastAsia" w:hAnsiTheme="majorHAnsi" w:cstheme="majorBidi"/>
      <w:color w:val="3266AB"/>
      <w:sz w:val="22"/>
    </w:rPr>
  </w:style>
  <w:style w:type="character" w:customStyle="1" w:styleId="Heading7Char">
    <w:name w:val="Heading 7 Char"/>
    <w:basedOn w:val="DefaultParagraphFont"/>
    <w:link w:val="Heading7"/>
    <w:uiPriority w:val="2"/>
    <w:rsid w:val="006200EB"/>
    <w:rPr>
      <w:rFonts w:asciiTheme="majorHAnsi" w:eastAsiaTheme="majorEastAsia" w:hAnsiTheme="majorHAnsi" w:cstheme="majorBidi"/>
      <w:b/>
      <w:bCs/>
      <w:color w:val="3266AB"/>
      <w:sz w:val="22"/>
    </w:rPr>
  </w:style>
  <w:style w:type="character" w:customStyle="1" w:styleId="Heading8Char">
    <w:name w:val="Heading 8 Char"/>
    <w:basedOn w:val="DefaultParagraphFont"/>
    <w:link w:val="Heading8"/>
    <w:uiPriority w:val="2"/>
    <w:rsid w:val="006200EB"/>
    <w:rPr>
      <w:rFonts w:asciiTheme="majorHAnsi" w:eastAsiaTheme="majorEastAsia" w:hAnsiTheme="majorHAnsi" w:cstheme="majorBidi"/>
      <w:b/>
      <w:bCs/>
      <w:i/>
      <w:iCs/>
      <w:color w:val="3266AB"/>
      <w:sz w:val="20"/>
      <w:szCs w:val="20"/>
    </w:rPr>
  </w:style>
  <w:style w:type="character" w:customStyle="1" w:styleId="Heading9Char">
    <w:name w:val="Heading 9 Char"/>
    <w:basedOn w:val="DefaultParagraphFont"/>
    <w:link w:val="Heading9"/>
    <w:uiPriority w:val="2"/>
    <w:rsid w:val="006200EB"/>
    <w:rPr>
      <w:rFonts w:asciiTheme="majorHAnsi" w:eastAsiaTheme="majorEastAsia" w:hAnsiTheme="majorHAnsi" w:cstheme="majorBidi"/>
      <w:i/>
      <w:iCs/>
      <w:color w:val="3266AB"/>
      <w:sz w:val="20"/>
      <w:szCs w:val="20"/>
    </w:rPr>
  </w:style>
  <w:style w:type="paragraph" w:styleId="Subtitle">
    <w:name w:val="Subtitle"/>
    <w:basedOn w:val="Normal"/>
    <w:next w:val="Normal"/>
    <w:link w:val="SubtitleChar"/>
    <w:uiPriority w:val="19"/>
    <w:rsid w:val="0091141A"/>
    <w:pPr>
      <w:numPr>
        <w:ilvl w:val="1"/>
      </w:numPr>
      <w:spacing w:line="240" w:lineRule="auto"/>
    </w:pPr>
    <w:rPr>
      <w:rFonts w:eastAsiaTheme="majorEastAsia" w:cstheme="minorHAnsi"/>
      <w:noProof/>
      <w:color w:val="6C6C6C" w:themeColor="background2" w:themeShade="80"/>
      <w:sz w:val="28"/>
      <w:szCs w:val="30"/>
    </w:rPr>
  </w:style>
  <w:style w:type="character" w:customStyle="1" w:styleId="SubtitleChar">
    <w:name w:val="Subtitle Char"/>
    <w:basedOn w:val="DefaultParagraphFont"/>
    <w:link w:val="Subtitle"/>
    <w:uiPriority w:val="19"/>
    <w:rsid w:val="0091141A"/>
    <w:rPr>
      <w:rFonts w:eastAsiaTheme="majorEastAsia" w:cstheme="minorHAnsi"/>
      <w:noProof/>
      <w:color w:val="6C6C6C" w:themeColor="background2" w:themeShade="80"/>
      <w:sz w:val="28"/>
      <w:szCs w:val="30"/>
    </w:rPr>
  </w:style>
  <w:style w:type="paragraph" w:styleId="NoSpacing">
    <w:name w:val="No Spacing"/>
    <w:uiPriority w:val="98"/>
    <w:unhideWhenUsed/>
    <w:rsid w:val="00D525B8"/>
    <w:pPr>
      <w:spacing w:after="0" w:line="240" w:lineRule="auto"/>
    </w:pPr>
  </w:style>
  <w:style w:type="paragraph" w:styleId="Caption">
    <w:name w:val="caption"/>
    <w:basedOn w:val="Normal"/>
    <w:next w:val="Normal"/>
    <w:uiPriority w:val="35"/>
    <w:semiHidden/>
    <w:unhideWhenUsed/>
    <w:qFormat/>
    <w:rsid w:val="00D525B8"/>
    <w:pPr>
      <w:spacing w:line="240" w:lineRule="auto"/>
    </w:pPr>
    <w:rPr>
      <w:b/>
      <w:bCs/>
      <w:smallCaps/>
      <w:color w:val="595959" w:themeColor="text1" w:themeTint="A6"/>
    </w:rPr>
  </w:style>
  <w:style w:type="character" w:styleId="Strong">
    <w:name w:val="Strong"/>
    <w:basedOn w:val="DefaultParagraphFont"/>
    <w:uiPriority w:val="22"/>
    <w:unhideWhenUsed/>
    <w:rsid w:val="00D525B8"/>
    <w:rPr>
      <w:b/>
      <w:bCs/>
    </w:rPr>
  </w:style>
  <w:style w:type="character" w:styleId="Emphasis">
    <w:name w:val="Emphasis"/>
    <w:basedOn w:val="DefaultParagraphFont"/>
    <w:uiPriority w:val="20"/>
    <w:unhideWhenUsed/>
    <w:qFormat/>
    <w:rsid w:val="005C0F15"/>
    <w:rPr>
      <w:i/>
      <w:iCs/>
      <w:color w:val="auto"/>
    </w:rPr>
  </w:style>
  <w:style w:type="paragraph" w:styleId="Quote">
    <w:name w:val="Quote"/>
    <w:basedOn w:val="Normal"/>
    <w:next w:val="Normal"/>
    <w:link w:val="QuoteChar"/>
    <w:uiPriority w:val="16"/>
    <w:qFormat/>
    <w:rsid w:val="00857363"/>
    <w:pPr>
      <w:spacing w:before="240"/>
      <w:ind w:left="720" w:right="720"/>
    </w:pPr>
    <w:rPr>
      <w:i/>
      <w:iCs/>
      <w:color w:val="3266AB"/>
    </w:rPr>
  </w:style>
  <w:style w:type="character" w:customStyle="1" w:styleId="QuoteChar">
    <w:name w:val="Quote Char"/>
    <w:basedOn w:val="DefaultParagraphFont"/>
    <w:link w:val="Quote"/>
    <w:uiPriority w:val="16"/>
    <w:rsid w:val="00857363"/>
    <w:rPr>
      <w:i/>
      <w:iCs/>
      <w:color w:val="3266AB"/>
      <w:sz w:val="22"/>
    </w:rPr>
  </w:style>
  <w:style w:type="paragraph" w:styleId="IntenseQuote">
    <w:name w:val="Intense Quote"/>
    <w:basedOn w:val="Normal"/>
    <w:next w:val="Normal"/>
    <w:link w:val="IntenseQuoteChar"/>
    <w:uiPriority w:val="17"/>
    <w:qFormat/>
    <w:rsid w:val="00857363"/>
    <w:pPr>
      <w:spacing w:before="120"/>
      <w:ind w:left="720" w:right="720"/>
    </w:pPr>
    <w:rPr>
      <w:rFonts w:asciiTheme="majorHAnsi" w:eastAsiaTheme="majorEastAsia" w:hAnsiTheme="majorHAnsi" w:cstheme="majorBidi"/>
      <w:i/>
      <w:iCs/>
      <w:color w:val="3266AB"/>
      <w:sz w:val="32"/>
      <w:szCs w:val="32"/>
    </w:rPr>
  </w:style>
  <w:style w:type="character" w:customStyle="1" w:styleId="IntenseQuoteChar">
    <w:name w:val="Intense Quote Char"/>
    <w:basedOn w:val="DefaultParagraphFont"/>
    <w:link w:val="IntenseQuote"/>
    <w:uiPriority w:val="17"/>
    <w:rsid w:val="00857363"/>
    <w:rPr>
      <w:rFonts w:asciiTheme="majorHAnsi" w:eastAsiaTheme="majorEastAsia" w:hAnsiTheme="majorHAnsi" w:cstheme="majorBidi"/>
      <w:i/>
      <w:iCs/>
      <w:color w:val="3266AB"/>
      <w:sz w:val="32"/>
      <w:szCs w:val="32"/>
    </w:rPr>
  </w:style>
  <w:style w:type="character" w:styleId="SubtleEmphasis">
    <w:name w:val="Subtle Emphasis"/>
    <w:basedOn w:val="DefaultParagraphFont"/>
    <w:uiPriority w:val="19"/>
    <w:unhideWhenUsed/>
    <w:rsid w:val="00D525B8"/>
    <w:rPr>
      <w:i/>
      <w:iCs/>
    </w:rPr>
  </w:style>
  <w:style w:type="character" w:styleId="IntenseEmphasis">
    <w:name w:val="Intense Emphasis"/>
    <w:basedOn w:val="DefaultParagraphFont"/>
    <w:uiPriority w:val="21"/>
    <w:unhideWhenUsed/>
    <w:rsid w:val="00D525B8"/>
    <w:rPr>
      <w:b/>
      <w:bCs/>
      <w:i/>
      <w:iCs/>
    </w:rPr>
  </w:style>
  <w:style w:type="character" w:styleId="SubtleReference">
    <w:name w:val="Subtle Reference"/>
    <w:basedOn w:val="DefaultParagraphFont"/>
    <w:uiPriority w:val="31"/>
    <w:unhideWhenUsed/>
    <w:rsid w:val="00D525B8"/>
    <w:rPr>
      <w:smallCaps/>
      <w:color w:val="595959" w:themeColor="text1" w:themeTint="A6"/>
    </w:rPr>
  </w:style>
  <w:style w:type="character" w:styleId="IntenseReference">
    <w:name w:val="Intense Reference"/>
    <w:basedOn w:val="DefaultParagraphFont"/>
    <w:uiPriority w:val="32"/>
    <w:unhideWhenUsed/>
    <w:rsid w:val="006200EB"/>
    <w:rPr>
      <w:b/>
      <w:bCs/>
      <w:smallCaps/>
      <w:color w:val="3266AB"/>
    </w:rPr>
  </w:style>
  <w:style w:type="paragraph" w:styleId="TOCHeading">
    <w:name w:val="TOC Heading"/>
    <w:basedOn w:val="Heading1"/>
    <w:next w:val="Normal"/>
    <w:uiPriority w:val="39"/>
    <w:unhideWhenUsed/>
    <w:rsid w:val="00D525B8"/>
    <w:pPr>
      <w:outlineLvl w:val="9"/>
    </w:pPr>
  </w:style>
  <w:style w:type="paragraph" w:styleId="Header">
    <w:name w:val="header"/>
    <w:basedOn w:val="Normal"/>
    <w:link w:val="HeaderChar"/>
    <w:uiPriority w:val="99"/>
    <w:unhideWhenUsed/>
    <w:rsid w:val="00F9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7C6"/>
  </w:style>
  <w:style w:type="paragraph" w:styleId="Footer">
    <w:name w:val="footer"/>
    <w:basedOn w:val="Normal"/>
    <w:link w:val="FooterChar"/>
    <w:uiPriority w:val="99"/>
    <w:unhideWhenUsed/>
    <w:rsid w:val="00F9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7C6"/>
  </w:style>
  <w:style w:type="character" w:styleId="PlaceholderText">
    <w:name w:val="Placeholder Text"/>
    <w:basedOn w:val="DefaultParagraphFont"/>
    <w:uiPriority w:val="99"/>
    <w:semiHidden/>
    <w:rsid w:val="005226B9"/>
    <w:rPr>
      <w:color w:val="808080"/>
    </w:rPr>
  </w:style>
  <w:style w:type="paragraph" w:styleId="BalloonText">
    <w:name w:val="Balloon Text"/>
    <w:basedOn w:val="Normal"/>
    <w:link w:val="BalloonTextChar"/>
    <w:uiPriority w:val="99"/>
    <w:semiHidden/>
    <w:unhideWhenUsed/>
    <w:rsid w:val="00522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B9"/>
    <w:rPr>
      <w:rFonts w:ascii="Segoe UI" w:hAnsi="Segoe UI" w:cs="Segoe UI"/>
      <w:sz w:val="18"/>
      <w:szCs w:val="18"/>
    </w:rPr>
  </w:style>
  <w:style w:type="paragraph" w:customStyle="1" w:styleId="CLASSIFICATION">
    <w:name w:val="CLASSIFICATION"/>
    <w:basedOn w:val="Normal"/>
    <w:link w:val="CLASSIFICATIONChar"/>
    <w:autoRedefine/>
    <w:uiPriority w:val="99"/>
    <w:unhideWhenUsed/>
    <w:rsid w:val="00F86700"/>
    <w:pPr>
      <w:jc w:val="center"/>
    </w:pPr>
    <w:rPr>
      <w:rFonts w:ascii="Segoe UI" w:hAnsi="Segoe UI"/>
      <w:caps/>
      <w:color w:val="C00000"/>
      <w:sz w:val="18"/>
    </w:rPr>
  </w:style>
  <w:style w:type="paragraph" w:customStyle="1" w:styleId="BOXHeading2">
    <w:name w:val="BOX Heading 2"/>
    <w:basedOn w:val="Heading2"/>
    <w:next w:val="BOXText"/>
    <w:uiPriority w:val="6"/>
    <w:qFormat/>
    <w:rsid w:val="0091141A"/>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ind w:left="227" w:right="227"/>
    </w:pPr>
  </w:style>
  <w:style w:type="character" w:customStyle="1" w:styleId="CLASSIFICATIONChar">
    <w:name w:val="CLASSIFICATION Char"/>
    <w:basedOn w:val="DefaultParagraphFont"/>
    <w:link w:val="CLASSIFICATION"/>
    <w:uiPriority w:val="99"/>
    <w:rsid w:val="00F86700"/>
    <w:rPr>
      <w:rFonts w:ascii="Segoe UI" w:hAnsi="Segoe UI"/>
      <w:caps/>
      <w:color w:val="C00000"/>
      <w:sz w:val="18"/>
    </w:rPr>
  </w:style>
  <w:style w:type="paragraph" w:customStyle="1" w:styleId="BOXText">
    <w:name w:val="BOX Text"/>
    <w:basedOn w:val="Normal"/>
    <w:next w:val="Normal"/>
    <w:uiPriority w:val="4"/>
    <w:qFormat/>
    <w:rsid w:val="005F3B45"/>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tabs>
        <w:tab w:val="left" w:pos="3300"/>
      </w:tabs>
      <w:ind w:left="227" w:right="227"/>
    </w:pPr>
    <w:rPr>
      <w:sz w:val="18"/>
      <w:szCs w:val="18"/>
    </w:rPr>
  </w:style>
  <w:style w:type="paragraph" w:customStyle="1" w:styleId="BOXBulletedList">
    <w:name w:val="BOX Bulleted List"/>
    <w:basedOn w:val="BOXText"/>
    <w:uiPriority w:val="5"/>
    <w:qFormat/>
    <w:rsid w:val="00BD171D"/>
    <w:pPr>
      <w:numPr>
        <w:numId w:val="1"/>
      </w:numPr>
      <w:ind w:left="511"/>
    </w:pPr>
  </w:style>
  <w:style w:type="table" w:styleId="TableGrid">
    <w:name w:val="Table Grid"/>
    <w:basedOn w:val="TableNormal"/>
    <w:uiPriority w:val="39"/>
    <w:rsid w:val="00BD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D57F5"/>
    <w:pPr>
      <w:spacing w:after="0" w:line="240" w:lineRule="auto"/>
    </w:pPr>
    <w:tblPr>
      <w:tblStyleRowBandSize w:val="1"/>
      <w:tblStyleColBandSize w:val="1"/>
      <w:tblBorders>
        <w:top w:val="single" w:sz="4" w:space="0" w:color="15F1FF" w:themeColor="accent1" w:themeTint="99"/>
        <w:left w:val="single" w:sz="4" w:space="0" w:color="15F1FF" w:themeColor="accent1" w:themeTint="99"/>
        <w:bottom w:val="single" w:sz="4" w:space="0" w:color="15F1FF" w:themeColor="accent1" w:themeTint="99"/>
        <w:right w:val="single" w:sz="4" w:space="0" w:color="15F1FF" w:themeColor="accent1" w:themeTint="99"/>
        <w:insideH w:val="single" w:sz="4" w:space="0" w:color="15F1FF" w:themeColor="accent1" w:themeTint="99"/>
      </w:tblBorders>
    </w:tblPr>
    <w:tblStylePr w:type="firstRow">
      <w:rPr>
        <w:b/>
        <w:bCs/>
        <w:color w:val="FFFFFF" w:themeColor="background1"/>
      </w:rPr>
      <w:tblPr/>
      <w:tcPr>
        <w:tcBorders>
          <w:top w:val="single" w:sz="4" w:space="0" w:color="007279" w:themeColor="accent1"/>
          <w:left w:val="single" w:sz="4" w:space="0" w:color="007279" w:themeColor="accent1"/>
          <w:bottom w:val="single" w:sz="4" w:space="0" w:color="007279" w:themeColor="accent1"/>
          <w:right w:val="single" w:sz="4" w:space="0" w:color="007279" w:themeColor="accent1"/>
          <w:insideH w:val="nil"/>
        </w:tcBorders>
        <w:shd w:val="clear" w:color="auto" w:fill="007279" w:themeFill="accent1"/>
      </w:tcPr>
    </w:tblStylePr>
    <w:tblStylePr w:type="lastRow">
      <w:rPr>
        <w:b/>
        <w:bCs/>
      </w:rPr>
      <w:tblPr/>
      <w:tcPr>
        <w:tcBorders>
          <w:top w:val="double" w:sz="4" w:space="0" w:color="15F1FF" w:themeColor="accent1" w:themeTint="99"/>
        </w:tcBorders>
      </w:tcPr>
    </w:tblStylePr>
    <w:tblStylePr w:type="firstCol">
      <w:rPr>
        <w:b/>
        <w:bCs/>
      </w:rPr>
    </w:tblStylePr>
    <w:tblStylePr w:type="lastCol">
      <w:rPr>
        <w:b/>
        <w:bCs/>
      </w:rPr>
    </w:tblStylePr>
    <w:tblStylePr w:type="band1Vert">
      <w:tblPr/>
      <w:tcPr>
        <w:shd w:val="clear" w:color="auto" w:fill="B1FAFF" w:themeFill="accent1" w:themeFillTint="33"/>
      </w:tcPr>
    </w:tblStylePr>
    <w:tblStylePr w:type="band1Horz">
      <w:tblPr/>
      <w:tcPr>
        <w:shd w:val="clear" w:color="auto" w:fill="B1FAFF" w:themeFill="accent1" w:themeFillTint="33"/>
      </w:tcPr>
    </w:tblStylePr>
  </w:style>
  <w:style w:type="paragraph" w:customStyle="1" w:styleId="Figure">
    <w:name w:val="Figure"/>
    <w:basedOn w:val="Normal"/>
    <w:uiPriority w:val="2"/>
    <w:qFormat/>
    <w:rsid w:val="006147EB"/>
    <w:pPr>
      <w:numPr>
        <w:numId w:val="27"/>
      </w:numPr>
      <w:spacing w:before="240"/>
    </w:pPr>
    <w:rPr>
      <w:rFonts w:ascii="Segoe UI" w:hAnsi="Segoe UI" w:cs="Segoe UI"/>
      <w:color w:val="3266AB"/>
    </w:rPr>
  </w:style>
  <w:style w:type="paragraph" w:customStyle="1" w:styleId="TBLHeading">
    <w:name w:val="TBL Heading"/>
    <w:basedOn w:val="Normal"/>
    <w:autoRedefine/>
    <w:uiPriority w:val="11"/>
    <w:qFormat/>
    <w:rsid w:val="009615D2"/>
    <w:pPr>
      <w:spacing w:after="0" w:line="240" w:lineRule="auto"/>
    </w:pPr>
    <w:rPr>
      <w:rFonts w:ascii="Segoe UI" w:hAnsi="Segoe UI" w:cs="Segoe UI"/>
      <w:color w:val="FFFFFF" w:themeColor="background1"/>
      <w:sz w:val="18"/>
    </w:rPr>
  </w:style>
  <w:style w:type="paragraph" w:customStyle="1" w:styleId="TBLText">
    <w:name w:val="TBL Text"/>
    <w:basedOn w:val="Normal"/>
    <w:uiPriority w:val="9"/>
    <w:qFormat/>
    <w:rsid w:val="004D3335"/>
    <w:pPr>
      <w:spacing w:after="120" w:line="240" w:lineRule="auto"/>
    </w:pPr>
    <w:rPr>
      <w:sz w:val="18"/>
      <w:szCs w:val="18"/>
    </w:rPr>
  </w:style>
  <w:style w:type="paragraph" w:customStyle="1" w:styleId="TBLBulletedList">
    <w:name w:val="TBL Bulleted List"/>
    <w:basedOn w:val="TBLText"/>
    <w:uiPriority w:val="10"/>
    <w:qFormat/>
    <w:rsid w:val="006C62B2"/>
    <w:pPr>
      <w:numPr>
        <w:numId w:val="12"/>
      </w:numPr>
      <w:ind w:left="204" w:hanging="204"/>
    </w:pPr>
  </w:style>
  <w:style w:type="paragraph" w:customStyle="1" w:styleId="TBLNumberedList">
    <w:name w:val="TBL Numbered List"/>
    <w:basedOn w:val="TBLText"/>
    <w:uiPriority w:val="10"/>
    <w:qFormat/>
    <w:rsid w:val="00E05FA4"/>
    <w:pPr>
      <w:numPr>
        <w:numId w:val="13"/>
      </w:numPr>
      <w:ind w:left="270" w:hanging="270"/>
    </w:pPr>
  </w:style>
  <w:style w:type="paragraph" w:customStyle="1" w:styleId="BOXHeading3">
    <w:name w:val="BOX Heading 3"/>
    <w:basedOn w:val="BOXHeading2"/>
    <w:next w:val="BOXText"/>
    <w:uiPriority w:val="6"/>
    <w:qFormat/>
    <w:rsid w:val="00857363"/>
    <w:pPr>
      <w:outlineLvl w:val="2"/>
    </w:pPr>
    <w:rPr>
      <w:b/>
      <w:sz w:val="24"/>
      <w:szCs w:val="26"/>
    </w:rPr>
  </w:style>
  <w:style w:type="paragraph" w:styleId="ListParagraph">
    <w:name w:val="List Paragraph"/>
    <w:basedOn w:val="Normal"/>
    <w:uiPriority w:val="34"/>
    <w:unhideWhenUsed/>
    <w:rsid w:val="005917FD"/>
    <w:pPr>
      <w:ind w:left="720"/>
      <w:contextualSpacing/>
    </w:pPr>
  </w:style>
  <w:style w:type="paragraph" w:customStyle="1" w:styleId="BulletedList-Level1">
    <w:name w:val="Bulleted List - Level 1"/>
    <w:basedOn w:val="ListParagraph"/>
    <w:uiPriority w:val="1"/>
    <w:qFormat/>
    <w:rsid w:val="00BD171D"/>
    <w:pPr>
      <w:numPr>
        <w:numId w:val="14"/>
      </w:numPr>
      <w:ind w:left="568" w:hanging="284"/>
    </w:pPr>
  </w:style>
  <w:style w:type="paragraph" w:customStyle="1" w:styleId="BulletedList-Level2">
    <w:name w:val="Bulleted List - Level 2"/>
    <w:basedOn w:val="BulletedList-Level1"/>
    <w:uiPriority w:val="1"/>
    <w:qFormat/>
    <w:rsid w:val="00BD171D"/>
    <w:pPr>
      <w:numPr>
        <w:numId w:val="30"/>
      </w:numPr>
    </w:pPr>
  </w:style>
  <w:style w:type="paragraph" w:customStyle="1" w:styleId="BulletedList-Level3">
    <w:name w:val="Bulleted List - Level 3"/>
    <w:basedOn w:val="ListParagraph"/>
    <w:uiPriority w:val="1"/>
    <w:qFormat/>
    <w:rsid w:val="00BD171D"/>
    <w:pPr>
      <w:numPr>
        <w:numId w:val="31"/>
      </w:numPr>
      <w:ind w:left="1135" w:hanging="284"/>
    </w:pPr>
  </w:style>
  <w:style w:type="paragraph" w:customStyle="1" w:styleId="NumberedList-Level1">
    <w:name w:val="Numbered List - Level 1"/>
    <w:basedOn w:val="ListParagraph"/>
    <w:uiPriority w:val="1"/>
    <w:qFormat/>
    <w:rsid w:val="00BD171D"/>
    <w:pPr>
      <w:numPr>
        <w:numId w:val="21"/>
      </w:numPr>
      <w:ind w:left="568" w:hanging="284"/>
    </w:pPr>
  </w:style>
  <w:style w:type="paragraph" w:customStyle="1" w:styleId="NumberedList-level2">
    <w:name w:val="Numbered List - level 2"/>
    <w:basedOn w:val="ListParagraph"/>
    <w:uiPriority w:val="1"/>
    <w:qFormat/>
    <w:rsid w:val="00BD171D"/>
    <w:pPr>
      <w:numPr>
        <w:ilvl w:val="1"/>
        <w:numId w:val="21"/>
      </w:numPr>
    </w:pPr>
  </w:style>
  <w:style w:type="paragraph" w:customStyle="1" w:styleId="NumberedList-Level3">
    <w:name w:val="Numbered List - Level 3"/>
    <w:basedOn w:val="ListParagraph"/>
    <w:uiPriority w:val="1"/>
    <w:qFormat/>
    <w:rsid w:val="00BD171D"/>
    <w:pPr>
      <w:numPr>
        <w:ilvl w:val="2"/>
        <w:numId w:val="21"/>
      </w:numPr>
    </w:pPr>
  </w:style>
  <w:style w:type="paragraph" w:customStyle="1" w:styleId="BoxDark-HeadingLevel1">
    <w:name w:val="Box Dark - Heading Level 1"/>
    <w:basedOn w:val="BOXHeading2"/>
    <w:uiPriority w:val="9"/>
    <w:rsid w:val="00311C2D"/>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color w:val="FFFFFF" w:themeColor="background1"/>
    </w:rPr>
  </w:style>
  <w:style w:type="paragraph" w:styleId="TOC1">
    <w:name w:val="toc 1"/>
    <w:basedOn w:val="Normal"/>
    <w:next w:val="Normal"/>
    <w:autoRedefine/>
    <w:uiPriority w:val="39"/>
    <w:unhideWhenUsed/>
    <w:rsid w:val="00117A77"/>
    <w:pPr>
      <w:spacing w:after="100"/>
    </w:pPr>
  </w:style>
  <w:style w:type="paragraph" w:styleId="TOC2">
    <w:name w:val="toc 2"/>
    <w:basedOn w:val="Normal"/>
    <w:next w:val="Normal"/>
    <w:autoRedefine/>
    <w:uiPriority w:val="39"/>
    <w:unhideWhenUsed/>
    <w:rsid w:val="00117A77"/>
    <w:pPr>
      <w:spacing w:after="100"/>
      <w:ind w:left="220"/>
    </w:pPr>
  </w:style>
  <w:style w:type="paragraph" w:styleId="TOC3">
    <w:name w:val="toc 3"/>
    <w:basedOn w:val="Normal"/>
    <w:next w:val="Normal"/>
    <w:autoRedefine/>
    <w:uiPriority w:val="39"/>
    <w:unhideWhenUsed/>
    <w:rsid w:val="00117A77"/>
    <w:pPr>
      <w:spacing w:after="100"/>
      <w:ind w:left="440"/>
    </w:pPr>
  </w:style>
  <w:style w:type="character" w:styleId="Hyperlink">
    <w:name w:val="Hyperlink"/>
    <w:basedOn w:val="DefaultParagraphFont"/>
    <w:uiPriority w:val="99"/>
    <w:unhideWhenUsed/>
    <w:rsid w:val="00117A77"/>
    <w:rPr>
      <w:color w:val="007279" w:themeColor="hyperlink"/>
      <w:u w:val="single"/>
    </w:rPr>
  </w:style>
  <w:style w:type="paragraph" w:customStyle="1" w:styleId="BoxDark-HeadingLevel3">
    <w:name w:val="Box Dark - Heading Level 3"/>
    <w:basedOn w:val="BOXHeading3"/>
    <w:uiPriority w:val="9"/>
    <w:rsid w:val="00311C2D"/>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color w:val="FFFFFF" w:themeColor="background1"/>
    </w:rPr>
  </w:style>
  <w:style w:type="paragraph" w:customStyle="1" w:styleId="BoxDark-Text">
    <w:name w:val="Box Dark - Text"/>
    <w:basedOn w:val="BOXText"/>
    <w:uiPriority w:val="7"/>
    <w:rsid w:val="00FE2C7F"/>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rFonts w:ascii="Segoe UI Semilight" w:hAnsi="Segoe UI Semilight"/>
      <w:color w:val="FFFFFF" w:themeColor="background1"/>
    </w:rPr>
  </w:style>
  <w:style w:type="paragraph" w:customStyle="1" w:styleId="BoxDark-BulletedList">
    <w:name w:val="Box Dark - Bulleted List"/>
    <w:basedOn w:val="BOXBulletedList"/>
    <w:uiPriority w:val="8"/>
    <w:rsid w:val="00FE2C7F"/>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rFonts w:ascii="Segoe UI Semilight" w:hAnsi="Segoe UI Semilight"/>
    </w:rPr>
  </w:style>
  <w:style w:type="paragraph" w:customStyle="1" w:styleId="BOXNumberedList">
    <w:name w:val="BOX Numbered List"/>
    <w:basedOn w:val="BOXText"/>
    <w:uiPriority w:val="5"/>
    <w:qFormat/>
    <w:rsid w:val="00BD171D"/>
    <w:pPr>
      <w:numPr>
        <w:numId w:val="28"/>
      </w:numPr>
      <w:ind w:left="584" w:hanging="357"/>
    </w:pPr>
  </w:style>
  <w:style w:type="paragraph" w:customStyle="1" w:styleId="BoxDark-NumberedList">
    <w:name w:val="Box Dark - Numbered List"/>
    <w:basedOn w:val="BOXNumberedList"/>
    <w:uiPriority w:val="8"/>
    <w:rsid w:val="00FE2C7F"/>
    <w:pPr>
      <w:numPr>
        <w:numId w:val="29"/>
      </w:num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ind w:left="584" w:hanging="357"/>
    </w:pPr>
  </w:style>
  <w:style w:type="table" w:customStyle="1" w:styleId="Custom1">
    <w:name w:val="Custom 1"/>
    <w:basedOn w:val="TableNormal"/>
    <w:uiPriority w:val="99"/>
    <w:rsid w:val="00665FB6"/>
    <w:pPr>
      <w:spacing w:after="0" w:line="240" w:lineRule="auto"/>
    </w:pPr>
    <w:rPr>
      <w:sz w:val="18"/>
    </w:rPr>
    <w:tblPr>
      <w:tblStyleRowBandSize w:val="1"/>
      <w:tblBorders>
        <w:top w:val="single" w:sz="4" w:space="0" w:color="007279" w:themeColor="accent1"/>
        <w:bottom w:val="single" w:sz="12" w:space="0" w:color="007279" w:themeColor="accent1"/>
        <w:insideH w:val="single" w:sz="4" w:space="0" w:color="007279" w:themeColor="accent1"/>
      </w:tblBorders>
      <w:tblCellMar>
        <w:top w:w="57" w:type="dxa"/>
        <w:bottom w:w="57" w:type="dxa"/>
      </w:tblCellMar>
    </w:tblPr>
    <w:tblStylePr w:type="firstRow">
      <w:rPr>
        <w:rFonts w:asciiTheme="minorHAnsi" w:hAnsiTheme="minorHAnsi"/>
        <w:b/>
        <w:sz w:val="18"/>
      </w:rPr>
      <w:tblPr/>
      <w:tcPr>
        <w:shd w:val="clear" w:color="auto" w:fill="007279" w:themeFill="accent1"/>
      </w:tcPr>
    </w:tblStylePr>
    <w:tblStylePr w:type="band1Horz">
      <w:tblPr/>
      <w:tcPr>
        <w:shd w:val="clear" w:color="auto" w:fill="D8D8D8" w:themeFill="background2"/>
      </w:tcPr>
    </w:tblStylePr>
  </w:style>
  <w:style w:type="table" w:customStyle="1" w:styleId="Style1">
    <w:name w:val="Style1"/>
    <w:basedOn w:val="Custom1"/>
    <w:uiPriority w:val="99"/>
    <w:rsid w:val="00D500C1"/>
    <w:tblPr>
      <w:tblBorders>
        <w:top w:val="none" w:sz="0" w:space="0" w:color="auto"/>
        <w:left w:val="single" w:sz="4" w:space="0" w:color="007279" w:themeColor="accent1"/>
        <w:bottom w:val="single" w:sz="4" w:space="0" w:color="007279" w:themeColor="accent1"/>
        <w:right w:val="single" w:sz="4" w:space="0" w:color="007279" w:themeColor="accent1"/>
        <w:insideH w:val="none" w:sz="0" w:space="0" w:color="auto"/>
        <w:insideV w:val="single" w:sz="4" w:space="0" w:color="007279" w:themeColor="accent1"/>
      </w:tblBorders>
    </w:tblPr>
    <w:tblStylePr w:type="firstRow">
      <w:rPr>
        <w:rFonts w:asciiTheme="minorHAnsi" w:hAnsiTheme="minorHAnsi"/>
        <w:b/>
        <w:sz w:val="18"/>
      </w:rPr>
      <w:tblPr/>
      <w:tcPr>
        <w:shd w:val="clear" w:color="auto" w:fill="007279" w:themeFill="accent1"/>
      </w:tcPr>
    </w:tblStylePr>
    <w:tblStylePr w:type="firstCol">
      <w:rPr>
        <w:b/>
      </w:rPr>
      <w:tblPr/>
      <w:tcPr>
        <w:shd w:val="clear" w:color="auto" w:fill="007279" w:themeFill="accent1"/>
      </w:tcPr>
    </w:tblStylePr>
    <w:tblStylePr w:type="band1Horz">
      <w:tblPr/>
      <w:tcPr>
        <w:shd w:val="clear" w:color="auto" w:fill="D8D8D8" w:themeFill="background2"/>
      </w:tcPr>
    </w:tblStylePr>
  </w:style>
  <w:style w:type="character" w:styleId="UnresolvedMention">
    <w:name w:val="Unresolved Mention"/>
    <w:basedOn w:val="DefaultParagraphFont"/>
    <w:uiPriority w:val="99"/>
    <w:semiHidden/>
    <w:unhideWhenUsed/>
    <w:rsid w:val="006C7E16"/>
    <w:rPr>
      <w:color w:val="605E5C"/>
      <w:shd w:val="clear" w:color="auto" w:fill="E1DFDD"/>
    </w:rPr>
  </w:style>
  <w:style w:type="paragraph" w:styleId="Revision">
    <w:name w:val="Revision"/>
    <w:hidden/>
    <w:uiPriority w:val="99"/>
    <w:semiHidden/>
    <w:rsid w:val="005F66F9"/>
    <w:pPr>
      <w:spacing w:after="0" w:line="240" w:lineRule="auto"/>
    </w:pPr>
    <w:rPr>
      <w:sz w:val="22"/>
    </w:rPr>
  </w:style>
  <w:style w:type="character" w:styleId="CommentReference">
    <w:name w:val="annotation reference"/>
    <w:basedOn w:val="DefaultParagraphFont"/>
    <w:uiPriority w:val="99"/>
    <w:semiHidden/>
    <w:unhideWhenUsed/>
    <w:rsid w:val="00810E90"/>
    <w:rPr>
      <w:sz w:val="16"/>
      <w:szCs w:val="16"/>
    </w:rPr>
  </w:style>
  <w:style w:type="paragraph" w:styleId="CommentText">
    <w:name w:val="annotation text"/>
    <w:basedOn w:val="Normal"/>
    <w:link w:val="CommentTextChar"/>
    <w:uiPriority w:val="99"/>
    <w:unhideWhenUsed/>
    <w:rsid w:val="00810E90"/>
    <w:pPr>
      <w:spacing w:line="240" w:lineRule="auto"/>
    </w:pPr>
    <w:rPr>
      <w:sz w:val="20"/>
      <w:szCs w:val="20"/>
    </w:rPr>
  </w:style>
  <w:style w:type="character" w:customStyle="1" w:styleId="CommentTextChar">
    <w:name w:val="Comment Text Char"/>
    <w:basedOn w:val="DefaultParagraphFont"/>
    <w:link w:val="CommentText"/>
    <w:uiPriority w:val="99"/>
    <w:rsid w:val="00810E90"/>
    <w:rPr>
      <w:sz w:val="20"/>
      <w:szCs w:val="20"/>
    </w:rPr>
  </w:style>
  <w:style w:type="paragraph" w:styleId="CommentSubject">
    <w:name w:val="annotation subject"/>
    <w:basedOn w:val="CommentText"/>
    <w:next w:val="CommentText"/>
    <w:link w:val="CommentSubjectChar"/>
    <w:uiPriority w:val="99"/>
    <w:semiHidden/>
    <w:unhideWhenUsed/>
    <w:rsid w:val="00810E90"/>
    <w:rPr>
      <w:b/>
      <w:bCs/>
    </w:rPr>
  </w:style>
  <w:style w:type="character" w:customStyle="1" w:styleId="CommentSubjectChar">
    <w:name w:val="Comment Subject Char"/>
    <w:basedOn w:val="CommentTextChar"/>
    <w:link w:val="CommentSubject"/>
    <w:uiPriority w:val="99"/>
    <w:semiHidden/>
    <w:rsid w:val="00810E90"/>
    <w:rPr>
      <w:b/>
      <w:bCs/>
      <w:sz w:val="20"/>
      <w:szCs w:val="20"/>
    </w:rPr>
  </w:style>
  <w:style w:type="character" w:styleId="FollowedHyperlink">
    <w:name w:val="FollowedHyperlink"/>
    <w:basedOn w:val="DefaultParagraphFont"/>
    <w:uiPriority w:val="99"/>
    <w:semiHidden/>
    <w:unhideWhenUsed/>
    <w:rsid w:val="000E5B4B"/>
    <w:rPr>
      <w:color w:val="007279" w:themeColor="followedHyperlink"/>
      <w:u w:val="single"/>
    </w:rPr>
  </w:style>
  <w:style w:type="table" w:customStyle="1" w:styleId="LightGrid-Accent21">
    <w:name w:val="Light Grid - Accent 21"/>
    <w:basedOn w:val="TableNormal"/>
    <w:next w:val="LightGrid-Accent2"/>
    <w:uiPriority w:val="62"/>
    <w:rsid w:val="00A17097"/>
    <w:pPr>
      <w:spacing w:after="0" w:line="240" w:lineRule="auto"/>
    </w:pPr>
    <w:rPr>
      <w:rFonts w:eastAsia="Times New Roman" w:cs="Times New Roman"/>
      <w:sz w:val="24"/>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auto"/>
    </w:tcPr>
    <w:tblStylePr w:type="firstRow">
      <w:pPr>
        <w:spacing w:before="0" w:after="0" w:line="240" w:lineRule="auto"/>
      </w:pPr>
      <w:rPr>
        <w:rFonts w:ascii="Bradley Hand ITC" w:eastAsia="Times New Roman" w:hAnsi="Bradley Hand ITC" w:cs="Times New Roman"/>
        <w:b/>
        <w:bCs/>
      </w:rPr>
      <w:tblPr/>
      <w:tcPr>
        <w:shd w:val="clear" w:color="auto" w:fill="CD0920"/>
      </w:tcPr>
    </w:tblStylePr>
    <w:tblStylePr w:type="lastRow">
      <w:pPr>
        <w:spacing w:before="0" w:after="0" w:line="240" w:lineRule="auto"/>
      </w:pPr>
      <w:rPr>
        <w:rFonts w:ascii="Bradley Hand ITC" w:eastAsia="Times New Roman" w:hAnsi="Bradley Hand ITC"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radley Hand ITC" w:eastAsia="Times New Roman" w:hAnsi="Bradley Hand ITC" w:cs="Times New Roman"/>
        <w:b/>
        <w:bCs/>
      </w:rPr>
    </w:tblStylePr>
    <w:tblStylePr w:type="lastCol">
      <w:rPr>
        <w:rFonts w:ascii="Bradley Hand ITC" w:eastAsia="Times New Roman" w:hAnsi="Bradley Hand ITC"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semiHidden/>
    <w:unhideWhenUsed/>
    <w:rsid w:val="00A17097"/>
    <w:pPr>
      <w:spacing w:after="0" w:line="240" w:lineRule="auto"/>
    </w:pPr>
    <w:tblPr>
      <w:tblStyleRowBandSize w:val="1"/>
      <w:tblStyleColBandSize w:val="1"/>
      <w:tblBorders>
        <w:top w:val="single" w:sz="8" w:space="0" w:color="1C2B39" w:themeColor="accent2"/>
        <w:left w:val="single" w:sz="8" w:space="0" w:color="1C2B39" w:themeColor="accent2"/>
        <w:bottom w:val="single" w:sz="8" w:space="0" w:color="1C2B39" w:themeColor="accent2"/>
        <w:right w:val="single" w:sz="8" w:space="0" w:color="1C2B39" w:themeColor="accent2"/>
        <w:insideH w:val="single" w:sz="8" w:space="0" w:color="1C2B39" w:themeColor="accent2"/>
        <w:insideV w:val="single" w:sz="8" w:space="0" w:color="1C2B3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2B39" w:themeColor="accent2"/>
          <w:left w:val="single" w:sz="8" w:space="0" w:color="1C2B39" w:themeColor="accent2"/>
          <w:bottom w:val="single" w:sz="18" w:space="0" w:color="1C2B39" w:themeColor="accent2"/>
          <w:right w:val="single" w:sz="8" w:space="0" w:color="1C2B39" w:themeColor="accent2"/>
          <w:insideH w:val="nil"/>
          <w:insideV w:val="single" w:sz="8" w:space="0" w:color="1C2B3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2B39" w:themeColor="accent2"/>
          <w:left w:val="single" w:sz="8" w:space="0" w:color="1C2B39" w:themeColor="accent2"/>
          <w:bottom w:val="single" w:sz="8" w:space="0" w:color="1C2B39" w:themeColor="accent2"/>
          <w:right w:val="single" w:sz="8" w:space="0" w:color="1C2B39" w:themeColor="accent2"/>
          <w:insideH w:val="nil"/>
          <w:insideV w:val="single" w:sz="8" w:space="0" w:color="1C2B3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2B39" w:themeColor="accent2"/>
          <w:left w:val="single" w:sz="8" w:space="0" w:color="1C2B39" w:themeColor="accent2"/>
          <w:bottom w:val="single" w:sz="8" w:space="0" w:color="1C2B39" w:themeColor="accent2"/>
          <w:right w:val="single" w:sz="8" w:space="0" w:color="1C2B39" w:themeColor="accent2"/>
        </w:tcBorders>
      </w:tcPr>
    </w:tblStylePr>
    <w:tblStylePr w:type="band1Vert">
      <w:tblPr/>
      <w:tcPr>
        <w:tcBorders>
          <w:top w:val="single" w:sz="8" w:space="0" w:color="1C2B39" w:themeColor="accent2"/>
          <w:left w:val="single" w:sz="8" w:space="0" w:color="1C2B39" w:themeColor="accent2"/>
          <w:bottom w:val="single" w:sz="8" w:space="0" w:color="1C2B39" w:themeColor="accent2"/>
          <w:right w:val="single" w:sz="8" w:space="0" w:color="1C2B39" w:themeColor="accent2"/>
        </w:tcBorders>
        <w:shd w:val="clear" w:color="auto" w:fill="B8CADC" w:themeFill="accent2" w:themeFillTint="3F"/>
      </w:tcPr>
    </w:tblStylePr>
    <w:tblStylePr w:type="band1Horz">
      <w:tblPr/>
      <w:tcPr>
        <w:tcBorders>
          <w:top w:val="single" w:sz="8" w:space="0" w:color="1C2B39" w:themeColor="accent2"/>
          <w:left w:val="single" w:sz="8" w:space="0" w:color="1C2B39" w:themeColor="accent2"/>
          <w:bottom w:val="single" w:sz="8" w:space="0" w:color="1C2B39" w:themeColor="accent2"/>
          <w:right w:val="single" w:sz="8" w:space="0" w:color="1C2B39" w:themeColor="accent2"/>
          <w:insideV w:val="single" w:sz="8" w:space="0" w:color="1C2B39" w:themeColor="accent2"/>
        </w:tcBorders>
        <w:shd w:val="clear" w:color="auto" w:fill="B8CADC" w:themeFill="accent2" w:themeFillTint="3F"/>
      </w:tcPr>
    </w:tblStylePr>
    <w:tblStylePr w:type="band2Horz">
      <w:tblPr/>
      <w:tcPr>
        <w:tcBorders>
          <w:top w:val="single" w:sz="8" w:space="0" w:color="1C2B39" w:themeColor="accent2"/>
          <w:left w:val="single" w:sz="8" w:space="0" w:color="1C2B39" w:themeColor="accent2"/>
          <w:bottom w:val="single" w:sz="8" w:space="0" w:color="1C2B39" w:themeColor="accent2"/>
          <w:right w:val="single" w:sz="8" w:space="0" w:color="1C2B39" w:themeColor="accent2"/>
          <w:insideV w:val="single" w:sz="8" w:space="0" w:color="1C2B39" w:themeColor="accent2"/>
        </w:tcBorders>
      </w:tcPr>
    </w:tblStylePr>
  </w:style>
  <w:style w:type="paragraph" w:customStyle="1" w:styleId="Default">
    <w:name w:val="Default"/>
    <w:rsid w:val="008A3133"/>
    <w:pPr>
      <w:autoSpaceDE w:val="0"/>
      <w:autoSpaceDN w:val="0"/>
      <w:adjustRightInd w:val="0"/>
      <w:spacing w:after="0" w:line="240" w:lineRule="auto"/>
    </w:pPr>
    <w:rPr>
      <w:rFonts w:ascii="Inter Light" w:hAnsi="Inter Light" w:cs="Inter Light"/>
      <w:color w:val="000000"/>
      <w:sz w:val="24"/>
      <w:szCs w:val="24"/>
    </w:rPr>
  </w:style>
  <w:style w:type="character" w:customStyle="1" w:styleId="A9">
    <w:name w:val="A9"/>
    <w:uiPriority w:val="99"/>
    <w:rsid w:val="008A3133"/>
    <w:rPr>
      <w:rFonts w:cs="Inter Light"/>
      <w:color w:val="042534"/>
    </w:rPr>
  </w:style>
  <w:style w:type="paragraph" w:customStyle="1" w:styleId="Bullet">
    <w:name w:val="Bullet"/>
    <w:aliases w:val="Body,Bullet + line,b,b + line,b1,level 1"/>
    <w:basedOn w:val="Normal"/>
    <w:link w:val="BulletChar"/>
    <w:qFormat/>
    <w:rsid w:val="00996376"/>
    <w:pPr>
      <w:numPr>
        <w:numId w:val="41"/>
      </w:numPr>
    </w:pPr>
    <w:rPr>
      <w:rFonts w:ascii="Segoe UI" w:hAnsi="Segoe UI"/>
      <w:color w:val="auto"/>
    </w:rPr>
  </w:style>
  <w:style w:type="character" w:customStyle="1" w:styleId="BulletChar">
    <w:name w:val="Bullet Char"/>
    <w:basedOn w:val="DefaultParagraphFont"/>
    <w:link w:val="Bullet"/>
    <w:rsid w:val="00996376"/>
    <w:rPr>
      <w:rFonts w:ascii="Segoe UI" w:hAnsi="Segoe UI"/>
      <w:sz w:val="22"/>
    </w:rPr>
  </w:style>
  <w:style w:type="paragraph" w:customStyle="1" w:styleId="Dash">
    <w:name w:val="Dash"/>
    <w:basedOn w:val="Normal"/>
    <w:rsid w:val="00996376"/>
    <w:pPr>
      <w:numPr>
        <w:ilvl w:val="1"/>
        <w:numId w:val="41"/>
      </w:numPr>
    </w:pPr>
    <w:rPr>
      <w:rFonts w:ascii="Segoe UI" w:hAnsi="Segoe UI"/>
      <w:color w:val="auto"/>
    </w:rPr>
  </w:style>
  <w:style w:type="paragraph" w:customStyle="1" w:styleId="DoubleDot">
    <w:name w:val="Double Dot"/>
    <w:basedOn w:val="Normal"/>
    <w:rsid w:val="00996376"/>
    <w:pPr>
      <w:numPr>
        <w:ilvl w:val="2"/>
        <w:numId w:val="41"/>
      </w:numPr>
    </w:pPr>
    <w:rPr>
      <w:rFonts w:ascii="Segoe UI" w:hAnsi="Segoe UI"/>
      <w:color w:val="auto"/>
    </w:rPr>
  </w:style>
  <w:style w:type="paragraph" w:styleId="NormalWeb">
    <w:name w:val="Normal (Web)"/>
    <w:basedOn w:val="Normal"/>
    <w:uiPriority w:val="99"/>
    <w:semiHidden/>
    <w:unhideWhenUsed/>
    <w:rsid w:val="0099637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OutlineNumbered1">
    <w:name w:val="Outline Numbered 1"/>
    <w:basedOn w:val="Normal"/>
    <w:link w:val="OutlineNumbered1Char"/>
    <w:rsid w:val="00ED7798"/>
    <w:pPr>
      <w:numPr>
        <w:numId w:val="45"/>
      </w:numPr>
    </w:pPr>
    <w:rPr>
      <w:rFonts w:ascii="Segoe UI" w:hAnsi="Segoe UI"/>
    </w:rPr>
  </w:style>
  <w:style w:type="character" w:customStyle="1" w:styleId="OutlineNumbered1Char">
    <w:name w:val="Outline Numbered 1 Char"/>
    <w:basedOn w:val="BulletChar"/>
    <w:link w:val="OutlineNumbered1"/>
    <w:rsid w:val="00ED7798"/>
    <w:rPr>
      <w:rFonts w:ascii="Segoe UI" w:hAnsi="Segoe UI"/>
      <w:color w:val="262626" w:themeColor="text1" w:themeTint="D9"/>
      <w:sz w:val="22"/>
    </w:rPr>
  </w:style>
  <w:style w:type="paragraph" w:customStyle="1" w:styleId="OutlineNumbered2">
    <w:name w:val="Outline Numbered 2"/>
    <w:basedOn w:val="Normal"/>
    <w:link w:val="OutlineNumbered2Char"/>
    <w:rsid w:val="00ED7798"/>
    <w:pPr>
      <w:numPr>
        <w:ilvl w:val="1"/>
        <w:numId w:val="45"/>
      </w:numPr>
    </w:pPr>
    <w:rPr>
      <w:rFonts w:ascii="Segoe UI" w:hAnsi="Segoe UI"/>
    </w:rPr>
  </w:style>
  <w:style w:type="character" w:customStyle="1" w:styleId="OutlineNumbered2Char">
    <w:name w:val="Outline Numbered 2 Char"/>
    <w:basedOn w:val="BulletChar"/>
    <w:link w:val="OutlineNumbered2"/>
    <w:rsid w:val="00ED7798"/>
    <w:rPr>
      <w:rFonts w:ascii="Segoe UI" w:hAnsi="Segoe UI"/>
      <w:color w:val="262626" w:themeColor="text1" w:themeTint="D9"/>
      <w:sz w:val="22"/>
    </w:rPr>
  </w:style>
  <w:style w:type="paragraph" w:customStyle="1" w:styleId="OutlineNumbered3">
    <w:name w:val="Outline Numbered 3"/>
    <w:basedOn w:val="Normal"/>
    <w:link w:val="OutlineNumbered3Char"/>
    <w:rsid w:val="00ED7798"/>
    <w:pPr>
      <w:numPr>
        <w:ilvl w:val="2"/>
        <w:numId w:val="45"/>
      </w:numPr>
    </w:pPr>
    <w:rPr>
      <w:rFonts w:ascii="Segoe UI" w:hAnsi="Segoe UI"/>
    </w:rPr>
  </w:style>
  <w:style w:type="character" w:customStyle="1" w:styleId="OutlineNumbered3Char">
    <w:name w:val="Outline Numbered 3 Char"/>
    <w:basedOn w:val="BulletChar"/>
    <w:link w:val="OutlineNumbered3"/>
    <w:rsid w:val="00ED7798"/>
    <w:rPr>
      <w:rFonts w:ascii="Segoe UI" w:hAnsi="Segoe UI"/>
      <w:color w:val="262626" w:themeColor="text1" w:themeTint="D9"/>
      <w:sz w:val="22"/>
    </w:rPr>
  </w:style>
  <w:style w:type="character" w:styleId="Mention">
    <w:name w:val="Mention"/>
    <w:basedOn w:val="DefaultParagraphFont"/>
    <w:uiPriority w:val="99"/>
    <w:unhideWhenUsed/>
    <w:rsid w:val="00835A26"/>
    <w:rPr>
      <w:color w:val="2B579A"/>
      <w:shd w:val="clear" w:color="auto" w:fill="E1DFDD"/>
    </w:rPr>
  </w:style>
  <w:style w:type="paragraph" w:customStyle="1" w:styleId="CABHeading2">
    <w:name w:val="CAB Heading 2."/>
    <w:basedOn w:val="Normal"/>
    <w:link w:val="CABHeading2Char"/>
    <w:uiPriority w:val="98"/>
    <w:qFormat/>
    <w:rsid w:val="00405E85"/>
    <w:pPr>
      <w:keepNext/>
      <w:keepLines/>
      <w:tabs>
        <w:tab w:val="left" w:pos="567"/>
      </w:tabs>
      <w:spacing w:before="200" w:after="0" w:line="240" w:lineRule="auto"/>
      <w:outlineLvl w:val="0"/>
    </w:pPr>
    <w:rPr>
      <w:rFonts w:ascii="Arial" w:eastAsiaTheme="majorEastAsia" w:hAnsi="Arial" w:cstheme="majorBidi"/>
      <w:b/>
      <w:bCs/>
      <w:color w:val="003865"/>
      <w:sz w:val="24"/>
      <w:szCs w:val="28"/>
    </w:rPr>
  </w:style>
  <w:style w:type="character" w:customStyle="1" w:styleId="CABHeading2Char">
    <w:name w:val="CAB Heading 2. Char"/>
    <w:basedOn w:val="DefaultParagraphFont"/>
    <w:link w:val="CABHeading2"/>
    <w:uiPriority w:val="98"/>
    <w:rsid w:val="00405E85"/>
    <w:rPr>
      <w:rFonts w:ascii="Arial" w:eastAsiaTheme="majorEastAsia" w:hAnsi="Arial" w:cstheme="majorBidi"/>
      <w:b/>
      <w:bCs/>
      <w:color w:val="003865"/>
      <w:sz w:val="24"/>
      <w:szCs w:val="28"/>
    </w:rPr>
  </w:style>
  <w:style w:type="paragraph" w:styleId="FootnoteText">
    <w:name w:val="footnote text"/>
    <w:basedOn w:val="Normal"/>
    <w:link w:val="FootnoteTextChar"/>
    <w:uiPriority w:val="99"/>
    <w:semiHidden/>
    <w:unhideWhenUsed/>
    <w:rsid w:val="005211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117F"/>
    <w:rPr>
      <w:color w:val="262626" w:themeColor="text1" w:themeTint="D9"/>
      <w:sz w:val="20"/>
      <w:szCs w:val="20"/>
    </w:rPr>
  </w:style>
  <w:style w:type="character" w:styleId="FootnoteReference">
    <w:name w:val="footnote reference"/>
    <w:basedOn w:val="DefaultParagraphFont"/>
    <w:uiPriority w:val="99"/>
    <w:semiHidden/>
    <w:unhideWhenUsed/>
    <w:rsid w:val="0052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85144">
      <w:bodyDiv w:val="1"/>
      <w:marLeft w:val="0"/>
      <w:marRight w:val="0"/>
      <w:marTop w:val="0"/>
      <w:marBottom w:val="0"/>
      <w:divBdr>
        <w:top w:val="none" w:sz="0" w:space="0" w:color="auto"/>
        <w:left w:val="none" w:sz="0" w:space="0" w:color="auto"/>
        <w:bottom w:val="none" w:sz="0" w:space="0" w:color="auto"/>
        <w:right w:val="none" w:sz="0" w:space="0" w:color="auto"/>
      </w:divBdr>
    </w:div>
    <w:div w:id="18738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6">
      <a:dk1>
        <a:srgbClr val="000000"/>
      </a:dk1>
      <a:lt1>
        <a:srgbClr val="FFFFFF"/>
      </a:lt1>
      <a:dk2>
        <a:srgbClr val="0F1F35"/>
      </a:dk2>
      <a:lt2>
        <a:srgbClr val="D8D8D8"/>
      </a:lt2>
      <a:accent1>
        <a:srgbClr val="007279"/>
      </a:accent1>
      <a:accent2>
        <a:srgbClr val="1C2B39"/>
      </a:accent2>
      <a:accent3>
        <a:srgbClr val="F26337"/>
      </a:accent3>
      <a:accent4>
        <a:srgbClr val="4BADB0"/>
      </a:accent4>
      <a:accent5>
        <a:srgbClr val="B75B53"/>
      </a:accent5>
      <a:accent6>
        <a:srgbClr val="FCB76C"/>
      </a:accent6>
      <a:hlink>
        <a:srgbClr val="007279"/>
      </a:hlink>
      <a:folHlink>
        <a:srgbClr val="007279"/>
      </a:folHlink>
    </a:clrScheme>
    <a:fontScheme name="PM&amp;C light">
      <a:majorFont>
        <a:latin typeface="Times New Roman"/>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3172</Words>
  <Characters>18084</Characters>
  <Application>Microsoft Office Word</Application>
  <DocSecurity>0</DocSecurity>
  <Lines>150</Lines>
  <Paragraphs>42</Paragraphs>
  <ScaleCrop>false</ScaleCrop>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Sugden, Robert</cp:lastModifiedBy>
  <cp:revision>2</cp:revision>
  <dcterms:created xsi:type="dcterms:W3CDTF">2026-08-25T05:23:00Z</dcterms:created>
  <dcterms:modified xsi:type="dcterms:W3CDTF">2026-08-25T05:24:00Z</dcterms:modified>
</cp:coreProperties>
</file>