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A7F0A" w14:textId="09D93708" w:rsidR="00A62EF3" w:rsidRPr="002455AE" w:rsidRDefault="005272E6" w:rsidP="006D71DA">
      <w:pPr>
        <w:pStyle w:val="Title"/>
        <w:spacing w:after="40"/>
        <w:rPr>
          <w:rFonts w:ascii="Calibri" w:hAnsi="Calibri" w:cs="Calibri"/>
          <w:sz w:val="40"/>
          <w:szCs w:val="40"/>
        </w:rPr>
      </w:pPr>
      <w:bookmarkStart w:id="0" w:name="_Toc96326909"/>
      <w:r w:rsidRPr="002455AE">
        <w:rPr>
          <w:rFonts w:ascii="Calibri" w:hAnsi="Calibri" w:cs="Calibri"/>
          <w:sz w:val="40"/>
          <w:szCs w:val="40"/>
        </w:rPr>
        <w:t>The New Managed Growth Funding System</w:t>
      </w:r>
    </w:p>
    <w:p w14:paraId="671883E3" w14:textId="7DDC4670" w:rsidR="00A62EF3" w:rsidRPr="002455AE" w:rsidRDefault="005505E3" w:rsidP="00A62EF3">
      <w:pPr>
        <w:pStyle w:val="Subtitle"/>
        <w:rPr>
          <w:rFonts w:cs="Calibri Light"/>
          <w:sz w:val="24"/>
          <w:szCs w:val="24"/>
        </w:rPr>
      </w:pPr>
      <w:r w:rsidRPr="002455AE">
        <w:rPr>
          <w:rFonts w:cs="Calibri Light"/>
          <w:sz w:val="24"/>
          <w:szCs w:val="24"/>
        </w:rPr>
        <w:t>Department of Education</w:t>
      </w:r>
    </w:p>
    <w:p w14:paraId="328892D4" w14:textId="77777777" w:rsidR="00A62EF3" w:rsidRDefault="00205AAF" w:rsidP="00C13310">
      <w:pPr>
        <w:pStyle w:val="BOXHeading2"/>
        <w:ind w:firstLine="493"/>
        <w:rPr>
          <w:noProof/>
        </w:rPr>
      </w:pPr>
      <w:r>
        <w:rPr>
          <w:noProof/>
        </w:rPr>
        <w:pict w14:anchorId="33E951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75pt;margin-top:47.05pt;width:33.9pt;height:33.9pt;z-index:251658242;mso-wrap-edited:f;mso-position-horizontal-relative:margin;mso-position-vertical-relative:margin">
            <v:imagedata r:id="rId7" o:title="Icons28"/>
            <w10:wrap anchorx="margin" anchory="margin"/>
          </v:shape>
        </w:pict>
      </w:r>
      <w:r w:rsidR="00386358">
        <w:rPr>
          <w:noProof/>
        </w:rPr>
        <w:t xml:space="preserve">  The policy problem</w:t>
      </w:r>
      <w:bookmarkEnd w:id="0"/>
      <w:r w:rsidR="00386358">
        <w:rPr>
          <w:noProof/>
        </w:rPr>
        <w:t xml:space="preserve"> and preferred policy approach</w:t>
      </w:r>
    </w:p>
    <w:p w14:paraId="54E69089" w14:textId="77777777" w:rsidR="00262DDD" w:rsidRDefault="00262DDD" w:rsidP="00262DDD">
      <w:pPr>
        <w:pStyle w:val="BOXText"/>
        <w:pBdr>
          <w:bottom w:val="single" w:sz="48" w:space="0" w:color="F2F2F2" w:themeColor="background1" w:themeShade="F2"/>
        </w:pBdr>
        <w:spacing w:after="0" w:line="240" w:lineRule="auto"/>
      </w:pPr>
      <w:r>
        <w:rPr>
          <w:rFonts w:ascii="Calibri" w:hAnsi="Calibri" w:cs="Calibri"/>
          <w:szCs w:val="18"/>
        </w:rPr>
        <w:t>Australia’s current higher education funding system cannot deliver the growth (particularly from equity students) needed to meet the Government’s target of 80% tertiary attainment by 2050. This target would require Commonwealth supported students to more than double, from around 860,000 in 2022 to about 1.2 million by 2035, and 1.8 million by 2050. There are three key problems:</w:t>
      </w:r>
    </w:p>
    <w:p w14:paraId="2C43C58A" w14:textId="77777777" w:rsidR="00262DDD" w:rsidRDefault="00262DDD" w:rsidP="00262DDD">
      <w:pPr>
        <w:pStyle w:val="BOXBulletedList"/>
        <w:pBdr>
          <w:bottom w:val="single" w:sz="48" w:space="0" w:color="F2F2F2" w:themeColor="background1" w:themeShade="F2"/>
        </w:pBdr>
        <w:spacing w:after="0" w:line="240" w:lineRule="auto"/>
      </w:pPr>
      <w:r>
        <w:rPr>
          <w:rFonts w:ascii="Calibri" w:hAnsi="Calibri" w:cs="Calibri"/>
          <w:b/>
          <w:szCs w:val="18"/>
        </w:rPr>
        <w:t>Growth is misaligned to demand</w:t>
      </w:r>
      <w:r>
        <w:rPr>
          <w:rFonts w:ascii="Calibri" w:hAnsi="Calibri" w:cs="Calibri"/>
          <w:szCs w:val="18"/>
        </w:rPr>
        <w:t xml:space="preserve"> — funding growth is currently based on campus location, not demand, causing marginally funded over-enrolment in metropolitan universities and under-enrolment in regional ones.</w:t>
      </w:r>
    </w:p>
    <w:p w14:paraId="3EFE1CF2" w14:textId="77777777" w:rsidR="00262DDD" w:rsidRDefault="00262DDD" w:rsidP="00262DDD">
      <w:pPr>
        <w:pStyle w:val="BOXBulletedList"/>
        <w:pBdr>
          <w:bottom w:val="single" w:sz="48" w:space="0" w:color="F2F2F2" w:themeColor="background1" w:themeShade="F2"/>
        </w:pBdr>
        <w:spacing w:after="0" w:line="240" w:lineRule="auto"/>
      </w:pPr>
      <w:r>
        <w:rPr>
          <w:rFonts w:ascii="Calibri" w:hAnsi="Calibri" w:cs="Calibri"/>
          <w:b/>
          <w:szCs w:val="18"/>
        </w:rPr>
        <w:t>Equity students remain under-represented</w:t>
      </w:r>
      <w:r>
        <w:rPr>
          <w:rFonts w:ascii="Calibri" w:hAnsi="Calibri" w:cs="Calibri"/>
          <w:szCs w:val="18"/>
        </w:rPr>
        <w:t xml:space="preserve"> — the low-SES share of undergraduates has barely shifted since 2008 (16.1% to 16.6% in 2024); First Nations, regional, remote and disability cohorts also lag.</w:t>
      </w:r>
    </w:p>
    <w:p w14:paraId="35A93347" w14:textId="77777777" w:rsidR="00262DDD" w:rsidRDefault="00262DDD" w:rsidP="00262DDD">
      <w:pPr>
        <w:pStyle w:val="BOXBulletedList"/>
        <w:pBdr>
          <w:bottom w:val="single" w:sz="48" w:space="0" w:color="F2F2F2" w:themeColor="background1" w:themeShade="F2"/>
        </w:pBdr>
        <w:spacing w:after="0" w:line="240" w:lineRule="auto"/>
      </w:pPr>
      <w:r>
        <w:rPr>
          <w:rFonts w:ascii="Calibri" w:hAnsi="Calibri" w:cs="Calibri"/>
          <w:b/>
          <w:szCs w:val="18"/>
        </w:rPr>
        <w:t>A 2026 funding cliff looms</w:t>
      </w:r>
      <w:r>
        <w:rPr>
          <w:rFonts w:ascii="Calibri" w:hAnsi="Calibri" w:cs="Calibri"/>
          <w:szCs w:val="18"/>
        </w:rPr>
        <w:t xml:space="preserve"> — with the Higher Education Continuity Guarantee ending in 2025, three (mostly regional) universities face a projected fall in teaching funding of around 20% and six more around 10% falls.</w:t>
      </w:r>
    </w:p>
    <w:p w14:paraId="3720E995" w14:textId="77777777" w:rsidR="00262DDD" w:rsidRDefault="00262DDD" w:rsidP="00262DDD">
      <w:pPr>
        <w:pStyle w:val="BOXText"/>
        <w:pBdr>
          <w:bottom w:val="single" w:sz="48" w:space="0" w:color="F2F2F2" w:themeColor="background1" w:themeShade="F2"/>
        </w:pBdr>
        <w:spacing w:after="0" w:line="240" w:lineRule="auto"/>
      </w:pPr>
      <w:r w:rsidRPr="24353C54">
        <w:rPr>
          <w:rFonts w:ascii="Calibri" w:hAnsi="Calibri" w:cs="Calibri"/>
          <w:b/>
          <w:bCs/>
        </w:rPr>
        <w:t xml:space="preserve">Preferred approach — Option 3 (Domestic Student Profile): </w:t>
      </w:r>
      <w:r w:rsidRPr="24353C54">
        <w:rPr>
          <w:rFonts w:ascii="Calibri" w:hAnsi="Calibri" w:cs="Calibri"/>
        </w:rPr>
        <w:t>A new Managed Growth Funding System stewarded by the Australian Tertiary Education Commission (ATEC), with a transition year in 2026 and full rollout in 2027 is the preferred approach. The ATEC will allocate each eligible provider a Domestic Student Profile for Commonwealth supported places, capping fully funded places, eased by an over-enrolment buffer and glidepath. Equity places are effectively uncapped system-wide, allowing for participation to grow for low-SES, regional/remote and Indigenous. A temporary funding floor will protect Table A providers during the transition until the end of 2031.</w:t>
      </w:r>
    </w:p>
    <w:p w14:paraId="01EB99B9" w14:textId="33D9DC0E" w:rsidR="005505E3" w:rsidRPr="00D859BB" w:rsidRDefault="00205AAF" w:rsidP="003C1C2C">
      <w:pPr>
        <w:pStyle w:val="BOXHeading2"/>
        <w:spacing w:before="20"/>
        <w:ind w:firstLine="493"/>
      </w:pPr>
      <w:r>
        <w:rPr>
          <w:noProof/>
        </w:rPr>
        <w:pict w14:anchorId="2A0DAAE5">
          <v:shape id="_x0000_s2050" type="#_x0000_t75" style="position:absolute;left:0;text-align:left;margin-left:0;margin-top:293.4pt;width:32pt;height:32pt;z-index:251658241;mso-wrap-edited:f;mso-position-horizontal-relative:margin;mso-position-vertical-relative:margin">
            <v:imagedata r:id="rId8" o:title="Icons16"/>
            <w10:wrap anchorx="margin" anchory="margin"/>
          </v:shape>
        </w:pict>
      </w:r>
      <w:r w:rsidR="00386358">
        <w:t xml:space="preserve">  Impact Analysis</w:t>
      </w:r>
    </w:p>
    <w:tbl>
      <w:tblPr>
        <w:tblStyle w:val="Custom11"/>
        <w:tblW w:w="5000" w:type="pct"/>
        <w:tblLook w:val="0420" w:firstRow="1" w:lastRow="0" w:firstColumn="0" w:lastColumn="0" w:noHBand="0" w:noVBand="1"/>
        <w:tblCaption w:val="Table with horizontal lines"/>
        <w:tblDescription w:val="This is an example of alt text."/>
      </w:tblPr>
      <w:tblGrid>
        <w:gridCol w:w="10772"/>
      </w:tblGrid>
      <w:tr w:rsidR="00152412" w:rsidRPr="005505E3" w14:paraId="11EE06D4" w14:textId="77777777" w:rsidTr="19113902">
        <w:trPr>
          <w:cnfStyle w:val="100000000000" w:firstRow="1" w:lastRow="0" w:firstColumn="0" w:lastColumn="0" w:oddVBand="0" w:evenVBand="0" w:oddHBand="0" w:evenHBand="0" w:firstRowFirstColumn="0" w:firstRowLastColumn="0" w:lastRowFirstColumn="0" w:lastRowLastColumn="0"/>
          <w:cantSplit/>
          <w:trHeight w:val="370"/>
          <w:tblHeader/>
        </w:trPr>
        <w:tc>
          <w:tcPr>
            <w:tcW w:w="5000" w:type="pct"/>
            <w:tcBorders>
              <w:top w:val="single" w:sz="2" w:space="0" w:color="FFFFFF" w:themeColor="background1"/>
              <w:bottom w:val="single" w:sz="4" w:space="0" w:color="778E61" w:themeColor="accent2"/>
            </w:tcBorders>
            <w:shd w:val="clear" w:color="auto" w:fill="1C2B39"/>
          </w:tcPr>
          <w:p w14:paraId="46750282" w14:textId="77777777" w:rsidR="00152412" w:rsidRPr="00152412" w:rsidRDefault="00BE0F4D" w:rsidP="005505E3">
            <w:pPr>
              <w:spacing w:after="0" w:line="240" w:lineRule="auto"/>
              <w:rPr>
                <w:rFonts w:ascii="Calibri" w:hAnsi="Calibri" w:cs="Calibri"/>
                <w:b w:val="0"/>
                <w:color w:val="FFFFFF" w:themeColor="background1"/>
                <w:sz w:val="24"/>
                <w:szCs w:val="18"/>
              </w:rPr>
            </w:pPr>
            <w:r>
              <w:rPr>
                <w:rFonts w:ascii="Calibri" w:hAnsi="Calibri" w:cs="Calibri"/>
                <w:color w:val="FFFFFF" w:themeColor="background1"/>
                <w:sz w:val="24"/>
                <w:szCs w:val="18"/>
              </w:rPr>
              <w:t>Impacts</w:t>
            </w:r>
          </w:p>
        </w:tc>
      </w:tr>
      <w:tr w:rsidR="0044397A" w:rsidRPr="005505E3" w14:paraId="27DCFC32" w14:textId="77777777" w:rsidTr="19113902">
        <w:trPr>
          <w:cnfStyle w:val="000000100000" w:firstRow="0" w:lastRow="0" w:firstColumn="0" w:lastColumn="0" w:oddVBand="0" w:evenVBand="0" w:oddHBand="1" w:evenHBand="0" w:firstRowFirstColumn="0" w:firstRowLastColumn="0" w:lastRowFirstColumn="0" w:lastRowLastColumn="0"/>
          <w:trHeight w:val="979"/>
        </w:trPr>
        <w:tc>
          <w:tcPr>
            <w:tcW w:w="5000" w:type="pct"/>
            <w:tcBorders>
              <w:top w:val="single" w:sz="4" w:space="0" w:color="778E61" w:themeColor="accent2"/>
            </w:tcBorders>
            <w:shd w:val="clear" w:color="auto" w:fill="D8E2EC"/>
          </w:tcPr>
          <w:p w14:paraId="39728DE6" w14:textId="77777777" w:rsidR="00262DDD" w:rsidRPr="00776B3B" w:rsidRDefault="00262DDD" w:rsidP="00262DDD">
            <w:pPr>
              <w:spacing w:after="0" w:line="240" w:lineRule="auto"/>
              <w:rPr>
                <w:sz w:val="20"/>
              </w:rPr>
            </w:pPr>
            <w:r w:rsidRPr="00776B3B">
              <w:rPr>
                <w:rFonts w:ascii="Calibri" w:hAnsi="Calibri" w:cs="Calibri"/>
                <w:sz w:val="20"/>
              </w:rPr>
              <w:t>Informed by two years of consultation (the Accord Review’s ~2,000 submissions and an Implementation Advisory Committee), the impact of Option 3 vs the status quo includes:</w:t>
            </w:r>
          </w:p>
          <w:p w14:paraId="7ABA9268" w14:textId="77777777" w:rsidR="00262DDD" w:rsidRPr="00776B3B" w:rsidRDefault="00262DDD" w:rsidP="00262DDD">
            <w:pPr>
              <w:pStyle w:val="ListParagraph"/>
              <w:numPr>
                <w:ilvl w:val="0"/>
                <w:numId w:val="41"/>
              </w:numPr>
              <w:spacing w:after="0" w:line="240" w:lineRule="auto"/>
              <w:rPr>
                <w:sz w:val="20"/>
              </w:rPr>
            </w:pPr>
            <w:r w:rsidRPr="00776B3B">
              <w:rPr>
                <w:rFonts w:ascii="Calibri" w:hAnsi="Calibri" w:cs="Calibri"/>
                <w:b/>
                <w:sz w:val="20"/>
              </w:rPr>
              <w:t>Government expenditure</w:t>
            </w:r>
            <w:r w:rsidRPr="00776B3B">
              <w:rPr>
                <w:rFonts w:ascii="Calibri" w:hAnsi="Calibri" w:cs="Calibri"/>
                <w:sz w:val="20"/>
              </w:rPr>
              <w:t xml:space="preserve"> — short-term fiscal costs are fully offset by ceasing Job-ready Graduates campus-based growth funding. Funding-floor payments to under-enrolled (mostly regional) universities are projected to fall from ~$253m (2026) to ~$8m (2029), with none expected by 2031.</w:t>
            </w:r>
          </w:p>
          <w:p w14:paraId="628FA886" w14:textId="77777777" w:rsidR="00262DDD" w:rsidRPr="00776B3B" w:rsidRDefault="00262DDD" w:rsidP="00262DDD">
            <w:pPr>
              <w:pStyle w:val="ListParagraph"/>
              <w:numPr>
                <w:ilvl w:val="0"/>
                <w:numId w:val="41"/>
              </w:numPr>
              <w:spacing w:after="0" w:line="240" w:lineRule="auto"/>
              <w:rPr>
                <w:sz w:val="20"/>
              </w:rPr>
            </w:pPr>
            <w:r w:rsidRPr="00776B3B">
              <w:rPr>
                <w:rFonts w:ascii="Calibri" w:hAnsi="Calibri" w:cs="Calibri"/>
                <w:b/>
                <w:sz w:val="20"/>
              </w:rPr>
              <w:t>Benefits to students and workers</w:t>
            </w:r>
            <w:r w:rsidRPr="00776B3B">
              <w:rPr>
                <w:rFonts w:ascii="Calibri" w:hAnsi="Calibri" w:cs="Calibri"/>
                <w:sz w:val="20"/>
              </w:rPr>
              <w:t xml:space="preserve"> — modelling estimates ~$190bn (2023 dollars) in extra worker earnings to 2050 from reaching 55% attainment ($240bn for broader tertiary targets); higher attainment lifts lifetime earnings 60–90%.</w:t>
            </w:r>
          </w:p>
          <w:p w14:paraId="3C41098D" w14:textId="77777777" w:rsidR="00262DDD" w:rsidRPr="00776B3B" w:rsidRDefault="00262DDD" w:rsidP="00262DDD">
            <w:pPr>
              <w:pStyle w:val="ListParagraph"/>
              <w:numPr>
                <w:ilvl w:val="0"/>
                <w:numId w:val="41"/>
              </w:numPr>
              <w:spacing w:after="0" w:line="240" w:lineRule="auto"/>
              <w:rPr>
                <w:sz w:val="20"/>
              </w:rPr>
            </w:pPr>
            <w:r w:rsidRPr="00776B3B">
              <w:rPr>
                <w:rFonts w:ascii="Calibri" w:hAnsi="Calibri" w:cs="Calibri"/>
                <w:b/>
                <w:bCs/>
                <w:sz w:val="20"/>
              </w:rPr>
              <w:t>More places where they are needed</w:t>
            </w:r>
            <w:r w:rsidRPr="00776B3B">
              <w:rPr>
                <w:rFonts w:ascii="Calibri" w:hAnsi="Calibri" w:cs="Calibri"/>
                <w:sz w:val="20"/>
              </w:rPr>
              <w:t xml:space="preserve"> — an estimated 25,000 more fully funded places than the status quo in 2029 and 82,000 in 2035</w:t>
            </w:r>
            <w:r>
              <w:rPr>
                <w:rFonts w:ascii="Calibri" w:hAnsi="Calibri" w:cs="Calibri"/>
                <w:sz w:val="20"/>
              </w:rPr>
              <w:t>.</w:t>
            </w:r>
          </w:p>
          <w:p w14:paraId="2F4FEA51" w14:textId="26183D24" w:rsidR="00E40F87" w:rsidRDefault="00262DDD" w:rsidP="00262DDD">
            <w:pPr>
              <w:pStyle w:val="ListParagraph"/>
              <w:numPr>
                <w:ilvl w:val="0"/>
                <w:numId w:val="41"/>
              </w:numPr>
              <w:spacing w:after="0" w:line="240" w:lineRule="auto"/>
              <w:rPr>
                <w:szCs w:val="18"/>
              </w:rPr>
            </w:pPr>
            <w:r w:rsidRPr="00776B3B">
              <w:rPr>
                <w:rFonts w:ascii="Calibri" w:hAnsi="Calibri" w:cs="Calibri"/>
                <w:b/>
                <w:sz w:val="20"/>
              </w:rPr>
              <w:t>Regulatory burden</w:t>
            </w:r>
            <w:r w:rsidRPr="00776B3B">
              <w:rPr>
                <w:rFonts w:ascii="Calibri" w:hAnsi="Calibri" w:cs="Calibri"/>
                <w:sz w:val="20"/>
              </w:rPr>
              <w:t xml:space="preserve"> — a 10-year average regulatory costs of ~$1.82m/year, below Option 2 ($1.91m); a multi-criteria analysis ranks Option 3 highest overall.</w:t>
            </w:r>
          </w:p>
        </w:tc>
      </w:tr>
    </w:tbl>
    <w:p w14:paraId="63C3CAAD" w14:textId="77777777" w:rsidR="002D37AE" w:rsidRPr="005C66F5" w:rsidRDefault="005C66F5" w:rsidP="005C66F5">
      <w:pPr>
        <w:pBdr>
          <w:top w:val="single" w:sz="8" w:space="1" w:color="auto"/>
          <w:left w:val="single" w:sz="8" w:space="4" w:color="auto"/>
          <w:bottom w:val="single" w:sz="8" w:space="1" w:color="auto"/>
          <w:right w:val="single" w:sz="8" w:space="4" w:color="auto"/>
        </w:pBdr>
        <w:shd w:val="clear" w:color="auto" w:fill="1C2B39"/>
        <w:spacing w:before="40" w:after="0"/>
        <w:ind w:left="113" w:right="108"/>
        <w:outlineLvl w:val="2"/>
        <w:rPr>
          <w:rFonts w:ascii="Calibri" w:hAnsi="Calibri" w:cs="Calibri"/>
          <w:b/>
          <w:color w:val="FFFFFF" w:themeColor="background1"/>
          <w:sz w:val="24"/>
        </w:rPr>
      </w:pPr>
      <w:r>
        <w:rPr>
          <w:rFonts w:ascii="Calibri" w:hAnsi="Calibri" w:cs="Calibri"/>
          <w:b/>
          <w:color w:val="FFFFFF" w:themeColor="background1"/>
          <w:sz w:val="24"/>
        </w:rPr>
        <w:t>Who is impacted</w:t>
      </w:r>
    </w:p>
    <w:tbl>
      <w:tblPr>
        <w:tblStyle w:val="Custom11"/>
        <w:tblW w:w="5002" w:type="pct"/>
        <w:tblLook w:val="0420" w:firstRow="1" w:lastRow="0" w:firstColumn="0" w:lastColumn="0" w:noHBand="0" w:noVBand="1"/>
      </w:tblPr>
      <w:tblGrid>
        <w:gridCol w:w="3592"/>
        <w:gridCol w:w="3593"/>
        <w:gridCol w:w="3591"/>
      </w:tblGrid>
      <w:tr w:rsidR="005C66F5" w14:paraId="3C417FCB" w14:textId="77777777" w:rsidTr="00F46DB7">
        <w:trPr>
          <w:cnfStyle w:val="100000000000" w:firstRow="1" w:lastRow="0" w:firstColumn="0" w:lastColumn="0" w:oddVBand="0" w:evenVBand="0" w:oddHBand="0" w:evenHBand="0" w:firstRowFirstColumn="0" w:firstRowLastColumn="0" w:lastRowFirstColumn="0" w:lastRowLastColumn="0"/>
          <w:cantSplit/>
          <w:trHeight w:val="221"/>
          <w:tblHeader/>
        </w:trPr>
        <w:tc>
          <w:tcPr>
            <w:tcW w:w="1667" w:type="pct"/>
            <w:tcBorders>
              <w:top w:val="single" w:sz="4" w:space="0" w:color="778E61" w:themeColor="accent2"/>
            </w:tcBorders>
            <w:shd w:val="clear" w:color="auto" w:fill="1C2B39"/>
          </w:tcPr>
          <w:p w14:paraId="694337BF" w14:textId="77777777" w:rsidR="005C66F5" w:rsidRDefault="005C66F5">
            <w:pPr>
              <w:spacing w:after="0" w:line="240" w:lineRule="auto"/>
              <w:rPr>
                <w:rFonts w:ascii="Calibri" w:hAnsi="Calibri" w:cs="Calibri"/>
                <w:b w:val="0"/>
                <w:color w:val="FFFFFF" w:themeColor="background1"/>
                <w:sz w:val="24"/>
                <w:szCs w:val="22"/>
              </w:rPr>
            </w:pPr>
            <w:r>
              <w:rPr>
                <w:rFonts w:ascii="Calibri" w:hAnsi="Calibri" w:cs="Calibri"/>
                <w:color w:val="FFFFFF" w:themeColor="background1"/>
                <w:sz w:val="24"/>
                <w:szCs w:val="22"/>
              </w:rPr>
              <w:t>Individuals</w:t>
            </w:r>
          </w:p>
        </w:tc>
        <w:tc>
          <w:tcPr>
            <w:tcW w:w="1667" w:type="pct"/>
            <w:tcBorders>
              <w:top w:val="single" w:sz="4" w:space="0" w:color="778E61" w:themeColor="accent2"/>
            </w:tcBorders>
            <w:shd w:val="clear" w:color="auto" w:fill="1C2B39"/>
          </w:tcPr>
          <w:p w14:paraId="52BE7F9D" w14:textId="77777777" w:rsidR="005C66F5" w:rsidRDefault="005C66F5">
            <w:pPr>
              <w:spacing w:after="0" w:line="240" w:lineRule="auto"/>
              <w:rPr>
                <w:rFonts w:ascii="Calibri" w:hAnsi="Calibri" w:cs="Calibri"/>
                <w:b w:val="0"/>
                <w:color w:val="FFFFFF" w:themeColor="background1"/>
                <w:sz w:val="24"/>
                <w:szCs w:val="22"/>
              </w:rPr>
            </w:pPr>
            <w:r>
              <w:rPr>
                <w:rFonts w:ascii="Calibri" w:hAnsi="Calibri" w:cs="Calibri"/>
                <w:color w:val="FFFFFF" w:themeColor="background1"/>
                <w:sz w:val="24"/>
                <w:szCs w:val="22"/>
              </w:rPr>
              <w:t>Businesses</w:t>
            </w:r>
          </w:p>
        </w:tc>
        <w:tc>
          <w:tcPr>
            <w:tcW w:w="1666" w:type="pct"/>
            <w:tcBorders>
              <w:top w:val="single" w:sz="4" w:space="0" w:color="778E61" w:themeColor="accent2"/>
            </w:tcBorders>
            <w:shd w:val="clear" w:color="auto" w:fill="1C2B39"/>
          </w:tcPr>
          <w:p w14:paraId="71329315" w14:textId="77777777" w:rsidR="005C66F5" w:rsidRDefault="005C66F5">
            <w:pPr>
              <w:spacing w:after="0" w:line="240" w:lineRule="auto"/>
              <w:rPr>
                <w:rFonts w:ascii="Calibri" w:hAnsi="Calibri" w:cs="Calibri"/>
                <w:b w:val="0"/>
                <w:color w:val="FFFFFF" w:themeColor="background1"/>
                <w:sz w:val="24"/>
                <w:szCs w:val="22"/>
              </w:rPr>
            </w:pPr>
            <w:r>
              <w:rPr>
                <w:rFonts w:ascii="Calibri" w:hAnsi="Calibri" w:cs="Calibri"/>
                <w:color w:val="FFFFFF" w:themeColor="background1"/>
                <w:sz w:val="24"/>
                <w:szCs w:val="22"/>
              </w:rPr>
              <w:t>Community organisations</w:t>
            </w:r>
          </w:p>
        </w:tc>
      </w:tr>
      <w:tr w:rsidR="00262DDD" w:rsidRPr="00402E24" w14:paraId="309BE997" w14:textId="77777777">
        <w:trPr>
          <w:cnfStyle w:val="000000100000" w:firstRow="0" w:lastRow="0" w:firstColumn="0" w:lastColumn="0" w:oddVBand="0" w:evenVBand="0" w:oddHBand="1" w:evenHBand="0" w:firstRowFirstColumn="0" w:firstRowLastColumn="0" w:lastRowFirstColumn="0" w:lastRowLastColumn="0"/>
          <w:trHeight w:val="900"/>
        </w:trPr>
        <w:tc>
          <w:tcPr>
            <w:tcW w:w="1667" w:type="pct"/>
            <w:tcBorders>
              <w:top w:val="single" w:sz="2" w:space="0" w:color="FFFFFF" w:themeColor="background1"/>
              <w:bottom w:val="single" w:sz="2" w:space="0" w:color="FFFFFF" w:themeColor="background1"/>
            </w:tcBorders>
            <w:shd w:val="clear" w:color="auto" w:fill="D8E2EC"/>
          </w:tcPr>
          <w:p w14:paraId="37D06FA1" w14:textId="3A246BC7" w:rsidR="00262DDD" w:rsidRPr="007F235E" w:rsidRDefault="00262DDD" w:rsidP="00262DDD">
            <w:pPr>
              <w:spacing w:after="0" w:line="240" w:lineRule="auto"/>
              <w:rPr>
                <w:sz w:val="20"/>
              </w:rPr>
            </w:pPr>
            <w:r w:rsidRPr="007F235E">
              <w:rPr>
                <w:noProof/>
                <w:lang w:eastAsia="en-AU"/>
              </w:rPr>
              <w:drawing>
                <wp:anchor distT="0" distB="0" distL="114300" distR="114300" simplePos="0" relativeHeight="251660290" behindDoc="0" locked="0" layoutInCell="1" allowOverlap="1" wp14:anchorId="22477854" wp14:editId="2ADFE97C">
                  <wp:simplePos x="0" y="0"/>
                  <wp:positionH relativeFrom="margin">
                    <wp:posOffset>-57150</wp:posOffset>
                  </wp:positionH>
                  <wp:positionV relativeFrom="margin">
                    <wp:posOffset>949325</wp:posOffset>
                  </wp:positionV>
                  <wp:extent cx="447675" cy="447675"/>
                  <wp:effectExtent l="0" t="0" r="0" b="0"/>
                  <wp:wrapNone/>
                  <wp:docPr id="2" name="Picture 2" descr="Icons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cons1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pic:spPr>
                      </pic:pic>
                    </a:graphicData>
                  </a:graphic>
                  <wp14:sizeRelH relativeFrom="page">
                    <wp14:pctWidth>0</wp14:pctWidth>
                  </wp14:sizeRelH>
                  <wp14:sizeRelV relativeFrom="page">
                    <wp14:pctHeight>0</wp14:pctHeight>
                  </wp14:sizeRelV>
                </wp:anchor>
              </w:drawing>
            </w:r>
            <w:r w:rsidRPr="007F235E">
              <w:rPr>
                <w:rFonts w:ascii="Calibri" w:hAnsi="Calibri" w:cs="Calibri"/>
                <w:b/>
                <w:sz w:val="20"/>
              </w:rPr>
              <w:t xml:space="preserve">No direct regulatory impact. </w:t>
            </w:r>
            <w:r w:rsidRPr="007F235E">
              <w:rPr>
                <w:rFonts w:ascii="Calibri" w:hAnsi="Calibri" w:cs="Calibri"/>
                <w:sz w:val="20"/>
              </w:rPr>
              <w:t>More fully funded places let more people access and complete higher education. Equity students gain most</w:t>
            </w:r>
            <w:r>
              <w:rPr>
                <w:rFonts w:ascii="Calibri" w:hAnsi="Calibri" w:cs="Calibri"/>
                <w:sz w:val="20"/>
              </w:rPr>
              <w:t xml:space="preserve"> with the system ensuring there are sufficient fully funded places for them across the system.</w:t>
            </w:r>
          </w:p>
        </w:tc>
        <w:tc>
          <w:tcPr>
            <w:tcW w:w="1667" w:type="pct"/>
            <w:tcBorders>
              <w:top w:val="single" w:sz="2" w:space="0" w:color="FFFFFF" w:themeColor="background1"/>
              <w:bottom w:val="single" w:sz="2" w:space="0" w:color="FFFFFF" w:themeColor="background1"/>
            </w:tcBorders>
            <w:shd w:val="clear" w:color="auto" w:fill="D8E2EC"/>
          </w:tcPr>
          <w:p w14:paraId="52574802" w14:textId="6F78E05E" w:rsidR="00262DDD" w:rsidRPr="007F235E" w:rsidRDefault="00262DDD" w:rsidP="00262DDD">
            <w:pPr>
              <w:spacing w:after="0" w:line="240" w:lineRule="auto"/>
              <w:rPr>
                <w:sz w:val="20"/>
              </w:rPr>
            </w:pPr>
            <w:r w:rsidRPr="007F235E">
              <w:rPr>
                <w:rFonts w:ascii="Calibri" w:hAnsi="Calibri" w:cs="Calibri"/>
                <w:b/>
                <w:sz w:val="20"/>
              </w:rPr>
              <w:t xml:space="preserve">No direct impact. </w:t>
            </w:r>
            <w:r w:rsidRPr="007F235E">
              <w:rPr>
                <w:rFonts w:ascii="Calibri" w:hAnsi="Calibri" w:cs="Calibri"/>
                <w:sz w:val="20"/>
              </w:rPr>
              <w:t>Over time, businesses benefit from an improved supply of suitably qualified employees as national attainment rises and skills shortages ease.</w:t>
            </w:r>
          </w:p>
        </w:tc>
        <w:tc>
          <w:tcPr>
            <w:tcW w:w="1666" w:type="pct"/>
            <w:tcBorders>
              <w:top w:val="single" w:sz="2" w:space="0" w:color="FFFFFF" w:themeColor="background1"/>
              <w:bottom w:val="single" w:sz="2" w:space="0" w:color="FFFFFF" w:themeColor="background1"/>
            </w:tcBorders>
            <w:shd w:val="clear" w:color="auto" w:fill="D8E2EC"/>
          </w:tcPr>
          <w:p w14:paraId="79724A5E" w14:textId="5AA001E9" w:rsidR="00262DDD" w:rsidRPr="007F235E" w:rsidRDefault="00262DDD" w:rsidP="00262DDD">
            <w:pPr>
              <w:spacing w:after="0" w:line="240" w:lineRule="auto"/>
              <w:rPr>
                <w:sz w:val="20"/>
              </w:rPr>
            </w:pPr>
            <w:r w:rsidRPr="007F235E">
              <w:rPr>
                <w:rFonts w:ascii="Calibri" w:hAnsi="Calibri" w:cs="Calibri"/>
                <w:b/>
                <w:sz w:val="20"/>
              </w:rPr>
              <w:t xml:space="preserve">Universities (Table A providers) bear the main impact: </w:t>
            </w:r>
            <w:r w:rsidRPr="007F235E">
              <w:rPr>
                <w:rFonts w:ascii="Calibri" w:hAnsi="Calibri" w:cs="Calibri"/>
                <w:sz w:val="20"/>
              </w:rPr>
              <w:t xml:space="preserve">annual ATEC allocation and mission-based compact negotiations (~$1.82m/year). Under-enrolled, mostly regional, universities are shielded by the </w:t>
            </w:r>
            <w:r>
              <w:rPr>
                <w:rFonts w:ascii="Calibri" w:hAnsi="Calibri" w:cs="Calibri"/>
                <w:sz w:val="20"/>
              </w:rPr>
              <w:t xml:space="preserve">temporary </w:t>
            </w:r>
            <w:r w:rsidRPr="007F235E">
              <w:rPr>
                <w:rFonts w:ascii="Calibri" w:hAnsi="Calibri" w:cs="Calibri"/>
                <w:sz w:val="20"/>
              </w:rPr>
              <w:t>funding floor.</w:t>
            </w:r>
          </w:p>
        </w:tc>
      </w:tr>
    </w:tbl>
    <w:p w14:paraId="685D1FD8" w14:textId="706E4E3B" w:rsidR="005C66F5" w:rsidRPr="005C66F5" w:rsidRDefault="005C66F5" w:rsidP="005C66F5">
      <w:pPr>
        <w:spacing w:after="0" w:line="120" w:lineRule="auto"/>
        <w:rPr>
          <w:sz w:val="2"/>
        </w:rPr>
      </w:pPr>
    </w:p>
    <w:p w14:paraId="579B8113" w14:textId="7448F5CB" w:rsidR="005C66F5" w:rsidRPr="00E2196D" w:rsidRDefault="005C66F5" w:rsidP="005C66F5">
      <w:pPr>
        <w:pStyle w:val="BOXHeading2"/>
        <w:ind w:firstLine="493"/>
        <w:rPr>
          <w:noProof/>
        </w:rPr>
      </w:pPr>
      <w:r>
        <w:rPr>
          <w:noProof/>
        </w:rPr>
        <w:t xml:space="preserve">  Other considerations and implementation</w:t>
      </w:r>
    </w:p>
    <w:p w14:paraId="125C67CB" w14:textId="77777777" w:rsidR="00262DDD" w:rsidRPr="007F235E" w:rsidRDefault="00262DDD" w:rsidP="00262DDD">
      <w:pPr>
        <w:pStyle w:val="BOXBulletedList"/>
        <w:pBdr>
          <w:bottom w:val="single" w:sz="48" w:space="0" w:color="F2F2F2" w:themeColor="background1" w:themeShade="F2"/>
        </w:pBdr>
        <w:spacing w:after="0" w:line="240" w:lineRule="auto"/>
        <w:rPr>
          <w:rFonts w:ascii="Calibri" w:hAnsi="Calibri" w:cs="Calibri"/>
        </w:rPr>
      </w:pPr>
      <w:r w:rsidRPr="007F235E">
        <w:rPr>
          <w:rFonts w:ascii="Calibri" w:hAnsi="Calibri" w:cs="Calibri"/>
          <w:b/>
        </w:rPr>
        <w:t xml:space="preserve">Option 1 (Status Quo) — not preferred: </w:t>
      </w:r>
      <w:r w:rsidRPr="007F235E">
        <w:rPr>
          <w:rFonts w:ascii="Calibri" w:hAnsi="Calibri" w:cs="Calibri"/>
        </w:rPr>
        <w:t xml:space="preserve">insufficient growth, no progress on equity under-representation, and a 2026 funding cliff for </w:t>
      </w:r>
      <w:r>
        <w:rPr>
          <w:rFonts w:ascii="Calibri" w:hAnsi="Calibri" w:cs="Calibri"/>
        </w:rPr>
        <w:t>some</w:t>
      </w:r>
      <w:r w:rsidRPr="007F235E">
        <w:rPr>
          <w:rFonts w:ascii="Calibri" w:hAnsi="Calibri" w:cs="Calibri"/>
        </w:rPr>
        <w:t xml:space="preserve"> universities.</w:t>
      </w:r>
    </w:p>
    <w:p w14:paraId="7E067FF4" w14:textId="77777777" w:rsidR="00262DDD" w:rsidRPr="007F235E" w:rsidRDefault="00262DDD" w:rsidP="00262DDD">
      <w:pPr>
        <w:pStyle w:val="BOXBulletedList"/>
        <w:pBdr>
          <w:bottom w:val="single" w:sz="48" w:space="0" w:color="F2F2F2" w:themeColor="background1" w:themeShade="F2"/>
        </w:pBdr>
        <w:spacing w:after="0" w:line="240" w:lineRule="auto"/>
        <w:rPr>
          <w:rFonts w:ascii="Calibri" w:hAnsi="Calibri" w:cs="Calibri"/>
        </w:rPr>
      </w:pPr>
      <w:r w:rsidRPr="007F235E">
        <w:rPr>
          <w:rFonts w:ascii="Calibri" w:hAnsi="Calibri" w:cs="Calibri"/>
          <w:b/>
        </w:rPr>
        <w:t xml:space="preserve">Option 2 (Managed Growth Targets with catchments and hard caps) — not preferred: </w:t>
      </w:r>
      <w:r w:rsidRPr="007F235E">
        <w:rPr>
          <w:rFonts w:ascii="Calibri" w:hAnsi="Calibri" w:cs="Calibri"/>
        </w:rPr>
        <w:t>higher regulatory cost ($1.91m/year);</w:t>
      </w:r>
      <w:r>
        <w:rPr>
          <w:rFonts w:ascii="Calibri" w:hAnsi="Calibri" w:cs="Calibri"/>
        </w:rPr>
        <w:t xml:space="preserve"> geographic</w:t>
      </w:r>
      <w:r w:rsidRPr="007F235E">
        <w:rPr>
          <w:rFonts w:ascii="Calibri" w:hAnsi="Calibri" w:cs="Calibri"/>
        </w:rPr>
        <w:t xml:space="preserve"> catchments </w:t>
      </w:r>
      <w:r>
        <w:rPr>
          <w:rFonts w:ascii="Calibri" w:hAnsi="Calibri" w:cs="Calibri"/>
        </w:rPr>
        <w:t>limit</w:t>
      </w:r>
      <w:r w:rsidRPr="007F235E">
        <w:rPr>
          <w:rFonts w:ascii="Calibri" w:hAnsi="Calibri" w:cs="Calibri"/>
        </w:rPr>
        <w:t xml:space="preserve"> student choice; and a hard cap on </w:t>
      </w:r>
      <w:r>
        <w:rPr>
          <w:rFonts w:ascii="Calibri" w:hAnsi="Calibri" w:cs="Calibri"/>
        </w:rPr>
        <w:t>enrolments</w:t>
      </w:r>
      <w:r w:rsidRPr="007F235E">
        <w:rPr>
          <w:rFonts w:ascii="Calibri" w:hAnsi="Calibri" w:cs="Calibri"/>
        </w:rPr>
        <w:t xml:space="preserve"> could destabilise over-enrolled universities.</w:t>
      </w:r>
    </w:p>
    <w:p w14:paraId="589D7BC1" w14:textId="26F2B2A3" w:rsidR="00E40F87" w:rsidRPr="00262DDD" w:rsidRDefault="00262DDD" w:rsidP="00262DDD">
      <w:pPr>
        <w:pStyle w:val="BOXBulletedList"/>
        <w:pBdr>
          <w:bottom w:val="single" w:sz="48" w:space="0" w:color="F2F2F2" w:themeColor="background1" w:themeShade="F2"/>
        </w:pBdr>
        <w:spacing w:after="0" w:line="240" w:lineRule="auto"/>
        <w:rPr>
          <w:rFonts w:ascii="Calibri" w:hAnsi="Calibri" w:cs="Calibri"/>
        </w:rPr>
      </w:pPr>
      <w:r w:rsidRPr="007F235E">
        <w:rPr>
          <w:rFonts w:ascii="Calibri" w:hAnsi="Calibri" w:cs="Calibri"/>
          <w:b/>
        </w:rPr>
        <w:t xml:space="preserve">Implementation: </w:t>
      </w:r>
      <w:r w:rsidRPr="007F235E">
        <w:rPr>
          <w:rFonts w:ascii="Calibri" w:hAnsi="Calibri" w:cs="Calibri"/>
        </w:rPr>
        <w:t xml:space="preserve">a 2026 transition year (rebased MBGAs, a 100% transitional funding floor, transition loading and a $50m structural adjustment fund) precedes full implementation from 2027, tracked against SMART targets with a departmental review </w:t>
      </w:r>
      <w:r>
        <w:rPr>
          <w:rFonts w:ascii="Calibri" w:hAnsi="Calibri" w:cs="Calibri"/>
        </w:rPr>
        <w:t xml:space="preserve">commencing </w:t>
      </w:r>
      <w:r w:rsidRPr="007F235E">
        <w:rPr>
          <w:rFonts w:ascii="Calibri" w:hAnsi="Calibri" w:cs="Calibri"/>
        </w:rPr>
        <w:t>by end-2030.</w:t>
      </w:r>
    </w:p>
    <w:sectPr w:rsidR="00E40F87" w:rsidRPr="00262DDD" w:rsidSect="005C66F5">
      <w:headerReference w:type="default" r:id="rId10"/>
      <w:footerReference w:type="default" r:id="rId11"/>
      <w:headerReference w:type="first" r:id="rId12"/>
      <w:footerReference w:type="first" r:id="rId13"/>
      <w:pgSz w:w="11906" w:h="16838"/>
      <w:pgMar w:top="680" w:right="567" w:bottom="340" w:left="567" w:header="709" w:footer="2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E65F6" w14:textId="77777777" w:rsidR="00205AAF" w:rsidRDefault="00205AAF" w:rsidP="00F957C6">
      <w:pPr>
        <w:spacing w:after="0" w:line="240" w:lineRule="auto"/>
      </w:pPr>
      <w:r>
        <w:separator/>
      </w:r>
    </w:p>
  </w:endnote>
  <w:endnote w:type="continuationSeparator" w:id="0">
    <w:p w14:paraId="406519FC" w14:textId="77777777" w:rsidR="00205AAF" w:rsidRDefault="00205AAF" w:rsidP="00F95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do">
    <w:altName w:val="Times New Roman"/>
    <w:charset w:val="00"/>
    <w:family w:val="roman"/>
    <w:pitch w:val="variable"/>
    <w:sig w:usb0="E40008FF" w:usb1="5201E0FB" w:usb2="04608000" w:usb3="00000000" w:csb0="000000BB"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Semilight">
    <w:panose1 w:val="020B04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0553D" w14:textId="77777777" w:rsidR="00D10635" w:rsidRPr="00F86700" w:rsidRDefault="00205AAF" w:rsidP="00F86700">
    <w:pPr>
      <w:pStyle w:val="CLASSIFICATION"/>
    </w:pPr>
    <w:sdt>
      <w:sdtPr>
        <w:rPr>
          <w:rStyle w:val="CLASSIFICATIONChar"/>
          <w:caps/>
        </w:rPr>
        <w:alias w:val="Classification"/>
        <w:tag w:val="Classification"/>
        <w:id w:val="-1876923508"/>
        <w15:color w:val="FF0000"/>
        <w:dropDownList>
          <w:listItem w:displayText="Classification" w:value="1"/>
          <w:listItem w:displayText="Official" w:value="2"/>
          <w:listItem w:displayText="Official: Sensitive" w:value="3"/>
          <w:listItem w:displayText="Protected" w:value="4"/>
          <w:listItem w:displayText="Protected: Cabinet" w:value="Protected: Cabinet"/>
          <w:listItem w:displayText="Secret" w:value="5"/>
          <w:listItem w:displayText="Top Secret and Codeword" w:value="6"/>
        </w:dropDownList>
      </w:sdtPr>
      <w:sdtEndPr>
        <w:rPr>
          <w:rStyle w:val="CLASSIFICATIONChar"/>
        </w:rPr>
      </w:sdtEndPr>
      <w:sdtContent>
        <w:r w:rsidR="00F64736">
          <w:rPr>
            <w:rStyle w:val="CLASSIFICATIONChar"/>
            <w:caps/>
          </w:rPr>
          <w:t>OFFICIAL</w:t>
        </w:r>
      </w:sdtContent>
    </w:sdt>
  </w:p>
  <w:p w14:paraId="05B2E7C5" w14:textId="2050EB56" w:rsidR="00037513" w:rsidRPr="00852F35" w:rsidRDefault="005A3632" w:rsidP="00D10635">
    <w:pPr>
      <w:pStyle w:val="Header"/>
      <w:rPr>
        <w:rFonts w:ascii="Segoe UI" w:hAnsi="Segoe UI" w:cs="Segoe UI"/>
        <w:color w:val="6E6E6E"/>
        <w:sz w:val="18"/>
      </w:rPr>
    </w:pPr>
    <w:r>
      <w:rPr>
        <w:color w:val="6E6E6E"/>
        <w:sz w:val="18"/>
        <w:szCs w:val="18"/>
      </w:rPr>
      <w:t xml:space="preserve">Australian Government </w:t>
    </w:r>
    <w:r w:rsidR="00037513" w:rsidRPr="00852F35">
      <w:rPr>
        <w:color w:val="6E6E6E"/>
        <w:sz w:val="18"/>
        <w:szCs w:val="18"/>
      </w:rPr>
      <w:t xml:space="preserve">| </w:t>
    </w:r>
    <w:r w:rsidR="005272E6">
      <w:rPr>
        <w:color w:val="6E6E6E"/>
        <w:sz w:val="18"/>
        <w:szCs w:val="18"/>
      </w:rPr>
      <w:t>The New Managed Growth Funding System</w:t>
    </w:r>
    <w:r w:rsidR="00037513" w:rsidRPr="00852F35">
      <w:rPr>
        <w:color w:val="6E6E6E"/>
      </w:rPr>
      <w:ptab w:relativeTo="margin" w:alignment="right" w:leader="none"/>
    </w:r>
    <w:r w:rsidR="00037513" w:rsidRPr="00852F35">
      <w:rPr>
        <w:rFonts w:ascii="Segoe UI" w:hAnsi="Segoe UI" w:cs="Segoe UI"/>
        <w:color w:val="6E6E6E"/>
        <w:sz w:val="18"/>
      </w:rPr>
      <w:fldChar w:fldCharType="begin"/>
    </w:r>
    <w:r w:rsidR="00037513" w:rsidRPr="00852F35">
      <w:rPr>
        <w:rFonts w:ascii="Segoe UI" w:hAnsi="Segoe UI" w:cs="Segoe UI"/>
        <w:color w:val="6E6E6E"/>
        <w:sz w:val="18"/>
      </w:rPr>
      <w:instrText xml:space="preserve"> PAGE   \* MERGEFORMAT </w:instrText>
    </w:r>
    <w:r w:rsidR="00037513" w:rsidRPr="00852F35">
      <w:rPr>
        <w:rFonts w:ascii="Segoe UI" w:hAnsi="Segoe UI" w:cs="Segoe UI"/>
        <w:color w:val="6E6E6E"/>
        <w:sz w:val="18"/>
      </w:rPr>
      <w:fldChar w:fldCharType="separate"/>
    </w:r>
    <w:r w:rsidR="005C66F5">
      <w:rPr>
        <w:rFonts w:ascii="Segoe UI" w:hAnsi="Segoe UI" w:cs="Segoe UI"/>
        <w:noProof/>
        <w:color w:val="6E6E6E"/>
        <w:sz w:val="18"/>
      </w:rPr>
      <w:t>2</w:t>
    </w:r>
    <w:r w:rsidR="00037513" w:rsidRPr="00852F35">
      <w:rPr>
        <w:rFonts w:ascii="Segoe UI" w:hAnsi="Segoe UI" w:cs="Segoe UI"/>
        <w:noProof/>
        <w:color w:val="6E6E6E"/>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7CBDF" w14:textId="36936DE8" w:rsidR="00464D89" w:rsidRPr="00BB1526" w:rsidRDefault="005A3632" w:rsidP="00BB1526">
    <w:pPr>
      <w:pStyle w:val="Header"/>
      <w:rPr>
        <w:rFonts w:ascii="Segoe UI" w:hAnsi="Segoe UI" w:cs="Segoe UI"/>
        <w:color w:val="6E6E6E"/>
        <w:sz w:val="18"/>
      </w:rPr>
    </w:pPr>
    <w:r>
      <w:rPr>
        <w:color w:val="6E6E6E"/>
        <w:sz w:val="18"/>
        <w:szCs w:val="18"/>
      </w:rPr>
      <w:t xml:space="preserve">Australian Government </w:t>
    </w:r>
    <w:r w:rsidRPr="00852F35">
      <w:rPr>
        <w:color w:val="6E6E6E"/>
        <w:sz w:val="18"/>
        <w:szCs w:val="18"/>
      </w:rPr>
      <w:t>|</w:t>
    </w:r>
    <w:r w:rsidR="00BB1526" w:rsidRPr="00852F35">
      <w:rPr>
        <w:color w:val="6E6E6E"/>
        <w:sz w:val="18"/>
        <w:szCs w:val="18"/>
      </w:rPr>
      <w:t xml:space="preserve"> </w:t>
    </w:r>
    <w:r w:rsidR="005272E6">
      <w:rPr>
        <w:color w:val="6E6E6E"/>
        <w:sz w:val="18"/>
        <w:szCs w:val="18"/>
      </w:rPr>
      <w:t>The New Managed Growth Funding System</w:t>
    </w:r>
    <w:r w:rsidR="00BB1526" w:rsidRPr="00852F35">
      <w:rPr>
        <w:color w:val="6E6E6E"/>
      </w:rPr>
      <w:ptab w:relativeTo="margin" w:alignment="right" w:leader="none"/>
    </w:r>
    <w:r w:rsidR="00BB1526" w:rsidRPr="00852F35">
      <w:rPr>
        <w:rFonts w:ascii="Segoe UI" w:hAnsi="Segoe UI" w:cs="Segoe UI"/>
        <w:color w:val="6E6E6E"/>
        <w:sz w:val="18"/>
      </w:rPr>
      <w:fldChar w:fldCharType="begin"/>
    </w:r>
    <w:r w:rsidR="00BB1526" w:rsidRPr="00852F35">
      <w:rPr>
        <w:rFonts w:ascii="Segoe UI" w:hAnsi="Segoe UI" w:cs="Segoe UI"/>
        <w:color w:val="6E6E6E"/>
        <w:sz w:val="18"/>
      </w:rPr>
      <w:instrText xml:space="preserve"> PAGE   \* MERGEFORMAT </w:instrText>
    </w:r>
    <w:r w:rsidR="00BB1526" w:rsidRPr="00852F35">
      <w:rPr>
        <w:rFonts w:ascii="Segoe UI" w:hAnsi="Segoe UI" w:cs="Segoe UI"/>
        <w:color w:val="6E6E6E"/>
        <w:sz w:val="18"/>
      </w:rPr>
      <w:fldChar w:fldCharType="separate"/>
    </w:r>
    <w:r w:rsidR="00F46DB7">
      <w:rPr>
        <w:rFonts w:ascii="Segoe UI" w:hAnsi="Segoe UI" w:cs="Segoe UI"/>
        <w:noProof/>
        <w:color w:val="6E6E6E"/>
        <w:sz w:val="18"/>
      </w:rPr>
      <w:t>1</w:t>
    </w:r>
    <w:r w:rsidR="00BB1526" w:rsidRPr="00852F35">
      <w:rPr>
        <w:rFonts w:ascii="Segoe UI" w:hAnsi="Segoe UI" w:cs="Segoe UI"/>
        <w:noProof/>
        <w:color w:val="6E6E6E"/>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3B2EF" w14:textId="77777777" w:rsidR="00205AAF" w:rsidRDefault="00205AAF" w:rsidP="00F957C6">
      <w:pPr>
        <w:spacing w:after="0" w:line="240" w:lineRule="auto"/>
      </w:pPr>
      <w:r>
        <w:separator/>
      </w:r>
    </w:p>
  </w:footnote>
  <w:footnote w:type="continuationSeparator" w:id="0">
    <w:p w14:paraId="4DABED7D" w14:textId="77777777" w:rsidR="00205AAF" w:rsidRDefault="00205AAF" w:rsidP="00F957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FBD96" w14:textId="77777777" w:rsidR="00037513" w:rsidRPr="00D10635" w:rsidRDefault="00205AAF" w:rsidP="00464D89">
    <w:pPr>
      <w:pStyle w:val="Header"/>
      <w:jc w:val="center"/>
    </w:pPr>
    <w:sdt>
      <w:sdtPr>
        <w:rPr>
          <w:rStyle w:val="CLASSIFICATIONChar"/>
        </w:rPr>
        <w:alias w:val="Classification"/>
        <w:tag w:val="Classification"/>
        <w:id w:val="-1388651098"/>
        <w15:color w:val="FF0000"/>
        <w:dropDownList>
          <w:listItem w:displayText="Classification" w:value="1"/>
          <w:listItem w:displayText="Official" w:value="2"/>
          <w:listItem w:displayText="Official: Sensitive" w:value="3"/>
          <w:listItem w:displayText="Protected" w:value="4"/>
          <w:listItem w:displayText="Protected: Cabinet" w:value="Protected: Cabinet"/>
          <w:listItem w:displayText="Secret" w:value="5"/>
          <w:listItem w:displayText="Top Secret and Codeword" w:value="6"/>
        </w:dropDownList>
      </w:sdtPr>
      <w:sdtEndPr>
        <w:rPr>
          <w:rStyle w:val="CLASSIFICATIONChar"/>
        </w:rPr>
      </w:sdtEndPr>
      <w:sdtContent>
        <w:r w:rsidR="00F64736">
          <w:rPr>
            <w:rStyle w:val="CLASSIFICATIONChar"/>
          </w:rPr>
          <w:t>Classification</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70915" w14:textId="77777777" w:rsidR="00037513" w:rsidRDefault="005A3632" w:rsidP="002455AE">
    <w:pPr>
      <w:pStyle w:val="Header"/>
    </w:pPr>
    <w:r>
      <w:rPr>
        <w:rStyle w:val="CLASSIFICATIONChar"/>
        <w:noProof/>
        <w:lang w:eastAsia="en-AU"/>
      </w:rPr>
      <w:drawing>
        <wp:anchor distT="0" distB="0" distL="114300" distR="114300" simplePos="0" relativeHeight="251658240" behindDoc="1" locked="0" layoutInCell="1" allowOverlap="1" wp14:anchorId="3CE512B5" wp14:editId="24817311">
          <wp:simplePos x="0" y="0"/>
          <wp:positionH relativeFrom="column">
            <wp:posOffset>-103671</wp:posOffset>
          </wp:positionH>
          <wp:positionV relativeFrom="paragraph">
            <wp:posOffset>-407486</wp:posOffset>
          </wp:positionV>
          <wp:extent cx="2116971" cy="529839"/>
          <wp:effectExtent l="0" t="0" r="4445" b="3810"/>
          <wp:wrapNone/>
          <wp:docPr id="4" name="Picture 4" descr="Australian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5431" cy="534459"/>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04592A"/>
    <w:lvl w:ilvl="0">
      <w:start w:val="1"/>
      <w:numFmt w:val="decimal"/>
      <w:lvlText w:val="%1."/>
      <w:lvlJc w:val="left"/>
      <w:pPr>
        <w:tabs>
          <w:tab w:val="num" w:pos="2060"/>
        </w:tabs>
        <w:ind w:left="2060" w:hanging="360"/>
      </w:pPr>
    </w:lvl>
  </w:abstractNum>
  <w:abstractNum w:abstractNumId="1" w15:restartNumberingAfterBreak="0">
    <w:nsid w:val="FFFFFF7D"/>
    <w:multiLevelType w:val="singleLevel"/>
    <w:tmpl w:val="35487F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50D9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3D612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71469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0F017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5FE08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9813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0620C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4281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B75033"/>
    <w:multiLevelType w:val="hybridMultilevel"/>
    <w:tmpl w:val="C6DC8A2C"/>
    <w:lvl w:ilvl="0" w:tplc="458A1C2C">
      <w:start w:val="1"/>
      <w:numFmt w:val="bullet"/>
      <w:pStyle w:val="TBLBulleted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B014CCD"/>
    <w:multiLevelType w:val="hybridMultilevel"/>
    <w:tmpl w:val="D0E0AE74"/>
    <w:lvl w:ilvl="0" w:tplc="42CAA44A">
      <w:start w:val="1"/>
      <w:numFmt w:val="bullet"/>
      <w:pStyle w:val="BOXBulletedList"/>
      <w:lvlText w:val=""/>
      <w:lvlJc w:val="left"/>
      <w:pPr>
        <w:ind w:left="7655" w:hanging="284"/>
      </w:pPr>
      <w:rPr>
        <w:rFonts w:ascii="Symbol" w:hAnsi="Symbol" w:hint="default"/>
      </w:rPr>
    </w:lvl>
    <w:lvl w:ilvl="1" w:tplc="AFD06412">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FAF6F03"/>
    <w:multiLevelType w:val="hybridMultilevel"/>
    <w:tmpl w:val="4CF49542"/>
    <w:lvl w:ilvl="0" w:tplc="6C069990">
      <w:start w:val="1"/>
      <w:numFmt w:val="bullet"/>
      <w:pStyle w:val="BulletedList-Level3"/>
      <w:lvlText w:val="o"/>
      <w:lvlJc w:val="left"/>
      <w:pPr>
        <w:ind w:left="1134" w:hanging="283"/>
      </w:pPr>
      <w:rPr>
        <w:rFonts w:ascii="Courier New" w:hAnsi="Courier New"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3" w15:restartNumberingAfterBreak="0">
    <w:nsid w:val="13A3105B"/>
    <w:multiLevelType w:val="hybridMultilevel"/>
    <w:tmpl w:val="2F88CC68"/>
    <w:lvl w:ilvl="0" w:tplc="93300146">
      <w:start w:val="1"/>
      <w:numFmt w:val="decimal"/>
      <w:pStyle w:val="BoxDark-NumberedList"/>
      <w:lvlText w:val="%1."/>
      <w:lvlJc w:val="left"/>
      <w:pPr>
        <w:ind w:left="947" w:hanging="360"/>
      </w:pPr>
    </w:lvl>
    <w:lvl w:ilvl="1" w:tplc="0C090019" w:tentative="1">
      <w:start w:val="1"/>
      <w:numFmt w:val="lowerLetter"/>
      <w:lvlText w:val="%2."/>
      <w:lvlJc w:val="left"/>
      <w:pPr>
        <w:ind w:left="1667" w:hanging="360"/>
      </w:pPr>
    </w:lvl>
    <w:lvl w:ilvl="2" w:tplc="0C09001B" w:tentative="1">
      <w:start w:val="1"/>
      <w:numFmt w:val="lowerRoman"/>
      <w:lvlText w:val="%3."/>
      <w:lvlJc w:val="right"/>
      <w:pPr>
        <w:ind w:left="2387" w:hanging="180"/>
      </w:pPr>
    </w:lvl>
    <w:lvl w:ilvl="3" w:tplc="0C09000F" w:tentative="1">
      <w:start w:val="1"/>
      <w:numFmt w:val="decimal"/>
      <w:lvlText w:val="%4."/>
      <w:lvlJc w:val="left"/>
      <w:pPr>
        <w:ind w:left="3107" w:hanging="360"/>
      </w:pPr>
    </w:lvl>
    <w:lvl w:ilvl="4" w:tplc="0C090019" w:tentative="1">
      <w:start w:val="1"/>
      <w:numFmt w:val="lowerLetter"/>
      <w:lvlText w:val="%5."/>
      <w:lvlJc w:val="left"/>
      <w:pPr>
        <w:ind w:left="3827" w:hanging="360"/>
      </w:pPr>
    </w:lvl>
    <w:lvl w:ilvl="5" w:tplc="0C09001B" w:tentative="1">
      <w:start w:val="1"/>
      <w:numFmt w:val="lowerRoman"/>
      <w:lvlText w:val="%6."/>
      <w:lvlJc w:val="right"/>
      <w:pPr>
        <w:ind w:left="4547" w:hanging="180"/>
      </w:pPr>
    </w:lvl>
    <w:lvl w:ilvl="6" w:tplc="0C09000F" w:tentative="1">
      <w:start w:val="1"/>
      <w:numFmt w:val="decimal"/>
      <w:lvlText w:val="%7."/>
      <w:lvlJc w:val="left"/>
      <w:pPr>
        <w:ind w:left="5267" w:hanging="360"/>
      </w:pPr>
    </w:lvl>
    <w:lvl w:ilvl="7" w:tplc="0C090019" w:tentative="1">
      <w:start w:val="1"/>
      <w:numFmt w:val="lowerLetter"/>
      <w:lvlText w:val="%8."/>
      <w:lvlJc w:val="left"/>
      <w:pPr>
        <w:ind w:left="5987" w:hanging="360"/>
      </w:pPr>
    </w:lvl>
    <w:lvl w:ilvl="8" w:tplc="0C09001B" w:tentative="1">
      <w:start w:val="1"/>
      <w:numFmt w:val="lowerRoman"/>
      <w:lvlText w:val="%9."/>
      <w:lvlJc w:val="right"/>
      <w:pPr>
        <w:ind w:left="6707" w:hanging="180"/>
      </w:pPr>
    </w:lvl>
  </w:abstractNum>
  <w:abstractNum w:abstractNumId="14" w15:restartNumberingAfterBreak="0">
    <w:nsid w:val="19F33BBA"/>
    <w:multiLevelType w:val="hybridMultilevel"/>
    <w:tmpl w:val="0812E2DE"/>
    <w:lvl w:ilvl="0" w:tplc="E1AE5D66">
      <w:start w:val="1"/>
      <w:numFmt w:val="decimal"/>
      <w:pStyle w:val="Figure"/>
      <w:suff w:val="space"/>
      <w:lvlText w:val="Figure %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F507AC4"/>
    <w:multiLevelType w:val="hybridMultilevel"/>
    <w:tmpl w:val="6FFA548C"/>
    <w:lvl w:ilvl="0" w:tplc="E7066796">
      <w:start w:val="1"/>
      <w:numFmt w:val="bullet"/>
      <w:pStyle w:val="BulletedList-Level2"/>
      <w:lvlText w:val="−"/>
      <w:lvlJc w:val="left"/>
      <w:pPr>
        <w:ind w:left="851" w:hanging="284"/>
      </w:pPr>
      <w:rPr>
        <w:rFonts w:ascii="Cardo" w:hAnsi="Cardo"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6" w15:restartNumberingAfterBreak="0">
    <w:nsid w:val="27854A54"/>
    <w:multiLevelType w:val="hybridMultilevel"/>
    <w:tmpl w:val="253E2E62"/>
    <w:lvl w:ilvl="0" w:tplc="B2AA9F56">
      <w:start w:val="1"/>
      <w:numFmt w:val="bullet"/>
      <w:pStyle w:val="BulletedList-Level1"/>
      <w:lvlText w:val=""/>
      <w:lvlJc w:val="left"/>
      <w:pPr>
        <w:ind w:left="425" w:hanging="283"/>
      </w:pPr>
      <w:rPr>
        <w:rFonts w:ascii="Symbol" w:hAnsi="Symbol" w:hint="default"/>
      </w:rPr>
    </w:lvl>
    <w:lvl w:ilvl="1" w:tplc="4BB4D094">
      <w:start w:val="1"/>
      <w:numFmt w:val="bullet"/>
      <w:lvlText w:val="o"/>
      <w:lvlJc w:val="left"/>
      <w:pPr>
        <w:ind w:left="709"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1EFC13BC">
      <w:start w:val="1"/>
      <w:numFmt w:val="bullet"/>
      <w:lvlText w:val=""/>
      <w:lvlJc w:val="left"/>
      <w:pPr>
        <w:ind w:left="992" w:hanging="283"/>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7" w15:restartNumberingAfterBreak="0">
    <w:nsid w:val="317A4C0A"/>
    <w:multiLevelType w:val="hybridMultilevel"/>
    <w:tmpl w:val="C1C2D7D8"/>
    <w:lvl w:ilvl="0" w:tplc="200829A6">
      <w:start w:val="1"/>
      <w:numFmt w:val="bullet"/>
      <w:lvlText w:val="•"/>
      <w:lvlJc w:val="left"/>
      <w:pPr>
        <w:tabs>
          <w:tab w:val="num" w:pos="720"/>
        </w:tabs>
        <w:ind w:left="720" w:hanging="360"/>
      </w:pPr>
      <w:rPr>
        <w:rFonts w:ascii="Arial" w:hAnsi="Arial" w:hint="default"/>
      </w:rPr>
    </w:lvl>
    <w:lvl w:ilvl="1" w:tplc="25ACB6BC" w:tentative="1">
      <w:start w:val="1"/>
      <w:numFmt w:val="bullet"/>
      <w:lvlText w:val="•"/>
      <w:lvlJc w:val="left"/>
      <w:pPr>
        <w:tabs>
          <w:tab w:val="num" w:pos="1440"/>
        </w:tabs>
        <w:ind w:left="1440" w:hanging="360"/>
      </w:pPr>
      <w:rPr>
        <w:rFonts w:ascii="Arial" w:hAnsi="Arial" w:hint="default"/>
      </w:rPr>
    </w:lvl>
    <w:lvl w:ilvl="2" w:tplc="F0360BE6" w:tentative="1">
      <w:start w:val="1"/>
      <w:numFmt w:val="bullet"/>
      <w:lvlText w:val="•"/>
      <w:lvlJc w:val="left"/>
      <w:pPr>
        <w:tabs>
          <w:tab w:val="num" w:pos="2160"/>
        </w:tabs>
        <w:ind w:left="2160" w:hanging="360"/>
      </w:pPr>
      <w:rPr>
        <w:rFonts w:ascii="Arial" w:hAnsi="Arial" w:hint="default"/>
      </w:rPr>
    </w:lvl>
    <w:lvl w:ilvl="3" w:tplc="ED6E52A2" w:tentative="1">
      <w:start w:val="1"/>
      <w:numFmt w:val="bullet"/>
      <w:lvlText w:val="•"/>
      <w:lvlJc w:val="left"/>
      <w:pPr>
        <w:tabs>
          <w:tab w:val="num" w:pos="2880"/>
        </w:tabs>
        <w:ind w:left="2880" w:hanging="360"/>
      </w:pPr>
      <w:rPr>
        <w:rFonts w:ascii="Arial" w:hAnsi="Arial" w:hint="default"/>
      </w:rPr>
    </w:lvl>
    <w:lvl w:ilvl="4" w:tplc="871494B0" w:tentative="1">
      <w:start w:val="1"/>
      <w:numFmt w:val="bullet"/>
      <w:lvlText w:val="•"/>
      <w:lvlJc w:val="left"/>
      <w:pPr>
        <w:tabs>
          <w:tab w:val="num" w:pos="3600"/>
        </w:tabs>
        <w:ind w:left="3600" w:hanging="360"/>
      </w:pPr>
      <w:rPr>
        <w:rFonts w:ascii="Arial" w:hAnsi="Arial" w:hint="default"/>
      </w:rPr>
    </w:lvl>
    <w:lvl w:ilvl="5" w:tplc="934C6314" w:tentative="1">
      <w:start w:val="1"/>
      <w:numFmt w:val="bullet"/>
      <w:lvlText w:val="•"/>
      <w:lvlJc w:val="left"/>
      <w:pPr>
        <w:tabs>
          <w:tab w:val="num" w:pos="4320"/>
        </w:tabs>
        <w:ind w:left="4320" w:hanging="360"/>
      </w:pPr>
      <w:rPr>
        <w:rFonts w:ascii="Arial" w:hAnsi="Arial" w:hint="default"/>
      </w:rPr>
    </w:lvl>
    <w:lvl w:ilvl="6" w:tplc="926CA3E2" w:tentative="1">
      <w:start w:val="1"/>
      <w:numFmt w:val="bullet"/>
      <w:lvlText w:val="•"/>
      <w:lvlJc w:val="left"/>
      <w:pPr>
        <w:tabs>
          <w:tab w:val="num" w:pos="5040"/>
        </w:tabs>
        <w:ind w:left="5040" w:hanging="360"/>
      </w:pPr>
      <w:rPr>
        <w:rFonts w:ascii="Arial" w:hAnsi="Arial" w:hint="default"/>
      </w:rPr>
    </w:lvl>
    <w:lvl w:ilvl="7" w:tplc="AB64C6C2" w:tentative="1">
      <w:start w:val="1"/>
      <w:numFmt w:val="bullet"/>
      <w:lvlText w:val="•"/>
      <w:lvlJc w:val="left"/>
      <w:pPr>
        <w:tabs>
          <w:tab w:val="num" w:pos="5760"/>
        </w:tabs>
        <w:ind w:left="5760" w:hanging="360"/>
      </w:pPr>
      <w:rPr>
        <w:rFonts w:ascii="Arial" w:hAnsi="Arial" w:hint="default"/>
      </w:rPr>
    </w:lvl>
    <w:lvl w:ilvl="8" w:tplc="BE4AC13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5C21BDF"/>
    <w:multiLevelType w:val="hybridMultilevel"/>
    <w:tmpl w:val="CD1402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0E37CDA"/>
    <w:multiLevelType w:val="hybridMultilevel"/>
    <w:tmpl w:val="108E5D92"/>
    <w:lvl w:ilvl="0" w:tplc="3962CD16">
      <w:start w:val="1"/>
      <w:numFmt w:val="bullet"/>
      <w:lvlText w:val="•"/>
      <w:lvlJc w:val="left"/>
      <w:pPr>
        <w:tabs>
          <w:tab w:val="num" w:pos="720"/>
        </w:tabs>
        <w:ind w:left="720" w:hanging="360"/>
      </w:pPr>
      <w:rPr>
        <w:rFonts w:ascii="Arial" w:hAnsi="Arial" w:hint="default"/>
      </w:rPr>
    </w:lvl>
    <w:lvl w:ilvl="1" w:tplc="4C689522" w:tentative="1">
      <w:start w:val="1"/>
      <w:numFmt w:val="bullet"/>
      <w:lvlText w:val="•"/>
      <w:lvlJc w:val="left"/>
      <w:pPr>
        <w:tabs>
          <w:tab w:val="num" w:pos="1440"/>
        </w:tabs>
        <w:ind w:left="1440" w:hanging="360"/>
      </w:pPr>
      <w:rPr>
        <w:rFonts w:ascii="Arial" w:hAnsi="Arial" w:hint="default"/>
      </w:rPr>
    </w:lvl>
    <w:lvl w:ilvl="2" w:tplc="ADA4DC22" w:tentative="1">
      <w:start w:val="1"/>
      <w:numFmt w:val="bullet"/>
      <w:lvlText w:val="•"/>
      <w:lvlJc w:val="left"/>
      <w:pPr>
        <w:tabs>
          <w:tab w:val="num" w:pos="2160"/>
        </w:tabs>
        <w:ind w:left="2160" w:hanging="360"/>
      </w:pPr>
      <w:rPr>
        <w:rFonts w:ascii="Arial" w:hAnsi="Arial" w:hint="default"/>
      </w:rPr>
    </w:lvl>
    <w:lvl w:ilvl="3" w:tplc="AF420E2C" w:tentative="1">
      <w:start w:val="1"/>
      <w:numFmt w:val="bullet"/>
      <w:lvlText w:val="•"/>
      <w:lvlJc w:val="left"/>
      <w:pPr>
        <w:tabs>
          <w:tab w:val="num" w:pos="2880"/>
        </w:tabs>
        <w:ind w:left="2880" w:hanging="360"/>
      </w:pPr>
      <w:rPr>
        <w:rFonts w:ascii="Arial" w:hAnsi="Arial" w:hint="default"/>
      </w:rPr>
    </w:lvl>
    <w:lvl w:ilvl="4" w:tplc="2CCA8F14" w:tentative="1">
      <w:start w:val="1"/>
      <w:numFmt w:val="bullet"/>
      <w:lvlText w:val="•"/>
      <w:lvlJc w:val="left"/>
      <w:pPr>
        <w:tabs>
          <w:tab w:val="num" w:pos="3600"/>
        </w:tabs>
        <w:ind w:left="3600" w:hanging="360"/>
      </w:pPr>
      <w:rPr>
        <w:rFonts w:ascii="Arial" w:hAnsi="Arial" w:hint="default"/>
      </w:rPr>
    </w:lvl>
    <w:lvl w:ilvl="5" w:tplc="55FC1A62" w:tentative="1">
      <w:start w:val="1"/>
      <w:numFmt w:val="bullet"/>
      <w:lvlText w:val="•"/>
      <w:lvlJc w:val="left"/>
      <w:pPr>
        <w:tabs>
          <w:tab w:val="num" w:pos="4320"/>
        </w:tabs>
        <w:ind w:left="4320" w:hanging="360"/>
      </w:pPr>
      <w:rPr>
        <w:rFonts w:ascii="Arial" w:hAnsi="Arial" w:hint="default"/>
      </w:rPr>
    </w:lvl>
    <w:lvl w:ilvl="6" w:tplc="7B90AA3A" w:tentative="1">
      <w:start w:val="1"/>
      <w:numFmt w:val="bullet"/>
      <w:lvlText w:val="•"/>
      <w:lvlJc w:val="left"/>
      <w:pPr>
        <w:tabs>
          <w:tab w:val="num" w:pos="5040"/>
        </w:tabs>
        <w:ind w:left="5040" w:hanging="360"/>
      </w:pPr>
      <w:rPr>
        <w:rFonts w:ascii="Arial" w:hAnsi="Arial" w:hint="default"/>
      </w:rPr>
    </w:lvl>
    <w:lvl w:ilvl="7" w:tplc="0E88D8C4" w:tentative="1">
      <w:start w:val="1"/>
      <w:numFmt w:val="bullet"/>
      <w:lvlText w:val="•"/>
      <w:lvlJc w:val="left"/>
      <w:pPr>
        <w:tabs>
          <w:tab w:val="num" w:pos="5760"/>
        </w:tabs>
        <w:ind w:left="5760" w:hanging="360"/>
      </w:pPr>
      <w:rPr>
        <w:rFonts w:ascii="Arial" w:hAnsi="Arial" w:hint="default"/>
      </w:rPr>
    </w:lvl>
    <w:lvl w:ilvl="8" w:tplc="7CA683F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96C7FF6"/>
    <w:multiLevelType w:val="hybridMultilevel"/>
    <w:tmpl w:val="4D4A750C"/>
    <w:lvl w:ilvl="0" w:tplc="D6643B58">
      <w:start w:val="1"/>
      <w:numFmt w:val="decimal"/>
      <w:pStyle w:val="BOXNumberedList"/>
      <w:lvlText w:val="%1."/>
      <w:lvlJc w:val="left"/>
      <w:pPr>
        <w:ind w:left="840" w:hanging="360"/>
      </w:pPr>
    </w:lvl>
    <w:lvl w:ilvl="1" w:tplc="0C090019" w:tentative="1">
      <w:start w:val="1"/>
      <w:numFmt w:val="lowerLetter"/>
      <w:lvlText w:val="%2."/>
      <w:lvlJc w:val="left"/>
      <w:pPr>
        <w:ind w:left="1560" w:hanging="360"/>
      </w:pPr>
    </w:lvl>
    <w:lvl w:ilvl="2" w:tplc="0C09001B" w:tentative="1">
      <w:start w:val="1"/>
      <w:numFmt w:val="lowerRoman"/>
      <w:lvlText w:val="%3."/>
      <w:lvlJc w:val="right"/>
      <w:pPr>
        <w:ind w:left="2280" w:hanging="180"/>
      </w:pPr>
    </w:lvl>
    <w:lvl w:ilvl="3" w:tplc="0C09000F" w:tentative="1">
      <w:start w:val="1"/>
      <w:numFmt w:val="decimal"/>
      <w:lvlText w:val="%4."/>
      <w:lvlJc w:val="left"/>
      <w:pPr>
        <w:ind w:left="3000" w:hanging="360"/>
      </w:pPr>
    </w:lvl>
    <w:lvl w:ilvl="4" w:tplc="0C090019" w:tentative="1">
      <w:start w:val="1"/>
      <w:numFmt w:val="lowerLetter"/>
      <w:lvlText w:val="%5."/>
      <w:lvlJc w:val="left"/>
      <w:pPr>
        <w:ind w:left="3720" w:hanging="360"/>
      </w:pPr>
    </w:lvl>
    <w:lvl w:ilvl="5" w:tplc="0C09001B" w:tentative="1">
      <w:start w:val="1"/>
      <w:numFmt w:val="lowerRoman"/>
      <w:lvlText w:val="%6."/>
      <w:lvlJc w:val="right"/>
      <w:pPr>
        <w:ind w:left="4440" w:hanging="180"/>
      </w:pPr>
    </w:lvl>
    <w:lvl w:ilvl="6" w:tplc="0C09000F" w:tentative="1">
      <w:start w:val="1"/>
      <w:numFmt w:val="decimal"/>
      <w:lvlText w:val="%7."/>
      <w:lvlJc w:val="left"/>
      <w:pPr>
        <w:ind w:left="5160" w:hanging="360"/>
      </w:pPr>
    </w:lvl>
    <w:lvl w:ilvl="7" w:tplc="0C090019" w:tentative="1">
      <w:start w:val="1"/>
      <w:numFmt w:val="lowerLetter"/>
      <w:lvlText w:val="%8."/>
      <w:lvlJc w:val="left"/>
      <w:pPr>
        <w:ind w:left="5880" w:hanging="360"/>
      </w:pPr>
    </w:lvl>
    <w:lvl w:ilvl="8" w:tplc="0C09001B" w:tentative="1">
      <w:start w:val="1"/>
      <w:numFmt w:val="lowerRoman"/>
      <w:lvlText w:val="%9."/>
      <w:lvlJc w:val="right"/>
      <w:pPr>
        <w:ind w:left="6600" w:hanging="180"/>
      </w:pPr>
    </w:lvl>
  </w:abstractNum>
  <w:abstractNum w:abstractNumId="21" w15:restartNumberingAfterBreak="0">
    <w:nsid w:val="4E781EDD"/>
    <w:multiLevelType w:val="hybridMultilevel"/>
    <w:tmpl w:val="6B225E28"/>
    <w:lvl w:ilvl="0" w:tplc="1B58674C">
      <w:start w:val="1"/>
      <w:numFmt w:val="bullet"/>
      <w:lvlText w:val="–"/>
      <w:lvlJc w:val="left"/>
      <w:pPr>
        <w:ind w:left="851" w:hanging="284"/>
      </w:pPr>
      <w:rPr>
        <w:rFonts w:ascii="Arial Black" w:hAnsi="Arial Black"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5A761DA0"/>
    <w:multiLevelType w:val="hybridMultilevel"/>
    <w:tmpl w:val="5CEAEDEC"/>
    <w:lvl w:ilvl="0" w:tplc="1D5258A6">
      <w:start w:val="1"/>
      <w:numFmt w:val="bullet"/>
      <w:lvlText w:val="•"/>
      <w:lvlJc w:val="left"/>
      <w:pPr>
        <w:tabs>
          <w:tab w:val="num" w:pos="720"/>
        </w:tabs>
        <w:ind w:left="720" w:hanging="360"/>
      </w:pPr>
      <w:rPr>
        <w:rFonts w:ascii="Arial" w:hAnsi="Arial" w:hint="default"/>
      </w:rPr>
    </w:lvl>
    <w:lvl w:ilvl="1" w:tplc="4CC8F2EA" w:tentative="1">
      <w:start w:val="1"/>
      <w:numFmt w:val="bullet"/>
      <w:lvlText w:val="•"/>
      <w:lvlJc w:val="left"/>
      <w:pPr>
        <w:tabs>
          <w:tab w:val="num" w:pos="1440"/>
        </w:tabs>
        <w:ind w:left="1440" w:hanging="360"/>
      </w:pPr>
      <w:rPr>
        <w:rFonts w:ascii="Arial" w:hAnsi="Arial" w:hint="default"/>
      </w:rPr>
    </w:lvl>
    <w:lvl w:ilvl="2" w:tplc="7CE4BCE0" w:tentative="1">
      <w:start w:val="1"/>
      <w:numFmt w:val="bullet"/>
      <w:lvlText w:val="•"/>
      <w:lvlJc w:val="left"/>
      <w:pPr>
        <w:tabs>
          <w:tab w:val="num" w:pos="2160"/>
        </w:tabs>
        <w:ind w:left="2160" w:hanging="360"/>
      </w:pPr>
      <w:rPr>
        <w:rFonts w:ascii="Arial" w:hAnsi="Arial" w:hint="default"/>
      </w:rPr>
    </w:lvl>
    <w:lvl w:ilvl="3" w:tplc="62DC2562" w:tentative="1">
      <w:start w:val="1"/>
      <w:numFmt w:val="bullet"/>
      <w:lvlText w:val="•"/>
      <w:lvlJc w:val="left"/>
      <w:pPr>
        <w:tabs>
          <w:tab w:val="num" w:pos="2880"/>
        </w:tabs>
        <w:ind w:left="2880" w:hanging="360"/>
      </w:pPr>
      <w:rPr>
        <w:rFonts w:ascii="Arial" w:hAnsi="Arial" w:hint="default"/>
      </w:rPr>
    </w:lvl>
    <w:lvl w:ilvl="4" w:tplc="9404D3F4" w:tentative="1">
      <w:start w:val="1"/>
      <w:numFmt w:val="bullet"/>
      <w:lvlText w:val="•"/>
      <w:lvlJc w:val="left"/>
      <w:pPr>
        <w:tabs>
          <w:tab w:val="num" w:pos="3600"/>
        </w:tabs>
        <w:ind w:left="3600" w:hanging="360"/>
      </w:pPr>
      <w:rPr>
        <w:rFonts w:ascii="Arial" w:hAnsi="Arial" w:hint="default"/>
      </w:rPr>
    </w:lvl>
    <w:lvl w:ilvl="5" w:tplc="DB46CA44" w:tentative="1">
      <w:start w:val="1"/>
      <w:numFmt w:val="bullet"/>
      <w:lvlText w:val="•"/>
      <w:lvlJc w:val="left"/>
      <w:pPr>
        <w:tabs>
          <w:tab w:val="num" w:pos="4320"/>
        </w:tabs>
        <w:ind w:left="4320" w:hanging="360"/>
      </w:pPr>
      <w:rPr>
        <w:rFonts w:ascii="Arial" w:hAnsi="Arial" w:hint="default"/>
      </w:rPr>
    </w:lvl>
    <w:lvl w:ilvl="6" w:tplc="4D868B80" w:tentative="1">
      <w:start w:val="1"/>
      <w:numFmt w:val="bullet"/>
      <w:lvlText w:val="•"/>
      <w:lvlJc w:val="left"/>
      <w:pPr>
        <w:tabs>
          <w:tab w:val="num" w:pos="5040"/>
        </w:tabs>
        <w:ind w:left="5040" w:hanging="360"/>
      </w:pPr>
      <w:rPr>
        <w:rFonts w:ascii="Arial" w:hAnsi="Arial" w:hint="default"/>
      </w:rPr>
    </w:lvl>
    <w:lvl w:ilvl="7" w:tplc="3376BCD8" w:tentative="1">
      <w:start w:val="1"/>
      <w:numFmt w:val="bullet"/>
      <w:lvlText w:val="•"/>
      <w:lvlJc w:val="left"/>
      <w:pPr>
        <w:tabs>
          <w:tab w:val="num" w:pos="5760"/>
        </w:tabs>
        <w:ind w:left="5760" w:hanging="360"/>
      </w:pPr>
      <w:rPr>
        <w:rFonts w:ascii="Arial" w:hAnsi="Arial" w:hint="default"/>
      </w:rPr>
    </w:lvl>
    <w:lvl w:ilvl="8" w:tplc="60A29E6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ABF0286"/>
    <w:multiLevelType w:val="hybridMultilevel"/>
    <w:tmpl w:val="70C6C990"/>
    <w:lvl w:ilvl="0" w:tplc="56D0C196">
      <w:start w:val="1"/>
      <w:numFmt w:val="decimal"/>
      <w:lvlText w:val="%1."/>
      <w:lvlJc w:val="left"/>
      <w:pPr>
        <w:ind w:left="284" w:hanging="2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EE51B32"/>
    <w:multiLevelType w:val="hybridMultilevel"/>
    <w:tmpl w:val="F2CE71E2"/>
    <w:lvl w:ilvl="0" w:tplc="5E348A7E">
      <w:start w:val="1"/>
      <w:numFmt w:val="decimal"/>
      <w:pStyle w:val="TBLNumbered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81170D5"/>
    <w:multiLevelType w:val="hybridMultilevel"/>
    <w:tmpl w:val="38E03EE6"/>
    <w:lvl w:ilvl="0" w:tplc="9C7CCF60">
      <w:start w:val="1"/>
      <w:numFmt w:val="decimal"/>
      <w:pStyle w:val="NumberedList-Level1"/>
      <w:lvlText w:val="%1."/>
      <w:lvlJc w:val="left"/>
      <w:pPr>
        <w:ind w:left="567" w:hanging="283"/>
      </w:pPr>
      <w:rPr>
        <w:rFonts w:hint="default"/>
      </w:rPr>
    </w:lvl>
    <w:lvl w:ilvl="1" w:tplc="1FAA0FEC">
      <w:start w:val="1"/>
      <w:numFmt w:val="lowerLetter"/>
      <w:pStyle w:val="NumberedList-level2"/>
      <w:lvlText w:val="%2."/>
      <w:lvlJc w:val="left"/>
      <w:pPr>
        <w:ind w:left="851" w:hanging="284"/>
      </w:pPr>
      <w:rPr>
        <w:rFonts w:hint="default"/>
      </w:rPr>
    </w:lvl>
    <w:lvl w:ilvl="2" w:tplc="65FAA32A">
      <w:start w:val="1"/>
      <w:numFmt w:val="lowerRoman"/>
      <w:pStyle w:val="NumberedList-Level3"/>
      <w:lvlText w:val="%3."/>
      <w:lvlJc w:val="right"/>
      <w:pPr>
        <w:ind w:left="1134" w:hanging="170"/>
      </w:pPr>
      <w:rPr>
        <w:rFonts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2982682">
    <w:abstractNumId w:val="11"/>
  </w:num>
  <w:num w:numId="2" w16cid:durableId="2069259983">
    <w:abstractNumId w:val="9"/>
  </w:num>
  <w:num w:numId="3" w16cid:durableId="371002267">
    <w:abstractNumId w:val="7"/>
  </w:num>
  <w:num w:numId="4" w16cid:durableId="1264458091">
    <w:abstractNumId w:val="6"/>
  </w:num>
  <w:num w:numId="5" w16cid:durableId="1907958175">
    <w:abstractNumId w:val="5"/>
  </w:num>
  <w:num w:numId="6" w16cid:durableId="952132805">
    <w:abstractNumId w:val="4"/>
  </w:num>
  <w:num w:numId="7" w16cid:durableId="1686521726">
    <w:abstractNumId w:val="8"/>
  </w:num>
  <w:num w:numId="8" w16cid:durableId="2140148618">
    <w:abstractNumId w:val="3"/>
  </w:num>
  <w:num w:numId="9" w16cid:durableId="902180059">
    <w:abstractNumId w:val="2"/>
  </w:num>
  <w:num w:numId="10" w16cid:durableId="1544829082">
    <w:abstractNumId w:val="1"/>
  </w:num>
  <w:num w:numId="11" w16cid:durableId="1010720840">
    <w:abstractNumId w:val="0"/>
  </w:num>
  <w:num w:numId="12" w16cid:durableId="930233402">
    <w:abstractNumId w:val="10"/>
  </w:num>
  <w:num w:numId="13" w16cid:durableId="437792876">
    <w:abstractNumId w:val="24"/>
  </w:num>
  <w:num w:numId="14" w16cid:durableId="909313469">
    <w:abstractNumId w:val="16"/>
  </w:num>
  <w:num w:numId="15" w16cid:durableId="710617879">
    <w:abstractNumId w:val="16"/>
    <w:lvlOverride w:ilvl="0">
      <w:startOverride w:val="1"/>
    </w:lvlOverride>
  </w:num>
  <w:num w:numId="16" w16cid:durableId="1229918016">
    <w:abstractNumId w:val="16"/>
    <w:lvlOverride w:ilvl="0">
      <w:startOverride w:val="1"/>
    </w:lvlOverride>
  </w:num>
  <w:num w:numId="17" w16cid:durableId="634024224">
    <w:abstractNumId w:val="16"/>
    <w:lvlOverride w:ilvl="0">
      <w:startOverride w:val="1"/>
    </w:lvlOverride>
  </w:num>
  <w:num w:numId="18" w16cid:durableId="1742437264">
    <w:abstractNumId w:val="16"/>
    <w:lvlOverride w:ilvl="0">
      <w:startOverride w:val="1"/>
    </w:lvlOverride>
  </w:num>
  <w:num w:numId="19" w16cid:durableId="1798835332">
    <w:abstractNumId w:val="21"/>
  </w:num>
  <w:num w:numId="20" w16cid:durableId="737627733">
    <w:abstractNumId w:val="21"/>
    <w:lvlOverride w:ilvl="0">
      <w:startOverride w:val="1"/>
    </w:lvlOverride>
  </w:num>
  <w:num w:numId="21" w16cid:durableId="719862231">
    <w:abstractNumId w:val="25"/>
  </w:num>
  <w:num w:numId="22" w16cid:durableId="1771583021">
    <w:abstractNumId w:val="23"/>
  </w:num>
  <w:num w:numId="23" w16cid:durableId="700516669">
    <w:abstractNumId w:val="11"/>
    <w:lvlOverride w:ilvl="0">
      <w:startOverride w:val="1"/>
    </w:lvlOverride>
  </w:num>
  <w:num w:numId="24" w16cid:durableId="1082607493">
    <w:abstractNumId w:val="25"/>
    <w:lvlOverride w:ilvl="0">
      <w:startOverride w:val="1"/>
    </w:lvlOverride>
  </w:num>
  <w:num w:numId="25" w16cid:durableId="34812537">
    <w:abstractNumId w:val="23"/>
    <w:lvlOverride w:ilvl="0">
      <w:startOverride w:val="1"/>
    </w:lvlOverride>
  </w:num>
  <w:num w:numId="26" w16cid:durableId="1120759126">
    <w:abstractNumId w:val="23"/>
    <w:lvlOverride w:ilvl="0">
      <w:startOverride w:val="1"/>
    </w:lvlOverride>
  </w:num>
  <w:num w:numId="27" w16cid:durableId="5989209">
    <w:abstractNumId w:val="14"/>
  </w:num>
  <w:num w:numId="28" w16cid:durableId="2130926241">
    <w:abstractNumId w:val="20"/>
  </w:num>
  <w:num w:numId="29" w16cid:durableId="838738080">
    <w:abstractNumId w:val="13"/>
  </w:num>
  <w:num w:numId="30" w16cid:durableId="327639779">
    <w:abstractNumId w:val="15"/>
  </w:num>
  <w:num w:numId="31" w16cid:durableId="1949265815">
    <w:abstractNumId w:val="12"/>
  </w:num>
  <w:num w:numId="32" w16cid:durableId="597641810">
    <w:abstractNumId w:val="25"/>
    <w:lvlOverride w:ilvl="0">
      <w:startOverride w:val="1"/>
    </w:lvlOverride>
  </w:num>
  <w:num w:numId="33" w16cid:durableId="1083141217">
    <w:abstractNumId w:val="25"/>
    <w:lvlOverride w:ilvl="0">
      <w:startOverride w:val="1"/>
    </w:lvlOverride>
  </w:num>
  <w:num w:numId="34" w16cid:durableId="945699784">
    <w:abstractNumId w:val="25"/>
    <w:lvlOverride w:ilvl="0">
      <w:startOverride w:val="1"/>
    </w:lvlOverride>
  </w:num>
  <w:num w:numId="35" w16cid:durableId="133375104">
    <w:abstractNumId w:val="24"/>
    <w:lvlOverride w:ilvl="0">
      <w:startOverride w:val="1"/>
    </w:lvlOverride>
  </w:num>
  <w:num w:numId="36" w16cid:durableId="1402874746">
    <w:abstractNumId w:val="24"/>
    <w:lvlOverride w:ilvl="0">
      <w:startOverride w:val="1"/>
    </w:lvlOverride>
  </w:num>
  <w:num w:numId="37" w16cid:durableId="405417079">
    <w:abstractNumId w:val="24"/>
    <w:lvlOverride w:ilvl="0">
      <w:startOverride w:val="1"/>
    </w:lvlOverride>
  </w:num>
  <w:num w:numId="38" w16cid:durableId="1500271472">
    <w:abstractNumId w:val="22"/>
  </w:num>
  <w:num w:numId="39" w16cid:durableId="897401023">
    <w:abstractNumId w:val="19"/>
  </w:num>
  <w:num w:numId="40" w16cid:durableId="165246375">
    <w:abstractNumId w:val="17"/>
  </w:num>
  <w:num w:numId="41" w16cid:durableId="19340478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activeWritingStyle w:appName="MSWord" w:lang="en-AU" w:vendorID="64" w:dllVersion="0"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2"/>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4F3"/>
    <w:rsid w:val="00003AF2"/>
    <w:rsid w:val="0001633F"/>
    <w:rsid w:val="00022468"/>
    <w:rsid w:val="00027038"/>
    <w:rsid w:val="00030B92"/>
    <w:rsid w:val="0003154E"/>
    <w:rsid w:val="00032139"/>
    <w:rsid w:val="00036EE4"/>
    <w:rsid w:val="00037513"/>
    <w:rsid w:val="000603F7"/>
    <w:rsid w:val="0006501B"/>
    <w:rsid w:val="0006627F"/>
    <w:rsid w:val="000668BB"/>
    <w:rsid w:val="000770FA"/>
    <w:rsid w:val="00080B17"/>
    <w:rsid w:val="00081689"/>
    <w:rsid w:val="000871D0"/>
    <w:rsid w:val="0008728F"/>
    <w:rsid w:val="000B3417"/>
    <w:rsid w:val="000B36D0"/>
    <w:rsid w:val="000B6A28"/>
    <w:rsid w:val="000D749D"/>
    <w:rsid w:val="00115264"/>
    <w:rsid w:val="00117A77"/>
    <w:rsid w:val="00125770"/>
    <w:rsid w:val="00132068"/>
    <w:rsid w:val="00132887"/>
    <w:rsid w:val="00147E4C"/>
    <w:rsid w:val="00152412"/>
    <w:rsid w:val="00155F16"/>
    <w:rsid w:val="001611BF"/>
    <w:rsid w:val="0017436A"/>
    <w:rsid w:val="00175841"/>
    <w:rsid w:val="001778D0"/>
    <w:rsid w:val="00193BAD"/>
    <w:rsid w:val="001954B4"/>
    <w:rsid w:val="001B2134"/>
    <w:rsid w:val="001B2D56"/>
    <w:rsid w:val="001C5831"/>
    <w:rsid w:val="001D16C5"/>
    <w:rsid w:val="001E1C80"/>
    <w:rsid w:val="001E53C6"/>
    <w:rsid w:val="001F0DAC"/>
    <w:rsid w:val="001F1D5F"/>
    <w:rsid w:val="001F6E20"/>
    <w:rsid w:val="001F7B64"/>
    <w:rsid w:val="002002ED"/>
    <w:rsid w:val="00202E07"/>
    <w:rsid w:val="00205AAF"/>
    <w:rsid w:val="00207E25"/>
    <w:rsid w:val="00212443"/>
    <w:rsid w:val="00216DE1"/>
    <w:rsid w:val="00220DDA"/>
    <w:rsid w:val="00227DB5"/>
    <w:rsid w:val="002336DD"/>
    <w:rsid w:val="0023386C"/>
    <w:rsid w:val="002455AE"/>
    <w:rsid w:val="002533A3"/>
    <w:rsid w:val="00255046"/>
    <w:rsid w:val="00262DDD"/>
    <w:rsid w:val="00266CCC"/>
    <w:rsid w:val="00274D42"/>
    <w:rsid w:val="002823C2"/>
    <w:rsid w:val="00285CAF"/>
    <w:rsid w:val="00286289"/>
    <w:rsid w:val="002A137E"/>
    <w:rsid w:val="002A7D82"/>
    <w:rsid w:val="002B53AF"/>
    <w:rsid w:val="002B661A"/>
    <w:rsid w:val="002C7A05"/>
    <w:rsid w:val="002D37AE"/>
    <w:rsid w:val="002D6B3D"/>
    <w:rsid w:val="002E1A9B"/>
    <w:rsid w:val="002E5916"/>
    <w:rsid w:val="002E61BD"/>
    <w:rsid w:val="002F382A"/>
    <w:rsid w:val="00303C55"/>
    <w:rsid w:val="00304D47"/>
    <w:rsid w:val="00311C2D"/>
    <w:rsid w:val="00316AF7"/>
    <w:rsid w:val="00317030"/>
    <w:rsid w:val="00330A33"/>
    <w:rsid w:val="00335257"/>
    <w:rsid w:val="00340D7B"/>
    <w:rsid w:val="00346D39"/>
    <w:rsid w:val="00353E5E"/>
    <w:rsid w:val="00361020"/>
    <w:rsid w:val="00374D2A"/>
    <w:rsid w:val="00376FE6"/>
    <w:rsid w:val="00385BD5"/>
    <w:rsid w:val="00386358"/>
    <w:rsid w:val="00397D1D"/>
    <w:rsid w:val="003A54A7"/>
    <w:rsid w:val="003B05DC"/>
    <w:rsid w:val="003C181D"/>
    <w:rsid w:val="003C1C2C"/>
    <w:rsid w:val="003C1F2E"/>
    <w:rsid w:val="003D51B5"/>
    <w:rsid w:val="003D676D"/>
    <w:rsid w:val="003E3F6D"/>
    <w:rsid w:val="003F23E9"/>
    <w:rsid w:val="00402E24"/>
    <w:rsid w:val="004073E7"/>
    <w:rsid w:val="00413312"/>
    <w:rsid w:val="00426D05"/>
    <w:rsid w:val="0044397A"/>
    <w:rsid w:val="00443F97"/>
    <w:rsid w:val="00454582"/>
    <w:rsid w:val="00464D89"/>
    <w:rsid w:val="00476A0E"/>
    <w:rsid w:val="00490B90"/>
    <w:rsid w:val="00490E25"/>
    <w:rsid w:val="004B088C"/>
    <w:rsid w:val="004B2C90"/>
    <w:rsid w:val="004C17DE"/>
    <w:rsid w:val="004C58F3"/>
    <w:rsid w:val="004D2BF9"/>
    <w:rsid w:val="004F4C4F"/>
    <w:rsid w:val="004F6CF1"/>
    <w:rsid w:val="00500883"/>
    <w:rsid w:val="00516260"/>
    <w:rsid w:val="005226B9"/>
    <w:rsid w:val="00522D9C"/>
    <w:rsid w:val="005272E6"/>
    <w:rsid w:val="0052777A"/>
    <w:rsid w:val="00527EBB"/>
    <w:rsid w:val="00534819"/>
    <w:rsid w:val="005505E3"/>
    <w:rsid w:val="00551CB9"/>
    <w:rsid w:val="0055713D"/>
    <w:rsid w:val="00561FB9"/>
    <w:rsid w:val="00591288"/>
    <w:rsid w:val="005917FD"/>
    <w:rsid w:val="005A3632"/>
    <w:rsid w:val="005A4AA1"/>
    <w:rsid w:val="005B3358"/>
    <w:rsid w:val="005C0F15"/>
    <w:rsid w:val="005C3C13"/>
    <w:rsid w:val="005C5269"/>
    <w:rsid w:val="005C66F5"/>
    <w:rsid w:val="005D2587"/>
    <w:rsid w:val="005D4706"/>
    <w:rsid w:val="005E0DC7"/>
    <w:rsid w:val="005E6E22"/>
    <w:rsid w:val="005F2BED"/>
    <w:rsid w:val="00610C0F"/>
    <w:rsid w:val="006147EB"/>
    <w:rsid w:val="006200EB"/>
    <w:rsid w:val="00621EA3"/>
    <w:rsid w:val="006324E0"/>
    <w:rsid w:val="00640234"/>
    <w:rsid w:val="0064343A"/>
    <w:rsid w:val="006617B8"/>
    <w:rsid w:val="00665FB6"/>
    <w:rsid w:val="00667B5E"/>
    <w:rsid w:val="006949AF"/>
    <w:rsid w:val="006A008F"/>
    <w:rsid w:val="006A2ABA"/>
    <w:rsid w:val="006A2BCA"/>
    <w:rsid w:val="006A5AA6"/>
    <w:rsid w:val="006B349C"/>
    <w:rsid w:val="006D71DA"/>
    <w:rsid w:val="006E170D"/>
    <w:rsid w:val="006E698B"/>
    <w:rsid w:val="006F25A1"/>
    <w:rsid w:val="0071548B"/>
    <w:rsid w:val="00715A4A"/>
    <w:rsid w:val="007203E4"/>
    <w:rsid w:val="007204A9"/>
    <w:rsid w:val="0072538D"/>
    <w:rsid w:val="00736008"/>
    <w:rsid w:val="00740E77"/>
    <w:rsid w:val="0075249A"/>
    <w:rsid w:val="00756929"/>
    <w:rsid w:val="00767DBB"/>
    <w:rsid w:val="00771DC8"/>
    <w:rsid w:val="00774646"/>
    <w:rsid w:val="00776B3B"/>
    <w:rsid w:val="00780840"/>
    <w:rsid w:val="00781695"/>
    <w:rsid w:val="00783EC4"/>
    <w:rsid w:val="007851BE"/>
    <w:rsid w:val="007A02A7"/>
    <w:rsid w:val="007A038F"/>
    <w:rsid w:val="007A3AD4"/>
    <w:rsid w:val="007B1434"/>
    <w:rsid w:val="007C05C0"/>
    <w:rsid w:val="007C0935"/>
    <w:rsid w:val="007E1C98"/>
    <w:rsid w:val="007E3FB9"/>
    <w:rsid w:val="007E74EE"/>
    <w:rsid w:val="007F235E"/>
    <w:rsid w:val="007F4E93"/>
    <w:rsid w:val="007F6CC4"/>
    <w:rsid w:val="0080032D"/>
    <w:rsid w:val="008009B1"/>
    <w:rsid w:val="008046D4"/>
    <w:rsid w:val="008059CB"/>
    <w:rsid w:val="008173BC"/>
    <w:rsid w:val="008174AE"/>
    <w:rsid w:val="008204E7"/>
    <w:rsid w:val="008250D8"/>
    <w:rsid w:val="00833792"/>
    <w:rsid w:val="00835B4D"/>
    <w:rsid w:val="00837A21"/>
    <w:rsid w:val="00852F35"/>
    <w:rsid w:val="00857363"/>
    <w:rsid w:val="0086394C"/>
    <w:rsid w:val="0086459F"/>
    <w:rsid w:val="00874998"/>
    <w:rsid w:val="00876109"/>
    <w:rsid w:val="00880485"/>
    <w:rsid w:val="00883248"/>
    <w:rsid w:val="008A0614"/>
    <w:rsid w:val="008A0FF3"/>
    <w:rsid w:val="008B44F5"/>
    <w:rsid w:val="008C0558"/>
    <w:rsid w:val="008C47A1"/>
    <w:rsid w:val="008C738F"/>
    <w:rsid w:val="008C7A63"/>
    <w:rsid w:val="008D6B9E"/>
    <w:rsid w:val="008E1024"/>
    <w:rsid w:val="008F2BB2"/>
    <w:rsid w:val="008F491B"/>
    <w:rsid w:val="009111F2"/>
    <w:rsid w:val="00913ED0"/>
    <w:rsid w:val="00927650"/>
    <w:rsid w:val="0093222B"/>
    <w:rsid w:val="009429FD"/>
    <w:rsid w:val="00942CB6"/>
    <w:rsid w:val="00942CE9"/>
    <w:rsid w:val="00954FF2"/>
    <w:rsid w:val="009615D2"/>
    <w:rsid w:val="00962EE8"/>
    <w:rsid w:val="00976EE9"/>
    <w:rsid w:val="009821BE"/>
    <w:rsid w:val="0098267F"/>
    <w:rsid w:val="00984376"/>
    <w:rsid w:val="009A350B"/>
    <w:rsid w:val="009A6479"/>
    <w:rsid w:val="009A6D9C"/>
    <w:rsid w:val="009C14AA"/>
    <w:rsid w:val="009C60F6"/>
    <w:rsid w:val="009E350A"/>
    <w:rsid w:val="009F0889"/>
    <w:rsid w:val="009F16DE"/>
    <w:rsid w:val="009F1F5F"/>
    <w:rsid w:val="009F62F4"/>
    <w:rsid w:val="009F6A0F"/>
    <w:rsid w:val="00A008E6"/>
    <w:rsid w:val="00A06DF8"/>
    <w:rsid w:val="00A12C83"/>
    <w:rsid w:val="00A12F96"/>
    <w:rsid w:val="00A35D32"/>
    <w:rsid w:val="00A42517"/>
    <w:rsid w:val="00A57585"/>
    <w:rsid w:val="00A57FF6"/>
    <w:rsid w:val="00A62EF3"/>
    <w:rsid w:val="00A704F3"/>
    <w:rsid w:val="00A7150E"/>
    <w:rsid w:val="00A818B5"/>
    <w:rsid w:val="00A82A58"/>
    <w:rsid w:val="00A918A7"/>
    <w:rsid w:val="00AA0954"/>
    <w:rsid w:val="00AA1C38"/>
    <w:rsid w:val="00AA705F"/>
    <w:rsid w:val="00AB7952"/>
    <w:rsid w:val="00AC2CDC"/>
    <w:rsid w:val="00AD358D"/>
    <w:rsid w:val="00AD7805"/>
    <w:rsid w:val="00AD7F16"/>
    <w:rsid w:val="00AE2B22"/>
    <w:rsid w:val="00B05108"/>
    <w:rsid w:val="00B23B3E"/>
    <w:rsid w:val="00B56736"/>
    <w:rsid w:val="00B6596F"/>
    <w:rsid w:val="00B73343"/>
    <w:rsid w:val="00B81D3E"/>
    <w:rsid w:val="00B92E61"/>
    <w:rsid w:val="00B97D3A"/>
    <w:rsid w:val="00BA7071"/>
    <w:rsid w:val="00BB1526"/>
    <w:rsid w:val="00BC75F1"/>
    <w:rsid w:val="00BC75F3"/>
    <w:rsid w:val="00BC7BCF"/>
    <w:rsid w:val="00BD171D"/>
    <w:rsid w:val="00BD57F5"/>
    <w:rsid w:val="00BE0F4D"/>
    <w:rsid w:val="00BE48A4"/>
    <w:rsid w:val="00BE56F0"/>
    <w:rsid w:val="00BE70D9"/>
    <w:rsid w:val="00C028D7"/>
    <w:rsid w:val="00C034D3"/>
    <w:rsid w:val="00C03CD2"/>
    <w:rsid w:val="00C0710B"/>
    <w:rsid w:val="00C12D35"/>
    <w:rsid w:val="00C13310"/>
    <w:rsid w:val="00C17F81"/>
    <w:rsid w:val="00C32E9F"/>
    <w:rsid w:val="00C40D09"/>
    <w:rsid w:val="00C45573"/>
    <w:rsid w:val="00C47620"/>
    <w:rsid w:val="00C70947"/>
    <w:rsid w:val="00C77097"/>
    <w:rsid w:val="00C909FF"/>
    <w:rsid w:val="00CB075B"/>
    <w:rsid w:val="00CC42EA"/>
    <w:rsid w:val="00CC6110"/>
    <w:rsid w:val="00CD0193"/>
    <w:rsid w:val="00CF2175"/>
    <w:rsid w:val="00CF55DD"/>
    <w:rsid w:val="00CF7265"/>
    <w:rsid w:val="00D00176"/>
    <w:rsid w:val="00D03799"/>
    <w:rsid w:val="00D04E61"/>
    <w:rsid w:val="00D10635"/>
    <w:rsid w:val="00D11157"/>
    <w:rsid w:val="00D13C0A"/>
    <w:rsid w:val="00D17411"/>
    <w:rsid w:val="00D500C1"/>
    <w:rsid w:val="00D525B8"/>
    <w:rsid w:val="00D66244"/>
    <w:rsid w:val="00D75A12"/>
    <w:rsid w:val="00D8019E"/>
    <w:rsid w:val="00D859BB"/>
    <w:rsid w:val="00D9417E"/>
    <w:rsid w:val="00DA00D0"/>
    <w:rsid w:val="00DA18A2"/>
    <w:rsid w:val="00DB61AC"/>
    <w:rsid w:val="00DF2F8D"/>
    <w:rsid w:val="00E05FA4"/>
    <w:rsid w:val="00E12AB4"/>
    <w:rsid w:val="00E13082"/>
    <w:rsid w:val="00E155C1"/>
    <w:rsid w:val="00E2196D"/>
    <w:rsid w:val="00E224F4"/>
    <w:rsid w:val="00E2753F"/>
    <w:rsid w:val="00E27786"/>
    <w:rsid w:val="00E27CA0"/>
    <w:rsid w:val="00E375E0"/>
    <w:rsid w:val="00E40F87"/>
    <w:rsid w:val="00E43127"/>
    <w:rsid w:val="00E5206D"/>
    <w:rsid w:val="00E63FC4"/>
    <w:rsid w:val="00E84F06"/>
    <w:rsid w:val="00E86296"/>
    <w:rsid w:val="00E92551"/>
    <w:rsid w:val="00E95092"/>
    <w:rsid w:val="00EA78C6"/>
    <w:rsid w:val="00EB6AA9"/>
    <w:rsid w:val="00EC0A7F"/>
    <w:rsid w:val="00EC4A85"/>
    <w:rsid w:val="00EC68BE"/>
    <w:rsid w:val="00ED0697"/>
    <w:rsid w:val="00F03073"/>
    <w:rsid w:val="00F049AA"/>
    <w:rsid w:val="00F135EF"/>
    <w:rsid w:val="00F262A6"/>
    <w:rsid w:val="00F46DB7"/>
    <w:rsid w:val="00F620FD"/>
    <w:rsid w:val="00F64736"/>
    <w:rsid w:val="00F66078"/>
    <w:rsid w:val="00F6646A"/>
    <w:rsid w:val="00F736AF"/>
    <w:rsid w:val="00F83A8A"/>
    <w:rsid w:val="00F86700"/>
    <w:rsid w:val="00F87586"/>
    <w:rsid w:val="00F957C6"/>
    <w:rsid w:val="00FA6219"/>
    <w:rsid w:val="00FB268F"/>
    <w:rsid w:val="00FB3AF5"/>
    <w:rsid w:val="00FB7CAD"/>
    <w:rsid w:val="00FC3CC3"/>
    <w:rsid w:val="00FC5955"/>
    <w:rsid w:val="00FD20A5"/>
    <w:rsid w:val="00FD2C22"/>
    <w:rsid w:val="00FE2C7F"/>
    <w:rsid w:val="00FF75BA"/>
    <w:rsid w:val="10AD7B22"/>
    <w:rsid w:val="19113902"/>
    <w:rsid w:val="24AAD7D3"/>
    <w:rsid w:val="2553B86A"/>
    <w:rsid w:val="281D8633"/>
    <w:rsid w:val="43B25B0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92609C6"/>
  <w14:discardImageEditingDat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8"/>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16" w:qFormat="1"/>
    <w:lsdException w:name="Intense Quote" w:uiPriority="17"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unhideWhenUsed="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C2C"/>
    <w:pPr>
      <w:spacing w:after="160" w:line="264" w:lineRule="auto"/>
    </w:pPr>
    <w:rPr>
      <w:rFonts w:ascii="Calibri Light" w:hAnsi="Calibri Light"/>
      <w:color w:val="1C2B39"/>
    </w:rPr>
  </w:style>
  <w:style w:type="paragraph" w:styleId="Heading1">
    <w:name w:val="heading 1"/>
    <w:basedOn w:val="Normal"/>
    <w:next w:val="Normal"/>
    <w:link w:val="Heading1Char"/>
    <w:uiPriority w:val="2"/>
    <w:qFormat/>
    <w:rsid w:val="002F382A"/>
    <w:pPr>
      <w:keepNext/>
      <w:keepLines/>
      <w:pBdr>
        <w:top w:val="single" w:sz="48" w:space="1" w:color="007279"/>
        <w:left w:val="single" w:sz="48" w:space="4" w:color="007279"/>
        <w:bottom w:val="single" w:sz="48" w:space="1" w:color="007279"/>
        <w:right w:val="single" w:sz="48" w:space="4" w:color="007279"/>
      </w:pBdr>
      <w:shd w:val="clear" w:color="auto" w:fill="007279"/>
      <w:spacing w:before="360" w:line="240" w:lineRule="auto"/>
      <w:outlineLvl w:val="0"/>
    </w:pPr>
    <w:rPr>
      <w:rFonts w:ascii="Calibri" w:eastAsiaTheme="majorEastAsia" w:hAnsi="Calibri" w:cstheme="majorBidi"/>
      <w:color w:val="FFFFFF" w:themeColor="background1"/>
      <w:sz w:val="48"/>
      <w:szCs w:val="40"/>
    </w:rPr>
  </w:style>
  <w:style w:type="paragraph" w:styleId="Heading2">
    <w:name w:val="heading 2"/>
    <w:basedOn w:val="Normal"/>
    <w:next w:val="Normal"/>
    <w:link w:val="Heading2Char"/>
    <w:uiPriority w:val="2"/>
    <w:qFormat/>
    <w:rsid w:val="008059CB"/>
    <w:pPr>
      <w:keepNext/>
      <w:keepLines/>
      <w:spacing w:before="240" w:line="240" w:lineRule="auto"/>
      <w:outlineLvl w:val="1"/>
    </w:pPr>
    <w:rPr>
      <w:rFonts w:ascii="Calibri" w:eastAsiaTheme="majorEastAsia" w:hAnsi="Calibri" w:cstheme="majorBidi"/>
      <w:sz w:val="36"/>
      <w:szCs w:val="28"/>
    </w:rPr>
  </w:style>
  <w:style w:type="paragraph" w:styleId="Heading3">
    <w:name w:val="heading 3"/>
    <w:basedOn w:val="Heading4"/>
    <w:next w:val="Normal"/>
    <w:link w:val="Heading3Char"/>
    <w:uiPriority w:val="2"/>
    <w:qFormat/>
    <w:rsid w:val="00E86296"/>
    <w:pPr>
      <w:outlineLvl w:val="2"/>
    </w:pPr>
    <w:rPr>
      <w:color w:val="1C2B39"/>
      <w:sz w:val="24"/>
      <w:szCs w:val="24"/>
    </w:rPr>
  </w:style>
  <w:style w:type="paragraph" w:styleId="Heading4">
    <w:name w:val="heading 4"/>
    <w:basedOn w:val="Normal"/>
    <w:next w:val="Normal"/>
    <w:link w:val="Heading4Char"/>
    <w:uiPriority w:val="2"/>
    <w:qFormat/>
    <w:rsid w:val="00E86296"/>
    <w:pPr>
      <w:keepNext/>
      <w:keepLines/>
      <w:spacing w:before="240"/>
      <w:outlineLvl w:val="3"/>
    </w:pPr>
    <w:rPr>
      <w:rFonts w:eastAsiaTheme="majorEastAsia" w:cstheme="minorHAnsi"/>
      <w:b/>
      <w:color w:val="007279"/>
      <w:szCs w:val="22"/>
    </w:rPr>
  </w:style>
  <w:style w:type="paragraph" w:styleId="Heading5">
    <w:name w:val="heading 5"/>
    <w:basedOn w:val="Normal"/>
    <w:next w:val="Normal"/>
    <w:link w:val="Heading5Char"/>
    <w:uiPriority w:val="2"/>
    <w:unhideWhenUsed/>
    <w:rsid w:val="00857363"/>
    <w:pPr>
      <w:keepNext/>
      <w:keepLines/>
      <w:spacing w:before="240"/>
      <w:outlineLvl w:val="4"/>
    </w:pPr>
    <w:rPr>
      <w:rFonts w:eastAsiaTheme="majorEastAsia" w:cstheme="majorBidi"/>
      <w:iCs/>
      <w:color w:val="3266AB"/>
      <w:szCs w:val="22"/>
    </w:rPr>
  </w:style>
  <w:style w:type="paragraph" w:styleId="Heading6">
    <w:name w:val="heading 6"/>
    <w:basedOn w:val="Normal"/>
    <w:next w:val="Normal"/>
    <w:link w:val="Heading6Char"/>
    <w:uiPriority w:val="2"/>
    <w:unhideWhenUsed/>
    <w:rsid w:val="006200EB"/>
    <w:pPr>
      <w:keepNext/>
      <w:keepLines/>
      <w:spacing w:before="240"/>
      <w:outlineLvl w:val="5"/>
    </w:pPr>
    <w:rPr>
      <w:rFonts w:asciiTheme="majorHAnsi" w:eastAsiaTheme="majorEastAsia" w:hAnsiTheme="majorHAnsi" w:cstheme="majorBidi"/>
      <w:color w:val="3266AB"/>
    </w:rPr>
  </w:style>
  <w:style w:type="paragraph" w:styleId="Heading7">
    <w:name w:val="heading 7"/>
    <w:basedOn w:val="Normal"/>
    <w:next w:val="Normal"/>
    <w:link w:val="Heading7Char"/>
    <w:uiPriority w:val="2"/>
    <w:unhideWhenUsed/>
    <w:rsid w:val="006200EB"/>
    <w:pPr>
      <w:keepNext/>
      <w:keepLines/>
      <w:spacing w:before="240"/>
      <w:outlineLvl w:val="6"/>
    </w:pPr>
    <w:rPr>
      <w:rFonts w:asciiTheme="majorHAnsi" w:eastAsiaTheme="majorEastAsia" w:hAnsiTheme="majorHAnsi" w:cstheme="majorBidi"/>
      <w:b/>
      <w:bCs/>
      <w:color w:val="3266AB"/>
    </w:rPr>
  </w:style>
  <w:style w:type="paragraph" w:styleId="Heading8">
    <w:name w:val="heading 8"/>
    <w:basedOn w:val="Normal"/>
    <w:next w:val="Normal"/>
    <w:link w:val="Heading8Char"/>
    <w:uiPriority w:val="2"/>
    <w:unhideWhenUsed/>
    <w:rsid w:val="006200EB"/>
    <w:pPr>
      <w:keepNext/>
      <w:keepLines/>
      <w:spacing w:before="240"/>
      <w:outlineLvl w:val="7"/>
    </w:pPr>
    <w:rPr>
      <w:rFonts w:asciiTheme="majorHAnsi" w:eastAsiaTheme="majorEastAsia" w:hAnsiTheme="majorHAnsi" w:cstheme="majorBidi"/>
      <w:b/>
      <w:bCs/>
      <w:i/>
      <w:iCs/>
      <w:color w:val="3266AB"/>
    </w:rPr>
  </w:style>
  <w:style w:type="paragraph" w:styleId="Heading9">
    <w:name w:val="heading 9"/>
    <w:basedOn w:val="Normal"/>
    <w:next w:val="Normal"/>
    <w:link w:val="Heading9Char"/>
    <w:uiPriority w:val="2"/>
    <w:unhideWhenUsed/>
    <w:rsid w:val="006200EB"/>
    <w:pPr>
      <w:keepNext/>
      <w:keepLines/>
      <w:spacing w:before="240"/>
      <w:outlineLvl w:val="8"/>
    </w:pPr>
    <w:rPr>
      <w:rFonts w:asciiTheme="majorHAnsi" w:eastAsiaTheme="majorEastAsia" w:hAnsiTheme="majorHAnsi" w:cstheme="majorBidi"/>
      <w:i/>
      <w:iCs/>
      <w:color w:val="3266A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2F382A"/>
    <w:rPr>
      <w:rFonts w:ascii="Calibri" w:eastAsiaTheme="majorEastAsia" w:hAnsi="Calibri" w:cstheme="majorBidi"/>
      <w:color w:val="FFFFFF" w:themeColor="background1"/>
      <w:sz w:val="48"/>
      <w:szCs w:val="40"/>
      <w:shd w:val="clear" w:color="auto" w:fill="007279"/>
    </w:rPr>
  </w:style>
  <w:style w:type="paragraph" w:styleId="Title">
    <w:name w:val="Title"/>
    <w:basedOn w:val="Normal"/>
    <w:next w:val="Normal"/>
    <w:link w:val="TitleChar"/>
    <w:uiPriority w:val="18"/>
    <w:rsid w:val="005226B9"/>
    <w:pPr>
      <w:spacing w:after="0" w:line="240" w:lineRule="auto"/>
      <w:contextualSpacing/>
    </w:pPr>
    <w:rPr>
      <w:rFonts w:asciiTheme="majorHAnsi" w:eastAsiaTheme="majorEastAsia" w:hAnsiTheme="majorHAnsi" w:cstheme="majorBidi"/>
      <w:noProof/>
      <w:spacing w:val="-15"/>
      <w:sz w:val="48"/>
      <w:szCs w:val="96"/>
    </w:rPr>
  </w:style>
  <w:style w:type="character" w:customStyle="1" w:styleId="TitleChar">
    <w:name w:val="Title Char"/>
    <w:basedOn w:val="DefaultParagraphFont"/>
    <w:link w:val="Title"/>
    <w:uiPriority w:val="18"/>
    <w:rsid w:val="00E2753F"/>
    <w:rPr>
      <w:rFonts w:asciiTheme="majorHAnsi" w:eastAsiaTheme="majorEastAsia" w:hAnsiTheme="majorHAnsi" w:cstheme="majorBidi"/>
      <w:noProof/>
      <w:spacing w:val="-15"/>
      <w:sz w:val="56"/>
      <w:szCs w:val="96"/>
    </w:rPr>
  </w:style>
  <w:style w:type="character" w:customStyle="1" w:styleId="Heading2Char">
    <w:name w:val="Heading 2 Char"/>
    <w:basedOn w:val="DefaultParagraphFont"/>
    <w:link w:val="Heading2"/>
    <w:uiPriority w:val="2"/>
    <w:rsid w:val="008059CB"/>
    <w:rPr>
      <w:rFonts w:ascii="Calibri" w:eastAsiaTheme="majorEastAsia" w:hAnsi="Calibri" w:cstheme="majorBidi"/>
      <w:color w:val="1C2B39"/>
      <w:sz w:val="36"/>
      <w:szCs w:val="28"/>
    </w:rPr>
  </w:style>
  <w:style w:type="character" w:customStyle="1" w:styleId="Heading3Char">
    <w:name w:val="Heading 3 Char"/>
    <w:basedOn w:val="DefaultParagraphFont"/>
    <w:link w:val="Heading3"/>
    <w:uiPriority w:val="2"/>
    <w:rsid w:val="00E86296"/>
    <w:rPr>
      <w:rFonts w:eastAsiaTheme="majorEastAsia" w:cstheme="minorHAnsi"/>
      <w:b/>
      <w:color w:val="1C2B39"/>
      <w:sz w:val="24"/>
      <w:szCs w:val="24"/>
    </w:rPr>
  </w:style>
  <w:style w:type="character" w:customStyle="1" w:styleId="Heading4Char">
    <w:name w:val="Heading 4 Char"/>
    <w:basedOn w:val="DefaultParagraphFont"/>
    <w:link w:val="Heading4"/>
    <w:uiPriority w:val="2"/>
    <w:rsid w:val="00E86296"/>
    <w:rPr>
      <w:rFonts w:eastAsiaTheme="majorEastAsia" w:cstheme="minorHAnsi"/>
      <w:b/>
      <w:color w:val="007279"/>
      <w:sz w:val="22"/>
      <w:szCs w:val="22"/>
    </w:rPr>
  </w:style>
  <w:style w:type="character" w:customStyle="1" w:styleId="Heading5Char">
    <w:name w:val="Heading 5 Char"/>
    <w:basedOn w:val="DefaultParagraphFont"/>
    <w:link w:val="Heading5"/>
    <w:uiPriority w:val="2"/>
    <w:rsid w:val="00857363"/>
    <w:rPr>
      <w:rFonts w:eastAsiaTheme="majorEastAsia" w:cstheme="majorBidi"/>
      <w:iCs/>
      <w:color w:val="3266AB"/>
      <w:sz w:val="22"/>
      <w:szCs w:val="22"/>
    </w:rPr>
  </w:style>
  <w:style w:type="character" w:customStyle="1" w:styleId="Heading6Char">
    <w:name w:val="Heading 6 Char"/>
    <w:basedOn w:val="DefaultParagraphFont"/>
    <w:link w:val="Heading6"/>
    <w:uiPriority w:val="2"/>
    <w:rsid w:val="006200EB"/>
    <w:rPr>
      <w:rFonts w:asciiTheme="majorHAnsi" w:eastAsiaTheme="majorEastAsia" w:hAnsiTheme="majorHAnsi" w:cstheme="majorBidi"/>
      <w:color w:val="3266AB"/>
      <w:sz w:val="22"/>
    </w:rPr>
  </w:style>
  <w:style w:type="character" w:customStyle="1" w:styleId="Heading7Char">
    <w:name w:val="Heading 7 Char"/>
    <w:basedOn w:val="DefaultParagraphFont"/>
    <w:link w:val="Heading7"/>
    <w:uiPriority w:val="2"/>
    <w:rsid w:val="006200EB"/>
    <w:rPr>
      <w:rFonts w:asciiTheme="majorHAnsi" w:eastAsiaTheme="majorEastAsia" w:hAnsiTheme="majorHAnsi" w:cstheme="majorBidi"/>
      <w:b/>
      <w:bCs/>
      <w:color w:val="3266AB"/>
      <w:sz w:val="22"/>
    </w:rPr>
  </w:style>
  <w:style w:type="character" w:customStyle="1" w:styleId="Heading8Char">
    <w:name w:val="Heading 8 Char"/>
    <w:basedOn w:val="DefaultParagraphFont"/>
    <w:link w:val="Heading8"/>
    <w:uiPriority w:val="2"/>
    <w:rsid w:val="006200EB"/>
    <w:rPr>
      <w:rFonts w:asciiTheme="majorHAnsi" w:eastAsiaTheme="majorEastAsia" w:hAnsiTheme="majorHAnsi" w:cstheme="majorBidi"/>
      <w:b/>
      <w:bCs/>
      <w:i/>
      <w:iCs/>
      <w:color w:val="3266AB"/>
      <w:sz w:val="20"/>
      <w:szCs w:val="20"/>
    </w:rPr>
  </w:style>
  <w:style w:type="character" w:customStyle="1" w:styleId="Heading9Char">
    <w:name w:val="Heading 9 Char"/>
    <w:basedOn w:val="DefaultParagraphFont"/>
    <w:link w:val="Heading9"/>
    <w:uiPriority w:val="2"/>
    <w:rsid w:val="006200EB"/>
    <w:rPr>
      <w:rFonts w:asciiTheme="majorHAnsi" w:eastAsiaTheme="majorEastAsia" w:hAnsiTheme="majorHAnsi" w:cstheme="majorBidi"/>
      <w:i/>
      <w:iCs/>
      <w:color w:val="3266AB"/>
      <w:sz w:val="20"/>
      <w:szCs w:val="20"/>
    </w:rPr>
  </w:style>
  <w:style w:type="paragraph" w:styleId="Subtitle">
    <w:name w:val="Subtitle"/>
    <w:basedOn w:val="Normal"/>
    <w:next w:val="Normal"/>
    <w:link w:val="SubtitleChar"/>
    <w:uiPriority w:val="19"/>
    <w:rsid w:val="00F957C6"/>
    <w:pPr>
      <w:numPr>
        <w:ilvl w:val="1"/>
      </w:numPr>
      <w:spacing w:line="240" w:lineRule="auto"/>
    </w:pPr>
    <w:rPr>
      <w:rFonts w:eastAsiaTheme="majorEastAsia" w:cstheme="minorHAnsi"/>
      <w:noProof/>
      <w:sz w:val="28"/>
      <w:szCs w:val="30"/>
    </w:rPr>
  </w:style>
  <w:style w:type="character" w:customStyle="1" w:styleId="SubtitleChar">
    <w:name w:val="Subtitle Char"/>
    <w:basedOn w:val="DefaultParagraphFont"/>
    <w:link w:val="Subtitle"/>
    <w:uiPriority w:val="19"/>
    <w:rsid w:val="00E2753F"/>
    <w:rPr>
      <w:rFonts w:eastAsiaTheme="majorEastAsia" w:cstheme="minorHAnsi"/>
      <w:noProof/>
      <w:sz w:val="28"/>
      <w:szCs w:val="30"/>
    </w:rPr>
  </w:style>
  <w:style w:type="paragraph" w:styleId="NoSpacing">
    <w:name w:val="No Spacing"/>
    <w:uiPriority w:val="98"/>
    <w:unhideWhenUsed/>
    <w:rsid w:val="00D525B8"/>
    <w:pPr>
      <w:spacing w:after="0" w:line="240" w:lineRule="auto"/>
    </w:pPr>
  </w:style>
  <w:style w:type="paragraph" w:styleId="Caption">
    <w:name w:val="caption"/>
    <w:basedOn w:val="Normal"/>
    <w:next w:val="Normal"/>
    <w:uiPriority w:val="35"/>
    <w:semiHidden/>
    <w:unhideWhenUsed/>
    <w:qFormat/>
    <w:rsid w:val="00D525B8"/>
    <w:pPr>
      <w:spacing w:line="240" w:lineRule="auto"/>
    </w:pPr>
    <w:rPr>
      <w:b/>
      <w:bCs/>
      <w:smallCaps/>
      <w:color w:val="595959" w:themeColor="text1" w:themeTint="A6"/>
    </w:rPr>
  </w:style>
  <w:style w:type="character" w:styleId="Strong">
    <w:name w:val="Strong"/>
    <w:basedOn w:val="DefaultParagraphFont"/>
    <w:uiPriority w:val="22"/>
    <w:unhideWhenUsed/>
    <w:rsid w:val="00D525B8"/>
    <w:rPr>
      <w:b/>
      <w:bCs/>
    </w:rPr>
  </w:style>
  <w:style w:type="character" w:styleId="Emphasis">
    <w:name w:val="Emphasis"/>
    <w:basedOn w:val="DefaultParagraphFont"/>
    <w:uiPriority w:val="20"/>
    <w:unhideWhenUsed/>
    <w:qFormat/>
    <w:rsid w:val="005C0F15"/>
    <w:rPr>
      <w:i/>
      <w:iCs/>
      <w:color w:val="auto"/>
    </w:rPr>
  </w:style>
  <w:style w:type="paragraph" w:styleId="Quote">
    <w:name w:val="Quote"/>
    <w:basedOn w:val="Normal"/>
    <w:next w:val="Normal"/>
    <w:link w:val="QuoteChar"/>
    <w:uiPriority w:val="16"/>
    <w:qFormat/>
    <w:rsid w:val="00857363"/>
    <w:pPr>
      <w:spacing w:before="240"/>
      <w:ind w:left="720" w:right="720"/>
    </w:pPr>
    <w:rPr>
      <w:i/>
      <w:iCs/>
      <w:color w:val="3266AB"/>
    </w:rPr>
  </w:style>
  <w:style w:type="character" w:customStyle="1" w:styleId="QuoteChar">
    <w:name w:val="Quote Char"/>
    <w:basedOn w:val="DefaultParagraphFont"/>
    <w:link w:val="Quote"/>
    <w:uiPriority w:val="16"/>
    <w:rsid w:val="00857363"/>
    <w:rPr>
      <w:i/>
      <w:iCs/>
      <w:color w:val="3266AB"/>
      <w:sz w:val="22"/>
    </w:rPr>
  </w:style>
  <w:style w:type="paragraph" w:styleId="IntenseQuote">
    <w:name w:val="Intense Quote"/>
    <w:basedOn w:val="Normal"/>
    <w:next w:val="Normal"/>
    <w:link w:val="IntenseQuoteChar"/>
    <w:uiPriority w:val="17"/>
    <w:qFormat/>
    <w:rsid w:val="00857363"/>
    <w:pPr>
      <w:spacing w:before="120"/>
      <w:ind w:left="720" w:right="720"/>
    </w:pPr>
    <w:rPr>
      <w:rFonts w:asciiTheme="majorHAnsi" w:eastAsiaTheme="majorEastAsia" w:hAnsiTheme="majorHAnsi" w:cstheme="majorBidi"/>
      <w:i/>
      <w:iCs/>
      <w:color w:val="3266AB"/>
      <w:sz w:val="32"/>
      <w:szCs w:val="32"/>
    </w:rPr>
  </w:style>
  <w:style w:type="character" w:customStyle="1" w:styleId="IntenseQuoteChar">
    <w:name w:val="Intense Quote Char"/>
    <w:basedOn w:val="DefaultParagraphFont"/>
    <w:link w:val="IntenseQuote"/>
    <w:uiPriority w:val="17"/>
    <w:rsid w:val="00857363"/>
    <w:rPr>
      <w:rFonts w:asciiTheme="majorHAnsi" w:eastAsiaTheme="majorEastAsia" w:hAnsiTheme="majorHAnsi" w:cstheme="majorBidi"/>
      <w:i/>
      <w:iCs/>
      <w:color w:val="3266AB"/>
      <w:sz w:val="32"/>
      <w:szCs w:val="32"/>
    </w:rPr>
  </w:style>
  <w:style w:type="character" w:styleId="SubtleEmphasis">
    <w:name w:val="Subtle Emphasis"/>
    <w:basedOn w:val="DefaultParagraphFont"/>
    <w:uiPriority w:val="19"/>
    <w:unhideWhenUsed/>
    <w:rsid w:val="00D525B8"/>
    <w:rPr>
      <w:i/>
      <w:iCs/>
    </w:rPr>
  </w:style>
  <w:style w:type="character" w:styleId="IntenseEmphasis">
    <w:name w:val="Intense Emphasis"/>
    <w:basedOn w:val="DefaultParagraphFont"/>
    <w:uiPriority w:val="21"/>
    <w:unhideWhenUsed/>
    <w:rsid w:val="00D525B8"/>
    <w:rPr>
      <w:b/>
      <w:bCs/>
      <w:i/>
      <w:iCs/>
    </w:rPr>
  </w:style>
  <w:style w:type="character" w:styleId="SubtleReference">
    <w:name w:val="Subtle Reference"/>
    <w:basedOn w:val="DefaultParagraphFont"/>
    <w:uiPriority w:val="31"/>
    <w:unhideWhenUsed/>
    <w:rsid w:val="00D525B8"/>
    <w:rPr>
      <w:smallCaps/>
      <w:color w:val="595959" w:themeColor="text1" w:themeTint="A6"/>
    </w:rPr>
  </w:style>
  <w:style w:type="character" w:styleId="IntenseReference">
    <w:name w:val="Intense Reference"/>
    <w:basedOn w:val="DefaultParagraphFont"/>
    <w:uiPriority w:val="32"/>
    <w:unhideWhenUsed/>
    <w:rsid w:val="006200EB"/>
    <w:rPr>
      <w:b/>
      <w:bCs/>
      <w:smallCaps/>
      <w:color w:val="3266AB"/>
    </w:rPr>
  </w:style>
  <w:style w:type="paragraph" w:styleId="TOCHeading">
    <w:name w:val="TOC Heading"/>
    <w:basedOn w:val="Heading1"/>
    <w:next w:val="Normal"/>
    <w:uiPriority w:val="39"/>
    <w:unhideWhenUsed/>
    <w:rsid w:val="00D525B8"/>
    <w:pPr>
      <w:outlineLvl w:val="9"/>
    </w:pPr>
  </w:style>
  <w:style w:type="paragraph" w:styleId="Header">
    <w:name w:val="header"/>
    <w:basedOn w:val="Normal"/>
    <w:link w:val="HeaderChar"/>
    <w:uiPriority w:val="99"/>
    <w:unhideWhenUsed/>
    <w:rsid w:val="00F957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7C6"/>
  </w:style>
  <w:style w:type="paragraph" w:styleId="Footer">
    <w:name w:val="footer"/>
    <w:basedOn w:val="Normal"/>
    <w:link w:val="FooterChar"/>
    <w:uiPriority w:val="99"/>
    <w:unhideWhenUsed/>
    <w:rsid w:val="00F957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7C6"/>
  </w:style>
  <w:style w:type="character" w:styleId="PlaceholderText">
    <w:name w:val="Placeholder Text"/>
    <w:basedOn w:val="DefaultParagraphFont"/>
    <w:uiPriority w:val="99"/>
    <w:semiHidden/>
    <w:rsid w:val="005226B9"/>
    <w:rPr>
      <w:color w:val="808080"/>
    </w:rPr>
  </w:style>
  <w:style w:type="paragraph" w:styleId="BalloonText">
    <w:name w:val="Balloon Text"/>
    <w:basedOn w:val="Normal"/>
    <w:link w:val="BalloonTextChar"/>
    <w:uiPriority w:val="99"/>
    <w:semiHidden/>
    <w:unhideWhenUsed/>
    <w:rsid w:val="005226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6B9"/>
    <w:rPr>
      <w:rFonts w:ascii="Segoe UI" w:hAnsi="Segoe UI" w:cs="Segoe UI"/>
      <w:sz w:val="18"/>
      <w:szCs w:val="18"/>
    </w:rPr>
  </w:style>
  <w:style w:type="paragraph" w:customStyle="1" w:styleId="CLASSIFICATION">
    <w:name w:val="CLASSIFICATION"/>
    <w:basedOn w:val="Normal"/>
    <w:link w:val="CLASSIFICATIONChar"/>
    <w:autoRedefine/>
    <w:uiPriority w:val="99"/>
    <w:unhideWhenUsed/>
    <w:rsid w:val="00F86700"/>
    <w:pPr>
      <w:jc w:val="center"/>
    </w:pPr>
    <w:rPr>
      <w:rFonts w:ascii="Segoe UI" w:hAnsi="Segoe UI"/>
      <w:caps/>
      <w:color w:val="C00000"/>
      <w:sz w:val="18"/>
    </w:rPr>
  </w:style>
  <w:style w:type="paragraph" w:customStyle="1" w:styleId="BOXHeading2">
    <w:name w:val="BOX Heading 2"/>
    <w:basedOn w:val="Heading1"/>
    <w:next w:val="BOXText"/>
    <w:uiPriority w:val="6"/>
    <w:qFormat/>
    <w:rsid w:val="006949AF"/>
    <w:pPr>
      <w:spacing w:before="0" w:after="0"/>
      <w:ind w:left="227" w:right="227"/>
    </w:pPr>
    <w:rPr>
      <w:sz w:val="30"/>
    </w:rPr>
  </w:style>
  <w:style w:type="character" w:customStyle="1" w:styleId="CLASSIFICATIONChar">
    <w:name w:val="CLASSIFICATION Char"/>
    <w:basedOn w:val="DefaultParagraphFont"/>
    <w:link w:val="CLASSIFICATION"/>
    <w:uiPriority w:val="99"/>
    <w:rsid w:val="00F86700"/>
    <w:rPr>
      <w:rFonts w:ascii="Segoe UI" w:hAnsi="Segoe UI"/>
      <w:caps/>
      <w:color w:val="C00000"/>
      <w:sz w:val="18"/>
    </w:rPr>
  </w:style>
  <w:style w:type="paragraph" w:customStyle="1" w:styleId="BOXText">
    <w:name w:val="BOX Text"/>
    <w:basedOn w:val="Normal"/>
    <w:uiPriority w:val="4"/>
    <w:qFormat/>
    <w:rsid w:val="006D71DA"/>
    <w:pPr>
      <w:pBdr>
        <w:top w:val="single" w:sz="48" w:space="1" w:color="F2F2F2" w:themeColor="background1" w:themeShade="F2"/>
        <w:left w:val="single" w:sz="48" w:space="4" w:color="F2F2F2" w:themeColor="background1" w:themeShade="F2"/>
        <w:bottom w:val="single" w:sz="48" w:space="1" w:color="F2F2F2" w:themeColor="background1" w:themeShade="F2"/>
        <w:right w:val="single" w:sz="48" w:space="4" w:color="F2F2F2" w:themeColor="background1" w:themeShade="F2"/>
      </w:pBdr>
      <w:shd w:val="clear" w:color="auto" w:fill="F2F2F2" w:themeFill="background1" w:themeFillShade="F2"/>
      <w:tabs>
        <w:tab w:val="left" w:pos="3300"/>
      </w:tabs>
      <w:ind w:left="227" w:right="227"/>
    </w:pPr>
  </w:style>
  <w:style w:type="paragraph" w:customStyle="1" w:styleId="BOXBulletedList">
    <w:name w:val="BOX Bulleted List"/>
    <w:basedOn w:val="BOXText"/>
    <w:uiPriority w:val="5"/>
    <w:qFormat/>
    <w:rsid w:val="00BD171D"/>
    <w:pPr>
      <w:numPr>
        <w:numId w:val="1"/>
      </w:numPr>
      <w:ind w:left="511"/>
    </w:pPr>
  </w:style>
  <w:style w:type="table" w:styleId="TableGrid">
    <w:name w:val="Table Grid"/>
    <w:basedOn w:val="TableNormal"/>
    <w:uiPriority w:val="39"/>
    <w:rsid w:val="00BD5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1">
    <w:name w:val="List Table 4 Accent 1"/>
    <w:basedOn w:val="TableNormal"/>
    <w:uiPriority w:val="49"/>
    <w:rsid w:val="00BD57F5"/>
    <w:pPr>
      <w:spacing w:after="0" w:line="240" w:lineRule="auto"/>
    </w:pPr>
    <w:tblPr>
      <w:tblStyleRowBandSize w:val="1"/>
      <w:tblStyleColBandSize w:val="1"/>
      <w:tblBorders>
        <w:top w:val="single" w:sz="4" w:space="0" w:color="1D75E7" w:themeColor="accent1" w:themeTint="99"/>
        <w:left w:val="single" w:sz="4" w:space="0" w:color="1D75E7" w:themeColor="accent1" w:themeTint="99"/>
        <w:bottom w:val="single" w:sz="4" w:space="0" w:color="1D75E7" w:themeColor="accent1" w:themeTint="99"/>
        <w:right w:val="single" w:sz="4" w:space="0" w:color="1D75E7" w:themeColor="accent1" w:themeTint="99"/>
        <w:insideH w:val="single" w:sz="4" w:space="0" w:color="1D75E7" w:themeColor="accent1" w:themeTint="99"/>
      </w:tblBorders>
    </w:tblPr>
    <w:tblStylePr w:type="firstRow">
      <w:rPr>
        <w:b/>
        <w:bCs/>
        <w:color w:val="FFFFFF" w:themeColor="background1"/>
      </w:rPr>
      <w:tblPr/>
      <w:tcPr>
        <w:tcBorders>
          <w:top w:val="single" w:sz="4" w:space="0" w:color="092B57" w:themeColor="accent1"/>
          <w:left w:val="single" w:sz="4" w:space="0" w:color="092B57" w:themeColor="accent1"/>
          <w:bottom w:val="single" w:sz="4" w:space="0" w:color="092B57" w:themeColor="accent1"/>
          <w:right w:val="single" w:sz="4" w:space="0" w:color="092B57" w:themeColor="accent1"/>
          <w:insideH w:val="nil"/>
        </w:tcBorders>
        <w:shd w:val="clear" w:color="auto" w:fill="092B57" w:themeFill="accent1"/>
      </w:tcPr>
    </w:tblStylePr>
    <w:tblStylePr w:type="lastRow">
      <w:rPr>
        <w:b/>
        <w:bCs/>
      </w:rPr>
      <w:tblPr/>
      <w:tcPr>
        <w:tcBorders>
          <w:top w:val="double" w:sz="4" w:space="0" w:color="1D75E7" w:themeColor="accent1" w:themeTint="99"/>
        </w:tcBorders>
      </w:tcPr>
    </w:tblStylePr>
    <w:tblStylePr w:type="firstCol">
      <w:rPr>
        <w:b/>
        <w:bCs/>
      </w:rPr>
    </w:tblStylePr>
    <w:tblStylePr w:type="lastCol">
      <w:rPr>
        <w:b/>
        <w:bCs/>
      </w:rPr>
    </w:tblStylePr>
    <w:tblStylePr w:type="band1Vert">
      <w:tblPr/>
      <w:tcPr>
        <w:shd w:val="clear" w:color="auto" w:fill="B3D1F7" w:themeFill="accent1" w:themeFillTint="33"/>
      </w:tcPr>
    </w:tblStylePr>
    <w:tblStylePr w:type="band1Horz">
      <w:tblPr/>
      <w:tcPr>
        <w:shd w:val="clear" w:color="auto" w:fill="B3D1F7" w:themeFill="accent1" w:themeFillTint="33"/>
      </w:tcPr>
    </w:tblStylePr>
  </w:style>
  <w:style w:type="paragraph" w:customStyle="1" w:styleId="Figure">
    <w:name w:val="Figure"/>
    <w:basedOn w:val="Normal"/>
    <w:uiPriority w:val="2"/>
    <w:qFormat/>
    <w:rsid w:val="008059CB"/>
    <w:pPr>
      <w:numPr>
        <w:numId w:val="27"/>
      </w:numPr>
      <w:spacing w:before="240"/>
    </w:pPr>
    <w:rPr>
      <w:rFonts w:cs="Segoe UI"/>
      <w:color w:val="007279"/>
    </w:rPr>
  </w:style>
  <w:style w:type="paragraph" w:customStyle="1" w:styleId="TBLHeading">
    <w:name w:val="TBL Heading"/>
    <w:basedOn w:val="Normal"/>
    <w:autoRedefine/>
    <w:uiPriority w:val="11"/>
    <w:qFormat/>
    <w:rsid w:val="009615D2"/>
    <w:pPr>
      <w:spacing w:after="0" w:line="240" w:lineRule="auto"/>
    </w:pPr>
    <w:rPr>
      <w:rFonts w:ascii="Segoe UI" w:hAnsi="Segoe UI" w:cs="Segoe UI"/>
      <w:color w:val="FFFFFF" w:themeColor="background1"/>
      <w:sz w:val="18"/>
    </w:rPr>
  </w:style>
  <w:style w:type="paragraph" w:customStyle="1" w:styleId="TBLText">
    <w:name w:val="TBL Text"/>
    <w:basedOn w:val="Normal"/>
    <w:uiPriority w:val="9"/>
    <w:qFormat/>
    <w:rsid w:val="009615D2"/>
    <w:pPr>
      <w:spacing w:after="0" w:line="240" w:lineRule="auto"/>
    </w:pPr>
    <w:rPr>
      <w:sz w:val="18"/>
      <w:szCs w:val="18"/>
    </w:rPr>
  </w:style>
  <w:style w:type="paragraph" w:customStyle="1" w:styleId="TBLBulletedList">
    <w:name w:val="TBL Bulleted List"/>
    <w:basedOn w:val="TBLText"/>
    <w:uiPriority w:val="10"/>
    <w:qFormat/>
    <w:rsid w:val="001B2D56"/>
    <w:pPr>
      <w:numPr>
        <w:numId w:val="12"/>
      </w:numPr>
      <w:ind w:left="206" w:hanging="206"/>
    </w:pPr>
  </w:style>
  <w:style w:type="paragraph" w:customStyle="1" w:styleId="TBLNumberedList">
    <w:name w:val="TBL Numbered List"/>
    <w:basedOn w:val="TBLText"/>
    <w:uiPriority w:val="10"/>
    <w:qFormat/>
    <w:rsid w:val="00E05FA4"/>
    <w:pPr>
      <w:numPr>
        <w:numId w:val="13"/>
      </w:numPr>
      <w:ind w:left="270" w:hanging="270"/>
    </w:pPr>
  </w:style>
  <w:style w:type="paragraph" w:customStyle="1" w:styleId="BOXHeading3">
    <w:name w:val="BOX Heading 3"/>
    <w:basedOn w:val="BOXHeading2"/>
    <w:next w:val="BOXText"/>
    <w:uiPriority w:val="6"/>
    <w:qFormat/>
    <w:rsid w:val="00857363"/>
    <w:pPr>
      <w:outlineLvl w:val="2"/>
    </w:pPr>
    <w:rPr>
      <w:rFonts w:asciiTheme="minorHAnsi" w:hAnsiTheme="minorHAnsi" w:cstheme="minorHAnsi"/>
      <w:b/>
      <w:sz w:val="24"/>
      <w:szCs w:val="26"/>
    </w:rPr>
  </w:style>
  <w:style w:type="paragraph" w:styleId="ListParagraph">
    <w:name w:val="List Paragraph"/>
    <w:basedOn w:val="Normal"/>
    <w:uiPriority w:val="34"/>
    <w:unhideWhenUsed/>
    <w:rsid w:val="005917FD"/>
    <w:pPr>
      <w:ind w:left="720"/>
      <w:contextualSpacing/>
    </w:pPr>
  </w:style>
  <w:style w:type="paragraph" w:customStyle="1" w:styleId="BulletedList-Level1">
    <w:name w:val="Bulleted List - Level 1"/>
    <w:basedOn w:val="ListParagraph"/>
    <w:uiPriority w:val="1"/>
    <w:qFormat/>
    <w:rsid w:val="008059CB"/>
    <w:pPr>
      <w:numPr>
        <w:numId w:val="14"/>
      </w:numPr>
      <w:ind w:left="568" w:hanging="284"/>
    </w:pPr>
  </w:style>
  <w:style w:type="paragraph" w:customStyle="1" w:styleId="BulletedList-Level2">
    <w:name w:val="Bulleted List - Level 2"/>
    <w:basedOn w:val="BulletedList-Level1"/>
    <w:uiPriority w:val="1"/>
    <w:qFormat/>
    <w:rsid w:val="00BD171D"/>
    <w:pPr>
      <w:numPr>
        <w:numId w:val="30"/>
      </w:numPr>
    </w:pPr>
  </w:style>
  <w:style w:type="paragraph" w:customStyle="1" w:styleId="BulletedList-Level3">
    <w:name w:val="Bulleted List - Level 3"/>
    <w:basedOn w:val="ListParagraph"/>
    <w:uiPriority w:val="1"/>
    <w:qFormat/>
    <w:rsid w:val="00BD171D"/>
    <w:pPr>
      <w:numPr>
        <w:numId w:val="31"/>
      </w:numPr>
      <w:ind w:left="1135" w:hanging="284"/>
    </w:pPr>
  </w:style>
  <w:style w:type="paragraph" w:customStyle="1" w:styleId="NumberedList-Level1">
    <w:name w:val="Numbered List - Level 1"/>
    <w:basedOn w:val="ListParagraph"/>
    <w:uiPriority w:val="1"/>
    <w:qFormat/>
    <w:rsid w:val="00BD171D"/>
    <w:pPr>
      <w:numPr>
        <w:numId w:val="21"/>
      </w:numPr>
      <w:ind w:left="568" w:hanging="284"/>
    </w:pPr>
  </w:style>
  <w:style w:type="paragraph" w:customStyle="1" w:styleId="NumberedList-level2">
    <w:name w:val="Numbered List - level 2"/>
    <w:basedOn w:val="ListParagraph"/>
    <w:uiPriority w:val="1"/>
    <w:qFormat/>
    <w:rsid w:val="00BD171D"/>
    <w:pPr>
      <w:numPr>
        <w:ilvl w:val="1"/>
        <w:numId w:val="21"/>
      </w:numPr>
    </w:pPr>
  </w:style>
  <w:style w:type="paragraph" w:customStyle="1" w:styleId="NumberedList-Level3">
    <w:name w:val="Numbered List - Level 3"/>
    <w:basedOn w:val="ListParagraph"/>
    <w:uiPriority w:val="1"/>
    <w:qFormat/>
    <w:rsid w:val="00BD171D"/>
    <w:pPr>
      <w:numPr>
        <w:ilvl w:val="2"/>
        <w:numId w:val="21"/>
      </w:numPr>
    </w:pPr>
  </w:style>
  <w:style w:type="paragraph" w:customStyle="1" w:styleId="BoxDark-HeadingLevel1">
    <w:name w:val="Box Dark - Heading Level 1"/>
    <w:basedOn w:val="BOXHeading2"/>
    <w:uiPriority w:val="9"/>
    <w:rsid w:val="00311C2D"/>
    <w:pPr>
      <w:pBdr>
        <w:top w:val="single" w:sz="48" w:space="1" w:color="092B57" w:themeColor="accent1"/>
        <w:left w:val="single" w:sz="48" w:space="4" w:color="092B57" w:themeColor="accent1"/>
        <w:bottom w:val="single" w:sz="48" w:space="1" w:color="092B57" w:themeColor="accent1"/>
        <w:right w:val="single" w:sz="48" w:space="4" w:color="092B57" w:themeColor="accent1"/>
      </w:pBdr>
      <w:shd w:val="clear" w:color="auto" w:fill="092B57" w:themeFill="accent1"/>
    </w:pPr>
  </w:style>
  <w:style w:type="paragraph" w:styleId="TOC1">
    <w:name w:val="toc 1"/>
    <w:basedOn w:val="Normal"/>
    <w:next w:val="Normal"/>
    <w:autoRedefine/>
    <w:uiPriority w:val="39"/>
    <w:unhideWhenUsed/>
    <w:rsid w:val="00117A77"/>
    <w:pPr>
      <w:spacing w:after="100"/>
    </w:pPr>
  </w:style>
  <w:style w:type="paragraph" w:styleId="TOC2">
    <w:name w:val="toc 2"/>
    <w:basedOn w:val="Normal"/>
    <w:next w:val="Normal"/>
    <w:autoRedefine/>
    <w:uiPriority w:val="39"/>
    <w:unhideWhenUsed/>
    <w:rsid w:val="00117A77"/>
    <w:pPr>
      <w:spacing w:after="100"/>
      <w:ind w:left="220"/>
    </w:pPr>
  </w:style>
  <w:style w:type="paragraph" w:styleId="TOC3">
    <w:name w:val="toc 3"/>
    <w:basedOn w:val="Normal"/>
    <w:next w:val="Normal"/>
    <w:autoRedefine/>
    <w:uiPriority w:val="39"/>
    <w:unhideWhenUsed/>
    <w:rsid w:val="00117A77"/>
    <w:pPr>
      <w:spacing w:after="100"/>
      <w:ind w:left="440"/>
    </w:pPr>
  </w:style>
  <w:style w:type="character" w:styleId="Hyperlink">
    <w:name w:val="Hyperlink"/>
    <w:basedOn w:val="DefaultParagraphFont"/>
    <w:uiPriority w:val="99"/>
    <w:unhideWhenUsed/>
    <w:rsid w:val="00117A77"/>
    <w:rPr>
      <w:color w:val="1B375C" w:themeColor="hyperlink"/>
      <w:u w:val="single"/>
    </w:rPr>
  </w:style>
  <w:style w:type="paragraph" w:customStyle="1" w:styleId="BoxDark-HeadingLevel3">
    <w:name w:val="Box Dark - Heading Level 3"/>
    <w:basedOn w:val="BOXHeading3"/>
    <w:uiPriority w:val="9"/>
    <w:rsid w:val="00311C2D"/>
    <w:pPr>
      <w:pBdr>
        <w:top w:val="single" w:sz="48" w:space="1" w:color="092B57" w:themeColor="accent1"/>
        <w:left w:val="single" w:sz="48" w:space="4" w:color="092B57" w:themeColor="accent1"/>
        <w:bottom w:val="single" w:sz="48" w:space="1" w:color="092B57" w:themeColor="accent1"/>
        <w:right w:val="single" w:sz="48" w:space="4" w:color="092B57" w:themeColor="accent1"/>
      </w:pBdr>
      <w:shd w:val="clear" w:color="auto" w:fill="092B57" w:themeFill="accent1"/>
    </w:pPr>
  </w:style>
  <w:style w:type="paragraph" w:customStyle="1" w:styleId="BoxDark-Text">
    <w:name w:val="Box Dark - Text"/>
    <w:basedOn w:val="BOXText"/>
    <w:uiPriority w:val="7"/>
    <w:rsid w:val="00FE2C7F"/>
    <w:pPr>
      <w:pBdr>
        <w:top w:val="single" w:sz="48" w:space="1" w:color="092B57" w:themeColor="accent1"/>
        <w:left w:val="single" w:sz="48" w:space="4" w:color="092B57" w:themeColor="accent1"/>
        <w:bottom w:val="single" w:sz="48" w:space="1" w:color="092B57" w:themeColor="accent1"/>
        <w:right w:val="single" w:sz="48" w:space="4" w:color="092B57" w:themeColor="accent1"/>
      </w:pBdr>
      <w:shd w:val="clear" w:color="auto" w:fill="092B57" w:themeFill="accent1"/>
    </w:pPr>
    <w:rPr>
      <w:rFonts w:ascii="Segoe UI Semilight" w:hAnsi="Segoe UI Semilight"/>
      <w:color w:val="FFFFFF" w:themeColor="background1"/>
    </w:rPr>
  </w:style>
  <w:style w:type="paragraph" w:customStyle="1" w:styleId="BoxDark-BulletedList">
    <w:name w:val="Box Dark - Bulleted List"/>
    <w:basedOn w:val="BOXBulletedList"/>
    <w:uiPriority w:val="8"/>
    <w:rsid w:val="00FE2C7F"/>
    <w:pPr>
      <w:pBdr>
        <w:top w:val="single" w:sz="48" w:space="1" w:color="092B57" w:themeColor="accent1"/>
        <w:left w:val="single" w:sz="48" w:space="4" w:color="092B57" w:themeColor="accent1"/>
        <w:bottom w:val="single" w:sz="48" w:space="1" w:color="092B57" w:themeColor="accent1"/>
        <w:right w:val="single" w:sz="48" w:space="4" w:color="092B57" w:themeColor="accent1"/>
      </w:pBdr>
      <w:shd w:val="clear" w:color="auto" w:fill="092B57" w:themeFill="accent1"/>
    </w:pPr>
    <w:rPr>
      <w:rFonts w:ascii="Segoe UI Semilight" w:hAnsi="Segoe UI Semilight"/>
    </w:rPr>
  </w:style>
  <w:style w:type="paragraph" w:customStyle="1" w:styleId="BOXNumberedList">
    <w:name w:val="BOX Numbered List"/>
    <w:basedOn w:val="BOXText"/>
    <w:uiPriority w:val="5"/>
    <w:qFormat/>
    <w:rsid w:val="00BD171D"/>
    <w:pPr>
      <w:numPr>
        <w:numId w:val="28"/>
      </w:numPr>
      <w:ind w:left="584" w:hanging="357"/>
    </w:pPr>
  </w:style>
  <w:style w:type="paragraph" w:customStyle="1" w:styleId="BoxDark-NumberedList">
    <w:name w:val="Box Dark - Numbered List"/>
    <w:basedOn w:val="BOXNumberedList"/>
    <w:uiPriority w:val="8"/>
    <w:rsid w:val="00FE2C7F"/>
    <w:pPr>
      <w:numPr>
        <w:numId w:val="29"/>
      </w:numPr>
      <w:pBdr>
        <w:top w:val="single" w:sz="48" w:space="1" w:color="092B57" w:themeColor="accent1"/>
        <w:left w:val="single" w:sz="48" w:space="4" w:color="092B57" w:themeColor="accent1"/>
        <w:bottom w:val="single" w:sz="48" w:space="1" w:color="092B57" w:themeColor="accent1"/>
        <w:right w:val="single" w:sz="48" w:space="4" w:color="092B57" w:themeColor="accent1"/>
      </w:pBdr>
      <w:shd w:val="clear" w:color="auto" w:fill="092B57" w:themeFill="accent1"/>
      <w:ind w:left="584" w:hanging="357"/>
    </w:pPr>
  </w:style>
  <w:style w:type="table" w:customStyle="1" w:styleId="Custom1">
    <w:name w:val="Custom 1"/>
    <w:basedOn w:val="TableNormal"/>
    <w:uiPriority w:val="99"/>
    <w:rsid w:val="00665FB6"/>
    <w:pPr>
      <w:spacing w:after="0" w:line="240" w:lineRule="auto"/>
    </w:pPr>
    <w:rPr>
      <w:sz w:val="18"/>
    </w:rPr>
    <w:tblPr>
      <w:tblStyleRowBandSize w:val="1"/>
      <w:tblBorders>
        <w:top w:val="single" w:sz="4" w:space="0" w:color="092B57" w:themeColor="accent1"/>
        <w:bottom w:val="single" w:sz="12" w:space="0" w:color="092B57" w:themeColor="accent1"/>
        <w:insideH w:val="single" w:sz="4" w:space="0" w:color="092B57" w:themeColor="accent1"/>
      </w:tblBorders>
      <w:tblCellMar>
        <w:top w:w="57" w:type="dxa"/>
        <w:bottom w:w="57" w:type="dxa"/>
      </w:tblCellMar>
    </w:tblPr>
    <w:tblStylePr w:type="firstRow">
      <w:rPr>
        <w:rFonts w:asciiTheme="minorHAnsi" w:hAnsiTheme="minorHAnsi"/>
        <w:b/>
        <w:sz w:val="18"/>
      </w:rPr>
      <w:tblPr/>
      <w:tcPr>
        <w:shd w:val="clear" w:color="auto" w:fill="092B57" w:themeFill="accent1"/>
      </w:tcPr>
    </w:tblStylePr>
    <w:tblStylePr w:type="band1Horz">
      <w:tblPr/>
      <w:tcPr>
        <w:shd w:val="clear" w:color="auto" w:fill="E0E8F2" w:themeFill="background2"/>
      </w:tcPr>
    </w:tblStylePr>
  </w:style>
  <w:style w:type="table" w:customStyle="1" w:styleId="Style1">
    <w:name w:val="Style1"/>
    <w:basedOn w:val="Custom1"/>
    <w:uiPriority w:val="99"/>
    <w:rsid w:val="00D500C1"/>
    <w:tblPr>
      <w:tblBorders>
        <w:top w:val="none" w:sz="0" w:space="0" w:color="auto"/>
        <w:left w:val="single" w:sz="4" w:space="0" w:color="092B57" w:themeColor="accent1"/>
        <w:bottom w:val="single" w:sz="4" w:space="0" w:color="092B57" w:themeColor="accent1"/>
        <w:right w:val="single" w:sz="4" w:space="0" w:color="092B57" w:themeColor="accent1"/>
        <w:insideH w:val="none" w:sz="0" w:space="0" w:color="auto"/>
        <w:insideV w:val="single" w:sz="4" w:space="0" w:color="092B57" w:themeColor="accent1"/>
      </w:tblBorders>
    </w:tblPr>
    <w:tblStylePr w:type="firstRow">
      <w:rPr>
        <w:rFonts w:asciiTheme="minorHAnsi" w:hAnsiTheme="minorHAnsi"/>
        <w:b/>
        <w:sz w:val="18"/>
      </w:rPr>
      <w:tblPr/>
      <w:tcPr>
        <w:shd w:val="clear" w:color="auto" w:fill="092B57" w:themeFill="accent1"/>
      </w:tcPr>
    </w:tblStylePr>
    <w:tblStylePr w:type="firstCol">
      <w:rPr>
        <w:b/>
      </w:rPr>
      <w:tblPr/>
      <w:tcPr>
        <w:shd w:val="clear" w:color="auto" w:fill="092B57" w:themeFill="accent1"/>
      </w:tcPr>
    </w:tblStylePr>
    <w:tblStylePr w:type="band1Horz">
      <w:tblPr/>
      <w:tcPr>
        <w:shd w:val="clear" w:color="auto" w:fill="E0E8F2" w:themeFill="background2"/>
      </w:tcPr>
    </w:tblStylePr>
  </w:style>
  <w:style w:type="paragraph" w:styleId="NormalWeb">
    <w:name w:val="Normal (Web)"/>
    <w:basedOn w:val="Normal"/>
    <w:uiPriority w:val="99"/>
    <w:semiHidden/>
    <w:unhideWhenUsed/>
    <w:rsid w:val="005505E3"/>
    <w:pPr>
      <w:spacing w:before="100" w:beforeAutospacing="1" w:after="100" w:afterAutospacing="1" w:line="240" w:lineRule="auto"/>
    </w:pPr>
    <w:rPr>
      <w:rFonts w:ascii="Times New Roman" w:hAnsi="Times New Roman" w:cs="Times New Roman"/>
      <w:sz w:val="24"/>
      <w:szCs w:val="24"/>
      <w:lang w:eastAsia="en-AU"/>
    </w:rPr>
  </w:style>
  <w:style w:type="table" w:customStyle="1" w:styleId="Custom11">
    <w:name w:val="Custom 11"/>
    <w:basedOn w:val="TableNormal"/>
    <w:uiPriority w:val="99"/>
    <w:rsid w:val="005505E3"/>
    <w:pPr>
      <w:spacing w:after="0" w:line="240" w:lineRule="auto"/>
    </w:pPr>
    <w:rPr>
      <w:sz w:val="18"/>
    </w:rPr>
    <w:tblPr>
      <w:tblStyleRowBandSize w:val="1"/>
      <w:tblBorders>
        <w:top w:val="single" w:sz="4" w:space="0" w:color="092B57" w:themeColor="accent1"/>
        <w:bottom w:val="single" w:sz="12" w:space="0" w:color="092B57" w:themeColor="accent1"/>
        <w:insideH w:val="single" w:sz="4" w:space="0" w:color="092B57" w:themeColor="accent1"/>
      </w:tblBorders>
      <w:tblCellMar>
        <w:top w:w="57" w:type="dxa"/>
        <w:bottom w:w="57" w:type="dxa"/>
      </w:tblCellMar>
    </w:tblPr>
    <w:tblStylePr w:type="firstRow">
      <w:rPr>
        <w:rFonts w:asciiTheme="minorHAnsi" w:hAnsiTheme="minorHAnsi"/>
        <w:b/>
        <w:sz w:val="18"/>
      </w:rPr>
      <w:tblPr/>
      <w:tcPr>
        <w:shd w:val="clear" w:color="auto" w:fill="092B57" w:themeFill="accent1"/>
      </w:tcPr>
    </w:tblStylePr>
    <w:tblStylePr w:type="band1Horz">
      <w:tblPr/>
      <w:tcPr>
        <w:shd w:val="clear" w:color="auto" w:fill="E0E8F2" w:themeFill="background2"/>
      </w:tcPr>
    </w:tblStylePr>
  </w:style>
  <w:style w:type="paragraph" w:styleId="Revision">
    <w:name w:val="Revision"/>
    <w:hidden/>
    <w:uiPriority w:val="99"/>
    <w:semiHidden/>
    <w:rsid w:val="00340D7B"/>
    <w:pPr>
      <w:spacing w:after="0" w:line="240" w:lineRule="auto"/>
    </w:pPr>
    <w:rPr>
      <w:rFonts w:ascii="Calibri Light" w:hAnsi="Calibri Light"/>
      <w:color w:val="1C2B39"/>
    </w:rPr>
  </w:style>
  <w:style w:type="character" w:styleId="CommentReference">
    <w:name w:val="annotation reference"/>
    <w:basedOn w:val="DefaultParagraphFont"/>
    <w:uiPriority w:val="99"/>
    <w:semiHidden/>
    <w:unhideWhenUsed/>
    <w:rsid w:val="00FB268F"/>
    <w:rPr>
      <w:sz w:val="16"/>
      <w:szCs w:val="16"/>
    </w:rPr>
  </w:style>
  <w:style w:type="paragraph" w:styleId="CommentText">
    <w:name w:val="annotation text"/>
    <w:basedOn w:val="Normal"/>
    <w:link w:val="CommentTextChar"/>
    <w:uiPriority w:val="99"/>
    <w:unhideWhenUsed/>
    <w:rsid w:val="00FB268F"/>
    <w:pPr>
      <w:spacing w:line="240" w:lineRule="auto"/>
    </w:pPr>
  </w:style>
  <w:style w:type="character" w:customStyle="1" w:styleId="CommentTextChar">
    <w:name w:val="Comment Text Char"/>
    <w:basedOn w:val="DefaultParagraphFont"/>
    <w:link w:val="CommentText"/>
    <w:uiPriority w:val="99"/>
    <w:rsid w:val="00FB268F"/>
    <w:rPr>
      <w:rFonts w:ascii="Calibri Light" w:hAnsi="Calibri Light"/>
      <w:color w:val="1C2B39"/>
    </w:rPr>
  </w:style>
  <w:style w:type="paragraph" w:styleId="CommentSubject">
    <w:name w:val="annotation subject"/>
    <w:basedOn w:val="CommentText"/>
    <w:next w:val="CommentText"/>
    <w:link w:val="CommentSubjectChar"/>
    <w:uiPriority w:val="99"/>
    <w:semiHidden/>
    <w:unhideWhenUsed/>
    <w:rsid w:val="00FB268F"/>
    <w:rPr>
      <w:b/>
      <w:bCs/>
    </w:rPr>
  </w:style>
  <w:style w:type="character" w:customStyle="1" w:styleId="CommentSubjectChar">
    <w:name w:val="Comment Subject Char"/>
    <w:basedOn w:val="CommentTextChar"/>
    <w:link w:val="CommentSubject"/>
    <w:uiPriority w:val="99"/>
    <w:semiHidden/>
    <w:rsid w:val="00FB268F"/>
    <w:rPr>
      <w:rFonts w:ascii="Calibri Light" w:hAnsi="Calibri Light"/>
      <w:b/>
      <w:bCs/>
      <w:color w:val="1C2B39"/>
    </w:rPr>
  </w:style>
  <w:style w:type="character" w:styleId="Mention">
    <w:name w:val="Mention"/>
    <w:basedOn w:val="DefaultParagraphFont"/>
    <w:uiPriority w:val="99"/>
    <w:unhideWhenUsed/>
    <w:rsid w:val="00AB79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567987">
      <w:bodyDiv w:val="1"/>
      <w:marLeft w:val="0"/>
      <w:marRight w:val="0"/>
      <w:marTop w:val="0"/>
      <w:marBottom w:val="0"/>
      <w:divBdr>
        <w:top w:val="none" w:sz="0" w:space="0" w:color="auto"/>
        <w:left w:val="none" w:sz="0" w:space="0" w:color="auto"/>
        <w:bottom w:val="none" w:sz="0" w:space="0" w:color="auto"/>
        <w:right w:val="none" w:sz="0" w:space="0" w:color="auto"/>
      </w:divBdr>
      <w:divsChild>
        <w:div w:id="18437900">
          <w:marLeft w:val="274"/>
          <w:marRight w:val="0"/>
          <w:marTop w:val="0"/>
          <w:marBottom w:val="0"/>
          <w:divBdr>
            <w:top w:val="none" w:sz="0" w:space="0" w:color="auto"/>
            <w:left w:val="none" w:sz="0" w:space="0" w:color="auto"/>
            <w:bottom w:val="none" w:sz="0" w:space="0" w:color="auto"/>
            <w:right w:val="none" w:sz="0" w:space="0" w:color="auto"/>
          </w:divBdr>
        </w:div>
        <w:div w:id="783230401">
          <w:marLeft w:val="274"/>
          <w:marRight w:val="0"/>
          <w:marTop w:val="0"/>
          <w:marBottom w:val="0"/>
          <w:divBdr>
            <w:top w:val="none" w:sz="0" w:space="0" w:color="auto"/>
            <w:left w:val="none" w:sz="0" w:space="0" w:color="auto"/>
            <w:bottom w:val="none" w:sz="0" w:space="0" w:color="auto"/>
            <w:right w:val="none" w:sz="0" w:space="0" w:color="auto"/>
          </w:divBdr>
        </w:div>
        <w:div w:id="816074381">
          <w:marLeft w:val="274"/>
          <w:marRight w:val="0"/>
          <w:marTop w:val="0"/>
          <w:marBottom w:val="0"/>
          <w:divBdr>
            <w:top w:val="none" w:sz="0" w:space="0" w:color="auto"/>
            <w:left w:val="none" w:sz="0" w:space="0" w:color="auto"/>
            <w:bottom w:val="none" w:sz="0" w:space="0" w:color="auto"/>
            <w:right w:val="none" w:sz="0" w:space="0" w:color="auto"/>
          </w:divBdr>
        </w:div>
      </w:divsChild>
    </w:div>
    <w:div w:id="441608297">
      <w:bodyDiv w:val="1"/>
      <w:marLeft w:val="0"/>
      <w:marRight w:val="0"/>
      <w:marTop w:val="0"/>
      <w:marBottom w:val="0"/>
      <w:divBdr>
        <w:top w:val="none" w:sz="0" w:space="0" w:color="auto"/>
        <w:left w:val="none" w:sz="0" w:space="0" w:color="auto"/>
        <w:bottom w:val="none" w:sz="0" w:space="0" w:color="auto"/>
        <w:right w:val="none" w:sz="0" w:space="0" w:color="auto"/>
      </w:divBdr>
    </w:div>
    <w:div w:id="917054767">
      <w:bodyDiv w:val="1"/>
      <w:marLeft w:val="0"/>
      <w:marRight w:val="0"/>
      <w:marTop w:val="0"/>
      <w:marBottom w:val="0"/>
      <w:divBdr>
        <w:top w:val="none" w:sz="0" w:space="0" w:color="auto"/>
        <w:left w:val="none" w:sz="0" w:space="0" w:color="auto"/>
        <w:bottom w:val="none" w:sz="0" w:space="0" w:color="auto"/>
        <w:right w:val="none" w:sz="0" w:space="0" w:color="auto"/>
      </w:divBdr>
    </w:div>
    <w:div w:id="1405909050">
      <w:bodyDiv w:val="1"/>
      <w:marLeft w:val="0"/>
      <w:marRight w:val="0"/>
      <w:marTop w:val="0"/>
      <w:marBottom w:val="0"/>
      <w:divBdr>
        <w:top w:val="none" w:sz="0" w:space="0" w:color="auto"/>
        <w:left w:val="none" w:sz="0" w:space="0" w:color="auto"/>
        <w:bottom w:val="none" w:sz="0" w:space="0" w:color="auto"/>
        <w:right w:val="none" w:sz="0" w:space="0" w:color="auto"/>
      </w:divBdr>
      <w:divsChild>
        <w:div w:id="352000906">
          <w:marLeft w:val="274"/>
          <w:marRight w:val="0"/>
          <w:marTop w:val="0"/>
          <w:marBottom w:val="0"/>
          <w:divBdr>
            <w:top w:val="none" w:sz="0" w:space="0" w:color="auto"/>
            <w:left w:val="none" w:sz="0" w:space="0" w:color="auto"/>
            <w:bottom w:val="none" w:sz="0" w:space="0" w:color="auto"/>
            <w:right w:val="none" w:sz="0" w:space="0" w:color="auto"/>
          </w:divBdr>
        </w:div>
        <w:div w:id="1153835643">
          <w:marLeft w:val="274"/>
          <w:marRight w:val="0"/>
          <w:marTop w:val="0"/>
          <w:marBottom w:val="0"/>
          <w:divBdr>
            <w:top w:val="none" w:sz="0" w:space="0" w:color="auto"/>
            <w:left w:val="none" w:sz="0" w:space="0" w:color="auto"/>
            <w:bottom w:val="none" w:sz="0" w:space="0" w:color="auto"/>
            <w:right w:val="none" w:sz="0" w:space="0" w:color="auto"/>
          </w:divBdr>
        </w:div>
      </w:divsChild>
    </w:div>
    <w:div w:id="1611088431">
      <w:bodyDiv w:val="1"/>
      <w:marLeft w:val="0"/>
      <w:marRight w:val="0"/>
      <w:marTop w:val="0"/>
      <w:marBottom w:val="0"/>
      <w:divBdr>
        <w:top w:val="none" w:sz="0" w:space="0" w:color="auto"/>
        <w:left w:val="none" w:sz="0" w:space="0" w:color="auto"/>
        <w:bottom w:val="none" w:sz="0" w:space="0" w:color="auto"/>
        <w:right w:val="none" w:sz="0" w:space="0" w:color="auto"/>
      </w:divBdr>
      <w:divsChild>
        <w:div w:id="1800764290">
          <w:marLeft w:val="274"/>
          <w:marRight w:val="0"/>
          <w:marTop w:val="0"/>
          <w:marBottom w:val="0"/>
          <w:divBdr>
            <w:top w:val="none" w:sz="0" w:space="0" w:color="auto"/>
            <w:left w:val="none" w:sz="0" w:space="0" w:color="auto"/>
            <w:bottom w:val="none" w:sz="0" w:space="0" w:color="auto"/>
            <w:right w:val="none" w:sz="0" w:space="0" w:color="auto"/>
          </w:divBdr>
        </w:div>
        <w:div w:id="1867476915">
          <w:marLeft w:val="274"/>
          <w:marRight w:val="0"/>
          <w:marTop w:val="0"/>
          <w:marBottom w:val="0"/>
          <w:divBdr>
            <w:top w:val="none" w:sz="0" w:space="0" w:color="auto"/>
            <w:left w:val="none" w:sz="0" w:space="0" w:color="auto"/>
            <w:bottom w:val="none" w:sz="0" w:space="0" w:color="auto"/>
            <w:right w:val="none" w:sz="0" w:space="0" w:color="auto"/>
          </w:divBdr>
        </w:div>
      </w:divsChild>
    </w:div>
    <w:div w:id="1674185144">
      <w:bodyDiv w:val="1"/>
      <w:marLeft w:val="0"/>
      <w:marRight w:val="0"/>
      <w:marTop w:val="0"/>
      <w:marBottom w:val="0"/>
      <w:divBdr>
        <w:top w:val="none" w:sz="0" w:space="0" w:color="auto"/>
        <w:left w:val="none" w:sz="0" w:space="0" w:color="auto"/>
        <w:bottom w:val="none" w:sz="0" w:space="0" w:color="auto"/>
        <w:right w:val="none" w:sz="0" w:space="0" w:color="auto"/>
      </w:divBdr>
    </w:div>
    <w:div w:id="1687900609">
      <w:bodyDiv w:val="1"/>
      <w:marLeft w:val="0"/>
      <w:marRight w:val="0"/>
      <w:marTop w:val="0"/>
      <w:marBottom w:val="0"/>
      <w:divBdr>
        <w:top w:val="none" w:sz="0" w:space="0" w:color="auto"/>
        <w:left w:val="none" w:sz="0" w:space="0" w:color="auto"/>
        <w:bottom w:val="none" w:sz="0" w:space="0" w:color="auto"/>
        <w:right w:val="none" w:sz="0" w:space="0" w:color="auto"/>
      </w:divBdr>
    </w:div>
    <w:div w:id="1725524707">
      <w:bodyDiv w:val="1"/>
      <w:marLeft w:val="0"/>
      <w:marRight w:val="0"/>
      <w:marTop w:val="0"/>
      <w:marBottom w:val="0"/>
      <w:divBdr>
        <w:top w:val="none" w:sz="0" w:space="0" w:color="auto"/>
        <w:left w:val="none" w:sz="0" w:space="0" w:color="auto"/>
        <w:bottom w:val="none" w:sz="0" w:space="0" w:color="auto"/>
        <w:right w:val="none" w:sz="0" w:space="0" w:color="auto"/>
      </w:divBdr>
      <w:divsChild>
        <w:div w:id="292172045">
          <w:marLeft w:val="274"/>
          <w:marRight w:val="0"/>
          <w:marTop w:val="0"/>
          <w:marBottom w:val="0"/>
          <w:divBdr>
            <w:top w:val="none" w:sz="0" w:space="0" w:color="auto"/>
            <w:left w:val="none" w:sz="0" w:space="0" w:color="auto"/>
            <w:bottom w:val="none" w:sz="0" w:space="0" w:color="auto"/>
            <w:right w:val="none" w:sz="0" w:space="0" w:color="auto"/>
          </w:divBdr>
        </w:div>
        <w:div w:id="295721208">
          <w:marLeft w:val="274"/>
          <w:marRight w:val="0"/>
          <w:marTop w:val="0"/>
          <w:marBottom w:val="0"/>
          <w:divBdr>
            <w:top w:val="none" w:sz="0" w:space="0" w:color="auto"/>
            <w:left w:val="none" w:sz="0" w:space="0" w:color="auto"/>
            <w:bottom w:val="none" w:sz="0" w:space="0" w:color="auto"/>
            <w:right w:val="none" w:sz="0" w:space="0" w:color="auto"/>
          </w:divBdr>
        </w:div>
      </w:divsChild>
    </w:div>
    <w:div w:id="1873834274">
      <w:bodyDiv w:val="1"/>
      <w:marLeft w:val="0"/>
      <w:marRight w:val="0"/>
      <w:marTop w:val="0"/>
      <w:marBottom w:val="0"/>
      <w:divBdr>
        <w:top w:val="none" w:sz="0" w:space="0" w:color="auto"/>
        <w:left w:val="none" w:sz="0" w:space="0" w:color="auto"/>
        <w:bottom w:val="none" w:sz="0" w:space="0" w:color="auto"/>
        <w:right w:val="none" w:sz="0" w:space="0" w:color="auto"/>
      </w:divBdr>
    </w:div>
    <w:div w:id="1955860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PM&amp;C 2022">
      <a:dk1>
        <a:srgbClr val="000000"/>
      </a:dk1>
      <a:lt1>
        <a:srgbClr val="FFFFFF"/>
      </a:lt1>
      <a:dk2>
        <a:srgbClr val="0F1F35"/>
      </a:dk2>
      <a:lt2>
        <a:srgbClr val="E0E8F2"/>
      </a:lt2>
      <a:accent1>
        <a:srgbClr val="092B57"/>
      </a:accent1>
      <a:accent2>
        <a:srgbClr val="778E61"/>
      </a:accent2>
      <a:accent3>
        <a:srgbClr val="F26337"/>
      </a:accent3>
      <a:accent4>
        <a:srgbClr val="4BADB0"/>
      </a:accent4>
      <a:accent5>
        <a:srgbClr val="B75B53"/>
      </a:accent5>
      <a:accent6>
        <a:srgbClr val="FCB76C"/>
      </a:accent6>
      <a:hlink>
        <a:srgbClr val="1B375C"/>
      </a:hlink>
      <a:folHlink>
        <a:srgbClr val="1B375C"/>
      </a:folHlink>
    </a:clrScheme>
    <a:fontScheme name="PM&amp;C 2022">
      <a:majorFont>
        <a:latin typeface="Times New Roman"/>
        <a:ea typeface=""/>
        <a:cs typeface=""/>
      </a:majorFont>
      <a:minorFont>
        <a:latin typeface="Segoe UI Sem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620</Words>
  <Characters>3538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2026-07-02T05:51:00Z</dcterms:created>
  <dcterms:modified xsi:type="dcterms:W3CDTF">2026-07-02T05:51:00Z</dcterms:modified>
  <cp:category/>
</cp:coreProperties>
</file>