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eastAsiaTheme="minorEastAsia" w:hAnsiTheme="minorHAnsi" w:cstheme="minorBidi"/>
          <w:b w:val="0"/>
          <w:color w:val="auto"/>
          <w:spacing w:val="15"/>
          <w:sz w:val="20"/>
          <w:szCs w:val="20"/>
        </w:rPr>
        <w:id w:val="343368474"/>
        <w:docPartObj>
          <w:docPartGallery w:val="Cover Pages"/>
          <w:docPartUnique/>
        </w:docPartObj>
      </w:sdtPr>
      <w:sdtEndPr>
        <w:rPr>
          <w:rFonts w:eastAsia="Times New Roman"/>
          <w:sz w:val="36"/>
          <w:lang w:eastAsia="en-AU"/>
        </w:rPr>
      </w:sdtEndPr>
      <w:sdtContent>
        <w:p w14:paraId="1B3CD8EB" w14:textId="741009A0" w:rsidR="00542164" w:rsidRDefault="00542164" w:rsidP="009E5A46">
          <w:pPr>
            <w:pStyle w:val="Protection"/>
            <w:jc w:val="left"/>
          </w:pPr>
        </w:p>
        <w:p w14:paraId="124F0550" w14:textId="77777777" w:rsidR="00542164" w:rsidRDefault="00542164" w:rsidP="00256702">
          <w:pPr>
            <w:pStyle w:val="BodyText"/>
            <w:spacing w:before="840" w:after="9600"/>
          </w:pPr>
          <w:r>
            <w:rPr>
              <w:noProof/>
            </w:rPr>
            <mc:AlternateContent>
              <mc:Choice Requires="wps">
                <w:drawing>
                  <wp:anchor distT="0" distB="0" distL="114300" distR="114300" simplePos="0" relativeHeight="251658241" behindDoc="0" locked="1" layoutInCell="1" allowOverlap="1" wp14:anchorId="7ABEA91D" wp14:editId="7F6ABD6F">
                    <wp:simplePos x="0" y="0"/>
                    <wp:positionH relativeFrom="page">
                      <wp:align>right</wp:align>
                    </wp:positionH>
                    <wp:positionV relativeFrom="margin">
                      <wp:posOffset>2894965</wp:posOffset>
                    </wp:positionV>
                    <wp:extent cx="2361600" cy="4582800"/>
                    <wp:effectExtent l="0" t="0" r="635" b="8255"/>
                    <wp:wrapNone/>
                    <wp:docPr id="2" name="Right Tri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2361600" cy="4582800"/>
                            </a:xfrm>
                            <a:prstGeom prst="rtTriangle">
                              <a:avLst/>
                            </a:prstGeom>
                            <a:solidFill>
                              <a:schemeClr val="accent2">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B35451" id="_x0000_t6" coordsize="21600,21600" o:spt="6" path="m,l,21600r21600,xe">
                    <v:stroke joinstyle="miter"/>
                    <v:path gradientshapeok="t" o:connecttype="custom" o:connectlocs="0,0;0,10800;0,21600;10800,21600;21600,21600;10800,10800" textboxrect="1800,12600,12600,19800"/>
                  </v:shapetype>
                  <v:shape id="Right Triangle 2" o:spid="_x0000_s1026" type="#_x0000_t6" alt="&quot;&quot;" style="position:absolute;margin-left:134.75pt;margin-top:227.95pt;width:185.95pt;height:360.85pt;flip:x;z-index:251658241;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" fillcolor="#007ab5 [3205]" stroked="f" strokeweight="2pt">
                    <v:fill opacity="29555f"/>
                    <w10:wrap anchorx="page" anchory="margin"/>
                    <w10:anchorlock/>
                  </v:shape>
                </w:pict>
              </mc:Fallback>
            </mc:AlternateContent>
          </w:r>
          <w:r w:rsidRPr="00B12212">
            <w:rPr>
              <w:noProof/>
            </w:rPr>
            <w:drawing>
              <wp:anchor distT="0" distB="0" distL="114300" distR="114300" simplePos="0" relativeHeight="251658240" behindDoc="1" locked="1" layoutInCell="1" allowOverlap="1" wp14:anchorId="3CF24DED" wp14:editId="36A447A7">
                <wp:simplePos x="0" y="0"/>
                <wp:positionH relativeFrom="page">
                  <wp:posOffset>307</wp:posOffset>
                </wp:positionH>
                <wp:positionV relativeFrom="page">
                  <wp:posOffset>2894965</wp:posOffset>
                </wp:positionV>
                <wp:extent cx="7560000" cy="4287600"/>
                <wp:effectExtent l="0" t="0" r="3175"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rotWithShape="1">
                        <a:blip r:embed="rId7" cstate="screen">
                          <a:extLst>
                            <a:ext uri="{28A0092B-C50C-407E-A947-70E740481C1C}">
                              <a14:useLocalDpi xmlns:a14="http://schemas.microsoft.com/office/drawing/2010/main"/>
                            </a:ext>
                          </a:extLst>
                        </a:blip>
                        <a:srcRect/>
                        <a:stretch/>
                      </pic:blipFill>
                      <pic:spPr bwMode="auto">
                        <a:xfrm>
                          <a:off x="0" y="0"/>
                          <a:ext cx="7560000" cy="428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75DA13E" wp14:editId="3DFF9D9E">
                <wp:extent cx="2534400" cy="568577"/>
                <wp:effectExtent l="0" t="0" r="0" b="3175"/>
                <wp:docPr id="4" name="Graphic 4" descr="Australian Government Department of Home Affai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Australian Government Department of Home Affairs Logo"/>
                        <pic:cNvPicPr/>
                      </pic:nvPicPr>
                      <pic:blipFill>
                        <a:blip r:embed="rId8">
                          <a:extLst>
                            <a:ext uri="{96DAC541-7B7A-43D3-8B79-37D633B846F1}">
                              <asvg:svgBlip xmlns:asvg="http://schemas.microsoft.com/office/drawing/2016/SVG/main" r:embed="rId9"/>
                            </a:ext>
                          </a:extLst>
                        </a:blip>
                        <a:stretch>
                          <a:fillRect/>
                        </a:stretch>
                      </pic:blipFill>
                      <pic:spPr>
                        <a:xfrm>
                          <a:off x="0" y="0"/>
                          <a:ext cx="2534400" cy="568577"/>
                        </a:xfrm>
                        <a:prstGeom prst="rect">
                          <a:avLst/>
                        </a:prstGeom>
                      </pic:spPr>
                    </pic:pic>
                  </a:graphicData>
                </a:graphic>
              </wp:inline>
            </w:drawing>
          </w:r>
        </w:p>
        <w:sdt>
          <w:sdtPr>
            <w:rPr>
              <w:sz w:val="56"/>
              <w:szCs w:val="32"/>
            </w:rPr>
            <w:alias w:val="Title"/>
            <w:tag w:val="Title"/>
            <w:id w:val="1607082721"/>
            <w:placeholder>
              <w:docPart w:val="1199A378354547D98089484AF4F42EC5"/>
            </w:placeholder>
            <w:dataBinding w:xpath="/root[1]/Title[1]" w:storeItemID="{00000000-0000-0000-0000-000000000000}"/>
            <w:text w:multiLine="1"/>
          </w:sdtPr>
          <w:sdtEndPr/>
          <w:sdtContent>
            <w:p w14:paraId="7C8B85BB" w14:textId="202FB2FA" w:rsidR="00542164" w:rsidRPr="003D4A4B" w:rsidRDefault="003F4BAC" w:rsidP="00DF2726">
              <w:pPr>
                <w:pStyle w:val="Title"/>
                <w:rPr>
                  <w:rFonts w:eastAsiaTheme="minorHAnsi"/>
                  <w:sz w:val="56"/>
                  <w:szCs w:val="32"/>
                </w:rPr>
              </w:pPr>
              <w:r w:rsidRPr="003D4A4B">
                <w:rPr>
                  <w:sz w:val="56"/>
                  <w:szCs w:val="32"/>
                </w:rPr>
                <w:t>Critical Infrastructure</w:t>
              </w:r>
              <w:r w:rsidR="00A41EDD">
                <w:rPr>
                  <w:sz w:val="56"/>
                  <w:szCs w:val="32"/>
                </w:rPr>
                <w:br/>
              </w:r>
              <w:r w:rsidRPr="003D4A4B">
                <w:rPr>
                  <w:sz w:val="56"/>
                  <w:szCs w:val="32"/>
                </w:rPr>
                <w:t>Risk Management Program</w:t>
              </w:r>
            </w:p>
          </w:sdtContent>
        </w:sdt>
        <w:p w14:paraId="155D4E41" w14:textId="6462D9DC" w:rsidR="00542164" w:rsidRPr="003D4A4B" w:rsidRDefault="00B02732" w:rsidP="003D4A4B">
          <w:pPr>
            <w:pStyle w:val="Subtitle"/>
          </w:pPr>
          <w:r>
            <w:t xml:space="preserve">Addendum: </w:t>
          </w:r>
          <w:r w:rsidR="00F14FBC">
            <w:t>Enhancement to</w:t>
          </w:r>
          <w:r w:rsidR="00A665EB">
            <w:t xml:space="preserve"> </w:t>
          </w:r>
          <w:r w:rsidR="00F14FBC">
            <w:t xml:space="preserve">risk management program </w:t>
          </w:r>
          <w:r w:rsidR="00A665EB">
            <w:t xml:space="preserve">rules </w:t>
          </w:r>
          <w:r w:rsidR="000E2F14">
            <w:t>in response to</w:t>
          </w:r>
          <w:r w:rsidR="0041356B">
            <w:t xml:space="preserve"> worsening</w:t>
          </w:r>
          <w:r w:rsidR="00F14FBC">
            <w:t xml:space="preserve"> threat environment</w:t>
          </w:r>
          <w:r w:rsidR="00542164">
            <w:rPr>
              <w:rFonts w:eastAsia="Times New Roman" w:cs="Times New Roman"/>
              <w:b/>
              <w:szCs w:val="24"/>
              <w:lang w:eastAsia="en-AU"/>
            </w:rPr>
            <w:br w:type="page"/>
          </w:r>
        </w:p>
      </w:sdtContent>
    </w:sdt>
    <w:p w14:paraId="378FDE64" w14:textId="77777777" w:rsidR="001B6B3C" w:rsidRDefault="001B6B3C" w:rsidP="00827308">
      <w:pPr>
        <w:pStyle w:val="Protection"/>
        <w:jc w:val="left"/>
        <w:rPr>
          <w:rFonts w:asciiTheme="minorHAnsi" w:eastAsia="Times New Roman" w:hAnsiTheme="minorHAnsi" w:cs="Times New Roman"/>
          <w:b w:val="0"/>
          <w:color w:val="auto"/>
          <w:sz w:val="20"/>
          <w:szCs w:val="24"/>
          <w:lang w:eastAsia="en-AU"/>
        </w:rPr>
      </w:pPr>
    </w:p>
    <w:p w14:paraId="7A7E38E1" w14:textId="77777777" w:rsidR="00A85428" w:rsidRDefault="00A85428" w:rsidP="00045A35">
      <w:pPr>
        <w:pStyle w:val="Protection"/>
        <w:rPr>
          <w:rFonts w:asciiTheme="minorHAnsi" w:eastAsia="Times New Roman" w:hAnsiTheme="minorHAnsi" w:cs="Times New Roman"/>
          <w:b w:val="0"/>
          <w:color w:val="auto"/>
          <w:sz w:val="20"/>
          <w:szCs w:val="24"/>
          <w:lang w:eastAsia="en-AU"/>
        </w:rPr>
      </w:pPr>
    </w:p>
    <w:p w14:paraId="4275852D" w14:textId="2BF6A597" w:rsidR="00A85428" w:rsidRPr="00531EFD" w:rsidRDefault="00A85428" w:rsidP="00531EFD">
      <w:pPr>
        <w:rPr>
          <w:b/>
          <w:sz w:val="40"/>
          <w:szCs w:val="40"/>
        </w:rPr>
      </w:pPr>
      <w:bookmarkStart w:id="0" w:name="_Toc224853660"/>
      <w:r w:rsidRPr="00531EFD">
        <w:rPr>
          <w:b/>
          <w:sz w:val="40"/>
          <w:szCs w:val="40"/>
        </w:rPr>
        <w:t>Table of Contents</w:t>
      </w:r>
      <w:bookmarkEnd w:id="0"/>
    </w:p>
    <w:p w14:paraId="1DAAE14C" w14:textId="77777777" w:rsidR="007839D2" w:rsidRPr="00531EFD" w:rsidRDefault="007839D2" w:rsidP="00531EFD">
      <w:pPr>
        <w:rPr>
          <w:b/>
          <w:bCs/>
          <w:sz w:val="40"/>
          <w:szCs w:val="40"/>
        </w:rPr>
      </w:pPr>
    </w:p>
    <w:p w14:paraId="48CE8506" w14:textId="034EEAE6" w:rsidR="001367F4" w:rsidRDefault="00317C91">
      <w:pPr>
        <w:pStyle w:val="TOC1"/>
        <w:rPr>
          <w:rFonts w:eastAsiaTheme="minorEastAsia"/>
          <w:b w:val="0"/>
          <w:kern w:val="2"/>
          <w:sz w:val="24"/>
          <w:szCs w:val="24"/>
          <w:lang w:val="en-US"/>
          <w14:ligatures w14:val="standardContextual"/>
        </w:rPr>
      </w:pPr>
      <w:r>
        <w:rPr>
          <w:rFonts w:eastAsiaTheme="minorEastAsia"/>
          <w:b w:val="0"/>
          <w:kern w:val="2"/>
          <w:sz w:val="24"/>
          <w:szCs w:val="24"/>
          <w:lang w:eastAsia="en-GB"/>
          <w14:ligatures w14:val="standardContextual"/>
        </w:rPr>
        <w:fldChar w:fldCharType="begin"/>
      </w:r>
      <w:r>
        <w:rPr>
          <w:rFonts w:eastAsiaTheme="minorEastAsia"/>
          <w:b w:val="0"/>
          <w:kern w:val="2"/>
          <w:sz w:val="24"/>
          <w:szCs w:val="24"/>
          <w:lang w:eastAsia="en-GB"/>
          <w14:ligatures w14:val="standardContextual"/>
        </w:rPr>
        <w:instrText xml:space="preserve"> TOC \o "2-2" \h \z \t "Heading 1,1,Alt Heading 1,1,Heading 1 (numbered),1,Appendix 1,1" </w:instrText>
      </w:r>
      <w:r>
        <w:rPr>
          <w:rFonts w:eastAsiaTheme="minorEastAsia"/>
          <w:b w:val="0"/>
          <w:kern w:val="2"/>
          <w:sz w:val="24"/>
          <w:szCs w:val="24"/>
          <w:lang w:eastAsia="en-GB"/>
          <w14:ligatures w14:val="standardContextual"/>
        </w:rPr>
        <w:fldChar w:fldCharType="separate"/>
      </w:r>
      <w:hyperlink w:anchor="_Toc228391052" w:history="1">
        <w:r w:rsidR="001367F4" w:rsidRPr="00F31796">
          <w:rPr>
            <w:rStyle w:val="Hyperlink"/>
          </w:rPr>
          <w:t>Executive Summary</w:t>
        </w:r>
        <w:r w:rsidR="001367F4">
          <w:rPr>
            <w:webHidden/>
          </w:rPr>
          <w:tab/>
        </w:r>
        <w:r w:rsidR="001367F4">
          <w:rPr>
            <w:webHidden/>
          </w:rPr>
          <w:fldChar w:fldCharType="begin"/>
        </w:r>
        <w:r w:rsidR="001367F4">
          <w:rPr>
            <w:webHidden/>
          </w:rPr>
          <w:instrText xml:space="preserve"> PAGEREF _Toc228391052 \h </w:instrText>
        </w:r>
        <w:r w:rsidR="001367F4">
          <w:rPr>
            <w:webHidden/>
          </w:rPr>
        </w:r>
        <w:r w:rsidR="001367F4">
          <w:rPr>
            <w:webHidden/>
          </w:rPr>
          <w:fldChar w:fldCharType="separate"/>
        </w:r>
        <w:r w:rsidR="001367F4">
          <w:rPr>
            <w:webHidden/>
          </w:rPr>
          <w:t>3</w:t>
        </w:r>
        <w:r w:rsidR="001367F4">
          <w:rPr>
            <w:webHidden/>
          </w:rPr>
          <w:fldChar w:fldCharType="end"/>
        </w:r>
      </w:hyperlink>
    </w:p>
    <w:p w14:paraId="35D215AA" w14:textId="6A7E9DC8" w:rsidR="001367F4" w:rsidRDefault="001367F4">
      <w:pPr>
        <w:pStyle w:val="TOC1"/>
        <w:rPr>
          <w:rFonts w:eastAsiaTheme="minorEastAsia"/>
          <w:b w:val="0"/>
          <w:kern w:val="2"/>
          <w:sz w:val="24"/>
          <w:szCs w:val="24"/>
          <w:lang w:val="en-US"/>
          <w14:ligatures w14:val="standardContextual"/>
        </w:rPr>
      </w:pPr>
      <w:hyperlink w:anchor="_Toc228391053" w:history="1">
        <w:r w:rsidRPr="00F31796">
          <w:rPr>
            <w:rStyle w:val="Hyperlink"/>
          </w:rPr>
          <w:t>1.</w:t>
        </w:r>
        <w:r>
          <w:rPr>
            <w:rFonts w:eastAsiaTheme="minorEastAsia"/>
            <w:b w:val="0"/>
            <w:kern w:val="2"/>
            <w:sz w:val="24"/>
            <w:szCs w:val="24"/>
            <w:lang w:val="en-US"/>
            <w14:ligatures w14:val="standardContextual"/>
          </w:rPr>
          <w:tab/>
        </w:r>
        <w:r w:rsidRPr="00F31796">
          <w:rPr>
            <w:rStyle w:val="Hyperlink"/>
          </w:rPr>
          <w:t>Background</w:t>
        </w:r>
        <w:r>
          <w:rPr>
            <w:webHidden/>
          </w:rPr>
          <w:tab/>
        </w:r>
        <w:r>
          <w:rPr>
            <w:webHidden/>
          </w:rPr>
          <w:fldChar w:fldCharType="begin"/>
        </w:r>
        <w:r>
          <w:rPr>
            <w:webHidden/>
          </w:rPr>
          <w:instrText xml:space="preserve"> PAGEREF _Toc228391053 \h </w:instrText>
        </w:r>
        <w:r>
          <w:rPr>
            <w:webHidden/>
          </w:rPr>
        </w:r>
        <w:r>
          <w:rPr>
            <w:webHidden/>
          </w:rPr>
          <w:fldChar w:fldCharType="separate"/>
        </w:r>
        <w:r>
          <w:rPr>
            <w:webHidden/>
          </w:rPr>
          <w:t>4</w:t>
        </w:r>
        <w:r>
          <w:rPr>
            <w:webHidden/>
          </w:rPr>
          <w:fldChar w:fldCharType="end"/>
        </w:r>
      </w:hyperlink>
    </w:p>
    <w:p w14:paraId="5795F678" w14:textId="111AA490" w:rsidR="001367F4" w:rsidRDefault="001367F4">
      <w:pPr>
        <w:pStyle w:val="TOC2"/>
        <w:rPr>
          <w:rFonts w:eastAsiaTheme="minorEastAsia"/>
          <w:kern w:val="2"/>
          <w:sz w:val="24"/>
          <w:szCs w:val="24"/>
          <w:lang w:val="en-US"/>
          <w14:ligatures w14:val="standardContextual"/>
        </w:rPr>
      </w:pPr>
      <w:hyperlink w:anchor="_Toc228391054" w:history="1">
        <w:r w:rsidRPr="00F31796">
          <w:rPr>
            <w:rStyle w:val="Hyperlink"/>
            <w:lang w:val="en-US"/>
          </w:rPr>
          <w:t>1.1.</w:t>
        </w:r>
        <w:r>
          <w:rPr>
            <w:rFonts w:eastAsiaTheme="minorEastAsia"/>
            <w:kern w:val="2"/>
            <w:sz w:val="24"/>
            <w:szCs w:val="24"/>
            <w:lang w:val="en-US"/>
            <w14:ligatures w14:val="standardContextual"/>
          </w:rPr>
          <w:tab/>
        </w:r>
        <w:r w:rsidRPr="00F31796">
          <w:rPr>
            <w:rStyle w:val="Hyperlink"/>
            <w:lang w:val="en-US"/>
          </w:rPr>
          <w:t>Issues identified in the critical infrastructure environment</w:t>
        </w:r>
        <w:r>
          <w:rPr>
            <w:webHidden/>
          </w:rPr>
          <w:tab/>
        </w:r>
        <w:r>
          <w:rPr>
            <w:webHidden/>
          </w:rPr>
          <w:fldChar w:fldCharType="begin"/>
        </w:r>
        <w:r>
          <w:rPr>
            <w:webHidden/>
          </w:rPr>
          <w:instrText xml:space="preserve"> PAGEREF _Toc228391054 \h </w:instrText>
        </w:r>
        <w:r>
          <w:rPr>
            <w:webHidden/>
          </w:rPr>
        </w:r>
        <w:r>
          <w:rPr>
            <w:webHidden/>
          </w:rPr>
          <w:fldChar w:fldCharType="separate"/>
        </w:r>
        <w:r>
          <w:rPr>
            <w:webHidden/>
          </w:rPr>
          <w:t>4</w:t>
        </w:r>
        <w:r>
          <w:rPr>
            <w:webHidden/>
          </w:rPr>
          <w:fldChar w:fldCharType="end"/>
        </w:r>
      </w:hyperlink>
    </w:p>
    <w:p w14:paraId="2F1D4006" w14:textId="0210A718" w:rsidR="001367F4" w:rsidRDefault="001367F4">
      <w:pPr>
        <w:pStyle w:val="TOC2"/>
        <w:rPr>
          <w:rFonts w:eastAsiaTheme="minorEastAsia"/>
          <w:kern w:val="2"/>
          <w:sz w:val="24"/>
          <w:szCs w:val="24"/>
          <w:lang w:val="en-US"/>
          <w14:ligatures w14:val="standardContextual"/>
        </w:rPr>
      </w:pPr>
      <w:hyperlink w:anchor="_Toc228391055" w:history="1">
        <w:r w:rsidRPr="00F31796">
          <w:rPr>
            <w:rStyle w:val="Hyperlink"/>
          </w:rPr>
          <w:t>1.2.</w:t>
        </w:r>
        <w:r>
          <w:rPr>
            <w:rFonts w:eastAsiaTheme="minorEastAsia"/>
            <w:kern w:val="2"/>
            <w:sz w:val="24"/>
            <w:szCs w:val="24"/>
            <w:lang w:val="en-US"/>
            <w14:ligatures w14:val="standardContextual"/>
          </w:rPr>
          <w:tab/>
        </w:r>
        <w:r w:rsidRPr="00F31796">
          <w:rPr>
            <w:rStyle w:val="Hyperlink"/>
          </w:rPr>
          <w:t>Targeted uplift for high-risk asset classes</w:t>
        </w:r>
        <w:r>
          <w:rPr>
            <w:webHidden/>
          </w:rPr>
          <w:tab/>
        </w:r>
        <w:r>
          <w:rPr>
            <w:webHidden/>
          </w:rPr>
          <w:fldChar w:fldCharType="begin"/>
        </w:r>
        <w:r>
          <w:rPr>
            <w:webHidden/>
          </w:rPr>
          <w:instrText xml:space="preserve"> PAGEREF _Toc228391055 \h </w:instrText>
        </w:r>
        <w:r>
          <w:rPr>
            <w:webHidden/>
          </w:rPr>
        </w:r>
        <w:r>
          <w:rPr>
            <w:webHidden/>
          </w:rPr>
          <w:fldChar w:fldCharType="separate"/>
        </w:r>
        <w:r>
          <w:rPr>
            <w:webHidden/>
          </w:rPr>
          <w:t>5</w:t>
        </w:r>
        <w:r>
          <w:rPr>
            <w:webHidden/>
          </w:rPr>
          <w:fldChar w:fldCharType="end"/>
        </w:r>
      </w:hyperlink>
    </w:p>
    <w:p w14:paraId="102DE546" w14:textId="5DC5D4ED" w:rsidR="001367F4" w:rsidRDefault="001367F4">
      <w:pPr>
        <w:pStyle w:val="TOC2"/>
        <w:rPr>
          <w:rFonts w:eastAsiaTheme="minorEastAsia"/>
          <w:kern w:val="2"/>
          <w:sz w:val="24"/>
          <w:szCs w:val="24"/>
          <w:lang w:val="en-US"/>
          <w14:ligatures w14:val="standardContextual"/>
        </w:rPr>
      </w:pPr>
      <w:hyperlink w:anchor="_Toc228391056" w:history="1">
        <w:r w:rsidRPr="00F31796">
          <w:rPr>
            <w:rStyle w:val="Hyperlink"/>
            <w:lang w:val="en-US"/>
          </w:rPr>
          <w:t>1.3.</w:t>
        </w:r>
        <w:r>
          <w:rPr>
            <w:rFonts w:eastAsiaTheme="minorEastAsia"/>
            <w:kern w:val="2"/>
            <w:sz w:val="24"/>
            <w:szCs w:val="24"/>
            <w:lang w:val="en-US"/>
            <w14:ligatures w14:val="standardContextual"/>
          </w:rPr>
          <w:tab/>
        </w:r>
        <w:r w:rsidRPr="00F31796">
          <w:rPr>
            <w:rStyle w:val="Hyperlink"/>
            <w:lang w:val="en-US"/>
          </w:rPr>
          <w:t>Alignment with the current regulatory landscape</w:t>
        </w:r>
        <w:r>
          <w:rPr>
            <w:webHidden/>
          </w:rPr>
          <w:tab/>
        </w:r>
        <w:r>
          <w:rPr>
            <w:webHidden/>
          </w:rPr>
          <w:fldChar w:fldCharType="begin"/>
        </w:r>
        <w:r>
          <w:rPr>
            <w:webHidden/>
          </w:rPr>
          <w:instrText xml:space="preserve"> PAGEREF _Toc228391056 \h </w:instrText>
        </w:r>
        <w:r>
          <w:rPr>
            <w:webHidden/>
          </w:rPr>
        </w:r>
        <w:r>
          <w:rPr>
            <w:webHidden/>
          </w:rPr>
          <w:fldChar w:fldCharType="separate"/>
        </w:r>
        <w:r>
          <w:rPr>
            <w:webHidden/>
          </w:rPr>
          <w:t>6</w:t>
        </w:r>
        <w:r>
          <w:rPr>
            <w:webHidden/>
          </w:rPr>
          <w:fldChar w:fldCharType="end"/>
        </w:r>
      </w:hyperlink>
    </w:p>
    <w:p w14:paraId="4BC15FA8" w14:textId="03372810" w:rsidR="001367F4" w:rsidRDefault="001367F4">
      <w:pPr>
        <w:pStyle w:val="TOC1"/>
        <w:rPr>
          <w:rFonts w:eastAsiaTheme="minorEastAsia"/>
          <w:b w:val="0"/>
          <w:kern w:val="2"/>
          <w:sz w:val="24"/>
          <w:szCs w:val="24"/>
          <w:lang w:val="en-US"/>
          <w14:ligatures w14:val="standardContextual"/>
        </w:rPr>
      </w:pPr>
      <w:hyperlink w:anchor="_Toc228391057" w:history="1">
        <w:r w:rsidRPr="00F31796">
          <w:rPr>
            <w:rStyle w:val="Hyperlink"/>
          </w:rPr>
          <w:t>2.</w:t>
        </w:r>
        <w:r>
          <w:rPr>
            <w:rFonts w:eastAsiaTheme="minorEastAsia"/>
            <w:b w:val="0"/>
            <w:kern w:val="2"/>
            <w:sz w:val="24"/>
            <w:szCs w:val="24"/>
            <w:lang w:val="en-US"/>
            <w14:ligatures w14:val="standardContextual"/>
          </w:rPr>
          <w:tab/>
        </w:r>
        <w:r w:rsidRPr="00F31796">
          <w:rPr>
            <w:rStyle w:val="Hyperlink"/>
          </w:rPr>
          <w:t>Options considered and preferred approach</w:t>
        </w:r>
        <w:r>
          <w:rPr>
            <w:webHidden/>
          </w:rPr>
          <w:tab/>
        </w:r>
        <w:r>
          <w:rPr>
            <w:webHidden/>
          </w:rPr>
          <w:fldChar w:fldCharType="begin"/>
        </w:r>
        <w:r>
          <w:rPr>
            <w:webHidden/>
          </w:rPr>
          <w:instrText xml:space="preserve"> PAGEREF _Toc228391057 \h </w:instrText>
        </w:r>
        <w:r>
          <w:rPr>
            <w:webHidden/>
          </w:rPr>
        </w:r>
        <w:r>
          <w:rPr>
            <w:webHidden/>
          </w:rPr>
          <w:fldChar w:fldCharType="separate"/>
        </w:r>
        <w:r>
          <w:rPr>
            <w:webHidden/>
          </w:rPr>
          <w:t>7</w:t>
        </w:r>
        <w:r>
          <w:rPr>
            <w:webHidden/>
          </w:rPr>
          <w:fldChar w:fldCharType="end"/>
        </w:r>
      </w:hyperlink>
    </w:p>
    <w:p w14:paraId="547F96D5" w14:textId="430F51D8" w:rsidR="001367F4" w:rsidRDefault="001367F4">
      <w:pPr>
        <w:pStyle w:val="TOC2"/>
        <w:rPr>
          <w:rFonts w:eastAsiaTheme="minorEastAsia"/>
          <w:kern w:val="2"/>
          <w:sz w:val="24"/>
          <w:szCs w:val="24"/>
          <w:lang w:val="en-US"/>
          <w14:ligatures w14:val="standardContextual"/>
        </w:rPr>
      </w:pPr>
      <w:hyperlink w:anchor="_Toc228391058" w:history="1">
        <w:r w:rsidRPr="00F31796">
          <w:rPr>
            <w:rStyle w:val="Hyperlink"/>
            <w:lang w:val="en-US"/>
          </w:rPr>
          <w:t>2.1.</w:t>
        </w:r>
        <w:r>
          <w:rPr>
            <w:rFonts w:eastAsiaTheme="minorEastAsia"/>
            <w:kern w:val="2"/>
            <w:sz w:val="24"/>
            <w:szCs w:val="24"/>
            <w:lang w:val="en-US"/>
            <w14:ligatures w14:val="standardContextual"/>
          </w:rPr>
          <w:tab/>
        </w:r>
        <w:r w:rsidRPr="00F31796">
          <w:rPr>
            <w:rStyle w:val="Hyperlink"/>
            <w:lang w:val="en-US"/>
          </w:rPr>
          <w:t>Option 1: Status quo</w:t>
        </w:r>
        <w:r>
          <w:rPr>
            <w:webHidden/>
          </w:rPr>
          <w:tab/>
        </w:r>
        <w:r>
          <w:rPr>
            <w:webHidden/>
          </w:rPr>
          <w:fldChar w:fldCharType="begin"/>
        </w:r>
        <w:r>
          <w:rPr>
            <w:webHidden/>
          </w:rPr>
          <w:instrText xml:space="preserve"> PAGEREF _Toc228391058 \h </w:instrText>
        </w:r>
        <w:r>
          <w:rPr>
            <w:webHidden/>
          </w:rPr>
        </w:r>
        <w:r>
          <w:rPr>
            <w:webHidden/>
          </w:rPr>
          <w:fldChar w:fldCharType="separate"/>
        </w:r>
        <w:r>
          <w:rPr>
            <w:webHidden/>
          </w:rPr>
          <w:t>7</w:t>
        </w:r>
        <w:r>
          <w:rPr>
            <w:webHidden/>
          </w:rPr>
          <w:fldChar w:fldCharType="end"/>
        </w:r>
      </w:hyperlink>
    </w:p>
    <w:p w14:paraId="3DCA4B50" w14:textId="1478E715" w:rsidR="001367F4" w:rsidRDefault="001367F4">
      <w:pPr>
        <w:pStyle w:val="TOC2"/>
        <w:rPr>
          <w:rFonts w:eastAsiaTheme="minorEastAsia"/>
          <w:kern w:val="2"/>
          <w:sz w:val="24"/>
          <w:szCs w:val="24"/>
          <w:lang w:val="en-US"/>
          <w14:ligatures w14:val="standardContextual"/>
        </w:rPr>
      </w:pPr>
      <w:hyperlink w:anchor="_Toc228391059" w:history="1">
        <w:r w:rsidRPr="00F31796">
          <w:rPr>
            <w:rStyle w:val="Hyperlink"/>
            <w:lang w:val="en-US"/>
          </w:rPr>
          <w:t>2.2.</w:t>
        </w:r>
        <w:r>
          <w:rPr>
            <w:rFonts w:eastAsiaTheme="minorEastAsia"/>
            <w:kern w:val="2"/>
            <w:sz w:val="24"/>
            <w:szCs w:val="24"/>
            <w:lang w:val="en-US"/>
            <w14:ligatures w14:val="standardContextual"/>
          </w:rPr>
          <w:tab/>
        </w:r>
        <w:r w:rsidRPr="00F31796">
          <w:rPr>
            <w:rStyle w:val="Hyperlink"/>
            <w:lang w:val="en-US"/>
          </w:rPr>
          <w:t>Option 2: Improved awareness</w:t>
        </w:r>
        <w:r>
          <w:rPr>
            <w:webHidden/>
          </w:rPr>
          <w:tab/>
        </w:r>
        <w:r>
          <w:rPr>
            <w:webHidden/>
          </w:rPr>
          <w:fldChar w:fldCharType="begin"/>
        </w:r>
        <w:r>
          <w:rPr>
            <w:webHidden/>
          </w:rPr>
          <w:instrText xml:space="preserve"> PAGEREF _Toc228391059 \h </w:instrText>
        </w:r>
        <w:r>
          <w:rPr>
            <w:webHidden/>
          </w:rPr>
        </w:r>
        <w:r>
          <w:rPr>
            <w:webHidden/>
          </w:rPr>
          <w:fldChar w:fldCharType="separate"/>
        </w:r>
        <w:r>
          <w:rPr>
            <w:webHidden/>
          </w:rPr>
          <w:t>7</w:t>
        </w:r>
        <w:r>
          <w:rPr>
            <w:webHidden/>
          </w:rPr>
          <w:fldChar w:fldCharType="end"/>
        </w:r>
      </w:hyperlink>
    </w:p>
    <w:p w14:paraId="14B7FF0D" w14:textId="7AA8F8A6" w:rsidR="001367F4" w:rsidRDefault="001367F4">
      <w:pPr>
        <w:pStyle w:val="TOC2"/>
        <w:rPr>
          <w:rFonts w:eastAsiaTheme="minorEastAsia"/>
          <w:kern w:val="2"/>
          <w:sz w:val="24"/>
          <w:szCs w:val="24"/>
          <w:lang w:val="en-US"/>
          <w14:ligatures w14:val="standardContextual"/>
        </w:rPr>
      </w:pPr>
      <w:hyperlink w:anchor="_Toc228391060" w:history="1">
        <w:r w:rsidRPr="00F31796">
          <w:rPr>
            <w:rStyle w:val="Hyperlink"/>
            <w:lang w:val="en-US"/>
          </w:rPr>
          <w:t>2.3.</w:t>
        </w:r>
        <w:r>
          <w:rPr>
            <w:rFonts w:eastAsiaTheme="minorEastAsia"/>
            <w:kern w:val="2"/>
            <w:sz w:val="24"/>
            <w:szCs w:val="24"/>
            <w:lang w:val="en-US"/>
            <w14:ligatures w14:val="standardContextual"/>
          </w:rPr>
          <w:tab/>
        </w:r>
        <w:r w:rsidRPr="00F31796">
          <w:rPr>
            <w:rStyle w:val="Hyperlink"/>
            <w:lang w:val="en-US"/>
          </w:rPr>
          <w:t>Option 3: Enhanced CIRMP requirements</w:t>
        </w:r>
        <w:r>
          <w:rPr>
            <w:webHidden/>
          </w:rPr>
          <w:tab/>
        </w:r>
        <w:r>
          <w:rPr>
            <w:webHidden/>
          </w:rPr>
          <w:fldChar w:fldCharType="begin"/>
        </w:r>
        <w:r>
          <w:rPr>
            <w:webHidden/>
          </w:rPr>
          <w:instrText xml:space="preserve"> PAGEREF _Toc228391060 \h </w:instrText>
        </w:r>
        <w:r>
          <w:rPr>
            <w:webHidden/>
          </w:rPr>
        </w:r>
        <w:r>
          <w:rPr>
            <w:webHidden/>
          </w:rPr>
          <w:fldChar w:fldCharType="separate"/>
        </w:r>
        <w:r>
          <w:rPr>
            <w:webHidden/>
          </w:rPr>
          <w:t>8</w:t>
        </w:r>
        <w:r>
          <w:rPr>
            <w:webHidden/>
          </w:rPr>
          <w:fldChar w:fldCharType="end"/>
        </w:r>
      </w:hyperlink>
    </w:p>
    <w:p w14:paraId="71C05808" w14:textId="293C4F23" w:rsidR="001367F4" w:rsidRDefault="001367F4">
      <w:pPr>
        <w:pStyle w:val="TOC2"/>
        <w:rPr>
          <w:rFonts w:eastAsiaTheme="minorEastAsia"/>
          <w:kern w:val="2"/>
          <w:sz w:val="24"/>
          <w:szCs w:val="24"/>
          <w:lang w:val="en-US"/>
          <w14:ligatures w14:val="standardContextual"/>
        </w:rPr>
      </w:pPr>
      <w:hyperlink w:anchor="_Toc228391061" w:history="1">
        <w:r w:rsidRPr="00F31796">
          <w:rPr>
            <w:rStyle w:val="Hyperlink"/>
          </w:rPr>
          <w:t>2.4.</w:t>
        </w:r>
        <w:r>
          <w:rPr>
            <w:rFonts w:eastAsiaTheme="minorEastAsia"/>
            <w:kern w:val="2"/>
            <w:sz w:val="24"/>
            <w:szCs w:val="24"/>
            <w:lang w:val="en-US"/>
            <w14:ligatures w14:val="standardContextual"/>
          </w:rPr>
          <w:tab/>
        </w:r>
        <w:r w:rsidRPr="00F31796">
          <w:rPr>
            <w:rStyle w:val="Hyperlink"/>
          </w:rPr>
          <w:t>Regulatory burden and expected net benefit by option</w:t>
        </w:r>
        <w:r>
          <w:rPr>
            <w:webHidden/>
          </w:rPr>
          <w:tab/>
        </w:r>
        <w:r>
          <w:rPr>
            <w:webHidden/>
          </w:rPr>
          <w:fldChar w:fldCharType="begin"/>
        </w:r>
        <w:r>
          <w:rPr>
            <w:webHidden/>
          </w:rPr>
          <w:instrText xml:space="preserve"> PAGEREF _Toc228391061 \h </w:instrText>
        </w:r>
        <w:r>
          <w:rPr>
            <w:webHidden/>
          </w:rPr>
        </w:r>
        <w:r>
          <w:rPr>
            <w:webHidden/>
          </w:rPr>
          <w:fldChar w:fldCharType="separate"/>
        </w:r>
        <w:r>
          <w:rPr>
            <w:webHidden/>
          </w:rPr>
          <w:t>9</w:t>
        </w:r>
        <w:r>
          <w:rPr>
            <w:webHidden/>
          </w:rPr>
          <w:fldChar w:fldCharType="end"/>
        </w:r>
      </w:hyperlink>
    </w:p>
    <w:p w14:paraId="7AFE2197" w14:textId="7348EDED" w:rsidR="001367F4" w:rsidRDefault="001367F4">
      <w:pPr>
        <w:pStyle w:val="TOC2"/>
        <w:rPr>
          <w:rFonts w:eastAsiaTheme="minorEastAsia"/>
          <w:kern w:val="2"/>
          <w:sz w:val="24"/>
          <w:szCs w:val="24"/>
          <w:lang w:val="en-US"/>
          <w14:ligatures w14:val="standardContextual"/>
        </w:rPr>
      </w:pPr>
      <w:hyperlink w:anchor="_Toc228391062" w:history="1">
        <w:r w:rsidRPr="00F31796">
          <w:rPr>
            <w:rStyle w:val="Hyperlink"/>
          </w:rPr>
          <w:t>2.5.</w:t>
        </w:r>
        <w:r>
          <w:rPr>
            <w:rFonts w:eastAsiaTheme="minorEastAsia"/>
            <w:kern w:val="2"/>
            <w:sz w:val="24"/>
            <w:szCs w:val="24"/>
            <w:lang w:val="en-US"/>
            <w14:ligatures w14:val="standardContextual"/>
          </w:rPr>
          <w:tab/>
        </w:r>
        <w:r w:rsidRPr="00F31796">
          <w:rPr>
            <w:rStyle w:val="Hyperlink"/>
          </w:rPr>
          <w:t>Comparative assessment of options</w:t>
        </w:r>
        <w:r>
          <w:rPr>
            <w:webHidden/>
          </w:rPr>
          <w:tab/>
        </w:r>
        <w:r>
          <w:rPr>
            <w:webHidden/>
          </w:rPr>
          <w:fldChar w:fldCharType="begin"/>
        </w:r>
        <w:r>
          <w:rPr>
            <w:webHidden/>
          </w:rPr>
          <w:instrText xml:space="preserve"> PAGEREF _Toc228391062 \h </w:instrText>
        </w:r>
        <w:r>
          <w:rPr>
            <w:webHidden/>
          </w:rPr>
        </w:r>
        <w:r>
          <w:rPr>
            <w:webHidden/>
          </w:rPr>
          <w:fldChar w:fldCharType="separate"/>
        </w:r>
        <w:r>
          <w:rPr>
            <w:webHidden/>
          </w:rPr>
          <w:t>10</w:t>
        </w:r>
        <w:r>
          <w:rPr>
            <w:webHidden/>
          </w:rPr>
          <w:fldChar w:fldCharType="end"/>
        </w:r>
      </w:hyperlink>
    </w:p>
    <w:p w14:paraId="025B9346" w14:textId="5B102139" w:rsidR="001367F4" w:rsidRDefault="001367F4">
      <w:pPr>
        <w:pStyle w:val="TOC2"/>
        <w:rPr>
          <w:rFonts w:eastAsiaTheme="minorEastAsia"/>
          <w:kern w:val="2"/>
          <w:sz w:val="24"/>
          <w:szCs w:val="24"/>
          <w:lang w:val="en-US"/>
          <w14:ligatures w14:val="standardContextual"/>
        </w:rPr>
      </w:pPr>
      <w:hyperlink w:anchor="_Toc228391063" w:history="1">
        <w:r w:rsidRPr="00F31796">
          <w:rPr>
            <w:rStyle w:val="Hyperlink"/>
          </w:rPr>
          <w:t>2.6.</w:t>
        </w:r>
        <w:r>
          <w:rPr>
            <w:rFonts w:eastAsiaTheme="minorEastAsia"/>
            <w:kern w:val="2"/>
            <w:sz w:val="24"/>
            <w:szCs w:val="24"/>
            <w:lang w:val="en-US"/>
            <w14:ligatures w14:val="standardContextual"/>
          </w:rPr>
          <w:tab/>
        </w:r>
        <w:r w:rsidRPr="00F31796">
          <w:rPr>
            <w:rStyle w:val="Hyperlink"/>
          </w:rPr>
          <w:t>Preferred option</w:t>
        </w:r>
        <w:r>
          <w:rPr>
            <w:webHidden/>
          </w:rPr>
          <w:tab/>
        </w:r>
        <w:r>
          <w:rPr>
            <w:webHidden/>
          </w:rPr>
          <w:fldChar w:fldCharType="begin"/>
        </w:r>
        <w:r>
          <w:rPr>
            <w:webHidden/>
          </w:rPr>
          <w:instrText xml:space="preserve"> PAGEREF _Toc228391063 \h </w:instrText>
        </w:r>
        <w:r>
          <w:rPr>
            <w:webHidden/>
          </w:rPr>
        </w:r>
        <w:r>
          <w:rPr>
            <w:webHidden/>
          </w:rPr>
          <w:fldChar w:fldCharType="separate"/>
        </w:r>
        <w:r>
          <w:rPr>
            <w:webHidden/>
          </w:rPr>
          <w:t>11</w:t>
        </w:r>
        <w:r>
          <w:rPr>
            <w:webHidden/>
          </w:rPr>
          <w:fldChar w:fldCharType="end"/>
        </w:r>
      </w:hyperlink>
    </w:p>
    <w:p w14:paraId="0E2D89D3" w14:textId="29F6394B" w:rsidR="001367F4" w:rsidRDefault="001367F4">
      <w:pPr>
        <w:pStyle w:val="TOC1"/>
        <w:rPr>
          <w:rFonts w:eastAsiaTheme="minorEastAsia"/>
          <w:b w:val="0"/>
          <w:kern w:val="2"/>
          <w:sz w:val="24"/>
          <w:szCs w:val="24"/>
          <w:lang w:val="en-US"/>
          <w14:ligatures w14:val="standardContextual"/>
        </w:rPr>
      </w:pPr>
      <w:hyperlink w:anchor="_Toc228391064" w:history="1">
        <w:r w:rsidRPr="00F31796">
          <w:rPr>
            <w:rStyle w:val="Hyperlink"/>
          </w:rPr>
          <w:t>3.</w:t>
        </w:r>
        <w:r>
          <w:rPr>
            <w:rFonts w:eastAsiaTheme="minorEastAsia"/>
            <w:b w:val="0"/>
            <w:kern w:val="2"/>
            <w:sz w:val="24"/>
            <w:szCs w:val="24"/>
            <w:lang w:val="en-US"/>
            <w14:ligatures w14:val="standardContextual"/>
          </w:rPr>
          <w:tab/>
        </w:r>
        <w:r w:rsidRPr="00F31796">
          <w:rPr>
            <w:rStyle w:val="Hyperlink"/>
          </w:rPr>
          <w:t>Regulatory impact</w:t>
        </w:r>
        <w:r>
          <w:rPr>
            <w:webHidden/>
          </w:rPr>
          <w:tab/>
        </w:r>
        <w:r>
          <w:rPr>
            <w:webHidden/>
          </w:rPr>
          <w:fldChar w:fldCharType="begin"/>
        </w:r>
        <w:r>
          <w:rPr>
            <w:webHidden/>
          </w:rPr>
          <w:instrText xml:space="preserve"> PAGEREF _Toc228391064 \h </w:instrText>
        </w:r>
        <w:r>
          <w:rPr>
            <w:webHidden/>
          </w:rPr>
        </w:r>
        <w:r>
          <w:rPr>
            <w:webHidden/>
          </w:rPr>
          <w:fldChar w:fldCharType="separate"/>
        </w:r>
        <w:r>
          <w:rPr>
            <w:webHidden/>
          </w:rPr>
          <w:t>12</w:t>
        </w:r>
        <w:r>
          <w:rPr>
            <w:webHidden/>
          </w:rPr>
          <w:fldChar w:fldCharType="end"/>
        </w:r>
      </w:hyperlink>
    </w:p>
    <w:p w14:paraId="040D0946" w14:textId="472C5EF7" w:rsidR="001367F4" w:rsidRDefault="001367F4">
      <w:pPr>
        <w:pStyle w:val="TOC2"/>
        <w:rPr>
          <w:rFonts w:eastAsiaTheme="minorEastAsia"/>
          <w:kern w:val="2"/>
          <w:sz w:val="24"/>
          <w:szCs w:val="24"/>
          <w:lang w:val="en-US"/>
          <w14:ligatures w14:val="standardContextual"/>
        </w:rPr>
      </w:pPr>
      <w:hyperlink w:anchor="_Toc228391065" w:history="1">
        <w:r w:rsidRPr="00F31796">
          <w:rPr>
            <w:rStyle w:val="Hyperlink"/>
            <w:lang w:val="en-US"/>
          </w:rPr>
          <w:t>3.1.</w:t>
        </w:r>
        <w:r>
          <w:rPr>
            <w:rFonts w:eastAsiaTheme="minorEastAsia"/>
            <w:kern w:val="2"/>
            <w:sz w:val="24"/>
            <w:szCs w:val="24"/>
            <w:lang w:val="en-US"/>
            <w14:ligatures w14:val="standardContextual"/>
          </w:rPr>
          <w:tab/>
        </w:r>
        <w:r w:rsidRPr="00F31796">
          <w:rPr>
            <w:rStyle w:val="Hyperlink"/>
            <w:lang w:val="en-US"/>
          </w:rPr>
          <w:t>Regulatory costing method</w:t>
        </w:r>
        <w:r>
          <w:rPr>
            <w:webHidden/>
          </w:rPr>
          <w:tab/>
        </w:r>
        <w:r>
          <w:rPr>
            <w:webHidden/>
          </w:rPr>
          <w:fldChar w:fldCharType="begin"/>
        </w:r>
        <w:r>
          <w:rPr>
            <w:webHidden/>
          </w:rPr>
          <w:instrText xml:space="preserve"> PAGEREF _Toc228391065 \h </w:instrText>
        </w:r>
        <w:r>
          <w:rPr>
            <w:webHidden/>
          </w:rPr>
        </w:r>
        <w:r>
          <w:rPr>
            <w:webHidden/>
          </w:rPr>
          <w:fldChar w:fldCharType="separate"/>
        </w:r>
        <w:r>
          <w:rPr>
            <w:webHidden/>
          </w:rPr>
          <w:t>12</w:t>
        </w:r>
        <w:r>
          <w:rPr>
            <w:webHidden/>
          </w:rPr>
          <w:fldChar w:fldCharType="end"/>
        </w:r>
      </w:hyperlink>
    </w:p>
    <w:p w14:paraId="03296D98" w14:textId="2A8B8FB8" w:rsidR="001367F4" w:rsidRDefault="001367F4">
      <w:pPr>
        <w:pStyle w:val="TOC2"/>
        <w:rPr>
          <w:rFonts w:eastAsiaTheme="minorEastAsia"/>
          <w:kern w:val="2"/>
          <w:sz w:val="24"/>
          <w:szCs w:val="24"/>
          <w:lang w:val="en-US"/>
          <w14:ligatures w14:val="standardContextual"/>
        </w:rPr>
      </w:pPr>
      <w:hyperlink w:anchor="_Toc228391066" w:history="1">
        <w:r w:rsidRPr="00F31796">
          <w:rPr>
            <w:rStyle w:val="Hyperlink"/>
            <w:lang w:eastAsia="en-AU"/>
          </w:rPr>
          <w:t>3.2.</w:t>
        </w:r>
        <w:r>
          <w:rPr>
            <w:rFonts w:eastAsiaTheme="minorEastAsia"/>
            <w:kern w:val="2"/>
            <w:sz w:val="24"/>
            <w:szCs w:val="24"/>
            <w:lang w:val="en-US"/>
            <w14:ligatures w14:val="standardContextual"/>
          </w:rPr>
          <w:tab/>
        </w:r>
        <w:r w:rsidRPr="00F31796">
          <w:rPr>
            <w:rStyle w:val="Hyperlink"/>
            <w:lang w:eastAsia="en-AU"/>
          </w:rPr>
          <w:t>Economic benefits</w:t>
        </w:r>
        <w:r>
          <w:rPr>
            <w:webHidden/>
          </w:rPr>
          <w:tab/>
        </w:r>
        <w:r>
          <w:rPr>
            <w:webHidden/>
          </w:rPr>
          <w:fldChar w:fldCharType="begin"/>
        </w:r>
        <w:r>
          <w:rPr>
            <w:webHidden/>
          </w:rPr>
          <w:instrText xml:space="preserve"> PAGEREF _Toc228391066 \h </w:instrText>
        </w:r>
        <w:r>
          <w:rPr>
            <w:webHidden/>
          </w:rPr>
        </w:r>
        <w:r>
          <w:rPr>
            <w:webHidden/>
          </w:rPr>
          <w:fldChar w:fldCharType="separate"/>
        </w:r>
        <w:r>
          <w:rPr>
            <w:webHidden/>
          </w:rPr>
          <w:t>16</w:t>
        </w:r>
        <w:r>
          <w:rPr>
            <w:webHidden/>
          </w:rPr>
          <w:fldChar w:fldCharType="end"/>
        </w:r>
      </w:hyperlink>
    </w:p>
    <w:p w14:paraId="675E054E" w14:textId="168C5636" w:rsidR="001367F4" w:rsidRDefault="001367F4">
      <w:pPr>
        <w:pStyle w:val="TOC1"/>
        <w:rPr>
          <w:rFonts w:eastAsiaTheme="minorEastAsia"/>
          <w:b w:val="0"/>
          <w:kern w:val="2"/>
          <w:sz w:val="24"/>
          <w:szCs w:val="24"/>
          <w:lang w:val="en-US"/>
          <w14:ligatures w14:val="standardContextual"/>
        </w:rPr>
      </w:pPr>
      <w:hyperlink w:anchor="_Toc228391067" w:history="1">
        <w:r w:rsidRPr="00F31796">
          <w:rPr>
            <w:rStyle w:val="Hyperlink"/>
            <w:lang w:eastAsia="en-AU"/>
          </w:rPr>
          <w:t>4.</w:t>
        </w:r>
        <w:r>
          <w:rPr>
            <w:rFonts w:eastAsiaTheme="minorEastAsia"/>
            <w:b w:val="0"/>
            <w:kern w:val="2"/>
            <w:sz w:val="24"/>
            <w:szCs w:val="24"/>
            <w:lang w:val="en-US"/>
            <w14:ligatures w14:val="standardContextual"/>
          </w:rPr>
          <w:tab/>
        </w:r>
        <w:r w:rsidRPr="00F31796">
          <w:rPr>
            <w:rStyle w:val="Hyperlink"/>
            <w:lang w:eastAsia="en-AU"/>
          </w:rPr>
          <w:t>Consultation</w:t>
        </w:r>
        <w:r>
          <w:rPr>
            <w:webHidden/>
          </w:rPr>
          <w:tab/>
        </w:r>
        <w:r>
          <w:rPr>
            <w:webHidden/>
          </w:rPr>
          <w:fldChar w:fldCharType="begin"/>
        </w:r>
        <w:r>
          <w:rPr>
            <w:webHidden/>
          </w:rPr>
          <w:instrText xml:space="preserve"> PAGEREF _Toc228391067 \h </w:instrText>
        </w:r>
        <w:r>
          <w:rPr>
            <w:webHidden/>
          </w:rPr>
        </w:r>
        <w:r>
          <w:rPr>
            <w:webHidden/>
          </w:rPr>
          <w:fldChar w:fldCharType="separate"/>
        </w:r>
        <w:r>
          <w:rPr>
            <w:webHidden/>
          </w:rPr>
          <w:t>18</w:t>
        </w:r>
        <w:r>
          <w:rPr>
            <w:webHidden/>
          </w:rPr>
          <w:fldChar w:fldCharType="end"/>
        </w:r>
      </w:hyperlink>
    </w:p>
    <w:p w14:paraId="1CFE7E2C" w14:textId="0279035E" w:rsidR="001367F4" w:rsidRDefault="001367F4">
      <w:pPr>
        <w:pStyle w:val="TOC1"/>
        <w:rPr>
          <w:rFonts w:eastAsiaTheme="minorEastAsia"/>
          <w:b w:val="0"/>
          <w:kern w:val="2"/>
          <w:sz w:val="24"/>
          <w:szCs w:val="24"/>
          <w:lang w:val="en-US"/>
          <w14:ligatures w14:val="standardContextual"/>
        </w:rPr>
      </w:pPr>
      <w:hyperlink w:anchor="_Toc228391068" w:history="1">
        <w:r w:rsidRPr="00F31796">
          <w:rPr>
            <w:rStyle w:val="Hyperlink"/>
          </w:rPr>
          <w:t>5.</w:t>
        </w:r>
        <w:r>
          <w:rPr>
            <w:rFonts w:eastAsiaTheme="minorEastAsia"/>
            <w:b w:val="0"/>
            <w:kern w:val="2"/>
            <w:sz w:val="24"/>
            <w:szCs w:val="24"/>
            <w:lang w:val="en-US"/>
            <w14:ligatures w14:val="standardContextual"/>
          </w:rPr>
          <w:tab/>
        </w:r>
        <w:r w:rsidRPr="00F31796">
          <w:rPr>
            <w:rStyle w:val="Hyperlink"/>
          </w:rPr>
          <w:t>Implementation and evaluation</w:t>
        </w:r>
        <w:r>
          <w:rPr>
            <w:webHidden/>
          </w:rPr>
          <w:tab/>
        </w:r>
        <w:r>
          <w:rPr>
            <w:webHidden/>
          </w:rPr>
          <w:fldChar w:fldCharType="begin"/>
        </w:r>
        <w:r>
          <w:rPr>
            <w:webHidden/>
          </w:rPr>
          <w:instrText xml:space="preserve"> PAGEREF _Toc228391068 \h </w:instrText>
        </w:r>
        <w:r>
          <w:rPr>
            <w:webHidden/>
          </w:rPr>
        </w:r>
        <w:r>
          <w:rPr>
            <w:webHidden/>
          </w:rPr>
          <w:fldChar w:fldCharType="separate"/>
        </w:r>
        <w:r>
          <w:rPr>
            <w:webHidden/>
          </w:rPr>
          <w:t>19</w:t>
        </w:r>
        <w:r>
          <w:rPr>
            <w:webHidden/>
          </w:rPr>
          <w:fldChar w:fldCharType="end"/>
        </w:r>
      </w:hyperlink>
    </w:p>
    <w:p w14:paraId="6A3B19A0" w14:textId="72ED4BED" w:rsidR="001367F4" w:rsidRDefault="001367F4">
      <w:pPr>
        <w:pStyle w:val="TOC2"/>
        <w:rPr>
          <w:rFonts w:eastAsiaTheme="minorEastAsia"/>
          <w:kern w:val="2"/>
          <w:sz w:val="24"/>
          <w:szCs w:val="24"/>
          <w:lang w:val="en-US"/>
          <w14:ligatures w14:val="standardContextual"/>
        </w:rPr>
      </w:pPr>
      <w:hyperlink w:anchor="_Toc228391069" w:history="1">
        <w:r w:rsidRPr="00F31796">
          <w:rPr>
            <w:rStyle w:val="Hyperlink"/>
          </w:rPr>
          <w:t>5.1.</w:t>
        </w:r>
        <w:r>
          <w:rPr>
            <w:rFonts w:eastAsiaTheme="minorEastAsia"/>
            <w:kern w:val="2"/>
            <w:sz w:val="24"/>
            <w:szCs w:val="24"/>
            <w:lang w:val="en-US"/>
            <w14:ligatures w14:val="standardContextual"/>
          </w:rPr>
          <w:tab/>
        </w:r>
        <w:r w:rsidRPr="00F31796">
          <w:rPr>
            <w:rStyle w:val="Hyperlink"/>
          </w:rPr>
          <w:t>Implementation</w:t>
        </w:r>
        <w:r>
          <w:rPr>
            <w:webHidden/>
          </w:rPr>
          <w:tab/>
        </w:r>
        <w:r>
          <w:rPr>
            <w:webHidden/>
          </w:rPr>
          <w:fldChar w:fldCharType="begin"/>
        </w:r>
        <w:r>
          <w:rPr>
            <w:webHidden/>
          </w:rPr>
          <w:instrText xml:space="preserve"> PAGEREF _Toc228391069 \h </w:instrText>
        </w:r>
        <w:r>
          <w:rPr>
            <w:webHidden/>
          </w:rPr>
        </w:r>
        <w:r>
          <w:rPr>
            <w:webHidden/>
          </w:rPr>
          <w:fldChar w:fldCharType="separate"/>
        </w:r>
        <w:r>
          <w:rPr>
            <w:webHidden/>
          </w:rPr>
          <w:t>19</w:t>
        </w:r>
        <w:r>
          <w:rPr>
            <w:webHidden/>
          </w:rPr>
          <w:fldChar w:fldCharType="end"/>
        </w:r>
      </w:hyperlink>
    </w:p>
    <w:p w14:paraId="7852FF70" w14:textId="0F3EC6E6" w:rsidR="001367F4" w:rsidRDefault="001367F4">
      <w:pPr>
        <w:pStyle w:val="TOC2"/>
        <w:rPr>
          <w:rFonts w:eastAsiaTheme="minorEastAsia"/>
          <w:kern w:val="2"/>
          <w:sz w:val="24"/>
          <w:szCs w:val="24"/>
          <w:lang w:val="en-US"/>
          <w14:ligatures w14:val="standardContextual"/>
        </w:rPr>
      </w:pPr>
      <w:hyperlink w:anchor="_Toc228391070" w:history="1">
        <w:r w:rsidRPr="00F31796">
          <w:rPr>
            <w:rStyle w:val="Hyperlink"/>
          </w:rPr>
          <w:t>5.2.</w:t>
        </w:r>
        <w:r>
          <w:rPr>
            <w:rFonts w:eastAsiaTheme="minorEastAsia"/>
            <w:kern w:val="2"/>
            <w:sz w:val="24"/>
            <w:szCs w:val="24"/>
            <w:lang w:val="en-US"/>
            <w14:ligatures w14:val="standardContextual"/>
          </w:rPr>
          <w:tab/>
        </w:r>
        <w:r w:rsidRPr="00F31796">
          <w:rPr>
            <w:rStyle w:val="Hyperlink"/>
          </w:rPr>
          <w:t>Evaluation</w:t>
        </w:r>
        <w:r>
          <w:rPr>
            <w:webHidden/>
          </w:rPr>
          <w:tab/>
        </w:r>
        <w:r>
          <w:rPr>
            <w:webHidden/>
          </w:rPr>
          <w:fldChar w:fldCharType="begin"/>
        </w:r>
        <w:r>
          <w:rPr>
            <w:webHidden/>
          </w:rPr>
          <w:instrText xml:space="preserve"> PAGEREF _Toc228391070 \h </w:instrText>
        </w:r>
        <w:r>
          <w:rPr>
            <w:webHidden/>
          </w:rPr>
        </w:r>
        <w:r>
          <w:rPr>
            <w:webHidden/>
          </w:rPr>
          <w:fldChar w:fldCharType="separate"/>
        </w:r>
        <w:r>
          <w:rPr>
            <w:webHidden/>
          </w:rPr>
          <w:t>19</w:t>
        </w:r>
        <w:r>
          <w:rPr>
            <w:webHidden/>
          </w:rPr>
          <w:fldChar w:fldCharType="end"/>
        </w:r>
      </w:hyperlink>
    </w:p>
    <w:p w14:paraId="231E769B" w14:textId="059FBE5E" w:rsidR="001367F4" w:rsidRDefault="001367F4">
      <w:pPr>
        <w:pStyle w:val="TOC1"/>
        <w:rPr>
          <w:rFonts w:eastAsiaTheme="minorEastAsia"/>
          <w:b w:val="0"/>
          <w:kern w:val="2"/>
          <w:sz w:val="24"/>
          <w:szCs w:val="24"/>
          <w:lang w:val="en-US"/>
          <w14:ligatures w14:val="standardContextual"/>
        </w:rPr>
      </w:pPr>
      <w:hyperlink w:anchor="_Toc228391071" w:history="1">
        <w:r w:rsidRPr="00F31796">
          <w:rPr>
            <w:rStyle w:val="Hyperlink"/>
          </w:rPr>
          <w:t>Appendix A: RBE derivation, assumptions and preferred option mapping</w:t>
        </w:r>
        <w:r>
          <w:rPr>
            <w:webHidden/>
          </w:rPr>
          <w:tab/>
        </w:r>
        <w:r>
          <w:rPr>
            <w:webHidden/>
          </w:rPr>
          <w:fldChar w:fldCharType="begin"/>
        </w:r>
        <w:r>
          <w:rPr>
            <w:webHidden/>
          </w:rPr>
          <w:instrText xml:space="preserve"> PAGEREF _Toc228391071 \h </w:instrText>
        </w:r>
        <w:r>
          <w:rPr>
            <w:webHidden/>
          </w:rPr>
        </w:r>
        <w:r>
          <w:rPr>
            <w:webHidden/>
          </w:rPr>
          <w:fldChar w:fldCharType="separate"/>
        </w:r>
        <w:r>
          <w:rPr>
            <w:webHidden/>
          </w:rPr>
          <w:t>21</w:t>
        </w:r>
        <w:r>
          <w:rPr>
            <w:webHidden/>
          </w:rPr>
          <w:fldChar w:fldCharType="end"/>
        </w:r>
      </w:hyperlink>
    </w:p>
    <w:p w14:paraId="62B8E901" w14:textId="09344121" w:rsidR="001367F4" w:rsidRDefault="001367F4">
      <w:pPr>
        <w:pStyle w:val="TOC1"/>
        <w:rPr>
          <w:rFonts w:eastAsiaTheme="minorEastAsia"/>
          <w:b w:val="0"/>
          <w:kern w:val="2"/>
          <w:sz w:val="24"/>
          <w:szCs w:val="24"/>
          <w:lang w:val="en-US"/>
          <w14:ligatures w14:val="standardContextual"/>
        </w:rPr>
      </w:pPr>
      <w:hyperlink w:anchor="_Toc228391072" w:history="1">
        <w:r w:rsidRPr="00F31796">
          <w:rPr>
            <w:rStyle w:val="Hyperlink"/>
          </w:rPr>
          <w:t>Appendix B: Summary of initially proposed enhancements and identified gaps</w:t>
        </w:r>
        <w:r>
          <w:rPr>
            <w:webHidden/>
          </w:rPr>
          <w:tab/>
        </w:r>
        <w:r>
          <w:rPr>
            <w:webHidden/>
          </w:rPr>
          <w:fldChar w:fldCharType="begin"/>
        </w:r>
        <w:r>
          <w:rPr>
            <w:webHidden/>
          </w:rPr>
          <w:instrText xml:space="preserve"> PAGEREF _Toc228391072 \h </w:instrText>
        </w:r>
        <w:r>
          <w:rPr>
            <w:webHidden/>
          </w:rPr>
        </w:r>
        <w:r>
          <w:rPr>
            <w:webHidden/>
          </w:rPr>
          <w:fldChar w:fldCharType="separate"/>
        </w:r>
        <w:r>
          <w:rPr>
            <w:webHidden/>
          </w:rPr>
          <w:t>23</w:t>
        </w:r>
        <w:r>
          <w:rPr>
            <w:webHidden/>
          </w:rPr>
          <w:fldChar w:fldCharType="end"/>
        </w:r>
      </w:hyperlink>
    </w:p>
    <w:p w14:paraId="4B64C1BC" w14:textId="6ACFBD41" w:rsidR="00360866" w:rsidRPr="00317C91" w:rsidRDefault="00317C91" w:rsidP="00317C91">
      <w:pPr>
        <w:pStyle w:val="TOC1"/>
        <w:rPr>
          <w:rFonts w:eastAsiaTheme="minorEastAsia"/>
          <w:b w:val="0"/>
          <w:kern w:val="2"/>
          <w:sz w:val="24"/>
          <w:szCs w:val="24"/>
          <w:lang w:eastAsia="en-GB"/>
          <w14:ligatures w14:val="standardContextual"/>
        </w:rPr>
      </w:pPr>
      <w:r>
        <w:rPr>
          <w:rFonts w:eastAsiaTheme="minorEastAsia"/>
          <w:b w:val="0"/>
          <w:kern w:val="2"/>
          <w:sz w:val="24"/>
          <w:szCs w:val="24"/>
          <w:lang w:eastAsia="en-GB"/>
          <w14:ligatures w14:val="standardContextual"/>
        </w:rPr>
        <w:fldChar w:fldCharType="end"/>
      </w:r>
    </w:p>
    <w:p w14:paraId="22D7AE80" w14:textId="77777777" w:rsidR="00360866" w:rsidRDefault="00360866" w:rsidP="00360866">
      <w:pPr>
        <w:pStyle w:val="BodyText"/>
      </w:pPr>
    </w:p>
    <w:p w14:paraId="4E11D5D9" w14:textId="73691F03" w:rsidR="00FA4261" w:rsidRPr="00CA589B" w:rsidRDefault="00FA4261" w:rsidP="00CA589B">
      <w:pPr>
        <w:pStyle w:val="BodyText"/>
      </w:pPr>
      <w:r w:rsidRPr="00CA589B">
        <w:br w:type="page"/>
      </w:r>
    </w:p>
    <w:p w14:paraId="1D45C48B" w14:textId="65953289" w:rsidR="00543796" w:rsidRDefault="000E2F14" w:rsidP="00543796">
      <w:pPr>
        <w:pStyle w:val="Heading1"/>
      </w:pPr>
      <w:bookmarkStart w:id="1" w:name="_Toc226463701"/>
      <w:bookmarkStart w:id="2" w:name="_Toc226463872"/>
      <w:bookmarkStart w:id="3" w:name="_Toc228391052"/>
      <w:r>
        <w:lastRenderedPageBreak/>
        <w:t>Executive Summary</w:t>
      </w:r>
      <w:bookmarkEnd w:id="1"/>
      <w:bookmarkEnd w:id="2"/>
      <w:bookmarkEnd w:id="3"/>
    </w:p>
    <w:p w14:paraId="72C06B6D" w14:textId="2EC5F9ED" w:rsidR="00CE2A3B" w:rsidRDefault="00CE2A3B" w:rsidP="00CE2A3B">
      <w:pPr>
        <w:pStyle w:val="BodyText"/>
      </w:pPr>
      <w:r>
        <w:t xml:space="preserve">This </w:t>
      </w:r>
      <w:r w:rsidR="009B4C18">
        <w:t>A</w:t>
      </w:r>
      <w:r>
        <w:t xml:space="preserve">ddendum to the </w:t>
      </w:r>
      <w:r w:rsidRPr="004D6900">
        <w:t xml:space="preserve">2022 Regulation Impact Statement: A Risk Management Program Framework for Critical Infrastructure Assets </w:t>
      </w:r>
      <w:r>
        <w:t>(</w:t>
      </w:r>
      <w:r w:rsidR="00412F9C">
        <w:t xml:space="preserve">2022 RIS or </w:t>
      </w:r>
      <w:r>
        <w:t>OBPR22-02914) assesses whether proposed enhancements to the Security of Critical Infrastructure (Critical infrastructure risk management program) Rules (LIN 23/006) 2023 (CIRMP Rules) are justified, proportionate, and effective in addressing identified gaps in current risk management practices.</w:t>
      </w:r>
    </w:p>
    <w:p w14:paraId="4D75E35B" w14:textId="5DF477E3" w:rsidR="00CE2A3B" w:rsidRDefault="00CE2A3B" w:rsidP="00CE2A3B">
      <w:pPr>
        <w:pStyle w:val="BodyText"/>
      </w:pPr>
      <w:r>
        <w:t xml:space="preserve">Critical infrastructure is fundamental to </w:t>
      </w:r>
      <w:r w:rsidR="002D6E18">
        <w:t>Australia’s</w:t>
      </w:r>
      <w:r>
        <w:t xml:space="preserve"> economic activity, national security, and the delivery of essential services. The increasing interconnectivity of infrastructure systems has improved efficiency and </w:t>
      </w:r>
      <w:proofErr w:type="gramStart"/>
      <w:r>
        <w:t>productivity, but</w:t>
      </w:r>
      <w:proofErr w:type="gramEnd"/>
      <w:r>
        <w:t xml:space="preserve"> has also increased systemic risk. Disruption to a single asset can cascade across sectors, resulting in broader economic and societal impacts.</w:t>
      </w:r>
    </w:p>
    <w:p w14:paraId="1A342688" w14:textId="68345E40" w:rsidR="00CE2A3B" w:rsidRDefault="00CE2A3B" w:rsidP="00CE2A3B">
      <w:pPr>
        <w:pStyle w:val="BodyText"/>
      </w:pPr>
      <w:r>
        <w:t>Since the introduction of the CIRMP Rules, the threat environment has become more complex, persistent, and targeted. Cyber actors are increasingly seeking to establish long-term access to critical infrastructure systems to enable disruption. At the same time, supply chain dependencies, insider threats, physical security vulnerabilities, and emerging technologies have introduced additional risk vectors. These developments have exposed limitations in the consistency and maturity of current risk management practices across sectors.</w:t>
      </w:r>
    </w:p>
    <w:p w14:paraId="4BC62E4D" w14:textId="1F45B2FF" w:rsidR="00CE2A3B" w:rsidRDefault="00CE2A3B" w:rsidP="00CE2A3B">
      <w:pPr>
        <w:pStyle w:val="BodyText"/>
      </w:pPr>
      <w:r>
        <w:t xml:space="preserve">While the existing CIRMP framework, established under the </w:t>
      </w:r>
      <w:r w:rsidRPr="004D6900">
        <w:rPr>
          <w:i/>
          <w:iCs/>
        </w:rPr>
        <w:t>Security of Critical Infrastructure Act 2018</w:t>
      </w:r>
      <w:r>
        <w:t xml:space="preserve"> </w:t>
      </w:r>
      <w:r w:rsidR="00132652">
        <w:t xml:space="preserve">(SOCI Act) </w:t>
      </w:r>
      <w:r>
        <w:t xml:space="preserve">and amended by the </w:t>
      </w:r>
      <w:r w:rsidRPr="004D6900">
        <w:rPr>
          <w:i/>
          <w:iCs/>
        </w:rPr>
        <w:t>Security Legislation Amendment (Critical Infrastructure Protection) Act 2022</w:t>
      </w:r>
      <w:r>
        <w:t>, sets out baseline obligations for responsible entities to identify and manage material risks</w:t>
      </w:r>
      <w:r w:rsidR="00B02261">
        <w:t xml:space="preserve"> and minimise or eliminate those risks so far as reasonably practicable</w:t>
      </w:r>
      <w:r>
        <w:t xml:space="preserve">, implementation maturity varies. Key gaps include inconsistent application of cyber security controls, limited visibility </w:t>
      </w:r>
      <w:r w:rsidR="007E4F0A">
        <w:t>into</w:t>
      </w:r>
      <w:r>
        <w:t xml:space="preserve"> critical supply chain dependencies, insufficient personnel and physical security governance, and a lack of structured assessment of emerging risks.</w:t>
      </w:r>
    </w:p>
    <w:p w14:paraId="30D742EB" w14:textId="75F2DFC6" w:rsidR="00CE2A3B" w:rsidRDefault="00CE2A3B" w:rsidP="00CE2A3B">
      <w:pPr>
        <w:pStyle w:val="BodyText"/>
      </w:pPr>
      <w:r>
        <w:t xml:space="preserve">The proposed enhancements to the CIRMP Rules introduce targeted, risk-based uplift across key areas of vulnerability. </w:t>
      </w:r>
      <w:r w:rsidR="007031E4">
        <w:t xml:space="preserve">The enhancements </w:t>
      </w:r>
      <w:r w:rsidR="00CD58F7">
        <w:t xml:space="preserve">have been informed by </w:t>
      </w:r>
      <w:r w:rsidR="003258E5">
        <w:t xml:space="preserve">multiple </w:t>
      </w:r>
      <w:r w:rsidR="00CD58F7">
        <w:t xml:space="preserve">consultation </w:t>
      </w:r>
      <w:r w:rsidR="003258E5">
        <w:t>rounds. The enhancements</w:t>
      </w:r>
      <w:r>
        <w:t xml:space="preserve"> </w:t>
      </w:r>
      <w:proofErr w:type="gramStart"/>
      <w:r>
        <w:t>include</w:t>
      </w:r>
      <w:r w:rsidR="00CD58F7">
        <w:t>:</w:t>
      </w:r>
      <w:proofErr w:type="gramEnd"/>
      <w:r>
        <w:t xml:space="preserve"> strengthening cyber security maturity and control </w:t>
      </w:r>
      <w:r w:rsidR="00082E64">
        <w:t>expectations; improving the identification and management of supply chain risks; and vendor assessments of existing or proposed major suppliers; formalising personnel security and insider threat controls; introducing requirements for structured physical security planning;</w:t>
      </w:r>
      <w:r>
        <w:t xml:space="preserve"> and requiring assessment of risks arising from emerging technologies.</w:t>
      </w:r>
    </w:p>
    <w:p w14:paraId="41EBF951" w14:textId="77777777" w:rsidR="005A5754" w:rsidRDefault="005A5754" w:rsidP="005A5754">
      <w:pPr>
        <w:pStyle w:val="BodyText"/>
      </w:pPr>
      <w:r>
        <w:t>Maintaining the current settings would avoid additional regulatory burden but would not address identified gaps in risk management practices or reflect the current threat environment. As a result, vulnerabilities would persist, and the likelihood and impact of disruptions to critical infrastructure would remain elevated.</w:t>
      </w:r>
    </w:p>
    <w:p w14:paraId="59CFE3A3" w14:textId="56C2ED21" w:rsidR="00CE2A3B" w:rsidRDefault="00CE2A3B" w:rsidP="00CE2A3B">
      <w:pPr>
        <w:pStyle w:val="BodyText"/>
      </w:pPr>
      <w:r>
        <w:t>By improving the consistency and maturity of risk management practices, the proposed enhancements are expected to reduce the likelihood and potential impact of disruptions to critical infrastructure. Given the interconnected nature of these assets, even marginal reductions in the probability or severity of disruption are expected to deliver substantial economic and societal benefits</w:t>
      </w:r>
      <w:r w:rsidR="003A11E6">
        <w:t>.</w:t>
      </w:r>
    </w:p>
    <w:p w14:paraId="3A47E88E" w14:textId="54CE4101" w:rsidR="00DF7564" w:rsidRDefault="00DF7564" w:rsidP="008510DE">
      <w:pPr>
        <w:pStyle w:val="BodyText"/>
      </w:pPr>
      <w:r w:rsidRPr="00DF7564">
        <w:t xml:space="preserve">These benefits are difficult to value precisely because the avoided events are not directly observable. </w:t>
      </w:r>
      <w:r>
        <w:t xml:space="preserve">It </w:t>
      </w:r>
      <w:r w:rsidR="002D6E18">
        <w:t>isn’t</w:t>
      </w:r>
      <w:r>
        <w:t xml:space="preserve"> feasible to </w:t>
      </w:r>
      <w:r w:rsidRPr="00DF7564">
        <w:t xml:space="preserve">identify which cyber intrusions, supply chain compromises, insider incidents, physical security breaches or outages would have occurred without the </w:t>
      </w:r>
      <w:r w:rsidR="00891C38">
        <w:t>risk</w:t>
      </w:r>
      <w:r w:rsidRPr="00DF7564">
        <w:t xml:space="preserve"> framework. The Addendum</w:t>
      </w:r>
      <w:r>
        <w:t>,</w:t>
      </w:r>
      <w:r w:rsidRPr="00DF7564">
        <w:t xml:space="preserve"> therefore</w:t>
      </w:r>
      <w:r>
        <w:t>,</w:t>
      </w:r>
      <w:r w:rsidRPr="00DF7564">
        <w:t xml:space="preserve"> does not rely on a single monetised benefit estimate. It uses regulatory burden costing, consultation evidence and break-even analysis to test whether the expected benefits are likely to justify the additional costs.</w:t>
      </w:r>
    </w:p>
    <w:p w14:paraId="022F87D1" w14:textId="1C038207" w:rsidR="00CA4893" w:rsidRDefault="007D43A6" w:rsidP="00311FED">
      <w:pPr>
        <w:pStyle w:val="BodyText"/>
      </w:pPr>
      <w:r w:rsidRPr="007D43A6">
        <w:t>The Addendum does not reopen the policy decision made through the 2022 RIS or the development of the enhanced CIRMP Rules. Its purpose is to explain the incremental impact of the proposed enhancements against the existing CIRMP baseline. It does this by setting out the targeted scope of the enhanced requirements, the regulatory burden estimate</w:t>
      </w:r>
      <w:r w:rsidR="006753F8">
        <w:t xml:space="preserve"> (RBE)</w:t>
      </w:r>
      <w:r w:rsidRPr="007D43A6">
        <w:t>, consultation evidence, break-even analysis, and implementation considerations. This provides a transparent basis for understanding the likely impacts of the enhanced CIRMP Rules, including the areas where costs, feasibility constraints and residual uncertainty will need to be managed through guidance, staged implementation and ongoing engagement with industry.</w:t>
      </w:r>
      <w:r w:rsidR="00CA4893">
        <w:br w:type="page"/>
      </w:r>
    </w:p>
    <w:p w14:paraId="09DA2C8F" w14:textId="77777777" w:rsidR="00F8404E" w:rsidRDefault="00F8404E" w:rsidP="00F8404E">
      <w:pPr>
        <w:pStyle w:val="BodyText"/>
      </w:pPr>
    </w:p>
    <w:p w14:paraId="0BF63886" w14:textId="003D45F5" w:rsidR="00F8404E" w:rsidRDefault="00F8404E" w:rsidP="00F8404E">
      <w:pPr>
        <w:pStyle w:val="Heading1numbered"/>
      </w:pPr>
      <w:bookmarkStart w:id="4" w:name="_Toc226463702"/>
      <w:bookmarkStart w:id="5" w:name="_Toc226463873"/>
      <w:bookmarkStart w:id="6" w:name="_Toc228391053"/>
      <w:r>
        <w:t>Background</w:t>
      </w:r>
      <w:bookmarkEnd w:id="4"/>
      <w:bookmarkEnd w:id="5"/>
      <w:bookmarkEnd w:id="6"/>
    </w:p>
    <w:p w14:paraId="4B9DFA10" w14:textId="77777777" w:rsidR="00FF4A62" w:rsidRPr="00FF4A62" w:rsidRDefault="00FF4A62" w:rsidP="00FF4A62">
      <w:pPr>
        <w:pStyle w:val="Heading2numbered"/>
        <w:rPr>
          <w:lang w:val="en-US"/>
        </w:rPr>
      </w:pPr>
      <w:bookmarkStart w:id="7" w:name="_Toc226463703"/>
      <w:bookmarkStart w:id="8" w:name="_Toc226463874"/>
      <w:bookmarkStart w:id="9" w:name="_Toc228391054"/>
      <w:bookmarkStart w:id="10" w:name="_Toc505155314"/>
      <w:r w:rsidRPr="00FF4A62">
        <w:rPr>
          <w:lang w:val="en-US"/>
        </w:rPr>
        <w:t>Issues identified in the critical infrastructure environment</w:t>
      </w:r>
      <w:bookmarkEnd w:id="7"/>
      <w:bookmarkEnd w:id="8"/>
      <w:bookmarkEnd w:id="9"/>
    </w:p>
    <w:p w14:paraId="31FCD7B1" w14:textId="0D41C9F4" w:rsidR="00430785" w:rsidRDefault="00430785" w:rsidP="00B64552">
      <w:pPr>
        <w:pStyle w:val="BodyText"/>
        <w:rPr>
          <w:lang w:val="en-US"/>
        </w:rPr>
      </w:pPr>
      <w:r w:rsidRPr="00430785">
        <w:rPr>
          <w:lang w:val="en-US"/>
        </w:rPr>
        <w:t xml:space="preserve">The CIRMP Rules </w:t>
      </w:r>
      <w:r>
        <w:t>came into effect</w:t>
      </w:r>
      <w:r w:rsidRPr="00B914B3">
        <w:t xml:space="preserve"> in </w:t>
      </w:r>
      <w:r w:rsidRPr="00430785">
        <w:rPr>
          <w:lang w:val="en-US"/>
        </w:rPr>
        <w:t xml:space="preserve">2023 and </w:t>
      </w:r>
      <w:proofErr w:type="spellStart"/>
      <w:r w:rsidRPr="00430785">
        <w:rPr>
          <w:lang w:val="en-US"/>
        </w:rPr>
        <w:t>operationalise</w:t>
      </w:r>
      <w:proofErr w:type="spellEnd"/>
      <w:r w:rsidRPr="00430785">
        <w:rPr>
          <w:lang w:val="en-US"/>
        </w:rPr>
        <w:t xml:space="preserve"> the requirements in Part 2A of the SOCI Act. These Rules require responsible entities for certain critical infrastructure assets to establish, maintain and comply with a risk management program that identifies hazards which may give rise to material risks and </w:t>
      </w:r>
      <w:proofErr w:type="spellStart"/>
      <w:r w:rsidRPr="00430785">
        <w:rPr>
          <w:lang w:val="en-US"/>
        </w:rPr>
        <w:t>minimises</w:t>
      </w:r>
      <w:proofErr w:type="spellEnd"/>
      <w:r w:rsidRPr="00430785">
        <w:rPr>
          <w:lang w:val="en-US"/>
        </w:rPr>
        <w:t xml:space="preserve"> or mitigates their impact across cyber, physical, personnel and supply chain domains.</w:t>
      </w:r>
    </w:p>
    <w:p w14:paraId="68AD4FD2" w14:textId="16A423C4" w:rsidR="00B64552" w:rsidRDefault="00B64552" w:rsidP="00B64552">
      <w:pPr>
        <w:pStyle w:val="BodyText"/>
        <w:rPr>
          <w:lang w:val="en-US"/>
        </w:rPr>
      </w:pPr>
      <w:r w:rsidRPr="00B64552">
        <w:rPr>
          <w:lang w:val="en-US"/>
        </w:rPr>
        <w:t xml:space="preserve">Since the </w:t>
      </w:r>
      <w:r w:rsidR="00AD3974">
        <w:rPr>
          <w:lang w:val="en-US"/>
        </w:rPr>
        <w:t>establishment of the CIRMP</w:t>
      </w:r>
      <w:r w:rsidR="00CE0101">
        <w:rPr>
          <w:lang w:val="en-US"/>
        </w:rPr>
        <w:t xml:space="preserve"> Rules</w:t>
      </w:r>
      <w:r w:rsidRPr="00B64552">
        <w:rPr>
          <w:lang w:val="en-US"/>
        </w:rPr>
        <w:t>, the threat environment for critical infrastructure has become more severe and more complex. Intelligence i</w:t>
      </w:r>
      <w:r w:rsidR="00AD3974">
        <w:rPr>
          <w:lang w:val="en-US"/>
        </w:rPr>
        <w:t>ndicates</w:t>
      </w:r>
      <w:r w:rsidRPr="00B64552">
        <w:rPr>
          <w:lang w:val="en-US"/>
        </w:rPr>
        <w:t xml:space="preserve"> an increase in threats across all hazards, including cyber threats, supply chain compromise, foreign interference</w:t>
      </w:r>
      <w:r w:rsidR="00AD3974">
        <w:rPr>
          <w:lang w:val="en-US"/>
        </w:rPr>
        <w:t>,</w:t>
      </w:r>
      <w:r w:rsidRPr="00B64552">
        <w:rPr>
          <w:lang w:val="en-US"/>
        </w:rPr>
        <w:t xml:space="preserve"> and other disruptive activity targeting essential services.</w:t>
      </w:r>
      <w:r w:rsidR="00FA7D49">
        <w:rPr>
          <w:lang w:val="en-US"/>
        </w:rPr>
        <w:t xml:space="preserve"> </w:t>
      </w:r>
      <w:r w:rsidR="00FA7D49" w:rsidRPr="00FA7D49">
        <w:rPr>
          <w:lang w:val="en-US"/>
        </w:rPr>
        <w:t>Hostile foreign state actors and their proxies are increasingly targeting critical infrastructure globally to gain strategic leverage, disrupt essential services, and position themselves for coercive advantage.</w:t>
      </w:r>
      <w:r w:rsidR="00A17805">
        <w:rPr>
          <w:rStyle w:val="FootnoteReference"/>
          <w:lang w:val="en-US"/>
        </w:rPr>
        <w:footnoteReference w:id="1"/>
      </w:r>
    </w:p>
    <w:p w14:paraId="3B900751" w14:textId="202F8BC9" w:rsidR="002D17E8" w:rsidRDefault="005D330E" w:rsidP="00B64552">
      <w:pPr>
        <w:pStyle w:val="BodyText"/>
        <w:rPr>
          <w:lang w:val="en-US"/>
        </w:rPr>
      </w:pPr>
      <w:r>
        <w:rPr>
          <w:lang w:val="en-US"/>
        </w:rPr>
        <w:t>This type of activity, including malicious cyber campaigns, supply chain compromises, manipulation of managed service providers, foreign interference, and vulnerabilities from hidden foreign ownership, control, and influence (FOCI) structures, is increasingly on the rise as many of these tactics are designed to remain undetected and gradually influence operational control.</w:t>
      </w:r>
      <w:r w:rsidR="00514BF1" w:rsidRPr="00514BF1">
        <w:rPr>
          <w:rStyle w:val="FootnoteReference"/>
          <w:lang w:val="en-US"/>
        </w:rPr>
        <w:t xml:space="preserve"> </w:t>
      </w:r>
      <w:r w:rsidR="00514BF1">
        <w:rPr>
          <w:rStyle w:val="FootnoteReference"/>
          <w:lang w:val="en-US"/>
        </w:rPr>
        <w:footnoteReference w:id="2"/>
      </w:r>
    </w:p>
    <w:p w14:paraId="652C3BBB" w14:textId="7E4055E1" w:rsidR="00E23DB4" w:rsidRDefault="00E23DB4" w:rsidP="00B64552">
      <w:pPr>
        <w:pStyle w:val="BodyText"/>
        <w:rPr>
          <w:lang w:val="en-US"/>
        </w:rPr>
      </w:pPr>
      <w:r w:rsidRPr="00E23DB4">
        <w:rPr>
          <w:lang w:val="en-US"/>
        </w:rPr>
        <w:t xml:space="preserve">The Director-General of </w:t>
      </w:r>
      <w:r w:rsidR="002D6E18">
        <w:rPr>
          <w:lang w:val="en-US"/>
        </w:rPr>
        <w:t>Security’s</w:t>
      </w:r>
      <w:r w:rsidRPr="00E23DB4">
        <w:rPr>
          <w:lang w:val="en-US"/>
        </w:rPr>
        <w:t xml:space="preserve"> Annual Threat Assessment 2025 highlighted that nation</w:t>
      </w:r>
      <w:r w:rsidR="00A17D05">
        <w:rPr>
          <w:lang w:val="en-US"/>
        </w:rPr>
        <w:t>-</w:t>
      </w:r>
      <w:r w:rsidRPr="00E23DB4">
        <w:rPr>
          <w:lang w:val="en-US"/>
        </w:rPr>
        <w:t>state actors are increasingly mapping and targeting critical infrastructure.</w:t>
      </w:r>
      <w:r w:rsidR="00BE5CA0">
        <w:rPr>
          <w:rStyle w:val="FootnoteReference"/>
          <w:lang w:val="en-US"/>
        </w:rPr>
        <w:footnoteReference w:id="3"/>
      </w:r>
      <w:r w:rsidRPr="00E23DB4">
        <w:rPr>
          <w:lang w:val="en-US"/>
        </w:rPr>
        <w:t xml:space="preserve"> In 2024, the Australian Signals </w:t>
      </w:r>
      <w:r w:rsidR="002D6E18">
        <w:rPr>
          <w:lang w:val="en-US"/>
        </w:rPr>
        <w:t>Directorate’s</w:t>
      </w:r>
      <w:r w:rsidRPr="00E23DB4">
        <w:rPr>
          <w:lang w:val="en-US"/>
        </w:rPr>
        <w:t xml:space="preserve"> Australian Cyber Security Centre (</w:t>
      </w:r>
      <w:r w:rsidR="002D6E18">
        <w:rPr>
          <w:lang w:val="en-US"/>
        </w:rPr>
        <w:t>ASD’s</w:t>
      </w:r>
      <w:r w:rsidRPr="00E23DB4">
        <w:rPr>
          <w:lang w:val="en-US"/>
        </w:rPr>
        <w:t xml:space="preserve"> ACSC) joined Five</w:t>
      </w:r>
      <w:r w:rsidR="00BC31BD">
        <w:rPr>
          <w:lang w:val="en-US"/>
        </w:rPr>
        <w:t xml:space="preserve"> </w:t>
      </w:r>
      <w:r w:rsidRPr="00E23DB4">
        <w:rPr>
          <w:lang w:val="en-US"/>
        </w:rPr>
        <w:t>Eyes intelligence partners in publicly attributing the compromise of multiple United States (US) critical infrastructure sectors to a state-sponsored group known as Volt Typhoon.</w:t>
      </w:r>
      <w:r w:rsidR="000676EF">
        <w:rPr>
          <w:rStyle w:val="FootnoteReference"/>
          <w:lang w:val="en-US"/>
        </w:rPr>
        <w:footnoteReference w:id="4"/>
      </w:r>
    </w:p>
    <w:p w14:paraId="4140C9E2" w14:textId="37A5AC2A" w:rsidR="007E3128" w:rsidRPr="00B64552" w:rsidRDefault="007E3128" w:rsidP="00B64552">
      <w:pPr>
        <w:pStyle w:val="BodyText"/>
        <w:rPr>
          <w:lang w:val="en-US"/>
        </w:rPr>
      </w:pPr>
      <w:r w:rsidRPr="007E3128">
        <w:rPr>
          <w:lang w:val="en-US"/>
        </w:rPr>
        <w:t xml:space="preserve">The Annual Cyber Threat Report 2024-2025 from </w:t>
      </w:r>
      <w:r w:rsidR="002D6E18">
        <w:rPr>
          <w:lang w:val="en-US"/>
        </w:rPr>
        <w:t>ASD’s</w:t>
      </w:r>
      <w:r w:rsidRPr="007E3128">
        <w:rPr>
          <w:lang w:val="en-US"/>
        </w:rPr>
        <w:t xml:space="preserve"> ACSC reported that 13% of the over 1,200 cyber incidents </w:t>
      </w:r>
      <w:r w:rsidR="00C009BA">
        <w:rPr>
          <w:lang w:val="en-US"/>
        </w:rPr>
        <w:t xml:space="preserve">in that period </w:t>
      </w:r>
      <w:r w:rsidRPr="007E3128">
        <w:rPr>
          <w:lang w:val="en-US"/>
        </w:rPr>
        <w:t>were reported by critical infrastructure</w:t>
      </w:r>
      <w:r w:rsidR="00C009BA">
        <w:rPr>
          <w:lang w:val="en-US"/>
        </w:rPr>
        <w:t>. This is</w:t>
      </w:r>
      <w:r w:rsidRPr="007E3128">
        <w:rPr>
          <w:lang w:val="en-US"/>
        </w:rPr>
        <w:t xml:space="preserve"> an increase of 2% from the previous year, with the most common types of cyber security incidents involving compromised assets and networks, compromised accounts and credentials, and Denial of Service (DoS)/Distributed DoS attacks.</w:t>
      </w:r>
      <w:r w:rsidR="00AF0FEE">
        <w:rPr>
          <w:rStyle w:val="FootnoteReference"/>
          <w:lang w:val="en-US"/>
        </w:rPr>
        <w:footnoteReference w:id="5"/>
      </w:r>
    </w:p>
    <w:p w14:paraId="537EF206" w14:textId="47E6B082" w:rsidR="009B1E50" w:rsidRDefault="00CC2F62" w:rsidP="00B64552">
      <w:pPr>
        <w:pStyle w:val="BodyText"/>
        <w:rPr>
          <w:lang w:val="en-US"/>
        </w:rPr>
      </w:pPr>
      <w:r w:rsidRPr="00CC2F62">
        <w:rPr>
          <w:lang w:val="en-US"/>
        </w:rPr>
        <w:t>Threat actors are not limited to exploiting cyber vulnerabilities</w:t>
      </w:r>
      <w:r w:rsidR="00BC31BD">
        <w:rPr>
          <w:lang w:val="en-US"/>
        </w:rPr>
        <w:t xml:space="preserve">. </w:t>
      </w:r>
      <w:r w:rsidR="009B1E50" w:rsidRPr="00EE288E">
        <w:rPr>
          <w:lang w:val="en-US"/>
        </w:rPr>
        <w:t>FOCI arrangements within both critical infrastructure entities and throughout supply chains exacerbate cyber risks.</w:t>
      </w:r>
      <w:r w:rsidR="00514BF1" w:rsidRPr="00514BF1">
        <w:rPr>
          <w:rStyle w:val="FootnoteReference"/>
          <w:lang w:val="en-US"/>
        </w:rPr>
        <w:t xml:space="preserve"> </w:t>
      </w:r>
      <w:r w:rsidR="00514BF1">
        <w:rPr>
          <w:rStyle w:val="FootnoteReference"/>
          <w:lang w:val="en-US"/>
        </w:rPr>
        <w:footnoteReference w:id="6"/>
      </w:r>
      <w:r w:rsidR="00514BF1">
        <w:rPr>
          <w:lang w:val="en-US"/>
        </w:rPr>
        <w:t xml:space="preserve"> </w:t>
      </w:r>
      <w:r w:rsidR="005D47F2">
        <w:rPr>
          <w:lang w:val="en-US"/>
        </w:rPr>
        <w:t xml:space="preserve"> </w:t>
      </w:r>
      <w:r w:rsidR="005D47F2" w:rsidRPr="005D47F2">
        <w:rPr>
          <w:lang w:val="en-US"/>
        </w:rPr>
        <w:t>Incidents affecting critical infrastructure frequently start in the supply chain.</w:t>
      </w:r>
      <w:r w:rsidR="007F09B9">
        <w:rPr>
          <w:rStyle w:val="FootnoteReference"/>
          <w:lang w:val="en-US"/>
        </w:rPr>
        <w:footnoteReference w:id="7"/>
      </w:r>
      <w:r w:rsidR="005D47F2" w:rsidRPr="005D47F2">
        <w:rPr>
          <w:lang w:val="en-US"/>
        </w:rPr>
        <w:t xml:space="preserve"> </w:t>
      </w:r>
      <w:r w:rsidR="000C3E4E" w:rsidRPr="000C3E4E">
        <w:rPr>
          <w:lang w:val="en-US"/>
        </w:rPr>
        <w:t>Recent reporting on undeclared communications equipment in foreign-made solar inverters illustrates how cyber, supply chain and physical technology risks can converge in energy infrastructure</w:t>
      </w:r>
      <w:r w:rsidR="005D47F2" w:rsidRPr="005D47F2">
        <w:rPr>
          <w:lang w:val="en-US"/>
        </w:rPr>
        <w:t>.</w:t>
      </w:r>
      <w:r w:rsidR="007F09B9">
        <w:rPr>
          <w:rStyle w:val="FootnoteReference"/>
          <w:lang w:val="en-US"/>
        </w:rPr>
        <w:footnoteReference w:id="8"/>
      </w:r>
      <w:r w:rsidR="000C3E4E">
        <w:rPr>
          <w:lang w:val="en-US"/>
        </w:rPr>
        <w:t xml:space="preserve"> </w:t>
      </w:r>
      <w:r w:rsidR="00AC3CFC">
        <w:rPr>
          <w:rStyle w:val="FootnoteReference"/>
          <w:lang w:val="en-US"/>
        </w:rPr>
        <w:footnoteReference w:id="9"/>
      </w:r>
      <w:r w:rsidR="005D47F2" w:rsidRPr="005D47F2">
        <w:rPr>
          <w:lang w:val="en-US"/>
        </w:rPr>
        <w:t xml:space="preserve"> The renewable energy transition has identified an over-reliance on </w:t>
      </w:r>
      <w:r w:rsidR="00713EC4">
        <w:rPr>
          <w:lang w:val="en-US"/>
        </w:rPr>
        <w:t>high-risk vendors and suppliers</w:t>
      </w:r>
      <w:r w:rsidR="00F22116">
        <w:rPr>
          <w:lang w:val="en-US"/>
        </w:rPr>
        <w:t xml:space="preserve"> due to limited manufacturing options. I</w:t>
      </w:r>
      <w:r w:rsidR="005D47F2" w:rsidRPr="005D47F2">
        <w:rPr>
          <w:lang w:val="en-US"/>
        </w:rPr>
        <w:t>t is therefore necessary to ensure adequate controls and risk mitigations are implemented.</w:t>
      </w:r>
    </w:p>
    <w:p w14:paraId="68CB077C" w14:textId="753EBE11" w:rsidR="00A416FA" w:rsidRDefault="00A416FA" w:rsidP="00B64552">
      <w:pPr>
        <w:pStyle w:val="BodyText"/>
        <w:rPr>
          <w:lang w:val="en-US"/>
        </w:rPr>
      </w:pPr>
      <w:r w:rsidRPr="00A416FA">
        <w:rPr>
          <w:lang w:val="en-US"/>
        </w:rPr>
        <w:t xml:space="preserve">Espionage has become one of the most significant national security threats to Australia. Recent modelling by the Australian Institute of Criminology (AIC) for the Australian Security Intelligence Organisation (ASIO) in the Cost of Espionage report shows </w:t>
      </w:r>
      <w:r w:rsidR="002110D7">
        <w:rPr>
          <w:lang w:val="en-US"/>
        </w:rPr>
        <w:t xml:space="preserve">that </w:t>
      </w:r>
      <w:r w:rsidRPr="00A416FA">
        <w:rPr>
          <w:lang w:val="en-US"/>
        </w:rPr>
        <w:t xml:space="preserve">the costs of this degraded environment could </w:t>
      </w:r>
      <w:r w:rsidR="002110D7">
        <w:rPr>
          <w:lang w:val="en-US"/>
        </w:rPr>
        <w:t>exceed</w:t>
      </w:r>
      <w:r w:rsidRPr="00A416FA">
        <w:rPr>
          <w:lang w:val="en-US"/>
        </w:rPr>
        <w:t xml:space="preserve"> $1 billion per espionage-enabled cyber incident affecting critical infrastructure</w:t>
      </w:r>
      <w:r>
        <w:rPr>
          <w:lang w:val="en-US"/>
        </w:rPr>
        <w:t>,</w:t>
      </w:r>
      <w:r w:rsidRPr="00A416FA">
        <w:rPr>
          <w:lang w:val="en-US"/>
        </w:rPr>
        <w:t xml:space="preserve"> regardless of the vector. The same report </w:t>
      </w:r>
      <w:r w:rsidRPr="00A416FA">
        <w:rPr>
          <w:lang w:val="en-US"/>
        </w:rPr>
        <w:lastRenderedPageBreak/>
        <w:t>indicated that insider threats involving state or state-sponsored actors impacting Australian businesses were estimated to cost up to $324.8 million.</w:t>
      </w:r>
      <w:r w:rsidR="001E530E">
        <w:rPr>
          <w:rStyle w:val="FootnoteReference"/>
          <w:lang w:val="en-US"/>
        </w:rPr>
        <w:footnoteReference w:id="10"/>
      </w:r>
    </w:p>
    <w:p w14:paraId="5BDC29C4" w14:textId="674169A6" w:rsidR="00B64552" w:rsidRPr="00B64552" w:rsidRDefault="00B64552" w:rsidP="00B64552">
      <w:pPr>
        <w:pStyle w:val="BodyText"/>
        <w:rPr>
          <w:lang w:val="en-US"/>
        </w:rPr>
      </w:pPr>
      <w:r w:rsidRPr="00B64552">
        <w:rPr>
          <w:lang w:val="en-US"/>
        </w:rPr>
        <w:t xml:space="preserve">These threats are increasingly </w:t>
      </w:r>
      <w:r w:rsidR="00AD3974">
        <w:rPr>
          <w:lang w:val="en-US"/>
        </w:rPr>
        <w:t>focus</w:t>
      </w:r>
      <w:r w:rsidRPr="00B64552">
        <w:rPr>
          <w:lang w:val="en-US"/>
        </w:rPr>
        <w:t xml:space="preserve">ed on critical infrastructure asset classes </w:t>
      </w:r>
      <w:r w:rsidR="00AD3974">
        <w:rPr>
          <w:lang w:val="en-US"/>
        </w:rPr>
        <w:t>with</w:t>
      </w:r>
      <w:r w:rsidRPr="00B64552">
        <w:rPr>
          <w:lang w:val="en-US"/>
        </w:rPr>
        <w:t xml:space="preserve"> the highest potential consequences. At the same time, growing interdependencies across sectors </w:t>
      </w:r>
      <w:proofErr w:type="gramStart"/>
      <w:r w:rsidRPr="00B64552">
        <w:rPr>
          <w:lang w:val="en-US"/>
        </w:rPr>
        <w:t>have</w:t>
      </w:r>
      <w:proofErr w:type="gramEnd"/>
      <w:r w:rsidRPr="00B64552">
        <w:rPr>
          <w:lang w:val="en-US"/>
        </w:rPr>
        <w:t xml:space="preserve"> increased the risk that disruption to one asset may cascade more broadly across the economy and the community.</w:t>
      </w:r>
    </w:p>
    <w:p w14:paraId="027D3553" w14:textId="3F2CB85E" w:rsidR="00B64552" w:rsidRPr="00B64552" w:rsidRDefault="00B64552" w:rsidP="00B64552">
      <w:pPr>
        <w:pStyle w:val="BodyText"/>
        <w:rPr>
          <w:lang w:val="en-US"/>
        </w:rPr>
      </w:pPr>
      <w:r w:rsidRPr="00B64552">
        <w:rPr>
          <w:lang w:val="en-US"/>
        </w:rPr>
        <w:t>Operational experience and engagement with industry have also identified increasing risks associated with supply chains, third-party service providers, and ownership and control arrangements. These risks can introduce vulnerabilities that are difficult to detect and manage, particularly whe</w:t>
      </w:r>
      <w:r w:rsidR="001E065D">
        <w:rPr>
          <w:lang w:val="en-US"/>
        </w:rPr>
        <w:t>n</w:t>
      </w:r>
      <w:r w:rsidRPr="00B64552">
        <w:rPr>
          <w:lang w:val="en-US"/>
        </w:rPr>
        <w:t xml:space="preserve"> dependencies </w:t>
      </w:r>
      <w:r w:rsidR="001E065D">
        <w:rPr>
          <w:lang w:val="en-US"/>
        </w:rPr>
        <w:t>span</w:t>
      </w:r>
      <w:r w:rsidRPr="00B64552">
        <w:rPr>
          <w:lang w:val="en-US"/>
        </w:rPr>
        <w:t xml:space="preserve"> jurisdictions or sectors. This has been reinforced through consultation with industry and Government stakeholders, which has highlighted the growing complexity of managing interconnected risks.</w:t>
      </w:r>
    </w:p>
    <w:p w14:paraId="18735066" w14:textId="77777777" w:rsidR="00B64552" w:rsidRPr="00B64552" w:rsidRDefault="00B64552" w:rsidP="00B64552">
      <w:pPr>
        <w:pStyle w:val="BodyText"/>
        <w:rPr>
          <w:lang w:val="en-US"/>
        </w:rPr>
      </w:pPr>
      <w:r w:rsidRPr="00B64552">
        <w:rPr>
          <w:lang w:val="en-US"/>
        </w:rPr>
        <w:t>While the CIRMP framework established in 2022 has driven an uplift in baseline risk management practices, it was designed as a broad, sector-wide framework. The current threat environment has highlighted that, for some high-risk asset classes, baseline requirements alone may no longer be sufficient.</w:t>
      </w:r>
    </w:p>
    <w:p w14:paraId="1AE02915" w14:textId="77777777" w:rsidR="00B64552" w:rsidRPr="00B64552" w:rsidRDefault="00B64552" w:rsidP="00B64552">
      <w:pPr>
        <w:pStyle w:val="BodyText"/>
        <w:rPr>
          <w:lang w:val="en-US"/>
        </w:rPr>
      </w:pPr>
      <w:r w:rsidRPr="00B64552">
        <w:rPr>
          <w:lang w:val="en-US"/>
        </w:rPr>
        <w:t>This has created a need for targeted enhancements to the CIRMP Rules to ensure that responsible entities for those asset classes are managing risks in a way that is proportionate to the consequences of disruption.</w:t>
      </w:r>
    </w:p>
    <w:p w14:paraId="4E1290FB" w14:textId="0AFD6590" w:rsidR="00FF4A62" w:rsidRDefault="00EF199F" w:rsidP="00EF199F">
      <w:pPr>
        <w:pStyle w:val="Heading2numbered"/>
      </w:pPr>
      <w:bookmarkStart w:id="11" w:name="_Toc226463704"/>
      <w:bookmarkStart w:id="12" w:name="_Toc226463875"/>
      <w:bookmarkStart w:id="13" w:name="_Toc228391055"/>
      <w:r>
        <w:t>Targeted uplift for high-risk asse</w:t>
      </w:r>
      <w:r w:rsidR="009905E2">
        <w:t>t classes</w:t>
      </w:r>
      <w:bookmarkEnd w:id="11"/>
      <w:bookmarkEnd w:id="12"/>
      <w:bookmarkEnd w:id="13"/>
    </w:p>
    <w:p w14:paraId="292E25F2" w14:textId="08F31B0F" w:rsidR="00DC5A29" w:rsidRPr="00DC5A29" w:rsidRDefault="00DC5A29" w:rsidP="00DC5A29">
      <w:pPr>
        <w:pStyle w:val="BodyText"/>
        <w:rPr>
          <w:lang w:val="en-US"/>
        </w:rPr>
      </w:pPr>
      <w:r w:rsidRPr="00DC5A29">
        <w:rPr>
          <w:lang w:val="en-US"/>
        </w:rPr>
        <w:t xml:space="preserve">The proposed amendments to the CIRMP Rules are intended to </w:t>
      </w:r>
      <w:r>
        <w:rPr>
          <w:lang w:val="en-US"/>
        </w:rPr>
        <w:t>increase risk management requirements for asset classes that pose the greatest potential consequences for</w:t>
      </w:r>
      <w:r w:rsidRPr="00DC5A29">
        <w:rPr>
          <w:lang w:val="en-US"/>
        </w:rPr>
        <w:t xml:space="preserve"> </w:t>
      </w:r>
      <w:r w:rsidR="002D6E18">
        <w:rPr>
          <w:lang w:val="en-US"/>
        </w:rPr>
        <w:t>Australia’s</w:t>
      </w:r>
      <w:r w:rsidRPr="00DC5A29">
        <w:rPr>
          <w:lang w:val="en-US"/>
        </w:rPr>
        <w:t xml:space="preserve"> national security and economic stability.</w:t>
      </w:r>
      <w:r w:rsidR="00336FA2">
        <w:rPr>
          <w:lang w:val="en-US"/>
        </w:rPr>
        <w:t xml:space="preserve"> </w:t>
      </w:r>
      <w:r w:rsidRPr="00DC5A29">
        <w:rPr>
          <w:lang w:val="en-US"/>
        </w:rPr>
        <w:t>These amendments a</w:t>
      </w:r>
      <w:r>
        <w:rPr>
          <w:lang w:val="en-US"/>
        </w:rPr>
        <w:t>lign</w:t>
      </w:r>
      <w:r w:rsidRPr="00DC5A29">
        <w:rPr>
          <w:lang w:val="en-US"/>
        </w:rPr>
        <w:t xml:space="preserve"> with assessments by the National Intelligence Community (NIC), which have identified sectors and asset classes as at elevated risk. This reflects both the criticality of these assets to the delivery of essential services and their attractiveness as targets for hostile actors.</w:t>
      </w:r>
    </w:p>
    <w:p w14:paraId="3A021792" w14:textId="7A21954C" w:rsidR="00BD2A12" w:rsidRDefault="00DC5A29" w:rsidP="00BD2A12">
      <w:pPr>
        <w:pStyle w:val="BodyText"/>
        <w:rPr>
          <w:lang w:val="en-US"/>
        </w:rPr>
      </w:pPr>
      <w:r w:rsidRPr="00DC5A29">
        <w:rPr>
          <w:lang w:val="en-US"/>
        </w:rPr>
        <w:t xml:space="preserve">Under the proposed approach, enhanced CIRMP </w:t>
      </w:r>
      <w:r w:rsidR="00CE0101">
        <w:rPr>
          <w:lang w:val="en-US"/>
        </w:rPr>
        <w:t xml:space="preserve">Rules </w:t>
      </w:r>
      <w:r w:rsidRPr="00DC5A29">
        <w:rPr>
          <w:lang w:val="en-US"/>
        </w:rPr>
        <w:t xml:space="preserve">requirements will apply to </w:t>
      </w:r>
      <w:r w:rsidR="00FD6651">
        <w:rPr>
          <w:lang w:val="en-US"/>
        </w:rPr>
        <w:t xml:space="preserve">nine </w:t>
      </w:r>
      <w:r w:rsidRPr="00DC5A29">
        <w:rPr>
          <w:lang w:val="en-US"/>
        </w:rPr>
        <w:t>specified asset classes</w:t>
      </w:r>
      <w:r w:rsidR="00AD162C">
        <w:rPr>
          <w:lang w:val="en-US"/>
        </w:rPr>
        <w:t xml:space="preserve"> across four sectors</w:t>
      </w:r>
      <w:r w:rsidR="00FC0F3C">
        <w:rPr>
          <w:lang w:val="en-US"/>
        </w:rPr>
        <w:t>.</w:t>
      </w:r>
    </w:p>
    <w:p w14:paraId="12D0EBB2" w14:textId="12658511" w:rsidR="00FC0F3C" w:rsidRPr="00FC0F3C" w:rsidRDefault="00FC0F3C" w:rsidP="00FC0F3C">
      <w:pPr>
        <w:pStyle w:val="Caption"/>
      </w:pPr>
      <w:r w:rsidRPr="00066325">
        <w:t xml:space="preserve">Table </w:t>
      </w:r>
      <w:fldSimple w:instr="SEQ Table \* ARABIC  \* MERGEFORMAT">
        <w:r w:rsidR="00B90D57">
          <w:rPr>
            <w:noProof/>
          </w:rPr>
          <w:t>1</w:t>
        </w:r>
      </w:fldSimple>
      <w:r w:rsidRPr="00066325">
        <w:t>:</w:t>
      </w:r>
      <w:r>
        <w:tab/>
      </w:r>
      <w:r w:rsidR="00535C13">
        <w:t xml:space="preserve">Specified </w:t>
      </w:r>
      <w:r>
        <w:t xml:space="preserve">Asset Classes in scope for </w:t>
      </w:r>
      <w:r w:rsidR="00535C13">
        <w:t xml:space="preserve">enhanced </w:t>
      </w:r>
      <w:r w:rsidR="007A6DA3">
        <w:t xml:space="preserve">CIRMP </w:t>
      </w:r>
      <w:r w:rsidR="00535C13">
        <w:t>obligations</w:t>
      </w:r>
    </w:p>
    <w:tbl>
      <w:tblPr>
        <w:tblStyle w:val="HATableStyle1default"/>
        <w:tblW w:w="5000" w:type="pct"/>
        <w:tblLook w:val="04A0" w:firstRow="1" w:lastRow="0" w:firstColumn="1" w:lastColumn="0" w:noHBand="0" w:noVBand="1"/>
      </w:tblPr>
      <w:tblGrid>
        <w:gridCol w:w="4156"/>
        <w:gridCol w:w="5734"/>
      </w:tblGrid>
      <w:tr w:rsidR="00BD2A12" w:rsidRPr="00BD2A12" w14:paraId="03C844FF" w14:textId="77777777" w:rsidTr="003311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1" w:type="pct"/>
            <w:hideMark/>
          </w:tcPr>
          <w:p w14:paraId="7D4EFEF2" w14:textId="77777777" w:rsidR="00BD2A12" w:rsidRPr="00B1354B" w:rsidRDefault="00BD2A12" w:rsidP="00BD2A12">
            <w:pPr>
              <w:pStyle w:val="TableBody"/>
              <w:rPr>
                <w:color w:val="FFFFFF" w:themeColor="background1"/>
              </w:rPr>
            </w:pPr>
            <w:r w:rsidRPr="00B1354B">
              <w:rPr>
                <w:color w:val="FFFFFF" w:themeColor="background1"/>
              </w:rPr>
              <w:t>Sector</w:t>
            </w:r>
          </w:p>
        </w:tc>
        <w:tc>
          <w:tcPr>
            <w:tcW w:w="2899" w:type="pct"/>
            <w:hideMark/>
          </w:tcPr>
          <w:p w14:paraId="5A9791FC" w14:textId="6C7F606A" w:rsidR="00BD2A12" w:rsidRPr="00B1354B" w:rsidRDefault="00C90D78" w:rsidP="00BD2A12">
            <w:pPr>
              <w:pStyle w:val="TableBody"/>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A</w:t>
            </w:r>
            <w:r w:rsidR="00BD2A12" w:rsidRPr="00B1354B">
              <w:rPr>
                <w:color w:val="FFFFFF" w:themeColor="background1"/>
              </w:rPr>
              <w:t>sset classes</w:t>
            </w:r>
          </w:p>
        </w:tc>
      </w:tr>
      <w:tr w:rsidR="00BD2A12" w:rsidRPr="00BD2A12" w14:paraId="695678EF" w14:textId="77777777" w:rsidTr="0033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1" w:type="pct"/>
            <w:hideMark/>
          </w:tcPr>
          <w:p w14:paraId="350B92F3" w14:textId="77777777" w:rsidR="00BD2A12" w:rsidRPr="00BD2A12" w:rsidRDefault="00BD2A12" w:rsidP="00BD2A12">
            <w:pPr>
              <w:pStyle w:val="TableBody"/>
            </w:pPr>
            <w:r w:rsidRPr="00BD2A12">
              <w:t>Energy</w:t>
            </w:r>
          </w:p>
        </w:tc>
        <w:tc>
          <w:tcPr>
            <w:tcW w:w="2899" w:type="pct"/>
            <w:hideMark/>
          </w:tcPr>
          <w:p w14:paraId="6BDE9146" w14:textId="34D95D70" w:rsidR="007A6DA3" w:rsidRDefault="00BD2A12" w:rsidP="00BD2A12">
            <w:pPr>
              <w:pStyle w:val="TableBody"/>
              <w:cnfStyle w:val="000000100000" w:firstRow="0" w:lastRow="0" w:firstColumn="0" w:lastColumn="0" w:oddVBand="0" w:evenVBand="0" w:oddHBand="1" w:evenHBand="0" w:firstRowFirstColumn="0" w:firstRowLastColumn="0" w:lastRowFirstColumn="0" w:lastRowLastColumn="0"/>
            </w:pPr>
            <w:r w:rsidRPr="00BD2A12">
              <w:t>Energy market operator assets</w:t>
            </w:r>
          </w:p>
          <w:p w14:paraId="5472E88D" w14:textId="77777777" w:rsidR="007A6DA3" w:rsidRDefault="00BD2A12" w:rsidP="00BD2A12">
            <w:pPr>
              <w:pStyle w:val="TableBody"/>
              <w:cnfStyle w:val="000000100000" w:firstRow="0" w:lastRow="0" w:firstColumn="0" w:lastColumn="0" w:oddVBand="0" w:evenVBand="0" w:oddHBand="1" w:evenHBand="0" w:firstRowFirstColumn="0" w:firstRowLastColumn="0" w:lastRowFirstColumn="0" w:lastRowLastColumn="0"/>
            </w:pPr>
            <w:r w:rsidRPr="00BD2A12">
              <w:t>Electricity assets</w:t>
            </w:r>
          </w:p>
          <w:p w14:paraId="085E8620" w14:textId="77777777" w:rsidR="007A6DA3" w:rsidRDefault="00BD2A12" w:rsidP="00BD2A12">
            <w:pPr>
              <w:pStyle w:val="TableBody"/>
              <w:cnfStyle w:val="000000100000" w:firstRow="0" w:lastRow="0" w:firstColumn="0" w:lastColumn="0" w:oddVBand="0" w:evenVBand="0" w:oddHBand="1" w:evenHBand="0" w:firstRowFirstColumn="0" w:firstRowLastColumn="0" w:lastRowFirstColumn="0" w:lastRowLastColumn="0"/>
            </w:pPr>
            <w:r w:rsidRPr="00BD2A12">
              <w:t>Gas assets</w:t>
            </w:r>
          </w:p>
          <w:p w14:paraId="1811437B" w14:textId="469CCC83" w:rsidR="00BD2A12" w:rsidRPr="00BD2A12" w:rsidRDefault="00BD2A12" w:rsidP="00BD2A12">
            <w:pPr>
              <w:pStyle w:val="TableBody"/>
              <w:cnfStyle w:val="000000100000" w:firstRow="0" w:lastRow="0" w:firstColumn="0" w:lastColumn="0" w:oddVBand="0" w:evenVBand="0" w:oddHBand="1" w:evenHBand="0" w:firstRowFirstColumn="0" w:firstRowLastColumn="0" w:lastRowFirstColumn="0" w:lastRowLastColumn="0"/>
            </w:pPr>
            <w:r w:rsidRPr="00BD2A12">
              <w:t>Liquid fuel assets</w:t>
            </w:r>
          </w:p>
        </w:tc>
      </w:tr>
      <w:tr w:rsidR="00BD2A12" w:rsidRPr="00BD2A12" w14:paraId="326BB0CB" w14:textId="77777777" w:rsidTr="003311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1" w:type="pct"/>
            <w:hideMark/>
          </w:tcPr>
          <w:p w14:paraId="356A4BF5" w14:textId="77777777" w:rsidR="00BD2A12" w:rsidRPr="00BD2A12" w:rsidRDefault="00BD2A12" w:rsidP="00BD2A12">
            <w:pPr>
              <w:pStyle w:val="TableBody"/>
            </w:pPr>
            <w:r w:rsidRPr="00BD2A12">
              <w:t>Communications</w:t>
            </w:r>
          </w:p>
        </w:tc>
        <w:tc>
          <w:tcPr>
            <w:tcW w:w="2899" w:type="pct"/>
            <w:hideMark/>
          </w:tcPr>
          <w:p w14:paraId="7E18DB43" w14:textId="77777777" w:rsidR="007A6DA3" w:rsidRDefault="00BD2A12" w:rsidP="00BD2A12">
            <w:pPr>
              <w:pStyle w:val="TableBody"/>
              <w:cnfStyle w:val="000000010000" w:firstRow="0" w:lastRow="0" w:firstColumn="0" w:lastColumn="0" w:oddVBand="0" w:evenVBand="0" w:oddHBand="0" w:evenHBand="1" w:firstRowFirstColumn="0" w:firstRowLastColumn="0" w:lastRowFirstColumn="0" w:lastRowLastColumn="0"/>
            </w:pPr>
            <w:r w:rsidRPr="00BD2A12">
              <w:t>Broadcasting assets</w:t>
            </w:r>
          </w:p>
          <w:p w14:paraId="49F0B565" w14:textId="6421C1E8" w:rsidR="00BD2A12" w:rsidRPr="00BD2A12" w:rsidRDefault="00BD2A12" w:rsidP="00BD2A12">
            <w:pPr>
              <w:pStyle w:val="TableBody"/>
              <w:cnfStyle w:val="000000010000" w:firstRow="0" w:lastRow="0" w:firstColumn="0" w:lastColumn="0" w:oddVBand="0" w:evenVBand="0" w:oddHBand="0" w:evenHBand="1" w:firstRowFirstColumn="0" w:firstRowLastColumn="0" w:lastRowFirstColumn="0" w:lastRowLastColumn="0"/>
            </w:pPr>
            <w:r w:rsidRPr="00BD2A12">
              <w:t>Domain name systems</w:t>
            </w:r>
          </w:p>
        </w:tc>
      </w:tr>
      <w:tr w:rsidR="00BD2A12" w:rsidRPr="00BD2A12" w14:paraId="64C4ECC9" w14:textId="77777777" w:rsidTr="0033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1" w:type="pct"/>
            <w:hideMark/>
          </w:tcPr>
          <w:p w14:paraId="686A3210" w14:textId="77777777" w:rsidR="00BD2A12" w:rsidRPr="00BD2A12" w:rsidRDefault="00BD2A12" w:rsidP="00BD2A12">
            <w:pPr>
              <w:pStyle w:val="TableBody"/>
            </w:pPr>
            <w:r w:rsidRPr="00BD2A12">
              <w:t>Water and sewerage</w:t>
            </w:r>
          </w:p>
        </w:tc>
        <w:tc>
          <w:tcPr>
            <w:tcW w:w="2899" w:type="pct"/>
            <w:hideMark/>
          </w:tcPr>
          <w:p w14:paraId="4D0F733E" w14:textId="77777777" w:rsidR="00BD2A12" w:rsidRPr="00BD2A12" w:rsidRDefault="00BD2A12" w:rsidP="00BD2A12">
            <w:pPr>
              <w:pStyle w:val="TableBody"/>
              <w:cnfStyle w:val="000000100000" w:firstRow="0" w:lastRow="0" w:firstColumn="0" w:lastColumn="0" w:oddVBand="0" w:evenVBand="0" w:oddHBand="1" w:evenHBand="0" w:firstRowFirstColumn="0" w:firstRowLastColumn="0" w:lastRowFirstColumn="0" w:lastRowLastColumn="0"/>
            </w:pPr>
            <w:r w:rsidRPr="00BD2A12">
              <w:t>Water assets</w:t>
            </w:r>
          </w:p>
        </w:tc>
      </w:tr>
      <w:tr w:rsidR="00BD2A12" w:rsidRPr="00BD2A12" w14:paraId="3E377045" w14:textId="77777777" w:rsidTr="003311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1" w:type="pct"/>
            <w:hideMark/>
          </w:tcPr>
          <w:p w14:paraId="71BCBDFF" w14:textId="77777777" w:rsidR="00BD2A12" w:rsidRPr="00BD2A12" w:rsidRDefault="00BD2A12" w:rsidP="00BD2A12">
            <w:pPr>
              <w:pStyle w:val="TableBody"/>
            </w:pPr>
            <w:r w:rsidRPr="00BD2A12">
              <w:t>Transport</w:t>
            </w:r>
          </w:p>
        </w:tc>
        <w:tc>
          <w:tcPr>
            <w:tcW w:w="2899" w:type="pct"/>
            <w:hideMark/>
          </w:tcPr>
          <w:p w14:paraId="6AFDDF32" w14:textId="77777777" w:rsidR="007A6DA3" w:rsidRDefault="00BD2A12" w:rsidP="00BD2A12">
            <w:pPr>
              <w:pStyle w:val="TableBody"/>
              <w:cnfStyle w:val="000000010000" w:firstRow="0" w:lastRow="0" w:firstColumn="0" w:lastColumn="0" w:oddVBand="0" w:evenVBand="0" w:oddHBand="0" w:evenHBand="1" w:firstRowFirstColumn="0" w:firstRowLastColumn="0" w:lastRowFirstColumn="0" w:lastRowLastColumn="0"/>
            </w:pPr>
            <w:r w:rsidRPr="00BD2A12">
              <w:t>Freight service assets</w:t>
            </w:r>
          </w:p>
          <w:p w14:paraId="70D1DDD0" w14:textId="544B6210" w:rsidR="00BD2A12" w:rsidRPr="00BD2A12" w:rsidRDefault="00BD2A12" w:rsidP="00BD2A12">
            <w:pPr>
              <w:pStyle w:val="TableBody"/>
              <w:cnfStyle w:val="000000010000" w:firstRow="0" w:lastRow="0" w:firstColumn="0" w:lastColumn="0" w:oddVBand="0" w:evenVBand="0" w:oddHBand="0" w:evenHBand="1" w:firstRowFirstColumn="0" w:firstRowLastColumn="0" w:lastRowFirstColumn="0" w:lastRowLastColumn="0"/>
            </w:pPr>
            <w:r w:rsidRPr="00BD2A12">
              <w:t>Freight infrastructure assets</w:t>
            </w:r>
          </w:p>
        </w:tc>
      </w:tr>
    </w:tbl>
    <w:p w14:paraId="0B895E24" w14:textId="4D036229" w:rsidR="00AD162C" w:rsidRDefault="006A4597" w:rsidP="001B01B6">
      <w:pPr>
        <w:pStyle w:val="BodyText"/>
        <w:rPr>
          <w:lang w:val="en-US"/>
        </w:rPr>
      </w:pPr>
      <w:r w:rsidRPr="00987140">
        <w:rPr>
          <w:lang w:val="en-US"/>
        </w:rPr>
        <w:t>For</w:t>
      </w:r>
      <w:r w:rsidR="00987140" w:rsidRPr="00987140">
        <w:rPr>
          <w:lang w:val="en-US"/>
        </w:rPr>
        <w:t xml:space="preserve"> this </w:t>
      </w:r>
      <w:r w:rsidR="002D6E18">
        <w:rPr>
          <w:lang w:val="en-US"/>
        </w:rPr>
        <w:t>Addendum’s</w:t>
      </w:r>
      <w:r w:rsidR="00987140" w:rsidRPr="00987140">
        <w:rPr>
          <w:lang w:val="en-US"/>
        </w:rPr>
        <w:t xml:space="preserve"> RBE, the estimate is based on the identified population of the nine specified asset classes</w:t>
      </w:r>
      <w:r w:rsidR="005174A2">
        <w:rPr>
          <w:lang w:val="en-US"/>
        </w:rPr>
        <w:t>.</w:t>
      </w:r>
      <w:r>
        <w:rPr>
          <w:lang w:val="en-US"/>
        </w:rPr>
        <w:t xml:space="preserve"> </w:t>
      </w:r>
      <w:r w:rsidR="001B01B6" w:rsidRPr="001B01B6">
        <w:rPr>
          <w:lang w:val="en-US"/>
        </w:rPr>
        <w:t xml:space="preserve">The Departmental administrative data available for impact analysis identifies 627 CIRMP records across the in-scope asset classes as </w:t>
      </w:r>
      <w:proofErr w:type="gramStart"/>
      <w:r w:rsidR="001B01B6" w:rsidRPr="001B01B6">
        <w:rPr>
          <w:lang w:val="en-US"/>
        </w:rPr>
        <w:t>at</w:t>
      </w:r>
      <w:proofErr w:type="gramEnd"/>
      <w:r w:rsidR="001B01B6" w:rsidRPr="001B01B6">
        <w:rPr>
          <w:lang w:val="en-US"/>
        </w:rPr>
        <w:t xml:space="preserve"> 2 February 2026. The figures below </w:t>
      </w:r>
      <w:r w:rsidR="00525DA0">
        <w:rPr>
          <w:lang w:val="en-US"/>
        </w:rPr>
        <w:t>serve</w:t>
      </w:r>
      <w:r w:rsidR="001B01B6" w:rsidRPr="001B01B6">
        <w:rPr>
          <w:lang w:val="en-US"/>
        </w:rPr>
        <w:t xml:space="preserve"> as the basis for the regulatory burden estimate. They should be read as asset-class records or CIRMP population counts, not necessarily as </w:t>
      </w:r>
      <w:r w:rsidR="00525DA0">
        <w:rPr>
          <w:lang w:val="en-US"/>
        </w:rPr>
        <w:t>counts</w:t>
      </w:r>
      <w:r w:rsidR="001B01B6" w:rsidRPr="001B01B6">
        <w:rPr>
          <w:lang w:val="en-US"/>
        </w:rPr>
        <w:t xml:space="preserve"> of unique corporate groups, </w:t>
      </w:r>
      <w:r w:rsidR="00525DA0">
        <w:rPr>
          <w:lang w:val="en-US"/>
        </w:rPr>
        <w:t>since</w:t>
      </w:r>
      <w:r w:rsidR="001B01B6" w:rsidRPr="001B01B6">
        <w:rPr>
          <w:lang w:val="en-US"/>
        </w:rPr>
        <w:t xml:space="preserve"> some responsible entities may hold multiple assets or operate across multiple asset classes. The Department has also noted that entities that have not submitted annual attestations, although obligated to do so, are not included in the </w:t>
      </w:r>
      <w:proofErr w:type="gramStart"/>
      <w:r w:rsidR="001B01B6" w:rsidRPr="001B01B6">
        <w:rPr>
          <w:lang w:val="en-US"/>
        </w:rPr>
        <w:t>provided totals</w:t>
      </w:r>
      <w:proofErr w:type="gramEnd"/>
      <w:r w:rsidR="001B01B6" w:rsidRPr="001B01B6">
        <w:rPr>
          <w:lang w:val="en-US"/>
        </w:rPr>
        <w:t>.</w:t>
      </w:r>
    </w:p>
    <w:p w14:paraId="1F2B77E4" w14:textId="36D1494C" w:rsidR="00011D46" w:rsidRDefault="00011D46" w:rsidP="00011D46">
      <w:pPr>
        <w:pStyle w:val="Caption"/>
      </w:pPr>
      <w:r>
        <w:lastRenderedPageBreak/>
        <w:t xml:space="preserve">Table </w:t>
      </w:r>
      <w:fldSimple w:instr=" SEQ Table \* ARABIC ">
        <w:r w:rsidR="00B90D57">
          <w:rPr>
            <w:noProof/>
          </w:rPr>
          <w:t>2</w:t>
        </w:r>
      </w:fldSimple>
      <w:r>
        <w:t>: CIRMP population</w:t>
      </w:r>
    </w:p>
    <w:tbl>
      <w:tblPr>
        <w:tblStyle w:val="HATableStyle1default"/>
        <w:tblW w:w="0" w:type="auto"/>
        <w:tblLook w:val="04E0" w:firstRow="1" w:lastRow="1" w:firstColumn="1" w:lastColumn="0" w:noHBand="0" w:noVBand="1"/>
      </w:tblPr>
      <w:tblGrid>
        <w:gridCol w:w="2383"/>
        <w:gridCol w:w="5627"/>
        <w:gridCol w:w="1880"/>
      </w:tblGrid>
      <w:tr w:rsidR="00EE598F" w:rsidRPr="00CE4FCA" w14:paraId="64F931F7" w14:textId="77777777" w:rsidTr="00CE4F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14:paraId="0AE8F8D4" w14:textId="77777777" w:rsidR="00EE598F" w:rsidRPr="00CE4FCA" w:rsidRDefault="00EE598F" w:rsidP="00CE4FCA">
            <w:r w:rsidRPr="00CE4FCA">
              <w:t>Sector</w:t>
            </w:r>
          </w:p>
        </w:tc>
        <w:tc>
          <w:tcPr>
            <w:tcW w:w="5627" w:type="dxa"/>
          </w:tcPr>
          <w:p w14:paraId="269EA0D4" w14:textId="77777777" w:rsidR="00EE598F" w:rsidRPr="00CE4FCA" w:rsidRDefault="00EE598F" w:rsidP="00CE4FCA">
            <w:pPr>
              <w:cnfStyle w:val="100000000000" w:firstRow="1" w:lastRow="0" w:firstColumn="0" w:lastColumn="0" w:oddVBand="0" w:evenVBand="0" w:oddHBand="0" w:evenHBand="0" w:firstRowFirstColumn="0" w:firstRowLastColumn="0" w:lastRowFirstColumn="0" w:lastRowLastColumn="0"/>
            </w:pPr>
            <w:r w:rsidRPr="00CE4FCA">
              <w:t>In-scope asset class</w:t>
            </w:r>
          </w:p>
        </w:tc>
        <w:tc>
          <w:tcPr>
            <w:tcW w:w="1880" w:type="dxa"/>
          </w:tcPr>
          <w:p w14:paraId="2E8CA741" w14:textId="77777777" w:rsidR="00EE598F" w:rsidRPr="00CE4FCA" w:rsidRDefault="00EE598F" w:rsidP="00CE4FCA">
            <w:pPr>
              <w:cnfStyle w:val="100000000000" w:firstRow="1" w:lastRow="0" w:firstColumn="0" w:lastColumn="0" w:oddVBand="0" w:evenVBand="0" w:oddHBand="0" w:evenHBand="0" w:firstRowFirstColumn="0" w:firstRowLastColumn="0" w:lastRowFirstColumn="0" w:lastRowLastColumn="0"/>
            </w:pPr>
            <w:r w:rsidRPr="00CE4FCA">
              <w:t>CIRMP population count</w:t>
            </w:r>
          </w:p>
        </w:tc>
      </w:tr>
      <w:tr w:rsidR="00EE598F" w:rsidRPr="00CE4FCA" w14:paraId="0FD7263A" w14:textId="77777777" w:rsidTr="00CE4F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14:paraId="46FECA44" w14:textId="77777777" w:rsidR="00EE598F" w:rsidRPr="00CE4FCA" w:rsidRDefault="00EE598F" w:rsidP="00CE4FCA">
            <w:r w:rsidRPr="00CE4FCA">
              <w:t>Energy</w:t>
            </w:r>
          </w:p>
        </w:tc>
        <w:tc>
          <w:tcPr>
            <w:tcW w:w="5627" w:type="dxa"/>
          </w:tcPr>
          <w:p w14:paraId="37A25E02" w14:textId="77777777" w:rsidR="00EE598F" w:rsidRPr="00CE4FCA" w:rsidRDefault="00EE598F" w:rsidP="00CE4FCA">
            <w:pPr>
              <w:cnfStyle w:val="000000100000" w:firstRow="0" w:lastRow="0" w:firstColumn="0" w:lastColumn="0" w:oddVBand="0" w:evenVBand="0" w:oddHBand="1" w:evenHBand="0" w:firstRowFirstColumn="0" w:firstRowLastColumn="0" w:lastRowFirstColumn="0" w:lastRowLastColumn="0"/>
            </w:pPr>
            <w:r w:rsidRPr="00CE4FCA">
              <w:t>Energy market operator assets</w:t>
            </w:r>
          </w:p>
        </w:tc>
        <w:tc>
          <w:tcPr>
            <w:tcW w:w="1880" w:type="dxa"/>
          </w:tcPr>
          <w:p w14:paraId="6AFD3B41" w14:textId="77777777" w:rsidR="00EE598F" w:rsidRPr="00CE4FCA" w:rsidRDefault="00EE598F" w:rsidP="00CE4FCA">
            <w:pPr>
              <w:cnfStyle w:val="000000100000" w:firstRow="0" w:lastRow="0" w:firstColumn="0" w:lastColumn="0" w:oddVBand="0" w:evenVBand="0" w:oddHBand="1" w:evenHBand="0" w:firstRowFirstColumn="0" w:firstRowLastColumn="0" w:lastRowFirstColumn="0" w:lastRowLastColumn="0"/>
            </w:pPr>
            <w:r w:rsidRPr="00CE4FCA">
              <w:t>11</w:t>
            </w:r>
          </w:p>
        </w:tc>
      </w:tr>
      <w:tr w:rsidR="00EE598F" w:rsidRPr="00CE4FCA" w14:paraId="78AA440E" w14:textId="77777777" w:rsidTr="00CE4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14:paraId="4BE22B0E" w14:textId="77777777" w:rsidR="00EE598F" w:rsidRPr="00CE4FCA" w:rsidRDefault="00EE598F" w:rsidP="00CE4FCA">
            <w:r w:rsidRPr="00CE4FCA">
              <w:t>Energy</w:t>
            </w:r>
          </w:p>
        </w:tc>
        <w:tc>
          <w:tcPr>
            <w:tcW w:w="5627" w:type="dxa"/>
          </w:tcPr>
          <w:p w14:paraId="3E9A8377" w14:textId="77777777" w:rsidR="00EE598F" w:rsidRPr="00CE4FCA" w:rsidRDefault="00EE598F" w:rsidP="00CE4FCA">
            <w:pPr>
              <w:cnfStyle w:val="000000010000" w:firstRow="0" w:lastRow="0" w:firstColumn="0" w:lastColumn="0" w:oddVBand="0" w:evenVBand="0" w:oddHBand="0" w:evenHBand="1" w:firstRowFirstColumn="0" w:firstRowLastColumn="0" w:lastRowFirstColumn="0" w:lastRowLastColumn="0"/>
            </w:pPr>
            <w:r w:rsidRPr="00CE4FCA">
              <w:t>Electricity assets</w:t>
            </w:r>
          </w:p>
        </w:tc>
        <w:tc>
          <w:tcPr>
            <w:tcW w:w="1880" w:type="dxa"/>
          </w:tcPr>
          <w:p w14:paraId="48B23BBB" w14:textId="77777777" w:rsidR="00EE598F" w:rsidRPr="00CE4FCA" w:rsidRDefault="00EE598F" w:rsidP="00CE4FCA">
            <w:pPr>
              <w:cnfStyle w:val="000000010000" w:firstRow="0" w:lastRow="0" w:firstColumn="0" w:lastColumn="0" w:oddVBand="0" w:evenVBand="0" w:oddHBand="0" w:evenHBand="1" w:firstRowFirstColumn="0" w:firstRowLastColumn="0" w:lastRowFirstColumn="0" w:lastRowLastColumn="0"/>
            </w:pPr>
            <w:r w:rsidRPr="00CE4FCA">
              <w:t>348</w:t>
            </w:r>
          </w:p>
        </w:tc>
      </w:tr>
      <w:tr w:rsidR="00EE598F" w:rsidRPr="00CE4FCA" w14:paraId="2F3E6479" w14:textId="77777777" w:rsidTr="00CE4F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14:paraId="3701C619" w14:textId="77777777" w:rsidR="00EE598F" w:rsidRPr="00CE4FCA" w:rsidRDefault="00EE598F" w:rsidP="00CE4FCA">
            <w:r w:rsidRPr="00CE4FCA">
              <w:t>Energy</w:t>
            </w:r>
          </w:p>
        </w:tc>
        <w:tc>
          <w:tcPr>
            <w:tcW w:w="5627" w:type="dxa"/>
          </w:tcPr>
          <w:p w14:paraId="5A196E0B" w14:textId="77777777" w:rsidR="00EE598F" w:rsidRPr="00CE4FCA" w:rsidRDefault="00EE598F" w:rsidP="00CE4FCA">
            <w:pPr>
              <w:cnfStyle w:val="000000100000" w:firstRow="0" w:lastRow="0" w:firstColumn="0" w:lastColumn="0" w:oddVBand="0" w:evenVBand="0" w:oddHBand="1" w:evenHBand="0" w:firstRowFirstColumn="0" w:firstRowLastColumn="0" w:lastRowFirstColumn="0" w:lastRowLastColumn="0"/>
            </w:pPr>
            <w:r w:rsidRPr="00CE4FCA">
              <w:t>Gas assets</w:t>
            </w:r>
          </w:p>
        </w:tc>
        <w:tc>
          <w:tcPr>
            <w:tcW w:w="1880" w:type="dxa"/>
          </w:tcPr>
          <w:p w14:paraId="1C9F8858" w14:textId="77777777" w:rsidR="00EE598F" w:rsidRPr="00CE4FCA" w:rsidRDefault="00EE598F" w:rsidP="00CE4FCA">
            <w:pPr>
              <w:cnfStyle w:val="000000100000" w:firstRow="0" w:lastRow="0" w:firstColumn="0" w:lastColumn="0" w:oddVBand="0" w:evenVBand="0" w:oddHBand="1" w:evenHBand="0" w:firstRowFirstColumn="0" w:firstRowLastColumn="0" w:lastRowFirstColumn="0" w:lastRowLastColumn="0"/>
            </w:pPr>
            <w:r w:rsidRPr="00CE4FCA">
              <w:t>87</w:t>
            </w:r>
          </w:p>
        </w:tc>
      </w:tr>
      <w:tr w:rsidR="00EE598F" w:rsidRPr="00CE4FCA" w14:paraId="3FA3C203" w14:textId="77777777" w:rsidTr="00CE4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14:paraId="07A13AE5" w14:textId="77777777" w:rsidR="00EE598F" w:rsidRPr="00CE4FCA" w:rsidRDefault="00EE598F" w:rsidP="00CE4FCA">
            <w:r w:rsidRPr="00CE4FCA">
              <w:t>Energy</w:t>
            </w:r>
          </w:p>
        </w:tc>
        <w:tc>
          <w:tcPr>
            <w:tcW w:w="5627" w:type="dxa"/>
          </w:tcPr>
          <w:p w14:paraId="4F5D1ADD" w14:textId="77777777" w:rsidR="00EE598F" w:rsidRPr="00CE4FCA" w:rsidRDefault="00EE598F" w:rsidP="00CE4FCA">
            <w:pPr>
              <w:cnfStyle w:val="000000010000" w:firstRow="0" w:lastRow="0" w:firstColumn="0" w:lastColumn="0" w:oddVBand="0" w:evenVBand="0" w:oddHBand="0" w:evenHBand="1" w:firstRowFirstColumn="0" w:firstRowLastColumn="0" w:lastRowFirstColumn="0" w:lastRowLastColumn="0"/>
            </w:pPr>
            <w:r w:rsidRPr="00CE4FCA">
              <w:t>Liquid fuel assets</w:t>
            </w:r>
          </w:p>
        </w:tc>
        <w:tc>
          <w:tcPr>
            <w:tcW w:w="1880" w:type="dxa"/>
          </w:tcPr>
          <w:p w14:paraId="41DC688D" w14:textId="77777777" w:rsidR="00EE598F" w:rsidRPr="00CE4FCA" w:rsidRDefault="00EE598F" w:rsidP="00CE4FCA">
            <w:pPr>
              <w:cnfStyle w:val="000000010000" w:firstRow="0" w:lastRow="0" w:firstColumn="0" w:lastColumn="0" w:oddVBand="0" w:evenVBand="0" w:oddHBand="0" w:evenHBand="1" w:firstRowFirstColumn="0" w:firstRowLastColumn="0" w:lastRowFirstColumn="0" w:lastRowLastColumn="0"/>
            </w:pPr>
            <w:r w:rsidRPr="00CE4FCA">
              <w:t>47</w:t>
            </w:r>
          </w:p>
        </w:tc>
      </w:tr>
      <w:tr w:rsidR="00EE598F" w:rsidRPr="00CE4FCA" w14:paraId="05B63799" w14:textId="77777777" w:rsidTr="00CE4F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14:paraId="0856D04C" w14:textId="77777777" w:rsidR="00EE598F" w:rsidRPr="00CE4FCA" w:rsidRDefault="00EE598F" w:rsidP="00CE4FCA">
            <w:r w:rsidRPr="00CE4FCA">
              <w:t>Communications</w:t>
            </w:r>
          </w:p>
        </w:tc>
        <w:tc>
          <w:tcPr>
            <w:tcW w:w="5627" w:type="dxa"/>
          </w:tcPr>
          <w:p w14:paraId="0581B9F9" w14:textId="77777777" w:rsidR="00EE598F" w:rsidRPr="00CE4FCA" w:rsidRDefault="00EE598F" w:rsidP="00CE4FCA">
            <w:pPr>
              <w:cnfStyle w:val="000000100000" w:firstRow="0" w:lastRow="0" w:firstColumn="0" w:lastColumn="0" w:oddVBand="0" w:evenVBand="0" w:oddHBand="1" w:evenHBand="0" w:firstRowFirstColumn="0" w:firstRowLastColumn="0" w:lastRowFirstColumn="0" w:lastRowLastColumn="0"/>
            </w:pPr>
            <w:r w:rsidRPr="00CE4FCA">
              <w:t>Broadcasting assets</w:t>
            </w:r>
          </w:p>
        </w:tc>
        <w:tc>
          <w:tcPr>
            <w:tcW w:w="1880" w:type="dxa"/>
          </w:tcPr>
          <w:p w14:paraId="5CC82813" w14:textId="77777777" w:rsidR="00EE598F" w:rsidRPr="00CE4FCA" w:rsidRDefault="00EE598F" w:rsidP="00CE4FCA">
            <w:pPr>
              <w:cnfStyle w:val="000000100000" w:firstRow="0" w:lastRow="0" w:firstColumn="0" w:lastColumn="0" w:oddVBand="0" w:evenVBand="0" w:oddHBand="1" w:evenHBand="0" w:firstRowFirstColumn="0" w:firstRowLastColumn="0" w:lastRowFirstColumn="0" w:lastRowLastColumn="0"/>
            </w:pPr>
            <w:r w:rsidRPr="00CE4FCA">
              <w:t>3</w:t>
            </w:r>
          </w:p>
        </w:tc>
      </w:tr>
      <w:tr w:rsidR="00EE598F" w:rsidRPr="00CE4FCA" w14:paraId="0C196052" w14:textId="77777777" w:rsidTr="00CE4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14:paraId="3A7FA221" w14:textId="77777777" w:rsidR="00EE598F" w:rsidRPr="00CE4FCA" w:rsidRDefault="00EE598F" w:rsidP="00CE4FCA">
            <w:r w:rsidRPr="00CE4FCA">
              <w:t>Communications</w:t>
            </w:r>
          </w:p>
        </w:tc>
        <w:tc>
          <w:tcPr>
            <w:tcW w:w="5627" w:type="dxa"/>
          </w:tcPr>
          <w:p w14:paraId="4D7B92A5" w14:textId="77777777" w:rsidR="00EE598F" w:rsidRPr="00CE4FCA" w:rsidRDefault="00EE598F" w:rsidP="00CE4FCA">
            <w:pPr>
              <w:cnfStyle w:val="000000010000" w:firstRow="0" w:lastRow="0" w:firstColumn="0" w:lastColumn="0" w:oddVBand="0" w:evenVBand="0" w:oddHBand="0" w:evenHBand="1" w:firstRowFirstColumn="0" w:firstRowLastColumn="0" w:lastRowFirstColumn="0" w:lastRowLastColumn="0"/>
            </w:pPr>
            <w:r w:rsidRPr="00CE4FCA">
              <w:t>Domain name systems</w:t>
            </w:r>
          </w:p>
        </w:tc>
        <w:tc>
          <w:tcPr>
            <w:tcW w:w="1880" w:type="dxa"/>
          </w:tcPr>
          <w:p w14:paraId="18B5A8CC" w14:textId="77777777" w:rsidR="00EE598F" w:rsidRPr="00CE4FCA" w:rsidRDefault="00EE598F" w:rsidP="00CE4FCA">
            <w:pPr>
              <w:cnfStyle w:val="000000010000" w:firstRow="0" w:lastRow="0" w:firstColumn="0" w:lastColumn="0" w:oddVBand="0" w:evenVBand="0" w:oddHBand="0" w:evenHBand="1" w:firstRowFirstColumn="0" w:firstRowLastColumn="0" w:lastRowFirstColumn="0" w:lastRowLastColumn="0"/>
            </w:pPr>
            <w:r w:rsidRPr="00CE4FCA">
              <w:t>17</w:t>
            </w:r>
          </w:p>
        </w:tc>
      </w:tr>
      <w:tr w:rsidR="00EE598F" w:rsidRPr="00CE4FCA" w14:paraId="36065269" w14:textId="77777777" w:rsidTr="00CE4F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14:paraId="4490E4D5" w14:textId="77777777" w:rsidR="00EE598F" w:rsidRPr="00CE4FCA" w:rsidRDefault="00EE598F" w:rsidP="00CE4FCA">
            <w:r w:rsidRPr="00CE4FCA">
              <w:t>Water and sewerage</w:t>
            </w:r>
          </w:p>
        </w:tc>
        <w:tc>
          <w:tcPr>
            <w:tcW w:w="5627" w:type="dxa"/>
          </w:tcPr>
          <w:p w14:paraId="05A79E51" w14:textId="77777777" w:rsidR="00EE598F" w:rsidRPr="00CE4FCA" w:rsidRDefault="00EE598F" w:rsidP="00CE4FCA">
            <w:pPr>
              <w:cnfStyle w:val="000000100000" w:firstRow="0" w:lastRow="0" w:firstColumn="0" w:lastColumn="0" w:oddVBand="0" w:evenVBand="0" w:oddHBand="1" w:evenHBand="0" w:firstRowFirstColumn="0" w:firstRowLastColumn="0" w:lastRowFirstColumn="0" w:lastRowLastColumn="0"/>
            </w:pPr>
            <w:r w:rsidRPr="00CE4FCA">
              <w:t>Water assets</w:t>
            </w:r>
          </w:p>
        </w:tc>
        <w:tc>
          <w:tcPr>
            <w:tcW w:w="1880" w:type="dxa"/>
          </w:tcPr>
          <w:p w14:paraId="0A71423A" w14:textId="77777777" w:rsidR="00EE598F" w:rsidRPr="00CE4FCA" w:rsidRDefault="00EE598F" w:rsidP="00CE4FCA">
            <w:pPr>
              <w:cnfStyle w:val="000000100000" w:firstRow="0" w:lastRow="0" w:firstColumn="0" w:lastColumn="0" w:oddVBand="0" w:evenVBand="0" w:oddHBand="1" w:evenHBand="0" w:firstRowFirstColumn="0" w:firstRowLastColumn="0" w:lastRowFirstColumn="0" w:lastRowLastColumn="0"/>
            </w:pPr>
            <w:r w:rsidRPr="00CE4FCA">
              <w:t>31</w:t>
            </w:r>
          </w:p>
        </w:tc>
      </w:tr>
      <w:tr w:rsidR="00EE598F" w:rsidRPr="00CE4FCA" w14:paraId="51498937" w14:textId="77777777" w:rsidTr="00CE4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14:paraId="2B94477C" w14:textId="77777777" w:rsidR="00EE598F" w:rsidRPr="00CE4FCA" w:rsidRDefault="00EE598F" w:rsidP="00CE4FCA">
            <w:r w:rsidRPr="00CE4FCA">
              <w:t>Transport</w:t>
            </w:r>
          </w:p>
        </w:tc>
        <w:tc>
          <w:tcPr>
            <w:tcW w:w="5627" w:type="dxa"/>
          </w:tcPr>
          <w:p w14:paraId="72872281" w14:textId="77777777" w:rsidR="00EE598F" w:rsidRPr="00CE4FCA" w:rsidRDefault="00EE598F" w:rsidP="00CE4FCA">
            <w:pPr>
              <w:cnfStyle w:val="000000010000" w:firstRow="0" w:lastRow="0" w:firstColumn="0" w:lastColumn="0" w:oddVBand="0" w:evenVBand="0" w:oddHBand="0" w:evenHBand="1" w:firstRowFirstColumn="0" w:firstRowLastColumn="0" w:lastRowFirstColumn="0" w:lastRowLastColumn="0"/>
            </w:pPr>
            <w:r w:rsidRPr="00CE4FCA">
              <w:t>Freight service assets</w:t>
            </w:r>
          </w:p>
        </w:tc>
        <w:tc>
          <w:tcPr>
            <w:tcW w:w="1880" w:type="dxa"/>
          </w:tcPr>
          <w:p w14:paraId="4543B37D" w14:textId="77777777" w:rsidR="00EE598F" w:rsidRPr="00CE4FCA" w:rsidRDefault="00EE598F" w:rsidP="00CE4FCA">
            <w:pPr>
              <w:cnfStyle w:val="000000010000" w:firstRow="0" w:lastRow="0" w:firstColumn="0" w:lastColumn="0" w:oddVBand="0" w:evenVBand="0" w:oddHBand="0" w:evenHBand="1" w:firstRowFirstColumn="0" w:firstRowLastColumn="0" w:lastRowFirstColumn="0" w:lastRowLastColumn="0"/>
            </w:pPr>
            <w:r w:rsidRPr="00CE4FCA">
              <w:t>56</w:t>
            </w:r>
          </w:p>
        </w:tc>
      </w:tr>
      <w:tr w:rsidR="00EE598F" w:rsidRPr="00CE4FCA" w14:paraId="2FB4EF39" w14:textId="77777777" w:rsidTr="00CE4F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14:paraId="0D21F5C6" w14:textId="77777777" w:rsidR="00EE598F" w:rsidRPr="00CE4FCA" w:rsidRDefault="00EE598F" w:rsidP="00CE4FCA">
            <w:r w:rsidRPr="00CE4FCA">
              <w:t>Transport</w:t>
            </w:r>
          </w:p>
        </w:tc>
        <w:tc>
          <w:tcPr>
            <w:tcW w:w="5627" w:type="dxa"/>
          </w:tcPr>
          <w:p w14:paraId="6ADE6AE5" w14:textId="77777777" w:rsidR="00EE598F" w:rsidRPr="00CE4FCA" w:rsidRDefault="00EE598F" w:rsidP="00CE4FCA">
            <w:pPr>
              <w:cnfStyle w:val="000000100000" w:firstRow="0" w:lastRow="0" w:firstColumn="0" w:lastColumn="0" w:oddVBand="0" w:evenVBand="0" w:oddHBand="1" w:evenHBand="0" w:firstRowFirstColumn="0" w:firstRowLastColumn="0" w:lastRowFirstColumn="0" w:lastRowLastColumn="0"/>
            </w:pPr>
            <w:r w:rsidRPr="00CE4FCA">
              <w:t>Freight infrastructure assets</w:t>
            </w:r>
          </w:p>
        </w:tc>
        <w:tc>
          <w:tcPr>
            <w:tcW w:w="1880" w:type="dxa"/>
          </w:tcPr>
          <w:p w14:paraId="71B7B558" w14:textId="77777777" w:rsidR="00EE598F" w:rsidRPr="00CE4FCA" w:rsidRDefault="00EE598F" w:rsidP="00CE4FCA">
            <w:pPr>
              <w:cnfStyle w:val="000000100000" w:firstRow="0" w:lastRow="0" w:firstColumn="0" w:lastColumn="0" w:oddVBand="0" w:evenVBand="0" w:oddHBand="1" w:evenHBand="0" w:firstRowFirstColumn="0" w:firstRowLastColumn="0" w:lastRowFirstColumn="0" w:lastRowLastColumn="0"/>
            </w:pPr>
            <w:r w:rsidRPr="00CE4FCA">
              <w:t>27</w:t>
            </w:r>
          </w:p>
        </w:tc>
      </w:tr>
      <w:tr w:rsidR="009E54CD" w:rsidRPr="00CE4FCA" w14:paraId="128C584E" w14:textId="77777777" w:rsidTr="00CE4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0" w:type="dxa"/>
            <w:gridSpan w:val="2"/>
          </w:tcPr>
          <w:p w14:paraId="79A38322" w14:textId="02CC2BD1" w:rsidR="009E54CD" w:rsidRPr="00CE4FCA" w:rsidRDefault="009E54CD" w:rsidP="00CE4FCA">
            <w:pPr>
              <w:jc w:val="right"/>
            </w:pPr>
            <w:r w:rsidRPr="00CE4FCA">
              <w:t>Total</w:t>
            </w:r>
          </w:p>
        </w:tc>
        <w:tc>
          <w:tcPr>
            <w:tcW w:w="1880" w:type="dxa"/>
          </w:tcPr>
          <w:p w14:paraId="10EA9615" w14:textId="77777777" w:rsidR="009E54CD" w:rsidRPr="00CE4FCA" w:rsidRDefault="009E54CD" w:rsidP="00CE4FCA">
            <w:pPr>
              <w:cnfStyle w:val="000000010000" w:firstRow="0" w:lastRow="0" w:firstColumn="0" w:lastColumn="0" w:oddVBand="0" w:evenVBand="0" w:oddHBand="0" w:evenHBand="1" w:firstRowFirstColumn="0" w:firstRowLastColumn="0" w:lastRowFirstColumn="0" w:lastRowLastColumn="0"/>
              <w:rPr>
                <w:b/>
              </w:rPr>
            </w:pPr>
            <w:r w:rsidRPr="00CE4FCA">
              <w:rPr>
                <w:b/>
              </w:rPr>
              <w:t>627</w:t>
            </w:r>
          </w:p>
        </w:tc>
      </w:tr>
    </w:tbl>
    <w:p w14:paraId="0ABB19CE" w14:textId="38EAF9A8" w:rsidR="00050FE6" w:rsidRDefault="00EE598F" w:rsidP="0067330A">
      <w:pPr>
        <w:pStyle w:val="CommentText"/>
        <w:rPr>
          <w:lang w:val="en-US"/>
        </w:rPr>
      </w:pPr>
      <w:r>
        <w:rPr>
          <w:b/>
        </w:rPr>
        <w:t xml:space="preserve">Source note: </w:t>
      </w:r>
      <w:r>
        <w:t xml:space="preserve">Based on Departmental data provided for impact analysis as </w:t>
      </w:r>
      <w:proofErr w:type="gramStart"/>
      <w:r>
        <w:t>at</w:t>
      </w:r>
      <w:proofErr w:type="gramEnd"/>
      <w:r>
        <w:t xml:space="preserve"> 2 February 2026.</w:t>
      </w:r>
      <w:bookmarkStart w:id="14" w:name="_Toc226463705"/>
      <w:bookmarkStart w:id="15" w:name="_Toc226463876"/>
    </w:p>
    <w:p w14:paraId="1C9250D6" w14:textId="2678FE28" w:rsidR="00E10767" w:rsidRDefault="00E10767" w:rsidP="00E10767">
      <w:pPr>
        <w:pStyle w:val="Heading2numbered"/>
        <w:rPr>
          <w:lang w:val="en-US"/>
        </w:rPr>
      </w:pPr>
      <w:bookmarkStart w:id="16" w:name="_Toc228391056"/>
      <w:r>
        <w:rPr>
          <w:lang w:val="en-US"/>
        </w:rPr>
        <w:t xml:space="preserve">Alignment with </w:t>
      </w:r>
      <w:r w:rsidR="00F3299E">
        <w:rPr>
          <w:lang w:val="en-US"/>
        </w:rPr>
        <w:t xml:space="preserve">the </w:t>
      </w:r>
      <w:r>
        <w:rPr>
          <w:lang w:val="en-US"/>
        </w:rPr>
        <w:t>current regulatory landscape</w:t>
      </w:r>
      <w:bookmarkEnd w:id="14"/>
      <w:bookmarkEnd w:id="15"/>
      <w:bookmarkEnd w:id="16"/>
    </w:p>
    <w:p w14:paraId="6A727E31" w14:textId="09D641CF" w:rsidR="00DC5A29" w:rsidRDefault="00DC5A29" w:rsidP="00DC5A29">
      <w:pPr>
        <w:pStyle w:val="BodyText"/>
        <w:rPr>
          <w:lang w:val="en-US"/>
        </w:rPr>
      </w:pPr>
      <w:r w:rsidRPr="00DC5A29">
        <w:rPr>
          <w:lang w:val="en-US"/>
        </w:rPr>
        <w:t xml:space="preserve">All asset classes in scope are already required to develop and maintain a CIRMP under Part 2A of the SOCI Act. The proposed </w:t>
      </w:r>
      <w:r w:rsidR="0044372D">
        <w:rPr>
          <w:lang w:val="en-US"/>
        </w:rPr>
        <w:t>enhancements</w:t>
      </w:r>
      <w:r w:rsidRPr="00DC5A29">
        <w:rPr>
          <w:lang w:val="en-US"/>
        </w:rPr>
        <w:t xml:space="preserve"> do not introduce a new obligation </w:t>
      </w:r>
      <w:r w:rsidR="005E13CC">
        <w:rPr>
          <w:lang w:val="en-US"/>
        </w:rPr>
        <w:t xml:space="preserve">for these asset </w:t>
      </w:r>
      <w:proofErr w:type="gramStart"/>
      <w:r w:rsidR="005E13CC">
        <w:rPr>
          <w:lang w:val="en-US"/>
        </w:rPr>
        <w:t xml:space="preserve">classes, </w:t>
      </w:r>
      <w:r w:rsidRPr="00DC5A29">
        <w:rPr>
          <w:lang w:val="en-US"/>
        </w:rPr>
        <w:t>but</w:t>
      </w:r>
      <w:proofErr w:type="gramEnd"/>
      <w:r w:rsidRPr="00DC5A29">
        <w:rPr>
          <w:lang w:val="en-US"/>
        </w:rPr>
        <w:t xml:space="preserve"> instead strengthen existing requirements to ensure a more consistent and proportionate level of risk management maturity.</w:t>
      </w:r>
    </w:p>
    <w:p w14:paraId="60260154" w14:textId="5677C4F8" w:rsidR="00D81211" w:rsidRDefault="00283A5A" w:rsidP="008E4008">
      <w:pPr>
        <w:pStyle w:val="BodyText"/>
      </w:pPr>
      <w:r w:rsidRPr="00283A5A">
        <w:t>This targeted scope is central to the impact analysis.</w:t>
      </w:r>
      <w:r>
        <w:t xml:space="preserve"> </w:t>
      </w:r>
      <w:r w:rsidR="00D81211" w:rsidRPr="00D81211">
        <w:t>The 2022 RIS costed the full CIRMP framework across a broader set of asset classes. The 2026 enhanced CIRMP package applies only to the asset classes identified as higher risk and higher consequence for this reform. It therefore imposes a smaller incremental regulatory burden than the original CIRMP framework, while targeting the areas where additional risk-management maturity is most needed.</w:t>
      </w:r>
      <w:r w:rsidR="00234F96">
        <w:t xml:space="preserve"> </w:t>
      </w:r>
      <w:r w:rsidR="00234F96" w:rsidRPr="00234F96">
        <w:t xml:space="preserve">The enhancements maintain the </w:t>
      </w:r>
      <w:r w:rsidR="002D6E18">
        <w:t>CIRMP’s</w:t>
      </w:r>
      <w:r w:rsidR="00234F96" w:rsidRPr="00234F96">
        <w:t xml:space="preserve"> existing hazard-domain structure and do not introduce new asset classes. Compliance and assurance will continue to rely primarily on existing CIRMP governance and annual reporting arrangements.</w:t>
      </w:r>
    </w:p>
    <w:p w14:paraId="64DA9354" w14:textId="4EDF1B45" w:rsidR="008E4008" w:rsidRDefault="00DC5A29" w:rsidP="008E4008">
      <w:pPr>
        <w:pStyle w:val="BodyText"/>
        <w:rPr>
          <w:lang w:val="en-US"/>
        </w:rPr>
      </w:pPr>
      <w:r w:rsidRPr="00DC5A29">
        <w:rPr>
          <w:lang w:val="en-US"/>
        </w:rPr>
        <w:t xml:space="preserve">This targeted approach </w:t>
      </w:r>
      <w:proofErr w:type="spellStart"/>
      <w:r w:rsidRPr="00DC5A29">
        <w:rPr>
          <w:lang w:val="en-US"/>
        </w:rPr>
        <w:t>recognises</w:t>
      </w:r>
      <w:proofErr w:type="spellEnd"/>
      <w:r w:rsidRPr="00DC5A29">
        <w:rPr>
          <w:lang w:val="en-US"/>
        </w:rPr>
        <w:t xml:space="preserve"> that not all critical infrastructure assets require the same level of </w:t>
      </w:r>
      <w:r w:rsidR="00B7197F">
        <w:rPr>
          <w:lang w:val="en-US"/>
        </w:rPr>
        <w:t>enhanced rules under the CIRMP</w:t>
      </w:r>
      <w:r w:rsidRPr="00DC5A29">
        <w:rPr>
          <w:lang w:val="en-US"/>
        </w:rPr>
        <w:t xml:space="preserve">. It is designed to focus effort where </w:t>
      </w:r>
      <w:r w:rsidR="00B7197F">
        <w:rPr>
          <w:lang w:val="en-US"/>
        </w:rPr>
        <w:t>it is required</w:t>
      </w:r>
      <w:r w:rsidRPr="00DC5A29">
        <w:rPr>
          <w:lang w:val="en-US"/>
        </w:rPr>
        <w:t>, avoiding unnecessary</w:t>
      </w:r>
      <w:r w:rsidR="00F652DF">
        <w:rPr>
          <w:lang w:val="en-US"/>
        </w:rPr>
        <w:t xml:space="preserve"> duplication</w:t>
      </w:r>
      <w:r w:rsidR="00B91162">
        <w:rPr>
          <w:lang w:val="en-US"/>
        </w:rPr>
        <w:t xml:space="preserve"> and</w:t>
      </w:r>
      <w:r w:rsidRPr="00DC5A29">
        <w:rPr>
          <w:lang w:val="en-US"/>
        </w:rPr>
        <w:t xml:space="preserve"> regulatory burden on </w:t>
      </w:r>
      <w:r w:rsidR="00B91162">
        <w:rPr>
          <w:lang w:val="en-US"/>
        </w:rPr>
        <w:t>other</w:t>
      </w:r>
      <w:r w:rsidRPr="00DC5A29">
        <w:rPr>
          <w:lang w:val="en-US"/>
        </w:rPr>
        <w:t xml:space="preserve"> asset classes. In some cases, asset classes not captured by the enhanced CIRMP Rules are subject to alternative regulatory frameworks that impose comparable obligations.</w:t>
      </w:r>
      <w:r w:rsidR="00B91162">
        <w:rPr>
          <w:lang w:val="en-US"/>
        </w:rPr>
        <w:t xml:space="preserve"> </w:t>
      </w:r>
      <w:r w:rsidR="00281357">
        <w:rPr>
          <w:lang w:val="en-US"/>
        </w:rPr>
        <w:t>This includes</w:t>
      </w:r>
      <w:r w:rsidR="00387F23">
        <w:rPr>
          <w:lang w:val="en-US"/>
        </w:rPr>
        <w:t xml:space="preserve"> </w:t>
      </w:r>
      <w:r w:rsidR="004004EF">
        <w:rPr>
          <w:lang w:val="en-US"/>
        </w:rPr>
        <w:t>asset classes regulated</w:t>
      </w:r>
      <w:r w:rsidR="008E4008">
        <w:rPr>
          <w:lang w:val="en-US"/>
        </w:rPr>
        <w:t xml:space="preserve"> </w:t>
      </w:r>
      <w:r w:rsidR="004004EF">
        <w:rPr>
          <w:lang w:val="en-US"/>
        </w:rPr>
        <w:t>under</w:t>
      </w:r>
      <w:r w:rsidR="008E4008">
        <w:rPr>
          <w:lang w:val="en-US"/>
        </w:rPr>
        <w:t>:</w:t>
      </w:r>
      <w:r w:rsidR="004004EF">
        <w:rPr>
          <w:lang w:val="en-US"/>
        </w:rPr>
        <w:t xml:space="preserve"> </w:t>
      </w:r>
    </w:p>
    <w:p w14:paraId="5257C8AB" w14:textId="7116433F" w:rsidR="008E4008" w:rsidRPr="00554DB8" w:rsidRDefault="004004EF" w:rsidP="008E4008">
      <w:pPr>
        <w:pStyle w:val="TableBullet"/>
        <w:rPr>
          <w:i/>
          <w:iCs/>
          <w:lang w:val="en-US"/>
        </w:rPr>
      </w:pPr>
      <w:r w:rsidRPr="00554DB8">
        <w:rPr>
          <w:i/>
          <w:iCs/>
          <w:lang w:val="en-US"/>
        </w:rPr>
        <w:t>Aviation Transport Security Act 200</w:t>
      </w:r>
      <w:r w:rsidR="00977DC5" w:rsidRPr="00554DB8">
        <w:rPr>
          <w:i/>
          <w:iCs/>
          <w:lang w:val="en-US"/>
        </w:rPr>
        <w:t>4</w:t>
      </w:r>
    </w:p>
    <w:p w14:paraId="4560105E" w14:textId="4BB10B80" w:rsidR="00DC5A29" w:rsidRDefault="006F0589" w:rsidP="008E4008">
      <w:pPr>
        <w:pStyle w:val="TableBullet"/>
        <w:rPr>
          <w:lang w:val="en-US"/>
        </w:rPr>
      </w:pPr>
      <w:r w:rsidRPr="00554DB8">
        <w:rPr>
          <w:i/>
          <w:iCs/>
          <w:lang w:val="en-US"/>
        </w:rPr>
        <w:t>Maritime Transport and Offshore Facilities Security Act 2003</w:t>
      </w:r>
    </w:p>
    <w:p w14:paraId="525259C9" w14:textId="075C8AFC" w:rsidR="00977DC5" w:rsidRDefault="001133A3" w:rsidP="008E4008">
      <w:pPr>
        <w:pStyle w:val="TableBullet"/>
        <w:rPr>
          <w:lang w:val="en-US"/>
        </w:rPr>
      </w:pPr>
      <w:r>
        <w:rPr>
          <w:lang w:val="en-US"/>
        </w:rPr>
        <w:t>APRA</w:t>
      </w:r>
      <w:r w:rsidR="004846CE">
        <w:rPr>
          <w:lang w:val="en-US"/>
        </w:rPr>
        <w:t xml:space="preserve">, specifically </w:t>
      </w:r>
      <w:r w:rsidR="00977DC5" w:rsidRPr="00977DC5">
        <w:rPr>
          <w:lang w:val="en-US"/>
        </w:rPr>
        <w:t>Prudential Standard CPS 230 – Operational Risk Management</w:t>
      </w:r>
    </w:p>
    <w:p w14:paraId="32492BC5" w14:textId="55A0DD2F" w:rsidR="004846CE" w:rsidRDefault="004846CE" w:rsidP="008E4008">
      <w:pPr>
        <w:pStyle w:val="TableBullet"/>
        <w:rPr>
          <w:lang w:val="en-US"/>
        </w:rPr>
      </w:pPr>
      <w:r>
        <w:rPr>
          <w:lang w:val="en-US"/>
        </w:rPr>
        <w:t>Defence Industry Security Program</w:t>
      </w:r>
      <w:r w:rsidR="0071356A">
        <w:rPr>
          <w:lang w:val="en-US"/>
        </w:rPr>
        <w:t>.</w:t>
      </w:r>
    </w:p>
    <w:p w14:paraId="1CD09A54" w14:textId="6D3DE83A" w:rsidR="00926734" w:rsidRPr="00471081" w:rsidRDefault="001527DF" w:rsidP="00471081">
      <w:pPr>
        <w:pStyle w:val="BodyText"/>
        <w:rPr>
          <w:lang w:val="en-US"/>
        </w:rPr>
      </w:pPr>
      <w:r>
        <w:t>The proposed rule enha</w:t>
      </w:r>
      <w:r w:rsidR="00A257AB">
        <w:t>n</w:t>
      </w:r>
      <w:r>
        <w:t xml:space="preserve">cements </w:t>
      </w:r>
      <w:r w:rsidR="00471081">
        <w:t xml:space="preserve">also </w:t>
      </w:r>
      <w:r w:rsidR="0056488D">
        <w:t xml:space="preserve">recognise that responsible entities have obligations under other legislative frameworks </w:t>
      </w:r>
      <w:r w:rsidR="0096487F">
        <w:t>that</w:t>
      </w:r>
      <w:r w:rsidR="0056488D">
        <w:t xml:space="preserve"> may mirror these obligations, </w:t>
      </w:r>
      <w:r w:rsidR="007F2691">
        <w:t>including</w:t>
      </w:r>
      <w:r>
        <w:t xml:space="preserve"> </w:t>
      </w:r>
      <w:r w:rsidR="00A257AB">
        <w:t xml:space="preserve">the </w:t>
      </w:r>
      <w:r w:rsidR="00A257AB">
        <w:rPr>
          <w:i/>
        </w:rPr>
        <w:t>Modern Slavery Act 2018</w:t>
      </w:r>
      <w:r w:rsidR="00A257AB">
        <w:t xml:space="preserve"> </w:t>
      </w:r>
      <w:r w:rsidR="00A257AB" w:rsidRPr="000360FD">
        <w:rPr>
          <w:iCs/>
        </w:rPr>
        <w:t>(</w:t>
      </w:r>
      <w:r w:rsidR="00A257AB" w:rsidRPr="00BF4558">
        <w:rPr>
          <w:iCs/>
        </w:rPr>
        <w:t>Modern</w:t>
      </w:r>
      <w:r w:rsidR="00204F2A">
        <w:t> </w:t>
      </w:r>
      <w:r w:rsidR="00A257AB" w:rsidRPr="00BF4558">
        <w:rPr>
          <w:iCs/>
        </w:rPr>
        <w:t>Slavery</w:t>
      </w:r>
      <w:r w:rsidR="00204F2A">
        <w:t> </w:t>
      </w:r>
      <w:r w:rsidR="00A257AB" w:rsidRPr="00BF4558">
        <w:rPr>
          <w:iCs/>
        </w:rPr>
        <w:t>Act</w:t>
      </w:r>
      <w:r w:rsidR="00A257AB" w:rsidRPr="000360FD">
        <w:rPr>
          <w:iCs/>
        </w:rPr>
        <w:t>),</w:t>
      </w:r>
      <w:r w:rsidR="00A257AB" w:rsidRPr="000360FD">
        <w:t xml:space="preserve"> </w:t>
      </w:r>
      <w:r w:rsidR="0056488D">
        <w:t xml:space="preserve">the </w:t>
      </w:r>
      <w:r w:rsidR="0056488D" w:rsidRPr="00204F2A">
        <w:rPr>
          <w:i/>
        </w:rPr>
        <w:t>Foreign Acquisitions and Takeovers Act 1975</w:t>
      </w:r>
      <w:r w:rsidR="00A624B7">
        <w:t>,</w:t>
      </w:r>
      <w:r w:rsidR="0056488D">
        <w:t xml:space="preserve"> </w:t>
      </w:r>
      <w:r w:rsidR="00A257AB" w:rsidRPr="000360FD">
        <w:t xml:space="preserve">and the </w:t>
      </w:r>
      <w:r w:rsidR="00A257AB" w:rsidRPr="00204F2A">
        <w:rPr>
          <w:i/>
        </w:rPr>
        <w:t>Corporations Act 2001</w:t>
      </w:r>
      <w:r w:rsidR="00A257AB">
        <w:t xml:space="preserve"> </w:t>
      </w:r>
      <w:r w:rsidR="00A257AB" w:rsidRPr="000360FD">
        <w:t>(Corporations</w:t>
      </w:r>
      <w:r w:rsidR="00204F2A">
        <w:t> </w:t>
      </w:r>
      <w:r w:rsidR="00A257AB" w:rsidRPr="000360FD">
        <w:t>Act).</w:t>
      </w:r>
      <w:r w:rsidR="00A257AB">
        <w:t xml:space="preserve"> </w:t>
      </w:r>
    </w:p>
    <w:p w14:paraId="0D12CDDD" w14:textId="1916809A" w:rsidR="00926734" w:rsidRDefault="005723FB" w:rsidP="00926734">
      <w:pPr>
        <w:pStyle w:val="Heading1numbered"/>
      </w:pPr>
      <w:bookmarkStart w:id="17" w:name="_Toc226463706"/>
      <w:bookmarkStart w:id="18" w:name="_Toc226463877"/>
      <w:bookmarkStart w:id="19" w:name="_Toc228391057"/>
      <w:r>
        <w:lastRenderedPageBreak/>
        <w:t>Opt</w:t>
      </w:r>
      <w:r w:rsidR="00780AAC">
        <w:t>ions</w:t>
      </w:r>
      <w:bookmarkEnd w:id="17"/>
      <w:bookmarkEnd w:id="18"/>
      <w:r w:rsidR="00086F15">
        <w:t xml:space="preserve"> considered and preferred approach</w:t>
      </w:r>
      <w:bookmarkEnd w:id="19"/>
    </w:p>
    <w:p w14:paraId="19641822" w14:textId="77777777" w:rsidR="00086F15" w:rsidRPr="00086F15" w:rsidRDefault="00086F15" w:rsidP="00086F15">
      <w:pPr>
        <w:pStyle w:val="BodyText"/>
      </w:pPr>
      <w:bookmarkStart w:id="20" w:name="_Toc226463707"/>
      <w:bookmarkStart w:id="21" w:name="_Toc226463878"/>
      <w:r w:rsidRPr="00086F15">
        <w:t>Government has considered three options to address the need for enhanced risk management requirements for in-scope critical infrastructure asset classes. The options have been assessed against the current CIRMP Rules as the business-as-usual baseline. All asset classes in scope are already required to develop, maintain, comply with and annually report on a CIRMP under Part 2A of the SOCI Act. The question considered in this Addendum is therefore whether additional, targeted uplift is justified above the existing CIRMP baseline.</w:t>
      </w:r>
    </w:p>
    <w:p w14:paraId="18B41A73" w14:textId="77777777" w:rsidR="00086F15" w:rsidRPr="00086F15" w:rsidRDefault="00086F15" w:rsidP="00086F15">
      <w:pPr>
        <w:pStyle w:val="BodyText"/>
      </w:pPr>
      <w:r w:rsidRPr="00086F15">
        <w:t xml:space="preserve">The options are assessed against effectiveness in addressing identified risks, proportionality, direct regulatory burden, implementation feasibility, consistency with the existing CIRMP architecture, consultation feedback and expected net benefit. This approach reflects the incremental nature of the proposed amendments and avoids </w:t>
      </w:r>
      <w:proofErr w:type="gramStart"/>
      <w:r w:rsidRPr="00086F15">
        <w:t>double-counting</w:t>
      </w:r>
      <w:proofErr w:type="gramEnd"/>
      <w:r w:rsidRPr="00086F15">
        <w:t xml:space="preserve"> the costs of activities already required under the existing CIRMP Rules.</w:t>
      </w:r>
    </w:p>
    <w:p w14:paraId="0476B8FB" w14:textId="7BB638F5" w:rsidR="00DC18A9" w:rsidRPr="00DC18A9" w:rsidRDefault="00A32A53" w:rsidP="00086F15">
      <w:pPr>
        <w:pStyle w:val="Heading2numbered"/>
        <w:rPr>
          <w:lang w:val="en-US"/>
        </w:rPr>
      </w:pPr>
      <w:bookmarkStart w:id="22" w:name="_Toc228391058"/>
      <w:r w:rsidRPr="00A32A53">
        <w:rPr>
          <w:lang w:val="en-US"/>
        </w:rPr>
        <w:t>Option 1: Status quo</w:t>
      </w:r>
      <w:bookmarkEnd w:id="20"/>
      <w:bookmarkEnd w:id="21"/>
      <w:bookmarkEnd w:id="22"/>
    </w:p>
    <w:p w14:paraId="6785837B" w14:textId="77777777" w:rsidR="008E295A" w:rsidRPr="008E295A" w:rsidRDefault="008E295A" w:rsidP="008E295A">
      <w:pPr>
        <w:pStyle w:val="BodyText"/>
      </w:pPr>
      <w:bookmarkStart w:id="23" w:name="_Toc226463708"/>
      <w:bookmarkStart w:id="24" w:name="_Toc226463879"/>
      <w:r w:rsidRPr="008E295A">
        <w:t>Under Option 1, no amendments would be made to the CIRMP Rules. Responsible entities for the nine in-scope asset classes would continue to comply with existing CIRMP requirements, including the obligation to identify, assess and manage material risks across cyber and information security, personnel, supply chain, and physical and natural hazard domains through a written all-hazards risk management program.</w:t>
      </w:r>
    </w:p>
    <w:p w14:paraId="08120717" w14:textId="77777777" w:rsidR="008E295A" w:rsidRPr="008E295A" w:rsidRDefault="008E295A" w:rsidP="008E295A">
      <w:pPr>
        <w:pStyle w:val="BodyText"/>
      </w:pPr>
      <w:r w:rsidRPr="008E295A">
        <w:t>Government would continue business-as-usual threat engagement, sector engagement, guidance and regulatory oversight. However, no additional rule-based clarification or uplift would be introduced for the in-scope asset classes.</w:t>
      </w:r>
    </w:p>
    <w:p w14:paraId="36A6A512" w14:textId="7D875AC2" w:rsidR="008E295A" w:rsidRPr="008E295A" w:rsidRDefault="008E295A" w:rsidP="008E295A">
      <w:pPr>
        <w:pStyle w:val="BodyText"/>
      </w:pPr>
      <w:r w:rsidRPr="008E295A">
        <w:t xml:space="preserve">The existing CIRMP Rules have established a baseline level of risk management maturity and have driven an uplift in risk management practices. However, they were designed as a broad, </w:t>
      </w:r>
      <w:r w:rsidR="00A06DCF">
        <w:t>multi-sector</w:t>
      </w:r>
      <w:r w:rsidRPr="008E295A">
        <w:t xml:space="preserve"> framework and do not provide additional specificity for high-risk asset classes operating in a more complex and interconnected threat environment. Responsible entities would continue to interpret and implement requirements with varying levels of maturity, resulting in inconsistent application of risk management practices across sectors.</w:t>
      </w:r>
    </w:p>
    <w:p w14:paraId="22716ED6" w14:textId="48344B91" w:rsidR="008E295A" w:rsidRPr="008E295A" w:rsidRDefault="008E295A" w:rsidP="008E295A">
      <w:pPr>
        <w:pStyle w:val="BodyText"/>
        <w:rPr>
          <w:rFonts w:asciiTheme="majorHAnsi" w:eastAsiaTheme="minorHAnsi" w:hAnsiTheme="majorHAnsi" w:cstheme="minorBidi"/>
          <w:b/>
          <w:noProof/>
          <w:color w:val="000000" w:themeColor="text1"/>
          <w:sz w:val="28"/>
          <w:szCs w:val="28"/>
          <w:lang w:val="en-US" w:eastAsia="en-US"/>
        </w:rPr>
      </w:pPr>
      <w:r w:rsidRPr="008E295A">
        <w:t xml:space="preserve">Option 1 would avoid </w:t>
      </w:r>
      <w:r w:rsidR="00FA4211">
        <w:t xml:space="preserve">any </w:t>
      </w:r>
      <w:r w:rsidRPr="008E295A">
        <w:t>new direct regulatory burden. However, it would not address identified gaps in the consistency, maturity and documentation of risk management practices for high-risk assets. It would also not address the increasing complexity and severity of the threat environment identified through intelligence assessments, operational experience and stakeholder feedback. Maintaining current settings would risk a widening gap between regulatory expectations and the nature of contemporary threats. As a result, this option is not preferred.</w:t>
      </w:r>
    </w:p>
    <w:p w14:paraId="7BA1E079" w14:textId="57BDABB7" w:rsidR="00B87273" w:rsidRPr="00B87273" w:rsidRDefault="00B87273" w:rsidP="008E295A">
      <w:pPr>
        <w:pStyle w:val="Heading2numbered"/>
        <w:rPr>
          <w:lang w:val="en-US"/>
        </w:rPr>
      </w:pPr>
      <w:bookmarkStart w:id="25" w:name="_Toc228391059"/>
      <w:r w:rsidRPr="00B87273">
        <w:rPr>
          <w:lang w:val="en-US"/>
        </w:rPr>
        <w:t xml:space="preserve">Option 2: </w:t>
      </w:r>
      <w:r w:rsidR="00061830">
        <w:rPr>
          <w:lang w:val="en-US"/>
        </w:rPr>
        <w:t>Improved awareness</w:t>
      </w:r>
      <w:bookmarkEnd w:id="23"/>
      <w:bookmarkEnd w:id="24"/>
      <w:bookmarkEnd w:id="25"/>
    </w:p>
    <w:p w14:paraId="46346D92" w14:textId="77777777" w:rsidR="002E6440" w:rsidRPr="002E6440" w:rsidRDefault="002E6440" w:rsidP="002E6440">
      <w:pPr>
        <w:pStyle w:val="BodyText"/>
      </w:pPr>
      <w:bookmarkStart w:id="26" w:name="_Toc226463709"/>
      <w:bookmarkStart w:id="27" w:name="_Toc226463880"/>
      <w:r w:rsidRPr="002E6440">
        <w:t>Under Option 2, the CIRMP Rules would remain unchanged, but Government would seek to improve risk management practices through non-regulatory measures. These could include updated guidance, templates, advisory materials, threat briefings, best-practice materials, voluntary uplift pathways and continued engagement through the Trusted Information Sharing Network and other sector forums.</w:t>
      </w:r>
    </w:p>
    <w:p w14:paraId="645C500E" w14:textId="5BEACB8B" w:rsidR="002E6440" w:rsidRPr="002E6440" w:rsidRDefault="002E6440" w:rsidP="002E6440">
      <w:pPr>
        <w:pStyle w:val="BodyText"/>
      </w:pPr>
      <w:r w:rsidRPr="002E6440">
        <w:t xml:space="preserve">This option would allow responsible entities </w:t>
      </w:r>
      <w:r w:rsidR="00FA4211">
        <w:t>to adopt improved practices tailored to their operating context voluntarily</w:t>
      </w:r>
      <w:r w:rsidRPr="002E6440">
        <w:t>. It would avoid imposing mandatory new compliance costs on responsible entities, provided the measures remained genuinely voluntary. It would involve some additional cost to Government in developing and delivering guidance and engagement activities.</w:t>
      </w:r>
    </w:p>
    <w:p w14:paraId="44781701" w14:textId="77777777" w:rsidR="002E6440" w:rsidRPr="002E6440" w:rsidRDefault="002E6440" w:rsidP="002E6440">
      <w:pPr>
        <w:pStyle w:val="BodyText"/>
      </w:pPr>
      <w:r w:rsidRPr="002E6440">
        <w:t>While this approach may improve awareness and support incremental improvements, its effectiveness would depend on voluntary uptake by responsible entities. Consultation feedback indicates that guidance alone is unlikely to deliver consistent uplift across all in-scope asset classes. Voluntary measures may be adopted unevenly, particularly when implementation involves capital expenditure, legacy operational technology environments, constrained supplier markets, contractor workforces, or investments that require approval through regulated pricing or funding cycles.</w:t>
      </w:r>
    </w:p>
    <w:p w14:paraId="3397EDCC" w14:textId="77777777" w:rsidR="002E6440" w:rsidRPr="002E6440" w:rsidRDefault="002E6440" w:rsidP="002E6440">
      <w:pPr>
        <w:pStyle w:val="BodyText"/>
        <w:rPr>
          <w:rFonts w:asciiTheme="majorHAnsi" w:eastAsiaTheme="minorHAnsi" w:hAnsiTheme="majorHAnsi" w:cstheme="minorBidi"/>
          <w:b/>
          <w:noProof/>
          <w:color w:val="000000" w:themeColor="text1"/>
          <w:sz w:val="28"/>
          <w:szCs w:val="28"/>
          <w:lang w:val="en-US" w:eastAsia="en-US"/>
        </w:rPr>
      </w:pPr>
      <w:r w:rsidRPr="002E6440">
        <w:t xml:space="preserve">Non-regulatory approaches would support awareness and voluntary uplift, but would not deliver consistent, enforceable or auditable improvements across the in-scope asset classes. Variability in capability and risk </w:t>
      </w:r>
      <w:r w:rsidRPr="002E6440">
        <w:lastRenderedPageBreak/>
        <w:t>prioritisation would likely persist, particularly in sectors with constrained resources or complex operating environments. As a result, this option is not preferred.</w:t>
      </w:r>
    </w:p>
    <w:p w14:paraId="7559D691" w14:textId="2A199C8F" w:rsidR="00B87273" w:rsidRPr="00B87273" w:rsidRDefault="00B87273" w:rsidP="002E6440">
      <w:pPr>
        <w:pStyle w:val="Heading2numbered"/>
        <w:rPr>
          <w:lang w:val="en-US"/>
        </w:rPr>
      </w:pPr>
      <w:bookmarkStart w:id="28" w:name="_Toc228391060"/>
      <w:r w:rsidRPr="00B87273">
        <w:rPr>
          <w:lang w:val="en-US"/>
        </w:rPr>
        <w:t xml:space="preserve">Option 3: </w:t>
      </w:r>
      <w:bookmarkEnd w:id="26"/>
      <w:bookmarkEnd w:id="27"/>
      <w:r w:rsidR="0067330A" w:rsidRPr="0067330A">
        <w:rPr>
          <w:lang w:val="en-US"/>
        </w:rPr>
        <w:t>Enhanced CIRMP requirements</w:t>
      </w:r>
      <w:bookmarkEnd w:id="28"/>
    </w:p>
    <w:p w14:paraId="119D1D14" w14:textId="3F677EB2" w:rsidR="00353260" w:rsidRPr="00353260" w:rsidRDefault="00BF0984" w:rsidP="00353260">
      <w:pPr>
        <w:pStyle w:val="BodyText"/>
      </w:pPr>
      <w:bookmarkStart w:id="29" w:name="_Toc226463881"/>
      <w:r w:rsidRPr="00BF0984">
        <w:t>Consistent with the targeted scope described in Section 1.3</w:t>
      </w:r>
      <w:r>
        <w:t>, u</w:t>
      </w:r>
      <w:r w:rsidR="00353260" w:rsidRPr="00353260">
        <w:t>nder Option 3, the CIRMP Rules would be amended to introduce targeted enhanced requirements for the nine in-scope asset classes only. The enhancements build on the existing CIRMP framework rather than creating a new regulatory model. They clarify and strengthen how responsible entities for in-scope assets must identify, assess, document, govern and manage material risks in areas where the existing framework has not produced sufficiently consistent maturity.</w:t>
      </w:r>
    </w:p>
    <w:p w14:paraId="5371524B" w14:textId="142DE166" w:rsidR="00353260" w:rsidRPr="00353260" w:rsidRDefault="00353260" w:rsidP="00353260">
      <w:pPr>
        <w:pStyle w:val="BodyText"/>
      </w:pPr>
      <w:r w:rsidRPr="00353260">
        <w:t>Option 3 does not expand the CIRMP to new asset classes and does not apply enhanced obligations to all asset classes subject to the existing CIRMP. Responsible entities for in-scope assets would remain subject to existing baseline CIRMP obligations and also to enhanced requirements. The enhanced requirements would prevail to the extent of any inconsistency.</w:t>
      </w:r>
    </w:p>
    <w:p w14:paraId="3D6EF2C5" w14:textId="73397380" w:rsidR="00353260" w:rsidRPr="00353260" w:rsidRDefault="00353260" w:rsidP="00353260">
      <w:pPr>
        <w:pStyle w:val="BodyText"/>
      </w:pPr>
      <w:r w:rsidRPr="00353260">
        <w:t>The Exposure Draft gives effect to this option through enhanced requirements in sections 6A, 8A,</w:t>
      </w:r>
      <w:r w:rsidR="005A6DD0">
        <w:t xml:space="preserve"> 8B, 8C,</w:t>
      </w:r>
      <w:r w:rsidRPr="00353260">
        <w:t xml:space="preserve"> 9A, 10A and 11A. The final policy position has been refined following consultation. The previously consulted specified-risk-advice workflow is not treated as a standalone final measure. The remaining measures can be implemented in a risk-based manner and supported by guidance, implementation planning and proportional assurance.</w:t>
      </w:r>
    </w:p>
    <w:p w14:paraId="33D93D59" w14:textId="0780EB98" w:rsidR="00853106" w:rsidRDefault="00353260" w:rsidP="00CD74D0">
      <w:pPr>
        <w:pStyle w:val="BodyText"/>
      </w:pPr>
      <w:r w:rsidRPr="00353260">
        <w:t xml:space="preserve">Option 3 provides a clearer and more enforceable basis for uplift in high-risk asset classes while maintaining flexibility for responsible entities to tailor controls to asset criticality, operational context, legacy systems, supplier constraints and existing risk-management arrangements. It also </w:t>
      </w:r>
      <w:r w:rsidR="005F6E0D">
        <w:t>provides pricing regulators with a clearer indication of the required uplift,</w:t>
      </w:r>
      <w:r w:rsidRPr="00353260">
        <w:t xml:space="preserve"> which may support funding and cost-recovery decisions in economically regulated sectors.</w:t>
      </w:r>
    </w:p>
    <w:p w14:paraId="653D6708" w14:textId="5521AF2E" w:rsidR="00CD74D0" w:rsidRDefault="00CD74D0" w:rsidP="00CD74D0">
      <w:pPr>
        <w:pStyle w:val="Caption"/>
      </w:pPr>
      <w:r>
        <w:t xml:space="preserve">Table </w:t>
      </w:r>
      <w:fldSimple w:instr=" SEQ Table \* ARABIC ">
        <w:r w:rsidR="00B90D57">
          <w:rPr>
            <w:noProof/>
          </w:rPr>
          <w:t>3</w:t>
        </w:r>
      </w:fldSimple>
      <w:r>
        <w:t>: Enhanced requirements under Option 3</w:t>
      </w:r>
    </w:p>
    <w:tbl>
      <w:tblPr>
        <w:tblStyle w:val="HATableStyle1default"/>
        <w:tblW w:w="0" w:type="auto"/>
        <w:tblLook w:val="04A0" w:firstRow="1" w:lastRow="0" w:firstColumn="1" w:lastColumn="0" w:noHBand="0" w:noVBand="1"/>
      </w:tblPr>
      <w:tblGrid>
        <w:gridCol w:w="1506"/>
        <w:gridCol w:w="2722"/>
        <w:gridCol w:w="5662"/>
      </w:tblGrid>
      <w:tr w:rsidR="000C127A" w:rsidRPr="000C127A" w14:paraId="579F5257" w14:textId="77777777" w:rsidTr="0052767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06" w:type="dxa"/>
          </w:tcPr>
          <w:p w14:paraId="70A97246" w14:textId="17BC2E8D" w:rsidR="000C127A" w:rsidRPr="000C127A" w:rsidRDefault="000C127A" w:rsidP="000C127A">
            <w:r w:rsidRPr="000C127A">
              <w:t xml:space="preserve">Draft rule </w:t>
            </w:r>
            <w:r w:rsidR="00853106">
              <w:t>section</w:t>
            </w:r>
          </w:p>
        </w:tc>
        <w:tc>
          <w:tcPr>
            <w:tcW w:w="2722" w:type="dxa"/>
          </w:tcPr>
          <w:p w14:paraId="2F91E131" w14:textId="2F670E80" w:rsidR="000C127A" w:rsidRPr="000C127A" w:rsidRDefault="00CB2848" w:rsidP="000C127A">
            <w:pPr>
              <w:cnfStyle w:val="100000000000" w:firstRow="1" w:lastRow="0" w:firstColumn="0" w:lastColumn="0" w:oddVBand="0" w:evenVBand="0" w:oddHBand="0" w:evenHBand="0" w:firstRowFirstColumn="0" w:firstRowLastColumn="0" w:lastRowFirstColumn="0" w:lastRowLastColumn="0"/>
            </w:pPr>
            <w:r>
              <w:t xml:space="preserve">Hazard </w:t>
            </w:r>
            <w:r w:rsidR="000C127A" w:rsidRPr="000C127A">
              <w:t>Enhancement</w:t>
            </w:r>
          </w:p>
        </w:tc>
        <w:tc>
          <w:tcPr>
            <w:tcW w:w="5662" w:type="dxa"/>
          </w:tcPr>
          <w:p w14:paraId="0A78CEB9" w14:textId="354CB0A1" w:rsidR="000C127A" w:rsidRPr="000C127A" w:rsidRDefault="000C127A" w:rsidP="000C127A">
            <w:pPr>
              <w:cnfStyle w:val="100000000000" w:firstRow="1" w:lastRow="0" w:firstColumn="0" w:lastColumn="0" w:oddVBand="0" w:evenVBand="0" w:oddHBand="0" w:evenHBand="0" w:firstRowFirstColumn="0" w:firstRowLastColumn="0" w:lastRowFirstColumn="0" w:lastRowLastColumn="0"/>
            </w:pPr>
            <w:r w:rsidRPr="000C127A">
              <w:t>Description</w:t>
            </w:r>
          </w:p>
        </w:tc>
      </w:tr>
      <w:tr w:rsidR="00CD74D0" w:rsidRPr="000C127A" w14:paraId="6CF06BC5" w14:textId="77777777" w:rsidTr="005276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06" w:type="dxa"/>
          </w:tcPr>
          <w:p w14:paraId="4BB60CBA" w14:textId="79CC9A47" w:rsidR="00CD74D0" w:rsidRPr="00CD74D0" w:rsidRDefault="00CD74D0" w:rsidP="00CD74D0">
            <w:r w:rsidRPr="00CD74D0">
              <w:t>Section 4A</w:t>
            </w:r>
          </w:p>
        </w:tc>
        <w:tc>
          <w:tcPr>
            <w:tcW w:w="2722" w:type="dxa"/>
          </w:tcPr>
          <w:p w14:paraId="22131A95" w14:textId="394793C0" w:rsidR="00CD74D0" w:rsidRPr="00CD74D0" w:rsidRDefault="00CD74D0" w:rsidP="00CD74D0">
            <w:pPr>
              <w:cnfStyle w:val="000000100000" w:firstRow="0" w:lastRow="0" w:firstColumn="0" w:lastColumn="0" w:oddVBand="0" w:evenVBand="0" w:oddHBand="1" w:evenHBand="0" w:firstRowFirstColumn="0" w:firstRowLastColumn="0" w:lastRowFirstColumn="0" w:lastRowLastColumn="0"/>
            </w:pPr>
            <w:r w:rsidRPr="00CD74D0">
              <w:t>Application of enhanced CIRMP requirements</w:t>
            </w:r>
          </w:p>
        </w:tc>
        <w:tc>
          <w:tcPr>
            <w:tcW w:w="5662" w:type="dxa"/>
          </w:tcPr>
          <w:p w14:paraId="51EF85E4" w14:textId="09FBED44" w:rsidR="00CD74D0" w:rsidRPr="00CD74D0" w:rsidRDefault="00CD74D0" w:rsidP="00CD74D0">
            <w:pPr>
              <w:cnfStyle w:val="000000100000" w:firstRow="0" w:lastRow="0" w:firstColumn="0" w:lastColumn="0" w:oddVBand="0" w:evenVBand="0" w:oddHBand="1" w:evenHBand="0" w:firstRowFirstColumn="0" w:firstRowLastColumn="0" w:lastRowFirstColumn="0" w:lastRowLastColumn="0"/>
            </w:pPr>
            <w:r w:rsidRPr="00CD74D0">
              <w:t>Identifies the specified asset classes to which the enhanced requirements apply and clarifies the relationship between baseline and enhanced CIRMP obligations.</w:t>
            </w:r>
          </w:p>
        </w:tc>
      </w:tr>
      <w:tr w:rsidR="00CD74D0" w:rsidRPr="000C127A" w14:paraId="3BDDFCB1" w14:textId="77777777" w:rsidTr="0052767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06" w:type="dxa"/>
          </w:tcPr>
          <w:p w14:paraId="1626CA38" w14:textId="77777777" w:rsidR="00CD74D0" w:rsidRPr="000C127A" w:rsidRDefault="00CD74D0" w:rsidP="00CD74D0">
            <w:r w:rsidRPr="000C127A">
              <w:t>Section 6A</w:t>
            </w:r>
          </w:p>
        </w:tc>
        <w:tc>
          <w:tcPr>
            <w:tcW w:w="2722" w:type="dxa"/>
          </w:tcPr>
          <w:p w14:paraId="69288E6C" w14:textId="0AF3CBB5" w:rsidR="00CD74D0" w:rsidRPr="000C127A" w:rsidRDefault="00CD74D0" w:rsidP="00CD74D0">
            <w:pPr>
              <w:cnfStyle w:val="000000010000" w:firstRow="0" w:lastRow="0" w:firstColumn="0" w:lastColumn="0" w:oddVBand="0" w:evenVBand="0" w:oddHBand="0" w:evenHBand="1" w:firstRowFirstColumn="0" w:firstRowLastColumn="0" w:lastRowFirstColumn="0" w:lastRowLastColumn="0"/>
            </w:pPr>
            <w:r w:rsidRPr="00023447">
              <w:t>Enhanced material risks</w:t>
            </w:r>
          </w:p>
        </w:tc>
        <w:tc>
          <w:tcPr>
            <w:tcW w:w="5662" w:type="dxa"/>
          </w:tcPr>
          <w:p w14:paraId="53ECBB65" w14:textId="077BC721" w:rsidR="00CD74D0" w:rsidRPr="000C127A" w:rsidRDefault="00CD74D0" w:rsidP="00CD74D0">
            <w:pPr>
              <w:cnfStyle w:val="000000010000" w:firstRow="0" w:lastRow="0" w:firstColumn="0" w:lastColumn="0" w:oddVBand="0" w:evenVBand="0" w:oddHBand="0" w:evenHBand="1" w:firstRowFirstColumn="0" w:firstRowLastColumn="0" w:lastRowFirstColumn="0" w:lastRowLastColumn="0"/>
            </w:pPr>
            <w:r w:rsidRPr="000C127A">
              <w:t xml:space="preserve">Requires responsible entities to consider material risks relating to </w:t>
            </w:r>
            <w:r w:rsidRPr="004B5D90">
              <w:t>impairment of asset functions affecting social stability, economic stability, national security or defence, and compromise or impairment connected with FOCI</w:t>
            </w:r>
            <w:r w:rsidRPr="000C127A">
              <w:t>.</w:t>
            </w:r>
          </w:p>
        </w:tc>
      </w:tr>
      <w:tr w:rsidR="00CD74D0" w:rsidRPr="000C127A" w14:paraId="2D25F83B" w14:textId="77777777" w:rsidTr="005276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06" w:type="dxa"/>
          </w:tcPr>
          <w:p w14:paraId="4E33D476" w14:textId="77777777" w:rsidR="00CD74D0" w:rsidRPr="000C127A" w:rsidRDefault="00CD74D0" w:rsidP="00CD74D0">
            <w:r w:rsidRPr="000C127A">
              <w:t>Section 8A</w:t>
            </w:r>
          </w:p>
        </w:tc>
        <w:tc>
          <w:tcPr>
            <w:tcW w:w="2722" w:type="dxa"/>
          </w:tcPr>
          <w:p w14:paraId="356A9B9E" w14:textId="77777777" w:rsidR="00CD74D0" w:rsidRPr="000C127A" w:rsidRDefault="00CD74D0" w:rsidP="00CD74D0">
            <w:pPr>
              <w:cnfStyle w:val="000000100000" w:firstRow="0" w:lastRow="0" w:firstColumn="0" w:lastColumn="0" w:oddVBand="0" w:evenVBand="0" w:oddHBand="1" w:evenHBand="0" w:firstRowFirstColumn="0" w:firstRowLastColumn="0" w:lastRowFirstColumn="0" w:lastRowLastColumn="0"/>
            </w:pPr>
            <w:r w:rsidRPr="000C127A">
              <w:t>Cyber and information security hazards</w:t>
            </w:r>
          </w:p>
        </w:tc>
        <w:tc>
          <w:tcPr>
            <w:tcW w:w="5662" w:type="dxa"/>
          </w:tcPr>
          <w:p w14:paraId="55E0D3B0" w14:textId="09D22965" w:rsidR="00CD74D0" w:rsidRPr="000C127A" w:rsidRDefault="00CD74D0" w:rsidP="00CD74D0">
            <w:pPr>
              <w:cnfStyle w:val="000000100000" w:firstRow="0" w:lastRow="0" w:firstColumn="0" w:lastColumn="0" w:oddVBand="0" w:evenVBand="0" w:oddHBand="1" w:evenHBand="0" w:firstRowFirstColumn="0" w:firstRowLastColumn="0" w:lastRowFirstColumn="0" w:lastRowLastColumn="0"/>
            </w:pPr>
            <w:r w:rsidRPr="006404B4">
              <w:t>Requires processes or systems to address specified cyber material risks</w:t>
            </w:r>
            <w:r w:rsidR="00FC4BFA">
              <w:t xml:space="preserve"> and</w:t>
            </w:r>
            <w:r w:rsidRPr="006404B4">
              <w:t xml:space="preserve"> comply with listed cyber frameworks and applicable conditions or an equivalent framework.</w:t>
            </w:r>
          </w:p>
        </w:tc>
      </w:tr>
      <w:tr w:rsidR="00FC4BFA" w:rsidRPr="000C127A" w14:paraId="500C15DB" w14:textId="77777777" w:rsidTr="0052767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06" w:type="dxa"/>
          </w:tcPr>
          <w:p w14:paraId="16FBC30D" w14:textId="27070A5C" w:rsidR="00FC4BFA" w:rsidRPr="000C127A" w:rsidRDefault="00FC4BFA" w:rsidP="00CD74D0">
            <w:r>
              <w:t>Section 8B</w:t>
            </w:r>
          </w:p>
        </w:tc>
        <w:tc>
          <w:tcPr>
            <w:tcW w:w="2722" w:type="dxa"/>
          </w:tcPr>
          <w:p w14:paraId="53767F4C" w14:textId="633C61A6" w:rsidR="00FC4BFA" w:rsidRPr="000C127A" w:rsidRDefault="00FC4BFA" w:rsidP="00CD74D0">
            <w:pPr>
              <w:cnfStyle w:val="000000010000" w:firstRow="0" w:lastRow="0" w:firstColumn="0" w:lastColumn="0" w:oddVBand="0" w:evenVBand="0" w:oddHBand="0" w:evenHBand="1" w:firstRowFirstColumn="0" w:firstRowLastColumn="0" w:lastRowFirstColumn="0" w:lastRowLastColumn="0"/>
            </w:pPr>
            <w:r>
              <w:t>Credential compromise hazard</w:t>
            </w:r>
          </w:p>
        </w:tc>
        <w:tc>
          <w:tcPr>
            <w:tcW w:w="5662" w:type="dxa"/>
          </w:tcPr>
          <w:p w14:paraId="03FE5B95" w14:textId="5E8AAECD" w:rsidR="00FC4BFA" w:rsidRPr="000C127A" w:rsidRDefault="00FC4BFA" w:rsidP="00CD74D0">
            <w:pPr>
              <w:cnfStyle w:val="000000010000" w:firstRow="0" w:lastRow="0" w:firstColumn="0" w:lastColumn="0" w:oddVBand="0" w:evenVBand="0" w:oddHBand="0" w:evenHBand="1" w:firstRowFirstColumn="0" w:firstRowLastColumn="0" w:lastRowFirstColumn="0" w:lastRowLastColumn="0"/>
            </w:pPr>
            <w:r>
              <w:t xml:space="preserve">Requires processes or systems to be </w:t>
            </w:r>
            <w:r w:rsidRPr="006404B4">
              <w:t>implement</w:t>
            </w:r>
            <w:r>
              <w:t>ed that achieve</w:t>
            </w:r>
            <w:r w:rsidRPr="006404B4">
              <w:t xml:space="preserve"> phishing-resistant MFA</w:t>
            </w:r>
            <w:r w:rsidR="00B1781C">
              <w:t>.</w:t>
            </w:r>
            <w:r w:rsidRPr="006404B4">
              <w:t xml:space="preserve"> </w:t>
            </w:r>
          </w:p>
        </w:tc>
      </w:tr>
      <w:tr w:rsidR="00FC4BFA" w:rsidRPr="000C127A" w14:paraId="1278942C" w14:textId="77777777" w:rsidTr="005276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06" w:type="dxa"/>
          </w:tcPr>
          <w:p w14:paraId="17453591" w14:textId="02EA3AD8" w:rsidR="00FC4BFA" w:rsidRPr="000C127A" w:rsidRDefault="00FC4BFA" w:rsidP="00CD74D0">
            <w:r>
              <w:t>Section 8C</w:t>
            </w:r>
          </w:p>
        </w:tc>
        <w:tc>
          <w:tcPr>
            <w:tcW w:w="2722" w:type="dxa"/>
          </w:tcPr>
          <w:p w14:paraId="5524B42C" w14:textId="60A512C5" w:rsidR="00FC4BFA" w:rsidRPr="000C127A" w:rsidRDefault="00FC4BFA" w:rsidP="00CD74D0">
            <w:pPr>
              <w:cnfStyle w:val="000000100000" w:firstRow="0" w:lastRow="0" w:firstColumn="0" w:lastColumn="0" w:oddVBand="0" w:evenVBand="0" w:oddHBand="1" w:evenHBand="0" w:firstRowFirstColumn="0" w:firstRowLastColumn="0" w:lastRowFirstColumn="0" w:lastRowLastColumn="0"/>
            </w:pPr>
            <w:r>
              <w:t>Computer lateral movement hazard</w:t>
            </w:r>
          </w:p>
        </w:tc>
        <w:tc>
          <w:tcPr>
            <w:tcW w:w="5662" w:type="dxa"/>
          </w:tcPr>
          <w:p w14:paraId="7C20D42C" w14:textId="395DC9FC" w:rsidR="00FC4BFA" w:rsidRPr="000C127A" w:rsidRDefault="00FC4BFA" w:rsidP="00CD74D0">
            <w:pPr>
              <w:cnfStyle w:val="000000100000" w:firstRow="0" w:lastRow="0" w:firstColumn="0" w:lastColumn="0" w:oddVBand="0" w:evenVBand="0" w:oddHBand="1" w:evenHBand="0" w:firstRowFirstColumn="0" w:firstRowLastColumn="0" w:lastRowFirstColumn="0" w:lastRowLastColumn="0"/>
            </w:pPr>
            <w:r>
              <w:t xml:space="preserve">Requires processes or systems to be implemented that </w:t>
            </w:r>
            <w:r w:rsidRPr="006404B4">
              <w:t xml:space="preserve">identify, segregate, recover and restore critical </w:t>
            </w:r>
            <w:r w:rsidR="00B1781C">
              <w:t>systems.</w:t>
            </w:r>
          </w:p>
        </w:tc>
      </w:tr>
      <w:tr w:rsidR="00CD74D0" w:rsidRPr="000C127A" w14:paraId="78B834A8" w14:textId="77777777" w:rsidTr="0052767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06" w:type="dxa"/>
          </w:tcPr>
          <w:p w14:paraId="24B0BB7D" w14:textId="77777777" w:rsidR="00CD74D0" w:rsidRPr="000C127A" w:rsidRDefault="00CD74D0" w:rsidP="00CD74D0">
            <w:r w:rsidRPr="000C127A">
              <w:t>Section 9A</w:t>
            </w:r>
          </w:p>
        </w:tc>
        <w:tc>
          <w:tcPr>
            <w:tcW w:w="2722" w:type="dxa"/>
          </w:tcPr>
          <w:p w14:paraId="2B156BE6" w14:textId="77777777" w:rsidR="00CD74D0" w:rsidRPr="000C127A" w:rsidRDefault="00CD74D0" w:rsidP="00CD74D0">
            <w:pPr>
              <w:cnfStyle w:val="000000010000" w:firstRow="0" w:lastRow="0" w:firstColumn="0" w:lastColumn="0" w:oddVBand="0" w:evenVBand="0" w:oddHBand="0" w:evenHBand="1" w:firstRowFirstColumn="0" w:firstRowLastColumn="0" w:lastRowFirstColumn="0" w:lastRowLastColumn="0"/>
            </w:pPr>
            <w:r w:rsidRPr="000C127A">
              <w:t>Personnel hazards</w:t>
            </w:r>
          </w:p>
        </w:tc>
        <w:tc>
          <w:tcPr>
            <w:tcW w:w="5662" w:type="dxa"/>
          </w:tcPr>
          <w:p w14:paraId="6FD926F3" w14:textId="565ECE1F" w:rsidR="00CD74D0" w:rsidRPr="000C127A" w:rsidRDefault="00CD74D0" w:rsidP="00CD74D0">
            <w:pPr>
              <w:cnfStyle w:val="000000010000" w:firstRow="0" w:lastRow="0" w:firstColumn="0" w:lastColumn="0" w:oddVBand="0" w:evenVBand="0" w:oddHBand="0" w:evenHBand="1" w:firstRowFirstColumn="0" w:firstRowLastColumn="0" w:lastRowFirstColumn="0" w:lastRowLastColumn="0"/>
            </w:pPr>
            <w:r w:rsidRPr="000C127A">
              <w:t xml:space="preserve">Requires processes or systems for personnel access management, critical worker suitability assessment, ongoing monitoring, incoming and outgoing critical worker risks, and AusCheck or </w:t>
            </w:r>
            <w:r w:rsidR="00B1781C">
              <w:t>equivalent</w:t>
            </w:r>
            <w:r w:rsidRPr="000C127A">
              <w:t xml:space="preserve"> arrangements for </w:t>
            </w:r>
            <w:r w:rsidRPr="000E535D">
              <w:t xml:space="preserve">critical workers with access to critical </w:t>
            </w:r>
            <w:r w:rsidR="008D4682">
              <w:t>components.</w:t>
            </w:r>
          </w:p>
        </w:tc>
      </w:tr>
      <w:tr w:rsidR="00CD74D0" w:rsidRPr="000C127A" w14:paraId="3E8F6A30" w14:textId="77777777" w:rsidTr="005276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06" w:type="dxa"/>
          </w:tcPr>
          <w:p w14:paraId="4DC8FEF3" w14:textId="77777777" w:rsidR="00CD74D0" w:rsidRPr="000C127A" w:rsidRDefault="00CD74D0" w:rsidP="00CD74D0">
            <w:r w:rsidRPr="000C127A">
              <w:lastRenderedPageBreak/>
              <w:t>Section 10A</w:t>
            </w:r>
          </w:p>
        </w:tc>
        <w:tc>
          <w:tcPr>
            <w:tcW w:w="2722" w:type="dxa"/>
          </w:tcPr>
          <w:p w14:paraId="32E99C1A" w14:textId="77777777" w:rsidR="00CD74D0" w:rsidRPr="000C127A" w:rsidRDefault="00CD74D0" w:rsidP="00CD74D0">
            <w:pPr>
              <w:cnfStyle w:val="000000100000" w:firstRow="0" w:lastRow="0" w:firstColumn="0" w:lastColumn="0" w:oddVBand="0" w:evenVBand="0" w:oddHBand="1" w:evenHBand="0" w:firstRowFirstColumn="0" w:firstRowLastColumn="0" w:lastRowFirstColumn="0" w:lastRowLastColumn="0"/>
            </w:pPr>
            <w:r w:rsidRPr="000C127A">
              <w:t>Supply chain hazards</w:t>
            </w:r>
          </w:p>
        </w:tc>
        <w:tc>
          <w:tcPr>
            <w:tcW w:w="5662" w:type="dxa"/>
          </w:tcPr>
          <w:p w14:paraId="47165388" w14:textId="6DA39973" w:rsidR="00CD74D0" w:rsidRPr="000C127A" w:rsidRDefault="00CD74D0" w:rsidP="00CD74D0">
            <w:pPr>
              <w:cnfStyle w:val="000000100000" w:firstRow="0" w:lastRow="0" w:firstColumn="0" w:lastColumn="0" w:oddVBand="0" w:evenVBand="0" w:oddHBand="1" w:evenHBand="0" w:firstRowFirstColumn="0" w:firstRowLastColumn="0" w:lastRowFirstColumn="0" w:lastRowLastColumn="0"/>
            </w:pPr>
            <w:r w:rsidRPr="000C127A">
              <w:t xml:space="preserve">Requires processes or systems to map major suppliers and critical </w:t>
            </w:r>
            <w:r w:rsidR="008D4682">
              <w:t>components</w:t>
            </w:r>
            <w:r w:rsidR="008D4682" w:rsidRPr="000C127A">
              <w:t xml:space="preserve"> </w:t>
            </w:r>
            <w:r w:rsidRPr="000C127A">
              <w:t>across</w:t>
            </w:r>
            <w:r w:rsidR="008D4682">
              <w:t xml:space="preserve"> their</w:t>
            </w:r>
            <w:r w:rsidRPr="000C127A">
              <w:t xml:space="preserve"> supply chains, identify vulnerabilities and maximum tolerable outage, and assess risks associated with existing or proposed major suppliers.</w:t>
            </w:r>
          </w:p>
        </w:tc>
      </w:tr>
      <w:tr w:rsidR="00CD74D0" w:rsidRPr="000C127A" w14:paraId="71E40A3E" w14:textId="77777777" w:rsidTr="0052767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06" w:type="dxa"/>
          </w:tcPr>
          <w:p w14:paraId="1EE98EDA" w14:textId="77777777" w:rsidR="00CD74D0" w:rsidRPr="000C127A" w:rsidRDefault="00CD74D0" w:rsidP="00CD74D0">
            <w:r w:rsidRPr="000C127A">
              <w:t>Section 11A</w:t>
            </w:r>
          </w:p>
        </w:tc>
        <w:tc>
          <w:tcPr>
            <w:tcW w:w="2722" w:type="dxa"/>
          </w:tcPr>
          <w:p w14:paraId="011A0BC1" w14:textId="77777777" w:rsidR="00CD74D0" w:rsidRPr="000C127A" w:rsidRDefault="00CD74D0" w:rsidP="00CD74D0">
            <w:pPr>
              <w:cnfStyle w:val="000000010000" w:firstRow="0" w:lastRow="0" w:firstColumn="0" w:lastColumn="0" w:oddVBand="0" w:evenVBand="0" w:oddHBand="0" w:evenHBand="1" w:firstRowFirstColumn="0" w:firstRowLastColumn="0" w:lastRowFirstColumn="0" w:lastRowLastColumn="0"/>
            </w:pPr>
            <w:r w:rsidRPr="000C127A">
              <w:t>Physical security and natural hazards</w:t>
            </w:r>
          </w:p>
        </w:tc>
        <w:tc>
          <w:tcPr>
            <w:tcW w:w="5662" w:type="dxa"/>
          </w:tcPr>
          <w:p w14:paraId="5F419452" w14:textId="7167408E" w:rsidR="00CD74D0" w:rsidRPr="000C127A" w:rsidRDefault="00CD74D0" w:rsidP="00CD74D0">
            <w:pPr>
              <w:cnfStyle w:val="000000010000" w:firstRow="0" w:lastRow="0" w:firstColumn="0" w:lastColumn="0" w:oddVBand="0" w:evenVBand="0" w:oddHBand="0" w:evenHBand="1" w:firstRowFirstColumn="0" w:firstRowLastColumn="0" w:lastRowFirstColumn="0" w:lastRowLastColumn="0"/>
            </w:pPr>
            <w:r w:rsidRPr="000C127A">
              <w:t>Requires processes or systems to centrally manage physical security and natural hazards, including physical security consequences arising from cyber,</w:t>
            </w:r>
            <w:r w:rsidR="008D4682">
              <w:t xml:space="preserve"> lateral movement, credential compromise,</w:t>
            </w:r>
            <w:r w:rsidRPr="000C127A">
              <w:t xml:space="preserve"> personnel, supply chain or other hazards, and to outline site characteristics, critical components, sensitive areas, access controls, surveillance, alarms and response measures.</w:t>
            </w:r>
          </w:p>
        </w:tc>
      </w:tr>
    </w:tbl>
    <w:p w14:paraId="7800ADA2" w14:textId="03A79AB5" w:rsidR="000C08C7" w:rsidRDefault="000C08C7" w:rsidP="000C08C7">
      <w:pPr>
        <w:pStyle w:val="BodyText"/>
      </w:pPr>
      <w:bookmarkStart w:id="30" w:name="_Toc226463710"/>
      <w:bookmarkStart w:id="31" w:name="_Toc226463882"/>
      <w:bookmarkEnd w:id="29"/>
      <w:r w:rsidRPr="000C08C7">
        <w:t xml:space="preserve">In practice, this option is expected to yield a more consistent and mature risk management approach across critical infrastructure asset classes. Responsible entities may incur additional costs associated with developing more structured processes, improving documentation, enhancing governance arrangements and implementing targeted controls. Consistent with the 2022 RIS, the cost impacts of CIRMP obligations are justified where they are outweighed by the avoided costs of disruption and the resilience benefits of improved risk management. </w:t>
      </w:r>
    </w:p>
    <w:p w14:paraId="0199414C" w14:textId="1A0EE499" w:rsidR="00400E37" w:rsidRDefault="000E3DE7" w:rsidP="000E3DE7">
      <w:pPr>
        <w:pStyle w:val="Heading2numbered"/>
      </w:pPr>
      <w:bookmarkStart w:id="32" w:name="_Toc228391061"/>
      <w:r>
        <w:t>Regulatory burden and expected net benefit by option</w:t>
      </w:r>
      <w:bookmarkEnd w:id="32"/>
    </w:p>
    <w:p w14:paraId="4A7466C2" w14:textId="4AD799FB" w:rsidR="00E86FC8" w:rsidRPr="00E86FC8" w:rsidRDefault="00E86FC8" w:rsidP="00E86FC8">
      <w:pPr>
        <w:pStyle w:val="BodyText"/>
      </w:pPr>
      <w:r w:rsidRPr="00E86FC8">
        <w:t xml:space="preserve">The RBE comparison is summarised below. Detailed methodology, assumptions and sensitivity testing are set out in Section 3 and Appendix </w:t>
      </w:r>
      <w:r w:rsidR="00F21D73">
        <w:t>A</w:t>
      </w:r>
      <w:r w:rsidR="0041366C">
        <w:t>.</w:t>
      </w:r>
    </w:p>
    <w:p w14:paraId="3FEF02CF" w14:textId="57C8B92A" w:rsidR="005C0CBA" w:rsidRDefault="005C0CBA" w:rsidP="005C0CBA">
      <w:pPr>
        <w:pStyle w:val="BodyText"/>
      </w:pPr>
      <w:r>
        <w:t>For the purposes of the regulatory burden estimate, Options 1 and 2 have nil direct additional regulatory burden. Option 1 does not change existing regulatory requirements. Option 2 relies on voluntary guidance and engagement and therefore does not impose new mandatory obligations, provided it remains genuinely non-regulatory. This does not mean these options have no economic cost. Under Option 1, the cost is continued exposure to disruption risk and uneven risk maturity. Under Option 2, entities may voluntarily incur costs in response to guidance</w:t>
      </w:r>
      <w:r w:rsidR="009262B0">
        <w:t>. Still, voluntary</w:t>
      </w:r>
      <w:r>
        <w:t xml:space="preserve"> costs are not counted in the regulatory burden estimate unless the policy effectively requires regulated entities to act.</w:t>
      </w:r>
    </w:p>
    <w:p w14:paraId="3AB21458" w14:textId="6ED945C8" w:rsidR="00400E37" w:rsidRDefault="005C0CBA" w:rsidP="005C0CBA">
      <w:pPr>
        <w:pStyle w:val="BodyText"/>
      </w:pPr>
      <w:r>
        <w:t>Option 3 has a central estimate of $57.5 million per year in average annual business regulatory burden. The central estimate applies a 10 per cent incremental uplift to the 2022 RIS average annual cost base for the asset classes now in scope of the enhanced CIRMP Rules. The low and high estimates apply 5 per cent and 15 per cent uplifts</w:t>
      </w:r>
      <w:r w:rsidR="00212C1B">
        <w:t>,</w:t>
      </w:r>
      <w:r>
        <w:t xml:space="preserve"> respectively. These assumptions are not presented as a statistical confidence interval. They are transparent sensitivity scenarios designed to test the plausible incremental burden of the enhanced obligations against the best available reference-class cost base.</w:t>
      </w:r>
    </w:p>
    <w:p w14:paraId="088E7752" w14:textId="43E8804B" w:rsidR="00212C1B" w:rsidRDefault="00212C1B" w:rsidP="00212C1B">
      <w:pPr>
        <w:pStyle w:val="Caption"/>
      </w:pPr>
      <w:r>
        <w:t xml:space="preserve">Table </w:t>
      </w:r>
      <w:fldSimple w:instr=" SEQ Table \* ARABIC ">
        <w:r w:rsidR="00B90D57">
          <w:rPr>
            <w:noProof/>
          </w:rPr>
          <w:t>4</w:t>
        </w:r>
      </w:fldSimple>
      <w:r>
        <w:t xml:space="preserve">: Regulatory burden </w:t>
      </w:r>
      <w:proofErr w:type="gramStart"/>
      <w:r>
        <w:t>estimate</w:t>
      </w:r>
      <w:proofErr w:type="gramEnd"/>
      <w:r>
        <w:t xml:space="preserve"> by option</w:t>
      </w:r>
    </w:p>
    <w:tbl>
      <w:tblPr>
        <w:tblStyle w:val="HATableStyle1default"/>
        <w:tblW w:w="0" w:type="auto"/>
        <w:tblLook w:val="04A0" w:firstRow="1" w:lastRow="0" w:firstColumn="1" w:lastColumn="0" w:noHBand="0" w:noVBand="1"/>
      </w:tblPr>
      <w:tblGrid>
        <w:gridCol w:w="4080"/>
        <w:gridCol w:w="1378"/>
        <w:gridCol w:w="1688"/>
        <w:gridCol w:w="1403"/>
        <w:gridCol w:w="1341"/>
      </w:tblGrid>
      <w:tr w:rsidR="00F07487" w:rsidRPr="00002FB0" w14:paraId="7DA6BF6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0" w:type="dxa"/>
          </w:tcPr>
          <w:p w14:paraId="19B44CFE" w14:textId="77777777" w:rsidR="00F07487" w:rsidRPr="00002FB0" w:rsidRDefault="00F07487">
            <w:r w:rsidRPr="00002FB0">
              <w:t>Average annual regulatory costs from business as usual</w:t>
            </w:r>
          </w:p>
        </w:tc>
        <w:tc>
          <w:tcPr>
            <w:tcW w:w="1378" w:type="dxa"/>
          </w:tcPr>
          <w:p w14:paraId="34FA7135" w14:textId="77777777" w:rsidR="00F07487" w:rsidRPr="00002FB0" w:rsidRDefault="00F07487">
            <w:pPr>
              <w:cnfStyle w:val="100000000000" w:firstRow="1" w:lastRow="0" w:firstColumn="0" w:lastColumn="0" w:oddVBand="0" w:evenVBand="0" w:oddHBand="0" w:evenHBand="0" w:firstRowFirstColumn="0" w:firstRowLastColumn="0" w:lastRowFirstColumn="0" w:lastRowLastColumn="0"/>
            </w:pPr>
            <w:r w:rsidRPr="00002FB0">
              <w:t>Business</w:t>
            </w:r>
          </w:p>
        </w:tc>
        <w:tc>
          <w:tcPr>
            <w:tcW w:w="1688" w:type="dxa"/>
          </w:tcPr>
          <w:p w14:paraId="06D5DC4B" w14:textId="77777777" w:rsidR="00F07487" w:rsidRPr="00002FB0" w:rsidRDefault="00F07487">
            <w:pPr>
              <w:cnfStyle w:val="100000000000" w:firstRow="1" w:lastRow="0" w:firstColumn="0" w:lastColumn="0" w:oddVBand="0" w:evenVBand="0" w:oddHBand="0" w:evenHBand="0" w:firstRowFirstColumn="0" w:firstRowLastColumn="0" w:lastRowFirstColumn="0" w:lastRowLastColumn="0"/>
            </w:pPr>
            <w:r w:rsidRPr="00002FB0">
              <w:t>Community organisations</w:t>
            </w:r>
          </w:p>
        </w:tc>
        <w:tc>
          <w:tcPr>
            <w:tcW w:w="1403" w:type="dxa"/>
          </w:tcPr>
          <w:p w14:paraId="5570DB26" w14:textId="77777777" w:rsidR="00F07487" w:rsidRPr="00002FB0" w:rsidRDefault="00F07487">
            <w:pPr>
              <w:cnfStyle w:val="100000000000" w:firstRow="1" w:lastRow="0" w:firstColumn="0" w:lastColumn="0" w:oddVBand="0" w:evenVBand="0" w:oddHBand="0" w:evenHBand="0" w:firstRowFirstColumn="0" w:firstRowLastColumn="0" w:lastRowFirstColumn="0" w:lastRowLastColumn="0"/>
            </w:pPr>
            <w:r w:rsidRPr="00002FB0">
              <w:t>Individuals</w:t>
            </w:r>
          </w:p>
        </w:tc>
        <w:tc>
          <w:tcPr>
            <w:tcW w:w="1341" w:type="dxa"/>
          </w:tcPr>
          <w:p w14:paraId="65941998" w14:textId="77777777" w:rsidR="00F07487" w:rsidRPr="00002FB0" w:rsidRDefault="00F07487">
            <w:pPr>
              <w:cnfStyle w:val="100000000000" w:firstRow="1" w:lastRow="0" w:firstColumn="0" w:lastColumn="0" w:oddVBand="0" w:evenVBand="0" w:oddHBand="0" w:evenHBand="0" w:firstRowFirstColumn="0" w:firstRowLastColumn="0" w:lastRowFirstColumn="0" w:lastRowLastColumn="0"/>
            </w:pPr>
            <w:r w:rsidRPr="00002FB0">
              <w:t>Total</w:t>
            </w:r>
          </w:p>
        </w:tc>
      </w:tr>
      <w:tr w:rsidR="00F07487" w:rsidRPr="00002FB0" w14:paraId="2DCE988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0" w:type="dxa"/>
          </w:tcPr>
          <w:p w14:paraId="010A7EF6" w14:textId="77777777" w:rsidR="00F07487" w:rsidRPr="003F19FE" w:rsidRDefault="00F07487">
            <w:pPr>
              <w:rPr>
                <w:b w:val="0"/>
                <w:bCs/>
              </w:rPr>
            </w:pPr>
            <w:r w:rsidRPr="003F19FE">
              <w:rPr>
                <w:b w:val="0"/>
                <w:bCs/>
              </w:rPr>
              <w:t>Option 1: Status quo</w:t>
            </w:r>
          </w:p>
        </w:tc>
        <w:tc>
          <w:tcPr>
            <w:tcW w:w="1378" w:type="dxa"/>
          </w:tcPr>
          <w:p w14:paraId="0AB54610" w14:textId="77777777" w:rsidR="00F07487" w:rsidRPr="00002FB0" w:rsidRDefault="00F07487">
            <w:pPr>
              <w:cnfStyle w:val="000000100000" w:firstRow="0" w:lastRow="0" w:firstColumn="0" w:lastColumn="0" w:oddVBand="0" w:evenVBand="0" w:oddHBand="1" w:evenHBand="0" w:firstRowFirstColumn="0" w:firstRowLastColumn="0" w:lastRowFirstColumn="0" w:lastRowLastColumn="0"/>
            </w:pPr>
            <w:r w:rsidRPr="00002FB0">
              <w:t>$0.0m</w:t>
            </w:r>
          </w:p>
        </w:tc>
        <w:tc>
          <w:tcPr>
            <w:tcW w:w="1688" w:type="dxa"/>
          </w:tcPr>
          <w:p w14:paraId="674D8B1C" w14:textId="77777777" w:rsidR="00F07487" w:rsidRPr="00002FB0" w:rsidRDefault="00F07487">
            <w:pPr>
              <w:cnfStyle w:val="000000100000" w:firstRow="0" w:lastRow="0" w:firstColumn="0" w:lastColumn="0" w:oddVBand="0" w:evenVBand="0" w:oddHBand="1" w:evenHBand="0" w:firstRowFirstColumn="0" w:firstRowLastColumn="0" w:lastRowFirstColumn="0" w:lastRowLastColumn="0"/>
            </w:pPr>
            <w:r w:rsidRPr="00002FB0">
              <w:t>$0.0m</w:t>
            </w:r>
          </w:p>
        </w:tc>
        <w:tc>
          <w:tcPr>
            <w:tcW w:w="1403" w:type="dxa"/>
          </w:tcPr>
          <w:p w14:paraId="24DE9876" w14:textId="77777777" w:rsidR="00F07487" w:rsidRPr="00002FB0" w:rsidRDefault="00F07487">
            <w:pPr>
              <w:cnfStyle w:val="000000100000" w:firstRow="0" w:lastRow="0" w:firstColumn="0" w:lastColumn="0" w:oddVBand="0" w:evenVBand="0" w:oddHBand="1" w:evenHBand="0" w:firstRowFirstColumn="0" w:firstRowLastColumn="0" w:lastRowFirstColumn="0" w:lastRowLastColumn="0"/>
            </w:pPr>
            <w:r w:rsidRPr="00002FB0">
              <w:t>$0.0m</w:t>
            </w:r>
          </w:p>
        </w:tc>
        <w:tc>
          <w:tcPr>
            <w:tcW w:w="1341" w:type="dxa"/>
          </w:tcPr>
          <w:p w14:paraId="0A8BBC97" w14:textId="77777777" w:rsidR="00F07487" w:rsidRPr="00002FB0" w:rsidRDefault="00F07487">
            <w:pPr>
              <w:cnfStyle w:val="000000100000" w:firstRow="0" w:lastRow="0" w:firstColumn="0" w:lastColumn="0" w:oddVBand="0" w:evenVBand="0" w:oddHBand="1" w:evenHBand="0" w:firstRowFirstColumn="0" w:firstRowLastColumn="0" w:lastRowFirstColumn="0" w:lastRowLastColumn="0"/>
            </w:pPr>
            <w:r w:rsidRPr="00002FB0">
              <w:t>$0.0m</w:t>
            </w:r>
          </w:p>
        </w:tc>
      </w:tr>
      <w:tr w:rsidR="00F07487" w:rsidRPr="00002FB0" w14:paraId="0F03905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0" w:type="dxa"/>
          </w:tcPr>
          <w:p w14:paraId="69BEBC00" w14:textId="77777777" w:rsidR="00F07487" w:rsidRPr="003F19FE" w:rsidRDefault="00F07487">
            <w:pPr>
              <w:rPr>
                <w:b w:val="0"/>
                <w:bCs/>
              </w:rPr>
            </w:pPr>
            <w:r w:rsidRPr="003F19FE">
              <w:rPr>
                <w:b w:val="0"/>
                <w:bCs/>
              </w:rPr>
              <w:t>Option 2: Improved awareness</w:t>
            </w:r>
          </w:p>
        </w:tc>
        <w:tc>
          <w:tcPr>
            <w:tcW w:w="1378" w:type="dxa"/>
          </w:tcPr>
          <w:p w14:paraId="553F2BFB" w14:textId="77777777" w:rsidR="00F07487" w:rsidRPr="00002FB0" w:rsidRDefault="00F07487">
            <w:pPr>
              <w:cnfStyle w:val="000000010000" w:firstRow="0" w:lastRow="0" w:firstColumn="0" w:lastColumn="0" w:oddVBand="0" w:evenVBand="0" w:oddHBand="0" w:evenHBand="1" w:firstRowFirstColumn="0" w:firstRowLastColumn="0" w:lastRowFirstColumn="0" w:lastRowLastColumn="0"/>
            </w:pPr>
            <w:r w:rsidRPr="00002FB0">
              <w:t>$0.0m</w:t>
            </w:r>
          </w:p>
        </w:tc>
        <w:tc>
          <w:tcPr>
            <w:tcW w:w="1688" w:type="dxa"/>
          </w:tcPr>
          <w:p w14:paraId="7387302B" w14:textId="77777777" w:rsidR="00F07487" w:rsidRPr="00002FB0" w:rsidRDefault="00F07487">
            <w:pPr>
              <w:cnfStyle w:val="000000010000" w:firstRow="0" w:lastRow="0" w:firstColumn="0" w:lastColumn="0" w:oddVBand="0" w:evenVBand="0" w:oddHBand="0" w:evenHBand="1" w:firstRowFirstColumn="0" w:firstRowLastColumn="0" w:lastRowFirstColumn="0" w:lastRowLastColumn="0"/>
            </w:pPr>
            <w:r w:rsidRPr="00002FB0">
              <w:t>$0.0m</w:t>
            </w:r>
          </w:p>
        </w:tc>
        <w:tc>
          <w:tcPr>
            <w:tcW w:w="1403" w:type="dxa"/>
          </w:tcPr>
          <w:p w14:paraId="244FE8B8" w14:textId="77777777" w:rsidR="00F07487" w:rsidRPr="00002FB0" w:rsidRDefault="00F07487">
            <w:pPr>
              <w:cnfStyle w:val="000000010000" w:firstRow="0" w:lastRow="0" w:firstColumn="0" w:lastColumn="0" w:oddVBand="0" w:evenVBand="0" w:oddHBand="0" w:evenHBand="1" w:firstRowFirstColumn="0" w:firstRowLastColumn="0" w:lastRowFirstColumn="0" w:lastRowLastColumn="0"/>
            </w:pPr>
            <w:r w:rsidRPr="00002FB0">
              <w:t>$0.0m</w:t>
            </w:r>
          </w:p>
        </w:tc>
        <w:tc>
          <w:tcPr>
            <w:tcW w:w="1341" w:type="dxa"/>
          </w:tcPr>
          <w:p w14:paraId="289FA181" w14:textId="77777777" w:rsidR="00F07487" w:rsidRPr="00002FB0" w:rsidRDefault="00F07487">
            <w:pPr>
              <w:cnfStyle w:val="000000010000" w:firstRow="0" w:lastRow="0" w:firstColumn="0" w:lastColumn="0" w:oddVBand="0" w:evenVBand="0" w:oddHBand="0" w:evenHBand="1" w:firstRowFirstColumn="0" w:firstRowLastColumn="0" w:lastRowFirstColumn="0" w:lastRowLastColumn="0"/>
            </w:pPr>
            <w:r w:rsidRPr="00002FB0">
              <w:t>$0.0m</w:t>
            </w:r>
          </w:p>
        </w:tc>
      </w:tr>
      <w:tr w:rsidR="00F07487" w:rsidRPr="00002FB0" w14:paraId="469F147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0" w:type="dxa"/>
          </w:tcPr>
          <w:p w14:paraId="16C5B945" w14:textId="77777777" w:rsidR="00F07487" w:rsidRPr="003F19FE" w:rsidRDefault="00F07487">
            <w:pPr>
              <w:rPr>
                <w:b w:val="0"/>
                <w:bCs/>
              </w:rPr>
            </w:pPr>
            <w:r w:rsidRPr="003F19FE">
              <w:rPr>
                <w:b w:val="0"/>
                <w:bCs/>
              </w:rPr>
              <w:t>Option 3: Rules enhancement - central estimate</w:t>
            </w:r>
          </w:p>
        </w:tc>
        <w:tc>
          <w:tcPr>
            <w:tcW w:w="1378" w:type="dxa"/>
          </w:tcPr>
          <w:p w14:paraId="3A61471C" w14:textId="77777777" w:rsidR="00F07487" w:rsidRPr="00002FB0" w:rsidRDefault="00F07487">
            <w:pPr>
              <w:cnfStyle w:val="000000100000" w:firstRow="0" w:lastRow="0" w:firstColumn="0" w:lastColumn="0" w:oddVBand="0" w:evenVBand="0" w:oddHBand="1" w:evenHBand="0" w:firstRowFirstColumn="0" w:firstRowLastColumn="0" w:lastRowFirstColumn="0" w:lastRowLastColumn="0"/>
            </w:pPr>
            <w:r w:rsidRPr="00002FB0">
              <w:t>$57.5m</w:t>
            </w:r>
          </w:p>
        </w:tc>
        <w:tc>
          <w:tcPr>
            <w:tcW w:w="1688" w:type="dxa"/>
          </w:tcPr>
          <w:p w14:paraId="40F1DC1B" w14:textId="77777777" w:rsidR="00F07487" w:rsidRPr="00002FB0" w:rsidRDefault="00F07487">
            <w:pPr>
              <w:cnfStyle w:val="000000100000" w:firstRow="0" w:lastRow="0" w:firstColumn="0" w:lastColumn="0" w:oddVBand="0" w:evenVBand="0" w:oddHBand="1" w:evenHBand="0" w:firstRowFirstColumn="0" w:firstRowLastColumn="0" w:lastRowFirstColumn="0" w:lastRowLastColumn="0"/>
            </w:pPr>
            <w:r w:rsidRPr="00002FB0">
              <w:t>$0.0m</w:t>
            </w:r>
          </w:p>
        </w:tc>
        <w:tc>
          <w:tcPr>
            <w:tcW w:w="1403" w:type="dxa"/>
          </w:tcPr>
          <w:p w14:paraId="1995D6F8" w14:textId="77777777" w:rsidR="00F07487" w:rsidRPr="00002FB0" w:rsidRDefault="00F07487">
            <w:pPr>
              <w:cnfStyle w:val="000000100000" w:firstRow="0" w:lastRow="0" w:firstColumn="0" w:lastColumn="0" w:oddVBand="0" w:evenVBand="0" w:oddHBand="1" w:evenHBand="0" w:firstRowFirstColumn="0" w:firstRowLastColumn="0" w:lastRowFirstColumn="0" w:lastRowLastColumn="0"/>
            </w:pPr>
            <w:r w:rsidRPr="00002FB0">
              <w:t>$0.0m</w:t>
            </w:r>
          </w:p>
        </w:tc>
        <w:tc>
          <w:tcPr>
            <w:tcW w:w="1341" w:type="dxa"/>
          </w:tcPr>
          <w:p w14:paraId="2464B5CC" w14:textId="77777777" w:rsidR="00F07487" w:rsidRPr="00002FB0" w:rsidRDefault="00F07487">
            <w:pPr>
              <w:cnfStyle w:val="000000100000" w:firstRow="0" w:lastRow="0" w:firstColumn="0" w:lastColumn="0" w:oddVBand="0" w:evenVBand="0" w:oddHBand="1" w:evenHBand="0" w:firstRowFirstColumn="0" w:firstRowLastColumn="0" w:lastRowFirstColumn="0" w:lastRowLastColumn="0"/>
            </w:pPr>
            <w:r w:rsidRPr="00002FB0">
              <w:t>$57.5m</w:t>
            </w:r>
          </w:p>
        </w:tc>
      </w:tr>
      <w:tr w:rsidR="00F07487" w:rsidRPr="00002FB0" w14:paraId="2CA1697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0" w:type="dxa"/>
            <w:shd w:val="clear" w:color="auto" w:fill="005190" w:themeFill="accent1"/>
          </w:tcPr>
          <w:p w14:paraId="5FE0423D" w14:textId="77777777" w:rsidR="00F07487" w:rsidRPr="00002FB0" w:rsidRDefault="00F07487">
            <w:pPr>
              <w:rPr>
                <w:color w:val="FFFFFF" w:themeColor="background1"/>
              </w:rPr>
            </w:pPr>
            <w:r w:rsidRPr="00002FB0">
              <w:rPr>
                <w:color w:val="FFFFFF" w:themeColor="background1"/>
              </w:rPr>
              <w:t>Option 3 sensitivity</w:t>
            </w:r>
          </w:p>
        </w:tc>
        <w:tc>
          <w:tcPr>
            <w:tcW w:w="1378" w:type="dxa"/>
            <w:shd w:val="clear" w:color="auto" w:fill="005190" w:themeFill="accent1"/>
          </w:tcPr>
          <w:p w14:paraId="3959FC6C" w14:textId="77777777" w:rsidR="00F07487" w:rsidRPr="00002FB0" w:rsidRDefault="00F07487">
            <w:pPr>
              <w:cnfStyle w:val="000000010000" w:firstRow="0" w:lastRow="0" w:firstColumn="0" w:lastColumn="0" w:oddVBand="0" w:evenVBand="0" w:oddHBand="0" w:evenHBand="1" w:firstRowFirstColumn="0" w:firstRowLastColumn="0" w:lastRowFirstColumn="0" w:lastRowLastColumn="0"/>
              <w:rPr>
                <w:b/>
                <w:color w:val="FFFFFF" w:themeColor="background1"/>
              </w:rPr>
            </w:pPr>
            <w:r w:rsidRPr="00002FB0">
              <w:rPr>
                <w:b/>
                <w:color w:val="FFFFFF" w:themeColor="background1"/>
              </w:rPr>
              <w:t>Business</w:t>
            </w:r>
          </w:p>
        </w:tc>
        <w:tc>
          <w:tcPr>
            <w:tcW w:w="1688" w:type="dxa"/>
            <w:shd w:val="clear" w:color="auto" w:fill="005190" w:themeFill="accent1"/>
          </w:tcPr>
          <w:p w14:paraId="4C35820B" w14:textId="77777777" w:rsidR="00F07487" w:rsidRPr="00002FB0" w:rsidRDefault="00F07487">
            <w:pPr>
              <w:cnfStyle w:val="000000010000" w:firstRow="0" w:lastRow="0" w:firstColumn="0" w:lastColumn="0" w:oddVBand="0" w:evenVBand="0" w:oddHBand="0" w:evenHBand="1" w:firstRowFirstColumn="0" w:firstRowLastColumn="0" w:lastRowFirstColumn="0" w:lastRowLastColumn="0"/>
              <w:rPr>
                <w:b/>
                <w:color w:val="FFFFFF" w:themeColor="background1"/>
              </w:rPr>
            </w:pPr>
            <w:r w:rsidRPr="00002FB0">
              <w:rPr>
                <w:b/>
                <w:color w:val="FFFFFF" w:themeColor="background1"/>
              </w:rPr>
              <w:t>Community organisations</w:t>
            </w:r>
          </w:p>
        </w:tc>
        <w:tc>
          <w:tcPr>
            <w:tcW w:w="1403" w:type="dxa"/>
            <w:shd w:val="clear" w:color="auto" w:fill="005190" w:themeFill="accent1"/>
          </w:tcPr>
          <w:p w14:paraId="3BCAAC6C" w14:textId="77777777" w:rsidR="00F07487" w:rsidRPr="00002FB0" w:rsidRDefault="00F07487">
            <w:pPr>
              <w:cnfStyle w:val="000000010000" w:firstRow="0" w:lastRow="0" w:firstColumn="0" w:lastColumn="0" w:oddVBand="0" w:evenVBand="0" w:oddHBand="0" w:evenHBand="1" w:firstRowFirstColumn="0" w:firstRowLastColumn="0" w:lastRowFirstColumn="0" w:lastRowLastColumn="0"/>
              <w:rPr>
                <w:b/>
                <w:color w:val="FFFFFF" w:themeColor="background1"/>
              </w:rPr>
            </w:pPr>
            <w:r w:rsidRPr="00002FB0">
              <w:rPr>
                <w:b/>
                <w:color w:val="FFFFFF" w:themeColor="background1"/>
              </w:rPr>
              <w:t>Individuals</w:t>
            </w:r>
          </w:p>
        </w:tc>
        <w:tc>
          <w:tcPr>
            <w:tcW w:w="1341" w:type="dxa"/>
            <w:shd w:val="clear" w:color="auto" w:fill="005190" w:themeFill="accent1"/>
          </w:tcPr>
          <w:p w14:paraId="69458F90" w14:textId="77777777" w:rsidR="00F07487" w:rsidRPr="00002FB0" w:rsidRDefault="00F07487">
            <w:pPr>
              <w:cnfStyle w:val="000000010000" w:firstRow="0" w:lastRow="0" w:firstColumn="0" w:lastColumn="0" w:oddVBand="0" w:evenVBand="0" w:oddHBand="0" w:evenHBand="1" w:firstRowFirstColumn="0" w:firstRowLastColumn="0" w:lastRowFirstColumn="0" w:lastRowLastColumn="0"/>
              <w:rPr>
                <w:b/>
                <w:color w:val="FFFFFF" w:themeColor="background1"/>
              </w:rPr>
            </w:pPr>
            <w:r w:rsidRPr="00002FB0">
              <w:rPr>
                <w:b/>
                <w:color w:val="FFFFFF" w:themeColor="background1"/>
              </w:rPr>
              <w:t>Total</w:t>
            </w:r>
          </w:p>
        </w:tc>
      </w:tr>
      <w:tr w:rsidR="00F07487" w:rsidRPr="00002FB0" w14:paraId="11C7863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0" w:type="dxa"/>
          </w:tcPr>
          <w:p w14:paraId="4757F87C" w14:textId="77777777" w:rsidR="00F07487" w:rsidRPr="003F19FE" w:rsidRDefault="00F07487">
            <w:pPr>
              <w:rPr>
                <w:b w:val="0"/>
                <w:bCs/>
              </w:rPr>
            </w:pPr>
            <w:r w:rsidRPr="003F19FE">
              <w:rPr>
                <w:b w:val="0"/>
                <w:bCs/>
              </w:rPr>
              <w:t>Low case: 5% incremental uplift</w:t>
            </w:r>
          </w:p>
        </w:tc>
        <w:tc>
          <w:tcPr>
            <w:tcW w:w="1378" w:type="dxa"/>
          </w:tcPr>
          <w:p w14:paraId="14E4895D" w14:textId="77777777" w:rsidR="00F07487" w:rsidRPr="00002FB0" w:rsidRDefault="00F07487">
            <w:pPr>
              <w:cnfStyle w:val="000000100000" w:firstRow="0" w:lastRow="0" w:firstColumn="0" w:lastColumn="0" w:oddVBand="0" w:evenVBand="0" w:oddHBand="1" w:evenHBand="0" w:firstRowFirstColumn="0" w:firstRowLastColumn="0" w:lastRowFirstColumn="0" w:lastRowLastColumn="0"/>
            </w:pPr>
            <w:r w:rsidRPr="00002FB0">
              <w:t>$28.7m</w:t>
            </w:r>
          </w:p>
        </w:tc>
        <w:tc>
          <w:tcPr>
            <w:tcW w:w="1688" w:type="dxa"/>
          </w:tcPr>
          <w:p w14:paraId="1E765FDF" w14:textId="77777777" w:rsidR="00F07487" w:rsidRPr="00002FB0" w:rsidRDefault="00F07487">
            <w:pPr>
              <w:cnfStyle w:val="000000100000" w:firstRow="0" w:lastRow="0" w:firstColumn="0" w:lastColumn="0" w:oddVBand="0" w:evenVBand="0" w:oddHBand="1" w:evenHBand="0" w:firstRowFirstColumn="0" w:firstRowLastColumn="0" w:lastRowFirstColumn="0" w:lastRowLastColumn="0"/>
            </w:pPr>
            <w:r w:rsidRPr="00002FB0">
              <w:t>$0.0m</w:t>
            </w:r>
          </w:p>
        </w:tc>
        <w:tc>
          <w:tcPr>
            <w:tcW w:w="1403" w:type="dxa"/>
          </w:tcPr>
          <w:p w14:paraId="3E48B27F" w14:textId="77777777" w:rsidR="00F07487" w:rsidRPr="00002FB0" w:rsidRDefault="00F07487">
            <w:pPr>
              <w:cnfStyle w:val="000000100000" w:firstRow="0" w:lastRow="0" w:firstColumn="0" w:lastColumn="0" w:oddVBand="0" w:evenVBand="0" w:oddHBand="1" w:evenHBand="0" w:firstRowFirstColumn="0" w:firstRowLastColumn="0" w:lastRowFirstColumn="0" w:lastRowLastColumn="0"/>
            </w:pPr>
            <w:r w:rsidRPr="00002FB0">
              <w:t>$0.0m</w:t>
            </w:r>
          </w:p>
        </w:tc>
        <w:tc>
          <w:tcPr>
            <w:tcW w:w="1341" w:type="dxa"/>
          </w:tcPr>
          <w:p w14:paraId="05F48CBB" w14:textId="77777777" w:rsidR="00F07487" w:rsidRPr="00002FB0" w:rsidRDefault="00F07487">
            <w:pPr>
              <w:cnfStyle w:val="000000100000" w:firstRow="0" w:lastRow="0" w:firstColumn="0" w:lastColumn="0" w:oddVBand="0" w:evenVBand="0" w:oddHBand="1" w:evenHBand="0" w:firstRowFirstColumn="0" w:firstRowLastColumn="0" w:lastRowFirstColumn="0" w:lastRowLastColumn="0"/>
            </w:pPr>
            <w:r w:rsidRPr="00002FB0">
              <w:t>$28.7m</w:t>
            </w:r>
          </w:p>
        </w:tc>
      </w:tr>
      <w:tr w:rsidR="00F07487" w:rsidRPr="00002FB0" w14:paraId="43CE902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0" w:type="dxa"/>
          </w:tcPr>
          <w:p w14:paraId="2E742912" w14:textId="77777777" w:rsidR="00F07487" w:rsidRPr="003F19FE" w:rsidRDefault="00F07487">
            <w:pPr>
              <w:rPr>
                <w:b w:val="0"/>
                <w:bCs/>
              </w:rPr>
            </w:pPr>
            <w:r w:rsidRPr="003F19FE">
              <w:rPr>
                <w:b w:val="0"/>
                <w:bCs/>
              </w:rPr>
              <w:lastRenderedPageBreak/>
              <w:t>Central case: 10% incremental uplift</w:t>
            </w:r>
          </w:p>
        </w:tc>
        <w:tc>
          <w:tcPr>
            <w:tcW w:w="1378" w:type="dxa"/>
          </w:tcPr>
          <w:p w14:paraId="39586983" w14:textId="77777777" w:rsidR="00F07487" w:rsidRPr="00002FB0" w:rsidRDefault="00F07487">
            <w:pPr>
              <w:cnfStyle w:val="000000010000" w:firstRow="0" w:lastRow="0" w:firstColumn="0" w:lastColumn="0" w:oddVBand="0" w:evenVBand="0" w:oddHBand="0" w:evenHBand="1" w:firstRowFirstColumn="0" w:firstRowLastColumn="0" w:lastRowFirstColumn="0" w:lastRowLastColumn="0"/>
            </w:pPr>
            <w:r w:rsidRPr="00002FB0">
              <w:t>$57.5m</w:t>
            </w:r>
          </w:p>
        </w:tc>
        <w:tc>
          <w:tcPr>
            <w:tcW w:w="1688" w:type="dxa"/>
          </w:tcPr>
          <w:p w14:paraId="0FD4957E" w14:textId="77777777" w:rsidR="00F07487" w:rsidRPr="00002FB0" w:rsidRDefault="00F07487">
            <w:pPr>
              <w:cnfStyle w:val="000000010000" w:firstRow="0" w:lastRow="0" w:firstColumn="0" w:lastColumn="0" w:oddVBand="0" w:evenVBand="0" w:oddHBand="0" w:evenHBand="1" w:firstRowFirstColumn="0" w:firstRowLastColumn="0" w:lastRowFirstColumn="0" w:lastRowLastColumn="0"/>
            </w:pPr>
            <w:r w:rsidRPr="00002FB0">
              <w:t>$0.0m</w:t>
            </w:r>
          </w:p>
        </w:tc>
        <w:tc>
          <w:tcPr>
            <w:tcW w:w="1403" w:type="dxa"/>
          </w:tcPr>
          <w:p w14:paraId="6977C083" w14:textId="77777777" w:rsidR="00F07487" w:rsidRPr="00002FB0" w:rsidRDefault="00F07487">
            <w:pPr>
              <w:cnfStyle w:val="000000010000" w:firstRow="0" w:lastRow="0" w:firstColumn="0" w:lastColumn="0" w:oddVBand="0" w:evenVBand="0" w:oddHBand="0" w:evenHBand="1" w:firstRowFirstColumn="0" w:firstRowLastColumn="0" w:lastRowFirstColumn="0" w:lastRowLastColumn="0"/>
            </w:pPr>
            <w:r w:rsidRPr="00002FB0">
              <w:t>$0.0m</w:t>
            </w:r>
          </w:p>
        </w:tc>
        <w:tc>
          <w:tcPr>
            <w:tcW w:w="1341" w:type="dxa"/>
          </w:tcPr>
          <w:p w14:paraId="32215535" w14:textId="77777777" w:rsidR="00F07487" w:rsidRPr="00002FB0" w:rsidRDefault="00F07487">
            <w:pPr>
              <w:cnfStyle w:val="000000010000" w:firstRow="0" w:lastRow="0" w:firstColumn="0" w:lastColumn="0" w:oddVBand="0" w:evenVBand="0" w:oddHBand="0" w:evenHBand="1" w:firstRowFirstColumn="0" w:firstRowLastColumn="0" w:lastRowFirstColumn="0" w:lastRowLastColumn="0"/>
            </w:pPr>
            <w:r w:rsidRPr="00002FB0">
              <w:t>$57.5m</w:t>
            </w:r>
          </w:p>
        </w:tc>
      </w:tr>
      <w:tr w:rsidR="00F07487" w:rsidRPr="00002FB0" w14:paraId="6A115CF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0" w:type="dxa"/>
          </w:tcPr>
          <w:p w14:paraId="667CB6A1" w14:textId="77777777" w:rsidR="00F07487" w:rsidRPr="003F19FE" w:rsidRDefault="00F07487">
            <w:pPr>
              <w:rPr>
                <w:b w:val="0"/>
                <w:bCs/>
              </w:rPr>
            </w:pPr>
            <w:r w:rsidRPr="003F19FE">
              <w:rPr>
                <w:b w:val="0"/>
                <w:bCs/>
              </w:rPr>
              <w:t>High case: 15% incremental uplift</w:t>
            </w:r>
          </w:p>
        </w:tc>
        <w:tc>
          <w:tcPr>
            <w:tcW w:w="1378" w:type="dxa"/>
          </w:tcPr>
          <w:p w14:paraId="59771A80" w14:textId="77777777" w:rsidR="00F07487" w:rsidRPr="00002FB0" w:rsidRDefault="00F07487">
            <w:pPr>
              <w:cnfStyle w:val="000000100000" w:firstRow="0" w:lastRow="0" w:firstColumn="0" w:lastColumn="0" w:oddVBand="0" w:evenVBand="0" w:oddHBand="1" w:evenHBand="0" w:firstRowFirstColumn="0" w:firstRowLastColumn="0" w:lastRowFirstColumn="0" w:lastRowLastColumn="0"/>
            </w:pPr>
            <w:r w:rsidRPr="00002FB0">
              <w:t>$86.2m</w:t>
            </w:r>
          </w:p>
        </w:tc>
        <w:tc>
          <w:tcPr>
            <w:tcW w:w="1688" w:type="dxa"/>
          </w:tcPr>
          <w:p w14:paraId="49407C70" w14:textId="77777777" w:rsidR="00F07487" w:rsidRPr="00002FB0" w:rsidRDefault="00F07487">
            <w:pPr>
              <w:cnfStyle w:val="000000100000" w:firstRow="0" w:lastRow="0" w:firstColumn="0" w:lastColumn="0" w:oddVBand="0" w:evenVBand="0" w:oddHBand="1" w:evenHBand="0" w:firstRowFirstColumn="0" w:firstRowLastColumn="0" w:lastRowFirstColumn="0" w:lastRowLastColumn="0"/>
            </w:pPr>
            <w:r w:rsidRPr="00002FB0">
              <w:t>$0.0m</w:t>
            </w:r>
          </w:p>
        </w:tc>
        <w:tc>
          <w:tcPr>
            <w:tcW w:w="1403" w:type="dxa"/>
          </w:tcPr>
          <w:p w14:paraId="49F2A9A8" w14:textId="77777777" w:rsidR="00F07487" w:rsidRPr="00002FB0" w:rsidRDefault="00F07487">
            <w:pPr>
              <w:cnfStyle w:val="000000100000" w:firstRow="0" w:lastRow="0" w:firstColumn="0" w:lastColumn="0" w:oddVBand="0" w:evenVBand="0" w:oddHBand="1" w:evenHBand="0" w:firstRowFirstColumn="0" w:firstRowLastColumn="0" w:lastRowFirstColumn="0" w:lastRowLastColumn="0"/>
            </w:pPr>
            <w:r w:rsidRPr="00002FB0">
              <w:t>$0.0m</w:t>
            </w:r>
          </w:p>
        </w:tc>
        <w:tc>
          <w:tcPr>
            <w:tcW w:w="1341" w:type="dxa"/>
          </w:tcPr>
          <w:p w14:paraId="7D636B1E" w14:textId="77777777" w:rsidR="00F07487" w:rsidRPr="00002FB0" w:rsidRDefault="00F07487">
            <w:pPr>
              <w:cnfStyle w:val="000000100000" w:firstRow="0" w:lastRow="0" w:firstColumn="0" w:lastColumn="0" w:oddVBand="0" w:evenVBand="0" w:oddHBand="1" w:evenHBand="0" w:firstRowFirstColumn="0" w:firstRowLastColumn="0" w:lastRowFirstColumn="0" w:lastRowLastColumn="0"/>
            </w:pPr>
            <w:r w:rsidRPr="00002FB0">
              <w:t>$86.2m</w:t>
            </w:r>
          </w:p>
        </w:tc>
      </w:tr>
    </w:tbl>
    <w:p w14:paraId="0DD88705" w14:textId="7FF3CDF9" w:rsidR="00525033" w:rsidRDefault="00525033" w:rsidP="00525033">
      <w:pPr>
        <w:pStyle w:val="BodyText"/>
      </w:pPr>
      <w:r>
        <w:t>The benefits of Option 3 arise from reducing the expected annual cost of critical infrastructure disruption. This may occur through reducing the likelihood of incidents, reducing the severity or duration of incidents, improving preparedness and response, reducing cascading impacts across interconnected systems, and improving board and government visibility of material risks. These benefits are material but cannot be reliably monetised as a central expected value because the Department does not hold sufficiently robust evidence on the future frequency, severity and timing of avoided incidents or on the marginal effectiveness of each enhancement.</w:t>
      </w:r>
    </w:p>
    <w:p w14:paraId="39F83216" w14:textId="30B4DAB2" w:rsidR="005C0CBA" w:rsidRDefault="00525033" w:rsidP="00525033">
      <w:pPr>
        <w:pStyle w:val="BodyText"/>
      </w:pPr>
      <w:r>
        <w:t>A break-even approach is therefore appropriate with the current evidence base. The preferred option will deliver a net benefit if it reduces expected annual disruption costs by at least the average annual regulatory burden. The reforms do not need to avoid a whole major incident each year to break even. The same result may be achieved by a small reduction in the probability of a high-impact event, a reduction in outage duration or severity, faster recovery, reduced cascading impacts, or avoidance or mitigation of multiple smaller incidents.</w:t>
      </w:r>
    </w:p>
    <w:p w14:paraId="004AA08A" w14:textId="03850AD5" w:rsidR="00AD293A" w:rsidRDefault="00AD293A" w:rsidP="00AD293A">
      <w:pPr>
        <w:pStyle w:val="Caption"/>
      </w:pPr>
      <w:r>
        <w:t xml:space="preserve">Table </w:t>
      </w:r>
      <w:fldSimple w:instr=" SEQ Table \* ARABIC ">
        <w:r w:rsidR="00B90D57">
          <w:rPr>
            <w:noProof/>
          </w:rPr>
          <w:t>5</w:t>
        </w:r>
      </w:fldSimple>
      <w:r>
        <w:t>: Break-even implication under the central RBE</w:t>
      </w:r>
    </w:p>
    <w:tbl>
      <w:tblPr>
        <w:tblStyle w:val="HATableStyle1default"/>
        <w:tblW w:w="0" w:type="auto"/>
        <w:tblLook w:val="04A0" w:firstRow="1" w:lastRow="0" w:firstColumn="1" w:lastColumn="0" w:noHBand="0" w:noVBand="1"/>
      </w:tblPr>
      <w:tblGrid>
        <w:gridCol w:w="3938"/>
        <w:gridCol w:w="1642"/>
        <w:gridCol w:w="4310"/>
      </w:tblGrid>
      <w:tr w:rsidR="00AD293A" w:rsidRPr="00CB4B21" w14:paraId="4169572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8" w:type="dxa"/>
          </w:tcPr>
          <w:p w14:paraId="5A4A444F" w14:textId="77777777" w:rsidR="00AD293A" w:rsidRPr="00CB4B21" w:rsidRDefault="00AD293A">
            <w:r w:rsidRPr="00CB4B21">
              <w:t>2022 RIS disruption scenario</w:t>
            </w:r>
          </w:p>
        </w:tc>
        <w:tc>
          <w:tcPr>
            <w:tcW w:w="1642" w:type="dxa"/>
          </w:tcPr>
          <w:p w14:paraId="6E2B6343" w14:textId="77777777" w:rsidR="00AD293A" w:rsidRPr="00CB4B21" w:rsidRDefault="00AD293A">
            <w:pPr>
              <w:cnfStyle w:val="100000000000" w:firstRow="1" w:lastRow="0" w:firstColumn="0" w:lastColumn="0" w:oddVBand="0" w:evenVBand="0" w:oddHBand="0" w:evenHBand="0" w:firstRowFirstColumn="0" w:firstRowLastColumn="0" w:lastRowFirstColumn="0" w:lastRowLastColumn="0"/>
            </w:pPr>
            <w:r w:rsidRPr="00CB4B21">
              <w:t>Economy-wide cost</w:t>
            </w:r>
          </w:p>
        </w:tc>
        <w:tc>
          <w:tcPr>
            <w:tcW w:w="4310" w:type="dxa"/>
          </w:tcPr>
          <w:p w14:paraId="118BF602" w14:textId="77777777" w:rsidR="00AD293A" w:rsidRPr="00CB4B21" w:rsidRDefault="00AD293A">
            <w:pPr>
              <w:cnfStyle w:val="100000000000" w:firstRow="1" w:lastRow="0" w:firstColumn="0" w:lastColumn="0" w:oddVBand="0" w:evenVBand="0" w:oddHBand="0" w:evenHBand="0" w:firstRowFirstColumn="0" w:firstRowLastColumn="0" w:lastRowFirstColumn="0" w:lastRowLastColumn="0"/>
            </w:pPr>
            <w:r w:rsidRPr="00CB4B21">
              <w:t>Break-even implication at $57.5m central RBE</w:t>
            </w:r>
          </w:p>
        </w:tc>
      </w:tr>
      <w:tr w:rsidR="00AD293A" w:rsidRPr="00CB4B21" w14:paraId="3DB219E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8" w:type="dxa"/>
          </w:tcPr>
          <w:p w14:paraId="01418EB9" w14:textId="77777777" w:rsidR="00AD293A" w:rsidRPr="006A2271" w:rsidRDefault="00AD293A">
            <w:pPr>
              <w:rPr>
                <w:b w:val="0"/>
                <w:bCs/>
              </w:rPr>
            </w:pPr>
            <w:r w:rsidRPr="006A2271">
              <w:rPr>
                <w:b w:val="0"/>
                <w:bCs/>
              </w:rPr>
              <w:t>Moderate electricity disruption</w:t>
            </w:r>
          </w:p>
        </w:tc>
        <w:tc>
          <w:tcPr>
            <w:tcW w:w="1642" w:type="dxa"/>
          </w:tcPr>
          <w:p w14:paraId="4B0D05FB" w14:textId="77777777" w:rsidR="00AD293A" w:rsidRPr="00CB4B21" w:rsidRDefault="00AD293A">
            <w:pPr>
              <w:cnfStyle w:val="000000100000" w:firstRow="0" w:lastRow="0" w:firstColumn="0" w:lastColumn="0" w:oddVBand="0" w:evenVBand="0" w:oddHBand="1" w:evenHBand="0" w:firstRowFirstColumn="0" w:firstRowLastColumn="0" w:lastRowFirstColumn="0" w:lastRowLastColumn="0"/>
            </w:pPr>
            <w:r w:rsidRPr="00CB4B21">
              <w:t>$850.</w:t>
            </w:r>
            <w:r>
              <w:t>0m</w:t>
            </w:r>
          </w:p>
        </w:tc>
        <w:tc>
          <w:tcPr>
            <w:tcW w:w="4310" w:type="dxa"/>
          </w:tcPr>
          <w:p w14:paraId="4DAB3F8E" w14:textId="77777777" w:rsidR="00AD293A" w:rsidRPr="00CB4B21" w:rsidRDefault="00AD293A">
            <w:pPr>
              <w:cnfStyle w:val="000000100000" w:firstRow="0" w:lastRow="0" w:firstColumn="0" w:lastColumn="0" w:oddVBand="0" w:evenVBand="0" w:oddHBand="1" w:evenHBand="0" w:firstRowFirstColumn="0" w:firstRowLastColumn="0" w:lastRowFirstColumn="0" w:lastRowLastColumn="0"/>
            </w:pPr>
            <w:r w:rsidRPr="00CB4B21">
              <w:t>Avoid one equivalent incident every 14.8 years</w:t>
            </w:r>
          </w:p>
        </w:tc>
      </w:tr>
      <w:tr w:rsidR="00AD293A" w:rsidRPr="00CB4B21" w14:paraId="08E3399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8" w:type="dxa"/>
          </w:tcPr>
          <w:p w14:paraId="74999626" w14:textId="77777777" w:rsidR="00AD293A" w:rsidRPr="006A2271" w:rsidRDefault="00AD293A">
            <w:pPr>
              <w:rPr>
                <w:b w:val="0"/>
                <w:bCs/>
              </w:rPr>
            </w:pPr>
            <w:r w:rsidRPr="006A2271">
              <w:rPr>
                <w:b w:val="0"/>
                <w:bCs/>
              </w:rPr>
              <w:t>Severe electricity disruption</w:t>
            </w:r>
          </w:p>
        </w:tc>
        <w:tc>
          <w:tcPr>
            <w:tcW w:w="1642" w:type="dxa"/>
          </w:tcPr>
          <w:p w14:paraId="43223614" w14:textId="77777777" w:rsidR="00AD293A" w:rsidRPr="00CB4B21" w:rsidRDefault="00AD293A">
            <w:pPr>
              <w:cnfStyle w:val="000000010000" w:firstRow="0" w:lastRow="0" w:firstColumn="0" w:lastColumn="0" w:oddVBand="0" w:evenVBand="0" w:oddHBand="0" w:evenHBand="1" w:firstRowFirstColumn="0" w:firstRowLastColumn="0" w:lastRowFirstColumn="0" w:lastRowLastColumn="0"/>
            </w:pPr>
            <w:r w:rsidRPr="00CB4B21">
              <w:t>$1.280</w:t>
            </w:r>
            <w:r>
              <w:t>b</w:t>
            </w:r>
          </w:p>
        </w:tc>
        <w:tc>
          <w:tcPr>
            <w:tcW w:w="4310" w:type="dxa"/>
          </w:tcPr>
          <w:p w14:paraId="128163ED" w14:textId="77777777" w:rsidR="00AD293A" w:rsidRPr="00CB4B21" w:rsidRDefault="00AD293A">
            <w:pPr>
              <w:cnfStyle w:val="000000010000" w:firstRow="0" w:lastRow="0" w:firstColumn="0" w:lastColumn="0" w:oddVBand="0" w:evenVBand="0" w:oddHBand="0" w:evenHBand="1" w:firstRowFirstColumn="0" w:firstRowLastColumn="0" w:lastRowFirstColumn="0" w:lastRowLastColumn="0"/>
            </w:pPr>
            <w:r w:rsidRPr="00CB4B21">
              <w:t>Avoid one equivalent incident every 22.3 years</w:t>
            </w:r>
          </w:p>
        </w:tc>
      </w:tr>
      <w:tr w:rsidR="00AD293A" w:rsidRPr="00CB4B21" w14:paraId="7BC6250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8" w:type="dxa"/>
          </w:tcPr>
          <w:p w14:paraId="10251C11" w14:textId="77777777" w:rsidR="00AD293A" w:rsidRPr="006A2271" w:rsidRDefault="00AD293A">
            <w:pPr>
              <w:rPr>
                <w:b w:val="0"/>
                <w:bCs/>
              </w:rPr>
            </w:pPr>
            <w:r w:rsidRPr="006A2271">
              <w:rPr>
                <w:b w:val="0"/>
                <w:bCs/>
              </w:rPr>
              <w:t>Severe gas disruption</w:t>
            </w:r>
          </w:p>
        </w:tc>
        <w:tc>
          <w:tcPr>
            <w:tcW w:w="1642" w:type="dxa"/>
          </w:tcPr>
          <w:p w14:paraId="7AB27337" w14:textId="77777777" w:rsidR="00AD293A" w:rsidRPr="00CB4B21" w:rsidRDefault="00AD293A">
            <w:pPr>
              <w:cnfStyle w:val="000000100000" w:firstRow="0" w:lastRow="0" w:firstColumn="0" w:lastColumn="0" w:oddVBand="0" w:evenVBand="0" w:oddHBand="1" w:evenHBand="0" w:firstRowFirstColumn="0" w:firstRowLastColumn="0" w:lastRowFirstColumn="0" w:lastRowLastColumn="0"/>
            </w:pPr>
            <w:r w:rsidRPr="00CB4B21">
              <w:t>$1.913</w:t>
            </w:r>
            <w:r>
              <w:t>b</w:t>
            </w:r>
          </w:p>
        </w:tc>
        <w:tc>
          <w:tcPr>
            <w:tcW w:w="4310" w:type="dxa"/>
          </w:tcPr>
          <w:p w14:paraId="2AFB0A48" w14:textId="77777777" w:rsidR="00AD293A" w:rsidRPr="00CB4B21" w:rsidRDefault="00AD293A">
            <w:pPr>
              <w:cnfStyle w:val="000000100000" w:firstRow="0" w:lastRow="0" w:firstColumn="0" w:lastColumn="0" w:oddVBand="0" w:evenVBand="0" w:oddHBand="1" w:evenHBand="0" w:firstRowFirstColumn="0" w:firstRowLastColumn="0" w:lastRowFirstColumn="0" w:lastRowLastColumn="0"/>
            </w:pPr>
            <w:r w:rsidRPr="00CB4B21">
              <w:t>Avoid one equivalent incident every 33.3 years</w:t>
            </w:r>
          </w:p>
        </w:tc>
      </w:tr>
      <w:tr w:rsidR="00AD293A" w:rsidRPr="00CB4B21" w14:paraId="364DC26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8" w:type="dxa"/>
          </w:tcPr>
          <w:p w14:paraId="7B875235" w14:textId="77777777" w:rsidR="00AD293A" w:rsidRPr="006A2271" w:rsidRDefault="00AD293A">
            <w:pPr>
              <w:rPr>
                <w:b w:val="0"/>
                <w:bCs/>
              </w:rPr>
            </w:pPr>
            <w:r w:rsidRPr="006A2271">
              <w:rPr>
                <w:b w:val="0"/>
                <w:bCs/>
              </w:rPr>
              <w:t>Severe water disruption</w:t>
            </w:r>
          </w:p>
        </w:tc>
        <w:tc>
          <w:tcPr>
            <w:tcW w:w="1642" w:type="dxa"/>
          </w:tcPr>
          <w:p w14:paraId="1169C533" w14:textId="77777777" w:rsidR="00AD293A" w:rsidRPr="00CB4B21" w:rsidRDefault="00AD293A">
            <w:pPr>
              <w:cnfStyle w:val="000000010000" w:firstRow="0" w:lastRow="0" w:firstColumn="0" w:lastColumn="0" w:oddVBand="0" w:evenVBand="0" w:oddHBand="0" w:evenHBand="1" w:firstRowFirstColumn="0" w:firstRowLastColumn="0" w:lastRowFirstColumn="0" w:lastRowLastColumn="0"/>
            </w:pPr>
            <w:r w:rsidRPr="00CB4B21">
              <w:t>$4.099</w:t>
            </w:r>
            <w:r>
              <w:t>b</w:t>
            </w:r>
          </w:p>
        </w:tc>
        <w:tc>
          <w:tcPr>
            <w:tcW w:w="4310" w:type="dxa"/>
          </w:tcPr>
          <w:p w14:paraId="21BEF871" w14:textId="77777777" w:rsidR="00AD293A" w:rsidRPr="00CB4B21" w:rsidRDefault="00AD293A">
            <w:pPr>
              <w:cnfStyle w:val="000000010000" w:firstRow="0" w:lastRow="0" w:firstColumn="0" w:lastColumn="0" w:oddVBand="0" w:evenVBand="0" w:oddHBand="0" w:evenHBand="1" w:firstRowFirstColumn="0" w:firstRowLastColumn="0" w:lastRowFirstColumn="0" w:lastRowLastColumn="0"/>
            </w:pPr>
            <w:r w:rsidRPr="00CB4B21">
              <w:t>Avoid one equivalent incident every 71.3 years</w:t>
            </w:r>
          </w:p>
        </w:tc>
      </w:tr>
      <w:tr w:rsidR="00AD293A" w:rsidRPr="00CB4B21" w14:paraId="302E3DA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8" w:type="dxa"/>
          </w:tcPr>
          <w:p w14:paraId="60277122" w14:textId="77777777" w:rsidR="00AD293A" w:rsidRPr="006A2271" w:rsidRDefault="00AD293A">
            <w:pPr>
              <w:rPr>
                <w:b w:val="0"/>
                <w:bCs/>
              </w:rPr>
            </w:pPr>
            <w:r w:rsidRPr="006A2271">
              <w:rPr>
                <w:b w:val="0"/>
                <w:bCs/>
              </w:rPr>
              <w:t>Severe liquid fuels disruption</w:t>
            </w:r>
          </w:p>
        </w:tc>
        <w:tc>
          <w:tcPr>
            <w:tcW w:w="1642" w:type="dxa"/>
          </w:tcPr>
          <w:p w14:paraId="642C1A63" w14:textId="77777777" w:rsidR="00AD293A" w:rsidRPr="00CB4B21" w:rsidRDefault="00AD293A">
            <w:pPr>
              <w:cnfStyle w:val="000000100000" w:firstRow="0" w:lastRow="0" w:firstColumn="0" w:lastColumn="0" w:oddVBand="0" w:evenVBand="0" w:oddHBand="1" w:evenHBand="0" w:firstRowFirstColumn="0" w:firstRowLastColumn="0" w:lastRowFirstColumn="0" w:lastRowLastColumn="0"/>
            </w:pPr>
            <w:r w:rsidRPr="00CB4B21">
              <w:t>$1.913</w:t>
            </w:r>
            <w:r>
              <w:t>b</w:t>
            </w:r>
          </w:p>
        </w:tc>
        <w:tc>
          <w:tcPr>
            <w:tcW w:w="4310" w:type="dxa"/>
          </w:tcPr>
          <w:p w14:paraId="0AFD3D88" w14:textId="77777777" w:rsidR="00AD293A" w:rsidRPr="00CB4B21" w:rsidRDefault="00AD293A">
            <w:pPr>
              <w:cnfStyle w:val="000000100000" w:firstRow="0" w:lastRow="0" w:firstColumn="0" w:lastColumn="0" w:oddVBand="0" w:evenVBand="0" w:oddHBand="1" w:evenHBand="0" w:firstRowFirstColumn="0" w:firstRowLastColumn="0" w:lastRowFirstColumn="0" w:lastRowLastColumn="0"/>
            </w:pPr>
            <w:r w:rsidRPr="00CB4B21">
              <w:t>Avoid one equivalent incident every 33.3 years</w:t>
            </w:r>
          </w:p>
        </w:tc>
      </w:tr>
      <w:tr w:rsidR="00AD293A" w:rsidRPr="00CB4B21" w14:paraId="5A583C1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8" w:type="dxa"/>
          </w:tcPr>
          <w:p w14:paraId="79003929" w14:textId="77777777" w:rsidR="00AD293A" w:rsidRPr="006A2271" w:rsidRDefault="00AD293A">
            <w:pPr>
              <w:rPr>
                <w:b w:val="0"/>
                <w:bCs/>
              </w:rPr>
            </w:pPr>
            <w:r w:rsidRPr="006A2271">
              <w:rPr>
                <w:b w:val="0"/>
                <w:bCs/>
              </w:rPr>
              <w:t>Severe freight disruption</w:t>
            </w:r>
          </w:p>
        </w:tc>
        <w:tc>
          <w:tcPr>
            <w:tcW w:w="1642" w:type="dxa"/>
          </w:tcPr>
          <w:p w14:paraId="189DBFA6" w14:textId="77777777" w:rsidR="00AD293A" w:rsidRPr="00CB4B21" w:rsidRDefault="00AD293A">
            <w:pPr>
              <w:cnfStyle w:val="000000010000" w:firstRow="0" w:lastRow="0" w:firstColumn="0" w:lastColumn="0" w:oddVBand="0" w:evenVBand="0" w:oddHBand="0" w:evenHBand="1" w:firstRowFirstColumn="0" w:firstRowLastColumn="0" w:lastRowFirstColumn="0" w:lastRowLastColumn="0"/>
            </w:pPr>
            <w:r w:rsidRPr="00CB4B21">
              <w:t>$724.1</w:t>
            </w:r>
            <w:r>
              <w:t>m</w:t>
            </w:r>
          </w:p>
        </w:tc>
        <w:tc>
          <w:tcPr>
            <w:tcW w:w="4310" w:type="dxa"/>
          </w:tcPr>
          <w:p w14:paraId="76CE1067" w14:textId="77777777" w:rsidR="00AD293A" w:rsidRPr="00CB4B21" w:rsidRDefault="00AD293A">
            <w:pPr>
              <w:cnfStyle w:val="000000010000" w:firstRow="0" w:lastRow="0" w:firstColumn="0" w:lastColumn="0" w:oddVBand="0" w:evenVBand="0" w:oddHBand="0" w:evenHBand="1" w:firstRowFirstColumn="0" w:firstRowLastColumn="0" w:lastRowFirstColumn="0" w:lastRowLastColumn="0"/>
            </w:pPr>
            <w:r w:rsidRPr="00CB4B21">
              <w:t>Avoid one equivalent incident every 12.6 years</w:t>
            </w:r>
          </w:p>
        </w:tc>
      </w:tr>
      <w:tr w:rsidR="00AD293A" w:rsidRPr="00CB4B21" w14:paraId="57D1AE2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8" w:type="dxa"/>
          </w:tcPr>
          <w:p w14:paraId="06066E84" w14:textId="77777777" w:rsidR="00AD293A" w:rsidRPr="006A2271" w:rsidRDefault="00AD293A">
            <w:pPr>
              <w:rPr>
                <w:b w:val="0"/>
                <w:bCs/>
              </w:rPr>
            </w:pPr>
            <w:r w:rsidRPr="006A2271">
              <w:rPr>
                <w:b w:val="0"/>
                <w:bCs/>
              </w:rPr>
              <w:t>Moderate broadcasting/DNS disruption</w:t>
            </w:r>
          </w:p>
        </w:tc>
        <w:tc>
          <w:tcPr>
            <w:tcW w:w="1642" w:type="dxa"/>
          </w:tcPr>
          <w:p w14:paraId="3FCA72DA" w14:textId="77777777" w:rsidR="00AD293A" w:rsidRPr="00CB4B21" w:rsidRDefault="00AD293A">
            <w:pPr>
              <w:cnfStyle w:val="000000100000" w:firstRow="0" w:lastRow="0" w:firstColumn="0" w:lastColumn="0" w:oddVBand="0" w:evenVBand="0" w:oddHBand="1" w:evenHBand="0" w:firstRowFirstColumn="0" w:firstRowLastColumn="0" w:lastRowFirstColumn="0" w:lastRowLastColumn="0"/>
            </w:pPr>
            <w:r w:rsidRPr="00CB4B21">
              <w:t>$3.8</w:t>
            </w:r>
            <w:r>
              <w:t>m</w:t>
            </w:r>
          </w:p>
        </w:tc>
        <w:tc>
          <w:tcPr>
            <w:tcW w:w="4310" w:type="dxa"/>
          </w:tcPr>
          <w:p w14:paraId="54A4F82D" w14:textId="77777777" w:rsidR="00AD293A" w:rsidRPr="00CB4B21" w:rsidRDefault="00AD293A">
            <w:pPr>
              <w:cnfStyle w:val="000000100000" w:firstRow="0" w:lastRow="0" w:firstColumn="0" w:lastColumn="0" w:oddVBand="0" w:evenVBand="0" w:oddHBand="1" w:evenHBand="0" w:firstRowFirstColumn="0" w:firstRowLastColumn="0" w:lastRowFirstColumn="0" w:lastRowLastColumn="0"/>
            </w:pPr>
            <w:r w:rsidRPr="00CB4B21">
              <w:t>This scenario alone would not break even; benefits would need to arise from multiple incidents or larger cross-sector impacts</w:t>
            </w:r>
          </w:p>
        </w:tc>
      </w:tr>
    </w:tbl>
    <w:p w14:paraId="2DD86627" w14:textId="77777777" w:rsidR="002219C6" w:rsidRDefault="002219C6" w:rsidP="002219C6">
      <w:pPr>
        <w:pStyle w:val="BodyText"/>
      </w:pPr>
      <w:r>
        <w:t>Given the scale of avoided harm associated with disruption to electricity, gas, water, liquid fuels and freight assets, Option 3 would break even if it produces even a small reduction in the expected frequency, duration or severity of high-consequence incidents affecting the in-scope asset classes. The break-even threshold is therefore proportionate to the risk being addressed. Detailed costing, distributional impacts and economic analysis are set out in Section 3.</w:t>
      </w:r>
    </w:p>
    <w:p w14:paraId="63BBF6C6" w14:textId="208B831B" w:rsidR="005C0CBA" w:rsidRDefault="00C40039" w:rsidP="00C40039">
      <w:pPr>
        <w:pStyle w:val="Heading2numbered"/>
      </w:pPr>
      <w:bookmarkStart w:id="33" w:name="_Toc228391062"/>
      <w:r w:rsidRPr="00C40039">
        <w:t>Comparative</w:t>
      </w:r>
      <w:r>
        <w:t xml:space="preserve"> assessment of options</w:t>
      </w:r>
      <w:bookmarkEnd w:id="33"/>
    </w:p>
    <w:p w14:paraId="5395B62F" w14:textId="77777777" w:rsidR="00BB251F" w:rsidRPr="00BB251F" w:rsidRDefault="00BB251F" w:rsidP="00BB251F">
      <w:pPr>
        <w:pStyle w:val="BodyText"/>
      </w:pPr>
      <w:r w:rsidRPr="00BB251F">
        <w:t>The comparative assessment below summarises the principal advantages and limitations of each option.</w:t>
      </w:r>
    </w:p>
    <w:p w14:paraId="6325656E" w14:textId="03BE5ABB" w:rsidR="00B90D57" w:rsidRDefault="00B90D57" w:rsidP="00B90D57">
      <w:pPr>
        <w:pStyle w:val="Caption"/>
      </w:pPr>
      <w:r>
        <w:t xml:space="preserve">Table </w:t>
      </w:r>
      <w:fldSimple w:instr=" SEQ Table \* ARABIC ">
        <w:r>
          <w:rPr>
            <w:noProof/>
          </w:rPr>
          <w:t>6</w:t>
        </w:r>
      </w:fldSimple>
      <w:r>
        <w:t>: Comparative assessment of options</w:t>
      </w:r>
    </w:p>
    <w:tbl>
      <w:tblPr>
        <w:tblStyle w:val="HATableStyle1default"/>
        <w:tblW w:w="0" w:type="auto"/>
        <w:tblLook w:val="04A0" w:firstRow="1" w:lastRow="0" w:firstColumn="1" w:lastColumn="0" w:noHBand="0" w:noVBand="1"/>
      </w:tblPr>
      <w:tblGrid>
        <w:gridCol w:w="1922"/>
        <w:gridCol w:w="2400"/>
        <w:gridCol w:w="2582"/>
        <w:gridCol w:w="2986"/>
      </w:tblGrid>
      <w:tr w:rsidR="00E1745F" w:rsidRPr="00E1745F" w14:paraId="604E128C" w14:textId="77777777" w:rsidTr="00026D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2" w:type="dxa"/>
          </w:tcPr>
          <w:p w14:paraId="0783EF04" w14:textId="77777777" w:rsidR="00E1745F" w:rsidRPr="00E1745F" w:rsidRDefault="00E1745F" w:rsidP="00E1745F">
            <w:r w:rsidRPr="00E1745F">
              <w:t>Assessment criterion</w:t>
            </w:r>
          </w:p>
        </w:tc>
        <w:tc>
          <w:tcPr>
            <w:tcW w:w="2400" w:type="dxa"/>
          </w:tcPr>
          <w:p w14:paraId="6B7522A0" w14:textId="77777777" w:rsidR="00E1745F" w:rsidRPr="00E1745F" w:rsidRDefault="00E1745F" w:rsidP="00E1745F">
            <w:pPr>
              <w:cnfStyle w:val="100000000000" w:firstRow="1" w:lastRow="0" w:firstColumn="0" w:lastColumn="0" w:oddVBand="0" w:evenVBand="0" w:oddHBand="0" w:evenHBand="0" w:firstRowFirstColumn="0" w:firstRowLastColumn="0" w:lastRowFirstColumn="0" w:lastRowLastColumn="0"/>
            </w:pPr>
            <w:r w:rsidRPr="00E1745F">
              <w:t>Option 1: Status quo</w:t>
            </w:r>
          </w:p>
        </w:tc>
        <w:tc>
          <w:tcPr>
            <w:tcW w:w="2582" w:type="dxa"/>
          </w:tcPr>
          <w:p w14:paraId="07BE3A7B" w14:textId="77777777" w:rsidR="00E1745F" w:rsidRPr="00E1745F" w:rsidRDefault="00E1745F" w:rsidP="00E1745F">
            <w:pPr>
              <w:cnfStyle w:val="100000000000" w:firstRow="1" w:lastRow="0" w:firstColumn="0" w:lastColumn="0" w:oddVBand="0" w:evenVBand="0" w:oddHBand="0" w:evenHBand="0" w:firstRowFirstColumn="0" w:firstRowLastColumn="0" w:lastRowFirstColumn="0" w:lastRowLastColumn="0"/>
            </w:pPr>
            <w:r w:rsidRPr="00E1745F">
              <w:t>Option 2: Improved awareness</w:t>
            </w:r>
          </w:p>
        </w:tc>
        <w:tc>
          <w:tcPr>
            <w:tcW w:w="2986" w:type="dxa"/>
          </w:tcPr>
          <w:p w14:paraId="27D638CF" w14:textId="77777777" w:rsidR="00E1745F" w:rsidRPr="00E1745F" w:rsidRDefault="00E1745F" w:rsidP="00E1745F">
            <w:pPr>
              <w:cnfStyle w:val="100000000000" w:firstRow="1" w:lastRow="0" w:firstColumn="0" w:lastColumn="0" w:oddVBand="0" w:evenVBand="0" w:oddHBand="0" w:evenHBand="0" w:firstRowFirstColumn="0" w:firstRowLastColumn="0" w:lastRowFirstColumn="0" w:lastRowLastColumn="0"/>
            </w:pPr>
            <w:r w:rsidRPr="00E1745F">
              <w:t>Option 3: Enhanced CIRMP requirements</w:t>
            </w:r>
          </w:p>
        </w:tc>
      </w:tr>
      <w:tr w:rsidR="00E1745F" w:rsidRPr="00E1745F" w14:paraId="2E72F9D4" w14:textId="77777777" w:rsidTr="00026D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2" w:type="dxa"/>
          </w:tcPr>
          <w:p w14:paraId="2E2A6B4A" w14:textId="77777777" w:rsidR="00E1745F" w:rsidRPr="00E1745F" w:rsidRDefault="00E1745F" w:rsidP="00E1745F">
            <w:r w:rsidRPr="00E1745F">
              <w:t>Regulatory change</w:t>
            </w:r>
          </w:p>
        </w:tc>
        <w:tc>
          <w:tcPr>
            <w:tcW w:w="2400" w:type="dxa"/>
          </w:tcPr>
          <w:p w14:paraId="2C62B4F9" w14:textId="77777777" w:rsidR="00E1745F" w:rsidRPr="00E1745F" w:rsidRDefault="00E1745F" w:rsidP="00E1745F">
            <w:pPr>
              <w:cnfStyle w:val="000000100000" w:firstRow="0" w:lastRow="0" w:firstColumn="0" w:lastColumn="0" w:oddVBand="0" w:evenVBand="0" w:oddHBand="1" w:evenHBand="0" w:firstRowFirstColumn="0" w:firstRowLastColumn="0" w:lastRowFirstColumn="0" w:lastRowLastColumn="0"/>
            </w:pPr>
            <w:r w:rsidRPr="00E1745F">
              <w:t>No change to the CIRMP Rules.</w:t>
            </w:r>
          </w:p>
        </w:tc>
        <w:tc>
          <w:tcPr>
            <w:tcW w:w="2582" w:type="dxa"/>
          </w:tcPr>
          <w:p w14:paraId="61C58C0C" w14:textId="77777777" w:rsidR="00E1745F" w:rsidRPr="00E1745F" w:rsidRDefault="00E1745F" w:rsidP="00E1745F">
            <w:pPr>
              <w:cnfStyle w:val="000000100000" w:firstRow="0" w:lastRow="0" w:firstColumn="0" w:lastColumn="0" w:oddVBand="0" w:evenVBand="0" w:oddHBand="1" w:evenHBand="0" w:firstRowFirstColumn="0" w:firstRowLastColumn="0" w:lastRowFirstColumn="0" w:lastRowLastColumn="0"/>
            </w:pPr>
            <w:r w:rsidRPr="00E1745F">
              <w:t xml:space="preserve">No change to the CIRMP Rules; Government would rely on guidance, </w:t>
            </w:r>
            <w:r w:rsidRPr="00E1745F">
              <w:lastRenderedPageBreak/>
              <w:t>templates, threat briefings and engagement.</w:t>
            </w:r>
          </w:p>
        </w:tc>
        <w:tc>
          <w:tcPr>
            <w:tcW w:w="2986" w:type="dxa"/>
          </w:tcPr>
          <w:p w14:paraId="729A8F29" w14:textId="77777777" w:rsidR="00E1745F" w:rsidRPr="00E1745F" w:rsidRDefault="00E1745F" w:rsidP="00E1745F">
            <w:pPr>
              <w:cnfStyle w:val="000000100000" w:firstRow="0" w:lastRow="0" w:firstColumn="0" w:lastColumn="0" w:oddVBand="0" w:evenVBand="0" w:oddHBand="1" w:evenHBand="0" w:firstRowFirstColumn="0" w:firstRowLastColumn="0" w:lastRowFirstColumn="0" w:lastRowLastColumn="0"/>
            </w:pPr>
            <w:r w:rsidRPr="00E1745F">
              <w:lastRenderedPageBreak/>
              <w:t>Targeted amendments to the CIRMP Rules for the nine in-scope asset classes only.</w:t>
            </w:r>
          </w:p>
        </w:tc>
      </w:tr>
      <w:tr w:rsidR="00E1745F" w:rsidRPr="00E1745F" w14:paraId="62D8E150" w14:textId="77777777" w:rsidTr="00026D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2" w:type="dxa"/>
          </w:tcPr>
          <w:p w14:paraId="0BE6FD14" w14:textId="77777777" w:rsidR="00E1745F" w:rsidRPr="00E1745F" w:rsidRDefault="00E1745F" w:rsidP="00E1745F">
            <w:r w:rsidRPr="00E1745F">
              <w:t>Effectiveness</w:t>
            </w:r>
          </w:p>
        </w:tc>
        <w:tc>
          <w:tcPr>
            <w:tcW w:w="2400" w:type="dxa"/>
          </w:tcPr>
          <w:p w14:paraId="3787B18C" w14:textId="7A35409E" w:rsidR="00E1745F" w:rsidRPr="00E1745F" w:rsidRDefault="00E1745F" w:rsidP="00E1745F">
            <w:pPr>
              <w:cnfStyle w:val="000000010000" w:firstRow="0" w:lastRow="0" w:firstColumn="0" w:lastColumn="0" w:oddVBand="0" w:evenVBand="0" w:oddHBand="0" w:evenHBand="1" w:firstRowFirstColumn="0" w:firstRowLastColumn="0" w:lastRowFirstColumn="0" w:lastRowLastColumn="0"/>
            </w:pPr>
            <w:r w:rsidRPr="00E1745F">
              <w:t>Low. Existing baseline obligations would continue</w:t>
            </w:r>
            <w:r w:rsidR="0095312B">
              <w:t>,</w:t>
            </w:r>
            <w:r w:rsidRPr="00E1745F">
              <w:t xml:space="preserve"> but identified gaps in consistency, maturity and documentation would persist.</w:t>
            </w:r>
          </w:p>
        </w:tc>
        <w:tc>
          <w:tcPr>
            <w:tcW w:w="2582" w:type="dxa"/>
          </w:tcPr>
          <w:p w14:paraId="6BB3140F" w14:textId="77777777" w:rsidR="00E1745F" w:rsidRPr="00E1745F" w:rsidRDefault="00E1745F" w:rsidP="00E1745F">
            <w:pPr>
              <w:cnfStyle w:val="000000010000" w:firstRow="0" w:lastRow="0" w:firstColumn="0" w:lastColumn="0" w:oddVBand="0" w:evenVBand="0" w:oddHBand="0" w:evenHBand="1" w:firstRowFirstColumn="0" w:firstRowLastColumn="0" w:lastRowFirstColumn="0" w:lastRowLastColumn="0"/>
            </w:pPr>
            <w:r w:rsidRPr="00E1745F">
              <w:t>Moderate to low. Awareness may improve, but uplift would depend on voluntary uptake and would likely be uneven.</w:t>
            </w:r>
          </w:p>
        </w:tc>
        <w:tc>
          <w:tcPr>
            <w:tcW w:w="2986" w:type="dxa"/>
          </w:tcPr>
          <w:p w14:paraId="5015793C" w14:textId="737673E9" w:rsidR="00E1745F" w:rsidRPr="00E1745F" w:rsidRDefault="00E1745F" w:rsidP="00E1745F">
            <w:pPr>
              <w:cnfStyle w:val="000000010000" w:firstRow="0" w:lastRow="0" w:firstColumn="0" w:lastColumn="0" w:oddVBand="0" w:evenVBand="0" w:oddHBand="0" w:evenHBand="1" w:firstRowFirstColumn="0" w:firstRowLastColumn="0" w:lastRowFirstColumn="0" w:lastRowLastColumn="0"/>
            </w:pPr>
            <w:r w:rsidRPr="00E1745F">
              <w:t xml:space="preserve">High. Provides clearer, enforceable and auditable requirements for risk areas </w:t>
            </w:r>
            <w:r w:rsidR="00DF6095">
              <w:t>with</w:t>
            </w:r>
            <w:r w:rsidRPr="00E1745F">
              <w:t xml:space="preserve"> inconsistent</w:t>
            </w:r>
            <w:r w:rsidR="00DF6095">
              <w:t xml:space="preserve"> maturity</w:t>
            </w:r>
            <w:r w:rsidRPr="00E1745F">
              <w:t>.</w:t>
            </w:r>
          </w:p>
        </w:tc>
      </w:tr>
      <w:tr w:rsidR="00E1745F" w:rsidRPr="00E1745F" w14:paraId="1E633E17" w14:textId="77777777" w:rsidTr="00026D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2" w:type="dxa"/>
          </w:tcPr>
          <w:p w14:paraId="3548B732" w14:textId="77777777" w:rsidR="00E1745F" w:rsidRPr="00E1745F" w:rsidRDefault="00E1745F" w:rsidP="00E1745F">
            <w:r w:rsidRPr="00E1745F">
              <w:t>Proportionality</w:t>
            </w:r>
          </w:p>
        </w:tc>
        <w:tc>
          <w:tcPr>
            <w:tcW w:w="2400" w:type="dxa"/>
          </w:tcPr>
          <w:p w14:paraId="41A8B9AD" w14:textId="77777777" w:rsidR="00E1745F" w:rsidRPr="00E1745F" w:rsidRDefault="00E1745F" w:rsidP="00E1745F">
            <w:pPr>
              <w:cnfStyle w:val="000000100000" w:firstRow="0" w:lastRow="0" w:firstColumn="0" w:lastColumn="0" w:oddVBand="0" w:evenVBand="0" w:oddHBand="1" w:evenHBand="0" w:firstRowFirstColumn="0" w:firstRowLastColumn="0" w:lastRowFirstColumn="0" w:lastRowLastColumn="0"/>
            </w:pPr>
            <w:r w:rsidRPr="00E1745F">
              <w:t>Low in risk terms. Avoids burden but does not respond to the elevated risk profile of the in-scope asset classes.</w:t>
            </w:r>
          </w:p>
        </w:tc>
        <w:tc>
          <w:tcPr>
            <w:tcW w:w="2582" w:type="dxa"/>
          </w:tcPr>
          <w:p w14:paraId="00E80AC0" w14:textId="77777777" w:rsidR="00E1745F" w:rsidRPr="00E1745F" w:rsidRDefault="00E1745F" w:rsidP="00E1745F">
            <w:pPr>
              <w:cnfStyle w:val="000000100000" w:firstRow="0" w:lastRow="0" w:firstColumn="0" w:lastColumn="0" w:oddVBand="0" w:evenVBand="0" w:oddHBand="1" w:evenHBand="0" w:firstRowFirstColumn="0" w:firstRowLastColumn="0" w:lastRowFirstColumn="0" w:lastRowLastColumn="0"/>
            </w:pPr>
            <w:r w:rsidRPr="00E1745F">
              <w:t>Moderate. Low regulatory burden, but weaker alignment between risk level and required uplift.</w:t>
            </w:r>
          </w:p>
        </w:tc>
        <w:tc>
          <w:tcPr>
            <w:tcW w:w="2986" w:type="dxa"/>
          </w:tcPr>
          <w:p w14:paraId="60F1269D" w14:textId="2249A1D0" w:rsidR="00E1745F" w:rsidRPr="00E1745F" w:rsidRDefault="00E1745F" w:rsidP="00E1745F">
            <w:pPr>
              <w:cnfStyle w:val="000000100000" w:firstRow="0" w:lastRow="0" w:firstColumn="0" w:lastColumn="0" w:oddVBand="0" w:evenVBand="0" w:oddHBand="1" w:evenHBand="0" w:firstRowFirstColumn="0" w:firstRowLastColumn="0" w:lastRowFirstColumn="0" w:lastRowLastColumn="0"/>
            </w:pPr>
            <w:r w:rsidRPr="00E1745F">
              <w:t>High. Applies only to specified high-risk asset classes and preserves the existing CIRMP architecture</w:t>
            </w:r>
            <w:r w:rsidR="00DF6095">
              <w:t>,</w:t>
            </w:r>
            <w:r w:rsidRPr="00E1745F">
              <w:t xml:space="preserve"> and so </w:t>
            </w:r>
            <w:proofErr w:type="gramStart"/>
            <w:r w:rsidRPr="00E1745F">
              <w:t>far</w:t>
            </w:r>
            <w:proofErr w:type="gramEnd"/>
            <w:r w:rsidRPr="00E1745F">
              <w:t xml:space="preserve"> as reasonably practicable principle.</w:t>
            </w:r>
          </w:p>
        </w:tc>
      </w:tr>
      <w:tr w:rsidR="00E1745F" w:rsidRPr="00E1745F" w14:paraId="71129FD7" w14:textId="77777777" w:rsidTr="00026D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2" w:type="dxa"/>
          </w:tcPr>
          <w:p w14:paraId="6051AA42" w14:textId="77777777" w:rsidR="00E1745F" w:rsidRPr="00E1745F" w:rsidRDefault="00E1745F" w:rsidP="00E1745F">
            <w:r w:rsidRPr="00E1745F">
              <w:t>Direct regulatory burden</w:t>
            </w:r>
          </w:p>
        </w:tc>
        <w:tc>
          <w:tcPr>
            <w:tcW w:w="2400" w:type="dxa"/>
          </w:tcPr>
          <w:p w14:paraId="37FD7EC4" w14:textId="77777777" w:rsidR="00E1745F" w:rsidRPr="00E1745F" w:rsidRDefault="00E1745F" w:rsidP="00E1745F">
            <w:pPr>
              <w:cnfStyle w:val="000000010000" w:firstRow="0" w:lastRow="0" w:firstColumn="0" w:lastColumn="0" w:oddVBand="0" w:evenVBand="0" w:oddHBand="0" w:evenHBand="1" w:firstRowFirstColumn="0" w:firstRowLastColumn="0" w:lastRowFirstColumn="0" w:lastRowLastColumn="0"/>
            </w:pPr>
            <w:r w:rsidRPr="00E1745F">
              <w:t>Nil additional direct regulatory burden.</w:t>
            </w:r>
          </w:p>
        </w:tc>
        <w:tc>
          <w:tcPr>
            <w:tcW w:w="2582" w:type="dxa"/>
          </w:tcPr>
          <w:p w14:paraId="12F50869" w14:textId="77777777" w:rsidR="00E1745F" w:rsidRPr="00E1745F" w:rsidRDefault="00E1745F" w:rsidP="00E1745F">
            <w:pPr>
              <w:cnfStyle w:val="000000010000" w:firstRow="0" w:lastRow="0" w:firstColumn="0" w:lastColumn="0" w:oddVBand="0" w:evenVBand="0" w:oddHBand="0" w:evenHBand="1" w:firstRowFirstColumn="0" w:firstRowLastColumn="0" w:lastRowFirstColumn="0" w:lastRowLastColumn="0"/>
            </w:pPr>
            <w:r w:rsidRPr="00E1745F">
              <w:t>Nil additional direct regulatory burden, provided measures remain genuinely voluntary.</w:t>
            </w:r>
          </w:p>
        </w:tc>
        <w:tc>
          <w:tcPr>
            <w:tcW w:w="2986" w:type="dxa"/>
          </w:tcPr>
          <w:p w14:paraId="5D506A80" w14:textId="54CA661D" w:rsidR="00E1745F" w:rsidRPr="00E1745F" w:rsidRDefault="00E1745F" w:rsidP="00E1745F">
            <w:pPr>
              <w:cnfStyle w:val="000000010000" w:firstRow="0" w:lastRow="0" w:firstColumn="0" w:lastColumn="0" w:oddVBand="0" w:evenVBand="0" w:oddHBand="0" w:evenHBand="1" w:firstRowFirstColumn="0" w:firstRowLastColumn="0" w:lastRowFirstColumn="0" w:lastRowLastColumn="0"/>
            </w:pPr>
            <w:r w:rsidRPr="00E1745F">
              <w:t>Central estimate of $57.5</w:t>
            </w:r>
            <w:r w:rsidR="00DF6095">
              <w:t> </w:t>
            </w:r>
            <w:r w:rsidRPr="00E1745F">
              <w:t xml:space="preserve">million per year, with </w:t>
            </w:r>
            <w:r w:rsidR="00DF6095">
              <w:t xml:space="preserve">a </w:t>
            </w:r>
            <w:r w:rsidRPr="00E1745F">
              <w:t>sensitivity range of $28.7</w:t>
            </w:r>
            <w:r w:rsidR="00DF6095">
              <w:t> </w:t>
            </w:r>
            <w:r w:rsidRPr="00E1745F">
              <w:t>million to $86.2</w:t>
            </w:r>
            <w:r w:rsidR="00DF6095">
              <w:t> </w:t>
            </w:r>
            <w:r w:rsidRPr="00E1745F">
              <w:t>million per year.</w:t>
            </w:r>
          </w:p>
        </w:tc>
      </w:tr>
      <w:tr w:rsidR="00E1745F" w:rsidRPr="00E1745F" w14:paraId="6377A7CA" w14:textId="77777777" w:rsidTr="00026D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2" w:type="dxa"/>
          </w:tcPr>
          <w:p w14:paraId="728AF828" w14:textId="77777777" w:rsidR="00E1745F" w:rsidRPr="00E1745F" w:rsidRDefault="00E1745F" w:rsidP="00E1745F">
            <w:r w:rsidRPr="00E1745F">
              <w:t>Implementation feasibility</w:t>
            </w:r>
          </w:p>
        </w:tc>
        <w:tc>
          <w:tcPr>
            <w:tcW w:w="2400" w:type="dxa"/>
          </w:tcPr>
          <w:p w14:paraId="585F1CE0" w14:textId="77777777" w:rsidR="00E1745F" w:rsidRPr="00E1745F" w:rsidRDefault="00E1745F" w:rsidP="00E1745F">
            <w:pPr>
              <w:cnfStyle w:val="000000100000" w:firstRow="0" w:lastRow="0" w:firstColumn="0" w:lastColumn="0" w:oddVBand="0" w:evenVBand="0" w:oddHBand="1" w:evenHBand="0" w:firstRowFirstColumn="0" w:firstRowLastColumn="0" w:lastRowFirstColumn="0" w:lastRowLastColumn="0"/>
            </w:pPr>
            <w:r w:rsidRPr="00E1745F">
              <w:t xml:space="preserve">High immediate </w:t>
            </w:r>
            <w:proofErr w:type="gramStart"/>
            <w:r w:rsidRPr="00E1745F">
              <w:t>feasibility, but</w:t>
            </w:r>
            <w:proofErr w:type="gramEnd"/>
            <w:r w:rsidRPr="00E1745F">
              <w:t xml:space="preserve"> does not deliver the required uplift.</w:t>
            </w:r>
          </w:p>
        </w:tc>
        <w:tc>
          <w:tcPr>
            <w:tcW w:w="2582" w:type="dxa"/>
          </w:tcPr>
          <w:p w14:paraId="53E3B170" w14:textId="77777777" w:rsidR="00E1745F" w:rsidRPr="00E1745F" w:rsidRDefault="00E1745F" w:rsidP="00E1745F">
            <w:pPr>
              <w:cnfStyle w:val="000000100000" w:firstRow="0" w:lastRow="0" w:firstColumn="0" w:lastColumn="0" w:oddVBand="0" w:evenVBand="0" w:oddHBand="1" w:evenHBand="0" w:firstRowFirstColumn="0" w:firstRowLastColumn="0" w:lastRowFirstColumn="0" w:lastRowLastColumn="0"/>
            </w:pPr>
            <w:r w:rsidRPr="00E1745F">
              <w:t>Moderate. Guidance can be delivered, but implementation depends on entity capability, funding cycles and willingness to invest.</w:t>
            </w:r>
          </w:p>
        </w:tc>
        <w:tc>
          <w:tcPr>
            <w:tcW w:w="2986" w:type="dxa"/>
          </w:tcPr>
          <w:p w14:paraId="611AFD63" w14:textId="77777777" w:rsidR="00E1745F" w:rsidRPr="00E1745F" w:rsidRDefault="00E1745F" w:rsidP="00E1745F">
            <w:pPr>
              <w:cnfStyle w:val="000000100000" w:firstRow="0" w:lastRow="0" w:firstColumn="0" w:lastColumn="0" w:oddVBand="0" w:evenVBand="0" w:oddHBand="1" w:evenHBand="0" w:firstRowFirstColumn="0" w:firstRowLastColumn="0" w:lastRowFirstColumn="0" w:lastRowLastColumn="0"/>
            </w:pPr>
            <w:r w:rsidRPr="00E1745F">
              <w:t>Manageable with staged implementation, guidance, equivalent-framework recognition and flexibility for compensating controls where full technical remediation is not reasonably practicable.</w:t>
            </w:r>
          </w:p>
        </w:tc>
      </w:tr>
      <w:tr w:rsidR="00E1745F" w:rsidRPr="00E1745F" w14:paraId="02EBC539" w14:textId="77777777" w:rsidTr="00026D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2" w:type="dxa"/>
          </w:tcPr>
          <w:p w14:paraId="006CCEA6" w14:textId="77777777" w:rsidR="00E1745F" w:rsidRPr="00E1745F" w:rsidRDefault="00E1745F" w:rsidP="00E1745F">
            <w:r w:rsidRPr="00E1745F">
              <w:t>Consultation alignment</w:t>
            </w:r>
          </w:p>
        </w:tc>
        <w:tc>
          <w:tcPr>
            <w:tcW w:w="2400" w:type="dxa"/>
          </w:tcPr>
          <w:p w14:paraId="694056BF" w14:textId="77777777" w:rsidR="00E1745F" w:rsidRPr="00E1745F" w:rsidRDefault="00E1745F" w:rsidP="00E1745F">
            <w:pPr>
              <w:cnfStyle w:val="000000010000" w:firstRow="0" w:lastRow="0" w:firstColumn="0" w:lastColumn="0" w:oddVBand="0" w:evenVBand="0" w:oddHBand="0" w:evenHBand="1" w:firstRowFirstColumn="0" w:firstRowLastColumn="0" w:lastRowFirstColumn="0" w:lastRowLastColumn="0"/>
            </w:pPr>
            <w:r w:rsidRPr="00E1745F">
              <w:t>Does not respond to stakeholder acknowledgement of the need to strengthen resilience or to intelligence-driven risk concerns.</w:t>
            </w:r>
          </w:p>
        </w:tc>
        <w:tc>
          <w:tcPr>
            <w:tcW w:w="2582" w:type="dxa"/>
          </w:tcPr>
          <w:p w14:paraId="644CD02D" w14:textId="77777777" w:rsidR="00E1745F" w:rsidRPr="00E1745F" w:rsidRDefault="00E1745F" w:rsidP="00E1745F">
            <w:pPr>
              <w:cnfStyle w:val="000000010000" w:firstRow="0" w:lastRow="0" w:firstColumn="0" w:lastColumn="0" w:oddVBand="0" w:evenVBand="0" w:oddHBand="0" w:evenHBand="1" w:firstRowFirstColumn="0" w:firstRowLastColumn="0" w:lastRowFirstColumn="0" w:lastRowLastColumn="0"/>
            </w:pPr>
            <w:r w:rsidRPr="00E1745F">
              <w:t xml:space="preserve">Responds to stakeholder requests for </w:t>
            </w:r>
            <w:proofErr w:type="gramStart"/>
            <w:r w:rsidRPr="00E1745F">
              <w:t>guidance, but</w:t>
            </w:r>
            <w:proofErr w:type="gramEnd"/>
            <w:r w:rsidRPr="00E1745F">
              <w:t xml:space="preserve"> does not respond to feedback that consistent uplift requires clearer regulatory expectations.</w:t>
            </w:r>
          </w:p>
        </w:tc>
        <w:tc>
          <w:tcPr>
            <w:tcW w:w="2986" w:type="dxa"/>
          </w:tcPr>
          <w:p w14:paraId="71DB3E23" w14:textId="21074D65" w:rsidR="00E1745F" w:rsidRPr="00E1745F" w:rsidRDefault="00E1745F" w:rsidP="00E1745F">
            <w:pPr>
              <w:cnfStyle w:val="000000010000" w:firstRow="0" w:lastRow="0" w:firstColumn="0" w:lastColumn="0" w:oddVBand="0" w:evenVBand="0" w:oddHBand="0" w:evenHBand="1" w:firstRowFirstColumn="0" w:firstRowLastColumn="0" w:lastRowFirstColumn="0" w:lastRowLastColumn="0"/>
            </w:pPr>
            <w:r w:rsidRPr="00E1745F">
              <w:t>Best aligned with consultation when calibrated. Stakeholder feedback has informed extended grace periods, guidance</w:t>
            </w:r>
            <w:r w:rsidR="001B4E41">
              <w:t xml:space="preserve"> and the</w:t>
            </w:r>
            <w:r w:rsidRPr="00E1745F">
              <w:t xml:space="preserve"> principles-based implementation and refinement of prescriptive requirements.</w:t>
            </w:r>
          </w:p>
        </w:tc>
      </w:tr>
      <w:tr w:rsidR="00E1745F" w:rsidRPr="00E1745F" w14:paraId="1FA2B5FE" w14:textId="77777777" w:rsidTr="00026D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2" w:type="dxa"/>
          </w:tcPr>
          <w:p w14:paraId="29F9BC9A" w14:textId="77777777" w:rsidR="00E1745F" w:rsidRPr="00E1745F" w:rsidRDefault="00E1745F" w:rsidP="00E1745F">
            <w:r w:rsidRPr="00E1745F">
              <w:t>Assessment</w:t>
            </w:r>
          </w:p>
        </w:tc>
        <w:tc>
          <w:tcPr>
            <w:tcW w:w="2400" w:type="dxa"/>
          </w:tcPr>
          <w:p w14:paraId="6CC52FD2" w14:textId="77777777" w:rsidR="00E1745F" w:rsidRPr="00E1745F" w:rsidRDefault="00E1745F" w:rsidP="00E1745F">
            <w:pPr>
              <w:cnfStyle w:val="000000100000" w:firstRow="0" w:lastRow="0" w:firstColumn="0" w:lastColumn="0" w:oddVBand="0" w:evenVBand="0" w:oddHBand="1" w:evenHBand="0" w:firstRowFirstColumn="0" w:firstRowLastColumn="0" w:lastRowFirstColumn="0" w:lastRowLastColumn="0"/>
            </w:pPr>
            <w:r w:rsidRPr="00E1745F">
              <w:t>Not preferred.</w:t>
            </w:r>
          </w:p>
        </w:tc>
        <w:tc>
          <w:tcPr>
            <w:tcW w:w="2582" w:type="dxa"/>
          </w:tcPr>
          <w:p w14:paraId="63C86DE5" w14:textId="77777777" w:rsidR="00E1745F" w:rsidRPr="00E1745F" w:rsidRDefault="00E1745F" w:rsidP="00E1745F">
            <w:pPr>
              <w:cnfStyle w:val="000000100000" w:firstRow="0" w:lastRow="0" w:firstColumn="0" w:lastColumn="0" w:oddVBand="0" w:evenVBand="0" w:oddHBand="1" w:evenHBand="0" w:firstRowFirstColumn="0" w:firstRowLastColumn="0" w:lastRowFirstColumn="0" w:lastRowLastColumn="0"/>
            </w:pPr>
            <w:r w:rsidRPr="00E1745F">
              <w:t>Not preferred.</w:t>
            </w:r>
          </w:p>
        </w:tc>
        <w:tc>
          <w:tcPr>
            <w:tcW w:w="2986" w:type="dxa"/>
          </w:tcPr>
          <w:p w14:paraId="1B2CC588" w14:textId="77777777" w:rsidR="00E1745F" w:rsidRPr="00E1745F" w:rsidRDefault="00E1745F" w:rsidP="00E1745F">
            <w:pPr>
              <w:cnfStyle w:val="000000100000" w:firstRow="0" w:lastRow="0" w:firstColumn="0" w:lastColumn="0" w:oddVBand="0" w:evenVBand="0" w:oddHBand="1" w:evenHBand="0" w:firstRowFirstColumn="0" w:firstRowLastColumn="0" w:lastRowFirstColumn="0" w:lastRowLastColumn="0"/>
            </w:pPr>
            <w:r w:rsidRPr="00E1745F">
              <w:t>Preferred option.</w:t>
            </w:r>
          </w:p>
        </w:tc>
      </w:tr>
    </w:tbl>
    <w:p w14:paraId="69D9F3AE" w14:textId="6AD00882" w:rsidR="005C0CBA" w:rsidRDefault="00026DF4" w:rsidP="00344724">
      <w:pPr>
        <w:pStyle w:val="Heading2numbered"/>
      </w:pPr>
      <w:bookmarkStart w:id="34" w:name="_Toc228391063"/>
      <w:r>
        <w:t>Preferred option</w:t>
      </w:r>
      <w:bookmarkEnd w:id="34"/>
    </w:p>
    <w:p w14:paraId="2117F4E7" w14:textId="69C11F32" w:rsidR="001113F3" w:rsidRDefault="001113F3" w:rsidP="00344724">
      <w:pPr>
        <w:pStyle w:val="BodyText"/>
      </w:pPr>
      <w:r w:rsidRPr="001113F3">
        <w:t>Option 3 is preferred because it delivers targeted uplift within the existing CIRMP architecture, while preserving the so far as reasonably practicable principle and staged implementation</w:t>
      </w:r>
      <w:r w:rsidR="004D3F0F">
        <w:t>.</w:t>
      </w:r>
    </w:p>
    <w:p w14:paraId="655048DC" w14:textId="1314D40F" w:rsidR="00344724" w:rsidRDefault="00344724" w:rsidP="00344724">
      <w:pPr>
        <w:pStyle w:val="BodyText"/>
      </w:pPr>
      <w:r>
        <w:t>Option 1 would avoid additional regulatory burden but would not address the widening gap between current baseline CIRMP obligations and the contemporary threat environment. Option 2 would support awareness and voluntary uplift but would not deliver consistent, enforceable or auditable improvements across the in-scope asset classes.</w:t>
      </w:r>
    </w:p>
    <w:p w14:paraId="54081C01" w14:textId="6544E0A7" w:rsidR="00344724" w:rsidRDefault="00344724" w:rsidP="00344724">
      <w:pPr>
        <w:pStyle w:val="BodyText"/>
      </w:pPr>
      <w:r>
        <w:t>Option 3 delivers targeted uplift while preserving the structure of the existing CIRMP framework. It does not expand the CIRMP to new asset classes and does not apply enhanced obligations to all asset classes subject to the existing CIRMP. It applies only to the nine specified asset classes identified as higher risk</w:t>
      </w:r>
      <w:r w:rsidR="001B4E41">
        <w:t>. It introduces</w:t>
      </w:r>
      <w:r>
        <w:t xml:space="preserve"> clearer expectations in areas where consultation and operational experience identified inconsistent maturity: </w:t>
      </w:r>
      <w:r>
        <w:lastRenderedPageBreak/>
        <w:t>FOCI, cyber security</w:t>
      </w:r>
      <w:r w:rsidR="00BD38AA">
        <w:t>; including credential compromise and lateral movement</w:t>
      </w:r>
      <w:r>
        <w:t>, supply chain, personnel security and physical security.</w:t>
      </w:r>
    </w:p>
    <w:p w14:paraId="56272469" w14:textId="77777777" w:rsidR="00344724" w:rsidRDefault="00344724" w:rsidP="00344724">
      <w:pPr>
        <w:pStyle w:val="BodyText"/>
      </w:pPr>
      <w:r>
        <w:t>The preferred option is principles-based, incremental and targeted. It maintains the so far as reasonably practicable principle, supports equivalent or compensating controls where appropriate, and is supported by staged implementation periods and guidance. This design responds to stakeholder feedback on implementation feasibility, legacy operational technology environments, supplier concentration, contractor workforces, regulated funding cycles and the need to avoid unnecessary duplication with existing obligations.</w:t>
      </w:r>
    </w:p>
    <w:p w14:paraId="36ACA603" w14:textId="5E7204EF" w:rsidR="00344724" w:rsidRDefault="00344724" w:rsidP="00344724">
      <w:pPr>
        <w:pStyle w:val="BodyText"/>
      </w:pPr>
      <w:r>
        <w:t>The central regulatory burden estimate is materially lower than the original 2022 RIS cost base because the 2026 reforms are incremental to an existing framework, limited to specified asset classes and primarily require additional risk consideration, process uplift, documentation, governance and targeted controls. The preferred option is expected to deliver a net benefit if it reduces annual disruption costs by at least $57.5 million. Given the scale of economic and social harm associated with disruption to electricity, gas, water, liquid fuels and freight assets, this threshold is achievable through even a small reduction in the expected frequency, severity or duration of high-consequence incidents.</w:t>
      </w:r>
    </w:p>
    <w:p w14:paraId="1869A113" w14:textId="77777777" w:rsidR="00344724" w:rsidRDefault="00344724" w:rsidP="00344724">
      <w:pPr>
        <w:pStyle w:val="BodyText"/>
      </w:pPr>
      <w:r>
        <w:t>There is a residual risk that Option 3 may not go far enough to fully address the pace and complexity of the evolving threat environment, particularly as threat actors continue to adapt and exploit emerging technologies, supply chain dependencies and systemic vulnerabilities. The proposed enhancements are therefore not intended to be exhaustive or static. This risk will be mitigated through ongoing monitoring of the threat environment, continued engagement with the National Intelligence Community and industry, and regular review of the effectiveness of the CIRMP framework.</w:t>
      </w:r>
    </w:p>
    <w:p w14:paraId="103BFE6E" w14:textId="27552388" w:rsidR="00344724" w:rsidRPr="00344724" w:rsidRDefault="00344724" w:rsidP="00344724">
      <w:pPr>
        <w:pStyle w:val="BodyText"/>
      </w:pPr>
      <w:r>
        <w:t>On balance, Option 3 provides the greatest net benefit because it targets additional obligations to high-risk asset classes, preserves the existing CIRMP architecture, maintains reasonable-practicability principles, and addresses the risk areas where consultation and operational experience indicate inconsistent maturity.</w:t>
      </w:r>
    </w:p>
    <w:p w14:paraId="6F37D7D6" w14:textId="77777777" w:rsidR="000C08C7" w:rsidRPr="000C08C7" w:rsidRDefault="000C08C7" w:rsidP="000C08C7">
      <w:pPr>
        <w:pStyle w:val="BodyText"/>
      </w:pPr>
    </w:p>
    <w:p w14:paraId="62EBB01F" w14:textId="7757A277" w:rsidR="00A32A53" w:rsidRDefault="000A798E" w:rsidP="009D4185">
      <w:pPr>
        <w:pStyle w:val="Heading1numbered"/>
      </w:pPr>
      <w:bookmarkStart w:id="35" w:name="_Toc228391064"/>
      <w:r>
        <w:t>Regulatory impact</w:t>
      </w:r>
      <w:bookmarkEnd w:id="30"/>
      <w:bookmarkEnd w:id="31"/>
      <w:bookmarkEnd w:id="35"/>
    </w:p>
    <w:p w14:paraId="0336C4D7" w14:textId="2A7CAF11" w:rsidR="00D54BE1" w:rsidRDefault="00D54BE1" w:rsidP="006B4705">
      <w:pPr>
        <w:pStyle w:val="Heading2numbered"/>
        <w:rPr>
          <w:lang w:val="en-US"/>
        </w:rPr>
      </w:pPr>
      <w:bookmarkStart w:id="36" w:name="_Toc228391065"/>
      <w:bookmarkStart w:id="37" w:name="_Toc226463711"/>
      <w:bookmarkStart w:id="38" w:name="_Toc226463883"/>
      <w:r>
        <w:rPr>
          <w:lang w:val="en-US"/>
        </w:rPr>
        <w:t xml:space="preserve">Regulatory costing </w:t>
      </w:r>
      <w:r w:rsidR="00FF1745">
        <w:rPr>
          <w:lang w:val="en-US"/>
        </w:rPr>
        <w:t>method</w:t>
      </w:r>
      <w:bookmarkEnd w:id="36"/>
    </w:p>
    <w:p w14:paraId="04440D3E" w14:textId="127AA88A" w:rsidR="00DC0904" w:rsidRPr="00DC0904" w:rsidRDefault="00DC0904" w:rsidP="00DC0904">
      <w:pPr>
        <w:pStyle w:val="BodyText"/>
        <w:rPr>
          <w:lang w:val="en-US" w:eastAsia="en-US"/>
        </w:rPr>
      </w:pPr>
      <w:r w:rsidRPr="00DC0904">
        <w:rPr>
          <w:lang w:val="en-US" w:eastAsia="en-US"/>
        </w:rPr>
        <w:t xml:space="preserve">The regulatory burden estimate measures the incremental direct regulatory cost of the proposed 2026 enhanced CIRMP Rules relative to business as usual. All responsible entities for the in-scope asset classes are already required to develop, maintain, comply with and annually report on a CIRMP. </w:t>
      </w:r>
      <w:r w:rsidR="00575059">
        <w:rPr>
          <w:lang w:val="en-US" w:eastAsia="en-US"/>
        </w:rPr>
        <w:t>T</w:t>
      </w:r>
      <w:r w:rsidRPr="00DC0904">
        <w:rPr>
          <w:lang w:val="en-US" w:eastAsia="en-US"/>
        </w:rPr>
        <w:t>he 2026 enhancements are therefore costed as an incremental change to the existing CIRMP baseline</w:t>
      </w:r>
      <w:r w:rsidR="00575059">
        <w:rPr>
          <w:lang w:val="en-US" w:eastAsia="en-US"/>
        </w:rPr>
        <w:t xml:space="preserve"> from the 2022 RIS</w:t>
      </w:r>
      <w:r w:rsidRPr="00DC0904">
        <w:rPr>
          <w:lang w:val="en-US" w:eastAsia="en-US"/>
        </w:rPr>
        <w:t xml:space="preserve">. This avoids </w:t>
      </w:r>
      <w:proofErr w:type="gramStart"/>
      <w:r w:rsidRPr="00DC0904">
        <w:rPr>
          <w:lang w:val="en-US" w:eastAsia="en-US"/>
        </w:rPr>
        <w:t>double</w:t>
      </w:r>
      <w:r>
        <w:rPr>
          <w:lang w:val="en-US" w:eastAsia="en-US"/>
        </w:rPr>
        <w:t>-</w:t>
      </w:r>
      <w:r w:rsidRPr="00DC0904">
        <w:rPr>
          <w:lang w:val="en-US" w:eastAsia="en-US"/>
        </w:rPr>
        <w:t>counting</w:t>
      </w:r>
      <w:proofErr w:type="gramEnd"/>
      <w:r w:rsidRPr="00DC0904">
        <w:rPr>
          <w:lang w:val="en-US" w:eastAsia="en-US"/>
        </w:rPr>
        <w:t xml:space="preserve"> the costs of activities required under the existing CIRMP Rules, including general risk identification, risk assessment, governance, review, board approval, annual reporting and maintenance of the risk management program.</w:t>
      </w:r>
    </w:p>
    <w:p w14:paraId="41BCBCEB" w14:textId="0A866145" w:rsidR="00DC0904" w:rsidRPr="00DC0904" w:rsidRDefault="00266350" w:rsidP="00DC0904">
      <w:pPr>
        <w:pStyle w:val="BodyText"/>
        <w:rPr>
          <w:lang w:val="en-US" w:eastAsia="en-US"/>
        </w:rPr>
      </w:pPr>
      <w:r w:rsidRPr="00266350">
        <w:rPr>
          <w:lang w:val="en-US" w:eastAsia="en-US"/>
        </w:rPr>
        <w:t xml:space="preserve">The Department has adopted a calibrated top-down approach to estimate the incremental regulatory burden of the enhanced CIRMP Rules. </w:t>
      </w:r>
      <w:r w:rsidR="00FF1745">
        <w:rPr>
          <w:lang w:val="en-US" w:eastAsia="en-US"/>
        </w:rPr>
        <w:t>U</w:t>
      </w:r>
      <w:r w:rsidRPr="00266350">
        <w:rPr>
          <w:lang w:val="en-US" w:eastAsia="en-US"/>
        </w:rPr>
        <w:t>s</w:t>
      </w:r>
      <w:r w:rsidR="00FF1745">
        <w:rPr>
          <w:lang w:val="en-US" w:eastAsia="en-US"/>
        </w:rPr>
        <w:t>ing</w:t>
      </w:r>
      <w:r w:rsidRPr="00266350">
        <w:rPr>
          <w:lang w:val="en-US" w:eastAsia="en-US"/>
        </w:rPr>
        <w:t xml:space="preserve"> the 2022 RIS as the reference-class cost base for the existing CIRMP framework and appl</w:t>
      </w:r>
      <w:r w:rsidR="00566758">
        <w:rPr>
          <w:lang w:val="en-US" w:eastAsia="en-US"/>
        </w:rPr>
        <w:t>y</w:t>
      </w:r>
      <w:r w:rsidRPr="00266350">
        <w:rPr>
          <w:lang w:val="en-US" w:eastAsia="en-US"/>
        </w:rPr>
        <w:t>i</w:t>
      </w:r>
      <w:r w:rsidR="00566758">
        <w:rPr>
          <w:lang w:val="en-US" w:eastAsia="en-US"/>
        </w:rPr>
        <w:t>ng</w:t>
      </w:r>
      <w:r w:rsidRPr="00266350">
        <w:rPr>
          <w:lang w:val="en-US" w:eastAsia="en-US"/>
        </w:rPr>
        <w:t xml:space="preserve"> bounded incremental uplift factors to the 2022 cost base for the </w:t>
      </w:r>
      <w:r w:rsidR="00E44365">
        <w:rPr>
          <w:lang w:val="en-US" w:eastAsia="en-US"/>
        </w:rPr>
        <w:t xml:space="preserve">in-scope </w:t>
      </w:r>
      <w:r w:rsidRPr="00266350">
        <w:rPr>
          <w:lang w:val="en-US" w:eastAsia="en-US"/>
        </w:rPr>
        <w:t xml:space="preserve">asset classes. </w:t>
      </w:r>
      <w:r w:rsidR="006665BD" w:rsidRPr="006665BD">
        <w:rPr>
          <w:lang w:val="en-US" w:eastAsia="en-US"/>
        </w:rPr>
        <w:t xml:space="preserve">This </w:t>
      </w:r>
      <w:r w:rsidR="00CB2848">
        <w:rPr>
          <w:lang w:val="en-US" w:eastAsia="en-US"/>
        </w:rPr>
        <w:t>sugges</w:t>
      </w:r>
      <w:r w:rsidR="006665BD" w:rsidRPr="006665BD">
        <w:rPr>
          <w:lang w:val="en-US" w:eastAsia="en-US"/>
        </w:rPr>
        <w:t xml:space="preserve">ts that the 2026 amendments are a </w:t>
      </w:r>
      <w:r w:rsidR="00BE0F14">
        <w:rPr>
          <w:lang w:val="en-US" w:eastAsia="en-US"/>
        </w:rPr>
        <w:t>targeted uplift</w:t>
      </w:r>
      <w:r w:rsidR="006665BD">
        <w:rPr>
          <w:lang w:val="en-US" w:eastAsia="en-US"/>
        </w:rPr>
        <w:t xml:space="preserve"> </w:t>
      </w:r>
      <w:r w:rsidR="00610290">
        <w:rPr>
          <w:lang w:val="en-US" w:eastAsia="en-US"/>
        </w:rPr>
        <w:t>to</w:t>
      </w:r>
      <w:r w:rsidRPr="00266350">
        <w:rPr>
          <w:lang w:val="en-US" w:eastAsia="en-US"/>
        </w:rPr>
        <w:t xml:space="preserve"> an established framework, </w:t>
      </w:r>
      <w:r w:rsidR="008B597C">
        <w:rPr>
          <w:lang w:val="en-US" w:eastAsia="en-US"/>
        </w:rPr>
        <w:t>rather than</w:t>
      </w:r>
      <w:r w:rsidRPr="00266350">
        <w:rPr>
          <w:lang w:val="en-US" w:eastAsia="en-US"/>
        </w:rPr>
        <w:t xml:space="preserve"> the creation of a new CIRMP regime.</w:t>
      </w:r>
      <w:r w:rsidR="001F7C9F">
        <w:rPr>
          <w:lang w:val="en-US" w:eastAsia="en-US"/>
        </w:rPr>
        <w:t xml:space="preserve"> </w:t>
      </w:r>
      <w:r w:rsidR="00DC0904" w:rsidRPr="00DC0904">
        <w:rPr>
          <w:lang w:val="en-US" w:eastAsia="en-US"/>
        </w:rPr>
        <w:t>The relevant 2022 RIS comparator is the average annual regulatory cost for the asset classes now in scope of the enhanced CIRMP Rules.</w:t>
      </w:r>
    </w:p>
    <w:p w14:paraId="344FE4EB" w14:textId="29850FAC" w:rsidR="00AB49BE" w:rsidRDefault="00DC0904" w:rsidP="00DC0904">
      <w:pPr>
        <w:pStyle w:val="BodyText"/>
        <w:rPr>
          <w:lang w:val="en-US" w:eastAsia="en-US"/>
        </w:rPr>
      </w:pPr>
      <w:r w:rsidRPr="00DC0904">
        <w:rPr>
          <w:lang w:val="en-US" w:eastAsia="en-US"/>
        </w:rPr>
        <w:t xml:space="preserve">The central estimate </w:t>
      </w:r>
      <w:r w:rsidR="00F34AF8">
        <w:rPr>
          <w:lang w:val="en-US" w:eastAsia="en-US"/>
        </w:rPr>
        <w:t xml:space="preserve">scenario </w:t>
      </w:r>
      <w:r w:rsidRPr="00DC0904">
        <w:rPr>
          <w:lang w:val="en-US" w:eastAsia="en-US"/>
        </w:rPr>
        <w:t xml:space="preserve">applies a 10 per cent incremental uplift to that in-scope 2022 RIS cost base. A low case of 5 per cent and </w:t>
      </w:r>
      <w:r w:rsidR="001B4E41">
        <w:rPr>
          <w:lang w:val="en-US" w:eastAsia="en-US"/>
        </w:rPr>
        <w:t xml:space="preserve">a </w:t>
      </w:r>
      <w:r w:rsidRPr="00DC0904">
        <w:rPr>
          <w:lang w:val="en-US" w:eastAsia="en-US"/>
        </w:rPr>
        <w:t>high case of 15 per cent are used to test uncertainty. This range reflects that the enhanced rules are a material but bounded uplift to an existing framework: more than guidance or ordinary business-as-usual, but materially less than establishing the original CIRMP framework.</w:t>
      </w:r>
      <w:r w:rsidR="009C6991">
        <w:rPr>
          <w:lang w:val="en-US" w:eastAsia="en-US"/>
        </w:rPr>
        <w:t xml:space="preserve"> </w:t>
      </w:r>
      <w:r w:rsidR="00195080">
        <w:rPr>
          <w:lang w:val="en-US" w:eastAsia="en-US"/>
        </w:rPr>
        <w:t>The calculation used is:</w:t>
      </w:r>
    </w:p>
    <w:p w14:paraId="220440AF" w14:textId="255FD68F" w:rsidR="00CB2848" w:rsidRPr="00CB2848" w:rsidRDefault="00195080" w:rsidP="00CB2848">
      <w:pPr>
        <w:pStyle w:val="BodyText"/>
        <w:jc w:val="center"/>
        <w:rPr>
          <w:i/>
          <w:iCs/>
          <w:lang w:val="en-US" w:eastAsia="en-US"/>
        </w:rPr>
      </w:pPr>
      <w:r w:rsidRPr="00195080">
        <w:rPr>
          <w:i/>
          <w:iCs/>
          <w:lang w:val="en-US" w:eastAsia="en-US"/>
        </w:rPr>
        <w:t>Incremental RBE = 2022 in-scope CIRMP average annual cost base × incremental uplift factor.</w:t>
      </w:r>
    </w:p>
    <w:p w14:paraId="5108DFA7" w14:textId="3B0227B1" w:rsidR="00600846" w:rsidRDefault="00600846" w:rsidP="00600846">
      <w:pPr>
        <w:pStyle w:val="Caption"/>
      </w:pPr>
      <w:r>
        <w:lastRenderedPageBreak/>
        <w:t xml:space="preserve">Table </w:t>
      </w:r>
      <w:fldSimple w:instr=" SEQ Table \* ARABIC ">
        <w:r w:rsidR="00B90D57">
          <w:rPr>
            <w:noProof/>
          </w:rPr>
          <w:t>7</w:t>
        </w:r>
      </w:fldSimple>
      <w:r>
        <w:t>: Incremental RBE Scenarios</w:t>
      </w:r>
    </w:p>
    <w:tbl>
      <w:tblPr>
        <w:tblStyle w:val="HATableStyle1default"/>
        <w:tblW w:w="0" w:type="auto"/>
        <w:tblLook w:val="04A0" w:firstRow="1" w:lastRow="0" w:firstColumn="1" w:lastColumn="0" w:noHBand="0" w:noVBand="1"/>
      </w:tblPr>
      <w:tblGrid>
        <w:gridCol w:w="1015"/>
        <w:gridCol w:w="5275"/>
        <w:gridCol w:w="1432"/>
        <w:gridCol w:w="2168"/>
      </w:tblGrid>
      <w:tr w:rsidR="000E09E5" w:rsidRPr="000E09E5" w14:paraId="0DE67B9D" w14:textId="77777777" w:rsidTr="000E09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F16580" w14:textId="77777777" w:rsidR="000E09E5" w:rsidRPr="000E09E5" w:rsidRDefault="000E09E5" w:rsidP="000E09E5">
            <w:pPr>
              <w:rPr>
                <w:lang w:val="en-US"/>
              </w:rPr>
            </w:pPr>
            <w:r w:rsidRPr="000E09E5">
              <w:rPr>
                <w:lang w:val="en-US"/>
              </w:rPr>
              <w:t>Scenario</w:t>
            </w:r>
          </w:p>
        </w:tc>
        <w:tc>
          <w:tcPr>
            <w:tcW w:w="0" w:type="auto"/>
            <w:hideMark/>
          </w:tcPr>
          <w:p w14:paraId="4DCFB6DE" w14:textId="77777777" w:rsidR="000E09E5" w:rsidRPr="000E09E5" w:rsidRDefault="000E09E5" w:rsidP="000E09E5">
            <w:pPr>
              <w:cnfStyle w:val="100000000000" w:firstRow="1" w:lastRow="0" w:firstColumn="0" w:lastColumn="0" w:oddVBand="0" w:evenVBand="0" w:oddHBand="0" w:evenHBand="0" w:firstRowFirstColumn="0" w:firstRowLastColumn="0" w:lastRowFirstColumn="0" w:lastRowLastColumn="0"/>
              <w:rPr>
                <w:lang w:val="en-US"/>
              </w:rPr>
            </w:pPr>
            <w:r w:rsidRPr="000E09E5">
              <w:rPr>
                <w:lang w:val="en-US"/>
              </w:rPr>
              <w:t>Interpretation</w:t>
            </w:r>
          </w:p>
        </w:tc>
        <w:tc>
          <w:tcPr>
            <w:tcW w:w="0" w:type="auto"/>
            <w:hideMark/>
          </w:tcPr>
          <w:p w14:paraId="34A7348C" w14:textId="77777777" w:rsidR="000E09E5" w:rsidRPr="000E09E5" w:rsidRDefault="000E09E5" w:rsidP="000E09E5">
            <w:pPr>
              <w:cnfStyle w:val="100000000000" w:firstRow="1" w:lastRow="0" w:firstColumn="0" w:lastColumn="0" w:oddVBand="0" w:evenVBand="0" w:oddHBand="0" w:evenHBand="0" w:firstRowFirstColumn="0" w:firstRowLastColumn="0" w:lastRowFirstColumn="0" w:lastRowLastColumn="0"/>
              <w:rPr>
                <w:lang w:val="en-US"/>
              </w:rPr>
            </w:pPr>
            <w:r w:rsidRPr="000E09E5">
              <w:rPr>
                <w:lang w:val="en-US"/>
              </w:rPr>
              <w:t>Calculation</w:t>
            </w:r>
          </w:p>
        </w:tc>
        <w:tc>
          <w:tcPr>
            <w:tcW w:w="0" w:type="auto"/>
            <w:hideMark/>
          </w:tcPr>
          <w:p w14:paraId="0D97A6CB" w14:textId="77777777" w:rsidR="000E09E5" w:rsidRPr="000E09E5" w:rsidRDefault="000E09E5" w:rsidP="000E09E5">
            <w:pPr>
              <w:cnfStyle w:val="100000000000" w:firstRow="1" w:lastRow="0" w:firstColumn="0" w:lastColumn="0" w:oddVBand="0" w:evenVBand="0" w:oddHBand="0" w:evenHBand="0" w:firstRowFirstColumn="0" w:firstRowLastColumn="0" w:lastRowFirstColumn="0" w:lastRowLastColumn="0"/>
              <w:rPr>
                <w:lang w:val="en-US"/>
              </w:rPr>
            </w:pPr>
            <w:r w:rsidRPr="000E09E5">
              <w:rPr>
                <w:lang w:val="en-US"/>
              </w:rPr>
              <w:t>Average annual business RBE</w:t>
            </w:r>
          </w:p>
        </w:tc>
      </w:tr>
      <w:tr w:rsidR="000E09E5" w:rsidRPr="000E09E5" w14:paraId="76551CCF" w14:textId="77777777" w:rsidTr="000E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20DC8C" w14:textId="77777777" w:rsidR="000E09E5" w:rsidRPr="000E09E5" w:rsidRDefault="000E09E5" w:rsidP="000E09E5">
            <w:pPr>
              <w:rPr>
                <w:lang w:val="en-US"/>
              </w:rPr>
            </w:pPr>
            <w:r w:rsidRPr="000E09E5">
              <w:rPr>
                <w:lang w:val="en-US"/>
              </w:rPr>
              <w:t>Low</w:t>
            </w:r>
          </w:p>
        </w:tc>
        <w:tc>
          <w:tcPr>
            <w:tcW w:w="0" w:type="auto"/>
            <w:hideMark/>
          </w:tcPr>
          <w:p w14:paraId="2DB9CEA3" w14:textId="77777777" w:rsidR="000E09E5" w:rsidRPr="000E09E5" w:rsidRDefault="000E09E5" w:rsidP="000E09E5">
            <w:pPr>
              <w:cnfStyle w:val="000000100000" w:firstRow="0" w:lastRow="0" w:firstColumn="0" w:lastColumn="0" w:oddVBand="0" w:evenVBand="0" w:oddHBand="1" w:evenHBand="0" w:firstRowFirstColumn="0" w:firstRowLastColumn="0" w:lastRowFirstColumn="0" w:lastRowLastColumn="0"/>
              <w:rPr>
                <w:lang w:val="en-US"/>
              </w:rPr>
            </w:pPr>
            <w:r w:rsidRPr="000E09E5">
              <w:rPr>
                <w:lang w:val="en-US"/>
              </w:rPr>
              <w:t>Primarily additional risk assessment, documentation, governance, assurance and reporting</w:t>
            </w:r>
          </w:p>
        </w:tc>
        <w:tc>
          <w:tcPr>
            <w:tcW w:w="0" w:type="auto"/>
            <w:hideMark/>
          </w:tcPr>
          <w:p w14:paraId="4C390CA5" w14:textId="77777777" w:rsidR="000E09E5" w:rsidRPr="000E09E5" w:rsidRDefault="000E09E5" w:rsidP="000E09E5">
            <w:pPr>
              <w:cnfStyle w:val="000000100000" w:firstRow="0" w:lastRow="0" w:firstColumn="0" w:lastColumn="0" w:oddVBand="0" w:evenVBand="0" w:oddHBand="1" w:evenHBand="0" w:firstRowFirstColumn="0" w:firstRowLastColumn="0" w:lastRowFirstColumn="0" w:lastRowLastColumn="0"/>
              <w:rPr>
                <w:lang w:val="en-US"/>
              </w:rPr>
            </w:pPr>
            <w:r w:rsidRPr="000E09E5">
              <w:rPr>
                <w:lang w:val="en-US"/>
              </w:rPr>
              <w:t>$574.5m × 5%</w:t>
            </w:r>
          </w:p>
        </w:tc>
        <w:tc>
          <w:tcPr>
            <w:tcW w:w="0" w:type="auto"/>
            <w:hideMark/>
          </w:tcPr>
          <w:p w14:paraId="43A6F015" w14:textId="6DB5B0FC" w:rsidR="000E09E5" w:rsidRPr="000E09E5" w:rsidRDefault="000E09E5" w:rsidP="000E09E5">
            <w:pPr>
              <w:cnfStyle w:val="000000100000" w:firstRow="0" w:lastRow="0" w:firstColumn="0" w:lastColumn="0" w:oddVBand="0" w:evenVBand="0" w:oddHBand="1" w:evenHBand="0" w:firstRowFirstColumn="0" w:firstRowLastColumn="0" w:lastRowFirstColumn="0" w:lastRowLastColumn="0"/>
              <w:rPr>
                <w:lang w:val="en-US"/>
              </w:rPr>
            </w:pPr>
            <w:r w:rsidRPr="000E09E5">
              <w:rPr>
                <w:lang w:val="en-US"/>
              </w:rPr>
              <w:t>$28.7</w:t>
            </w:r>
            <w:r w:rsidR="00AB7BA5">
              <w:rPr>
                <w:lang w:val="en-US"/>
              </w:rPr>
              <w:t>m</w:t>
            </w:r>
          </w:p>
        </w:tc>
      </w:tr>
      <w:tr w:rsidR="000E09E5" w:rsidRPr="000E09E5" w14:paraId="4C7A4399" w14:textId="77777777" w:rsidTr="000E09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A3F2078" w14:textId="77777777" w:rsidR="000E09E5" w:rsidRPr="000E09E5" w:rsidRDefault="000E09E5" w:rsidP="000E09E5">
            <w:pPr>
              <w:rPr>
                <w:lang w:val="en-US"/>
              </w:rPr>
            </w:pPr>
            <w:r w:rsidRPr="000E09E5">
              <w:rPr>
                <w:lang w:val="en-US"/>
              </w:rPr>
              <w:t>Central</w:t>
            </w:r>
          </w:p>
        </w:tc>
        <w:tc>
          <w:tcPr>
            <w:tcW w:w="0" w:type="auto"/>
            <w:hideMark/>
          </w:tcPr>
          <w:p w14:paraId="22CD6B65" w14:textId="77777777" w:rsidR="000E09E5" w:rsidRPr="000E09E5" w:rsidRDefault="000E09E5" w:rsidP="000E09E5">
            <w:pPr>
              <w:cnfStyle w:val="000000010000" w:firstRow="0" w:lastRow="0" w:firstColumn="0" w:lastColumn="0" w:oddVBand="0" w:evenVBand="0" w:oddHBand="0" w:evenHBand="1" w:firstRowFirstColumn="0" w:firstRowLastColumn="0" w:lastRowFirstColumn="0" w:lastRowLastColumn="0"/>
              <w:rPr>
                <w:lang w:val="en-US"/>
              </w:rPr>
            </w:pPr>
            <w:r w:rsidRPr="000E09E5">
              <w:rPr>
                <w:lang w:val="en-US"/>
              </w:rPr>
              <w:t>Material but bounded uplift, including some targeted substantive compliance</w:t>
            </w:r>
          </w:p>
        </w:tc>
        <w:tc>
          <w:tcPr>
            <w:tcW w:w="0" w:type="auto"/>
            <w:hideMark/>
          </w:tcPr>
          <w:p w14:paraId="3D9DC654" w14:textId="77777777" w:rsidR="000E09E5" w:rsidRPr="000E09E5" w:rsidRDefault="000E09E5" w:rsidP="000E09E5">
            <w:pPr>
              <w:cnfStyle w:val="000000010000" w:firstRow="0" w:lastRow="0" w:firstColumn="0" w:lastColumn="0" w:oddVBand="0" w:evenVBand="0" w:oddHBand="0" w:evenHBand="1" w:firstRowFirstColumn="0" w:firstRowLastColumn="0" w:lastRowFirstColumn="0" w:lastRowLastColumn="0"/>
              <w:rPr>
                <w:lang w:val="en-US"/>
              </w:rPr>
            </w:pPr>
            <w:r w:rsidRPr="000E09E5">
              <w:rPr>
                <w:lang w:val="en-US"/>
              </w:rPr>
              <w:t>$574.5m × 10%</w:t>
            </w:r>
          </w:p>
        </w:tc>
        <w:tc>
          <w:tcPr>
            <w:tcW w:w="0" w:type="auto"/>
            <w:hideMark/>
          </w:tcPr>
          <w:p w14:paraId="68CE46AD" w14:textId="1C37BD85" w:rsidR="000E09E5" w:rsidRPr="000E09E5" w:rsidRDefault="000E09E5" w:rsidP="000E09E5">
            <w:pPr>
              <w:cnfStyle w:val="000000010000" w:firstRow="0" w:lastRow="0" w:firstColumn="0" w:lastColumn="0" w:oddVBand="0" w:evenVBand="0" w:oddHBand="0" w:evenHBand="1" w:firstRowFirstColumn="0" w:firstRowLastColumn="0" w:lastRowFirstColumn="0" w:lastRowLastColumn="0"/>
              <w:rPr>
                <w:lang w:val="en-US"/>
              </w:rPr>
            </w:pPr>
            <w:r w:rsidRPr="000E09E5">
              <w:rPr>
                <w:lang w:val="en-US"/>
              </w:rPr>
              <w:t>$57.5</w:t>
            </w:r>
            <w:r w:rsidR="00AB7BA5">
              <w:rPr>
                <w:lang w:val="en-US"/>
              </w:rPr>
              <w:t>m</w:t>
            </w:r>
          </w:p>
        </w:tc>
      </w:tr>
      <w:tr w:rsidR="000E09E5" w:rsidRPr="000E09E5" w14:paraId="304DFE53" w14:textId="77777777" w:rsidTr="000E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801BE1" w14:textId="77777777" w:rsidR="000E09E5" w:rsidRPr="000E09E5" w:rsidRDefault="000E09E5" w:rsidP="000E09E5">
            <w:pPr>
              <w:rPr>
                <w:lang w:val="en-US"/>
              </w:rPr>
            </w:pPr>
            <w:r w:rsidRPr="000E09E5">
              <w:rPr>
                <w:lang w:val="en-US"/>
              </w:rPr>
              <w:t>High</w:t>
            </w:r>
          </w:p>
        </w:tc>
        <w:tc>
          <w:tcPr>
            <w:tcW w:w="0" w:type="auto"/>
            <w:hideMark/>
          </w:tcPr>
          <w:p w14:paraId="12BA2B4E" w14:textId="77777777" w:rsidR="000E09E5" w:rsidRPr="000E09E5" w:rsidRDefault="000E09E5" w:rsidP="000E09E5">
            <w:pPr>
              <w:cnfStyle w:val="000000100000" w:firstRow="0" w:lastRow="0" w:firstColumn="0" w:lastColumn="0" w:oddVBand="0" w:evenVBand="0" w:oddHBand="1" w:evenHBand="0" w:firstRowFirstColumn="0" w:firstRowLastColumn="0" w:lastRowFirstColumn="0" w:lastRowLastColumn="0"/>
              <w:rPr>
                <w:lang w:val="en-US"/>
              </w:rPr>
            </w:pPr>
            <w:r w:rsidRPr="000E09E5">
              <w:rPr>
                <w:lang w:val="en-US"/>
              </w:rPr>
              <w:t>Higher-burden case with greater substantive uplift in lower-maturity or legacy environments</w:t>
            </w:r>
          </w:p>
        </w:tc>
        <w:tc>
          <w:tcPr>
            <w:tcW w:w="0" w:type="auto"/>
            <w:hideMark/>
          </w:tcPr>
          <w:p w14:paraId="0B1C1B64" w14:textId="77777777" w:rsidR="000E09E5" w:rsidRPr="000E09E5" w:rsidRDefault="000E09E5" w:rsidP="000E09E5">
            <w:pPr>
              <w:cnfStyle w:val="000000100000" w:firstRow="0" w:lastRow="0" w:firstColumn="0" w:lastColumn="0" w:oddVBand="0" w:evenVBand="0" w:oddHBand="1" w:evenHBand="0" w:firstRowFirstColumn="0" w:firstRowLastColumn="0" w:lastRowFirstColumn="0" w:lastRowLastColumn="0"/>
              <w:rPr>
                <w:lang w:val="en-US"/>
              </w:rPr>
            </w:pPr>
            <w:r w:rsidRPr="000E09E5">
              <w:rPr>
                <w:lang w:val="en-US"/>
              </w:rPr>
              <w:t>$574.5m × 15%</w:t>
            </w:r>
          </w:p>
        </w:tc>
        <w:tc>
          <w:tcPr>
            <w:tcW w:w="0" w:type="auto"/>
            <w:hideMark/>
          </w:tcPr>
          <w:p w14:paraId="50538CD1" w14:textId="2096CFA4" w:rsidR="000E09E5" w:rsidRPr="000E09E5" w:rsidRDefault="000E09E5" w:rsidP="000E09E5">
            <w:pPr>
              <w:cnfStyle w:val="000000100000" w:firstRow="0" w:lastRow="0" w:firstColumn="0" w:lastColumn="0" w:oddVBand="0" w:evenVBand="0" w:oddHBand="1" w:evenHBand="0" w:firstRowFirstColumn="0" w:firstRowLastColumn="0" w:lastRowFirstColumn="0" w:lastRowLastColumn="0"/>
              <w:rPr>
                <w:lang w:val="en-US"/>
              </w:rPr>
            </w:pPr>
            <w:r w:rsidRPr="000E09E5">
              <w:rPr>
                <w:lang w:val="en-US"/>
              </w:rPr>
              <w:t>$86.2</w:t>
            </w:r>
            <w:r w:rsidR="00AB7BA5">
              <w:rPr>
                <w:lang w:val="en-US"/>
              </w:rPr>
              <w:t>m</w:t>
            </w:r>
          </w:p>
        </w:tc>
      </w:tr>
    </w:tbl>
    <w:p w14:paraId="6DEE01C7" w14:textId="281FF7B7" w:rsidR="00DC0904" w:rsidRDefault="00675D0C" w:rsidP="00D54BE1">
      <w:pPr>
        <w:pStyle w:val="BodyText"/>
        <w:rPr>
          <w:lang w:val="en-US" w:eastAsia="en-US"/>
        </w:rPr>
      </w:pPr>
      <w:r w:rsidRPr="00675D0C">
        <w:rPr>
          <w:lang w:val="en-US" w:eastAsia="en-US"/>
        </w:rPr>
        <w:t>The 5</w:t>
      </w:r>
      <w:r>
        <w:rPr>
          <w:lang w:val="en-US" w:eastAsia="en-US"/>
        </w:rPr>
        <w:t xml:space="preserve"> per cent</w:t>
      </w:r>
      <w:r w:rsidRPr="00675D0C">
        <w:rPr>
          <w:lang w:val="en-US" w:eastAsia="en-US"/>
        </w:rPr>
        <w:t>, 10</w:t>
      </w:r>
      <w:r>
        <w:rPr>
          <w:lang w:val="en-US" w:eastAsia="en-US"/>
        </w:rPr>
        <w:t xml:space="preserve"> per cent</w:t>
      </w:r>
      <w:r w:rsidRPr="00675D0C">
        <w:rPr>
          <w:lang w:val="en-US" w:eastAsia="en-US"/>
        </w:rPr>
        <w:t xml:space="preserve"> and 15</w:t>
      </w:r>
      <w:r>
        <w:rPr>
          <w:lang w:val="en-US" w:eastAsia="en-US"/>
        </w:rPr>
        <w:t xml:space="preserve"> per cent</w:t>
      </w:r>
      <w:r w:rsidRPr="00675D0C">
        <w:rPr>
          <w:lang w:val="en-US" w:eastAsia="en-US"/>
        </w:rPr>
        <w:t xml:space="preserve"> assumptions are not presented as a statistical confidence interval. They are transparent sensitivity scenarios designed to test the plausible incremental burden of the enhanced obligations against the best available reference-class cost base.</w:t>
      </w:r>
    </w:p>
    <w:p w14:paraId="7A94382E" w14:textId="233C4755" w:rsidR="006530F9" w:rsidRDefault="006530F9" w:rsidP="008F255C">
      <w:pPr>
        <w:pStyle w:val="Heading3numbered"/>
        <w:rPr>
          <w:lang w:val="en-US"/>
        </w:rPr>
      </w:pPr>
      <w:r w:rsidRPr="006530F9">
        <w:rPr>
          <w:lang w:val="en-US"/>
        </w:rPr>
        <w:t>Treatment of consultation cost information</w:t>
      </w:r>
    </w:p>
    <w:p w14:paraId="69F867EE" w14:textId="16A9AB12" w:rsidR="008C797F" w:rsidRPr="008C797F" w:rsidRDefault="008C797F" w:rsidP="008C797F">
      <w:pPr>
        <w:pStyle w:val="BodyText"/>
        <w:rPr>
          <w:lang w:val="en-US" w:eastAsia="en-US"/>
        </w:rPr>
      </w:pPr>
      <w:r w:rsidRPr="008C797F">
        <w:rPr>
          <w:lang w:val="en-US" w:eastAsia="en-US"/>
        </w:rPr>
        <w:t xml:space="preserve">Consultation submissions provided valuable evidence on cost drivers, implementation constraints and cost-recovery issues. However, the submitted cost estimates are not suitable for direct national extrapolation as the central RBE. </w:t>
      </w:r>
      <w:r w:rsidR="000E4D65" w:rsidRPr="000E4D65">
        <w:rPr>
          <w:lang w:val="en-US" w:eastAsia="en-US"/>
        </w:rPr>
        <w:t>Submitted cost estimates were highly variable and often measure-specific</w:t>
      </w:r>
      <w:r w:rsidRPr="008C797F">
        <w:rPr>
          <w:lang w:val="en-US" w:eastAsia="en-US"/>
        </w:rPr>
        <w:t xml:space="preserve">, </w:t>
      </w:r>
      <w:r w:rsidR="00971EDC">
        <w:rPr>
          <w:lang w:val="en-US" w:eastAsia="en-US"/>
        </w:rPr>
        <w:t>reflecting</w:t>
      </w:r>
      <w:r w:rsidRPr="008C797F">
        <w:rPr>
          <w:lang w:val="en-US" w:eastAsia="en-US"/>
        </w:rPr>
        <w:t xml:space="preserve"> the circumstances of large entities with complex operational technology environments, regulated funding arrangements, or significant asset portfolios. Some estimates also combined mandatory compliance activities with broader remediation, already planned investments, or implementation choices that may not be required for every responsible entity under a principles-based framework.</w:t>
      </w:r>
    </w:p>
    <w:p w14:paraId="1742B1AB" w14:textId="79B81177" w:rsidR="00DC0904" w:rsidRDefault="008C797F" w:rsidP="008C797F">
      <w:pPr>
        <w:pStyle w:val="BodyText"/>
        <w:rPr>
          <w:lang w:val="en-US" w:eastAsia="en-US"/>
        </w:rPr>
      </w:pPr>
      <w:r w:rsidRPr="008C797F">
        <w:rPr>
          <w:lang w:val="en-US" w:eastAsia="en-US"/>
        </w:rPr>
        <w:t xml:space="preserve">The Addendum therefore uses consultation cost evidence to validate the direction and materiality of cost drivers and to inform the high-case sensitivity. The central RBE is instead </w:t>
      </w:r>
      <w:proofErr w:type="gramStart"/>
      <w:r w:rsidRPr="008C797F">
        <w:rPr>
          <w:lang w:val="en-US" w:eastAsia="en-US"/>
        </w:rPr>
        <w:t>calibrated</w:t>
      </w:r>
      <w:proofErr w:type="gramEnd"/>
      <w:r w:rsidRPr="008C797F">
        <w:rPr>
          <w:lang w:val="en-US" w:eastAsia="en-US"/>
        </w:rPr>
        <w:t xml:space="preserve"> to the 2022 RIS cost base for the in-scope asset classes. This provides a more stable and transparent benchmark, avoids over-extrapolating from a non-representative sample, and aligns the </w:t>
      </w:r>
      <w:proofErr w:type="gramStart"/>
      <w:r w:rsidRPr="008C797F">
        <w:rPr>
          <w:lang w:val="en-US" w:eastAsia="en-US"/>
        </w:rPr>
        <w:t>costing</w:t>
      </w:r>
      <w:proofErr w:type="gramEnd"/>
      <w:r w:rsidRPr="008C797F">
        <w:rPr>
          <w:lang w:val="en-US" w:eastAsia="en-US"/>
        </w:rPr>
        <w:t xml:space="preserve"> with the incremental nature of the enhanced CIRMP Rules.</w:t>
      </w:r>
    </w:p>
    <w:p w14:paraId="3F8E13DB" w14:textId="4772E183" w:rsidR="008F255C" w:rsidRPr="00D54BE1" w:rsidRDefault="00FF4502" w:rsidP="00FF4502">
      <w:pPr>
        <w:pStyle w:val="Heading3numbered"/>
        <w:rPr>
          <w:lang w:val="en-US"/>
        </w:rPr>
      </w:pPr>
      <w:r w:rsidRPr="00FF4502">
        <w:rPr>
          <w:lang w:val="en-US"/>
        </w:rPr>
        <w:t>Costing boundary</w:t>
      </w:r>
    </w:p>
    <w:p w14:paraId="18030726" w14:textId="26B57363" w:rsidR="001D6260" w:rsidRPr="001D6260" w:rsidRDefault="001D6260" w:rsidP="001D6260">
      <w:pPr>
        <w:pStyle w:val="BodyText"/>
        <w:rPr>
          <w:lang w:val="en-US"/>
        </w:rPr>
      </w:pPr>
      <w:r w:rsidRPr="001D6260">
        <w:rPr>
          <w:lang w:val="en-US"/>
        </w:rPr>
        <w:t xml:space="preserve">The central RBE does not assume that every responsible entity will </w:t>
      </w:r>
      <w:r w:rsidR="00E916AE">
        <w:rPr>
          <w:lang w:val="en-US"/>
        </w:rPr>
        <w:t>consider</w:t>
      </w:r>
      <w:r w:rsidRPr="001D6260">
        <w:rPr>
          <w:lang w:val="en-US"/>
        </w:rPr>
        <w:t xml:space="preserve"> every possible technical, cyber, physical, supply chain or personnel remediation activity identified through its risk assessment. The CIRMP framework is risk-based. Its primary regulatory effect is to require responsible entities to identify, assess, document, govern and report material risks, and to </w:t>
      </w:r>
      <w:proofErr w:type="spellStart"/>
      <w:r w:rsidRPr="001D6260">
        <w:rPr>
          <w:lang w:val="en-US"/>
        </w:rPr>
        <w:t>minimise</w:t>
      </w:r>
      <w:proofErr w:type="spellEnd"/>
      <w:r w:rsidRPr="001D6260">
        <w:rPr>
          <w:lang w:val="en-US"/>
        </w:rPr>
        <w:t xml:space="preserve"> or eliminate those risks so far as reasonably practicable.</w:t>
      </w:r>
    </w:p>
    <w:p w14:paraId="66B84D69" w14:textId="63D256D8" w:rsidR="00A335B2" w:rsidRDefault="001D6260" w:rsidP="001D6260">
      <w:pPr>
        <w:pStyle w:val="BodyText"/>
        <w:rPr>
          <w:lang w:val="en-US"/>
        </w:rPr>
      </w:pPr>
      <w:r w:rsidRPr="001D6260">
        <w:rPr>
          <w:lang w:val="en-US"/>
        </w:rPr>
        <w:t xml:space="preserve">Accordingly, the RBE includes the incremental cost of mandatory risk consideration, documentation, process development, evidence keeping, governance review, assurance and annual reporting. Substantive compliance costs are included where the rules require </w:t>
      </w:r>
      <w:proofErr w:type="gramStart"/>
      <w:r w:rsidRPr="001D6260">
        <w:rPr>
          <w:lang w:val="en-US"/>
        </w:rPr>
        <w:t>a specific</w:t>
      </w:r>
      <w:proofErr w:type="gramEnd"/>
      <w:r w:rsidRPr="001D6260">
        <w:rPr>
          <w:lang w:val="en-US"/>
        </w:rPr>
        <w:t xml:space="preserve"> capability, process, standard or control, or where such activity is necessary to demonstrate compliance. Costs that reflect business-as-usual activity, voluntary remediation beyond what is required by the rules, indirect pass-through to consumers, direct financial charges payable to government, and enforcement or non-compliance costs are excluded in accordance with the Regulatory Burden Measurement Framework.</w:t>
      </w:r>
    </w:p>
    <w:tbl>
      <w:tblPr>
        <w:tblStyle w:val="HATableStyle1default"/>
        <w:tblW w:w="0" w:type="auto"/>
        <w:tblLook w:val="04A0" w:firstRow="1" w:lastRow="0" w:firstColumn="1" w:lastColumn="0" w:noHBand="0" w:noVBand="1"/>
      </w:tblPr>
      <w:tblGrid>
        <w:gridCol w:w="2796"/>
        <w:gridCol w:w="7094"/>
      </w:tblGrid>
      <w:tr w:rsidR="00A335B2" w:rsidRPr="00A335B2" w14:paraId="18B91681" w14:textId="77777777" w:rsidTr="009E28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6" w:type="dxa"/>
          </w:tcPr>
          <w:p w14:paraId="6D6BB3EB" w14:textId="77777777" w:rsidR="00A335B2" w:rsidRPr="00A335B2" w:rsidRDefault="00A335B2" w:rsidP="00A335B2">
            <w:r w:rsidRPr="00A335B2">
              <w:t>Cost layer</w:t>
            </w:r>
          </w:p>
        </w:tc>
        <w:tc>
          <w:tcPr>
            <w:tcW w:w="7094" w:type="dxa"/>
          </w:tcPr>
          <w:p w14:paraId="57E21E81" w14:textId="77777777" w:rsidR="00A335B2" w:rsidRPr="00A335B2" w:rsidRDefault="00A335B2" w:rsidP="00A335B2">
            <w:pPr>
              <w:cnfStyle w:val="100000000000" w:firstRow="1" w:lastRow="0" w:firstColumn="0" w:lastColumn="0" w:oddVBand="0" w:evenVBand="0" w:oddHBand="0" w:evenHBand="0" w:firstRowFirstColumn="0" w:firstRowLastColumn="0" w:lastRowFirstColumn="0" w:lastRowLastColumn="0"/>
            </w:pPr>
            <w:r w:rsidRPr="00A335B2">
              <w:t>Treatment in RBE</w:t>
            </w:r>
          </w:p>
        </w:tc>
      </w:tr>
      <w:tr w:rsidR="00A335B2" w:rsidRPr="00A335B2" w14:paraId="397AC7FC" w14:textId="77777777" w:rsidTr="009E2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6" w:type="dxa"/>
          </w:tcPr>
          <w:p w14:paraId="0FA10BF6" w14:textId="77777777" w:rsidR="00A335B2" w:rsidRPr="00A335B2" w:rsidRDefault="00A335B2" w:rsidP="00A335B2">
            <w:r w:rsidRPr="00A335B2">
              <w:t>Risk consideration and documentation</w:t>
            </w:r>
          </w:p>
        </w:tc>
        <w:tc>
          <w:tcPr>
            <w:tcW w:w="7094" w:type="dxa"/>
          </w:tcPr>
          <w:p w14:paraId="30549F94" w14:textId="77777777" w:rsidR="00A335B2" w:rsidRPr="00A335B2" w:rsidRDefault="00A335B2" w:rsidP="00A335B2">
            <w:pPr>
              <w:cnfStyle w:val="000000100000" w:firstRow="0" w:lastRow="0" w:firstColumn="0" w:lastColumn="0" w:oddVBand="0" w:evenVBand="0" w:oddHBand="1" w:evenHBand="0" w:firstRowFirstColumn="0" w:firstRowLastColumn="0" w:lastRowFirstColumn="0" w:lastRowLastColumn="0"/>
            </w:pPr>
            <w:r w:rsidRPr="00A335B2">
              <w:t xml:space="preserve">Included for affected entities </w:t>
            </w:r>
            <w:proofErr w:type="gramStart"/>
            <w:r w:rsidRPr="00A335B2">
              <w:t>where</w:t>
            </w:r>
            <w:proofErr w:type="gramEnd"/>
            <w:r w:rsidRPr="00A335B2">
              <w:t xml:space="preserve"> mandatory. This is the core incremental CIRMP burden: assessment, documentation, governance, evidence and attestation.</w:t>
            </w:r>
          </w:p>
        </w:tc>
      </w:tr>
      <w:tr w:rsidR="00A335B2" w:rsidRPr="00A335B2" w14:paraId="322E5188" w14:textId="77777777" w:rsidTr="009E28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6" w:type="dxa"/>
          </w:tcPr>
          <w:p w14:paraId="3656D282" w14:textId="77777777" w:rsidR="00A335B2" w:rsidRPr="00A335B2" w:rsidRDefault="00A335B2" w:rsidP="00A335B2">
            <w:r w:rsidRPr="00A335B2">
              <w:t>Process or plan requirements</w:t>
            </w:r>
          </w:p>
        </w:tc>
        <w:tc>
          <w:tcPr>
            <w:tcW w:w="7094" w:type="dxa"/>
          </w:tcPr>
          <w:p w14:paraId="3BD69567" w14:textId="03033987" w:rsidR="00A335B2" w:rsidRPr="00A335B2" w:rsidRDefault="00A335B2" w:rsidP="00A335B2">
            <w:pPr>
              <w:cnfStyle w:val="000000010000" w:firstRow="0" w:lastRow="0" w:firstColumn="0" w:lastColumn="0" w:oddVBand="0" w:evenVBand="0" w:oddHBand="0" w:evenHBand="1" w:firstRowFirstColumn="0" w:firstRowLastColumn="0" w:lastRowFirstColumn="0" w:lastRowLastColumn="0"/>
            </w:pPr>
            <w:r w:rsidRPr="00A335B2">
              <w:t xml:space="preserve">Included where the rules require processes, systems or plans, including </w:t>
            </w:r>
            <w:r w:rsidR="00F00FAA" w:rsidRPr="00F00FAA">
              <w:t>enhanced material-risk and FOCI assessment, supply chain mapping, major supplier assessment, personnel security processes, and physical security and natural hazard processes.</w:t>
            </w:r>
          </w:p>
        </w:tc>
      </w:tr>
      <w:tr w:rsidR="00A335B2" w:rsidRPr="00A335B2" w14:paraId="001F7BFB" w14:textId="77777777" w:rsidTr="009E2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6" w:type="dxa"/>
          </w:tcPr>
          <w:p w14:paraId="35FAA254" w14:textId="77777777" w:rsidR="00A335B2" w:rsidRPr="00A335B2" w:rsidRDefault="00A335B2" w:rsidP="00A335B2">
            <w:r w:rsidRPr="00A335B2">
              <w:lastRenderedPageBreak/>
              <w:t>Targeted substantive uplift</w:t>
            </w:r>
          </w:p>
        </w:tc>
        <w:tc>
          <w:tcPr>
            <w:tcW w:w="7094" w:type="dxa"/>
          </w:tcPr>
          <w:p w14:paraId="6B3234C6" w14:textId="76E088D2" w:rsidR="00A335B2" w:rsidRPr="00A335B2" w:rsidRDefault="00A335B2" w:rsidP="00A335B2">
            <w:pPr>
              <w:cnfStyle w:val="000000100000" w:firstRow="0" w:lastRow="0" w:firstColumn="0" w:lastColumn="0" w:oddVBand="0" w:evenVBand="0" w:oddHBand="1" w:evenHBand="0" w:firstRowFirstColumn="0" w:firstRowLastColumn="0" w:lastRowFirstColumn="0" w:lastRowLastColumn="0"/>
            </w:pPr>
            <w:r w:rsidRPr="00A335B2">
              <w:t xml:space="preserve">Included through the incremental scenario estimate where the rule requires a specific capability or control, such as cyber maturity uplift, MFA, </w:t>
            </w:r>
            <w:r w:rsidR="0002722D">
              <w:t>network segregation</w:t>
            </w:r>
            <w:r w:rsidRPr="00A335B2">
              <w:t xml:space="preserve"> or background-check administration.</w:t>
            </w:r>
          </w:p>
        </w:tc>
      </w:tr>
      <w:tr w:rsidR="00A335B2" w:rsidRPr="00A335B2" w14:paraId="6C3B641B" w14:textId="77777777" w:rsidTr="009E28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6" w:type="dxa"/>
          </w:tcPr>
          <w:p w14:paraId="52E3FCD0" w14:textId="77777777" w:rsidR="00A335B2" w:rsidRPr="00A335B2" w:rsidRDefault="00A335B2" w:rsidP="00A335B2">
            <w:r w:rsidRPr="00A335B2">
              <w:t>Broader remediation choices</w:t>
            </w:r>
          </w:p>
        </w:tc>
        <w:tc>
          <w:tcPr>
            <w:tcW w:w="7094" w:type="dxa"/>
          </w:tcPr>
          <w:p w14:paraId="0F668CFC" w14:textId="4A7974C0" w:rsidR="00A335B2" w:rsidRPr="00A335B2" w:rsidRDefault="00A335B2" w:rsidP="00A335B2">
            <w:pPr>
              <w:cnfStyle w:val="000000010000" w:firstRow="0" w:lastRow="0" w:firstColumn="0" w:lastColumn="0" w:oddVBand="0" w:evenVBand="0" w:oddHBand="0" w:evenHBand="1" w:firstRowFirstColumn="0" w:firstRowLastColumn="0" w:lastRowFirstColumn="0" w:lastRowLastColumn="0"/>
            </w:pPr>
            <w:r w:rsidRPr="00A335B2">
              <w:t>Not automatically included in the central estimate. Included implicitly in the high scenario only</w:t>
            </w:r>
            <w:r w:rsidR="00BA4F4F">
              <w:t>,</w:t>
            </w:r>
            <w:r w:rsidRPr="00A335B2">
              <w:t xml:space="preserve"> where broader uplift is more likely to be required.</w:t>
            </w:r>
          </w:p>
        </w:tc>
      </w:tr>
      <w:tr w:rsidR="00A335B2" w:rsidRPr="00A335B2" w14:paraId="721BF8F2" w14:textId="77777777" w:rsidTr="009E2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6" w:type="dxa"/>
          </w:tcPr>
          <w:p w14:paraId="3D7C415E" w14:textId="77777777" w:rsidR="00A335B2" w:rsidRPr="00A335B2" w:rsidRDefault="00A335B2" w:rsidP="00A335B2">
            <w:r w:rsidRPr="00A335B2">
              <w:t>Consumer pass-through</w:t>
            </w:r>
          </w:p>
        </w:tc>
        <w:tc>
          <w:tcPr>
            <w:tcW w:w="7094" w:type="dxa"/>
          </w:tcPr>
          <w:p w14:paraId="62E479A7" w14:textId="77777777" w:rsidR="00A335B2" w:rsidRPr="00A335B2" w:rsidRDefault="00A335B2" w:rsidP="00A335B2">
            <w:pPr>
              <w:cnfStyle w:val="000000100000" w:firstRow="0" w:lastRow="0" w:firstColumn="0" w:lastColumn="0" w:oddVBand="0" w:evenVBand="0" w:oddHBand="1" w:evenHBand="0" w:firstRowFirstColumn="0" w:firstRowLastColumn="0" w:lastRowFirstColumn="0" w:lastRowLastColumn="0"/>
            </w:pPr>
            <w:r w:rsidRPr="00A335B2">
              <w:t>Not included in the RBE because it is an indirect or distributional impact. It is discussed separately.</w:t>
            </w:r>
          </w:p>
        </w:tc>
      </w:tr>
    </w:tbl>
    <w:p w14:paraId="2615997F" w14:textId="090CA2AE" w:rsidR="006C18D2" w:rsidRPr="00E15F8A" w:rsidRDefault="006C18D2" w:rsidP="006C18D2">
      <w:pPr>
        <w:pStyle w:val="Heading3numbered"/>
        <w:rPr>
          <w:lang w:val="en-US"/>
        </w:rPr>
      </w:pPr>
      <w:r w:rsidRPr="00E15F8A">
        <w:rPr>
          <w:lang w:val="en-US"/>
        </w:rPr>
        <w:t>Break-even analysis</w:t>
      </w:r>
    </w:p>
    <w:p w14:paraId="25AE6A77" w14:textId="77777777" w:rsidR="006C18D2" w:rsidRPr="00900154" w:rsidRDefault="006C18D2" w:rsidP="006C18D2">
      <w:pPr>
        <w:pStyle w:val="BodyText"/>
        <w:rPr>
          <w:lang w:val="en-US" w:eastAsia="en-US"/>
        </w:rPr>
      </w:pPr>
      <w:r w:rsidRPr="00900154">
        <w:rPr>
          <w:lang w:val="en-US" w:eastAsia="en-US"/>
        </w:rPr>
        <w:t>The RBE and break-even analys</w:t>
      </w:r>
      <w:r>
        <w:rPr>
          <w:lang w:val="en-US" w:eastAsia="en-US"/>
        </w:rPr>
        <w:t>e</w:t>
      </w:r>
      <w:r w:rsidRPr="00900154">
        <w:rPr>
          <w:lang w:val="en-US" w:eastAsia="en-US"/>
        </w:rPr>
        <w:t xml:space="preserve">s </w:t>
      </w:r>
      <w:r>
        <w:rPr>
          <w:lang w:val="en-US" w:eastAsia="en-US"/>
        </w:rPr>
        <w:t>serve</w:t>
      </w:r>
      <w:r w:rsidRPr="00900154">
        <w:rPr>
          <w:lang w:val="en-US" w:eastAsia="en-US"/>
        </w:rPr>
        <w:t xml:space="preserve"> different </w:t>
      </w:r>
      <w:r>
        <w:rPr>
          <w:lang w:val="en-US" w:eastAsia="en-US"/>
        </w:rPr>
        <w:t>purpose</w:t>
      </w:r>
      <w:r w:rsidRPr="00900154">
        <w:rPr>
          <w:lang w:val="en-US" w:eastAsia="en-US"/>
        </w:rPr>
        <w:t>s. The RBE estimates the average annual direct regulatory burden imposed by the preferred option. The break-even analysis then assesses whether the expected benefits of the preferred option are likely to exceed that burden.</w:t>
      </w:r>
    </w:p>
    <w:p w14:paraId="2F371C17" w14:textId="51DF71E3" w:rsidR="006C18D2" w:rsidRPr="00900154" w:rsidRDefault="006C18D2" w:rsidP="006C18D2">
      <w:pPr>
        <w:pStyle w:val="BodyText"/>
        <w:rPr>
          <w:lang w:val="en-US" w:eastAsia="en-US"/>
        </w:rPr>
      </w:pPr>
      <w:r w:rsidRPr="00900154">
        <w:rPr>
          <w:lang w:val="en-US" w:eastAsia="en-US"/>
        </w:rPr>
        <w:t xml:space="preserve">The benefits of the enhanced CIRMP Rules arise from reducing the expected annual cost of critical infrastructure disruption. This may occur through reducing the likelihood of incidents, reducing the severity or duration of incidents, improving preparedness and response, reducing cascading impacts across interconnected systems, and improving board and government visibility of material risks. These benefits are material but cannot be reliably </w:t>
      </w:r>
      <w:proofErr w:type="spellStart"/>
      <w:r w:rsidRPr="00900154">
        <w:rPr>
          <w:lang w:val="en-US" w:eastAsia="en-US"/>
        </w:rPr>
        <w:t>monetised</w:t>
      </w:r>
      <w:proofErr w:type="spellEnd"/>
      <w:r w:rsidRPr="00900154">
        <w:rPr>
          <w:lang w:val="en-US" w:eastAsia="en-US"/>
        </w:rPr>
        <w:t xml:space="preserve"> as a central expected value because </w:t>
      </w:r>
      <w:r w:rsidR="00947985">
        <w:rPr>
          <w:lang w:val="en-US" w:eastAsia="en-US"/>
        </w:rPr>
        <w:t>of</w:t>
      </w:r>
      <w:r w:rsidR="00E10044">
        <w:rPr>
          <w:lang w:val="en-US" w:eastAsia="en-US"/>
        </w:rPr>
        <w:t xml:space="preserve"> the difficulty in predicting</w:t>
      </w:r>
      <w:r w:rsidRPr="00900154">
        <w:rPr>
          <w:lang w:val="en-US" w:eastAsia="en-US"/>
        </w:rPr>
        <w:t xml:space="preserve"> future frequency, severity and timing of avoided incidents or the marginal effectiveness of each enhancement.</w:t>
      </w:r>
    </w:p>
    <w:p w14:paraId="613C9D4E" w14:textId="5845D044" w:rsidR="00A335B2" w:rsidRDefault="004E141C" w:rsidP="004E141C">
      <w:pPr>
        <w:pStyle w:val="Heading3numbered"/>
        <w:rPr>
          <w:lang w:val="en-US"/>
        </w:rPr>
      </w:pPr>
      <w:r>
        <w:rPr>
          <w:lang w:val="en-US"/>
        </w:rPr>
        <w:t>Small</w:t>
      </w:r>
      <w:r w:rsidR="00F53942">
        <w:rPr>
          <w:lang w:val="en-US"/>
        </w:rPr>
        <w:t xml:space="preserve">- </w:t>
      </w:r>
      <w:r>
        <w:rPr>
          <w:lang w:val="en-US"/>
        </w:rPr>
        <w:t>to medium</w:t>
      </w:r>
      <w:r w:rsidR="00F53942">
        <w:rPr>
          <w:lang w:val="en-US"/>
        </w:rPr>
        <w:t>-sized</w:t>
      </w:r>
      <w:r>
        <w:rPr>
          <w:lang w:val="en-US"/>
        </w:rPr>
        <w:t xml:space="preserve"> enterprises and large business impacts</w:t>
      </w:r>
    </w:p>
    <w:p w14:paraId="257BC3AB" w14:textId="396B5214" w:rsidR="00B44D05" w:rsidRPr="00B44D05" w:rsidRDefault="00B44D05" w:rsidP="00B44D05">
      <w:pPr>
        <w:pStyle w:val="BodyText"/>
        <w:rPr>
          <w:lang w:val="en-US" w:eastAsia="en-US"/>
        </w:rPr>
      </w:pPr>
      <w:r w:rsidRPr="00B44D05">
        <w:rPr>
          <w:lang w:val="en-US" w:eastAsia="en-US"/>
        </w:rPr>
        <w:t>A quantitative split between small</w:t>
      </w:r>
      <w:r>
        <w:rPr>
          <w:lang w:val="en-US" w:eastAsia="en-US"/>
        </w:rPr>
        <w:t>-</w:t>
      </w:r>
      <w:r w:rsidRPr="00B44D05">
        <w:rPr>
          <w:lang w:val="en-US" w:eastAsia="en-US"/>
        </w:rPr>
        <w:t xml:space="preserve"> to medium</w:t>
      </w:r>
      <w:r>
        <w:rPr>
          <w:lang w:val="en-US" w:eastAsia="en-US"/>
        </w:rPr>
        <w:t>-sized</w:t>
      </w:r>
      <w:r w:rsidRPr="00B44D05">
        <w:rPr>
          <w:lang w:val="en-US" w:eastAsia="en-US"/>
        </w:rPr>
        <w:t xml:space="preserve"> enterprise</w:t>
      </w:r>
      <w:r w:rsidR="00F53942">
        <w:rPr>
          <w:lang w:val="en-US" w:eastAsia="en-US"/>
        </w:rPr>
        <w:t>s</w:t>
      </w:r>
      <w:r w:rsidRPr="00B44D05">
        <w:rPr>
          <w:lang w:val="en-US" w:eastAsia="en-US"/>
        </w:rPr>
        <w:t xml:space="preserve"> and large </w:t>
      </w:r>
      <w:r w:rsidR="002D6E18">
        <w:rPr>
          <w:lang w:val="en-US" w:eastAsia="en-US"/>
        </w:rPr>
        <w:t>businesses’</w:t>
      </w:r>
      <w:r w:rsidRPr="00B44D05">
        <w:rPr>
          <w:lang w:val="en-US" w:eastAsia="en-US"/>
        </w:rPr>
        <w:t xml:space="preserve"> costs has not been included because the available data does not support </w:t>
      </w:r>
      <w:proofErr w:type="gramStart"/>
      <w:r w:rsidRPr="00B44D05">
        <w:rPr>
          <w:lang w:val="en-US" w:eastAsia="en-US"/>
        </w:rPr>
        <w:t>a defensible</w:t>
      </w:r>
      <w:proofErr w:type="gramEnd"/>
      <w:r w:rsidRPr="00B44D05">
        <w:rPr>
          <w:lang w:val="en-US" w:eastAsia="en-US"/>
        </w:rPr>
        <w:t xml:space="preserve"> allocation. The current </w:t>
      </w:r>
      <w:proofErr w:type="gramStart"/>
      <w:r w:rsidRPr="00B44D05">
        <w:rPr>
          <w:lang w:val="en-US" w:eastAsia="en-US"/>
        </w:rPr>
        <w:t>asset-class</w:t>
      </w:r>
      <w:proofErr w:type="gramEnd"/>
      <w:r w:rsidRPr="00B44D05">
        <w:rPr>
          <w:lang w:val="en-US" w:eastAsia="en-US"/>
        </w:rPr>
        <w:t xml:space="preserve"> </w:t>
      </w:r>
      <w:proofErr w:type="gramStart"/>
      <w:r w:rsidRPr="00B44D05">
        <w:rPr>
          <w:lang w:val="en-US" w:eastAsia="en-US"/>
        </w:rPr>
        <w:t>counts do</w:t>
      </w:r>
      <w:proofErr w:type="gramEnd"/>
      <w:r w:rsidRPr="00B44D05">
        <w:rPr>
          <w:lang w:val="en-US" w:eastAsia="en-US"/>
        </w:rPr>
        <w:t xml:space="preserve"> not identify </w:t>
      </w:r>
      <w:r>
        <w:rPr>
          <w:lang w:val="en-US" w:eastAsia="en-US"/>
        </w:rPr>
        <w:t xml:space="preserve">the responsible </w:t>
      </w:r>
      <w:r w:rsidR="002D6E18">
        <w:rPr>
          <w:lang w:val="en-US" w:eastAsia="en-US"/>
        </w:rPr>
        <w:t>entity’s</w:t>
      </w:r>
      <w:r w:rsidRPr="00B44D05">
        <w:rPr>
          <w:lang w:val="en-US" w:eastAsia="en-US"/>
        </w:rPr>
        <w:t xml:space="preserve"> size, revenue, workforce or ownership structure. Consultation responses also did not provide a consistent size classification or representative sample that could be used to allocate aggregate burden between small, medium and large entities.</w:t>
      </w:r>
    </w:p>
    <w:p w14:paraId="180E4832" w14:textId="6B3F4566" w:rsidR="00B44D05" w:rsidRPr="00B44D05" w:rsidRDefault="00B44D05" w:rsidP="00B44D05">
      <w:pPr>
        <w:pStyle w:val="BodyText"/>
        <w:rPr>
          <w:lang w:val="en-US" w:eastAsia="en-US"/>
        </w:rPr>
      </w:pPr>
      <w:r w:rsidRPr="00B44D05">
        <w:rPr>
          <w:lang w:val="en-US" w:eastAsia="en-US"/>
        </w:rPr>
        <w:t>The Addendum acknowledge</w:t>
      </w:r>
      <w:r w:rsidR="008E2F98">
        <w:rPr>
          <w:lang w:val="en-US" w:eastAsia="en-US"/>
        </w:rPr>
        <w:t>s</w:t>
      </w:r>
      <w:r w:rsidRPr="00B44D05">
        <w:rPr>
          <w:lang w:val="en-US" w:eastAsia="en-US"/>
        </w:rPr>
        <w:t xml:space="preserve"> that cost incidence will not be uniform. Large businesses and regulated network or utility operators are likely to face higher absolute costs because of the scale, geographic dispersion and complexity of their assets. Smaller responsible entities, including some renewable generation, battery storage, DNS or </w:t>
      </w:r>
      <w:proofErr w:type="spellStart"/>
      <w:r w:rsidRPr="00B44D05">
        <w:rPr>
          <w:lang w:val="en-US" w:eastAsia="en-US"/>
        </w:rPr>
        <w:t>specialised</w:t>
      </w:r>
      <w:proofErr w:type="spellEnd"/>
      <w:r w:rsidRPr="00B44D05">
        <w:rPr>
          <w:lang w:val="en-US" w:eastAsia="en-US"/>
        </w:rPr>
        <w:t xml:space="preserve"> asset operators, may face lower absolute costs but higher proportional burden. This is because several compliance activities have fixed-cost characteristics, including CIRMP documentation, governance review, cyber maturity assessment, supplier due diligence, personnel security processes and audit readiness. Smaller entities may also have less internal cyber, legal, procurement and risk capability, and less bargaining power with original equipment manufacturers, operations and maintenance contractors, and global technology vendors.</w:t>
      </w:r>
    </w:p>
    <w:p w14:paraId="3D35DB25" w14:textId="76F46E2B" w:rsidR="004E141C" w:rsidRDefault="00B44D05" w:rsidP="00B44D05">
      <w:pPr>
        <w:pStyle w:val="BodyText"/>
        <w:rPr>
          <w:lang w:val="en-US" w:eastAsia="en-US"/>
        </w:rPr>
      </w:pPr>
      <w:r w:rsidRPr="00B44D05">
        <w:rPr>
          <w:lang w:val="en-US" w:eastAsia="en-US"/>
        </w:rPr>
        <w:t>This distributional effect is relevant to policy design even though it is not separately quantified in the RBE table. It supports retaining a principles-based approach, staged implementation, guidance, equivalent-framework recognition and flexibility for compensating controls where full technical remediation is not reasonably practicable.</w:t>
      </w:r>
    </w:p>
    <w:p w14:paraId="11DF45AE" w14:textId="77777777" w:rsidR="00B44D1D" w:rsidRPr="00B44D1D" w:rsidRDefault="00B44D1D" w:rsidP="00B44D1D">
      <w:pPr>
        <w:pStyle w:val="Heading3numbered"/>
        <w:rPr>
          <w:lang w:val="en-US"/>
        </w:rPr>
      </w:pPr>
      <w:r w:rsidRPr="00B44D1D">
        <w:rPr>
          <w:lang w:val="en-US"/>
        </w:rPr>
        <w:t>Distributional impacts and consumer pass-through</w:t>
      </w:r>
    </w:p>
    <w:p w14:paraId="2343BA33" w14:textId="77777777" w:rsidR="00FD65DA" w:rsidRDefault="00FD65DA" w:rsidP="00FD65DA">
      <w:pPr>
        <w:pStyle w:val="BodyText"/>
      </w:pPr>
      <w:r>
        <w:t>The proposed enhancements will impose direct compliance costs on responsible entities for the in-scope asset classes. The incidence of those costs will vary across sectors depending on market structure, pricing regulation, cost-recovery mechanisms and competitive conditions.</w:t>
      </w:r>
    </w:p>
    <w:p w14:paraId="784B0978" w14:textId="5BFD996E" w:rsidR="00FD65DA" w:rsidRDefault="00FD65DA" w:rsidP="00FD65DA">
      <w:pPr>
        <w:pStyle w:val="BodyText"/>
      </w:pPr>
      <w:r>
        <w:t xml:space="preserve">In economically regulated sectors, such as electricity networks and some water utilities, </w:t>
      </w:r>
      <w:r w:rsidR="00C53400" w:rsidRPr="00C53400">
        <w:t>some efficient compliance costs may ultimately be recovered</w:t>
      </w:r>
      <w:r w:rsidR="00C53400">
        <w:t xml:space="preserve"> </w:t>
      </w:r>
      <w:r>
        <w:t>from customers through regulated pricing or funding processes. This means the reforms may have indirect distributional impacts on households and businesses through electricity, water or wastewater bills. These indirect pass-through impacts are not included in the RBE table because the Regulatory Burden Measurement Framework excludes indirect costs</w:t>
      </w:r>
      <w:r w:rsidR="00BA4F4F">
        <w:t>. Still, they</w:t>
      </w:r>
      <w:r>
        <w:t xml:space="preserve"> are relevant to the overall impact assessment and policy design.</w:t>
      </w:r>
    </w:p>
    <w:p w14:paraId="71B743B7" w14:textId="6B9856CA" w:rsidR="00FD65DA" w:rsidRDefault="00FD65DA" w:rsidP="00FD65DA">
      <w:pPr>
        <w:pStyle w:val="BodyText"/>
      </w:pPr>
      <w:r>
        <w:lastRenderedPageBreak/>
        <w:t xml:space="preserve">In competitive or trade-exposed markets, cost recovery may be more limited. Liquid fuel operators may have limited ability to pass costs through because pricing is affected by import parity and international competition. Freight operators identified potential competitive neutrality issues in which rail freight providers incur obligations </w:t>
      </w:r>
      <w:r w:rsidR="004E3809">
        <w:t>that</w:t>
      </w:r>
      <w:r>
        <w:t xml:space="preserve"> road freight competitors</w:t>
      </w:r>
      <w:r w:rsidR="004E3809">
        <w:t xml:space="preserve"> do not</w:t>
      </w:r>
      <w:r>
        <w:t>. Smaller energy-transition assets may face higher proportional costs if obligations are applied uniformly</w:t>
      </w:r>
      <w:r w:rsidR="004E3809">
        <w:t>,</w:t>
      </w:r>
      <w:r>
        <w:t xml:space="preserve"> </w:t>
      </w:r>
      <w:r w:rsidR="004E3809">
        <w:t>even when they</w:t>
      </w:r>
      <w:r>
        <w:t xml:space="preserve"> have lower systemic consequences or limited internal capability.</w:t>
      </w:r>
    </w:p>
    <w:p w14:paraId="4F2D535C" w14:textId="29C7E043" w:rsidR="0035795C" w:rsidRPr="0035795C" w:rsidRDefault="00FD65DA" w:rsidP="0035795C">
      <w:pPr>
        <w:pStyle w:val="BodyText"/>
      </w:pPr>
      <w:r>
        <w:t>The final policy design mitigates these distributional impacts by limiting enhanced obligations to specified high-risk asset classes, retaining the so far as reasonably practicable principle, allowing equivalent or compensating controls where appropriate, and supporting implementation through guidance and staged compliance periods.</w:t>
      </w:r>
    </w:p>
    <w:p w14:paraId="1399973D" w14:textId="086CC0CE" w:rsidR="004E56FB" w:rsidRDefault="004E56FB" w:rsidP="00566E7F">
      <w:pPr>
        <w:pStyle w:val="Heading3numbered"/>
      </w:pPr>
      <w:r>
        <w:t>Consultation cost evidence</w:t>
      </w:r>
    </w:p>
    <w:p w14:paraId="064BB3D7" w14:textId="50E2E0E4" w:rsidR="004E56FB" w:rsidRDefault="004E56FB" w:rsidP="004E56FB">
      <w:pPr>
        <w:pStyle w:val="BodyText"/>
      </w:pPr>
      <w:r w:rsidRPr="00824845">
        <w:t>The matrix a</w:t>
      </w:r>
      <w:r>
        <w:t>t</w:t>
      </w:r>
      <w:r w:rsidRPr="00824845">
        <w:t xml:space="preserve"> </w:t>
      </w:r>
      <w:r>
        <w:fldChar w:fldCharType="begin"/>
      </w:r>
      <w:r>
        <w:instrText xml:space="preserve"> REF _Ref225946515 \h </w:instrText>
      </w:r>
      <w:r>
        <w:fldChar w:fldCharType="separate"/>
      </w:r>
      <w:r>
        <w:t xml:space="preserve">Table </w:t>
      </w:r>
      <w:r>
        <w:rPr>
          <w:noProof/>
        </w:rPr>
        <w:t>5</w:t>
      </w:r>
      <w:r>
        <w:t>: Cost Implications of measures by sector from consultation</w:t>
      </w:r>
      <w:r>
        <w:fldChar w:fldCharType="end"/>
      </w:r>
      <w:r>
        <w:t xml:space="preserve">, </w:t>
      </w:r>
      <w:r w:rsidRPr="00824845">
        <w:t>summarises the incremental cost profile of the enhanced CIRMP measures by sector and obligation category</w:t>
      </w:r>
      <w:r>
        <w:t>. It</w:t>
      </w:r>
      <w:r w:rsidRPr="00824845">
        <w:t xml:space="preserve"> reflect</w:t>
      </w:r>
      <w:r>
        <w:t>s</w:t>
      </w:r>
      <w:r w:rsidRPr="00824845">
        <w:t xml:space="preserve"> the different operating environments, legacy technology constraints, workforce and regulatory settings, and supply</w:t>
      </w:r>
      <w:r w:rsidRPr="00824845">
        <w:noBreakHyphen/>
        <w:t xml:space="preserve">chain exposures identified through consultations. It shows where costs are expected to concentrate, such as cyber maturity uplift and network segregation in OT-heavy sectors, versus areas where the burden is primarily administrative, such as </w:t>
      </w:r>
      <w:r w:rsidR="00CD664E" w:rsidRPr="00CD664E">
        <w:t>enhanced material-risk assessment and FOCI processes</w:t>
      </w:r>
      <w:r w:rsidR="00CD664E">
        <w:t xml:space="preserve"> </w:t>
      </w:r>
      <w:r w:rsidRPr="00824845">
        <w:t>or periodic vendor-of-concern assessments.</w:t>
      </w:r>
      <w:r>
        <w:t xml:space="preserve"> </w:t>
      </w:r>
      <w:r w:rsidRPr="00107A38">
        <w:t>The matrix should be read by sector (columns) and obligation category (rows), with each cell indicating relative cost impact using the defined severity scale.</w:t>
      </w:r>
    </w:p>
    <w:p w14:paraId="213EE6D2" w14:textId="77777777" w:rsidR="004E56FB" w:rsidRDefault="004E56FB" w:rsidP="004E56FB">
      <w:pPr>
        <w:pStyle w:val="BodyText"/>
      </w:pPr>
      <w:r w:rsidRPr="009B567D">
        <w:t>Consultation feedback indicate</w:t>
      </w:r>
      <w:r>
        <w:t>d</w:t>
      </w:r>
      <w:r w:rsidRPr="009B567D">
        <w:t xml:space="preserve"> that cyber uplift and system segregation represent the most significant cost drivers, particularly in OT-heavy sectors, driven by legacy environments, supply chain exposure and escalating threat activity</w:t>
      </w:r>
      <w:r>
        <w:t xml:space="preserve">. </w:t>
      </w:r>
      <w:r w:rsidRPr="00BC17FB">
        <w:t>Stakeholders acknowledged that while uplift requires investment, it delivers strong system-wide benefits by reducing the likelihood and impact of major outages, strengthening recovery capability, and aligning practices with widely recognised frameworks such as those listed in the CIRMP Rules.</w:t>
      </w:r>
      <w:r>
        <w:t xml:space="preserve"> M</w:t>
      </w:r>
      <w:r w:rsidRPr="00FF16AF">
        <w:t xml:space="preserve">ost stakeholders did not </w:t>
      </w:r>
      <w:r>
        <w:t>yet provide reliable dollar estimates for these measures, but consistently described them as multi-year, high-complexity</w:t>
      </w:r>
      <w:r w:rsidRPr="00FF16AF">
        <w:t xml:space="preserve"> uplifts with wide cost dispersion across sectors</w:t>
      </w:r>
      <w:r>
        <w:t>.</w:t>
      </w:r>
    </w:p>
    <w:p w14:paraId="0529C41C" w14:textId="079EC3EF" w:rsidR="004E56FB" w:rsidRPr="002975D4" w:rsidRDefault="004E56FB" w:rsidP="004E56FB">
      <w:pPr>
        <w:pStyle w:val="Caption"/>
      </w:pPr>
      <w:bookmarkStart w:id="39" w:name="_Ref225946515"/>
      <w:r>
        <w:t xml:space="preserve">Table </w:t>
      </w:r>
      <w:fldSimple w:instr=" SEQ Table \* ARABIC ">
        <w:r w:rsidR="00B90D57">
          <w:rPr>
            <w:noProof/>
          </w:rPr>
          <w:t>8</w:t>
        </w:r>
      </w:fldSimple>
      <w:r>
        <w:t>: Cost Implications of measures by sector from consultation</w:t>
      </w:r>
      <w:bookmarkEnd w:id="39"/>
    </w:p>
    <w:tbl>
      <w:tblPr>
        <w:tblStyle w:val="HATableStyle1default"/>
        <w:tblW w:w="5000" w:type="pct"/>
        <w:tblLook w:val="04A0" w:firstRow="1" w:lastRow="0" w:firstColumn="1" w:lastColumn="0" w:noHBand="0" w:noVBand="1"/>
      </w:tblPr>
      <w:tblGrid>
        <w:gridCol w:w="1842"/>
        <w:gridCol w:w="2012"/>
        <w:gridCol w:w="2012"/>
        <w:gridCol w:w="2012"/>
        <w:gridCol w:w="2012"/>
      </w:tblGrid>
      <w:tr w:rsidR="004E56FB" w:rsidRPr="00C67AE1" w14:paraId="1FD901B4"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1" w:type="pct"/>
            <w:noWrap/>
            <w:hideMark/>
          </w:tcPr>
          <w:p w14:paraId="2E551408" w14:textId="77777777" w:rsidR="004E56FB" w:rsidRPr="00C67AE1" w:rsidRDefault="004E56FB" w:rsidP="00C67AE1">
            <w:pPr>
              <w:rPr>
                <w:lang w:val="en-US"/>
              </w:rPr>
            </w:pPr>
            <w:r w:rsidRPr="00C67AE1">
              <w:rPr>
                <w:lang w:val="en-US"/>
              </w:rPr>
              <w:t>Hazard Domain</w:t>
            </w:r>
          </w:p>
        </w:tc>
        <w:tc>
          <w:tcPr>
            <w:tcW w:w="1017" w:type="pct"/>
            <w:hideMark/>
          </w:tcPr>
          <w:p w14:paraId="10EE30AE" w14:textId="77777777" w:rsidR="004E56FB" w:rsidRPr="00C67AE1" w:rsidRDefault="004E56FB" w:rsidP="00C67AE1">
            <w:pPr>
              <w:cnfStyle w:val="100000000000" w:firstRow="1" w:lastRow="0" w:firstColumn="0" w:lastColumn="0" w:oddVBand="0" w:evenVBand="0" w:oddHBand="0" w:evenHBand="0" w:firstRowFirstColumn="0" w:firstRowLastColumn="0" w:lastRowFirstColumn="0" w:lastRowLastColumn="0"/>
              <w:rPr>
                <w:lang w:val="en-US"/>
              </w:rPr>
            </w:pPr>
            <w:r w:rsidRPr="00C67AE1">
              <w:rPr>
                <w:lang w:val="en-US"/>
              </w:rPr>
              <w:t>Energy</w:t>
            </w:r>
          </w:p>
        </w:tc>
        <w:tc>
          <w:tcPr>
            <w:tcW w:w="1017" w:type="pct"/>
            <w:hideMark/>
          </w:tcPr>
          <w:p w14:paraId="1CCE386A" w14:textId="77777777" w:rsidR="004E56FB" w:rsidRPr="00C67AE1" w:rsidRDefault="004E56FB" w:rsidP="00C67AE1">
            <w:pPr>
              <w:cnfStyle w:val="100000000000" w:firstRow="1" w:lastRow="0" w:firstColumn="0" w:lastColumn="0" w:oddVBand="0" w:evenVBand="0" w:oddHBand="0" w:evenHBand="0" w:firstRowFirstColumn="0" w:firstRowLastColumn="0" w:lastRowFirstColumn="0" w:lastRowLastColumn="0"/>
              <w:rPr>
                <w:lang w:val="en-US"/>
              </w:rPr>
            </w:pPr>
            <w:r w:rsidRPr="00C67AE1">
              <w:rPr>
                <w:lang w:val="en-US"/>
              </w:rPr>
              <w:t>Water</w:t>
            </w:r>
          </w:p>
        </w:tc>
        <w:tc>
          <w:tcPr>
            <w:tcW w:w="1017" w:type="pct"/>
            <w:hideMark/>
          </w:tcPr>
          <w:p w14:paraId="2E56ECA3" w14:textId="77777777" w:rsidR="004E56FB" w:rsidRPr="00C67AE1" w:rsidRDefault="004E56FB" w:rsidP="00C67AE1">
            <w:pPr>
              <w:cnfStyle w:val="100000000000" w:firstRow="1" w:lastRow="0" w:firstColumn="0" w:lastColumn="0" w:oddVBand="0" w:evenVBand="0" w:oddHBand="0" w:evenHBand="0" w:firstRowFirstColumn="0" w:firstRowLastColumn="0" w:lastRowFirstColumn="0" w:lastRowLastColumn="0"/>
              <w:rPr>
                <w:lang w:val="en-US"/>
              </w:rPr>
            </w:pPr>
            <w:r w:rsidRPr="00C67AE1">
              <w:rPr>
                <w:lang w:val="en-US"/>
              </w:rPr>
              <w:t>Transport</w:t>
            </w:r>
          </w:p>
        </w:tc>
        <w:tc>
          <w:tcPr>
            <w:tcW w:w="1017" w:type="pct"/>
            <w:hideMark/>
          </w:tcPr>
          <w:p w14:paraId="57C0F08C" w14:textId="77777777" w:rsidR="004E56FB" w:rsidRPr="00C67AE1" w:rsidRDefault="004E56FB" w:rsidP="00C67AE1">
            <w:pPr>
              <w:cnfStyle w:val="100000000000" w:firstRow="1" w:lastRow="0" w:firstColumn="0" w:lastColumn="0" w:oddVBand="0" w:evenVBand="0" w:oddHBand="0" w:evenHBand="0" w:firstRowFirstColumn="0" w:firstRowLastColumn="0" w:lastRowFirstColumn="0" w:lastRowLastColumn="0"/>
              <w:rPr>
                <w:lang w:val="en-US"/>
              </w:rPr>
            </w:pPr>
            <w:r w:rsidRPr="00C67AE1">
              <w:rPr>
                <w:lang w:val="en-US"/>
              </w:rPr>
              <w:t>Communications</w:t>
            </w:r>
          </w:p>
        </w:tc>
      </w:tr>
      <w:tr w:rsidR="004E56FB" w:rsidRPr="00C67AE1" w14:paraId="0B5E3903" w14:textId="77777777">
        <w:trPr>
          <w:cnfStyle w:val="000000100000" w:firstRow="0" w:lastRow="0" w:firstColumn="0" w:lastColumn="0" w:oddVBand="0" w:evenVBand="0" w:oddHBand="1" w:evenHBand="0" w:firstRowFirstColumn="0" w:firstRowLastColumn="0" w:lastRowFirstColumn="0" w:lastRowLastColumn="0"/>
          <w:trHeight w:val="2100"/>
        </w:trPr>
        <w:tc>
          <w:tcPr>
            <w:cnfStyle w:val="001000000000" w:firstRow="0" w:lastRow="0" w:firstColumn="1" w:lastColumn="0" w:oddVBand="0" w:evenVBand="0" w:oddHBand="0" w:evenHBand="0" w:firstRowFirstColumn="0" w:firstRowLastColumn="0" w:lastRowFirstColumn="0" w:lastRowLastColumn="0"/>
            <w:tcW w:w="931" w:type="pct"/>
            <w:hideMark/>
          </w:tcPr>
          <w:p w14:paraId="63231DDF" w14:textId="745A6873" w:rsidR="004E56FB" w:rsidRPr="00C67AE1" w:rsidRDefault="004E56FB" w:rsidP="00C67AE1">
            <w:pPr>
              <w:rPr>
                <w:lang w:val="en-US"/>
              </w:rPr>
            </w:pPr>
            <w:r w:rsidRPr="00C67AE1">
              <w:rPr>
                <w:lang w:val="en-US"/>
              </w:rPr>
              <w:t>Cyber security framework uplift</w:t>
            </w:r>
          </w:p>
        </w:tc>
        <w:tc>
          <w:tcPr>
            <w:tcW w:w="1017" w:type="pct"/>
            <w:hideMark/>
          </w:tcPr>
          <w:p w14:paraId="553DD8CA" w14:textId="77777777" w:rsidR="004E56FB" w:rsidRPr="00C67AE1" w:rsidRDefault="004E56FB" w:rsidP="00C67AE1">
            <w:pPr>
              <w:cnfStyle w:val="000000100000" w:firstRow="0" w:lastRow="0" w:firstColumn="0" w:lastColumn="0" w:oddVBand="0" w:evenVBand="0" w:oddHBand="1" w:evenHBand="0" w:firstRowFirstColumn="0" w:firstRowLastColumn="0" w:lastRowFirstColumn="0" w:lastRowLastColumn="0"/>
              <w:rPr>
                <w:b/>
                <w:bCs/>
                <w:lang w:val="en-US"/>
              </w:rPr>
            </w:pPr>
            <w:r w:rsidRPr="00C67AE1">
              <w:rPr>
                <w:b/>
                <w:bCs/>
                <w:lang w:val="en-US"/>
              </w:rPr>
              <w:t>VERY HIGH (!!!)</w:t>
            </w:r>
          </w:p>
          <w:p w14:paraId="40B2A2FC" w14:textId="77777777" w:rsidR="004E56FB" w:rsidRPr="00C67AE1" w:rsidRDefault="004E56FB" w:rsidP="00C67AE1">
            <w:pPr>
              <w:cnfStyle w:val="000000100000" w:firstRow="0" w:lastRow="0" w:firstColumn="0" w:lastColumn="0" w:oddVBand="0" w:evenVBand="0" w:oddHBand="1" w:evenHBand="0" w:firstRowFirstColumn="0" w:firstRowLastColumn="0" w:lastRowFirstColumn="0" w:lastRowLastColumn="0"/>
              <w:rPr>
                <w:lang w:val="en-US"/>
              </w:rPr>
            </w:pPr>
            <w:r w:rsidRPr="00C67AE1">
              <w:rPr>
                <w:lang w:val="en-US"/>
              </w:rPr>
              <w:t>Strongest concerns across all sectors. OT legacy systems, regulated pricing periods, long outage windows and workforce shortages.</w:t>
            </w:r>
          </w:p>
        </w:tc>
        <w:tc>
          <w:tcPr>
            <w:tcW w:w="1017" w:type="pct"/>
            <w:hideMark/>
          </w:tcPr>
          <w:p w14:paraId="20238314" w14:textId="77777777" w:rsidR="004E56FB" w:rsidRPr="00C67AE1" w:rsidRDefault="004E56FB" w:rsidP="00C67AE1">
            <w:pPr>
              <w:cnfStyle w:val="000000100000" w:firstRow="0" w:lastRow="0" w:firstColumn="0" w:lastColumn="0" w:oddVBand="0" w:evenVBand="0" w:oddHBand="1" w:evenHBand="0" w:firstRowFirstColumn="0" w:firstRowLastColumn="0" w:lastRowFirstColumn="0" w:lastRowLastColumn="0"/>
              <w:rPr>
                <w:b/>
                <w:bCs/>
                <w:lang w:val="en-US"/>
              </w:rPr>
            </w:pPr>
            <w:r w:rsidRPr="00C67AE1">
              <w:rPr>
                <w:b/>
                <w:bCs/>
                <w:lang w:val="en-US"/>
              </w:rPr>
              <w:t>HIGH (!!)</w:t>
            </w:r>
          </w:p>
          <w:p w14:paraId="0D684E77" w14:textId="77777777" w:rsidR="004E56FB" w:rsidRPr="00C67AE1" w:rsidRDefault="004E56FB" w:rsidP="00C67AE1">
            <w:pPr>
              <w:cnfStyle w:val="000000100000" w:firstRow="0" w:lastRow="0" w:firstColumn="0" w:lastColumn="0" w:oddVBand="0" w:evenVBand="0" w:oddHBand="1" w:evenHBand="0" w:firstRowFirstColumn="0" w:firstRowLastColumn="0" w:lastRowFirstColumn="0" w:lastRowLastColumn="0"/>
              <w:rPr>
                <w:lang w:val="en-US"/>
              </w:rPr>
            </w:pPr>
            <w:r w:rsidRPr="00C67AE1">
              <w:rPr>
                <w:lang w:val="en-US"/>
              </w:rPr>
              <w:t>Legacy OT and constrained regulator pricing periods limit the pace; costs are significant.</w:t>
            </w:r>
          </w:p>
        </w:tc>
        <w:tc>
          <w:tcPr>
            <w:tcW w:w="1017" w:type="pct"/>
            <w:hideMark/>
          </w:tcPr>
          <w:p w14:paraId="7596E78B" w14:textId="77777777" w:rsidR="004E56FB" w:rsidRPr="00C67AE1" w:rsidRDefault="004E56FB" w:rsidP="00C67AE1">
            <w:pPr>
              <w:cnfStyle w:val="000000100000" w:firstRow="0" w:lastRow="0" w:firstColumn="0" w:lastColumn="0" w:oddVBand="0" w:evenVBand="0" w:oddHBand="1" w:evenHBand="0" w:firstRowFirstColumn="0" w:firstRowLastColumn="0" w:lastRowFirstColumn="0" w:lastRowLastColumn="0"/>
              <w:rPr>
                <w:b/>
                <w:bCs/>
                <w:lang w:val="en-US"/>
              </w:rPr>
            </w:pPr>
            <w:r w:rsidRPr="00C67AE1">
              <w:rPr>
                <w:b/>
                <w:bCs/>
                <w:lang w:val="en-US"/>
              </w:rPr>
              <w:t>MEDIUM–HIGH (!)</w:t>
            </w:r>
          </w:p>
          <w:p w14:paraId="393DC82B" w14:textId="77777777" w:rsidR="004E56FB" w:rsidRPr="00C67AE1" w:rsidRDefault="004E56FB" w:rsidP="00C67AE1">
            <w:pPr>
              <w:cnfStyle w:val="000000100000" w:firstRow="0" w:lastRow="0" w:firstColumn="0" w:lastColumn="0" w:oddVBand="0" w:evenVBand="0" w:oddHBand="1" w:evenHBand="0" w:firstRowFirstColumn="0" w:firstRowLastColumn="0" w:lastRowFirstColumn="0" w:lastRowLastColumn="0"/>
              <w:rPr>
                <w:lang w:val="en-US"/>
              </w:rPr>
            </w:pPr>
            <w:r w:rsidRPr="00C67AE1">
              <w:rPr>
                <w:lang w:val="en-US"/>
              </w:rPr>
              <w:t>Cost is significant but variable; digital systems are fragmented; the sector asked for proportionality.</w:t>
            </w:r>
          </w:p>
        </w:tc>
        <w:tc>
          <w:tcPr>
            <w:tcW w:w="1017" w:type="pct"/>
            <w:hideMark/>
          </w:tcPr>
          <w:p w14:paraId="1234D917" w14:textId="77777777" w:rsidR="004E56FB" w:rsidRPr="00C67AE1" w:rsidRDefault="004E56FB" w:rsidP="00C67AE1">
            <w:pPr>
              <w:cnfStyle w:val="000000100000" w:firstRow="0" w:lastRow="0" w:firstColumn="0" w:lastColumn="0" w:oddVBand="0" w:evenVBand="0" w:oddHBand="1" w:evenHBand="0" w:firstRowFirstColumn="0" w:firstRowLastColumn="0" w:lastRowFirstColumn="0" w:lastRowLastColumn="0"/>
              <w:rPr>
                <w:lang w:val="en-US"/>
              </w:rPr>
            </w:pPr>
            <w:r w:rsidRPr="00C67AE1">
              <w:rPr>
                <w:lang w:val="en-US"/>
              </w:rPr>
              <w:t>MEDIUM (!)</w:t>
            </w:r>
          </w:p>
          <w:p w14:paraId="1078F511" w14:textId="77777777" w:rsidR="004E56FB" w:rsidRPr="00C67AE1" w:rsidRDefault="004E56FB" w:rsidP="00C67AE1">
            <w:pPr>
              <w:cnfStyle w:val="000000100000" w:firstRow="0" w:lastRow="0" w:firstColumn="0" w:lastColumn="0" w:oddVBand="0" w:evenVBand="0" w:oddHBand="1" w:evenHBand="0" w:firstRowFirstColumn="0" w:firstRowLastColumn="0" w:lastRowFirstColumn="0" w:lastRowLastColumn="0"/>
              <w:rPr>
                <w:lang w:val="en-US"/>
              </w:rPr>
            </w:pPr>
            <w:r w:rsidRPr="00C67AE1">
              <w:rPr>
                <w:lang w:val="en-US"/>
              </w:rPr>
              <w:t>Uplift needed, but many entities are already at a higher baseline.</w:t>
            </w:r>
          </w:p>
        </w:tc>
      </w:tr>
      <w:tr w:rsidR="004E56FB" w:rsidRPr="00C67AE1" w14:paraId="5A0C6A5F" w14:textId="77777777" w:rsidTr="00566E7F">
        <w:trPr>
          <w:cnfStyle w:val="000000010000" w:firstRow="0" w:lastRow="0" w:firstColumn="0" w:lastColumn="0" w:oddVBand="0" w:evenVBand="0" w:oddHBand="0" w:evenHBand="1"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931" w:type="pct"/>
            <w:hideMark/>
          </w:tcPr>
          <w:p w14:paraId="38BDE588" w14:textId="15A056F3" w:rsidR="004E56FB" w:rsidRPr="00C67AE1" w:rsidRDefault="006B75D0" w:rsidP="00C67AE1">
            <w:pPr>
              <w:rPr>
                <w:lang w:val="en-US"/>
              </w:rPr>
            </w:pPr>
            <w:r>
              <w:rPr>
                <w:lang w:val="en-US"/>
              </w:rPr>
              <w:t>lateral movement</w:t>
            </w:r>
          </w:p>
        </w:tc>
        <w:tc>
          <w:tcPr>
            <w:tcW w:w="1017" w:type="pct"/>
            <w:hideMark/>
          </w:tcPr>
          <w:p w14:paraId="681B6A25" w14:textId="77777777" w:rsidR="004E56FB" w:rsidRPr="00C67AE1" w:rsidRDefault="004E56FB" w:rsidP="00C67AE1">
            <w:pPr>
              <w:cnfStyle w:val="000000010000" w:firstRow="0" w:lastRow="0" w:firstColumn="0" w:lastColumn="0" w:oddVBand="0" w:evenVBand="0" w:oddHBand="0" w:evenHBand="1" w:firstRowFirstColumn="0" w:firstRowLastColumn="0" w:lastRowFirstColumn="0" w:lastRowLastColumn="0"/>
              <w:rPr>
                <w:b/>
                <w:bCs/>
                <w:lang w:val="en-US"/>
              </w:rPr>
            </w:pPr>
            <w:r w:rsidRPr="00C67AE1">
              <w:rPr>
                <w:b/>
                <w:bCs/>
                <w:lang w:val="en-US"/>
              </w:rPr>
              <w:t>HIGH (!!)</w:t>
            </w:r>
          </w:p>
          <w:p w14:paraId="7EC4022D" w14:textId="77777777" w:rsidR="004E56FB" w:rsidRPr="00C67AE1" w:rsidRDefault="004E56FB" w:rsidP="00C67AE1">
            <w:pPr>
              <w:cnfStyle w:val="000000010000" w:firstRow="0" w:lastRow="0" w:firstColumn="0" w:lastColumn="0" w:oddVBand="0" w:evenVBand="0" w:oddHBand="0" w:evenHBand="1" w:firstRowFirstColumn="0" w:firstRowLastColumn="0" w:lastRowFirstColumn="0" w:lastRowLastColumn="0"/>
              <w:rPr>
                <w:lang w:val="en-US"/>
              </w:rPr>
            </w:pPr>
            <w:r w:rsidRPr="00C67AE1">
              <w:rPr>
                <w:lang w:val="en-US"/>
              </w:rPr>
              <w:t>Operators said three-month isolation was not feasible; segmentation and recovery uplifted significantly across large OT estates.</w:t>
            </w:r>
          </w:p>
        </w:tc>
        <w:tc>
          <w:tcPr>
            <w:tcW w:w="1017" w:type="pct"/>
            <w:hideMark/>
          </w:tcPr>
          <w:p w14:paraId="40947867" w14:textId="77777777" w:rsidR="004E56FB" w:rsidRPr="00C67AE1" w:rsidRDefault="004E56FB" w:rsidP="00C67AE1">
            <w:pPr>
              <w:cnfStyle w:val="000000010000" w:firstRow="0" w:lastRow="0" w:firstColumn="0" w:lastColumn="0" w:oddVBand="0" w:evenVBand="0" w:oddHBand="0" w:evenHBand="1" w:firstRowFirstColumn="0" w:firstRowLastColumn="0" w:lastRowFirstColumn="0" w:lastRowLastColumn="0"/>
              <w:rPr>
                <w:b/>
                <w:bCs/>
                <w:lang w:val="en-US"/>
              </w:rPr>
            </w:pPr>
            <w:r w:rsidRPr="00C67AE1">
              <w:rPr>
                <w:b/>
                <w:bCs/>
                <w:lang w:val="en-US"/>
              </w:rPr>
              <w:t>HIGH (!!)</w:t>
            </w:r>
          </w:p>
          <w:p w14:paraId="1ADBCB3B" w14:textId="77777777" w:rsidR="004E56FB" w:rsidRPr="00C67AE1" w:rsidRDefault="004E56FB" w:rsidP="00C67AE1">
            <w:pPr>
              <w:cnfStyle w:val="000000010000" w:firstRow="0" w:lastRow="0" w:firstColumn="0" w:lastColumn="0" w:oddVBand="0" w:evenVBand="0" w:oddHBand="0" w:evenHBand="1" w:firstRowFirstColumn="0" w:firstRowLastColumn="0" w:lastRowFirstColumn="0" w:lastRowLastColumn="0"/>
              <w:rPr>
                <w:lang w:val="en-US"/>
              </w:rPr>
            </w:pPr>
            <w:r w:rsidRPr="00C67AE1">
              <w:rPr>
                <w:lang w:val="en-US"/>
              </w:rPr>
              <w:t>Difficult to isolate treatment plants or networks for long periods, need for a recovery-based approach.</w:t>
            </w:r>
          </w:p>
        </w:tc>
        <w:tc>
          <w:tcPr>
            <w:tcW w:w="1017" w:type="pct"/>
            <w:hideMark/>
          </w:tcPr>
          <w:p w14:paraId="7D1058AB" w14:textId="77777777" w:rsidR="004E56FB" w:rsidRPr="00C67AE1" w:rsidRDefault="004E56FB" w:rsidP="00C67AE1">
            <w:pPr>
              <w:cnfStyle w:val="000000010000" w:firstRow="0" w:lastRow="0" w:firstColumn="0" w:lastColumn="0" w:oddVBand="0" w:evenVBand="0" w:oddHBand="0" w:evenHBand="1" w:firstRowFirstColumn="0" w:firstRowLastColumn="0" w:lastRowFirstColumn="0" w:lastRowLastColumn="0"/>
              <w:rPr>
                <w:b/>
                <w:bCs/>
                <w:lang w:val="en-US"/>
              </w:rPr>
            </w:pPr>
            <w:r w:rsidRPr="00C67AE1">
              <w:rPr>
                <w:b/>
                <w:bCs/>
                <w:lang w:val="en-US"/>
              </w:rPr>
              <w:t>VERY HIGH (!!!)</w:t>
            </w:r>
          </w:p>
          <w:p w14:paraId="772687D6" w14:textId="77777777" w:rsidR="004E56FB" w:rsidRPr="00C67AE1" w:rsidRDefault="004E56FB" w:rsidP="00C67AE1">
            <w:pPr>
              <w:cnfStyle w:val="000000010000" w:firstRow="0" w:lastRow="0" w:firstColumn="0" w:lastColumn="0" w:oddVBand="0" w:evenVBand="0" w:oddHBand="0" w:evenHBand="1" w:firstRowFirstColumn="0" w:firstRowLastColumn="0" w:lastRowFirstColumn="0" w:lastRowLastColumn="0"/>
              <w:rPr>
                <w:lang w:val="en-US"/>
              </w:rPr>
            </w:pPr>
            <w:r w:rsidRPr="00C67AE1">
              <w:rPr>
                <w:lang w:val="en-US"/>
              </w:rPr>
              <w:t>Three</w:t>
            </w:r>
            <w:r w:rsidRPr="00C67AE1">
              <w:rPr>
                <w:lang w:val="en-US"/>
              </w:rPr>
              <w:noBreakHyphen/>
              <w:t>months of isolation are deemed incompatible with linear networks and safety-critical systems.</w:t>
            </w:r>
          </w:p>
        </w:tc>
        <w:tc>
          <w:tcPr>
            <w:tcW w:w="1017" w:type="pct"/>
            <w:hideMark/>
          </w:tcPr>
          <w:p w14:paraId="1C36165A" w14:textId="77777777" w:rsidR="004E56FB" w:rsidRPr="00C67AE1" w:rsidRDefault="004E56FB" w:rsidP="00C67AE1">
            <w:pPr>
              <w:cnfStyle w:val="000000010000" w:firstRow="0" w:lastRow="0" w:firstColumn="0" w:lastColumn="0" w:oddVBand="0" w:evenVBand="0" w:oddHBand="0" w:evenHBand="1" w:firstRowFirstColumn="0" w:firstRowLastColumn="0" w:lastRowFirstColumn="0" w:lastRowLastColumn="0"/>
              <w:rPr>
                <w:lang w:val="en-US"/>
              </w:rPr>
            </w:pPr>
            <w:r w:rsidRPr="00C67AE1">
              <w:rPr>
                <w:lang w:val="en-US"/>
              </w:rPr>
              <w:t>MEDIUM (!)</w:t>
            </w:r>
          </w:p>
          <w:p w14:paraId="62044D0A" w14:textId="77777777" w:rsidR="004E56FB" w:rsidRPr="00C67AE1" w:rsidRDefault="004E56FB" w:rsidP="00C67AE1">
            <w:pPr>
              <w:cnfStyle w:val="000000010000" w:firstRow="0" w:lastRow="0" w:firstColumn="0" w:lastColumn="0" w:oddVBand="0" w:evenVBand="0" w:oddHBand="0" w:evenHBand="1" w:firstRowFirstColumn="0" w:firstRowLastColumn="0" w:lastRowFirstColumn="0" w:lastRowLastColumn="0"/>
              <w:rPr>
                <w:lang w:val="en-US"/>
              </w:rPr>
            </w:pPr>
            <w:r w:rsidRPr="00C67AE1">
              <w:rPr>
                <w:lang w:val="en-US"/>
              </w:rPr>
              <w:t>Some reliance on cloud- or federated-based identity makes isolation more complex.</w:t>
            </w:r>
          </w:p>
        </w:tc>
      </w:tr>
      <w:tr w:rsidR="004E56FB" w:rsidRPr="00C67AE1" w14:paraId="1148E57D" w14:textId="77777777">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931" w:type="pct"/>
            <w:hideMark/>
          </w:tcPr>
          <w:p w14:paraId="2959B460" w14:textId="2AE0204A" w:rsidR="004E56FB" w:rsidRPr="00C67AE1" w:rsidRDefault="00B1781C" w:rsidP="00C67AE1">
            <w:pPr>
              <w:rPr>
                <w:lang w:val="en-US"/>
              </w:rPr>
            </w:pPr>
            <w:r>
              <w:rPr>
                <w:lang w:val="en-US"/>
              </w:rPr>
              <w:t xml:space="preserve">Credential compromise </w:t>
            </w:r>
          </w:p>
        </w:tc>
        <w:tc>
          <w:tcPr>
            <w:tcW w:w="1017" w:type="pct"/>
            <w:hideMark/>
          </w:tcPr>
          <w:p w14:paraId="716995FF" w14:textId="77777777" w:rsidR="004E56FB" w:rsidRPr="00C67AE1" w:rsidRDefault="004E56FB" w:rsidP="00C67AE1">
            <w:pPr>
              <w:cnfStyle w:val="000000100000" w:firstRow="0" w:lastRow="0" w:firstColumn="0" w:lastColumn="0" w:oddVBand="0" w:evenVBand="0" w:oddHBand="1" w:evenHBand="0" w:firstRowFirstColumn="0" w:firstRowLastColumn="0" w:lastRowFirstColumn="0" w:lastRowLastColumn="0"/>
              <w:rPr>
                <w:b/>
                <w:bCs/>
                <w:lang w:val="en-US"/>
              </w:rPr>
            </w:pPr>
            <w:r w:rsidRPr="00C67AE1">
              <w:rPr>
                <w:b/>
                <w:bCs/>
                <w:lang w:val="en-US"/>
              </w:rPr>
              <w:t>MEDIUM–HIGH (!)</w:t>
            </w:r>
          </w:p>
          <w:p w14:paraId="7AAC50A5" w14:textId="77777777" w:rsidR="004E56FB" w:rsidRPr="00C67AE1" w:rsidRDefault="004E56FB" w:rsidP="00C67AE1">
            <w:pPr>
              <w:cnfStyle w:val="000000100000" w:firstRow="0" w:lastRow="0" w:firstColumn="0" w:lastColumn="0" w:oddVBand="0" w:evenVBand="0" w:oddHBand="1" w:evenHBand="0" w:firstRowFirstColumn="0" w:firstRowLastColumn="0" w:lastRowFirstColumn="0" w:lastRowLastColumn="0"/>
              <w:rPr>
                <w:lang w:val="en-US"/>
              </w:rPr>
            </w:pPr>
            <w:r w:rsidRPr="00C67AE1">
              <w:rPr>
                <w:lang w:val="en-US"/>
              </w:rPr>
              <w:t>OT MFA constraints; remote field users; legacy systems.</w:t>
            </w:r>
          </w:p>
        </w:tc>
        <w:tc>
          <w:tcPr>
            <w:tcW w:w="1017" w:type="pct"/>
            <w:hideMark/>
          </w:tcPr>
          <w:p w14:paraId="3F9EB145" w14:textId="77777777" w:rsidR="004E56FB" w:rsidRPr="00C67AE1" w:rsidRDefault="004E56FB" w:rsidP="00C67AE1">
            <w:pPr>
              <w:cnfStyle w:val="000000100000" w:firstRow="0" w:lastRow="0" w:firstColumn="0" w:lastColumn="0" w:oddVBand="0" w:evenVBand="0" w:oddHBand="1" w:evenHBand="0" w:firstRowFirstColumn="0" w:firstRowLastColumn="0" w:lastRowFirstColumn="0" w:lastRowLastColumn="0"/>
              <w:rPr>
                <w:lang w:val="en-US"/>
              </w:rPr>
            </w:pPr>
            <w:r w:rsidRPr="00C67AE1">
              <w:rPr>
                <w:lang w:val="en-US"/>
              </w:rPr>
              <w:t>MEDIUM (!)</w:t>
            </w:r>
          </w:p>
          <w:p w14:paraId="46036A20" w14:textId="77777777" w:rsidR="004E56FB" w:rsidRPr="00C67AE1" w:rsidRDefault="004E56FB" w:rsidP="00C67AE1">
            <w:pPr>
              <w:cnfStyle w:val="000000100000" w:firstRow="0" w:lastRow="0" w:firstColumn="0" w:lastColumn="0" w:oddVBand="0" w:evenVBand="0" w:oddHBand="1" w:evenHBand="0" w:firstRowFirstColumn="0" w:firstRowLastColumn="0" w:lastRowFirstColumn="0" w:lastRowLastColumn="0"/>
              <w:rPr>
                <w:lang w:val="en-US"/>
              </w:rPr>
            </w:pPr>
            <w:r w:rsidRPr="00C67AE1">
              <w:rPr>
                <w:lang w:val="en-US"/>
              </w:rPr>
              <w:t xml:space="preserve">MFA is workable for IT, but harder on legacy SCADA; request for </w:t>
            </w:r>
            <w:proofErr w:type="spellStart"/>
            <w:r w:rsidRPr="00C67AE1">
              <w:rPr>
                <w:lang w:val="en-US"/>
              </w:rPr>
              <w:t>prioritisation</w:t>
            </w:r>
            <w:proofErr w:type="spellEnd"/>
            <w:r w:rsidRPr="00C67AE1">
              <w:rPr>
                <w:lang w:val="en-US"/>
              </w:rPr>
              <w:t>.</w:t>
            </w:r>
          </w:p>
        </w:tc>
        <w:tc>
          <w:tcPr>
            <w:tcW w:w="1017" w:type="pct"/>
            <w:hideMark/>
          </w:tcPr>
          <w:p w14:paraId="0C0B2119" w14:textId="77777777" w:rsidR="004E56FB" w:rsidRPr="00C67AE1" w:rsidRDefault="004E56FB" w:rsidP="00C67AE1">
            <w:pPr>
              <w:cnfStyle w:val="000000100000" w:firstRow="0" w:lastRow="0" w:firstColumn="0" w:lastColumn="0" w:oddVBand="0" w:evenVBand="0" w:oddHBand="1" w:evenHBand="0" w:firstRowFirstColumn="0" w:firstRowLastColumn="0" w:lastRowFirstColumn="0" w:lastRowLastColumn="0"/>
              <w:rPr>
                <w:lang w:val="en-US"/>
              </w:rPr>
            </w:pPr>
            <w:r w:rsidRPr="00C67AE1">
              <w:rPr>
                <w:lang w:val="en-US"/>
              </w:rPr>
              <w:t>MEDIUM (!)</w:t>
            </w:r>
          </w:p>
          <w:p w14:paraId="22017CE6" w14:textId="77777777" w:rsidR="004E56FB" w:rsidRPr="00C67AE1" w:rsidRDefault="004E56FB" w:rsidP="00C67AE1">
            <w:pPr>
              <w:cnfStyle w:val="000000100000" w:firstRow="0" w:lastRow="0" w:firstColumn="0" w:lastColumn="0" w:oddVBand="0" w:evenVBand="0" w:oddHBand="1" w:evenHBand="0" w:firstRowFirstColumn="0" w:firstRowLastColumn="0" w:lastRowFirstColumn="0" w:lastRowLastColumn="0"/>
              <w:rPr>
                <w:lang w:val="en-US"/>
              </w:rPr>
            </w:pPr>
            <w:r w:rsidRPr="00C67AE1">
              <w:rPr>
                <w:lang w:val="en-US"/>
              </w:rPr>
              <w:t>Contractor-heavy; MFA constraints for mobile/handheld systems.</w:t>
            </w:r>
          </w:p>
        </w:tc>
        <w:tc>
          <w:tcPr>
            <w:tcW w:w="1017" w:type="pct"/>
            <w:hideMark/>
          </w:tcPr>
          <w:p w14:paraId="2E213B9A" w14:textId="77777777" w:rsidR="004E56FB" w:rsidRPr="00C67AE1" w:rsidRDefault="004E56FB" w:rsidP="00C67AE1">
            <w:pPr>
              <w:cnfStyle w:val="000000100000" w:firstRow="0" w:lastRow="0" w:firstColumn="0" w:lastColumn="0" w:oddVBand="0" w:evenVBand="0" w:oddHBand="1" w:evenHBand="0" w:firstRowFirstColumn="0" w:firstRowLastColumn="0" w:lastRowFirstColumn="0" w:lastRowLastColumn="0"/>
              <w:rPr>
                <w:lang w:val="en-US"/>
              </w:rPr>
            </w:pPr>
            <w:r w:rsidRPr="00C67AE1">
              <w:rPr>
                <w:lang w:val="en-US"/>
              </w:rPr>
              <w:t>MEDIUM (!)</w:t>
            </w:r>
          </w:p>
          <w:p w14:paraId="4BF857B0" w14:textId="77777777" w:rsidR="004E56FB" w:rsidRPr="00C67AE1" w:rsidRDefault="004E56FB" w:rsidP="00C67AE1">
            <w:pPr>
              <w:cnfStyle w:val="000000100000" w:firstRow="0" w:lastRow="0" w:firstColumn="0" w:lastColumn="0" w:oddVBand="0" w:evenVBand="0" w:oddHBand="1" w:evenHBand="0" w:firstRowFirstColumn="0" w:firstRowLastColumn="0" w:lastRowFirstColumn="0" w:lastRowLastColumn="0"/>
              <w:rPr>
                <w:lang w:val="en-US"/>
              </w:rPr>
            </w:pPr>
            <w:r w:rsidRPr="00C67AE1">
              <w:rPr>
                <w:lang w:val="en-US"/>
              </w:rPr>
              <w:t>MFA constraints for machine-to-machine and DNS operations.</w:t>
            </w:r>
          </w:p>
        </w:tc>
      </w:tr>
      <w:tr w:rsidR="004E56FB" w:rsidRPr="00C67AE1" w14:paraId="58FED532" w14:textId="77777777">
        <w:trPr>
          <w:cnfStyle w:val="000000010000" w:firstRow="0" w:lastRow="0" w:firstColumn="0" w:lastColumn="0" w:oddVBand="0" w:evenVBand="0" w:oddHBand="0" w:evenHBand="1"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931" w:type="pct"/>
            <w:hideMark/>
          </w:tcPr>
          <w:p w14:paraId="3498AB20" w14:textId="466A73C4" w:rsidR="004E56FB" w:rsidRPr="00C67AE1" w:rsidRDefault="004E56FB" w:rsidP="00C67AE1">
            <w:pPr>
              <w:rPr>
                <w:lang w:val="en-US"/>
              </w:rPr>
            </w:pPr>
            <w:r w:rsidRPr="00C67AE1">
              <w:rPr>
                <w:lang w:val="en-US"/>
              </w:rPr>
              <w:lastRenderedPageBreak/>
              <w:t xml:space="preserve">Supply chain </w:t>
            </w:r>
            <w:r w:rsidR="003C4CA0">
              <w:rPr>
                <w:lang w:val="en-US"/>
              </w:rPr>
              <w:t>v</w:t>
            </w:r>
            <w:r w:rsidRPr="00C67AE1">
              <w:rPr>
                <w:lang w:val="en-US"/>
              </w:rPr>
              <w:t>ulnerability mapping</w:t>
            </w:r>
          </w:p>
        </w:tc>
        <w:tc>
          <w:tcPr>
            <w:tcW w:w="1017" w:type="pct"/>
            <w:hideMark/>
          </w:tcPr>
          <w:p w14:paraId="5FE9C5BC" w14:textId="77777777" w:rsidR="004E56FB" w:rsidRPr="00C67AE1" w:rsidRDefault="004E56FB" w:rsidP="00C67AE1">
            <w:pPr>
              <w:cnfStyle w:val="000000010000" w:firstRow="0" w:lastRow="0" w:firstColumn="0" w:lastColumn="0" w:oddVBand="0" w:evenVBand="0" w:oddHBand="0" w:evenHBand="1" w:firstRowFirstColumn="0" w:firstRowLastColumn="0" w:lastRowFirstColumn="0" w:lastRowLastColumn="0"/>
              <w:rPr>
                <w:b/>
                <w:bCs/>
                <w:lang w:val="en-US"/>
              </w:rPr>
            </w:pPr>
            <w:r w:rsidRPr="00C67AE1">
              <w:rPr>
                <w:b/>
                <w:bCs/>
                <w:lang w:val="en-US"/>
              </w:rPr>
              <w:t>HIGH (!!)</w:t>
            </w:r>
          </w:p>
          <w:p w14:paraId="2653B8B5" w14:textId="77777777" w:rsidR="004E56FB" w:rsidRPr="00C67AE1" w:rsidRDefault="004E56FB" w:rsidP="00C67AE1">
            <w:pPr>
              <w:cnfStyle w:val="000000010000" w:firstRow="0" w:lastRow="0" w:firstColumn="0" w:lastColumn="0" w:oddVBand="0" w:evenVBand="0" w:oddHBand="0" w:evenHBand="1" w:firstRowFirstColumn="0" w:firstRowLastColumn="0" w:lastRowFirstColumn="0" w:lastRowLastColumn="0"/>
              <w:rPr>
                <w:lang w:val="en-US"/>
              </w:rPr>
            </w:pPr>
            <w:r w:rsidRPr="00C67AE1">
              <w:rPr>
                <w:lang w:val="en-US"/>
              </w:rPr>
              <w:t>Deep global supply chains with single</w:t>
            </w:r>
            <w:r w:rsidRPr="00C67AE1">
              <w:rPr>
                <w:lang w:val="en-US"/>
              </w:rPr>
              <w:noBreakHyphen/>
              <w:t>supplier dependencies.</w:t>
            </w:r>
          </w:p>
        </w:tc>
        <w:tc>
          <w:tcPr>
            <w:tcW w:w="1017" w:type="pct"/>
            <w:hideMark/>
          </w:tcPr>
          <w:p w14:paraId="74E1B172" w14:textId="77777777" w:rsidR="004E56FB" w:rsidRPr="00C67AE1" w:rsidRDefault="004E56FB" w:rsidP="00C67AE1">
            <w:pPr>
              <w:cnfStyle w:val="000000010000" w:firstRow="0" w:lastRow="0" w:firstColumn="0" w:lastColumn="0" w:oddVBand="0" w:evenVBand="0" w:oddHBand="0" w:evenHBand="1" w:firstRowFirstColumn="0" w:firstRowLastColumn="0" w:lastRowFirstColumn="0" w:lastRowLastColumn="0"/>
              <w:rPr>
                <w:b/>
                <w:bCs/>
                <w:lang w:val="en-US"/>
              </w:rPr>
            </w:pPr>
            <w:r w:rsidRPr="00C67AE1">
              <w:rPr>
                <w:b/>
                <w:bCs/>
                <w:lang w:val="en-US"/>
              </w:rPr>
              <w:t>MEDIUM–HIGH (!)</w:t>
            </w:r>
          </w:p>
          <w:p w14:paraId="11615D60" w14:textId="77777777" w:rsidR="004E56FB" w:rsidRPr="00C67AE1" w:rsidRDefault="004E56FB" w:rsidP="00C67AE1">
            <w:pPr>
              <w:cnfStyle w:val="000000010000" w:firstRow="0" w:lastRow="0" w:firstColumn="0" w:lastColumn="0" w:oddVBand="0" w:evenVBand="0" w:oddHBand="0" w:evenHBand="1" w:firstRowFirstColumn="0" w:firstRowLastColumn="0" w:lastRowFirstColumn="0" w:lastRowLastColumn="0"/>
              <w:rPr>
                <w:lang w:val="en-US"/>
              </w:rPr>
            </w:pPr>
            <w:r w:rsidRPr="00C67AE1">
              <w:rPr>
                <w:lang w:val="en-US"/>
              </w:rPr>
              <w:t>Global OEM dependency; mapping is feasible but costly.</w:t>
            </w:r>
          </w:p>
        </w:tc>
        <w:tc>
          <w:tcPr>
            <w:tcW w:w="1017" w:type="pct"/>
            <w:hideMark/>
          </w:tcPr>
          <w:p w14:paraId="5F47E232" w14:textId="77777777" w:rsidR="004E56FB" w:rsidRPr="00C67AE1" w:rsidRDefault="004E56FB" w:rsidP="00C67AE1">
            <w:pPr>
              <w:cnfStyle w:val="000000010000" w:firstRow="0" w:lastRow="0" w:firstColumn="0" w:lastColumn="0" w:oddVBand="0" w:evenVBand="0" w:oddHBand="0" w:evenHBand="1" w:firstRowFirstColumn="0" w:firstRowLastColumn="0" w:lastRowFirstColumn="0" w:lastRowLastColumn="0"/>
              <w:rPr>
                <w:lang w:val="en-US"/>
              </w:rPr>
            </w:pPr>
            <w:r w:rsidRPr="00C67AE1">
              <w:rPr>
                <w:lang w:val="en-US"/>
              </w:rPr>
              <w:t>MEDIUM (!)</w:t>
            </w:r>
          </w:p>
          <w:p w14:paraId="63BD8C73" w14:textId="77777777" w:rsidR="004E56FB" w:rsidRPr="00C67AE1" w:rsidRDefault="004E56FB" w:rsidP="00C67AE1">
            <w:pPr>
              <w:cnfStyle w:val="000000010000" w:firstRow="0" w:lastRow="0" w:firstColumn="0" w:lastColumn="0" w:oddVBand="0" w:evenVBand="0" w:oddHBand="0" w:evenHBand="1" w:firstRowFirstColumn="0" w:firstRowLastColumn="0" w:lastRowFirstColumn="0" w:lastRowLastColumn="0"/>
              <w:rPr>
                <w:lang w:val="en-US"/>
              </w:rPr>
            </w:pPr>
            <w:r w:rsidRPr="00C67AE1">
              <w:rPr>
                <w:lang w:val="en-US"/>
              </w:rPr>
              <w:t xml:space="preserve">Extensive subcontractor chain; mapping possible but </w:t>
            </w:r>
            <w:proofErr w:type="gramStart"/>
            <w:r w:rsidRPr="00C67AE1">
              <w:rPr>
                <w:lang w:val="en-US"/>
              </w:rPr>
              <w:t>resource-intensive</w:t>
            </w:r>
            <w:proofErr w:type="gramEnd"/>
            <w:r w:rsidRPr="00C67AE1">
              <w:rPr>
                <w:lang w:val="en-US"/>
              </w:rPr>
              <w:t>.</w:t>
            </w:r>
          </w:p>
        </w:tc>
        <w:tc>
          <w:tcPr>
            <w:tcW w:w="1017" w:type="pct"/>
            <w:hideMark/>
          </w:tcPr>
          <w:p w14:paraId="79C21461" w14:textId="77777777" w:rsidR="004E56FB" w:rsidRPr="00C67AE1" w:rsidRDefault="004E56FB" w:rsidP="00C67AE1">
            <w:pPr>
              <w:cnfStyle w:val="000000010000" w:firstRow="0" w:lastRow="0" w:firstColumn="0" w:lastColumn="0" w:oddVBand="0" w:evenVBand="0" w:oddHBand="0" w:evenHBand="1" w:firstRowFirstColumn="0" w:firstRowLastColumn="0" w:lastRowFirstColumn="0" w:lastRowLastColumn="0"/>
              <w:rPr>
                <w:lang w:val="en-US"/>
              </w:rPr>
            </w:pPr>
            <w:r w:rsidRPr="00C67AE1">
              <w:rPr>
                <w:lang w:val="en-US"/>
              </w:rPr>
              <w:t>MEDIUM (!)</w:t>
            </w:r>
          </w:p>
          <w:p w14:paraId="2594D011" w14:textId="77777777" w:rsidR="004E56FB" w:rsidRPr="00C67AE1" w:rsidRDefault="004E56FB" w:rsidP="00C67AE1">
            <w:pPr>
              <w:cnfStyle w:val="000000010000" w:firstRow="0" w:lastRow="0" w:firstColumn="0" w:lastColumn="0" w:oddVBand="0" w:evenVBand="0" w:oddHBand="0" w:evenHBand="1" w:firstRowFirstColumn="0" w:firstRowLastColumn="0" w:lastRowFirstColumn="0" w:lastRowLastColumn="0"/>
              <w:rPr>
                <w:lang w:val="en-US"/>
              </w:rPr>
            </w:pPr>
            <w:r w:rsidRPr="00C67AE1">
              <w:rPr>
                <w:lang w:val="en-US"/>
              </w:rPr>
              <w:t>Suppliers are globally distributed, which maps to a moderate burden.</w:t>
            </w:r>
          </w:p>
        </w:tc>
      </w:tr>
      <w:tr w:rsidR="004E56FB" w:rsidRPr="00C67AE1" w14:paraId="3D41B5CA" w14:textId="77777777">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931" w:type="pct"/>
            <w:hideMark/>
          </w:tcPr>
          <w:p w14:paraId="4345C1C5" w14:textId="043F9488" w:rsidR="004E56FB" w:rsidRPr="00C67AE1" w:rsidRDefault="004E56FB" w:rsidP="00C67AE1">
            <w:pPr>
              <w:rPr>
                <w:lang w:val="en-US"/>
              </w:rPr>
            </w:pPr>
            <w:r w:rsidRPr="00C67AE1">
              <w:rPr>
                <w:lang w:val="en-US"/>
              </w:rPr>
              <w:t>Supply chain</w:t>
            </w:r>
            <w:r w:rsidR="003C4CA0">
              <w:rPr>
                <w:lang w:val="en-US"/>
              </w:rPr>
              <w:t xml:space="preserve"> v</w:t>
            </w:r>
            <w:r w:rsidRPr="00C67AE1">
              <w:rPr>
                <w:lang w:val="en-US"/>
              </w:rPr>
              <w:t>endor assessment</w:t>
            </w:r>
          </w:p>
        </w:tc>
        <w:tc>
          <w:tcPr>
            <w:tcW w:w="1017" w:type="pct"/>
            <w:hideMark/>
          </w:tcPr>
          <w:p w14:paraId="66277DE7" w14:textId="77777777" w:rsidR="004E56FB" w:rsidRPr="00C67AE1" w:rsidRDefault="004E56FB" w:rsidP="00C67AE1">
            <w:pPr>
              <w:cnfStyle w:val="000000100000" w:firstRow="0" w:lastRow="0" w:firstColumn="0" w:lastColumn="0" w:oddVBand="0" w:evenVBand="0" w:oddHBand="1" w:evenHBand="0" w:firstRowFirstColumn="0" w:firstRowLastColumn="0" w:lastRowFirstColumn="0" w:lastRowLastColumn="0"/>
              <w:rPr>
                <w:b/>
                <w:bCs/>
                <w:lang w:val="en-US"/>
              </w:rPr>
            </w:pPr>
            <w:r w:rsidRPr="00C67AE1">
              <w:rPr>
                <w:b/>
                <w:bCs/>
                <w:lang w:val="en-US"/>
              </w:rPr>
              <w:t>HIGH (!!)</w:t>
            </w:r>
          </w:p>
          <w:p w14:paraId="1415F0DF" w14:textId="77777777" w:rsidR="004E56FB" w:rsidRPr="00C67AE1" w:rsidRDefault="004E56FB" w:rsidP="00C67AE1">
            <w:pPr>
              <w:cnfStyle w:val="000000100000" w:firstRow="0" w:lastRow="0" w:firstColumn="0" w:lastColumn="0" w:oddVBand="0" w:evenVBand="0" w:oddHBand="1" w:evenHBand="0" w:firstRowFirstColumn="0" w:firstRowLastColumn="0" w:lastRowFirstColumn="0" w:lastRowLastColumn="0"/>
              <w:rPr>
                <w:lang w:val="en-US"/>
              </w:rPr>
            </w:pPr>
            <w:r w:rsidRPr="00C67AE1">
              <w:rPr>
                <w:lang w:val="en-US"/>
              </w:rPr>
              <w:t>Heavy exposure to global vendors; strong need for compensating controls.</w:t>
            </w:r>
          </w:p>
        </w:tc>
        <w:tc>
          <w:tcPr>
            <w:tcW w:w="1017" w:type="pct"/>
            <w:hideMark/>
          </w:tcPr>
          <w:p w14:paraId="28C64858" w14:textId="77777777" w:rsidR="004E56FB" w:rsidRPr="00982B0F" w:rsidRDefault="004E56FB" w:rsidP="00C67AE1">
            <w:pPr>
              <w:cnfStyle w:val="000000100000" w:firstRow="0" w:lastRow="0" w:firstColumn="0" w:lastColumn="0" w:oddVBand="0" w:evenVBand="0" w:oddHBand="1" w:evenHBand="0" w:firstRowFirstColumn="0" w:firstRowLastColumn="0" w:lastRowFirstColumn="0" w:lastRowLastColumn="0"/>
              <w:rPr>
                <w:lang w:val="en-US"/>
              </w:rPr>
            </w:pPr>
            <w:r w:rsidRPr="00982B0F">
              <w:rPr>
                <w:lang w:val="en-US"/>
              </w:rPr>
              <w:t>MEDIUM (!)</w:t>
            </w:r>
          </w:p>
          <w:p w14:paraId="59D22DAF" w14:textId="77777777" w:rsidR="004E56FB" w:rsidRPr="00C67AE1" w:rsidRDefault="004E56FB" w:rsidP="00C67AE1">
            <w:pPr>
              <w:cnfStyle w:val="000000100000" w:firstRow="0" w:lastRow="0" w:firstColumn="0" w:lastColumn="0" w:oddVBand="0" w:evenVBand="0" w:oddHBand="1" w:evenHBand="0" w:firstRowFirstColumn="0" w:firstRowLastColumn="0" w:lastRowFirstColumn="0" w:lastRowLastColumn="0"/>
              <w:rPr>
                <w:lang w:val="en-US"/>
              </w:rPr>
            </w:pPr>
            <w:r w:rsidRPr="00C67AE1">
              <w:rPr>
                <w:lang w:val="en-US"/>
              </w:rPr>
              <w:t>Requires clearer thresholds for vendor concern; limited alternatives.</w:t>
            </w:r>
          </w:p>
        </w:tc>
        <w:tc>
          <w:tcPr>
            <w:tcW w:w="1017" w:type="pct"/>
            <w:hideMark/>
          </w:tcPr>
          <w:p w14:paraId="6F2F8AFB" w14:textId="77777777" w:rsidR="004E56FB" w:rsidRPr="00C67AE1" w:rsidRDefault="004E56FB" w:rsidP="00C67AE1">
            <w:pPr>
              <w:cnfStyle w:val="000000100000" w:firstRow="0" w:lastRow="0" w:firstColumn="0" w:lastColumn="0" w:oddVBand="0" w:evenVBand="0" w:oddHBand="1" w:evenHBand="0" w:firstRowFirstColumn="0" w:firstRowLastColumn="0" w:lastRowFirstColumn="0" w:lastRowLastColumn="0"/>
              <w:rPr>
                <w:lang w:val="en-US"/>
              </w:rPr>
            </w:pPr>
            <w:r w:rsidRPr="00C67AE1">
              <w:rPr>
                <w:lang w:val="en-US"/>
              </w:rPr>
              <w:t>MEDIUM (!)</w:t>
            </w:r>
          </w:p>
          <w:p w14:paraId="0DF3BB6B" w14:textId="77777777" w:rsidR="004E56FB" w:rsidRPr="00C67AE1" w:rsidRDefault="004E56FB" w:rsidP="00C67AE1">
            <w:pPr>
              <w:cnfStyle w:val="000000100000" w:firstRow="0" w:lastRow="0" w:firstColumn="0" w:lastColumn="0" w:oddVBand="0" w:evenVBand="0" w:oddHBand="1" w:evenHBand="0" w:firstRowFirstColumn="0" w:firstRowLastColumn="0" w:lastRowFirstColumn="0" w:lastRowLastColumn="0"/>
              <w:rPr>
                <w:lang w:val="en-US"/>
              </w:rPr>
            </w:pPr>
            <w:r w:rsidRPr="00C67AE1">
              <w:rPr>
                <w:lang w:val="en-US"/>
              </w:rPr>
              <w:t xml:space="preserve">Substitution </w:t>
            </w:r>
            <w:proofErr w:type="gramStart"/>
            <w:r w:rsidRPr="00C67AE1">
              <w:rPr>
                <w:lang w:val="en-US"/>
              </w:rPr>
              <w:t>often</w:t>
            </w:r>
            <w:proofErr w:type="gramEnd"/>
            <w:r w:rsidRPr="00C67AE1">
              <w:rPr>
                <w:lang w:val="en-US"/>
              </w:rPr>
              <w:t xml:space="preserve"> difficult; need for Commonwealth guidance.</w:t>
            </w:r>
          </w:p>
        </w:tc>
        <w:tc>
          <w:tcPr>
            <w:tcW w:w="1017" w:type="pct"/>
            <w:hideMark/>
          </w:tcPr>
          <w:p w14:paraId="5A69B17D" w14:textId="77777777" w:rsidR="004E56FB" w:rsidRPr="00C67AE1" w:rsidRDefault="004E56FB" w:rsidP="00C67AE1">
            <w:pPr>
              <w:cnfStyle w:val="000000100000" w:firstRow="0" w:lastRow="0" w:firstColumn="0" w:lastColumn="0" w:oddVBand="0" w:evenVBand="0" w:oddHBand="1" w:evenHBand="0" w:firstRowFirstColumn="0" w:firstRowLastColumn="0" w:lastRowFirstColumn="0" w:lastRowLastColumn="0"/>
              <w:rPr>
                <w:lang w:val="en-US"/>
              </w:rPr>
            </w:pPr>
            <w:r w:rsidRPr="00C67AE1">
              <w:rPr>
                <w:lang w:val="en-US"/>
              </w:rPr>
              <w:t>MEDIUM (!)</w:t>
            </w:r>
          </w:p>
          <w:p w14:paraId="23CAFC67" w14:textId="77777777" w:rsidR="004E56FB" w:rsidRPr="00C67AE1" w:rsidRDefault="004E56FB" w:rsidP="00C67AE1">
            <w:pPr>
              <w:cnfStyle w:val="000000100000" w:firstRow="0" w:lastRow="0" w:firstColumn="0" w:lastColumn="0" w:oddVBand="0" w:evenVBand="0" w:oddHBand="1" w:evenHBand="0" w:firstRowFirstColumn="0" w:firstRowLastColumn="0" w:lastRowFirstColumn="0" w:lastRowLastColumn="0"/>
              <w:rPr>
                <w:lang w:val="en-US"/>
              </w:rPr>
            </w:pPr>
            <w:r w:rsidRPr="00C67AE1">
              <w:rPr>
                <w:lang w:val="en-US"/>
              </w:rPr>
              <w:t>Concerns that FOCI rules might reduce transparency.</w:t>
            </w:r>
          </w:p>
        </w:tc>
      </w:tr>
      <w:tr w:rsidR="004E56FB" w:rsidRPr="00C67AE1" w14:paraId="3F69A53C" w14:textId="77777777">
        <w:trPr>
          <w:cnfStyle w:val="000000010000" w:firstRow="0" w:lastRow="0" w:firstColumn="0" w:lastColumn="0" w:oddVBand="0" w:evenVBand="0" w:oddHBand="0" w:evenHBand="1" w:firstRowFirstColumn="0" w:firstRowLastColumn="0" w:lastRowFirstColumn="0" w:lastRowLastColumn="0"/>
          <w:trHeight w:val="2120"/>
        </w:trPr>
        <w:tc>
          <w:tcPr>
            <w:cnfStyle w:val="001000000000" w:firstRow="0" w:lastRow="0" w:firstColumn="1" w:lastColumn="0" w:oddVBand="0" w:evenVBand="0" w:oddHBand="0" w:evenHBand="0" w:firstRowFirstColumn="0" w:firstRowLastColumn="0" w:lastRowFirstColumn="0" w:lastRowLastColumn="0"/>
            <w:tcW w:w="931" w:type="pct"/>
            <w:hideMark/>
          </w:tcPr>
          <w:p w14:paraId="1CE7CCF8" w14:textId="1631E6F9" w:rsidR="004E56FB" w:rsidRPr="00C67AE1" w:rsidRDefault="004E56FB" w:rsidP="00C67AE1">
            <w:pPr>
              <w:rPr>
                <w:lang w:val="en-US"/>
              </w:rPr>
            </w:pPr>
            <w:r w:rsidRPr="00C67AE1">
              <w:rPr>
                <w:lang w:val="en-US"/>
              </w:rPr>
              <w:t>Personnel security plan AND</w:t>
            </w:r>
            <w:r w:rsidRPr="00C67AE1">
              <w:rPr>
                <w:lang w:val="en-US"/>
              </w:rPr>
              <w:br/>
              <w:t>Strengthened background checks</w:t>
            </w:r>
          </w:p>
        </w:tc>
        <w:tc>
          <w:tcPr>
            <w:tcW w:w="1017" w:type="pct"/>
            <w:hideMark/>
          </w:tcPr>
          <w:p w14:paraId="03AEFD9F" w14:textId="77777777" w:rsidR="004E56FB" w:rsidRPr="00C67AE1" w:rsidRDefault="004E56FB" w:rsidP="00C67AE1">
            <w:pPr>
              <w:cnfStyle w:val="000000010000" w:firstRow="0" w:lastRow="0" w:firstColumn="0" w:lastColumn="0" w:oddVBand="0" w:evenVBand="0" w:oddHBand="0" w:evenHBand="1" w:firstRowFirstColumn="0" w:firstRowLastColumn="0" w:lastRowFirstColumn="0" w:lastRowLastColumn="0"/>
              <w:rPr>
                <w:b/>
                <w:bCs/>
                <w:lang w:val="en-US"/>
              </w:rPr>
            </w:pPr>
            <w:r w:rsidRPr="00C67AE1">
              <w:rPr>
                <w:b/>
                <w:bCs/>
                <w:lang w:val="en-US"/>
              </w:rPr>
              <w:t>MEDIUM–HIGH (!)</w:t>
            </w:r>
          </w:p>
          <w:p w14:paraId="6B4460BA" w14:textId="77777777" w:rsidR="004E56FB" w:rsidRPr="00C67AE1" w:rsidRDefault="004E56FB" w:rsidP="00C67AE1">
            <w:pPr>
              <w:cnfStyle w:val="000000010000" w:firstRow="0" w:lastRow="0" w:firstColumn="0" w:lastColumn="0" w:oddVBand="0" w:evenVBand="0" w:oddHBand="0" w:evenHBand="1" w:firstRowFirstColumn="0" w:firstRowLastColumn="0" w:lastRowFirstColumn="0" w:lastRowLastColumn="0"/>
              <w:rPr>
                <w:lang w:val="en-US"/>
              </w:rPr>
            </w:pPr>
            <w:r w:rsidRPr="00C67AE1">
              <w:rPr>
                <w:lang w:val="en-US"/>
              </w:rPr>
              <w:t>Very large contractor workforces; regional/remote AusCheck challenges.</w:t>
            </w:r>
          </w:p>
        </w:tc>
        <w:tc>
          <w:tcPr>
            <w:tcW w:w="1017" w:type="pct"/>
            <w:hideMark/>
          </w:tcPr>
          <w:p w14:paraId="393FA09A" w14:textId="77777777" w:rsidR="004E56FB" w:rsidRPr="00C67AE1" w:rsidRDefault="004E56FB" w:rsidP="00C67AE1">
            <w:pPr>
              <w:cnfStyle w:val="000000010000" w:firstRow="0" w:lastRow="0" w:firstColumn="0" w:lastColumn="0" w:oddVBand="0" w:evenVBand="0" w:oddHBand="0" w:evenHBand="1" w:firstRowFirstColumn="0" w:firstRowLastColumn="0" w:lastRowFirstColumn="0" w:lastRowLastColumn="0"/>
              <w:rPr>
                <w:lang w:val="en-US"/>
              </w:rPr>
            </w:pPr>
            <w:r w:rsidRPr="00C67AE1">
              <w:rPr>
                <w:lang w:val="en-US"/>
              </w:rPr>
              <w:t>MEDIUM (!)</w:t>
            </w:r>
          </w:p>
          <w:p w14:paraId="5901167A" w14:textId="77777777" w:rsidR="004E56FB" w:rsidRPr="00C67AE1" w:rsidRDefault="004E56FB" w:rsidP="00C67AE1">
            <w:pPr>
              <w:cnfStyle w:val="000000010000" w:firstRow="0" w:lastRow="0" w:firstColumn="0" w:lastColumn="0" w:oddVBand="0" w:evenVBand="0" w:oddHBand="0" w:evenHBand="1" w:firstRowFirstColumn="0" w:firstRowLastColumn="0" w:lastRowFirstColumn="0" w:lastRowLastColumn="0"/>
              <w:rPr>
                <w:lang w:val="en-US"/>
              </w:rPr>
            </w:pPr>
            <w:r w:rsidRPr="00C67AE1">
              <w:rPr>
                <w:lang w:val="en-US"/>
              </w:rPr>
              <w:t>Mixed contractor model; AusCheck scalability issues.</w:t>
            </w:r>
          </w:p>
        </w:tc>
        <w:tc>
          <w:tcPr>
            <w:tcW w:w="1017" w:type="pct"/>
            <w:hideMark/>
          </w:tcPr>
          <w:p w14:paraId="19C81AB1" w14:textId="77777777" w:rsidR="004E56FB" w:rsidRPr="00982B0F" w:rsidRDefault="004E56FB" w:rsidP="00C67AE1">
            <w:pPr>
              <w:cnfStyle w:val="000000010000" w:firstRow="0" w:lastRow="0" w:firstColumn="0" w:lastColumn="0" w:oddVBand="0" w:evenVBand="0" w:oddHBand="0" w:evenHBand="1" w:firstRowFirstColumn="0" w:firstRowLastColumn="0" w:lastRowFirstColumn="0" w:lastRowLastColumn="0"/>
              <w:rPr>
                <w:b/>
                <w:bCs/>
                <w:lang w:val="en-US"/>
              </w:rPr>
            </w:pPr>
            <w:r w:rsidRPr="00982B0F">
              <w:rPr>
                <w:b/>
                <w:bCs/>
                <w:lang w:val="en-US"/>
              </w:rPr>
              <w:t>HIGH (!!)</w:t>
            </w:r>
          </w:p>
          <w:p w14:paraId="2CB4C002" w14:textId="77777777" w:rsidR="004E56FB" w:rsidRPr="00C67AE1" w:rsidRDefault="004E56FB" w:rsidP="00C67AE1">
            <w:pPr>
              <w:cnfStyle w:val="000000010000" w:firstRow="0" w:lastRow="0" w:firstColumn="0" w:lastColumn="0" w:oddVBand="0" w:evenVBand="0" w:oddHBand="0" w:evenHBand="1" w:firstRowFirstColumn="0" w:firstRowLastColumn="0" w:lastRowFirstColumn="0" w:lastRowLastColumn="0"/>
              <w:rPr>
                <w:lang w:val="en-US"/>
              </w:rPr>
            </w:pPr>
            <w:r w:rsidRPr="00C67AE1">
              <w:rPr>
                <w:lang w:val="en-US"/>
              </w:rPr>
              <w:t>Heavy reliance on contractors; AusCheck is a significant burden.</w:t>
            </w:r>
          </w:p>
        </w:tc>
        <w:tc>
          <w:tcPr>
            <w:tcW w:w="1017" w:type="pct"/>
            <w:hideMark/>
          </w:tcPr>
          <w:p w14:paraId="2D36E00C" w14:textId="77777777" w:rsidR="004E56FB" w:rsidRPr="00C67AE1" w:rsidRDefault="004E56FB" w:rsidP="00C67AE1">
            <w:pPr>
              <w:cnfStyle w:val="000000010000" w:firstRow="0" w:lastRow="0" w:firstColumn="0" w:lastColumn="0" w:oddVBand="0" w:evenVBand="0" w:oddHBand="0" w:evenHBand="1" w:firstRowFirstColumn="0" w:firstRowLastColumn="0" w:lastRowFirstColumn="0" w:lastRowLastColumn="0"/>
              <w:rPr>
                <w:lang w:val="en-US"/>
              </w:rPr>
            </w:pPr>
            <w:r w:rsidRPr="00C67AE1">
              <w:rPr>
                <w:lang w:val="en-US"/>
              </w:rPr>
              <w:t>LOW-MEDIUM (-)</w:t>
            </w:r>
          </w:p>
          <w:p w14:paraId="2D3E059A" w14:textId="77777777" w:rsidR="004E56FB" w:rsidRPr="00C67AE1" w:rsidRDefault="004E56FB" w:rsidP="00C67AE1">
            <w:pPr>
              <w:cnfStyle w:val="000000010000" w:firstRow="0" w:lastRow="0" w:firstColumn="0" w:lastColumn="0" w:oddVBand="0" w:evenVBand="0" w:oddHBand="0" w:evenHBand="1" w:firstRowFirstColumn="0" w:firstRowLastColumn="0" w:lastRowFirstColumn="0" w:lastRowLastColumn="0"/>
              <w:rPr>
                <w:lang w:val="en-US"/>
              </w:rPr>
            </w:pPr>
            <w:r w:rsidRPr="00C67AE1">
              <w:rPr>
                <w:lang w:val="en-US"/>
              </w:rPr>
              <w:t>Smaller cohorts of critical workers.</w:t>
            </w:r>
          </w:p>
        </w:tc>
      </w:tr>
      <w:tr w:rsidR="004E56FB" w:rsidRPr="00C67AE1" w14:paraId="7E0DC72E" w14:textId="77777777">
        <w:trPr>
          <w:cnfStyle w:val="000000100000" w:firstRow="0" w:lastRow="0" w:firstColumn="0" w:lastColumn="0" w:oddVBand="0" w:evenVBand="0" w:oddHBand="1" w:evenHBand="0" w:firstRowFirstColumn="0" w:firstRowLastColumn="0" w:lastRowFirstColumn="0" w:lastRowLastColumn="0"/>
          <w:trHeight w:val="2400"/>
        </w:trPr>
        <w:tc>
          <w:tcPr>
            <w:cnfStyle w:val="001000000000" w:firstRow="0" w:lastRow="0" w:firstColumn="1" w:lastColumn="0" w:oddVBand="0" w:evenVBand="0" w:oddHBand="0" w:evenHBand="0" w:firstRowFirstColumn="0" w:firstRowLastColumn="0" w:lastRowFirstColumn="0" w:lastRowLastColumn="0"/>
            <w:tcW w:w="931" w:type="pct"/>
            <w:hideMark/>
          </w:tcPr>
          <w:p w14:paraId="52F4C2CA" w14:textId="130D66D0" w:rsidR="004E56FB" w:rsidRPr="00C67AE1" w:rsidRDefault="00153D62" w:rsidP="00C67AE1">
            <w:pPr>
              <w:rPr>
                <w:lang w:val="en-US"/>
              </w:rPr>
            </w:pPr>
            <w:r>
              <w:t>P</w:t>
            </w:r>
            <w:r w:rsidRPr="00153D62">
              <w:t>hysical security hazards and natural hazards</w:t>
            </w:r>
          </w:p>
        </w:tc>
        <w:tc>
          <w:tcPr>
            <w:tcW w:w="1017" w:type="pct"/>
            <w:hideMark/>
          </w:tcPr>
          <w:p w14:paraId="12E1B0FA" w14:textId="77777777" w:rsidR="004E56FB" w:rsidRPr="00982B0F" w:rsidRDefault="004E56FB" w:rsidP="00C67AE1">
            <w:pPr>
              <w:cnfStyle w:val="000000100000" w:firstRow="0" w:lastRow="0" w:firstColumn="0" w:lastColumn="0" w:oddVBand="0" w:evenVBand="0" w:oddHBand="1" w:evenHBand="0" w:firstRowFirstColumn="0" w:firstRowLastColumn="0" w:lastRowFirstColumn="0" w:lastRowLastColumn="0"/>
              <w:rPr>
                <w:b/>
                <w:bCs/>
                <w:lang w:val="en-US"/>
              </w:rPr>
            </w:pPr>
            <w:r w:rsidRPr="00982B0F">
              <w:rPr>
                <w:b/>
                <w:bCs/>
                <w:lang w:val="en-US"/>
              </w:rPr>
              <w:t>MEDIUM–HIGH (!)</w:t>
            </w:r>
          </w:p>
          <w:p w14:paraId="774F2861" w14:textId="77777777" w:rsidR="004E56FB" w:rsidRPr="00C67AE1" w:rsidRDefault="004E56FB" w:rsidP="00C67AE1">
            <w:pPr>
              <w:cnfStyle w:val="000000100000" w:firstRow="0" w:lastRow="0" w:firstColumn="0" w:lastColumn="0" w:oddVBand="0" w:evenVBand="0" w:oddHBand="1" w:evenHBand="0" w:firstRowFirstColumn="0" w:firstRowLastColumn="0" w:lastRowFirstColumn="0" w:lastRowLastColumn="0"/>
              <w:rPr>
                <w:lang w:val="en-US"/>
              </w:rPr>
            </w:pPr>
            <w:r w:rsidRPr="00C67AE1">
              <w:rPr>
                <w:lang w:val="en-US"/>
              </w:rPr>
              <w:t>Significant costs for perimeter protection, substation hardening, improved access controls and monitoring for widely distributed assets,</w:t>
            </w:r>
          </w:p>
        </w:tc>
        <w:tc>
          <w:tcPr>
            <w:tcW w:w="1017" w:type="pct"/>
            <w:hideMark/>
          </w:tcPr>
          <w:p w14:paraId="32CD0EF8" w14:textId="77777777" w:rsidR="004E56FB" w:rsidRPr="00C67AE1" w:rsidRDefault="004E56FB" w:rsidP="00C67AE1">
            <w:pPr>
              <w:cnfStyle w:val="000000100000" w:firstRow="0" w:lastRow="0" w:firstColumn="0" w:lastColumn="0" w:oddVBand="0" w:evenVBand="0" w:oddHBand="1" w:evenHBand="0" w:firstRowFirstColumn="0" w:firstRowLastColumn="0" w:lastRowFirstColumn="0" w:lastRowLastColumn="0"/>
              <w:rPr>
                <w:lang w:val="en-US"/>
              </w:rPr>
            </w:pPr>
            <w:r w:rsidRPr="00C67AE1">
              <w:rPr>
                <w:lang w:val="en-US"/>
              </w:rPr>
              <w:t>MEDIUM (!)</w:t>
            </w:r>
          </w:p>
          <w:p w14:paraId="7FC411FD" w14:textId="77777777" w:rsidR="004E56FB" w:rsidRPr="00C67AE1" w:rsidRDefault="004E56FB" w:rsidP="00C67AE1">
            <w:pPr>
              <w:cnfStyle w:val="000000100000" w:firstRow="0" w:lastRow="0" w:firstColumn="0" w:lastColumn="0" w:oddVBand="0" w:evenVBand="0" w:oddHBand="1" w:evenHBand="0" w:firstRowFirstColumn="0" w:firstRowLastColumn="0" w:lastRowFirstColumn="0" w:lastRowLastColumn="0"/>
              <w:rPr>
                <w:lang w:val="en-US"/>
              </w:rPr>
            </w:pPr>
            <w:r w:rsidRPr="00C67AE1">
              <w:rPr>
                <w:lang w:val="en-US"/>
              </w:rPr>
              <w:t>Ageing, geographically dispersed plants require upgrades to fencing, access systems, and intrusion detection.</w:t>
            </w:r>
          </w:p>
        </w:tc>
        <w:tc>
          <w:tcPr>
            <w:tcW w:w="1017" w:type="pct"/>
            <w:hideMark/>
          </w:tcPr>
          <w:p w14:paraId="1FF30535" w14:textId="77777777" w:rsidR="004E56FB" w:rsidRPr="00982B0F" w:rsidRDefault="004E56FB" w:rsidP="00C67AE1">
            <w:pPr>
              <w:cnfStyle w:val="000000100000" w:firstRow="0" w:lastRow="0" w:firstColumn="0" w:lastColumn="0" w:oddVBand="0" w:evenVBand="0" w:oddHBand="1" w:evenHBand="0" w:firstRowFirstColumn="0" w:firstRowLastColumn="0" w:lastRowFirstColumn="0" w:lastRowLastColumn="0"/>
              <w:rPr>
                <w:b/>
                <w:bCs/>
                <w:lang w:val="en-US"/>
              </w:rPr>
            </w:pPr>
            <w:r w:rsidRPr="00982B0F">
              <w:rPr>
                <w:b/>
                <w:bCs/>
                <w:lang w:val="en-US"/>
              </w:rPr>
              <w:t>HIGH (!!)</w:t>
            </w:r>
          </w:p>
          <w:p w14:paraId="491B841E" w14:textId="77777777" w:rsidR="004E56FB" w:rsidRPr="00C67AE1" w:rsidRDefault="004E56FB" w:rsidP="00C67AE1">
            <w:pPr>
              <w:cnfStyle w:val="000000100000" w:firstRow="0" w:lastRow="0" w:firstColumn="0" w:lastColumn="0" w:oddVBand="0" w:evenVBand="0" w:oddHBand="1" w:evenHBand="0" w:firstRowFirstColumn="0" w:firstRowLastColumn="0" w:lastRowFirstColumn="0" w:lastRowLastColumn="0"/>
              <w:rPr>
                <w:lang w:val="en-US"/>
              </w:rPr>
            </w:pPr>
            <w:r w:rsidRPr="00C67AE1">
              <w:rPr>
                <w:lang w:val="en-US"/>
              </w:rPr>
              <w:t xml:space="preserve">Open, linear networks make physical security </w:t>
            </w:r>
            <w:proofErr w:type="gramStart"/>
            <w:r w:rsidRPr="00C67AE1">
              <w:rPr>
                <w:lang w:val="en-US"/>
              </w:rPr>
              <w:t>uplift</w:t>
            </w:r>
            <w:proofErr w:type="gramEnd"/>
            <w:r w:rsidRPr="00C67AE1">
              <w:rPr>
                <w:lang w:val="en-US"/>
              </w:rPr>
              <w:t xml:space="preserve"> costly and complex.</w:t>
            </w:r>
          </w:p>
        </w:tc>
        <w:tc>
          <w:tcPr>
            <w:tcW w:w="1017" w:type="pct"/>
            <w:hideMark/>
          </w:tcPr>
          <w:p w14:paraId="3FA83FC6" w14:textId="77777777" w:rsidR="004E56FB" w:rsidRPr="00C67AE1" w:rsidRDefault="004E56FB" w:rsidP="00C67AE1">
            <w:pPr>
              <w:cnfStyle w:val="000000100000" w:firstRow="0" w:lastRow="0" w:firstColumn="0" w:lastColumn="0" w:oddVBand="0" w:evenVBand="0" w:oddHBand="1" w:evenHBand="0" w:firstRowFirstColumn="0" w:firstRowLastColumn="0" w:lastRowFirstColumn="0" w:lastRowLastColumn="0"/>
              <w:rPr>
                <w:lang w:val="en-US"/>
              </w:rPr>
            </w:pPr>
            <w:r w:rsidRPr="00C67AE1">
              <w:rPr>
                <w:lang w:val="en-US"/>
              </w:rPr>
              <w:t>MEDIUM (!)</w:t>
            </w:r>
          </w:p>
          <w:p w14:paraId="34A376B5" w14:textId="77777777" w:rsidR="004E56FB" w:rsidRPr="00C67AE1" w:rsidRDefault="004E56FB" w:rsidP="00C67AE1">
            <w:pPr>
              <w:cnfStyle w:val="000000100000" w:firstRow="0" w:lastRow="0" w:firstColumn="0" w:lastColumn="0" w:oddVBand="0" w:evenVBand="0" w:oddHBand="1" w:evenHBand="0" w:firstRowFirstColumn="0" w:firstRowLastColumn="0" w:lastRowFirstColumn="0" w:lastRowLastColumn="0"/>
              <w:rPr>
                <w:lang w:val="en-US"/>
              </w:rPr>
            </w:pPr>
            <w:r w:rsidRPr="00C67AE1">
              <w:rPr>
                <w:lang w:val="en-US"/>
              </w:rPr>
              <w:t>Need for enhanced site hardening and monitoring of broadcast towers and communications sites.</w:t>
            </w:r>
          </w:p>
        </w:tc>
      </w:tr>
    </w:tbl>
    <w:p w14:paraId="719F3036" w14:textId="77777777" w:rsidR="004E56FB" w:rsidRPr="000273E6" w:rsidRDefault="004E56FB" w:rsidP="004E56FB">
      <w:pPr>
        <w:pStyle w:val="BodyText"/>
        <w:rPr>
          <w:i/>
          <w:iCs/>
          <w:sz w:val="18"/>
          <w:szCs w:val="22"/>
        </w:rPr>
      </w:pPr>
      <w:r w:rsidRPr="000273E6">
        <w:rPr>
          <w:b/>
          <w:bCs/>
          <w:i/>
          <w:iCs/>
          <w:noProof/>
          <w:sz w:val="18"/>
          <w:szCs w:val="22"/>
        </w:rPr>
        <mc:AlternateContent>
          <mc:Choice Requires="wps">
            <w:drawing>
              <wp:anchor distT="0" distB="0" distL="114300" distR="114300" simplePos="0" relativeHeight="251658242" behindDoc="1" locked="0" layoutInCell="1" allowOverlap="1" wp14:anchorId="6870E53D" wp14:editId="4E17464D">
                <wp:simplePos x="0" y="0"/>
                <wp:positionH relativeFrom="column">
                  <wp:posOffset>-49530</wp:posOffset>
                </wp:positionH>
                <wp:positionV relativeFrom="paragraph">
                  <wp:posOffset>33020</wp:posOffset>
                </wp:positionV>
                <wp:extent cx="6411817" cy="1009650"/>
                <wp:effectExtent l="0" t="0" r="1905" b="6350"/>
                <wp:wrapNone/>
                <wp:docPr id="112612232" name="Rectangle 9"/>
                <wp:cNvGraphicFramePr/>
                <a:graphic xmlns:a="http://schemas.openxmlformats.org/drawingml/2006/main">
                  <a:graphicData uri="http://schemas.microsoft.com/office/word/2010/wordprocessingShape">
                    <wps:wsp>
                      <wps:cNvSpPr/>
                      <wps:spPr>
                        <a:xfrm>
                          <a:off x="0" y="0"/>
                          <a:ext cx="6411817" cy="1009650"/>
                        </a:xfrm>
                        <a:prstGeom prst="rect">
                          <a:avLst/>
                        </a:prstGeom>
                        <a:solidFill>
                          <a:schemeClr val="bg2">
                            <a:lumMod val="65000"/>
                            <a:alpha val="19827"/>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CA71F" id="Rectangle 9" o:spid="_x0000_s1026" style="position:absolute;margin-left:-3.9pt;margin-top:2.6pt;width:504.85pt;height:79.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" fillcolor="#a5a5a5 [2094]" stroked="f" strokeweight="2pt">
                <v:fill opacity="13107f"/>
              </v:rect>
            </w:pict>
          </mc:Fallback>
        </mc:AlternateContent>
      </w:r>
      <w:r w:rsidRPr="000273E6">
        <w:rPr>
          <w:b/>
          <w:bCs/>
          <w:i/>
          <w:iCs/>
          <w:sz w:val="18"/>
          <w:szCs w:val="22"/>
        </w:rPr>
        <w:t>Severity scale:</w:t>
      </w:r>
    </w:p>
    <w:p w14:paraId="0309753E" w14:textId="77777777" w:rsidR="004E56FB" w:rsidRPr="000273E6" w:rsidRDefault="004E56FB" w:rsidP="004E56FB">
      <w:pPr>
        <w:pStyle w:val="ListBullet"/>
        <w:sectPr w:rsidR="004E56FB" w:rsidRPr="000273E6" w:rsidSect="004E56FB">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360" w:right="1008" w:bottom="720" w:left="1008" w:header="0" w:footer="288" w:gutter="0"/>
          <w:cols w:space="708"/>
          <w:docGrid w:linePitch="360"/>
        </w:sectPr>
      </w:pPr>
    </w:p>
    <w:p w14:paraId="1CE3751C" w14:textId="77777777" w:rsidR="004E56FB" w:rsidRPr="000273E6" w:rsidRDefault="004E56FB" w:rsidP="004E56FB">
      <w:pPr>
        <w:pStyle w:val="ListBullet"/>
      </w:pPr>
      <w:r w:rsidRPr="000273E6">
        <w:t>VERY HIGH (!!!): significant cost and feasibility constraints; immediate prioritisation required</w:t>
      </w:r>
      <w:r>
        <w:t>.</w:t>
      </w:r>
    </w:p>
    <w:p w14:paraId="5D1085BE" w14:textId="77777777" w:rsidR="004E56FB" w:rsidRPr="000273E6" w:rsidRDefault="004E56FB" w:rsidP="004E56FB">
      <w:pPr>
        <w:pStyle w:val="ListBullet"/>
      </w:pPr>
      <w:r w:rsidRPr="000273E6">
        <w:t>HIGH (!!): substantial cost or complexity; prioritisation required</w:t>
      </w:r>
      <w:r>
        <w:t>.</w:t>
      </w:r>
    </w:p>
    <w:p w14:paraId="5DE7C14F" w14:textId="77777777" w:rsidR="004E56FB" w:rsidRPr="000273E6" w:rsidRDefault="004E56FB" w:rsidP="004E56FB">
      <w:pPr>
        <w:pStyle w:val="ListBullet"/>
      </w:pPr>
      <w:r w:rsidRPr="000273E6">
        <w:t>MEDIUM (!): moderate cost or implementation considerations</w:t>
      </w:r>
      <w:r>
        <w:t>.</w:t>
      </w:r>
    </w:p>
    <w:p w14:paraId="1EEFD422" w14:textId="77777777" w:rsidR="004E56FB" w:rsidRPr="000273E6" w:rsidRDefault="004E56FB" w:rsidP="004E56FB">
      <w:pPr>
        <w:pStyle w:val="ListBullet"/>
      </w:pPr>
      <w:r w:rsidRPr="000273E6">
        <w:t>LOW (-): limited cost or indirect impact</w:t>
      </w:r>
      <w:r>
        <w:t>.</w:t>
      </w:r>
    </w:p>
    <w:p w14:paraId="71A9ED6C" w14:textId="77777777" w:rsidR="004E56FB" w:rsidRDefault="004E56FB" w:rsidP="004E56FB">
      <w:pPr>
        <w:pStyle w:val="BodyText"/>
        <w:sectPr w:rsidR="004E56FB" w:rsidSect="004E56FB">
          <w:type w:val="continuous"/>
          <w:pgSz w:w="11906" w:h="16838" w:code="9"/>
          <w:pgMar w:top="360" w:right="1008" w:bottom="720" w:left="1008" w:header="0" w:footer="288" w:gutter="0"/>
          <w:cols w:num="2" w:space="708"/>
          <w:docGrid w:linePitch="360"/>
        </w:sectPr>
      </w:pPr>
    </w:p>
    <w:p w14:paraId="1F06369B" w14:textId="77777777" w:rsidR="004E56FB" w:rsidRDefault="004E56FB" w:rsidP="004E56FB">
      <w:pPr>
        <w:pStyle w:val="BodyText"/>
      </w:pPr>
    </w:p>
    <w:p w14:paraId="4C69A137" w14:textId="77777777" w:rsidR="004E56FB" w:rsidRDefault="004E56FB" w:rsidP="004E56FB">
      <w:pPr>
        <w:pStyle w:val="BodyText"/>
      </w:pPr>
      <w:r w:rsidRPr="004A176A">
        <w:t xml:space="preserve">The costs outlined below </w:t>
      </w:r>
      <w:r>
        <w:t xml:space="preserve">at </w:t>
      </w:r>
      <w:r>
        <w:fldChar w:fldCharType="begin"/>
      </w:r>
      <w:r>
        <w:instrText xml:space="preserve"> REF _Ref225946834 \h </w:instrText>
      </w:r>
      <w:r>
        <w:fldChar w:fldCharType="separate"/>
      </w:r>
      <w:r w:rsidRPr="00FC67F0">
        <w:t xml:space="preserve">Table </w:t>
      </w:r>
      <w:r>
        <w:rPr>
          <w:noProof/>
        </w:rPr>
        <w:t>6</w:t>
      </w:r>
      <w:r w:rsidRPr="00FC67F0">
        <w:t>: Cost Item - Reported Costs per organisation</w:t>
      </w:r>
      <w:r>
        <w:fldChar w:fldCharType="end"/>
      </w:r>
      <w:r>
        <w:t xml:space="preserve"> show the range of costs estimated across all submissions received from the in-scope sectors.</w:t>
      </w:r>
    </w:p>
    <w:p w14:paraId="0B5A8AB5" w14:textId="77777777" w:rsidR="004E56FB" w:rsidRDefault="004E56FB" w:rsidP="004E56FB">
      <w:pPr>
        <w:pStyle w:val="BodyText"/>
      </w:pPr>
      <w:r>
        <w:t>Consultation input was inconsistent, and understanding of the proposed rules changes varied, leading to different estimates across submissions. The following table shows the range for which the offered values were substantiated by clear logic. It should also be noted that many submissions declined to provide costs, instead requesting further information on the exact substance of the rule changes.</w:t>
      </w:r>
    </w:p>
    <w:p w14:paraId="2B87FF6C" w14:textId="447B6F3B" w:rsidR="004E56FB" w:rsidRDefault="004E56FB" w:rsidP="004E56FB">
      <w:pPr>
        <w:pStyle w:val="Caption"/>
      </w:pPr>
      <w:bookmarkStart w:id="40" w:name="_Ref225946834"/>
      <w:r w:rsidRPr="00FC67F0">
        <w:t xml:space="preserve">Table </w:t>
      </w:r>
      <w:fldSimple w:instr=" SEQ Table \* ARABIC ">
        <w:r w:rsidR="00B90D57">
          <w:rPr>
            <w:noProof/>
          </w:rPr>
          <w:t>9</w:t>
        </w:r>
      </w:fldSimple>
      <w:r w:rsidRPr="00FC67F0">
        <w:t xml:space="preserve">: </w:t>
      </w:r>
      <w:bookmarkStart w:id="41" w:name="OLE_LINK3"/>
      <w:r w:rsidRPr="00FC67F0">
        <w:t>Cost Item - Reported Costs per organisation</w:t>
      </w:r>
      <w:bookmarkEnd w:id="40"/>
      <w:bookmarkEnd w:id="41"/>
      <w:r w:rsidR="00F75CE9">
        <w:t xml:space="preserve"> </w:t>
      </w:r>
    </w:p>
    <w:p w14:paraId="5EF96AFF" w14:textId="4A01D05F" w:rsidR="00F75CE9" w:rsidRDefault="009244C7" w:rsidP="00F75CE9">
      <w:r>
        <w:t xml:space="preserve">Note - Credential compromise hazard and lateral movement hazard, were not consulted on as separate hazard vectors and the costs associated with these measures are reported below are part of the Cyber hazard domain. </w:t>
      </w:r>
    </w:p>
    <w:p w14:paraId="1140BCC8" w14:textId="77777777" w:rsidR="00F75CE9" w:rsidRPr="00F75CE9" w:rsidRDefault="00F75CE9" w:rsidP="00F75CE9"/>
    <w:tbl>
      <w:tblPr>
        <w:tblStyle w:val="HATableStyle1default"/>
        <w:tblW w:w="5000" w:type="pct"/>
        <w:tblLook w:val="04A0" w:firstRow="1" w:lastRow="0" w:firstColumn="1" w:lastColumn="0" w:noHBand="0" w:noVBand="1"/>
      </w:tblPr>
      <w:tblGrid>
        <w:gridCol w:w="2520"/>
        <w:gridCol w:w="3691"/>
        <w:gridCol w:w="3679"/>
      </w:tblGrid>
      <w:tr w:rsidR="004E56FB" w:rsidRPr="005C67F0" w14:paraId="3050AB0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pct"/>
          </w:tcPr>
          <w:p w14:paraId="1B5E9885" w14:textId="77777777" w:rsidR="004E56FB" w:rsidRPr="005C67F0" w:rsidRDefault="004E56FB">
            <w:r>
              <w:t>Hazard Domain</w:t>
            </w:r>
          </w:p>
        </w:tc>
        <w:tc>
          <w:tcPr>
            <w:tcW w:w="1866" w:type="pct"/>
          </w:tcPr>
          <w:p w14:paraId="170DE855" w14:textId="77777777" w:rsidR="004E56FB" w:rsidRPr="005C67F0" w:rsidRDefault="004E56FB">
            <w:pPr>
              <w:jc w:val="right"/>
              <w:cnfStyle w:val="100000000000" w:firstRow="1" w:lastRow="0" w:firstColumn="0" w:lastColumn="0" w:oddVBand="0" w:evenVBand="0" w:oddHBand="0" w:evenHBand="0" w:firstRowFirstColumn="0" w:firstRowLastColumn="0" w:lastRowFirstColumn="0" w:lastRowLastColumn="0"/>
            </w:pPr>
            <w:r w:rsidRPr="005C67F0">
              <w:t>Upfront Costs</w:t>
            </w:r>
          </w:p>
        </w:tc>
        <w:tc>
          <w:tcPr>
            <w:tcW w:w="1860" w:type="pct"/>
          </w:tcPr>
          <w:p w14:paraId="0B96B955" w14:textId="77777777" w:rsidR="004E56FB" w:rsidRPr="00B9186D" w:rsidRDefault="004E56FB">
            <w:pPr>
              <w:jc w:val="right"/>
              <w:cnfStyle w:val="100000000000" w:firstRow="1" w:lastRow="0" w:firstColumn="0" w:lastColumn="0" w:oddVBand="0" w:evenVBand="0" w:oddHBand="0" w:evenHBand="0" w:firstRowFirstColumn="0" w:firstRowLastColumn="0" w:lastRowFirstColumn="0" w:lastRowLastColumn="0"/>
              <w:rPr>
                <w:b w:val="0"/>
              </w:rPr>
            </w:pPr>
            <w:r w:rsidRPr="005C67F0">
              <w:t>Ongoing Costs</w:t>
            </w:r>
            <w:r>
              <w:t xml:space="preserve"> (</w:t>
            </w:r>
            <w:r w:rsidRPr="005C67F0">
              <w:t>per annum</w:t>
            </w:r>
            <w:r>
              <w:t>)</w:t>
            </w:r>
          </w:p>
        </w:tc>
      </w:tr>
      <w:tr w:rsidR="004E56FB" w:rsidRPr="005C67F0" w14:paraId="5D52DB0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pct"/>
          </w:tcPr>
          <w:p w14:paraId="21BEDBE7" w14:textId="77777777" w:rsidR="004E56FB" w:rsidRPr="00EA1786" w:rsidRDefault="004E56FB">
            <w:pPr>
              <w:rPr>
                <w:rFonts w:eastAsia="Times New Roman" w:cs="Times New Roman"/>
                <w:bCs/>
                <w:szCs w:val="24"/>
                <w:lang w:val="en-US" w:eastAsia="en-AU"/>
              </w:rPr>
            </w:pPr>
            <w:r>
              <w:rPr>
                <w:rFonts w:eastAsia="Times New Roman" w:cs="Times New Roman"/>
                <w:bCs/>
                <w:szCs w:val="24"/>
                <w:lang w:val="en-US" w:eastAsia="en-AU"/>
              </w:rPr>
              <w:t>All-Hazards</w:t>
            </w:r>
          </w:p>
        </w:tc>
        <w:tc>
          <w:tcPr>
            <w:tcW w:w="1866" w:type="pct"/>
          </w:tcPr>
          <w:p w14:paraId="32070004" w14:textId="77777777" w:rsidR="004E56FB" w:rsidRPr="00145165" w:rsidRDefault="004E56FB">
            <w:pPr>
              <w:jc w:val="right"/>
              <w:cnfStyle w:val="000000100000" w:firstRow="0" w:lastRow="0" w:firstColumn="0" w:lastColumn="0" w:oddVBand="0" w:evenVBand="0" w:oddHBand="1" w:evenHBand="0" w:firstRowFirstColumn="0" w:firstRowLastColumn="0" w:lastRowFirstColumn="0" w:lastRowLastColumn="0"/>
            </w:pPr>
            <w:r w:rsidRPr="00145165">
              <w:t>$50,000 - $500,000</w:t>
            </w:r>
          </w:p>
        </w:tc>
        <w:tc>
          <w:tcPr>
            <w:tcW w:w="1860" w:type="pct"/>
          </w:tcPr>
          <w:p w14:paraId="51985DC9" w14:textId="77777777" w:rsidR="004E56FB" w:rsidRPr="00145165" w:rsidRDefault="004E56FB">
            <w:pPr>
              <w:jc w:val="right"/>
              <w:cnfStyle w:val="000000100000" w:firstRow="0" w:lastRow="0" w:firstColumn="0" w:lastColumn="0" w:oddVBand="0" w:evenVBand="0" w:oddHBand="1" w:evenHBand="0" w:firstRowFirstColumn="0" w:firstRowLastColumn="0" w:lastRowFirstColumn="0" w:lastRowLastColumn="0"/>
            </w:pPr>
            <w:r w:rsidRPr="00145165">
              <w:t>$60,000 - $150,000</w:t>
            </w:r>
          </w:p>
        </w:tc>
      </w:tr>
      <w:tr w:rsidR="004E56FB" w:rsidRPr="005C67F0" w14:paraId="197EC34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pct"/>
          </w:tcPr>
          <w:p w14:paraId="4EA9BB24" w14:textId="77777777" w:rsidR="004E56FB" w:rsidRPr="005C67F0" w:rsidRDefault="004E56FB">
            <w:r w:rsidRPr="00EA1786">
              <w:rPr>
                <w:rFonts w:eastAsia="Times New Roman" w:cs="Times New Roman"/>
                <w:bCs/>
                <w:szCs w:val="24"/>
                <w:lang w:val="en-US" w:eastAsia="en-AU"/>
              </w:rPr>
              <w:lastRenderedPageBreak/>
              <w:t>Cyber</w:t>
            </w:r>
          </w:p>
        </w:tc>
        <w:tc>
          <w:tcPr>
            <w:tcW w:w="1866" w:type="pct"/>
          </w:tcPr>
          <w:p w14:paraId="607D29DF" w14:textId="39177BC3" w:rsidR="004E56FB" w:rsidRPr="00145165" w:rsidRDefault="004E56FB">
            <w:pPr>
              <w:jc w:val="right"/>
              <w:cnfStyle w:val="000000010000" w:firstRow="0" w:lastRow="0" w:firstColumn="0" w:lastColumn="0" w:oddVBand="0" w:evenVBand="0" w:oddHBand="0" w:evenHBand="1" w:firstRowFirstColumn="0" w:firstRowLastColumn="0" w:lastRowFirstColumn="0" w:lastRowLastColumn="0"/>
            </w:pPr>
            <w:r w:rsidRPr="00145165">
              <w:t>$500,000 - $</w:t>
            </w:r>
            <w:r w:rsidR="003D1886">
              <w:t>120</w:t>
            </w:r>
            <w:r w:rsidRPr="00145165">
              <w:t>,000,000</w:t>
            </w:r>
          </w:p>
        </w:tc>
        <w:tc>
          <w:tcPr>
            <w:tcW w:w="1860" w:type="pct"/>
          </w:tcPr>
          <w:p w14:paraId="3CBC2907" w14:textId="77777777" w:rsidR="004E56FB" w:rsidRPr="00145165" w:rsidRDefault="004E56FB">
            <w:pPr>
              <w:jc w:val="right"/>
              <w:cnfStyle w:val="000000010000" w:firstRow="0" w:lastRow="0" w:firstColumn="0" w:lastColumn="0" w:oddVBand="0" w:evenVBand="0" w:oddHBand="0" w:evenHBand="1" w:firstRowFirstColumn="0" w:firstRowLastColumn="0" w:lastRowFirstColumn="0" w:lastRowLastColumn="0"/>
            </w:pPr>
            <w:r w:rsidRPr="00145165">
              <w:t>$100,000 - $4,000,000</w:t>
            </w:r>
          </w:p>
        </w:tc>
      </w:tr>
      <w:tr w:rsidR="004E56FB" w:rsidRPr="005C67F0" w14:paraId="7611EBD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pct"/>
          </w:tcPr>
          <w:p w14:paraId="2F16CE3E" w14:textId="77777777" w:rsidR="004E56FB" w:rsidRPr="005C67F0" w:rsidRDefault="004E56FB">
            <w:r w:rsidRPr="00EA1786">
              <w:rPr>
                <w:rFonts w:eastAsia="Times New Roman" w:cs="Times New Roman"/>
                <w:bCs/>
                <w:szCs w:val="24"/>
                <w:lang w:val="en-US" w:eastAsia="en-AU"/>
              </w:rPr>
              <w:t xml:space="preserve">Supply </w:t>
            </w:r>
            <w:r>
              <w:rPr>
                <w:rFonts w:eastAsia="Times New Roman" w:cs="Times New Roman"/>
                <w:bCs/>
                <w:szCs w:val="24"/>
                <w:lang w:val="en-US" w:eastAsia="en-AU"/>
              </w:rPr>
              <w:t>C</w:t>
            </w:r>
            <w:r w:rsidRPr="00EA1786">
              <w:rPr>
                <w:rFonts w:eastAsia="Times New Roman" w:cs="Times New Roman"/>
                <w:bCs/>
                <w:szCs w:val="24"/>
                <w:lang w:val="en-US" w:eastAsia="en-AU"/>
              </w:rPr>
              <w:t>hain</w:t>
            </w:r>
          </w:p>
        </w:tc>
        <w:tc>
          <w:tcPr>
            <w:tcW w:w="1866" w:type="pct"/>
          </w:tcPr>
          <w:p w14:paraId="18F2EAA1" w14:textId="77777777" w:rsidR="004E56FB" w:rsidRPr="00145165" w:rsidRDefault="004E56FB">
            <w:pPr>
              <w:jc w:val="right"/>
              <w:cnfStyle w:val="000000100000" w:firstRow="0" w:lastRow="0" w:firstColumn="0" w:lastColumn="0" w:oddVBand="0" w:evenVBand="0" w:oddHBand="1" w:evenHBand="0" w:firstRowFirstColumn="0" w:firstRowLastColumn="0" w:lastRowFirstColumn="0" w:lastRowLastColumn="0"/>
            </w:pPr>
            <w:r w:rsidRPr="00145165">
              <w:t>$360,000 - $11,600,000</w:t>
            </w:r>
          </w:p>
        </w:tc>
        <w:tc>
          <w:tcPr>
            <w:tcW w:w="1860" w:type="pct"/>
          </w:tcPr>
          <w:p w14:paraId="3A1FEE9E" w14:textId="77777777" w:rsidR="004E56FB" w:rsidRPr="00145165" w:rsidRDefault="004E56FB">
            <w:pPr>
              <w:jc w:val="right"/>
              <w:cnfStyle w:val="000000100000" w:firstRow="0" w:lastRow="0" w:firstColumn="0" w:lastColumn="0" w:oddVBand="0" w:evenVBand="0" w:oddHBand="1" w:evenHBand="0" w:firstRowFirstColumn="0" w:firstRowLastColumn="0" w:lastRowFirstColumn="0" w:lastRowLastColumn="0"/>
            </w:pPr>
            <w:r w:rsidRPr="00145165">
              <w:t>$50,000 - $2,000,000</w:t>
            </w:r>
          </w:p>
        </w:tc>
      </w:tr>
      <w:tr w:rsidR="004E56FB" w:rsidRPr="005C67F0" w14:paraId="3E446AE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pct"/>
          </w:tcPr>
          <w:p w14:paraId="2891FCD6" w14:textId="77777777" w:rsidR="004E56FB" w:rsidRPr="005C67F0" w:rsidRDefault="004E56FB">
            <w:r w:rsidRPr="00EA1786">
              <w:rPr>
                <w:rFonts w:eastAsia="Times New Roman" w:cs="Times New Roman"/>
                <w:bCs/>
                <w:szCs w:val="24"/>
                <w:lang w:val="en-US" w:eastAsia="en-AU"/>
              </w:rPr>
              <w:t xml:space="preserve">Personnel </w:t>
            </w:r>
          </w:p>
        </w:tc>
        <w:tc>
          <w:tcPr>
            <w:tcW w:w="1866" w:type="pct"/>
          </w:tcPr>
          <w:p w14:paraId="039D7423" w14:textId="77777777" w:rsidR="004E56FB" w:rsidRPr="005C67F0" w:rsidRDefault="004E56FB">
            <w:pPr>
              <w:jc w:val="right"/>
              <w:cnfStyle w:val="000000010000" w:firstRow="0" w:lastRow="0" w:firstColumn="0" w:lastColumn="0" w:oddVBand="0" w:evenVBand="0" w:oddHBand="0" w:evenHBand="1" w:firstRowFirstColumn="0" w:firstRowLastColumn="0" w:lastRowFirstColumn="0" w:lastRowLastColumn="0"/>
            </w:pPr>
            <w:r>
              <w:t>$25,000 - $1,300,000</w:t>
            </w:r>
          </w:p>
        </w:tc>
        <w:tc>
          <w:tcPr>
            <w:tcW w:w="1860" w:type="pct"/>
          </w:tcPr>
          <w:p w14:paraId="4A7D26C0" w14:textId="77777777" w:rsidR="004E56FB" w:rsidRPr="005C67F0" w:rsidRDefault="004E56FB">
            <w:pPr>
              <w:jc w:val="right"/>
              <w:cnfStyle w:val="000000010000" w:firstRow="0" w:lastRow="0" w:firstColumn="0" w:lastColumn="0" w:oddVBand="0" w:evenVBand="0" w:oddHBand="0" w:evenHBand="1" w:firstRowFirstColumn="0" w:firstRowLastColumn="0" w:lastRowFirstColumn="0" w:lastRowLastColumn="0"/>
            </w:pPr>
            <w:r>
              <w:t>$5,000 - $750,000</w:t>
            </w:r>
          </w:p>
        </w:tc>
      </w:tr>
      <w:tr w:rsidR="004E56FB" w:rsidRPr="005C67F0" w14:paraId="360B3EB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pct"/>
          </w:tcPr>
          <w:p w14:paraId="61C5902E" w14:textId="77777777" w:rsidR="004E56FB" w:rsidRPr="005C67F0" w:rsidRDefault="004E56FB">
            <w:r w:rsidRPr="00EA1786">
              <w:rPr>
                <w:rFonts w:eastAsia="Times New Roman" w:cs="Times New Roman"/>
                <w:bCs/>
                <w:szCs w:val="24"/>
                <w:lang w:eastAsia="en-AU"/>
              </w:rPr>
              <w:t>Physical</w:t>
            </w:r>
          </w:p>
        </w:tc>
        <w:tc>
          <w:tcPr>
            <w:tcW w:w="1866" w:type="pct"/>
          </w:tcPr>
          <w:p w14:paraId="73392F5E" w14:textId="77777777" w:rsidR="004E56FB" w:rsidRPr="005C67F0" w:rsidRDefault="004E56FB">
            <w:pPr>
              <w:jc w:val="right"/>
              <w:cnfStyle w:val="000000100000" w:firstRow="0" w:lastRow="0" w:firstColumn="0" w:lastColumn="0" w:oddVBand="0" w:evenVBand="0" w:oddHBand="1" w:evenHBand="0" w:firstRowFirstColumn="0" w:firstRowLastColumn="0" w:lastRowFirstColumn="0" w:lastRowLastColumn="0"/>
            </w:pPr>
            <w:r>
              <w:t>$2,000,000 - $3,000,000</w:t>
            </w:r>
          </w:p>
        </w:tc>
        <w:tc>
          <w:tcPr>
            <w:tcW w:w="1860" w:type="pct"/>
          </w:tcPr>
          <w:p w14:paraId="73DB103F" w14:textId="77777777" w:rsidR="004E56FB" w:rsidRPr="005C67F0" w:rsidRDefault="004E56FB">
            <w:pPr>
              <w:jc w:val="right"/>
              <w:cnfStyle w:val="000000100000" w:firstRow="0" w:lastRow="0" w:firstColumn="0" w:lastColumn="0" w:oddVBand="0" w:evenVBand="0" w:oddHBand="1" w:evenHBand="0" w:firstRowFirstColumn="0" w:firstRowLastColumn="0" w:lastRowFirstColumn="0" w:lastRowLastColumn="0"/>
            </w:pPr>
            <w:r>
              <w:t>$500,000 - $2,000,000</w:t>
            </w:r>
          </w:p>
        </w:tc>
      </w:tr>
    </w:tbl>
    <w:p w14:paraId="471921E3" w14:textId="3F9CE5A0" w:rsidR="007B706F" w:rsidRDefault="007B706F" w:rsidP="008F407E">
      <w:pPr>
        <w:pStyle w:val="Heading2numbered"/>
        <w:rPr>
          <w:lang w:eastAsia="en-AU"/>
        </w:rPr>
      </w:pPr>
      <w:bookmarkStart w:id="42" w:name="_Toc226463886"/>
      <w:bookmarkStart w:id="43" w:name="_Toc228391066"/>
      <w:bookmarkEnd w:id="37"/>
      <w:bookmarkEnd w:id="38"/>
      <w:r>
        <w:rPr>
          <w:lang w:eastAsia="en-AU"/>
        </w:rPr>
        <w:t xml:space="preserve">Economic </w:t>
      </w:r>
      <w:r w:rsidR="005E31E6">
        <w:rPr>
          <w:lang w:eastAsia="en-AU"/>
        </w:rPr>
        <w:t>b</w:t>
      </w:r>
      <w:r>
        <w:rPr>
          <w:lang w:eastAsia="en-AU"/>
        </w:rPr>
        <w:t>enefits</w:t>
      </w:r>
      <w:bookmarkEnd w:id="42"/>
      <w:bookmarkEnd w:id="43"/>
    </w:p>
    <w:p w14:paraId="0CF39A78" w14:textId="06DBE2E8" w:rsidR="007A3B9F" w:rsidRPr="004C5892" w:rsidRDefault="007A3B9F" w:rsidP="007A3B9F">
      <w:pPr>
        <w:pStyle w:val="BodyText"/>
        <w:rPr>
          <w:lang w:val="en-US"/>
        </w:rPr>
      </w:pPr>
      <w:r w:rsidRPr="007A3B9F">
        <w:rPr>
          <w:lang w:val="en-US"/>
        </w:rPr>
        <w:t>Economic benefits arise primarily from avoided or mitigated disruption to critical infrastructure services. The enhanced requirements are expected to improve risk visibility, governance, preparedness, response and recovery across cyber, supply chain, personnel, physical security and natural hazard domains.</w:t>
      </w:r>
      <w:r w:rsidR="004D4B2E">
        <w:rPr>
          <w:lang w:val="en-US"/>
        </w:rPr>
        <w:t xml:space="preserve"> </w:t>
      </w:r>
      <w:r w:rsidRPr="007A3B9F">
        <w:rPr>
          <w:lang w:val="en-US"/>
        </w:rPr>
        <w:t xml:space="preserve">The benefits are not confined to </w:t>
      </w:r>
      <w:r w:rsidR="004E3809">
        <w:rPr>
          <w:lang w:val="en-US"/>
        </w:rPr>
        <w:t>avoiding</w:t>
      </w:r>
      <w:r w:rsidRPr="007A3B9F">
        <w:rPr>
          <w:lang w:val="en-US"/>
        </w:rPr>
        <w:t xml:space="preserve"> major incidents. Benefits may also arise through reduced outage duration, reduced severity, faster recovery, improved escalation to boards, better visibility of dependencies, and reduced cascading impacts across sectors.</w:t>
      </w:r>
      <w:r w:rsidR="004C5892">
        <w:rPr>
          <w:lang w:val="en-US"/>
        </w:rPr>
        <w:t xml:space="preserve"> </w:t>
      </w:r>
    </w:p>
    <w:p w14:paraId="48DC8F20" w14:textId="68EDE7A5" w:rsidR="003A6005" w:rsidRPr="007B706F" w:rsidRDefault="003A6005" w:rsidP="007A3B9F">
      <w:pPr>
        <w:pStyle w:val="Caption"/>
        <w:rPr>
          <w:lang w:val="en-US"/>
        </w:rPr>
      </w:pPr>
      <w:r>
        <w:t xml:space="preserve">Table </w:t>
      </w:r>
      <w:fldSimple w:instr=" SEQ Table \* ARABIC ">
        <w:r w:rsidR="00B90D57">
          <w:rPr>
            <w:noProof/>
          </w:rPr>
          <w:t>10</w:t>
        </w:r>
      </w:fldSimple>
      <w:r w:rsidR="00D46048">
        <w:t>:</w:t>
      </w:r>
      <w:r>
        <w:t xml:space="preserve"> Economic Benefits</w:t>
      </w:r>
    </w:p>
    <w:tbl>
      <w:tblPr>
        <w:tblStyle w:val="HATableStyle1default"/>
        <w:tblW w:w="0" w:type="auto"/>
        <w:tblLook w:val="04A0" w:firstRow="1" w:lastRow="0" w:firstColumn="1" w:lastColumn="0" w:noHBand="0" w:noVBand="1"/>
      </w:tblPr>
      <w:tblGrid>
        <w:gridCol w:w="1721"/>
        <w:gridCol w:w="1897"/>
        <w:gridCol w:w="2578"/>
        <w:gridCol w:w="2437"/>
        <w:gridCol w:w="1257"/>
      </w:tblGrid>
      <w:tr w:rsidR="00E0453E" w:rsidRPr="001C20A9" w14:paraId="1E31D041" w14:textId="77777777" w:rsidTr="003010CC">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4615E9EC" w14:textId="77777777" w:rsidR="001C20A9" w:rsidRPr="001C20A9" w:rsidRDefault="001C20A9" w:rsidP="001C20A9">
            <w:pPr>
              <w:spacing w:before="80" w:after="80"/>
              <w:rPr>
                <w:rFonts w:eastAsia="Times New Roman" w:cs="Times New Roman"/>
                <w:bCs/>
                <w:szCs w:val="24"/>
                <w:lang w:val="en-US" w:eastAsia="en-AU"/>
              </w:rPr>
            </w:pPr>
            <w:r w:rsidRPr="001C20A9">
              <w:rPr>
                <w:rFonts w:eastAsia="Times New Roman" w:cs="Times New Roman"/>
                <w:bCs/>
                <w:szCs w:val="24"/>
                <w:lang w:val="en-US" w:eastAsia="en-AU"/>
              </w:rPr>
              <w:t>Benefit category</w:t>
            </w:r>
          </w:p>
        </w:tc>
        <w:tc>
          <w:tcPr>
            <w:tcW w:w="0" w:type="auto"/>
            <w:hideMark/>
          </w:tcPr>
          <w:p w14:paraId="51BBD11C" w14:textId="77777777" w:rsidR="001C20A9" w:rsidRPr="001C20A9" w:rsidRDefault="001C20A9" w:rsidP="001C20A9">
            <w:pPr>
              <w:spacing w:before="80" w:after="80"/>
              <w:cnfStyle w:val="100000000000" w:firstRow="1" w:lastRow="0" w:firstColumn="0" w:lastColumn="0" w:oddVBand="0" w:evenVBand="0" w:oddHBand="0" w:evenHBand="0" w:firstRowFirstColumn="0" w:firstRowLastColumn="0" w:lastRowFirstColumn="0" w:lastRowLastColumn="0"/>
              <w:rPr>
                <w:rFonts w:eastAsia="Times New Roman" w:cs="Times New Roman"/>
                <w:bCs/>
                <w:szCs w:val="24"/>
                <w:lang w:val="en-US" w:eastAsia="en-AU"/>
              </w:rPr>
            </w:pPr>
            <w:r w:rsidRPr="001C20A9">
              <w:rPr>
                <w:rFonts w:eastAsia="Times New Roman" w:cs="Times New Roman"/>
                <w:bCs/>
                <w:szCs w:val="24"/>
                <w:lang w:val="en-US" w:eastAsia="en-AU"/>
              </w:rPr>
              <w:t>Economic benefit</w:t>
            </w:r>
          </w:p>
        </w:tc>
        <w:tc>
          <w:tcPr>
            <w:tcW w:w="0" w:type="auto"/>
            <w:hideMark/>
          </w:tcPr>
          <w:p w14:paraId="2D51F8DD" w14:textId="77777777" w:rsidR="001C20A9" w:rsidRPr="001C20A9" w:rsidRDefault="001C20A9" w:rsidP="001C20A9">
            <w:pPr>
              <w:spacing w:before="80" w:after="80"/>
              <w:cnfStyle w:val="100000000000" w:firstRow="1" w:lastRow="0" w:firstColumn="0" w:lastColumn="0" w:oddVBand="0" w:evenVBand="0" w:oddHBand="0" w:evenHBand="0" w:firstRowFirstColumn="0" w:firstRowLastColumn="0" w:lastRowFirstColumn="0" w:lastRowLastColumn="0"/>
              <w:rPr>
                <w:rFonts w:eastAsia="Times New Roman" w:cs="Times New Roman"/>
                <w:bCs/>
                <w:szCs w:val="24"/>
                <w:lang w:val="en-US" w:eastAsia="en-AU"/>
              </w:rPr>
            </w:pPr>
            <w:r w:rsidRPr="001C20A9">
              <w:rPr>
                <w:rFonts w:eastAsia="Times New Roman" w:cs="Times New Roman"/>
                <w:bCs/>
                <w:szCs w:val="24"/>
                <w:lang w:val="en-US" w:eastAsia="en-AU"/>
              </w:rPr>
              <w:t>Mechanism</w:t>
            </w:r>
          </w:p>
        </w:tc>
        <w:tc>
          <w:tcPr>
            <w:tcW w:w="0" w:type="auto"/>
            <w:hideMark/>
          </w:tcPr>
          <w:p w14:paraId="3CC4FA05" w14:textId="77777777" w:rsidR="001C20A9" w:rsidRPr="001C20A9" w:rsidRDefault="001C20A9" w:rsidP="001C20A9">
            <w:pPr>
              <w:spacing w:before="80" w:after="80"/>
              <w:cnfStyle w:val="100000000000" w:firstRow="1" w:lastRow="0" w:firstColumn="0" w:lastColumn="0" w:oddVBand="0" w:evenVBand="0" w:oddHBand="0" w:evenHBand="0" w:firstRowFirstColumn="0" w:firstRowLastColumn="0" w:lastRowFirstColumn="0" w:lastRowLastColumn="0"/>
              <w:rPr>
                <w:rFonts w:eastAsia="Times New Roman" w:cs="Times New Roman"/>
                <w:bCs/>
                <w:szCs w:val="24"/>
                <w:lang w:val="en-US" w:eastAsia="en-AU"/>
              </w:rPr>
            </w:pPr>
            <w:r w:rsidRPr="001C20A9">
              <w:rPr>
                <w:rFonts w:eastAsia="Times New Roman" w:cs="Times New Roman"/>
                <w:bCs/>
                <w:szCs w:val="24"/>
                <w:lang w:val="en-US" w:eastAsia="en-AU"/>
              </w:rPr>
              <w:t>Impact pathway</w:t>
            </w:r>
          </w:p>
        </w:tc>
        <w:tc>
          <w:tcPr>
            <w:tcW w:w="0" w:type="auto"/>
            <w:hideMark/>
          </w:tcPr>
          <w:p w14:paraId="6BB87372" w14:textId="77777777" w:rsidR="001C20A9" w:rsidRPr="001C20A9" w:rsidRDefault="001C20A9" w:rsidP="001C20A9">
            <w:pPr>
              <w:spacing w:before="80" w:after="80"/>
              <w:cnfStyle w:val="100000000000" w:firstRow="1" w:lastRow="0" w:firstColumn="0" w:lastColumn="0" w:oddVBand="0" w:evenVBand="0" w:oddHBand="0" w:evenHBand="0" w:firstRowFirstColumn="0" w:firstRowLastColumn="0" w:lastRowFirstColumn="0" w:lastRowLastColumn="0"/>
              <w:rPr>
                <w:rFonts w:eastAsia="Times New Roman" w:cs="Times New Roman"/>
                <w:bCs/>
                <w:szCs w:val="24"/>
                <w:lang w:val="en-US" w:eastAsia="en-AU"/>
              </w:rPr>
            </w:pPr>
            <w:r w:rsidRPr="001C20A9">
              <w:rPr>
                <w:rFonts w:eastAsia="Times New Roman" w:cs="Times New Roman"/>
                <w:bCs/>
                <w:szCs w:val="24"/>
                <w:lang w:val="en-US" w:eastAsia="en-AU"/>
              </w:rPr>
              <w:t>Timeframe</w:t>
            </w:r>
          </w:p>
        </w:tc>
      </w:tr>
      <w:tr w:rsidR="00E0453E" w:rsidRPr="001C20A9" w14:paraId="41F163F4" w14:textId="77777777" w:rsidTr="003010C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780F2068" w14:textId="77777777" w:rsidR="001C20A9" w:rsidRPr="001C20A9" w:rsidRDefault="001C20A9" w:rsidP="001C20A9">
            <w:pPr>
              <w:spacing w:before="80" w:after="80"/>
              <w:rPr>
                <w:rFonts w:eastAsia="Times New Roman" w:cs="Times New Roman"/>
                <w:szCs w:val="24"/>
                <w:lang w:val="en-US" w:eastAsia="en-AU"/>
              </w:rPr>
            </w:pPr>
            <w:r w:rsidRPr="001C20A9">
              <w:rPr>
                <w:rFonts w:eastAsia="Times New Roman" w:cs="Times New Roman"/>
                <w:szCs w:val="24"/>
                <w:lang w:val="en-US" w:eastAsia="en-AU"/>
              </w:rPr>
              <w:t>System resilience</w:t>
            </w:r>
          </w:p>
        </w:tc>
        <w:tc>
          <w:tcPr>
            <w:tcW w:w="0" w:type="auto"/>
            <w:hideMark/>
          </w:tcPr>
          <w:p w14:paraId="775B2AF7" w14:textId="77777777" w:rsidR="001C20A9" w:rsidRPr="001C20A9" w:rsidRDefault="001C20A9" w:rsidP="001C20A9">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n-US" w:eastAsia="en-AU"/>
              </w:rPr>
            </w:pPr>
            <w:r w:rsidRPr="001C20A9">
              <w:rPr>
                <w:rFonts w:eastAsia="Times New Roman" w:cs="Times New Roman"/>
                <w:szCs w:val="24"/>
                <w:lang w:val="en-US" w:eastAsia="en-AU"/>
              </w:rPr>
              <w:t>Reduced frequency and severity of service disruptions</w:t>
            </w:r>
          </w:p>
        </w:tc>
        <w:tc>
          <w:tcPr>
            <w:tcW w:w="0" w:type="auto"/>
            <w:hideMark/>
          </w:tcPr>
          <w:p w14:paraId="7F8C493A" w14:textId="77777777" w:rsidR="001C20A9" w:rsidRPr="001C20A9" w:rsidRDefault="001C20A9" w:rsidP="001C20A9">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n-US" w:eastAsia="en-AU"/>
              </w:rPr>
            </w:pPr>
            <w:r w:rsidRPr="001C20A9">
              <w:rPr>
                <w:rFonts w:eastAsia="Times New Roman" w:cs="Times New Roman"/>
                <w:szCs w:val="24"/>
                <w:lang w:val="en-US" w:eastAsia="en-AU"/>
              </w:rPr>
              <w:t>Uplifted cyber, physical, personnel and supply chain controls reduce vulnerability exposure</w:t>
            </w:r>
          </w:p>
        </w:tc>
        <w:tc>
          <w:tcPr>
            <w:tcW w:w="0" w:type="auto"/>
            <w:hideMark/>
          </w:tcPr>
          <w:p w14:paraId="43E22DE1" w14:textId="77777777" w:rsidR="001C20A9" w:rsidRPr="001C20A9" w:rsidRDefault="001C20A9" w:rsidP="001C20A9">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n-US" w:eastAsia="en-AU"/>
              </w:rPr>
            </w:pPr>
            <w:r w:rsidRPr="001C20A9">
              <w:rPr>
                <w:rFonts w:eastAsia="Times New Roman" w:cs="Times New Roman"/>
                <w:szCs w:val="24"/>
                <w:lang w:val="en-US" w:eastAsia="en-AU"/>
              </w:rPr>
              <w:t>Fewer outages across energy, water, transport and communications systems support uninterrupted economic activity</w:t>
            </w:r>
          </w:p>
        </w:tc>
        <w:tc>
          <w:tcPr>
            <w:tcW w:w="0" w:type="auto"/>
            <w:hideMark/>
          </w:tcPr>
          <w:p w14:paraId="5706FBA9" w14:textId="77777777" w:rsidR="001C20A9" w:rsidRPr="001C20A9" w:rsidRDefault="001C20A9" w:rsidP="001C20A9">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n-US" w:eastAsia="en-AU"/>
              </w:rPr>
            </w:pPr>
            <w:r w:rsidRPr="001C20A9">
              <w:rPr>
                <w:rFonts w:eastAsia="Times New Roman" w:cs="Times New Roman"/>
                <w:szCs w:val="24"/>
                <w:lang w:val="en-US" w:eastAsia="en-AU"/>
              </w:rPr>
              <w:t>Medium to long term</w:t>
            </w:r>
          </w:p>
        </w:tc>
      </w:tr>
      <w:tr w:rsidR="00E0453E" w:rsidRPr="001C20A9" w14:paraId="77DB1A03" w14:textId="77777777" w:rsidTr="003010C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64944E25" w14:textId="77777777" w:rsidR="001C20A9" w:rsidRPr="001C20A9" w:rsidRDefault="001C20A9" w:rsidP="001C20A9">
            <w:pPr>
              <w:spacing w:before="80" w:after="80"/>
              <w:rPr>
                <w:rFonts w:eastAsia="Times New Roman" w:cs="Times New Roman"/>
                <w:szCs w:val="24"/>
                <w:lang w:val="en-US" w:eastAsia="en-AU"/>
              </w:rPr>
            </w:pPr>
            <w:r w:rsidRPr="001C20A9">
              <w:rPr>
                <w:rFonts w:eastAsia="Times New Roman" w:cs="Times New Roman"/>
                <w:szCs w:val="24"/>
                <w:lang w:val="en-US" w:eastAsia="en-AU"/>
              </w:rPr>
              <w:t>Productivity</w:t>
            </w:r>
          </w:p>
        </w:tc>
        <w:tc>
          <w:tcPr>
            <w:tcW w:w="0" w:type="auto"/>
            <w:hideMark/>
          </w:tcPr>
          <w:p w14:paraId="2886DEB9" w14:textId="77777777" w:rsidR="001C20A9" w:rsidRPr="001C20A9" w:rsidRDefault="001C20A9" w:rsidP="001C20A9">
            <w:pPr>
              <w:spacing w:before="80" w:after="80"/>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val="en-US" w:eastAsia="en-AU"/>
              </w:rPr>
            </w:pPr>
            <w:r w:rsidRPr="001C20A9">
              <w:rPr>
                <w:rFonts w:eastAsia="Times New Roman" w:cs="Times New Roman"/>
                <w:szCs w:val="24"/>
                <w:lang w:val="en-US" w:eastAsia="en-AU"/>
              </w:rPr>
              <w:t>Improved operational efficiency within critical infrastructure entities</w:t>
            </w:r>
          </w:p>
        </w:tc>
        <w:tc>
          <w:tcPr>
            <w:tcW w:w="0" w:type="auto"/>
            <w:hideMark/>
          </w:tcPr>
          <w:p w14:paraId="591B2DA8" w14:textId="77777777" w:rsidR="001C20A9" w:rsidRPr="001C20A9" w:rsidRDefault="001C20A9" w:rsidP="001C20A9">
            <w:pPr>
              <w:spacing w:before="80" w:after="80"/>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val="en-US" w:eastAsia="en-AU"/>
              </w:rPr>
            </w:pPr>
            <w:proofErr w:type="spellStart"/>
            <w:r w:rsidRPr="001C20A9">
              <w:rPr>
                <w:rFonts w:eastAsia="Times New Roman" w:cs="Times New Roman"/>
                <w:szCs w:val="24"/>
                <w:lang w:val="en-US" w:eastAsia="en-AU"/>
              </w:rPr>
              <w:t>Standardised</w:t>
            </w:r>
            <w:proofErr w:type="spellEnd"/>
            <w:r w:rsidRPr="001C20A9">
              <w:rPr>
                <w:rFonts w:eastAsia="Times New Roman" w:cs="Times New Roman"/>
                <w:szCs w:val="24"/>
                <w:lang w:val="en-US" w:eastAsia="en-AU"/>
              </w:rPr>
              <w:t xml:space="preserve"> and structured risk management processes reduce duplication and reactive responses</w:t>
            </w:r>
          </w:p>
        </w:tc>
        <w:tc>
          <w:tcPr>
            <w:tcW w:w="0" w:type="auto"/>
            <w:hideMark/>
          </w:tcPr>
          <w:p w14:paraId="02B366B1" w14:textId="77777777" w:rsidR="001C20A9" w:rsidRPr="001C20A9" w:rsidRDefault="001C20A9" w:rsidP="001C20A9">
            <w:pPr>
              <w:spacing w:before="80" w:after="80"/>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val="en-US" w:eastAsia="en-AU"/>
              </w:rPr>
            </w:pPr>
            <w:r w:rsidRPr="001C20A9">
              <w:rPr>
                <w:rFonts w:eastAsia="Times New Roman" w:cs="Times New Roman"/>
                <w:szCs w:val="24"/>
                <w:lang w:val="en-US" w:eastAsia="en-AU"/>
              </w:rPr>
              <w:t>Lower operational inefficiencies and reduced downtime improve output across dependent industries</w:t>
            </w:r>
          </w:p>
        </w:tc>
        <w:tc>
          <w:tcPr>
            <w:tcW w:w="0" w:type="auto"/>
            <w:hideMark/>
          </w:tcPr>
          <w:p w14:paraId="377753EA" w14:textId="77777777" w:rsidR="001C20A9" w:rsidRPr="001C20A9" w:rsidRDefault="001C20A9" w:rsidP="001C20A9">
            <w:pPr>
              <w:spacing w:before="80" w:after="80"/>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val="en-US" w:eastAsia="en-AU"/>
              </w:rPr>
            </w:pPr>
            <w:r w:rsidRPr="001C20A9">
              <w:rPr>
                <w:rFonts w:eastAsia="Times New Roman" w:cs="Times New Roman"/>
                <w:szCs w:val="24"/>
                <w:lang w:val="en-US" w:eastAsia="en-AU"/>
              </w:rPr>
              <w:t>Medium term</w:t>
            </w:r>
          </w:p>
        </w:tc>
      </w:tr>
      <w:tr w:rsidR="00E0453E" w:rsidRPr="001C20A9" w14:paraId="4AED238D" w14:textId="77777777" w:rsidTr="003010C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2B81EC69" w14:textId="77777777" w:rsidR="001C20A9" w:rsidRPr="001C20A9" w:rsidRDefault="001C20A9" w:rsidP="001C20A9">
            <w:pPr>
              <w:spacing w:before="80" w:after="80"/>
              <w:rPr>
                <w:rFonts w:eastAsia="Times New Roman" w:cs="Times New Roman"/>
                <w:szCs w:val="24"/>
                <w:lang w:val="en-US" w:eastAsia="en-AU"/>
              </w:rPr>
            </w:pPr>
            <w:r w:rsidRPr="001C20A9">
              <w:rPr>
                <w:rFonts w:eastAsia="Times New Roman" w:cs="Times New Roman"/>
                <w:szCs w:val="24"/>
                <w:lang w:val="en-US" w:eastAsia="en-AU"/>
              </w:rPr>
              <w:t>Investment confidence</w:t>
            </w:r>
          </w:p>
        </w:tc>
        <w:tc>
          <w:tcPr>
            <w:tcW w:w="0" w:type="auto"/>
            <w:hideMark/>
          </w:tcPr>
          <w:p w14:paraId="325753A2" w14:textId="77777777" w:rsidR="001C20A9" w:rsidRPr="001C20A9" w:rsidRDefault="001C20A9" w:rsidP="001C20A9">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n-US" w:eastAsia="en-AU"/>
              </w:rPr>
            </w:pPr>
            <w:r w:rsidRPr="001C20A9">
              <w:rPr>
                <w:rFonts w:eastAsia="Times New Roman" w:cs="Times New Roman"/>
                <w:szCs w:val="24"/>
                <w:lang w:val="en-US" w:eastAsia="en-AU"/>
              </w:rPr>
              <w:t>Increased investor and insurer confidence in critical infrastructure sectors</w:t>
            </w:r>
          </w:p>
        </w:tc>
        <w:tc>
          <w:tcPr>
            <w:tcW w:w="0" w:type="auto"/>
            <w:hideMark/>
          </w:tcPr>
          <w:p w14:paraId="5B303F5F" w14:textId="77777777" w:rsidR="001C20A9" w:rsidRPr="001C20A9" w:rsidRDefault="001C20A9" w:rsidP="001C20A9">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n-US" w:eastAsia="en-AU"/>
              </w:rPr>
            </w:pPr>
            <w:r w:rsidRPr="001C20A9">
              <w:rPr>
                <w:rFonts w:eastAsia="Times New Roman" w:cs="Times New Roman"/>
                <w:szCs w:val="24"/>
                <w:lang w:val="en-US" w:eastAsia="en-AU"/>
              </w:rPr>
              <w:t>Clear, consistent regulatory expectations reduce uncertainty and risk premiums</w:t>
            </w:r>
          </w:p>
        </w:tc>
        <w:tc>
          <w:tcPr>
            <w:tcW w:w="0" w:type="auto"/>
            <w:hideMark/>
          </w:tcPr>
          <w:p w14:paraId="64FC1153" w14:textId="77777777" w:rsidR="001C20A9" w:rsidRPr="001C20A9" w:rsidRDefault="001C20A9" w:rsidP="001C20A9">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n-US" w:eastAsia="en-AU"/>
              </w:rPr>
            </w:pPr>
            <w:r w:rsidRPr="001C20A9">
              <w:rPr>
                <w:rFonts w:eastAsia="Times New Roman" w:cs="Times New Roman"/>
                <w:szCs w:val="24"/>
                <w:lang w:val="en-US" w:eastAsia="en-AU"/>
              </w:rPr>
              <w:t>Greater capital inflows and more stable insurance pricing support infrastructure investment</w:t>
            </w:r>
          </w:p>
        </w:tc>
        <w:tc>
          <w:tcPr>
            <w:tcW w:w="0" w:type="auto"/>
            <w:hideMark/>
          </w:tcPr>
          <w:p w14:paraId="353199FC" w14:textId="77777777" w:rsidR="001C20A9" w:rsidRPr="001C20A9" w:rsidRDefault="001C20A9" w:rsidP="001C20A9">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n-US" w:eastAsia="en-AU"/>
              </w:rPr>
            </w:pPr>
            <w:r w:rsidRPr="001C20A9">
              <w:rPr>
                <w:rFonts w:eastAsia="Times New Roman" w:cs="Times New Roman"/>
                <w:szCs w:val="24"/>
                <w:lang w:val="en-US" w:eastAsia="en-AU"/>
              </w:rPr>
              <w:t>Medium to long term</w:t>
            </w:r>
          </w:p>
        </w:tc>
      </w:tr>
      <w:tr w:rsidR="00E0453E" w:rsidRPr="001C20A9" w14:paraId="154FC555" w14:textId="77777777" w:rsidTr="003010C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0679AB3F" w14:textId="77777777" w:rsidR="001C20A9" w:rsidRPr="001C20A9" w:rsidRDefault="001C20A9" w:rsidP="001C20A9">
            <w:pPr>
              <w:spacing w:before="80" w:after="80"/>
              <w:rPr>
                <w:rFonts w:eastAsia="Times New Roman" w:cs="Times New Roman"/>
                <w:szCs w:val="24"/>
                <w:lang w:val="en-US" w:eastAsia="en-AU"/>
              </w:rPr>
            </w:pPr>
            <w:r w:rsidRPr="001C20A9">
              <w:rPr>
                <w:rFonts w:eastAsia="Times New Roman" w:cs="Times New Roman"/>
                <w:szCs w:val="24"/>
                <w:lang w:val="en-US" w:eastAsia="en-AU"/>
              </w:rPr>
              <w:t>Supply chain stability</w:t>
            </w:r>
          </w:p>
        </w:tc>
        <w:tc>
          <w:tcPr>
            <w:tcW w:w="0" w:type="auto"/>
            <w:hideMark/>
          </w:tcPr>
          <w:p w14:paraId="04AB4D42" w14:textId="77777777" w:rsidR="001C20A9" w:rsidRPr="001C20A9" w:rsidRDefault="001C20A9" w:rsidP="001C20A9">
            <w:pPr>
              <w:spacing w:before="80" w:after="80"/>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val="en-US" w:eastAsia="en-AU"/>
              </w:rPr>
            </w:pPr>
            <w:r w:rsidRPr="001C20A9">
              <w:rPr>
                <w:rFonts w:eastAsia="Times New Roman" w:cs="Times New Roman"/>
                <w:szCs w:val="24"/>
                <w:lang w:val="en-US" w:eastAsia="en-AU"/>
              </w:rPr>
              <w:t>Improved visibility and management of critical dependencies</w:t>
            </w:r>
          </w:p>
        </w:tc>
        <w:tc>
          <w:tcPr>
            <w:tcW w:w="0" w:type="auto"/>
            <w:hideMark/>
          </w:tcPr>
          <w:p w14:paraId="3ABF8763" w14:textId="77777777" w:rsidR="001C20A9" w:rsidRPr="001C20A9" w:rsidRDefault="001C20A9" w:rsidP="001C20A9">
            <w:pPr>
              <w:spacing w:before="80" w:after="80"/>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val="en-US" w:eastAsia="en-AU"/>
              </w:rPr>
            </w:pPr>
            <w:r w:rsidRPr="001C20A9">
              <w:rPr>
                <w:rFonts w:eastAsia="Times New Roman" w:cs="Times New Roman"/>
                <w:szCs w:val="24"/>
                <w:lang w:val="en-US" w:eastAsia="en-AU"/>
              </w:rPr>
              <w:t>Enhanced supply chain mapping and vendor assessment requirements identify concentration and disruption risks</w:t>
            </w:r>
          </w:p>
        </w:tc>
        <w:tc>
          <w:tcPr>
            <w:tcW w:w="0" w:type="auto"/>
            <w:hideMark/>
          </w:tcPr>
          <w:p w14:paraId="60B9B376" w14:textId="446F5C48" w:rsidR="001C20A9" w:rsidRPr="001C20A9" w:rsidRDefault="001C20A9" w:rsidP="001C20A9">
            <w:pPr>
              <w:spacing w:before="80" w:after="80"/>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val="en-US" w:eastAsia="en-AU"/>
              </w:rPr>
            </w:pPr>
            <w:r w:rsidRPr="001C20A9">
              <w:rPr>
                <w:rFonts w:eastAsia="Times New Roman" w:cs="Times New Roman"/>
                <w:szCs w:val="24"/>
                <w:lang w:val="en-US" w:eastAsia="en-AU"/>
              </w:rPr>
              <w:t xml:space="preserve">Reduced cascading failures across interconnected sectors </w:t>
            </w:r>
            <w:proofErr w:type="gramStart"/>
            <w:r w:rsidRPr="001C20A9">
              <w:rPr>
                <w:rFonts w:eastAsia="Times New Roman" w:cs="Times New Roman"/>
                <w:szCs w:val="24"/>
                <w:lang w:val="en-US" w:eastAsia="en-AU"/>
              </w:rPr>
              <w:t>supports</w:t>
            </w:r>
            <w:proofErr w:type="gramEnd"/>
            <w:r w:rsidRPr="001C20A9">
              <w:rPr>
                <w:rFonts w:eastAsia="Times New Roman" w:cs="Times New Roman"/>
                <w:szCs w:val="24"/>
                <w:lang w:val="en-US" w:eastAsia="en-AU"/>
              </w:rPr>
              <w:t xml:space="preserve"> </w:t>
            </w:r>
            <w:r w:rsidR="00D467AB">
              <w:rPr>
                <w:rFonts w:eastAsia="Times New Roman" w:cs="Times New Roman"/>
                <w:szCs w:val="24"/>
                <w:lang w:val="en-US" w:eastAsia="en-AU"/>
              </w:rPr>
              <w:t xml:space="preserve">the </w:t>
            </w:r>
            <w:r w:rsidRPr="001C20A9">
              <w:rPr>
                <w:rFonts w:eastAsia="Times New Roman" w:cs="Times New Roman"/>
                <w:szCs w:val="24"/>
                <w:lang w:val="en-US" w:eastAsia="en-AU"/>
              </w:rPr>
              <w:t>continuity of goods and services</w:t>
            </w:r>
          </w:p>
        </w:tc>
        <w:tc>
          <w:tcPr>
            <w:tcW w:w="0" w:type="auto"/>
            <w:hideMark/>
          </w:tcPr>
          <w:p w14:paraId="4F268F2E" w14:textId="77777777" w:rsidR="001C20A9" w:rsidRPr="001C20A9" w:rsidRDefault="001C20A9" w:rsidP="001C20A9">
            <w:pPr>
              <w:spacing w:before="80" w:after="80"/>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val="en-US" w:eastAsia="en-AU"/>
              </w:rPr>
            </w:pPr>
            <w:r w:rsidRPr="001C20A9">
              <w:rPr>
                <w:rFonts w:eastAsia="Times New Roman" w:cs="Times New Roman"/>
                <w:szCs w:val="24"/>
                <w:lang w:val="en-US" w:eastAsia="en-AU"/>
              </w:rPr>
              <w:t>Medium term</w:t>
            </w:r>
          </w:p>
        </w:tc>
      </w:tr>
      <w:tr w:rsidR="00E0453E" w:rsidRPr="001C20A9" w14:paraId="088517CC" w14:textId="77777777" w:rsidTr="003010C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30521DC1" w14:textId="77777777" w:rsidR="001C20A9" w:rsidRPr="001C20A9" w:rsidRDefault="001C20A9" w:rsidP="001C20A9">
            <w:pPr>
              <w:spacing w:before="80" w:after="80"/>
              <w:rPr>
                <w:rFonts w:eastAsia="Times New Roman" w:cs="Times New Roman"/>
                <w:szCs w:val="24"/>
                <w:lang w:val="en-US" w:eastAsia="en-AU"/>
              </w:rPr>
            </w:pPr>
            <w:proofErr w:type="spellStart"/>
            <w:r w:rsidRPr="001C20A9">
              <w:rPr>
                <w:rFonts w:eastAsia="Times New Roman" w:cs="Times New Roman"/>
                <w:szCs w:val="24"/>
                <w:lang w:val="en-US" w:eastAsia="en-AU"/>
              </w:rPr>
              <w:t>Labour</w:t>
            </w:r>
            <w:proofErr w:type="spellEnd"/>
            <w:r w:rsidRPr="001C20A9">
              <w:rPr>
                <w:rFonts w:eastAsia="Times New Roman" w:cs="Times New Roman"/>
                <w:szCs w:val="24"/>
                <w:lang w:val="en-US" w:eastAsia="en-AU"/>
              </w:rPr>
              <w:t xml:space="preserve"> market stability</w:t>
            </w:r>
          </w:p>
        </w:tc>
        <w:tc>
          <w:tcPr>
            <w:tcW w:w="0" w:type="auto"/>
            <w:hideMark/>
          </w:tcPr>
          <w:p w14:paraId="594C40B7" w14:textId="77777777" w:rsidR="001C20A9" w:rsidRPr="001C20A9" w:rsidRDefault="001C20A9" w:rsidP="001C20A9">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n-US" w:eastAsia="en-AU"/>
              </w:rPr>
            </w:pPr>
            <w:r w:rsidRPr="001C20A9">
              <w:rPr>
                <w:rFonts w:eastAsia="Times New Roman" w:cs="Times New Roman"/>
                <w:szCs w:val="24"/>
                <w:lang w:val="en-US" w:eastAsia="en-AU"/>
              </w:rPr>
              <w:t>Reduced workforce disruption from insider threats or security incidents</w:t>
            </w:r>
          </w:p>
        </w:tc>
        <w:tc>
          <w:tcPr>
            <w:tcW w:w="0" w:type="auto"/>
            <w:hideMark/>
          </w:tcPr>
          <w:p w14:paraId="5D5B90E2" w14:textId="7DF79A67" w:rsidR="001C20A9" w:rsidRPr="001C20A9" w:rsidRDefault="001C20A9" w:rsidP="001C20A9">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n-US" w:eastAsia="en-AU"/>
              </w:rPr>
            </w:pPr>
            <w:r w:rsidRPr="001C20A9">
              <w:rPr>
                <w:rFonts w:eastAsia="Times New Roman" w:cs="Times New Roman"/>
                <w:szCs w:val="24"/>
                <w:lang w:val="en-US" w:eastAsia="en-AU"/>
              </w:rPr>
              <w:t xml:space="preserve">Strengthened personnel security and background </w:t>
            </w:r>
            <w:r w:rsidR="00007852">
              <w:rPr>
                <w:rFonts w:eastAsia="Times New Roman" w:cs="Times New Roman"/>
                <w:szCs w:val="24"/>
                <w:lang w:val="en-US" w:eastAsia="en-AU"/>
              </w:rPr>
              <w:t>checks</w:t>
            </w:r>
            <w:r w:rsidRPr="001C20A9">
              <w:rPr>
                <w:rFonts w:eastAsia="Times New Roman" w:cs="Times New Roman"/>
                <w:szCs w:val="24"/>
                <w:lang w:val="en-US" w:eastAsia="en-AU"/>
              </w:rPr>
              <w:t xml:space="preserve"> reduce internal risk events</w:t>
            </w:r>
          </w:p>
        </w:tc>
        <w:tc>
          <w:tcPr>
            <w:tcW w:w="0" w:type="auto"/>
            <w:hideMark/>
          </w:tcPr>
          <w:p w14:paraId="1CD2173A" w14:textId="77777777" w:rsidR="001C20A9" w:rsidRPr="001C20A9" w:rsidRDefault="001C20A9" w:rsidP="001C20A9">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n-US" w:eastAsia="en-AU"/>
              </w:rPr>
            </w:pPr>
            <w:r w:rsidRPr="001C20A9">
              <w:rPr>
                <w:rFonts w:eastAsia="Times New Roman" w:cs="Times New Roman"/>
                <w:szCs w:val="24"/>
                <w:lang w:val="en-US" w:eastAsia="en-AU"/>
              </w:rPr>
              <w:t xml:space="preserve">More stable workforce operations </w:t>
            </w:r>
            <w:proofErr w:type="spellStart"/>
            <w:r w:rsidRPr="001C20A9">
              <w:rPr>
                <w:rFonts w:eastAsia="Times New Roman" w:cs="Times New Roman"/>
                <w:szCs w:val="24"/>
                <w:lang w:val="en-US" w:eastAsia="en-AU"/>
              </w:rPr>
              <w:t>minimise</w:t>
            </w:r>
            <w:proofErr w:type="spellEnd"/>
            <w:r w:rsidRPr="001C20A9">
              <w:rPr>
                <w:rFonts w:eastAsia="Times New Roman" w:cs="Times New Roman"/>
                <w:szCs w:val="24"/>
                <w:lang w:val="en-US" w:eastAsia="en-AU"/>
              </w:rPr>
              <w:t xml:space="preserve"> productivity losses and service interruptions</w:t>
            </w:r>
          </w:p>
        </w:tc>
        <w:tc>
          <w:tcPr>
            <w:tcW w:w="0" w:type="auto"/>
            <w:hideMark/>
          </w:tcPr>
          <w:p w14:paraId="42D1DFD7" w14:textId="77777777" w:rsidR="001C20A9" w:rsidRPr="001C20A9" w:rsidRDefault="001C20A9" w:rsidP="001C20A9">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n-US" w:eastAsia="en-AU"/>
              </w:rPr>
            </w:pPr>
            <w:r w:rsidRPr="001C20A9">
              <w:rPr>
                <w:rFonts w:eastAsia="Times New Roman" w:cs="Times New Roman"/>
                <w:szCs w:val="24"/>
                <w:lang w:val="en-US" w:eastAsia="en-AU"/>
              </w:rPr>
              <w:t>Medium term</w:t>
            </w:r>
          </w:p>
        </w:tc>
      </w:tr>
      <w:tr w:rsidR="00E0453E" w:rsidRPr="001C20A9" w14:paraId="1237F3D8" w14:textId="77777777" w:rsidTr="003010C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74EE94AB" w14:textId="77777777" w:rsidR="001C20A9" w:rsidRPr="001C20A9" w:rsidRDefault="001C20A9" w:rsidP="001C20A9">
            <w:pPr>
              <w:spacing w:before="80" w:after="80"/>
              <w:rPr>
                <w:rFonts w:eastAsia="Times New Roman" w:cs="Times New Roman"/>
                <w:szCs w:val="24"/>
                <w:lang w:val="en-US" w:eastAsia="en-AU"/>
              </w:rPr>
            </w:pPr>
            <w:r w:rsidRPr="001C20A9">
              <w:rPr>
                <w:rFonts w:eastAsia="Times New Roman" w:cs="Times New Roman"/>
                <w:szCs w:val="24"/>
                <w:lang w:val="en-US" w:eastAsia="en-AU"/>
              </w:rPr>
              <w:t>Cost avoidance</w:t>
            </w:r>
          </w:p>
        </w:tc>
        <w:tc>
          <w:tcPr>
            <w:tcW w:w="0" w:type="auto"/>
            <w:hideMark/>
          </w:tcPr>
          <w:p w14:paraId="7FCA60B9" w14:textId="77777777" w:rsidR="001C20A9" w:rsidRPr="001C20A9" w:rsidRDefault="001C20A9" w:rsidP="001C20A9">
            <w:pPr>
              <w:spacing w:before="80" w:after="80"/>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val="en-US" w:eastAsia="en-AU"/>
              </w:rPr>
            </w:pPr>
            <w:r w:rsidRPr="001C20A9">
              <w:rPr>
                <w:rFonts w:eastAsia="Times New Roman" w:cs="Times New Roman"/>
                <w:szCs w:val="24"/>
                <w:lang w:val="en-US" w:eastAsia="en-AU"/>
              </w:rPr>
              <w:t>Avoidance of high-cost incident response and recovery activities</w:t>
            </w:r>
          </w:p>
        </w:tc>
        <w:tc>
          <w:tcPr>
            <w:tcW w:w="0" w:type="auto"/>
            <w:hideMark/>
          </w:tcPr>
          <w:p w14:paraId="11ED9C1C" w14:textId="1EEB5410" w:rsidR="001C20A9" w:rsidRPr="001C20A9" w:rsidRDefault="001C20A9" w:rsidP="001C20A9">
            <w:pPr>
              <w:spacing w:before="80" w:after="80"/>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val="en-US" w:eastAsia="en-AU"/>
              </w:rPr>
            </w:pPr>
            <w:r w:rsidRPr="001C20A9">
              <w:rPr>
                <w:rFonts w:eastAsia="Times New Roman" w:cs="Times New Roman"/>
                <w:szCs w:val="24"/>
                <w:lang w:val="en-US" w:eastAsia="en-AU"/>
              </w:rPr>
              <w:t xml:space="preserve">Proactive risk mitigation reduces </w:t>
            </w:r>
            <w:r w:rsidR="00007852">
              <w:rPr>
                <w:rFonts w:eastAsia="Times New Roman" w:cs="Times New Roman"/>
                <w:szCs w:val="24"/>
                <w:lang w:val="en-US" w:eastAsia="en-AU"/>
              </w:rPr>
              <w:t xml:space="preserve">the </w:t>
            </w:r>
            <w:r w:rsidRPr="001C20A9">
              <w:rPr>
                <w:rFonts w:eastAsia="Times New Roman" w:cs="Times New Roman"/>
                <w:szCs w:val="24"/>
                <w:lang w:val="en-US" w:eastAsia="en-AU"/>
              </w:rPr>
              <w:t>likelihood of major incidents requiring emergency response</w:t>
            </w:r>
          </w:p>
        </w:tc>
        <w:tc>
          <w:tcPr>
            <w:tcW w:w="0" w:type="auto"/>
            <w:hideMark/>
          </w:tcPr>
          <w:p w14:paraId="638A9E3C" w14:textId="77777777" w:rsidR="001C20A9" w:rsidRPr="001C20A9" w:rsidRDefault="001C20A9" w:rsidP="001C20A9">
            <w:pPr>
              <w:spacing w:before="80" w:after="80"/>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val="en-US" w:eastAsia="en-AU"/>
              </w:rPr>
            </w:pPr>
            <w:r w:rsidRPr="001C20A9">
              <w:rPr>
                <w:rFonts w:eastAsia="Times New Roman" w:cs="Times New Roman"/>
                <w:szCs w:val="24"/>
                <w:lang w:val="en-US" w:eastAsia="en-AU"/>
              </w:rPr>
              <w:t>Lower unplanned expenditure on remediation, legal, reputational and recovery costs</w:t>
            </w:r>
          </w:p>
        </w:tc>
        <w:tc>
          <w:tcPr>
            <w:tcW w:w="0" w:type="auto"/>
            <w:hideMark/>
          </w:tcPr>
          <w:p w14:paraId="57E54940" w14:textId="77777777" w:rsidR="001C20A9" w:rsidRPr="001C20A9" w:rsidRDefault="001C20A9" w:rsidP="001C20A9">
            <w:pPr>
              <w:spacing w:before="80" w:after="80"/>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val="en-US" w:eastAsia="en-AU"/>
              </w:rPr>
            </w:pPr>
            <w:r w:rsidRPr="001C20A9">
              <w:rPr>
                <w:rFonts w:eastAsia="Times New Roman" w:cs="Times New Roman"/>
                <w:szCs w:val="24"/>
                <w:lang w:val="en-US" w:eastAsia="en-AU"/>
              </w:rPr>
              <w:t>Medium to long term</w:t>
            </w:r>
          </w:p>
        </w:tc>
      </w:tr>
      <w:tr w:rsidR="00E0453E" w:rsidRPr="001C20A9" w14:paraId="2CC41BBB" w14:textId="77777777" w:rsidTr="003010C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079265E9" w14:textId="77777777" w:rsidR="001C20A9" w:rsidRPr="001C20A9" w:rsidRDefault="001C20A9" w:rsidP="001C20A9">
            <w:pPr>
              <w:spacing w:before="80" w:after="80"/>
              <w:rPr>
                <w:rFonts w:eastAsia="Times New Roman" w:cs="Times New Roman"/>
                <w:szCs w:val="24"/>
                <w:lang w:val="en-US" w:eastAsia="en-AU"/>
              </w:rPr>
            </w:pPr>
            <w:r w:rsidRPr="001C20A9">
              <w:rPr>
                <w:rFonts w:eastAsia="Times New Roman" w:cs="Times New Roman"/>
                <w:szCs w:val="24"/>
                <w:lang w:val="en-US" w:eastAsia="en-AU"/>
              </w:rPr>
              <w:lastRenderedPageBreak/>
              <w:t>Interoperability</w:t>
            </w:r>
          </w:p>
        </w:tc>
        <w:tc>
          <w:tcPr>
            <w:tcW w:w="0" w:type="auto"/>
            <w:hideMark/>
          </w:tcPr>
          <w:p w14:paraId="165C5737" w14:textId="77777777" w:rsidR="001C20A9" w:rsidRPr="001C20A9" w:rsidRDefault="001C20A9" w:rsidP="001C20A9">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n-US" w:eastAsia="en-AU"/>
              </w:rPr>
            </w:pPr>
            <w:r w:rsidRPr="001C20A9">
              <w:rPr>
                <w:rFonts w:eastAsia="Times New Roman" w:cs="Times New Roman"/>
                <w:szCs w:val="24"/>
                <w:lang w:val="en-US" w:eastAsia="en-AU"/>
              </w:rPr>
              <w:t>Greater consistency across sectors and jurisdictions</w:t>
            </w:r>
          </w:p>
        </w:tc>
        <w:tc>
          <w:tcPr>
            <w:tcW w:w="0" w:type="auto"/>
            <w:hideMark/>
          </w:tcPr>
          <w:p w14:paraId="6F8A9BF7" w14:textId="77777777" w:rsidR="001C20A9" w:rsidRPr="001C20A9" w:rsidRDefault="001C20A9" w:rsidP="001C20A9">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n-US" w:eastAsia="en-AU"/>
              </w:rPr>
            </w:pPr>
            <w:r w:rsidRPr="001C20A9">
              <w:rPr>
                <w:rFonts w:eastAsia="Times New Roman" w:cs="Times New Roman"/>
                <w:szCs w:val="24"/>
                <w:lang w:val="en-US" w:eastAsia="en-AU"/>
              </w:rPr>
              <w:t xml:space="preserve">Clarified and </w:t>
            </w:r>
            <w:proofErr w:type="spellStart"/>
            <w:r w:rsidRPr="001C20A9">
              <w:rPr>
                <w:rFonts w:eastAsia="Times New Roman" w:cs="Times New Roman"/>
                <w:szCs w:val="24"/>
                <w:lang w:val="en-US" w:eastAsia="en-AU"/>
              </w:rPr>
              <w:t>formalised</w:t>
            </w:r>
            <w:proofErr w:type="spellEnd"/>
            <w:r w:rsidRPr="001C20A9">
              <w:rPr>
                <w:rFonts w:eastAsia="Times New Roman" w:cs="Times New Roman"/>
                <w:szCs w:val="24"/>
                <w:lang w:val="en-US" w:eastAsia="en-AU"/>
              </w:rPr>
              <w:t xml:space="preserve"> requirements create a more uniform baseline of risk management maturity</w:t>
            </w:r>
          </w:p>
        </w:tc>
        <w:tc>
          <w:tcPr>
            <w:tcW w:w="0" w:type="auto"/>
            <w:hideMark/>
          </w:tcPr>
          <w:p w14:paraId="338E3B68" w14:textId="5C8EB781" w:rsidR="001C20A9" w:rsidRPr="001C20A9" w:rsidRDefault="001C20A9" w:rsidP="001C20A9">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n-US" w:eastAsia="en-AU"/>
              </w:rPr>
            </w:pPr>
            <w:r w:rsidRPr="001C20A9">
              <w:rPr>
                <w:rFonts w:eastAsia="Times New Roman" w:cs="Times New Roman"/>
                <w:szCs w:val="24"/>
                <w:lang w:val="en-US" w:eastAsia="en-AU"/>
              </w:rPr>
              <w:t xml:space="preserve">Easier coordination between operators and </w:t>
            </w:r>
            <w:r w:rsidR="00007852">
              <w:rPr>
                <w:rFonts w:eastAsia="Times New Roman" w:cs="Times New Roman"/>
                <w:szCs w:val="24"/>
                <w:lang w:val="en-US" w:eastAsia="en-AU"/>
              </w:rPr>
              <w:t>G</w:t>
            </w:r>
            <w:r w:rsidRPr="001C20A9">
              <w:rPr>
                <w:rFonts w:eastAsia="Times New Roman" w:cs="Times New Roman"/>
                <w:szCs w:val="24"/>
                <w:lang w:val="en-US" w:eastAsia="en-AU"/>
              </w:rPr>
              <w:t>overnment during incidents reduces systemic impacts</w:t>
            </w:r>
          </w:p>
        </w:tc>
        <w:tc>
          <w:tcPr>
            <w:tcW w:w="0" w:type="auto"/>
            <w:hideMark/>
          </w:tcPr>
          <w:p w14:paraId="7289D52D" w14:textId="77777777" w:rsidR="001C20A9" w:rsidRPr="001C20A9" w:rsidRDefault="001C20A9" w:rsidP="001C20A9">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n-US" w:eastAsia="en-AU"/>
              </w:rPr>
            </w:pPr>
            <w:r w:rsidRPr="001C20A9">
              <w:rPr>
                <w:rFonts w:eastAsia="Times New Roman" w:cs="Times New Roman"/>
                <w:szCs w:val="24"/>
                <w:lang w:val="en-US" w:eastAsia="en-AU"/>
              </w:rPr>
              <w:t>Medium term</w:t>
            </w:r>
          </w:p>
        </w:tc>
      </w:tr>
      <w:tr w:rsidR="00E0453E" w:rsidRPr="001C20A9" w14:paraId="1FBB6524" w14:textId="77777777" w:rsidTr="003010C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7A689C7D" w14:textId="77777777" w:rsidR="001C20A9" w:rsidRPr="001C20A9" w:rsidRDefault="001C20A9" w:rsidP="001C20A9">
            <w:pPr>
              <w:spacing w:before="80" w:after="80"/>
              <w:rPr>
                <w:rFonts w:eastAsia="Times New Roman" w:cs="Times New Roman"/>
                <w:szCs w:val="24"/>
                <w:lang w:val="en-US" w:eastAsia="en-AU"/>
              </w:rPr>
            </w:pPr>
            <w:r w:rsidRPr="001C20A9">
              <w:rPr>
                <w:rFonts w:eastAsia="Times New Roman" w:cs="Times New Roman"/>
                <w:szCs w:val="24"/>
                <w:lang w:val="en-US" w:eastAsia="en-AU"/>
              </w:rPr>
              <w:t>Innovation enablement</w:t>
            </w:r>
          </w:p>
        </w:tc>
        <w:tc>
          <w:tcPr>
            <w:tcW w:w="0" w:type="auto"/>
            <w:hideMark/>
          </w:tcPr>
          <w:p w14:paraId="1A485329" w14:textId="77777777" w:rsidR="001C20A9" w:rsidRPr="001C20A9" w:rsidRDefault="001C20A9" w:rsidP="001C20A9">
            <w:pPr>
              <w:spacing w:before="80" w:after="80"/>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val="en-US" w:eastAsia="en-AU"/>
              </w:rPr>
            </w:pPr>
            <w:r w:rsidRPr="001C20A9">
              <w:rPr>
                <w:rFonts w:eastAsia="Times New Roman" w:cs="Times New Roman"/>
                <w:szCs w:val="24"/>
                <w:lang w:val="en-US" w:eastAsia="en-AU"/>
              </w:rPr>
              <w:t>Safer adoption of emerging technologies</w:t>
            </w:r>
          </w:p>
        </w:tc>
        <w:tc>
          <w:tcPr>
            <w:tcW w:w="0" w:type="auto"/>
            <w:hideMark/>
          </w:tcPr>
          <w:p w14:paraId="63AB0703" w14:textId="77777777" w:rsidR="001C20A9" w:rsidRPr="001C20A9" w:rsidRDefault="001C20A9" w:rsidP="001C20A9">
            <w:pPr>
              <w:spacing w:before="80" w:after="80"/>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val="en-US" w:eastAsia="en-AU"/>
              </w:rPr>
            </w:pPr>
            <w:r w:rsidRPr="001C20A9">
              <w:rPr>
                <w:rFonts w:eastAsia="Times New Roman" w:cs="Times New Roman"/>
                <w:szCs w:val="24"/>
                <w:lang w:val="en-US" w:eastAsia="en-AU"/>
              </w:rPr>
              <w:t>Requirement to assess risks from emerging technologies enables managed innovation</w:t>
            </w:r>
          </w:p>
        </w:tc>
        <w:tc>
          <w:tcPr>
            <w:tcW w:w="0" w:type="auto"/>
            <w:hideMark/>
          </w:tcPr>
          <w:p w14:paraId="3338E3FE" w14:textId="77777777" w:rsidR="001C20A9" w:rsidRPr="001C20A9" w:rsidRDefault="001C20A9" w:rsidP="001C20A9">
            <w:pPr>
              <w:spacing w:before="80" w:after="80"/>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val="en-US" w:eastAsia="en-AU"/>
              </w:rPr>
            </w:pPr>
            <w:r w:rsidRPr="001C20A9">
              <w:rPr>
                <w:rFonts w:eastAsia="Times New Roman" w:cs="Times New Roman"/>
                <w:szCs w:val="24"/>
                <w:lang w:val="en-US" w:eastAsia="en-AU"/>
              </w:rPr>
              <w:t>Increased uptake of productivity-enhancing technologies without introducing unmanaged systemic risk</w:t>
            </w:r>
          </w:p>
        </w:tc>
        <w:tc>
          <w:tcPr>
            <w:tcW w:w="0" w:type="auto"/>
            <w:hideMark/>
          </w:tcPr>
          <w:p w14:paraId="288F6250" w14:textId="77777777" w:rsidR="001C20A9" w:rsidRPr="001C20A9" w:rsidRDefault="001C20A9" w:rsidP="001C20A9">
            <w:pPr>
              <w:spacing w:before="80" w:after="80"/>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val="en-US" w:eastAsia="en-AU"/>
              </w:rPr>
            </w:pPr>
            <w:r w:rsidRPr="001C20A9">
              <w:rPr>
                <w:rFonts w:eastAsia="Times New Roman" w:cs="Times New Roman"/>
                <w:szCs w:val="24"/>
                <w:lang w:val="en-US" w:eastAsia="en-AU"/>
              </w:rPr>
              <w:t>Medium to long term</w:t>
            </w:r>
          </w:p>
        </w:tc>
      </w:tr>
      <w:tr w:rsidR="00E0453E" w:rsidRPr="001C20A9" w14:paraId="5125E68E" w14:textId="77777777" w:rsidTr="003010C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7323D3E4" w14:textId="77777777" w:rsidR="001C20A9" w:rsidRPr="001C20A9" w:rsidRDefault="001C20A9" w:rsidP="001C20A9">
            <w:pPr>
              <w:spacing w:before="80" w:after="80"/>
              <w:rPr>
                <w:rFonts w:eastAsia="Times New Roman" w:cs="Times New Roman"/>
                <w:szCs w:val="24"/>
                <w:lang w:val="en-US" w:eastAsia="en-AU"/>
              </w:rPr>
            </w:pPr>
            <w:r w:rsidRPr="001C20A9">
              <w:rPr>
                <w:rFonts w:eastAsia="Times New Roman" w:cs="Times New Roman"/>
                <w:szCs w:val="24"/>
                <w:lang w:val="en-US" w:eastAsia="en-AU"/>
              </w:rPr>
              <w:t>Asset longevity</w:t>
            </w:r>
          </w:p>
        </w:tc>
        <w:tc>
          <w:tcPr>
            <w:tcW w:w="0" w:type="auto"/>
            <w:hideMark/>
          </w:tcPr>
          <w:p w14:paraId="4084CC69" w14:textId="77777777" w:rsidR="001C20A9" w:rsidRPr="001C20A9" w:rsidRDefault="001C20A9" w:rsidP="001C20A9">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n-US" w:eastAsia="en-AU"/>
              </w:rPr>
            </w:pPr>
            <w:r w:rsidRPr="001C20A9">
              <w:rPr>
                <w:rFonts w:eastAsia="Times New Roman" w:cs="Times New Roman"/>
                <w:szCs w:val="24"/>
                <w:lang w:val="en-US" w:eastAsia="en-AU"/>
              </w:rPr>
              <w:t>Improved protection of physical infrastructure assets</w:t>
            </w:r>
          </w:p>
        </w:tc>
        <w:tc>
          <w:tcPr>
            <w:tcW w:w="0" w:type="auto"/>
            <w:hideMark/>
          </w:tcPr>
          <w:p w14:paraId="41A2B847" w14:textId="77777777" w:rsidR="001C20A9" w:rsidRPr="001C20A9" w:rsidRDefault="001C20A9" w:rsidP="001C20A9">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n-US" w:eastAsia="en-AU"/>
              </w:rPr>
            </w:pPr>
            <w:r w:rsidRPr="001C20A9">
              <w:rPr>
                <w:rFonts w:eastAsia="Times New Roman" w:cs="Times New Roman"/>
                <w:szCs w:val="24"/>
                <w:lang w:val="en-US" w:eastAsia="en-AU"/>
              </w:rPr>
              <w:t>Introduction of physical security planning reduces risks of theft, vandalism and sabotage</w:t>
            </w:r>
          </w:p>
        </w:tc>
        <w:tc>
          <w:tcPr>
            <w:tcW w:w="0" w:type="auto"/>
            <w:hideMark/>
          </w:tcPr>
          <w:p w14:paraId="1A84575C" w14:textId="77777777" w:rsidR="001C20A9" w:rsidRPr="001C20A9" w:rsidRDefault="001C20A9" w:rsidP="001C20A9">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n-US" w:eastAsia="en-AU"/>
              </w:rPr>
            </w:pPr>
            <w:r w:rsidRPr="001C20A9">
              <w:rPr>
                <w:rFonts w:eastAsia="Times New Roman" w:cs="Times New Roman"/>
                <w:szCs w:val="24"/>
                <w:lang w:val="en-US" w:eastAsia="en-AU"/>
              </w:rPr>
              <w:t>Extended asset life and reduced maintenance or replacement costs support long-term capital efficiency</w:t>
            </w:r>
          </w:p>
        </w:tc>
        <w:tc>
          <w:tcPr>
            <w:tcW w:w="0" w:type="auto"/>
            <w:hideMark/>
          </w:tcPr>
          <w:p w14:paraId="6218168C" w14:textId="77777777" w:rsidR="001C20A9" w:rsidRPr="001C20A9" w:rsidRDefault="001C20A9" w:rsidP="001C20A9">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val="en-US" w:eastAsia="en-AU"/>
              </w:rPr>
            </w:pPr>
            <w:r w:rsidRPr="001C20A9">
              <w:rPr>
                <w:rFonts w:eastAsia="Times New Roman" w:cs="Times New Roman"/>
                <w:szCs w:val="24"/>
                <w:lang w:val="en-US" w:eastAsia="en-AU"/>
              </w:rPr>
              <w:t>Long term</w:t>
            </w:r>
          </w:p>
        </w:tc>
      </w:tr>
      <w:tr w:rsidR="00E0453E" w:rsidRPr="001C20A9" w14:paraId="572FF4BB" w14:textId="77777777" w:rsidTr="003010C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360AAC6E" w14:textId="77777777" w:rsidR="001C20A9" w:rsidRPr="001C20A9" w:rsidRDefault="001C20A9" w:rsidP="001C20A9">
            <w:pPr>
              <w:spacing w:before="80" w:after="80"/>
              <w:rPr>
                <w:rFonts w:eastAsia="Times New Roman" w:cs="Times New Roman"/>
                <w:szCs w:val="24"/>
                <w:lang w:val="en-US" w:eastAsia="en-AU"/>
              </w:rPr>
            </w:pPr>
            <w:r w:rsidRPr="001C20A9">
              <w:rPr>
                <w:rFonts w:eastAsia="Times New Roman" w:cs="Times New Roman"/>
                <w:szCs w:val="24"/>
                <w:lang w:val="en-US" w:eastAsia="en-AU"/>
              </w:rPr>
              <w:t>System-wide risk reduction</w:t>
            </w:r>
          </w:p>
        </w:tc>
        <w:tc>
          <w:tcPr>
            <w:tcW w:w="0" w:type="auto"/>
            <w:hideMark/>
          </w:tcPr>
          <w:p w14:paraId="5285BF71" w14:textId="77777777" w:rsidR="001C20A9" w:rsidRPr="001C20A9" w:rsidRDefault="001C20A9" w:rsidP="001C20A9">
            <w:pPr>
              <w:spacing w:before="80" w:after="80"/>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val="en-US" w:eastAsia="en-AU"/>
              </w:rPr>
            </w:pPr>
            <w:r w:rsidRPr="001C20A9">
              <w:rPr>
                <w:rFonts w:eastAsia="Times New Roman" w:cs="Times New Roman"/>
                <w:szCs w:val="24"/>
                <w:lang w:val="en-US" w:eastAsia="en-AU"/>
              </w:rPr>
              <w:t>Reduced systemic and cascading economic shocks</w:t>
            </w:r>
          </w:p>
        </w:tc>
        <w:tc>
          <w:tcPr>
            <w:tcW w:w="0" w:type="auto"/>
            <w:hideMark/>
          </w:tcPr>
          <w:p w14:paraId="700E36D4" w14:textId="77777777" w:rsidR="001C20A9" w:rsidRPr="001C20A9" w:rsidRDefault="001C20A9" w:rsidP="001C20A9">
            <w:pPr>
              <w:spacing w:before="80" w:after="80"/>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val="en-US" w:eastAsia="en-AU"/>
              </w:rPr>
            </w:pPr>
            <w:r w:rsidRPr="001C20A9">
              <w:rPr>
                <w:rFonts w:eastAsia="Times New Roman" w:cs="Times New Roman"/>
                <w:szCs w:val="24"/>
                <w:lang w:val="en-US" w:eastAsia="en-AU"/>
              </w:rPr>
              <w:t>Holistic, all-hazards risk management improves identification of interdependencies and shared risks</w:t>
            </w:r>
          </w:p>
        </w:tc>
        <w:tc>
          <w:tcPr>
            <w:tcW w:w="0" w:type="auto"/>
            <w:hideMark/>
          </w:tcPr>
          <w:p w14:paraId="6C5A489E" w14:textId="77777777" w:rsidR="001C20A9" w:rsidRPr="001C20A9" w:rsidRDefault="001C20A9" w:rsidP="001C20A9">
            <w:pPr>
              <w:spacing w:before="80" w:after="80"/>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val="en-US" w:eastAsia="en-AU"/>
              </w:rPr>
            </w:pPr>
            <w:r w:rsidRPr="001C20A9">
              <w:rPr>
                <w:rFonts w:eastAsia="Times New Roman" w:cs="Times New Roman"/>
                <w:szCs w:val="24"/>
                <w:lang w:val="en-US" w:eastAsia="en-AU"/>
              </w:rPr>
              <w:t>Greater national economic stability through reduced likelihood of multi-sector disruptions</w:t>
            </w:r>
          </w:p>
        </w:tc>
        <w:tc>
          <w:tcPr>
            <w:tcW w:w="0" w:type="auto"/>
            <w:hideMark/>
          </w:tcPr>
          <w:p w14:paraId="5EA0BAED" w14:textId="77777777" w:rsidR="001C20A9" w:rsidRPr="001C20A9" w:rsidRDefault="001C20A9" w:rsidP="001C20A9">
            <w:pPr>
              <w:spacing w:before="80" w:after="80"/>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val="en-US" w:eastAsia="en-AU"/>
              </w:rPr>
            </w:pPr>
            <w:r w:rsidRPr="001C20A9">
              <w:rPr>
                <w:rFonts w:eastAsia="Times New Roman" w:cs="Times New Roman"/>
                <w:szCs w:val="24"/>
                <w:lang w:val="en-US" w:eastAsia="en-AU"/>
              </w:rPr>
              <w:t>Long term</w:t>
            </w:r>
          </w:p>
        </w:tc>
      </w:tr>
    </w:tbl>
    <w:p w14:paraId="66CC4902" w14:textId="3EA5F60E" w:rsidR="008C4287" w:rsidRDefault="001D1EBC" w:rsidP="00767243">
      <w:pPr>
        <w:pStyle w:val="BodyText"/>
      </w:pPr>
      <w:r w:rsidRPr="001D1EBC">
        <w:t xml:space="preserve">Overall, the </w:t>
      </w:r>
      <w:r w:rsidR="00433662">
        <w:t xml:space="preserve">proposed rule </w:t>
      </w:r>
      <w:r w:rsidRPr="001D1EBC">
        <w:t>enhanc</w:t>
      </w:r>
      <w:r w:rsidR="00433662">
        <w:t>ements</w:t>
      </w:r>
      <w:r w:rsidRPr="001D1EBC">
        <w:t xml:space="preserve"> CIRMP supports a more consistent, mature and forward-looking risk management posture across critical infrastructure sectors. This underpins economic stability by reducing systemic vulnerabilities, improving operational efficiency, and enabling sustained investment and growth across the Australian economy.</w:t>
      </w:r>
      <w:r w:rsidR="00270FC9">
        <w:t xml:space="preserve"> </w:t>
      </w:r>
      <w:r w:rsidR="008C4287" w:rsidRPr="008C4287">
        <w:t>These benefits are consistent with the economic logic applied in the 202</w:t>
      </w:r>
      <w:r w:rsidR="00767243">
        <w:t>2 RIS</w:t>
      </w:r>
      <w:r w:rsidR="00273FF4">
        <w:t>,</w:t>
      </w:r>
      <w:r w:rsidR="008C4287" w:rsidRPr="008C4287">
        <w:t xml:space="preserve"> which identified avoided disruption costs, improved resilience and continuity of essential services as the primary sources of net economic benefit.</w:t>
      </w:r>
    </w:p>
    <w:p w14:paraId="1F32ABCB" w14:textId="3218198B" w:rsidR="00B07BC8" w:rsidRPr="00B07BC8" w:rsidRDefault="00B07BC8" w:rsidP="00B07BC8">
      <w:pPr>
        <w:pStyle w:val="Heading1numbered"/>
        <w:rPr>
          <w:lang w:eastAsia="en-AU"/>
        </w:rPr>
      </w:pPr>
      <w:bookmarkStart w:id="44" w:name="_Toc226463714"/>
      <w:bookmarkStart w:id="45" w:name="_Toc226463890"/>
      <w:bookmarkStart w:id="46" w:name="_Toc228391067"/>
      <w:r w:rsidRPr="00B07BC8">
        <w:rPr>
          <w:lang w:eastAsia="en-AU"/>
        </w:rPr>
        <w:t>Consultation</w:t>
      </w:r>
      <w:bookmarkEnd w:id="44"/>
      <w:bookmarkEnd w:id="45"/>
      <w:bookmarkEnd w:id="46"/>
    </w:p>
    <w:p w14:paraId="4E1799E1" w14:textId="518475AF" w:rsidR="00210DAC" w:rsidRPr="00210DAC" w:rsidRDefault="00210DAC" w:rsidP="00210DAC">
      <w:pPr>
        <w:pStyle w:val="BodyText"/>
      </w:pPr>
      <w:bookmarkStart w:id="47" w:name="_Toc226463715"/>
      <w:bookmarkStart w:id="48" w:name="_Toc226463891"/>
      <w:r w:rsidRPr="00210DAC">
        <w:t xml:space="preserve">Consultation on the enhanced CIRMP Rules has occurred in stages. The first stage was </w:t>
      </w:r>
      <w:r w:rsidR="004C5892">
        <w:t>a</w:t>
      </w:r>
      <w:r w:rsidRPr="00210DAC">
        <w:t xml:space="preserve"> consultation on the proposed enhancements</w:t>
      </w:r>
      <w:r w:rsidR="004C5892">
        <w:t>, including policy and impact analysis</w:t>
      </w:r>
      <w:r w:rsidRPr="00210DAC">
        <w:t xml:space="preserve">. Between 9 December 2025 and 13 February 2026, the Department consulted on the Enhancing the CIRMP Rules Consultation Paper. The </w:t>
      </w:r>
      <w:r w:rsidR="00D66415">
        <w:t>E</w:t>
      </w:r>
      <w:r w:rsidRPr="00210DAC">
        <w:t xml:space="preserve">xposure </w:t>
      </w:r>
      <w:r w:rsidR="00D66415">
        <w:t>D</w:t>
      </w:r>
      <w:r w:rsidRPr="00210DAC">
        <w:t>raft consultation document records that the Department received over 60 submissions and engaged more than 1,900 individuals through consultation activities, including two public town halls, two TISN briefings and five TISN impact analysis sessions. The engagement program included 11 online engagements, 1,910 attendees</w:t>
      </w:r>
      <w:r w:rsidR="004C5892">
        <w:t>; 7</w:t>
      </w:r>
      <w:r w:rsidRPr="00210DAC">
        <w:t xml:space="preserve"> TISN engagements with 1,652 attendees</w:t>
      </w:r>
      <w:r w:rsidR="004C5892">
        <w:t>; 2</w:t>
      </w:r>
      <w:r w:rsidRPr="00210DAC">
        <w:t xml:space="preserve"> public online town halls with 234 attendees</w:t>
      </w:r>
      <w:r w:rsidR="004C5892">
        <w:t>;</w:t>
      </w:r>
      <w:r w:rsidRPr="00210DAC">
        <w:t xml:space="preserve"> and </w:t>
      </w:r>
      <w:r w:rsidR="004C5892">
        <w:t>2</w:t>
      </w:r>
      <w:r w:rsidRPr="00210DAC">
        <w:t xml:space="preserve"> targeted engagements with utility regulators</w:t>
      </w:r>
      <w:r w:rsidR="004C5892">
        <w:t>,</w:t>
      </w:r>
      <w:r w:rsidRPr="00210DAC">
        <w:t xml:space="preserve"> with 24 attendees.</w:t>
      </w:r>
    </w:p>
    <w:p w14:paraId="043F3439" w14:textId="1134F120" w:rsidR="00A954D6" w:rsidRPr="00A954D6" w:rsidRDefault="00A954D6" w:rsidP="00210DAC">
      <w:pPr>
        <w:pStyle w:val="BodyText"/>
        <w:rPr>
          <w:lang w:val="en-US"/>
        </w:rPr>
      </w:pPr>
      <w:bookmarkStart w:id="49" w:name="_Toc226463892"/>
      <w:r w:rsidRPr="00F955AB">
        <w:rPr>
          <w:lang w:val="en-US"/>
        </w:rPr>
        <w:t xml:space="preserve">Feedback was broadly supportive of strengthening the CIRMP Rules, but consistently </w:t>
      </w:r>
      <w:proofErr w:type="spellStart"/>
      <w:r w:rsidRPr="00F955AB">
        <w:rPr>
          <w:lang w:val="en-US"/>
        </w:rPr>
        <w:t>emphasised</w:t>
      </w:r>
      <w:proofErr w:type="spellEnd"/>
      <w:r w:rsidRPr="00F955AB">
        <w:rPr>
          <w:lang w:val="en-US"/>
        </w:rPr>
        <w:t xml:space="preserve"> proportionality, reasonable practicability, staged implementation, guidance, alignment with existing frameworks and the practical limits of legacy OT environments, supplier concentration, contractor workforces and regulated funding cycles</w:t>
      </w:r>
      <w:r>
        <w:rPr>
          <w:lang w:val="en-US"/>
        </w:rPr>
        <w:t>.</w:t>
      </w:r>
      <w:bookmarkEnd w:id="49"/>
    </w:p>
    <w:p w14:paraId="0F43D939" w14:textId="1A2CA750" w:rsidR="006B002B" w:rsidRDefault="00210DAC" w:rsidP="00210DAC">
      <w:pPr>
        <w:pStyle w:val="BodyText"/>
      </w:pPr>
      <w:r w:rsidRPr="006B002B">
        <w:t>Consultation materially informed the design of the preferred option</w:t>
      </w:r>
      <w:r w:rsidR="00EE3812">
        <w:t xml:space="preserve"> in this Addendum</w:t>
      </w:r>
      <w:r w:rsidRPr="006B002B">
        <w:t>. In response to feedback, the Department extended grace periods for key obligations, engaged relevant price regulators, committed to developing best-practice guidance alongside the amended rules, retained a principles-based approach, and limited the enhanced requirements to asset classes with an elevated risk profile.</w:t>
      </w:r>
    </w:p>
    <w:p w14:paraId="7DAF3167" w14:textId="7074D9EF" w:rsidR="00717F62" w:rsidRDefault="00A90B45" w:rsidP="00210DAC">
      <w:pPr>
        <w:pStyle w:val="BodyText"/>
      </w:pPr>
      <w:r w:rsidRPr="006B002B">
        <w:t xml:space="preserve">The second stage was consultation on the Exposure Draft of the amended CIRMP Rules from 30 March 2026 to 1 May 2026. The Exposure Draft process invited submissions on the design, implementation, sector impacts and alternative options and sought specific feedback on wording in certain draft provisions. This process enabled stakeholders </w:t>
      </w:r>
      <w:r>
        <w:t>to</w:t>
      </w:r>
      <w:r w:rsidRPr="006B002B">
        <w:t xml:space="preserve"> </w:t>
      </w:r>
      <w:r>
        <w:t>provide</w:t>
      </w:r>
      <w:r w:rsidRPr="006B002B">
        <w:t xml:space="preserve"> </w:t>
      </w:r>
      <w:r>
        <w:t>further</w:t>
      </w:r>
      <w:r w:rsidRPr="006B002B">
        <w:t xml:space="preserve"> comment</w:t>
      </w:r>
      <w:r>
        <w:t>s</w:t>
      </w:r>
      <w:r w:rsidRPr="006B002B">
        <w:t xml:space="preserve"> on the legal implementation of the preferred option before the rules are finalised.</w:t>
      </w:r>
      <w:r w:rsidR="00FA4CC8">
        <w:t xml:space="preserve"> </w:t>
      </w:r>
    </w:p>
    <w:p w14:paraId="56BCA0FE" w14:textId="0007C049" w:rsidR="00A90B45" w:rsidRDefault="00FA4CC8" w:rsidP="00210DAC">
      <w:pPr>
        <w:pStyle w:val="BodyText"/>
      </w:pPr>
      <w:r w:rsidRPr="00FA4CC8">
        <w:lastRenderedPageBreak/>
        <w:t xml:space="preserve">Submissions on the Exposure Draft </w:t>
      </w:r>
      <w:r w:rsidR="00C44A52">
        <w:t xml:space="preserve">broadly </w:t>
      </w:r>
      <w:r w:rsidRPr="00FA4CC8">
        <w:t xml:space="preserve">endorsed stronger requirements for FOCI, cyber maturity, operational technology, supply chain and physical security. </w:t>
      </w:r>
      <w:r w:rsidR="00F73CEC">
        <w:t xml:space="preserve">There were themes addressing the need to consider </w:t>
      </w:r>
      <w:r w:rsidRPr="00FA4CC8">
        <w:t>proportional application, implementation timing, cost recovery, definitions, offshore and emergency access, supply chain mapping depth, worker impacts, and avoiding duplication with existing regulatory or assurance frameworks.</w:t>
      </w:r>
    </w:p>
    <w:p w14:paraId="32E645BA" w14:textId="05B8BB43" w:rsidR="00500EC3" w:rsidRDefault="00500EC3" w:rsidP="00500EC3">
      <w:pPr>
        <w:pStyle w:val="Caption"/>
      </w:pPr>
      <w:r>
        <w:t xml:space="preserve">Table </w:t>
      </w:r>
      <w:fldSimple w:instr=" SEQ Table \* ARABIC ">
        <w:r w:rsidR="00B90D57">
          <w:rPr>
            <w:noProof/>
          </w:rPr>
          <w:t>11</w:t>
        </w:r>
      </w:fldSimple>
      <w:r>
        <w:t>: Consultation themes and implications</w:t>
      </w:r>
    </w:p>
    <w:tbl>
      <w:tblPr>
        <w:tblStyle w:val="HATableStyle1default"/>
        <w:tblW w:w="0" w:type="auto"/>
        <w:tblLook w:val="04A0" w:firstRow="1" w:lastRow="0" w:firstColumn="1" w:lastColumn="0" w:noHBand="0" w:noVBand="1"/>
      </w:tblPr>
      <w:tblGrid>
        <w:gridCol w:w="2935"/>
        <w:gridCol w:w="3332"/>
        <w:gridCol w:w="3623"/>
      </w:tblGrid>
      <w:tr w:rsidR="000D045B" w:rsidRPr="000D045B" w14:paraId="48E18D35" w14:textId="77777777" w:rsidTr="00047A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5" w:type="dxa"/>
          </w:tcPr>
          <w:p w14:paraId="188CAC6F" w14:textId="77777777" w:rsidR="000D045B" w:rsidRPr="000D045B" w:rsidRDefault="000D045B" w:rsidP="000D045B">
            <w:r w:rsidRPr="000D045B">
              <w:t>Theme raised in consultation</w:t>
            </w:r>
          </w:p>
        </w:tc>
        <w:tc>
          <w:tcPr>
            <w:tcW w:w="3332" w:type="dxa"/>
          </w:tcPr>
          <w:p w14:paraId="67BFD399" w14:textId="77777777" w:rsidR="000D045B" w:rsidRPr="000D045B" w:rsidRDefault="000D045B" w:rsidP="000D045B">
            <w:pPr>
              <w:cnfStyle w:val="100000000000" w:firstRow="1" w:lastRow="0" w:firstColumn="0" w:lastColumn="0" w:oddVBand="0" w:evenVBand="0" w:oddHBand="0" w:evenHBand="0" w:firstRowFirstColumn="0" w:firstRowLastColumn="0" w:lastRowFirstColumn="0" w:lastRowLastColumn="0"/>
            </w:pPr>
            <w:r w:rsidRPr="000D045B">
              <w:t>Policy design response</w:t>
            </w:r>
          </w:p>
        </w:tc>
        <w:tc>
          <w:tcPr>
            <w:tcW w:w="3623" w:type="dxa"/>
          </w:tcPr>
          <w:p w14:paraId="4525740A" w14:textId="3FA83C81" w:rsidR="000D045B" w:rsidRPr="000D045B" w:rsidRDefault="00440712" w:rsidP="000D045B">
            <w:pPr>
              <w:cnfStyle w:val="100000000000" w:firstRow="1" w:lastRow="0" w:firstColumn="0" w:lastColumn="0" w:oddVBand="0" w:evenVBand="0" w:oddHBand="0" w:evenHBand="0" w:firstRowFirstColumn="0" w:firstRowLastColumn="0" w:lastRowFirstColumn="0" w:lastRowLastColumn="0"/>
            </w:pPr>
            <w:r>
              <w:t>Addendum implication</w:t>
            </w:r>
          </w:p>
        </w:tc>
      </w:tr>
      <w:tr w:rsidR="000D045B" w:rsidRPr="000D045B" w14:paraId="0D7818FA" w14:textId="77777777" w:rsidTr="00047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5" w:type="dxa"/>
          </w:tcPr>
          <w:p w14:paraId="0FF30179" w14:textId="77777777" w:rsidR="000D045B" w:rsidRPr="000D045B" w:rsidRDefault="000D045B" w:rsidP="000D045B">
            <w:r w:rsidRPr="000D045B">
              <w:t>Costs, timeframes and implementation feasibility</w:t>
            </w:r>
          </w:p>
        </w:tc>
        <w:tc>
          <w:tcPr>
            <w:tcW w:w="3332" w:type="dxa"/>
          </w:tcPr>
          <w:p w14:paraId="788C42EA" w14:textId="5A74B68B" w:rsidR="000D045B" w:rsidRPr="000D045B" w:rsidRDefault="007651A2" w:rsidP="000D045B">
            <w:pPr>
              <w:cnfStyle w:val="000000100000" w:firstRow="0" w:lastRow="0" w:firstColumn="0" w:lastColumn="0" w:oddVBand="0" w:evenVBand="0" w:oddHBand="1" w:evenHBand="0" w:firstRowFirstColumn="0" w:firstRowLastColumn="0" w:lastRowFirstColumn="0" w:lastRowLastColumn="0"/>
            </w:pPr>
            <w:r>
              <w:t>A</w:t>
            </w:r>
            <w:r w:rsidR="000D045B" w:rsidRPr="000D045B">
              <w:t>nalysis has been prepared; grace periods have been extended; price regulators have been engaged.</w:t>
            </w:r>
          </w:p>
        </w:tc>
        <w:tc>
          <w:tcPr>
            <w:tcW w:w="3623" w:type="dxa"/>
          </w:tcPr>
          <w:p w14:paraId="37F0018C" w14:textId="54A47FFB" w:rsidR="000D045B" w:rsidRPr="000D045B" w:rsidRDefault="00186379" w:rsidP="000D045B">
            <w:pPr>
              <w:cnfStyle w:val="000000100000" w:firstRow="0" w:lastRow="0" w:firstColumn="0" w:lastColumn="0" w:oddVBand="0" w:evenVBand="0" w:oddHBand="1" w:evenHBand="0" w:firstRowFirstColumn="0" w:firstRowLastColumn="0" w:lastRowFirstColumn="0" w:lastRowLastColumn="0"/>
            </w:pPr>
            <w:r>
              <w:t>Cost</w:t>
            </w:r>
            <w:r w:rsidR="000D045B" w:rsidRPr="000D045B">
              <w:t xml:space="preserve"> uncertainty, regulated pricing cycles and staged implementation.</w:t>
            </w:r>
          </w:p>
        </w:tc>
      </w:tr>
      <w:tr w:rsidR="000D045B" w:rsidRPr="000D045B" w14:paraId="47FE4711" w14:textId="77777777" w:rsidTr="00047A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5" w:type="dxa"/>
          </w:tcPr>
          <w:p w14:paraId="5362DC60" w14:textId="77777777" w:rsidR="000D045B" w:rsidRPr="000D045B" w:rsidRDefault="000D045B" w:rsidP="000D045B">
            <w:r w:rsidRPr="000D045B">
              <w:t>Asset-class scope and proportionality</w:t>
            </w:r>
          </w:p>
        </w:tc>
        <w:tc>
          <w:tcPr>
            <w:tcW w:w="3332" w:type="dxa"/>
          </w:tcPr>
          <w:p w14:paraId="12AD3980" w14:textId="77777777" w:rsidR="000D045B" w:rsidRPr="000D045B" w:rsidRDefault="000D045B" w:rsidP="000D045B">
            <w:pPr>
              <w:cnfStyle w:val="000000010000" w:firstRow="0" w:lastRow="0" w:firstColumn="0" w:lastColumn="0" w:oddVBand="0" w:evenVBand="0" w:oddHBand="0" w:evenHBand="1" w:firstRowFirstColumn="0" w:firstRowLastColumn="0" w:lastRowFirstColumn="0" w:lastRowLastColumn="0"/>
            </w:pPr>
            <w:r w:rsidRPr="000D045B">
              <w:t>Enhanced obligations remain limited to nine specified asset classes identified as higher risk.</w:t>
            </w:r>
          </w:p>
        </w:tc>
        <w:tc>
          <w:tcPr>
            <w:tcW w:w="3623" w:type="dxa"/>
          </w:tcPr>
          <w:p w14:paraId="1A83A930" w14:textId="77777777" w:rsidR="000D045B" w:rsidRPr="000D045B" w:rsidRDefault="000D045B" w:rsidP="000D045B">
            <w:pPr>
              <w:cnfStyle w:val="000000010000" w:firstRow="0" w:lastRow="0" w:firstColumn="0" w:lastColumn="0" w:oddVBand="0" w:evenVBand="0" w:oddHBand="0" w:evenHBand="1" w:firstRowFirstColumn="0" w:firstRowLastColumn="0" w:lastRowFirstColumn="0" w:lastRowLastColumn="0"/>
            </w:pPr>
            <w:r w:rsidRPr="000D045B">
              <w:t>RBE and options must remain limited to those asset classes.</w:t>
            </w:r>
          </w:p>
        </w:tc>
      </w:tr>
      <w:tr w:rsidR="000D045B" w:rsidRPr="000D045B" w14:paraId="5D0BE041" w14:textId="77777777" w:rsidTr="00047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5" w:type="dxa"/>
          </w:tcPr>
          <w:p w14:paraId="00F92C99" w14:textId="77777777" w:rsidR="000D045B" w:rsidRPr="000D045B" w:rsidRDefault="000D045B" w:rsidP="000D045B">
            <w:r w:rsidRPr="000D045B">
              <w:t>Specified risk advice concerns</w:t>
            </w:r>
          </w:p>
        </w:tc>
        <w:tc>
          <w:tcPr>
            <w:tcW w:w="3332" w:type="dxa"/>
          </w:tcPr>
          <w:p w14:paraId="72309FC1" w14:textId="515E3443" w:rsidR="000D045B" w:rsidRPr="000D045B" w:rsidRDefault="007651A2" w:rsidP="000D045B">
            <w:pPr>
              <w:cnfStyle w:val="000000100000" w:firstRow="0" w:lastRow="0" w:firstColumn="0" w:lastColumn="0" w:oddVBand="0" w:evenVBand="0" w:oddHBand="1" w:evenHBand="0" w:firstRowFirstColumn="0" w:firstRowLastColumn="0" w:lastRowFirstColumn="0" w:lastRowLastColumn="0"/>
            </w:pPr>
            <w:r>
              <w:t>The original</w:t>
            </w:r>
            <w:r w:rsidR="000D045B" w:rsidRPr="000D045B">
              <w:t xml:space="preserve"> specified-risk-advice workflow is not treated as a standalone final measure; </w:t>
            </w:r>
            <w:r>
              <w:t>the E</w:t>
            </w:r>
            <w:r w:rsidR="000D045B" w:rsidRPr="000D045B">
              <w:t xml:space="preserve">xposure </w:t>
            </w:r>
            <w:r>
              <w:t>D</w:t>
            </w:r>
            <w:r w:rsidR="000D045B" w:rsidRPr="000D045B">
              <w:t>raft reflects enhanced material-risk provisions.</w:t>
            </w:r>
          </w:p>
        </w:tc>
        <w:tc>
          <w:tcPr>
            <w:tcW w:w="3623" w:type="dxa"/>
          </w:tcPr>
          <w:p w14:paraId="4E6D9577" w14:textId="46C40A44" w:rsidR="000D045B" w:rsidRPr="000D045B" w:rsidRDefault="000D045B" w:rsidP="000D045B">
            <w:pPr>
              <w:cnfStyle w:val="000000100000" w:firstRow="0" w:lastRow="0" w:firstColumn="0" w:lastColumn="0" w:oddVBand="0" w:evenVBand="0" w:oddHBand="1" w:evenHBand="0" w:firstRowFirstColumn="0" w:firstRowLastColumn="0" w:lastRowFirstColumn="0" w:lastRowLastColumn="0"/>
            </w:pPr>
            <w:r w:rsidRPr="000D045B">
              <w:t xml:space="preserve">All-hazards 1 </w:t>
            </w:r>
            <w:r w:rsidR="00071583">
              <w:t xml:space="preserve">has not been costed </w:t>
            </w:r>
            <w:r w:rsidRPr="000D045B">
              <w:t>as a standalone obligation.</w:t>
            </w:r>
          </w:p>
        </w:tc>
      </w:tr>
      <w:tr w:rsidR="000D045B" w:rsidRPr="000D045B" w14:paraId="2AA62319" w14:textId="77777777" w:rsidTr="00047A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5" w:type="dxa"/>
          </w:tcPr>
          <w:p w14:paraId="2BA6F847" w14:textId="77777777" w:rsidR="000D045B" w:rsidRPr="000D045B" w:rsidRDefault="000D045B" w:rsidP="000D045B">
            <w:r w:rsidRPr="000D045B">
              <w:t>Need for guidance and principles-based implementation</w:t>
            </w:r>
          </w:p>
        </w:tc>
        <w:tc>
          <w:tcPr>
            <w:tcW w:w="3332" w:type="dxa"/>
          </w:tcPr>
          <w:p w14:paraId="3F8F8D64" w14:textId="2607BE24" w:rsidR="000D045B" w:rsidRPr="000D045B" w:rsidRDefault="000D045B" w:rsidP="000D045B">
            <w:pPr>
              <w:cnfStyle w:val="000000010000" w:firstRow="0" w:lastRow="0" w:firstColumn="0" w:lastColumn="0" w:oddVBand="0" w:evenVBand="0" w:oddHBand="0" w:evenHBand="1" w:firstRowFirstColumn="0" w:firstRowLastColumn="0" w:lastRowFirstColumn="0" w:lastRowLastColumn="0"/>
            </w:pPr>
            <w:r w:rsidRPr="000D045B">
              <w:t xml:space="preserve">Best-practice guidance will be developed; </w:t>
            </w:r>
            <w:r w:rsidR="007651A2">
              <w:t xml:space="preserve">a </w:t>
            </w:r>
            <w:r w:rsidRPr="000D045B">
              <w:t>principles-based CIRMP approach is maintained.</w:t>
            </w:r>
          </w:p>
        </w:tc>
        <w:tc>
          <w:tcPr>
            <w:tcW w:w="3623" w:type="dxa"/>
          </w:tcPr>
          <w:p w14:paraId="013007C1" w14:textId="716862BA" w:rsidR="000D045B" w:rsidRPr="000D045B" w:rsidRDefault="000D045B" w:rsidP="000D045B">
            <w:pPr>
              <w:cnfStyle w:val="000000010000" w:firstRow="0" w:lastRow="0" w:firstColumn="0" w:lastColumn="0" w:oddVBand="0" w:evenVBand="0" w:oddHBand="0" w:evenHBand="1" w:firstRowFirstColumn="0" w:firstRowLastColumn="0" w:lastRowFirstColumn="0" w:lastRowLastColumn="0"/>
            </w:pPr>
            <w:r w:rsidRPr="000D045B">
              <w:t xml:space="preserve">Central RBE </w:t>
            </w:r>
            <w:r w:rsidR="00071583">
              <w:t>does</w:t>
            </w:r>
            <w:r w:rsidRPr="000D045B">
              <w:t xml:space="preserve"> not assume prescriptive capital remediation in all cases.</w:t>
            </w:r>
          </w:p>
        </w:tc>
      </w:tr>
      <w:tr w:rsidR="000D045B" w:rsidRPr="000D045B" w14:paraId="1BE5A23B" w14:textId="77777777" w:rsidTr="00047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5" w:type="dxa"/>
          </w:tcPr>
          <w:p w14:paraId="429D4176" w14:textId="77777777" w:rsidR="000D045B" w:rsidRPr="000D045B" w:rsidRDefault="000D045B" w:rsidP="000D045B">
            <w:r w:rsidRPr="000D045B">
              <w:t>Cyber uplift, MFA and legacy OT constraints</w:t>
            </w:r>
          </w:p>
        </w:tc>
        <w:tc>
          <w:tcPr>
            <w:tcW w:w="3332" w:type="dxa"/>
          </w:tcPr>
          <w:p w14:paraId="25E526DF" w14:textId="77777777" w:rsidR="000D045B" w:rsidRPr="000D045B" w:rsidRDefault="000D045B" w:rsidP="000D045B">
            <w:pPr>
              <w:cnfStyle w:val="000000100000" w:firstRow="0" w:lastRow="0" w:firstColumn="0" w:lastColumn="0" w:oddVBand="0" w:evenVBand="0" w:oddHBand="1" w:evenHBand="0" w:firstRowFirstColumn="0" w:firstRowLastColumn="0" w:lastRowFirstColumn="0" w:lastRowLastColumn="0"/>
            </w:pPr>
            <w:r w:rsidRPr="000D045B">
              <w:t>Exposure draft includes staged implementation and reasonable-practicability language.</w:t>
            </w:r>
          </w:p>
        </w:tc>
        <w:tc>
          <w:tcPr>
            <w:tcW w:w="3623" w:type="dxa"/>
          </w:tcPr>
          <w:p w14:paraId="6310F075" w14:textId="77777777" w:rsidR="000D045B" w:rsidRPr="000D045B" w:rsidRDefault="000D045B" w:rsidP="000D045B">
            <w:pPr>
              <w:cnfStyle w:val="000000100000" w:firstRow="0" w:lastRow="0" w:firstColumn="0" w:lastColumn="0" w:oddVBand="0" w:evenVBand="0" w:oddHBand="1" w:evenHBand="0" w:firstRowFirstColumn="0" w:firstRowLastColumn="0" w:lastRowFirstColumn="0" w:lastRowLastColumn="0"/>
            </w:pPr>
            <w:r w:rsidRPr="000D045B">
              <w:t>Distinguish process/framework uplift from wholesale legacy-system replacement.</w:t>
            </w:r>
          </w:p>
        </w:tc>
      </w:tr>
      <w:tr w:rsidR="000D045B" w:rsidRPr="000D045B" w14:paraId="78D48AC4" w14:textId="77777777" w:rsidTr="00047A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5" w:type="dxa"/>
          </w:tcPr>
          <w:p w14:paraId="538D7039" w14:textId="6D7FDBC9" w:rsidR="000D045B" w:rsidRPr="000D045B" w:rsidRDefault="000D045B" w:rsidP="000D045B">
            <w:r w:rsidRPr="000D045B">
              <w:t xml:space="preserve">Supply chain mapping and </w:t>
            </w:r>
            <w:r w:rsidR="009854DD">
              <w:t>major supplier assessment</w:t>
            </w:r>
          </w:p>
        </w:tc>
        <w:tc>
          <w:tcPr>
            <w:tcW w:w="3332" w:type="dxa"/>
          </w:tcPr>
          <w:p w14:paraId="74171CC9" w14:textId="77777777" w:rsidR="000D045B" w:rsidRPr="000D045B" w:rsidRDefault="000D045B" w:rsidP="000D045B">
            <w:pPr>
              <w:cnfStyle w:val="000000010000" w:firstRow="0" w:lastRow="0" w:firstColumn="0" w:lastColumn="0" w:oddVBand="0" w:evenVBand="0" w:oddHBand="0" w:evenHBand="1" w:firstRowFirstColumn="0" w:firstRowLastColumn="0" w:lastRowFirstColumn="0" w:lastRowLastColumn="0"/>
            </w:pPr>
            <w:r w:rsidRPr="000D045B">
              <w:t>Framework remains risk-based; government does not propose simple vendor whitelisting or blacklisting.</w:t>
            </w:r>
          </w:p>
        </w:tc>
        <w:tc>
          <w:tcPr>
            <w:tcW w:w="3623" w:type="dxa"/>
          </w:tcPr>
          <w:p w14:paraId="35B8424E" w14:textId="42C882CF" w:rsidR="000D045B" w:rsidRPr="000D045B" w:rsidRDefault="000D045B" w:rsidP="000D045B">
            <w:pPr>
              <w:cnfStyle w:val="000000010000" w:firstRow="0" w:lastRow="0" w:firstColumn="0" w:lastColumn="0" w:oddVBand="0" w:evenVBand="0" w:oddHBand="0" w:evenHBand="1" w:firstRowFirstColumn="0" w:firstRowLastColumn="0" w:lastRowFirstColumn="0" w:lastRowLastColumn="0"/>
            </w:pPr>
            <w:r w:rsidRPr="000D045B">
              <w:t xml:space="preserve">Include mapping and assessment processes; do not assume supplier replacement as </w:t>
            </w:r>
            <w:r w:rsidR="007651A2">
              <w:t xml:space="preserve">the </w:t>
            </w:r>
            <w:r w:rsidRPr="000D045B">
              <w:t>central case.</w:t>
            </w:r>
          </w:p>
        </w:tc>
      </w:tr>
      <w:tr w:rsidR="000D045B" w:rsidRPr="000D045B" w14:paraId="626C5AE8" w14:textId="77777777" w:rsidTr="00047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5" w:type="dxa"/>
          </w:tcPr>
          <w:p w14:paraId="0CDC78A4" w14:textId="77777777" w:rsidR="000D045B" w:rsidRPr="000D045B" w:rsidRDefault="000D045B" w:rsidP="000D045B">
            <w:r w:rsidRPr="000D045B">
              <w:t>Personnel security and AusCheck</w:t>
            </w:r>
          </w:p>
        </w:tc>
        <w:tc>
          <w:tcPr>
            <w:tcW w:w="3332" w:type="dxa"/>
          </w:tcPr>
          <w:p w14:paraId="010CF397" w14:textId="77777777" w:rsidR="000D045B" w:rsidRPr="000D045B" w:rsidRDefault="000D045B" w:rsidP="000D045B">
            <w:pPr>
              <w:cnfStyle w:val="000000100000" w:firstRow="0" w:lastRow="0" w:firstColumn="0" w:lastColumn="0" w:oddVBand="0" w:evenVBand="0" w:oddHBand="1" w:evenHBand="0" w:firstRowFirstColumn="0" w:firstRowLastColumn="0" w:lastRowFirstColumn="0" w:lastRowLastColumn="0"/>
            </w:pPr>
            <w:r w:rsidRPr="000D045B">
              <w:t>Critical worker approach is retained; background-checking and portability issues are subject to co-design and process improvements.</w:t>
            </w:r>
          </w:p>
        </w:tc>
        <w:tc>
          <w:tcPr>
            <w:tcW w:w="3623" w:type="dxa"/>
          </w:tcPr>
          <w:p w14:paraId="68E98A52" w14:textId="77777777" w:rsidR="000D045B" w:rsidRPr="000D045B" w:rsidRDefault="000D045B" w:rsidP="000D045B">
            <w:pPr>
              <w:cnfStyle w:val="000000100000" w:firstRow="0" w:lastRow="0" w:firstColumn="0" w:lastColumn="0" w:oddVBand="0" w:evenVBand="0" w:oddHBand="1" w:evenHBand="0" w:firstRowFirstColumn="0" w:firstRowLastColumn="0" w:lastRowFirstColumn="0" w:lastRowLastColumn="0"/>
            </w:pPr>
            <w:r w:rsidRPr="000D045B">
              <w:t>Cost administration and process changes, not checks for all employees.</w:t>
            </w:r>
          </w:p>
        </w:tc>
      </w:tr>
      <w:tr w:rsidR="000D045B" w:rsidRPr="000D045B" w14:paraId="7A67CA07" w14:textId="77777777" w:rsidTr="00047A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5" w:type="dxa"/>
          </w:tcPr>
          <w:p w14:paraId="71E869E5" w14:textId="77777777" w:rsidR="000D045B" w:rsidRPr="000D045B" w:rsidRDefault="000D045B" w:rsidP="000D045B">
            <w:r w:rsidRPr="000D045B">
              <w:t>Physical security plan</w:t>
            </w:r>
          </w:p>
        </w:tc>
        <w:tc>
          <w:tcPr>
            <w:tcW w:w="3332" w:type="dxa"/>
          </w:tcPr>
          <w:p w14:paraId="7C335A71" w14:textId="77777777" w:rsidR="000D045B" w:rsidRPr="000D045B" w:rsidRDefault="000D045B" w:rsidP="000D045B">
            <w:pPr>
              <w:cnfStyle w:val="000000010000" w:firstRow="0" w:lastRow="0" w:firstColumn="0" w:lastColumn="0" w:oddVBand="0" w:evenVBand="0" w:oddHBand="0" w:evenHBand="1" w:firstRowFirstColumn="0" w:firstRowLastColumn="0" w:lastRowFirstColumn="0" w:lastRowLastColumn="0"/>
            </w:pPr>
            <w:r w:rsidRPr="000D045B">
              <w:t>Requirement is principles-based and can be integrated with existing arrangements.</w:t>
            </w:r>
          </w:p>
        </w:tc>
        <w:tc>
          <w:tcPr>
            <w:tcW w:w="3623" w:type="dxa"/>
          </w:tcPr>
          <w:p w14:paraId="5921A29A" w14:textId="77777777" w:rsidR="000D045B" w:rsidRPr="000D045B" w:rsidRDefault="000D045B" w:rsidP="000D045B">
            <w:pPr>
              <w:cnfStyle w:val="000000010000" w:firstRow="0" w:lastRow="0" w:firstColumn="0" w:lastColumn="0" w:oddVBand="0" w:evenVBand="0" w:oddHBand="0" w:evenHBand="1" w:firstRowFirstColumn="0" w:firstRowLastColumn="0" w:lastRowFirstColumn="0" w:lastRowLastColumn="0"/>
            </w:pPr>
            <w:r w:rsidRPr="000D045B">
              <w:t>Cost plan development and review; capital works only where necessary.</w:t>
            </w:r>
          </w:p>
        </w:tc>
      </w:tr>
    </w:tbl>
    <w:p w14:paraId="3C9B87B4" w14:textId="691965D9" w:rsidR="00F828BB" w:rsidRPr="00F828BB" w:rsidRDefault="00F828BB" w:rsidP="003066A0">
      <w:pPr>
        <w:pStyle w:val="Heading1numbered"/>
      </w:pPr>
      <w:bookmarkStart w:id="50" w:name="_Toc223107812"/>
      <w:bookmarkStart w:id="51" w:name="_Toc226463720"/>
      <w:bookmarkStart w:id="52" w:name="_Toc226463901"/>
      <w:bookmarkStart w:id="53" w:name="_Toc228391068"/>
      <w:bookmarkEnd w:id="47"/>
      <w:bookmarkEnd w:id="48"/>
      <w:r w:rsidRPr="00F828BB">
        <w:t>Implementation and evaluation</w:t>
      </w:r>
      <w:bookmarkEnd w:id="50"/>
      <w:bookmarkEnd w:id="51"/>
      <w:bookmarkEnd w:id="52"/>
      <w:bookmarkEnd w:id="53"/>
    </w:p>
    <w:p w14:paraId="6FB4DD92" w14:textId="77777777" w:rsidR="007D7D01" w:rsidRPr="007D7D01" w:rsidRDefault="007D7D01" w:rsidP="007D7D01">
      <w:pPr>
        <w:pStyle w:val="Heading2numbered"/>
      </w:pPr>
      <w:bookmarkStart w:id="54" w:name="_Toc223107813"/>
      <w:bookmarkStart w:id="55" w:name="_Toc226463721"/>
      <w:bookmarkStart w:id="56" w:name="_Toc226463902"/>
      <w:bookmarkStart w:id="57" w:name="_Toc228391069"/>
      <w:r w:rsidRPr="007D7D01">
        <w:t>Implementation</w:t>
      </w:r>
      <w:bookmarkEnd w:id="54"/>
      <w:bookmarkEnd w:id="55"/>
      <w:bookmarkEnd w:id="56"/>
      <w:bookmarkEnd w:id="57"/>
    </w:p>
    <w:p w14:paraId="2AE003C9" w14:textId="39F14800" w:rsidR="00DA666F" w:rsidRDefault="00CB0A67" w:rsidP="003F693F">
      <w:pPr>
        <w:pStyle w:val="BodyText"/>
      </w:pPr>
      <w:bookmarkStart w:id="58" w:name="_Toc223107814"/>
      <w:bookmarkStart w:id="59" w:name="_Toc226463722"/>
      <w:bookmarkStart w:id="60" w:name="_Toc226463903"/>
      <w:r>
        <w:t xml:space="preserve"> </w:t>
      </w:r>
    </w:p>
    <w:p w14:paraId="0D26F654" w14:textId="2CE72677" w:rsidR="003F693F" w:rsidRDefault="00DA666F" w:rsidP="003F693F">
      <w:pPr>
        <w:pStyle w:val="BodyText"/>
      </w:pPr>
      <w:r>
        <w:t xml:space="preserve">The </w:t>
      </w:r>
      <w:r w:rsidR="00B1781C">
        <w:t>Enhanced CIRMP Rules</w:t>
      </w:r>
      <w:r>
        <w:t xml:space="preserve"> provide staged grace periods for the enhanced CIRMP requirements. Sections 6A, 8</w:t>
      </w:r>
      <w:proofErr w:type="gramStart"/>
      <w:r>
        <w:t>A(</w:t>
      </w:r>
      <w:proofErr w:type="gramEnd"/>
      <w:r>
        <w:t>2), and 9</w:t>
      </w:r>
      <w:proofErr w:type="gramStart"/>
      <w:r>
        <w:t>A(</w:t>
      </w:r>
      <w:proofErr w:type="gramEnd"/>
      <w:r>
        <w:t>2), have a 12-month grace period. Sections 8A</w:t>
      </w:r>
      <w:r w:rsidR="004C7C4D">
        <w:t>, other than subsection</w:t>
      </w:r>
      <w:r>
        <w:t xml:space="preserve"> 8</w:t>
      </w:r>
      <w:proofErr w:type="gramStart"/>
      <w:r>
        <w:t>A(</w:t>
      </w:r>
      <w:proofErr w:type="gramEnd"/>
      <w:r>
        <w:t xml:space="preserve">2), </w:t>
      </w:r>
      <w:r w:rsidR="008A6ED3">
        <w:t xml:space="preserve">8B, 8C, </w:t>
      </w:r>
      <w:r>
        <w:t>9A</w:t>
      </w:r>
      <w:r w:rsidR="004C7C4D">
        <w:t>, other than subsection 9</w:t>
      </w:r>
      <w:proofErr w:type="gramStart"/>
      <w:r w:rsidR="004C7C4D">
        <w:t>A(</w:t>
      </w:r>
      <w:proofErr w:type="gramEnd"/>
      <w:r w:rsidR="004C7C4D">
        <w:t>2)</w:t>
      </w:r>
      <w:r>
        <w:t xml:space="preserve">, 10A, and 11A, have a 24-month grace period. </w:t>
      </w:r>
      <w:r w:rsidR="00B1781C">
        <w:br/>
      </w:r>
      <w:r w:rsidR="003F693F">
        <w:t xml:space="preserve">This staged approach reflects consultation feedback that responsible entities have different starting points, budget cycles, asset lifecycles, supplier dependencies and operational technology constraints. </w:t>
      </w:r>
      <w:r w:rsidR="008A6ED3">
        <w:t xml:space="preserve">It also reflects the evolving threat environment. </w:t>
      </w:r>
      <w:r w:rsidR="003F693F">
        <w:t>The Department will support implementation through guidance and continued engagement with the TISN and relevant sector forums.</w:t>
      </w:r>
    </w:p>
    <w:p w14:paraId="477A4B6C" w14:textId="3ABB628C" w:rsidR="00842D98" w:rsidRPr="00842D98" w:rsidRDefault="00842D98" w:rsidP="003F693F">
      <w:pPr>
        <w:pStyle w:val="BodyText"/>
      </w:pPr>
      <w:r w:rsidRPr="00842D98">
        <w:lastRenderedPageBreak/>
        <w:t xml:space="preserve">The Department will support implementation through guidance and continued engagement with the TISN and relevant sector forums. Guidance should clarify proportional application and documentation expectations, including equivalent-framework recognition, critical </w:t>
      </w:r>
      <w:r w:rsidR="00BC4380">
        <w:t>components (including systems)</w:t>
      </w:r>
      <w:r w:rsidR="00BC4380" w:rsidRPr="00842D98">
        <w:t xml:space="preserve"> </w:t>
      </w:r>
      <w:r w:rsidRPr="00842D98">
        <w:t>interpretation, compensating controls for legacy environments, supply chain mapping depth, FOCI assessment expectations, critical worker scope and physical security plan content.</w:t>
      </w:r>
    </w:p>
    <w:p w14:paraId="1D36B4F8" w14:textId="6A005136" w:rsidR="007D7D01" w:rsidRPr="007D7D01" w:rsidRDefault="007D7D01" w:rsidP="00842D98">
      <w:pPr>
        <w:pStyle w:val="Heading2numbered"/>
      </w:pPr>
      <w:bookmarkStart w:id="61" w:name="_Toc228391070"/>
      <w:r w:rsidRPr="007D7D01">
        <w:t>Evaluation</w:t>
      </w:r>
      <w:bookmarkEnd w:id="58"/>
      <w:bookmarkEnd w:id="59"/>
      <w:bookmarkEnd w:id="60"/>
      <w:bookmarkEnd w:id="61"/>
    </w:p>
    <w:p w14:paraId="48451D7E" w14:textId="77777777" w:rsidR="002951A1" w:rsidRPr="002951A1" w:rsidRDefault="002951A1" w:rsidP="002951A1">
      <w:pPr>
        <w:pStyle w:val="BodyText"/>
      </w:pPr>
      <w:bookmarkStart w:id="62" w:name="_Toc223107815"/>
      <w:bookmarkStart w:id="63" w:name="_Toc226463723"/>
      <w:bookmarkStart w:id="64" w:name="_Toc226463904"/>
      <w:r w:rsidRPr="002951A1">
        <w:t>Evaluation of the enhanced CIRMP requirements should occur in two phases: implementation monitoring during the applicable grace periods, and effectiveness assessment after the relevant enhanced requirements have commenced. Success should be assessed by reference to improved clarity, consistency and maturity of risk management practices, rather than incident counts alone.</w:t>
      </w:r>
    </w:p>
    <w:p w14:paraId="01EB0F75" w14:textId="48177DE2" w:rsidR="007D7D01" w:rsidRPr="007D7D01" w:rsidRDefault="007D7D01" w:rsidP="00620D72">
      <w:pPr>
        <w:pStyle w:val="Heading3numbered"/>
      </w:pPr>
      <w:r w:rsidRPr="007D7D01">
        <w:t>Implementation monitoring</w:t>
      </w:r>
      <w:bookmarkEnd w:id="62"/>
      <w:bookmarkEnd w:id="63"/>
      <w:bookmarkEnd w:id="64"/>
    </w:p>
    <w:p w14:paraId="31BCA64A" w14:textId="0B6F9CB7" w:rsidR="007D7D01" w:rsidRPr="007D7D01" w:rsidRDefault="007D7D01" w:rsidP="007D7D01">
      <w:pPr>
        <w:pStyle w:val="BodyText"/>
      </w:pPr>
      <w:r w:rsidRPr="007D7D01">
        <w:t xml:space="preserve">During the </w:t>
      </w:r>
      <w:r w:rsidR="001C251E">
        <w:t>12</w:t>
      </w:r>
      <w:r w:rsidRPr="007D7D01">
        <w:t>-month grace period for material risks, guidance and engagement will focus on how responsible entities</w:t>
      </w:r>
      <w:r w:rsidR="00831063">
        <w:t xml:space="preserve"> intend to consider and address the risks associated with:</w:t>
      </w:r>
    </w:p>
    <w:p w14:paraId="2D4433DC" w14:textId="53DBD52C" w:rsidR="007D7D01" w:rsidRPr="007D7D01" w:rsidRDefault="007D7D01" w:rsidP="009F4521">
      <w:pPr>
        <w:pStyle w:val="ListBullet"/>
      </w:pPr>
      <w:r w:rsidRPr="007D7D01">
        <w:t>impairments that could prejudice the social or economic stability, national security, or defence of Australia</w:t>
      </w:r>
      <w:r w:rsidR="001967A3">
        <w:t>.</w:t>
      </w:r>
    </w:p>
    <w:p w14:paraId="2C865AA3" w14:textId="5D692853" w:rsidR="007D7D01" w:rsidRDefault="007D7D01" w:rsidP="009F4521">
      <w:pPr>
        <w:pStyle w:val="ListBullet"/>
      </w:pPr>
      <w:r w:rsidRPr="007D7D01">
        <w:t>compromise</w:t>
      </w:r>
      <w:r w:rsidR="00831063">
        <w:t xml:space="preserve"> across all hazards</w:t>
      </w:r>
      <w:r w:rsidRPr="007D7D01">
        <w:t xml:space="preserve"> as a result of FOCI</w:t>
      </w:r>
      <w:r w:rsidR="00620D72">
        <w:t>.</w:t>
      </w:r>
    </w:p>
    <w:p w14:paraId="4D50A25C" w14:textId="70307C2D" w:rsidR="00831063" w:rsidRDefault="00831063" w:rsidP="00831063">
      <w:pPr>
        <w:pStyle w:val="ListBullet"/>
      </w:pPr>
      <w:r>
        <w:t>offshore or remote access to critical components</w:t>
      </w:r>
    </w:p>
    <w:p w14:paraId="45ACEE81" w14:textId="472B71A3" w:rsidR="00831063" w:rsidRDefault="00831063" w:rsidP="00831063">
      <w:pPr>
        <w:pStyle w:val="ListBullet"/>
      </w:pPr>
      <w:r>
        <w:t xml:space="preserve">offshore or remote access to </w:t>
      </w:r>
      <w:proofErr w:type="gramStart"/>
      <w:r>
        <w:t>business critical</w:t>
      </w:r>
      <w:proofErr w:type="gramEnd"/>
      <w:r>
        <w:t xml:space="preserve"> data</w:t>
      </w:r>
    </w:p>
    <w:p w14:paraId="3B59DFFD" w14:textId="047BA6DC" w:rsidR="00831063" w:rsidRDefault="00831063" w:rsidP="00831063">
      <w:pPr>
        <w:pStyle w:val="ListBullet"/>
      </w:pPr>
      <w:r>
        <w:t>failure to patch or update operating or security systems in a timely manner</w:t>
      </w:r>
    </w:p>
    <w:p w14:paraId="01F2B3DF" w14:textId="0B0DFCD2" w:rsidR="00831063" w:rsidRDefault="00831063" w:rsidP="00831063">
      <w:pPr>
        <w:pStyle w:val="ListBullet"/>
      </w:pPr>
      <w:r>
        <w:t>failure to replace legacy systems, or adequately mitigate risks associated with components or technology that are redundant, unsupported, obsolete or discontinued</w:t>
      </w:r>
    </w:p>
    <w:p w14:paraId="56EB2603" w14:textId="0CFDDF7B" w:rsidR="00831063" w:rsidRDefault="00831063" w:rsidP="00831063">
      <w:pPr>
        <w:pStyle w:val="ListBullet"/>
      </w:pPr>
      <w:r>
        <w:t>deployment or hosting of advanced, novel or emerging technology</w:t>
      </w:r>
    </w:p>
    <w:p w14:paraId="161E1D2F" w14:textId="5E7CEC6B" w:rsidR="00831063" w:rsidRDefault="00831063" w:rsidP="00831063">
      <w:pPr>
        <w:pStyle w:val="ListBullet"/>
      </w:pPr>
      <w:r>
        <w:t>use of advanced, novel or emerging technology against the asset, in a manner that could prejudice the availability, integrity, reliability or confidentiality of the asset</w:t>
      </w:r>
    </w:p>
    <w:p w14:paraId="56AAAE6D" w14:textId="10EDD4AE" w:rsidR="00831063" w:rsidRDefault="00831063" w:rsidP="00831063">
      <w:pPr>
        <w:pStyle w:val="ListBullet"/>
      </w:pPr>
      <w:r>
        <w:t>unauthorised or unsupervised access to critical components</w:t>
      </w:r>
    </w:p>
    <w:p w14:paraId="6CF2710C" w14:textId="0EC718E9" w:rsidR="00831063" w:rsidRDefault="00831063" w:rsidP="00831063">
      <w:pPr>
        <w:pStyle w:val="ListBullet"/>
      </w:pPr>
      <w:r>
        <w:t>the compromise or misuse of credentials and privileged access used by individuals to access the CI asset</w:t>
      </w:r>
    </w:p>
    <w:p w14:paraId="2BE7D751" w14:textId="73E73C80" w:rsidR="00831063" w:rsidRDefault="00831063" w:rsidP="00831063">
      <w:pPr>
        <w:pStyle w:val="ListBullet"/>
      </w:pPr>
      <w:r>
        <w:t>access to the CI asset by persons other than critical workers for the CI asset</w:t>
      </w:r>
    </w:p>
    <w:p w14:paraId="783BFEF0" w14:textId="6137883D" w:rsidR="00831063" w:rsidRDefault="00831063" w:rsidP="00831063">
      <w:pPr>
        <w:pStyle w:val="ListBullet"/>
      </w:pPr>
      <w:r>
        <w:t>incoming and outgoing critical workers.</w:t>
      </w:r>
    </w:p>
    <w:p w14:paraId="5777CD21" w14:textId="77777777" w:rsidR="00831063" w:rsidRPr="007D7D01" w:rsidRDefault="00831063" w:rsidP="00831063">
      <w:pPr>
        <w:pStyle w:val="ListBullet"/>
        <w:numPr>
          <w:ilvl w:val="0"/>
          <w:numId w:val="0"/>
        </w:numPr>
        <w:ind w:left="284"/>
      </w:pPr>
    </w:p>
    <w:p w14:paraId="394FDF47" w14:textId="56F0990B" w:rsidR="007D7D01" w:rsidRPr="007D7D01" w:rsidRDefault="007D7D01" w:rsidP="007D7D01">
      <w:pPr>
        <w:pStyle w:val="BodyText"/>
      </w:pPr>
      <w:r w:rsidRPr="007D7D01">
        <w:t>During the 24-month grace periods, guidance and engagement will focus on whether responsible entities have:</w:t>
      </w:r>
    </w:p>
    <w:p w14:paraId="48358C3F" w14:textId="009B9E78" w:rsidR="007D7D01" w:rsidRPr="007D7D01" w:rsidRDefault="00481A51" w:rsidP="009F4521">
      <w:pPr>
        <w:pStyle w:val="ListBullet"/>
      </w:pPr>
      <w:r>
        <w:t>I</w:t>
      </w:r>
      <w:r w:rsidR="007D7D01" w:rsidRPr="007D7D01">
        <w:t>ncorporated documented cyber framework uplift plans within their CIRMP</w:t>
      </w:r>
      <w:r w:rsidR="001967A3">
        <w:t>.</w:t>
      </w:r>
    </w:p>
    <w:p w14:paraId="4952247A" w14:textId="62500DB1" w:rsidR="007D7D01" w:rsidRDefault="00481A51" w:rsidP="009F4521">
      <w:pPr>
        <w:pStyle w:val="ListBullet"/>
      </w:pPr>
      <w:r>
        <w:t>I</w:t>
      </w:r>
      <w:r w:rsidR="007D7D01" w:rsidRPr="007D7D01">
        <w:t>mplemented</w:t>
      </w:r>
      <w:r w:rsidR="008A6ED3">
        <w:t xml:space="preserve"> phishing resistant MFA to minimise or eliminate credential compromise hazard occurring and mitigate the relevant impact to the CI asset</w:t>
      </w:r>
      <w:r w:rsidR="001967A3">
        <w:t>.</w:t>
      </w:r>
    </w:p>
    <w:p w14:paraId="26E331B0" w14:textId="131A5AF7" w:rsidR="008A6ED3" w:rsidRPr="007D7D01" w:rsidRDefault="008A6ED3" w:rsidP="009F4521">
      <w:pPr>
        <w:pStyle w:val="ListBullet"/>
      </w:pPr>
      <w:r>
        <w:t>Implemented network segregation to minimise or eliminate lateral movement hazards occurring and mitigate the relevant impact to the CI asset.</w:t>
      </w:r>
    </w:p>
    <w:p w14:paraId="6F4E431F" w14:textId="672C2AA3" w:rsidR="007D7D01" w:rsidRPr="007D7D01" w:rsidRDefault="00481A51" w:rsidP="009F4521">
      <w:pPr>
        <w:pStyle w:val="ListBullet"/>
      </w:pPr>
      <w:r>
        <w:t>S</w:t>
      </w:r>
      <w:r w:rsidR="007D7D01" w:rsidRPr="007D7D01">
        <w:t xml:space="preserve">trengthened background checking and continuous monitoring, including through critical worker mapping and appropriate </w:t>
      </w:r>
      <w:r w:rsidR="008A6ED3">
        <w:t>intelligence</w:t>
      </w:r>
      <w:r w:rsidR="008A6ED3" w:rsidRPr="007D7D01">
        <w:t xml:space="preserve"> </w:t>
      </w:r>
      <w:r w:rsidR="007D7D01" w:rsidRPr="007D7D01">
        <w:t xml:space="preserve">background </w:t>
      </w:r>
      <w:r w:rsidR="00F96914">
        <w:t>checks</w:t>
      </w:r>
      <w:r w:rsidR="008A6ED3">
        <w:t xml:space="preserve"> for all critical workers</w:t>
      </w:r>
      <w:r w:rsidR="001967A3">
        <w:t>.</w:t>
      </w:r>
    </w:p>
    <w:p w14:paraId="1D3F9747" w14:textId="77777777" w:rsidR="00C811DE" w:rsidRDefault="00481A51" w:rsidP="00A022D6">
      <w:pPr>
        <w:pStyle w:val="ListBullet"/>
      </w:pPr>
      <w:r>
        <w:t>P</w:t>
      </w:r>
      <w:r w:rsidR="007D7D01" w:rsidRPr="007D7D01">
        <w:t>erformed vulnerability mapping and vendor assessment</w:t>
      </w:r>
      <w:r w:rsidR="00F96914">
        <w:t>,</w:t>
      </w:r>
      <w:r w:rsidR="007D7D01" w:rsidRPr="007D7D01">
        <w:t xml:space="preserve"> including by clearly </w:t>
      </w:r>
      <w:r w:rsidR="00FB7C95">
        <w:t>identifying</w:t>
      </w:r>
      <w:r w:rsidR="007D7D01" w:rsidRPr="007D7D01">
        <w:t xml:space="preserve"> affected systems, suppliers, personnel and sites</w:t>
      </w:r>
      <w:r w:rsidR="00FB7C95">
        <w:t xml:space="preserve">. </w:t>
      </w:r>
    </w:p>
    <w:p w14:paraId="01CE5797" w14:textId="2CB0FF51" w:rsidR="00A022D6" w:rsidRDefault="00FB7C95" w:rsidP="00A022D6">
      <w:pPr>
        <w:pStyle w:val="ListBullet"/>
      </w:pPr>
      <w:r>
        <w:t>Implemented</w:t>
      </w:r>
      <w:r w:rsidR="007D7D01" w:rsidRPr="007D7D01">
        <w:t xml:space="preserve"> appropriate security and access plans, including personnel security, physical security and natural hazard plans</w:t>
      </w:r>
      <w:r w:rsidR="001967A3">
        <w:t>.</w:t>
      </w:r>
    </w:p>
    <w:p w14:paraId="3365E73A" w14:textId="6402F519" w:rsidR="007D7D01" w:rsidRPr="007D7D01" w:rsidRDefault="00481A51" w:rsidP="00A022D6">
      <w:pPr>
        <w:pStyle w:val="ListBullet"/>
      </w:pPr>
      <w:r>
        <w:t>D</w:t>
      </w:r>
      <w:r w:rsidR="007D7D01" w:rsidRPr="007D7D01">
        <w:t>emonstrated a credible pathway to compliance by the end of the relevant grace period</w:t>
      </w:r>
      <w:r w:rsidR="00A022D6">
        <w:t>.</w:t>
      </w:r>
    </w:p>
    <w:p w14:paraId="67646559" w14:textId="77777777" w:rsidR="007D7D01" w:rsidRPr="007D7D01" w:rsidRDefault="007D7D01" w:rsidP="007D7D01">
      <w:pPr>
        <w:pStyle w:val="BodyText"/>
      </w:pPr>
      <w:r w:rsidRPr="007D7D01">
        <w:lastRenderedPageBreak/>
        <w:t>Annual CIRMP reporting and engagement through established regulatory channels will be used to assess whether entities are progressing toward the enhanced requirements. This approach recognises the staged implementation period and supports proportionate regulatory engagement where risks remain elevated.</w:t>
      </w:r>
    </w:p>
    <w:p w14:paraId="1190F9E7" w14:textId="77777777" w:rsidR="007D7D01" w:rsidRPr="007D7D01" w:rsidRDefault="007D7D01" w:rsidP="00620D72">
      <w:pPr>
        <w:pStyle w:val="Heading3numbered"/>
      </w:pPr>
      <w:bookmarkStart w:id="65" w:name="_Toc223107816"/>
      <w:bookmarkStart w:id="66" w:name="_Toc226463724"/>
      <w:bookmarkStart w:id="67" w:name="_Toc226463905"/>
      <w:r w:rsidRPr="007D7D01">
        <w:t>Effectiveness assessment</w:t>
      </w:r>
      <w:bookmarkEnd w:id="65"/>
      <w:bookmarkEnd w:id="66"/>
      <w:bookmarkEnd w:id="67"/>
    </w:p>
    <w:p w14:paraId="01CFBBFC" w14:textId="474CE535" w:rsidR="007D7D01" w:rsidRDefault="007D7D01" w:rsidP="007D7D01">
      <w:pPr>
        <w:pStyle w:val="BodyText"/>
      </w:pPr>
      <w:r w:rsidRPr="007D7D01">
        <w:t xml:space="preserve">Following the attestation period, </w:t>
      </w:r>
      <w:r w:rsidR="0074107D">
        <w:t xml:space="preserve">the </w:t>
      </w:r>
      <w:r w:rsidRPr="007D7D01">
        <w:t>evaluation will shift to assessing the effectiveness of the refinements in strengthening risk management maturity and consistency across affected asset classes. Indicators of effectiveness will include:</w:t>
      </w:r>
    </w:p>
    <w:p w14:paraId="4160B547" w14:textId="63675E46" w:rsidR="00EE1F15" w:rsidRDefault="00EE1F15" w:rsidP="00EE1F15">
      <w:pPr>
        <w:pStyle w:val="ListBullet"/>
      </w:pPr>
      <w:r>
        <w:t>Improved consistency and completeness of CIRMP documentation across in-scope asset classes.</w:t>
      </w:r>
    </w:p>
    <w:p w14:paraId="361732F2" w14:textId="725819C5" w:rsidR="00EE1F15" w:rsidRDefault="00EE1F15" w:rsidP="00EE1F15">
      <w:pPr>
        <w:pStyle w:val="ListBullet"/>
      </w:pPr>
      <w:r>
        <w:t>Increased maturity in cyber, supply chain, personnel and physical-security governance.</w:t>
      </w:r>
    </w:p>
    <w:p w14:paraId="330A32B3" w14:textId="566300F8" w:rsidR="00EE1F15" w:rsidRDefault="00EE1F15" w:rsidP="00EE1F15">
      <w:pPr>
        <w:pStyle w:val="ListBullet"/>
      </w:pPr>
      <w:r>
        <w:t>Clearer treatment of FOCI, critical systems, critical workers and major suppliers.</w:t>
      </w:r>
    </w:p>
    <w:p w14:paraId="2947CD21" w14:textId="4601D9FC" w:rsidR="00EE1F15" w:rsidRDefault="00EE1F15" w:rsidP="00EE1F15">
      <w:pPr>
        <w:pStyle w:val="ListBullet"/>
      </w:pPr>
      <w:r>
        <w:t>Evidence that entities are using compensating controls and staged implementation, where immediate technical uplift is not reasonably practicable.</w:t>
      </w:r>
    </w:p>
    <w:p w14:paraId="0CE5556D" w14:textId="1470C9FE" w:rsidR="00F6597C" w:rsidRPr="007D7D01" w:rsidRDefault="00EE1F15" w:rsidP="00EE1F15">
      <w:pPr>
        <w:pStyle w:val="ListBullet"/>
      </w:pPr>
      <w:r>
        <w:t>Improved regulator visibility of material risks and planned mitigations.</w:t>
      </w:r>
    </w:p>
    <w:p w14:paraId="590850E3" w14:textId="0BB3EDFB" w:rsidR="007D7D01" w:rsidRPr="007D7D01" w:rsidRDefault="00014542" w:rsidP="007D7D01">
      <w:pPr>
        <w:pStyle w:val="BodyText"/>
      </w:pPr>
      <w:r>
        <w:t>The evaluation</w:t>
      </w:r>
      <w:r w:rsidR="007D7D01" w:rsidRPr="007D7D01">
        <w:t xml:space="preserve"> will draw on annual reporting, attestation outcomes, regulatory assurance </w:t>
      </w:r>
      <w:r>
        <w:t>activities</w:t>
      </w:r>
      <w:r w:rsidR="007D7D01" w:rsidRPr="007D7D01">
        <w:t xml:space="preserve"> and sector-level trend analysis. The objective is to determine whether the refinements improve clarity, consistency and depth of risk management practice within the existing CIRMP architecture.</w:t>
      </w:r>
    </w:p>
    <w:p w14:paraId="6DE084CB" w14:textId="4693F282" w:rsidR="00B07BC8" w:rsidRDefault="007D7D01" w:rsidP="00E56EC4">
      <w:pPr>
        <w:pStyle w:val="BodyText"/>
      </w:pPr>
      <w:r w:rsidRPr="007D7D01">
        <w:t>Given the dynamic threat environment, findings from ongoing monitoring and post-compliance review will inform future consideration of the CIRMP Rules to ensure they remain proportionate and aligned to national security risk</w:t>
      </w:r>
      <w:r w:rsidR="007F215E">
        <w:t>s</w:t>
      </w:r>
      <w:r w:rsidRPr="007D7D01">
        <w:t>.</w:t>
      </w:r>
      <w:bookmarkEnd w:id="10"/>
    </w:p>
    <w:p w14:paraId="4D89386A" w14:textId="65315B27" w:rsidR="00730F55" w:rsidRDefault="00730F55">
      <w:pPr>
        <w:rPr>
          <w:rFonts w:eastAsia="Times New Roman" w:cs="Times New Roman"/>
          <w:szCs w:val="24"/>
          <w:lang w:eastAsia="en-AU"/>
        </w:rPr>
      </w:pPr>
      <w:r>
        <w:br w:type="page"/>
      </w:r>
    </w:p>
    <w:p w14:paraId="76532932" w14:textId="644145C8" w:rsidR="00F055DE" w:rsidRDefault="004E5823" w:rsidP="004E5823">
      <w:pPr>
        <w:pStyle w:val="Heading1"/>
      </w:pPr>
      <w:bookmarkStart w:id="68" w:name="_Toc228391071"/>
      <w:r>
        <w:lastRenderedPageBreak/>
        <w:t xml:space="preserve">Appendix </w:t>
      </w:r>
      <w:r w:rsidR="00F21D73">
        <w:t>A</w:t>
      </w:r>
      <w:r>
        <w:t xml:space="preserve">: </w:t>
      </w:r>
      <w:r w:rsidR="00061D70" w:rsidRPr="00061D70">
        <w:t>Regulatory burden estimate</w:t>
      </w:r>
      <w:r w:rsidR="00061D70">
        <w:t xml:space="preserve"> </w:t>
      </w:r>
      <w:r w:rsidR="00061D70" w:rsidRPr="00061D70">
        <w:t>methodology</w:t>
      </w:r>
      <w:r w:rsidR="00872C87">
        <w:t xml:space="preserve">, </w:t>
      </w:r>
      <w:r>
        <w:t>assumptions</w:t>
      </w:r>
      <w:r w:rsidR="00872C87">
        <w:t xml:space="preserve"> and </w:t>
      </w:r>
      <w:bookmarkEnd w:id="68"/>
      <w:r w:rsidR="00061D70" w:rsidRPr="00061D70">
        <w:t>inputs</w:t>
      </w:r>
    </w:p>
    <w:tbl>
      <w:tblPr>
        <w:tblStyle w:val="HATableStyle1default"/>
        <w:tblW w:w="0" w:type="auto"/>
        <w:tblLook w:val="04A0" w:firstRow="1" w:lastRow="0" w:firstColumn="1" w:lastColumn="0" w:noHBand="0" w:noVBand="1"/>
      </w:tblPr>
      <w:tblGrid>
        <w:gridCol w:w="7058"/>
        <w:gridCol w:w="2832"/>
      </w:tblGrid>
      <w:tr w:rsidR="00A23A33" w:rsidRPr="00A23A33" w14:paraId="1A790597" w14:textId="77777777" w:rsidTr="009B42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8" w:type="dxa"/>
          </w:tcPr>
          <w:p w14:paraId="6E72F0FA" w14:textId="77777777" w:rsidR="00A23A33" w:rsidRPr="00A23A33" w:rsidRDefault="00A23A33" w:rsidP="00A23A33">
            <w:r w:rsidRPr="00A23A33">
              <w:t>2022 RIS asset class now in enhanced CIRMP scope</w:t>
            </w:r>
          </w:p>
        </w:tc>
        <w:tc>
          <w:tcPr>
            <w:tcW w:w="2832" w:type="dxa"/>
          </w:tcPr>
          <w:p w14:paraId="4A9392F1" w14:textId="77777777" w:rsidR="00A23A33" w:rsidRPr="00A23A33" w:rsidRDefault="00A23A33" w:rsidP="00A23A33">
            <w:pPr>
              <w:cnfStyle w:val="100000000000" w:firstRow="1" w:lastRow="0" w:firstColumn="0" w:lastColumn="0" w:oddVBand="0" w:evenVBand="0" w:oddHBand="0" w:evenHBand="0" w:firstRowFirstColumn="0" w:firstRowLastColumn="0" w:lastRowFirstColumn="0" w:lastRowLastColumn="0"/>
            </w:pPr>
            <w:r w:rsidRPr="00A23A33">
              <w:t>2022 RIS average annual cost ($m)</w:t>
            </w:r>
          </w:p>
        </w:tc>
      </w:tr>
      <w:tr w:rsidR="00A23A33" w:rsidRPr="00A23A33" w14:paraId="71BDEDE8" w14:textId="77777777" w:rsidTr="009B4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8" w:type="dxa"/>
          </w:tcPr>
          <w:p w14:paraId="2FD823C2" w14:textId="77777777" w:rsidR="00A23A33" w:rsidRPr="008F1D6F" w:rsidRDefault="00A23A33" w:rsidP="00A23A33">
            <w:pPr>
              <w:rPr>
                <w:b w:val="0"/>
                <w:bCs/>
              </w:rPr>
            </w:pPr>
            <w:r w:rsidRPr="008F1D6F">
              <w:rPr>
                <w:b w:val="0"/>
                <w:bCs/>
              </w:rPr>
              <w:t>Critical electricity assets</w:t>
            </w:r>
          </w:p>
        </w:tc>
        <w:tc>
          <w:tcPr>
            <w:tcW w:w="2832" w:type="dxa"/>
          </w:tcPr>
          <w:p w14:paraId="11E0A245" w14:textId="77777777" w:rsidR="00A23A33" w:rsidRPr="00A23A33" w:rsidRDefault="00A23A33" w:rsidP="00A23A33">
            <w:pPr>
              <w:cnfStyle w:val="000000100000" w:firstRow="0" w:lastRow="0" w:firstColumn="0" w:lastColumn="0" w:oddVBand="0" w:evenVBand="0" w:oddHBand="1" w:evenHBand="0" w:firstRowFirstColumn="0" w:firstRowLastColumn="0" w:lastRowFirstColumn="0" w:lastRowLastColumn="0"/>
            </w:pPr>
            <w:r w:rsidRPr="00A23A33">
              <w:t>257.9</w:t>
            </w:r>
          </w:p>
        </w:tc>
      </w:tr>
      <w:tr w:rsidR="00A23A33" w:rsidRPr="00A23A33" w14:paraId="68465388" w14:textId="77777777" w:rsidTr="009B42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8" w:type="dxa"/>
          </w:tcPr>
          <w:p w14:paraId="1E5CCA01" w14:textId="77777777" w:rsidR="00A23A33" w:rsidRPr="008F1D6F" w:rsidRDefault="00A23A33" w:rsidP="00A23A33">
            <w:pPr>
              <w:rPr>
                <w:b w:val="0"/>
                <w:bCs/>
              </w:rPr>
            </w:pPr>
            <w:r w:rsidRPr="008F1D6F">
              <w:rPr>
                <w:b w:val="0"/>
                <w:bCs/>
              </w:rPr>
              <w:t>Critical gas assets</w:t>
            </w:r>
          </w:p>
        </w:tc>
        <w:tc>
          <w:tcPr>
            <w:tcW w:w="2832" w:type="dxa"/>
          </w:tcPr>
          <w:p w14:paraId="68BE516B" w14:textId="77777777" w:rsidR="00A23A33" w:rsidRPr="00A23A33" w:rsidRDefault="00A23A33" w:rsidP="00A23A33">
            <w:pPr>
              <w:cnfStyle w:val="000000010000" w:firstRow="0" w:lastRow="0" w:firstColumn="0" w:lastColumn="0" w:oddVBand="0" w:evenVBand="0" w:oddHBand="0" w:evenHBand="1" w:firstRowFirstColumn="0" w:firstRowLastColumn="0" w:lastRowFirstColumn="0" w:lastRowLastColumn="0"/>
            </w:pPr>
            <w:r w:rsidRPr="00A23A33">
              <w:t>115.3</w:t>
            </w:r>
          </w:p>
        </w:tc>
      </w:tr>
      <w:tr w:rsidR="00A23A33" w:rsidRPr="00A23A33" w14:paraId="3108F47F" w14:textId="77777777" w:rsidTr="009B4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8" w:type="dxa"/>
          </w:tcPr>
          <w:p w14:paraId="6CFF6431" w14:textId="77777777" w:rsidR="00A23A33" w:rsidRPr="008F1D6F" w:rsidRDefault="00A23A33" w:rsidP="00A23A33">
            <w:pPr>
              <w:rPr>
                <w:b w:val="0"/>
                <w:bCs/>
              </w:rPr>
            </w:pPr>
            <w:r w:rsidRPr="008F1D6F">
              <w:rPr>
                <w:b w:val="0"/>
                <w:bCs/>
              </w:rPr>
              <w:t>Critical water assets</w:t>
            </w:r>
          </w:p>
        </w:tc>
        <w:tc>
          <w:tcPr>
            <w:tcW w:w="2832" w:type="dxa"/>
          </w:tcPr>
          <w:p w14:paraId="1CB39933" w14:textId="77777777" w:rsidR="00A23A33" w:rsidRPr="00A23A33" w:rsidRDefault="00A23A33" w:rsidP="00A23A33">
            <w:pPr>
              <w:cnfStyle w:val="000000100000" w:firstRow="0" w:lastRow="0" w:firstColumn="0" w:lastColumn="0" w:oddVBand="0" w:evenVBand="0" w:oddHBand="1" w:evenHBand="0" w:firstRowFirstColumn="0" w:firstRowLastColumn="0" w:lastRowFirstColumn="0" w:lastRowLastColumn="0"/>
            </w:pPr>
            <w:r w:rsidRPr="00A23A33">
              <w:t>100.7</w:t>
            </w:r>
          </w:p>
        </w:tc>
      </w:tr>
      <w:tr w:rsidR="00A23A33" w:rsidRPr="00A23A33" w14:paraId="7224F8E5" w14:textId="77777777" w:rsidTr="009B42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8" w:type="dxa"/>
          </w:tcPr>
          <w:p w14:paraId="3F98841A" w14:textId="77777777" w:rsidR="00A23A33" w:rsidRPr="008F1D6F" w:rsidRDefault="00A23A33" w:rsidP="00A23A33">
            <w:pPr>
              <w:rPr>
                <w:b w:val="0"/>
                <w:bCs/>
              </w:rPr>
            </w:pPr>
            <w:r w:rsidRPr="008F1D6F">
              <w:rPr>
                <w:b w:val="0"/>
                <w:bCs/>
              </w:rPr>
              <w:t>Critical broadcasting assets and critical domain name systems</w:t>
            </w:r>
          </w:p>
        </w:tc>
        <w:tc>
          <w:tcPr>
            <w:tcW w:w="2832" w:type="dxa"/>
          </w:tcPr>
          <w:p w14:paraId="5910BCB9" w14:textId="77777777" w:rsidR="00A23A33" w:rsidRPr="00A23A33" w:rsidRDefault="00A23A33" w:rsidP="00A23A33">
            <w:pPr>
              <w:cnfStyle w:val="000000010000" w:firstRow="0" w:lastRow="0" w:firstColumn="0" w:lastColumn="0" w:oddVBand="0" w:evenVBand="0" w:oddHBand="0" w:evenHBand="1" w:firstRowFirstColumn="0" w:firstRowLastColumn="0" w:lastRowFirstColumn="0" w:lastRowLastColumn="0"/>
            </w:pPr>
            <w:r w:rsidRPr="00A23A33">
              <w:t>1.6</w:t>
            </w:r>
          </w:p>
        </w:tc>
      </w:tr>
      <w:tr w:rsidR="00A23A33" w:rsidRPr="00A23A33" w14:paraId="37E5ECA9" w14:textId="77777777" w:rsidTr="009B4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8" w:type="dxa"/>
          </w:tcPr>
          <w:p w14:paraId="0F6D546B" w14:textId="77777777" w:rsidR="00A23A33" w:rsidRPr="008F1D6F" w:rsidRDefault="00A23A33" w:rsidP="00A23A33">
            <w:pPr>
              <w:rPr>
                <w:b w:val="0"/>
                <w:bCs/>
              </w:rPr>
            </w:pPr>
            <w:r w:rsidRPr="008F1D6F">
              <w:rPr>
                <w:b w:val="0"/>
                <w:bCs/>
              </w:rPr>
              <w:t>Critical liquid fuels assets</w:t>
            </w:r>
          </w:p>
        </w:tc>
        <w:tc>
          <w:tcPr>
            <w:tcW w:w="2832" w:type="dxa"/>
          </w:tcPr>
          <w:p w14:paraId="704C3DA6" w14:textId="77777777" w:rsidR="00A23A33" w:rsidRPr="00A23A33" w:rsidRDefault="00A23A33" w:rsidP="00A23A33">
            <w:pPr>
              <w:cnfStyle w:val="000000100000" w:firstRow="0" w:lastRow="0" w:firstColumn="0" w:lastColumn="0" w:oddVBand="0" w:evenVBand="0" w:oddHBand="1" w:evenHBand="0" w:firstRowFirstColumn="0" w:firstRowLastColumn="0" w:lastRowFirstColumn="0" w:lastRowLastColumn="0"/>
            </w:pPr>
            <w:r w:rsidRPr="00A23A33">
              <w:t>13.2</w:t>
            </w:r>
          </w:p>
        </w:tc>
      </w:tr>
      <w:tr w:rsidR="00A23A33" w:rsidRPr="00A23A33" w14:paraId="1D7A5D14" w14:textId="77777777" w:rsidTr="009B42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8" w:type="dxa"/>
          </w:tcPr>
          <w:p w14:paraId="0AB4E3B1" w14:textId="77777777" w:rsidR="00A23A33" w:rsidRPr="008F1D6F" w:rsidRDefault="00A23A33" w:rsidP="00A23A33">
            <w:pPr>
              <w:rPr>
                <w:b w:val="0"/>
                <w:bCs/>
              </w:rPr>
            </w:pPr>
            <w:r w:rsidRPr="008F1D6F">
              <w:rPr>
                <w:b w:val="0"/>
                <w:bCs/>
              </w:rPr>
              <w:t>Critical energy market operator assets</w:t>
            </w:r>
          </w:p>
        </w:tc>
        <w:tc>
          <w:tcPr>
            <w:tcW w:w="2832" w:type="dxa"/>
          </w:tcPr>
          <w:p w14:paraId="588FBE0A" w14:textId="77777777" w:rsidR="00A23A33" w:rsidRPr="00A23A33" w:rsidRDefault="00A23A33" w:rsidP="00A23A33">
            <w:pPr>
              <w:cnfStyle w:val="000000010000" w:firstRow="0" w:lastRow="0" w:firstColumn="0" w:lastColumn="0" w:oddVBand="0" w:evenVBand="0" w:oddHBand="0" w:evenHBand="1" w:firstRowFirstColumn="0" w:firstRowLastColumn="0" w:lastRowFirstColumn="0" w:lastRowLastColumn="0"/>
            </w:pPr>
            <w:r w:rsidRPr="00A23A33">
              <w:t>33.0</w:t>
            </w:r>
          </w:p>
        </w:tc>
      </w:tr>
      <w:tr w:rsidR="00A23A33" w:rsidRPr="00A23A33" w14:paraId="77589A8C" w14:textId="77777777" w:rsidTr="009B4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8" w:type="dxa"/>
          </w:tcPr>
          <w:p w14:paraId="7A517AC4" w14:textId="77777777" w:rsidR="00A23A33" w:rsidRPr="008F1D6F" w:rsidRDefault="00A23A33" w:rsidP="00A23A33">
            <w:pPr>
              <w:rPr>
                <w:b w:val="0"/>
                <w:bCs/>
              </w:rPr>
            </w:pPr>
            <w:r w:rsidRPr="008F1D6F">
              <w:rPr>
                <w:b w:val="0"/>
                <w:bCs/>
              </w:rPr>
              <w:t>Critical freight infrastructure and critical freight services assets</w:t>
            </w:r>
          </w:p>
        </w:tc>
        <w:tc>
          <w:tcPr>
            <w:tcW w:w="2832" w:type="dxa"/>
          </w:tcPr>
          <w:p w14:paraId="22DF9B61" w14:textId="77777777" w:rsidR="00A23A33" w:rsidRPr="00A23A33" w:rsidRDefault="00A23A33" w:rsidP="00A23A33">
            <w:pPr>
              <w:cnfStyle w:val="000000100000" w:firstRow="0" w:lastRow="0" w:firstColumn="0" w:lastColumn="0" w:oddVBand="0" w:evenVBand="0" w:oddHBand="1" w:evenHBand="0" w:firstRowFirstColumn="0" w:firstRowLastColumn="0" w:lastRowFirstColumn="0" w:lastRowLastColumn="0"/>
            </w:pPr>
            <w:r w:rsidRPr="00A23A33">
              <w:t>52.8</w:t>
            </w:r>
          </w:p>
        </w:tc>
      </w:tr>
      <w:tr w:rsidR="00A23A33" w:rsidRPr="00A23A33" w14:paraId="20E9F653" w14:textId="77777777" w:rsidTr="009B42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8" w:type="dxa"/>
          </w:tcPr>
          <w:p w14:paraId="1D2DE38C" w14:textId="77777777" w:rsidR="00A23A33" w:rsidRPr="008F1D6F" w:rsidRDefault="00A23A33" w:rsidP="00A23A33">
            <w:r w:rsidRPr="008F1D6F">
              <w:t>Total in-scope 2022 RIS comparator</w:t>
            </w:r>
          </w:p>
        </w:tc>
        <w:tc>
          <w:tcPr>
            <w:tcW w:w="2832" w:type="dxa"/>
          </w:tcPr>
          <w:p w14:paraId="047F40EA" w14:textId="77777777" w:rsidR="00A23A33" w:rsidRPr="008F1D6F" w:rsidRDefault="00A23A33" w:rsidP="00A23A33">
            <w:pPr>
              <w:cnfStyle w:val="000000010000" w:firstRow="0" w:lastRow="0" w:firstColumn="0" w:lastColumn="0" w:oddVBand="0" w:evenVBand="0" w:oddHBand="0" w:evenHBand="1" w:firstRowFirstColumn="0" w:firstRowLastColumn="0" w:lastRowFirstColumn="0" w:lastRowLastColumn="0"/>
              <w:rPr>
                <w:b/>
              </w:rPr>
            </w:pPr>
            <w:r w:rsidRPr="008F1D6F">
              <w:rPr>
                <w:b/>
              </w:rPr>
              <w:t>574.5</w:t>
            </w:r>
          </w:p>
        </w:tc>
      </w:tr>
      <w:tr w:rsidR="00A23A33" w:rsidRPr="00A23A33" w14:paraId="611CFBB3" w14:textId="77777777" w:rsidTr="009B4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8" w:type="dxa"/>
          </w:tcPr>
          <w:p w14:paraId="4A9B9329" w14:textId="77777777" w:rsidR="00A23A33" w:rsidRPr="00A23A33" w:rsidRDefault="00A23A33" w:rsidP="00A23A33">
            <w:r w:rsidRPr="00A23A33">
              <w:t>Total 2022 RIS all asset classes</w:t>
            </w:r>
          </w:p>
        </w:tc>
        <w:tc>
          <w:tcPr>
            <w:tcW w:w="2832" w:type="dxa"/>
          </w:tcPr>
          <w:p w14:paraId="4D6970E6" w14:textId="77777777" w:rsidR="00A23A33" w:rsidRPr="008F1D6F" w:rsidRDefault="00A23A33" w:rsidP="00A23A33">
            <w:pPr>
              <w:cnfStyle w:val="000000100000" w:firstRow="0" w:lastRow="0" w:firstColumn="0" w:lastColumn="0" w:oddVBand="0" w:evenVBand="0" w:oddHBand="1" w:evenHBand="0" w:firstRowFirstColumn="0" w:firstRowLastColumn="0" w:lastRowFirstColumn="0" w:lastRowLastColumn="0"/>
              <w:rPr>
                <w:b/>
                <w:bCs/>
              </w:rPr>
            </w:pPr>
            <w:r w:rsidRPr="008F1D6F">
              <w:rPr>
                <w:b/>
                <w:bCs/>
              </w:rPr>
              <w:t>1,150.4</w:t>
            </w:r>
          </w:p>
        </w:tc>
      </w:tr>
    </w:tbl>
    <w:p w14:paraId="2A4F915E" w14:textId="3F331C62" w:rsidR="009B4220" w:rsidRDefault="009B4220" w:rsidP="009B4220">
      <w:pPr>
        <w:pStyle w:val="BodyText"/>
      </w:pPr>
      <w:r>
        <w:t xml:space="preserve">The 2022 RIS estimated average annual regulatory costs of $1.1504 billion for the full CIRMP framework across all </w:t>
      </w:r>
      <w:r w:rsidR="00D35939">
        <w:t xml:space="preserve">considered </w:t>
      </w:r>
      <w:r>
        <w:t>asset classes. The asset classes now in scope of the enhanced CIRMP Rules accounted for approximately $574.5 million of that annual average cost. This in-scope comparator is used as the cost base for the 2026 incremental estimate.</w:t>
      </w:r>
    </w:p>
    <w:p w14:paraId="49888CA7" w14:textId="77777777" w:rsidR="009B4220" w:rsidRDefault="009B4220" w:rsidP="009B4220">
      <w:pPr>
        <w:pStyle w:val="BodyText"/>
      </w:pPr>
      <w:r>
        <w:t>The 2026 enhanced CIRMP Rules are not a new risk-management program. They apply to entities already subject to the CIRMP and require incremental uplift in risk consideration, processes, systems, documentation, governance, assurance and targeted controls. The Addendum therefore applies a calibrated incremental uplift to the 2022 in-scope cost base. The low case applies 5 per cent, the central case applies 10 per cent, and the high case applies 15 per cent.</w:t>
      </w:r>
    </w:p>
    <w:p w14:paraId="0173105F" w14:textId="71289684" w:rsidR="004E5823" w:rsidRDefault="009B4220" w:rsidP="009B4220">
      <w:pPr>
        <w:pStyle w:val="BodyText"/>
      </w:pPr>
      <w:r>
        <w:t>The formula is: average annual business RBE = 2022 in-scope average annual CIRMP cost base x incremental uplift percentage. The central estimate is $574.5 million x 10 per cent = $57.5 million per year. The low case is $574.5 million x 5 per cent = $28.7 million per year. The high case is $574.5 million x 15 per cent = $86.2 million per year.</w:t>
      </w:r>
    </w:p>
    <w:tbl>
      <w:tblPr>
        <w:tblStyle w:val="HATableStyle1default"/>
        <w:tblW w:w="0" w:type="auto"/>
        <w:tblLook w:val="04A0" w:firstRow="1" w:lastRow="0" w:firstColumn="1" w:lastColumn="0" w:noHBand="0" w:noVBand="1"/>
      </w:tblPr>
      <w:tblGrid>
        <w:gridCol w:w="1728"/>
        <w:gridCol w:w="2880"/>
        <w:gridCol w:w="2160"/>
        <w:gridCol w:w="2880"/>
      </w:tblGrid>
      <w:tr w:rsidR="00CC461F" w:rsidRPr="00CC461F" w14:paraId="3AE51543" w14:textId="77777777" w:rsidTr="00CC46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2E0F063E" w14:textId="77777777" w:rsidR="00CC461F" w:rsidRPr="00CC461F" w:rsidRDefault="00CC461F" w:rsidP="00CC461F">
            <w:r w:rsidRPr="00CC461F">
              <w:t>Sensitivity</w:t>
            </w:r>
          </w:p>
        </w:tc>
        <w:tc>
          <w:tcPr>
            <w:tcW w:w="2880" w:type="dxa"/>
          </w:tcPr>
          <w:p w14:paraId="116F48B3" w14:textId="77777777" w:rsidR="00CC461F" w:rsidRPr="00CC461F" w:rsidRDefault="00CC461F" w:rsidP="00CC461F">
            <w:pPr>
              <w:cnfStyle w:val="100000000000" w:firstRow="1" w:lastRow="0" w:firstColumn="0" w:lastColumn="0" w:oddVBand="0" w:evenVBand="0" w:oddHBand="0" w:evenHBand="0" w:firstRowFirstColumn="0" w:firstRowLastColumn="0" w:lastRowFirstColumn="0" w:lastRowLastColumn="0"/>
            </w:pPr>
            <w:r w:rsidRPr="00CC461F">
              <w:t>Calculation</w:t>
            </w:r>
          </w:p>
        </w:tc>
        <w:tc>
          <w:tcPr>
            <w:tcW w:w="2160" w:type="dxa"/>
          </w:tcPr>
          <w:p w14:paraId="7544BC23" w14:textId="77777777" w:rsidR="00CC461F" w:rsidRPr="00CC461F" w:rsidRDefault="00CC461F" w:rsidP="00CC461F">
            <w:pPr>
              <w:cnfStyle w:val="100000000000" w:firstRow="1" w:lastRow="0" w:firstColumn="0" w:lastColumn="0" w:oddVBand="0" w:evenVBand="0" w:oddHBand="0" w:evenHBand="0" w:firstRowFirstColumn="0" w:firstRowLastColumn="0" w:lastRowFirstColumn="0" w:lastRowLastColumn="0"/>
            </w:pPr>
            <w:r w:rsidRPr="00CC461F">
              <w:t>Average annual RBE</w:t>
            </w:r>
          </w:p>
        </w:tc>
        <w:tc>
          <w:tcPr>
            <w:tcW w:w="2880" w:type="dxa"/>
          </w:tcPr>
          <w:p w14:paraId="68F284FF" w14:textId="77777777" w:rsidR="00CC461F" w:rsidRPr="00CC461F" w:rsidRDefault="00CC461F" w:rsidP="00CC461F">
            <w:pPr>
              <w:cnfStyle w:val="100000000000" w:firstRow="1" w:lastRow="0" w:firstColumn="0" w:lastColumn="0" w:oddVBand="0" w:evenVBand="0" w:oddHBand="0" w:evenHBand="0" w:firstRowFirstColumn="0" w:firstRowLastColumn="0" w:lastRowFirstColumn="0" w:lastRowLastColumn="0"/>
            </w:pPr>
            <w:r w:rsidRPr="00CC461F">
              <w:t>Share of 2022 all-asset-class cost</w:t>
            </w:r>
          </w:p>
        </w:tc>
      </w:tr>
      <w:tr w:rsidR="00CC461F" w:rsidRPr="00CC461F" w14:paraId="72C90934" w14:textId="77777777" w:rsidTr="00CC46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016D7107" w14:textId="77777777" w:rsidR="00CC461F" w:rsidRPr="00CC461F" w:rsidRDefault="00CC461F" w:rsidP="00CC461F">
            <w:r w:rsidRPr="00CC461F">
              <w:t>Low</w:t>
            </w:r>
          </w:p>
        </w:tc>
        <w:tc>
          <w:tcPr>
            <w:tcW w:w="2880" w:type="dxa"/>
          </w:tcPr>
          <w:p w14:paraId="5E95CA2B" w14:textId="77777777" w:rsidR="00CC461F" w:rsidRPr="00CC461F" w:rsidRDefault="00CC461F" w:rsidP="00CC461F">
            <w:pPr>
              <w:cnfStyle w:val="000000100000" w:firstRow="0" w:lastRow="0" w:firstColumn="0" w:lastColumn="0" w:oddVBand="0" w:evenVBand="0" w:oddHBand="1" w:evenHBand="0" w:firstRowFirstColumn="0" w:firstRowLastColumn="0" w:lastRowFirstColumn="0" w:lastRowLastColumn="0"/>
            </w:pPr>
            <w:r w:rsidRPr="00CC461F">
              <w:t>$574.5m x 5%</w:t>
            </w:r>
          </w:p>
        </w:tc>
        <w:tc>
          <w:tcPr>
            <w:tcW w:w="2160" w:type="dxa"/>
          </w:tcPr>
          <w:p w14:paraId="3379CF68" w14:textId="77777777" w:rsidR="00CC461F" w:rsidRPr="00CC461F" w:rsidRDefault="00CC461F" w:rsidP="00CC461F">
            <w:pPr>
              <w:cnfStyle w:val="000000100000" w:firstRow="0" w:lastRow="0" w:firstColumn="0" w:lastColumn="0" w:oddVBand="0" w:evenVBand="0" w:oddHBand="1" w:evenHBand="0" w:firstRowFirstColumn="0" w:firstRowLastColumn="0" w:lastRowFirstColumn="0" w:lastRowLastColumn="0"/>
            </w:pPr>
            <w:r w:rsidRPr="00CC461F">
              <w:t>$28.7m</w:t>
            </w:r>
          </w:p>
        </w:tc>
        <w:tc>
          <w:tcPr>
            <w:tcW w:w="2880" w:type="dxa"/>
          </w:tcPr>
          <w:p w14:paraId="63168A6B" w14:textId="77777777" w:rsidR="00CC461F" w:rsidRPr="00CC461F" w:rsidRDefault="00CC461F" w:rsidP="00CC461F">
            <w:pPr>
              <w:cnfStyle w:val="000000100000" w:firstRow="0" w:lastRow="0" w:firstColumn="0" w:lastColumn="0" w:oddVBand="0" w:evenVBand="0" w:oddHBand="1" w:evenHBand="0" w:firstRowFirstColumn="0" w:firstRowLastColumn="0" w:lastRowFirstColumn="0" w:lastRowLastColumn="0"/>
            </w:pPr>
            <w:r w:rsidRPr="00CC461F">
              <w:t>2.5%</w:t>
            </w:r>
          </w:p>
        </w:tc>
      </w:tr>
      <w:tr w:rsidR="00CC461F" w:rsidRPr="00CC461F" w14:paraId="2296A7E3" w14:textId="77777777" w:rsidTr="00CC46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25730408" w14:textId="77777777" w:rsidR="00CC461F" w:rsidRPr="00CC461F" w:rsidRDefault="00CC461F" w:rsidP="00CC461F">
            <w:r w:rsidRPr="00CC461F">
              <w:t>Central</w:t>
            </w:r>
          </w:p>
        </w:tc>
        <w:tc>
          <w:tcPr>
            <w:tcW w:w="2880" w:type="dxa"/>
          </w:tcPr>
          <w:p w14:paraId="486E6F36" w14:textId="77777777" w:rsidR="00CC461F" w:rsidRPr="00CC461F" w:rsidRDefault="00CC461F" w:rsidP="00CC461F">
            <w:pPr>
              <w:cnfStyle w:val="000000010000" w:firstRow="0" w:lastRow="0" w:firstColumn="0" w:lastColumn="0" w:oddVBand="0" w:evenVBand="0" w:oddHBand="0" w:evenHBand="1" w:firstRowFirstColumn="0" w:firstRowLastColumn="0" w:lastRowFirstColumn="0" w:lastRowLastColumn="0"/>
            </w:pPr>
            <w:r w:rsidRPr="00CC461F">
              <w:t>$574.5m x 10%</w:t>
            </w:r>
          </w:p>
        </w:tc>
        <w:tc>
          <w:tcPr>
            <w:tcW w:w="2160" w:type="dxa"/>
          </w:tcPr>
          <w:p w14:paraId="4FAD4F52" w14:textId="77777777" w:rsidR="00CC461F" w:rsidRPr="00CC461F" w:rsidRDefault="00CC461F" w:rsidP="00CC461F">
            <w:pPr>
              <w:cnfStyle w:val="000000010000" w:firstRow="0" w:lastRow="0" w:firstColumn="0" w:lastColumn="0" w:oddVBand="0" w:evenVBand="0" w:oddHBand="0" w:evenHBand="1" w:firstRowFirstColumn="0" w:firstRowLastColumn="0" w:lastRowFirstColumn="0" w:lastRowLastColumn="0"/>
            </w:pPr>
            <w:r w:rsidRPr="00CC461F">
              <w:t>$57.5m</w:t>
            </w:r>
          </w:p>
        </w:tc>
        <w:tc>
          <w:tcPr>
            <w:tcW w:w="2880" w:type="dxa"/>
          </w:tcPr>
          <w:p w14:paraId="46C8DB6C" w14:textId="77777777" w:rsidR="00CC461F" w:rsidRPr="00CC461F" w:rsidRDefault="00CC461F" w:rsidP="00CC461F">
            <w:pPr>
              <w:cnfStyle w:val="000000010000" w:firstRow="0" w:lastRow="0" w:firstColumn="0" w:lastColumn="0" w:oddVBand="0" w:evenVBand="0" w:oddHBand="0" w:evenHBand="1" w:firstRowFirstColumn="0" w:firstRowLastColumn="0" w:lastRowFirstColumn="0" w:lastRowLastColumn="0"/>
            </w:pPr>
            <w:r w:rsidRPr="00CC461F">
              <w:t>5.0%</w:t>
            </w:r>
          </w:p>
        </w:tc>
      </w:tr>
      <w:tr w:rsidR="00CC461F" w:rsidRPr="00CC461F" w14:paraId="56A7D7DA" w14:textId="77777777" w:rsidTr="00CC46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08B3674A" w14:textId="77777777" w:rsidR="00CC461F" w:rsidRPr="00CC461F" w:rsidRDefault="00CC461F" w:rsidP="00CC461F">
            <w:r w:rsidRPr="00CC461F">
              <w:t>High</w:t>
            </w:r>
          </w:p>
        </w:tc>
        <w:tc>
          <w:tcPr>
            <w:tcW w:w="2880" w:type="dxa"/>
          </w:tcPr>
          <w:p w14:paraId="658E41B8" w14:textId="77777777" w:rsidR="00CC461F" w:rsidRPr="00CC461F" w:rsidRDefault="00CC461F" w:rsidP="00CC461F">
            <w:pPr>
              <w:cnfStyle w:val="000000100000" w:firstRow="0" w:lastRow="0" w:firstColumn="0" w:lastColumn="0" w:oddVBand="0" w:evenVBand="0" w:oddHBand="1" w:evenHBand="0" w:firstRowFirstColumn="0" w:firstRowLastColumn="0" w:lastRowFirstColumn="0" w:lastRowLastColumn="0"/>
            </w:pPr>
            <w:r w:rsidRPr="00CC461F">
              <w:t>$574.5m x 15%</w:t>
            </w:r>
          </w:p>
        </w:tc>
        <w:tc>
          <w:tcPr>
            <w:tcW w:w="2160" w:type="dxa"/>
          </w:tcPr>
          <w:p w14:paraId="1D7C26C2" w14:textId="77777777" w:rsidR="00CC461F" w:rsidRPr="00CC461F" w:rsidRDefault="00CC461F" w:rsidP="00CC461F">
            <w:pPr>
              <w:cnfStyle w:val="000000100000" w:firstRow="0" w:lastRow="0" w:firstColumn="0" w:lastColumn="0" w:oddVBand="0" w:evenVBand="0" w:oddHBand="1" w:evenHBand="0" w:firstRowFirstColumn="0" w:firstRowLastColumn="0" w:lastRowFirstColumn="0" w:lastRowLastColumn="0"/>
            </w:pPr>
            <w:r w:rsidRPr="00CC461F">
              <w:t>$86.2m</w:t>
            </w:r>
          </w:p>
        </w:tc>
        <w:tc>
          <w:tcPr>
            <w:tcW w:w="2880" w:type="dxa"/>
          </w:tcPr>
          <w:p w14:paraId="3EE79E11" w14:textId="77777777" w:rsidR="00CC461F" w:rsidRPr="00CC461F" w:rsidRDefault="00CC461F" w:rsidP="00CC461F">
            <w:pPr>
              <w:cnfStyle w:val="000000100000" w:firstRow="0" w:lastRow="0" w:firstColumn="0" w:lastColumn="0" w:oddVBand="0" w:evenVBand="0" w:oddHBand="1" w:evenHBand="0" w:firstRowFirstColumn="0" w:firstRowLastColumn="0" w:lastRowFirstColumn="0" w:lastRowLastColumn="0"/>
            </w:pPr>
            <w:r w:rsidRPr="00CC461F">
              <w:t>7.5%</w:t>
            </w:r>
          </w:p>
        </w:tc>
      </w:tr>
    </w:tbl>
    <w:p w14:paraId="115EDC4B" w14:textId="77777777" w:rsidR="00061D70" w:rsidRDefault="00061D70" w:rsidP="00061D70">
      <w:pPr>
        <w:pStyle w:val="BodyText"/>
      </w:pPr>
    </w:p>
    <w:p w14:paraId="60D116DC" w14:textId="7C5070A0" w:rsidR="00061D70" w:rsidRDefault="00061D70" w:rsidP="00061D70">
      <w:pPr>
        <w:pStyle w:val="BodyText"/>
      </w:pPr>
      <w:r w:rsidRPr="00061D70">
        <w:t xml:space="preserve">The RBE is not derived from a new bottom-up estimate of hours per activity for each 2026 enhancement. A bottom-up hours model was not adopted because consultation responses did not provide a representative national dataset of marginal time costs, and many submitted estimates combined mandatory compliance activities with broader remediation, already planned investments, or entity-specific implementation choices. The 2022 RIS remains the most complete national activity-based cost base for CIRMP compliance. It incorporated marginal staff effort, labour costs, operating costs and capital costs for the CIRMP framework. This Addendum therefore uses that 2022 in-scope cost base as a reference-class benchmark and applies transparent low, </w:t>
      </w:r>
      <w:r w:rsidRPr="00061D70">
        <w:lastRenderedPageBreak/>
        <w:t xml:space="preserve">central and high incremental uplift assumptions to estimate the additional burden of the 2026 enhancements. </w:t>
      </w:r>
      <w:r>
        <w:t>The table below</w:t>
      </w:r>
      <w:r w:rsidRPr="00061D70">
        <w:t xml:space="preserve"> identifies the incremental activity categories captured by the uplift.</w:t>
      </w:r>
    </w:p>
    <w:tbl>
      <w:tblPr>
        <w:tblStyle w:val="HATableStyle1default"/>
        <w:tblW w:w="0" w:type="auto"/>
        <w:tblLook w:val="04A0" w:firstRow="1" w:lastRow="0" w:firstColumn="1" w:lastColumn="0" w:noHBand="0" w:noVBand="1"/>
      </w:tblPr>
      <w:tblGrid>
        <w:gridCol w:w="4248"/>
        <w:gridCol w:w="5642"/>
      </w:tblGrid>
      <w:tr w:rsidR="00061D70" w:rsidRPr="00061D70" w14:paraId="4E508F3E" w14:textId="77777777" w:rsidTr="00061D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8FEBE4" w14:textId="77777777" w:rsidR="00061D70" w:rsidRPr="00061D70" w:rsidRDefault="00061D70" w:rsidP="00061D70">
            <w:pPr>
              <w:rPr>
                <w:lang w:val="en-US"/>
              </w:rPr>
            </w:pPr>
            <w:r w:rsidRPr="00061D70">
              <w:rPr>
                <w:lang w:val="en-US"/>
              </w:rPr>
              <w:t>RBE activity category</w:t>
            </w:r>
          </w:p>
        </w:tc>
        <w:tc>
          <w:tcPr>
            <w:tcW w:w="0" w:type="auto"/>
            <w:hideMark/>
          </w:tcPr>
          <w:p w14:paraId="5D598502" w14:textId="77777777" w:rsidR="00061D70" w:rsidRPr="00061D70" w:rsidRDefault="00061D70" w:rsidP="00061D70">
            <w:pPr>
              <w:cnfStyle w:val="100000000000" w:firstRow="1" w:lastRow="0" w:firstColumn="0" w:lastColumn="0" w:oddVBand="0" w:evenVBand="0" w:oddHBand="0" w:evenHBand="0" w:firstRowFirstColumn="0" w:firstRowLastColumn="0" w:lastRowFirstColumn="0" w:lastRowLastColumn="0"/>
              <w:rPr>
                <w:lang w:val="en-US"/>
              </w:rPr>
            </w:pPr>
            <w:r w:rsidRPr="00061D70">
              <w:rPr>
                <w:lang w:val="en-US"/>
              </w:rPr>
              <w:t>Treatment in the estimate</w:t>
            </w:r>
          </w:p>
        </w:tc>
      </w:tr>
      <w:tr w:rsidR="00061D70" w:rsidRPr="00061D70" w14:paraId="25DED982" w14:textId="77777777" w:rsidTr="00061D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941E7C" w14:textId="77777777" w:rsidR="00061D70" w:rsidRPr="00061D70" w:rsidRDefault="00061D70" w:rsidP="00061D70">
            <w:pPr>
              <w:rPr>
                <w:lang w:val="en-US"/>
              </w:rPr>
            </w:pPr>
            <w:r w:rsidRPr="00061D70">
              <w:rPr>
                <w:lang w:val="en-US"/>
              </w:rPr>
              <w:t>Risk assessment and CIRMP updates</w:t>
            </w:r>
          </w:p>
        </w:tc>
        <w:tc>
          <w:tcPr>
            <w:tcW w:w="0" w:type="auto"/>
            <w:hideMark/>
          </w:tcPr>
          <w:p w14:paraId="6462302B" w14:textId="77777777" w:rsidR="00061D70" w:rsidRPr="00061D70" w:rsidRDefault="00061D70" w:rsidP="00061D70">
            <w:pPr>
              <w:cnfStyle w:val="000000100000" w:firstRow="0" w:lastRow="0" w:firstColumn="0" w:lastColumn="0" w:oddVBand="0" w:evenVBand="0" w:oddHBand="1" w:evenHBand="0" w:firstRowFirstColumn="0" w:firstRowLastColumn="0" w:lastRowFirstColumn="0" w:lastRowLastColumn="0"/>
              <w:rPr>
                <w:lang w:val="en-US"/>
              </w:rPr>
            </w:pPr>
            <w:r w:rsidRPr="00061D70">
              <w:rPr>
                <w:lang w:val="en-US"/>
              </w:rPr>
              <w:t>Included in the incremental uplift</w:t>
            </w:r>
          </w:p>
        </w:tc>
      </w:tr>
      <w:tr w:rsidR="00061D70" w:rsidRPr="00061D70" w14:paraId="4AC6B637" w14:textId="77777777" w:rsidTr="00061D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4B1BAD" w14:textId="77777777" w:rsidR="00061D70" w:rsidRPr="00061D70" w:rsidRDefault="00061D70" w:rsidP="00061D70">
            <w:pPr>
              <w:rPr>
                <w:lang w:val="en-US"/>
              </w:rPr>
            </w:pPr>
            <w:r w:rsidRPr="00061D70">
              <w:rPr>
                <w:lang w:val="en-US"/>
              </w:rPr>
              <w:t>Governance, assurance and evidence keeping</w:t>
            </w:r>
          </w:p>
        </w:tc>
        <w:tc>
          <w:tcPr>
            <w:tcW w:w="0" w:type="auto"/>
            <w:hideMark/>
          </w:tcPr>
          <w:p w14:paraId="6971B8AD" w14:textId="77777777" w:rsidR="00061D70" w:rsidRPr="00061D70" w:rsidRDefault="00061D70" w:rsidP="00061D70">
            <w:pPr>
              <w:cnfStyle w:val="000000010000" w:firstRow="0" w:lastRow="0" w:firstColumn="0" w:lastColumn="0" w:oddVBand="0" w:evenVBand="0" w:oddHBand="0" w:evenHBand="1" w:firstRowFirstColumn="0" w:firstRowLastColumn="0" w:lastRowFirstColumn="0" w:lastRowLastColumn="0"/>
              <w:rPr>
                <w:lang w:val="en-US"/>
              </w:rPr>
            </w:pPr>
            <w:r w:rsidRPr="00061D70">
              <w:rPr>
                <w:lang w:val="en-US"/>
              </w:rPr>
              <w:t>Included in the incremental uplift</w:t>
            </w:r>
          </w:p>
        </w:tc>
      </w:tr>
      <w:tr w:rsidR="00061D70" w:rsidRPr="00061D70" w14:paraId="0EB234B6" w14:textId="77777777" w:rsidTr="00061D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4492F00" w14:textId="77777777" w:rsidR="00061D70" w:rsidRPr="00061D70" w:rsidRDefault="00061D70" w:rsidP="00061D70">
            <w:pPr>
              <w:rPr>
                <w:lang w:val="en-US"/>
              </w:rPr>
            </w:pPr>
            <w:r w:rsidRPr="00061D70">
              <w:rPr>
                <w:lang w:val="en-US"/>
              </w:rPr>
              <w:t>Supplier/vendor review and mapping</w:t>
            </w:r>
          </w:p>
        </w:tc>
        <w:tc>
          <w:tcPr>
            <w:tcW w:w="0" w:type="auto"/>
            <w:hideMark/>
          </w:tcPr>
          <w:p w14:paraId="469CF6BB" w14:textId="77777777" w:rsidR="00061D70" w:rsidRPr="00061D70" w:rsidRDefault="00061D70" w:rsidP="00061D70">
            <w:pPr>
              <w:cnfStyle w:val="000000100000" w:firstRow="0" w:lastRow="0" w:firstColumn="0" w:lastColumn="0" w:oddVBand="0" w:evenVBand="0" w:oddHBand="1" w:evenHBand="0" w:firstRowFirstColumn="0" w:firstRowLastColumn="0" w:lastRowFirstColumn="0" w:lastRowLastColumn="0"/>
              <w:rPr>
                <w:lang w:val="en-US"/>
              </w:rPr>
            </w:pPr>
            <w:r w:rsidRPr="00061D70">
              <w:rPr>
                <w:lang w:val="en-US"/>
              </w:rPr>
              <w:t>Included in the incremental uplift</w:t>
            </w:r>
          </w:p>
        </w:tc>
      </w:tr>
      <w:tr w:rsidR="00061D70" w:rsidRPr="00061D70" w14:paraId="030B37F0" w14:textId="77777777" w:rsidTr="00061D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9CD63F" w14:textId="77777777" w:rsidR="00061D70" w:rsidRPr="00061D70" w:rsidRDefault="00061D70" w:rsidP="00061D70">
            <w:pPr>
              <w:rPr>
                <w:lang w:val="en-US"/>
              </w:rPr>
            </w:pPr>
            <w:r w:rsidRPr="00061D70">
              <w:rPr>
                <w:lang w:val="en-US"/>
              </w:rPr>
              <w:t>Cyber maturity assessment, roadmaps and targeted uplift</w:t>
            </w:r>
          </w:p>
        </w:tc>
        <w:tc>
          <w:tcPr>
            <w:tcW w:w="0" w:type="auto"/>
            <w:hideMark/>
          </w:tcPr>
          <w:p w14:paraId="4CD42E90" w14:textId="77777777" w:rsidR="00061D70" w:rsidRPr="00061D70" w:rsidRDefault="00061D70" w:rsidP="00061D70">
            <w:pPr>
              <w:cnfStyle w:val="000000010000" w:firstRow="0" w:lastRow="0" w:firstColumn="0" w:lastColumn="0" w:oddVBand="0" w:evenVBand="0" w:oddHBand="0" w:evenHBand="1" w:firstRowFirstColumn="0" w:firstRowLastColumn="0" w:lastRowFirstColumn="0" w:lastRowLastColumn="0"/>
              <w:rPr>
                <w:lang w:val="en-US"/>
              </w:rPr>
            </w:pPr>
            <w:r w:rsidRPr="00061D70">
              <w:rPr>
                <w:lang w:val="en-US"/>
              </w:rPr>
              <w:t>Included in the incremental uplift</w:t>
            </w:r>
          </w:p>
        </w:tc>
      </w:tr>
      <w:tr w:rsidR="00061D70" w:rsidRPr="00061D70" w14:paraId="207B34E6" w14:textId="77777777" w:rsidTr="00061D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6D9BB2" w14:textId="77777777" w:rsidR="00061D70" w:rsidRPr="00061D70" w:rsidRDefault="00061D70" w:rsidP="00061D70">
            <w:pPr>
              <w:rPr>
                <w:lang w:val="en-US"/>
              </w:rPr>
            </w:pPr>
            <w:r w:rsidRPr="00061D70">
              <w:rPr>
                <w:lang w:val="en-US"/>
              </w:rPr>
              <w:t>Personnel security planning and critical worker processes</w:t>
            </w:r>
          </w:p>
        </w:tc>
        <w:tc>
          <w:tcPr>
            <w:tcW w:w="0" w:type="auto"/>
            <w:hideMark/>
          </w:tcPr>
          <w:p w14:paraId="67FAEDA1" w14:textId="77777777" w:rsidR="00061D70" w:rsidRPr="00061D70" w:rsidRDefault="00061D70" w:rsidP="00061D70">
            <w:pPr>
              <w:cnfStyle w:val="000000100000" w:firstRow="0" w:lastRow="0" w:firstColumn="0" w:lastColumn="0" w:oddVBand="0" w:evenVBand="0" w:oddHBand="1" w:evenHBand="0" w:firstRowFirstColumn="0" w:firstRowLastColumn="0" w:lastRowFirstColumn="0" w:lastRowLastColumn="0"/>
              <w:rPr>
                <w:lang w:val="en-US"/>
              </w:rPr>
            </w:pPr>
            <w:r w:rsidRPr="00061D70">
              <w:rPr>
                <w:lang w:val="en-US"/>
              </w:rPr>
              <w:t>Included in the incremental uplift</w:t>
            </w:r>
          </w:p>
        </w:tc>
      </w:tr>
      <w:tr w:rsidR="00061D70" w:rsidRPr="00061D70" w14:paraId="43769715" w14:textId="77777777" w:rsidTr="00061D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A91540" w14:textId="77777777" w:rsidR="00061D70" w:rsidRPr="00061D70" w:rsidRDefault="00061D70" w:rsidP="00061D70">
            <w:pPr>
              <w:rPr>
                <w:lang w:val="en-US"/>
              </w:rPr>
            </w:pPr>
            <w:r w:rsidRPr="00061D70">
              <w:rPr>
                <w:lang w:val="en-US"/>
              </w:rPr>
              <w:t>Physical security plan development and testing</w:t>
            </w:r>
          </w:p>
        </w:tc>
        <w:tc>
          <w:tcPr>
            <w:tcW w:w="0" w:type="auto"/>
            <w:hideMark/>
          </w:tcPr>
          <w:p w14:paraId="3EA10CD8" w14:textId="77777777" w:rsidR="00061D70" w:rsidRPr="00061D70" w:rsidRDefault="00061D70" w:rsidP="00061D70">
            <w:pPr>
              <w:cnfStyle w:val="000000010000" w:firstRow="0" w:lastRow="0" w:firstColumn="0" w:lastColumn="0" w:oddVBand="0" w:evenVBand="0" w:oddHBand="0" w:evenHBand="1" w:firstRowFirstColumn="0" w:firstRowLastColumn="0" w:lastRowFirstColumn="0" w:lastRowLastColumn="0"/>
              <w:rPr>
                <w:lang w:val="en-US"/>
              </w:rPr>
            </w:pPr>
            <w:r w:rsidRPr="00061D70">
              <w:rPr>
                <w:lang w:val="en-US"/>
              </w:rPr>
              <w:t>Included in the incremental uplift</w:t>
            </w:r>
          </w:p>
        </w:tc>
      </w:tr>
      <w:tr w:rsidR="00061D70" w:rsidRPr="00061D70" w14:paraId="368070A5" w14:textId="77777777" w:rsidTr="00061D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8EC796" w14:textId="77777777" w:rsidR="00061D70" w:rsidRPr="00061D70" w:rsidRDefault="00061D70" w:rsidP="00061D70">
            <w:pPr>
              <w:rPr>
                <w:lang w:val="en-US"/>
              </w:rPr>
            </w:pPr>
            <w:r w:rsidRPr="00061D70">
              <w:rPr>
                <w:lang w:val="en-US"/>
              </w:rPr>
              <w:t>Full remediation of every identified risk</w:t>
            </w:r>
          </w:p>
        </w:tc>
        <w:tc>
          <w:tcPr>
            <w:tcW w:w="0" w:type="auto"/>
            <w:hideMark/>
          </w:tcPr>
          <w:p w14:paraId="7B8B9FDA" w14:textId="77777777" w:rsidR="00061D70" w:rsidRPr="00061D70" w:rsidRDefault="00061D70" w:rsidP="00061D70">
            <w:pPr>
              <w:cnfStyle w:val="000000100000" w:firstRow="0" w:lastRow="0" w:firstColumn="0" w:lastColumn="0" w:oddVBand="0" w:evenVBand="0" w:oddHBand="1" w:evenHBand="0" w:firstRowFirstColumn="0" w:firstRowLastColumn="0" w:lastRowFirstColumn="0" w:lastRowLastColumn="0"/>
              <w:rPr>
                <w:lang w:val="en-US"/>
              </w:rPr>
            </w:pPr>
            <w:r w:rsidRPr="00061D70">
              <w:rPr>
                <w:lang w:val="en-US"/>
              </w:rPr>
              <w:t>Not assumed in the central estimate</w:t>
            </w:r>
          </w:p>
        </w:tc>
      </w:tr>
      <w:tr w:rsidR="00061D70" w:rsidRPr="00061D70" w14:paraId="5438E391" w14:textId="77777777" w:rsidTr="00061D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6E4CEB" w14:textId="77777777" w:rsidR="00061D70" w:rsidRPr="00061D70" w:rsidRDefault="00061D70" w:rsidP="00061D70">
            <w:pPr>
              <w:rPr>
                <w:lang w:val="en-US"/>
              </w:rPr>
            </w:pPr>
            <w:r w:rsidRPr="00061D70">
              <w:rPr>
                <w:lang w:val="en-US"/>
              </w:rPr>
              <w:t>Supplier replacement or major capital works</w:t>
            </w:r>
          </w:p>
        </w:tc>
        <w:tc>
          <w:tcPr>
            <w:tcW w:w="0" w:type="auto"/>
            <w:hideMark/>
          </w:tcPr>
          <w:p w14:paraId="3A89D18D" w14:textId="77777777" w:rsidR="00061D70" w:rsidRPr="00061D70" w:rsidRDefault="00061D70" w:rsidP="00061D70">
            <w:pPr>
              <w:cnfStyle w:val="000000010000" w:firstRow="0" w:lastRow="0" w:firstColumn="0" w:lastColumn="0" w:oddVBand="0" w:evenVBand="0" w:oddHBand="0" w:evenHBand="1" w:firstRowFirstColumn="0" w:firstRowLastColumn="0" w:lastRowFirstColumn="0" w:lastRowLastColumn="0"/>
              <w:rPr>
                <w:lang w:val="en-US"/>
              </w:rPr>
            </w:pPr>
            <w:r w:rsidRPr="00061D70">
              <w:rPr>
                <w:lang w:val="en-US"/>
              </w:rPr>
              <w:t>Not assumed in the central estimate; reflected only in high-side uncertainty where relevant</w:t>
            </w:r>
          </w:p>
        </w:tc>
      </w:tr>
      <w:tr w:rsidR="00061D70" w:rsidRPr="00061D70" w14:paraId="2FE377BF" w14:textId="77777777" w:rsidTr="00061D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57F073F" w14:textId="77777777" w:rsidR="00061D70" w:rsidRPr="00061D70" w:rsidRDefault="00061D70" w:rsidP="00061D70">
            <w:pPr>
              <w:rPr>
                <w:lang w:val="en-US"/>
              </w:rPr>
            </w:pPr>
            <w:r w:rsidRPr="00061D70">
              <w:rPr>
                <w:lang w:val="en-US"/>
              </w:rPr>
              <w:t>Consumer pass-through</w:t>
            </w:r>
          </w:p>
        </w:tc>
        <w:tc>
          <w:tcPr>
            <w:tcW w:w="0" w:type="auto"/>
            <w:hideMark/>
          </w:tcPr>
          <w:p w14:paraId="1545C000" w14:textId="77777777" w:rsidR="00061D70" w:rsidRPr="00061D70" w:rsidRDefault="00061D70" w:rsidP="00061D70">
            <w:pPr>
              <w:cnfStyle w:val="000000100000" w:firstRow="0" w:lastRow="0" w:firstColumn="0" w:lastColumn="0" w:oddVBand="0" w:evenVBand="0" w:oddHBand="1" w:evenHBand="0" w:firstRowFirstColumn="0" w:firstRowLastColumn="0" w:lastRowFirstColumn="0" w:lastRowLastColumn="0"/>
              <w:rPr>
                <w:lang w:val="en-US"/>
              </w:rPr>
            </w:pPr>
            <w:r w:rsidRPr="00061D70">
              <w:rPr>
                <w:lang w:val="en-US"/>
              </w:rPr>
              <w:t>Excluded from RBE and discussed as a distributional impact</w:t>
            </w:r>
          </w:p>
        </w:tc>
      </w:tr>
    </w:tbl>
    <w:p w14:paraId="34FDB6EB" w14:textId="6442E36D" w:rsidR="00061D70" w:rsidRDefault="00061D70" w:rsidP="00061D70">
      <w:pPr>
        <w:pStyle w:val="Heading3"/>
      </w:pPr>
      <w:r>
        <w:t>Key assumptions</w:t>
      </w:r>
    </w:p>
    <w:p w14:paraId="045F1FEE" w14:textId="77777777" w:rsidR="00EA2731" w:rsidRDefault="00EA2731" w:rsidP="00EA2731">
      <w:pPr>
        <w:pStyle w:val="ListNumber0"/>
      </w:pPr>
      <w:r>
        <w:t>T</w:t>
      </w:r>
      <w:r w:rsidRPr="00EA2731">
        <w:t>he enhanced CIRMP obligations are incremental to an existing CIRMP baseline</w:t>
      </w:r>
      <w:r>
        <w:t>.</w:t>
      </w:r>
    </w:p>
    <w:p w14:paraId="505896AC" w14:textId="77777777" w:rsidR="00EA2731" w:rsidRDefault="00EA2731" w:rsidP="00EA2731">
      <w:pPr>
        <w:pStyle w:val="ListNumber0"/>
      </w:pPr>
      <w:r>
        <w:t>T</w:t>
      </w:r>
      <w:r w:rsidRPr="00EA2731">
        <w:t>he 2022 RIS remains the most complete national cost base for the CIRMP framework</w:t>
      </w:r>
      <w:r>
        <w:t>.</w:t>
      </w:r>
    </w:p>
    <w:p w14:paraId="71991A93" w14:textId="77777777" w:rsidR="00EA2731" w:rsidRDefault="00EA2731" w:rsidP="00EA2731">
      <w:pPr>
        <w:pStyle w:val="ListNumber0"/>
      </w:pPr>
      <w:r>
        <w:t>T</w:t>
      </w:r>
      <w:r w:rsidRPr="00EA2731">
        <w:t>he relevant comparator is the 2022 cost for the nine asset classes now in scope, not the full 2022 cost across all asset classes</w:t>
      </w:r>
      <w:r>
        <w:t>.</w:t>
      </w:r>
    </w:p>
    <w:p w14:paraId="199D6E4B" w14:textId="77777777" w:rsidR="00EA2731" w:rsidRDefault="00EA2731" w:rsidP="00EA2731">
      <w:pPr>
        <w:pStyle w:val="ListNumber0"/>
      </w:pPr>
      <w:r>
        <w:t>T</w:t>
      </w:r>
      <w:r w:rsidRPr="00EA2731">
        <w:t>he central estimate reflects a meaningful but bounded uplift in compliance effort</w:t>
      </w:r>
      <w:r>
        <w:t>.</w:t>
      </w:r>
    </w:p>
    <w:p w14:paraId="479CF482" w14:textId="77777777" w:rsidR="00EA2731" w:rsidRDefault="00EA2731" w:rsidP="00EA2731">
      <w:pPr>
        <w:pStyle w:val="ListNumber0"/>
      </w:pPr>
      <w:r w:rsidRPr="00EA2731">
        <w:t xml:space="preserve"> </w:t>
      </w:r>
      <w:r>
        <w:t>T</w:t>
      </w:r>
      <w:r w:rsidRPr="00EA2731">
        <w:t>he high case captures entities with lower baseline maturity, legacy OT, constrained supplier markets or more substantive uplift requirements</w:t>
      </w:r>
    </w:p>
    <w:p w14:paraId="6B5D0115" w14:textId="77777777" w:rsidR="00CC461F" w:rsidRDefault="00EA2731" w:rsidP="00EA2731">
      <w:pPr>
        <w:pStyle w:val="ListNumber0"/>
      </w:pPr>
      <w:r w:rsidRPr="00EA2731">
        <w:t xml:space="preserve"> </w:t>
      </w:r>
      <w:r>
        <w:t>S</w:t>
      </w:r>
      <w:r w:rsidRPr="00EA2731">
        <w:t xml:space="preserve">ubmitted consultation cost estimates are used </w:t>
      </w:r>
      <w:r w:rsidR="00D35939">
        <w:t>for</w:t>
      </w:r>
      <w:r w:rsidRPr="00EA2731">
        <w:t xml:space="preserve"> calibration and sensitivity </w:t>
      </w:r>
      <w:r w:rsidR="00D35939">
        <w:t>analysis</w:t>
      </w:r>
      <w:r w:rsidRPr="00EA2731">
        <w:t xml:space="preserve"> rather than </w:t>
      </w:r>
      <w:r w:rsidR="00D35939">
        <w:t xml:space="preserve">being </w:t>
      </w:r>
      <w:r w:rsidRPr="00EA2731">
        <w:t>directly extrapolated</w:t>
      </w:r>
      <w:r w:rsidR="00D35939">
        <w:t>,</w:t>
      </w:r>
      <w:r w:rsidRPr="00EA2731">
        <w:t xml:space="preserve"> due to non-representative coverage and high variability.</w:t>
      </w:r>
    </w:p>
    <w:p w14:paraId="69FF6502" w14:textId="77777777" w:rsidR="00225961" w:rsidRDefault="00225961" w:rsidP="00225961">
      <w:r w:rsidRPr="00225961">
        <w:t>Classification note: The RBE is presented under Business because the 2022 RIS treated responsible-entity costs as business costs</w:t>
      </w:r>
      <w:r w:rsidR="00D35939">
        <w:t>,</w:t>
      </w:r>
      <w:r w:rsidRPr="00225961">
        <w:t xml:space="preserve"> and the affected population is primarily businesses or government business enterprises.</w:t>
      </w:r>
    </w:p>
    <w:p w14:paraId="2E34D9BB" w14:textId="7D096903" w:rsidR="00061D70" w:rsidRDefault="00061D70" w:rsidP="00061D70">
      <w:pPr>
        <w:pStyle w:val="Heading3"/>
      </w:pPr>
      <w:r>
        <w:t>Activities considered</w:t>
      </w:r>
    </w:p>
    <w:p w14:paraId="2EC999FA" w14:textId="77777777" w:rsidR="00872C87" w:rsidRPr="005A0030" w:rsidRDefault="00872C87" w:rsidP="00872C87">
      <w:pPr>
        <w:pStyle w:val="BodyText"/>
      </w:pPr>
      <w:r>
        <w:t>The table below outlines the activities considered for the RBE for the enhanced CIRMP Rules.</w:t>
      </w:r>
    </w:p>
    <w:tbl>
      <w:tblPr>
        <w:tblStyle w:val="HATableStyle1default"/>
        <w:tblW w:w="0" w:type="auto"/>
        <w:tblLook w:val="04A0" w:firstRow="1" w:lastRow="0" w:firstColumn="1" w:lastColumn="0" w:noHBand="0" w:noVBand="1"/>
      </w:tblPr>
      <w:tblGrid>
        <w:gridCol w:w="2280"/>
        <w:gridCol w:w="4245"/>
        <w:gridCol w:w="3365"/>
      </w:tblGrid>
      <w:tr w:rsidR="00872C87" w:rsidRPr="00C60BEE" w14:paraId="5D496D48" w14:textId="77777777" w:rsidTr="00B178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tcPr>
          <w:p w14:paraId="0724EA9C" w14:textId="77777777" w:rsidR="00872C87" w:rsidRPr="00C60BEE" w:rsidRDefault="00872C87">
            <w:r w:rsidRPr="00C60BEE">
              <w:t>Measure</w:t>
            </w:r>
          </w:p>
        </w:tc>
        <w:tc>
          <w:tcPr>
            <w:tcW w:w="4245" w:type="dxa"/>
          </w:tcPr>
          <w:p w14:paraId="2E490D88" w14:textId="77777777" w:rsidR="00872C87" w:rsidRPr="00C60BEE" w:rsidRDefault="00872C87">
            <w:pPr>
              <w:cnfStyle w:val="100000000000" w:firstRow="1" w:lastRow="0" w:firstColumn="0" w:lastColumn="0" w:oddVBand="0" w:evenVBand="0" w:oddHBand="0" w:evenHBand="0" w:firstRowFirstColumn="0" w:firstRowLastColumn="0" w:lastRowFirstColumn="0" w:lastRowLastColumn="0"/>
            </w:pPr>
            <w:r>
              <w:t>Description</w:t>
            </w:r>
          </w:p>
        </w:tc>
        <w:tc>
          <w:tcPr>
            <w:tcW w:w="3365" w:type="dxa"/>
          </w:tcPr>
          <w:p w14:paraId="4398F059" w14:textId="77777777" w:rsidR="00872C87" w:rsidRPr="00C60BEE" w:rsidRDefault="00872C87">
            <w:pPr>
              <w:cnfStyle w:val="100000000000" w:firstRow="1" w:lastRow="0" w:firstColumn="0" w:lastColumn="0" w:oddVBand="0" w:evenVBand="0" w:oddHBand="0" w:evenHBand="0" w:firstRowFirstColumn="0" w:firstRowLastColumn="0" w:lastRowFirstColumn="0" w:lastRowLastColumn="0"/>
            </w:pPr>
            <w:r w:rsidRPr="00C60BEE">
              <w:t>Main incremental RBE activities</w:t>
            </w:r>
          </w:p>
        </w:tc>
      </w:tr>
      <w:tr w:rsidR="00872C87" w:rsidRPr="00C60BEE" w14:paraId="1260C032" w14:textId="77777777" w:rsidTr="00B178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tcPr>
          <w:p w14:paraId="64F25306" w14:textId="77777777" w:rsidR="00872C87" w:rsidRPr="00C60BEE" w:rsidRDefault="00872C87">
            <w:r w:rsidRPr="00C60BEE">
              <w:t>Enhanced material risks and FOCI</w:t>
            </w:r>
          </w:p>
        </w:tc>
        <w:tc>
          <w:tcPr>
            <w:tcW w:w="4245" w:type="dxa"/>
          </w:tcPr>
          <w:p w14:paraId="3F67EE4A" w14:textId="77777777" w:rsidR="00872C87" w:rsidRPr="00C60BEE" w:rsidRDefault="00872C87">
            <w:pPr>
              <w:cnfStyle w:val="000000100000" w:firstRow="0" w:lastRow="0" w:firstColumn="0" w:lastColumn="0" w:oddVBand="0" w:evenVBand="0" w:oddHBand="1" w:evenHBand="0" w:firstRowFirstColumn="0" w:firstRowLastColumn="0" w:lastRowFirstColumn="0" w:lastRowLastColumn="0"/>
            </w:pPr>
            <w:r w:rsidRPr="00C60BEE">
              <w:t>Responsible entities consider impairment of asset functions and compromise or impairment connected with FOCI.</w:t>
            </w:r>
          </w:p>
        </w:tc>
        <w:tc>
          <w:tcPr>
            <w:tcW w:w="3365" w:type="dxa"/>
          </w:tcPr>
          <w:p w14:paraId="112D4FF2" w14:textId="77777777" w:rsidR="00872C87" w:rsidRPr="00C60BEE" w:rsidRDefault="00872C87">
            <w:pPr>
              <w:cnfStyle w:val="000000100000" w:firstRow="0" w:lastRow="0" w:firstColumn="0" w:lastColumn="0" w:oddVBand="0" w:evenVBand="0" w:oddHBand="1" w:evenHBand="0" w:firstRowFirstColumn="0" w:firstRowLastColumn="0" w:lastRowFirstColumn="0" w:lastRowLastColumn="0"/>
            </w:pPr>
            <w:r w:rsidRPr="00C60BEE">
              <w:t>Risk assessment, supplier/vendor review, CIRMP update, governance and evidence.</w:t>
            </w:r>
          </w:p>
        </w:tc>
      </w:tr>
      <w:tr w:rsidR="00872C87" w:rsidRPr="00C60BEE" w14:paraId="6D2276B7" w14:textId="77777777" w:rsidTr="00B178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tcPr>
          <w:p w14:paraId="24BA0A5E" w14:textId="77777777" w:rsidR="00872C87" w:rsidRPr="00C60BEE" w:rsidRDefault="00872C87">
            <w:r w:rsidRPr="00C60BEE">
              <w:t>Cyber framework uplift</w:t>
            </w:r>
          </w:p>
        </w:tc>
        <w:tc>
          <w:tcPr>
            <w:tcW w:w="4245" w:type="dxa"/>
          </w:tcPr>
          <w:p w14:paraId="102C8793" w14:textId="77777777" w:rsidR="00872C87" w:rsidRPr="00C60BEE" w:rsidRDefault="00872C87">
            <w:pPr>
              <w:cnfStyle w:val="000000010000" w:firstRow="0" w:lastRow="0" w:firstColumn="0" w:lastColumn="0" w:oddVBand="0" w:evenVBand="0" w:oddHBand="0" w:evenHBand="1" w:firstRowFirstColumn="0" w:firstRowLastColumn="0" w:lastRowFirstColumn="0" w:lastRowLastColumn="0"/>
            </w:pPr>
            <w:r w:rsidRPr="00C60BEE">
              <w:t>Responsible entities demonstrate Level 2 or equivalent maturity under an accepted framework.</w:t>
            </w:r>
          </w:p>
        </w:tc>
        <w:tc>
          <w:tcPr>
            <w:tcW w:w="3365" w:type="dxa"/>
          </w:tcPr>
          <w:p w14:paraId="1759DA90" w14:textId="77777777" w:rsidR="00872C87" w:rsidRPr="00C60BEE" w:rsidRDefault="00872C87">
            <w:pPr>
              <w:cnfStyle w:val="000000010000" w:firstRow="0" w:lastRow="0" w:firstColumn="0" w:lastColumn="0" w:oddVBand="0" w:evenVBand="0" w:oddHBand="0" w:evenHBand="1" w:firstRowFirstColumn="0" w:firstRowLastColumn="0" w:lastRowFirstColumn="0" w:lastRowLastColumn="0"/>
            </w:pPr>
            <w:r w:rsidRPr="00C60BEE">
              <w:t>Gap assessment, roadmap, documentation, targeted uplift, assurance.</w:t>
            </w:r>
          </w:p>
        </w:tc>
      </w:tr>
      <w:tr w:rsidR="00872C87" w:rsidRPr="00C60BEE" w14:paraId="053DEE61" w14:textId="77777777" w:rsidTr="00B178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tcPr>
          <w:p w14:paraId="5E31315B" w14:textId="36483BDD" w:rsidR="00872C87" w:rsidRPr="00C60BEE" w:rsidRDefault="00872C87"/>
        </w:tc>
        <w:tc>
          <w:tcPr>
            <w:tcW w:w="4245" w:type="dxa"/>
          </w:tcPr>
          <w:p w14:paraId="203F5909" w14:textId="0C2D54C5" w:rsidR="00872C87" w:rsidRPr="00C60BEE" w:rsidRDefault="00872C87">
            <w:pPr>
              <w:cnfStyle w:val="000000100000" w:firstRow="0" w:lastRow="0" w:firstColumn="0" w:lastColumn="0" w:oddVBand="0" w:evenVBand="0" w:oddHBand="1" w:evenHBand="0" w:firstRowFirstColumn="0" w:firstRowLastColumn="0" w:lastRowFirstColumn="0" w:lastRowLastColumn="0"/>
            </w:pPr>
          </w:p>
        </w:tc>
        <w:tc>
          <w:tcPr>
            <w:tcW w:w="3365" w:type="dxa"/>
          </w:tcPr>
          <w:p w14:paraId="3947741A" w14:textId="4219C7FB" w:rsidR="00872C87" w:rsidRPr="00C60BEE" w:rsidRDefault="00872C87">
            <w:pPr>
              <w:cnfStyle w:val="000000100000" w:firstRow="0" w:lastRow="0" w:firstColumn="0" w:lastColumn="0" w:oddVBand="0" w:evenVBand="0" w:oddHBand="1" w:evenHBand="0" w:firstRowFirstColumn="0" w:firstRowLastColumn="0" w:lastRowFirstColumn="0" w:lastRowLastColumn="0"/>
            </w:pPr>
          </w:p>
        </w:tc>
      </w:tr>
      <w:tr w:rsidR="00872C87" w:rsidRPr="00C60BEE" w14:paraId="08E9BEE9" w14:textId="77777777" w:rsidTr="00B178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tcPr>
          <w:p w14:paraId="33EEA60D" w14:textId="7219CDC9" w:rsidR="00872C87" w:rsidRPr="00C60BEE" w:rsidRDefault="00FC4BFA">
            <w:r>
              <w:t>Credential compromise</w:t>
            </w:r>
          </w:p>
        </w:tc>
        <w:tc>
          <w:tcPr>
            <w:tcW w:w="4245" w:type="dxa"/>
          </w:tcPr>
          <w:p w14:paraId="65651E02" w14:textId="77777777" w:rsidR="00872C87" w:rsidRPr="00C60BEE" w:rsidRDefault="00872C87">
            <w:pPr>
              <w:cnfStyle w:val="000000010000" w:firstRow="0" w:lastRow="0" w:firstColumn="0" w:lastColumn="0" w:oddVBand="0" w:evenVBand="0" w:oddHBand="0" w:evenHBand="1" w:firstRowFirstColumn="0" w:firstRowLastColumn="0" w:lastRowFirstColumn="0" w:lastRowLastColumn="0"/>
            </w:pPr>
            <w:r w:rsidRPr="00C60BEE">
              <w:t>Responsible entities implement phishing-resistant MFA where reasonably practicable or manage associated risk through reasonable steps and compensating controls.</w:t>
            </w:r>
          </w:p>
        </w:tc>
        <w:tc>
          <w:tcPr>
            <w:tcW w:w="3365" w:type="dxa"/>
          </w:tcPr>
          <w:p w14:paraId="733D1208" w14:textId="77777777" w:rsidR="00872C87" w:rsidRPr="00C60BEE" w:rsidRDefault="00872C87">
            <w:pPr>
              <w:cnfStyle w:val="000000010000" w:firstRow="0" w:lastRow="0" w:firstColumn="0" w:lastColumn="0" w:oddVBand="0" w:evenVBand="0" w:oddHBand="0" w:evenHBand="1" w:firstRowFirstColumn="0" w:firstRowLastColumn="0" w:lastRowFirstColumn="0" w:lastRowLastColumn="0"/>
            </w:pPr>
            <w:r w:rsidRPr="00C60BEE">
              <w:t>Access review, MFA deployment or compensating-control assessment, logging, governance.</w:t>
            </w:r>
          </w:p>
        </w:tc>
      </w:tr>
      <w:tr w:rsidR="00872C87" w:rsidRPr="00C60BEE" w14:paraId="661E779D" w14:textId="77777777" w:rsidTr="00B178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tcPr>
          <w:p w14:paraId="0A4DA9D2" w14:textId="62F87D8C" w:rsidR="00872C87" w:rsidRPr="00C60BEE" w:rsidRDefault="00B1781C">
            <w:r>
              <w:t>Lateral movement</w:t>
            </w:r>
          </w:p>
        </w:tc>
        <w:tc>
          <w:tcPr>
            <w:tcW w:w="4245" w:type="dxa"/>
          </w:tcPr>
          <w:p w14:paraId="6078811A" w14:textId="77169E91" w:rsidR="00872C87" w:rsidRPr="00C60BEE" w:rsidRDefault="00B1781C">
            <w:pPr>
              <w:cnfStyle w:val="000000100000" w:firstRow="0" w:lastRow="0" w:firstColumn="0" w:lastColumn="0" w:oddVBand="0" w:evenVBand="0" w:oddHBand="1" w:evenHBand="0" w:firstRowFirstColumn="0" w:firstRowLastColumn="0" w:lastRowFirstColumn="0" w:lastRowLastColumn="0"/>
            </w:pPr>
            <w:r w:rsidRPr="00C60BEE">
              <w:t>Responsible entities identify critical systems and manage segregation, isolation and recovery planning.</w:t>
            </w:r>
          </w:p>
        </w:tc>
        <w:tc>
          <w:tcPr>
            <w:tcW w:w="3365" w:type="dxa"/>
          </w:tcPr>
          <w:p w14:paraId="09FDBBE8" w14:textId="798EA1E0" w:rsidR="00872C87" w:rsidRPr="00C60BEE" w:rsidRDefault="00B1781C">
            <w:pPr>
              <w:cnfStyle w:val="000000100000" w:firstRow="0" w:lastRow="0" w:firstColumn="0" w:lastColumn="0" w:oddVBand="0" w:evenVBand="0" w:oddHBand="1" w:evenHBand="0" w:firstRowFirstColumn="0" w:firstRowLastColumn="0" w:lastRowFirstColumn="0" w:lastRowLastColumn="0"/>
            </w:pPr>
            <w:r w:rsidRPr="00C60BEE">
              <w:t>Inventory, architecture review, IT/OT pathway review, recovery planning, documentation.</w:t>
            </w:r>
          </w:p>
        </w:tc>
      </w:tr>
      <w:tr w:rsidR="00872C87" w:rsidRPr="00C60BEE" w14:paraId="771B8B1A" w14:textId="77777777" w:rsidTr="00B178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tcPr>
          <w:p w14:paraId="39DFB50D" w14:textId="77777777" w:rsidR="00872C87" w:rsidRPr="00C60BEE" w:rsidRDefault="00872C87">
            <w:r w:rsidRPr="00C60BEE">
              <w:t>Supply chain mapping</w:t>
            </w:r>
          </w:p>
        </w:tc>
        <w:tc>
          <w:tcPr>
            <w:tcW w:w="4245" w:type="dxa"/>
          </w:tcPr>
          <w:p w14:paraId="56318698" w14:textId="77777777" w:rsidR="00872C87" w:rsidRPr="00C60BEE" w:rsidRDefault="00872C87">
            <w:pPr>
              <w:cnfStyle w:val="000000010000" w:firstRow="0" w:lastRow="0" w:firstColumn="0" w:lastColumn="0" w:oddVBand="0" w:evenVBand="0" w:oddHBand="0" w:evenHBand="1" w:firstRowFirstColumn="0" w:firstRowLastColumn="0" w:lastRowFirstColumn="0" w:lastRowLastColumn="0"/>
            </w:pPr>
            <w:r w:rsidRPr="00C60BEE">
              <w:t>Responsible entities map major suppliers and critical systems across physical and cyber supply chains.</w:t>
            </w:r>
          </w:p>
        </w:tc>
        <w:tc>
          <w:tcPr>
            <w:tcW w:w="3365" w:type="dxa"/>
          </w:tcPr>
          <w:p w14:paraId="45054B03" w14:textId="77777777" w:rsidR="00872C87" w:rsidRPr="00C60BEE" w:rsidRDefault="00872C87">
            <w:pPr>
              <w:cnfStyle w:val="000000010000" w:firstRow="0" w:lastRow="0" w:firstColumn="0" w:lastColumn="0" w:oddVBand="0" w:evenVBand="0" w:oddHBand="0" w:evenHBand="1" w:firstRowFirstColumn="0" w:firstRowLastColumn="0" w:lastRowFirstColumn="0" w:lastRowLastColumn="0"/>
            </w:pPr>
            <w:r w:rsidRPr="00C60BEE">
              <w:t>Supplier identification, data collection, criticality assessment, dependency mapping</w:t>
            </w:r>
            <w:r>
              <w:t xml:space="preserve"> and</w:t>
            </w:r>
            <w:r w:rsidRPr="00C60BEE">
              <w:t xml:space="preserve"> evidence.</w:t>
            </w:r>
          </w:p>
        </w:tc>
      </w:tr>
      <w:tr w:rsidR="00872C87" w:rsidRPr="00C60BEE" w14:paraId="5D3E56B4" w14:textId="77777777" w:rsidTr="00B178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tcPr>
          <w:p w14:paraId="76B45C8D" w14:textId="77777777" w:rsidR="00872C87" w:rsidRPr="00C60BEE" w:rsidRDefault="00872C87">
            <w:r w:rsidRPr="00C60BEE">
              <w:t>Vendors of concern</w:t>
            </w:r>
          </w:p>
        </w:tc>
        <w:tc>
          <w:tcPr>
            <w:tcW w:w="4245" w:type="dxa"/>
          </w:tcPr>
          <w:p w14:paraId="004F9406" w14:textId="77777777" w:rsidR="00872C87" w:rsidRPr="00C60BEE" w:rsidRDefault="00872C87">
            <w:pPr>
              <w:cnfStyle w:val="000000100000" w:firstRow="0" w:lastRow="0" w:firstColumn="0" w:lastColumn="0" w:oddVBand="0" w:evenVBand="0" w:oddHBand="1" w:evenHBand="0" w:firstRowFirstColumn="0" w:firstRowLastColumn="0" w:lastRowFirstColumn="0" w:lastRowLastColumn="0"/>
            </w:pPr>
            <w:r w:rsidRPr="00C60BEE">
              <w:t>Responsible entities assess and manage vendor risks</w:t>
            </w:r>
            <w:r>
              <w:t>,</w:t>
            </w:r>
            <w:r w:rsidRPr="00C60BEE">
              <w:t xml:space="preserve"> including FOCI, concentration, cyber and operational dependency risks.</w:t>
            </w:r>
          </w:p>
        </w:tc>
        <w:tc>
          <w:tcPr>
            <w:tcW w:w="3365" w:type="dxa"/>
          </w:tcPr>
          <w:p w14:paraId="07EE54F8" w14:textId="77777777" w:rsidR="00872C87" w:rsidRPr="00C60BEE" w:rsidRDefault="00872C87">
            <w:pPr>
              <w:cnfStyle w:val="000000100000" w:firstRow="0" w:lastRow="0" w:firstColumn="0" w:lastColumn="0" w:oddVBand="0" w:evenVBand="0" w:oddHBand="1" w:evenHBand="0" w:firstRowFirstColumn="0" w:firstRowLastColumn="0" w:lastRowFirstColumn="0" w:lastRowLastColumn="0"/>
            </w:pPr>
            <w:r w:rsidRPr="00C60BEE">
              <w:t>Vendor-risk process, due diligence, procurement governance</w:t>
            </w:r>
            <w:r>
              <w:t xml:space="preserve"> and</w:t>
            </w:r>
            <w:r w:rsidRPr="00C60BEE">
              <w:t xml:space="preserve"> contract review.</w:t>
            </w:r>
          </w:p>
        </w:tc>
      </w:tr>
      <w:tr w:rsidR="00872C87" w:rsidRPr="00C60BEE" w14:paraId="4321ED96" w14:textId="77777777" w:rsidTr="00B178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tcPr>
          <w:p w14:paraId="3B9130D7" w14:textId="77777777" w:rsidR="00872C87" w:rsidRPr="00C60BEE" w:rsidRDefault="00872C87">
            <w:r w:rsidRPr="00C60BEE">
              <w:t>Personnel security</w:t>
            </w:r>
          </w:p>
        </w:tc>
        <w:tc>
          <w:tcPr>
            <w:tcW w:w="4245" w:type="dxa"/>
          </w:tcPr>
          <w:p w14:paraId="4C0B8384" w14:textId="77777777" w:rsidR="00872C87" w:rsidRPr="00C60BEE" w:rsidRDefault="00872C87">
            <w:pPr>
              <w:cnfStyle w:val="000000010000" w:firstRow="0" w:lastRow="0" w:firstColumn="0" w:lastColumn="0" w:oddVBand="0" w:evenVBand="0" w:oddHBand="0" w:evenHBand="1" w:firstRowFirstColumn="0" w:firstRowLastColumn="0" w:lastRowFirstColumn="0" w:lastRowLastColumn="0"/>
            </w:pPr>
            <w:r w:rsidRPr="00C60BEE">
              <w:t>Responsible entities maintain personnel security processes</w:t>
            </w:r>
            <w:r>
              <w:t>,</w:t>
            </w:r>
            <w:r w:rsidRPr="00C60BEE">
              <w:t xml:space="preserve"> including critical worker identification, access controls, monitoring and background checks.</w:t>
            </w:r>
          </w:p>
        </w:tc>
        <w:tc>
          <w:tcPr>
            <w:tcW w:w="3365" w:type="dxa"/>
          </w:tcPr>
          <w:p w14:paraId="70C14FDE" w14:textId="77777777" w:rsidR="00872C87" w:rsidRPr="00C60BEE" w:rsidRDefault="00872C87">
            <w:pPr>
              <w:cnfStyle w:val="000000010000" w:firstRow="0" w:lastRow="0" w:firstColumn="0" w:lastColumn="0" w:oddVBand="0" w:evenVBand="0" w:oddHBand="0" w:evenHBand="1" w:firstRowFirstColumn="0" w:firstRowLastColumn="0" w:lastRowFirstColumn="0" w:lastRowLastColumn="0"/>
            </w:pPr>
            <w:r w:rsidRPr="00C60BEE">
              <w:t>Role mapping, personnel security plan, onboarding changes, records</w:t>
            </w:r>
            <w:r>
              <w:t xml:space="preserve"> and</w:t>
            </w:r>
            <w:r w:rsidRPr="00C60BEE">
              <w:t xml:space="preserve"> AusCheck administration.</w:t>
            </w:r>
          </w:p>
        </w:tc>
      </w:tr>
      <w:tr w:rsidR="00872C87" w:rsidRPr="00C60BEE" w14:paraId="65F51C1F" w14:textId="77777777" w:rsidTr="00B178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dxa"/>
          </w:tcPr>
          <w:p w14:paraId="07A46997" w14:textId="77777777" w:rsidR="00872C87" w:rsidRPr="00C60BEE" w:rsidRDefault="00872C87">
            <w:r w:rsidRPr="00C60BEE">
              <w:t>Physical security plan</w:t>
            </w:r>
          </w:p>
        </w:tc>
        <w:tc>
          <w:tcPr>
            <w:tcW w:w="4245" w:type="dxa"/>
          </w:tcPr>
          <w:p w14:paraId="49736E04" w14:textId="77777777" w:rsidR="00872C87" w:rsidRPr="00C60BEE" w:rsidRDefault="00872C87">
            <w:pPr>
              <w:cnfStyle w:val="000000100000" w:firstRow="0" w:lastRow="0" w:firstColumn="0" w:lastColumn="0" w:oddVBand="0" w:evenVBand="0" w:oddHBand="1" w:evenHBand="0" w:firstRowFirstColumn="0" w:firstRowLastColumn="0" w:lastRowFirstColumn="0" w:lastRowLastColumn="0"/>
            </w:pPr>
            <w:r w:rsidRPr="00C60BEE">
              <w:t>Responsible entities centrally manage physical security and natural hazards and document site, access, monitoring and response measures.</w:t>
            </w:r>
          </w:p>
        </w:tc>
        <w:tc>
          <w:tcPr>
            <w:tcW w:w="3365" w:type="dxa"/>
          </w:tcPr>
          <w:p w14:paraId="6C507714" w14:textId="77777777" w:rsidR="00872C87" w:rsidRPr="00C60BEE" w:rsidRDefault="00872C87">
            <w:pPr>
              <w:cnfStyle w:val="000000100000" w:firstRow="0" w:lastRow="0" w:firstColumn="0" w:lastColumn="0" w:oddVBand="0" w:evenVBand="0" w:oddHBand="1" w:evenHBand="0" w:firstRowFirstColumn="0" w:firstRowLastColumn="0" w:lastRowFirstColumn="0" w:lastRowLastColumn="0"/>
            </w:pPr>
            <w:r w:rsidRPr="00C60BEE">
              <w:t>Plan development, site assessment, access-control review, surveillance</w:t>
            </w:r>
            <w:r>
              <w:t>,</w:t>
            </w:r>
            <w:r w:rsidRPr="00C60BEE">
              <w:t xml:space="preserve"> alarm review</w:t>
            </w:r>
            <w:r>
              <w:t xml:space="preserve"> and</w:t>
            </w:r>
            <w:r w:rsidRPr="00C60BEE">
              <w:t xml:space="preserve"> testing.</w:t>
            </w:r>
          </w:p>
        </w:tc>
      </w:tr>
    </w:tbl>
    <w:p w14:paraId="16F0CBDD" w14:textId="77777777" w:rsidR="00872C87" w:rsidRDefault="00872C87" w:rsidP="00225961"/>
    <w:p w14:paraId="37C767D3" w14:textId="77E6E86F" w:rsidR="001F44DC" w:rsidRDefault="001F44DC">
      <w:r>
        <w:br w:type="page"/>
      </w:r>
    </w:p>
    <w:p w14:paraId="20C067FB" w14:textId="14EEB74E" w:rsidR="001F44DC" w:rsidRDefault="001F44DC" w:rsidP="004F71AE">
      <w:pPr>
        <w:pStyle w:val="Heading1"/>
      </w:pPr>
      <w:bookmarkStart w:id="69" w:name="_Toc228391072"/>
      <w:r w:rsidRPr="001F44DC">
        <w:lastRenderedPageBreak/>
        <w:t xml:space="preserve">Appendix </w:t>
      </w:r>
      <w:r w:rsidR="00F21D73">
        <w:t>B</w:t>
      </w:r>
      <w:r w:rsidRPr="001F44DC">
        <w:t xml:space="preserve">: </w:t>
      </w:r>
      <w:r w:rsidR="0026550C" w:rsidRPr="0026550C">
        <w:t xml:space="preserve">Summary of </w:t>
      </w:r>
      <w:r w:rsidR="0026550C">
        <w:t>initial</w:t>
      </w:r>
      <w:r w:rsidR="00B60516">
        <w:t xml:space="preserve">ly proposed </w:t>
      </w:r>
      <w:r w:rsidR="0026550C" w:rsidRPr="0026550C">
        <w:t>enhancements and identified gaps</w:t>
      </w:r>
      <w:bookmarkEnd w:id="69"/>
    </w:p>
    <w:p w14:paraId="49A2CC01" w14:textId="77777777" w:rsidR="00BA715D" w:rsidRDefault="004F71AE" w:rsidP="004F71AE">
      <w:pPr>
        <w:pStyle w:val="BodyText"/>
      </w:pPr>
      <w:r>
        <w:t xml:space="preserve">The </w:t>
      </w:r>
      <w:r w:rsidR="00B60516">
        <w:t>p</w:t>
      </w:r>
      <w:r w:rsidR="008C6B74">
        <w:t xml:space="preserve">roposed </w:t>
      </w:r>
      <w:r>
        <w:t>CIRMP Enhancements as consulted</w:t>
      </w:r>
      <w:r w:rsidR="0009310E">
        <w:t xml:space="preserve"> from 9 December 2025 to 13 February 2026</w:t>
      </w:r>
      <w:r w:rsidR="00BA715D">
        <w:t xml:space="preserve">. </w:t>
      </w:r>
    </w:p>
    <w:p w14:paraId="7F53675A" w14:textId="54F80348" w:rsidR="004F71AE" w:rsidRPr="004F71AE" w:rsidRDefault="00BA715D" w:rsidP="004F71AE">
      <w:pPr>
        <w:pStyle w:val="BodyText"/>
      </w:pPr>
      <w:r>
        <w:t>N</w:t>
      </w:r>
      <w:r w:rsidR="00B60516">
        <w:t>ot</w:t>
      </w:r>
      <w:r>
        <w:t>e A</w:t>
      </w:r>
      <w:r w:rsidR="00B60516" w:rsidRPr="00B60516">
        <w:t>ll-hazard: Specified risk advice</w:t>
      </w:r>
      <w:r>
        <w:t xml:space="preserve"> did not progress after the first consultation round.</w:t>
      </w:r>
    </w:p>
    <w:tbl>
      <w:tblPr>
        <w:tblStyle w:val="HATableStyle1default"/>
        <w:tblW w:w="5000" w:type="pct"/>
        <w:tblLook w:val="04A0" w:firstRow="1" w:lastRow="0" w:firstColumn="1" w:lastColumn="0" w:noHBand="0" w:noVBand="1"/>
      </w:tblPr>
      <w:tblGrid>
        <w:gridCol w:w="1843"/>
        <w:gridCol w:w="1737"/>
        <w:gridCol w:w="2287"/>
        <w:gridCol w:w="2172"/>
        <w:gridCol w:w="1851"/>
      </w:tblGrid>
      <w:tr w:rsidR="001F44DC" w:rsidRPr="006C4BD0" w14:paraId="2177A093" w14:textId="7777777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32" w:type="pct"/>
            <w:hideMark/>
          </w:tcPr>
          <w:p w14:paraId="1061C2C8" w14:textId="77777777" w:rsidR="001F44DC" w:rsidRPr="00FC63BA" w:rsidRDefault="001F44DC">
            <w:pPr>
              <w:pStyle w:val="BodyText"/>
              <w:keepNext w:val="0"/>
              <w:rPr>
                <w:rFonts w:asciiTheme="minorHAnsi" w:hAnsiTheme="minorHAnsi"/>
              </w:rPr>
            </w:pPr>
            <w:bookmarkStart w:id="70" w:name="_Hlk228374905"/>
            <w:r w:rsidRPr="00FC63BA">
              <w:rPr>
                <w:rFonts w:asciiTheme="minorHAnsi" w:hAnsiTheme="minorHAnsi"/>
              </w:rPr>
              <w:t>Hazard domain</w:t>
            </w:r>
          </w:p>
        </w:tc>
        <w:tc>
          <w:tcPr>
            <w:tcW w:w="878" w:type="pct"/>
            <w:hideMark/>
          </w:tcPr>
          <w:p w14:paraId="117A27C9" w14:textId="36334ADA" w:rsidR="001F44DC" w:rsidRPr="00FC63BA" w:rsidRDefault="00045E00">
            <w:pPr>
              <w:pStyle w:val="BodyText"/>
              <w:keepNext w:val="0"/>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Curren</w:t>
            </w:r>
            <w:r w:rsidR="00020C02">
              <w:rPr>
                <w:rFonts w:asciiTheme="minorHAnsi" w:hAnsiTheme="minorHAnsi"/>
              </w:rPr>
              <w:t>t</w:t>
            </w:r>
          </w:p>
        </w:tc>
        <w:tc>
          <w:tcPr>
            <w:tcW w:w="1156" w:type="pct"/>
            <w:hideMark/>
          </w:tcPr>
          <w:p w14:paraId="1654F52E" w14:textId="77777777" w:rsidR="001F44DC" w:rsidRPr="00FC63BA" w:rsidRDefault="001F44DC">
            <w:pPr>
              <w:pStyle w:val="BodyText"/>
              <w:keepNext w:val="0"/>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FC63BA">
              <w:rPr>
                <w:rFonts w:asciiTheme="minorHAnsi" w:hAnsiTheme="minorHAnsi"/>
              </w:rPr>
              <w:t xml:space="preserve">Identified gap </w:t>
            </w:r>
          </w:p>
        </w:tc>
        <w:tc>
          <w:tcPr>
            <w:tcW w:w="1098" w:type="pct"/>
            <w:hideMark/>
          </w:tcPr>
          <w:p w14:paraId="544EB12A" w14:textId="77777777" w:rsidR="001F44DC" w:rsidRPr="00FC63BA" w:rsidRDefault="001F44DC">
            <w:pPr>
              <w:pStyle w:val="BodyText"/>
              <w:keepNext w:val="0"/>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FC63BA">
              <w:rPr>
                <w:rFonts w:asciiTheme="minorHAnsi" w:hAnsiTheme="minorHAnsi"/>
              </w:rPr>
              <w:t>Enhancement</w:t>
            </w:r>
          </w:p>
        </w:tc>
        <w:tc>
          <w:tcPr>
            <w:tcW w:w="936" w:type="pct"/>
            <w:hideMark/>
          </w:tcPr>
          <w:p w14:paraId="69EF6EB9" w14:textId="77777777" w:rsidR="001F44DC" w:rsidRPr="00FC63BA" w:rsidRDefault="001F44DC">
            <w:pPr>
              <w:pStyle w:val="BodyText"/>
              <w:keepNext w:val="0"/>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FC63BA">
              <w:rPr>
                <w:rFonts w:asciiTheme="minorHAnsi" w:hAnsiTheme="minorHAnsi"/>
              </w:rPr>
              <w:t xml:space="preserve">Nature of change </w:t>
            </w:r>
          </w:p>
        </w:tc>
      </w:tr>
      <w:bookmarkEnd w:id="70"/>
      <w:tr w:rsidR="00544242" w:rsidRPr="006C4BD0" w14:paraId="00FE6EF3"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32" w:type="pct"/>
          </w:tcPr>
          <w:p w14:paraId="7BB910D8" w14:textId="4A15A57C" w:rsidR="00544242" w:rsidRPr="00544242" w:rsidRDefault="00544242">
            <w:pPr>
              <w:pStyle w:val="BodyText"/>
              <w:rPr>
                <w:b w:val="0"/>
              </w:rPr>
            </w:pPr>
            <w:r>
              <w:t>All-hazard</w:t>
            </w:r>
            <w:r w:rsidR="00EE538A">
              <w:t xml:space="preserve">: </w:t>
            </w:r>
            <w:r w:rsidR="00EE538A" w:rsidRPr="00EE538A">
              <w:rPr>
                <w:b w:val="0"/>
              </w:rPr>
              <w:t>Specified risk advice</w:t>
            </w:r>
          </w:p>
        </w:tc>
        <w:tc>
          <w:tcPr>
            <w:tcW w:w="878" w:type="pct"/>
          </w:tcPr>
          <w:p w14:paraId="05C826E2" w14:textId="356E036F" w:rsidR="00544242" w:rsidRPr="006C4BD0" w:rsidRDefault="00624C51">
            <w:pPr>
              <w:pStyle w:val="BodyText"/>
              <w:cnfStyle w:val="000000100000" w:firstRow="0" w:lastRow="0" w:firstColumn="0" w:lastColumn="0" w:oddVBand="0" w:evenVBand="0" w:oddHBand="1" w:evenHBand="0" w:firstRowFirstColumn="0" w:firstRowLastColumn="0" w:lastRowFirstColumn="0" w:lastRowLastColumn="0"/>
            </w:pPr>
            <w:r>
              <w:t>E</w:t>
            </w:r>
            <w:r w:rsidRPr="00624C51">
              <w:t xml:space="preserve">ntities </w:t>
            </w:r>
            <w:r>
              <w:t>must</w:t>
            </w:r>
            <w:r w:rsidRPr="00624C51">
              <w:t xml:space="preserve"> identify, assess and manage material risks across all hazards in their CIRMP.</w:t>
            </w:r>
          </w:p>
        </w:tc>
        <w:tc>
          <w:tcPr>
            <w:tcW w:w="1156" w:type="pct"/>
          </w:tcPr>
          <w:p w14:paraId="6A885BAE" w14:textId="7C847D06" w:rsidR="00544242" w:rsidRPr="006C4BD0" w:rsidRDefault="006B2C47">
            <w:pPr>
              <w:pStyle w:val="BodyText"/>
              <w:cnfStyle w:val="000000100000" w:firstRow="0" w:lastRow="0" w:firstColumn="0" w:lastColumn="0" w:oddVBand="0" w:evenVBand="0" w:oddHBand="1" w:evenHBand="0" w:firstRowFirstColumn="0" w:firstRowLastColumn="0" w:lastRowFirstColumn="0" w:lastRowLastColumn="0"/>
            </w:pPr>
            <w:r>
              <w:t xml:space="preserve">Relies on </w:t>
            </w:r>
            <w:r w:rsidR="002D6E18">
              <w:t>entities’</w:t>
            </w:r>
            <w:r>
              <w:t xml:space="preserve"> existing review process. </w:t>
            </w:r>
            <w:r w:rsidR="0071393A" w:rsidRPr="0071393A">
              <w:t xml:space="preserve">No clear requirement for entities to assess specified risk advice or document </w:t>
            </w:r>
            <w:r w:rsidR="0044431E">
              <w:t>the response.</w:t>
            </w:r>
          </w:p>
        </w:tc>
        <w:tc>
          <w:tcPr>
            <w:tcW w:w="1098" w:type="pct"/>
          </w:tcPr>
          <w:p w14:paraId="0C32092A" w14:textId="11BC7391" w:rsidR="00544242" w:rsidRPr="006C4BD0" w:rsidRDefault="0071393A">
            <w:pPr>
              <w:pStyle w:val="BodyText"/>
              <w:cnfStyle w:val="000000100000" w:firstRow="0" w:lastRow="0" w:firstColumn="0" w:lastColumn="0" w:oddVBand="0" w:evenVBand="0" w:oddHBand="1" w:evenHBand="0" w:firstRowFirstColumn="0" w:firstRowLastColumn="0" w:lastRowFirstColumn="0" w:lastRowLastColumn="0"/>
            </w:pPr>
            <w:r w:rsidRPr="0071393A">
              <w:t>Requirement to consider specified risk advice</w:t>
            </w:r>
            <w:r w:rsidR="00877C93">
              <w:t xml:space="preserve"> from the Department</w:t>
            </w:r>
            <w:r w:rsidRPr="0071393A">
              <w:t xml:space="preserve">, assess related material risks, and minimise or eliminate those risks </w:t>
            </w:r>
            <w:proofErr w:type="gramStart"/>
            <w:r w:rsidRPr="0071393A">
              <w:t>where</w:t>
            </w:r>
            <w:proofErr w:type="gramEnd"/>
            <w:r w:rsidRPr="0071393A">
              <w:t xml:space="preserve"> reasonably practicable.</w:t>
            </w:r>
          </w:p>
        </w:tc>
        <w:tc>
          <w:tcPr>
            <w:tcW w:w="936" w:type="pct"/>
          </w:tcPr>
          <w:p w14:paraId="769659C2" w14:textId="62B1E36C" w:rsidR="00544242" w:rsidRPr="006C4BD0" w:rsidRDefault="00EA6964">
            <w:pPr>
              <w:pStyle w:val="BodyText"/>
              <w:cnfStyle w:val="000000100000" w:firstRow="0" w:lastRow="0" w:firstColumn="0" w:lastColumn="0" w:oddVBand="0" w:evenVBand="0" w:oddHBand="1" w:evenHBand="0" w:firstRowFirstColumn="0" w:firstRowLastColumn="0" w:lastRowFirstColumn="0" w:lastRowLastColumn="0"/>
            </w:pPr>
            <w:r w:rsidRPr="00EA6964">
              <w:t>Clarification and governance uplift within the existing all-hazards framework, not a new hazard domain or prescriptive control.</w:t>
            </w:r>
          </w:p>
        </w:tc>
      </w:tr>
      <w:tr w:rsidR="001F44DC" w:rsidRPr="006C4BD0" w14:paraId="4A8BBADD" w14:textId="7777777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32" w:type="pct"/>
            <w:hideMark/>
          </w:tcPr>
          <w:p w14:paraId="0557FA6D" w14:textId="39B89352" w:rsidR="001F44DC" w:rsidRPr="006C4BD0" w:rsidRDefault="001F44DC">
            <w:pPr>
              <w:pStyle w:val="BodyText"/>
              <w:rPr>
                <w:color w:val="auto"/>
              </w:rPr>
            </w:pPr>
            <w:r w:rsidRPr="006C4BD0">
              <w:rPr>
                <w:color w:val="auto"/>
              </w:rPr>
              <w:t>All-hazard</w:t>
            </w:r>
            <w:r>
              <w:rPr>
                <w:color w:val="auto"/>
              </w:rPr>
              <w:t>:</w:t>
            </w:r>
            <w:r w:rsidRPr="006C4BD0">
              <w:rPr>
                <w:color w:val="auto"/>
              </w:rPr>
              <w:t xml:space="preserve"> </w:t>
            </w:r>
            <w:r w:rsidR="005929C3">
              <w:rPr>
                <w:b w:val="0"/>
                <w:color w:val="auto"/>
              </w:rPr>
              <w:t>M</w:t>
            </w:r>
            <w:r w:rsidR="005929C3" w:rsidRPr="005929C3">
              <w:rPr>
                <w:b w:val="0"/>
                <w:bCs/>
                <w:color w:val="auto"/>
              </w:rPr>
              <w:t>aterial risks – foreign ownership control and influence</w:t>
            </w:r>
          </w:p>
        </w:tc>
        <w:tc>
          <w:tcPr>
            <w:tcW w:w="878" w:type="pct"/>
            <w:hideMark/>
          </w:tcPr>
          <w:p w14:paraId="1B2EE4F7" w14:textId="3ACC751A" w:rsidR="001F44DC" w:rsidRPr="006C4BD0" w:rsidRDefault="0035189C">
            <w:pPr>
              <w:pStyle w:val="BodyText"/>
              <w:cnfStyle w:val="000000010000" w:firstRow="0" w:lastRow="0" w:firstColumn="0" w:lastColumn="0" w:oddVBand="0" w:evenVBand="0" w:oddHBand="0" w:evenHBand="1" w:firstRowFirstColumn="0" w:firstRowLastColumn="0" w:lastRowFirstColumn="0" w:lastRowLastColumn="0"/>
              <w:rPr>
                <w:color w:val="auto"/>
              </w:rPr>
            </w:pPr>
            <w:r>
              <w:rPr>
                <w:color w:val="auto"/>
              </w:rPr>
              <w:t>Entities are required</w:t>
            </w:r>
            <w:r w:rsidR="001F44DC" w:rsidRPr="006C4BD0">
              <w:rPr>
                <w:color w:val="auto"/>
              </w:rPr>
              <w:t xml:space="preserve"> to consider supply chain and personnel risks in their CIRMP.</w:t>
            </w:r>
          </w:p>
        </w:tc>
        <w:tc>
          <w:tcPr>
            <w:tcW w:w="1156" w:type="pct"/>
            <w:hideMark/>
          </w:tcPr>
          <w:p w14:paraId="7112A880" w14:textId="77777777" w:rsidR="001F44DC" w:rsidRPr="006C4BD0" w:rsidRDefault="001F44DC">
            <w:pPr>
              <w:pStyle w:val="BodyText"/>
              <w:cnfStyle w:val="000000010000" w:firstRow="0" w:lastRow="0" w:firstColumn="0" w:lastColumn="0" w:oddVBand="0" w:evenVBand="0" w:oddHBand="0" w:evenHBand="1" w:firstRowFirstColumn="0" w:firstRowLastColumn="0" w:lastRowFirstColumn="0" w:lastRowLastColumn="0"/>
              <w:rPr>
                <w:color w:val="auto"/>
              </w:rPr>
            </w:pPr>
            <w:r w:rsidRPr="006C4BD0">
              <w:rPr>
                <w:color w:val="auto"/>
              </w:rPr>
              <w:t xml:space="preserve">No clear requirement for </w:t>
            </w:r>
            <w:r>
              <w:rPr>
                <w:color w:val="auto"/>
              </w:rPr>
              <w:t xml:space="preserve">a </w:t>
            </w:r>
            <w:r w:rsidRPr="006C4BD0">
              <w:rPr>
                <w:color w:val="auto"/>
              </w:rPr>
              <w:t>systematic assessment of FOCI risks across all</w:t>
            </w:r>
            <w:r>
              <w:rPr>
                <w:color w:val="auto"/>
              </w:rPr>
              <w:t xml:space="preserve"> </w:t>
            </w:r>
            <w:r w:rsidRPr="006C4BD0">
              <w:rPr>
                <w:color w:val="auto"/>
              </w:rPr>
              <w:t>hazards. Many entities do not apply structured, documented or repeatable FOCI processes.</w:t>
            </w:r>
          </w:p>
        </w:tc>
        <w:tc>
          <w:tcPr>
            <w:tcW w:w="1098" w:type="pct"/>
            <w:hideMark/>
          </w:tcPr>
          <w:p w14:paraId="73D72F5B" w14:textId="77777777" w:rsidR="001F44DC" w:rsidRPr="006C4BD0" w:rsidRDefault="001F44DC">
            <w:pPr>
              <w:pStyle w:val="BodyText"/>
              <w:cnfStyle w:val="000000010000" w:firstRow="0" w:lastRow="0" w:firstColumn="0" w:lastColumn="0" w:oddVBand="0" w:evenVBand="0" w:oddHBand="0" w:evenHBand="1" w:firstRowFirstColumn="0" w:firstRowLastColumn="0" w:lastRowFirstColumn="0" w:lastRowLastColumn="0"/>
              <w:rPr>
                <w:color w:val="auto"/>
              </w:rPr>
            </w:pPr>
            <w:r w:rsidRPr="006C4BD0">
              <w:rPr>
                <w:color w:val="auto"/>
              </w:rPr>
              <w:t>Requirement to identify and assess FOCI risks, key suppliers and dependencies as part of material risk assessment.</w:t>
            </w:r>
          </w:p>
        </w:tc>
        <w:tc>
          <w:tcPr>
            <w:tcW w:w="936" w:type="pct"/>
            <w:hideMark/>
          </w:tcPr>
          <w:p w14:paraId="2140B5D0" w14:textId="77777777" w:rsidR="001F44DC" w:rsidRPr="006C4BD0" w:rsidRDefault="001F44DC">
            <w:pPr>
              <w:pStyle w:val="BodyText"/>
              <w:cnfStyle w:val="000000010000" w:firstRow="0" w:lastRow="0" w:firstColumn="0" w:lastColumn="0" w:oddVBand="0" w:evenVBand="0" w:oddHBand="0" w:evenHBand="1" w:firstRowFirstColumn="0" w:firstRowLastColumn="0" w:lastRowFirstColumn="0" w:lastRowLastColumn="0"/>
              <w:rPr>
                <w:color w:val="auto"/>
              </w:rPr>
            </w:pPr>
            <w:r w:rsidRPr="006C4BD0">
              <w:rPr>
                <w:color w:val="auto"/>
              </w:rPr>
              <w:t xml:space="preserve">Clarification and structured specification within </w:t>
            </w:r>
            <w:r>
              <w:rPr>
                <w:color w:val="auto"/>
              </w:rPr>
              <w:t xml:space="preserve">the </w:t>
            </w:r>
            <w:r w:rsidRPr="006C4BD0">
              <w:rPr>
                <w:color w:val="auto"/>
              </w:rPr>
              <w:t>existing risk framework.</w:t>
            </w:r>
          </w:p>
        </w:tc>
      </w:tr>
      <w:tr w:rsidR="001F44DC" w:rsidRPr="006C4BD0" w14:paraId="2500D0B9"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32" w:type="pct"/>
            <w:hideMark/>
          </w:tcPr>
          <w:p w14:paraId="6D8C8301" w14:textId="54E2CB9F" w:rsidR="001F44DC" w:rsidRPr="006C4BD0" w:rsidRDefault="001F44DC">
            <w:pPr>
              <w:pStyle w:val="BodyText"/>
              <w:rPr>
                <w:color w:val="auto"/>
              </w:rPr>
            </w:pPr>
            <w:r w:rsidRPr="006C4BD0">
              <w:rPr>
                <w:color w:val="auto"/>
              </w:rPr>
              <w:t>Cyber</w:t>
            </w:r>
            <w:r>
              <w:rPr>
                <w:color w:val="auto"/>
              </w:rPr>
              <w:t xml:space="preserve">: </w:t>
            </w:r>
            <w:r w:rsidR="005929C3">
              <w:rPr>
                <w:color w:val="auto"/>
              </w:rPr>
              <w:br/>
            </w:r>
            <w:r w:rsidRPr="00DC21CF">
              <w:rPr>
                <w:b w:val="0"/>
                <w:bCs/>
                <w:color w:val="auto"/>
              </w:rPr>
              <w:t>Cyber security framework uplift</w:t>
            </w:r>
          </w:p>
        </w:tc>
        <w:tc>
          <w:tcPr>
            <w:tcW w:w="878" w:type="pct"/>
            <w:hideMark/>
          </w:tcPr>
          <w:p w14:paraId="428AAB95" w14:textId="6936DD9D" w:rsidR="001F44DC" w:rsidRPr="006C4BD0" w:rsidRDefault="0035189C">
            <w:pPr>
              <w:pStyle w:val="BodyText"/>
              <w:cnfStyle w:val="000000100000" w:firstRow="0" w:lastRow="0" w:firstColumn="0" w:lastColumn="0" w:oddVBand="0" w:evenVBand="0" w:oddHBand="1" w:evenHBand="0" w:firstRowFirstColumn="0" w:firstRowLastColumn="0" w:lastRowFirstColumn="0" w:lastRowLastColumn="0"/>
              <w:rPr>
                <w:color w:val="auto"/>
              </w:rPr>
            </w:pPr>
            <w:r>
              <w:rPr>
                <w:color w:val="auto"/>
              </w:rPr>
              <w:t>E</w:t>
            </w:r>
            <w:r w:rsidR="001F44DC" w:rsidRPr="006C4BD0">
              <w:rPr>
                <w:color w:val="auto"/>
              </w:rPr>
              <w:t xml:space="preserve">ntities </w:t>
            </w:r>
            <w:r>
              <w:rPr>
                <w:color w:val="auto"/>
              </w:rPr>
              <w:t xml:space="preserve">are required </w:t>
            </w:r>
            <w:r w:rsidR="001F44DC" w:rsidRPr="006C4BD0">
              <w:rPr>
                <w:color w:val="auto"/>
              </w:rPr>
              <w:t>to maintain baseline maturity (maturity level 1) in their chosen cyber</w:t>
            </w:r>
            <w:r w:rsidR="00621C4F">
              <w:rPr>
                <w:color w:val="auto"/>
              </w:rPr>
              <w:t xml:space="preserve"> </w:t>
            </w:r>
            <w:r w:rsidR="001F44DC" w:rsidRPr="006C4BD0">
              <w:rPr>
                <w:color w:val="auto"/>
              </w:rPr>
              <w:t>security framework.</w:t>
            </w:r>
          </w:p>
        </w:tc>
        <w:tc>
          <w:tcPr>
            <w:tcW w:w="1156" w:type="pct"/>
            <w:hideMark/>
          </w:tcPr>
          <w:p w14:paraId="5CE55476" w14:textId="77777777" w:rsidR="001F44DC" w:rsidRPr="006C4BD0" w:rsidRDefault="001F44DC">
            <w:pPr>
              <w:pStyle w:val="BodyText"/>
              <w:cnfStyle w:val="000000100000" w:firstRow="0" w:lastRow="0" w:firstColumn="0" w:lastColumn="0" w:oddVBand="0" w:evenVBand="0" w:oddHBand="1" w:evenHBand="0" w:firstRowFirstColumn="0" w:firstRowLastColumn="0" w:lastRowFirstColumn="0" w:lastRowLastColumn="0"/>
              <w:rPr>
                <w:color w:val="auto"/>
              </w:rPr>
            </w:pPr>
            <w:r w:rsidRPr="006C4BD0">
              <w:rPr>
                <w:color w:val="auto"/>
              </w:rPr>
              <w:t>Baseline controls are no longer sufficient. Maturity varies widely across sectors. Many entities remain at low maturity.</w:t>
            </w:r>
          </w:p>
        </w:tc>
        <w:tc>
          <w:tcPr>
            <w:tcW w:w="1098" w:type="pct"/>
            <w:hideMark/>
          </w:tcPr>
          <w:p w14:paraId="64E60AD5" w14:textId="77777777" w:rsidR="001F44DC" w:rsidRPr="006C4BD0" w:rsidRDefault="001F44DC">
            <w:pPr>
              <w:pStyle w:val="BodyText"/>
              <w:cnfStyle w:val="000000100000" w:firstRow="0" w:lastRow="0" w:firstColumn="0" w:lastColumn="0" w:oddVBand="0" w:evenVBand="0" w:oddHBand="1" w:evenHBand="0" w:firstRowFirstColumn="0" w:firstRowLastColumn="0" w:lastRowFirstColumn="0" w:lastRowLastColumn="0"/>
              <w:rPr>
                <w:color w:val="auto"/>
              </w:rPr>
            </w:pPr>
            <w:r w:rsidRPr="006C4BD0">
              <w:rPr>
                <w:color w:val="auto"/>
              </w:rPr>
              <w:t>Uplift in cyber maturity to Maturity Level 2 of suitable cyber security frameworks.</w:t>
            </w:r>
          </w:p>
        </w:tc>
        <w:tc>
          <w:tcPr>
            <w:tcW w:w="936" w:type="pct"/>
            <w:hideMark/>
          </w:tcPr>
          <w:p w14:paraId="683A70A8" w14:textId="77777777" w:rsidR="001F44DC" w:rsidRPr="006C4BD0" w:rsidRDefault="001F44DC">
            <w:pPr>
              <w:pStyle w:val="BodyText"/>
              <w:cnfStyle w:val="000000100000" w:firstRow="0" w:lastRow="0" w:firstColumn="0" w:lastColumn="0" w:oddVBand="0" w:evenVBand="0" w:oddHBand="1" w:evenHBand="0" w:firstRowFirstColumn="0" w:firstRowLastColumn="0" w:lastRowFirstColumn="0" w:lastRowLastColumn="0"/>
              <w:rPr>
                <w:color w:val="auto"/>
              </w:rPr>
            </w:pPr>
            <w:r w:rsidRPr="006C4BD0">
              <w:rPr>
                <w:color w:val="auto"/>
              </w:rPr>
              <w:t>Targeted uplift of cyber maturity expectations.</w:t>
            </w:r>
          </w:p>
        </w:tc>
      </w:tr>
      <w:tr w:rsidR="001F44DC" w:rsidRPr="006C4BD0" w14:paraId="724C094F" w14:textId="7777777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32" w:type="pct"/>
            <w:hideMark/>
          </w:tcPr>
          <w:p w14:paraId="2B540E11" w14:textId="50BF2BAA" w:rsidR="001F44DC" w:rsidRPr="006C4BD0" w:rsidRDefault="001F44DC">
            <w:pPr>
              <w:pStyle w:val="BodyText"/>
              <w:rPr>
                <w:color w:val="auto"/>
              </w:rPr>
            </w:pPr>
            <w:r w:rsidRPr="006C4BD0">
              <w:rPr>
                <w:color w:val="auto"/>
              </w:rPr>
              <w:t>Cyber</w:t>
            </w:r>
            <w:r>
              <w:rPr>
                <w:color w:val="auto"/>
              </w:rPr>
              <w:t xml:space="preserve">: </w:t>
            </w:r>
            <w:r w:rsidR="005929C3">
              <w:rPr>
                <w:color w:val="auto"/>
              </w:rPr>
              <w:br/>
            </w:r>
            <w:r w:rsidRPr="00DC21CF">
              <w:rPr>
                <w:b w:val="0"/>
                <w:bCs/>
                <w:color w:val="auto"/>
              </w:rPr>
              <w:t>Critical system</w:t>
            </w:r>
            <w:r w:rsidR="0098627C">
              <w:rPr>
                <w:b w:val="0"/>
                <w:bCs/>
                <w:color w:val="auto"/>
              </w:rPr>
              <w:t xml:space="preserve"> network</w:t>
            </w:r>
            <w:r w:rsidRPr="00DC21CF">
              <w:rPr>
                <w:b w:val="0"/>
                <w:bCs/>
                <w:color w:val="auto"/>
              </w:rPr>
              <w:t xml:space="preserve"> protection</w:t>
            </w:r>
          </w:p>
        </w:tc>
        <w:tc>
          <w:tcPr>
            <w:tcW w:w="878" w:type="pct"/>
            <w:hideMark/>
          </w:tcPr>
          <w:p w14:paraId="52AC793E" w14:textId="77777777" w:rsidR="001F44DC" w:rsidRPr="006C4BD0" w:rsidRDefault="001F44DC">
            <w:pPr>
              <w:pStyle w:val="BodyText"/>
              <w:cnfStyle w:val="000000010000" w:firstRow="0" w:lastRow="0" w:firstColumn="0" w:lastColumn="0" w:oddVBand="0" w:evenVBand="0" w:oddHBand="0" w:evenHBand="1" w:firstRowFirstColumn="0" w:firstRowLastColumn="0" w:lastRowFirstColumn="0" w:lastRowLastColumn="0"/>
              <w:rPr>
                <w:color w:val="auto"/>
              </w:rPr>
            </w:pPr>
            <w:r w:rsidRPr="006C4BD0">
              <w:rPr>
                <w:color w:val="auto"/>
              </w:rPr>
              <w:t>Entities must minimise cyber risks to critical IT systems.</w:t>
            </w:r>
          </w:p>
        </w:tc>
        <w:tc>
          <w:tcPr>
            <w:tcW w:w="1156" w:type="pct"/>
            <w:hideMark/>
          </w:tcPr>
          <w:p w14:paraId="3DB41BE9" w14:textId="77777777" w:rsidR="001F44DC" w:rsidRPr="006C4BD0" w:rsidRDefault="001F44DC">
            <w:pPr>
              <w:pStyle w:val="BodyText"/>
              <w:cnfStyle w:val="000000010000" w:firstRow="0" w:lastRow="0" w:firstColumn="0" w:lastColumn="0" w:oddVBand="0" w:evenVBand="0" w:oddHBand="0" w:evenHBand="1" w:firstRowFirstColumn="0" w:firstRowLastColumn="0" w:lastRowFirstColumn="0" w:lastRowLastColumn="0"/>
              <w:rPr>
                <w:color w:val="auto"/>
              </w:rPr>
            </w:pPr>
            <w:r w:rsidRPr="006C4BD0">
              <w:rPr>
                <w:color w:val="auto"/>
              </w:rPr>
              <w:t>No clear standard for logical segregation, isolation or recovery planning for critical systems.</w:t>
            </w:r>
          </w:p>
        </w:tc>
        <w:tc>
          <w:tcPr>
            <w:tcW w:w="1098" w:type="pct"/>
            <w:hideMark/>
          </w:tcPr>
          <w:p w14:paraId="419F920F" w14:textId="77777777" w:rsidR="001F44DC" w:rsidRPr="006C4BD0" w:rsidRDefault="001F44DC">
            <w:pPr>
              <w:pStyle w:val="BodyText"/>
              <w:cnfStyle w:val="000000010000" w:firstRow="0" w:lastRow="0" w:firstColumn="0" w:lastColumn="0" w:oddVBand="0" w:evenVBand="0" w:oddHBand="0" w:evenHBand="1" w:firstRowFirstColumn="0" w:firstRowLastColumn="0" w:lastRowFirstColumn="0" w:lastRowLastColumn="0"/>
              <w:rPr>
                <w:color w:val="auto"/>
              </w:rPr>
            </w:pPr>
            <w:r w:rsidRPr="006C4BD0">
              <w:rPr>
                <w:color w:val="auto"/>
              </w:rPr>
              <w:t>Introduction of clearer expectations regarding IT/OT system segregation, isolation and recovery planning for critical systems.</w:t>
            </w:r>
          </w:p>
        </w:tc>
        <w:tc>
          <w:tcPr>
            <w:tcW w:w="936" w:type="pct"/>
            <w:hideMark/>
          </w:tcPr>
          <w:p w14:paraId="21B3302E" w14:textId="77777777" w:rsidR="001F44DC" w:rsidRPr="006C4BD0" w:rsidRDefault="001F44DC">
            <w:pPr>
              <w:pStyle w:val="BodyText"/>
              <w:cnfStyle w:val="000000010000" w:firstRow="0" w:lastRow="0" w:firstColumn="0" w:lastColumn="0" w:oddVBand="0" w:evenVBand="0" w:oddHBand="0" w:evenHBand="1" w:firstRowFirstColumn="0" w:firstRowLastColumn="0" w:lastRowFirstColumn="0" w:lastRowLastColumn="0"/>
              <w:rPr>
                <w:color w:val="auto"/>
              </w:rPr>
            </w:pPr>
            <w:r w:rsidRPr="006C4BD0">
              <w:rPr>
                <w:color w:val="auto"/>
              </w:rPr>
              <w:t xml:space="preserve">Specification of control expectations within existing cyber </w:t>
            </w:r>
            <w:r>
              <w:rPr>
                <w:color w:val="auto"/>
              </w:rPr>
              <w:t>obligations</w:t>
            </w:r>
            <w:r w:rsidRPr="006C4BD0">
              <w:rPr>
                <w:color w:val="auto"/>
              </w:rPr>
              <w:t>.</w:t>
            </w:r>
          </w:p>
        </w:tc>
      </w:tr>
      <w:tr w:rsidR="001F44DC" w:rsidRPr="006C4BD0" w14:paraId="59AEEE9E"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32" w:type="pct"/>
            <w:hideMark/>
          </w:tcPr>
          <w:p w14:paraId="6A0E092B" w14:textId="7E043D2F" w:rsidR="001F44DC" w:rsidRPr="006C4BD0" w:rsidRDefault="001F44DC">
            <w:pPr>
              <w:pStyle w:val="BodyText"/>
              <w:rPr>
                <w:color w:val="auto"/>
              </w:rPr>
            </w:pPr>
            <w:r w:rsidRPr="006C4BD0">
              <w:rPr>
                <w:color w:val="auto"/>
              </w:rPr>
              <w:t>Cyber</w:t>
            </w:r>
            <w:r>
              <w:rPr>
                <w:color w:val="auto"/>
              </w:rPr>
              <w:t xml:space="preserve">: </w:t>
            </w:r>
            <w:r w:rsidR="0098627C">
              <w:rPr>
                <w:color w:val="auto"/>
              </w:rPr>
              <w:br/>
            </w:r>
            <w:proofErr w:type="gramStart"/>
            <w:r>
              <w:rPr>
                <w:b w:val="0"/>
                <w:bCs/>
                <w:color w:val="auto"/>
              </w:rPr>
              <w:t>Multi-factor</w:t>
            </w:r>
            <w:proofErr w:type="gramEnd"/>
            <w:r w:rsidRPr="00DC21CF">
              <w:rPr>
                <w:b w:val="0"/>
                <w:bCs/>
                <w:color w:val="auto"/>
              </w:rPr>
              <w:t xml:space="preserve"> authentication</w:t>
            </w:r>
          </w:p>
        </w:tc>
        <w:tc>
          <w:tcPr>
            <w:tcW w:w="878" w:type="pct"/>
            <w:hideMark/>
          </w:tcPr>
          <w:p w14:paraId="37829EFF" w14:textId="77777777" w:rsidR="001F44DC" w:rsidRPr="006C4BD0" w:rsidRDefault="001F44DC">
            <w:pPr>
              <w:pStyle w:val="BodyText"/>
              <w:cnfStyle w:val="000000100000" w:firstRow="0" w:lastRow="0" w:firstColumn="0" w:lastColumn="0" w:oddVBand="0" w:evenVBand="0" w:oddHBand="1" w:evenHBand="0" w:firstRowFirstColumn="0" w:firstRowLastColumn="0" w:lastRowFirstColumn="0" w:lastRowLastColumn="0"/>
              <w:rPr>
                <w:color w:val="auto"/>
              </w:rPr>
            </w:pPr>
            <w:r w:rsidRPr="006C4BD0">
              <w:rPr>
                <w:color w:val="auto"/>
              </w:rPr>
              <w:t>General obligation to minimise cyber risks.</w:t>
            </w:r>
          </w:p>
        </w:tc>
        <w:tc>
          <w:tcPr>
            <w:tcW w:w="1156" w:type="pct"/>
            <w:hideMark/>
          </w:tcPr>
          <w:p w14:paraId="291A7774" w14:textId="77777777" w:rsidR="001F44DC" w:rsidRPr="006C4BD0" w:rsidRDefault="001F44DC">
            <w:pPr>
              <w:pStyle w:val="BodyText"/>
              <w:cnfStyle w:val="000000100000" w:firstRow="0" w:lastRow="0" w:firstColumn="0" w:lastColumn="0" w:oddVBand="0" w:evenVBand="0" w:oddHBand="1" w:evenHBand="0" w:firstRowFirstColumn="0" w:firstRowLastColumn="0" w:lastRowFirstColumn="0" w:lastRowLastColumn="0"/>
              <w:rPr>
                <w:color w:val="auto"/>
              </w:rPr>
            </w:pPr>
            <w:r w:rsidRPr="006C4BD0">
              <w:rPr>
                <w:color w:val="auto"/>
              </w:rPr>
              <w:t>Inconsistent use of MFA, particularly for privileged access, remote staff, vendors and machine environments.</w:t>
            </w:r>
          </w:p>
        </w:tc>
        <w:tc>
          <w:tcPr>
            <w:tcW w:w="1098" w:type="pct"/>
            <w:hideMark/>
          </w:tcPr>
          <w:p w14:paraId="7765564F" w14:textId="77777777" w:rsidR="001F44DC" w:rsidRPr="006C4BD0" w:rsidRDefault="001F44DC">
            <w:pPr>
              <w:pStyle w:val="BodyText"/>
              <w:cnfStyle w:val="000000100000" w:firstRow="0" w:lastRow="0" w:firstColumn="0" w:lastColumn="0" w:oddVBand="0" w:evenVBand="0" w:oddHBand="1" w:evenHBand="0" w:firstRowFirstColumn="0" w:firstRowLastColumn="0" w:lastRowFirstColumn="0" w:lastRowLastColumn="0"/>
              <w:rPr>
                <w:color w:val="auto"/>
              </w:rPr>
            </w:pPr>
            <w:r w:rsidRPr="006C4BD0">
              <w:rPr>
                <w:color w:val="auto"/>
              </w:rPr>
              <w:t xml:space="preserve">Clearer </w:t>
            </w:r>
            <w:r>
              <w:rPr>
                <w:color w:val="auto"/>
              </w:rPr>
              <w:t>expectations</w:t>
            </w:r>
            <w:r w:rsidRPr="006C4BD0">
              <w:rPr>
                <w:color w:val="auto"/>
              </w:rPr>
              <w:t xml:space="preserve"> for MFA implementation.</w:t>
            </w:r>
          </w:p>
        </w:tc>
        <w:tc>
          <w:tcPr>
            <w:tcW w:w="936" w:type="pct"/>
            <w:hideMark/>
          </w:tcPr>
          <w:p w14:paraId="05AD053F" w14:textId="77777777" w:rsidR="001F44DC" w:rsidRPr="006C4BD0" w:rsidRDefault="001F44DC">
            <w:pPr>
              <w:pStyle w:val="BodyText"/>
              <w:cnfStyle w:val="000000100000" w:firstRow="0" w:lastRow="0" w:firstColumn="0" w:lastColumn="0" w:oddVBand="0" w:evenVBand="0" w:oddHBand="1" w:evenHBand="0" w:firstRowFirstColumn="0" w:firstRowLastColumn="0" w:lastRowFirstColumn="0" w:lastRowLastColumn="0"/>
              <w:rPr>
                <w:color w:val="auto"/>
              </w:rPr>
            </w:pPr>
            <w:r w:rsidRPr="006C4BD0">
              <w:rPr>
                <w:color w:val="auto"/>
              </w:rPr>
              <w:t>Clarification of control expectation within existing obligation.</w:t>
            </w:r>
          </w:p>
        </w:tc>
      </w:tr>
      <w:tr w:rsidR="001F44DC" w:rsidRPr="006C4BD0" w14:paraId="654A006D" w14:textId="7777777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32" w:type="pct"/>
            <w:hideMark/>
          </w:tcPr>
          <w:p w14:paraId="27050E19" w14:textId="1981A577" w:rsidR="001F44DC" w:rsidRPr="001D2788" w:rsidRDefault="001F44DC">
            <w:pPr>
              <w:pStyle w:val="BodyText"/>
              <w:rPr>
                <w:b w:val="0"/>
                <w:color w:val="auto"/>
              </w:rPr>
            </w:pPr>
            <w:r w:rsidRPr="006C4BD0">
              <w:rPr>
                <w:color w:val="auto"/>
              </w:rPr>
              <w:lastRenderedPageBreak/>
              <w:t>Cyber</w:t>
            </w:r>
            <w:r>
              <w:rPr>
                <w:color w:val="auto"/>
              </w:rPr>
              <w:t>:</w:t>
            </w:r>
            <w:r w:rsidRPr="006C4BD0">
              <w:rPr>
                <w:color w:val="auto"/>
              </w:rPr>
              <w:t xml:space="preserve"> </w:t>
            </w:r>
            <w:r w:rsidR="001D2788">
              <w:rPr>
                <w:b w:val="0"/>
                <w:color w:val="auto"/>
              </w:rPr>
              <w:br/>
            </w:r>
            <w:r w:rsidRPr="00DC21CF">
              <w:rPr>
                <w:b w:val="0"/>
                <w:bCs/>
                <w:color w:val="auto"/>
              </w:rPr>
              <w:t xml:space="preserve">Emerging </w:t>
            </w:r>
            <w:r w:rsidR="0098627C">
              <w:rPr>
                <w:b w:val="0"/>
                <w:bCs/>
                <w:color w:val="auto"/>
              </w:rPr>
              <w:t xml:space="preserve">cyber material risks </w:t>
            </w:r>
            <w:r w:rsidRPr="00DC21CF">
              <w:rPr>
                <w:b w:val="0"/>
                <w:bCs/>
                <w:color w:val="auto"/>
              </w:rPr>
              <w:t>technologies</w:t>
            </w:r>
          </w:p>
        </w:tc>
        <w:tc>
          <w:tcPr>
            <w:tcW w:w="878" w:type="pct"/>
            <w:hideMark/>
          </w:tcPr>
          <w:p w14:paraId="07FAA1BD" w14:textId="77777777" w:rsidR="001F44DC" w:rsidRPr="006C4BD0" w:rsidRDefault="001F44DC">
            <w:pPr>
              <w:pStyle w:val="BodyText"/>
              <w:cnfStyle w:val="000000010000" w:firstRow="0" w:lastRow="0" w:firstColumn="0" w:lastColumn="0" w:oddVBand="0" w:evenVBand="0" w:oddHBand="0" w:evenHBand="1" w:firstRowFirstColumn="0" w:firstRowLastColumn="0" w:lastRowFirstColumn="0" w:lastRowLastColumn="0"/>
              <w:rPr>
                <w:color w:val="auto"/>
              </w:rPr>
            </w:pPr>
            <w:r w:rsidRPr="006C4BD0">
              <w:rPr>
                <w:color w:val="auto"/>
              </w:rPr>
              <w:t>Obligation to identify and manage material cyber risks.</w:t>
            </w:r>
          </w:p>
        </w:tc>
        <w:tc>
          <w:tcPr>
            <w:tcW w:w="1156" w:type="pct"/>
            <w:hideMark/>
          </w:tcPr>
          <w:p w14:paraId="351B7C2B" w14:textId="77777777" w:rsidR="001F44DC" w:rsidRPr="006C4BD0" w:rsidRDefault="001F44DC">
            <w:pPr>
              <w:pStyle w:val="BodyText"/>
              <w:cnfStyle w:val="000000010000" w:firstRow="0" w:lastRow="0" w:firstColumn="0" w:lastColumn="0" w:oddVBand="0" w:evenVBand="0" w:oddHBand="0" w:evenHBand="1" w:firstRowFirstColumn="0" w:firstRowLastColumn="0" w:lastRowFirstColumn="0" w:lastRowLastColumn="0"/>
              <w:rPr>
                <w:color w:val="auto"/>
              </w:rPr>
            </w:pPr>
            <w:r w:rsidRPr="006C4BD0">
              <w:rPr>
                <w:color w:val="auto"/>
              </w:rPr>
              <w:t>Existing CIRMP Rules do not explicitly address AI, quantum computing or other advanced, novel, or emerging technology risks.</w:t>
            </w:r>
          </w:p>
        </w:tc>
        <w:tc>
          <w:tcPr>
            <w:tcW w:w="1098" w:type="pct"/>
            <w:hideMark/>
          </w:tcPr>
          <w:p w14:paraId="7A775369" w14:textId="77777777" w:rsidR="001F44DC" w:rsidRPr="006C4BD0" w:rsidRDefault="001F44DC">
            <w:pPr>
              <w:pStyle w:val="BodyText"/>
              <w:cnfStyle w:val="000000010000" w:firstRow="0" w:lastRow="0" w:firstColumn="0" w:lastColumn="0" w:oddVBand="0" w:evenVBand="0" w:oddHBand="0" w:evenHBand="1" w:firstRowFirstColumn="0" w:firstRowLastColumn="0" w:lastRowFirstColumn="0" w:lastRowLastColumn="0"/>
              <w:rPr>
                <w:color w:val="auto"/>
              </w:rPr>
            </w:pPr>
            <w:r w:rsidRPr="006C4BD0">
              <w:rPr>
                <w:color w:val="auto"/>
              </w:rPr>
              <w:t>Requirement to assess and document material risks arising from emerging technologies.</w:t>
            </w:r>
          </w:p>
        </w:tc>
        <w:tc>
          <w:tcPr>
            <w:tcW w:w="936" w:type="pct"/>
            <w:hideMark/>
          </w:tcPr>
          <w:p w14:paraId="4EC7E286" w14:textId="77777777" w:rsidR="001F44DC" w:rsidRPr="006C4BD0" w:rsidRDefault="001F44DC">
            <w:pPr>
              <w:pStyle w:val="BodyText"/>
              <w:cnfStyle w:val="000000010000" w:firstRow="0" w:lastRow="0" w:firstColumn="0" w:lastColumn="0" w:oddVBand="0" w:evenVBand="0" w:oddHBand="0" w:evenHBand="1" w:firstRowFirstColumn="0" w:firstRowLastColumn="0" w:lastRowFirstColumn="0" w:lastRowLastColumn="0"/>
              <w:rPr>
                <w:color w:val="auto"/>
              </w:rPr>
            </w:pPr>
            <w:r w:rsidRPr="006C4BD0">
              <w:rPr>
                <w:color w:val="auto"/>
              </w:rPr>
              <w:t>Clarification and extension of material risk consideration.</w:t>
            </w:r>
          </w:p>
        </w:tc>
      </w:tr>
      <w:tr w:rsidR="001F44DC" w:rsidRPr="006C4BD0" w14:paraId="3351DC8E"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32" w:type="pct"/>
            <w:hideMark/>
          </w:tcPr>
          <w:p w14:paraId="62FF35F4" w14:textId="6A386322" w:rsidR="001F44DC" w:rsidRPr="006C4BD0" w:rsidRDefault="001F44DC">
            <w:pPr>
              <w:pStyle w:val="BodyText"/>
              <w:rPr>
                <w:color w:val="auto"/>
              </w:rPr>
            </w:pPr>
            <w:r w:rsidRPr="006C4BD0">
              <w:rPr>
                <w:color w:val="auto"/>
              </w:rPr>
              <w:t>Supply chain</w:t>
            </w:r>
            <w:r>
              <w:rPr>
                <w:color w:val="auto"/>
              </w:rPr>
              <w:t xml:space="preserve">: </w:t>
            </w:r>
            <w:r w:rsidR="00320055" w:rsidRPr="00320055">
              <w:rPr>
                <w:b w:val="0"/>
                <w:bCs/>
                <w:color w:val="auto"/>
              </w:rPr>
              <w:t>Supply chain vulnerability mapping</w:t>
            </w:r>
          </w:p>
        </w:tc>
        <w:tc>
          <w:tcPr>
            <w:tcW w:w="878" w:type="pct"/>
            <w:hideMark/>
          </w:tcPr>
          <w:p w14:paraId="73C5C21B" w14:textId="77777777" w:rsidR="001F44DC" w:rsidRPr="006C4BD0" w:rsidRDefault="001F44DC">
            <w:pPr>
              <w:pStyle w:val="BodyText"/>
              <w:cnfStyle w:val="000000100000" w:firstRow="0" w:lastRow="0" w:firstColumn="0" w:lastColumn="0" w:oddVBand="0" w:evenVBand="0" w:oddHBand="1" w:evenHBand="0" w:firstRowFirstColumn="0" w:firstRowLastColumn="0" w:lastRowFirstColumn="0" w:lastRowLastColumn="0"/>
              <w:rPr>
                <w:color w:val="auto"/>
              </w:rPr>
            </w:pPr>
            <w:r w:rsidRPr="006C4BD0">
              <w:rPr>
                <w:color w:val="auto"/>
              </w:rPr>
              <w:t>Entities must identify and manage supply chain hazards.</w:t>
            </w:r>
          </w:p>
        </w:tc>
        <w:tc>
          <w:tcPr>
            <w:tcW w:w="1156" w:type="pct"/>
            <w:hideMark/>
          </w:tcPr>
          <w:p w14:paraId="04B4784E" w14:textId="77777777" w:rsidR="001F44DC" w:rsidRPr="006C4BD0" w:rsidRDefault="001F44DC">
            <w:pPr>
              <w:pStyle w:val="BodyText"/>
              <w:cnfStyle w:val="000000100000" w:firstRow="0" w:lastRow="0" w:firstColumn="0" w:lastColumn="0" w:oddVBand="0" w:evenVBand="0" w:oddHBand="1" w:evenHBand="0" w:firstRowFirstColumn="0" w:firstRowLastColumn="0" w:lastRowFirstColumn="0" w:lastRowLastColumn="0"/>
              <w:rPr>
                <w:color w:val="auto"/>
              </w:rPr>
            </w:pPr>
            <w:r w:rsidRPr="006C4BD0">
              <w:rPr>
                <w:color w:val="auto"/>
              </w:rPr>
              <w:t xml:space="preserve">Limited visibility beyond first or </w:t>
            </w:r>
            <w:r>
              <w:rPr>
                <w:color w:val="auto"/>
              </w:rPr>
              <w:t>second-tier</w:t>
            </w:r>
            <w:r w:rsidRPr="006C4BD0">
              <w:rPr>
                <w:color w:val="auto"/>
              </w:rPr>
              <w:t xml:space="preserve"> suppliers. </w:t>
            </w:r>
          </w:p>
        </w:tc>
        <w:tc>
          <w:tcPr>
            <w:tcW w:w="1098" w:type="pct"/>
            <w:hideMark/>
          </w:tcPr>
          <w:p w14:paraId="1A77EA6E" w14:textId="77777777" w:rsidR="001F44DC" w:rsidRPr="006C4BD0" w:rsidRDefault="001F44DC">
            <w:pPr>
              <w:pStyle w:val="BodyText"/>
              <w:cnfStyle w:val="000000100000" w:firstRow="0" w:lastRow="0" w:firstColumn="0" w:lastColumn="0" w:oddVBand="0" w:evenVBand="0" w:oddHBand="1" w:evenHBand="0" w:firstRowFirstColumn="0" w:firstRowLastColumn="0" w:lastRowFirstColumn="0" w:lastRowLastColumn="0"/>
              <w:rPr>
                <w:color w:val="auto"/>
              </w:rPr>
            </w:pPr>
            <w:r w:rsidRPr="006C4BD0">
              <w:rPr>
                <w:color w:val="auto"/>
              </w:rPr>
              <w:t>Clearer expectation to identify, map and assess critical supply chain dependencies and vulnerabilities.</w:t>
            </w:r>
          </w:p>
        </w:tc>
        <w:tc>
          <w:tcPr>
            <w:tcW w:w="936" w:type="pct"/>
            <w:hideMark/>
          </w:tcPr>
          <w:p w14:paraId="05694A3E" w14:textId="77777777" w:rsidR="001F44DC" w:rsidRPr="006C4BD0" w:rsidRDefault="001F44DC">
            <w:pPr>
              <w:pStyle w:val="BodyText"/>
              <w:cnfStyle w:val="000000100000" w:firstRow="0" w:lastRow="0" w:firstColumn="0" w:lastColumn="0" w:oddVBand="0" w:evenVBand="0" w:oddHBand="1" w:evenHBand="0" w:firstRowFirstColumn="0" w:firstRowLastColumn="0" w:lastRowFirstColumn="0" w:lastRowLastColumn="0"/>
              <w:rPr>
                <w:color w:val="auto"/>
              </w:rPr>
            </w:pPr>
            <w:r w:rsidRPr="006C4BD0">
              <w:rPr>
                <w:color w:val="auto"/>
              </w:rPr>
              <w:t>Specification of assessment depth and documentation.</w:t>
            </w:r>
          </w:p>
        </w:tc>
      </w:tr>
      <w:tr w:rsidR="001F44DC" w:rsidRPr="006C4BD0" w14:paraId="77176123" w14:textId="7777777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32" w:type="pct"/>
            <w:hideMark/>
          </w:tcPr>
          <w:p w14:paraId="6686F79E" w14:textId="1E73F626" w:rsidR="001F44DC" w:rsidRPr="006C4BD0" w:rsidRDefault="001F44DC">
            <w:pPr>
              <w:pStyle w:val="BodyText"/>
              <w:rPr>
                <w:color w:val="auto"/>
              </w:rPr>
            </w:pPr>
            <w:r w:rsidRPr="006C4BD0">
              <w:rPr>
                <w:color w:val="auto"/>
              </w:rPr>
              <w:t>Supply chain</w:t>
            </w:r>
            <w:r>
              <w:rPr>
                <w:color w:val="auto"/>
              </w:rPr>
              <w:t xml:space="preserve">: </w:t>
            </w:r>
            <w:r w:rsidR="00320055" w:rsidRPr="00320055">
              <w:rPr>
                <w:b w:val="0"/>
                <w:bCs/>
                <w:color w:val="auto"/>
              </w:rPr>
              <w:t>Vendors of concern</w:t>
            </w:r>
          </w:p>
        </w:tc>
        <w:tc>
          <w:tcPr>
            <w:tcW w:w="878" w:type="pct"/>
            <w:hideMark/>
          </w:tcPr>
          <w:p w14:paraId="62D665E7" w14:textId="77777777" w:rsidR="001F44DC" w:rsidRPr="006C4BD0" w:rsidRDefault="001F44DC">
            <w:pPr>
              <w:pStyle w:val="BodyText"/>
              <w:cnfStyle w:val="000000010000" w:firstRow="0" w:lastRow="0" w:firstColumn="0" w:lastColumn="0" w:oddVBand="0" w:evenVBand="0" w:oddHBand="0" w:evenHBand="1" w:firstRowFirstColumn="0" w:firstRowLastColumn="0" w:lastRowFirstColumn="0" w:lastRowLastColumn="0"/>
              <w:rPr>
                <w:color w:val="auto"/>
              </w:rPr>
            </w:pPr>
            <w:r w:rsidRPr="006C4BD0">
              <w:rPr>
                <w:color w:val="auto"/>
              </w:rPr>
              <w:t>General obligation to consider supply chain risk.</w:t>
            </w:r>
          </w:p>
        </w:tc>
        <w:tc>
          <w:tcPr>
            <w:tcW w:w="1156" w:type="pct"/>
            <w:hideMark/>
          </w:tcPr>
          <w:p w14:paraId="56103246" w14:textId="77777777" w:rsidR="001F44DC" w:rsidRPr="006C4BD0" w:rsidRDefault="001F44DC">
            <w:pPr>
              <w:pStyle w:val="BodyText"/>
              <w:cnfStyle w:val="000000010000" w:firstRow="0" w:lastRow="0" w:firstColumn="0" w:lastColumn="0" w:oddVBand="0" w:evenVBand="0" w:oddHBand="0" w:evenHBand="1" w:firstRowFirstColumn="0" w:firstRowLastColumn="0" w:lastRowFirstColumn="0" w:lastRowLastColumn="0"/>
              <w:rPr>
                <w:color w:val="auto"/>
              </w:rPr>
            </w:pPr>
            <w:r w:rsidRPr="006C4BD0">
              <w:rPr>
                <w:color w:val="auto"/>
              </w:rPr>
              <w:t>No clear, consistent process for assessing vendors of concern, including FOCI and concentration risks.</w:t>
            </w:r>
          </w:p>
        </w:tc>
        <w:tc>
          <w:tcPr>
            <w:tcW w:w="1098" w:type="pct"/>
            <w:hideMark/>
          </w:tcPr>
          <w:p w14:paraId="46657BB9" w14:textId="77777777" w:rsidR="001F44DC" w:rsidRPr="006C4BD0" w:rsidRDefault="001F44DC">
            <w:pPr>
              <w:pStyle w:val="BodyText"/>
              <w:cnfStyle w:val="000000010000" w:firstRow="0" w:lastRow="0" w:firstColumn="0" w:lastColumn="0" w:oddVBand="0" w:evenVBand="0" w:oddHBand="0" w:evenHBand="1" w:firstRowFirstColumn="0" w:firstRowLastColumn="0" w:lastRowFirstColumn="0" w:lastRowLastColumn="0"/>
              <w:rPr>
                <w:color w:val="auto"/>
              </w:rPr>
            </w:pPr>
            <w:r w:rsidRPr="006C4BD0">
              <w:rPr>
                <w:color w:val="auto"/>
              </w:rPr>
              <w:t xml:space="preserve">Requirement to establish </w:t>
            </w:r>
            <w:r>
              <w:rPr>
                <w:color w:val="auto"/>
              </w:rPr>
              <w:t xml:space="preserve">a </w:t>
            </w:r>
            <w:r w:rsidRPr="006C4BD0">
              <w:rPr>
                <w:color w:val="auto"/>
              </w:rPr>
              <w:t>documented process for identifying and managing vendors of concern.</w:t>
            </w:r>
          </w:p>
        </w:tc>
        <w:tc>
          <w:tcPr>
            <w:tcW w:w="936" w:type="pct"/>
            <w:hideMark/>
          </w:tcPr>
          <w:p w14:paraId="3E484F4F" w14:textId="77777777" w:rsidR="001F44DC" w:rsidRPr="006C4BD0" w:rsidRDefault="001F44DC">
            <w:pPr>
              <w:pStyle w:val="BodyText"/>
              <w:cnfStyle w:val="000000010000" w:firstRow="0" w:lastRow="0" w:firstColumn="0" w:lastColumn="0" w:oddVBand="0" w:evenVBand="0" w:oddHBand="0" w:evenHBand="1" w:firstRowFirstColumn="0" w:firstRowLastColumn="0" w:lastRowFirstColumn="0" w:lastRowLastColumn="0"/>
              <w:rPr>
                <w:color w:val="auto"/>
              </w:rPr>
            </w:pPr>
            <w:r w:rsidRPr="006C4BD0">
              <w:rPr>
                <w:color w:val="auto"/>
              </w:rPr>
              <w:t>Formalisation of governance process within supply chain risk.</w:t>
            </w:r>
          </w:p>
        </w:tc>
      </w:tr>
      <w:tr w:rsidR="001F44DC" w:rsidRPr="006C4BD0" w14:paraId="1A15DBC8"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32" w:type="pct"/>
            <w:hideMark/>
          </w:tcPr>
          <w:p w14:paraId="56F67AF1" w14:textId="4067D989" w:rsidR="001F44DC" w:rsidRPr="006C4BD0" w:rsidRDefault="001F44DC">
            <w:pPr>
              <w:pStyle w:val="BodyText"/>
              <w:rPr>
                <w:color w:val="auto"/>
              </w:rPr>
            </w:pPr>
            <w:r w:rsidRPr="006C4BD0">
              <w:rPr>
                <w:color w:val="auto"/>
              </w:rPr>
              <w:t>Personnel</w:t>
            </w:r>
            <w:r>
              <w:rPr>
                <w:color w:val="auto"/>
              </w:rPr>
              <w:t xml:space="preserve">: </w:t>
            </w:r>
            <w:r w:rsidRPr="00DC21CF">
              <w:rPr>
                <w:b w:val="0"/>
                <w:bCs/>
                <w:color w:val="auto"/>
              </w:rPr>
              <w:t>Personnel security plan</w:t>
            </w:r>
          </w:p>
        </w:tc>
        <w:tc>
          <w:tcPr>
            <w:tcW w:w="878" w:type="pct"/>
            <w:hideMark/>
          </w:tcPr>
          <w:p w14:paraId="48D759B9" w14:textId="77777777" w:rsidR="001F44DC" w:rsidRPr="006C4BD0" w:rsidRDefault="001F44DC">
            <w:pPr>
              <w:pStyle w:val="BodyText"/>
              <w:cnfStyle w:val="000000100000" w:firstRow="0" w:lastRow="0" w:firstColumn="0" w:lastColumn="0" w:oddVBand="0" w:evenVBand="0" w:oddHBand="1" w:evenHBand="0" w:firstRowFirstColumn="0" w:firstRowLastColumn="0" w:lastRowFirstColumn="0" w:lastRowLastColumn="0"/>
              <w:rPr>
                <w:color w:val="auto"/>
              </w:rPr>
            </w:pPr>
            <w:r w:rsidRPr="006C4BD0">
              <w:rPr>
                <w:color w:val="auto"/>
              </w:rPr>
              <w:t xml:space="preserve">Personnel hazards must be considered within </w:t>
            </w:r>
            <w:r>
              <w:rPr>
                <w:color w:val="auto"/>
              </w:rPr>
              <w:t xml:space="preserve">a </w:t>
            </w:r>
            <w:r w:rsidRPr="006C4BD0">
              <w:rPr>
                <w:color w:val="auto"/>
              </w:rPr>
              <w:t>broader risk management program.</w:t>
            </w:r>
          </w:p>
        </w:tc>
        <w:tc>
          <w:tcPr>
            <w:tcW w:w="1156" w:type="pct"/>
            <w:hideMark/>
          </w:tcPr>
          <w:p w14:paraId="0899F6D0" w14:textId="77777777" w:rsidR="001F44DC" w:rsidRPr="006C4BD0" w:rsidRDefault="001F44DC">
            <w:pPr>
              <w:pStyle w:val="BodyText"/>
              <w:cnfStyle w:val="000000100000" w:firstRow="0" w:lastRow="0" w:firstColumn="0" w:lastColumn="0" w:oddVBand="0" w:evenVBand="0" w:oddHBand="1" w:evenHBand="0" w:firstRowFirstColumn="0" w:firstRowLastColumn="0" w:lastRowFirstColumn="0" w:lastRowLastColumn="0"/>
              <w:rPr>
                <w:color w:val="auto"/>
              </w:rPr>
            </w:pPr>
            <w:r w:rsidRPr="006C4BD0">
              <w:rPr>
                <w:color w:val="auto"/>
              </w:rPr>
              <w:t xml:space="preserve">Risks of critical workers accessing sensitive information, including contractors and guests. </w:t>
            </w:r>
          </w:p>
        </w:tc>
        <w:tc>
          <w:tcPr>
            <w:tcW w:w="1098" w:type="pct"/>
            <w:hideMark/>
          </w:tcPr>
          <w:p w14:paraId="159E2C8F" w14:textId="77777777" w:rsidR="001F44DC" w:rsidRPr="006C4BD0" w:rsidRDefault="001F44DC">
            <w:pPr>
              <w:pStyle w:val="BodyText"/>
              <w:cnfStyle w:val="000000100000" w:firstRow="0" w:lastRow="0" w:firstColumn="0" w:lastColumn="0" w:oddVBand="0" w:evenVBand="0" w:oddHBand="1" w:evenHBand="0" w:firstRowFirstColumn="0" w:firstRowLastColumn="0" w:lastRowFirstColumn="0" w:lastRowLastColumn="0"/>
              <w:rPr>
                <w:color w:val="auto"/>
              </w:rPr>
            </w:pPr>
            <w:r w:rsidRPr="006C4BD0">
              <w:rPr>
                <w:color w:val="auto"/>
              </w:rPr>
              <w:t xml:space="preserve">Requirement to maintain </w:t>
            </w:r>
            <w:r>
              <w:rPr>
                <w:color w:val="auto"/>
              </w:rPr>
              <w:t xml:space="preserve">a </w:t>
            </w:r>
            <w:r w:rsidRPr="006C4BD0">
              <w:rPr>
                <w:color w:val="auto"/>
              </w:rPr>
              <w:t>documented personnel security plan addressing insider threat and workforce risks.</w:t>
            </w:r>
          </w:p>
        </w:tc>
        <w:tc>
          <w:tcPr>
            <w:tcW w:w="936" w:type="pct"/>
            <w:hideMark/>
          </w:tcPr>
          <w:p w14:paraId="702016C1" w14:textId="77777777" w:rsidR="001F44DC" w:rsidRPr="006C4BD0" w:rsidRDefault="001F44DC">
            <w:pPr>
              <w:pStyle w:val="BodyText"/>
              <w:cnfStyle w:val="000000100000" w:firstRow="0" w:lastRow="0" w:firstColumn="0" w:lastColumn="0" w:oddVBand="0" w:evenVBand="0" w:oddHBand="1" w:evenHBand="0" w:firstRowFirstColumn="0" w:firstRowLastColumn="0" w:lastRowFirstColumn="0" w:lastRowLastColumn="0"/>
              <w:rPr>
                <w:color w:val="auto"/>
              </w:rPr>
            </w:pPr>
            <w:r w:rsidRPr="006C4BD0">
              <w:rPr>
                <w:color w:val="auto"/>
              </w:rPr>
              <w:t>Formalisation and governance uplift.</w:t>
            </w:r>
          </w:p>
        </w:tc>
      </w:tr>
      <w:tr w:rsidR="001F44DC" w:rsidRPr="006C4BD0" w14:paraId="511A5F19" w14:textId="7777777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32" w:type="pct"/>
            <w:hideMark/>
          </w:tcPr>
          <w:p w14:paraId="539D5043" w14:textId="10B615D6" w:rsidR="001F44DC" w:rsidRPr="006C4BD0" w:rsidRDefault="001F44DC">
            <w:pPr>
              <w:pStyle w:val="BodyText"/>
              <w:rPr>
                <w:color w:val="auto"/>
              </w:rPr>
            </w:pPr>
            <w:r w:rsidRPr="006C4BD0">
              <w:rPr>
                <w:color w:val="auto"/>
              </w:rPr>
              <w:t>Personnel</w:t>
            </w:r>
            <w:r>
              <w:rPr>
                <w:color w:val="auto"/>
              </w:rPr>
              <w:t xml:space="preserve">: </w:t>
            </w:r>
            <w:r w:rsidRPr="00DC21CF">
              <w:rPr>
                <w:b w:val="0"/>
                <w:bCs/>
                <w:color w:val="auto"/>
              </w:rPr>
              <w:t>Strengthened background checks</w:t>
            </w:r>
          </w:p>
        </w:tc>
        <w:tc>
          <w:tcPr>
            <w:tcW w:w="878" w:type="pct"/>
            <w:hideMark/>
          </w:tcPr>
          <w:p w14:paraId="551CF48D" w14:textId="77777777" w:rsidR="001F44DC" w:rsidRPr="006C4BD0" w:rsidRDefault="001F44DC">
            <w:pPr>
              <w:pStyle w:val="BodyText"/>
              <w:cnfStyle w:val="000000010000" w:firstRow="0" w:lastRow="0" w:firstColumn="0" w:lastColumn="0" w:oddVBand="0" w:evenVBand="0" w:oddHBand="0" w:evenHBand="1" w:firstRowFirstColumn="0" w:firstRowLastColumn="0" w:lastRowFirstColumn="0" w:lastRowLastColumn="0"/>
              <w:rPr>
                <w:color w:val="auto"/>
              </w:rPr>
            </w:pPr>
            <w:r w:rsidRPr="006C4BD0">
              <w:rPr>
                <w:color w:val="auto"/>
              </w:rPr>
              <w:t>Entities must manage personnel-related risks.</w:t>
            </w:r>
          </w:p>
        </w:tc>
        <w:tc>
          <w:tcPr>
            <w:tcW w:w="1156" w:type="pct"/>
            <w:hideMark/>
          </w:tcPr>
          <w:p w14:paraId="52DEB9BC" w14:textId="77777777" w:rsidR="001F44DC" w:rsidRPr="006C4BD0" w:rsidRDefault="001F44DC">
            <w:pPr>
              <w:pStyle w:val="BodyText"/>
              <w:cnfStyle w:val="000000010000" w:firstRow="0" w:lastRow="0" w:firstColumn="0" w:lastColumn="0" w:oddVBand="0" w:evenVBand="0" w:oddHBand="0" w:evenHBand="1" w:firstRowFirstColumn="0" w:firstRowLastColumn="0" w:lastRowFirstColumn="0" w:lastRowLastColumn="0"/>
              <w:rPr>
                <w:color w:val="auto"/>
              </w:rPr>
            </w:pPr>
            <w:r w:rsidRPr="006C4BD0">
              <w:rPr>
                <w:color w:val="auto"/>
              </w:rPr>
              <w:t xml:space="preserve">Inconsistent use of </w:t>
            </w:r>
            <w:r>
              <w:rPr>
                <w:color w:val="auto"/>
              </w:rPr>
              <w:t>background-checking</w:t>
            </w:r>
            <w:r w:rsidRPr="006C4BD0">
              <w:rPr>
                <w:color w:val="auto"/>
              </w:rPr>
              <w:t xml:space="preserve"> mechanisms. Uncertainty about critical worker classification and contractor vetting.</w:t>
            </w:r>
          </w:p>
        </w:tc>
        <w:tc>
          <w:tcPr>
            <w:tcW w:w="1098" w:type="pct"/>
            <w:hideMark/>
          </w:tcPr>
          <w:p w14:paraId="45884C72" w14:textId="77777777" w:rsidR="001F44DC" w:rsidRPr="006C4BD0" w:rsidRDefault="001F44DC">
            <w:pPr>
              <w:pStyle w:val="BodyText"/>
              <w:cnfStyle w:val="000000010000" w:firstRow="0" w:lastRow="0" w:firstColumn="0" w:lastColumn="0" w:oddVBand="0" w:evenVBand="0" w:oddHBand="0" w:evenHBand="1" w:firstRowFirstColumn="0" w:firstRowLastColumn="0" w:lastRowFirstColumn="0" w:lastRowLastColumn="0"/>
              <w:rPr>
                <w:color w:val="auto"/>
              </w:rPr>
            </w:pPr>
            <w:r w:rsidRPr="006C4BD0">
              <w:rPr>
                <w:color w:val="auto"/>
              </w:rPr>
              <w:t xml:space="preserve">Mandating </w:t>
            </w:r>
            <w:r>
              <w:rPr>
                <w:color w:val="auto"/>
              </w:rPr>
              <w:t>expectations</w:t>
            </w:r>
            <w:r w:rsidRPr="006C4BD0">
              <w:rPr>
                <w:color w:val="auto"/>
              </w:rPr>
              <w:t xml:space="preserve"> regarding background </w:t>
            </w:r>
            <w:r>
              <w:rPr>
                <w:color w:val="auto"/>
              </w:rPr>
              <w:t>checks</w:t>
            </w:r>
            <w:r w:rsidRPr="006C4BD0">
              <w:rPr>
                <w:color w:val="auto"/>
              </w:rPr>
              <w:t xml:space="preserve"> for critical workers and contractors.</w:t>
            </w:r>
          </w:p>
        </w:tc>
        <w:tc>
          <w:tcPr>
            <w:tcW w:w="936" w:type="pct"/>
            <w:hideMark/>
          </w:tcPr>
          <w:p w14:paraId="18E98184" w14:textId="77777777" w:rsidR="001F44DC" w:rsidRPr="006C4BD0" w:rsidRDefault="001F44DC">
            <w:pPr>
              <w:pStyle w:val="BodyText"/>
              <w:cnfStyle w:val="000000010000" w:firstRow="0" w:lastRow="0" w:firstColumn="0" w:lastColumn="0" w:oddVBand="0" w:evenVBand="0" w:oddHBand="0" w:evenHBand="1" w:firstRowFirstColumn="0" w:firstRowLastColumn="0" w:lastRowFirstColumn="0" w:lastRowLastColumn="0"/>
              <w:rPr>
                <w:color w:val="auto"/>
              </w:rPr>
            </w:pPr>
            <w:r w:rsidRPr="006C4BD0">
              <w:rPr>
                <w:color w:val="auto"/>
              </w:rPr>
              <w:t>Specification of screening expectation.</w:t>
            </w:r>
          </w:p>
        </w:tc>
      </w:tr>
      <w:tr w:rsidR="001F44DC" w:rsidRPr="006C4BD0" w14:paraId="50E242A0"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32" w:type="pct"/>
            <w:hideMark/>
          </w:tcPr>
          <w:p w14:paraId="7BBF1A1F" w14:textId="56E04615" w:rsidR="001F44DC" w:rsidRPr="006C4BD0" w:rsidRDefault="001F44DC">
            <w:pPr>
              <w:pStyle w:val="BodyText"/>
              <w:rPr>
                <w:color w:val="auto"/>
              </w:rPr>
            </w:pPr>
            <w:r w:rsidRPr="006C4BD0">
              <w:rPr>
                <w:color w:val="auto"/>
              </w:rPr>
              <w:t>Personnel</w:t>
            </w:r>
            <w:r>
              <w:rPr>
                <w:color w:val="auto"/>
              </w:rPr>
              <w:t xml:space="preserve">: </w:t>
            </w:r>
            <w:r w:rsidRPr="00DC21CF">
              <w:rPr>
                <w:b w:val="0"/>
                <w:bCs/>
                <w:color w:val="auto"/>
              </w:rPr>
              <w:t>Enhancing personnel material risks</w:t>
            </w:r>
          </w:p>
        </w:tc>
        <w:tc>
          <w:tcPr>
            <w:tcW w:w="878" w:type="pct"/>
            <w:hideMark/>
          </w:tcPr>
          <w:p w14:paraId="6D5A0182" w14:textId="77777777" w:rsidR="001F44DC" w:rsidRPr="006C4BD0" w:rsidRDefault="001F44DC">
            <w:pPr>
              <w:pStyle w:val="BodyText"/>
              <w:cnfStyle w:val="000000100000" w:firstRow="0" w:lastRow="0" w:firstColumn="0" w:lastColumn="0" w:oddVBand="0" w:evenVBand="0" w:oddHBand="1" w:evenHBand="0" w:firstRowFirstColumn="0" w:firstRowLastColumn="0" w:lastRowFirstColumn="0" w:lastRowLastColumn="0"/>
              <w:rPr>
                <w:color w:val="auto"/>
              </w:rPr>
            </w:pPr>
            <w:r w:rsidRPr="006C4BD0">
              <w:rPr>
                <w:color w:val="auto"/>
              </w:rPr>
              <w:t>Entities must identify and manage material risks.</w:t>
            </w:r>
          </w:p>
        </w:tc>
        <w:tc>
          <w:tcPr>
            <w:tcW w:w="1156" w:type="pct"/>
            <w:hideMark/>
          </w:tcPr>
          <w:p w14:paraId="30F8C7CC" w14:textId="77777777" w:rsidR="001F44DC" w:rsidRPr="006C4BD0" w:rsidRDefault="001F44DC">
            <w:pPr>
              <w:pStyle w:val="BodyText"/>
              <w:cnfStyle w:val="000000100000" w:firstRow="0" w:lastRow="0" w:firstColumn="0" w:lastColumn="0" w:oddVBand="0" w:evenVBand="0" w:oddHBand="1" w:evenHBand="0" w:firstRowFirstColumn="0" w:firstRowLastColumn="0" w:lastRowFirstColumn="0" w:lastRowLastColumn="0"/>
              <w:rPr>
                <w:color w:val="auto"/>
              </w:rPr>
            </w:pPr>
            <w:r w:rsidRPr="006C4BD0">
              <w:rPr>
                <w:color w:val="auto"/>
              </w:rPr>
              <w:t>Inconsistent identification and documentation of coercion, privileged access misuse and insider risks.</w:t>
            </w:r>
          </w:p>
        </w:tc>
        <w:tc>
          <w:tcPr>
            <w:tcW w:w="1098" w:type="pct"/>
            <w:hideMark/>
          </w:tcPr>
          <w:p w14:paraId="5315A26B" w14:textId="77777777" w:rsidR="001F44DC" w:rsidRPr="006C4BD0" w:rsidRDefault="001F44DC">
            <w:pPr>
              <w:pStyle w:val="BodyText"/>
              <w:cnfStyle w:val="000000100000" w:firstRow="0" w:lastRow="0" w:firstColumn="0" w:lastColumn="0" w:oddVBand="0" w:evenVBand="0" w:oddHBand="1" w:evenHBand="0" w:firstRowFirstColumn="0" w:firstRowLastColumn="0" w:lastRowFirstColumn="0" w:lastRowLastColumn="0"/>
              <w:rPr>
                <w:color w:val="auto"/>
              </w:rPr>
            </w:pPr>
            <w:r w:rsidRPr="006C4BD0">
              <w:rPr>
                <w:color w:val="auto"/>
              </w:rPr>
              <w:t xml:space="preserve">Clearer </w:t>
            </w:r>
            <w:r>
              <w:rPr>
                <w:color w:val="auto"/>
              </w:rPr>
              <w:t>expectations</w:t>
            </w:r>
            <w:r w:rsidRPr="006C4BD0">
              <w:rPr>
                <w:color w:val="auto"/>
              </w:rPr>
              <w:t xml:space="preserve"> to identify and document personnel-related material risks.</w:t>
            </w:r>
          </w:p>
        </w:tc>
        <w:tc>
          <w:tcPr>
            <w:tcW w:w="936" w:type="pct"/>
            <w:hideMark/>
          </w:tcPr>
          <w:p w14:paraId="0004BD64" w14:textId="77777777" w:rsidR="001F44DC" w:rsidRPr="006C4BD0" w:rsidRDefault="001F44DC">
            <w:pPr>
              <w:pStyle w:val="BodyText"/>
              <w:cnfStyle w:val="000000100000" w:firstRow="0" w:lastRow="0" w:firstColumn="0" w:lastColumn="0" w:oddVBand="0" w:evenVBand="0" w:oddHBand="1" w:evenHBand="0" w:firstRowFirstColumn="0" w:firstRowLastColumn="0" w:lastRowFirstColumn="0" w:lastRowLastColumn="0"/>
              <w:rPr>
                <w:color w:val="auto"/>
              </w:rPr>
            </w:pPr>
            <w:r w:rsidRPr="006C4BD0">
              <w:rPr>
                <w:color w:val="auto"/>
              </w:rPr>
              <w:t xml:space="preserve">Clarification of documentation and assessment </w:t>
            </w:r>
            <w:r>
              <w:rPr>
                <w:color w:val="auto"/>
              </w:rPr>
              <w:t>expectations</w:t>
            </w:r>
            <w:r w:rsidRPr="006C4BD0">
              <w:rPr>
                <w:color w:val="auto"/>
              </w:rPr>
              <w:t>.</w:t>
            </w:r>
          </w:p>
        </w:tc>
      </w:tr>
      <w:tr w:rsidR="001F44DC" w:rsidRPr="006C4BD0" w14:paraId="3F5889E8" w14:textId="7777777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32" w:type="pct"/>
            <w:hideMark/>
          </w:tcPr>
          <w:p w14:paraId="1322CECB" w14:textId="6BADEEF3" w:rsidR="001F44DC" w:rsidRPr="006C4BD0" w:rsidRDefault="001F44DC">
            <w:pPr>
              <w:pStyle w:val="BodyText"/>
              <w:rPr>
                <w:color w:val="auto"/>
              </w:rPr>
            </w:pPr>
            <w:r w:rsidRPr="006C4BD0">
              <w:rPr>
                <w:color w:val="auto"/>
              </w:rPr>
              <w:t>Physical</w:t>
            </w:r>
            <w:r>
              <w:rPr>
                <w:color w:val="auto"/>
              </w:rPr>
              <w:t xml:space="preserve">: </w:t>
            </w:r>
            <w:r w:rsidR="00355C5C">
              <w:rPr>
                <w:b w:val="0"/>
                <w:color w:val="auto"/>
              </w:rPr>
              <w:t>P</w:t>
            </w:r>
            <w:r w:rsidR="00355C5C" w:rsidRPr="00355C5C">
              <w:rPr>
                <w:b w:val="0"/>
                <w:bCs/>
                <w:color w:val="auto"/>
              </w:rPr>
              <w:t>hysical security hazards and natural hazards</w:t>
            </w:r>
          </w:p>
        </w:tc>
        <w:tc>
          <w:tcPr>
            <w:tcW w:w="878" w:type="pct"/>
            <w:hideMark/>
          </w:tcPr>
          <w:p w14:paraId="3963FAD8" w14:textId="77777777" w:rsidR="001F44DC" w:rsidRPr="006C4BD0" w:rsidRDefault="001F44DC">
            <w:pPr>
              <w:pStyle w:val="BodyText"/>
              <w:cnfStyle w:val="000000010000" w:firstRow="0" w:lastRow="0" w:firstColumn="0" w:lastColumn="0" w:oddVBand="0" w:evenVBand="0" w:oddHBand="0" w:evenHBand="1" w:firstRowFirstColumn="0" w:firstRowLastColumn="0" w:lastRowFirstColumn="0" w:lastRowLastColumn="0"/>
              <w:rPr>
                <w:color w:val="auto"/>
              </w:rPr>
            </w:pPr>
            <w:r w:rsidRPr="006C4BD0">
              <w:rPr>
                <w:color w:val="auto"/>
              </w:rPr>
              <w:t>Entities must consider physical and natural hazards in their risk management program.</w:t>
            </w:r>
          </w:p>
        </w:tc>
        <w:tc>
          <w:tcPr>
            <w:tcW w:w="1156" w:type="pct"/>
            <w:hideMark/>
          </w:tcPr>
          <w:p w14:paraId="4B9AF3AE" w14:textId="77777777" w:rsidR="001F44DC" w:rsidRPr="006C4BD0" w:rsidRDefault="001F44DC">
            <w:pPr>
              <w:pStyle w:val="BodyText"/>
              <w:cnfStyle w:val="000000010000" w:firstRow="0" w:lastRow="0" w:firstColumn="0" w:lastColumn="0" w:oddVBand="0" w:evenVBand="0" w:oddHBand="0" w:evenHBand="1" w:firstRowFirstColumn="0" w:firstRowLastColumn="0" w:lastRowFirstColumn="0" w:lastRowLastColumn="0"/>
              <w:rPr>
                <w:color w:val="auto"/>
              </w:rPr>
            </w:pPr>
            <w:r w:rsidRPr="006C4BD0">
              <w:rPr>
                <w:color w:val="auto"/>
              </w:rPr>
              <w:t xml:space="preserve">No requirement to maintain </w:t>
            </w:r>
            <w:r>
              <w:rPr>
                <w:color w:val="auto"/>
              </w:rPr>
              <w:t xml:space="preserve">a </w:t>
            </w:r>
            <w:r w:rsidRPr="006C4BD0">
              <w:rPr>
                <w:color w:val="auto"/>
              </w:rPr>
              <w:t>structured physical security plan comparable to PSPF</w:t>
            </w:r>
            <w:r>
              <w:rPr>
                <w:rStyle w:val="FootnoteReference"/>
                <w:color w:val="auto"/>
              </w:rPr>
              <w:footnoteReference w:id="11"/>
            </w:r>
            <w:r w:rsidRPr="006C4BD0">
              <w:rPr>
                <w:color w:val="auto"/>
              </w:rPr>
              <w:t xml:space="preserve"> standards. Inconsistent controls and testing across sites.</w:t>
            </w:r>
          </w:p>
        </w:tc>
        <w:tc>
          <w:tcPr>
            <w:tcW w:w="1098" w:type="pct"/>
            <w:hideMark/>
          </w:tcPr>
          <w:p w14:paraId="1283316E" w14:textId="77777777" w:rsidR="001F44DC" w:rsidRPr="006C4BD0" w:rsidRDefault="001F44DC">
            <w:pPr>
              <w:pStyle w:val="BodyText"/>
              <w:cnfStyle w:val="000000010000" w:firstRow="0" w:lastRow="0" w:firstColumn="0" w:lastColumn="0" w:oddVBand="0" w:evenVBand="0" w:oddHBand="0" w:evenHBand="1" w:firstRowFirstColumn="0" w:firstRowLastColumn="0" w:lastRowFirstColumn="0" w:lastRowLastColumn="0"/>
              <w:rPr>
                <w:color w:val="auto"/>
              </w:rPr>
            </w:pPr>
            <w:r w:rsidRPr="006C4BD0">
              <w:rPr>
                <w:color w:val="auto"/>
              </w:rPr>
              <w:t>Requirement to maintain and test a documented physical security plan.</w:t>
            </w:r>
          </w:p>
        </w:tc>
        <w:tc>
          <w:tcPr>
            <w:tcW w:w="936" w:type="pct"/>
            <w:hideMark/>
          </w:tcPr>
          <w:p w14:paraId="4E0C0CEC" w14:textId="77777777" w:rsidR="001F44DC" w:rsidRPr="006C4BD0" w:rsidRDefault="001F44DC">
            <w:pPr>
              <w:pStyle w:val="BodyText"/>
              <w:cnfStyle w:val="000000010000" w:firstRow="0" w:lastRow="0" w:firstColumn="0" w:lastColumn="0" w:oddVBand="0" w:evenVBand="0" w:oddHBand="0" w:evenHBand="1" w:firstRowFirstColumn="0" w:firstRowLastColumn="0" w:lastRowFirstColumn="0" w:lastRowLastColumn="0"/>
              <w:rPr>
                <w:color w:val="auto"/>
              </w:rPr>
            </w:pPr>
            <w:r w:rsidRPr="006C4BD0">
              <w:rPr>
                <w:color w:val="auto"/>
              </w:rPr>
              <w:t xml:space="preserve">Formalisation of physical security governance </w:t>
            </w:r>
            <w:r>
              <w:rPr>
                <w:color w:val="auto"/>
              </w:rPr>
              <w:t>requirements</w:t>
            </w:r>
            <w:r w:rsidRPr="006C4BD0">
              <w:rPr>
                <w:color w:val="auto"/>
              </w:rPr>
              <w:t>.</w:t>
            </w:r>
          </w:p>
        </w:tc>
      </w:tr>
    </w:tbl>
    <w:p w14:paraId="706FE1E8" w14:textId="42AF70C2" w:rsidR="001F44DC" w:rsidRPr="00320055" w:rsidRDefault="001F44DC" w:rsidP="00320055"/>
    <w:sectPr w:rsidR="001F44DC" w:rsidRPr="00320055" w:rsidSect="00951068">
      <w:type w:val="continuous"/>
      <w:pgSz w:w="11906" w:h="16838" w:code="9"/>
      <w:pgMar w:top="360" w:right="1008" w:bottom="720" w:left="1008" w:header="0"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DDC4F0" w14:textId="77777777" w:rsidR="0064539A" w:rsidRDefault="0064539A" w:rsidP="00185154">
      <w:r>
        <w:separator/>
      </w:r>
    </w:p>
    <w:p w14:paraId="74D90DB7" w14:textId="77777777" w:rsidR="0064539A" w:rsidRDefault="0064539A"/>
  </w:endnote>
  <w:endnote w:type="continuationSeparator" w:id="0">
    <w:p w14:paraId="2810A5D7" w14:textId="77777777" w:rsidR="0064539A" w:rsidRDefault="0064539A" w:rsidP="00185154">
      <w:r>
        <w:continuationSeparator/>
      </w:r>
    </w:p>
    <w:p w14:paraId="21B6E400" w14:textId="77777777" w:rsidR="0064539A" w:rsidRDefault="006453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69031030"/>
      <w:docPartObj>
        <w:docPartGallery w:val="Page Numbers (Bottom of Page)"/>
        <w:docPartUnique/>
      </w:docPartObj>
    </w:sdtPr>
    <w:sdtEndPr>
      <w:rPr>
        <w:rStyle w:val="PageNumber"/>
      </w:rPr>
    </w:sdtEndPr>
    <w:sdtContent>
      <w:p w14:paraId="21073B34" w14:textId="495CDFB6" w:rsidR="009E5A46" w:rsidRDefault="009E5A4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0B0CC7" w14:textId="47BBFBA1" w:rsidR="00142816" w:rsidRDefault="00142816" w:rsidP="009E5A46">
    <w:pPr>
      <w:pStyle w:val="Footer"/>
      <w:ind w:right="360"/>
    </w:pPr>
    <w:r>
      <w:rPr>
        <w:noProof/>
      </w:rPr>
      <mc:AlternateContent>
        <mc:Choice Requires="wps">
          <w:drawing>
            <wp:anchor distT="0" distB="0" distL="0" distR="0" simplePos="0" relativeHeight="251658245" behindDoc="0" locked="0" layoutInCell="1" allowOverlap="1" wp14:anchorId="11B12356" wp14:editId="2B9DD88A">
              <wp:simplePos x="635" y="635"/>
              <wp:positionH relativeFrom="page">
                <wp:align>center</wp:align>
              </wp:positionH>
              <wp:positionV relativeFrom="page">
                <wp:align>bottom</wp:align>
              </wp:positionV>
              <wp:extent cx="726440" cy="407670"/>
              <wp:effectExtent l="0" t="0" r="16510" b="0"/>
              <wp:wrapNone/>
              <wp:docPr id="22698891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26440" cy="407670"/>
                      </a:xfrm>
                      <a:prstGeom prst="rect">
                        <a:avLst/>
                      </a:prstGeom>
                      <a:noFill/>
                      <a:ln>
                        <a:noFill/>
                      </a:ln>
                    </wps:spPr>
                    <wps:txbx>
                      <w:txbxContent>
                        <w:p w14:paraId="0F4F9A06" w14:textId="7BD48AC1" w:rsidR="00142816" w:rsidRPr="00142816" w:rsidRDefault="00142816" w:rsidP="00142816">
                          <w:pPr>
                            <w:rPr>
                              <w:rFonts w:ascii="Aptos" w:eastAsia="Aptos" w:hAnsi="Aptos" w:cs="Aptos"/>
                              <w:noProof/>
                              <w:color w:val="FF0000"/>
                              <w:sz w:val="28"/>
                              <w:szCs w:val="28"/>
                            </w:rPr>
                          </w:pPr>
                          <w:r w:rsidRPr="00142816">
                            <w:rPr>
                              <w:rFonts w:ascii="Aptos" w:eastAsia="Aptos" w:hAnsi="Aptos" w:cs="Aptos"/>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B12356" id="_x0000_t202" coordsize="21600,21600" o:spt="202" path="m,l,21600r21600,l21600,xe">
              <v:stroke joinstyle="miter"/>
              <v:path gradientshapeok="t" o:connecttype="rect"/>
            </v:shapetype>
            <v:shape id="Text Box 5" o:spid="_x0000_s1027" type="#_x0000_t202" alt="OFFICIAL" style="position:absolute;left:0;text-align:left;margin-left:0;margin-top:0;width:57.2pt;height:32.1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" filled="f" stroked="f">
              <v:textbox style="mso-fit-shape-to-text:t" inset="0,0,0,15pt">
                <w:txbxContent>
                  <w:p w14:paraId="0F4F9A06" w14:textId="7BD48AC1" w:rsidR="00142816" w:rsidRPr="00142816" w:rsidRDefault="00142816" w:rsidP="00142816">
                    <w:pPr>
                      <w:rPr>
                        <w:rFonts w:ascii="Aptos" w:eastAsia="Aptos" w:hAnsi="Aptos" w:cs="Aptos"/>
                        <w:noProof/>
                        <w:color w:val="FF0000"/>
                        <w:sz w:val="28"/>
                        <w:szCs w:val="28"/>
                      </w:rPr>
                    </w:pPr>
                    <w:r w:rsidRPr="00142816">
                      <w:rPr>
                        <w:rFonts w:ascii="Aptos" w:eastAsia="Aptos" w:hAnsi="Aptos" w:cs="Aptos"/>
                        <w:noProof/>
                        <w:color w:val="FF0000"/>
                        <w:sz w:val="28"/>
                        <w:szCs w:val="28"/>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74679342"/>
      <w:docPartObj>
        <w:docPartGallery w:val="Page Numbers (Bottom of Page)"/>
        <w:docPartUnique/>
      </w:docPartObj>
    </w:sdtPr>
    <w:sdtEndPr>
      <w:rPr>
        <w:rStyle w:val="PageNumber"/>
      </w:rPr>
    </w:sdtEndPr>
    <w:sdtContent>
      <w:p w14:paraId="64EDA526" w14:textId="3D5ED421" w:rsidR="009E5A46" w:rsidRDefault="009E5A4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5C4603D" w14:textId="32B8132F" w:rsidR="00EC2D0D" w:rsidRPr="00A655C4" w:rsidRDefault="0037627E" w:rsidP="00256702">
    <w:pPr>
      <w:tabs>
        <w:tab w:val="left" w:pos="4268"/>
      </w:tabs>
      <w:ind w:right="360"/>
      <w:rPr>
        <w:rFonts w:ascii="Arial" w:eastAsia="Calibri" w:hAnsi="Arial" w:cs="Times New Roman"/>
        <w:b/>
        <w:bCs/>
        <w:color w:val="FF0000"/>
      </w:rPr>
    </w:pPr>
    <w:r w:rsidRPr="00C63B32">
      <w:rPr>
        <w:noProof/>
        <w:color w:val="DA0000"/>
        <w:lang w:eastAsia="en-AU"/>
      </w:rPr>
      <mc:AlternateContent>
        <mc:Choice Requires="wps">
          <w:drawing>
            <wp:anchor distT="45720" distB="45720" distL="114300" distR="114300" simplePos="0" relativeHeight="251658246" behindDoc="0" locked="1" layoutInCell="1" allowOverlap="1" wp14:anchorId="495EFBE7" wp14:editId="2461E619">
              <wp:simplePos x="0" y="0"/>
              <wp:positionH relativeFrom="margin">
                <wp:posOffset>12700</wp:posOffset>
              </wp:positionH>
              <wp:positionV relativeFrom="page">
                <wp:posOffset>10048240</wp:posOffset>
              </wp:positionV>
              <wp:extent cx="1619885" cy="658495"/>
              <wp:effectExtent l="0" t="0" r="5715" b="0"/>
              <wp:wrapNone/>
              <wp:docPr id="87296593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658495"/>
                      </a:xfrm>
                      <a:prstGeom prst="rect">
                        <a:avLst/>
                      </a:prstGeom>
                      <a:noFill/>
                      <a:ln w="9525">
                        <a:noFill/>
                        <a:miter lim="800000"/>
                        <a:headEnd/>
                        <a:tailEnd/>
                      </a:ln>
                    </wps:spPr>
                    <wps:txbx>
                      <w:txbxContent>
                        <w:p w14:paraId="2815C51E" w14:textId="2013247B" w:rsidR="0037627E" w:rsidRPr="00090147" w:rsidRDefault="0037627E" w:rsidP="0037627E">
                          <w:pPr>
                            <w:pStyle w:val="Footer2"/>
                          </w:pPr>
                          <w:r w:rsidRPr="00090147">
                            <w:fldChar w:fldCharType="begin"/>
                          </w:r>
                          <w:r w:rsidRPr="00090147">
                            <w:instrText xml:space="preserve"> TITLE   \* MERGEFORMAT </w:instrText>
                          </w:r>
                          <w:r w:rsidRPr="00090147">
                            <w:fldChar w:fldCharType="end"/>
                          </w:r>
                          <w:r w:rsidRPr="00FB1CAB">
                            <w:t xml:space="preserve"> </w:t>
                          </w:r>
                          <w:sdt>
                            <w:sdtPr>
                              <w:alias w:val="Title"/>
                              <w:tag w:val="Title"/>
                              <w:id w:val="-377550340"/>
                              <w:placeholder>
                                <w:docPart w:val="82F55A3629F2DB4DA04012C33D2CD0FE"/>
                              </w:placeholder>
                              <w:dataBinding w:xpath="/root[1]/Title[1]" w:storeItemID="{00000000-0000-0000-0000-000000000000}"/>
                              <w:text w:multiLine="1"/>
                            </w:sdtPr>
                            <w:sdtEndPr/>
                            <w:sdtContent>
                              <w:r w:rsidR="00A41EDD">
                                <w:t>Critical Infrastructure</w:t>
                              </w:r>
                              <w:r w:rsidR="00A41EDD">
                                <w:br/>
                                <w:t>Risk Management Program</w:t>
                              </w:r>
                            </w:sdtContent>
                          </w:sdt>
                        </w:p>
                      </w:txbxContent>
                    </wps:txbx>
                    <wps:bodyPr rot="0" vert="horz" wrap="square" lIns="0" tIns="0" rIns="0" bIns="18000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495EFBE7" id="_x0000_t202" coordsize="21600,21600" o:spt="202" path="m,l,21600r21600,l21600,xe">
              <v:stroke joinstyle="miter"/>
              <v:path gradientshapeok="t" o:connecttype="rect"/>
            </v:shapetype>
            <v:shape id="_x0000_s1028" type="#_x0000_t202" alt="&quot;&quot;" style="position:absolute;margin-left:1pt;margin-top:791.2pt;width:127.55pt;height:51.8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" filled="f" stroked="f">
              <v:textbox inset="0,0,0,5mm">
                <w:txbxContent>
                  <w:p w14:paraId="2815C51E" w14:textId="2013247B" w:rsidR="0037627E" w:rsidRPr="00090147" w:rsidRDefault="0037627E" w:rsidP="0037627E">
                    <w:pPr>
                      <w:pStyle w:val="Footer2"/>
                    </w:pPr>
                    <w:r w:rsidRPr="00090147">
                      <w:fldChar w:fldCharType="begin"/>
                    </w:r>
                    <w:r w:rsidRPr="00090147">
                      <w:instrText xml:space="preserve"> TITLE   \* MERGEFORMAT </w:instrText>
                    </w:r>
                    <w:r w:rsidRPr="00090147">
                      <w:fldChar w:fldCharType="end"/>
                    </w:r>
                    <w:r w:rsidRPr="00FB1CAB">
                      <w:t xml:space="preserve"> </w:t>
                    </w:r>
                    <w:sdt>
                      <w:sdtPr>
                        <w:alias w:val="Title"/>
                        <w:tag w:val="Title"/>
                        <w:id w:val="-377550340"/>
                        <w:placeholder>
                          <w:docPart w:val="82F55A3629F2DB4DA04012C33D2CD0FE"/>
                        </w:placeholder>
                        <w:dataBinding w:xpath="/root[1]/Title[1]" w:storeItemID="{00000000-0000-0000-0000-000000000000}"/>
                        <w:text w:multiLine="1"/>
                      </w:sdtPr>
                      <w:sdtEndPr/>
                      <w:sdtContent>
                        <w:r w:rsidR="00A41EDD">
                          <w:t>Critical Infrastructure</w:t>
                        </w:r>
                        <w:r w:rsidR="00A41EDD">
                          <w:br/>
                          <w:t>Risk Management Program</w:t>
                        </w:r>
                      </w:sdtContent>
                    </w:sdt>
                  </w:p>
                </w:txbxContent>
              </v:textbox>
              <w10:wrap anchorx="margin" anchory="page"/>
              <w10:anchorlock/>
            </v:shape>
          </w:pict>
        </mc:Fallback>
      </mc:AlternateContent>
    </w:r>
    <w:r w:rsidR="00256702">
      <w:rPr>
        <w:rFonts w:ascii="Arial" w:eastAsia="Calibri" w:hAnsi="Arial" w:cs="Times New Roman"/>
        <w:b/>
        <w:bCs/>
        <w:color w:val="FF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6D5E0" w14:textId="42182A44" w:rsidR="00EC2D0D" w:rsidRPr="00526448" w:rsidRDefault="00142816" w:rsidP="00B856FB">
    <w:pPr>
      <w:ind w:right="360"/>
      <w:jc w:val="center"/>
      <w:rPr>
        <w:sz w:val="2"/>
        <w:szCs w:val="2"/>
      </w:rPr>
    </w:pPr>
    <w:r>
      <w:rPr>
        <w:noProof/>
        <w:sz w:val="2"/>
        <w:szCs w:val="2"/>
      </w:rPr>
      <mc:AlternateContent>
        <mc:Choice Requires="wps">
          <w:drawing>
            <wp:anchor distT="0" distB="0" distL="0" distR="0" simplePos="0" relativeHeight="251658244" behindDoc="0" locked="0" layoutInCell="1" allowOverlap="1" wp14:anchorId="341A4FC4" wp14:editId="03DE2967">
              <wp:simplePos x="723569" y="10495722"/>
              <wp:positionH relativeFrom="page">
                <wp:align>center</wp:align>
              </wp:positionH>
              <wp:positionV relativeFrom="page">
                <wp:align>bottom</wp:align>
              </wp:positionV>
              <wp:extent cx="726440" cy="407670"/>
              <wp:effectExtent l="0" t="0" r="16510" b="0"/>
              <wp:wrapNone/>
              <wp:docPr id="907008127"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26440" cy="407670"/>
                      </a:xfrm>
                      <a:prstGeom prst="rect">
                        <a:avLst/>
                      </a:prstGeom>
                      <a:noFill/>
                      <a:ln>
                        <a:noFill/>
                      </a:ln>
                    </wps:spPr>
                    <wps:txbx>
                      <w:txbxContent>
                        <w:p w14:paraId="0EDFCB0A" w14:textId="3A7CE60C" w:rsidR="00142816" w:rsidRPr="00142816" w:rsidRDefault="00142816" w:rsidP="00142816">
                          <w:pPr>
                            <w:rPr>
                              <w:rFonts w:ascii="Aptos" w:eastAsia="Aptos" w:hAnsi="Aptos" w:cs="Aptos"/>
                              <w:noProof/>
                              <w:color w:val="FF0000"/>
                              <w:sz w:val="28"/>
                              <w:szCs w:val="28"/>
                            </w:rPr>
                          </w:pPr>
                          <w:r w:rsidRPr="00142816">
                            <w:rPr>
                              <w:rFonts w:ascii="Aptos" w:eastAsia="Aptos" w:hAnsi="Aptos" w:cs="Aptos"/>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1A4FC4" id="_x0000_t202" coordsize="21600,21600" o:spt="202" path="m,l,21600r21600,l21600,xe">
              <v:stroke joinstyle="miter"/>
              <v:path gradientshapeok="t" o:connecttype="rect"/>
            </v:shapetype>
            <v:shape id="Text Box 4" o:spid="_x0000_s1030" type="#_x0000_t202" alt="OFFICIAL" style="position:absolute;left:0;text-align:left;margin-left:0;margin-top:0;width:57.2pt;height:32.1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" filled="f" stroked="f">
              <v:textbox style="mso-fit-shape-to-text:t" inset="0,0,0,15pt">
                <w:txbxContent>
                  <w:p w14:paraId="0EDFCB0A" w14:textId="3A7CE60C" w:rsidR="00142816" w:rsidRPr="00142816" w:rsidRDefault="00142816" w:rsidP="00142816">
                    <w:pPr>
                      <w:rPr>
                        <w:rFonts w:ascii="Aptos" w:eastAsia="Aptos" w:hAnsi="Aptos" w:cs="Aptos"/>
                        <w:noProof/>
                        <w:color w:val="FF0000"/>
                        <w:sz w:val="28"/>
                        <w:szCs w:val="28"/>
                      </w:rPr>
                    </w:pPr>
                    <w:r w:rsidRPr="00142816">
                      <w:rPr>
                        <w:rFonts w:ascii="Aptos" w:eastAsia="Aptos" w:hAnsi="Aptos" w:cs="Aptos"/>
                        <w:noProof/>
                        <w:color w:val="FF0000"/>
                        <w:sz w:val="28"/>
                        <w:szCs w:val="28"/>
                      </w:rPr>
                      <w:t>OFFICIAL</w:t>
                    </w:r>
                  </w:p>
                </w:txbxContent>
              </v:textbox>
              <w10:wrap anchorx="page" anchory="page"/>
            </v:shape>
          </w:pict>
        </mc:Fallback>
      </mc:AlternateContent>
    </w:r>
    <w:r w:rsidR="00553A95">
      <w:rPr>
        <w:sz w:val="2"/>
        <w:szCs w:val="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466A62" w14:textId="77777777" w:rsidR="0064539A" w:rsidRDefault="0064539A" w:rsidP="00185154">
      <w:r>
        <w:separator/>
      </w:r>
    </w:p>
    <w:p w14:paraId="326BEFDE" w14:textId="77777777" w:rsidR="0064539A" w:rsidRDefault="0064539A"/>
  </w:footnote>
  <w:footnote w:type="continuationSeparator" w:id="0">
    <w:p w14:paraId="6A32BDD5" w14:textId="77777777" w:rsidR="0064539A" w:rsidRDefault="0064539A" w:rsidP="00185154">
      <w:r>
        <w:continuationSeparator/>
      </w:r>
    </w:p>
    <w:p w14:paraId="37A97244" w14:textId="77777777" w:rsidR="0064539A" w:rsidRDefault="0064539A"/>
  </w:footnote>
  <w:footnote w:id="1">
    <w:p w14:paraId="1160C411" w14:textId="4B29F423" w:rsidR="00A17805" w:rsidRDefault="00A17805">
      <w:pPr>
        <w:pStyle w:val="FootnoteText"/>
      </w:pPr>
      <w:r>
        <w:rPr>
          <w:rStyle w:val="FootnoteReference"/>
        </w:rPr>
        <w:footnoteRef/>
      </w:r>
      <w:r>
        <w:t xml:space="preserve"> </w:t>
      </w:r>
      <w:hyperlink r:id="rId1" w:history="1">
        <w:r w:rsidRPr="003A4D4D">
          <w:rPr>
            <w:rStyle w:val="Hyperlink"/>
          </w:rPr>
          <w:t>https://www.asio.gov.au/director-generals-annual-threat-assessment-2025</w:t>
        </w:r>
      </w:hyperlink>
      <w:r>
        <w:t xml:space="preserve"> </w:t>
      </w:r>
    </w:p>
  </w:footnote>
  <w:footnote w:id="2">
    <w:p w14:paraId="6F07FADB" w14:textId="77777777" w:rsidR="00514BF1" w:rsidRDefault="00514BF1" w:rsidP="00514BF1">
      <w:pPr>
        <w:pStyle w:val="FootnoteText"/>
      </w:pPr>
      <w:r>
        <w:rPr>
          <w:rStyle w:val="FootnoteReference"/>
        </w:rPr>
        <w:footnoteRef/>
      </w:r>
      <w:r>
        <w:t xml:space="preserve"> </w:t>
      </w:r>
      <w:hyperlink r:id="rId2" w:history="1">
        <w:r w:rsidRPr="003A4D4D">
          <w:rPr>
            <w:rStyle w:val="Hyperlink"/>
          </w:rPr>
          <w:t>https://www.homeaffairs.gov.au/nat-security/files/foci-risk-assessment-guidance-without-appendices.pdf</w:t>
        </w:r>
      </w:hyperlink>
      <w:r>
        <w:t xml:space="preserve"> </w:t>
      </w:r>
    </w:p>
  </w:footnote>
  <w:footnote w:id="3">
    <w:p w14:paraId="66CFC144" w14:textId="360BC8A7" w:rsidR="00BE5CA0" w:rsidRDefault="00BE5CA0">
      <w:pPr>
        <w:pStyle w:val="FootnoteText"/>
      </w:pPr>
      <w:r>
        <w:rPr>
          <w:rStyle w:val="FootnoteReference"/>
        </w:rPr>
        <w:footnoteRef/>
      </w:r>
      <w:r>
        <w:t xml:space="preserve"> </w:t>
      </w:r>
      <w:hyperlink r:id="rId3" w:history="1">
        <w:r w:rsidRPr="003A4D4D">
          <w:rPr>
            <w:rStyle w:val="Hyperlink"/>
          </w:rPr>
          <w:t>https://www.asio.gov.au/director-generals-annual-threat-assessment-2025</w:t>
        </w:r>
      </w:hyperlink>
    </w:p>
    <w:p w14:paraId="4F4A3116" w14:textId="77777777" w:rsidR="00BE5CA0" w:rsidRDefault="00BE5CA0">
      <w:pPr>
        <w:pStyle w:val="FootnoteText"/>
      </w:pPr>
    </w:p>
  </w:footnote>
  <w:footnote w:id="4">
    <w:p w14:paraId="186E3ABF" w14:textId="7D94A99B" w:rsidR="000676EF" w:rsidRDefault="000676EF">
      <w:pPr>
        <w:pStyle w:val="FootnoteText"/>
      </w:pPr>
      <w:r>
        <w:rPr>
          <w:rStyle w:val="FootnoteReference"/>
        </w:rPr>
        <w:footnoteRef/>
      </w:r>
      <w:r>
        <w:t xml:space="preserve"> </w:t>
      </w:r>
      <w:hyperlink r:id="rId4" w:history="1">
        <w:r w:rsidRPr="003A4D4D">
          <w:rPr>
            <w:rStyle w:val="Hyperlink"/>
          </w:rPr>
          <w:t>https://www.cyber.gov.au/about-us/view-all-content/alerts-and-advisories/prc-state-sponsored-actors-compromise-and-maintain-persistent-access-us-critical-infrastructure</w:t>
        </w:r>
      </w:hyperlink>
    </w:p>
    <w:p w14:paraId="7B5B202E" w14:textId="77777777" w:rsidR="000676EF" w:rsidRDefault="000676EF">
      <w:pPr>
        <w:pStyle w:val="FootnoteText"/>
      </w:pPr>
    </w:p>
  </w:footnote>
  <w:footnote w:id="5">
    <w:p w14:paraId="64227718" w14:textId="4027D2D5" w:rsidR="00AF0FEE" w:rsidRDefault="00AF0FEE">
      <w:pPr>
        <w:pStyle w:val="FootnoteText"/>
      </w:pPr>
      <w:r>
        <w:rPr>
          <w:rStyle w:val="FootnoteReference"/>
        </w:rPr>
        <w:footnoteRef/>
      </w:r>
      <w:r>
        <w:t xml:space="preserve"> </w:t>
      </w:r>
      <w:hyperlink r:id="rId5" w:history="1">
        <w:r w:rsidRPr="003A4D4D">
          <w:rPr>
            <w:rStyle w:val="Hyperlink"/>
          </w:rPr>
          <w:t>https://www.cyber.gov.au/sites/default/files/2025-10/Annual%20Cyber%20Threat%20Report%202024-25.pdf</w:t>
        </w:r>
      </w:hyperlink>
    </w:p>
    <w:p w14:paraId="62B2CC43" w14:textId="77777777" w:rsidR="00AF0FEE" w:rsidRDefault="00AF0FEE">
      <w:pPr>
        <w:pStyle w:val="FootnoteText"/>
      </w:pPr>
    </w:p>
  </w:footnote>
  <w:footnote w:id="6">
    <w:p w14:paraId="6C9E9AD6" w14:textId="77777777" w:rsidR="00514BF1" w:rsidRDefault="00514BF1" w:rsidP="00514BF1">
      <w:pPr>
        <w:pStyle w:val="FootnoteText"/>
      </w:pPr>
      <w:r>
        <w:rPr>
          <w:rStyle w:val="FootnoteReference"/>
        </w:rPr>
        <w:footnoteRef/>
      </w:r>
      <w:r>
        <w:t xml:space="preserve"> </w:t>
      </w:r>
      <w:hyperlink r:id="rId6" w:history="1">
        <w:r w:rsidRPr="003A4D4D">
          <w:rPr>
            <w:rStyle w:val="Hyperlink"/>
          </w:rPr>
          <w:t>https://www.homeaffairs.gov.au/nat-security/files/foci-risk-assessment-guidance-without-appendices.pdf</w:t>
        </w:r>
      </w:hyperlink>
      <w:r>
        <w:t xml:space="preserve"> </w:t>
      </w:r>
    </w:p>
  </w:footnote>
  <w:footnote w:id="7">
    <w:p w14:paraId="2FF39B1D" w14:textId="78C34FE0" w:rsidR="007F09B9" w:rsidRDefault="007F09B9">
      <w:pPr>
        <w:pStyle w:val="FootnoteText"/>
      </w:pPr>
      <w:r>
        <w:rPr>
          <w:rStyle w:val="FootnoteReference"/>
        </w:rPr>
        <w:footnoteRef/>
      </w:r>
      <w:r>
        <w:t xml:space="preserve"> </w:t>
      </w:r>
      <w:hyperlink r:id="rId7" w:history="1">
        <w:r w:rsidRPr="003A4D4D">
          <w:rPr>
            <w:rStyle w:val="Hyperlink"/>
          </w:rPr>
          <w:t>https://www.cisc.gov.au/resources-subsite/Documents/critical-infrastructure-annual-risk-review-2024.pdf</w:t>
        </w:r>
      </w:hyperlink>
      <w:r>
        <w:t xml:space="preserve"> </w:t>
      </w:r>
    </w:p>
  </w:footnote>
  <w:footnote w:id="8">
    <w:p w14:paraId="24807457" w14:textId="3DE666C6" w:rsidR="007F09B9" w:rsidRDefault="007F09B9">
      <w:pPr>
        <w:pStyle w:val="FootnoteText"/>
      </w:pPr>
      <w:r>
        <w:rPr>
          <w:rStyle w:val="FootnoteReference"/>
        </w:rPr>
        <w:footnoteRef/>
      </w:r>
      <w:r>
        <w:t xml:space="preserve"> </w:t>
      </w:r>
      <w:hyperlink r:id="rId8" w:history="1">
        <w:r w:rsidRPr="003A4D4D">
          <w:rPr>
            <w:rStyle w:val="Hyperlink"/>
          </w:rPr>
          <w:t>https://www.reuters.com/sustainability/climate-energy/ghost-machine-rogue-communication-devices-found-chinese-inverters-2025-05-14/</w:t>
        </w:r>
      </w:hyperlink>
      <w:r>
        <w:t xml:space="preserve"> </w:t>
      </w:r>
    </w:p>
  </w:footnote>
  <w:footnote w:id="9">
    <w:p w14:paraId="334E8068" w14:textId="530952A6" w:rsidR="00AC3CFC" w:rsidRDefault="00AC3CFC">
      <w:pPr>
        <w:pStyle w:val="FootnoteText"/>
      </w:pPr>
      <w:r>
        <w:rPr>
          <w:rStyle w:val="FootnoteReference"/>
        </w:rPr>
        <w:footnoteRef/>
      </w:r>
      <w:r>
        <w:t xml:space="preserve"> </w:t>
      </w:r>
      <w:hyperlink r:id="rId9" w:history="1">
        <w:r w:rsidRPr="003A4D4D">
          <w:rPr>
            <w:rStyle w:val="Hyperlink"/>
          </w:rPr>
          <w:t>https://www.aspistrategist.org.au/its-not-just-software-physical-critical-equipment-cant-be-trusted-either/</w:t>
        </w:r>
      </w:hyperlink>
      <w:r>
        <w:t xml:space="preserve"> </w:t>
      </w:r>
    </w:p>
  </w:footnote>
  <w:footnote w:id="10">
    <w:p w14:paraId="388F7FB8" w14:textId="0688D0AA" w:rsidR="001E530E" w:rsidRDefault="001E530E">
      <w:pPr>
        <w:pStyle w:val="FootnoteText"/>
      </w:pPr>
      <w:r>
        <w:rPr>
          <w:rStyle w:val="FootnoteReference"/>
        </w:rPr>
        <w:footnoteRef/>
      </w:r>
      <w:r>
        <w:t xml:space="preserve"> </w:t>
      </w:r>
      <w:hyperlink r:id="rId10" w:history="1">
        <w:r w:rsidRPr="003A4D4D">
          <w:rPr>
            <w:rStyle w:val="Hyperlink"/>
          </w:rPr>
          <w:t>https://www.aic.gov.au/sites/default/files/2025-08/the_cost_of_espionage.pdf</w:t>
        </w:r>
      </w:hyperlink>
      <w:r>
        <w:t xml:space="preserve"> </w:t>
      </w:r>
    </w:p>
  </w:footnote>
  <w:footnote w:id="11">
    <w:p w14:paraId="5F859665" w14:textId="77777777" w:rsidR="001F44DC" w:rsidRDefault="001F44DC" w:rsidP="001F44DC">
      <w:pPr>
        <w:pStyle w:val="FootnoteText"/>
      </w:pPr>
      <w:r>
        <w:rPr>
          <w:rStyle w:val="FootnoteReference"/>
        </w:rPr>
        <w:footnoteRef/>
      </w:r>
      <w:r>
        <w:t xml:space="preserve"> </w:t>
      </w:r>
      <w:r w:rsidRPr="00F95F1F">
        <w:t>https://www.protectivesecurity.gov.au/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E6692" w14:textId="4142310D" w:rsidR="00142816" w:rsidRDefault="00142816">
    <w:pPr>
      <w:pStyle w:val="Header"/>
    </w:pPr>
    <w:r>
      <w:rPr>
        <w:noProof/>
      </w:rPr>
      <mc:AlternateContent>
        <mc:Choice Requires="wps">
          <w:drawing>
            <wp:anchor distT="0" distB="0" distL="0" distR="0" simplePos="0" relativeHeight="251658242" behindDoc="0" locked="0" layoutInCell="1" allowOverlap="1" wp14:anchorId="23608FAC" wp14:editId="054DC0D5">
              <wp:simplePos x="635" y="635"/>
              <wp:positionH relativeFrom="page">
                <wp:align>center</wp:align>
              </wp:positionH>
              <wp:positionV relativeFrom="page">
                <wp:align>top</wp:align>
              </wp:positionV>
              <wp:extent cx="726440" cy="407670"/>
              <wp:effectExtent l="0" t="0" r="16510" b="11430"/>
              <wp:wrapNone/>
              <wp:docPr id="142077451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07670"/>
                      </a:xfrm>
                      <a:prstGeom prst="rect">
                        <a:avLst/>
                      </a:prstGeom>
                      <a:noFill/>
                      <a:ln>
                        <a:noFill/>
                      </a:ln>
                    </wps:spPr>
                    <wps:txbx>
                      <w:txbxContent>
                        <w:p w14:paraId="1D5F60A6" w14:textId="6F0B908D" w:rsidR="00142816" w:rsidRPr="00142816" w:rsidRDefault="00142816" w:rsidP="00142816">
                          <w:pPr>
                            <w:rPr>
                              <w:rFonts w:ascii="Aptos" w:eastAsia="Aptos" w:hAnsi="Aptos" w:cs="Aptos"/>
                              <w:noProof/>
                              <w:color w:val="FF0000"/>
                              <w:sz w:val="28"/>
                              <w:szCs w:val="28"/>
                            </w:rPr>
                          </w:pPr>
                          <w:r w:rsidRPr="00142816">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608FAC" id="_x0000_t202" coordsize="21600,21600" o:spt="202" path="m,l,21600r21600,l21600,xe">
              <v:stroke joinstyle="miter"/>
              <v:path gradientshapeok="t" o:connecttype="rect"/>
            </v:shapetype>
            <v:shape id="Text Box 2" o:spid="_x0000_s1026" type="#_x0000_t202" alt="OFFICIAL" style="position:absolute;left:0;text-align:left;margin-left:0;margin-top:0;width:57.2pt;height:32.1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" filled="f" stroked="f">
              <v:textbox style="mso-fit-shape-to-text:t" inset="0,15pt,0,0">
                <w:txbxContent>
                  <w:p w14:paraId="1D5F60A6" w14:textId="6F0B908D" w:rsidR="00142816" w:rsidRPr="00142816" w:rsidRDefault="00142816" w:rsidP="00142816">
                    <w:pPr>
                      <w:rPr>
                        <w:rFonts w:ascii="Aptos" w:eastAsia="Aptos" w:hAnsi="Aptos" w:cs="Aptos"/>
                        <w:noProof/>
                        <w:color w:val="FF0000"/>
                        <w:sz w:val="28"/>
                        <w:szCs w:val="28"/>
                      </w:rPr>
                    </w:pPr>
                    <w:r w:rsidRPr="00142816">
                      <w:rPr>
                        <w:rFonts w:ascii="Aptos" w:eastAsia="Aptos" w:hAnsi="Aptos" w:cs="Aptos"/>
                        <w:noProof/>
                        <w:color w:val="FF0000"/>
                        <w:sz w:val="28"/>
                        <w:szCs w:val="28"/>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9F997" w14:textId="06DDA032" w:rsidR="00EC2D0D" w:rsidRDefault="009D47A6" w:rsidP="00696FC7">
    <w:pPr>
      <w:pStyle w:val="Protection"/>
      <w:spacing w:before="120"/>
      <w:jc w:val="left"/>
    </w:pPr>
    <w:r>
      <w:rPr>
        <w:noProof/>
        <w:lang w:eastAsia="en-AU"/>
      </w:rPr>
      <w:drawing>
        <wp:anchor distT="0" distB="0" distL="114300" distR="114300" simplePos="0" relativeHeight="251658240" behindDoc="1" locked="1" layoutInCell="1" allowOverlap="0" wp14:anchorId="3DDC2E0C" wp14:editId="7F575276">
          <wp:simplePos x="0" y="0"/>
          <wp:positionH relativeFrom="page">
            <wp:align>right</wp:align>
          </wp:positionH>
          <wp:positionV relativeFrom="page">
            <wp:align>top</wp:align>
          </wp:positionV>
          <wp:extent cx="10684800" cy="486000"/>
          <wp:effectExtent l="0" t="0" r="2540" b="9525"/>
          <wp:wrapTopAndBottom/>
          <wp:docPr id="784628310" name="Picture 784628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
                  <a:srcRect t="-32186" b="-2944"/>
                  <a:stretch/>
                </pic:blipFill>
                <pic:spPr bwMode="auto">
                  <a:xfrm>
                    <a:off x="0" y="0"/>
                    <a:ext cx="10684800" cy="4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88F1F2" w14:textId="77777777" w:rsidR="000F099E" w:rsidRPr="00250BFB" w:rsidRDefault="000F099E" w:rsidP="00A655C4">
    <w:pPr>
      <w:pStyle w:val="Header"/>
      <w:spacing w:after="24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D908A" w14:textId="447A1CA9" w:rsidR="00142816" w:rsidRDefault="00142816">
    <w:pPr>
      <w:pStyle w:val="Header"/>
    </w:pPr>
    <w:r>
      <w:rPr>
        <w:noProof/>
      </w:rPr>
      <mc:AlternateContent>
        <mc:Choice Requires="wps">
          <w:drawing>
            <wp:anchor distT="0" distB="0" distL="0" distR="0" simplePos="0" relativeHeight="251658241" behindDoc="0" locked="0" layoutInCell="1" allowOverlap="1" wp14:anchorId="1BAA660D" wp14:editId="77224C7E">
              <wp:simplePos x="723569" y="0"/>
              <wp:positionH relativeFrom="page">
                <wp:align>center</wp:align>
              </wp:positionH>
              <wp:positionV relativeFrom="page">
                <wp:align>top</wp:align>
              </wp:positionV>
              <wp:extent cx="726440" cy="407670"/>
              <wp:effectExtent l="0" t="0" r="16510" b="11430"/>
              <wp:wrapNone/>
              <wp:docPr id="129132816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07670"/>
                      </a:xfrm>
                      <a:prstGeom prst="rect">
                        <a:avLst/>
                      </a:prstGeom>
                      <a:noFill/>
                      <a:ln>
                        <a:noFill/>
                      </a:ln>
                    </wps:spPr>
                    <wps:txbx>
                      <w:txbxContent>
                        <w:p w14:paraId="06A56C73" w14:textId="133E28C9" w:rsidR="00142816" w:rsidRPr="00142816" w:rsidRDefault="00142816" w:rsidP="00142816">
                          <w:pPr>
                            <w:rPr>
                              <w:rFonts w:ascii="Aptos" w:eastAsia="Aptos" w:hAnsi="Aptos" w:cs="Aptos"/>
                              <w:noProof/>
                              <w:color w:val="FF0000"/>
                              <w:sz w:val="28"/>
                              <w:szCs w:val="28"/>
                            </w:rPr>
                          </w:pPr>
                          <w:r w:rsidRPr="00142816">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AA660D" id="_x0000_t202" coordsize="21600,21600" o:spt="202" path="m,l,21600r21600,l21600,xe">
              <v:stroke joinstyle="miter"/>
              <v:path gradientshapeok="t" o:connecttype="rect"/>
            </v:shapetype>
            <v:shape id="Text Box 1" o:spid="_x0000_s1029" type="#_x0000_t202" alt="OFFICIAL" style="position:absolute;left:0;text-align:left;margin-left:0;margin-top:0;width:57.2pt;height:32.1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" filled="f" stroked="f">
              <v:textbox style="mso-fit-shape-to-text:t" inset="0,15pt,0,0">
                <w:txbxContent>
                  <w:p w14:paraId="06A56C73" w14:textId="133E28C9" w:rsidR="00142816" w:rsidRPr="00142816" w:rsidRDefault="00142816" w:rsidP="00142816">
                    <w:pPr>
                      <w:rPr>
                        <w:rFonts w:ascii="Aptos" w:eastAsia="Aptos" w:hAnsi="Aptos" w:cs="Aptos"/>
                        <w:noProof/>
                        <w:color w:val="FF0000"/>
                        <w:sz w:val="28"/>
                        <w:szCs w:val="28"/>
                      </w:rPr>
                    </w:pPr>
                    <w:r w:rsidRPr="00142816">
                      <w:rPr>
                        <w:rFonts w:ascii="Aptos" w:eastAsia="Aptos" w:hAnsi="Aptos" w:cs="Aptos"/>
                        <w:noProof/>
                        <w:color w:val="FF0000"/>
                        <w:sz w:val="28"/>
                        <w:szCs w:val="28"/>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4AB8DFC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1842F8F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D9303B"/>
    <w:multiLevelType w:val="multilevel"/>
    <w:tmpl w:val="2B8E736C"/>
    <w:styleLink w:val="Appendices"/>
    <w:lvl w:ilvl="0">
      <w:start w:val="1"/>
      <w:numFmt w:val="decimal"/>
      <w:pStyle w:val="Appendix1"/>
      <w:suff w:val="space"/>
      <w:lvlText w:val="Appendix %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01FB28C5"/>
    <w:multiLevelType w:val="multilevel"/>
    <w:tmpl w:val="11C64328"/>
    <w:styleLink w:val="ListParagraph"/>
    <w:lvl w:ilvl="0">
      <w:start w:val="1"/>
      <w:numFmt w:val="none"/>
      <w:suff w:val="nothing"/>
      <w:lvlText w:val=""/>
      <w:lvlJc w:val="left"/>
      <w:pPr>
        <w:ind w:left="284" w:firstLine="0"/>
      </w:pPr>
      <w:rPr>
        <w:rFonts w:asciiTheme="minorHAnsi" w:hAnsiTheme="minorHAnsi" w:hint="default"/>
        <w:color w:val="auto"/>
      </w:rPr>
    </w:lvl>
    <w:lvl w:ilvl="1">
      <w:start w:val="1"/>
      <w:numFmt w:val="none"/>
      <w:suff w:val="nothing"/>
      <w:lvlText w:val=""/>
      <w:lvlJc w:val="left"/>
      <w:pPr>
        <w:ind w:left="567" w:firstLine="0"/>
      </w:pPr>
      <w:rPr>
        <w:rFonts w:asciiTheme="minorHAnsi" w:hAnsiTheme="minorHAnsi" w:hint="default"/>
        <w:color w:val="auto"/>
      </w:rPr>
    </w:lvl>
    <w:lvl w:ilvl="2">
      <w:start w:val="1"/>
      <w:numFmt w:val="none"/>
      <w:suff w:val="nothing"/>
      <w:lvlText w:val=""/>
      <w:lvlJc w:val="left"/>
      <w:pPr>
        <w:ind w:left="851" w:firstLine="0"/>
      </w:pPr>
      <w:rPr>
        <w:rFonts w:asciiTheme="minorHAnsi" w:hAnsiTheme="minorHAnsi" w:hint="default"/>
        <w:color w:val="auto"/>
      </w:rPr>
    </w:lvl>
    <w:lvl w:ilvl="3">
      <w:start w:val="1"/>
      <w:numFmt w:val="none"/>
      <w:suff w:val="nothing"/>
      <w:lvlText w:val=""/>
      <w:lvlJc w:val="left"/>
      <w:pPr>
        <w:ind w:left="1134" w:firstLine="0"/>
      </w:pPr>
      <w:rPr>
        <w:rFonts w:asciiTheme="minorHAnsi" w:hAnsiTheme="minorHAnsi" w:hint="default"/>
        <w:color w:val="auto"/>
      </w:rPr>
    </w:lvl>
    <w:lvl w:ilvl="4">
      <w:start w:val="1"/>
      <w:numFmt w:val="none"/>
      <w:suff w:val="nothing"/>
      <w:lvlText w:val=""/>
      <w:lvlJc w:val="left"/>
      <w:pPr>
        <w:ind w:left="1418" w:firstLine="0"/>
      </w:pPr>
      <w:rPr>
        <w:rFonts w:asciiTheme="minorHAnsi" w:hAnsiTheme="minorHAnsi" w:hint="default"/>
        <w:color w:val="auto"/>
      </w:rPr>
    </w:lvl>
    <w:lvl w:ilvl="5">
      <w:start w:val="1"/>
      <w:numFmt w:val="none"/>
      <w:suff w:val="nothing"/>
      <w:lvlText w:val=""/>
      <w:lvlJc w:val="left"/>
      <w:pPr>
        <w:ind w:left="1701" w:firstLine="0"/>
      </w:pPr>
      <w:rPr>
        <w:rFonts w:asciiTheme="minorHAnsi" w:hAnsiTheme="minorHAnsi" w:hint="default"/>
        <w:color w:val="auto"/>
      </w:rPr>
    </w:lvl>
    <w:lvl w:ilvl="6">
      <w:start w:val="1"/>
      <w:numFmt w:val="none"/>
      <w:suff w:val="nothing"/>
      <w:lvlText w:val=""/>
      <w:lvlJc w:val="left"/>
      <w:pPr>
        <w:ind w:left="1985" w:firstLine="0"/>
      </w:pPr>
      <w:rPr>
        <w:rFonts w:hint="default"/>
        <w:color w:val="000000"/>
      </w:rPr>
    </w:lvl>
    <w:lvl w:ilvl="7">
      <w:start w:val="1"/>
      <w:numFmt w:val="none"/>
      <w:suff w:val="nothing"/>
      <w:lvlText w:val=""/>
      <w:lvlJc w:val="left"/>
      <w:pPr>
        <w:ind w:left="2268" w:firstLine="0"/>
      </w:pPr>
      <w:rPr>
        <w:rFonts w:hint="default"/>
      </w:rPr>
    </w:lvl>
    <w:lvl w:ilvl="8">
      <w:numFmt w:val="none"/>
      <w:lvlText w:val=""/>
      <w:lvlJc w:val="left"/>
      <w:pPr>
        <w:tabs>
          <w:tab w:val="num" w:pos="3123"/>
        </w:tabs>
        <w:ind w:left="2552" w:firstLine="0"/>
      </w:pPr>
      <w:rPr>
        <w:rFonts w:hint="default"/>
      </w:rPr>
    </w:lvl>
  </w:abstractNum>
  <w:abstractNum w:abstractNumId="4" w15:restartNumberingAfterBreak="0">
    <w:nsid w:val="048A48E0"/>
    <w:multiLevelType w:val="hybridMultilevel"/>
    <w:tmpl w:val="FF1EB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FA4D05"/>
    <w:multiLevelType w:val="multilevel"/>
    <w:tmpl w:val="BDFC207A"/>
    <w:numStyleLink w:val="ListTableNumber"/>
  </w:abstractNum>
  <w:abstractNum w:abstractNumId="6" w15:restartNumberingAfterBreak="0">
    <w:nsid w:val="07284AE9"/>
    <w:multiLevelType w:val="multilevel"/>
    <w:tmpl w:val="3F1EBC72"/>
    <w:styleLink w:val="ListAlpha"/>
    <w:lvl w:ilvl="0">
      <w:start w:val="1"/>
      <w:numFmt w:val="upperLetter"/>
      <w:lvlText w:val="%1."/>
      <w:lvlJc w:val="left"/>
      <w:pPr>
        <w:tabs>
          <w:tab w:val="num" w:pos="284"/>
        </w:tabs>
        <w:ind w:left="567" w:hanging="567"/>
      </w:pPr>
      <w:rPr>
        <w:rFonts w:asciiTheme="minorHAnsi" w:hAnsiTheme="minorHAnsi" w:hint="default"/>
        <w:color w:val="auto"/>
        <w:sz w:val="20"/>
      </w:rPr>
    </w:lvl>
    <w:lvl w:ilvl="1">
      <w:start w:val="1"/>
      <w:numFmt w:val="lowerRoman"/>
      <w:lvlText w:val="%2."/>
      <w:lvlJc w:val="left"/>
      <w:pPr>
        <w:tabs>
          <w:tab w:val="num" w:pos="1134"/>
        </w:tabs>
        <w:ind w:left="1134" w:hanging="567"/>
      </w:pPr>
      <w:rPr>
        <w:rFonts w:asciiTheme="minorHAnsi" w:hAnsiTheme="minorHAnsi" w:hint="default"/>
        <w:color w:val="auto"/>
        <w:sz w:val="22"/>
      </w:rPr>
    </w:lvl>
    <w:lvl w:ilvl="2">
      <w:start w:val="1"/>
      <w:numFmt w:val="lowerLetter"/>
      <w:lvlText w:val="%3."/>
      <w:lvlJc w:val="left"/>
      <w:pPr>
        <w:tabs>
          <w:tab w:val="num" w:pos="1701"/>
        </w:tabs>
        <w:ind w:left="1701" w:hanging="567"/>
      </w:pPr>
      <w:rPr>
        <w:rFonts w:asciiTheme="minorHAnsi" w:hAnsiTheme="minorHAnsi" w:hint="default"/>
        <w:color w:val="auto"/>
        <w:sz w:val="20"/>
      </w:rPr>
    </w:lvl>
    <w:lvl w:ilvl="3">
      <w:start w:val="1"/>
      <w:numFmt w:val="upperRoman"/>
      <w:lvlText w:val="%4."/>
      <w:lvlJc w:val="left"/>
      <w:pPr>
        <w:tabs>
          <w:tab w:val="num" w:pos="2268"/>
        </w:tabs>
        <w:ind w:left="2268" w:hanging="567"/>
      </w:pPr>
      <w:rPr>
        <w:rFonts w:asciiTheme="minorHAnsi" w:hAnsiTheme="minorHAnsi" w:hint="default"/>
        <w:color w:val="auto"/>
        <w:sz w:val="20"/>
      </w:rPr>
    </w:lvl>
    <w:lvl w:ilvl="4">
      <w:start w:val="1"/>
      <w:numFmt w:val="decimal"/>
      <w:lvlText w:val="%5."/>
      <w:lvlJc w:val="left"/>
      <w:pPr>
        <w:tabs>
          <w:tab w:val="num" w:pos="2835"/>
        </w:tabs>
        <w:ind w:left="2835" w:hanging="567"/>
      </w:pPr>
      <w:rPr>
        <w:rFonts w:asciiTheme="minorHAnsi" w:hAnsiTheme="minorHAnsi" w:hint="default"/>
        <w:color w:val="auto"/>
        <w:sz w:val="20"/>
      </w:rPr>
    </w:lvl>
    <w:lvl w:ilvl="5">
      <w:start w:val="1"/>
      <w:numFmt w:val="lowerLetter"/>
      <w:lvlText w:val="%6."/>
      <w:lvlJc w:val="left"/>
      <w:pPr>
        <w:tabs>
          <w:tab w:val="num" w:pos="3402"/>
        </w:tabs>
        <w:ind w:left="3402" w:hanging="567"/>
      </w:pPr>
      <w:rPr>
        <w:rFonts w:asciiTheme="minorHAnsi" w:hAnsiTheme="minorHAnsi" w:hint="default"/>
        <w:color w:val="auto"/>
        <w:sz w:val="20"/>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7" w15:restartNumberingAfterBreak="0">
    <w:nsid w:val="08D457C5"/>
    <w:multiLevelType w:val="multilevel"/>
    <w:tmpl w:val="624681D2"/>
    <w:numStyleLink w:val="ListTableBullet"/>
  </w:abstractNum>
  <w:abstractNum w:abstractNumId="8" w15:restartNumberingAfterBreak="0">
    <w:nsid w:val="0CCD4DAA"/>
    <w:multiLevelType w:val="multilevel"/>
    <w:tmpl w:val="624681D2"/>
    <w:styleLink w:val="ListTableBullet"/>
    <w:lvl w:ilvl="0">
      <w:start w:val="1"/>
      <w:numFmt w:val="bullet"/>
      <w:pStyle w:val="TableBullet"/>
      <w:lvlText w:val=""/>
      <w:lvlJc w:val="left"/>
      <w:pPr>
        <w:tabs>
          <w:tab w:val="num" w:pos="284"/>
        </w:tabs>
        <w:ind w:left="284" w:hanging="284"/>
      </w:pPr>
      <w:rPr>
        <w:rFonts w:ascii="Symbol" w:hAnsi="Symbol" w:hint="default"/>
        <w:color w:val="auto"/>
        <w:sz w:val="20"/>
      </w:rPr>
    </w:lvl>
    <w:lvl w:ilvl="1">
      <w:start w:val="1"/>
      <w:numFmt w:val="bullet"/>
      <w:pStyle w:val="TableBullet2"/>
      <w:lvlText w:val="–"/>
      <w:lvlJc w:val="left"/>
      <w:pPr>
        <w:tabs>
          <w:tab w:val="num" w:pos="567"/>
        </w:tabs>
        <w:ind w:left="567" w:hanging="283"/>
      </w:pPr>
      <w:rPr>
        <w:rFonts w:ascii="Arial" w:hAnsi="Arial" w:cs="Times New Roman" w:hint="default"/>
        <w:color w:val="auto"/>
        <w:sz w:val="20"/>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9" w15:restartNumberingAfterBreak="0">
    <w:nsid w:val="0D7A20D7"/>
    <w:multiLevelType w:val="multilevel"/>
    <w:tmpl w:val="4364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275A9E"/>
    <w:multiLevelType w:val="multilevel"/>
    <w:tmpl w:val="61F8D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665C30"/>
    <w:multiLevelType w:val="multilevel"/>
    <w:tmpl w:val="BA8A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262B6F"/>
    <w:multiLevelType w:val="multilevel"/>
    <w:tmpl w:val="E8B89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91411E"/>
    <w:multiLevelType w:val="multilevel"/>
    <w:tmpl w:val="CB3A0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741D40"/>
    <w:multiLevelType w:val="multilevel"/>
    <w:tmpl w:val="814A7C94"/>
    <w:styleLink w:val="ListNumber"/>
    <w:lvl w:ilvl="0">
      <w:start w:val="1"/>
      <w:numFmt w:val="decimal"/>
      <w:lvlText w:val="%1."/>
      <w:lvlJc w:val="left"/>
      <w:pPr>
        <w:tabs>
          <w:tab w:val="num" w:pos="567"/>
        </w:tabs>
        <w:ind w:left="567" w:hanging="567"/>
      </w:pPr>
      <w:rPr>
        <w:rFonts w:asciiTheme="minorHAnsi" w:hAnsiTheme="minorHAnsi"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134"/>
        </w:tabs>
        <w:ind w:left="1134" w:hanging="567"/>
      </w:pPr>
      <w:rPr>
        <w:rFonts w:asciiTheme="minorHAnsi" w:hAnsiTheme="minorHAnsi" w:hint="default"/>
        <w:b w:val="0"/>
        <w:i w:val="0"/>
        <w:color w:val="auto"/>
        <w:sz w:val="20"/>
      </w:rPr>
    </w:lvl>
    <w:lvl w:ilvl="2">
      <w:start w:val="1"/>
      <w:numFmt w:val="lowerRoman"/>
      <w:lvlText w:val="%3."/>
      <w:lvlJc w:val="left"/>
      <w:pPr>
        <w:tabs>
          <w:tab w:val="num" w:pos="1701"/>
        </w:tabs>
        <w:ind w:left="1701" w:hanging="567"/>
      </w:pPr>
      <w:rPr>
        <w:rFonts w:asciiTheme="minorHAnsi" w:hAnsiTheme="minorHAnsi" w:hint="default"/>
        <w:b w:val="0"/>
        <w:i w:val="0"/>
        <w:color w:val="auto"/>
        <w:sz w:val="20"/>
      </w:rPr>
    </w:lvl>
    <w:lvl w:ilvl="3">
      <w:start w:val="1"/>
      <w:numFmt w:val="decimal"/>
      <w:lvlText w:val="%4."/>
      <w:lvlJc w:val="left"/>
      <w:pPr>
        <w:tabs>
          <w:tab w:val="num" w:pos="2268"/>
        </w:tabs>
        <w:ind w:left="2268" w:hanging="567"/>
      </w:pPr>
      <w:rPr>
        <w:rFonts w:asciiTheme="minorHAnsi" w:hAnsiTheme="minorHAnsi" w:hint="default"/>
        <w:b w:val="0"/>
        <w:i w:val="0"/>
        <w:color w:val="auto"/>
        <w:sz w:val="20"/>
      </w:rPr>
    </w:lvl>
    <w:lvl w:ilvl="4">
      <w:start w:val="1"/>
      <w:numFmt w:val="lowerLetter"/>
      <w:lvlText w:val="%5."/>
      <w:lvlJc w:val="left"/>
      <w:pPr>
        <w:tabs>
          <w:tab w:val="num" w:pos="2835"/>
        </w:tabs>
        <w:ind w:left="2835" w:hanging="567"/>
      </w:pPr>
      <w:rPr>
        <w:rFonts w:asciiTheme="minorHAnsi" w:hAnsiTheme="minorHAnsi" w:hint="default"/>
        <w:b w:val="0"/>
        <w:i w:val="0"/>
        <w:color w:val="auto"/>
        <w:sz w:val="20"/>
      </w:rPr>
    </w:lvl>
    <w:lvl w:ilvl="5">
      <w:start w:val="1"/>
      <w:numFmt w:val="lowerRoman"/>
      <w:lvlText w:val="%6."/>
      <w:lvlJc w:val="left"/>
      <w:pPr>
        <w:tabs>
          <w:tab w:val="num" w:pos="3402"/>
        </w:tabs>
        <w:ind w:left="3402" w:hanging="567"/>
      </w:pPr>
      <w:rPr>
        <w:rFonts w:asciiTheme="minorHAnsi" w:hAnsiTheme="minorHAnsi" w:hint="default"/>
        <w:b w:val="0"/>
        <w:i w:val="0"/>
        <w:color w:val="auto"/>
        <w:sz w:val="20"/>
      </w:rPr>
    </w:lvl>
    <w:lvl w:ilvl="6">
      <w:start w:val="1"/>
      <w:numFmt w:val="none"/>
      <w:suff w:val="nothing"/>
      <w:lvlText w:val="%7"/>
      <w:lvlJc w:val="left"/>
      <w:pPr>
        <w:ind w:left="-1417" w:firstLine="0"/>
      </w:pPr>
      <w:rPr>
        <w:rFonts w:hint="default"/>
        <w:color w:val="E1001A"/>
      </w:rPr>
    </w:lvl>
    <w:lvl w:ilvl="7">
      <w:start w:val="1"/>
      <w:numFmt w:val="none"/>
      <w:suff w:val="nothing"/>
      <w:lvlText w:val="%8"/>
      <w:lvlJc w:val="left"/>
      <w:pPr>
        <w:ind w:left="-1417" w:firstLine="0"/>
      </w:pPr>
      <w:rPr>
        <w:rFonts w:hint="default"/>
        <w:color w:val="E1001A"/>
        <w:sz w:val="20"/>
      </w:rPr>
    </w:lvl>
    <w:lvl w:ilvl="8">
      <w:start w:val="1"/>
      <w:numFmt w:val="none"/>
      <w:suff w:val="nothing"/>
      <w:lvlText w:val="%9"/>
      <w:lvlJc w:val="left"/>
      <w:pPr>
        <w:ind w:left="-1417" w:firstLine="0"/>
      </w:pPr>
      <w:rPr>
        <w:rFonts w:hint="default"/>
        <w:color w:val="E1001A"/>
      </w:rPr>
    </w:lvl>
  </w:abstractNum>
  <w:abstractNum w:abstractNumId="15" w15:restartNumberingAfterBreak="0">
    <w:nsid w:val="26026413"/>
    <w:multiLevelType w:val="multilevel"/>
    <w:tmpl w:val="0BB4736C"/>
    <w:lvl w:ilvl="0">
      <w:start w:val="1"/>
      <w:numFmt w:val="bullet"/>
      <w:pStyle w:val="ListBullet"/>
      <w:lvlText w:val=""/>
      <w:lvlJc w:val="left"/>
      <w:pPr>
        <w:ind w:left="568" w:hanging="284"/>
      </w:pPr>
      <w:rPr>
        <w:rFonts w:ascii="Symbol" w:hAnsi="Symbol" w:hint="default"/>
      </w:rPr>
    </w:lvl>
    <w:lvl w:ilvl="1">
      <w:start w:val="1"/>
      <w:numFmt w:val="bullet"/>
      <w:pStyle w:val="ListBullet2"/>
      <w:lvlText w:val="‒"/>
      <w:lvlJc w:val="left"/>
      <w:pPr>
        <w:ind w:left="852" w:hanging="284"/>
      </w:pPr>
      <w:rPr>
        <w:rFonts w:ascii="Calibri" w:hAnsi="Calibri" w:hint="default"/>
      </w:rPr>
    </w:lvl>
    <w:lvl w:ilvl="2">
      <w:start w:val="1"/>
      <w:numFmt w:val="bullet"/>
      <w:pStyle w:val="ListBullet3"/>
      <w:lvlText w:val="o"/>
      <w:lvlJc w:val="left"/>
      <w:pPr>
        <w:ind w:left="1136" w:hanging="284"/>
      </w:pPr>
      <w:rPr>
        <w:rFonts w:ascii="Courier New" w:hAnsi="Courier New" w:hint="default"/>
      </w:rPr>
    </w:lvl>
    <w:lvl w:ilvl="3">
      <w:start w:val="1"/>
      <w:numFmt w:val="bullet"/>
      <w:pStyle w:val="ListBullet4"/>
      <w:lvlText w:val=""/>
      <w:lvlJc w:val="left"/>
      <w:pPr>
        <w:ind w:left="1420" w:hanging="284"/>
      </w:pPr>
      <w:rPr>
        <w:rFonts w:ascii="Wingdings" w:hAnsi="Wingdings" w:hint="default"/>
      </w:rPr>
    </w:lvl>
    <w:lvl w:ilvl="4">
      <w:start w:val="1"/>
      <w:numFmt w:val="bullet"/>
      <w:lvlText w:val=""/>
      <w:lvlJc w:val="left"/>
      <w:pPr>
        <w:ind w:left="1704" w:hanging="284"/>
      </w:pPr>
      <w:rPr>
        <w:rFonts w:ascii="Symbol" w:hAnsi="Symbol" w:hint="default"/>
      </w:rPr>
    </w:lvl>
    <w:lvl w:ilvl="5">
      <w:start w:val="1"/>
      <w:numFmt w:val="lowerRoman"/>
      <w:lvlText w:val="(%6)"/>
      <w:lvlJc w:val="left"/>
      <w:pPr>
        <w:ind w:left="1988" w:hanging="284"/>
      </w:pPr>
      <w:rPr>
        <w:rFonts w:hint="default"/>
      </w:rPr>
    </w:lvl>
    <w:lvl w:ilvl="6">
      <w:start w:val="1"/>
      <w:numFmt w:val="decimal"/>
      <w:lvlText w:val="%7."/>
      <w:lvlJc w:val="left"/>
      <w:pPr>
        <w:ind w:left="2272" w:hanging="284"/>
      </w:pPr>
      <w:rPr>
        <w:rFonts w:hint="default"/>
      </w:rPr>
    </w:lvl>
    <w:lvl w:ilvl="7">
      <w:start w:val="1"/>
      <w:numFmt w:val="lowerLetter"/>
      <w:lvlText w:val="%8."/>
      <w:lvlJc w:val="left"/>
      <w:pPr>
        <w:ind w:left="2556" w:hanging="284"/>
      </w:pPr>
      <w:rPr>
        <w:rFonts w:hint="default"/>
      </w:rPr>
    </w:lvl>
    <w:lvl w:ilvl="8">
      <w:start w:val="1"/>
      <w:numFmt w:val="lowerRoman"/>
      <w:lvlText w:val="%9."/>
      <w:lvlJc w:val="left"/>
      <w:pPr>
        <w:ind w:left="2840" w:hanging="284"/>
      </w:pPr>
      <w:rPr>
        <w:rFonts w:hint="default"/>
      </w:rPr>
    </w:lvl>
  </w:abstractNum>
  <w:abstractNum w:abstractNumId="16" w15:restartNumberingAfterBreak="0">
    <w:nsid w:val="264B44BC"/>
    <w:multiLevelType w:val="multilevel"/>
    <w:tmpl w:val="681C9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C30B11"/>
    <w:multiLevelType w:val="multilevel"/>
    <w:tmpl w:val="8BEA3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223A26"/>
    <w:multiLevelType w:val="hybridMultilevel"/>
    <w:tmpl w:val="FFB462B2"/>
    <w:lvl w:ilvl="0" w:tplc="AD96FA34">
      <w:start w:val="1"/>
      <w:numFmt w:val="decimal"/>
      <w:lvlText w:val="%1)"/>
      <w:lvlJc w:val="left"/>
      <w:pPr>
        <w:ind w:left="1020" w:hanging="360"/>
      </w:pPr>
    </w:lvl>
    <w:lvl w:ilvl="1" w:tplc="5FC0D14E">
      <w:start w:val="1"/>
      <w:numFmt w:val="decimal"/>
      <w:lvlText w:val="%2)"/>
      <w:lvlJc w:val="left"/>
      <w:pPr>
        <w:ind w:left="1020" w:hanging="360"/>
      </w:pPr>
    </w:lvl>
    <w:lvl w:ilvl="2" w:tplc="59BC127A">
      <w:start w:val="1"/>
      <w:numFmt w:val="decimal"/>
      <w:lvlText w:val="%3)"/>
      <w:lvlJc w:val="left"/>
      <w:pPr>
        <w:ind w:left="1020" w:hanging="360"/>
      </w:pPr>
    </w:lvl>
    <w:lvl w:ilvl="3" w:tplc="0E86797E">
      <w:start w:val="1"/>
      <w:numFmt w:val="decimal"/>
      <w:lvlText w:val="%4)"/>
      <w:lvlJc w:val="left"/>
      <w:pPr>
        <w:ind w:left="1020" w:hanging="360"/>
      </w:pPr>
    </w:lvl>
    <w:lvl w:ilvl="4" w:tplc="675EDDE8">
      <w:start w:val="1"/>
      <w:numFmt w:val="decimal"/>
      <w:lvlText w:val="%5)"/>
      <w:lvlJc w:val="left"/>
      <w:pPr>
        <w:ind w:left="1020" w:hanging="360"/>
      </w:pPr>
    </w:lvl>
    <w:lvl w:ilvl="5" w:tplc="AFE43C96">
      <w:start w:val="1"/>
      <w:numFmt w:val="decimal"/>
      <w:lvlText w:val="%6)"/>
      <w:lvlJc w:val="left"/>
      <w:pPr>
        <w:ind w:left="1020" w:hanging="360"/>
      </w:pPr>
    </w:lvl>
    <w:lvl w:ilvl="6" w:tplc="9028CAEC">
      <w:start w:val="1"/>
      <w:numFmt w:val="decimal"/>
      <w:lvlText w:val="%7)"/>
      <w:lvlJc w:val="left"/>
      <w:pPr>
        <w:ind w:left="1020" w:hanging="360"/>
      </w:pPr>
    </w:lvl>
    <w:lvl w:ilvl="7" w:tplc="56D47E3E">
      <w:start w:val="1"/>
      <w:numFmt w:val="decimal"/>
      <w:lvlText w:val="%8)"/>
      <w:lvlJc w:val="left"/>
      <w:pPr>
        <w:ind w:left="1020" w:hanging="360"/>
      </w:pPr>
    </w:lvl>
    <w:lvl w:ilvl="8" w:tplc="7C66C844">
      <w:start w:val="1"/>
      <w:numFmt w:val="decimal"/>
      <w:lvlText w:val="%9)"/>
      <w:lvlJc w:val="left"/>
      <w:pPr>
        <w:ind w:left="1020" w:hanging="360"/>
      </w:pPr>
    </w:lvl>
  </w:abstractNum>
  <w:abstractNum w:abstractNumId="19" w15:restartNumberingAfterBreak="0">
    <w:nsid w:val="2CF572F2"/>
    <w:multiLevelType w:val="hybridMultilevel"/>
    <w:tmpl w:val="12106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01626D"/>
    <w:multiLevelType w:val="multilevel"/>
    <w:tmpl w:val="58704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B778D5"/>
    <w:multiLevelType w:val="hybridMultilevel"/>
    <w:tmpl w:val="AF664E1E"/>
    <w:lvl w:ilvl="0" w:tplc="6BA05632">
      <w:start w:val="1"/>
      <w:numFmt w:val="bullet"/>
      <w:lvlText w:val=""/>
      <w:lvlJc w:val="left"/>
      <w:pPr>
        <w:ind w:left="1740" w:hanging="360"/>
      </w:pPr>
      <w:rPr>
        <w:rFonts w:ascii="Symbol" w:hAnsi="Symbol"/>
      </w:rPr>
    </w:lvl>
    <w:lvl w:ilvl="1" w:tplc="41608D90">
      <w:start w:val="1"/>
      <w:numFmt w:val="bullet"/>
      <w:lvlText w:val=""/>
      <w:lvlJc w:val="left"/>
      <w:pPr>
        <w:ind w:left="1740" w:hanging="360"/>
      </w:pPr>
      <w:rPr>
        <w:rFonts w:ascii="Symbol" w:hAnsi="Symbol"/>
      </w:rPr>
    </w:lvl>
    <w:lvl w:ilvl="2" w:tplc="56F432C6">
      <w:start w:val="1"/>
      <w:numFmt w:val="bullet"/>
      <w:lvlText w:val=""/>
      <w:lvlJc w:val="left"/>
      <w:pPr>
        <w:ind w:left="1740" w:hanging="360"/>
      </w:pPr>
      <w:rPr>
        <w:rFonts w:ascii="Symbol" w:hAnsi="Symbol"/>
      </w:rPr>
    </w:lvl>
    <w:lvl w:ilvl="3" w:tplc="630E86B0">
      <w:start w:val="1"/>
      <w:numFmt w:val="bullet"/>
      <w:lvlText w:val=""/>
      <w:lvlJc w:val="left"/>
      <w:pPr>
        <w:ind w:left="1740" w:hanging="360"/>
      </w:pPr>
      <w:rPr>
        <w:rFonts w:ascii="Symbol" w:hAnsi="Symbol"/>
      </w:rPr>
    </w:lvl>
    <w:lvl w:ilvl="4" w:tplc="77D24020">
      <w:start w:val="1"/>
      <w:numFmt w:val="bullet"/>
      <w:lvlText w:val=""/>
      <w:lvlJc w:val="left"/>
      <w:pPr>
        <w:ind w:left="1740" w:hanging="360"/>
      </w:pPr>
      <w:rPr>
        <w:rFonts w:ascii="Symbol" w:hAnsi="Symbol"/>
      </w:rPr>
    </w:lvl>
    <w:lvl w:ilvl="5" w:tplc="85FA63C2">
      <w:start w:val="1"/>
      <w:numFmt w:val="bullet"/>
      <w:lvlText w:val=""/>
      <w:lvlJc w:val="left"/>
      <w:pPr>
        <w:ind w:left="1740" w:hanging="360"/>
      </w:pPr>
      <w:rPr>
        <w:rFonts w:ascii="Symbol" w:hAnsi="Symbol"/>
      </w:rPr>
    </w:lvl>
    <w:lvl w:ilvl="6" w:tplc="84C4BF92">
      <w:start w:val="1"/>
      <w:numFmt w:val="bullet"/>
      <w:lvlText w:val=""/>
      <w:lvlJc w:val="left"/>
      <w:pPr>
        <w:ind w:left="1740" w:hanging="360"/>
      </w:pPr>
      <w:rPr>
        <w:rFonts w:ascii="Symbol" w:hAnsi="Symbol"/>
      </w:rPr>
    </w:lvl>
    <w:lvl w:ilvl="7" w:tplc="F5127654">
      <w:start w:val="1"/>
      <w:numFmt w:val="bullet"/>
      <w:lvlText w:val=""/>
      <w:lvlJc w:val="left"/>
      <w:pPr>
        <w:ind w:left="1740" w:hanging="360"/>
      </w:pPr>
      <w:rPr>
        <w:rFonts w:ascii="Symbol" w:hAnsi="Symbol"/>
      </w:rPr>
    </w:lvl>
    <w:lvl w:ilvl="8" w:tplc="0D549292">
      <w:start w:val="1"/>
      <w:numFmt w:val="bullet"/>
      <w:lvlText w:val=""/>
      <w:lvlJc w:val="left"/>
      <w:pPr>
        <w:ind w:left="1740" w:hanging="360"/>
      </w:pPr>
      <w:rPr>
        <w:rFonts w:ascii="Symbol" w:hAnsi="Symbol"/>
      </w:rPr>
    </w:lvl>
  </w:abstractNum>
  <w:abstractNum w:abstractNumId="22" w15:restartNumberingAfterBreak="0">
    <w:nsid w:val="353912ED"/>
    <w:multiLevelType w:val="multilevel"/>
    <w:tmpl w:val="7228EA06"/>
    <w:styleLink w:val="ListBullet0"/>
    <w:lvl w:ilvl="0">
      <w:start w:val="1"/>
      <w:numFmt w:val="bullet"/>
      <w:lvlText w:val=""/>
      <w:lvlJc w:val="left"/>
      <w:pPr>
        <w:tabs>
          <w:tab w:val="num" w:pos="284"/>
        </w:tabs>
        <w:ind w:left="284" w:hanging="284"/>
      </w:pPr>
      <w:rPr>
        <w:rFonts w:ascii="Symbol" w:hAnsi="Symbol" w:hint="default"/>
        <w:b w:val="0"/>
        <w:i w:val="0"/>
        <w:color w:val="auto"/>
        <w:sz w:val="20"/>
        <w:szCs w:val="20"/>
      </w:rPr>
    </w:lvl>
    <w:lvl w:ilvl="1">
      <w:start w:val="1"/>
      <w:numFmt w:val="bullet"/>
      <w:lvlText w:val="○"/>
      <w:lvlJc w:val="left"/>
      <w:pPr>
        <w:tabs>
          <w:tab w:val="num" w:pos="567"/>
        </w:tabs>
        <w:ind w:left="567" w:hanging="283"/>
      </w:pPr>
      <w:rPr>
        <w:rFonts w:ascii="Courier New" w:hAnsi="Courier New" w:hint="default"/>
        <w:caps w:val="0"/>
        <w:strike w:val="0"/>
        <w:dstrike w:val="0"/>
        <w:vanish w:val="0"/>
        <w:color w:val="auto"/>
        <w:sz w:val="20"/>
        <w:u w:val="none"/>
        <w:vertAlign w:val="baseline"/>
      </w:rPr>
    </w:lvl>
    <w:lvl w:ilvl="2">
      <w:start w:val="1"/>
      <w:numFmt w:val="bullet"/>
      <w:lvlText w:val=""/>
      <w:lvlJc w:val="left"/>
      <w:pPr>
        <w:tabs>
          <w:tab w:val="num" w:pos="851"/>
        </w:tabs>
        <w:ind w:left="851" w:hanging="284"/>
      </w:pPr>
      <w:rPr>
        <w:rFonts w:ascii="Symbol" w:hAnsi="Symbol" w:hint="default"/>
        <w:color w:val="auto"/>
        <w:sz w:val="20"/>
      </w:rPr>
    </w:lvl>
    <w:lvl w:ilvl="3">
      <w:start w:val="1"/>
      <w:numFmt w:val="bullet"/>
      <w:lvlText w:val="○"/>
      <w:lvlJc w:val="left"/>
      <w:pPr>
        <w:tabs>
          <w:tab w:val="num" w:pos="1134"/>
        </w:tabs>
        <w:ind w:left="1134" w:hanging="283"/>
      </w:pPr>
      <w:rPr>
        <w:rFonts w:ascii="Courier New" w:hAnsi="Courier New" w:hint="default"/>
        <w:caps w:val="0"/>
        <w:strike w:val="0"/>
        <w:dstrike w:val="0"/>
        <w:vanish w:val="0"/>
        <w:color w:val="auto"/>
        <w:sz w:val="20"/>
        <w:u w:val="none"/>
        <w:vertAlign w:val="baseline"/>
      </w:rPr>
    </w:lvl>
    <w:lvl w:ilvl="4">
      <w:start w:val="1"/>
      <w:numFmt w:val="bullet"/>
      <w:lvlText w:val=""/>
      <w:lvlJc w:val="left"/>
      <w:pPr>
        <w:tabs>
          <w:tab w:val="num" w:pos="1418"/>
        </w:tabs>
        <w:ind w:left="1418" w:hanging="284"/>
      </w:pPr>
      <w:rPr>
        <w:rFonts w:ascii="Symbol" w:hAnsi="Symbol" w:hint="default"/>
        <w:color w:val="auto"/>
        <w:sz w:val="20"/>
      </w:rPr>
    </w:lvl>
    <w:lvl w:ilvl="5">
      <w:start w:val="1"/>
      <w:numFmt w:val="bullet"/>
      <w:lvlText w:val="○"/>
      <w:lvlJc w:val="left"/>
      <w:pPr>
        <w:tabs>
          <w:tab w:val="num" w:pos="1701"/>
        </w:tabs>
        <w:ind w:left="1701" w:hanging="283"/>
      </w:pPr>
      <w:rPr>
        <w:rFonts w:ascii="Courier New" w:hAnsi="Courier New" w:hint="default"/>
        <w:caps w:val="0"/>
        <w:strike w:val="0"/>
        <w:dstrike w:val="0"/>
        <w:vanish w:val="0"/>
        <w:color w:val="auto"/>
        <w:sz w:val="20"/>
        <w:u w:val="none"/>
        <w:vertAlign w:val="baseline"/>
      </w:rPr>
    </w:lvl>
    <w:lvl w:ilvl="6">
      <w:start w:val="1"/>
      <w:numFmt w:val="none"/>
      <w:suff w:val="nothing"/>
      <w:lvlText w:val=""/>
      <w:lvlJc w:val="left"/>
      <w:pPr>
        <w:ind w:left="0" w:firstLine="0"/>
      </w:pPr>
      <w:rPr>
        <w:rFonts w:hint="default"/>
        <w:color w:val="auto"/>
        <w:sz w:val="20"/>
      </w:rPr>
    </w:lvl>
    <w:lvl w:ilvl="7">
      <w:start w:val="1"/>
      <w:numFmt w:val="none"/>
      <w:suff w:val="nothing"/>
      <w:lvlText w:val="%8"/>
      <w:lvlJc w:val="left"/>
      <w:pPr>
        <w:ind w:left="0" w:firstLine="0"/>
      </w:pPr>
      <w:rPr>
        <w:rFonts w:hint="default"/>
        <w:color w:val="000000"/>
        <w:sz w:val="20"/>
      </w:rPr>
    </w:lvl>
    <w:lvl w:ilvl="8">
      <w:start w:val="1"/>
      <w:numFmt w:val="none"/>
      <w:suff w:val="nothing"/>
      <w:lvlText w:val=""/>
      <w:lvlJc w:val="left"/>
      <w:pPr>
        <w:ind w:left="0" w:firstLine="0"/>
      </w:pPr>
      <w:rPr>
        <w:rFonts w:hint="default"/>
      </w:rPr>
    </w:lvl>
  </w:abstractNum>
  <w:abstractNum w:abstractNumId="23" w15:restartNumberingAfterBreak="0">
    <w:nsid w:val="3A283F19"/>
    <w:multiLevelType w:val="multilevel"/>
    <w:tmpl w:val="4A4A7EFE"/>
    <w:lvl w:ilvl="0">
      <w:start w:val="1"/>
      <w:numFmt w:val="decimal"/>
      <w:pStyle w:val="AltHeading1"/>
      <w:lvlText w:val="%1"/>
      <w:lvlJc w:val="left"/>
      <w:pPr>
        <w:tabs>
          <w:tab w:val="num" w:pos="1134"/>
        </w:tabs>
        <w:ind w:left="1134" w:hanging="1134"/>
      </w:pPr>
      <w:rPr>
        <w:rFonts w:asciiTheme="majorHAnsi" w:hAnsiTheme="majorHAnsi" w:hint="default"/>
        <w:color w:val="005190" w:themeColor="accent1"/>
        <w:sz w:val="40"/>
      </w:rPr>
    </w:lvl>
    <w:lvl w:ilvl="1">
      <w:start w:val="1"/>
      <w:numFmt w:val="decimal"/>
      <w:pStyle w:val="AltHeading2"/>
      <w:lvlText w:val="%1.%2"/>
      <w:lvlJc w:val="left"/>
      <w:pPr>
        <w:tabs>
          <w:tab w:val="num" w:pos="1134"/>
        </w:tabs>
        <w:ind w:left="1134" w:hanging="1134"/>
      </w:pPr>
      <w:rPr>
        <w:rFonts w:asciiTheme="majorHAnsi" w:hAnsiTheme="majorHAnsi" w:hint="default"/>
        <w:color w:val="007AB5" w:themeColor="accent2"/>
        <w:sz w:val="32"/>
      </w:rPr>
    </w:lvl>
    <w:lvl w:ilvl="2">
      <w:start w:val="1"/>
      <w:numFmt w:val="decimal"/>
      <w:pStyle w:val="AltHeading3"/>
      <w:lvlText w:val="%1.%2.%3"/>
      <w:lvlJc w:val="left"/>
      <w:pPr>
        <w:tabs>
          <w:tab w:val="num" w:pos="1134"/>
        </w:tabs>
        <w:ind w:left="1134" w:hanging="1134"/>
      </w:pPr>
      <w:rPr>
        <w:rFonts w:asciiTheme="majorHAnsi" w:hAnsiTheme="majorHAnsi" w:hint="default"/>
        <w:color w:val="007AB5" w:themeColor="accent2"/>
        <w:sz w:val="28"/>
      </w:rPr>
    </w:lvl>
    <w:lvl w:ilvl="3">
      <w:start w:val="1"/>
      <w:numFmt w:val="decimal"/>
      <w:pStyle w:val="AltHeading4"/>
      <w:lvlText w:val="%1.%2.%3.%4"/>
      <w:lvlJc w:val="left"/>
      <w:pPr>
        <w:tabs>
          <w:tab w:val="num" w:pos="1134"/>
        </w:tabs>
        <w:ind w:left="1134" w:hanging="1134"/>
      </w:pPr>
      <w:rPr>
        <w:rFonts w:asciiTheme="majorHAnsi" w:hAnsiTheme="majorHAnsi" w:hint="default"/>
        <w:color w:val="007AB5" w:themeColor="accent2"/>
        <w:sz w:val="24"/>
      </w:rPr>
    </w:lvl>
    <w:lvl w:ilvl="4">
      <w:start w:val="1"/>
      <w:numFmt w:val="decimal"/>
      <w:pStyle w:val="AltHeading5"/>
      <w:lvlText w:val="%1.%2.%3.%4.%5."/>
      <w:lvlJc w:val="left"/>
      <w:pPr>
        <w:tabs>
          <w:tab w:val="num" w:pos="1134"/>
        </w:tabs>
        <w:ind w:left="1134" w:hanging="1134"/>
      </w:pPr>
      <w:rPr>
        <w:rFonts w:asciiTheme="majorHAnsi" w:hAnsiTheme="majorHAnsi" w:hint="default"/>
        <w:color w:val="007AB5" w:themeColor="accent2"/>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24" w15:restartNumberingAfterBreak="0">
    <w:nsid w:val="42753E3F"/>
    <w:multiLevelType w:val="hybridMultilevel"/>
    <w:tmpl w:val="828CB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E87DD9"/>
    <w:multiLevelType w:val="multilevel"/>
    <w:tmpl w:val="9B408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A7331F"/>
    <w:multiLevelType w:val="multilevel"/>
    <w:tmpl w:val="B9602BCA"/>
    <w:lvl w:ilvl="0">
      <w:start w:val="1"/>
      <w:numFmt w:val="upperLetter"/>
      <w:pStyle w:val="ListAlpha0"/>
      <w:lvlText w:val="%1."/>
      <w:lvlJc w:val="left"/>
      <w:pPr>
        <w:tabs>
          <w:tab w:val="num" w:pos="284"/>
        </w:tabs>
        <w:ind w:left="284" w:hanging="284"/>
      </w:pPr>
      <w:rPr>
        <w:rFonts w:asciiTheme="minorHAnsi" w:hAnsiTheme="minorHAnsi" w:hint="default"/>
        <w:color w:val="auto"/>
        <w:sz w:val="20"/>
      </w:rPr>
    </w:lvl>
    <w:lvl w:ilvl="1">
      <w:start w:val="1"/>
      <w:numFmt w:val="lowerRoman"/>
      <w:lvlText w:val="%2."/>
      <w:lvlJc w:val="left"/>
      <w:pPr>
        <w:tabs>
          <w:tab w:val="num" w:pos="568"/>
        </w:tabs>
        <w:ind w:left="568" w:hanging="284"/>
      </w:pPr>
      <w:rPr>
        <w:rFonts w:asciiTheme="minorHAnsi" w:hAnsiTheme="minorHAnsi" w:hint="default"/>
        <w:color w:val="auto"/>
        <w:sz w:val="22"/>
      </w:rPr>
    </w:lvl>
    <w:lvl w:ilvl="2">
      <w:start w:val="1"/>
      <w:numFmt w:val="lowerLetter"/>
      <w:lvlText w:val="%3."/>
      <w:lvlJc w:val="left"/>
      <w:pPr>
        <w:tabs>
          <w:tab w:val="num" w:pos="852"/>
        </w:tabs>
        <w:ind w:left="852" w:hanging="284"/>
      </w:pPr>
      <w:rPr>
        <w:rFonts w:asciiTheme="minorHAnsi" w:hAnsiTheme="minorHAnsi" w:hint="default"/>
        <w:color w:val="auto"/>
        <w:sz w:val="20"/>
      </w:rPr>
    </w:lvl>
    <w:lvl w:ilvl="3">
      <w:start w:val="1"/>
      <w:numFmt w:val="upperRoman"/>
      <w:lvlText w:val="%4."/>
      <w:lvlJc w:val="left"/>
      <w:pPr>
        <w:tabs>
          <w:tab w:val="num" w:pos="1136"/>
        </w:tabs>
        <w:ind w:left="1136" w:hanging="284"/>
      </w:pPr>
      <w:rPr>
        <w:rFonts w:asciiTheme="minorHAnsi" w:hAnsiTheme="minorHAnsi" w:hint="default"/>
        <w:color w:val="auto"/>
        <w:sz w:val="20"/>
      </w:rPr>
    </w:lvl>
    <w:lvl w:ilvl="4">
      <w:start w:val="1"/>
      <w:numFmt w:val="decimal"/>
      <w:lvlText w:val="%5."/>
      <w:lvlJc w:val="left"/>
      <w:pPr>
        <w:tabs>
          <w:tab w:val="num" w:pos="1420"/>
        </w:tabs>
        <w:ind w:left="1420" w:hanging="284"/>
      </w:pPr>
      <w:rPr>
        <w:rFonts w:asciiTheme="minorHAnsi" w:hAnsiTheme="minorHAnsi" w:hint="default"/>
        <w:color w:val="auto"/>
        <w:sz w:val="20"/>
      </w:rPr>
    </w:lvl>
    <w:lvl w:ilvl="5">
      <w:start w:val="1"/>
      <w:numFmt w:val="lowerLetter"/>
      <w:lvlText w:val="%6."/>
      <w:lvlJc w:val="left"/>
      <w:pPr>
        <w:tabs>
          <w:tab w:val="num" w:pos="1704"/>
        </w:tabs>
        <w:ind w:left="1704" w:hanging="284"/>
      </w:pPr>
      <w:rPr>
        <w:rFonts w:asciiTheme="minorHAnsi" w:hAnsiTheme="minorHAnsi" w:hint="default"/>
        <w:color w:val="auto"/>
        <w:sz w:val="20"/>
      </w:rPr>
    </w:lvl>
    <w:lvl w:ilvl="6">
      <w:start w:val="1"/>
      <w:numFmt w:val="none"/>
      <w:lvlText w:val=""/>
      <w:lvlJc w:val="left"/>
      <w:pPr>
        <w:tabs>
          <w:tab w:val="num" w:pos="1988"/>
        </w:tabs>
        <w:ind w:left="1988" w:hanging="284"/>
      </w:pPr>
      <w:rPr>
        <w:rFonts w:hint="default"/>
      </w:rPr>
    </w:lvl>
    <w:lvl w:ilvl="7">
      <w:start w:val="1"/>
      <w:numFmt w:val="none"/>
      <w:lvlText w:val=""/>
      <w:lvlJc w:val="left"/>
      <w:pPr>
        <w:tabs>
          <w:tab w:val="num" w:pos="2272"/>
        </w:tabs>
        <w:ind w:left="2272" w:hanging="284"/>
      </w:pPr>
      <w:rPr>
        <w:rFonts w:hint="default"/>
      </w:rPr>
    </w:lvl>
    <w:lvl w:ilvl="8">
      <w:start w:val="1"/>
      <w:numFmt w:val="none"/>
      <w:lvlText w:val=""/>
      <w:lvlJc w:val="left"/>
      <w:pPr>
        <w:tabs>
          <w:tab w:val="num" w:pos="2556"/>
        </w:tabs>
        <w:ind w:left="2556" w:hanging="284"/>
      </w:pPr>
      <w:rPr>
        <w:rFonts w:hint="default"/>
      </w:rPr>
    </w:lvl>
  </w:abstractNum>
  <w:abstractNum w:abstractNumId="27" w15:restartNumberingAfterBreak="0">
    <w:nsid w:val="4814788C"/>
    <w:multiLevelType w:val="multilevel"/>
    <w:tmpl w:val="A87E6836"/>
    <w:lvl w:ilvl="0">
      <w:start w:val="1"/>
      <w:numFmt w:val="decimal"/>
      <w:pStyle w:val="ListNumber0"/>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8" w15:restartNumberingAfterBreak="0">
    <w:nsid w:val="4CE06D77"/>
    <w:multiLevelType w:val="hybridMultilevel"/>
    <w:tmpl w:val="7FFEA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A04D33"/>
    <w:multiLevelType w:val="multilevel"/>
    <w:tmpl w:val="7988D8CE"/>
    <w:lvl w:ilvl="0">
      <w:start w:val="1"/>
      <w:numFmt w:val="lowerLetter"/>
      <w:lvlText w:val="%1."/>
      <w:lvlJc w:val="left"/>
      <w:pPr>
        <w:ind w:left="284" w:hanging="284"/>
      </w:pPr>
      <w:rPr>
        <w:rFonts w:hint="default"/>
      </w:rPr>
    </w:lvl>
    <w:lvl w:ilvl="1">
      <w:start w:val="1"/>
      <w:numFmt w:val="lowerRoman"/>
      <w:pStyle w:val="ListAlpha2"/>
      <w:lvlText w:val="%2."/>
      <w:lvlJc w:val="left"/>
      <w:pPr>
        <w:ind w:left="568" w:hanging="284"/>
      </w:pPr>
      <w:rPr>
        <w:rFonts w:hint="default"/>
      </w:rPr>
    </w:lvl>
    <w:lvl w:ilvl="2">
      <w:start w:val="1"/>
      <w:numFmt w:val="lowerLetter"/>
      <w:pStyle w:val="ListAlpha3"/>
      <w:lvlText w:val="%3."/>
      <w:lvlJc w:val="left"/>
      <w:pPr>
        <w:ind w:left="852" w:hanging="284"/>
      </w:pPr>
      <w:rPr>
        <w:rFonts w:hint="default"/>
      </w:rPr>
    </w:lvl>
    <w:lvl w:ilvl="3">
      <w:start w:val="1"/>
      <w:numFmt w:val="decimal"/>
      <w:pStyle w:val="ListAlpha4"/>
      <w:lvlText w:val="%4."/>
      <w:lvlJc w:val="left"/>
      <w:pPr>
        <w:ind w:left="1136" w:hanging="284"/>
      </w:pPr>
      <w:rPr>
        <w:rFonts w:hint="default"/>
      </w:rPr>
    </w:lvl>
    <w:lvl w:ilvl="4">
      <w:start w:val="1"/>
      <w:numFmt w:val="lowerLetter"/>
      <w:pStyle w:val="ListAlpha5"/>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0" w15:restartNumberingAfterBreak="0">
    <w:nsid w:val="59A55EF6"/>
    <w:multiLevelType w:val="hybridMultilevel"/>
    <w:tmpl w:val="90801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246846"/>
    <w:multiLevelType w:val="multilevel"/>
    <w:tmpl w:val="47586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6E5373"/>
    <w:multiLevelType w:val="multilevel"/>
    <w:tmpl w:val="BDFC207A"/>
    <w:styleLink w:val="ListTableNumber"/>
    <w:lvl w:ilvl="0">
      <w:start w:val="1"/>
      <w:numFmt w:val="decimal"/>
      <w:pStyle w:val="TableNumber"/>
      <w:lvlText w:val="%1."/>
      <w:lvlJc w:val="left"/>
      <w:pPr>
        <w:tabs>
          <w:tab w:val="num" w:pos="284"/>
        </w:tabs>
        <w:ind w:left="284" w:hanging="284"/>
      </w:pPr>
      <w:rPr>
        <w:rFonts w:asciiTheme="minorHAnsi" w:hAnsiTheme="minorHAnsi" w:hint="default"/>
        <w:b w:val="0"/>
        <w:i w:val="0"/>
        <w:color w:val="auto"/>
        <w:sz w:val="20"/>
        <w:szCs w:val="21"/>
      </w:rPr>
    </w:lvl>
    <w:lvl w:ilvl="1">
      <w:start w:val="1"/>
      <w:numFmt w:val="lowerLetter"/>
      <w:pStyle w:val="TableNumber2"/>
      <w:lvlText w:val="%2."/>
      <w:lvlJc w:val="left"/>
      <w:pPr>
        <w:tabs>
          <w:tab w:val="num" w:pos="567"/>
        </w:tabs>
        <w:ind w:left="567" w:hanging="283"/>
      </w:pPr>
      <w:rPr>
        <w:rFonts w:asciiTheme="minorHAnsi" w:hAnsiTheme="minorHAnsi" w:hint="default"/>
        <w:b w:val="0"/>
        <w:i w:val="0"/>
        <w:color w:val="auto"/>
        <w:sz w:val="20"/>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3" w15:restartNumberingAfterBreak="0">
    <w:nsid w:val="6DBA3F82"/>
    <w:multiLevelType w:val="multilevel"/>
    <w:tmpl w:val="74B02582"/>
    <w:lvl w:ilvl="0">
      <w:start w:val="1"/>
      <w:numFmt w:val="decimal"/>
      <w:pStyle w:val="Heading1numbered"/>
      <w:lvlText w:val="%1."/>
      <w:lvlJc w:val="left"/>
      <w:pPr>
        <w:tabs>
          <w:tab w:val="num" w:pos="1134"/>
        </w:tabs>
        <w:ind w:left="1134" w:hanging="1134"/>
      </w:pPr>
      <w:rPr>
        <w:rFonts w:hint="default"/>
      </w:rPr>
    </w:lvl>
    <w:lvl w:ilvl="1">
      <w:start w:val="1"/>
      <w:numFmt w:val="decimal"/>
      <w:pStyle w:val="Heading2numbered"/>
      <w:lvlText w:val="%1.%2."/>
      <w:lvlJc w:val="left"/>
      <w:pPr>
        <w:tabs>
          <w:tab w:val="num" w:pos="1404"/>
        </w:tabs>
        <w:ind w:left="1404" w:hanging="1134"/>
      </w:pPr>
      <w:rPr>
        <w:rFonts w:hint="default"/>
      </w:rPr>
    </w:lvl>
    <w:lvl w:ilvl="2">
      <w:start w:val="1"/>
      <w:numFmt w:val="decimal"/>
      <w:pStyle w:val="Heading3numbered"/>
      <w:lvlText w:val="%1.%2.%3."/>
      <w:lvlJc w:val="left"/>
      <w:pPr>
        <w:tabs>
          <w:tab w:val="num" w:pos="1134"/>
        </w:tabs>
        <w:ind w:left="1134" w:hanging="1134"/>
      </w:pPr>
      <w:rPr>
        <w:rFonts w:hint="default"/>
      </w:rPr>
    </w:lvl>
    <w:lvl w:ilvl="3">
      <w:start w:val="1"/>
      <w:numFmt w:val="decimal"/>
      <w:pStyle w:val="Heading4numbered"/>
      <w:lvlText w:val="%1.%2.%3.%4."/>
      <w:lvlJc w:val="left"/>
      <w:pPr>
        <w:tabs>
          <w:tab w:val="num" w:pos="1134"/>
        </w:tabs>
        <w:ind w:left="1134" w:hanging="1134"/>
      </w:pPr>
      <w:rPr>
        <w:rFonts w:hint="default"/>
      </w:rPr>
    </w:lvl>
    <w:lvl w:ilvl="4">
      <w:start w:val="1"/>
      <w:numFmt w:val="decimal"/>
      <w:pStyle w:val="Heading5numbered"/>
      <w:lvlText w:val="%1.%2.%3.%4.%5."/>
      <w:lvlJc w:val="left"/>
      <w:pPr>
        <w:tabs>
          <w:tab w:val="num" w:pos="1134"/>
        </w:tabs>
        <w:ind w:left="1134" w:hanging="1134"/>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134"/>
        </w:tabs>
        <w:ind w:left="1134" w:hanging="1134"/>
      </w:pPr>
      <w:rPr>
        <w:rFonts w:hint="default"/>
      </w:rPr>
    </w:lvl>
    <w:lvl w:ilvl="7">
      <w:start w:val="1"/>
      <w:numFmt w:val="decimal"/>
      <w:lvlText w:val="%1.%2.%3.%4.%5.%6.%7.%8."/>
      <w:lvlJc w:val="left"/>
      <w:pPr>
        <w:tabs>
          <w:tab w:val="num" w:pos="1134"/>
        </w:tabs>
        <w:ind w:left="1134" w:hanging="1134"/>
      </w:pPr>
      <w:rPr>
        <w:rFonts w:hint="default"/>
      </w:rPr>
    </w:lvl>
    <w:lvl w:ilvl="8">
      <w:start w:val="1"/>
      <w:numFmt w:val="decimal"/>
      <w:lvlText w:val="%1.%2.%3.%4.%5.%6.%7.%8.%9."/>
      <w:lvlJc w:val="left"/>
      <w:pPr>
        <w:tabs>
          <w:tab w:val="num" w:pos="1134"/>
        </w:tabs>
        <w:ind w:left="1134" w:hanging="1134"/>
      </w:pPr>
      <w:rPr>
        <w:rFonts w:hint="default"/>
      </w:rPr>
    </w:lvl>
  </w:abstractNum>
  <w:abstractNum w:abstractNumId="34" w15:restartNumberingAfterBreak="0">
    <w:nsid w:val="7139706E"/>
    <w:multiLevelType w:val="multilevel"/>
    <w:tmpl w:val="022A764A"/>
    <w:lvl w:ilvl="0">
      <w:start w:val="1"/>
      <w:numFmt w:val="none"/>
      <w:pStyle w:val="ListParagraph0"/>
      <w:suff w:val="nothing"/>
      <w:lvlText w:val=""/>
      <w:lvlJc w:val="left"/>
      <w:pPr>
        <w:ind w:left="284" w:firstLine="0"/>
      </w:pPr>
      <w:rPr>
        <w:rFonts w:asciiTheme="minorHAnsi" w:hAnsiTheme="minorHAnsi" w:hint="default"/>
        <w:color w:val="auto"/>
      </w:rPr>
    </w:lvl>
    <w:lvl w:ilvl="1">
      <w:start w:val="1"/>
      <w:numFmt w:val="none"/>
      <w:pStyle w:val="ListParagraph2"/>
      <w:suff w:val="nothing"/>
      <w:lvlText w:val=""/>
      <w:lvlJc w:val="left"/>
      <w:pPr>
        <w:ind w:left="568" w:firstLine="0"/>
      </w:pPr>
      <w:rPr>
        <w:rFonts w:asciiTheme="minorHAnsi" w:hAnsiTheme="minorHAnsi" w:hint="default"/>
        <w:color w:val="auto"/>
      </w:rPr>
    </w:lvl>
    <w:lvl w:ilvl="2">
      <w:start w:val="1"/>
      <w:numFmt w:val="none"/>
      <w:pStyle w:val="ListParagraph3"/>
      <w:suff w:val="nothing"/>
      <w:lvlText w:val=""/>
      <w:lvlJc w:val="left"/>
      <w:pPr>
        <w:ind w:left="852" w:firstLine="0"/>
      </w:pPr>
      <w:rPr>
        <w:rFonts w:asciiTheme="minorHAnsi" w:hAnsiTheme="minorHAnsi" w:hint="default"/>
        <w:color w:val="auto"/>
      </w:rPr>
    </w:lvl>
    <w:lvl w:ilvl="3">
      <w:start w:val="1"/>
      <w:numFmt w:val="none"/>
      <w:pStyle w:val="ListParagraph4"/>
      <w:suff w:val="nothing"/>
      <w:lvlText w:val=""/>
      <w:lvlJc w:val="left"/>
      <w:pPr>
        <w:ind w:left="1136" w:firstLine="0"/>
      </w:pPr>
      <w:rPr>
        <w:rFonts w:asciiTheme="minorHAnsi" w:hAnsiTheme="minorHAnsi" w:hint="default"/>
        <w:color w:val="auto"/>
      </w:rPr>
    </w:lvl>
    <w:lvl w:ilvl="4">
      <w:start w:val="1"/>
      <w:numFmt w:val="none"/>
      <w:pStyle w:val="ListParagraph5"/>
      <w:suff w:val="nothing"/>
      <w:lvlText w:val=""/>
      <w:lvlJc w:val="left"/>
      <w:pPr>
        <w:ind w:left="1420" w:firstLine="0"/>
      </w:pPr>
      <w:rPr>
        <w:rFonts w:asciiTheme="minorHAnsi" w:hAnsiTheme="minorHAnsi" w:hint="default"/>
        <w:color w:val="auto"/>
      </w:rPr>
    </w:lvl>
    <w:lvl w:ilvl="5">
      <w:start w:val="1"/>
      <w:numFmt w:val="none"/>
      <w:pStyle w:val="ListParagraph6"/>
      <w:suff w:val="nothing"/>
      <w:lvlText w:val=""/>
      <w:lvlJc w:val="left"/>
      <w:pPr>
        <w:ind w:left="1704" w:firstLine="0"/>
      </w:pPr>
      <w:rPr>
        <w:rFonts w:asciiTheme="minorHAnsi" w:hAnsiTheme="minorHAnsi" w:hint="default"/>
        <w:color w:val="auto"/>
      </w:rPr>
    </w:lvl>
    <w:lvl w:ilvl="6">
      <w:start w:val="1"/>
      <w:numFmt w:val="none"/>
      <w:suff w:val="nothing"/>
      <w:lvlText w:val=""/>
      <w:lvlJc w:val="left"/>
      <w:pPr>
        <w:ind w:left="1988" w:firstLine="0"/>
      </w:pPr>
      <w:rPr>
        <w:rFonts w:hint="default"/>
        <w:color w:val="000000"/>
      </w:rPr>
    </w:lvl>
    <w:lvl w:ilvl="7">
      <w:start w:val="1"/>
      <w:numFmt w:val="none"/>
      <w:suff w:val="nothing"/>
      <w:lvlText w:val=""/>
      <w:lvlJc w:val="left"/>
      <w:pPr>
        <w:ind w:left="2272" w:firstLine="0"/>
      </w:pPr>
      <w:rPr>
        <w:rFonts w:hint="default"/>
      </w:rPr>
    </w:lvl>
    <w:lvl w:ilvl="8">
      <w:numFmt w:val="none"/>
      <w:lvlText w:val=""/>
      <w:lvlJc w:val="left"/>
      <w:pPr>
        <w:tabs>
          <w:tab w:val="num" w:pos="3407"/>
        </w:tabs>
        <w:ind w:left="2556" w:firstLine="0"/>
      </w:pPr>
      <w:rPr>
        <w:rFonts w:hint="default"/>
      </w:rPr>
    </w:lvl>
  </w:abstractNum>
  <w:abstractNum w:abstractNumId="35" w15:restartNumberingAfterBreak="0">
    <w:nsid w:val="73CF2718"/>
    <w:multiLevelType w:val="multilevel"/>
    <w:tmpl w:val="FC9A4FAC"/>
    <w:lvl w:ilvl="0">
      <w:start w:val="1"/>
      <w:numFmt w:val="bullet"/>
      <w:lvlText w:val=""/>
      <w:lvlJc w:val="left"/>
      <w:pPr>
        <w:ind w:left="568" w:hanging="284"/>
      </w:pPr>
      <w:rPr>
        <w:rFonts w:ascii="Symbol" w:hAnsi="Symbol" w:hint="default"/>
      </w:rPr>
    </w:lvl>
    <w:lvl w:ilvl="1">
      <w:start w:val="1"/>
      <w:numFmt w:val="bullet"/>
      <w:lvlText w:val=""/>
      <w:lvlJc w:val="left"/>
      <w:pPr>
        <w:ind w:left="928" w:hanging="360"/>
      </w:pPr>
      <w:rPr>
        <w:rFonts w:ascii="Symbol" w:hAnsi="Symbol" w:hint="default"/>
        <w:sz w:val="21"/>
      </w:rPr>
    </w:lvl>
    <w:lvl w:ilvl="2">
      <w:start w:val="1"/>
      <w:numFmt w:val="bullet"/>
      <w:lvlText w:val="o"/>
      <w:lvlJc w:val="left"/>
      <w:pPr>
        <w:ind w:left="1136" w:hanging="284"/>
      </w:pPr>
      <w:rPr>
        <w:rFonts w:ascii="Courier New" w:hAnsi="Courier New" w:hint="default"/>
      </w:rPr>
    </w:lvl>
    <w:lvl w:ilvl="3">
      <w:start w:val="1"/>
      <w:numFmt w:val="bullet"/>
      <w:lvlText w:val=""/>
      <w:lvlJc w:val="left"/>
      <w:pPr>
        <w:ind w:left="1420" w:hanging="284"/>
      </w:pPr>
      <w:rPr>
        <w:rFonts w:ascii="Wingdings" w:hAnsi="Wingdings" w:hint="default"/>
      </w:rPr>
    </w:lvl>
    <w:lvl w:ilvl="4">
      <w:start w:val="1"/>
      <w:numFmt w:val="bullet"/>
      <w:lvlText w:val=""/>
      <w:lvlJc w:val="left"/>
      <w:pPr>
        <w:ind w:left="1704" w:hanging="284"/>
      </w:pPr>
      <w:rPr>
        <w:rFonts w:ascii="Symbol" w:hAnsi="Symbol" w:hint="default"/>
      </w:rPr>
    </w:lvl>
    <w:lvl w:ilvl="5">
      <w:start w:val="1"/>
      <w:numFmt w:val="lowerRoman"/>
      <w:lvlText w:val="(%6)"/>
      <w:lvlJc w:val="left"/>
      <w:pPr>
        <w:ind w:left="1988" w:hanging="284"/>
      </w:pPr>
      <w:rPr>
        <w:rFonts w:hint="default"/>
      </w:rPr>
    </w:lvl>
    <w:lvl w:ilvl="6">
      <w:start w:val="1"/>
      <w:numFmt w:val="decimal"/>
      <w:lvlText w:val="%7."/>
      <w:lvlJc w:val="left"/>
      <w:pPr>
        <w:ind w:left="2272" w:hanging="284"/>
      </w:pPr>
      <w:rPr>
        <w:rFonts w:hint="default"/>
      </w:rPr>
    </w:lvl>
    <w:lvl w:ilvl="7">
      <w:start w:val="1"/>
      <w:numFmt w:val="lowerLetter"/>
      <w:lvlText w:val="%8."/>
      <w:lvlJc w:val="left"/>
      <w:pPr>
        <w:ind w:left="2556" w:hanging="284"/>
      </w:pPr>
      <w:rPr>
        <w:rFonts w:hint="default"/>
      </w:rPr>
    </w:lvl>
    <w:lvl w:ilvl="8">
      <w:start w:val="1"/>
      <w:numFmt w:val="lowerRoman"/>
      <w:lvlText w:val="%9."/>
      <w:lvlJc w:val="left"/>
      <w:pPr>
        <w:ind w:left="2840" w:hanging="284"/>
      </w:pPr>
      <w:rPr>
        <w:rFonts w:hint="default"/>
      </w:rPr>
    </w:lvl>
  </w:abstractNum>
  <w:abstractNum w:abstractNumId="36" w15:restartNumberingAfterBreak="0">
    <w:nsid w:val="7E0F5F26"/>
    <w:multiLevelType w:val="multilevel"/>
    <w:tmpl w:val="7FFA377C"/>
    <w:lvl w:ilvl="0">
      <w:start w:val="1"/>
      <w:numFmt w:val="upperLetter"/>
      <w:lvlRestart w:val="0"/>
      <w:pStyle w:val="AppendixH1"/>
      <w:suff w:val="nothing"/>
      <w:lvlText w:val="Schedule %1"/>
      <w:lvlJc w:val="left"/>
      <w:pPr>
        <w:ind w:left="0" w:firstLine="0"/>
      </w:pPr>
      <w:rPr>
        <w:rFonts w:ascii="Arial" w:hAnsi="Arial" w:hint="default"/>
        <w:color w:val="auto"/>
        <w:sz w:val="32"/>
        <w:szCs w:val="32"/>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none"/>
      <w:suff w:val="nothing"/>
      <w:lvlText w:val=""/>
      <w:lvlJc w:val="left"/>
      <w:pPr>
        <w:ind w:left="-851" w:firstLine="0"/>
      </w:pPr>
      <w:rPr>
        <w:rFonts w:hint="default"/>
        <w:color w:val="76787B"/>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sz w:val="18"/>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num w:numId="1" w16cid:durableId="1856839834">
    <w:abstractNumId w:val="6"/>
  </w:num>
  <w:num w:numId="2" w16cid:durableId="698121199">
    <w:abstractNumId w:val="36"/>
  </w:num>
  <w:num w:numId="3" w16cid:durableId="2134862237">
    <w:abstractNumId w:val="22"/>
  </w:num>
  <w:num w:numId="4" w16cid:durableId="1555118948">
    <w:abstractNumId w:val="14"/>
  </w:num>
  <w:num w:numId="5" w16cid:durableId="1989938702">
    <w:abstractNumId w:val="3"/>
  </w:num>
  <w:num w:numId="6" w16cid:durableId="1510026068">
    <w:abstractNumId w:val="8"/>
  </w:num>
  <w:num w:numId="7" w16cid:durableId="289366406">
    <w:abstractNumId w:val="32"/>
  </w:num>
  <w:num w:numId="8" w16cid:durableId="1456681138">
    <w:abstractNumId w:val="34"/>
  </w:num>
  <w:num w:numId="9" w16cid:durableId="1646740726">
    <w:abstractNumId w:val="23"/>
  </w:num>
  <w:num w:numId="10" w16cid:durableId="1213729347">
    <w:abstractNumId w:val="7"/>
  </w:num>
  <w:num w:numId="11" w16cid:durableId="231813623">
    <w:abstractNumId w:val="5"/>
  </w:num>
  <w:num w:numId="12" w16cid:durableId="2095585395">
    <w:abstractNumId w:val="33"/>
  </w:num>
  <w:num w:numId="13" w16cid:durableId="540944897">
    <w:abstractNumId w:val="29"/>
  </w:num>
  <w:num w:numId="14" w16cid:durableId="603075442">
    <w:abstractNumId w:val="15"/>
  </w:num>
  <w:num w:numId="15" w16cid:durableId="1480459805">
    <w:abstractNumId w:val="27"/>
  </w:num>
  <w:num w:numId="16" w16cid:durableId="815073330">
    <w:abstractNumId w:val="0"/>
  </w:num>
  <w:num w:numId="17" w16cid:durableId="106971849">
    <w:abstractNumId w:val="26"/>
  </w:num>
  <w:num w:numId="18" w16cid:durableId="150215659">
    <w:abstractNumId w:val="2"/>
  </w:num>
  <w:num w:numId="19" w16cid:durableId="558715460">
    <w:abstractNumId w:val="28"/>
  </w:num>
  <w:num w:numId="20" w16cid:durableId="1658218313">
    <w:abstractNumId w:val="19"/>
  </w:num>
  <w:num w:numId="21" w16cid:durableId="948370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9161120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6239486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225600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91017832">
    <w:abstractNumId w:val="31"/>
  </w:num>
  <w:num w:numId="26" w16cid:durableId="990674403">
    <w:abstractNumId w:val="9"/>
  </w:num>
  <w:num w:numId="27" w16cid:durableId="1826622735">
    <w:abstractNumId w:val="25"/>
  </w:num>
  <w:num w:numId="28" w16cid:durableId="443502330">
    <w:abstractNumId w:val="17"/>
  </w:num>
  <w:num w:numId="29" w16cid:durableId="1261065603">
    <w:abstractNumId w:val="30"/>
  </w:num>
  <w:num w:numId="30" w16cid:durableId="1061251166">
    <w:abstractNumId w:val="20"/>
  </w:num>
  <w:num w:numId="31" w16cid:durableId="174001119">
    <w:abstractNumId w:val="16"/>
  </w:num>
  <w:num w:numId="32" w16cid:durableId="1160003097">
    <w:abstractNumId w:val="21"/>
  </w:num>
  <w:num w:numId="33" w16cid:durableId="1695499480">
    <w:abstractNumId w:val="10"/>
  </w:num>
  <w:num w:numId="34" w16cid:durableId="1930499980">
    <w:abstractNumId w:val="12"/>
  </w:num>
  <w:num w:numId="35" w16cid:durableId="654993844">
    <w:abstractNumId w:val="13"/>
  </w:num>
  <w:num w:numId="36" w16cid:durableId="306669974">
    <w:abstractNumId w:val="11"/>
  </w:num>
  <w:num w:numId="37" w16cid:durableId="2101220613">
    <w:abstractNumId w:val="15"/>
  </w:num>
  <w:num w:numId="38" w16cid:durableId="282687023">
    <w:abstractNumId w:val="15"/>
  </w:num>
  <w:num w:numId="39" w16cid:durableId="199976138">
    <w:abstractNumId w:val="15"/>
  </w:num>
  <w:num w:numId="40" w16cid:durableId="1693220591">
    <w:abstractNumId w:val="1"/>
  </w:num>
  <w:num w:numId="41" w16cid:durableId="129247287">
    <w:abstractNumId w:val="35"/>
  </w:num>
  <w:num w:numId="42" w16cid:durableId="1795324327">
    <w:abstractNumId w:val="33"/>
  </w:num>
  <w:num w:numId="43" w16cid:durableId="1984699349">
    <w:abstractNumId w:val="33"/>
  </w:num>
  <w:num w:numId="44" w16cid:durableId="106897570">
    <w:abstractNumId w:val="33"/>
  </w:num>
  <w:num w:numId="45" w16cid:durableId="227109829">
    <w:abstractNumId w:val="33"/>
  </w:num>
  <w:num w:numId="46" w16cid:durableId="657423532">
    <w:abstractNumId w:val="33"/>
  </w:num>
  <w:num w:numId="47" w16cid:durableId="232856088">
    <w:abstractNumId w:val="24"/>
  </w:num>
  <w:num w:numId="48" w16cid:durableId="180526850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99265741">
    <w:abstractNumId w:val="4"/>
  </w:num>
  <w:num w:numId="50" w16cid:durableId="1298224587">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816"/>
    <w:rsid w:val="00000A65"/>
    <w:rsid w:val="00000F24"/>
    <w:rsid w:val="000015D0"/>
    <w:rsid w:val="00001FCE"/>
    <w:rsid w:val="000027D5"/>
    <w:rsid w:val="00002FB0"/>
    <w:rsid w:val="000045FC"/>
    <w:rsid w:val="00006100"/>
    <w:rsid w:val="00007852"/>
    <w:rsid w:val="00010CE5"/>
    <w:rsid w:val="00011D46"/>
    <w:rsid w:val="00012E82"/>
    <w:rsid w:val="000135AB"/>
    <w:rsid w:val="00013DF1"/>
    <w:rsid w:val="00014542"/>
    <w:rsid w:val="0001687A"/>
    <w:rsid w:val="00017606"/>
    <w:rsid w:val="00020C02"/>
    <w:rsid w:val="00020D9F"/>
    <w:rsid w:val="00021934"/>
    <w:rsid w:val="00023447"/>
    <w:rsid w:val="00024295"/>
    <w:rsid w:val="00025730"/>
    <w:rsid w:val="00025FBB"/>
    <w:rsid w:val="0002675D"/>
    <w:rsid w:val="00026DF4"/>
    <w:rsid w:val="0002722D"/>
    <w:rsid w:val="000273E6"/>
    <w:rsid w:val="0003053C"/>
    <w:rsid w:val="00031A36"/>
    <w:rsid w:val="000339A7"/>
    <w:rsid w:val="00035103"/>
    <w:rsid w:val="000360FD"/>
    <w:rsid w:val="00037473"/>
    <w:rsid w:val="000427B8"/>
    <w:rsid w:val="000446B0"/>
    <w:rsid w:val="00044970"/>
    <w:rsid w:val="00044B2C"/>
    <w:rsid w:val="00045A35"/>
    <w:rsid w:val="00045BA3"/>
    <w:rsid w:val="00045E00"/>
    <w:rsid w:val="00047AAB"/>
    <w:rsid w:val="00050EDC"/>
    <w:rsid w:val="00050FE6"/>
    <w:rsid w:val="00051C06"/>
    <w:rsid w:val="00053587"/>
    <w:rsid w:val="0005520F"/>
    <w:rsid w:val="00060D58"/>
    <w:rsid w:val="00061496"/>
    <w:rsid w:val="00061830"/>
    <w:rsid w:val="00061B28"/>
    <w:rsid w:val="00061D70"/>
    <w:rsid w:val="0006554A"/>
    <w:rsid w:val="00065D3F"/>
    <w:rsid w:val="00065E59"/>
    <w:rsid w:val="000676EF"/>
    <w:rsid w:val="000678B7"/>
    <w:rsid w:val="00071583"/>
    <w:rsid w:val="0007158A"/>
    <w:rsid w:val="00071C7D"/>
    <w:rsid w:val="00072332"/>
    <w:rsid w:val="0007260C"/>
    <w:rsid w:val="00074117"/>
    <w:rsid w:val="00074174"/>
    <w:rsid w:val="00076F97"/>
    <w:rsid w:val="00077BDF"/>
    <w:rsid w:val="000815DF"/>
    <w:rsid w:val="00082E64"/>
    <w:rsid w:val="000830AF"/>
    <w:rsid w:val="0008324F"/>
    <w:rsid w:val="000838F3"/>
    <w:rsid w:val="00083B15"/>
    <w:rsid w:val="000848D8"/>
    <w:rsid w:val="00086F15"/>
    <w:rsid w:val="000870BB"/>
    <w:rsid w:val="00087D93"/>
    <w:rsid w:val="00090147"/>
    <w:rsid w:val="0009209F"/>
    <w:rsid w:val="00092C8C"/>
    <w:rsid w:val="0009310E"/>
    <w:rsid w:val="00093904"/>
    <w:rsid w:val="00093F4E"/>
    <w:rsid w:val="00094C0B"/>
    <w:rsid w:val="000955CB"/>
    <w:rsid w:val="00097A9F"/>
    <w:rsid w:val="000A2DFD"/>
    <w:rsid w:val="000A4EE3"/>
    <w:rsid w:val="000A5018"/>
    <w:rsid w:val="000A7107"/>
    <w:rsid w:val="000A798E"/>
    <w:rsid w:val="000B02F1"/>
    <w:rsid w:val="000B0EF9"/>
    <w:rsid w:val="000B2235"/>
    <w:rsid w:val="000B25AA"/>
    <w:rsid w:val="000B2E26"/>
    <w:rsid w:val="000B3EBE"/>
    <w:rsid w:val="000B44CF"/>
    <w:rsid w:val="000B69AB"/>
    <w:rsid w:val="000B6DBD"/>
    <w:rsid w:val="000B6FA1"/>
    <w:rsid w:val="000B721B"/>
    <w:rsid w:val="000B7886"/>
    <w:rsid w:val="000B7E7C"/>
    <w:rsid w:val="000C08C7"/>
    <w:rsid w:val="000C0C22"/>
    <w:rsid w:val="000C0F89"/>
    <w:rsid w:val="000C127A"/>
    <w:rsid w:val="000C197C"/>
    <w:rsid w:val="000C1D1E"/>
    <w:rsid w:val="000C3DB1"/>
    <w:rsid w:val="000C3E4E"/>
    <w:rsid w:val="000C3F5D"/>
    <w:rsid w:val="000D045B"/>
    <w:rsid w:val="000D0551"/>
    <w:rsid w:val="000D09CA"/>
    <w:rsid w:val="000D1A98"/>
    <w:rsid w:val="000D1B65"/>
    <w:rsid w:val="000D4619"/>
    <w:rsid w:val="000D52C8"/>
    <w:rsid w:val="000D68F6"/>
    <w:rsid w:val="000D7242"/>
    <w:rsid w:val="000E09E5"/>
    <w:rsid w:val="000E0DCD"/>
    <w:rsid w:val="000E196E"/>
    <w:rsid w:val="000E2F14"/>
    <w:rsid w:val="000E312C"/>
    <w:rsid w:val="000E3DE7"/>
    <w:rsid w:val="000E47B4"/>
    <w:rsid w:val="000E4D65"/>
    <w:rsid w:val="000E535D"/>
    <w:rsid w:val="000F0225"/>
    <w:rsid w:val="000F099E"/>
    <w:rsid w:val="000F29DC"/>
    <w:rsid w:val="000F4A35"/>
    <w:rsid w:val="000F4B48"/>
    <w:rsid w:val="00100106"/>
    <w:rsid w:val="0010061F"/>
    <w:rsid w:val="00101046"/>
    <w:rsid w:val="00103ECB"/>
    <w:rsid w:val="00105BB1"/>
    <w:rsid w:val="001063C6"/>
    <w:rsid w:val="00106502"/>
    <w:rsid w:val="00107230"/>
    <w:rsid w:val="0010753D"/>
    <w:rsid w:val="00107668"/>
    <w:rsid w:val="001077DE"/>
    <w:rsid w:val="00107A38"/>
    <w:rsid w:val="00107F29"/>
    <w:rsid w:val="001113F3"/>
    <w:rsid w:val="001116D6"/>
    <w:rsid w:val="00112C53"/>
    <w:rsid w:val="001130D5"/>
    <w:rsid w:val="001133A3"/>
    <w:rsid w:val="0011443C"/>
    <w:rsid w:val="0011654E"/>
    <w:rsid w:val="00117D6E"/>
    <w:rsid w:val="001221C0"/>
    <w:rsid w:val="00123B5A"/>
    <w:rsid w:val="00124007"/>
    <w:rsid w:val="00124917"/>
    <w:rsid w:val="00127CB6"/>
    <w:rsid w:val="00130CE0"/>
    <w:rsid w:val="0013218E"/>
    <w:rsid w:val="00132652"/>
    <w:rsid w:val="00133163"/>
    <w:rsid w:val="00133539"/>
    <w:rsid w:val="0013390D"/>
    <w:rsid w:val="00134719"/>
    <w:rsid w:val="00134E13"/>
    <w:rsid w:val="00135847"/>
    <w:rsid w:val="001367F4"/>
    <w:rsid w:val="001379DB"/>
    <w:rsid w:val="00137FA3"/>
    <w:rsid w:val="001406AC"/>
    <w:rsid w:val="0014179C"/>
    <w:rsid w:val="00141DF7"/>
    <w:rsid w:val="00142816"/>
    <w:rsid w:val="00143B7F"/>
    <w:rsid w:val="00145165"/>
    <w:rsid w:val="00145CCD"/>
    <w:rsid w:val="001473FA"/>
    <w:rsid w:val="001505D8"/>
    <w:rsid w:val="0015250D"/>
    <w:rsid w:val="001527DF"/>
    <w:rsid w:val="00152BCD"/>
    <w:rsid w:val="00153D62"/>
    <w:rsid w:val="00154790"/>
    <w:rsid w:val="0015563A"/>
    <w:rsid w:val="00156423"/>
    <w:rsid w:val="001600E5"/>
    <w:rsid w:val="00160622"/>
    <w:rsid w:val="00164FDB"/>
    <w:rsid w:val="001713E5"/>
    <w:rsid w:val="00174295"/>
    <w:rsid w:val="0017783A"/>
    <w:rsid w:val="00177A65"/>
    <w:rsid w:val="001809D3"/>
    <w:rsid w:val="001815B5"/>
    <w:rsid w:val="001829A7"/>
    <w:rsid w:val="00185154"/>
    <w:rsid w:val="00186379"/>
    <w:rsid w:val="0019114D"/>
    <w:rsid w:val="00192450"/>
    <w:rsid w:val="0019310A"/>
    <w:rsid w:val="00194A78"/>
    <w:rsid w:val="00195080"/>
    <w:rsid w:val="001967A3"/>
    <w:rsid w:val="00196AFF"/>
    <w:rsid w:val="00197C92"/>
    <w:rsid w:val="001A272A"/>
    <w:rsid w:val="001A2987"/>
    <w:rsid w:val="001A45AF"/>
    <w:rsid w:val="001A6C7A"/>
    <w:rsid w:val="001A7040"/>
    <w:rsid w:val="001B01B6"/>
    <w:rsid w:val="001B04E7"/>
    <w:rsid w:val="001B14C7"/>
    <w:rsid w:val="001B49CD"/>
    <w:rsid w:val="001B4E41"/>
    <w:rsid w:val="001B6B3C"/>
    <w:rsid w:val="001B7E85"/>
    <w:rsid w:val="001C052A"/>
    <w:rsid w:val="001C1FDF"/>
    <w:rsid w:val="001C20A9"/>
    <w:rsid w:val="001C251E"/>
    <w:rsid w:val="001C2D8B"/>
    <w:rsid w:val="001C45FF"/>
    <w:rsid w:val="001C464E"/>
    <w:rsid w:val="001D1EBC"/>
    <w:rsid w:val="001D2788"/>
    <w:rsid w:val="001D6260"/>
    <w:rsid w:val="001E065D"/>
    <w:rsid w:val="001E0CAF"/>
    <w:rsid w:val="001E21E9"/>
    <w:rsid w:val="001E28F6"/>
    <w:rsid w:val="001E2C91"/>
    <w:rsid w:val="001E2EFC"/>
    <w:rsid w:val="001E34D6"/>
    <w:rsid w:val="001E4DC3"/>
    <w:rsid w:val="001E530E"/>
    <w:rsid w:val="001E5703"/>
    <w:rsid w:val="001E6324"/>
    <w:rsid w:val="001E7ACB"/>
    <w:rsid w:val="001F128F"/>
    <w:rsid w:val="001F16CA"/>
    <w:rsid w:val="001F1B2D"/>
    <w:rsid w:val="001F26D0"/>
    <w:rsid w:val="001F2770"/>
    <w:rsid w:val="001F44DC"/>
    <w:rsid w:val="001F6F0A"/>
    <w:rsid w:val="001F7C9F"/>
    <w:rsid w:val="001F7E3F"/>
    <w:rsid w:val="002003FA"/>
    <w:rsid w:val="00204D2E"/>
    <w:rsid w:val="00204F2A"/>
    <w:rsid w:val="00205175"/>
    <w:rsid w:val="0020754B"/>
    <w:rsid w:val="002078C1"/>
    <w:rsid w:val="00207E9E"/>
    <w:rsid w:val="002106C4"/>
    <w:rsid w:val="00210C95"/>
    <w:rsid w:val="00210DAC"/>
    <w:rsid w:val="00210DEF"/>
    <w:rsid w:val="002110D7"/>
    <w:rsid w:val="002119F6"/>
    <w:rsid w:val="00211A64"/>
    <w:rsid w:val="00212C1B"/>
    <w:rsid w:val="00215893"/>
    <w:rsid w:val="00216536"/>
    <w:rsid w:val="00216A2D"/>
    <w:rsid w:val="00216BC2"/>
    <w:rsid w:val="002210C9"/>
    <w:rsid w:val="002219C6"/>
    <w:rsid w:val="00222215"/>
    <w:rsid w:val="002234D2"/>
    <w:rsid w:val="00224CBC"/>
    <w:rsid w:val="00225961"/>
    <w:rsid w:val="0022730E"/>
    <w:rsid w:val="00230BB0"/>
    <w:rsid w:val="002310C5"/>
    <w:rsid w:val="00234F96"/>
    <w:rsid w:val="00235BF7"/>
    <w:rsid w:val="00236C25"/>
    <w:rsid w:val="00240CAC"/>
    <w:rsid w:val="002420D1"/>
    <w:rsid w:val="002439DC"/>
    <w:rsid w:val="00243C0B"/>
    <w:rsid w:val="00243C1E"/>
    <w:rsid w:val="00244FCC"/>
    <w:rsid w:val="00246285"/>
    <w:rsid w:val="00247BEF"/>
    <w:rsid w:val="0025116A"/>
    <w:rsid w:val="0025119D"/>
    <w:rsid w:val="00251B13"/>
    <w:rsid w:val="00252201"/>
    <w:rsid w:val="002532CA"/>
    <w:rsid w:val="00254722"/>
    <w:rsid w:val="00254DD8"/>
    <w:rsid w:val="00254FD0"/>
    <w:rsid w:val="00256702"/>
    <w:rsid w:val="00257271"/>
    <w:rsid w:val="002574C6"/>
    <w:rsid w:val="00261995"/>
    <w:rsid w:val="00261FC9"/>
    <w:rsid w:val="00262494"/>
    <w:rsid w:val="0026550C"/>
    <w:rsid w:val="00265599"/>
    <w:rsid w:val="00266350"/>
    <w:rsid w:val="00270B33"/>
    <w:rsid w:val="00270FC9"/>
    <w:rsid w:val="00271607"/>
    <w:rsid w:val="00273FF4"/>
    <w:rsid w:val="00274701"/>
    <w:rsid w:val="002760A2"/>
    <w:rsid w:val="00281357"/>
    <w:rsid w:val="00282149"/>
    <w:rsid w:val="00283A5A"/>
    <w:rsid w:val="00287A9C"/>
    <w:rsid w:val="002903A9"/>
    <w:rsid w:val="00291224"/>
    <w:rsid w:val="00291EDB"/>
    <w:rsid w:val="00293E2C"/>
    <w:rsid w:val="00294268"/>
    <w:rsid w:val="002942B7"/>
    <w:rsid w:val="002951A1"/>
    <w:rsid w:val="002975D4"/>
    <w:rsid w:val="002A184C"/>
    <w:rsid w:val="002A1D41"/>
    <w:rsid w:val="002A32FC"/>
    <w:rsid w:val="002A3A06"/>
    <w:rsid w:val="002A3C3C"/>
    <w:rsid w:val="002A46AA"/>
    <w:rsid w:val="002A6076"/>
    <w:rsid w:val="002A6CFE"/>
    <w:rsid w:val="002A7E9D"/>
    <w:rsid w:val="002B0074"/>
    <w:rsid w:val="002B2452"/>
    <w:rsid w:val="002B266A"/>
    <w:rsid w:val="002B4003"/>
    <w:rsid w:val="002B6670"/>
    <w:rsid w:val="002B6CE4"/>
    <w:rsid w:val="002C1417"/>
    <w:rsid w:val="002C2C63"/>
    <w:rsid w:val="002C2DA7"/>
    <w:rsid w:val="002C30D6"/>
    <w:rsid w:val="002C3234"/>
    <w:rsid w:val="002C47CB"/>
    <w:rsid w:val="002C4EE2"/>
    <w:rsid w:val="002C5B1C"/>
    <w:rsid w:val="002C7CE7"/>
    <w:rsid w:val="002D0093"/>
    <w:rsid w:val="002D0E3F"/>
    <w:rsid w:val="002D0EB5"/>
    <w:rsid w:val="002D1361"/>
    <w:rsid w:val="002D17E8"/>
    <w:rsid w:val="002D36B6"/>
    <w:rsid w:val="002D4254"/>
    <w:rsid w:val="002D46AB"/>
    <w:rsid w:val="002D4927"/>
    <w:rsid w:val="002D4A75"/>
    <w:rsid w:val="002D4DDE"/>
    <w:rsid w:val="002D4E6E"/>
    <w:rsid w:val="002D646A"/>
    <w:rsid w:val="002D675C"/>
    <w:rsid w:val="002D6B27"/>
    <w:rsid w:val="002D6DAE"/>
    <w:rsid w:val="002D6E18"/>
    <w:rsid w:val="002E417B"/>
    <w:rsid w:val="002E449C"/>
    <w:rsid w:val="002E5763"/>
    <w:rsid w:val="002E6440"/>
    <w:rsid w:val="002E65B7"/>
    <w:rsid w:val="002E769F"/>
    <w:rsid w:val="002F1863"/>
    <w:rsid w:val="002F2070"/>
    <w:rsid w:val="002F26F0"/>
    <w:rsid w:val="002F2A27"/>
    <w:rsid w:val="002F3504"/>
    <w:rsid w:val="002F4862"/>
    <w:rsid w:val="002F520F"/>
    <w:rsid w:val="002F65FC"/>
    <w:rsid w:val="002F73AF"/>
    <w:rsid w:val="002F7929"/>
    <w:rsid w:val="003010CC"/>
    <w:rsid w:val="00301893"/>
    <w:rsid w:val="00303BF8"/>
    <w:rsid w:val="00304899"/>
    <w:rsid w:val="003066A0"/>
    <w:rsid w:val="00310C69"/>
    <w:rsid w:val="00311FED"/>
    <w:rsid w:val="003133DB"/>
    <w:rsid w:val="003137E5"/>
    <w:rsid w:val="003138BB"/>
    <w:rsid w:val="00314397"/>
    <w:rsid w:val="0031503C"/>
    <w:rsid w:val="0031612B"/>
    <w:rsid w:val="00316D95"/>
    <w:rsid w:val="003170F5"/>
    <w:rsid w:val="00317C91"/>
    <w:rsid w:val="00320055"/>
    <w:rsid w:val="0032058B"/>
    <w:rsid w:val="00321654"/>
    <w:rsid w:val="0032175C"/>
    <w:rsid w:val="0032259E"/>
    <w:rsid w:val="003258E5"/>
    <w:rsid w:val="00327D5A"/>
    <w:rsid w:val="003311D1"/>
    <w:rsid w:val="0033249E"/>
    <w:rsid w:val="00334BA1"/>
    <w:rsid w:val="00336FA2"/>
    <w:rsid w:val="0033747D"/>
    <w:rsid w:val="00337816"/>
    <w:rsid w:val="003403E3"/>
    <w:rsid w:val="003411DD"/>
    <w:rsid w:val="003426FD"/>
    <w:rsid w:val="003428F2"/>
    <w:rsid w:val="00342A9C"/>
    <w:rsid w:val="00344003"/>
    <w:rsid w:val="00344724"/>
    <w:rsid w:val="0034530F"/>
    <w:rsid w:val="00345FBF"/>
    <w:rsid w:val="003473E1"/>
    <w:rsid w:val="0034757B"/>
    <w:rsid w:val="0035059D"/>
    <w:rsid w:val="0035189C"/>
    <w:rsid w:val="00351A6F"/>
    <w:rsid w:val="00351A90"/>
    <w:rsid w:val="00353260"/>
    <w:rsid w:val="003533A4"/>
    <w:rsid w:val="003537D8"/>
    <w:rsid w:val="00355363"/>
    <w:rsid w:val="00355C5C"/>
    <w:rsid w:val="00356A0D"/>
    <w:rsid w:val="0035795C"/>
    <w:rsid w:val="00360866"/>
    <w:rsid w:val="00360AE9"/>
    <w:rsid w:val="00361593"/>
    <w:rsid w:val="00361D4F"/>
    <w:rsid w:val="00362852"/>
    <w:rsid w:val="0036289F"/>
    <w:rsid w:val="00364CE1"/>
    <w:rsid w:val="00367224"/>
    <w:rsid w:val="00370928"/>
    <w:rsid w:val="00372FBD"/>
    <w:rsid w:val="0037398C"/>
    <w:rsid w:val="00373F9C"/>
    <w:rsid w:val="00375ADF"/>
    <w:rsid w:val="0037618F"/>
    <w:rsid w:val="0037627E"/>
    <w:rsid w:val="00380FCA"/>
    <w:rsid w:val="0038150B"/>
    <w:rsid w:val="003845C1"/>
    <w:rsid w:val="003853C1"/>
    <w:rsid w:val="003877BC"/>
    <w:rsid w:val="00387856"/>
    <w:rsid w:val="00387F23"/>
    <w:rsid w:val="00390743"/>
    <w:rsid w:val="00393408"/>
    <w:rsid w:val="00395839"/>
    <w:rsid w:val="003963A7"/>
    <w:rsid w:val="003A04C1"/>
    <w:rsid w:val="003A08A5"/>
    <w:rsid w:val="003A11E6"/>
    <w:rsid w:val="003A1ACB"/>
    <w:rsid w:val="003A1CDB"/>
    <w:rsid w:val="003A409B"/>
    <w:rsid w:val="003A4A7F"/>
    <w:rsid w:val="003A5933"/>
    <w:rsid w:val="003A6005"/>
    <w:rsid w:val="003B0945"/>
    <w:rsid w:val="003B097F"/>
    <w:rsid w:val="003B0BC3"/>
    <w:rsid w:val="003B0D65"/>
    <w:rsid w:val="003B182E"/>
    <w:rsid w:val="003B1F46"/>
    <w:rsid w:val="003B4C1D"/>
    <w:rsid w:val="003B4DCF"/>
    <w:rsid w:val="003B63E7"/>
    <w:rsid w:val="003B6F7B"/>
    <w:rsid w:val="003B7042"/>
    <w:rsid w:val="003C3109"/>
    <w:rsid w:val="003C46D1"/>
    <w:rsid w:val="003C4CA0"/>
    <w:rsid w:val="003C53C9"/>
    <w:rsid w:val="003C53D0"/>
    <w:rsid w:val="003C5CA0"/>
    <w:rsid w:val="003D09C4"/>
    <w:rsid w:val="003D1886"/>
    <w:rsid w:val="003D1E06"/>
    <w:rsid w:val="003D2B63"/>
    <w:rsid w:val="003D3B71"/>
    <w:rsid w:val="003D41BB"/>
    <w:rsid w:val="003D4A4B"/>
    <w:rsid w:val="003D508D"/>
    <w:rsid w:val="003D56AF"/>
    <w:rsid w:val="003D73AB"/>
    <w:rsid w:val="003D7B04"/>
    <w:rsid w:val="003D7F2A"/>
    <w:rsid w:val="003E0B12"/>
    <w:rsid w:val="003E1EF3"/>
    <w:rsid w:val="003E2FC3"/>
    <w:rsid w:val="003E3265"/>
    <w:rsid w:val="003E5319"/>
    <w:rsid w:val="003E758E"/>
    <w:rsid w:val="003F19DB"/>
    <w:rsid w:val="003F19FE"/>
    <w:rsid w:val="003F2028"/>
    <w:rsid w:val="003F3A1C"/>
    <w:rsid w:val="003F4BAC"/>
    <w:rsid w:val="003F5C16"/>
    <w:rsid w:val="003F693F"/>
    <w:rsid w:val="003F7479"/>
    <w:rsid w:val="004004EF"/>
    <w:rsid w:val="00400E37"/>
    <w:rsid w:val="004031B5"/>
    <w:rsid w:val="004041DA"/>
    <w:rsid w:val="00404615"/>
    <w:rsid w:val="00404C38"/>
    <w:rsid w:val="00405052"/>
    <w:rsid w:val="0040689F"/>
    <w:rsid w:val="00407776"/>
    <w:rsid w:val="0041232A"/>
    <w:rsid w:val="00412C82"/>
    <w:rsid w:val="00412F9C"/>
    <w:rsid w:val="0041356B"/>
    <w:rsid w:val="0041366C"/>
    <w:rsid w:val="00413686"/>
    <w:rsid w:val="00413931"/>
    <w:rsid w:val="004157C6"/>
    <w:rsid w:val="00416AE4"/>
    <w:rsid w:val="00421159"/>
    <w:rsid w:val="00421252"/>
    <w:rsid w:val="00424EDA"/>
    <w:rsid w:val="0042585C"/>
    <w:rsid w:val="0042661D"/>
    <w:rsid w:val="00427353"/>
    <w:rsid w:val="00427672"/>
    <w:rsid w:val="00427FCC"/>
    <w:rsid w:val="00430785"/>
    <w:rsid w:val="00433055"/>
    <w:rsid w:val="00433662"/>
    <w:rsid w:val="0043444F"/>
    <w:rsid w:val="0043564D"/>
    <w:rsid w:val="00435FE4"/>
    <w:rsid w:val="0043628A"/>
    <w:rsid w:val="004363F9"/>
    <w:rsid w:val="004403FE"/>
    <w:rsid w:val="00440712"/>
    <w:rsid w:val="00442412"/>
    <w:rsid w:val="00442D25"/>
    <w:rsid w:val="0044372D"/>
    <w:rsid w:val="0044431E"/>
    <w:rsid w:val="00444A70"/>
    <w:rsid w:val="00444AE6"/>
    <w:rsid w:val="00444B8A"/>
    <w:rsid w:val="004458A7"/>
    <w:rsid w:val="00445F11"/>
    <w:rsid w:val="004478FD"/>
    <w:rsid w:val="00450FC3"/>
    <w:rsid w:val="00453353"/>
    <w:rsid w:val="0045375C"/>
    <w:rsid w:val="00454524"/>
    <w:rsid w:val="00454FAE"/>
    <w:rsid w:val="00455A29"/>
    <w:rsid w:val="00462A18"/>
    <w:rsid w:val="0046442D"/>
    <w:rsid w:val="00466E04"/>
    <w:rsid w:val="004700B3"/>
    <w:rsid w:val="00471081"/>
    <w:rsid w:val="0047159E"/>
    <w:rsid w:val="00472A0A"/>
    <w:rsid w:val="00472F96"/>
    <w:rsid w:val="004741E6"/>
    <w:rsid w:val="00475B53"/>
    <w:rsid w:val="004815CA"/>
    <w:rsid w:val="00481A51"/>
    <w:rsid w:val="0048223D"/>
    <w:rsid w:val="00482409"/>
    <w:rsid w:val="00483169"/>
    <w:rsid w:val="004846CE"/>
    <w:rsid w:val="0048631D"/>
    <w:rsid w:val="00487B62"/>
    <w:rsid w:val="00491C59"/>
    <w:rsid w:val="00493037"/>
    <w:rsid w:val="00493636"/>
    <w:rsid w:val="00493894"/>
    <w:rsid w:val="004959DD"/>
    <w:rsid w:val="00496C80"/>
    <w:rsid w:val="004A1186"/>
    <w:rsid w:val="004A12F1"/>
    <w:rsid w:val="004A176A"/>
    <w:rsid w:val="004A2572"/>
    <w:rsid w:val="004A2B09"/>
    <w:rsid w:val="004A347D"/>
    <w:rsid w:val="004A47CA"/>
    <w:rsid w:val="004B12F4"/>
    <w:rsid w:val="004B18BF"/>
    <w:rsid w:val="004B24F5"/>
    <w:rsid w:val="004B27C4"/>
    <w:rsid w:val="004B30CD"/>
    <w:rsid w:val="004B4581"/>
    <w:rsid w:val="004B51B2"/>
    <w:rsid w:val="004B574B"/>
    <w:rsid w:val="004B5D90"/>
    <w:rsid w:val="004B63ED"/>
    <w:rsid w:val="004B69CD"/>
    <w:rsid w:val="004B6AE6"/>
    <w:rsid w:val="004B6DD5"/>
    <w:rsid w:val="004B7DAE"/>
    <w:rsid w:val="004B7DB2"/>
    <w:rsid w:val="004C0474"/>
    <w:rsid w:val="004C0889"/>
    <w:rsid w:val="004C0E21"/>
    <w:rsid w:val="004C142F"/>
    <w:rsid w:val="004C17E7"/>
    <w:rsid w:val="004C2D48"/>
    <w:rsid w:val="004C5389"/>
    <w:rsid w:val="004C5892"/>
    <w:rsid w:val="004C788D"/>
    <w:rsid w:val="004C7C4D"/>
    <w:rsid w:val="004D100C"/>
    <w:rsid w:val="004D11CE"/>
    <w:rsid w:val="004D271D"/>
    <w:rsid w:val="004D39A6"/>
    <w:rsid w:val="004D3F0F"/>
    <w:rsid w:val="004D4B2E"/>
    <w:rsid w:val="004D5599"/>
    <w:rsid w:val="004D6900"/>
    <w:rsid w:val="004E141C"/>
    <w:rsid w:val="004E2295"/>
    <w:rsid w:val="004E2AC5"/>
    <w:rsid w:val="004E3809"/>
    <w:rsid w:val="004E3ECC"/>
    <w:rsid w:val="004E45C0"/>
    <w:rsid w:val="004E4A76"/>
    <w:rsid w:val="004E56FB"/>
    <w:rsid w:val="004E5823"/>
    <w:rsid w:val="004E5E26"/>
    <w:rsid w:val="004E6197"/>
    <w:rsid w:val="004E79A4"/>
    <w:rsid w:val="004E7F64"/>
    <w:rsid w:val="004F119C"/>
    <w:rsid w:val="004F219E"/>
    <w:rsid w:val="004F2A3C"/>
    <w:rsid w:val="004F328A"/>
    <w:rsid w:val="004F3D6F"/>
    <w:rsid w:val="004F45ED"/>
    <w:rsid w:val="004F621D"/>
    <w:rsid w:val="004F71AE"/>
    <w:rsid w:val="004F76F2"/>
    <w:rsid w:val="004F7EDF"/>
    <w:rsid w:val="00500D33"/>
    <w:rsid w:val="00500EC3"/>
    <w:rsid w:val="005023EF"/>
    <w:rsid w:val="005024B5"/>
    <w:rsid w:val="0050271B"/>
    <w:rsid w:val="00503315"/>
    <w:rsid w:val="005059CD"/>
    <w:rsid w:val="005060D0"/>
    <w:rsid w:val="0050629B"/>
    <w:rsid w:val="0051056D"/>
    <w:rsid w:val="0051057F"/>
    <w:rsid w:val="00510C27"/>
    <w:rsid w:val="00510DAC"/>
    <w:rsid w:val="0051393C"/>
    <w:rsid w:val="00513B4F"/>
    <w:rsid w:val="00514BF1"/>
    <w:rsid w:val="00515079"/>
    <w:rsid w:val="00515902"/>
    <w:rsid w:val="005174A2"/>
    <w:rsid w:val="00521B9F"/>
    <w:rsid w:val="00522D54"/>
    <w:rsid w:val="00523EAC"/>
    <w:rsid w:val="00525033"/>
    <w:rsid w:val="00525DA0"/>
    <w:rsid w:val="00526448"/>
    <w:rsid w:val="00526BA3"/>
    <w:rsid w:val="0052767A"/>
    <w:rsid w:val="00530E46"/>
    <w:rsid w:val="00531E59"/>
    <w:rsid w:val="00531EFD"/>
    <w:rsid w:val="005324EC"/>
    <w:rsid w:val="005331C9"/>
    <w:rsid w:val="00534201"/>
    <w:rsid w:val="00535C13"/>
    <w:rsid w:val="0053609C"/>
    <w:rsid w:val="005365BE"/>
    <w:rsid w:val="00536FB3"/>
    <w:rsid w:val="00541C28"/>
    <w:rsid w:val="00542164"/>
    <w:rsid w:val="00542D57"/>
    <w:rsid w:val="00543523"/>
    <w:rsid w:val="00543796"/>
    <w:rsid w:val="00544242"/>
    <w:rsid w:val="00544B42"/>
    <w:rsid w:val="00550C75"/>
    <w:rsid w:val="00551772"/>
    <w:rsid w:val="0055219D"/>
    <w:rsid w:val="0055353F"/>
    <w:rsid w:val="00553A95"/>
    <w:rsid w:val="00554686"/>
    <w:rsid w:val="00554A15"/>
    <w:rsid w:val="00554DB8"/>
    <w:rsid w:val="00554E4D"/>
    <w:rsid w:val="005563CA"/>
    <w:rsid w:val="0056046D"/>
    <w:rsid w:val="0056056D"/>
    <w:rsid w:val="0056243E"/>
    <w:rsid w:val="005629CC"/>
    <w:rsid w:val="005646C4"/>
    <w:rsid w:val="0056488D"/>
    <w:rsid w:val="00564FD2"/>
    <w:rsid w:val="0056633F"/>
    <w:rsid w:val="00566758"/>
    <w:rsid w:val="00566E7F"/>
    <w:rsid w:val="00567BD9"/>
    <w:rsid w:val="005708DA"/>
    <w:rsid w:val="005713E5"/>
    <w:rsid w:val="005723FB"/>
    <w:rsid w:val="00573A0A"/>
    <w:rsid w:val="00575059"/>
    <w:rsid w:val="005755C7"/>
    <w:rsid w:val="005760D0"/>
    <w:rsid w:val="0057671C"/>
    <w:rsid w:val="005776E4"/>
    <w:rsid w:val="005815D9"/>
    <w:rsid w:val="00582443"/>
    <w:rsid w:val="00583113"/>
    <w:rsid w:val="00583B68"/>
    <w:rsid w:val="00584150"/>
    <w:rsid w:val="005850B9"/>
    <w:rsid w:val="00586DF1"/>
    <w:rsid w:val="00587419"/>
    <w:rsid w:val="00590D39"/>
    <w:rsid w:val="00591BB2"/>
    <w:rsid w:val="005929C3"/>
    <w:rsid w:val="00595037"/>
    <w:rsid w:val="005956EE"/>
    <w:rsid w:val="00595ECD"/>
    <w:rsid w:val="005A0030"/>
    <w:rsid w:val="005A3848"/>
    <w:rsid w:val="005A435A"/>
    <w:rsid w:val="005A4E09"/>
    <w:rsid w:val="005A513C"/>
    <w:rsid w:val="005A5754"/>
    <w:rsid w:val="005A591D"/>
    <w:rsid w:val="005A5F68"/>
    <w:rsid w:val="005A6DD0"/>
    <w:rsid w:val="005A70DB"/>
    <w:rsid w:val="005A7D99"/>
    <w:rsid w:val="005B00A1"/>
    <w:rsid w:val="005B0423"/>
    <w:rsid w:val="005B0C40"/>
    <w:rsid w:val="005B20DF"/>
    <w:rsid w:val="005B2488"/>
    <w:rsid w:val="005B5613"/>
    <w:rsid w:val="005B59A1"/>
    <w:rsid w:val="005B59DD"/>
    <w:rsid w:val="005B651F"/>
    <w:rsid w:val="005B69DF"/>
    <w:rsid w:val="005C0CB2"/>
    <w:rsid w:val="005C0CBA"/>
    <w:rsid w:val="005C562E"/>
    <w:rsid w:val="005D1DE1"/>
    <w:rsid w:val="005D2136"/>
    <w:rsid w:val="005D2647"/>
    <w:rsid w:val="005D330E"/>
    <w:rsid w:val="005D3F5C"/>
    <w:rsid w:val="005D47F2"/>
    <w:rsid w:val="005D4DD7"/>
    <w:rsid w:val="005D54FC"/>
    <w:rsid w:val="005D620B"/>
    <w:rsid w:val="005D6733"/>
    <w:rsid w:val="005D787A"/>
    <w:rsid w:val="005E0D7C"/>
    <w:rsid w:val="005E111D"/>
    <w:rsid w:val="005E13CC"/>
    <w:rsid w:val="005E19D3"/>
    <w:rsid w:val="005E259B"/>
    <w:rsid w:val="005E2F3E"/>
    <w:rsid w:val="005E31E6"/>
    <w:rsid w:val="005E5224"/>
    <w:rsid w:val="005E57D0"/>
    <w:rsid w:val="005F2A70"/>
    <w:rsid w:val="005F3514"/>
    <w:rsid w:val="005F3B85"/>
    <w:rsid w:val="005F6884"/>
    <w:rsid w:val="005F6E0D"/>
    <w:rsid w:val="005F7539"/>
    <w:rsid w:val="005F7B7A"/>
    <w:rsid w:val="00600846"/>
    <w:rsid w:val="0060152F"/>
    <w:rsid w:val="006025ED"/>
    <w:rsid w:val="006057A3"/>
    <w:rsid w:val="00607BD5"/>
    <w:rsid w:val="00610290"/>
    <w:rsid w:val="0061089F"/>
    <w:rsid w:val="00610DD5"/>
    <w:rsid w:val="00611E4B"/>
    <w:rsid w:val="00614814"/>
    <w:rsid w:val="00615A28"/>
    <w:rsid w:val="00616C8C"/>
    <w:rsid w:val="0061760E"/>
    <w:rsid w:val="00617A52"/>
    <w:rsid w:val="00620224"/>
    <w:rsid w:val="00620D72"/>
    <w:rsid w:val="00621C4F"/>
    <w:rsid w:val="00623573"/>
    <w:rsid w:val="00624C51"/>
    <w:rsid w:val="00624D1B"/>
    <w:rsid w:val="006255CA"/>
    <w:rsid w:val="00631DBF"/>
    <w:rsid w:val="00633235"/>
    <w:rsid w:val="00635879"/>
    <w:rsid w:val="00640284"/>
    <w:rsid w:val="006404B4"/>
    <w:rsid w:val="006435E4"/>
    <w:rsid w:val="00644CE3"/>
    <w:rsid w:val="0064539A"/>
    <w:rsid w:val="00646429"/>
    <w:rsid w:val="006467F5"/>
    <w:rsid w:val="00650479"/>
    <w:rsid w:val="00650808"/>
    <w:rsid w:val="00652C68"/>
    <w:rsid w:val="006530F9"/>
    <w:rsid w:val="0065325A"/>
    <w:rsid w:val="00653E45"/>
    <w:rsid w:val="00656F45"/>
    <w:rsid w:val="00662164"/>
    <w:rsid w:val="00662ADE"/>
    <w:rsid w:val="00662FA6"/>
    <w:rsid w:val="00664F06"/>
    <w:rsid w:val="0066554F"/>
    <w:rsid w:val="006655C3"/>
    <w:rsid w:val="006658FC"/>
    <w:rsid w:val="00665F50"/>
    <w:rsid w:val="006662C4"/>
    <w:rsid w:val="0066639B"/>
    <w:rsid w:val="006665BD"/>
    <w:rsid w:val="00666B21"/>
    <w:rsid w:val="00667D3B"/>
    <w:rsid w:val="0067330A"/>
    <w:rsid w:val="00674316"/>
    <w:rsid w:val="006753F8"/>
    <w:rsid w:val="00675D0C"/>
    <w:rsid w:val="00675FEF"/>
    <w:rsid w:val="0067737E"/>
    <w:rsid w:val="006825DF"/>
    <w:rsid w:val="00683080"/>
    <w:rsid w:val="006833BC"/>
    <w:rsid w:val="00683705"/>
    <w:rsid w:val="00684E74"/>
    <w:rsid w:val="006850D7"/>
    <w:rsid w:val="006876CD"/>
    <w:rsid w:val="0068784D"/>
    <w:rsid w:val="00690B4A"/>
    <w:rsid w:val="00692381"/>
    <w:rsid w:val="00692721"/>
    <w:rsid w:val="006947D5"/>
    <w:rsid w:val="00696095"/>
    <w:rsid w:val="00696346"/>
    <w:rsid w:val="00696FC7"/>
    <w:rsid w:val="006A08E3"/>
    <w:rsid w:val="006A1801"/>
    <w:rsid w:val="006A1878"/>
    <w:rsid w:val="006A2271"/>
    <w:rsid w:val="006A24C9"/>
    <w:rsid w:val="006A2E6F"/>
    <w:rsid w:val="006A2E99"/>
    <w:rsid w:val="006A2FCC"/>
    <w:rsid w:val="006A4597"/>
    <w:rsid w:val="006A57A9"/>
    <w:rsid w:val="006A64DD"/>
    <w:rsid w:val="006A7353"/>
    <w:rsid w:val="006A783E"/>
    <w:rsid w:val="006A7ADC"/>
    <w:rsid w:val="006B002B"/>
    <w:rsid w:val="006B0F3D"/>
    <w:rsid w:val="006B23F6"/>
    <w:rsid w:val="006B2C47"/>
    <w:rsid w:val="006B4537"/>
    <w:rsid w:val="006B45C9"/>
    <w:rsid w:val="006B4705"/>
    <w:rsid w:val="006B75D0"/>
    <w:rsid w:val="006B7A11"/>
    <w:rsid w:val="006C18D2"/>
    <w:rsid w:val="006C4126"/>
    <w:rsid w:val="006C4BD0"/>
    <w:rsid w:val="006C62D8"/>
    <w:rsid w:val="006D0210"/>
    <w:rsid w:val="006D048D"/>
    <w:rsid w:val="006D17E9"/>
    <w:rsid w:val="006D22C5"/>
    <w:rsid w:val="006D3BA4"/>
    <w:rsid w:val="006D4B8F"/>
    <w:rsid w:val="006D4F06"/>
    <w:rsid w:val="006D7EE8"/>
    <w:rsid w:val="006E0769"/>
    <w:rsid w:val="006E0B04"/>
    <w:rsid w:val="006E1A0F"/>
    <w:rsid w:val="006E2739"/>
    <w:rsid w:val="006E279E"/>
    <w:rsid w:val="006E2A9F"/>
    <w:rsid w:val="006E2B70"/>
    <w:rsid w:val="006E2C6D"/>
    <w:rsid w:val="006E347F"/>
    <w:rsid w:val="006E78EB"/>
    <w:rsid w:val="006E7F71"/>
    <w:rsid w:val="006F0589"/>
    <w:rsid w:val="006F0B19"/>
    <w:rsid w:val="006F1134"/>
    <w:rsid w:val="006F3822"/>
    <w:rsid w:val="006F447A"/>
    <w:rsid w:val="006F49EE"/>
    <w:rsid w:val="006F70DA"/>
    <w:rsid w:val="006F7CA1"/>
    <w:rsid w:val="00702460"/>
    <w:rsid w:val="007031E4"/>
    <w:rsid w:val="00703B52"/>
    <w:rsid w:val="00706181"/>
    <w:rsid w:val="00707F86"/>
    <w:rsid w:val="00710741"/>
    <w:rsid w:val="00712F9B"/>
    <w:rsid w:val="0071356A"/>
    <w:rsid w:val="0071393A"/>
    <w:rsid w:val="00713EC4"/>
    <w:rsid w:val="00716B1F"/>
    <w:rsid w:val="00717857"/>
    <w:rsid w:val="0071795C"/>
    <w:rsid w:val="00717F62"/>
    <w:rsid w:val="0072036E"/>
    <w:rsid w:val="00720D03"/>
    <w:rsid w:val="00722B00"/>
    <w:rsid w:val="00724874"/>
    <w:rsid w:val="0072678C"/>
    <w:rsid w:val="007270EB"/>
    <w:rsid w:val="00730F55"/>
    <w:rsid w:val="00733854"/>
    <w:rsid w:val="00734EA7"/>
    <w:rsid w:val="00735E50"/>
    <w:rsid w:val="00735F95"/>
    <w:rsid w:val="0074107D"/>
    <w:rsid w:val="00744CB2"/>
    <w:rsid w:val="007456D0"/>
    <w:rsid w:val="0074597C"/>
    <w:rsid w:val="007460C7"/>
    <w:rsid w:val="00747AE9"/>
    <w:rsid w:val="007508C2"/>
    <w:rsid w:val="00753649"/>
    <w:rsid w:val="0075372B"/>
    <w:rsid w:val="007544DE"/>
    <w:rsid w:val="00760FA5"/>
    <w:rsid w:val="007640A4"/>
    <w:rsid w:val="007651A2"/>
    <w:rsid w:val="00765BC3"/>
    <w:rsid w:val="00765D8B"/>
    <w:rsid w:val="00765F6F"/>
    <w:rsid w:val="00767243"/>
    <w:rsid w:val="00770BF1"/>
    <w:rsid w:val="00774E81"/>
    <w:rsid w:val="00776DFA"/>
    <w:rsid w:val="00777AF3"/>
    <w:rsid w:val="00780712"/>
    <w:rsid w:val="00780AAC"/>
    <w:rsid w:val="00782617"/>
    <w:rsid w:val="007837EB"/>
    <w:rsid w:val="007839D2"/>
    <w:rsid w:val="00783E15"/>
    <w:rsid w:val="00784E57"/>
    <w:rsid w:val="007859CB"/>
    <w:rsid w:val="00786081"/>
    <w:rsid w:val="007905C5"/>
    <w:rsid w:val="007910F9"/>
    <w:rsid w:val="007940EF"/>
    <w:rsid w:val="0079514F"/>
    <w:rsid w:val="007958AF"/>
    <w:rsid w:val="00795B31"/>
    <w:rsid w:val="00796387"/>
    <w:rsid w:val="00797A04"/>
    <w:rsid w:val="007A0A48"/>
    <w:rsid w:val="007A150B"/>
    <w:rsid w:val="007A22F1"/>
    <w:rsid w:val="007A28C5"/>
    <w:rsid w:val="007A3B9F"/>
    <w:rsid w:val="007A5346"/>
    <w:rsid w:val="007A6777"/>
    <w:rsid w:val="007A6DA3"/>
    <w:rsid w:val="007B119F"/>
    <w:rsid w:val="007B44BA"/>
    <w:rsid w:val="007B4689"/>
    <w:rsid w:val="007B706F"/>
    <w:rsid w:val="007C23A4"/>
    <w:rsid w:val="007C26B4"/>
    <w:rsid w:val="007C32F6"/>
    <w:rsid w:val="007C3DED"/>
    <w:rsid w:val="007D0A78"/>
    <w:rsid w:val="007D43A6"/>
    <w:rsid w:val="007D49FE"/>
    <w:rsid w:val="007D57B3"/>
    <w:rsid w:val="007D5F51"/>
    <w:rsid w:val="007D70D5"/>
    <w:rsid w:val="007D7D01"/>
    <w:rsid w:val="007E3128"/>
    <w:rsid w:val="007E38AA"/>
    <w:rsid w:val="007E4965"/>
    <w:rsid w:val="007E4E40"/>
    <w:rsid w:val="007E4F0A"/>
    <w:rsid w:val="007F09B9"/>
    <w:rsid w:val="007F1708"/>
    <w:rsid w:val="007F215E"/>
    <w:rsid w:val="007F220F"/>
    <w:rsid w:val="007F2691"/>
    <w:rsid w:val="007F2806"/>
    <w:rsid w:val="007F3E61"/>
    <w:rsid w:val="007F47F7"/>
    <w:rsid w:val="007F58F2"/>
    <w:rsid w:val="007F69CE"/>
    <w:rsid w:val="008028EE"/>
    <w:rsid w:val="00803374"/>
    <w:rsid w:val="0080384C"/>
    <w:rsid w:val="00803FA1"/>
    <w:rsid w:val="00806F6C"/>
    <w:rsid w:val="00814033"/>
    <w:rsid w:val="00815711"/>
    <w:rsid w:val="0081752A"/>
    <w:rsid w:val="00817D6F"/>
    <w:rsid w:val="008202B8"/>
    <w:rsid w:val="00820395"/>
    <w:rsid w:val="0082063B"/>
    <w:rsid w:val="00822503"/>
    <w:rsid w:val="00824845"/>
    <w:rsid w:val="00827308"/>
    <w:rsid w:val="00831063"/>
    <w:rsid w:val="00834DB7"/>
    <w:rsid w:val="008352B7"/>
    <w:rsid w:val="00837183"/>
    <w:rsid w:val="0084140C"/>
    <w:rsid w:val="00842D98"/>
    <w:rsid w:val="00842EA4"/>
    <w:rsid w:val="008442F3"/>
    <w:rsid w:val="00844AF9"/>
    <w:rsid w:val="0084553E"/>
    <w:rsid w:val="00845732"/>
    <w:rsid w:val="008501AE"/>
    <w:rsid w:val="00850DB8"/>
    <w:rsid w:val="008510DE"/>
    <w:rsid w:val="00851F75"/>
    <w:rsid w:val="0085236A"/>
    <w:rsid w:val="00852B85"/>
    <w:rsid w:val="00853106"/>
    <w:rsid w:val="0085416E"/>
    <w:rsid w:val="008547B1"/>
    <w:rsid w:val="00856D2F"/>
    <w:rsid w:val="008572D9"/>
    <w:rsid w:val="00857494"/>
    <w:rsid w:val="0086052C"/>
    <w:rsid w:val="00861E13"/>
    <w:rsid w:val="00863FFC"/>
    <w:rsid w:val="008652AE"/>
    <w:rsid w:val="008661EB"/>
    <w:rsid w:val="00866CF0"/>
    <w:rsid w:val="008671CC"/>
    <w:rsid w:val="008705B5"/>
    <w:rsid w:val="008715D5"/>
    <w:rsid w:val="00872C87"/>
    <w:rsid w:val="00875455"/>
    <w:rsid w:val="00877C93"/>
    <w:rsid w:val="00883829"/>
    <w:rsid w:val="00883FB9"/>
    <w:rsid w:val="00884082"/>
    <w:rsid w:val="008842EB"/>
    <w:rsid w:val="0088470F"/>
    <w:rsid w:val="00884F7F"/>
    <w:rsid w:val="00885028"/>
    <w:rsid w:val="00885129"/>
    <w:rsid w:val="0088519A"/>
    <w:rsid w:val="00886EE4"/>
    <w:rsid w:val="00887619"/>
    <w:rsid w:val="0089001A"/>
    <w:rsid w:val="00891C38"/>
    <w:rsid w:val="008921D5"/>
    <w:rsid w:val="00892496"/>
    <w:rsid w:val="00893748"/>
    <w:rsid w:val="00895AB4"/>
    <w:rsid w:val="008976B8"/>
    <w:rsid w:val="008A2A96"/>
    <w:rsid w:val="008A356C"/>
    <w:rsid w:val="008A45CA"/>
    <w:rsid w:val="008A5ED9"/>
    <w:rsid w:val="008A5F7C"/>
    <w:rsid w:val="008A6ED3"/>
    <w:rsid w:val="008A6F22"/>
    <w:rsid w:val="008B3B4B"/>
    <w:rsid w:val="008B406D"/>
    <w:rsid w:val="008B597C"/>
    <w:rsid w:val="008B5D8F"/>
    <w:rsid w:val="008B627F"/>
    <w:rsid w:val="008B730D"/>
    <w:rsid w:val="008C01AD"/>
    <w:rsid w:val="008C04C9"/>
    <w:rsid w:val="008C10F4"/>
    <w:rsid w:val="008C2D7F"/>
    <w:rsid w:val="008C33C4"/>
    <w:rsid w:val="008C38E0"/>
    <w:rsid w:val="008C3BCB"/>
    <w:rsid w:val="008C3DB4"/>
    <w:rsid w:val="008C4287"/>
    <w:rsid w:val="008C4554"/>
    <w:rsid w:val="008C6B74"/>
    <w:rsid w:val="008C6ED4"/>
    <w:rsid w:val="008C797F"/>
    <w:rsid w:val="008C7FBE"/>
    <w:rsid w:val="008D075C"/>
    <w:rsid w:val="008D07F2"/>
    <w:rsid w:val="008D1675"/>
    <w:rsid w:val="008D1689"/>
    <w:rsid w:val="008D2751"/>
    <w:rsid w:val="008D36D0"/>
    <w:rsid w:val="008D406E"/>
    <w:rsid w:val="008D4682"/>
    <w:rsid w:val="008D4DED"/>
    <w:rsid w:val="008D5037"/>
    <w:rsid w:val="008D5926"/>
    <w:rsid w:val="008D5F79"/>
    <w:rsid w:val="008D786F"/>
    <w:rsid w:val="008D7D7E"/>
    <w:rsid w:val="008E0A77"/>
    <w:rsid w:val="008E11EB"/>
    <w:rsid w:val="008E1DD2"/>
    <w:rsid w:val="008E227D"/>
    <w:rsid w:val="008E295A"/>
    <w:rsid w:val="008E2BFA"/>
    <w:rsid w:val="008E2F98"/>
    <w:rsid w:val="008E38E9"/>
    <w:rsid w:val="008E4008"/>
    <w:rsid w:val="008E42ED"/>
    <w:rsid w:val="008E64C7"/>
    <w:rsid w:val="008E77D8"/>
    <w:rsid w:val="008E79CF"/>
    <w:rsid w:val="008F02FB"/>
    <w:rsid w:val="008F06C5"/>
    <w:rsid w:val="008F07F8"/>
    <w:rsid w:val="008F1145"/>
    <w:rsid w:val="008F15C6"/>
    <w:rsid w:val="008F1D6F"/>
    <w:rsid w:val="008F207D"/>
    <w:rsid w:val="008F255C"/>
    <w:rsid w:val="008F2DE2"/>
    <w:rsid w:val="008F340D"/>
    <w:rsid w:val="008F35A2"/>
    <w:rsid w:val="008F3BC2"/>
    <w:rsid w:val="008F407E"/>
    <w:rsid w:val="008F4E0B"/>
    <w:rsid w:val="008F5DB4"/>
    <w:rsid w:val="008F7847"/>
    <w:rsid w:val="00900154"/>
    <w:rsid w:val="0090052A"/>
    <w:rsid w:val="009022AC"/>
    <w:rsid w:val="00902745"/>
    <w:rsid w:val="009048EC"/>
    <w:rsid w:val="00906BC2"/>
    <w:rsid w:val="00906DBC"/>
    <w:rsid w:val="00907866"/>
    <w:rsid w:val="009100B8"/>
    <w:rsid w:val="00911276"/>
    <w:rsid w:val="0091163B"/>
    <w:rsid w:val="00912C23"/>
    <w:rsid w:val="00915180"/>
    <w:rsid w:val="00915240"/>
    <w:rsid w:val="00915F08"/>
    <w:rsid w:val="0091612D"/>
    <w:rsid w:val="0091666B"/>
    <w:rsid w:val="00920602"/>
    <w:rsid w:val="00924260"/>
    <w:rsid w:val="009244C7"/>
    <w:rsid w:val="0092507D"/>
    <w:rsid w:val="009251B3"/>
    <w:rsid w:val="00926299"/>
    <w:rsid w:val="009262B0"/>
    <w:rsid w:val="00926488"/>
    <w:rsid w:val="00926734"/>
    <w:rsid w:val="009271C0"/>
    <w:rsid w:val="009272F3"/>
    <w:rsid w:val="009313C5"/>
    <w:rsid w:val="0093323D"/>
    <w:rsid w:val="00933732"/>
    <w:rsid w:val="00934BFC"/>
    <w:rsid w:val="0093745A"/>
    <w:rsid w:val="00941B4C"/>
    <w:rsid w:val="00943B52"/>
    <w:rsid w:val="009453E1"/>
    <w:rsid w:val="00947985"/>
    <w:rsid w:val="00951068"/>
    <w:rsid w:val="00951785"/>
    <w:rsid w:val="00951851"/>
    <w:rsid w:val="009521C7"/>
    <w:rsid w:val="0095312B"/>
    <w:rsid w:val="0095313F"/>
    <w:rsid w:val="009532DB"/>
    <w:rsid w:val="00955092"/>
    <w:rsid w:val="009568D4"/>
    <w:rsid w:val="009571D7"/>
    <w:rsid w:val="009577D3"/>
    <w:rsid w:val="00960CBF"/>
    <w:rsid w:val="0096487F"/>
    <w:rsid w:val="00965811"/>
    <w:rsid w:val="009666A1"/>
    <w:rsid w:val="00971EDC"/>
    <w:rsid w:val="00972850"/>
    <w:rsid w:val="0097368D"/>
    <w:rsid w:val="00973CF1"/>
    <w:rsid w:val="00975F26"/>
    <w:rsid w:val="00977DC5"/>
    <w:rsid w:val="009817EC"/>
    <w:rsid w:val="00982A2C"/>
    <w:rsid w:val="00982B0F"/>
    <w:rsid w:val="009854DD"/>
    <w:rsid w:val="0098554A"/>
    <w:rsid w:val="009860F0"/>
    <w:rsid w:val="009860F9"/>
    <w:rsid w:val="0098627C"/>
    <w:rsid w:val="00987140"/>
    <w:rsid w:val="009905E2"/>
    <w:rsid w:val="0099444A"/>
    <w:rsid w:val="0099511D"/>
    <w:rsid w:val="00995395"/>
    <w:rsid w:val="00997DD9"/>
    <w:rsid w:val="009A199C"/>
    <w:rsid w:val="009A50CC"/>
    <w:rsid w:val="009A52E2"/>
    <w:rsid w:val="009A53D3"/>
    <w:rsid w:val="009A7FE1"/>
    <w:rsid w:val="009B0AEE"/>
    <w:rsid w:val="009B112C"/>
    <w:rsid w:val="009B1E50"/>
    <w:rsid w:val="009B4002"/>
    <w:rsid w:val="009B4220"/>
    <w:rsid w:val="009B4C18"/>
    <w:rsid w:val="009B567D"/>
    <w:rsid w:val="009B5867"/>
    <w:rsid w:val="009B736D"/>
    <w:rsid w:val="009B7730"/>
    <w:rsid w:val="009C193D"/>
    <w:rsid w:val="009C4BDF"/>
    <w:rsid w:val="009C6991"/>
    <w:rsid w:val="009C7CB2"/>
    <w:rsid w:val="009D129E"/>
    <w:rsid w:val="009D193E"/>
    <w:rsid w:val="009D36D2"/>
    <w:rsid w:val="009D3871"/>
    <w:rsid w:val="009D4185"/>
    <w:rsid w:val="009D47A6"/>
    <w:rsid w:val="009D7BCF"/>
    <w:rsid w:val="009E0670"/>
    <w:rsid w:val="009E28B7"/>
    <w:rsid w:val="009E3824"/>
    <w:rsid w:val="009E54CD"/>
    <w:rsid w:val="009E5A46"/>
    <w:rsid w:val="009E7025"/>
    <w:rsid w:val="009F3043"/>
    <w:rsid w:val="009F4521"/>
    <w:rsid w:val="009F53BB"/>
    <w:rsid w:val="009F6CE7"/>
    <w:rsid w:val="009F6E92"/>
    <w:rsid w:val="009F78D1"/>
    <w:rsid w:val="00A022D6"/>
    <w:rsid w:val="00A0277F"/>
    <w:rsid w:val="00A0404F"/>
    <w:rsid w:val="00A046AB"/>
    <w:rsid w:val="00A065A8"/>
    <w:rsid w:val="00A06DCF"/>
    <w:rsid w:val="00A07960"/>
    <w:rsid w:val="00A102EC"/>
    <w:rsid w:val="00A103C4"/>
    <w:rsid w:val="00A105FF"/>
    <w:rsid w:val="00A11D98"/>
    <w:rsid w:val="00A16E15"/>
    <w:rsid w:val="00A17805"/>
    <w:rsid w:val="00A17D05"/>
    <w:rsid w:val="00A20A78"/>
    <w:rsid w:val="00A2191D"/>
    <w:rsid w:val="00A23301"/>
    <w:rsid w:val="00A23A33"/>
    <w:rsid w:val="00A2505B"/>
    <w:rsid w:val="00A257AB"/>
    <w:rsid w:val="00A26919"/>
    <w:rsid w:val="00A26FC3"/>
    <w:rsid w:val="00A27BD3"/>
    <w:rsid w:val="00A32A53"/>
    <w:rsid w:val="00A335B2"/>
    <w:rsid w:val="00A336DC"/>
    <w:rsid w:val="00A33FD5"/>
    <w:rsid w:val="00A35E9B"/>
    <w:rsid w:val="00A37663"/>
    <w:rsid w:val="00A37974"/>
    <w:rsid w:val="00A40B2E"/>
    <w:rsid w:val="00A41250"/>
    <w:rsid w:val="00A416FA"/>
    <w:rsid w:val="00A417C1"/>
    <w:rsid w:val="00A41C9F"/>
    <w:rsid w:val="00A41D4E"/>
    <w:rsid w:val="00A41EDD"/>
    <w:rsid w:val="00A43844"/>
    <w:rsid w:val="00A4459F"/>
    <w:rsid w:val="00A44E54"/>
    <w:rsid w:val="00A47837"/>
    <w:rsid w:val="00A52A8F"/>
    <w:rsid w:val="00A55063"/>
    <w:rsid w:val="00A55573"/>
    <w:rsid w:val="00A55D1C"/>
    <w:rsid w:val="00A55FC5"/>
    <w:rsid w:val="00A56D1A"/>
    <w:rsid w:val="00A601E5"/>
    <w:rsid w:val="00A60723"/>
    <w:rsid w:val="00A60D81"/>
    <w:rsid w:val="00A624B7"/>
    <w:rsid w:val="00A640FF"/>
    <w:rsid w:val="00A645A0"/>
    <w:rsid w:val="00A649DA"/>
    <w:rsid w:val="00A655C4"/>
    <w:rsid w:val="00A665EB"/>
    <w:rsid w:val="00A730F5"/>
    <w:rsid w:val="00A73111"/>
    <w:rsid w:val="00A74563"/>
    <w:rsid w:val="00A7539F"/>
    <w:rsid w:val="00A766ED"/>
    <w:rsid w:val="00A76D76"/>
    <w:rsid w:val="00A80DB9"/>
    <w:rsid w:val="00A818AF"/>
    <w:rsid w:val="00A825DD"/>
    <w:rsid w:val="00A83656"/>
    <w:rsid w:val="00A83B38"/>
    <w:rsid w:val="00A85428"/>
    <w:rsid w:val="00A86F0F"/>
    <w:rsid w:val="00A87360"/>
    <w:rsid w:val="00A90B45"/>
    <w:rsid w:val="00A91959"/>
    <w:rsid w:val="00A954D6"/>
    <w:rsid w:val="00A95666"/>
    <w:rsid w:val="00A9583A"/>
    <w:rsid w:val="00A96330"/>
    <w:rsid w:val="00AA0607"/>
    <w:rsid w:val="00AA2B4E"/>
    <w:rsid w:val="00AA3899"/>
    <w:rsid w:val="00AA5241"/>
    <w:rsid w:val="00AA5462"/>
    <w:rsid w:val="00AA6010"/>
    <w:rsid w:val="00AB19F9"/>
    <w:rsid w:val="00AB3E07"/>
    <w:rsid w:val="00AB42F9"/>
    <w:rsid w:val="00AB49BE"/>
    <w:rsid w:val="00AB4E16"/>
    <w:rsid w:val="00AB575E"/>
    <w:rsid w:val="00AB6556"/>
    <w:rsid w:val="00AB7BA5"/>
    <w:rsid w:val="00AC3CFC"/>
    <w:rsid w:val="00AC610E"/>
    <w:rsid w:val="00AD162C"/>
    <w:rsid w:val="00AD17BD"/>
    <w:rsid w:val="00AD2849"/>
    <w:rsid w:val="00AD293A"/>
    <w:rsid w:val="00AD2BC9"/>
    <w:rsid w:val="00AD3974"/>
    <w:rsid w:val="00AD6EC2"/>
    <w:rsid w:val="00AD75A7"/>
    <w:rsid w:val="00AE08AF"/>
    <w:rsid w:val="00AE15D2"/>
    <w:rsid w:val="00AE1814"/>
    <w:rsid w:val="00AE22C8"/>
    <w:rsid w:val="00AE2E8D"/>
    <w:rsid w:val="00AE4174"/>
    <w:rsid w:val="00AE4C26"/>
    <w:rsid w:val="00AE629A"/>
    <w:rsid w:val="00AE7976"/>
    <w:rsid w:val="00AE7B3E"/>
    <w:rsid w:val="00AE7B60"/>
    <w:rsid w:val="00AF05AC"/>
    <w:rsid w:val="00AF0FEE"/>
    <w:rsid w:val="00AF2204"/>
    <w:rsid w:val="00AF3E5A"/>
    <w:rsid w:val="00AF48D7"/>
    <w:rsid w:val="00AF6090"/>
    <w:rsid w:val="00AF7947"/>
    <w:rsid w:val="00B0051F"/>
    <w:rsid w:val="00B012F3"/>
    <w:rsid w:val="00B02261"/>
    <w:rsid w:val="00B02732"/>
    <w:rsid w:val="00B03A30"/>
    <w:rsid w:val="00B04C38"/>
    <w:rsid w:val="00B05596"/>
    <w:rsid w:val="00B07BC8"/>
    <w:rsid w:val="00B1115D"/>
    <w:rsid w:val="00B12212"/>
    <w:rsid w:val="00B1273F"/>
    <w:rsid w:val="00B130C8"/>
    <w:rsid w:val="00B1354B"/>
    <w:rsid w:val="00B13B95"/>
    <w:rsid w:val="00B14F2A"/>
    <w:rsid w:val="00B16C94"/>
    <w:rsid w:val="00B16FAF"/>
    <w:rsid w:val="00B16FED"/>
    <w:rsid w:val="00B1781C"/>
    <w:rsid w:val="00B209D6"/>
    <w:rsid w:val="00B21545"/>
    <w:rsid w:val="00B21A43"/>
    <w:rsid w:val="00B223E4"/>
    <w:rsid w:val="00B2268F"/>
    <w:rsid w:val="00B22A1B"/>
    <w:rsid w:val="00B3067A"/>
    <w:rsid w:val="00B31029"/>
    <w:rsid w:val="00B31FCA"/>
    <w:rsid w:val="00B32A2C"/>
    <w:rsid w:val="00B32B11"/>
    <w:rsid w:val="00B32EA9"/>
    <w:rsid w:val="00B34562"/>
    <w:rsid w:val="00B3484D"/>
    <w:rsid w:val="00B35122"/>
    <w:rsid w:val="00B354CC"/>
    <w:rsid w:val="00B376BC"/>
    <w:rsid w:val="00B40132"/>
    <w:rsid w:val="00B40F56"/>
    <w:rsid w:val="00B41CE9"/>
    <w:rsid w:val="00B422AF"/>
    <w:rsid w:val="00B437BC"/>
    <w:rsid w:val="00B44D05"/>
    <w:rsid w:val="00B44D1D"/>
    <w:rsid w:val="00B44E28"/>
    <w:rsid w:val="00B44EC8"/>
    <w:rsid w:val="00B4539B"/>
    <w:rsid w:val="00B46191"/>
    <w:rsid w:val="00B46AF2"/>
    <w:rsid w:val="00B474CD"/>
    <w:rsid w:val="00B50415"/>
    <w:rsid w:val="00B511E3"/>
    <w:rsid w:val="00B51D9A"/>
    <w:rsid w:val="00B53408"/>
    <w:rsid w:val="00B53493"/>
    <w:rsid w:val="00B550D8"/>
    <w:rsid w:val="00B558AB"/>
    <w:rsid w:val="00B55D18"/>
    <w:rsid w:val="00B56CC8"/>
    <w:rsid w:val="00B57EF2"/>
    <w:rsid w:val="00B60516"/>
    <w:rsid w:val="00B61C86"/>
    <w:rsid w:val="00B64552"/>
    <w:rsid w:val="00B64ADF"/>
    <w:rsid w:val="00B65281"/>
    <w:rsid w:val="00B6654A"/>
    <w:rsid w:val="00B668FB"/>
    <w:rsid w:val="00B66B86"/>
    <w:rsid w:val="00B673D2"/>
    <w:rsid w:val="00B7012A"/>
    <w:rsid w:val="00B7062C"/>
    <w:rsid w:val="00B7197F"/>
    <w:rsid w:val="00B738C5"/>
    <w:rsid w:val="00B7450D"/>
    <w:rsid w:val="00B748E6"/>
    <w:rsid w:val="00B74B91"/>
    <w:rsid w:val="00B76629"/>
    <w:rsid w:val="00B7678E"/>
    <w:rsid w:val="00B768AD"/>
    <w:rsid w:val="00B76B8E"/>
    <w:rsid w:val="00B8226F"/>
    <w:rsid w:val="00B8255B"/>
    <w:rsid w:val="00B8347A"/>
    <w:rsid w:val="00B83D8D"/>
    <w:rsid w:val="00B847BD"/>
    <w:rsid w:val="00B8482D"/>
    <w:rsid w:val="00B856FB"/>
    <w:rsid w:val="00B85E8D"/>
    <w:rsid w:val="00B86156"/>
    <w:rsid w:val="00B87273"/>
    <w:rsid w:val="00B90283"/>
    <w:rsid w:val="00B90B07"/>
    <w:rsid w:val="00B90C91"/>
    <w:rsid w:val="00B90D57"/>
    <w:rsid w:val="00B91162"/>
    <w:rsid w:val="00B914B3"/>
    <w:rsid w:val="00B9186D"/>
    <w:rsid w:val="00B92B18"/>
    <w:rsid w:val="00B93110"/>
    <w:rsid w:val="00B93DC8"/>
    <w:rsid w:val="00B950B6"/>
    <w:rsid w:val="00B9606D"/>
    <w:rsid w:val="00B9784E"/>
    <w:rsid w:val="00BA073F"/>
    <w:rsid w:val="00BA22D0"/>
    <w:rsid w:val="00BA2ADD"/>
    <w:rsid w:val="00BA45AE"/>
    <w:rsid w:val="00BA4F4A"/>
    <w:rsid w:val="00BA4F4F"/>
    <w:rsid w:val="00BA5A83"/>
    <w:rsid w:val="00BA66AD"/>
    <w:rsid w:val="00BA685B"/>
    <w:rsid w:val="00BA715D"/>
    <w:rsid w:val="00BB0668"/>
    <w:rsid w:val="00BB1FA5"/>
    <w:rsid w:val="00BB251F"/>
    <w:rsid w:val="00BB49AA"/>
    <w:rsid w:val="00BC009E"/>
    <w:rsid w:val="00BC0C55"/>
    <w:rsid w:val="00BC17FB"/>
    <w:rsid w:val="00BC2DD3"/>
    <w:rsid w:val="00BC31BD"/>
    <w:rsid w:val="00BC407F"/>
    <w:rsid w:val="00BC4380"/>
    <w:rsid w:val="00BC4C0D"/>
    <w:rsid w:val="00BC55D7"/>
    <w:rsid w:val="00BC5D0D"/>
    <w:rsid w:val="00BC618A"/>
    <w:rsid w:val="00BC67B1"/>
    <w:rsid w:val="00BC78D3"/>
    <w:rsid w:val="00BD08CA"/>
    <w:rsid w:val="00BD2A12"/>
    <w:rsid w:val="00BD2FF0"/>
    <w:rsid w:val="00BD38AA"/>
    <w:rsid w:val="00BD3967"/>
    <w:rsid w:val="00BD3D5C"/>
    <w:rsid w:val="00BD528A"/>
    <w:rsid w:val="00BD552E"/>
    <w:rsid w:val="00BD581B"/>
    <w:rsid w:val="00BD5ADB"/>
    <w:rsid w:val="00BD5BDE"/>
    <w:rsid w:val="00BD6DF6"/>
    <w:rsid w:val="00BD73EA"/>
    <w:rsid w:val="00BD7CF3"/>
    <w:rsid w:val="00BD7FF0"/>
    <w:rsid w:val="00BE0992"/>
    <w:rsid w:val="00BE0F03"/>
    <w:rsid w:val="00BE0F14"/>
    <w:rsid w:val="00BE16D4"/>
    <w:rsid w:val="00BE542B"/>
    <w:rsid w:val="00BE5CA0"/>
    <w:rsid w:val="00BF06BA"/>
    <w:rsid w:val="00BF0984"/>
    <w:rsid w:val="00BF2C53"/>
    <w:rsid w:val="00BF3BF6"/>
    <w:rsid w:val="00BF4558"/>
    <w:rsid w:val="00BF5D8E"/>
    <w:rsid w:val="00C000C3"/>
    <w:rsid w:val="00C009BA"/>
    <w:rsid w:val="00C009BE"/>
    <w:rsid w:val="00C02575"/>
    <w:rsid w:val="00C02E60"/>
    <w:rsid w:val="00C04EE1"/>
    <w:rsid w:val="00C04FF5"/>
    <w:rsid w:val="00C0560C"/>
    <w:rsid w:val="00C05758"/>
    <w:rsid w:val="00C0685A"/>
    <w:rsid w:val="00C06AA2"/>
    <w:rsid w:val="00C07186"/>
    <w:rsid w:val="00C07598"/>
    <w:rsid w:val="00C07636"/>
    <w:rsid w:val="00C10095"/>
    <w:rsid w:val="00C109E9"/>
    <w:rsid w:val="00C162AE"/>
    <w:rsid w:val="00C16652"/>
    <w:rsid w:val="00C169C7"/>
    <w:rsid w:val="00C16C87"/>
    <w:rsid w:val="00C175A6"/>
    <w:rsid w:val="00C21AAA"/>
    <w:rsid w:val="00C21DC8"/>
    <w:rsid w:val="00C226CC"/>
    <w:rsid w:val="00C240FD"/>
    <w:rsid w:val="00C24374"/>
    <w:rsid w:val="00C24A21"/>
    <w:rsid w:val="00C2610E"/>
    <w:rsid w:val="00C264CA"/>
    <w:rsid w:val="00C26D4B"/>
    <w:rsid w:val="00C302EF"/>
    <w:rsid w:val="00C31945"/>
    <w:rsid w:val="00C31D5F"/>
    <w:rsid w:val="00C33AE2"/>
    <w:rsid w:val="00C351EF"/>
    <w:rsid w:val="00C35413"/>
    <w:rsid w:val="00C37CB4"/>
    <w:rsid w:val="00C40039"/>
    <w:rsid w:val="00C40F2B"/>
    <w:rsid w:val="00C419F0"/>
    <w:rsid w:val="00C441BB"/>
    <w:rsid w:val="00C44A52"/>
    <w:rsid w:val="00C45425"/>
    <w:rsid w:val="00C466CC"/>
    <w:rsid w:val="00C47A2F"/>
    <w:rsid w:val="00C47B43"/>
    <w:rsid w:val="00C51957"/>
    <w:rsid w:val="00C525C1"/>
    <w:rsid w:val="00C53094"/>
    <w:rsid w:val="00C53400"/>
    <w:rsid w:val="00C54D8E"/>
    <w:rsid w:val="00C60BEE"/>
    <w:rsid w:val="00C61CD9"/>
    <w:rsid w:val="00C61FA0"/>
    <w:rsid w:val="00C633FD"/>
    <w:rsid w:val="00C63B32"/>
    <w:rsid w:val="00C65048"/>
    <w:rsid w:val="00C65A1B"/>
    <w:rsid w:val="00C67007"/>
    <w:rsid w:val="00C67AE1"/>
    <w:rsid w:val="00C71340"/>
    <w:rsid w:val="00C71ECF"/>
    <w:rsid w:val="00C73233"/>
    <w:rsid w:val="00C741D3"/>
    <w:rsid w:val="00C742F3"/>
    <w:rsid w:val="00C74C53"/>
    <w:rsid w:val="00C75756"/>
    <w:rsid w:val="00C75C44"/>
    <w:rsid w:val="00C75F70"/>
    <w:rsid w:val="00C7717F"/>
    <w:rsid w:val="00C801FF"/>
    <w:rsid w:val="00C811DE"/>
    <w:rsid w:val="00C812D9"/>
    <w:rsid w:val="00C82C72"/>
    <w:rsid w:val="00C82F98"/>
    <w:rsid w:val="00C86033"/>
    <w:rsid w:val="00C86249"/>
    <w:rsid w:val="00C864F8"/>
    <w:rsid w:val="00C872DF"/>
    <w:rsid w:val="00C872F2"/>
    <w:rsid w:val="00C90D78"/>
    <w:rsid w:val="00C910EB"/>
    <w:rsid w:val="00C91271"/>
    <w:rsid w:val="00C92525"/>
    <w:rsid w:val="00C93C74"/>
    <w:rsid w:val="00C97431"/>
    <w:rsid w:val="00CA23D7"/>
    <w:rsid w:val="00CA32EF"/>
    <w:rsid w:val="00CA412E"/>
    <w:rsid w:val="00CA4893"/>
    <w:rsid w:val="00CA589B"/>
    <w:rsid w:val="00CA65EE"/>
    <w:rsid w:val="00CA78F2"/>
    <w:rsid w:val="00CB0A67"/>
    <w:rsid w:val="00CB2848"/>
    <w:rsid w:val="00CB2A87"/>
    <w:rsid w:val="00CB30C9"/>
    <w:rsid w:val="00CB4B21"/>
    <w:rsid w:val="00CB5705"/>
    <w:rsid w:val="00CB65FE"/>
    <w:rsid w:val="00CB734C"/>
    <w:rsid w:val="00CB7816"/>
    <w:rsid w:val="00CB7C87"/>
    <w:rsid w:val="00CC2F62"/>
    <w:rsid w:val="00CC461F"/>
    <w:rsid w:val="00CC53F7"/>
    <w:rsid w:val="00CC5BBF"/>
    <w:rsid w:val="00CC68BE"/>
    <w:rsid w:val="00CC7894"/>
    <w:rsid w:val="00CD1FAA"/>
    <w:rsid w:val="00CD3926"/>
    <w:rsid w:val="00CD4BD5"/>
    <w:rsid w:val="00CD58F7"/>
    <w:rsid w:val="00CD664E"/>
    <w:rsid w:val="00CD74D0"/>
    <w:rsid w:val="00CD7B73"/>
    <w:rsid w:val="00CE0046"/>
    <w:rsid w:val="00CE0101"/>
    <w:rsid w:val="00CE1696"/>
    <w:rsid w:val="00CE2A3B"/>
    <w:rsid w:val="00CE3386"/>
    <w:rsid w:val="00CE4FCA"/>
    <w:rsid w:val="00CE64FB"/>
    <w:rsid w:val="00CF0A82"/>
    <w:rsid w:val="00CF1A0B"/>
    <w:rsid w:val="00CF404B"/>
    <w:rsid w:val="00D007E1"/>
    <w:rsid w:val="00D02A12"/>
    <w:rsid w:val="00D05988"/>
    <w:rsid w:val="00D07B49"/>
    <w:rsid w:val="00D101BB"/>
    <w:rsid w:val="00D11102"/>
    <w:rsid w:val="00D12113"/>
    <w:rsid w:val="00D12430"/>
    <w:rsid w:val="00D14AB0"/>
    <w:rsid w:val="00D15A54"/>
    <w:rsid w:val="00D17A61"/>
    <w:rsid w:val="00D20837"/>
    <w:rsid w:val="00D20A82"/>
    <w:rsid w:val="00D20DB0"/>
    <w:rsid w:val="00D22658"/>
    <w:rsid w:val="00D23755"/>
    <w:rsid w:val="00D241D3"/>
    <w:rsid w:val="00D244C3"/>
    <w:rsid w:val="00D24EC3"/>
    <w:rsid w:val="00D250E8"/>
    <w:rsid w:val="00D253E1"/>
    <w:rsid w:val="00D269A4"/>
    <w:rsid w:val="00D27FA8"/>
    <w:rsid w:val="00D30914"/>
    <w:rsid w:val="00D32779"/>
    <w:rsid w:val="00D33449"/>
    <w:rsid w:val="00D339FB"/>
    <w:rsid w:val="00D34C71"/>
    <w:rsid w:val="00D35939"/>
    <w:rsid w:val="00D35C25"/>
    <w:rsid w:val="00D36339"/>
    <w:rsid w:val="00D365D3"/>
    <w:rsid w:val="00D37E4E"/>
    <w:rsid w:val="00D400B7"/>
    <w:rsid w:val="00D40267"/>
    <w:rsid w:val="00D404C2"/>
    <w:rsid w:val="00D41359"/>
    <w:rsid w:val="00D41EC2"/>
    <w:rsid w:val="00D4271D"/>
    <w:rsid w:val="00D42F7B"/>
    <w:rsid w:val="00D44D6E"/>
    <w:rsid w:val="00D46048"/>
    <w:rsid w:val="00D467AB"/>
    <w:rsid w:val="00D468D8"/>
    <w:rsid w:val="00D46D03"/>
    <w:rsid w:val="00D47412"/>
    <w:rsid w:val="00D4781D"/>
    <w:rsid w:val="00D513D3"/>
    <w:rsid w:val="00D5296A"/>
    <w:rsid w:val="00D539CD"/>
    <w:rsid w:val="00D54BE1"/>
    <w:rsid w:val="00D55089"/>
    <w:rsid w:val="00D5723C"/>
    <w:rsid w:val="00D57515"/>
    <w:rsid w:val="00D62561"/>
    <w:rsid w:val="00D63083"/>
    <w:rsid w:val="00D63FA8"/>
    <w:rsid w:val="00D6480B"/>
    <w:rsid w:val="00D65684"/>
    <w:rsid w:val="00D66242"/>
    <w:rsid w:val="00D66415"/>
    <w:rsid w:val="00D66432"/>
    <w:rsid w:val="00D6678F"/>
    <w:rsid w:val="00D66878"/>
    <w:rsid w:val="00D675EF"/>
    <w:rsid w:val="00D707B9"/>
    <w:rsid w:val="00D70F3C"/>
    <w:rsid w:val="00D7328D"/>
    <w:rsid w:val="00D7474C"/>
    <w:rsid w:val="00D80B0A"/>
    <w:rsid w:val="00D81211"/>
    <w:rsid w:val="00D815EE"/>
    <w:rsid w:val="00D816BD"/>
    <w:rsid w:val="00D85E66"/>
    <w:rsid w:val="00D97CED"/>
    <w:rsid w:val="00D97F17"/>
    <w:rsid w:val="00D97F82"/>
    <w:rsid w:val="00DA1F31"/>
    <w:rsid w:val="00DA2A7D"/>
    <w:rsid w:val="00DA5D4A"/>
    <w:rsid w:val="00DA6431"/>
    <w:rsid w:val="00DA666F"/>
    <w:rsid w:val="00DA76FA"/>
    <w:rsid w:val="00DB00D7"/>
    <w:rsid w:val="00DB2B49"/>
    <w:rsid w:val="00DC0904"/>
    <w:rsid w:val="00DC18A9"/>
    <w:rsid w:val="00DC1997"/>
    <w:rsid w:val="00DC21CF"/>
    <w:rsid w:val="00DC28FE"/>
    <w:rsid w:val="00DC290C"/>
    <w:rsid w:val="00DC32D7"/>
    <w:rsid w:val="00DC33B4"/>
    <w:rsid w:val="00DC5A29"/>
    <w:rsid w:val="00DD155A"/>
    <w:rsid w:val="00DD3F5D"/>
    <w:rsid w:val="00DD4342"/>
    <w:rsid w:val="00DD4656"/>
    <w:rsid w:val="00DD6A95"/>
    <w:rsid w:val="00DE0987"/>
    <w:rsid w:val="00DE1E31"/>
    <w:rsid w:val="00DE68F2"/>
    <w:rsid w:val="00DE7666"/>
    <w:rsid w:val="00DF01DF"/>
    <w:rsid w:val="00DF0208"/>
    <w:rsid w:val="00DF02F1"/>
    <w:rsid w:val="00DF2726"/>
    <w:rsid w:val="00DF4E3D"/>
    <w:rsid w:val="00DF6095"/>
    <w:rsid w:val="00DF6B0E"/>
    <w:rsid w:val="00DF7564"/>
    <w:rsid w:val="00E01036"/>
    <w:rsid w:val="00E018FB"/>
    <w:rsid w:val="00E033FF"/>
    <w:rsid w:val="00E03584"/>
    <w:rsid w:val="00E03B97"/>
    <w:rsid w:val="00E03FAA"/>
    <w:rsid w:val="00E0453E"/>
    <w:rsid w:val="00E06756"/>
    <w:rsid w:val="00E06ADD"/>
    <w:rsid w:val="00E07E9C"/>
    <w:rsid w:val="00E10044"/>
    <w:rsid w:val="00E106E2"/>
    <w:rsid w:val="00E10767"/>
    <w:rsid w:val="00E12CB9"/>
    <w:rsid w:val="00E134ED"/>
    <w:rsid w:val="00E135C8"/>
    <w:rsid w:val="00E139ED"/>
    <w:rsid w:val="00E147E6"/>
    <w:rsid w:val="00E148FF"/>
    <w:rsid w:val="00E14FAD"/>
    <w:rsid w:val="00E15F8A"/>
    <w:rsid w:val="00E16171"/>
    <w:rsid w:val="00E164F6"/>
    <w:rsid w:val="00E16F10"/>
    <w:rsid w:val="00E1745F"/>
    <w:rsid w:val="00E17528"/>
    <w:rsid w:val="00E20E23"/>
    <w:rsid w:val="00E21423"/>
    <w:rsid w:val="00E21DC0"/>
    <w:rsid w:val="00E23DB4"/>
    <w:rsid w:val="00E24D2E"/>
    <w:rsid w:val="00E25CC5"/>
    <w:rsid w:val="00E26331"/>
    <w:rsid w:val="00E26626"/>
    <w:rsid w:val="00E27CBE"/>
    <w:rsid w:val="00E32FDD"/>
    <w:rsid w:val="00E33144"/>
    <w:rsid w:val="00E34EC1"/>
    <w:rsid w:val="00E35FE7"/>
    <w:rsid w:val="00E400C0"/>
    <w:rsid w:val="00E4362B"/>
    <w:rsid w:val="00E44365"/>
    <w:rsid w:val="00E4593A"/>
    <w:rsid w:val="00E47525"/>
    <w:rsid w:val="00E56EC4"/>
    <w:rsid w:val="00E60035"/>
    <w:rsid w:val="00E61E5F"/>
    <w:rsid w:val="00E622C5"/>
    <w:rsid w:val="00E63736"/>
    <w:rsid w:val="00E6428D"/>
    <w:rsid w:val="00E6451E"/>
    <w:rsid w:val="00E64ED0"/>
    <w:rsid w:val="00E65778"/>
    <w:rsid w:val="00E66A44"/>
    <w:rsid w:val="00E6763B"/>
    <w:rsid w:val="00E711AA"/>
    <w:rsid w:val="00E80AF6"/>
    <w:rsid w:val="00E8156C"/>
    <w:rsid w:val="00E81D22"/>
    <w:rsid w:val="00E822CC"/>
    <w:rsid w:val="00E83085"/>
    <w:rsid w:val="00E8481A"/>
    <w:rsid w:val="00E84832"/>
    <w:rsid w:val="00E86AA6"/>
    <w:rsid w:val="00E86FC8"/>
    <w:rsid w:val="00E872F4"/>
    <w:rsid w:val="00E90511"/>
    <w:rsid w:val="00E916AE"/>
    <w:rsid w:val="00E93C8F"/>
    <w:rsid w:val="00E96E9C"/>
    <w:rsid w:val="00EA1786"/>
    <w:rsid w:val="00EA1C05"/>
    <w:rsid w:val="00EA2731"/>
    <w:rsid w:val="00EA2A69"/>
    <w:rsid w:val="00EA31EE"/>
    <w:rsid w:val="00EA4269"/>
    <w:rsid w:val="00EA53AD"/>
    <w:rsid w:val="00EA5C7F"/>
    <w:rsid w:val="00EA6964"/>
    <w:rsid w:val="00EA6A0D"/>
    <w:rsid w:val="00EA7DB8"/>
    <w:rsid w:val="00EB05B1"/>
    <w:rsid w:val="00EB1046"/>
    <w:rsid w:val="00EB13C7"/>
    <w:rsid w:val="00EB1AE9"/>
    <w:rsid w:val="00EB1BE8"/>
    <w:rsid w:val="00EB201F"/>
    <w:rsid w:val="00EB2327"/>
    <w:rsid w:val="00EB2714"/>
    <w:rsid w:val="00EB2D8B"/>
    <w:rsid w:val="00EB58BD"/>
    <w:rsid w:val="00EB5DCF"/>
    <w:rsid w:val="00EB7E73"/>
    <w:rsid w:val="00EC0FFC"/>
    <w:rsid w:val="00EC13BF"/>
    <w:rsid w:val="00EC1E0B"/>
    <w:rsid w:val="00EC2D0D"/>
    <w:rsid w:val="00EC6908"/>
    <w:rsid w:val="00EC7F62"/>
    <w:rsid w:val="00ED2D94"/>
    <w:rsid w:val="00ED2E33"/>
    <w:rsid w:val="00ED3024"/>
    <w:rsid w:val="00ED3422"/>
    <w:rsid w:val="00ED3957"/>
    <w:rsid w:val="00ED3FF3"/>
    <w:rsid w:val="00ED4543"/>
    <w:rsid w:val="00ED58A5"/>
    <w:rsid w:val="00ED71B6"/>
    <w:rsid w:val="00EE029D"/>
    <w:rsid w:val="00EE195A"/>
    <w:rsid w:val="00EE1F15"/>
    <w:rsid w:val="00EE288E"/>
    <w:rsid w:val="00EE3812"/>
    <w:rsid w:val="00EE4688"/>
    <w:rsid w:val="00EE5128"/>
    <w:rsid w:val="00EE538A"/>
    <w:rsid w:val="00EE5474"/>
    <w:rsid w:val="00EE58E4"/>
    <w:rsid w:val="00EE5927"/>
    <w:rsid w:val="00EE598F"/>
    <w:rsid w:val="00EE5B94"/>
    <w:rsid w:val="00EE68D5"/>
    <w:rsid w:val="00EF0E10"/>
    <w:rsid w:val="00EF16AD"/>
    <w:rsid w:val="00EF199F"/>
    <w:rsid w:val="00EF1D1F"/>
    <w:rsid w:val="00EF2076"/>
    <w:rsid w:val="00EF2752"/>
    <w:rsid w:val="00EF2AFB"/>
    <w:rsid w:val="00EF6B77"/>
    <w:rsid w:val="00EF6D9B"/>
    <w:rsid w:val="00F00B0C"/>
    <w:rsid w:val="00F00FAA"/>
    <w:rsid w:val="00F021D5"/>
    <w:rsid w:val="00F02661"/>
    <w:rsid w:val="00F055DE"/>
    <w:rsid w:val="00F06027"/>
    <w:rsid w:val="00F07487"/>
    <w:rsid w:val="00F100EE"/>
    <w:rsid w:val="00F10119"/>
    <w:rsid w:val="00F107EF"/>
    <w:rsid w:val="00F1089F"/>
    <w:rsid w:val="00F14523"/>
    <w:rsid w:val="00F14FBC"/>
    <w:rsid w:val="00F156D2"/>
    <w:rsid w:val="00F1671F"/>
    <w:rsid w:val="00F216A7"/>
    <w:rsid w:val="00F2194D"/>
    <w:rsid w:val="00F21D73"/>
    <w:rsid w:val="00F22116"/>
    <w:rsid w:val="00F2284D"/>
    <w:rsid w:val="00F24091"/>
    <w:rsid w:val="00F2547C"/>
    <w:rsid w:val="00F26C4E"/>
    <w:rsid w:val="00F27CC4"/>
    <w:rsid w:val="00F27D76"/>
    <w:rsid w:val="00F30413"/>
    <w:rsid w:val="00F307A3"/>
    <w:rsid w:val="00F3299E"/>
    <w:rsid w:val="00F33414"/>
    <w:rsid w:val="00F33821"/>
    <w:rsid w:val="00F33D5C"/>
    <w:rsid w:val="00F34AF8"/>
    <w:rsid w:val="00F3721E"/>
    <w:rsid w:val="00F40F0E"/>
    <w:rsid w:val="00F4203D"/>
    <w:rsid w:val="00F42113"/>
    <w:rsid w:val="00F431FB"/>
    <w:rsid w:val="00F44278"/>
    <w:rsid w:val="00F46437"/>
    <w:rsid w:val="00F46DEA"/>
    <w:rsid w:val="00F5004E"/>
    <w:rsid w:val="00F50AA9"/>
    <w:rsid w:val="00F51672"/>
    <w:rsid w:val="00F53089"/>
    <w:rsid w:val="00F53942"/>
    <w:rsid w:val="00F53ACB"/>
    <w:rsid w:val="00F543A7"/>
    <w:rsid w:val="00F56675"/>
    <w:rsid w:val="00F60803"/>
    <w:rsid w:val="00F60E46"/>
    <w:rsid w:val="00F617A2"/>
    <w:rsid w:val="00F6184E"/>
    <w:rsid w:val="00F61897"/>
    <w:rsid w:val="00F6355E"/>
    <w:rsid w:val="00F652DF"/>
    <w:rsid w:val="00F6597C"/>
    <w:rsid w:val="00F668AA"/>
    <w:rsid w:val="00F67468"/>
    <w:rsid w:val="00F70E41"/>
    <w:rsid w:val="00F7152A"/>
    <w:rsid w:val="00F71BF9"/>
    <w:rsid w:val="00F73A62"/>
    <w:rsid w:val="00F73CEC"/>
    <w:rsid w:val="00F75CE9"/>
    <w:rsid w:val="00F76346"/>
    <w:rsid w:val="00F76D23"/>
    <w:rsid w:val="00F8007E"/>
    <w:rsid w:val="00F80A3D"/>
    <w:rsid w:val="00F81C8A"/>
    <w:rsid w:val="00F828BB"/>
    <w:rsid w:val="00F82C5B"/>
    <w:rsid w:val="00F8404E"/>
    <w:rsid w:val="00F84805"/>
    <w:rsid w:val="00F85FE2"/>
    <w:rsid w:val="00F86C98"/>
    <w:rsid w:val="00F87B66"/>
    <w:rsid w:val="00F91411"/>
    <w:rsid w:val="00F91586"/>
    <w:rsid w:val="00F91CFA"/>
    <w:rsid w:val="00F955AB"/>
    <w:rsid w:val="00F95F1F"/>
    <w:rsid w:val="00F96914"/>
    <w:rsid w:val="00F97A93"/>
    <w:rsid w:val="00FA1137"/>
    <w:rsid w:val="00FA2B02"/>
    <w:rsid w:val="00FA4211"/>
    <w:rsid w:val="00FA4261"/>
    <w:rsid w:val="00FA4CC8"/>
    <w:rsid w:val="00FA4E05"/>
    <w:rsid w:val="00FA7D49"/>
    <w:rsid w:val="00FB0238"/>
    <w:rsid w:val="00FB1115"/>
    <w:rsid w:val="00FB1CAB"/>
    <w:rsid w:val="00FB4AE4"/>
    <w:rsid w:val="00FB5ED0"/>
    <w:rsid w:val="00FB6151"/>
    <w:rsid w:val="00FB6C58"/>
    <w:rsid w:val="00FB6CD6"/>
    <w:rsid w:val="00FB7075"/>
    <w:rsid w:val="00FB7C95"/>
    <w:rsid w:val="00FC01FC"/>
    <w:rsid w:val="00FC03B2"/>
    <w:rsid w:val="00FC0F3C"/>
    <w:rsid w:val="00FC1DE8"/>
    <w:rsid w:val="00FC3C7E"/>
    <w:rsid w:val="00FC4857"/>
    <w:rsid w:val="00FC4BFA"/>
    <w:rsid w:val="00FC4D0A"/>
    <w:rsid w:val="00FC5B3D"/>
    <w:rsid w:val="00FC63BA"/>
    <w:rsid w:val="00FC67F0"/>
    <w:rsid w:val="00FC69AD"/>
    <w:rsid w:val="00FD41FA"/>
    <w:rsid w:val="00FD6460"/>
    <w:rsid w:val="00FD65DA"/>
    <w:rsid w:val="00FD6651"/>
    <w:rsid w:val="00FD6B13"/>
    <w:rsid w:val="00FD6E81"/>
    <w:rsid w:val="00FD7CE4"/>
    <w:rsid w:val="00FE6443"/>
    <w:rsid w:val="00FE7A02"/>
    <w:rsid w:val="00FF1023"/>
    <w:rsid w:val="00FF16AF"/>
    <w:rsid w:val="00FF1745"/>
    <w:rsid w:val="00FF4502"/>
    <w:rsid w:val="00FF4A62"/>
    <w:rsid w:val="00FF781B"/>
    <w:rsid w:val="08F9C875"/>
    <w:rsid w:val="0D1C7645"/>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E1D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0" w:qFormat="1"/>
    <w:lsdException w:name="List Number" w:semiHidden="1" w:uiPriority="21" w:unhideWhenUsed="1" w:qFormat="1"/>
    <w:lsdException w:name="List 2" w:semiHidden="1" w:unhideWhenUsed="1"/>
    <w:lsdException w:name="List 3" w:semiHidden="1" w:unhideWhenUsed="1"/>
    <w:lsdException w:name="List 4" w:semiHidden="1"/>
    <w:lsdException w:name="List 5" w:semiHidden="1"/>
    <w:lsdException w:name="List Bullet 2" w:semiHidden="1" w:uiPriority="19" w:unhideWhenUsed="1"/>
    <w:lsdException w:name="List Bullet 3" w:semiHidden="1" w:uiPriority="20" w:unhideWhenUsed="1"/>
    <w:lsdException w:name="List Bullet 4" w:semiHidden="1" w:uiPriority="20" w:unhideWhenUsed="1"/>
    <w:lsdException w:name="List Bullet 5" w:semiHidden="1" w:uiPriority="19" w:unhideWhenUsed="1"/>
    <w:lsdException w:name="List Number 2" w:semiHidden="1" w:uiPriority="21" w:unhideWhenUsed="1"/>
    <w:lsdException w:name="List Number 3" w:semiHidden="1" w:uiPriority="21" w:unhideWhenUsed="1"/>
    <w:lsdException w:name="List Number 4" w:semiHidden="1" w:uiPriority="21" w:unhideWhenUsed="1"/>
    <w:lsdException w:name="List Number 5" w:semiHidden="1" w:uiPriority="19"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qFormat="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nhideWhenUsed="1"/>
    <w:lsdException w:name="Strong" w:semiHidden="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83"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9"/>
    <w:rsid w:val="006B4705"/>
  </w:style>
  <w:style w:type="paragraph" w:styleId="Heading1">
    <w:name w:val="heading 1"/>
    <w:basedOn w:val="Normal"/>
    <w:next w:val="BodyText"/>
    <w:link w:val="Heading1Char"/>
    <w:uiPriority w:val="1"/>
    <w:qFormat/>
    <w:rsid w:val="00997DD9"/>
    <w:pPr>
      <w:keepNext/>
      <w:keepLines/>
      <w:widowControl w:val="0"/>
      <w:spacing w:before="120" w:after="240" w:line="264" w:lineRule="auto"/>
      <w:outlineLvl w:val="0"/>
    </w:pPr>
    <w:rPr>
      <w:rFonts w:asciiTheme="majorHAnsi" w:eastAsia="Times New Roman" w:hAnsiTheme="majorHAnsi" w:cs="Arial"/>
      <w:b/>
      <w:bCs/>
      <w:sz w:val="40"/>
      <w:szCs w:val="40"/>
      <w:lang w:eastAsia="en-AU"/>
    </w:rPr>
  </w:style>
  <w:style w:type="paragraph" w:styleId="Heading2">
    <w:name w:val="heading 2"/>
    <w:basedOn w:val="Normal"/>
    <w:next w:val="BodyText"/>
    <w:link w:val="Heading2Char"/>
    <w:uiPriority w:val="1"/>
    <w:qFormat/>
    <w:rsid w:val="002903A9"/>
    <w:pPr>
      <w:keepNext/>
      <w:keepLines/>
      <w:spacing w:before="240" w:after="120"/>
      <w:outlineLvl w:val="1"/>
    </w:pPr>
    <w:rPr>
      <w:rFonts w:asciiTheme="majorHAnsi" w:eastAsia="Times New Roman" w:hAnsiTheme="majorHAnsi" w:cs="Arial"/>
      <w:b/>
      <w:bCs/>
      <w:iCs/>
      <w:sz w:val="28"/>
      <w:szCs w:val="28"/>
      <w:lang w:eastAsia="en-AU"/>
    </w:rPr>
  </w:style>
  <w:style w:type="paragraph" w:styleId="Heading3">
    <w:name w:val="heading 3"/>
    <w:basedOn w:val="Normal"/>
    <w:next w:val="BodyText"/>
    <w:link w:val="Heading3Char"/>
    <w:uiPriority w:val="1"/>
    <w:qFormat/>
    <w:rsid w:val="00A102EC"/>
    <w:pPr>
      <w:keepNext/>
      <w:keepLines/>
      <w:spacing w:before="240" w:after="120" w:line="264" w:lineRule="auto"/>
      <w:outlineLvl w:val="2"/>
    </w:pPr>
    <w:rPr>
      <w:rFonts w:asciiTheme="majorHAnsi" w:eastAsia="Times New Roman" w:hAnsiTheme="majorHAnsi" w:cs="Times New Roman"/>
      <w:b/>
      <w:bCs/>
      <w:sz w:val="22"/>
      <w:lang w:eastAsia="en-AU"/>
    </w:rPr>
  </w:style>
  <w:style w:type="paragraph" w:styleId="Heading4">
    <w:name w:val="heading 4"/>
    <w:basedOn w:val="Normal"/>
    <w:next w:val="BodyText"/>
    <w:link w:val="Heading4Char"/>
    <w:uiPriority w:val="1"/>
    <w:qFormat/>
    <w:rsid w:val="00E134ED"/>
    <w:pPr>
      <w:keepNext/>
      <w:keepLines/>
      <w:spacing w:before="240" w:after="120"/>
      <w:outlineLvl w:val="3"/>
    </w:pPr>
    <w:rPr>
      <w:rFonts w:asciiTheme="majorHAnsi" w:eastAsia="Times New Roman" w:hAnsiTheme="majorHAnsi" w:cs="Times New Roman"/>
      <w:b/>
      <w:bCs/>
      <w:lang w:eastAsia="en-AU"/>
    </w:rPr>
  </w:style>
  <w:style w:type="paragraph" w:styleId="Heading5">
    <w:name w:val="heading 5"/>
    <w:basedOn w:val="Normal"/>
    <w:next w:val="BodyText"/>
    <w:link w:val="Heading5Char"/>
    <w:uiPriority w:val="1"/>
    <w:rsid w:val="00675FEF"/>
    <w:pPr>
      <w:keepNext/>
      <w:keepLines/>
      <w:spacing w:before="240" w:after="120"/>
      <w:outlineLvl w:val="4"/>
    </w:pPr>
    <w:rPr>
      <w:rFonts w:asciiTheme="majorHAnsi" w:eastAsia="Times New Roman" w:hAnsiTheme="majorHAnsi" w:cs="Times New Roman"/>
      <w:bCs/>
      <w:iCs/>
      <w:szCs w:val="26"/>
      <w:lang w:eastAsia="en-AU"/>
    </w:rPr>
  </w:style>
  <w:style w:type="paragraph" w:styleId="Heading6">
    <w:name w:val="heading 6"/>
    <w:basedOn w:val="Normal"/>
    <w:next w:val="Normal"/>
    <w:link w:val="Heading6Char"/>
    <w:uiPriority w:val="99"/>
    <w:semiHidden/>
    <w:qFormat/>
    <w:rsid w:val="00444AE6"/>
    <w:pPr>
      <w:spacing w:before="120" w:after="120"/>
      <w:outlineLvl w:val="5"/>
    </w:pPr>
    <w:rPr>
      <w:rFonts w:eastAsia="Times New Roman" w:cs="Times New Roman"/>
      <w:bCs/>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D3024"/>
    <w:pPr>
      <w:spacing w:before="120" w:after="120" w:line="264" w:lineRule="auto"/>
    </w:pPr>
    <w:rPr>
      <w:rFonts w:eastAsia="Times New Roman" w:cs="Times New Roman"/>
      <w:szCs w:val="24"/>
      <w:lang w:eastAsia="en-AU"/>
    </w:rPr>
  </w:style>
  <w:style w:type="character" w:customStyle="1" w:styleId="BodyTextChar">
    <w:name w:val="Body Text Char"/>
    <w:basedOn w:val="DefaultParagraphFont"/>
    <w:link w:val="BodyText"/>
    <w:uiPriority w:val="1"/>
    <w:rsid w:val="008E1DD2"/>
    <w:rPr>
      <w:rFonts w:eastAsia="Times New Roman" w:cs="Times New Roman"/>
      <w:szCs w:val="24"/>
      <w:lang w:eastAsia="en-AU"/>
    </w:rPr>
  </w:style>
  <w:style w:type="character" w:customStyle="1" w:styleId="Heading1Char">
    <w:name w:val="Heading 1 Char"/>
    <w:basedOn w:val="DefaultParagraphFont"/>
    <w:link w:val="Heading1"/>
    <w:uiPriority w:val="1"/>
    <w:rsid w:val="00997DD9"/>
    <w:rPr>
      <w:rFonts w:asciiTheme="majorHAnsi" w:eastAsia="Times New Roman" w:hAnsiTheme="majorHAnsi" w:cs="Arial"/>
      <w:b/>
      <w:bCs/>
      <w:sz w:val="40"/>
      <w:szCs w:val="40"/>
      <w:lang w:eastAsia="en-AU"/>
    </w:rPr>
  </w:style>
  <w:style w:type="character" w:customStyle="1" w:styleId="Heading2Char">
    <w:name w:val="Heading 2 Char"/>
    <w:basedOn w:val="DefaultParagraphFont"/>
    <w:link w:val="Heading2"/>
    <w:uiPriority w:val="1"/>
    <w:rsid w:val="002903A9"/>
    <w:rPr>
      <w:rFonts w:asciiTheme="majorHAnsi" w:eastAsia="Times New Roman" w:hAnsiTheme="majorHAnsi" w:cs="Arial"/>
      <w:b/>
      <w:bCs/>
      <w:iCs/>
      <w:sz w:val="28"/>
      <w:szCs w:val="28"/>
      <w:lang w:eastAsia="en-AU"/>
    </w:rPr>
  </w:style>
  <w:style w:type="character" w:customStyle="1" w:styleId="Heading3Char">
    <w:name w:val="Heading 3 Char"/>
    <w:basedOn w:val="DefaultParagraphFont"/>
    <w:link w:val="Heading3"/>
    <w:uiPriority w:val="1"/>
    <w:rsid w:val="00A102EC"/>
    <w:rPr>
      <w:rFonts w:asciiTheme="majorHAnsi" w:eastAsia="Times New Roman" w:hAnsiTheme="majorHAnsi" w:cs="Times New Roman"/>
      <w:b/>
      <w:bCs/>
      <w:lang w:eastAsia="en-AU"/>
    </w:rPr>
  </w:style>
  <w:style w:type="character" w:customStyle="1" w:styleId="Heading4Char">
    <w:name w:val="Heading 4 Char"/>
    <w:basedOn w:val="DefaultParagraphFont"/>
    <w:link w:val="Heading4"/>
    <w:uiPriority w:val="1"/>
    <w:rsid w:val="00E134ED"/>
    <w:rPr>
      <w:rFonts w:asciiTheme="majorHAnsi" w:eastAsia="Times New Roman" w:hAnsiTheme="majorHAnsi" w:cs="Times New Roman"/>
      <w:b/>
      <w:bCs/>
      <w:sz w:val="20"/>
      <w:szCs w:val="20"/>
      <w:lang w:eastAsia="en-AU"/>
    </w:rPr>
  </w:style>
  <w:style w:type="paragraph" w:customStyle="1" w:styleId="AltHeading1">
    <w:name w:val="Alt Heading 1"/>
    <w:basedOn w:val="Heading1"/>
    <w:next w:val="BodyText"/>
    <w:uiPriority w:val="2"/>
    <w:semiHidden/>
    <w:qFormat/>
    <w:rsid w:val="00B558AB"/>
    <w:pPr>
      <w:numPr>
        <w:numId w:val="9"/>
      </w:numPr>
    </w:pPr>
    <w:rPr>
      <w:bCs w:val="0"/>
    </w:rPr>
  </w:style>
  <w:style w:type="paragraph" w:customStyle="1" w:styleId="AltHeading2">
    <w:name w:val="Alt Heading 2"/>
    <w:basedOn w:val="Heading2"/>
    <w:next w:val="BodyText"/>
    <w:uiPriority w:val="2"/>
    <w:semiHidden/>
    <w:qFormat/>
    <w:rsid w:val="00912C23"/>
    <w:pPr>
      <w:numPr>
        <w:ilvl w:val="1"/>
        <w:numId w:val="9"/>
      </w:numPr>
    </w:pPr>
  </w:style>
  <w:style w:type="paragraph" w:customStyle="1" w:styleId="AltHeading3">
    <w:name w:val="Alt Heading 3"/>
    <w:basedOn w:val="Heading3"/>
    <w:next w:val="BodyText"/>
    <w:uiPriority w:val="2"/>
    <w:semiHidden/>
    <w:qFormat/>
    <w:rsid w:val="00912C23"/>
    <w:pPr>
      <w:numPr>
        <w:ilvl w:val="2"/>
        <w:numId w:val="9"/>
      </w:numPr>
    </w:pPr>
  </w:style>
  <w:style w:type="paragraph" w:customStyle="1" w:styleId="AltHeading4">
    <w:name w:val="Alt Heading 4"/>
    <w:basedOn w:val="Heading4"/>
    <w:next w:val="BodyText"/>
    <w:uiPriority w:val="99"/>
    <w:semiHidden/>
    <w:qFormat/>
    <w:rsid w:val="00912C23"/>
    <w:pPr>
      <w:numPr>
        <w:ilvl w:val="3"/>
        <w:numId w:val="9"/>
      </w:numPr>
    </w:pPr>
  </w:style>
  <w:style w:type="paragraph" w:styleId="Title">
    <w:name w:val="Title"/>
    <w:aliases w:val="Cover Title"/>
    <w:basedOn w:val="Heading1"/>
    <w:next w:val="BodyText"/>
    <w:link w:val="TitleChar"/>
    <w:rsid w:val="00045A35"/>
    <w:pPr>
      <w:spacing w:before="0" w:after="360"/>
    </w:pPr>
    <w:rPr>
      <w:color w:val="005190" w:themeColor="accent1"/>
      <w:sz w:val="80"/>
    </w:rPr>
  </w:style>
  <w:style w:type="character" w:customStyle="1" w:styleId="TitleChar">
    <w:name w:val="Title Char"/>
    <w:aliases w:val="Cover Title Char"/>
    <w:basedOn w:val="DefaultParagraphFont"/>
    <w:link w:val="Title"/>
    <w:rsid w:val="00045A35"/>
    <w:rPr>
      <w:rFonts w:asciiTheme="majorHAnsi" w:eastAsia="Times New Roman" w:hAnsiTheme="majorHAnsi" w:cs="Arial"/>
      <w:b/>
      <w:bCs/>
      <w:color w:val="005190" w:themeColor="accent1"/>
      <w:sz w:val="80"/>
      <w:szCs w:val="40"/>
      <w:lang w:eastAsia="en-AU"/>
    </w:rPr>
  </w:style>
  <w:style w:type="paragraph" w:styleId="BodyText2">
    <w:name w:val="Body Text 2"/>
    <w:basedOn w:val="BodyText"/>
    <w:link w:val="BodyText2Char"/>
    <w:uiPriority w:val="99"/>
    <w:semiHidden/>
    <w:qFormat/>
    <w:rsid w:val="00444AE6"/>
    <w:pPr>
      <w:numPr>
        <w:ilvl w:val="1"/>
      </w:numPr>
      <w:tabs>
        <w:tab w:val="left" w:pos="567"/>
      </w:tabs>
    </w:pPr>
  </w:style>
  <w:style w:type="character" w:customStyle="1" w:styleId="BodyText2Char">
    <w:name w:val="Body Text 2 Char"/>
    <w:basedOn w:val="DefaultParagraphFont"/>
    <w:link w:val="BodyText2"/>
    <w:uiPriority w:val="99"/>
    <w:semiHidden/>
    <w:rsid w:val="00444AE6"/>
    <w:rPr>
      <w:rFonts w:eastAsia="Times New Roman" w:cs="Times New Roman"/>
      <w:szCs w:val="24"/>
      <w:lang w:eastAsia="en-AU"/>
    </w:rPr>
  </w:style>
  <w:style w:type="paragraph" w:styleId="Header">
    <w:name w:val="header"/>
    <w:basedOn w:val="Normal"/>
    <w:link w:val="HeaderChar"/>
    <w:uiPriority w:val="99"/>
    <w:rsid w:val="00A417C1"/>
    <w:pPr>
      <w:jc w:val="right"/>
    </w:pPr>
    <w:rPr>
      <w:sz w:val="2"/>
    </w:rPr>
  </w:style>
  <w:style w:type="character" w:customStyle="1" w:styleId="HeaderChar">
    <w:name w:val="Header Char"/>
    <w:basedOn w:val="DefaultParagraphFont"/>
    <w:link w:val="Header"/>
    <w:uiPriority w:val="99"/>
    <w:rsid w:val="0042661D"/>
    <w:rPr>
      <w:sz w:val="2"/>
    </w:rPr>
  </w:style>
  <w:style w:type="paragraph" w:styleId="Footer">
    <w:name w:val="footer"/>
    <w:basedOn w:val="Normal"/>
    <w:link w:val="FooterChar"/>
    <w:uiPriority w:val="99"/>
    <w:semiHidden/>
    <w:rsid w:val="008E2BFA"/>
    <w:pPr>
      <w:tabs>
        <w:tab w:val="right" w:pos="9639"/>
      </w:tabs>
      <w:jc w:val="right"/>
    </w:pPr>
    <w:rPr>
      <w:color w:val="5C676D" w:themeColor="accent3"/>
      <w:sz w:val="18"/>
    </w:rPr>
  </w:style>
  <w:style w:type="character" w:customStyle="1" w:styleId="FooterChar">
    <w:name w:val="Footer Char"/>
    <w:basedOn w:val="DefaultParagraphFont"/>
    <w:link w:val="Footer"/>
    <w:uiPriority w:val="99"/>
    <w:semiHidden/>
    <w:rsid w:val="00261995"/>
    <w:rPr>
      <w:color w:val="5C676D" w:themeColor="accent3"/>
      <w:sz w:val="18"/>
    </w:rPr>
  </w:style>
  <w:style w:type="paragraph" w:styleId="ListNumber0">
    <w:name w:val="List Number"/>
    <w:basedOn w:val="ListBullet"/>
    <w:uiPriority w:val="21"/>
    <w:qFormat/>
    <w:rsid w:val="00CA589B"/>
    <w:pPr>
      <w:numPr>
        <w:numId w:val="15"/>
      </w:numPr>
    </w:pPr>
  </w:style>
  <w:style w:type="table" w:customStyle="1" w:styleId="HATableStyle1default">
    <w:name w:val="HA Table Style 1 (default)"/>
    <w:basedOn w:val="TableNormal"/>
    <w:uiPriority w:val="99"/>
    <w:rsid w:val="009048EC"/>
    <w:pPr>
      <w:spacing w:before="120" w:after="120"/>
    </w:pPr>
    <w:rPr>
      <w:color w:val="000000" w:themeColor="text1"/>
    </w:rPr>
    <w:tblPr>
      <w:tblStyleRowBandSize w:val="1"/>
      <w:tblStyleColBandSize w:val="1"/>
      <w:tblBorders>
        <w:top w:val="single" w:sz="8" w:space="0" w:color="FFFFFF" w:themeColor="background1"/>
        <w:insideH w:val="single" w:sz="8" w:space="0" w:color="FFFFFF" w:themeColor="background1"/>
      </w:tblBorders>
      <w:tblCellMar>
        <w:left w:w="85" w:type="dxa"/>
        <w:right w:w="85" w:type="dxa"/>
      </w:tblCellMar>
    </w:tblPr>
    <w:tcPr>
      <w:shd w:val="clear" w:color="auto" w:fill="CCCCCC" w:themeFill="text1" w:themeFillTint="33"/>
    </w:tcPr>
    <w:tblStylePr w:type="firstRow">
      <w:pPr>
        <w:keepNext/>
        <w:wordWrap/>
        <w:spacing w:beforeLines="0" w:before="120" w:beforeAutospacing="0" w:afterLines="0" w:after="120" w:afterAutospacing="0" w:line="240" w:lineRule="auto"/>
        <w:contextualSpacing w:val="0"/>
        <w:jc w:val="left"/>
      </w:pPr>
      <w:rPr>
        <w:rFonts w:asciiTheme="majorHAnsi" w:hAnsiTheme="majorHAnsi"/>
        <w:b/>
        <w:i w:val="0"/>
        <w:caps w:val="0"/>
        <w:smallCaps w:val="0"/>
        <w:strike w:val="0"/>
        <w:dstrike w:val="0"/>
        <w:vanish w:val="0"/>
        <w:color w:val="FFFFFF" w:themeColor="background1"/>
        <w:spacing w:val="0"/>
        <w:w w:val="100"/>
        <w:position w:val="0"/>
        <w:sz w:val="20"/>
        <w:vertAlign w:val="baseline"/>
      </w:rPr>
      <w:tblPr/>
      <w:trPr>
        <w:tblHeader/>
      </w:trPr>
      <w:tcPr>
        <w:shd w:val="clear" w:color="auto" w:fill="005190" w:themeFill="accent1"/>
      </w:tcPr>
    </w:tblStylePr>
    <w:tblStylePr w:type="firstCol">
      <w:pPr>
        <w:wordWrap/>
        <w:spacing w:beforeLines="0" w:before="120" w:beforeAutospacing="0" w:afterLines="0" w:after="120" w:afterAutospacing="0" w:line="240" w:lineRule="auto"/>
        <w:ind w:leftChars="0" w:left="0" w:rightChars="0" w:right="0"/>
        <w:jc w:val="left"/>
      </w:pPr>
      <w:rPr>
        <w:rFonts w:asciiTheme="minorHAnsi" w:hAnsiTheme="minorHAnsi"/>
        <w:b/>
        <w:i w:val="0"/>
        <w:color w:val="000000" w:themeColor="text1"/>
      </w:rPr>
    </w:tblStylePr>
    <w:tblStylePr w:type="band1Horz">
      <w:rPr>
        <w:rFonts w:asciiTheme="minorHAnsi" w:hAnsiTheme="minorHAnsi"/>
        <w:b w:val="0"/>
        <w:i w:val="0"/>
        <w:color w:val="000000" w:themeColor="text1"/>
        <w:sz w:val="20"/>
      </w:rPr>
      <w:tblPr/>
      <w:tcPr>
        <w:tcBorders>
          <w:top w:val="nil"/>
          <w:left w:val="nil"/>
          <w:bottom w:val="single" w:sz="4" w:space="0" w:color="F2F2F2"/>
          <w:right w:val="nil"/>
          <w:insideH w:val="nil"/>
          <w:insideV w:val="nil"/>
          <w:tl2br w:val="nil"/>
          <w:tr2bl w:val="nil"/>
        </w:tcBorders>
        <w:shd w:val="clear" w:color="auto" w:fill="FFFFFF" w:themeFill="background1"/>
      </w:tcPr>
    </w:tblStylePr>
    <w:tblStylePr w:type="band2Horz">
      <w:rPr>
        <w:rFonts w:asciiTheme="minorHAnsi" w:hAnsiTheme="minorHAnsi"/>
        <w:b w:val="0"/>
        <w:color w:val="000000" w:themeColor="text1"/>
        <w:sz w:val="20"/>
      </w:rPr>
      <w:tblPr/>
      <w:tcPr>
        <w:tcBorders>
          <w:top w:val="nil"/>
          <w:left w:val="nil"/>
          <w:bottom w:val="single" w:sz="4" w:space="0" w:color="F2F2F2"/>
          <w:right w:val="nil"/>
          <w:insideH w:val="nil"/>
          <w:insideV w:val="nil"/>
          <w:tl2br w:val="nil"/>
          <w:tr2bl w:val="nil"/>
        </w:tcBorders>
        <w:shd w:val="clear" w:color="auto" w:fill="F2F2F2" w:themeFill="background1" w:themeFillShade="F2"/>
      </w:tcPr>
    </w:tblStylePr>
  </w:style>
  <w:style w:type="paragraph" w:styleId="TOCHeading">
    <w:name w:val="TOC Heading"/>
    <w:basedOn w:val="Normal"/>
    <w:next w:val="Normal"/>
    <w:uiPriority w:val="99"/>
    <w:semiHidden/>
    <w:rsid w:val="00FA4261"/>
    <w:pPr>
      <w:keepNext/>
      <w:keepLines/>
      <w:widowControl w:val="0"/>
      <w:spacing w:after="480"/>
      <w:outlineLvl w:val="0"/>
    </w:pPr>
    <w:rPr>
      <w:rFonts w:asciiTheme="majorHAnsi" w:eastAsia="Times New Roman" w:hAnsiTheme="majorHAnsi" w:cs="Arial"/>
      <w:b/>
      <w:bCs/>
      <w:color w:val="005190" w:themeColor="accent1"/>
      <w:sz w:val="40"/>
      <w:szCs w:val="40"/>
      <w:lang w:eastAsia="en-AU"/>
    </w:rPr>
  </w:style>
  <w:style w:type="character" w:styleId="Hyperlink">
    <w:name w:val="Hyperlink"/>
    <w:basedOn w:val="DefaultParagraphFont"/>
    <w:uiPriority w:val="99"/>
    <w:rsid w:val="00997DD9"/>
    <w:rPr>
      <w:color w:val="000000" w:themeColor="text1"/>
      <w:u w:val="single"/>
    </w:rPr>
  </w:style>
  <w:style w:type="paragraph" w:styleId="TOC1">
    <w:name w:val="toc 1"/>
    <w:basedOn w:val="Normal"/>
    <w:next w:val="Normal"/>
    <w:uiPriority w:val="39"/>
    <w:rsid w:val="00C31D5F"/>
    <w:pPr>
      <w:keepNext/>
      <w:tabs>
        <w:tab w:val="left" w:pos="567"/>
        <w:tab w:val="left" w:pos="851"/>
        <w:tab w:val="right" w:leader="dot" w:pos="14459"/>
      </w:tabs>
      <w:spacing w:before="120" w:after="120" w:line="264" w:lineRule="auto"/>
      <w:ind w:right="111"/>
    </w:pPr>
    <w:rPr>
      <w:b/>
      <w:noProof/>
    </w:rPr>
  </w:style>
  <w:style w:type="paragraph" w:styleId="TOC2">
    <w:name w:val="toc 2"/>
    <w:basedOn w:val="Normal"/>
    <w:next w:val="Normal"/>
    <w:uiPriority w:val="39"/>
    <w:rsid w:val="00C31D5F"/>
    <w:pPr>
      <w:tabs>
        <w:tab w:val="left" w:pos="1134"/>
        <w:tab w:val="right" w:leader="dot" w:pos="14459"/>
      </w:tabs>
      <w:spacing w:before="60" w:after="60" w:line="264" w:lineRule="auto"/>
      <w:ind w:right="111" w:firstLine="567"/>
    </w:pPr>
    <w:rPr>
      <w:noProof/>
    </w:rPr>
  </w:style>
  <w:style w:type="paragraph" w:styleId="TOC3">
    <w:name w:val="toc 3"/>
    <w:basedOn w:val="Normal"/>
    <w:next w:val="Normal"/>
    <w:uiPriority w:val="39"/>
    <w:rsid w:val="00C31D5F"/>
    <w:pPr>
      <w:tabs>
        <w:tab w:val="left" w:pos="1985"/>
        <w:tab w:val="right" w:leader="dot" w:pos="14459"/>
      </w:tabs>
      <w:spacing w:before="60" w:after="60"/>
      <w:ind w:left="1134" w:right="111"/>
    </w:pPr>
    <w:rPr>
      <w:noProof/>
      <w:sz w:val="19"/>
    </w:rPr>
  </w:style>
  <w:style w:type="table" w:styleId="TableGrid">
    <w:name w:val="Table Grid"/>
    <w:basedOn w:val="TableNormal"/>
    <w:uiPriority w:val="59"/>
    <w:rsid w:val="00CB30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next w:val="BodyText"/>
    <w:uiPriority w:val="11"/>
    <w:qFormat/>
    <w:rsid w:val="0050271B"/>
    <w:pPr>
      <w:spacing w:before="120" w:after="120"/>
    </w:pPr>
  </w:style>
  <w:style w:type="paragraph" w:customStyle="1" w:styleId="TableBullet">
    <w:name w:val="Table Bullet"/>
    <w:basedOn w:val="Normal"/>
    <w:uiPriority w:val="4"/>
    <w:qFormat/>
    <w:rsid w:val="001E5703"/>
    <w:pPr>
      <w:numPr>
        <w:numId w:val="10"/>
      </w:numPr>
      <w:spacing w:before="120" w:after="120"/>
      <w:contextualSpacing/>
    </w:pPr>
    <w:rPr>
      <w:rFonts w:eastAsia="Times New Roman" w:cs="Times New Roman"/>
      <w:szCs w:val="24"/>
      <w:lang w:eastAsia="en-AU"/>
    </w:rPr>
  </w:style>
  <w:style w:type="paragraph" w:customStyle="1" w:styleId="TableNumber">
    <w:name w:val="Table Number"/>
    <w:basedOn w:val="Normal"/>
    <w:uiPriority w:val="4"/>
    <w:qFormat/>
    <w:rsid w:val="001E5703"/>
    <w:pPr>
      <w:numPr>
        <w:numId w:val="11"/>
      </w:numPr>
      <w:spacing w:before="120" w:after="120"/>
      <w:contextualSpacing/>
    </w:pPr>
  </w:style>
  <w:style w:type="character" w:customStyle="1" w:styleId="Heading5Char">
    <w:name w:val="Heading 5 Char"/>
    <w:basedOn w:val="DefaultParagraphFont"/>
    <w:link w:val="Heading5"/>
    <w:uiPriority w:val="1"/>
    <w:rsid w:val="009666A1"/>
    <w:rPr>
      <w:rFonts w:asciiTheme="majorHAnsi" w:eastAsia="Times New Roman" w:hAnsiTheme="majorHAnsi" w:cs="Times New Roman"/>
      <w:bCs/>
      <w:iCs/>
      <w:sz w:val="20"/>
      <w:szCs w:val="26"/>
      <w:lang w:eastAsia="en-AU"/>
    </w:rPr>
  </w:style>
  <w:style w:type="character" w:customStyle="1" w:styleId="Heading6Char">
    <w:name w:val="Heading 6 Char"/>
    <w:basedOn w:val="DefaultParagraphFont"/>
    <w:link w:val="Heading6"/>
    <w:uiPriority w:val="99"/>
    <w:semiHidden/>
    <w:rsid w:val="00662FA6"/>
    <w:rPr>
      <w:rFonts w:eastAsia="Times New Roman" w:cs="Times New Roman"/>
      <w:bCs/>
      <w:lang w:eastAsia="en-AU"/>
    </w:rPr>
  </w:style>
  <w:style w:type="paragraph" w:styleId="BodyText3">
    <w:name w:val="Body Text 3"/>
    <w:basedOn w:val="BodyText"/>
    <w:link w:val="BodyText3Char"/>
    <w:uiPriority w:val="99"/>
    <w:semiHidden/>
    <w:qFormat/>
    <w:rsid w:val="00444AE6"/>
    <w:pPr>
      <w:numPr>
        <w:ilvl w:val="2"/>
      </w:numPr>
    </w:pPr>
    <w:rPr>
      <w:szCs w:val="16"/>
    </w:rPr>
  </w:style>
  <w:style w:type="character" w:customStyle="1" w:styleId="BodyText3Char">
    <w:name w:val="Body Text 3 Char"/>
    <w:basedOn w:val="DefaultParagraphFont"/>
    <w:link w:val="BodyText3"/>
    <w:uiPriority w:val="99"/>
    <w:semiHidden/>
    <w:rsid w:val="00444AE6"/>
    <w:rPr>
      <w:rFonts w:eastAsia="Times New Roman" w:cs="Times New Roman"/>
      <w:szCs w:val="16"/>
      <w:lang w:eastAsia="en-AU"/>
    </w:rPr>
  </w:style>
  <w:style w:type="paragraph" w:styleId="ListParagraph0">
    <w:name w:val="List Paragraph"/>
    <w:basedOn w:val="Normal"/>
    <w:link w:val="ListParagraphChar"/>
    <w:uiPriority w:val="23"/>
    <w:qFormat/>
    <w:rsid w:val="00554686"/>
    <w:pPr>
      <w:numPr>
        <w:numId w:val="8"/>
      </w:numPr>
      <w:spacing w:before="120" w:after="120" w:line="264" w:lineRule="auto"/>
    </w:pPr>
    <w:rPr>
      <w:rFonts w:eastAsia="Times New Roman" w:cs="Times New Roman"/>
      <w:szCs w:val="24"/>
      <w:lang w:eastAsia="en-AU"/>
    </w:rPr>
  </w:style>
  <w:style w:type="paragraph" w:styleId="TOC4">
    <w:name w:val="toc 4"/>
    <w:basedOn w:val="TOC1"/>
    <w:next w:val="Normal"/>
    <w:uiPriority w:val="99"/>
    <w:semiHidden/>
    <w:rsid w:val="00DF01DF"/>
    <w:pPr>
      <w:ind w:left="851" w:hanging="851"/>
    </w:pPr>
  </w:style>
  <w:style w:type="paragraph" w:customStyle="1" w:styleId="AltHeading5">
    <w:name w:val="Alt Heading 5"/>
    <w:basedOn w:val="Heading5"/>
    <w:next w:val="BodyText"/>
    <w:uiPriority w:val="99"/>
    <w:semiHidden/>
    <w:rsid w:val="00912C23"/>
    <w:pPr>
      <w:numPr>
        <w:ilvl w:val="4"/>
        <w:numId w:val="9"/>
      </w:numPr>
    </w:pPr>
  </w:style>
  <w:style w:type="paragraph" w:styleId="BalloonText">
    <w:name w:val="Balloon Text"/>
    <w:basedOn w:val="Normal"/>
    <w:link w:val="BalloonTextChar"/>
    <w:uiPriority w:val="99"/>
    <w:semiHidden/>
    <w:rsid w:val="00E21DC0"/>
    <w:rPr>
      <w:rFonts w:ascii="Tahoma" w:hAnsi="Tahoma" w:cs="Tahoma"/>
      <w:sz w:val="16"/>
      <w:szCs w:val="16"/>
    </w:rPr>
  </w:style>
  <w:style w:type="character" w:customStyle="1" w:styleId="BalloonTextChar">
    <w:name w:val="Balloon Text Char"/>
    <w:basedOn w:val="DefaultParagraphFont"/>
    <w:link w:val="BalloonText"/>
    <w:uiPriority w:val="99"/>
    <w:semiHidden/>
    <w:rsid w:val="00E21DC0"/>
    <w:rPr>
      <w:rFonts w:ascii="Tahoma" w:hAnsi="Tahoma" w:cs="Tahoma"/>
      <w:sz w:val="16"/>
      <w:szCs w:val="16"/>
    </w:rPr>
  </w:style>
  <w:style w:type="paragraph" w:styleId="Quote">
    <w:name w:val="Quote"/>
    <w:basedOn w:val="Normal"/>
    <w:next w:val="Normal"/>
    <w:link w:val="QuoteChar"/>
    <w:uiPriority w:val="25"/>
    <w:qFormat/>
    <w:rsid w:val="00997DD9"/>
    <w:pPr>
      <w:spacing w:before="240" w:after="160" w:line="264" w:lineRule="auto"/>
    </w:pPr>
    <w:rPr>
      <w:rFonts w:ascii="Arial" w:eastAsia="Arial" w:hAnsi="Arial" w:cs="Times New Roman"/>
      <w:color w:val="005190" w:themeColor="accent1"/>
      <w:sz w:val="40"/>
      <w:szCs w:val="40"/>
    </w:rPr>
  </w:style>
  <w:style w:type="character" w:customStyle="1" w:styleId="QuoteChar">
    <w:name w:val="Quote Char"/>
    <w:basedOn w:val="DefaultParagraphFont"/>
    <w:link w:val="Quote"/>
    <w:uiPriority w:val="25"/>
    <w:rsid w:val="00893748"/>
    <w:rPr>
      <w:rFonts w:ascii="Arial" w:eastAsia="Arial" w:hAnsi="Arial" w:cs="Times New Roman"/>
      <w:color w:val="005190" w:themeColor="accent1"/>
      <w:sz w:val="40"/>
      <w:szCs w:val="40"/>
    </w:rPr>
  </w:style>
  <w:style w:type="paragraph" w:styleId="TOC5">
    <w:name w:val="toc 5"/>
    <w:basedOn w:val="TOC2"/>
    <w:next w:val="Normal"/>
    <w:uiPriority w:val="99"/>
    <w:semiHidden/>
    <w:rsid w:val="0061089F"/>
    <w:pPr>
      <w:tabs>
        <w:tab w:val="left" w:pos="851"/>
      </w:tabs>
      <w:ind w:left="851" w:hanging="851"/>
    </w:pPr>
  </w:style>
  <w:style w:type="paragraph" w:styleId="TOC6">
    <w:name w:val="toc 6"/>
    <w:basedOn w:val="TOC3"/>
    <w:next w:val="Normal"/>
    <w:uiPriority w:val="99"/>
    <w:semiHidden/>
    <w:rsid w:val="0061089F"/>
    <w:pPr>
      <w:tabs>
        <w:tab w:val="left" w:pos="851"/>
      </w:tabs>
      <w:ind w:left="851" w:hanging="851"/>
    </w:pPr>
  </w:style>
  <w:style w:type="paragraph" w:styleId="TOC7">
    <w:name w:val="toc 7"/>
    <w:basedOn w:val="TOC2"/>
    <w:next w:val="Normal"/>
    <w:uiPriority w:val="99"/>
    <w:semiHidden/>
    <w:rsid w:val="003B4DCF"/>
    <w:rPr>
      <w:sz w:val="16"/>
    </w:rPr>
  </w:style>
  <w:style w:type="paragraph" w:styleId="TOC8">
    <w:name w:val="toc 8"/>
    <w:basedOn w:val="Normal"/>
    <w:next w:val="Normal"/>
    <w:uiPriority w:val="99"/>
    <w:semiHidden/>
    <w:rsid w:val="003B4DCF"/>
    <w:pPr>
      <w:tabs>
        <w:tab w:val="left" w:pos="851"/>
        <w:tab w:val="right" w:pos="9639"/>
      </w:tabs>
      <w:spacing w:after="60"/>
      <w:ind w:left="851" w:hanging="851"/>
    </w:pPr>
    <w:rPr>
      <w:sz w:val="16"/>
    </w:rPr>
  </w:style>
  <w:style w:type="paragraph" w:styleId="TOC9">
    <w:name w:val="toc 9"/>
    <w:basedOn w:val="Normal"/>
    <w:next w:val="Normal"/>
    <w:uiPriority w:val="99"/>
    <w:semiHidden/>
    <w:rsid w:val="003B4DCF"/>
    <w:pPr>
      <w:tabs>
        <w:tab w:val="left" w:pos="1418"/>
        <w:tab w:val="right" w:pos="9639"/>
      </w:tabs>
      <w:spacing w:after="60"/>
      <w:ind w:left="1134" w:hanging="1134"/>
    </w:pPr>
  </w:style>
  <w:style w:type="numbering" w:customStyle="1" w:styleId="ListNumber">
    <w:name w:val="List_Number"/>
    <w:uiPriority w:val="99"/>
    <w:rsid w:val="004041DA"/>
    <w:pPr>
      <w:numPr>
        <w:numId w:val="4"/>
      </w:numPr>
    </w:pPr>
  </w:style>
  <w:style w:type="numbering" w:customStyle="1" w:styleId="ListParagraph">
    <w:name w:val="List_Paragraph"/>
    <w:uiPriority w:val="99"/>
    <w:rsid w:val="003A08A5"/>
    <w:pPr>
      <w:numPr>
        <w:numId w:val="5"/>
      </w:numPr>
    </w:pPr>
  </w:style>
  <w:style w:type="paragraph" w:styleId="Caption">
    <w:name w:val="caption"/>
    <w:basedOn w:val="Normal"/>
    <w:next w:val="Normal"/>
    <w:uiPriority w:val="12"/>
    <w:qFormat/>
    <w:rsid w:val="0056243E"/>
    <w:pPr>
      <w:keepNext/>
      <w:tabs>
        <w:tab w:val="left" w:pos="1134"/>
      </w:tabs>
      <w:spacing w:before="120" w:after="120" w:line="264" w:lineRule="auto"/>
      <w:ind w:left="1134" w:hanging="1134"/>
    </w:pPr>
    <w:rPr>
      <w:b/>
      <w:i/>
      <w:iCs/>
      <w:sz w:val="18"/>
      <w:szCs w:val="18"/>
    </w:rPr>
  </w:style>
  <w:style w:type="paragraph" w:customStyle="1" w:styleId="TableBody">
    <w:name w:val="Table Body"/>
    <w:basedOn w:val="Normal"/>
    <w:uiPriority w:val="3"/>
    <w:qFormat/>
    <w:rsid w:val="002D4927"/>
    <w:pPr>
      <w:spacing w:before="120" w:after="120"/>
    </w:pPr>
    <w:rPr>
      <w:rFonts w:eastAsia="MS Mincho" w:cs="Times New Roman"/>
      <w:color w:val="000000" w:themeColor="text1"/>
      <w:lang w:val="en-US"/>
    </w:rPr>
  </w:style>
  <w:style w:type="numbering" w:customStyle="1" w:styleId="ListAlpha">
    <w:name w:val="List_Alpha"/>
    <w:uiPriority w:val="99"/>
    <w:rsid w:val="004041DA"/>
    <w:pPr>
      <w:numPr>
        <w:numId w:val="1"/>
      </w:numPr>
    </w:pPr>
  </w:style>
  <w:style w:type="paragraph" w:styleId="TableofAuthorities">
    <w:name w:val="table of authorities"/>
    <w:basedOn w:val="Normal"/>
    <w:next w:val="Normal"/>
    <w:uiPriority w:val="99"/>
    <w:semiHidden/>
    <w:rsid w:val="00E018FB"/>
    <w:pPr>
      <w:ind w:left="200" w:hanging="200"/>
    </w:pPr>
  </w:style>
  <w:style w:type="paragraph" w:styleId="TableofFigures">
    <w:name w:val="table of figures"/>
    <w:basedOn w:val="TOC3"/>
    <w:next w:val="Normal"/>
    <w:uiPriority w:val="99"/>
    <w:semiHidden/>
    <w:rsid w:val="00F6184E"/>
  </w:style>
  <w:style w:type="character" w:styleId="FollowedHyperlink">
    <w:name w:val="FollowedHyperlink"/>
    <w:basedOn w:val="DefaultParagraphFont"/>
    <w:uiPriority w:val="99"/>
    <w:semiHidden/>
    <w:rsid w:val="00662FA6"/>
    <w:rPr>
      <w:color w:val="005190" w:themeColor="accent1"/>
      <w:u w:val="single"/>
    </w:rPr>
  </w:style>
  <w:style w:type="paragraph" w:customStyle="1" w:styleId="AppendixH1">
    <w:name w:val="Appendix H1"/>
    <w:basedOn w:val="Normal"/>
    <w:next w:val="BodyText"/>
    <w:uiPriority w:val="99"/>
    <w:semiHidden/>
    <w:qFormat/>
    <w:rsid w:val="004F2A3C"/>
    <w:pPr>
      <w:pageBreakBefore/>
      <w:numPr>
        <w:numId w:val="2"/>
      </w:numPr>
      <w:tabs>
        <w:tab w:val="left" w:pos="567"/>
      </w:tabs>
      <w:spacing w:before="60" w:after="320"/>
    </w:pPr>
    <w:rPr>
      <w:rFonts w:eastAsia="Times New Roman" w:cs="Times New Roman"/>
      <w:b/>
      <w:sz w:val="36"/>
      <w:szCs w:val="24"/>
      <w:lang w:eastAsia="en-AU"/>
    </w:rPr>
  </w:style>
  <w:style w:type="paragraph" w:customStyle="1" w:styleId="AppendixH2">
    <w:name w:val="Appendix H2"/>
    <w:basedOn w:val="Heading2"/>
    <w:next w:val="BodyText"/>
    <w:uiPriority w:val="99"/>
    <w:semiHidden/>
    <w:qFormat/>
    <w:rsid w:val="004F2A3C"/>
    <w:pPr>
      <w:tabs>
        <w:tab w:val="left" w:pos="851"/>
      </w:tabs>
    </w:pPr>
    <w:rPr>
      <w:b w:val="0"/>
      <w:iCs w:val="0"/>
    </w:rPr>
  </w:style>
  <w:style w:type="paragraph" w:customStyle="1" w:styleId="AppendixH3">
    <w:name w:val="Appendix H3"/>
    <w:basedOn w:val="Heading3"/>
    <w:next w:val="BodyText"/>
    <w:uiPriority w:val="99"/>
    <w:semiHidden/>
    <w:qFormat/>
    <w:rsid w:val="004F2A3C"/>
    <w:pPr>
      <w:tabs>
        <w:tab w:val="left" w:pos="851"/>
      </w:tabs>
    </w:pPr>
    <w:rPr>
      <w:b w:val="0"/>
    </w:rPr>
  </w:style>
  <w:style w:type="table" w:customStyle="1" w:styleId="HATableStyle2">
    <w:name w:val="HA Table Style 2"/>
    <w:basedOn w:val="TableNormal"/>
    <w:uiPriority w:val="99"/>
    <w:rsid w:val="00786081"/>
    <w:pPr>
      <w:spacing w:before="120" w:after="120"/>
    </w:pPr>
    <w:rPr>
      <w:color w:val="000000" w:themeColor="text1"/>
    </w:rPr>
    <w:tblPr>
      <w:tblStyleRowBandSize w:val="1"/>
      <w:tblBorders>
        <w:bottom w:val="single" w:sz="4" w:space="0" w:color="D9D9D9" w:themeColor="background1" w:themeShade="D9"/>
        <w:insideH w:val="single" w:sz="4" w:space="0" w:color="D9D9D9" w:themeColor="background1" w:themeShade="D9"/>
      </w:tblBorders>
    </w:tblPr>
    <w:tblStylePr w:type="firstRow">
      <w:rPr>
        <w:rFonts w:asciiTheme="minorHAnsi" w:hAnsiTheme="minorHAnsi"/>
        <w:b/>
        <w:i w:val="0"/>
      </w:rPr>
      <w:tblPr/>
      <w:tcPr>
        <w:shd w:val="clear" w:color="auto" w:fill="D9D9D9" w:themeFill="background1" w:themeFillShade="D9"/>
      </w:tcPr>
    </w:tblStylePr>
    <w:tblStylePr w:type="lastRow">
      <w:tblPr/>
      <w:tcPr>
        <w:tcBorders>
          <w:top w:val="single" w:sz="18" w:space="0" w:color="D9D9D9" w:themeColor="background1" w:themeShade="D9"/>
          <w:left w:val="nil"/>
          <w:bottom w:val="single" w:sz="18" w:space="0" w:color="D9D9D9" w:themeColor="background1" w:themeShade="D9"/>
          <w:right w:val="nil"/>
          <w:insideH w:val="nil"/>
          <w:insideV w:val="nil"/>
          <w:tl2br w:val="nil"/>
          <w:tr2bl w:val="nil"/>
        </w:tcBorders>
      </w:tcPr>
    </w:tblStylePr>
    <w:tblStylePr w:type="firstCol">
      <w:rPr>
        <w:rFonts w:asciiTheme="minorHAnsi" w:hAnsiTheme="minorHAnsi"/>
        <w:b/>
        <w:i w:val="0"/>
      </w:rPr>
    </w:tblStylePr>
    <w:tblStylePr w:type="band1Horz">
      <w:tblPr/>
      <w:tcPr>
        <w:tcBorders>
          <w:insideH w:val="nil"/>
        </w:tcBorders>
      </w:tcPr>
    </w:tblStylePr>
  </w:style>
  <w:style w:type="paragraph" w:styleId="ListBullet2">
    <w:name w:val="List Bullet 2"/>
    <w:basedOn w:val="ListBullet"/>
    <w:uiPriority w:val="20"/>
    <w:rsid w:val="00997DD9"/>
    <w:pPr>
      <w:numPr>
        <w:ilvl w:val="1"/>
      </w:numPr>
    </w:pPr>
  </w:style>
  <w:style w:type="paragraph" w:styleId="ListBullet3">
    <w:name w:val="List Bullet 3"/>
    <w:basedOn w:val="ListBullet"/>
    <w:uiPriority w:val="20"/>
    <w:rsid w:val="00997DD9"/>
    <w:pPr>
      <w:numPr>
        <w:ilvl w:val="2"/>
      </w:numPr>
    </w:pPr>
  </w:style>
  <w:style w:type="paragraph" w:styleId="ListBullet4">
    <w:name w:val="List Bullet 4"/>
    <w:basedOn w:val="ListBullet"/>
    <w:uiPriority w:val="20"/>
    <w:rsid w:val="00997DD9"/>
    <w:pPr>
      <w:numPr>
        <w:ilvl w:val="3"/>
      </w:numPr>
    </w:pPr>
  </w:style>
  <w:style w:type="paragraph" w:styleId="ListNumber2">
    <w:name w:val="List Number 2"/>
    <w:basedOn w:val="ListBullet2"/>
    <w:uiPriority w:val="21"/>
    <w:rsid w:val="00997DD9"/>
    <w:pPr>
      <w:numPr>
        <w:numId w:val="15"/>
      </w:numPr>
    </w:pPr>
  </w:style>
  <w:style w:type="paragraph" w:styleId="ListNumber3">
    <w:name w:val="List Number 3"/>
    <w:basedOn w:val="ListBullet3"/>
    <w:uiPriority w:val="21"/>
    <w:rsid w:val="00997DD9"/>
    <w:pPr>
      <w:numPr>
        <w:numId w:val="15"/>
      </w:numPr>
    </w:pPr>
  </w:style>
  <w:style w:type="paragraph" w:styleId="ListNumber4">
    <w:name w:val="List Number 4"/>
    <w:basedOn w:val="ListNumber0"/>
    <w:uiPriority w:val="21"/>
    <w:rsid w:val="004F2A3C"/>
    <w:pPr>
      <w:numPr>
        <w:ilvl w:val="3"/>
      </w:numPr>
    </w:pPr>
  </w:style>
  <w:style w:type="paragraph" w:customStyle="1" w:styleId="ListParagraph2">
    <w:name w:val="List Paragraph 2"/>
    <w:basedOn w:val="ListParagraph0"/>
    <w:uiPriority w:val="19"/>
    <w:semiHidden/>
    <w:rsid w:val="004F2A3C"/>
    <w:pPr>
      <w:numPr>
        <w:ilvl w:val="1"/>
      </w:numPr>
    </w:pPr>
  </w:style>
  <w:style w:type="paragraph" w:customStyle="1" w:styleId="ListParagraph3">
    <w:name w:val="List Paragraph 3"/>
    <w:basedOn w:val="ListParagraph0"/>
    <w:uiPriority w:val="19"/>
    <w:semiHidden/>
    <w:rsid w:val="004F2A3C"/>
    <w:pPr>
      <w:numPr>
        <w:ilvl w:val="2"/>
      </w:numPr>
    </w:pPr>
  </w:style>
  <w:style w:type="paragraph" w:customStyle="1" w:styleId="ListParagraph4">
    <w:name w:val="List Paragraph 4"/>
    <w:basedOn w:val="ListParagraph0"/>
    <w:uiPriority w:val="19"/>
    <w:semiHidden/>
    <w:rsid w:val="004F2A3C"/>
    <w:pPr>
      <w:numPr>
        <w:ilvl w:val="3"/>
      </w:numPr>
    </w:pPr>
  </w:style>
  <w:style w:type="paragraph" w:customStyle="1" w:styleId="ListParagraph5">
    <w:name w:val="List Paragraph 5"/>
    <w:basedOn w:val="ListParagraph0"/>
    <w:uiPriority w:val="19"/>
    <w:semiHidden/>
    <w:rsid w:val="004F2A3C"/>
    <w:pPr>
      <w:numPr>
        <w:ilvl w:val="4"/>
      </w:numPr>
    </w:pPr>
  </w:style>
  <w:style w:type="paragraph" w:customStyle="1" w:styleId="ListParagraph6">
    <w:name w:val="List Paragraph 6"/>
    <w:basedOn w:val="ListParagraph0"/>
    <w:uiPriority w:val="19"/>
    <w:semiHidden/>
    <w:rsid w:val="004F2A3C"/>
    <w:pPr>
      <w:numPr>
        <w:ilvl w:val="5"/>
      </w:numPr>
    </w:pPr>
  </w:style>
  <w:style w:type="numbering" w:customStyle="1" w:styleId="ListBullet0">
    <w:name w:val="List_Bullet"/>
    <w:uiPriority w:val="99"/>
    <w:rsid w:val="002106C4"/>
    <w:pPr>
      <w:numPr>
        <w:numId w:val="3"/>
      </w:numPr>
    </w:pPr>
  </w:style>
  <w:style w:type="numbering" w:customStyle="1" w:styleId="ListTableBullet">
    <w:name w:val="List_TableBullet"/>
    <w:uiPriority w:val="99"/>
    <w:rsid w:val="002106C4"/>
    <w:pPr>
      <w:numPr>
        <w:numId w:val="6"/>
      </w:numPr>
    </w:pPr>
  </w:style>
  <w:style w:type="numbering" w:customStyle="1" w:styleId="ListTableNumber">
    <w:name w:val="List_TableNumber"/>
    <w:uiPriority w:val="99"/>
    <w:rsid w:val="003A08A5"/>
    <w:pPr>
      <w:numPr>
        <w:numId w:val="7"/>
      </w:numPr>
    </w:pPr>
  </w:style>
  <w:style w:type="paragraph" w:customStyle="1" w:styleId="TableBullet2">
    <w:name w:val="Table Bullet 2"/>
    <w:basedOn w:val="TableBullet"/>
    <w:uiPriority w:val="4"/>
    <w:rsid w:val="004F2A3C"/>
    <w:pPr>
      <w:numPr>
        <w:ilvl w:val="1"/>
      </w:numPr>
    </w:pPr>
  </w:style>
  <w:style w:type="paragraph" w:customStyle="1" w:styleId="TableNumber2">
    <w:name w:val="Table Number 2"/>
    <w:basedOn w:val="TableNumber"/>
    <w:uiPriority w:val="5"/>
    <w:rsid w:val="004F2A3C"/>
    <w:pPr>
      <w:numPr>
        <w:ilvl w:val="1"/>
      </w:numPr>
    </w:pPr>
  </w:style>
  <w:style w:type="paragraph" w:customStyle="1" w:styleId="BodyText4">
    <w:name w:val="Body Text 4"/>
    <w:basedOn w:val="BodyText3"/>
    <w:uiPriority w:val="99"/>
    <w:semiHidden/>
    <w:qFormat/>
    <w:rsid w:val="00444AE6"/>
    <w:pPr>
      <w:numPr>
        <w:ilvl w:val="3"/>
      </w:numPr>
    </w:pPr>
  </w:style>
  <w:style w:type="paragraph" w:customStyle="1" w:styleId="BodyText5">
    <w:name w:val="Body Text 5"/>
    <w:basedOn w:val="BodyText4"/>
    <w:uiPriority w:val="99"/>
    <w:semiHidden/>
    <w:qFormat/>
    <w:rsid w:val="00444AE6"/>
    <w:pPr>
      <w:numPr>
        <w:ilvl w:val="4"/>
      </w:numPr>
    </w:pPr>
  </w:style>
  <w:style w:type="paragraph" w:customStyle="1" w:styleId="BodyText6">
    <w:name w:val="Body Text 6"/>
    <w:basedOn w:val="BodyText5"/>
    <w:uiPriority w:val="99"/>
    <w:semiHidden/>
    <w:qFormat/>
    <w:rsid w:val="00444AE6"/>
    <w:pPr>
      <w:numPr>
        <w:ilvl w:val="5"/>
      </w:numPr>
    </w:pPr>
  </w:style>
  <w:style w:type="character" w:styleId="PlaceholderText">
    <w:name w:val="Placeholder Text"/>
    <w:basedOn w:val="DefaultParagraphFont"/>
    <w:uiPriority w:val="99"/>
    <w:semiHidden/>
    <w:rsid w:val="002106C4"/>
    <w:rPr>
      <w:color w:val="808080"/>
    </w:rPr>
  </w:style>
  <w:style w:type="paragraph" w:customStyle="1" w:styleId="ListAlpha6">
    <w:name w:val="List Alpha 6"/>
    <w:basedOn w:val="ListAlpha4"/>
    <w:uiPriority w:val="19"/>
    <w:semiHidden/>
    <w:rsid w:val="002903A9"/>
    <w:pPr>
      <w:numPr>
        <w:ilvl w:val="0"/>
        <w:numId w:val="0"/>
      </w:numPr>
      <w:tabs>
        <w:tab w:val="num" w:pos="3402"/>
      </w:tabs>
      <w:ind w:left="3402" w:hanging="567"/>
    </w:pPr>
  </w:style>
  <w:style w:type="paragraph" w:customStyle="1" w:styleId="FigureCaption">
    <w:name w:val="Figure Caption"/>
    <w:basedOn w:val="Normal"/>
    <w:semiHidden/>
    <w:qFormat/>
    <w:rsid w:val="001E2C91"/>
  </w:style>
  <w:style w:type="paragraph" w:customStyle="1" w:styleId="FigureStyle">
    <w:name w:val="Figure Style"/>
    <w:basedOn w:val="Normal"/>
    <w:uiPriority w:val="99"/>
    <w:semiHidden/>
    <w:qFormat/>
    <w:rsid w:val="004041DA"/>
    <w:pPr>
      <w:spacing w:before="120" w:after="120" w:line="264" w:lineRule="auto"/>
      <w:jc w:val="center"/>
    </w:pPr>
  </w:style>
  <w:style w:type="character" w:styleId="PageNumber">
    <w:name w:val="page number"/>
    <w:basedOn w:val="DefaultParagraphFont"/>
    <w:uiPriority w:val="99"/>
    <w:semiHidden/>
    <w:rsid w:val="0074597C"/>
  </w:style>
  <w:style w:type="paragraph" w:styleId="NoSpacing">
    <w:name w:val="No Spacing"/>
    <w:uiPriority w:val="10"/>
    <w:semiHidden/>
    <w:rsid w:val="009860F9"/>
    <w:pPr>
      <w:spacing w:line="264" w:lineRule="auto"/>
    </w:pPr>
  </w:style>
  <w:style w:type="character" w:styleId="CommentReference">
    <w:name w:val="annotation reference"/>
    <w:basedOn w:val="DefaultParagraphFont"/>
    <w:uiPriority w:val="99"/>
    <w:semiHidden/>
    <w:unhideWhenUsed/>
    <w:rsid w:val="00DC1997"/>
    <w:rPr>
      <w:sz w:val="16"/>
      <w:szCs w:val="16"/>
    </w:rPr>
  </w:style>
  <w:style w:type="paragraph" w:styleId="CommentText">
    <w:name w:val="annotation text"/>
    <w:basedOn w:val="Normal"/>
    <w:link w:val="CommentTextChar"/>
    <w:uiPriority w:val="99"/>
    <w:unhideWhenUsed/>
    <w:rsid w:val="00DC1997"/>
  </w:style>
  <w:style w:type="character" w:customStyle="1" w:styleId="CommentTextChar">
    <w:name w:val="Comment Text Char"/>
    <w:basedOn w:val="DefaultParagraphFont"/>
    <w:link w:val="CommentText"/>
    <w:uiPriority w:val="99"/>
    <w:rsid w:val="00DC1997"/>
    <w:rPr>
      <w:sz w:val="20"/>
      <w:szCs w:val="20"/>
    </w:rPr>
  </w:style>
  <w:style w:type="paragraph" w:customStyle="1" w:styleId="Protection">
    <w:name w:val="Protection"/>
    <w:basedOn w:val="Normal"/>
    <w:semiHidden/>
    <w:rsid w:val="00E66A44"/>
    <w:pPr>
      <w:jc w:val="center"/>
    </w:pPr>
    <w:rPr>
      <w:rFonts w:ascii="Arial" w:hAnsi="Arial" w:cs="Arial"/>
      <w:b/>
      <w:color w:val="C00000"/>
      <w:sz w:val="28"/>
      <w:szCs w:val="28"/>
    </w:rPr>
  </w:style>
  <w:style w:type="paragraph" w:customStyle="1" w:styleId="ProtectionDeleteMe">
    <w:name w:val="Protection DeleteMe"/>
    <w:basedOn w:val="Protection"/>
    <w:semiHidden/>
    <w:rsid w:val="00E66A44"/>
    <w:pPr>
      <w:spacing w:before="120"/>
    </w:pPr>
  </w:style>
  <w:style w:type="paragraph" w:customStyle="1" w:styleId="CoveringDeleteMe">
    <w:name w:val="Covering DeleteMe"/>
    <w:basedOn w:val="Normal"/>
    <w:semiHidden/>
    <w:rsid w:val="008F7847"/>
    <w:pPr>
      <w:spacing w:after="120"/>
      <w:jc w:val="center"/>
    </w:pPr>
    <w:rPr>
      <w:b/>
      <w:color w:val="C00000"/>
    </w:rPr>
  </w:style>
  <w:style w:type="character" w:customStyle="1" w:styleId="ListParagraphChar">
    <w:name w:val="List Paragraph Char"/>
    <w:basedOn w:val="DefaultParagraphFont"/>
    <w:link w:val="ListParagraph0"/>
    <w:uiPriority w:val="23"/>
    <w:locked/>
    <w:rsid w:val="00554686"/>
    <w:rPr>
      <w:rFonts w:eastAsia="Times New Roman" w:cs="Times New Roman"/>
      <w:szCs w:val="24"/>
      <w:lang w:eastAsia="en-AU"/>
    </w:rPr>
  </w:style>
  <w:style w:type="paragraph" w:customStyle="1" w:styleId="Heading1numbered">
    <w:name w:val="Heading 1 (numbered)"/>
    <w:basedOn w:val="Heading1"/>
    <w:next w:val="BodyText"/>
    <w:uiPriority w:val="3"/>
    <w:qFormat/>
    <w:rsid w:val="008D36D0"/>
    <w:pPr>
      <w:keepLines w:val="0"/>
      <w:widowControl/>
      <w:numPr>
        <w:numId w:val="12"/>
      </w:numPr>
    </w:pPr>
    <w:rPr>
      <w:rFonts w:eastAsiaTheme="minorHAnsi" w:cstheme="minorBidi"/>
      <w:bCs w:val="0"/>
      <w:noProof/>
      <w:color w:val="000000" w:themeColor="text1"/>
      <w:lang w:eastAsia="en-US"/>
    </w:rPr>
  </w:style>
  <w:style w:type="paragraph" w:customStyle="1" w:styleId="Heading2numbered">
    <w:name w:val="Heading 2 (numbered)"/>
    <w:basedOn w:val="Heading2"/>
    <w:next w:val="BodyText"/>
    <w:uiPriority w:val="3"/>
    <w:qFormat/>
    <w:rsid w:val="008D36D0"/>
    <w:pPr>
      <w:keepLines w:val="0"/>
      <w:numPr>
        <w:ilvl w:val="1"/>
        <w:numId w:val="12"/>
      </w:numPr>
      <w:spacing w:before="360" w:after="240" w:line="264" w:lineRule="auto"/>
    </w:pPr>
    <w:rPr>
      <w:rFonts w:eastAsiaTheme="minorHAnsi" w:cstheme="minorBidi"/>
      <w:bCs w:val="0"/>
      <w:iCs w:val="0"/>
      <w:noProof/>
      <w:color w:val="000000" w:themeColor="text1"/>
      <w:lang w:eastAsia="en-US"/>
    </w:rPr>
  </w:style>
  <w:style w:type="paragraph" w:customStyle="1" w:styleId="Heading3numbered">
    <w:name w:val="Heading 3 (numbered)"/>
    <w:basedOn w:val="Heading3"/>
    <w:next w:val="BodyText"/>
    <w:uiPriority w:val="3"/>
    <w:qFormat/>
    <w:rsid w:val="002E449C"/>
    <w:pPr>
      <w:keepLines w:val="0"/>
      <w:numPr>
        <w:ilvl w:val="2"/>
        <w:numId w:val="12"/>
      </w:numPr>
    </w:pPr>
    <w:rPr>
      <w:rFonts w:eastAsiaTheme="minorHAnsi" w:cstheme="minorBidi"/>
      <w:bCs w:val="0"/>
      <w:color w:val="000000" w:themeColor="text1"/>
      <w:sz w:val="24"/>
      <w:lang w:eastAsia="en-US"/>
    </w:rPr>
  </w:style>
  <w:style w:type="paragraph" w:customStyle="1" w:styleId="Heading4numbered">
    <w:name w:val="Heading 4 (numbered)"/>
    <w:basedOn w:val="Heading4"/>
    <w:next w:val="BodyText"/>
    <w:uiPriority w:val="3"/>
    <w:qFormat/>
    <w:rsid w:val="002E449C"/>
    <w:pPr>
      <w:keepLines w:val="0"/>
      <w:numPr>
        <w:ilvl w:val="3"/>
        <w:numId w:val="12"/>
      </w:numPr>
      <w:spacing w:line="264" w:lineRule="auto"/>
    </w:pPr>
    <w:rPr>
      <w:rFonts w:eastAsiaTheme="minorHAnsi" w:cstheme="minorBidi"/>
      <w:bCs w:val="0"/>
      <w:color w:val="000000" w:themeColor="text1"/>
      <w:lang w:eastAsia="en-US"/>
    </w:rPr>
  </w:style>
  <w:style w:type="paragraph" w:customStyle="1" w:styleId="Heading5numbered">
    <w:name w:val="Heading 5 (numbered)"/>
    <w:basedOn w:val="Heading5"/>
    <w:next w:val="BodyText"/>
    <w:uiPriority w:val="3"/>
    <w:qFormat/>
    <w:rsid w:val="002E449C"/>
    <w:pPr>
      <w:keepLines w:val="0"/>
      <w:numPr>
        <w:ilvl w:val="4"/>
        <w:numId w:val="12"/>
      </w:numPr>
      <w:spacing w:line="264" w:lineRule="auto"/>
    </w:pPr>
    <w:rPr>
      <w:rFonts w:asciiTheme="minorHAnsi" w:eastAsiaTheme="minorHAnsi" w:hAnsiTheme="minorHAnsi" w:cstheme="minorBidi"/>
      <w:b/>
      <w:bCs w:val="0"/>
      <w:i/>
      <w:iCs w:val="0"/>
      <w:color w:val="000000" w:themeColor="text1"/>
      <w:szCs w:val="20"/>
      <w:lang w:eastAsia="en-US"/>
    </w:rPr>
  </w:style>
  <w:style w:type="paragraph" w:styleId="ListBullet">
    <w:name w:val="List Bullet"/>
    <w:basedOn w:val="Normal"/>
    <w:uiPriority w:val="20"/>
    <w:qFormat/>
    <w:rsid w:val="009F4521"/>
    <w:pPr>
      <w:numPr>
        <w:numId w:val="14"/>
      </w:numPr>
      <w:spacing w:before="120" w:after="120" w:line="264" w:lineRule="auto"/>
      <w:ind w:left="284"/>
    </w:pPr>
  </w:style>
  <w:style w:type="paragraph" w:customStyle="1" w:styleId="ListAlpha0">
    <w:name w:val="List Alpha"/>
    <w:basedOn w:val="Normal"/>
    <w:uiPriority w:val="22"/>
    <w:rsid w:val="00CA589B"/>
    <w:pPr>
      <w:numPr>
        <w:numId w:val="17"/>
      </w:numPr>
      <w:spacing w:before="120" w:after="120" w:line="264" w:lineRule="auto"/>
    </w:pPr>
    <w:rPr>
      <w:rFonts w:eastAsia="Times New Roman" w:cs="Times New Roman"/>
      <w:szCs w:val="24"/>
      <w:lang w:eastAsia="en-AU"/>
    </w:rPr>
  </w:style>
  <w:style w:type="paragraph" w:customStyle="1" w:styleId="ListAlpha4">
    <w:name w:val="List Alpha 4"/>
    <w:basedOn w:val="ListAlpha3"/>
    <w:uiPriority w:val="22"/>
    <w:rsid w:val="00E134ED"/>
    <w:pPr>
      <w:numPr>
        <w:ilvl w:val="3"/>
      </w:numPr>
    </w:pPr>
  </w:style>
  <w:style w:type="paragraph" w:customStyle="1" w:styleId="ListAlpha5">
    <w:name w:val="List Alpha 5"/>
    <w:basedOn w:val="ListAlpha4"/>
    <w:uiPriority w:val="22"/>
    <w:rsid w:val="00E134ED"/>
    <w:pPr>
      <w:numPr>
        <w:ilvl w:val="4"/>
      </w:numPr>
    </w:pPr>
  </w:style>
  <w:style w:type="paragraph" w:customStyle="1" w:styleId="ListAlpha3">
    <w:name w:val="List Alpha 3"/>
    <w:basedOn w:val="ListAlpha2"/>
    <w:uiPriority w:val="22"/>
    <w:rsid w:val="00E134ED"/>
    <w:pPr>
      <w:numPr>
        <w:ilvl w:val="2"/>
      </w:numPr>
    </w:pPr>
  </w:style>
  <w:style w:type="paragraph" w:customStyle="1" w:styleId="ListAlpha2">
    <w:name w:val="List Alpha 2"/>
    <w:basedOn w:val="ListAlpha0"/>
    <w:uiPriority w:val="22"/>
    <w:qFormat/>
    <w:rsid w:val="001E2C91"/>
    <w:pPr>
      <w:numPr>
        <w:ilvl w:val="1"/>
        <w:numId w:val="13"/>
      </w:numPr>
    </w:pPr>
  </w:style>
  <w:style w:type="paragraph" w:styleId="ListNumber5">
    <w:name w:val="List Number 5"/>
    <w:basedOn w:val="ListNumber0"/>
    <w:uiPriority w:val="21"/>
    <w:rsid w:val="002903A9"/>
    <w:pPr>
      <w:numPr>
        <w:numId w:val="0"/>
      </w:numPr>
      <w:tabs>
        <w:tab w:val="num" w:pos="2835"/>
      </w:tabs>
      <w:spacing w:before="0"/>
      <w:ind w:left="2835" w:hanging="567"/>
    </w:pPr>
    <w:rPr>
      <w:rFonts w:eastAsia="Times New Roman" w:cs="Times New Roman"/>
      <w:szCs w:val="24"/>
      <w:lang w:eastAsia="en-AU"/>
    </w:rPr>
  </w:style>
  <w:style w:type="paragraph" w:customStyle="1" w:styleId="ListNumber6">
    <w:name w:val="List Number 6"/>
    <w:basedOn w:val="ListNumber0"/>
    <w:uiPriority w:val="19"/>
    <w:semiHidden/>
    <w:rsid w:val="002903A9"/>
    <w:pPr>
      <w:numPr>
        <w:numId w:val="0"/>
      </w:numPr>
      <w:tabs>
        <w:tab w:val="num" w:pos="3402"/>
      </w:tabs>
      <w:spacing w:before="0"/>
      <w:ind w:left="3402" w:hanging="567"/>
    </w:pPr>
    <w:rPr>
      <w:rFonts w:eastAsia="Times New Roman" w:cs="Times New Roman"/>
      <w:szCs w:val="24"/>
      <w:lang w:eastAsia="en-AU"/>
    </w:rPr>
  </w:style>
  <w:style w:type="paragraph" w:customStyle="1" w:styleId="Linedparagraph">
    <w:name w:val="Lined paragraph"/>
    <w:basedOn w:val="BodyText"/>
    <w:uiPriority w:val="19"/>
    <w:semiHidden/>
    <w:qFormat/>
    <w:rsid w:val="0056243E"/>
    <w:pPr>
      <w:keepLines/>
      <w:pBdr>
        <w:bottom w:val="single" w:sz="4" w:space="4" w:color="D9D9D9" w:themeColor="background2" w:themeShade="D9"/>
        <w:between w:val="single" w:sz="4" w:space="4" w:color="D9D9D9" w:themeColor="background2" w:themeShade="D9"/>
      </w:pBdr>
      <w:spacing w:line="240" w:lineRule="auto"/>
      <w:contextualSpacing/>
    </w:pPr>
    <w:rPr>
      <w:rFonts w:eastAsiaTheme="minorHAnsi" w:cstheme="minorBidi"/>
      <w:color w:val="000000" w:themeColor="text1"/>
      <w:szCs w:val="20"/>
      <w:lang w:eastAsia="en-US"/>
    </w:rPr>
  </w:style>
  <w:style w:type="paragraph" w:styleId="ListBullet5">
    <w:name w:val="List Bullet 5"/>
    <w:basedOn w:val="ListBullet4"/>
    <w:uiPriority w:val="20"/>
    <w:rsid w:val="00A23301"/>
    <w:pPr>
      <w:numPr>
        <w:numId w:val="16"/>
      </w:numPr>
      <w:contextualSpacing/>
    </w:pPr>
  </w:style>
  <w:style w:type="paragraph" w:styleId="Subtitle">
    <w:name w:val="Subtitle"/>
    <w:basedOn w:val="Normal"/>
    <w:next w:val="Normal"/>
    <w:link w:val="SubtitleChar"/>
    <w:rsid w:val="00AA5241"/>
    <w:pPr>
      <w:numPr>
        <w:ilvl w:val="1"/>
      </w:numPr>
      <w:spacing w:after="160"/>
    </w:pPr>
    <w:rPr>
      <w:rFonts w:eastAsiaTheme="minorEastAsia"/>
      <w:spacing w:val="15"/>
      <w:sz w:val="36"/>
    </w:rPr>
  </w:style>
  <w:style w:type="character" w:customStyle="1" w:styleId="SubtitleChar">
    <w:name w:val="Subtitle Char"/>
    <w:basedOn w:val="DefaultParagraphFont"/>
    <w:link w:val="Subtitle"/>
    <w:rsid w:val="00AA5241"/>
    <w:rPr>
      <w:rFonts w:eastAsiaTheme="minorEastAsia"/>
      <w:spacing w:val="15"/>
      <w:sz w:val="36"/>
    </w:rPr>
  </w:style>
  <w:style w:type="paragraph" w:customStyle="1" w:styleId="Appendix1">
    <w:name w:val="Appendix 1"/>
    <w:basedOn w:val="Heading1"/>
    <w:next w:val="BodyText"/>
    <w:uiPriority w:val="19"/>
    <w:semiHidden/>
    <w:qFormat/>
    <w:rsid w:val="00FD6E81"/>
    <w:pPr>
      <w:keepLines w:val="0"/>
      <w:widowControl/>
      <w:numPr>
        <w:numId w:val="18"/>
      </w:numPr>
    </w:pPr>
    <w:rPr>
      <w:rFonts w:eastAsiaTheme="minorHAnsi" w:cstheme="minorBidi"/>
      <w:bCs w:val="0"/>
      <w:noProof/>
      <w:color w:val="000000" w:themeColor="text1"/>
      <w:sz w:val="20"/>
      <w:lang w:eastAsia="en-US"/>
    </w:rPr>
  </w:style>
  <w:style w:type="numbering" w:customStyle="1" w:styleId="Appendices">
    <w:name w:val="Appendices"/>
    <w:uiPriority w:val="99"/>
    <w:rsid w:val="00FD6E81"/>
    <w:pPr>
      <w:numPr>
        <w:numId w:val="18"/>
      </w:numPr>
    </w:pPr>
  </w:style>
  <w:style w:type="paragraph" w:customStyle="1" w:styleId="Footer2">
    <w:name w:val="Footer 2"/>
    <w:basedOn w:val="Footer"/>
    <w:uiPriority w:val="39"/>
    <w:semiHidden/>
    <w:qFormat/>
    <w:rsid w:val="00090147"/>
    <w:pPr>
      <w:jc w:val="left"/>
    </w:pPr>
    <w:rPr>
      <w:color w:val="000000" w:themeColor="text1"/>
    </w:rPr>
  </w:style>
  <w:style w:type="paragraph" w:styleId="FootnoteText">
    <w:name w:val="footnote text"/>
    <w:basedOn w:val="Normal"/>
    <w:link w:val="FootnoteTextChar"/>
    <w:uiPriority w:val="99"/>
    <w:semiHidden/>
    <w:unhideWhenUsed/>
    <w:rsid w:val="006B23F6"/>
  </w:style>
  <w:style w:type="character" w:customStyle="1" w:styleId="FootnoteTextChar">
    <w:name w:val="Footnote Text Char"/>
    <w:basedOn w:val="DefaultParagraphFont"/>
    <w:link w:val="FootnoteText"/>
    <w:uiPriority w:val="99"/>
    <w:semiHidden/>
    <w:rsid w:val="006B23F6"/>
  </w:style>
  <w:style w:type="character" w:styleId="FootnoteReference">
    <w:name w:val="footnote reference"/>
    <w:basedOn w:val="DefaultParagraphFont"/>
    <w:uiPriority w:val="99"/>
    <w:semiHidden/>
    <w:unhideWhenUsed/>
    <w:rsid w:val="006B23F6"/>
    <w:rPr>
      <w:vertAlign w:val="superscript"/>
    </w:rPr>
  </w:style>
  <w:style w:type="character" w:styleId="UnresolvedMention">
    <w:name w:val="Unresolved Mention"/>
    <w:basedOn w:val="DefaultParagraphFont"/>
    <w:uiPriority w:val="99"/>
    <w:semiHidden/>
    <w:unhideWhenUsed/>
    <w:rsid w:val="00DF0208"/>
    <w:rPr>
      <w:color w:val="605E5C"/>
      <w:shd w:val="clear" w:color="auto" w:fill="E1DFDD"/>
    </w:rPr>
  </w:style>
  <w:style w:type="paragraph" w:styleId="NormalWeb">
    <w:name w:val="Normal (Web)"/>
    <w:basedOn w:val="Normal"/>
    <w:uiPriority w:val="99"/>
    <w:semiHidden/>
    <w:unhideWhenUsed/>
    <w:rsid w:val="00BD2A12"/>
    <w:pPr>
      <w:spacing w:before="100" w:beforeAutospacing="1" w:after="100" w:afterAutospacing="1"/>
    </w:pPr>
    <w:rPr>
      <w:rFonts w:ascii="Times New Roman" w:eastAsia="Times New Roman" w:hAnsi="Times New Roman" w:cs="Times New Roman"/>
      <w:sz w:val="24"/>
      <w:szCs w:val="24"/>
      <w:lang w:val="en-US"/>
    </w:rPr>
  </w:style>
  <w:style w:type="paragraph" w:styleId="CommentSubject">
    <w:name w:val="annotation subject"/>
    <w:basedOn w:val="CommentText"/>
    <w:next w:val="CommentText"/>
    <w:link w:val="CommentSubjectChar"/>
    <w:uiPriority w:val="99"/>
    <w:semiHidden/>
    <w:unhideWhenUsed/>
    <w:rsid w:val="00B6654A"/>
    <w:rPr>
      <w:b/>
      <w:bCs/>
    </w:rPr>
  </w:style>
  <w:style w:type="character" w:customStyle="1" w:styleId="CommentSubjectChar">
    <w:name w:val="Comment Subject Char"/>
    <w:basedOn w:val="CommentTextChar"/>
    <w:link w:val="CommentSubject"/>
    <w:uiPriority w:val="99"/>
    <w:semiHidden/>
    <w:rsid w:val="00B6654A"/>
    <w:rPr>
      <w:b/>
      <w:bCs/>
      <w:sz w:val="20"/>
      <w:szCs w:val="20"/>
    </w:rPr>
  </w:style>
  <w:style w:type="paragraph" w:styleId="Revision">
    <w:name w:val="Revision"/>
    <w:hidden/>
    <w:uiPriority w:val="99"/>
    <w:semiHidden/>
    <w:rsid w:val="00207E9E"/>
  </w:style>
  <w:style w:type="character" w:styleId="Mention">
    <w:name w:val="Mention"/>
    <w:basedOn w:val="DefaultParagraphFont"/>
    <w:uiPriority w:val="99"/>
    <w:unhideWhenUsed/>
    <w:rsid w:val="00BA073F"/>
    <w:rPr>
      <w:color w:val="2B579A"/>
      <w:shd w:val="clear" w:color="auto" w:fill="E1DFDD"/>
    </w:rPr>
  </w:style>
  <w:style w:type="table" w:styleId="ListTable4-Accent1">
    <w:name w:val="List Table 4 Accent 1"/>
    <w:basedOn w:val="TableNormal"/>
    <w:uiPriority w:val="49"/>
    <w:rsid w:val="002D6DAE"/>
    <w:tblPr>
      <w:tblStyleRowBandSize w:val="1"/>
      <w:tblStyleColBandSize w:val="1"/>
      <w:tblBorders>
        <w:top w:val="single" w:sz="4" w:space="0" w:color="239EFF" w:themeColor="accent1" w:themeTint="99"/>
        <w:left w:val="single" w:sz="4" w:space="0" w:color="239EFF" w:themeColor="accent1" w:themeTint="99"/>
        <w:bottom w:val="single" w:sz="4" w:space="0" w:color="239EFF" w:themeColor="accent1" w:themeTint="99"/>
        <w:right w:val="single" w:sz="4" w:space="0" w:color="239EFF" w:themeColor="accent1" w:themeTint="99"/>
        <w:insideH w:val="single" w:sz="4" w:space="0" w:color="239EFF" w:themeColor="accent1" w:themeTint="99"/>
      </w:tblBorders>
    </w:tblPr>
    <w:tblStylePr w:type="firstRow">
      <w:rPr>
        <w:b/>
        <w:bCs/>
        <w:color w:val="FFFFFF" w:themeColor="background1"/>
      </w:rPr>
      <w:tblPr/>
      <w:tcPr>
        <w:tcBorders>
          <w:top w:val="single" w:sz="4" w:space="0" w:color="005190" w:themeColor="accent1"/>
          <w:left w:val="single" w:sz="4" w:space="0" w:color="005190" w:themeColor="accent1"/>
          <w:bottom w:val="single" w:sz="4" w:space="0" w:color="005190" w:themeColor="accent1"/>
          <w:right w:val="single" w:sz="4" w:space="0" w:color="005190" w:themeColor="accent1"/>
          <w:insideH w:val="nil"/>
        </w:tcBorders>
        <w:shd w:val="clear" w:color="auto" w:fill="005190" w:themeFill="accent1"/>
      </w:tcPr>
    </w:tblStylePr>
    <w:tblStylePr w:type="lastRow">
      <w:rPr>
        <w:b/>
        <w:bCs/>
      </w:rPr>
      <w:tblPr/>
      <w:tcPr>
        <w:tcBorders>
          <w:top w:val="double" w:sz="4" w:space="0" w:color="239EFF" w:themeColor="accent1" w:themeTint="99"/>
        </w:tcBorders>
      </w:tcPr>
    </w:tblStylePr>
    <w:tblStylePr w:type="firstCol">
      <w:rPr>
        <w:b/>
        <w:bCs/>
      </w:rPr>
    </w:tblStylePr>
    <w:tblStylePr w:type="lastCol">
      <w:rPr>
        <w:b/>
        <w:bCs/>
      </w:rPr>
    </w:tblStylePr>
    <w:tblStylePr w:type="band1Vert">
      <w:tblPr/>
      <w:tcPr>
        <w:shd w:val="clear" w:color="auto" w:fill="B5DEFF" w:themeFill="accent1" w:themeFillTint="33"/>
      </w:tcPr>
    </w:tblStylePr>
    <w:tblStylePr w:type="band1Horz">
      <w:tblPr/>
      <w:tcPr>
        <w:shd w:val="clear" w:color="auto" w:fill="B5DEFF" w:themeFill="accent1" w:themeFillTint="33"/>
      </w:tcPr>
    </w:tblStylePr>
  </w:style>
  <w:style w:type="table" w:styleId="ListTable4-Accent5">
    <w:name w:val="List Table 4 Accent 5"/>
    <w:basedOn w:val="TableNormal"/>
    <w:uiPriority w:val="49"/>
    <w:rsid w:val="002D6DAE"/>
    <w:tblPr>
      <w:tblStyleRowBandSize w:val="1"/>
      <w:tblStyleColBandSize w:val="1"/>
      <w:tblBorders>
        <w:top w:val="single" w:sz="4" w:space="0" w:color="239EFF" w:themeColor="accent5" w:themeTint="99"/>
        <w:left w:val="single" w:sz="4" w:space="0" w:color="239EFF" w:themeColor="accent5" w:themeTint="99"/>
        <w:bottom w:val="single" w:sz="4" w:space="0" w:color="239EFF" w:themeColor="accent5" w:themeTint="99"/>
        <w:right w:val="single" w:sz="4" w:space="0" w:color="239EFF" w:themeColor="accent5" w:themeTint="99"/>
        <w:insideH w:val="single" w:sz="4" w:space="0" w:color="239EFF" w:themeColor="accent5" w:themeTint="99"/>
      </w:tblBorders>
    </w:tblPr>
    <w:tblStylePr w:type="firstRow">
      <w:rPr>
        <w:b/>
        <w:bCs/>
        <w:color w:val="FFFFFF" w:themeColor="background1"/>
      </w:rPr>
      <w:tblPr/>
      <w:tcPr>
        <w:tcBorders>
          <w:top w:val="single" w:sz="4" w:space="0" w:color="005190" w:themeColor="accent5"/>
          <w:left w:val="single" w:sz="4" w:space="0" w:color="005190" w:themeColor="accent5"/>
          <w:bottom w:val="single" w:sz="4" w:space="0" w:color="005190" w:themeColor="accent5"/>
          <w:right w:val="single" w:sz="4" w:space="0" w:color="005190" w:themeColor="accent5"/>
          <w:insideH w:val="nil"/>
        </w:tcBorders>
        <w:shd w:val="clear" w:color="auto" w:fill="005190" w:themeFill="accent5"/>
      </w:tcPr>
    </w:tblStylePr>
    <w:tblStylePr w:type="lastRow">
      <w:rPr>
        <w:b/>
        <w:bCs/>
      </w:rPr>
      <w:tblPr/>
      <w:tcPr>
        <w:tcBorders>
          <w:top w:val="double" w:sz="4" w:space="0" w:color="239EFF" w:themeColor="accent5" w:themeTint="99"/>
        </w:tcBorders>
      </w:tcPr>
    </w:tblStylePr>
    <w:tblStylePr w:type="firstCol">
      <w:rPr>
        <w:b/>
        <w:bCs/>
      </w:rPr>
    </w:tblStylePr>
    <w:tblStylePr w:type="lastCol">
      <w:rPr>
        <w:b/>
        <w:bCs/>
      </w:rPr>
    </w:tblStylePr>
    <w:tblStylePr w:type="band1Vert">
      <w:tblPr/>
      <w:tcPr>
        <w:shd w:val="clear" w:color="auto" w:fill="B5DEFF" w:themeFill="accent5" w:themeFillTint="33"/>
      </w:tcPr>
    </w:tblStylePr>
    <w:tblStylePr w:type="band1Horz">
      <w:tblPr/>
      <w:tcPr>
        <w:shd w:val="clear" w:color="auto" w:fill="B5DEFF" w:themeFill="accent5" w:themeFillTint="33"/>
      </w:tcPr>
    </w:tblStylePr>
  </w:style>
  <w:style w:type="paragraph" w:customStyle="1" w:styleId="p1">
    <w:name w:val="p1"/>
    <w:basedOn w:val="Normal"/>
    <w:rsid w:val="002975D4"/>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p2">
    <w:name w:val="p2"/>
    <w:basedOn w:val="Normal"/>
    <w:rsid w:val="004458A7"/>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p3">
    <w:name w:val="p3"/>
    <w:basedOn w:val="Normal"/>
    <w:rsid w:val="00BA685B"/>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SourceNote">
    <w:name w:val="Source Note"/>
    <w:rsid w:val="00EE598F"/>
    <w:pPr>
      <w:spacing w:after="80" w:line="276" w:lineRule="auto"/>
    </w:pPr>
    <w:rPr>
      <w:rFonts w:ascii="Arial" w:eastAsiaTheme="minorEastAsia" w:hAnsi="Arial"/>
      <w:color w:val="595959"/>
      <w:sz w:val="16"/>
      <w:szCs w:val="22"/>
      <w:lang w:val="en-US"/>
    </w:rPr>
  </w:style>
  <w:style w:type="paragraph" w:customStyle="1" w:styleId="paragraph">
    <w:name w:val="paragraph"/>
    <w:aliases w:val="a"/>
    <w:basedOn w:val="Normal"/>
    <w:rsid w:val="00831063"/>
    <w:pPr>
      <w:tabs>
        <w:tab w:val="right" w:pos="1531"/>
      </w:tabs>
      <w:spacing w:before="40"/>
      <w:ind w:left="1644" w:hanging="1644"/>
    </w:pPr>
    <w:rPr>
      <w:rFonts w:ascii="Times New Roman" w:eastAsia="Times New Roman" w:hAnsi="Times New Roman" w:cs="Times New Roman"/>
      <w:sz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863325">
      <w:bodyDiv w:val="1"/>
      <w:marLeft w:val="0"/>
      <w:marRight w:val="0"/>
      <w:marTop w:val="0"/>
      <w:marBottom w:val="0"/>
      <w:divBdr>
        <w:top w:val="none" w:sz="0" w:space="0" w:color="auto"/>
        <w:left w:val="none" w:sz="0" w:space="0" w:color="auto"/>
        <w:bottom w:val="none" w:sz="0" w:space="0" w:color="auto"/>
        <w:right w:val="none" w:sz="0" w:space="0" w:color="auto"/>
      </w:divBdr>
    </w:div>
    <w:div w:id="1087459010">
      <w:bodyDiv w:val="1"/>
      <w:marLeft w:val="0"/>
      <w:marRight w:val="0"/>
      <w:marTop w:val="0"/>
      <w:marBottom w:val="0"/>
      <w:divBdr>
        <w:top w:val="none" w:sz="0" w:space="0" w:color="auto"/>
        <w:left w:val="none" w:sz="0" w:space="0" w:color="auto"/>
        <w:bottom w:val="none" w:sz="0" w:space="0" w:color="auto"/>
        <w:right w:val="none" w:sz="0" w:space="0" w:color="auto"/>
      </w:divBdr>
    </w:div>
    <w:div w:id="1167330660">
      <w:bodyDiv w:val="1"/>
      <w:marLeft w:val="0"/>
      <w:marRight w:val="0"/>
      <w:marTop w:val="0"/>
      <w:marBottom w:val="0"/>
      <w:divBdr>
        <w:top w:val="none" w:sz="0" w:space="0" w:color="auto"/>
        <w:left w:val="none" w:sz="0" w:space="0" w:color="auto"/>
        <w:bottom w:val="none" w:sz="0" w:space="0" w:color="auto"/>
        <w:right w:val="none" w:sz="0" w:space="0" w:color="auto"/>
      </w:divBdr>
    </w:div>
    <w:div w:id="1203254438">
      <w:bodyDiv w:val="1"/>
      <w:marLeft w:val="0"/>
      <w:marRight w:val="0"/>
      <w:marTop w:val="0"/>
      <w:marBottom w:val="0"/>
      <w:divBdr>
        <w:top w:val="none" w:sz="0" w:space="0" w:color="auto"/>
        <w:left w:val="none" w:sz="0" w:space="0" w:color="auto"/>
        <w:bottom w:val="none" w:sz="0" w:space="0" w:color="auto"/>
        <w:right w:val="none" w:sz="0" w:space="0" w:color="auto"/>
      </w:divBdr>
    </w:div>
    <w:div w:id="2033265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s://www.reuters.com/sustainability/climate-energy/ghost-machine-rogue-communication-devices-found-chinese-inverters-2025-05-14/" TargetMode="External"/><Relationship Id="rId3" Type="http://schemas.openxmlformats.org/officeDocument/2006/relationships/hyperlink" Target="https://www.asio.gov.au/director-generals-annual-threat-assessment-2025" TargetMode="External"/><Relationship Id="rId7" Type="http://schemas.openxmlformats.org/officeDocument/2006/relationships/hyperlink" Target="https://www.cisc.gov.au/resources-subsite/Documents/critical-infrastructure-annual-risk-review-2024.pdf" TargetMode="External"/><Relationship Id="rId2" Type="http://schemas.openxmlformats.org/officeDocument/2006/relationships/hyperlink" Target="https://www.homeaffairs.gov.au/nat-security/files/foci-risk-assessment-guidance-without-appendices.pdf" TargetMode="External"/><Relationship Id="rId1" Type="http://schemas.openxmlformats.org/officeDocument/2006/relationships/hyperlink" Target="https://www.asio.gov.au/director-generals-annual-threat-assessment-2025" TargetMode="External"/><Relationship Id="rId6" Type="http://schemas.openxmlformats.org/officeDocument/2006/relationships/hyperlink" Target="https://www.homeaffairs.gov.au/nat-security/files/foci-risk-assessment-guidance-without-appendices.pdf" TargetMode="External"/><Relationship Id="rId5" Type="http://schemas.openxmlformats.org/officeDocument/2006/relationships/hyperlink" Target="https://www.cyber.gov.au/sites/default/files/2025-10/Annual%20Cyber%20Threat%20Report%202024-25.pdf" TargetMode="External"/><Relationship Id="rId10" Type="http://schemas.openxmlformats.org/officeDocument/2006/relationships/hyperlink" Target="https://www.aic.gov.au/sites/default/files/2025-08/the_cost_of_espionage.pdf" TargetMode="External"/><Relationship Id="rId4" Type="http://schemas.openxmlformats.org/officeDocument/2006/relationships/hyperlink" Target="https://www.cyber.gov.au/about-us/view-all-content/alerts-and-advisories/prc-state-sponsored-actors-compromise-and-maintain-persistent-access-us-critical-infrastructure" TargetMode="External"/><Relationship Id="rId9" Type="http://schemas.openxmlformats.org/officeDocument/2006/relationships/hyperlink" Target="https://www.aspistrategist.org.au/its-not-just-software-physical-critical-equipment-cant-be-trusted-eith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199A378354547D98089484AF4F42EC5"/>
        <w:category>
          <w:name w:val="General"/>
          <w:gallery w:val="placeholder"/>
        </w:category>
        <w:types>
          <w:type w:val="bbPlcHdr"/>
        </w:types>
        <w:behaviors>
          <w:behavior w:val="content"/>
        </w:behaviors>
        <w:guid w:val="{1A2ACFA5-F95B-4E39-8366-4099FE2C1190}"/>
      </w:docPartPr>
      <w:docPartBody>
        <w:p w:rsidR="00B7062C" w:rsidRDefault="00B7062C">
          <w:pPr>
            <w:pStyle w:val="1199A378354547D98089484AF4F42EC5"/>
          </w:pPr>
          <w:r w:rsidRPr="00DF2726">
            <w:t>[</w:t>
          </w:r>
          <w:r>
            <w:t>A4 Portrait Report</w:t>
          </w:r>
          <w:r w:rsidRPr="00DF2726">
            <w:t xml:space="preserve"> Title]</w:t>
          </w:r>
        </w:p>
      </w:docPartBody>
    </w:docPart>
    <w:docPart>
      <w:docPartPr>
        <w:name w:val="82F55A3629F2DB4DA04012C33D2CD0FE"/>
        <w:category>
          <w:name w:val="General"/>
          <w:gallery w:val="placeholder"/>
        </w:category>
        <w:types>
          <w:type w:val="bbPlcHdr"/>
        </w:types>
        <w:behaviors>
          <w:behavior w:val="content"/>
        </w:behaviors>
        <w:guid w:val="{DE1CD28D-18A6-3A4D-A0A8-4FB4880367AC}"/>
      </w:docPartPr>
      <w:docPartBody>
        <w:p w:rsidR="003121A1" w:rsidRDefault="00786CE0" w:rsidP="00786CE0">
          <w:pPr>
            <w:pStyle w:val="82F55A3629F2DB4DA04012C33D2CD0FE"/>
          </w:pPr>
          <w:r w:rsidRPr="00DF2726">
            <w:t>[</w:t>
          </w:r>
          <w:r>
            <w:t>A4 Portrait Report</w:t>
          </w:r>
          <w:r w:rsidRPr="00DF2726">
            <w:t xml:space="preserve">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62C"/>
    <w:rsid w:val="000015D0"/>
    <w:rsid w:val="000045FC"/>
    <w:rsid w:val="003121A1"/>
    <w:rsid w:val="00360AE9"/>
    <w:rsid w:val="00413686"/>
    <w:rsid w:val="0043444F"/>
    <w:rsid w:val="00493636"/>
    <w:rsid w:val="004C142F"/>
    <w:rsid w:val="00521B9F"/>
    <w:rsid w:val="0059604B"/>
    <w:rsid w:val="005A375F"/>
    <w:rsid w:val="005D7B86"/>
    <w:rsid w:val="005F7539"/>
    <w:rsid w:val="0066639B"/>
    <w:rsid w:val="006C2102"/>
    <w:rsid w:val="006E1155"/>
    <w:rsid w:val="00714840"/>
    <w:rsid w:val="007460C7"/>
    <w:rsid w:val="00786CE0"/>
    <w:rsid w:val="00847D7E"/>
    <w:rsid w:val="009E601E"/>
    <w:rsid w:val="00A751B1"/>
    <w:rsid w:val="00AE7B60"/>
    <w:rsid w:val="00AF4E1E"/>
    <w:rsid w:val="00B2242D"/>
    <w:rsid w:val="00B3067A"/>
    <w:rsid w:val="00B51395"/>
    <w:rsid w:val="00B64ADF"/>
    <w:rsid w:val="00B7062C"/>
    <w:rsid w:val="00BA7C70"/>
    <w:rsid w:val="00BB76D5"/>
    <w:rsid w:val="00BD552E"/>
    <w:rsid w:val="00C009BE"/>
    <w:rsid w:val="00C80097"/>
    <w:rsid w:val="00CB5601"/>
    <w:rsid w:val="00CD2296"/>
    <w:rsid w:val="00D05988"/>
    <w:rsid w:val="00D244C3"/>
    <w:rsid w:val="00D57515"/>
    <w:rsid w:val="00D66432"/>
    <w:rsid w:val="00D94403"/>
    <w:rsid w:val="00F610C3"/>
    <w:rsid w:val="00F845E1"/>
    <w:rsid w:val="00F846F8"/>
    <w:rsid w:val="00FE44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199A378354547D98089484AF4F42EC5">
    <w:name w:val="1199A378354547D98089484AF4F42EC5"/>
  </w:style>
  <w:style w:type="paragraph" w:customStyle="1" w:styleId="82F55A3629F2DB4DA04012C33D2CD0FE">
    <w:name w:val="82F55A3629F2DB4DA04012C33D2CD0FE"/>
    <w:rsid w:val="00786CE0"/>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HomeAffairs">
  <a:themeElements>
    <a:clrScheme name="Home Affairs colour palette 2021">
      <a:dk1>
        <a:sysClr val="windowText" lastClr="000000"/>
      </a:dk1>
      <a:lt1>
        <a:sysClr val="window" lastClr="FFFFFF"/>
      </a:lt1>
      <a:dk2>
        <a:srgbClr val="7F7F7F"/>
      </a:dk2>
      <a:lt2>
        <a:srgbClr val="FFFFFF"/>
      </a:lt2>
      <a:accent1>
        <a:srgbClr val="005190"/>
      </a:accent1>
      <a:accent2>
        <a:srgbClr val="007AB5"/>
      </a:accent2>
      <a:accent3>
        <a:srgbClr val="5C676D"/>
      </a:accent3>
      <a:accent4>
        <a:srgbClr val="BFBFC7"/>
      </a:accent4>
      <a:accent5>
        <a:srgbClr val="005190"/>
      </a:accent5>
      <a:accent6>
        <a:srgbClr val="F2F2F2"/>
      </a:accent6>
      <a:hlink>
        <a:srgbClr val="005190"/>
      </a:hlink>
      <a:folHlink>
        <a:srgbClr val="00519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3FD71BB-5CC5-A544-9A12-508D87233B7C}">
  <we:reference id="WA200001011" version="1.4.0.0" store="Omex" storeType="OMEX"/>
  <we:alternateReferences>
    <we:reference id="WA200001011" version="1.4.0.0" store="WA200001011"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0</TotalTime>
  <Pages>26</Pages>
  <Words>11564</Words>
  <Characters>65919</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2026-07-08T06:41:00Z</dcterms:created>
  <dcterms:modified xsi:type="dcterms:W3CDTF">2026-07-08T06:42:00Z</dcterms:modified>
</cp:coreProperties>
</file>