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C10D" w14:textId="431469C1" w:rsidR="00A62EF3" w:rsidRPr="00952A9F" w:rsidRDefault="00F97E45" w:rsidP="1153542A">
      <w:pPr>
        <w:pStyle w:val="Title"/>
        <w:tabs>
          <w:tab w:val="left" w:pos="7938"/>
        </w:tabs>
        <w:rPr>
          <w:rFonts w:ascii="Arial" w:hAnsi="Arial" w:cs="Arial"/>
          <w:color w:val="3F6080" w:themeColor="accent1" w:themeTint="BF"/>
        </w:rPr>
      </w:pPr>
      <w:bookmarkStart w:id="0" w:name="_Toc96326909"/>
      <w:r w:rsidRPr="1153542A">
        <w:rPr>
          <w:color w:val="3F4A75"/>
          <w:lang w:eastAsia="en-AU"/>
        </w:rPr>
        <w:t>Mandatory Registration of all N</w:t>
      </w:r>
      <w:r w:rsidR="00924548" w:rsidRPr="1153542A">
        <w:rPr>
          <w:color w:val="3F4A75"/>
          <w:lang w:eastAsia="en-AU"/>
        </w:rPr>
        <w:t xml:space="preserve">ational </w:t>
      </w:r>
      <w:r w:rsidRPr="1153542A">
        <w:rPr>
          <w:color w:val="3F4A75"/>
          <w:lang w:eastAsia="en-AU"/>
        </w:rPr>
        <w:t>D</w:t>
      </w:r>
      <w:r w:rsidR="00924548" w:rsidRPr="1153542A">
        <w:rPr>
          <w:color w:val="3F4A75"/>
          <w:lang w:eastAsia="en-AU"/>
        </w:rPr>
        <w:t xml:space="preserve">isability </w:t>
      </w:r>
      <w:r w:rsidRPr="1153542A">
        <w:rPr>
          <w:color w:val="3F4A75"/>
          <w:lang w:eastAsia="en-AU"/>
        </w:rPr>
        <w:t>I</w:t>
      </w:r>
      <w:r w:rsidR="00924548" w:rsidRPr="1153542A">
        <w:rPr>
          <w:color w:val="3F4A75"/>
          <w:lang w:eastAsia="en-AU"/>
        </w:rPr>
        <w:t xml:space="preserve">nsurance </w:t>
      </w:r>
      <w:r w:rsidRPr="1153542A">
        <w:rPr>
          <w:color w:val="3F4A75"/>
          <w:lang w:eastAsia="en-AU"/>
        </w:rPr>
        <w:t>S</w:t>
      </w:r>
      <w:r w:rsidR="00924548" w:rsidRPr="1153542A">
        <w:rPr>
          <w:color w:val="3F4A75"/>
          <w:lang w:eastAsia="en-AU"/>
        </w:rPr>
        <w:t>cheme (</w:t>
      </w:r>
      <w:r w:rsidRPr="1153542A">
        <w:rPr>
          <w:color w:val="3F4A75"/>
          <w:lang w:eastAsia="en-AU"/>
        </w:rPr>
        <w:t>NDIS</w:t>
      </w:r>
      <w:r w:rsidR="00924548" w:rsidRPr="1153542A">
        <w:rPr>
          <w:color w:val="3F4A75"/>
          <w:lang w:eastAsia="en-AU"/>
        </w:rPr>
        <w:t>)</w:t>
      </w:r>
      <w:r w:rsidRPr="1153542A">
        <w:rPr>
          <w:color w:val="3F4A75"/>
          <w:lang w:eastAsia="en-AU"/>
        </w:rPr>
        <w:t xml:space="preserve"> Providers</w:t>
      </w:r>
    </w:p>
    <w:p w14:paraId="6B50F121" w14:textId="68B5D3F5" w:rsidR="00A62EF3" w:rsidRPr="00952A9F" w:rsidRDefault="00C76B32" w:rsidP="00A62EF3">
      <w:pPr>
        <w:pStyle w:val="Subtitle"/>
        <w:rPr>
          <w:rFonts w:ascii="Arial" w:hAnsi="Arial" w:cs="Arial"/>
        </w:rPr>
      </w:pPr>
      <w:r w:rsidRPr="00952A9F">
        <w:rPr>
          <w:rFonts w:ascii="Arial" w:hAnsi="Arial" w:cs="Arial"/>
        </w:rPr>
        <w:t>Impact Analysis</w:t>
      </w:r>
      <w:r w:rsidR="00F97E45">
        <w:rPr>
          <w:rFonts w:ascii="Arial" w:hAnsi="Arial" w:cs="Arial"/>
        </w:rPr>
        <w:t xml:space="preserve"> Equivalent</w:t>
      </w:r>
    </w:p>
    <w:p w14:paraId="32790163" w14:textId="1698E2F0" w:rsidR="005A6FFF" w:rsidRDefault="009D3710" w:rsidP="1153542A">
      <w:pPr>
        <w:rPr>
          <w:rStyle w:val="Emphasis"/>
          <w:rFonts w:ascii="Arial" w:hAnsi="Arial" w:cs="Arial"/>
          <w:i w:val="0"/>
          <w:iCs w:val="0"/>
        </w:rPr>
      </w:pPr>
      <w:r w:rsidRPr="1153542A">
        <w:rPr>
          <w:rStyle w:val="Emphasis"/>
          <w:rFonts w:ascii="Arial" w:hAnsi="Arial" w:cs="Arial"/>
          <w:i w:val="0"/>
          <w:iCs w:val="0"/>
        </w:rPr>
        <w:t>Prepared by</w:t>
      </w:r>
      <w:r w:rsidR="000A1D37" w:rsidRPr="1153542A">
        <w:rPr>
          <w:rStyle w:val="Emphasis"/>
          <w:rFonts w:ascii="Arial" w:hAnsi="Arial" w:cs="Arial"/>
          <w:i w:val="0"/>
          <w:iCs w:val="0"/>
        </w:rPr>
        <w:t xml:space="preserve"> the </w:t>
      </w:r>
      <w:r w:rsidR="00C76B32" w:rsidRPr="1153542A">
        <w:rPr>
          <w:rStyle w:val="Emphasis"/>
          <w:rFonts w:ascii="Arial" w:hAnsi="Arial" w:cs="Arial"/>
          <w:i w:val="0"/>
          <w:iCs w:val="0"/>
        </w:rPr>
        <w:t>Department</w:t>
      </w:r>
      <w:r w:rsidR="000A1D37" w:rsidRPr="1153542A">
        <w:rPr>
          <w:rStyle w:val="Emphasis"/>
          <w:rFonts w:ascii="Arial" w:hAnsi="Arial" w:cs="Arial"/>
          <w:i w:val="0"/>
          <w:iCs w:val="0"/>
        </w:rPr>
        <w:t xml:space="preserve"> of Health, Disability and Ageing</w:t>
      </w:r>
    </w:p>
    <w:bookmarkEnd w:id="0"/>
    <w:p w14:paraId="216FDD81" w14:textId="536225B6" w:rsidR="0014151F" w:rsidRPr="005A6FFF" w:rsidRDefault="0014151F">
      <w:pPr>
        <w:spacing w:after="200" w:line="288" w:lineRule="auto"/>
        <w:rPr>
          <w:rFonts w:ascii="Arial" w:hAnsi="Arial" w:cs="Arial"/>
          <w:iCs/>
        </w:rPr>
      </w:pPr>
      <w:r w:rsidRPr="00952A9F">
        <w:rPr>
          <w:rFonts w:ascii="Arial" w:hAnsi="Arial" w:cs="Arial"/>
        </w:rPr>
        <w:br w:type="page"/>
      </w:r>
    </w:p>
    <w:p w14:paraId="5B916E69" w14:textId="1ECAA9BB" w:rsidR="0014151F" w:rsidRPr="00952A9F" w:rsidRDefault="7D541055" w:rsidP="1153542A">
      <w:pPr>
        <w:pStyle w:val="Heading1"/>
        <w:rPr>
          <w:rFonts w:ascii="Arial" w:hAnsi="Arial" w:cs="Arial"/>
          <w:color w:val="3F4A75"/>
        </w:rPr>
      </w:pPr>
      <w:r w:rsidRPr="1153542A">
        <w:rPr>
          <w:rFonts w:ascii="Arial" w:hAnsi="Arial" w:cs="Arial"/>
          <w:color w:val="3F4A75"/>
        </w:rPr>
        <w:lastRenderedPageBreak/>
        <w:t>Purpose of this document</w:t>
      </w:r>
      <w:r w:rsidR="353EEF60" w:rsidRPr="1153542A">
        <w:rPr>
          <w:rFonts w:ascii="Arial" w:hAnsi="Arial" w:cs="Arial"/>
          <w:color w:val="3F4A75"/>
        </w:rPr>
        <w:t xml:space="preserve"> </w:t>
      </w:r>
    </w:p>
    <w:p w14:paraId="6F5B5948" w14:textId="02E277B7" w:rsidR="00C86F69" w:rsidRPr="005A6FFF" w:rsidRDefault="00565525" w:rsidP="0014151F">
      <w:pPr>
        <w:rPr>
          <w:rFonts w:ascii="Arial" w:hAnsi="Arial" w:cs="Arial"/>
          <w:sz w:val="24"/>
          <w:szCs w:val="24"/>
        </w:rPr>
      </w:pPr>
      <w:r w:rsidRPr="010EB5DD">
        <w:rPr>
          <w:rFonts w:ascii="Arial" w:hAnsi="Arial" w:cs="Arial"/>
          <w:sz w:val="24"/>
          <w:szCs w:val="24"/>
        </w:rPr>
        <w:t>This Supplementary Impact Analysis has been prepared by the Department of Health</w:t>
      </w:r>
      <w:r w:rsidR="00977EAA" w:rsidRPr="010EB5DD">
        <w:rPr>
          <w:rFonts w:ascii="Arial" w:hAnsi="Arial" w:cs="Arial"/>
          <w:sz w:val="24"/>
          <w:szCs w:val="24"/>
        </w:rPr>
        <w:t>, Disability and Ageing</w:t>
      </w:r>
      <w:r w:rsidRPr="010EB5DD">
        <w:rPr>
          <w:rFonts w:ascii="Arial" w:hAnsi="Arial" w:cs="Arial"/>
          <w:sz w:val="24"/>
          <w:szCs w:val="24"/>
        </w:rPr>
        <w:t xml:space="preserve"> (the </w:t>
      </w:r>
      <w:r w:rsidR="0091690E" w:rsidRPr="010EB5DD">
        <w:rPr>
          <w:rFonts w:ascii="Arial" w:hAnsi="Arial" w:cs="Arial"/>
          <w:sz w:val="24"/>
          <w:szCs w:val="24"/>
        </w:rPr>
        <w:t>d</w:t>
      </w:r>
      <w:r w:rsidRPr="010EB5DD">
        <w:rPr>
          <w:rFonts w:ascii="Arial" w:hAnsi="Arial" w:cs="Arial"/>
          <w:sz w:val="24"/>
          <w:szCs w:val="24"/>
        </w:rPr>
        <w:t xml:space="preserve">epartment) to inform Australian Government decision-making on </w:t>
      </w:r>
      <w:r w:rsidR="0058146E" w:rsidRPr="010EB5DD">
        <w:rPr>
          <w:rFonts w:ascii="Arial" w:hAnsi="Arial" w:cs="Arial"/>
          <w:sz w:val="24"/>
          <w:szCs w:val="24"/>
        </w:rPr>
        <w:t xml:space="preserve">the </w:t>
      </w:r>
      <w:r w:rsidR="0058146E" w:rsidRPr="010EB5DD">
        <w:rPr>
          <w:rFonts w:ascii="Arial" w:hAnsi="Arial" w:cs="Arial"/>
          <w:b/>
          <w:sz w:val="24"/>
          <w:szCs w:val="24"/>
        </w:rPr>
        <w:t>Mandatory Registration of</w:t>
      </w:r>
      <w:r w:rsidR="003E0430">
        <w:rPr>
          <w:rFonts w:ascii="Arial" w:hAnsi="Arial" w:cs="Arial"/>
          <w:b/>
          <w:sz w:val="24"/>
          <w:szCs w:val="24"/>
        </w:rPr>
        <w:t xml:space="preserve"> </w:t>
      </w:r>
      <w:r w:rsidR="2B6212E1" w:rsidRPr="010EB5DD">
        <w:rPr>
          <w:rFonts w:ascii="Arial" w:hAnsi="Arial" w:cs="Arial"/>
          <w:b/>
          <w:sz w:val="24"/>
          <w:szCs w:val="24"/>
        </w:rPr>
        <w:t xml:space="preserve">National Disability Insurance Scheme (NDIS) </w:t>
      </w:r>
      <w:r w:rsidR="0058146E" w:rsidRPr="010EB5DD">
        <w:rPr>
          <w:rFonts w:ascii="Arial" w:hAnsi="Arial" w:cs="Arial"/>
          <w:b/>
          <w:sz w:val="24"/>
          <w:szCs w:val="24"/>
        </w:rPr>
        <w:t>Providers</w:t>
      </w:r>
      <w:r w:rsidR="003E0430">
        <w:rPr>
          <w:rFonts w:ascii="Arial" w:hAnsi="Arial" w:cs="Arial"/>
          <w:b/>
          <w:sz w:val="24"/>
          <w:szCs w:val="24"/>
        </w:rPr>
        <w:t xml:space="preserve"> based on a risk proportionate model</w:t>
      </w:r>
      <w:r w:rsidR="0058146E" w:rsidRPr="010EB5DD">
        <w:rPr>
          <w:rFonts w:ascii="Arial" w:hAnsi="Arial" w:cs="Arial"/>
          <w:sz w:val="24"/>
          <w:szCs w:val="24"/>
        </w:rPr>
        <w:t xml:space="preserve">. </w:t>
      </w:r>
    </w:p>
    <w:p w14:paraId="025275D3" w14:textId="01DCAF10" w:rsidR="00F83039" w:rsidRPr="005A6FFF" w:rsidRDefault="002447F4" w:rsidP="0014151F">
      <w:pPr>
        <w:rPr>
          <w:rFonts w:ascii="Arial" w:hAnsi="Arial" w:cs="Arial"/>
          <w:sz w:val="24"/>
          <w:szCs w:val="22"/>
        </w:rPr>
      </w:pPr>
      <w:r w:rsidRPr="005A6FFF">
        <w:rPr>
          <w:rFonts w:ascii="Arial" w:hAnsi="Arial" w:cs="Arial"/>
          <w:sz w:val="24"/>
          <w:szCs w:val="22"/>
        </w:rPr>
        <w:t>This supplementary analysis complements the analysis undertaken by</w:t>
      </w:r>
      <w:r w:rsidR="00D327B0" w:rsidRPr="005A6FFF">
        <w:rPr>
          <w:rFonts w:ascii="Arial" w:hAnsi="Arial" w:cs="Arial"/>
          <w:sz w:val="24"/>
          <w:szCs w:val="22"/>
        </w:rPr>
        <w:t xml:space="preserve"> t</w:t>
      </w:r>
      <w:r w:rsidR="19636B90" w:rsidRPr="005A6FFF">
        <w:rPr>
          <w:rFonts w:ascii="Arial" w:hAnsi="Arial" w:cs="Arial"/>
          <w:sz w:val="24"/>
          <w:szCs w:val="22"/>
        </w:rPr>
        <w:t>he</w:t>
      </w:r>
      <w:r w:rsidR="00461008" w:rsidRPr="005A6FFF">
        <w:rPr>
          <w:rFonts w:ascii="Arial" w:hAnsi="Arial" w:cs="Arial"/>
          <w:i/>
          <w:iCs/>
          <w:sz w:val="24"/>
          <w:szCs w:val="22"/>
        </w:rPr>
        <w:t> </w:t>
      </w:r>
      <w:r w:rsidR="00D327B0" w:rsidRPr="005A6FFF">
        <w:rPr>
          <w:rFonts w:ascii="Arial" w:hAnsi="Arial" w:cs="Arial"/>
          <w:i/>
          <w:iCs/>
          <w:sz w:val="24"/>
          <w:szCs w:val="22"/>
        </w:rPr>
        <w:t xml:space="preserve">Independent Review into the </w:t>
      </w:r>
      <w:r w:rsidR="00BE579B" w:rsidRPr="005A6FFF">
        <w:rPr>
          <w:rFonts w:ascii="Arial" w:hAnsi="Arial" w:cs="Arial"/>
          <w:i/>
          <w:iCs/>
          <w:sz w:val="24"/>
          <w:szCs w:val="22"/>
        </w:rPr>
        <w:t>National Disability Insurance Scheme</w:t>
      </w:r>
      <w:r w:rsidR="00BE579B" w:rsidRPr="005A6FFF">
        <w:rPr>
          <w:rFonts w:ascii="Arial" w:hAnsi="Arial" w:cs="Arial"/>
          <w:sz w:val="24"/>
          <w:szCs w:val="22"/>
        </w:rPr>
        <w:t xml:space="preserve"> (</w:t>
      </w:r>
      <w:r w:rsidR="00461008" w:rsidRPr="005A6FFF">
        <w:rPr>
          <w:rFonts w:ascii="Arial" w:hAnsi="Arial" w:cs="Arial"/>
          <w:sz w:val="24"/>
          <w:szCs w:val="22"/>
        </w:rPr>
        <w:t>NDIS Review</w:t>
      </w:r>
      <w:r w:rsidR="00F83039" w:rsidRPr="005A6FFF">
        <w:rPr>
          <w:rFonts w:ascii="Arial" w:hAnsi="Arial" w:cs="Arial"/>
          <w:sz w:val="24"/>
          <w:szCs w:val="22"/>
        </w:rPr>
        <w:t>),</w:t>
      </w:r>
      <w:r w:rsidR="00461008" w:rsidRPr="005A6FFF">
        <w:rPr>
          <w:rFonts w:ascii="Arial" w:hAnsi="Arial" w:cs="Arial"/>
          <w:i/>
          <w:iCs/>
          <w:sz w:val="24"/>
          <w:szCs w:val="22"/>
        </w:rPr>
        <w:t> the </w:t>
      </w:r>
      <w:r w:rsidR="00BE579B" w:rsidRPr="005A6FFF">
        <w:rPr>
          <w:rFonts w:ascii="Arial" w:hAnsi="Arial" w:cs="Arial"/>
          <w:i/>
          <w:iCs/>
          <w:sz w:val="24"/>
          <w:szCs w:val="22"/>
        </w:rPr>
        <w:t>Provider and Worker Registration Tas</w:t>
      </w:r>
      <w:r w:rsidR="000D766B" w:rsidRPr="005A6FFF">
        <w:rPr>
          <w:rFonts w:ascii="Arial" w:hAnsi="Arial" w:cs="Arial"/>
          <w:i/>
          <w:iCs/>
          <w:sz w:val="24"/>
          <w:szCs w:val="22"/>
        </w:rPr>
        <w:t xml:space="preserve">kforce </w:t>
      </w:r>
      <w:r w:rsidR="00F67D4C" w:rsidRPr="005A6FFF">
        <w:rPr>
          <w:rFonts w:ascii="Arial" w:hAnsi="Arial" w:cs="Arial"/>
          <w:i/>
          <w:iCs/>
          <w:sz w:val="24"/>
          <w:szCs w:val="22"/>
        </w:rPr>
        <w:t xml:space="preserve">Advice </w:t>
      </w:r>
      <w:r w:rsidR="00F67D4C" w:rsidRPr="005A6FFF">
        <w:rPr>
          <w:rFonts w:ascii="Arial" w:hAnsi="Arial" w:cs="Arial"/>
          <w:sz w:val="24"/>
          <w:szCs w:val="22"/>
        </w:rPr>
        <w:t>(the Taskforce)</w:t>
      </w:r>
      <w:r w:rsidR="00461008" w:rsidRPr="005A6FFF">
        <w:rPr>
          <w:rFonts w:ascii="Arial" w:hAnsi="Arial" w:cs="Arial"/>
          <w:sz w:val="24"/>
          <w:szCs w:val="22"/>
        </w:rPr>
        <w:t> and the recent ‘</w:t>
      </w:r>
      <w:r w:rsidR="00461008" w:rsidRPr="005A6FFF">
        <w:rPr>
          <w:rFonts w:ascii="Arial" w:hAnsi="Arial" w:cs="Arial"/>
          <w:i/>
          <w:iCs/>
          <w:sz w:val="24"/>
          <w:szCs w:val="22"/>
        </w:rPr>
        <w:t>Delivering quality care</w:t>
      </w:r>
      <w:r w:rsidR="00F67D4C" w:rsidRPr="005A6FFF">
        <w:rPr>
          <w:rFonts w:ascii="Arial" w:hAnsi="Arial" w:cs="Arial"/>
          <w:i/>
          <w:iCs/>
          <w:sz w:val="24"/>
          <w:szCs w:val="22"/>
        </w:rPr>
        <w:t xml:space="preserve"> </w:t>
      </w:r>
      <w:r w:rsidR="00461008" w:rsidRPr="005A6FFF">
        <w:rPr>
          <w:rFonts w:ascii="Arial" w:hAnsi="Arial" w:cs="Arial"/>
          <w:i/>
          <w:iCs/>
          <w:sz w:val="24"/>
          <w:szCs w:val="22"/>
        </w:rPr>
        <w:t>more</w:t>
      </w:r>
      <w:r w:rsidR="00F67D4C" w:rsidRPr="005A6FFF">
        <w:rPr>
          <w:rFonts w:ascii="Arial" w:hAnsi="Arial" w:cs="Arial"/>
          <w:i/>
          <w:iCs/>
          <w:sz w:val="24"/>
          <w:szCs w:val="22"/>
        </w:rPr>
        <w:t xml:space="preserve"> </w:t>
      </w:r>
      <w:r w:rsidR="00461008" w:rsidRPr="005A6FFF">
        <w:rPr>
          <w:rFonts w:ascii="Arial" w:hAnsi="Arial" w:cs="Arial"/>
          <w:i/>
          <w:iCs/>
          <w:sz w:val="24"/>
          <w:szCs w:val="22"/>
        </w:rPr>
        <w:t>efficiently’</w:t>
      </w:r>
      <w:r w:rsidR="00F83039" w:rsidRPr="005A6FFF">
        <w:rPr>
          <w:rFonts w:ascii="Arial" w:hAnsi="Arial" w:cs="Arial"/>
          <w:sz w:val="24"/>
          <w:szCs w:val="22"/>
        </w:rPr>
        <w:t xml:space="preserve"> </w:t>
      </w:r>
      <w:r w:rsidR="00461008" w:rsidRPr="005A6FFF">
        <w:rPr>
          <w:rFonts w:ascii="Arial" w:hAnsi="Arial" w:cs="Arial"/>
          <w:sz w:val="24"/>
          <w:szCs w:val="22"/>
        </w:rPr>
        <w:t>Productivity</w:t>
      </w:r>
      <w:r w:rsidR="00F83039" w:rsidRPr="005A6FFF">
        <w:rPr>
          <w:rFonts w:ascii="Arial" w:hAnsi="Arial" w:cs="Arial"/>
          <w:sz w:val="24"/>
          <w:szCs w:val="22"/>
        </w:rPr>
        <w:t xml:space="preserve"> </w:t>
      </w:r>
      <w:r w:rsidR="00461008" w:rsidRPr="005A6FFF">
        <w:rPr>
          <w:rFonts w:ascii="Arial" w:hAnsi="Arial" w:cs="Arial"/>
          <w:sz w:val="24"/>
          <w:szCs w:val="22"/>
        </w:rPr>
        <w:t>Commission report</w:t>
      </w:r>
      <w:r w:rsidR="00461008" w:rsidRPr="005A6FFF">
        <w:rPr>
          <w:rFonts w:ascii="Arial" w:hAnsi="Arial" w:cs="Arial"/>
          <w:i/>
          <w:iCs/>
          <w:sz w:val="24"/>
          <w:szCs w:val="22"/>
        </w:rPr>
        <w:t>.</w:t>
      </w:r>
      <w:r w:rsidR="00461008" w:rsidRPr="005A6FFF">
        <w:rPr>
          <w:rFonts w:ascii="Arial" w:hAnsi="Arial" w:cs="Arial"/>
          <w:sz w:val="24"/>
          <w:szCs w:val="22"/>
        </w:rPr>
        <w:t> </w:t>
      </w:r>
    </w:p>
    <w:p w14:paraId="38BA4EC3" w14:textId="159629BE" w:rsidR="0A9B4EFB" w:rsidRPr="005A6FFF" w:rsidRDefault="00C86F69">
      <w:pPr>
        <w:rPr>
          <w:rFonts w:ascii="Arial" w:hAnsi="Arial" w:cs="Arial"/>
          <w:sz w:val="24"/>
          <w:szCs w:val="24"/>
        </w:rPr>
      </w:pPr>
      <w:r w:rsidRPr="010EB5DD">
        <w:rPr>
          <w:rFonts w:ascii="Arial" w:hAnsi="Arial" w:cs="Arial"/>
          <w:sz w:val="24"/>
          <w:szCs w:val="24"/>
        </w:rPr>
        <w:t>The department is proposing</w:t>
      </w:r>
      <w:r w:rsidR="104083BC" w:rsidRPr="010EB5DD">
        <w:rPr>
          <w:rFonts w:ascii="Arial" w:hAnsi="Arial" w:cs="Arial"/>
          <w:sz w:val="24"/>
          <w:szCs w:val="24"/>
        </w:rPr>
        <w:t xml:space="preserve"> the design and implementation of a </w:t>
      </w:r>
      <w:r w:rsidR="104083BC" w:rsidRPr="010EB5DD">
        <w:rPr>
          <w:rFonts w:ascii="Arial" w:hAnsi="Arial" w:cs="Arial"/>
          <w:b/>
          <w:sz w:val="24"/>
          <w:szCs w:val="24"/>
        </w:rPr>
        <w:t xml:space="preserve">Graduated Risk-Proportionate Regulatory Model (GRPRM), </w:t>
      </w:r>
      <w:r w:rsidR="00A71190">
        <w:rPr>
          <w:rFonts w:ascii="Arial" w:hAnsi="Arial" w:cs="Arial"/>
          <w:b/>
          <w:sz w:val="24"/>
          <w:szCs w:val="24"/>
        </w:rPr>
        <w:t>ex</w:t>
      </w:r>
      <w:r w:rsidR="104083BC" w:rsidRPr="010EB5DD">
        <w:rPr>
          <w:rFonts w:ascii="Arial" w:hAnsi="Arial" w:cs="Arial"/>
          <w:b/>
          <w:sz w:val="24"/>
          <w:szCs w:val="24"/>
        </w:rPr>
        <w:t xml:space="preserve">cluding an in-house audit function </w:t>
      </w:r>
      <w:r w:rsidR="002E07F1" w:rsidRPr="010EB5DD">
        <w:rPr>
          <w:rFonts w:ascii="Arial" w:hAnsi="Arial" w:cs="Arial"/>
          <w:b/>
          <w:sz w:val="24"/>
          <w:szCs w:val="24"/>
        </w:rPr>
        <w:t>for the NDIS Quality and Safeguards Commission</w:t>
      </w:r>
      <w:r w:rsidR="104083BC" w:rsidRPr="010EB5DD">
        <w:rPr>
          <w:rFonts w:ascii="Arial" w:hAnsi="Arial" w:cs="Arial"/>
          <w:b/>
          <w:sz w:val="24"/>
          <w:szCs w:val="24"/>
        </w:rPr>
        <w:t xml:space="preserve"> </w:t>
      </w:r>
      <w:r w:rsidR="00A71190">
        <w:rPr>
          <w:rFonts w:ascii="Arial" w:hAnsi="Arial" w:cs="Arial"/>
          <w:sz w:val="24"/>
          <w:szCs w:val="24"/>
        </w:rPr>
        <w:t>but to maintain the current externally approved quality auditors currently in place.</w:t>
      </w:r>
    </w:p>
    <w:p w14:paraId="505B6742" w14:textId="056F6567" w:rsidR="002447F4" w:rsidRPr="005A6FFF" w:rsidRDefault="00FE3D3D" w:rsidP="0014151F">
      <w:pPr>
        <w:rPr>
          <w:rFonts w:ascii="Arial" w:hAnsi="Arial" w:cs="Arial"/>
          <w:sz w:val="24"/>
          <w:szCs w:val="22"/>
        </w:rPr>
      </w:pPr>
      <w:r w:rsidRPr="005A6FFF">
        <w:rPr>
          <w:rFonts w:ascii="Arial" w:hAnsi="Arial" w:cs="Arial"/>
          <w:sz w:val="24"/>
          <w:szCs w:val="22"/>
        </w:rPr>
        <w:t>Th</w:t>
      </w:r>
      <w:r w:rsidR="00A759D3" w:rsidRPr="005A6FFF">
        <w:rPr>
          <w:rFonts w:ascii="Arial" w:hAnsi="Arial" w:cs="Arial"/>
          <w:sz w:val="24"/>
          <w:szCs w:val="22"/>
        </w:rPr>
        <w:t xml:space="preserve">is report addresses </w:t>
      </w:r>
      <w:r w:rsidR="00CB21E6" w:rsidRPr="005A6FFF">
        <w:rPr>
          <w:rFonts w:ascii="Arial" w:hAnsi="Arial" w:cs="Arial"/>
          <w:sz w:val="24"/>
          <w:szCs w:val="22"/>
        </w:rPr>
        <w:t xml:space="preserve">the following </w:t>
      </w:r>
      <w:r w:rsidR="00961075" w:rsidRPr="005A6FFF">
        <w:rPr>
          <w:rFonts w:ascii="Arial" w:hAnsi="Arial" w:cs="Arial"/>
          <w:sz w:val="24"/>
          <w:szCs w:val="22"/>
        </w:rPr>
        <w:t>aspects of the Impact Analysis Framework:</w:t>
      </w:r>
    </w:p>
    <w:p w14:paraId="0242308D" w14:textId="3974BBF6" w:rsidR="7D9BAABF" w:rsidRPr="005A6FFF" w:rsidRDefault="7D9BAABF" w:rsidP="00BB02C1">
      <w:pPr>
        <w:pStyle w:val="ListParagraph"/>
        <w:numPr>
          <w:ilvl w:val="0"/>
          <w:numId w:val="40"/>
        </w:numPr>
        <w:spacing w:after="0"/>
        <w:rPr>
          <w:rFonts w:ascii="Arial" w:hAnsi="Arial" w:cs="Arial"/>
          <w:sz w:val="24"/>
          <w:szCs w:val="22"/>
        </w:rPr>
      </w:pPr>
      <w:r w:rsidRPr="005A6FFF">
        <w:rPr>
          <w:rFonts w:ascii="Arial" w:hAnsi="Arial" w:cs="Arial"/>
          <w:sz w:val="24"/>
          <w:szCs w:val="22"/>
        </w:rPr>
        <w:t>Question 3: What policy options are you considering?</w:t>
      </w:r>
    </w:p>
    <w:p w14:paraId="22AA820B" w14:textId="28CC6A5A" w:rsidR="7D9BAABF" w:rsidRPr="005A6FFF" w:rsidRDefault="7D9BAABF" w:rsidP="00BB02C1">
      <w:pPr>
        <w:pStyle w:val="ListParagraph"/>
        <w:numPr>
          <w:ilvl w:val="1"/>
          <w:numId w:val="40"/>
        </w:numPr>
        <w:spacing w:after="0"/>
        <w:rPr>
          <w:rFonts w:ascii="Arial" w:hAnsi="Arial" w:cs="Arial"/>
          <w:sz w:val="24"/>
          <w:szCs w:val="22"/>
        </w:rPr>
      </w:pPr>
      <w:r w:rsidRPr="005A6FFF">
        <w:rPr>
          <w:rFonts w:ascii="Arial" w:hAnsi="Arial" w:cs="Arial"/>
          <w:sz w:val="24"/>
          <w:szCs w:val="22"/>
        </w:rPr>
        <w:t xml:space="preserve">Explanation of cost-recovery licencing and regulatory framework elements. </w:t>
      </w:r>
    </w:p>
    <w:p w14:paraId="125D55B5" w14:textId="2298ED80" w:rsidR="72F88877" w:rsidRPr="005A6FFF" w:rsidRDefault="72F88877" w:rsidP="00BB02C1">
      <w:pPr>
        <w:pStyle w:val="ListParagraph"/>
        <w:numPr>
          <w:ilvl w:val="0"/>
          <w:numId w:val="40"/>
        </w:numPr>
        <w:spacing w:after="0"/>
        <w:rPr>
          <w:rFonts w:ascii="Arial" w:hAnsi="Arial" w:cs="Arial"/>
          <w:sz w:val="24"/>
          <w:szCs w:val="22"/>
        </w:rPr>
      </w:pPr>
      <w:r w:rsidRPr="005A6FFF">
        <w:rPr>
          <w:rFonts w:ascii="Arial" w:hAnsi="Arial" w:cs="Arial"/>
          <w:sz w:val="24"/>
          <w:szCs w:val="22"/>
        </w:rPr>
        <w:t xml:space="preserve">Question 4: </w:t>
      </w:r>
      <w:r w:rsidR="7D9BAABF" w:rsidRPr="005A6FFF">
        <w:rPr>
          <w:rFonts w:ascii="Arial" w:hAnsi="Arial" w:cs="Arial"/>
          <w:sz w:val="24"/>
          <w:szCs w:val="22"/>
        </w:rPr>
        <w:t>What is the likely net benefit of each option?</w:t>
      </w:r>
    </w:p>
    <w:p w14:paraId="17D981AF" w14:textId="1DA37444" w:rsidR="53EAB6C2" w:rsidRPr="005A6FFF" w:rsidRDefault="53EAB6C2" w:rsidP="00BB02C1">
      <w:pPr>
        <w:pStyle w:val="ListParagraph"/>
        <w:numPr>
          <w:ilvl w:val="1"/>
          <w:numId w:val="40"/>
        </w:numPr>
        <w:spacing w:after="0"/>
        <w:rPr>
          <w:rFonts w:ascii="Arial" w:hAnsi="Arial" w:cs="Arial"/>
          <w:sz w:val="24"/>
          <w:szCs w:val="22"/>
        </w:rPr>
      </w:pPr>
      <w:r w:rsidRPr="005A6FFF">
        <w:rPr>
          <w:rFonts w:ascii="Arial" w:hAnsi="Arial" w:cs="Arial"/>
          <w:sz w:val="24"/>
          <w:szCs w:val="22"/>
        </w:rPr>
        <w:t xml:space="preserve">Explanation of the net benefits in the cost-recovery licencing and regulatory framework elements. </w:t>
      </w:r>
    </w:p>
    <w:p w14:paraId="4905D856" w14:textId="217B2C27" w:rsidR="53EAB6C2" w:rsidRPr="005A6FFF" w:rsidRDefault="008B3FD3" w:rsidP="00BB02C1">
      <w:pPr>
        <w:pStyle w:val="ListParagraph"/>
        <w:numPr>
          <w:ilvl w:val="0"/>
          <w:numId w:val="40"/>
        </w:numPr>
        <w:spacing w:after="0"/>
        <w:rPr>
          <w:rFonts w:ascii="Arial" w:hAnsi="Arial" w:cs="Arial"/>
          <w:sz w:val="24"/>
          <w:szCs w:val="22"/>
        </w:rPr>
      </w:pPr>
      <w:r w:rsidRPr="005A6FFF">
        <w:rPr>
          <w:rFonts w:ascii="Arial" w:hAnsi="Arial" w:cs="Arial"/>
          <w:sz w:val="24"/>
          <w:szCs w:val="22"/>
        </w:rPr>
        <w:t xml:space="preserve">Question 5: </w:t>
      </w:r>
      <w:r w:rsidR="53EAB6C2" w:rsidRPr="005A6FFF">
        <w:rPr>
          <w:rFonts w:ascii="Arial" w:hAnsi="Arial" w:cs="Arial"/>
          <w:sz w:val="24"/>
          <w:szCs w:val="22"/>
        </w:rPr>
        <w:t>Who did you consult and how did you incorporate their feedback?</w:t>
      </w:r>
    </w:p>
    <w:p w14:paraId="206F9277" w14:textId="7EEF3E00" w:rsidR="67F9DB2A" w:rsidRPr="005A6FFF" w:rsidRDefault="67F9DB2A" w:rsidP="00BB02C1">
      <w:pPr>
        <w:pStyle w:val="ListParagraph"/>
        <w:numPr>
          <w:ilvl w:val="0"/>
          <w:numId w:val="40"/>
        </w:numPr>
        <w:spacing w:after="0"/>
        <w:rPr>
          <w:rFonts w:ascii="Arial" w:hAnsi="Arial" w:cs="Arial"/>
          <w:sz w:val="24"/>
          <w:szCs w:val="22"/>
        </w:rPr>
      </w:pPr>
      <w:r w:rsidRPr="005A6FFF">
        <w:rPr>
          <w:rFonts w:ascii="Arial" w:hAnsi="Arial" w:cs="Arial"/>
          <w:sz w:val="24"/>
          <w:szCs w:val="22"/>
        </w:rPr>
        <w:t xml:space="preserve">Question 6: </w:t>
      </w:r>
      <w:r w:rsidR="7D9BAABF" w:rsidRPr="005A6FFF">
        <w:rPr>
          <w:rFonts w:ascii="Arial" w:hAnsi="Arial" w:cs="Arial"/>
          <w:sz w:val="24"/>
          <w:szCs w:val="22"/>
        </w:rPr>
        <w:t>What is the best option from those you have considered and how will it be implemented?</w:t>
      </w:r>
    </w:p>
    <w:p w14:paraId="5C895A68" w14:textId="2327123A" w:rsidR="13939895" w:rsidRPr="005A6FFF" w:rsidRDefault="13939895" w:rsidP="00BB02C1">
      <w:pPr>
        <w:pStyle w:val="ListParagraph"/>
        <w:numPr>
          <w:ilvl w:val="0"/>
          <w:numId w:val="40"/>
        </w:numPr>
        <w:spacing w:after="0"/>
        <w:rPr>
          <w:rFonts w:ascii="Arial" w:hAnsi="Arial" w:cs="Arial"/>
          <w:sz w:val="24"/>
          <w:szCs w:val="22"/>
        </w:rPr>
      </w:pPr>
      <w:r w:rsidRPr="005A6FFF">
        <w:rPr>
          <w:rFonts w:ascii="Arial" w:hAnsi="Arial" w:cs="Arial"/>
          <w:sz w:val="24"/>
          <w:szCs w:val="22"/>
        </w:rPr>
        <w:t xml:space="preserve">Question 7: </w:t>
      </w:r>
      <w:r w:rsidR="7D9BAABF" w:rsidRPr="005A6FFF">
        <w:rPr>
          <w:rFonts w:ascii="Arial" w:hAnsi="Arial" w:cs="Arial"/>
          <w:sz w:val="24"/>
          <w:szCs w:val="22"/>
        </w:rPr>
        <w:t>How will you evaluate your chosen option against the success metrics?</w:t>
      </w:r>
    </w:p>
    <w:p w14:paraId="2F178C38" w14:textId="6C39F500" w:rsidR="0A9B4EFB" w:rsidRPr="005A6FFF" w:rsidRDefault="0A9B4EFB" w:rsidP="007037F7">
      <w:pPr>
        <w:rPr>
          <w:rFonts w:ascii="Arial" w:hAnsi="Arial" w:cs="Arial"/>
          <w:sz w:val="24"/>
          <w:szCs w:val="22"/>
          <w:highlight w:val="magenta"/>
        </w:rPr>
      </w:pPr>
    </w:p>
    <w:p w14:paraId="01CFAEA4" w14:textId="77777777" w:rsidR="00090E2E" w:rsidRPr="00952A9F" w:rsidRDefault="00090E2E" w:rsidP="006B27F7">
      <w:pPr>
        <w:rPr>
          <w:rFonts w:ascii="Arial" w:hAnsi="Arial" w:cs="Arial"/>
        </w:rPr>
      </w:pPr>
    </w:p>
    <w:p w14:paraId="6405F823" w14:textId="103B4BC7" w:rsidR="0014151F" w:rsidRPr="00952A9F" w:rsidRDefault="0014151F" w:rsidP="00F40CFA">
      <w:pPr>
        <w:pStyle w:val="Heading1"/>
        <w:pageBreakBefore/>
        <w:rPr>
          <w:rFonts w:ascii="Arial" w:hAnsi="Arial" w:cs="Arial"/>
        </w:rPr>
      </w:pPr>
      <w:r w:rsidRPr="1153542A">
        <w:rPr>
          <w:color w:val="3F4A75"/>
          <w:szCs w:val="48"/>
        </w:rPr>
        <w:lastRenderedPageBreak/>
        <w:t>Background</w:t>
      </w:r>
      <w:r w:rsidRPr="1153542A">
        <w:rPr>
          <w:rFonts w:ascii="Arial" w:hAnsi="Arial" w:cs="Arial"/>
        </w:rPr>
        <w:t xml:space="preserve"> </w:t>
      </w:r>
    </w:p>
    <w:p w14:paraId="6361027B" w14:textId="7DB91CDB" w:rsidR="004F2B81" w:rsidRPr="005A6FFF" w:rsidRDefault="004F2B81" w:rsidP="004F2B81">
      <w:pPr>
        <w:rPr>
          <w:rFonts w:ascii="Arial" w:hAnsi="Arial" w:cs="Arial"/>
          <w:sz w:val="24"/>
          <w:szCs w:val="24"/>
        </w:rPr>
      </w:pPr>
      <w:r w:rsidRPr="010EB5DD">
        <w:rPr>
          <w:rFonts w:ascii="Arial" w:hAnsi="Arial" w:cs="Arial"/>
          <w:sz w:val="24"/>
          <w:szCs w:val="24"/>
        </w:rPr>
        <w:t>The National Disability Insurance Scheme (NDIS</w:t>
      </w:r>
      <w:r w:rsidR="743D66B9" w:rsidRPr="010EB5DD">
        <w:rPr>
          <w:rFonts w:ascii="Arial" w:hAnsi="Arial" w:cs="Arial"/>
          <w:sz w:val="24"/>
          <w:szCs w:val="24"/>
        </w:rPr>
        <w:t xml:space="preserve"> or ‘the Scheme’</w:t>
      </w:r>
      <w:r w:rsidRPr="010EB5DD">
        <w:rPr>
          <w:rFonts w:ascii="Arial" w:hAnsi="Arial" w:cs="Arial"/>
          <w:sz w:val="24"/>
          <w:szCs w:val="24"/>
        </w:rPr>
        <w:t xml:space="preserve">) </w:t>
      </w:r>
      <w:r w:rsidR="00870E0B">
        <w:rPr>
          <w:rFonts w:ascii="Arial" w:hAnsi="Arial" w:cs="Arial"/>
          <w:sz w:val="24"/>
          <w:szCs w:val="24"/>
        </w:rPr>
        <w:t xml:space="preserve">funds </w:t>
      </w:r>
      <w:r w:rsidRPr="010EB5DD">
        <w:rPr>
          <w:rFonts w:ascii="Arial" w:hAnsi="Arial" w:cs="Arial"/>
          <w:sz w:val="24"/>
          <w:szCs w:val="24"/>
        </w:rPr>
        <w:t xml:space="preserve">eligible people with disability to support greater independence and an improved quality of life.  </w:t>
      </w:r>
    </w:p>
    <w:p w14:paraId="1BA9248B" w14:textId="32861392" w:rsidR="004F2B81" w:rsidRPr="005A6FFF" w:rsidRDefault="004F2B81" w:rsidP="004F2B81">
      <w:pPr>
        <w:rPr>
          <w:rFonts w:ascii="Arial" w:hAnsi="Arial" w:cs="Arial"/>
          <w:sz w:val="24"/>
          <w:szCs w:val="24"/>
        </w:rPr>
      </w:pPr>
      <w:r w:rsidRPr="010EB5DD">
        <w:rPr>
          <w:rFonts w:ascii="Arial" w:hAnsi="Arial" w:cs="Arial"/>
          <w:sz w:val="24"/>
          <w:szCs w:val="24"/>
        </w:rPr>
        <w:t xml:space="preserve">Participants of the scheme (NDIS participants) use their funds to engage supports and services from NDIS providers. </w:t>
      </w:r>
      <w:r w:rsidR="61D1CE25" w:rsidRPr="010EB5DD">
        <w:rPr>
          <w:rFonts w:ascii="Arial" w:hAnsi="Arial" w:cs="Arial"/>
          <w:sz w:val="24"/>
          <w:szCs w:val="24"/>
        </w:rPr>
        <w:t>NDIS providers</w:t>
      </w:r>
      <w:r w:rsidR="61D1CE25" w:rsidRPr="010EB5DD">
        <w:rPr>
          <w:rFonts w:ascii="Arial" w:hAnsi="Arial" w:cs="Arial"/>
          <w:i/>
          <w:sz w:val="24"/>
          <w:szCs w:val="24"/>
        </w:rPr>
        <w:t xml:space="preserve"> </w:t>
      </w:r>
      <w:r w:rsidRPr="010EB5DD">
        <w:rPr>
          <w:rFonts w:ascii="Arial" w:hAnsi="Arial" w:cs="Arial"/>
          <w:sz w:val="24"/>
          <w:szCs w:val="24"/>
        </w:rPr>
        <w:t xml:space="preserve">are therefore a critical point of contact for participants, alongside the National Disability Insurance Agency (NDIA) who administer the </w:t>
      </w:r>
      <w:r w:rsidR="6A6FE722" w:rsidRPr="010EB5DD">
        <w:rPr>
          <w:rFonts w:ascii="Arial" w:hAnsi="Arial" w:cs="Arial"/>
          <w:sz w:val="24"/>
          <w:szCs w:val="24"/>
        </w:rPr>
        <w:t>S</w:t>
      </w:r>
      <w:r w:rsidR="1C3D8579" w:rsidRPr="010EB5DD">
        <w:rPr>
          <w:rFonts w:ascii="Arial" w:hAnsi="Arial" w:cs="Arial"/>
          <w:sz w:val="24"/>
          <w:szCs w:val="24"/>
        </w:rPr>
        <w:t>cheme</w:t>
      </w:r>
      <w:r w:rsidRPr="010EB5DD">
        <w:rPr>
          <w:rFonts w:ascii="Arial" w:hAnsi="Arial" w:cs="Arial"/>
          <w:sz w:val="24"/>
          <w:szCs w:val="24"/>
        </w:rPr>
        <w:t xml:space="preserve"> and the NDIS Quality and Safeguards Commission (NDIS Commission), who </w:t>
      </w:r>
      <w:r w:rsidR="00A260A7" w:rsidRPr="010EB5DD">
        <w:rPr>
          <w:rFonts w:ascii="Arial" w:hAnsi="Arial" w:cs="Arial"/>
          <w:sz w:val="24"/>
          <w:szCs w:val="24"/>
        </w:rPr>
        <w:t>are the system</w:t>
      </w:r>
      <w:r w:rsidRPr="010EB5DD" w:rsidDel="00A260A7">
        <w:rPr>
          <w:rFonts w:ascii="Arial" w:hAnsi="Arial" w:cs="Arial"/>
          <w:sz w:val="24"/>
          <w:szCs w:val="24"/>
        </w:rPr>
        <w:t xml:space="preserve"> </w:t>
      </w:r>
      <w:r w:rsidRPr="010EB5DD">
        <w:rPr>
          <w:rFonts w:ascii="Arial" w:hAnsi="Arial" w:cs="Arial"/>
          <w:sz w:val="24"/>
          <w:szCs w:val="24"/>
        </w:rPr>
        <w:t>regulat</w:t>
      </w:r>
      <w:r w:rsidR="00A260A7" w:rsidRPr="010EB5DD">
        <w:rPr>
          <w:rFonts w:ascii="Arial" w:hAnsi="Arial" w:cs="Arial"/>
          <w:sz w:val="24"/>
          <w:szCs w:val="24"/>
        </w:rPr>
        <w:t xml:space="preserve">or of </w:t>
      </w:r>
      <w:r w:rsidRPr="010EB5DD">
        <w:rPr>
          <w:rFonts w:ascii="Arial" w:hAnsi="Arial" w:cs="Arial"/>
          <w:sz w:val="24"/>
          <w:szCs w:val="24"/>
        </w:rPr>
        <w:t xml:space="preserve">the </w:t>
      </w:r>
      <w:r w:rsidR="0590B4EB" w:rsidRPr="010EB5DD">
        <w:rPr>
          <w:rFonts w:ascii="Arial" w:hAnsi="Arial" w:cs="Arial"/>
          <w:sz w:val="24"/>
          <w:szCs w:val="24"/>
        </w:rPr>
        <w:t>S</w:t>
      </w:r>
      <w:r w:rsidRPr="010EB5DD">
        <w:rPr>
          <w:rFonts w:ascii="Arial" w:hAnsi="Arial" w:cs="Arial"/>
          <w:sz w:val="24"/>
          <w:szCs w:val="24"/>
        </w:rPr>
        <w:t xml:space="preserve">cheme. </w:t>
      </w:r>
    </w:p>
    <w:p w14:paraId="013D11C0" w14:textId="3CCC0968" w:rsidR="00C5202D" w:rsidRDefault="005A01CE" w:rsidP="004F2B81">
      <w:pPr>
        <w:rPr>
          <w:rFonts w:ascii="Arial" w:hAnsi="Arial" w:cs="Arial"/>
          <w:sz w:val="24"/>
          <w:szCs w:val="24"/>
        </w:rPr>
      </w:pPr>
      <w:r>
        <w:rPr>
          <w:rFonts w:ascii="Arial" w:hAnsi="Arial" w:cs="Arial"/>
          <w:sz w:val="24"/>
          <w:szCs w:val="24"/>
        </w:rPr>
        <w:t xml:space="preserve">All NDIS providers are obliged to comply with the NDIS Code of Conduct. </w:t>
      </w:r>
      <w:r w:rsidR="00D27902">
        <w:rPr>
          <w:rFonts w:ascii="Arial" w:hAnsi="Arial" w:cs="Arial"/>
          <w:sz w:val="24"/>
          <w:szCs w:val="24"/>
        </w:rPr>
        <w:t>T</w:t>
      </w:r>
      <w:r w:rsidR="004F2B81" w:rsidRPr="010EB5DD">
        <w:rPr>
          <w:rFonts w:ascii="Arial" w:hAnsi="Arial" w:cs="Arial"/>
          <w:sz w:val="24"/>
          <w:szCs w:val="24"/>
        </w:rPr>
        <w:t>he NDIS Commission has the regulatory power</w:t>
      </w:r>
      <w:r w:rsidR="00A260A7" w:rsidRPr="010EB5DD">
        <w:rPr>
          <w:rFonts w:ascii="Arial" w:hAnsi="Arial" w:cs="Arial"/>
          <w:sz w:val="24"/>
          <w:szCs w:val="24"/>
        </w:rPr>
        <w:t>s</w:t>
      </w:r>
      <w:r w:rsidR="004F2B81" w:rsidRPr="010EB5DD">
        <w:rPr>
          <w:rFonts w:ascii="Arial" w:hAnsi="Arial" w:cs="Arial"/>
          <w:sz w:val="24"/>
          <w:szCs w:val="24"/>
        </w:rPr>
        <w:t xml:space="preserve"> to </w:t>
      </w:r>
      <w:r w:rsidR="00C715E8">
        <w:rPr>
          <w:rFonts w:ascii="Arial" w:hAnsi="Arial" w:cs="Arial"/>
          <w:sz w:val="24"/>
          <w:szCs w:val="24"/>
        </w:rPr>
        <w:t>intervene</w:t>
      </w:r>
      <w:r w:rsidR="004F2B81" w:rsidRPr="010EB5DD">
        <w:rPr>
          <w:rFonts w:ascii="Arial" w:hAnsi="Arial" w:cs="Arial"/>
          <w:sz w:val="24"/>
          <w:szCs w:val="24"/>
        </w:rPr>
        <w:t xml:space="preserve"> when </w:t>
      </w:r>
      <w:r w:rsidR="009F38B3">
        <w:rPr>
          <w:rFonts w:ascii="Arial" w:hAnsi="Arial" w:cs="Arial"/>
          <w:sz w:val="24"/>
          <w:szCs w:val="24"/>
        </w:rPr>
        <w:t>providers breach their regulatory obligations</w:t>
      </w:r>
      <w:r w:rsidR="00C715E8">
        <w:rPr>
          <w:rFonts w:ascii="Arial" w:hAnsi="Arial" w:cs="Arial"/>
          <w:sz w:val="24"/>
          <w:szCs w:val="24"/>
        </w:rPr>
        <w:t xml:space="preserve">. </w:t>
      </w:r>
      <w:r w:rsidR="00BF0E76">
        <w:rPr>
          <w:rFonts w:ascii="Arial" w:hAnsi="Arial" w:cs="Arial"/>
          <w:sz w:val="24"/>
          <w:szCs w:val="24"/>
        </w:rPr>
        <w:t xml:space="preserve">In the current regulatory framework, provider registration is only mandatory for the delivery of </w:t>
      </w:r>
      <w:r w:rsidR="003B421C">
        <w:rPr>
          <w:rFonts w:ascii="Arial" w:hAnsi="Arial" w:cs="Arial"/>
          <w:sz w:val="24"/>
          <w:szCs w:val="24"/>
        </w:rPr>
        <w:t xml:space="preserve">a few categories of support. While </w:t>
      </w:r>
      <w:proofErr w:type="gramStart"/>
      <w:r w:rsidR="008720E3">
        <w:rPr>
          <w:rFonts w:ascii="Arial" w:hAnsi="Arial" w:cs="Arial"/>
          <w:sz w:val="24"/>
          <w:szCs w:val="24"/>
        </w:rPr>
        <w:t>a number of</w:t>
      </w:r>
      <w:proofErr w:type="gramEnd"/>
      <w:r w:rsidR="003B421C">
        <w:rPr>
          <w:rFonts w:ascii="Arial" w:hAnsi="Arial" w:cs="Arial"/>
          <w:sz w:val="24"/>
          <w:szCs w:val="24"/>
        </w:rPr>
        <w:t xml:space="preserve"> NDIS providers have chosen to register with the NDIS Commission, </w:t>
      </w:r>
      <w:proofErr w:type="gramStart"/>
      <w:r w:rsidR="009A3AC8">
        <w:rPr>
          <w:rFonts w:ascii="Arial" w:hAnsi="Arial" w:cs="Arial"/>
          <w:sz w:val="24"/>
          <w:szCs w:val="24"/>
        </w:rPr>
        <w:t>the vast majority of</w:t>
      </w:r>
      <w:proofErr w:type="gramEnd"/>
      <w:r w:rsidR="009A3AC8">
        <w:rPr>
          <w:rFonts w:ascii="Arial" w:hAnsi="Arial" w:cs="Arial"/>
          <w:sz w:val="24"/>
          <w:szCs w:val="24"/>
        </w:rPr>
        <w:t xml:space="preserve"> providers have opted to provide services without undergoing registration. </w:t>
      </w:r>
      <w:r w:rsidR="00A84E32">
        <w:rPr>
          <w:rFonts w:ascii="Arial" w:hAnsi="Arial" w:cs="Arial"/>
          <w:sz w:val="24"/>
          <w:szCs w:val="24"/>
        </w:rPr>
        <w:t>This has</w:t>
      </w:r>
      <w:r w:rsidR="003B421C">
        <w:rPr>
          <w:rFonts w:ascii="Arial" w:hAnsi="Arial" w:cs="Arial"/>
          <w:sz w:val="24"/>
          <w:szCs w:val="24"/>
        </w:rPr>
        <w:t xml:space="preserve"> resulted</w:t>
      </w:r>
      <w:r w:rsidR="00A84E32">
        <w:rPr>
          <w:rFonts w:ascii="Arial" w:hAnsi="Arial" w:cs="Arial"/>
          <w:sz w:val="24"/>
          <w:szCs w:val="24"/>
        </w:rPr>
        <w:t xml:space="preserve"> in t</w:t>
      </w:r>
      <w:r w:rsidR="004F2B81" w:rsidRPr="010EB5DD">
        <w:rPr>
          <w:rFonts w:ascii="Arial" w:hAnsi="Arial" w:cs="Arial"/>
          <w:sz w:val="24"/>
          <w:szCs w:val="24"/>
        </w:rPr>
        <w:t xml:space="preserve">he NDIS Commission </w:t>
      </w:r>
      <w:r w:rsidR="00A84E32">
        <w:rPr>
          <w:rFonts w:ascii="Arial" w:hAnsi="Arial" w:cs="Arial"/>
          <w:sz w:val="24"/>
          <w:szCs w:val="24"/>
        </w:rPr>
        <w:t>having limited visibility of the services delivered across many categories</w:t>
      </w:r>
      <w:r w:rsidR="00B859C1">
        <w:rPr>
          <w:rFonts w:ascii="Arial" w:hAnsi="Arial" w:cs="Arial"/>
          <w:sz w:val="24"/>
          <w:szCs w:val="24"/>
        </w:rPr>
        <w:t xml:space="preserve"> of suppo</w:t>
      </w:r>
      <w:r w:rsidR="00C5448A">
        <w:rPr>
          <w:rFonts w:ascii="Arial" w:hAnsi="Arial" w:cs="Arial"/>
          <w:sz w:val="24"/>
          <w:szCs w:val="24"/>
        </w:rPr>
        <w:t xml:space="preserve">rt. </w:t>
      </w:r>
      <w:r w:rsidR="00A84E32">
        <w:rPr>
          <w:rFonts w:ascii="Arial" w:hAnsi="Arial" w:cs="Arial"/>
          <w:sz w:val="24"/>
          <w:szCs w:val="24"/>
        </w:rPr>
        <w:t xml:space="preserve"> </w:t>
      </w:r>
    </w:p>
    <w:p w14:paraId="0AB8E23C" w14:textId="47555B2E" w:rsidR="00397AA5" w:rsidRPr="005A6FFF" w:rsidRDefault="00397AA5" w:rsidP="004F2B81">
      <w:pPr>
        <w:rPr>
          <w:rFonts w:ascii="Arial" w:hAnsi="Arial" w:cs="Arial"/>
          <w:sz w:val="24"/>
          <w:szCs w:val="24"/>
        </w:rPr>
      </w:pPr>
      <w:r w:rsidRPr="005A6FFF">
        <w:rPr>
          <w:rFonts w:ascii="Arial" w:hAnsi="Arial" w:cs="Arial"/>
          <w:sz w:val="24"/>
          <w:szCs w:val="24"/>
        </w:rPr>
        <w:t>At present, only 7 per cent of over 260,000 NDIS providers are registered with the NDIS Commission,</w:t>
      </w:r>
      <w:r w:rsidRPr="005A6FFF">
        <w:rPr>
          <w:rStyle w:val="FootnoteReference"/>
          <w:rFonts w:ascii="Arial" w:hAnsi="Arial" w:cs="Arial"/>
          <w:sz w:val="24"/>
          <w:szCs w:val="24"/>
        </w:rPr>
        <w:footnoteReference w:id="1"/>
      </w:r>
      <w:r w:rsidRPr="005A6FFF">
        <w:rPr>
          <w:rFonts w:ascii="Arial" w:hAnsi="Arial" w:cs="Arial"/>
          <w:sz w:val="24"/>
          <w:szCs w:val="24"/>
        </w:rPr>
        <w:t xml:space="preserve"> meaning that the NDIS Commission does not have effective visibility of the market.</w:t>
      </w:r>
      <w:r>
        <w:rPr>
          <w:rFonts w:ascii="Arial" w:hAnsi="Arial" w:cs="Arial"/>
          <w:sz w:val="24"/>
          <w:szCs w:val="24"/>
        </w:rPr>
        <w:t xml:space="preserve"> </w:t>
      </w:r>
      <w:r w:rsidR="006945AB">
        <w:rPr>
          <w:rFonts w:ascii="Arial" w:hAnsi="Arial" w:cs="Arial"/>
          <w:sz w:val="24"/>
          <w:szCs w:val="24"/>
        </w:rPr>
        <w:t xml:space="preserve">It is unrealistic to expect </w:t>
      </w:r>
      <w:r w:rsidR="0037664F">
        <w:rPr>
          <w:rFonts w:ascii="Arial" w:hAnsi="Arial" w:cs="Arial"/>
          <w:sz w:val="24"/>
          <w:szCs w:val="24"/>
        </w:rPr>
        <w:t>a future provider registration model to encompass all</w:t>
      </w:r>
      <w:r w:rsidR="006945AB">
        <w:rPr>
          <w:rFonts w:ascii="Arial" w:hAnsi="Arial" w:cs="Arial"/>
          <w:sz w:val="24"/>
          <w:szCs w:val="24"/>
        </w:rPr>
        <w:t xml:space="preserve"> 260,000 </w:t>
      </w:r>
      <w:r w:rsidR="0037664F">
        <w:rPr>
          <w:rFonts w:ascii="Arial" w:hAnsi="Arial" w:cs="Arial"/>
          <w:sz w:val="24"/>
          <w:szCs w:val="24"/>
        </w:rPr>
        <w:t>NDIS providers, as</w:t>
      </w:r>
      <w:r w:rsidR="0081580B">
        <w:rPr>
          <w:rFonts w:ascii="Arial" w:hAnsi="Arial" w:cs="Arial"/>
          <w:sz w:val="24"/>
          <w:szCs w:val="24"/>
        </w:rPr>
        <w:t xml:space="preserve"> </w:t>
      </w:r>
      <w:proofErr w:type="gramStart"/>
      <w:r w:rsidR="0081580B">
        <w:rPr>
          <w:rFonts w:ascii="Arial" w:hAnsi="Arial" w:cs="Arial"/>
          <w:sz w:val="24"/>
          <w:szCs w:val="24"/>
        </w:rPr>
        <w:t>the vast majority of</w:t>
      </w:r>
      <w:proofErr w:type="gramEnd"/>
      <w:r w:rsidR="0081580B">
        <w:rPr>
          <w:rFonts w:ascii="Arial" w:hAnsi="Arial" w:cs="Arial"/>
          <w:sz w:val="24"/>
          <w:szCs w:val="24"/>
        </w:rPr>
        <w:t xml:space="preserve"> unregistered providers (under the current definition of NDIS provider in the NDIS Act) </w:t>
      </w:r>
      <w:r w:rsidR="007569D9">
        <w:rPr>
          <w:rFonts w:ascii="Arial" w:hAnsi="Arial" w:cs="Arial"/>
          <w:sz w:val="24"/>
          <w:szCs w:val="24"/>
        </w:rPr>
        <w:t xml:space="preserve">provide low cost, low risk and often one-off services. </w:t>
      </w:r>
      <w:r w:rsidR="00BB1F68">
        <w:rPr>
          <w:rFonts w:ascii="Arial" w:hAnsi="Arial" w:cs="Arial"/>
          <w:sz w:val="24"/>
          <w:szCs w:val="24"/>
        </w:rPr>
        <w:t xml:space="preserve">The NDIS Commission </w:t>
      </w:r>
      <w:r w:rsidR="007B67B8">
        <w:rPr>
          <w:rFonts w:ascii="Arial" w:hAnsi="Arial" w:cs="Arial"/>
          <w:sz w:val="24"/>
          <w:szCs w:val="24"/>
        </w:rPr>
        <w:t>has incomplete visibility of providers of some higher risk supports, such as Supported Independent Living (SIL)</w:t>
      </w:r>
      <w:r w:rsidR="001C2AB3">
        <w:rPr>
          <w:rFonts w:ascii="Arial" w:hAnsi="Arial" w:cs="Arial"/>
          <w:sz w:val="24"/>
          <w:szCs w:val="24"/>
        </w:rPr>
        <w:t xml:space="preserve">, though </w:t>
      </w:r>
      <w:r w:rsidR="00E513BF">
        <w:rPr>
          <w:rFonts w:ascii="Arial" w:hAnsi="Arial" w:cs="Arial"/>
          <w:sz w:val="24"/>
          <w:szCs w:val="24"/>
        </w:rPr>
        <w:t>the Commission will move to require registration for</w:t>
      </w:r>
      <w:r w:rsidR="004035DF">
        <w:rPr>
          <w:rFonts w:ascii="Arial" w:hAnsi="Arial" w:cs="Arial"/>
          <w:sz w:val="24"/>
          <w:szCs w:val="24"/>
        </w:rPr>
        <w:t xml:space="preserve"> providers of</w:t>
      </w:r>
      <w:r w:rsidR="00E513BF">
        <w:rPr>
          <w:rFonts w:ascii="Arial" w:hAnsi="Arial" w:cs="Arial"/>
          <w:sz w:val="24"/>
          <w:szCs w:val="24"/>
        </w:rPr>
        <w:t xml:space="preserve"> SIL from 1 July 2026.</w:t>
      </w:r>
      <w:r w:rsidR="001C2AB3">
        <w:rPr>
          <w:rFonts w:ascii="Arial" w:hAnsi="Arial" w:cs="Arial"/>
          <w:sz w:val="24"/>
          <w:szCs w:val="24"/>
        </w:rPr>
        <w:t xml:space="preserve"> Other supports are delivered by a mix</w:t>
      </w:r>
      <w:r w:rsidR="00E513BF">
        <w:rPr>
          <w:rFonts w:ascii="Arial" w:hAnsi="Arial" w:cs="Arial"/>
          <w:sz w:val="24"/>
          <w:szCs w:val="24"/>
        </w:rPr>
        <w:t xml:space="preserve"> of registered and unregistered providers</w:t>
      </w:r>
      <w:r w:rsidR="00D7413F">
        <w:rPr>
          <w:rFonts w:ascii="Arial" w:hAnsi="Arial" w:cs="Arial"/>
          <w:sz w:val="24"/>
          <w:szCs w:val="24"/>
        </w:rPr>
        <w:t xml:space="preserve">. </w:t>
      </w:r>
    </w:p>
    <w:p w14:paraId="1EDE9811" w14:textId="77777777" w:rsidR="00C5202D" w:rsidRPr="005A6FFF" w:rsidRDefault="00C5202D" w:rsidP="00C5202D">
      <w:pPr>
        <w:rPr>
          <w:rFonts w:ascii="Arial" w:hAnsi="Arial" w:cs="Arial"/>
          <w:sz w:val="24"/>
          <w:szCs w:val="22"/>
        </w:rPr>
      </w:pPr>
      <w:r w:rsidRPr="005A6FFF">
        <w:rPr>
          <w:rFonts w:ascii="Arial" w:hAnsi="Arial" w:cs="Arial"/>
          <w:sz w:val="24"/>
          <w:szCs w:val="22"/>
        </w:rPr>
        <w:t>A registered provider has:</w:t>
      </w:r>
    </w:p>
    <w:p w14:paraId="5C7C892F" w14:textId="77777777" w:rsidR="00C5202D" w:rsidRPr="005A6FFF" w:rsidRDefault="00C5202D" w:rsidP="006F4D62">
      <w:pPr>
        <w:numPr>
          <w:ilvl w:val="0"/>
          <w:numId w:val="25"/>
        </w:numPr>
        <w:rPr>
          <w:rFonts w:ascii="Arial" w:hAnsi="Arial" w:cs="Arial"/>
          <w:sz w:val="24"/>
          <w:szCs w:val="22"/>
          <w:lang w:val="en-US"/>
        </w:rPr>
      </w:pPr>
      <w:r w:rsidRPr="005A6FFF">
        <w:rPr>
          <w:rFonts w:ascii="Arial" w:hAnsi="Arial" w:cs="Arial"/>
          <w:sz w:val="24"/>
          <w:szCs w:val="22"/>
          <w:lang w:val="en-US"/>
        </w:rPr>
        <w:t>applied for registration with the NDIS Commission</w:t>
      </w:r>
    </w:p>
    <w:p w14:paraId="30A7C095" w14:textId="00697FE2" w:rsidR="00C5202D" w:rsidRPr="005A6FFF" w:rsidRDefault="00C5202D" w:rsidP="006F4D62">
      <w:pPr>
        <w:numPr>
          <w:ilvl w:val="0"/>
          <w:numId w:val="25"/>
        </w:numPr>
        <w:rPr>
          <w:rFonts w:ascii="Arial" w:hAnsi="Arial" w:cs="Arial"/>
          <w:sz w:val="24"/>
          <w:szCs w:val="22"/>
          <w:lang w:val="en-US"/>
        </w:rPr>
      </w:pPr>
      <w:r w:rsidRPr="005A6FFF">
        <w:rPr>
          <w:rFonts w:ascii="Arial" w:hAnsi="Arial" w:cs="Arial"/>
          <w:sz w:val="24"/>
          <w:szCs w:val="22"/>
          <w:lang w:val="en-US"/>
        </w:rPr>
        <w:t>been audited against the relevant NDIS Practice Standards and assessed as meeting them</w:t>
      </w:r>
    </w:p>
    <w:p w14:paraId="475A6AD5" w14:textId="77777777" w:rsidR="00825024" w:rsidRDefault="00C5202D" w:rsidP="006F4D62">
      <w:pPr>
        <w:numPr>
          <w:ilvl w:val="0"/>
          <w:numId w:val="25"/>
        </w:numPr>
        <w:rPr>
          <w:rFonts w:ascii="Arial" w:hAnsi="Arial" w:cs="Arial"/>
          <w:sz w:val="24"/>
          <w:szCs w:val="24"/>
          <w:lang w:val="en-US"/>
        </w:rPr>
      </w:pPr>
      <w:r w:rsidRPr="010EB5DD">
        <w:rPr>
          <w:rFonts w:ascii="Arial" w:hAnsi="Arial" w:cs="Arial"/>
          <w:sz w:val="24"/>
          <w:szCs w:val="24"/>
          <w:lang w:val="en-US"/>
        </w:rPr>
        <w:t>undergone a suitability assessment by the NDIS Commission (of both the provider and its key personnel),</w:t>
      </w:r>
    </w:p>
    <w:p w14:paraId="2E93D086" w14:textId="07852CCA" w:rsidR="00C5202D" w:rsidRPr="00825024" w:rsidRDefault="00825024" w:rsidP="006F4D62">
      <w:pPr>
        <w:numPr>
          <w:ilvl w:val="0"/>
          <w:numId w:val="25"/>
        </w:numPr>
        <w:rPr>
          <w:rFonts w:ascii="Arial" w:hAnsi="Arial" w:cs="Arial"/>
          <w:sz w:val="24"/>
          <w:szCs w:val="24"/>
          <w:lang w:val="en-US"/>
        </w:rPr>
      </w:pPr>
      <w:r w:rsidRPr="010EB5DD">
        <w:rPr>
          <w:rFonts w:ascii="Arial" w:hAnsi="Arial" w:cs="Arial"/>
          <w:sz w:val="24"/>
          <w:szCs w:val="24"/>
          <w:lang w:val="en-US"/>
        </w:rPr>
        <w:t xml:space="preserve">been audited against the relevant NDIS Practice Standards and assessed as </w:t>
      </w:r>
      <w:r w:rsidR="7F47FDC7" w:rsidRPr="010EB5DD">
        <w:rPr>
          <w:rFonts w:ascii="Arial" w:hAnsi="Arial" w:cs="Arial"/>
          <w:sz w:val="24"/>
          <w:szCs w:val="24"/>
          <w:lang w:val="en-US"/>
        </w:rPr>
        <w:t>compliant</w:t>
      </w:r>
      <w:r w:rsidRPr="010EB5DD">
        <w:rPr>
          <w:rFonts w:ascii="Arial" w:hAnsi="Arial" w:cs="Arial"/>
          <w:sz w:val="24"/>
          <w:szCs w:val="24"/>
          <w:lang w:val="en-US"/>
        </w:rPr>
        <w:t>,</w:t>
      </w:r>
      <w:r w:rsidR="00C5202D" w:rsidRPr="010EB5DD">
        <w:rPr>
          <w:rFonts w:ascii="Arial" w:hAnsi="Arial" w:cs="Arial"/>
          <w:sz w:val="24"/>
          <w:szCs w:val="24"/>
          <w:lang w:val="en-US"/>
        </w:rPr>
        <w:t xml:space="preserve"> and</w:t>
      </w:r>
    </w:p>
    <w:p w14:paraId="77B36796" w14:textId="77777777" w:rsidR="00C5202D" w:rsidRPr="005A6FFF" w:rsidRDefault="00C5202D" w:rsidP="006F4D62">
      <w:pPr>
        <w:numPr>
          <w:ilvl w:val="0"/>
          <w:numId w:val="25"/>
        </w:numPr>
        <w:rPr>
          <w:rFonts w:ascii="Arial" w:hAnsi="Arial" w:cs="Arial"/>
          <w:sz w:val="24"/>
          <w:szCs w:val="22"/>
          <w:lang w:val="en-US"/>
        </w:rPr>
      </w:pPr>
      <w:r w:rsidRPr="005A6FFF">
        <w:rPr>
          <w:rFonts w:ascii="Arial" w:hAnsi="Arial" w:cs="Arial"/>
          <w:sz w:val="24"/>
          <w:szCs w:val="22"/>
          <w:lang w:val="en-US"/>
        </w:rPr>
        <w:t>been issued a certificate of registration.</w:t>
      </w:r>
    </w:p>
    <w:p w14:paraId="429B395F" w14:textId="77777777" w:rsidR="00B2690D" w:rsidRDefault="00B2690D" w:rsidP="00C5202D">
      <w:pPr>
        <w:rPr>
          <w:rFonts w:ascii="Arial" w:hAnsi="Arial" w:cs="Arial"/>
          <w:sz w:val="24"/>
          <w:szCs w:val="22"/>
          <w:lang w:val="en-US"/>
        </w:rPr>
      </w:pPr>
    </w:p>
    <w:p w14:paraId="043B81C3" w14:textId="01D6BCE0" w:rsidR="00C5202D" w:rsidRPr="00B2690D" w:rsidRDefault="00B2690D" w:rsidP="00C5202D">
      <w:pPr>
        <w:rPr>
          <w:rFonts w:ascii="Arial" w:hAnsi="Arial" w:cs="Arial"/>
          <w:sz w:val="24"/>
          <w:szCs w:val="24"/>
        </w:rPr>
      </w:pPr>
      <w:r w:rsidRPr="005A6FFF">
        <w:rPr>
          <w:rFonts w:ascii="Arial" w:hAnsi="Arial" w:cs="Arial"/>
          <w:sz w:val="24"/>
          <w:szCs w:val="24"/>
        </w:rPr>
        <w:t xml:space="preserve">Provider registration is a mechanism that provides the Australian Government via the NDIS </w:t>
      </w:r>
      <w:r>
        <w:rPr>
          <w:rFonts w:ascii="Arial" w:hAnsi="Arial" w:cs="Arial"/>
          <w:sz w:val="24"/>
          <w:szCs w:val="24"/>
        </w:rPr>
        <w:t>Commission</w:t>
      </w:r>
      <w:r w:rsidRPr="005A6FFF">
        <w:rPr>
          <w:rFonts w:ascii="Arial" w:hAnsi="Arial" w:cs="Arial"/>
          <w:sz w:val="24"/>
          <w:szCs w:val="24"/>
        </w:rPr>
        <w:t xml:space="preserve"> visibility of the NDIS provider market. </w:t>
      </w:r>
      <w:r>
        <w:rPr>
          <w:rFonts w:ascii="Arial" w:hAnsi="Arial" w:cs="Arial"/>
          <w:sz w:val="24"/>
          <w:szCs w:val="24"/>
        </w:rPr>
        <w:t>NDIS p</w:t>
      </w:r>
      <w:proofErr w:type="spellStart"/>
      <w:r w:rsidR="00C5202D" w:rsidRPr="005A6FFF">
        <w:rPr>
          <w:rFonts w:ascii="Arial" w:hAnsi="Arial" w:cs="Arial"/>
          <w:sz w:val="24"/>
          <w:szCs w:val="22"/>
          <w:lang w:val="en-US"/>
        </w:rPr>
        <w:t>roviders</w:t>
      </w:r>
      <w:proofErr w:type="spellEnd"/>
      <w:r w:rsidR="00C5202D" w:rsidRPr="005A6FFF">
        <w:rPr>
          <w:rFonts w:ascii="Arial" w:hAnsi="Arial" w:cs="Arial"/>
          <w:sz w:val="24"/>
          <w:szCs w:val="22"/>
          <w:lang w:val="en-US"/>
        </w:rPr>
        <w:t xml:space="preserve"> are generally registered for three years.</w:t>
      </w:r>
      <w:r w:rsidR="007E2E8E" w:rsidRPr="005A6FFF">
        <w:rPr>
          <w:rFonts w:ascii="Arial" w:hAnsi="Arial" w:cs="Arial"/>
          <w:sz w:val="24"/>
          <w:szCs w:val="22"/>
          <w:lang w:val="en-US"/>
        </w:rPr>
        <w:t xml:space="preserve"> </w:t>
      </w:r>
      <w:r w:rsidR="00C5202D" w:rsidRPr="005A6FFF">
        <w:rPr>
          <w:rFonts w:ascii="Arial" w:hAnsi="Arial" w:cs="Arial"/>
          <w:sz w:val="24"/>
          <w:szCs w:val="22"/>
          <w:lang w:val="en-US"/>
        </w:rPr>
        <w:t>Details of registered NDIS providers are published on the NDIS Provider Register.</w:t>
      </w:r>
      <w:r w:rsidR="00D7413F">
        <w:rPr>
          <w:rFonts w:ascii="Arial" w:hAnsi="Arial" w:cs="Arial"/>
          <w:sz w:val="24"/>
          <w:szCs w:val="22"/>
          <w:lang w:val="en-US"/>
        </w:rPr>
        <w:t xml:space="preserve"> By contrast, the details of unregistered providers are often not available to government, beyon</w:t>
      </w:r>
      <w:r>
        <w:rPr>
          <w:rFonts w:ascii="Arial" w:hAnsi="Arial" w:cs="Arial"/>
          <w:sz w:val="24"/>
          <w:szCs w:val="22"/>
          <w:lang w:val="en-US"/>
        </w:rPr>
        <w:t>d the information available through reimbursement and payment data</w:t>
      </w:r>
      <w:r w:rsidR="00AB764A">
        <w:rPr>
          <w:rFonts w:ascii="Arial" w:hAnsi="Arial" w:cs="Arial"/>
          <w:sz w:val="24"/>
          <w:szCs w:val="22"/>
          <w:lang w:val="en-US"/>
        </w:rPr>
        <w:t xml:space="preserve"> from the NDIA</w:t>
      </w:r>
      <w:r>
        <w:rPr>
          <w:rFonts w:ascii="Arial" w:hAnsi="Arial" w:cs="Arial"/>
          <w:sz w:val="24"/>
          <w:szCs w:val="22"/>
          <w:lang w:val="en-US"/>
        </w:rPr>
        <w:t xml:space="preserve">. </w:t>
      </w:r>
    </w:p>
    <w:p w14:paraId="53C2491D" w14:textId="4A4B1B4F" w:rsidR="0004152F" w:rsidRPr="005A6FFF" w:rsidRDefault="2FF317B7" w:rsidP="0004152F">
      <w:pPr>
        <w:spacing w:line="276" w:lineRule="auto"/>
        <w:rPr>
          <w:rFonts w:ascii="Arial" w:hAnsi="Arial" w:cs="Arial"/>
          <w:sz w:val="24"/>
          <w:szCs w:val="22"/>
        </w:rPr>
      </w:pPr>
      <w:r w:rsidRPr="005A6FFF">
        <w:rPr>
          <w:rFonts w:ascii="Arial" w:hAnsi="Arial" w:cs="Arial"/>
          <w:sz w:val="24"/>
          <w:szCs w:val="22"/>
        </w:rPr>
        <w:t xml:space="preserve">The </w:t>
      </w:r>
      <w:r w:rsidR="00B6120A" w:rsidRPr="005A6FFF">
        <w:rPr>
          <w:rFonts w:ascii="Arial" w:hAnsi="Arial" w:cs="Arial"/>
          <w:i/>
          <w:iCs/>
          <w:sz w:val="24"/>
          <w:szCs w:val="22"/>
        </w:rPr>
        <w:t>I</w:t>
      </w:r>
      <w:r w:rsidRPr="005A6FFF">
        <w:rPr>
          <w:rFonts w:ascii="Arial" w:hAnsi="Arial" w:cs="Arial"/>
          <w:i/>
          <w:iCs/>
          <w:sz w:val="24"/>
          <w:szCs w:val="22"/>
        </w:rPr>
        <w:t xml:space="preserve">ndependent </w:t>
      </w:r>
      <w:r w:rsidR="00B6120A" w:rsidRPr="005A6FFF">
        <w:rPr>
          <w:rFonts w:ascii="Arial" w:hAnsi="Arial" w:cs="Arial"/>
          <w:i/>
          <w:iCs/>
          <w:sz w:val="24"/>
          <w:szCs w:val="22"/>
        </w:rPr>
        <w:t>R</w:t>
      </w:r>
      <w:r w:rsidRPr="005A6FFF">
        <w:rPr>
          <w:rFonts w:ascii="Arial" w:hAnsi="Arial" w:cs="Arial"/>
          <w:i/>
          <w:iCs/>
          <w:sz w:val="24"/>
          <w:szCs w:val="22"/>
        </w:rPr>
        <w:t>eview into the NDIS</w:t>
      </w:r>
      <w:r w:rsidRPr="005A6FFF">
        <w:rPr>
          <w:rFonts w:ascii="Arial" w:hAnsi="Arial" w:cs="Arial"/>
          <w:sz w:val="24"/>
          <w:szCs w:val="22"/>
        </w:rPr>
        <w:t xml:space="preserve"> (NDIS Review) </w:t>
      </w:r>
      <w:r w:rsidR="007E4ECA">
        <w:rPr>
          <w:rFonts w:ascii="Arial" w:hAnsi="Arial" w:cs="Arial"/>
          <w:sz w:val="24"/>
          <w:szCs w:val="22"/>
        </w:rPr>
        <w:t>recommended government</w:t>
      </w:r>
      <w:r w:rsidR="006D04BB" w:rsidRPr="005A6FFF">
        <w:rPr>
          <w:rFonts w:ascii="Arial" w:hAnsi="Arial" w:cs="Arial"/>
          <w:sz w:val="24"/>
          <w:szCs w:val="22"/>
        </w:rPr>
        <w:t xml:space="preserve"> “</w:t>
      </w:r>
      <w:r w:rsidR="006D04BB" w:rsidRPr="005A6FFF">
        <w:rPr>
          <w:rFonts w:ascii="Arial" w:hAnsi="Arial" w:cs="Arial"/>
          <w:i/>
          <w:iCs/>
          <w:sz w:val="24"/>
          <w:szCs w:val="22"/>
        </w:rPr>
        <w:t>develop and deliver a risk-proportionate model for the visibility and regulation of all providers and workers and strengthen the regulatory response to long-standing and emerging quality and safeguards issues</w:t>
      </w:r>
      <w:r w:rsidR="006D04BB" w:rsidRPr="005A6FFF">
        <w:rPr>
          <w:rFonts w:ascii="Arial" w:hAnsi="Arial" w:cs="Arial"/>
          <w:sz w:val="24"/>
          <w:szCs w:val="22"/>
        </w:rPr>
        <w:t>.”</w:t>
      </w:r>
      <w:r w:rsidR="0014570E" w:rsidRPr="005A6FFF">
        <w:rPr>
          <w:rStyle w:val="FootnoteReference"/>
          <w:rFonts w:ascii="Arial" w:hAnsi="Arial" w:cs="Arial"/>
          <w:sz w:val="24"/>
          <w:szCs w:val="22"/>
        </w:rPr>
        <w:footnoteReference w:id="2"/>
      </w:r>
    </w:p>
    <w:p w14:paraId="3F3C9025" w14:textId="55F0C206" w:rsidR="2FF317B7" w:rsidRPr="005A6FFF" w:rsidRDefault="2FF317B7" w:rsidP="0004152F">
      <w:pPr>
        <w:spacing w:line="276" w:lineRule="auto"/>
        <w:rPr>
          <w:rFonts w:ascii="Arial" w:hAnsi="Arial" w:cs="Arial"/>
          <w:sz w:val="24"/>
          <w:szCs w:val="22"/>
        </w:rPr>
      </w:pPr>
      <w:r w:rsidRPr="005A6FFF">
        <w:rPr>
          <w:rFonts w:ascii="Arial" w:hAnsi="Arial" w:cs="Arial"/>
          <w:sz w:val="24"/>
          <w:szCs w:val="22"/>
        </w:rPr>
        <w:t>The</w:t>
      </w:r>
      <w:r w:rsidR="007E4ECA">
        <w:rPr>
          <w:rFonts w:ascii="Arial" w:hAnsi="Arial" w:cs="Arial"/>
          <w:sz w:val="24"/>
          <w:szCs w:val="22"/>
        </w:rPr>
        <w:t xml:space="preserve"> NDIS</w:t>
      </w:r>
      <w:r w:rsidRPr="005A6FFF">
        <w:rPr>
          <w:rFonts w:ascii="Arial" w:hAnsi="Arial" w:cs="Arial"/>
          <w:sz w:val="24"/>
          <w:szCs w:val="22"/>
        </w:rPr>
        <w:t xml:space="preserve"> </w:t>
      </w:r>
      <w:r w:rsidR="00C35B61" w:rsidRPr="005A6FFF">
        <w:rPr>
          <w:rFonts w:ascii="Arial" w:hAnsi="Arial" w:cs="Arial"/>
          <w:sz w:val="24"/>
          <w:szCs w:val="22"/>
        </w:rPr>
        <w:t xml:space="preserve">Provider and Worker Registration </w:t>
      </w:r>
      <w:r w:rsidRPr="005A6FFF">
        <w:rPr>
          <w:rFonts w:ascii="Arial" w:hAnsi="Arial" w:cs="Arial"/>
          <w:sz w:val="24"/>
          <w:szCs w:val="22"/>
        </w:rPr>
        <w:t>Taskforce</w:t>
      </w:r>
      <w:r w:rsidR="00C35B61" w:rsidRPr="005A6FFF">
        <w:rPr>
          <w:rFonts w:ascii="Arial" w:hAnsi="Arial" w:cs="Arial"/>
          <w:sz w:val="24"/>
          <w:szCs w:val="22"/>
        </w:rPr>
        <w:t xml:space="preserve"> (the Taskforce)</w:t>
      </w:r>
      <w:r w:rsidRPr="005A6FFF">
        <w:rPr>
          <w:rFonts w:ascii="Arial" w:hAnsi="Arial" w:cs="Arial"/>
          <w:sz w:val="24"/>
          <w:szCs w:val="22"/>
        </w:rPr>
        <w:t xml:space="preserve"> was established in February 2024 to provide advice on the design and implementation of </w:t>
      </w:r>
      <w:r w:rsidR="007E4ECA">
        <w:rPr>
          <w:rFonts w:ascii="Arial" w:hAnsi="Arial" w:cs="Arial"/>
          <w:sz w:val="24"/>
          <w:szCs w:val="22"/>
        </w:rPr>
        <w:t>a</w:t>
      </w:r>
      <w:r w:rsidRPr="005A6FFF">
        <w:rPr>
          <w:rFonts w:ascii="Arial" w:hAnsi="Arial" w:cs="Arial"/>
          <w:sz w:val="24"/>
          <w:szCs w:val="22"/>
        </w:rPr>
        <w:t xml:space="preserve"> new G</w:t>
      </w:r>
      <w:r w:rsidR="00031B4A">
        <w:rPr>
          <w:rFonts w:ascii="Arial" w:hAnsi="Arial" w:cs="Arial"/>
          <w:sz w:val="24"/>
          <w:szCs w:val="22"/>
        </w:rPr>
        <w:t xml:space="preserve">raduated </w:t>
      </w:r>
      <w:r w:rsidRPr="005A6FFF">
        <w:rPr>
          <w:rFonts w:ascii="Arial" w:hAnsi="Arial" w:cs="Arial"/>
          <w:sz w:val="24"/>
          <w:szCs w:val="22"/>
        </w:rPr>
        <w:t>R</w:t>
      </w:r>
      <w:r w:rsidR="00031B4A">
        <w:rPr>
          <w:rFonts w:ascii="Arial" w:hAnsi="Arial" w:cs="Arial"/>
          <w:sz w:val="24"/>
          <w:szCs w:val="22"/>
        </w:rPr>
        <w:t xml:space="preserve">isk </w:t>
      </w:r>
      <w:r w:rsidRPr="005A6FFF">
        <w:rPr>
          <w:rFonts w:ascii="Arial" w:hAnsi="Arial" w:cs="Arial"/>
          <w:sz w:val="24"/>
          <w:szCs w:val="22"/>
        </w:rPr>
        <w:t>P</w:t>
      </w:r>
      <w:r w:rsidR="00031B4A">
        <w:rPr>
          <w:rFonts w:ascii="Arial" w:hAnsi="Arial" w:cs="Arial"/>
          <w:sz w:val="24"/>
          <w:szCs w:val="22"/>
        </w:rPr>
        <w:t xml:space="preserve">roportionate </w:t>
      </w:r>
      <w:r w:rsidRPr="005A6FFF">
        <w:rPr>
          <w:rFonts w:ascii="Arial" w:hAnsi="Arial" w:cs="Arial"/>
          <w:sz w:val="24"/>
          <w:szCs w:val="22"/>
        </w:rPr>
        <w:t>R</w:t>
      </w:r>
      <w:r w:rsidR="00031B4A">
        <w:rPr>
          <w:rFonts w:ascii="Arial" w:hAnsi="Arial" w:cs="Arial"/>
          <w:sz w:val="24"/>
          <w:szCs w:val="22"/>
        </w:rPr>
        <w:t xml:space="preserve">egulatory </w:t>
      </w:r>
      <w:r w:rsidRPr="005A6FFF">
        <w:rPr>
          <w:rFonts w:ascii="Arial" w:hAnsi="Arial" w:cs="Arial"/>
          <w:sz w:val="24"/>
          <w:szCs w:val="22"/>
        </w:rPr>
        <w:t>M</w:t>
      </w:r>
      <w:r w:rsidR="00031B4A">
        <w:rPr>
          <w:rFonts w:ascii="Arial" w:hAnsi="Arial" w:cs="Arial"/>
          <w:sz w:val="24"/>
          <w:szCs w:val="22"/>
        </w:rPr>
        <w:t>odel</w:t>
      </w:r>
      <w:r w:rsidR="00797EF4">
        <w:rPr>
          <w:rFonts w:ascii="Arial" w:hAnsi="Arial" w:cs="Arial"/>
          <w:sz w:val="24"/>
          <w:szCs w:val="22"/>
        </w:rPr>
        <w:t xml:space="preserve"> (GRPRM)</w:t>
      </w:r>
      <w:r w:rsidRPr="005A6FFF">
        <w:rPr>
          <w:rFonts w:ascii="Arial" w:hAnsi="Arial" w:cs="Arial"/>
          <w:sz w:val="24"/>
          <w:szCs w:val="22"/>
        </w:rPr>
        <w:t xml:space="preserve"> proposed </w:t>
      </w:r>
      <w:r w:rsidR="00797EF4">
        <w:rPr>
          <w:rFonts w:ascii="Arial" w:hAnsi="Arial" w:cs="Arial"/>
          <w:sz w:val="24"/>
          <w:szCs w:val="22"/>
        </w:rPr>
        <w:t xml:space="preserve">by the </w:t>
      </w:r>
      <w:r w:rsidRPr="005A6FFF">
        <w:rPr>
          <w:rFonts w:ascii="Arial" w:hAnsi="Arial" w:cs="Arial"/>
          <w:sz w:val="24"/>
          <w:szCs w:val="22"/>
        </w:rPr>
        <w:t>NDIS Review</w:t>
      </w:r>
      <w:r w:rsidR="00797EF4">
        <w:rPr>
          <w:rFonts w:ascii="Arial" w:hAnsi="Arial" w:cs="Arial"/>
          <w:sz w:val="24"/>
          <w:szCs w:val="22"/>
        </w:rPr>
        <w:t>,</w:t>
      </w:r>
      <w:r w:rsidRPr="005A6FFF">
        <w:rPr>
          <w:rFonts w:ascii="Arial" w:hAnsi="Arial" w:cs="Arial"/>
          <w:sz w:val="24"/>
          <w:szCs w:val="22"/>
        </w:rPr>
        <w:t> in consultation with the disability community.</w:t>
      </w:r>
    </w:p>
    <w:p w14:paraId="57F92412" w14:textId="7F44C34E" w:rsidR="2FF317B7" w:rsidRDefault="2FF317B7" w:rsidP="0A9B4EFB">
      <w:pPr>
        <w:rPr>
          <w:rFonts w:ascii="Arial" w:hAnsi="Arial" w:cs="Arial"/>
          <w:sz w:val="24"/>
          <w:szCs w:val="24"/>
        </w:rPr>
      </w:pPr>
      <w:r w:rsidRPr="010EB5DD">
        <w:rPr>
          <w:rFonts w:ascii="Arial" w:hAnsi="Arial" w:cs="Arial"/>
          <w:sz w:val="24"/>
          <w:szCs w:val="24"/>
        </w:rPr>
        <w:t xml:space="preserve">The Taskforce made 11 recommendations and 10 Implementation Actions for consideration by Government about how a regulatory model for NDIS provider registration might be designed, with consideration to these concerns and the ideas and feedback heard during </w:t>
      </w:r>
      <w:r w:rsidR="5C6258C5" w:rsidRPr="010EB5DD">
        <w:rPr>
          <w:rFonts w:ascii="Arial" w:hAnsi="Arial" w:cs="Arial"/>
          <w:sz w:val="24"/>
          <w:szCs w:val="24"/>
        </w:rPr>
        <w:t>consultation.</w:t>
      </w:r>
      <w:r w:rsidRPr="010EB5DD">
        <w:rPr>
          <w:rFonts w:ascii="Arial" w:hAnsi="Arial" w:cs="Arial"/>
          <w:sz w:val="24"/>
          <w:szCs w:val="24"/>
        </w:rPr>
        <w:t xml:space="preserve"> This included recommendations to change the definition of </w:t>
      </w:r>
      <w:proofErr w:type="gramStart"/>
      <w:r w:rsidRPr="010EB5DD">
        <w:rPr>
          <w:rFonts w:ascii="Arial" w:hAnsi="Arial" w:cs="Arial"/>
          <w:sz w:val="24"/>
          <w:szCs w:val="24"/>
        </w:rPr>
        <w:t>an</w:t>
      </w:r>
      <w:proofErr w:type="gramEnd"/>
      <w:r w:rsidRPr="010EB5DD">
        <w:rPr>
          <w:rFonts w:ascii="Arial" w:hAnsi="Arial" w:cs="Arial"/>
          <w:sz w:val="24"/>
          <w:szCs w:val="24"/>
        </w:rPr>
        <w:t xml:space="preserve"> NDIS provider in the </w:t>
      </w:r>
      <w:r w:rsidR="3F07BBF5" w:rsidRPr="010EB5DD">
        <w:rPr>
          <w:rFonts w:ascii="Arial" w:hAnsi="Arial" w:cs="Arial"/>
          <w:i/>
          <w:sz w:val="24"/>
          <w:szCs w:val="24"/>
        </w:rPr>
        <w:t xml:space="preserve">National Disability Insurance Scheme Act 2013 </w:t>
      </w:r>
      <w:r w:rsidR="3F07BBF5" w:rsidRPr="010EB5DD">
        <w:rPr>
          <w:rFonts w:ascii="Arial" w:hAnsi="Arial" w:cs="Arial"/>
          <w:sz w:val="24"/>
          <w:szCs w:val="24"/>
        </w:rPr>
        <w:t>(</w:t>
      </w:r>
      <w:r w:rsidRPr="010EB5DD">
        <w:rPr>
          <w:rFonts w:ascii="Arial" w:hAnsi="Arial" w:cs="Arial"/>
          <w:sz w:val="24"/>
          <w:szCs w:val="24"/>
        </w:rPr>
        <w:t>NDIS Act</w:t>
      </w:r>
      <w:r w:rsidR="016385C4" w:rsidRPr="010EB5DD">
        <w:rPr>
          <w:rFonts w:ascii="Arial" w:hAnsi="Arial" w:cs="Arial"/>
          <w:sz w:val="24"/>
          <w:szCs w:val="24"/>
        </w:rPr>
        <w:t>)</w:t>
      </w:r>
      <w:r w:rsidRPr="010EB5DD">
        <w:rPr>
          <w:rFonts w:ascii="Arial" w:hAnsi="Arial" w:cs="Arial"/>
          <w:sz w:val="24"/>
          <w:szCs w:val="24"/>
        </w:rPr>
        <w:t xml:space="preserve"> and registering providers under risk-based categories. This is known as the </w:t>
      </w:r>
      <w:r w:rsidRPr="010EB5DD">
        <w:rPr>
          <w:rFonts w:ascii="Arial" w:hAnsi="Arial" w:cs="Arial"/>
          <w:b/>
          <w:sz w:val="24"/>
          <w:szCs w:val="24"/>
        </w:rPr>
        <w:t>Graduated Risk-Proportionate Regulatory Model</w:t>
      </w:r>
      <w:r w:rsidRPr="010EB5DD">
        <w:rPr>
          <w:rFonts w:ascii="Arial" w:hAnsi="Arial" w:cs="Arial"/>
          <w:sz w:val="24"/>
          <w:szCs w:val="24"/>
        </w:rPr>
        <w:t xml:space="preserve"> </w:t>
      </w:r>
      <w:r w:rsidR="5552579B" w:rsidRPr="010EB5DD">
        <w:rPr>
          <w:rFonts w:ascii="Arial" w:hAnsi="Arial" w:cs="Arial"/>
          <w:sz w:val="24"/>
          <w:szCs w:val="24"/>
        </w:rPr>
        <w:t xml:space="preserve">and serves as the core element of our proposed solution for mandatory registration of all NDIS providers. </w:t>
      </w:r>
    </w:p>
    <w:p w14:paraId="062C77EC" w14:textId="1B91E3A9" w:rsidR="00AB619F" w:rsidRPr="00952A9F" w:rsidRDefault="00AB619F" w:rsidP="0A9B4EFB">
      <w:pPr>
        <w:rPr>
          <w:rFonts w:ascii="Arial" w:hAnsi="Arial" w:cs="Arial"/>
        </w:rPr>
      </w:pPr>
      <w:r>
        <w:rPr>
          <w:rFonts w:ascii="Arial" w:hAnsi="Arial" w:cs="Arial"/>
          <w:sz w:val="24"/>
          <w:szCs w:val="24"/>
        </w:rPr>
        <w:t xml:space="preserve">The options outlined in this policy proposal </w:t>
      </w:r>
      <w:r w:rsidR="00B842AC">
        <w:rPr>
          <w:rFonts w:ascii="Arial" w:hAnsi="Arial" w:cs="Arial"/>
          <w:sz w:val="24"/>
          <w:szCs w:val="24"/>
        </w:rPr>
        <w:t xml:space="preserve">build </w:t>
      </w:r>
      <w:r>
        <w:rPr>
          <w:rFonts w:ascii="Arial" w:hAnsi="Arial" w:cs="Arial"/>
          <w:sz w:val="24"/>
          <w:szCs w:val="24"/>
        </w:rPr>
        <w:t xml:space="preserve">upon the foundations of consultation and advice of the NDIS review, the NDIS Provider and Worker Registration Taskforce, as well as </w:t>
      </w:r>
      <w:r w:rsidR="00B842AC">
        <w:rPr>
          <w:rFonts w:ascii="Arial" w:hAnsi="Arial" w:cs="Arial"/>
          <w:sz w:val="24"/>
          <w:szCs w:val="24"/>
        </w:rPr>
        <w:t xml:space="preserve">other </w:t>
      </w:r>
      <w:r w:rsidR="00CB76DC">
        <w:rPr>
          <w:rFonts w:ascii="Arial" w:hAnsi="Arial" w:cs="Arial"/>
          <w:sz w:val="24"/>
          <w:szCs w:val="24"/>
        </w:rPr>
        <w:t xml:space="preserve">reports such as the Disability Royal Commission final report. </w:t>
      </w:r>
    </w:p>
    <w:p w14:paraId="4D6A9F0B" w14:textId="202864CB" w:rsidR="00405232" w:rsidRPr="00952A9F" w:rsidRDefault="5AC87FB2" w:rsidP="1153542A">
      <w:pPr>
        <w:pStyle w:val="Heading1"/>
        <w:numPr>
          <w:ilvl w:val="0"/>
          <w:numId w:val="10"/>
        </w:numPr>
        <w:spacing w:before="0" w:after="0"/>
        <w:rPr>
          <w:color w:val="3F4A75"/>
          <w:szCs w:val="48"/>
        </w:rPr>
      </w:pPr>
      <w:bookmarkStart w:id="1" w:name="_Toc96326924"/>
      <w:r w:rsidRPr="1153542A">
        <w:rPr>
          <w:color w:val="3F4A75"/>
          <w:szCs w:val="48"/>
        </w:rPr>
        <w:t xml:space="preserve">Policy Options </w:t>
      </w:r>
    </w:p>
    <w:p w14:paraId="0708F32D" w14:textId="152FC2F5" w:rsidR="0063280F" w:rsidRPr="005F4DA0" w:rsidRDefault="0063280F" w:rsidP="1153542A">
      <w:pPr>
        <w:pStyle w:val="Heading2"/>
        <w:rPr>
          <w:rFonts w:ascii="Arial" w:hAnsi="Arial" w:cs="Arial"/>
          <w:b/>
          <w:bCs/>
          <w:color w:val="358189"/>
        </w:rPr>
      </w:pPr>
      <w:r w:rsidRPr="1153542A">
        <w:rPr>
          <w:rFonts w:ascii="Arial" w:hAnsi="Arial" w:cs="Arial"/>
          <w:color w:val="358189"/>
        </w:rPr>
        <w:t>3.1 Option 1</w:t>
      </w:r>
      <w:r w:rsidR="009074AF" w:rsidRPr="1153542A">
        <w:rPr>
          <w:rFonts w:ascii="Arial" w:hAnsi="Arial" w:cs="Arial"/>
          <w:color w:val="358189"/>
        </w:rPr>
        <w:t xml:space="preserve"> </w:t>
      </w:r>
      <w:r w:rsidRPr="1153542A">
        <w:rPr>
          <w:rFonts w:ascii="Arial" w:hAnsi="Arial" w:cs="Arial"/>
          <w:color w:val="358189"/>
        </w:rPr>
        <w:t xml:space="preserve">– Graduated Risk-Proportionate Regulatory Model </w:t>
      </w:r>
    </w:p>
    <w:p w14:paraId="7D65B0CD" w14:textId="17D512F7" w:rsidR="0063280F" w:rsidRPr="005A6FFF" w:rsidRDefault="0063280F" w:rsidP="0063280F">
      <w:p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Th</w:t>
      </w:r>
      <w:r>
        <w:rPr>
          <w:rFonts w:ascii="Arial" w:eastAsia="Arial" w:hAnsi="Arial" w:cs="Arial"/>
          <w:color w:val="000000"/>
          <w:sz w:val="24"/>
          <w:szCs w:val="24"/>
        </w:rPr>
        <w:t>is</w:t>
      </w:r>
      <w:r w:rsidRPr="005A6FFF">
        <w:rPr>
          <w:rFonts w:ascii="Arial" w:eastAsia="Arial" w:hAnsi="Arial" w:cs="Arial"/>
          <w:color w:val="000000"/>
          <w:sz w:val="24"/>
          <w:szCs w:val="24"/>
        </w:rPr>
        <w:t xml:space="preserve"> policy option </w:t>
      </w:r>
      <w:r>
        <w:rPr>
          <w:rFonts w:ascii="Arial" w:eastAsia="Arial" w:hAnsi="Arial" w:cs="Arial"/>
          <w:color w:val="000000"/>
          <w:sz w:val="24"/>
          <w:szCs w:val="24"/>
        </w:rPr>
        <w:t xml:space="preserve">would </w:t>
      </w:r>
      <w:r w:rsidRPr="005A6FFF">
        <w:rPr>
          <w:rFonts w:ascii="Arial" w:eastAsia="Arial" w:hAnsi="Arial" w:cs="Arial"/>
          <w:color w:val="000000"/>
          <w:sz w:val="24"/>
          <w:szCs w:val="24"/>
        </w:rPr>
        <w:t>deliver a mandatory provider registration model</w:t>
      </w:r>
      <w:r>
        <w:rPr>
          <w:rFonts w:ascii="Arial" w:eastAsia="Arial" w:hAnsi="Arial" w:cs="Arial"/>
          <w:color w:val="000000"/>
          <w:sz w:val="24"/>
          <w:szCs w:val="24"/>
        </w:rPr>
        <w:t xml:space="preserve"> building on the recommendations of the NDIS Provider and Worker Registration Taskforce.</w:t>
      </w:r>
      <w:r w:rsidRPr="005A6FFF">
        <w:rPr>
          <w:rFonts w:ascii="Arial" w:eastAsia="Arial" w:hAnsi="Arial" w:cs="Arial"/>
          <w:color w:val="000000"/>
          <w:sz w:val="24"/>
          <w:szCs w:val="24"/>
        </w:rPr>
        <w:t xml:space="preserve"> </w:t>
      </w:r>
    </w:p>
    <w:p w14:paraId="413CB62A" w14:textId="77777777" w:rsidR="0063280F" w:rsidRPr="005A6FFF" w:rsidRDefault="0063280F" w:rsidP="0063280F">
      <w:p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There are five core elements to this model:</w:t>
      </w:r>
    </w:p>
    <w:p w14:paraId="51252F51" w14:textId="7A91BB23" w:rsidR="0063280F" w:rsidRPr="005A6FFF" w:rsidRDefault="0063280F" w:rsidP="0063280F">
      <w:pPr>
        <w:pStyle w:val="ListParagraph"/>
        <w:numPr>
          <w:ilvl w:val="0"/>
          <w:numId w:val="5"/>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 xml:space="preserve">Design and delivery of </w:t>
      </w:r>
      <w:r w:rsidR="00DE77F1">
        <w:rPr>
          <w:rFonts w:ascii="Arial" w:eastAsia="Arial" w:hAnsi="Arial" w:cs="Arial"/>
          <w:color w:val="000000"/>
          <w:sz w:val="24"/>
          <w:szCs w:val="24"/>
        </w:rPr>
        <w:t>three</w:t>
      </w:r>
      <w:r w:rsidRPr="005A6FFF">
        <w:rPr>
          <w:rFonts w:ascii="Arial" w:eastAsia="Arial" w:hAnsi="Arial" w:cs="Arial"/>
          <w:color w:val="000000"/>
          <w:sz w:val="24"/>
          <w:szCs w:val="24"/>
        </w:rPr>
        <w:t xml:space="preserve"> graduated risk-proportionate registration categories:</w:t>
      </w:r>
    </w:p>
    <w:p w14:paraId="1A9509E6" w14:textId="77777777" w:rsidR="0063280F" w:rsidRPr="005A6FFF" w:rsidRDefault="0063280F" w:rsidP="0063280F">
      <w:pPr>
        <w:pStyle w:val="ListParagraph"/>
        <w:numPr>
          <w:ilvl w:val="1"/>
          <w:numId w:val="4"/>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 xml:space="preserve">Advanced </w:t>
      </w:r>
    </w:p>
    <w:p w14:paraId="1B3B5D90" w14:textId="0E884FDA" w:rsidR="0063280F" w:rsidRPr="0063280F" w:rsidRDefault="0063280F" w:rsidP="0063280F">
      <w:pPr>
        <w:pStyle w:val="ListParagraph"/>
        <w:numPr>
          <w:ilvl w:val="1"/>
          <w:numId w:val="4"/>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lastRenderedPageBreak/>
        <w:t xml:space="preserve">General </w:t>
      </w:r>
    </w:p>
    <w:p w14:paraId="4F810BB1" w14:textId="77777777" w:rsidR="0063280F" w:rsidRPr="005A6FFF" w:rsidRDefault="0063280F" w:rsidP="0063280F">
      <w:pPr>
        <w:pStyle w:val="ListParagraph"/>
        <w:numPr>
          <w:ilvl w:val="1"/>
          <w:numId w:val="4"/>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 xml:space="preserve">Self-directed </w:t>
      </w:r>
    </w:p>
    <w:p w14:paraId="24AA6FDA" w14:textId="77777777" w:rsidR="0063280F" w:rsidRPr="005A6FFF" w:rsidRDefault="0063280F" w:rsidP="0063280F">
      <w:pPr>
        <w:pStyle w:val="ListParagraph"/>
        <w:numPr>
          <w:ilvl w:val="0"/>
          <w:numId w:val="5"/>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 xml:space="preserve">Amendments to the definition of a NDIS Provider </w:t>
      </w:r>
      <w:r>
        <w:rPr>
          <w:rFonts w:ascii="Arial" w:eastAsia="Arial" w:hAnsi="Arial" w:cs="Arial"/>
          <w:color w:val="000000"/>
          <w:sz w:val="24"/>
          <w:szCs w:val="24"/>
        </w:rPr>
        <w:t>in the NDIS Act</w:t>
      </w:r>
    </w:p>
    <w:p w14:paraId="3991BCE9" w14:textId="77777777" w:rsidR="0063280F" w:rsidRPr="005A6FFF" w:rsidRDefault="0063280F" w:rsidP="0063280F">
      <w:pPr>
        <w:pStyle w:val="ListParagraph"/>
        <w:numPr>
          <w:ilvl w:val="0"/>
          <w:numId w:val="5"/>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 xml:space="preserve">Implementation of a regulatory framework </w:t>
      </w:r>
    </w:p>
    <w:p w14:paraId="270911C2" w14:textId="77777777" w:rsidR="0063280F" w:rsidRPr="005A6FFF" w:rsidRDefault="0063280F" w:rsidP="0063280F">
      <w:pPr>
        <w:pStyle w:val="ListParagraph"/>
        <w:numPr>
          <w:ilvl w:val="0"/>
          <w:numId w:val="5"/>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Cost-recovery mechanism embedded into provider registration fees</w:t>
      </w:r>
      <w:r>
        <w:rPr>
          <w:rFonts w:ascii="Arial" w:eastAsia="Arial" w:hAnsi="Arial" w:cs="Arial"/>
          <w:color w:val="000000"/>
          <w:sz w:val="24"/>
          <w:szCs w:val="24"/>
        </w:rPr>
        <w:t xml:space="preserve"> and an agreed Charging Framework with the Department of Finance </w:t>
      </w:r>
      <w:proofErr w:type="gramStart"/>
      <w:r>
        <w:rPr>
          <w:rFonts w:ascii="Arial" w:eastAsia="Arial" w:hAnsi="Arial" w:cs="Arial"/>
          <w:color w:val="000000"/>
          <w:sz w:val="24"/>
          <w:szCs w:val="24"/>
        </w:rPr>
        <w:t>at a later date</w:t>
      </w:r>
      <w:proofErr w:type="gramEnd"/>
    </w:p>
    <w:p w14:paraId="21FB1486" w14:textId="77777777" w:rsidR="0063280F" w:rsidRPr="005A6FFF" w:rsidRDefault="0063280F" w:rsidP="0063280F">
      <w:pPr>
        <w:pStyle w:val="ListParagraph"/>
        <w:numPr>
          <w:ilvl w:val="0"/>
          <w:numId w:val="5"/>
        </w:num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A self-directed supports pilot program</w:t>
      </w:r>
      <w:r>
        <w:rPr>
          <w:rFonts w:ascii="Arial" w:eastAsia="Arial" w:hAnsi="Arial" w:cs="Arial"/>
          <w:color w:val="000000"/>
          <w:sz w:val="24"/>
          <w:szCs w:val="24"/>
        </w:rPr>
        <w:t>.</w:t>
      </w:r>
    </w:p>
    <w:p w14:paraId="384F1260" w14:textId="77777777" w:rsidR="0063280F" w:rsidRPr="005A6FFF" w:rsidRDefault="0063280F" w:rsidP="0063280F">
      <w:pPr>
        <w:spacing w:before="120" w:after="120" w:line="288" w:lineRule="auto"/>
        <w:rPr>
          <w:rFonts w:ascii="Arial" w:eastAsia="Arial" w:hAnsi="Arial" w:cs="Arial"/>
          <w:sz w:val="24"/>
          <w:szCs w:val="24"/>
        </w:rPr>
      </w:pPr>
      <w:r w:rsidRPr="005A6FFF">
        <w:rPr>
          <w:rFonts w:ascii="Arial" w:eastAsia="Arial" w:hAnsi="Arial" w:cs="Arial"/>
          <w:sz w:val="24"/>
          <w:szCs w:val="24"/>
        </w:rPr>
        <w:t xml:space="preserve">The implementation of a new risk-proportionate regulatory model, including mandatory registration for NDIS providers was one of the more publicised recommendations of the NDIS Review when it was made in December 2023. The NDIS Review proposed a new risk-based registration approach applying regulatory obligations to the highest risks supports and services while releasing lower risk supports and services from burdensome regulation. </w:t>
      </w:r>
    </w:p>
    <w:p w14:paraId="4C80C178" w14:textId="7796646F" w:rsidR="0063280F" w:rsidRPr="005A6FFF" w:rsidRDefault="0063280F" w:rsidP="0063280F">
      <w:pPr>
        <w:spacing w:before="120" w:after="120" w:line="288" w:lineRule="auto"/>
        <w:rPr>
          <w:rFonts w:ascii="Arial" w:eastAsia="Arial" w:hAnsi="Arial" w:cs="Arial"/>
          <w:color w:val="000000"/>
          <w:sz w:val="24"/>
          <w:szCs w:val="24"/>
        </w:rPr>
      </w:pPr>
      <w:r w:rsidRPr="005A6FFF">
        <w:rPr>
          <w:rFonts w:ascii="Arial" w:eastAsia="Arial" w:hAnsi="Arial" w:cs="Arial"/>
          <w:sz w:val="24"/>
          <w:szCs w:val="24"/>
        </w:rPr>
        <w:t xml:space="preserve">This model was </w:t>
      </w:r>
      <w:r w:rsidR="00220EEC">
        <w:rPr>
          <w:rFonts w:ascii="Arial" w:eastAsia="Arial" w:hAnsi="Arial" w:cs="Arial"/>
          <w:sz w:val="24"/>
          <w:szCs w:val="24"/>
        </w:rPr>
        <w:t xml:space="preserve">referred </w:t>
      </w:r>
      <w:r w:rsidRPr="005A6FFF">
        <w:rPr>
          <w:rFonts w:ascii="Arial" w:eastAsia="Arial" w:hAnsi="Arial" w:cs="Arial"/>
          <w:sz w:val="24"/>
          <w:szCs w:val="24"/>
        </w:rPr>
        <w:t xml:space="preserve">to the </w:t>
      </w:r>
      <w:r w:rsidR="00220EEC">
        <w:rPr>
          <w:rFonts w:ascii="Arial" w:eastAsia="Arial" w:hAnsi="Arial" w:cs="Arial"/>
          <w:sz w:val="24"/>
          <w:szCs w:val="24"/>
        </w:rPr>
        <w:t>NDIS Provider and Worker Registration</w:t>
      </w:r>
      <w:r w:rsidRPr="005A6FFF">
        <w:rPr>
          <w:rFonts w:ascii="Arial" w:eastAsia="Arial" w:hAnsi="Arial" w:cs="Arial"/>
          <w:sz w:val="24"/>
          <w:szCs w:val="24"/>
        </w:rPr>
        <w:t xml:space="preserve"> Taskforce which consulted widely to provide recommendations on how a new regulatory model could be implemented in a way which also upholds the rights of NDIS participants to choice and control. The model in this proposal is based on the Taskforce Advice, which was made public in August 2024.</w:t>
      </w:r>
      <w:r w:rsidRPr="005A6FFF">
        <w:rPr>
          <w:rFonts w:ascii="Arial" w:eastAsia="Arial" w:hAnsi="Arial" w:cs="Arial"/>
          <w:color w:val="000000"/>
          <w:sz w:val="24"/>
          <w:szCs w:val="24"/>
        </w:rPr>
        <w:t xml:space="preserve"> The Taskforce stated the framework provided in the NDIS Review was a useful framework for understanding risk, however recommended the addition of a self-directed supports registration category and amending the definition of a provider </w:t>
      </w:r>
      <w:r>
        <w:rPr>
          <w:rFonts w:ascii="Arial" w:eastAsia="Arial" w:hAnsi="Arial" w:cs="Arial"/>
          <w:color w:val="000000"/>
          <w:sz w:val="24"/>
          <w:szCs w:val="24"/>
        </w:rPr>
        <w:t xml:space="preserve">to </w:t>
      </w:r>
      <w:r w:rsidRPr="005A6FFF">
        <w:rPr>
          <w:rFonts w:ascii="Arial" w:eastAsia="Arial" w:hAnsi="Arial" w:cs="Arial"/>
          <w:color w:val="000000"/>
          <w:sz w:val="24"/>
          <w:szCs w:val="24"/>
        </w:rPr>
        <w:t xml:space="preserve">refine </w:t>
      </w:r>
      <w:r>
        <w:rPr>
          <w:rFonts w:ascii="Arial" w:eastAsia="Arial" w:hAnsi="Arial" w:cs="Arial"/>
          <w:color w:val="000000"/>
          <w:sz w:val="24"/>
          <w:szCs w:val="24"/>
        </w:rPr>
        <w:t xml:space="preserve">its </w:t>
      </w:r>
      <w:r w:rsidRPr="005A6FFF">
        <w:rPr>
          <w:rFonts w:ascii="Arial" w:eastAsia="Arial" w:hAnsi="Arial" w:cs="Arial"/>
          <w:color w:val="000000"/>
          <w:sz w:val="24"/>
          <w:szCs w:val="24"/>
        </w:rPr>
        <w:t xml:space="preserve">scope </w:t>
      </w:r>
      <w:r w:rsidRPr="010EB5DD">
        <w:rPr>
          <w:rFonts w:ascii="Arial" w:eastAsia="Arial" w:hAnsi="Arial" w:cs="Arial"/>
          <w:color w:val="000000"/>
          <w:sz w:val="24"/>
          <w:szCs w:val="24"/>
        </w:rPr>
        <w:t>removing</w:t>
      </w:r>
      <w:r w:rsidRPr="005A6FFF">
        <w:rPr>
          <w:rFonts w:ascii="Arial" w:eastAsia="Arial" w:hAnsi="Arial" w:cs="Arial"/>
          <w:color w:val="000000"/>
          <w:sz w:val="24"/>
          <w:szCs w:val="24"/>
        </w:rPr>
        <w:t xml:space="preserve"> the need </w:t>
      </w:r>
      <w:r w:rsidR="00F565AB">
        <w:rPr>
          <w:rFonts w:ascii="Arial" w:eastAsia="Arial" w:hAnsi="Arial" w:cs="Arial"/>
          <w:color w:val="000000"/>
          <w:sz w:val="24"/>
          <w:szCs w:val="24"/>
        </w:rPr>
        <w:t xml:space="preserve">to enrol the large number of remaining unregistered providers. Instead, visibility of these providers would be </w:t>
      </w:r>
      <w:r w:rsidR="00567388">
        <w:rPr>
          <w:rFonts w:ascii="Arial" w:eastAsia="Arial" w:hAnsi="Arial" w:cs="Arial"/>
          <w:color w:val="000000"/>
          <w:sz w:val="24"/>
          <w:szCs w:val="24"/>
        </w:rPr>
        <w:t xml:space="preserve">made available through an improved payment system for NDIS supports. </w:t>
      </w:r>
      <w:r w:rsidRPr="005A6FFF">
        <w:rPr>
          <w:rFonts w:ascii="Arial" w:eastAsia="Arial" w:hAnsi="Arial" w:cs="Arial"/>
          <w:color w:val="000000"/>
          <w:sz w:val="24"/>
          <w:szCs w:val="24"/>
        </w:rPr>
        <w:t xml:space="preserve"> </w:t>
      </w:r>
    </w:p>
    <w:p w14:paraId="028AF536" w14:textId="7D0CDF4B" w:rsidR="0063280F" w:rsidRPr="005A6FFF" w:rsidRDefault="0063280F" w:rsidP="0063280F">
      <w:p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 xml:space="preserve">Amending the definition would address the current issue as outlined in the status quo </w:t>
      </w:r>
      <w:r>
        <w:rPr>
          <w:rFonts w:ascii="Arial" w:eastAsia="Arial" w:hAnsi="Arial" w:cs="Arial"/>
          <w:color w:val="000000"/>
          <w:sz w:val="24"/>
          <w:szCs w:val="24"/>
        </w:rPr>
        <w:t xml:space="preserve">section above </w:t>
      </w:r>
      <w:r w:rsidRPr="005A6FFF">
        <w:rPr>
          <w:rFonts w:ascii="Arial" w:eastAsia="Arial" w:hAnsi="Arial" w:cs="Arial"/>
          <w:color w:val="000000"/>
          <w:sz w:val="24"/>
          <w:szCs w:val="24"/>
        </w:rPr>
        <w:t xml:space="preserve">where low-risk mainstream organisations are considered NDIS providers, regardless of </w:t>
      </w:r>
      <w:r>
        <w:rPr>
          <w:rFonts w:ascii="Arial" w:eastAsia="Arial" w:hAnsi="Arial" w:cs="Arial"/>
          <w:color w:val="000000"/>
          <w:sz w:val="24"/>
          <w:szCs w:val="24"/>
        </w:rPr>
        <w:t xml:space="preserve">their awareness </w:t>
      </w:r>
      <w:r w:rsidRPr="010EB5DD">
        <w:rPr>
          <w:rFonts w:ascii="Arial" w:eastAsia="Arial" w:hAnsi="Arial" w:cs="Arial"/>
          <w:color w:val="000000"/>
          <w:sz w:val="24"/>
          <w:szCs w:val="24"/>
        </w:rPr>
        <w:t>or</w:t>
      </w:r>
      <w:r w:rsidRPr="005A6FFF">
        <w:rPr>
          <w:rFonts w:ascii="Arial" w:eastAsia="Arial" w:hAnsi="Arial" w:cs="Arial"/>
          <w:color w:val="000000"/>
          <w:sz w:val="24"/>
          <w:szCs w:val="24"/>
        </w:rPr>
        <w:t xml:space="preserve"> </w:t>
      </w:r>
      <w:r>
        <w:rPr>
          <w:rFonts w:ascii="Arial" w:eastAsia="Arial" w:hAnsi="Arial" w:cs="Arial"/>
          <w:color w:val="000000"/>
          <w:sz w:val="24"/>
          <w:szCs w:val="24"/>
        </w:rPr>
        <w:t>lack thereof.</w:t>
      </w:r>
      <w:r w:rsidRPr="005A6FFF">
        <w:rPr>
          <w:rFonts w:ascii="Arial" w:eastAsia="Arial" w:hAnsi="Arial" w:cs="Arial"/>
          <w:color w:val="000000"/>
          <w:sz w:val="24"/>
          <w:szCs w:val="24"/>
        </w:rPr>
        <w:t xml:space="preserve"> </w:t>
      </w:r>
      <w:r w:rsidR="00567388">
        <w:rPr>
          <w:rFonts w:ascii="Arial" w:eastAsia="Arial" w:hAnsi="Arial" w:cs="Arial"/>
          <w:color w:val="000000"/>
          <w:sz w:val="24"/>
          <w:szCs w:val="24"/>
        </w:rPr>
        <w:t xml:space="preserve">NDIS participants would still be able to use funds to purchase </w:t>
      </w:r>
      <w:r w:rsidR="00F8568A">
        <w:rPr>
          <w:rFonts w:ascii="Arial" w:eastAsia="Arial" w:hAnsi="Arial" w:cs="Arial"/>
          <w:color w:val="000000"/>
          <w:sz w:val="24"/>
          <w:szCs w:val="24"/>
        </w:rPr>
        <w:t xml:space="preserve">supports from these providers and they would continue to be covered by consumer law and other regulatory protections. </w:t>
      </w:r>
    </w:p>
    <w:p w14:paraId="3EC4C30F" w14:textId="77777777" w:rsidR="00EF5A81" w:rsidRDefault="0063280F" w:rsidP="00EF5A81">
      <w:pPr>
        <w:spacing w:before="120" w:after="120" w:line="288" w:lineRule="auto"/>
        <w:rPr>
          <w:rFonts w:ascii="Arial" w:eastAsia="Arial" w:hAnsi="Arial" w:cs="Arial"/>
          <w:color w:val="000000"/>
          <w:sz w:val="24"/>
          <w:szCs w:val="24"/>
        </w:rPr>
      </w:pPr>
      <w:r w:rsidRPr="005A6FFF">
        <w:rPr>
          <w:rFonts w:ascii="Arial" w:eastAsia="Arial" w:hAnsi="Arial" w:cs="Arial"/>
          <w:color w:val="000000"/>
          <w:sz w:val="24"/>
          <w:szCs w:val="24"/>
        </w:rPr>
        <w:t>The inclusion of a self-directed supports category, as indicated by the Taskforce, is critical to affording choice and control for participants</w:t>
      </w:r>
      <w:r w:rsidR="00971932">
        <w:rPr>
          <w:rFonts w:ascii="Arial" w:eastAsia="Arial" w:hAnsi="Arial" w:cs="Arial"/>
          <w:color w:val="000000"/>
          <w:sz w:val="24"/>
          <w:szCs w:val="24"/>
        </w:rPr>
        <w:t xml:space="preserve"> who directly employ their supports</w:t>
      </w:r>
      <w:r w:rsidRPr="005A6FFF">
        <w:rPr>
          <w:rFonts w:ascii="Arial" w:eastAsia="Arial" w:hAnsi="Arial" w:cs="Arial"/>
          <w:color w:val="000000"/>
          <w:sz w:val="24"/>
          <w:szCs w:val="24"/>
        </w:rPr>
        <w:t xml:space="preserve"> to continue to use unregistered providers should they wish to do so under the new model (within safeguarding parameters). </w:t>
      </w:r>
    </w:p>
    <w:p w14:paraId="4E719EFA" w14:textId="44063FA7" w:rsidR="0063280F" w:rsidRDefault="0063280F" w:rsidP="00EF5A81">
      <w:pPr>
        <w:spacing w:before="120" w:after="120" w:line="288" w:lineRule="auto"/>
        <w:rPr>
          <w:rFonts w:ascii="Arial" w:hAnsi="Arial" w:cs="Arial"/>
        </w:rPr>
      </w:pPr>
      <w:r w:rsidRPr="005A6FFF">
        <w:rPr>
          <w:rFonts w:ascii="Arial" w:hAnsi="Arial" w:cs="Arial"/>
          <w:color w:val="000000"/>
          <w:sz w:val="24"/>
          <w:szCs w:val="24"/>
        </w:rPr>
        <w:t xml:space="preserve">Despite utilising a risk-proportionate approach to minimise unnecessary burden on providers offering lower-risk supports, some regulatory obligations would still be imposed on currently unregistered providers under this preferred policy option. The sector is already aware of this, and the government will continue to engage with the public to ensure appropriate transition arrangements are made to </w:t>
      </w:r>
      <w:r w:rsidR="00971932">
        <w:rPr>
          <w:rFonts w:ascii="Arial" w:hAnsi="Arial" w:cs="Arial"/>
          <w:color w:val="000000"/>
          <w:sz w:val="24"/>
          <w:szCs w:val="24"/>
        </w:rPr>
        <w:t xml:space="preserve">manage </w:t>
      </w:r>
      <w:r w:rsidRPr="005A6FFF">
        <w:rPr>
          <w:rFonts w:ascii="Arial" w:hAnsi="Arial" w:cs="Arial"/>
          <w:color w:val="000000"/>
          <w:sz w:val="24"/>
          <w:szCs w:val="24"/>
        </w:rPr>
        <w:t xml:space="preserve">market exits and </w:t>
      </w:r>
      <w:r w:rsidR="0019177D">
        <w:rPr>
          <w:rFonts w:ascii="Arial" w:hAnsi="Arial" w:cs="Arial"/>
          <w:color w:val="000000"/>
          <w:sz w:val="24"/>
          <w:szCs w:val="24"/>
        </w:rPr>
        <w:t xml:space="preserve">prevent </w:t>
      </w:r>
      <w:r w:rsidRPr="005A6FFF">
        <w:rPr>
          <w:rFonts w:ascii="Arial" w:hAnsi="Arial" w:cs="Arial"/>
          <w:color w:val="000000"/>
          <w:sz w:val="24"/>
          <w:szCs w:val="24"/>
        </w:rPr>
        <w:t>disruption for participants.</w:t>
      </w:r>
    </w:p>
    <w:p w14:paraId="5E1A64C6" w14:textId="2BFE7D1D" w:rsidR="00963027" w:rsidRDefault="0031408D" w:rsidP="1153542A">
      <w:pPr>
        <w:pStyle w:val="Heading2"/>
        <w:rPr>
          <w:rFonts w:ascii="Arial" w:hAnsi="Arial" w:cs="Arial"/>
          <w:color w:val="358189"/>
        </w:rPr>
      </w:pPr>
      <w:r w:rsidRPr="1153542A">
        <w:rPr>
          <w:rFonts w:ascii="Arial" w:hAnsi="Arial" w:cs="Arial"/>
          <w:color w:val="358189"/>
        </w:rPr>
        <w:lastRenderedPageBreak/>
        <w:t>3.</w:t>
      </w:r>
      <w:r w:rsidR="007E3626" w:rsidRPr="1153542A">
        <w:rPr>
          <w:rFonts w:ascii="Arial" w:hAnsi="Arial" w:cs="Arial"/>
          <w:color w:val="358189"/>
        </w:rPr>
        <w:t>2</w:t>
      </w:r>
      <w:r w:rsidRPr="1153542A">
        <w:rPr>
          <w:rFonts w:ascii="Arial" w:hAnsi="Arial" w:cs="Arial"/>
          <w:color w:val="358189"/>
        </w:rPr>
        <w:t xml:space="preserve"> Option 2 </w:t>
      </w:r>
      <w:r w:rsidR="00963027" w:rsidRPr="1153542A">
        <w:rPr>
          <w:rFonts w:ascii="Arial" w:hAnsi="Arial" w:cs="Arial"/>
          <w:color w:val="358189"/>
        </w:rPr>
        <w:t xml:space="preserve">(Preferred) </w:t>
      </w:r>
      <w:r w:rsidRPr="1153542A">
        <w:rPr>
          <w:rFonts w:ascii="Arial" w:hAnsi="Arial" w:cs="Arial"/>
          <w:color w:val="358189"/>
        </w:rPr>
        <w:t xml:space="preserve">– </w:t>
      </w:r>
      <w:r w:rsidR="003E3014" w:rsidRPr="1153542A">
        <w:rPr>
          <w:rFonts w:ascii="Arial" w:hAnsi="Arial" w:cs="Arial"/>
          <w:color w:val="358189"/>
        </w:rPr>
        <w:t>Mandatory Registration of NDIS providers</w:t>
      </w:r>
      <w:r w:rsidR="7A95A804" w:rsidRPr="1153542A">
        <w:rPr>
          <w:rFonts w:ascii="Arial" w:hAnsi="Arial" w:cs="Arial"/>
          <w:color w:val="358189"/>
        </w:rPr>
        <w:t xml:space="preserve"> delivering the highest-risk supports</w:t>
      </w:r>
      <w:r w:rsidR="003E3014" w:rsidRPr="1153542A">
        <w:rPr>
          <w:rFonts w:ascii="Arial" w:hAnsi="Arial" w:cs="Arial"/>
          <w:color w:val="358189"/>
        </w:rPr>
        <w:t xml:space="preserve"> </w:t>
      </w:r>
      <w:r w:rsidR="00963027" w:rsidRPr="1153542A">
        <w:rPr>
          <w:rFonts w:ascii="Arial" w:hAnsi="Arial" w:cs="Arial"/>
          <w:color w:val="358189"/>
        </w:rPr>
        <w:t xml:space="preserve">in an advanced registration category. </w:t>
      </w:r>
    </w:p>
    <w:p w14:paraId="4B7734A8" w14:textId="7C4EC639" w:rsidR="004E4057" w:rsidRDefault="009B1BB2" w:rsidP="00463C89">
      <w:pPr>
        <w:rPr>
          <w:rFonts w:ascii="Arial" w:hAnsi="Arial" w:cs="Arial"/>
          <w:sz w:val="24"/>
          <w:szCs w:val="24"/>
        </w:rPr>
      </w:pPr>
      <w:r w:rsidRPr="7F72696E">
        <w:rPr>
          <w:rFonts w:ascii="Arial" w:hAnsi="Arial" w:cs="Arial"/>
          <w:sz w:val="24"/>
          <w:szCs w:val="24"/>
        </w:rPr>
        <w:t>Option 2 would see the expansion of mandatory registration to high</w:t>
      </w:r>
      <w:r w:rsidR="300410F8" w:rsidRPr="7F72696E">
        <w:rPr>
          <w:rFonts w:ascii="Arial" w:hAnsi="Arial" w:cs="Arial"/>
          <w:sz w:val="24"/>
          <w:szCs w:val="24"/>
        </w:rPr>
        <w:t>est</w:t>
      </w:r>
      <w:r w:rsidRPr="7F72696E">
        <w:rPr>
          <w:rFonts w:ascii="Arial" w:hAnsi="Arial" w:cs="Arial"/>
          <w:sz w:val="24"/>
          <w:szCs w:val="24"/>
        </w:rPr>
        <w:t xml:space="preserve"> risk supports</w:t>
      </w:r>
      <w:r w:rsidR="008E5736" w:rsidRPr="7F72696E">
        <w:rPr>
          <w:rFonts w:ascii="Arial" w:hAnsi="Arial" w:cs="Arial"/>
          <w:sz w:val="24"/>
          <w:szCs w:val="24"/>
        </w:rPr>
        <w:t xml:space="preserve"> only</w:t>
      </w:r>
      <w:r w:rsidR="00463C89" w:rsidRPr="7F72696E">
        <w:rPr>
          <w:rFonts w:ascii="Arial" w:hAnsi="Arial" w:cs="Arial"/>
          <w:sz w:val="24"/>
          <w:szCs w:val="24"/>
        </w:rPr>
        <w:t>.</w:t>
      </w:r>
      <w:r w:rsidR="0003549D" w:rsidRPr="7F72696E">
        <w:rPr>
          <w:rFonts w:ascii="Arial" w:hAnsi="Arial" w:cs="Arial"/>
          <w:sz w:val="24"/>
          <w:szCs w:val="24"/>
        </w:rPr>
        <w:t xml:space="preserve"> This builds on the MYEFO 25-26</w:t>
      </w:r>
      <w:r w:rsidR="007D1A17" w:rsidRPr="7F72696E">
        <w:rPr>
          <w:rFonts w:ascii="Arial" w:hAnsi="Arial" w:cs="Arial"/>
          <w:sz w:val="24"/>
          <w:szCs w:val="24"/>
        </w:rPr>
        <w:t xml:space="preserve"> decision of government to require mandatory registration of supported independent living and digital platform providers commencing 1 July 2026.</w:t>
      </w:r>
      <w:r w:rsidR="00463C89" w:rsidRPr="7F72696E">
        <w:rPr>
          <w:rFonts w:ascii="Arial" w:hAnsi="Arial" w:cs="Arial"/>
          <w:sz w:val="24"/>
          <w:szCs w:val="24"/>
        </w:rPr>
        <w:t xml:space="preserve"> This would focus</w:t>
      </w:r>
      <w:r w:rsidR="009D0060" w:rsidRPr="7F72696E">
        <w:rPr>
          <w:rFonts w:ascii="Arial" w:hAnsi="Arial" w:cs="Arial"/>
          <w:sz w:val="24"/>
          <w:szCs w:val="24"/>
        </w:rPr>
        <w:t xml:space="preserve"> regulatory effort</w:t>
      </w:r>
      <w:r w:rsidR="00463C89" w:rsidRPr="7F72696E">
        <w:rPr>
          <w:rFonts w:ascii="Arial" w:hAnsi="Arial" w:cs="Arial"/>
          <w:sz w:val="24"/>
          <w:szCs w:val="24"/>
        </w:rPr>
        <w:t xml:space="preserve"> on those providers in the highest risk categories. Existing registered providers would expand their registration for these categories at their next review cycle. </w:t>
      </w:r>
    </w:p>
    <w:p w14:paraId="440C6C7B" w14:textId="4117E414" w:rsidR="004E4057" w:rsidRPr="004E4057" w:rsidRDefault="004E4057" w:rsidP="004E4057">
      <w:pPr>
        <w:rPr>
          <w:rFonts w:ascii="Arial" w:hAnsi="Arial" w:cs="Arial"/>
          <w:sz w:val="24"/>
          <w:szCs w:val="24"/>
        </w:rPr>
      </w:pPr>
      <w:r w:rsidRPr="6D98FBE5">
        <w:rPr>
          <w:rFonts w:ascii="Arial" w:hAnsi="Arial" w:cs="Arial"/>
          <w:sz w:val="24"/>
          <w:szCs w:val="24"/>
        </w:rPr>
        <w:t xml:space="preserve">This would </w:t>
      </w:r>
      <w:r w:rsidR="00897908" w:rsidRPr="6D98FBE5">
        <w:rPr>
          <w:rFonts w:ascii="Arial" w:hAnsi="Arial" w:cs="Arial"/>
          <w:sz w:val="24"/>
          <w:szCs w:val="24"/>
        </w:rPr>
        <w:t xml:space="preserve">continue the NDIS Commission’s current regulatory </w:t>
      </w:r>
      <w:r w:rsidRPr="6D98FBE5">
        <w:rPr>
          <w:rFonts w:ascii="Arial" w:hAnsi="Arial" w:cs="Arial"/>
          <w:sz w:val="24"/>
          <w:szCs w:val="24"/>
        </w:rPr>
        <w:t>transition of the highest risk categories of support to mandatory registration</w:t>
      </w:r>
      <w:r w:rsidR="00897908" w:rsidRPr="6D98FBE5">
        <w:rPr>
          <w:rFonts w:ascii="Arial" w:hAnsi="Arial" w:cs="Arial"/>
          <w:sz w:val="24"/>
          <w:szCs w:val="24"/>
        </w:rPr>
        <w:t xml:space="preserve">, </w:t>
      </w:r>
      <w:r w:rsidRPr="6D98FBE5">
        <w:rPr>
          <w:rFonts w:ascii="Arial" w:hAnsi="Arial" w:cs="Arial"/>
          <w:sz w:val="24"/>
          <w:szCs w:val="24"/>
        </w:rPr>
        <w:t xml:space="preserve">where providers are not only assessed at the point of entry their ongoing adherence to practice standards, worker screening and participant safety requirements are enforced through mandatory reporting and ongoing engagement with the Commission. This ongoing visibility and enforcement through the Commission will enable early detection of risk of harm for participants and </w:t>
      </w:r>
      <w:r w:rsidR="000019C1" w:rsidRPr="6D98FBE5">
        <w:rPr>
          <w:rFonts w:ascii="Arial" w:hAnsi="Arial" w:cs="Arial"/>
          <w:sz w:val="24"/>
          <w:szCs w:val="24"/>
        </w:rPr>
        <w:t xml:space="preserve">would provide a mechanism to prevent poor quality operators from providing </w:t>
      </w:r>
      <w:r w:rsidR="00544205" w:rsidRPr="6D98FBE5">
        <w:rPr>
          <w:rFonts w:ascii="Arial" w:hAnsi="Arial" w:cs="Arial"/>
          <w:sz w:val="24"/>
          <w:szCs w:val="24"/>
        </w:rPr>
        <w:t xml:space="preserve">services to NDIS participants. </w:t>
      </w:r>
      <w:r w:rsidRPr="6D98FBE5">
        <w:rPr>
          <w:rFonts w:ascii="Arial" w:hAnsi="Arial" w:cs="Arial"/>
          <w:sz w:val="24"/>
          <w:szCs w:val="24"/>
        </w:rPr>
        <w:t xml:space="preserve">  </w:t>
      </w:r>
    </w:p>
    <w:p w14:paraId="53BD90F9" w14:textId="4DEDBA86" w:rsidR="00463C89" w:rsidRPr="00463C89" w:rsidRDefault="004E4057" w:rsidP="004E4057">
      <w:pPr>
        <w:rPr>
          <w:rFonts w:ascii="Arial" w:hAnsi="Arial" w:cs="Arial"/>
          <w:sz w:val="24"/>
          <w:szCs w:val="24"/>
        </w:rPr>
      </w:pPr>
      <w:r w:rsidRPr="004E4057">
        <w:rPr>
          <w:rFonts w:ascii="Arial" w:hAnsi="Arial" w:cs="Arial"/>
          <w:sz w:val="24"/>
          <w:szCs w:val="24"/>
        </w:rPr>
        <w:t>Under this option, the</w:t>
      </w:r>
      <w:r w:rsidR="00544205">
        <w:rPr>
          <w:rFonts w:ascii="Arial" w:hAnsi="Arial" w:cs="Arial"/>
          <w:sz w:val="24"/>
          <w:szCs w:val="24"/>
        </w:rPr>
        <w:t xml:space="preserve"> NDIS </w:t>
      </w:r>
      <w:r w:rsidRPr="004E4057">
        <w:rPr>
          <w:rFonts w:ascii="Arial" w:hAnsi="Arial" w:cs="Arial"/>
          <w:sz w:val="24"/>
          <w:szCs w:val="24"/>
        </w:rPr>
        <w:t>Commission w</w:t>
      </w:r>
      <w:r w:rsidR="00544205">
        <w:rPr>
          <w:rFonts w:ascii="Arial" w:hAnsi="Arial" w:cs="Arial"/>
          <w:sz w:val="24"/>
          <w:szCs w:val="24"/>
        </w:rPr>
        <w:t xml:space="preserve">ould </w:t>
      </w:r>
      <w:r w:rsidRPr="004E4057">
        <w:rPr>
          <w:rFonts w:ascii="Arial" w:hAnsi="Arial" w:cs="Arial"/>
          <w:sz w:val="24"/>
          <w:szCs w:val="24"/>
        </w:rPr>
        <w:t xml:space="preserve">apply a risk-based approach to enforcement action, using advanced risk analytics to detect </w:t>
      </w:r>
      <w:r w:rsidR="00544205">
        <w:rPr>
          <w:rFonts w:ascii="Arial" w:hAnsi="Arial" w:cs="Arial"/>
          <w:sz w:val="24"/>
          <w:szCs w:val="24"/>
        </w:rPr>
        <w:t xml:space="preserve">poor provider behaviour and </w:t>
      </w:r>
      <w:r w:rsidR="003C7F99">
        <w:rPr>
          <w:rFonts w:ascii="Arial" w:hAnsi="Arial" w:cs="Arial"/>
          <w:sz w:val="24"/>
          <w:szCs w:val="24"/>
        </w:rPr>
        <w:t xml:space="preserve">targeting regulation at the </w:t>
      </w:r>
      <w:r w:rsidRPr="004E4057">
        <w:rPr>
          <w:rFonts w:ascii="Arial" w:hAnsi="Arial" w:cs="Arial"/>
          <w:sz w:val="24"/>
          <w:szCs w:val="24"/>
        </w:rPr>
        <w:t>highest risk providers</w:t>
      </w:r>
      <w:r w:rsidR="003C7F99">
        <w:rPr>
          <w:rFonts w:ascii="Arial" w:hAnsi="Arial" w:cs="Arial"/>
          <w:sz w:val="24"/>
          <w:szCs w:val="24"/>
        </w:rPr>
        <w:t xml:space="preserve"> in</w:t>
      </w:r>
      <w:r w:rsidRPr="004E4057">
        <w:rPr>
          <w:rFonts w:ascii="Arial" w:hAnsi="Arial" w:cs="Arial"/>
          <w:sz w:val="24"/>
          <w:szCs w:val="24"/>
        </w:rPr>
        <w:t xml:space="preserve"> the market</w:t>
      </w:r>
      <w:r w:rsidR="007E3626">
        <w:rPr>
          <w:rFonts w:ascii="Arial" w:hAnsi="Arial" w:cs="Arial"/>
          <w:sz w:val="24"/>
          <w:szCs w:val="24"/>
        </w:rPr>
        <w:t xml:space="preserve">. A </w:t>
      </w:r>
      <w:r w:rsidR="00463C89" w:rsidRPr="00463C89">
        <w:rPr>
          <w:rFonts w:ascii="Arial" w:hAnsi="Arial" w:cs="Arial"/>
          <w:sz w:val="24"/>
          <w:szCs w:val="24"/>
        </w:rPr>
        <w:t>cost recovery process for registration app</w:t>
      </w:r>
      <w:r w:rsidR="007E3626">
        <w:rPr>
          <w:rFonts w:ascii="Arial" w:hAnsi="Arial" w:cs="Arial"/>
          <w:sz w:val="24"/>
          <w:szCs w:val="24"/>
        </w:rPr>
        <w:t xml:space="preserve">lications applies </w:t>
      </w:r>
      <w:r w:rsidR="00463C89" w:rsidRPr="00463C89">
        <w:rPr>
          <w:rFonts w:ascii="Arial" w:hAnsi="Arial" w:cs="Arial"/>
          <w:sz w:val="24"/>
          <w:szCs w:val="24"/>
        </w:rPr>
        <w:t xml:space="preserve">to this option. </w:t>
      </w:r>
    </w:p>
    <w:p w14:paraId="28B54808" w14:textId="29B011BE" w:rsidR="004C5C0D" w:rsidRPr="00952A9F" w:rsidRDefault="004C5C0D" w:rsidP="1153542A">
      <w:pPr>
        <w:pStyle w:val="Heading2"/>
        <w:rPr>
          <w:rFonts w:ascii="Arial" w:hAnsi="Arial" w:cs="Arial"/>
          <w:color w:val="358189"/>
        </w:rPr>
      </w:pPr>
      <w:r w:rsidRPr="1153542A">
        <w:rPr>
          <w:rFonts w:ascii="Arial" w:hAnsi="Arial" w:cs="Arial"/>
          <w:color w:val="358189"/>
        </w:rPr>
        <w:t>3.</w:t>
      </w:r>
      <w:r w:rsidR="0019177D" w:rsidRPr="1153542A">
        <w:rPr>
          <w:rFonts w:ascii="Arial" w:hAnsi="Arial" w:cs="Arial"/>
          <w:color w:val="358189"/>
        </w:rPr>
        <w:t>3</w:t>
      </w:r>
      <w:r w:rsidRPr="1153542A">
        <w:rPr>
          <w:rFonts w:ascii="Arial" w:hAnsi="Arial" w:cs="Arial"/>
          <w:color w:val="358189"/>
        </w:rPr>
        <w:t xml:space="preserve"> Option </w:t>
      </w:r>
      <w:r w:rsidR="0019177D" w:rsidRPr="1153542A">
        <w:rPr>
          <w:rFonts w:ascii="Arial" w:hAnsi="Arial" w:cs="Arial"/>
          <w:color w:val="358189"/>
        </w:rPr>
        <w:t>3</w:t>
      </w:r>
      <w:r w:rsidRPr="1153542A">
        <w:rPr>
          <w:rFonts w:ascii="Arial" w:hAnsi="Arial" w:cs="Arial"/>
          <w:color w:val="358189"/>
        </w:rPr>
        <w:t>: Status Quo</w:t>
      </w:r>
    </w:p>
    <w:p w14:paraId="4D991A85" w14:textId="77777777" w:rsidR="004C5C0D" w:rsidRPr="005A6FFF" w:rsidRDefault="004C5C0D" w:rsidP="004C5C0D">
      <w:pPr>
        <w:rPr>
          <w:rFonts w:ascii="Arial" w:hAnsi="Arial" w:cs="Arial"/>
          <w:sz w:val="24"/>
          <w:szCs w:val="24"/>
        </w:rPr>
      </w:pPr>
      <w:r w:rsidRPr="010EB5DD">
        <w:rPr>
          <w:rFonts w:ascii="Arial" w:hAnsi="Arial" w:cs="Arial"/>
          <w:sz w:val="24"/>
          <w:szCs w:val="24"/>
        </w:rPr>
        <w:t xml:space="preserve">While the NDIS Commission has the regulatory power to intervene when the rights of a participants are not upheld, </w:t>
      </w:r>
      <w:r>
        <w:rPr>
          <w:rFonts w:ascii="Arial" w:hAnsi="Arial" w:cs="Arial"/>
          <w:sz w:val="24"/>
          <w:szCs w:val="24"/>
        </w:rPr>
        <w:t xml:space="preserve">it </w:t>
      </w:r>
      <w:r w:rsidRPr="010EB5DD">
        <w:rPr>
          <w:rFonts w:ascii="Arial" w:hAnsi="Arial" w:cs="Arial"/>
          <w:sz w:val="24"/>
          <w:szCs w:val="24"/>
        </w:rPr>
        <w:t>cannot effectively monitor unregistered providers who are subject to the NDIS Code of Conduct (CoC) or proactively intervene to prevent harm</w:t>
      </w:r>
      <w:r>
        <w:rPr>
          <w:rFonts w:ascii="Arial" w:hAnsi="Arial" w:cs="Arial"/>
          <w:sz w:val="24"/>
          <w:szCs w:val="24"/>
        </w:rPr>
        <w:t xml:space="preserve">. </w:t>
      </w:r>
    </w:p>
    <w:p w14:paraId="059B4254" w14:textId="4B445880" w:rsidR="004C5C0D" w:rsidRDefault="004C5C0D" w:rsidP="004C5C0D">
      <w:pPr>
        <w:rPr>
          <w:rFonts w:ascii="Arial" w:hAnsi="Arial" w:cs="Arial"/>
          <w:sz w:val="24"/>
          <w:szCs w:val="24"/>
        </w:rPr>
      </w:pPr>
      <w:r w:rsidRPr="010EB5DD">
        <w:rPr>
          <w:rFonts w:ascii="Arial" w:hAnsi="Arial" w:cs="Arial"/>
          <w:sz w:val="24"/>
          <w:szCs w:val="24"/>
        </w:rPr>
        <w:t xml:space="preserve">Under current arrangements, not all NDIS providers, as currently defined in the NDIS Act, are required to be registered. </w:t>
      </w:r>
      <w:r>
        <w:rPr>
          <w:rFonts w:ascii="Arial" w:hAnsi="Arial" w:cs="Arial"/>
          <w:sz w:val="24"/>
          <w:szCs w:val="24"/>
        </w:rPr>
        <w:t>Some categories of high</w:t>
      </w:r>
      <w:r w:rsidR="005734B2">
        <w:rPr>
          <w:rFonts w:ascii="Arial" w:hAnsi="Arial" w:cs="Arial"/>
          <w:sz w:val="24"/>
          <w:szCs w:val="24"/>
        </w:rPr>
        <w:t>-</w:t>
      </w:r>
      <w:r>
        <w:rPr>
          <w:rFonts w:ascii="Arial" w:hAnsi="Arial" w:cs="Arial"/>
          <w:sz w:val="24"/>
          <w:szCs w:val="24"/>
        </w:rPr>
        <w:t xml:space="preserve">risk support including </w:t>
      </w:r>
      <w:r w:rsidRPr="010EB5DD">
        <w:rPr>
          <w:rFonts w:ascii="Arial" w:hAnsi="Arial" w:cs="Arial"/>
          <w:sz w:val="24"/>
          <w:szCs w:val="24"/>
        </w:rPr>
        <w:t>Specialist Disability Accommodation (SDA), Specialist Behaviour Support Services</w:t>
      </w:r>
      <w:r>
        <w:rPr>
          <w:rFonts w:ascii="Arial" w:hAnsi="Arial" w:cs="Arial"/>
          <w:sz w:val="24"/>
          <w:szCs w:val="24"/>
        </w:rPr>
        <w:t xml:space="preserve"> and </w:t>
      </w:r>
      <w:r w:rsidRPr="010EB5DD">
        <w:rPr>
          <w:rFonts w:ascii="Arial" w:hAnsi="Arial" w:cs="Arial"/>
          <w:sz w:val="24"/>
          <w:szCs w:val="24"/>
        </w:rPr>
        <w:t>supports where there is a likely need to use a regulated restrictive practice</w:t>
      </w:r>
      <w:r>
        <w:rPr>
          <w:rFonts w:ascii="Arial" w:hAnsi="Arial" w:cs="Arial"/>
          <w:sz w:val="24"/>
          <w:szCs w:val="24"/>
        </w:rPr>
        <w:t xml:space="preserve">. NDIS participants who have their plan budget managed by the NDIA (Agency Managed) must also only use registered NDIS providers. </w:t>
      </w:r>
    </w:p>
    <w:p w14:paraId="304C341C" w14:textId="77777777" w:rsidR="004C5C0D" w:rsidRPr="005A6FFF" w:rsidRDefault="004C5C0D" w:rsidP="004C5C0D">
      <w:pPr>
        <w:rPr>
          <w:rFonts w:ascii="Arial" w:hAnsi="Arial" w:cs="Arial"/>
          <w:sz w:val="24"/>
          <w:szCs w:val="24"/>
        </w:rPr>
      </w:pPr>
      <w:r w:rsidRPr="010EB5DD">
        <w:rPr>
          <w:rFonts w:ascii="Arial" w:hAnsi="Arial" w:cs="Arial"/>
          <w:sz w:val="24"/>
          <w:szCs w:val="24"/>
        </w:rPr>
        <w:t>In December 2025, Senator the Hon Jenny McAllister, Minister for the NDIS announced that mandatory registration for disability service providers in Supported Independent Living (SIL), as well as Digital Platform Providers, will commence from July 2026.</w:t>
      </w:r>
      <w:r>
        <w:rPr>
          <w:rFonts w:ascii="Arial" w:hAnsi="Arial" w:cs="Arial"/>
          <w:sz w:val="24"/>
          <w:szCs w:val="24"/>
        </w:rPr>
        <w:t xml:space="preserve"> The NDIS Commission is currently working to implement these requirements for providers of these supports. </w:t>
      </w:r>
    </w:p>
    <w:p w14:paraId="7677D45C" w14:textId="71E30E3E" w:rsidR="004C5C0D" w:rsidRPr="005A6FFF" w:rsidRDefault="004C5C0D" w:rsidP="004C5C0D">
      <w:pPr>
        <w:rPr>
          <w:rFonts w:ascii="Arial" w:eastAsia="Segoe UI Symbol" w:hAnsi="Arial" w:cs="Arial"/>
          <w:sz w:val="24"/>
          <w:szCs w:val="24"/>
        </w:rPr>
      </w:pPr>
      <w:r w:rsidRPr="6D98FBE5">
        <w:rPr>
          <w:rFonts w:ascii="Arial" w:hAnsi="Arial" w:cs="Arial"/>
          <w:sz w:val="24"/>
          <w:szCs w:val="24"/>
        </w:rPr>
        <w:lastRenderedPageBreak/>
        <w:t>For all other NDIS providers, registration is not mandatory. NDIS participants have no assurance that the</w:t>
      </w:r>
      <w:r w:rsidR="006E430D" w:rsidRPr="6D98FBE5">
        <w:rPr>
          <w:rFonts w:ascii="Arial" w:hAnsi="Arial" w:cs="Arial"/>
          <w:sz w:val="24"/>
          <w:szCs w:val="24"/>
        </w:rPr>
        <w:t>ir</w:t>
      </w:r>
      <w:r w:rsidRPr="6D98FBE5">
        <w:rPr>
          <w:rFonts w:ascii="Arial" w:hAnsi="Arial" w:cs="Arial"/>
          <w:sz w:val="24"/>
          <w:szCs w:val="24"/>
        </w:rPr>
        <w:t xml:space="preserve"> services will be delivered with appropriate safeguards. If problems occur, there is limited ability for the NDIS Commission to intervene to prevent these providers from offering their services to other participants. The largest concern, as emphasised throughout the DRC, the NDIS Review and the Taskforce Advice is that there is a higher risk that participants' human rights are violated when the government has no oversight of the market than when the government </w:t>
      </w:r>
      <w:r w:rsidR="00CE36B3" w:rsidRPr="6D98FBE5">
        <w:rPr>
          <w:rFonts w:ascii="Arial" w:hAnsi="Arial" w:cs="Arial"/>
          <w:b/>
          <w:bCs/>
          <w:sz w:val="24"/>
          <w:szCs w:val="24"/>
        </w:rPr>
        <w:t>does</w:t>
      </w:r>
      <w:r w:rsidRPr="6D98FBE5">
        <w:rPr>
          <w:rFonts w:ascii="Arial" w:eastAsia="Arial" w:hAnsi="Arial" w:cs="Arial"/>
          <w:color w:val="000000"/>
          <w:sz w:val="24"/>
          <w:szCs w:val="24"/>
        </w:rPr>
        <w:t>.</w:t>
      </w:r>
    </w:p>
    <w:p w14:paraId="1982C023" w14:textId="166CD515" w:rsidR="007D0DAD" w:rsidRDefault="004C5C0D" w:rsidP="004C5C0D">
      <w:pPr>
        <w:spacing w:before="120" w:after="120"/>
        <w:rPr>
          <w:rFonts w:ascii="Arial" w:hAnsi="Arial" w:cs="Arial"/>
          <w:sz w:val="24"/>
          <w:szCs w:val="24"/>
        </w:rPr>
      </w:pPr>
      <w:r>
        <w:rPr>
          <w:rFonts w:ascii="Arial" w:hAnsi="Arial" w:cs="Arial"/>
          <w:sz w:val="24"/>
          <w:szCs w:val="24"/>
        </w:rPr>
        <w:t xml:space="preserve">As outlined above, while there are over 260,000 </w:t>
      </w:r>
      <w:r w:rsidDel="008A29AD">
        <w:rPr>
          <w:rFonts w:ascii="Arial" w:hAnsi="Arial" w:cs="Arial"/>
          <w:sz w:val="24"/>
          <w:szCs w:val="24"/>
        </w:rPr>
        <w:t>NDIS providers, it is unrealistic</w:t>
      </w:r>
      <w:r w:rsidR="00CB4520" w:rsidRPr="6D98FBE5">
        <w:rPr>
          <w:rFonts w:ascii="Arial" w:hAnsi="Arial" w:cs="Arial"/>
          <w:sz w:val="24"/>
          <w:szCs w:val="24"/>
        </w:rPr>
        <w:t xml:space="preserve"> and burdensome</w:t>
      </w:r>
      <w:r w:rsidRPr="6D98FBE5">
        <w:rPr>
          <w:rFonts w:ascii="Arial" w:hAnsi="Arial" w:cs="Arial"/>
          <w:sz w:val="24"/>
          <w:szCs w:val="24"/>
        </w:rPr>
        <w:t xml:space="preserve"> to expect all providers (as currently defined) to register. Such an expectation itself would </w:t>
      </w:r>
      <w:r w:rsidR="00CB4520" w:rsidRPr="6D98FBE5">
        <w:rPr>
          <w:rFonts w:ascii="Arial" w:hAnsi="Arial" w:cs="Arial"/>
          <w:sz w:val="24"/>
          <w:szCs w:val="24"/>
        </w:rPr>
        <w:t>arguably</w:t>
      </w:r>
      <w:r w:rsidR="00C75F39" w:rsidRPr="6D98FBE5">
        <w:rPr>
          <w:rFonts w:ascii="Arial" w:hAnsi="Arial" w:cs="Arial"/>
          <w:sz w:val="24"/>
          <w:szCs w:val="24"/>
        </w:rPr>
        <w:t xml:space="preserve"> </w:t>
      </w:r>
      <w:r w:rsidRPr="6D98FBE5">
        <w:rPr>
          <w:rFonts w:ascii="Arial" w:hAnsi="Arial" w:cs="Arial"/>
          <w:sz w:val="24"/>
          <w:szCs w:val="24"/>
        </w:rPr>
        <w:t xml:space="preserve">be counter to the objective of the </w:t>
      </w:r>
      <w:r w:rsidR="00961273" w:rsidRPr="6D98FBE5">
        <w:rPr>
          <w:rFonts w:ascii="Arial" w:hAnsi="Arial" w:cs="Arial"/>
          <w:sz w:val="24"/>
          <w:szCs w:val="24"/>
        </w:rPr>
        <w:t>S</w:t>
      </w:r>
      <w:r w:rsidRPr="6D98FBE5">
        <w:rPr>
          <w:rFonts w:ascii="Arial" w:hAnsi="Arial" w:cs="Arial"/>
          <w:sz w:val="24"/>
          <w:szCs w:val="24"/>
        </w:rPr>
        <w:t>cheme, as it would unreasonably constrain NDIS participants from choosing to spend their budgets on supports which suit them. Under the current definition</w:t>
      </w:r>
      <w:r w:rsidRPr="6D98FBE5">
        <w:rPr>
          <w:rStyle w:val="FootnoteReference"/>
          <w:rFonts w:ascii="Arial" w:hAnsi="Arial" w:cs="Arial"/>
          <w:sz w:val="24"/>
          <w:szCs w:val="24"/>
        </w:rPr>
        <w:footnoteReference w:id="3"/>
      </w:r>
      <w:r w:rsidRPr="6D98FBE5">
        <w:rPr>
          <w:rFonts w:ascii="Arial" w:hAnsi="Arial" w:cs="Arial"/>
          <w:sz w:val="24"/>
          <w:szCs w:val="24"/>
        </w:rPr>
        <w:t xml:space="preserve">, mainstream organisations such as Bunnings, JB Hi-Fi, local tradespeople, supermarkets and multiple franchisees are automatically considered providers if a participant uses their plan funding to purchase assistive equipment or one-off home modification services. </w:t>
      </w:r>
      <w:proofErr w:type="gramStart"/>
      <w:r w:rsidR="00101A3D" w:rsidRPr="6D98FBE5">
        <w:rPr>
          <w:rFonts w:ascii="Arial" w:hAnsi="Arial" w:cs="Arial"/>
          <w:sz w:val="24"/>
          <w:szCs w:val="24"/>
        </w:rPr>
        <w:t>Therefore</w:t>
      </w:r>
      <w:proofErr w:type="gramEnd"/>
      <w:r w:rsidR="00101A3D" w:rsidRPr="6D98FBE5">
        <w:rPr>
          <w:rFonts w:ascii="Arial" w:hAnsi="Arial" w:cs="Arial"/>
          <w:sz w:val="24"/>
          <w:szCs w:val="24"/>
        </w:rPr>
        <w:t xml:space="preserve"> </w:t>
      </w:r>
      <w:r w:rsidRPr="6D98FBE5">
        <w:rPr>
          <w:rFonts w:ascii="Arial" w:hAnsi="Arial" w:cs="Arial"/>
          <w:sz w:val="24"/>
          <w:szCs w:val="24"/>
        </w:rPr>
        <w:t xml:space="preserve">these businesses are by default subject to the CoC regardless of the service they provide and whether they are aware of this obligation or not. </w:t>
      </w:r>
    </w:p>
    <w:p w14:paraId="6E1AC47B" w14:textId="5A44B93A" w:rsidR="004C5C0D" w:rsidRPr="005A6FFF" w:rsidRDefault="004C5C0D" w:rsidP="004C5C0D">
      <w:pPr>
        <w:spacing w:before="120" w:after="120"/>
        <w:rPr>
          <w:rFonts w:ascii="Arial" w:eastAsia="Segoe UI Symbol" w:hAnsi="Arial" w:cs="Arial"/>
          <w:sz w:val="24"/>
          <w:szCs w:val="24"/>
        </w:rPr>
      </w:pPr>
      <w:r w:rsidRPr="005A6FFF">
        <w:rPr>
          <w:rFonts w:ascii="Arial" w:eastAsia="Segoe UI Symbol" w:hAnsi="Arial" w:cs="Arial"/>
          <w:sz w:val="24"/>
          <w:szCs w:val="24"/>
        </w:rPr>
        <w:t>There is little evidence that defining these organisations as NDIS providers, let alone requiring these providers to register</w:t>
      </w:r>
      <w:r>
        <w:rPr>
          <w:rFonts w:ascii="Arial" w:eastAsia="Segoe UI Symbol" w:hAnsi="Arial" w:cs="Arial"/>
          <w:sz w:val="24"/>
          <w:szCs w:val="24"/>
        </w:rPr>
        <w:t>,</w:t>
      </w:r>
      <w:r w:rsidRPr="005A6FFF">
        <w:rPr>
          <w:rFonts w:ascii="Arial" w:eastAsia="Segoe UI Symbol" w:hAnsi="Arial" w:cs="Arial"/>
          <w:sz w:val="24"/>
          <w:szCs w:val="24"/>
        </w:rPr>
        <w:t xml:space="preserve"> would improve support standards. This is because these are often one-off supports, or off the shelf assistive technology which are covered by other regulatory frameworks</w:t>
      </w:r>
      <w:r>
        <w:rPr>
          <w:rFonts w:ascii="Arial" w:eastAsia="Segoe UI Symbol" w:hAnsi="Arial" w:cs="Arial"/>
          <w:sz w:val="24"/>
          <w:szCs w:val="24"/>
        </w:rPr>
        <w:t xml:space="preserve"> and regulators</w:t>
      </w:r>
      <w:r w:rsidRPr="005A6FFF">
        <w:rPr>
          <w:rFonts w:ascii="Arial" w:eastAsia="Segoe UI Symbol" w:hAnsi="Arial" w:cs="Arial"/>
          <w:sz w:val="24"/>
          <w:szCs w:val="24"/>
        </w:rPr>
        <w:t>.</w:t>
      </w:r>
      <w:r>
        <w:rPr>
          <w:rFonts w:ascii="Arial" w:eastAsia="Segoe UI Symbol" w:hAnsi="Arial" w:cs="Arial"/>
          <w:sz w:val="24"/>
          <w:szCs w:val="24"/>
        </w:rPr>
        <w:t xml:space="preserve"> Including these retailers and mainstream supports in a definition could, on the other hand, provide an avenue for discrimination against NDIS participants out of fear of unknown regulatory burden (regardless of whether that fear is substantiated). </w:t>
      </w:r>
      <w:r w:rsidRPr="005A6FFF">
        <w:rPr>
          <w:rFonts w:ascii="Arial" w:eastAsia="Segoe UI Symbol" w:hAnsi="Arial" w:cs="Arial"/>
          <w:sz w:val="24"/>
          <w:szCs w:val="24"/>
        </w:rPr>
        <w:t xml:space="preserve">  </w:t>
      </w:r>
    </w:p>
    <w:p w14:paraId="36FC1301" w14:textId="711EBBEC" w:rsidR="0031408D" w:rsidRDefault="004C5C0D" w:rsidP="00EF5A81">
      <w:pPr>
        <w:rPr>
          <w:rFonts w:ascii="Arial" w:hAnsi="Arial" w:cs="Arial"/>
          <w:color w:val="000000"/>
          <w:sz w:val="24"/>
          <w:szCs w:val="24"/>
        </w:rPr>
      </w:pPr>
      <w:r w:rsidRPr="005A6FFF">
        <w:rPr>
          <w:rFonts w:ascii="Arial" w:hAnsi="Arial" w:cs="Arial"/>
          <w:sz w:val="24"/>
          <w:szCs w:val="24"/>
        </w:rPr>
        <w:t xml:space="preserve">The current registration process is costly and increases administrative burden. Specifically, the cost of audits, which are currently required to be </w:t>
      </w:r>
      <w:r>
        <w:rPr>
          <w:rFonts w:ascii="Arial" w:hAnsi="Arial" w:cs="Arial"/>
          <w:sz w:val="24"/>
          <w:szCs w:val="24"/>
        </w:rPr>
        <w:t xml:space="preserve">undertaken </w:t>
      </w:r>
      <w:r w:rsidRPr="005A6FFF">
        <w:rPr>
          <w:rFonts w:ascii="Arial" w:hAnsi="Arial" w:cs="Arial"/>
          <w:sz w:val="24"/>
          <w:szCs w:val="24"/>
        </w:rPr>
        <w:t>by</w:t>
      </w:r>
      <w:r>
        <w:rPr>
          <w:rFonts w:ascii="Arial" w:hAnsi="Arial" w:cs="Arial"/>
          <w:sz w:val="24"/>
          <w:szCs w:val="24"/>
        </w:rPr>
        <w:t xml:space="preserve"> third party</w:t>
      </w:r>
      <w:r w:rsidRPr="005A6FFF">
        <w:rPr>
          <w:rFonts w:ascii="Arial" w:hAnsi="Arial" w:cs="Arial"/>
          <w:sz w:val="24"/>
          <w:szCs w:val="24"/>
        </w:rPr>
        <w:t xml:space="preserve"> Approved Quality Auditor</w:t>
      </w:r>
      <w:r>
        <w:rPr>
          <w:rFonts w:ascii="Arial" w:hAnsi="Arial" w:cs="Arial"/>
          <w:sz w:val="24"/>
          <w:szCs w:val="24"/>
        </w:rPr>
        <w:t>s</w:t>
      </w:r>
      <w:r w:rsidRPr="005A6FFF">
        <w:rPr>
          <w:rFonts w:ascii="Arial" w:hAnsi="Arial" w:cs="Arial"/>
          <w:sz w:val="24"/>
          <w:szCs w:val="24"/>
        </w:rPr>
        <w:t xml:space="preserve"> (AQA) </w:t>
      </w:r>
      <w:r>
        <w:rPr>
          <w:rFonts w:ascii="Arial" w:hAnsi="Arial" w:cs="Arial"/>
          <w:sz w:val="24"/>
          <w:szCs w:val="24"/>
        </w:rPr>
        <w:t xml:space="preserve">have been cited as a barrier by </w:t>
      </w:r>
      <w:r w:rsidRPr="005A6FFF">
        <w:rPr>
          <w:rFonts w:ascii="Arial" w:hAnsi="Arial" w:cs="Arial"/>
          <w:sz w:val="24"/>
          <w:szCs w:val="24"/>
        </w:rPr>
        <w:t>small</w:t>
      </w:r>
      <w:r>
        <w:rPr>
          <w:rFonts w:ascii="Arial" w:hAnsi="Arial" w:cs="Arial"/>
          <w:sz w:val="24"/>
          <w:szCs w:val="24"/>
        </w:rPr>
        <w:t>er</w:t>
      </w:r>
      <w:r w:rsidRPr="005A6FFF">
        <w:rPr>
          <w:rFonts w:ascii="Arial" w:hAnsi="Arial" w:cs="Arial"/>
          <w:sz w:val="24"/>
          <w:szCs w:val="24"/>
        </w:rPr>
        <w:t xml:space="preserve"> providers and sole traders from being able to register</w:t>
      </w:r>
      <w:r>
        <w:rPr>
          <w:rFonts w:ascii="Arial" w:hAnsi="Arial" w:cs="Arial"/>
          <w:sz w:val="24"/>
          <w:szCs w:val="24"/>
        </w:rPr>
        <w:t xml:space="preserve">. This has also been cited by regional providers, as </w:t>
      </w:r>
      <w:r w:rsidRPr="005A6FFF">
        <w:rPr>
          <w:rFonts w:ascii="Arial" w:hAnsi="Arial" w:cs="Arial"/>
          <w:sz w:val="24"/>
          <w:szCs w:val="24"/>
        </w:rPr>
        <w:t>AQA’s</w:t>
      </w:r>
      <w:r>
        <w:rPr>
          <w:rFonts w:ascii="Arial" w:hAnsi="Arial" w:cs="Arial"/>
          <w:sz w:val="24"/>
          <w:szCs w:val="24"/>
        </w:rPr>
        <w:t xml:space="preserve"> will often charge a higher rate for travel, if required. </w:t>
      </w:r>
      <w:r w:rsidRPr="005A6FFF">
        <w:rPr>
          <w:rFonts w:ascii="Arial" w:hAnsi="Arial" w:cs="Arial"/>
          <w:sz w:val="24"/>
          <w:szCs w:val="24"/>
        </w:rPr>
        <w:t xml:space="preserve"> </w:t>
      </w:r>
    </w:p>
    <w:p w14:paraId="563B7A46" w14:textId="0FB35274" w:rsidR="0039568F" w:rsidRPr="00952A9F" w:rsidRDefault="00F446FE" w:rsidP="7CF0731F">
      <w:pPr>
        <w:spacing w:before="60" w:after="60" w:line="240" w:lineRule="auto"/>
        <w:rPr>
          <w:rFonts w:ascii="Arial" w:hAnsi="Arial" w:cs="Arial"/>
          <w:color w:val="000000"/>
        </w:rPr>
      </w:pPr>
      <w:r w:rsidRPr="6D98FBE5">
        <w:rPr>
          <w:rFonts w:ascii="Arial" w:hAnsi="Arial" w:cs="Arial"/>
          <w:color w:val="000000"/>
          <w:sz w:val="24"/>
          <w:szCs w:val="24"/>
        </w:rPr>
        <w:t>Preservation of the status quo</w:t>
      </w:r>
      <w:r w:rsidR="0031408D" w:rsidRPr="6D98FBE5">
        <w:rPr>
          <w:rFonts w:ascii="Arial" w:hAnsi="Arial" w:cs="Arial"/>
          <w:color w:val="000000"/>
          <w:sz w:val="24"/>
          <w:szCs w:val="24"/>
        </w:rPr>
        <w:t xml:space="preserve"> is not consistent with DRC, NDIS Review, Taskforce or Productivity Commission reviews. Additional reform</w:t>
      </w:r>
      <w:r w:rsidR="009F12D1" w:rsidRPr="6D98FBE5">
        <w:rPr>
          <w:rFonts w:ascii="Arial" w:hAnsi="Arial" w:cs="Arial"/>
          <w:color w:val="000000"/>
          <w:sz w:val="24"/>
          <w:szCs w:val="24"/>
        </w:rPr>
        <w:t>s</w:t>
      </w:r>
      <w:r w:rsidR="0031408D" w:rsidRPr="6D98FBE5">
        <w:rPr>
          <w:rFonts w:ascii="Arial" w:hAnsi="Arial" w:cs="Arial"/>
          <w:color w:val="000000"/>
          <w:sz w:val="24"/>
          <w:szCs w:val="24"/>
        </w:rPr>
        <w:t xml:space="preserve"> </w:t>
      </w:r>
      <w:r w:rsidR="009F12D1" w:rsidRPr="6D98FBE5">
        <w:rPr>
          <w:rFonts w:ascii="Arial" w:hAnsi="Arial" w:cs="Arial"/>
          <w:color w:val="000000"/>
          <w:sz w:val="24"/>
          <w:szCs w:val="24"/>
        </w:rPr>
        <w:t>are</w:t>
      </w:r>
      <w:r w:rsidR="0031408D" w:rsidRPr="6D98FBE5">
        <w:rPr>
          <w:rFonts w:ascii="Arial" w:hAnsi="Arial" w:cs="Arial"/>
          <w:color w:val="000000"/>
          <w:sz w:val="24"/>
          <w:szCs w:val="24"/>
        </w:rPr>
        <w:t xml:space="preserve"> required to achieve quality and safety uplift across the sector and demonstrate the government’s commitment to harmonisation across the broader care and support economy. </w:t>
      </w:r>
      <w:r w:rsidR="0031408D" w:rsidRPr="6D98FBE5">
        <w:rPr>
          <w:rFonts w:ascii="Arial" w:eastAsia="Arial" w:hAnsi="Arial" w:cs="Arial"/>
          <w:color w:val="000000"/>
        </w:rPr>
        <w:br w:type="page"/>
      </w:r>
    </w:p>
    <w:p w14:paraId="2B152EE1" w14:textId="1D07DC93" w:rsidR="00405232" w:rsidRPr="00952A9F" w:rsidRDefault="782E5EFF" w:rsidP="1153542A">
      <w:pPr>
        <w:pStyle w:val="Heading1"/>
        <w:numPr>
          <w:ilvl w:val="0"/>
          <w:numId w:val="10"/>
        </w:numPr>
        <w:spacing w:before="0" w:after="0"/>
        <w:rPr>
          <w:color w:val="3F4A75"/>
          <w:szCs w:val="48"/>
        </w:rPr>
      </w:pPr>
      <w:r w:rsidRPr="1153542A">
        <w:rPr>
          <w:color w:val="3F4A75"/>
          <w:szCs w:val="48"/>
        </w:rPr>
        <w:lastRenderedPageBreak/>
        <w:t>What is the likely net benefit of each option?</w:t>
      </w:r>
    </w:p>
    <w:p w14:paraId="363459D9" w14:textId="5BBE296B" w:rsidR="0056206A" w:rsidRPr="005A6FFF" w:rsidRDefault="0056206A" w:rsidP="00405232">
      <w:pPr>
        <w:rPr>
          <w:rFonts w:ascii="Arial" w:hAnsi="Arial" w:cs="Arial"/>
          <w:sz w:val="24"/>
          <w:szCs w:val="22"/>
        </w:rPr>
      </w:pPr>
      <w:r w:rsidRPr="005A6FFF">
        <w:rPr>
          <w:rFonts w:ascii="Arial" w:hAnsi="Arial" w:cs="Arial"/>
          <w:sz w:val="24"/>
          <w:szCs w:val="22"/>
        </w:rPr>
        <w:t xml:space="preserve">This impact analysis is based on findings </w:t>
      </w:r>
      <w:r w:rsidR="001009A2" w:rsidRPr="005A6FFF">
        <w:rPr>
          <w:rFonts w:ascii="Arial" w:hAnsi="Arial" w:cs="Arial"/>
          <w:sz w:val="24"/>
          <w:szCs w:val="22"/>
        </w:rPr>
        <w:t xml:space="preserve">as demonstrated in the NDIS Review, Taskforce Advice, Productivity </w:t>
      </w:r>
      <w:r w:rsidR="00F66924" w:rsidRPr="005A6FFF">
        <w:rPr>
          <w:rFonts w:ascii="Arial" w:hAnsi="Arial" w:cs="Arial"/>
          <w:sz w:val="24"/>
          <w:szCs w:val="22"/>
        </w:rPr>
        <w:t>Commission</w:t>
      </w:r>
      <w:r w:rsidR="001009A2" w:rsidRPr="005A6FFF">
        <w:rPr>
          <w:rFonts w:ascii="Arial" w:hAnsi="Arial" w:cs="Arial"/>
          <w:sz w:val="24"/>
          <w:szCs w:val="22"/>
        </w:rPr>
        <w:t xml:space="preserve"> report and recent department consultations. </w:t>
      </w:r>
    </w:p>
    <w:p w14:paraId="2E78BE00" w14:textId="5473AF38" w:rsidR="00211114" w:rsidRPr="005A6FFF" w:rsidRDefault="2FC882AC" w:rsidP="00405232">
      <w:pPr>
        <w:rPr>
          <w:rFonts w:ascii="Arial" w:hAnsi="Arial" w:cs="Arial"/>
          <w:sz w:val="24"/>
          <w:szCs w:val="24"/>
        </w:rPr>
      </w:pPr>
      <w:r w:rsidRPr="010EB5DD">
        <w:rPr>
          <w:rFonts w:ascii="Arial" w:hAnsi="Arial" w:cs="Arial"/>
          <w:sz w:val="24"/>
          <w:szCs w:val="24"/>
        </w:rPr>
        <w:t>A multi-criteria analysis (MCA) is used</w:t>
      </w:r>
      <w:r w:rsidR="7E34C912" w:rsidRPr="010EB5DD">
        <w:rPr>
          <w:rFonts w:ascii="Arial" w:hAnsi="Arial" w:cs="Arial"/>
          <w:sz w:val="24"/>
          <w:szCs w:val="24"/>
        </w:rPr>
        <w:t xml:space="preserve"> in </w:t>
      </w:r>
      <w:r w:rsidR="001C6BE7" w:rsidRPr="0027342A">
        <w:rPr>
          <w:rFonts w:ascii="Arial" w:hAnsi="Arial" w:cs="Arial"/>
          <w:b/>
          <w:bCs/>
          <w:sz w:val="24"/>
          <w:szCs w:val="24"/>
        </w:rPr>
        <w:t>F</w:t>
      </w:r>
      <w:r w:rsidR="00F641E0" w:rsidRPr="0027342A">
        <w:rPr>
          <w:rFonts w:ascii="Arial" w:hAnsi="Arial" w:cs="Arial"/>
          <w:b/>
          <w:bCs/>
          <w:sz w:val="24"/>
          <w:szCs w:val="24"/>
        </w:rPr>
        <w:t xml:space="preserve">igure </w:t>
      </w:r>
      <w:r w:rsidR="2AC4BE72" w:rsidRPr="0027342A">
        <w:rPr>
          <w:rFonts w:ascii="Arial" w:hAnsi="Arial" w:cs="Arial"/>
          <w:b/>
          <w:bCs/>
          <w:sz w:val="24"/>
          <w:szCs w:val="24"/>
        </w:rPr>
        <w:t>1</w:t>
      </w:r>
      <w:r w:rsidRPr="010EB5DD">
        <w:rPr>
          <w:rFonts w:ascii="Arial" w:hAnsi="Arial" w:cs="Arial"/>
          <w:sz w:val="24"/>
          <w:szCs w:val="24"/>
        </w:rPr>
        <w:t xml:space="preserve"> to assist in creating a quantitative net-benefit for supporting comparison between the considered options. The MCA uses a sliding scale for scoring with largely adverse impacts to stakeholders being rated as -3 and largely beneficial impacts to stakeholders being rated as +3</w:t>
      </w:r>
      <w:r w:rsidR="619AD256" w:rsidRPr="010EB5DD">
        <w:rPr>
          <w:rFonts w:ascii="Arial" w:hAnsi="Arial" w:cs="Arial"/>
          <w:sz w:val="24"/>
          <w:szCs w:val="24"/>
        </w:rPr>
        <w:t>:</w:t>
      </w:r>
    </w:p>
    <w:p w14:paraId="02BA8660" w14:textId="2955CC5C" w:rsidR="619AD256" w:rsidRPr="005A6FFF" w:rsidRDefault="619AD256" w:rsidP="007B0CB3">
      <w:pPr>
        <w:pStyle w:val="ListParagraph"/>
        <w:numPr>
          <w:ilvl w:val="0"/>
          <w:numId w:val="30"/>
        </w:numPr>
        <w:rPr>
          <w:rFonts w:ascii="Arial" w:eastAsia="Segoe UI Symbol" w:hAnsi="Arial" w:cs="Arial"/>
          <w:sz w:val="24"/>
          <w:szCs w:val="24"/>
        </w:rPr>
      </w:pPr>
      <w:r w:rsidRPr="005A6FFF">
        <w:rPr>
          <w:rFonts w:ascii="Arial" w:eastAsia="Segoe UI Symbol" w:hAnsi="Arial" w:cs="Arial"/>
          <w:sz w:val="24"/>
          <w:szCs w:val="24"/>
        </w:rPr>
        <w:t xml:space="preserve">-3 largely adverse </w:t>
      </w:r>
    </w:p>
    <w:p w14:paraId="2C1C9E67" w14:textId="336381E2" w:rsidR="619AD256" w:rsidRPr="005A6FFF" w:rsidRDefault="619AD256" w:rsidP="007B0CB3">
      <w:pPr>
        <w:pStyle w:val="ListParagraph"/>
        <w:numPr>
          <w:ilvl w:val="0"/>
          <w:numId w:val="30"/>
        </w:numPr>
        <w:rPr>
          <w:rFonts w:ascii="Arial" w:eastAsia="Segoe UI Symbol" w:hAnsi="Arial" w:cs="Arial"/>
          <w:sz w:val="24"/>
          <w:szCs w:val="24"/>
        </w:rPr>
      </w:pPr>
      <w:r w:rsidRPr="005A6FFF">
        <w:rPr>
          <w:rFonts w:ascii="Arial" w:eastAsia="Segoe UI Symbol" w:hAnsi="Arial" w:cs="Arial"/>
          <w:sz w:val="24"/>
          <w:szCs w:val="24"/>
        </w:rPr>
        <w:t xml:space="preserve">-2 moderately adverse  </w:t>
      </w:r>
    </w:p>
    <w:p w14:paraId="4F9AEC70" w14:textId="460FD823" w:rsidR="619AD256" w:rsidRPr="005A6FFF" w:rsidRDefault="619AD256" w:rsidP="007B0CB3">
      <w:pPr>
        <w:pStyle w:val="ListParagraph"/>
        <w:numPr>
          <w:ilvl w:val="0"/>
          <w:numId w:val="30"/>
        </w:numPr>
        <w:rPr>
          <w:rFonts w:ascii="Arial" w:eastAsia="Segoe UI Symbol" w:hAnsi="Arial" w:cs="Arial"/>
          <w:sz w:val="24"/>
          <w:szCs w:val="24"/>
        </w:rPr>
      </w:pPr>
      <w:r w:rsidRPr="005A6FFF">
        <w:rPr>
          <w:rFonts w:ascii="Arial" w:eastAsia="Segoe UI Symbol" w:hAnsi="Arial" w:cs="Arial"/>
          <w:sz w:val="24"/>
          <w:szCs w:val="24"/>
        </w:rPr>
        <w:t xml:space="preserve">-1 slightly adverse </w:t>
      </w:r>
    </w:p>
    <w:p w14:paraId="1ED41B64" w14:textId="62E1ABA7" w:rsidR="619AD256" w:rsidRPr="005A6FFF" w:rsidRDefault="619AD256" w:rsidP="007B0CB3">
      <w:pPr>
        <w:pStyle w:val="ListParagraph"/>
        <w:numPr>
          <w:ilvl w:val="0"/>
          <w:numId w:val="30"/>
        </w:numPr>
        <w:rPr>
          <w:rFonts w:ascii="Arial" w:eastAsia="Segoe UI Symbol" w:hAnsi="Arial" w:cs="Arial"/>
          <w:sz w:val="24"/>
          <w:szCs w:val="24"/>
        </w:rPr>
      </w:pPr>
      <w:r w:rsidRPr="005A6FFF">
        <w:rPr>
          <w:rFonts w:ascii="Arial" w:eastAsia="Segoe UI Symbol" w:hAnsi="Arial" w:cs="Arial"/>
          <w:sz w:val="24"/>
          <w:szCs w:val="24"/>
        </w:rPr>
        <w:t xml:space="preserve">0 neutral </w:t>
      </w:r>
    </w:p>
    <w:p w14:paraId="009DBDBD" w14:textId="5759FAAC" w:rsidR="619AD256" w:rsidRPr="005A6FFF" w:rsidRDefault="619AD256" w:rsidP="007B0CB3">
      <w:pPr>
        <w:pStyle w:val="ListParagraph"/>
        <w:numPr>
          <w:ilvl w:val="0"/>
          <w:numId w:val="30"/>
        </w:numPr>
        <w:rPr>
          <w:rFonts w:ascii="Arial" w:eastAsia="Segoe UI Symbol" w:hAnsi="Arial" w:cs="Arial"/>
          <w:sz w:val="24"/>
          <w:szCs w:val="24"/>
        </w:rPr>
      </w:pPr>
      <w:r w:rsidRPr="005A6FFF">
        <w:rPr>
          <w:rFonts w:ascii="Arial" w:eastAsia="Segoe UI Symbol" w:hAnsi="Arial" w:cs="Arial"/>
          <w:sz w:val="24"/>
          <w:szCs w:val="24"/>
        </w:rPr>
        <w:t xml:space="preserve">+1 slightly beneficial </w:t>
      </w:r>
    </w:p>
    <w:p w14:paraId="167C4F1C" w14:textId="73DB60CB" w:rsidR="619AD256" w:rsidRPr="005A6FFF" w:rsidRDefault="619AD256" w:rsidP="007B0CB3">
      <w:pPr>
        <w:pStyle w:val="ListParagraph"/>
        <w:numPr>
          <w:ilvl w:val="0"/>
          <w:numId w:val="30"/>
        </w:numPr>
        <w:rPr>
          <w:rFonts w:ascii="Arial" w:eastAsia="Segoe UI Symbol" w:hAnsi="Arial" w:cs="Arial"/>
          <w:sz w:val="24"/>
          <w:szCs w:val="24"/>
        </w:rPr>
      </w:pPr>
      <w:r w:rsidRPr="005A6FFF">
        <w:rPr>
          <w:rFonts w:ascii="Arial" w:eastAsia="Segoe UI Symbol" w:hAnsi="Arial" w:cs="Arial"/>
          <w:sz w:val="24"/>
          <w:szCs w:val="24"/>
        </w:rPr>
        <w:t xml:space="preserve">+2 moderately beneficial </w:t>
      </w:r>
    </w:p>
    <w:p w14:paraId="4697AF46" w14:textId="38BDD7EC" w:rsidR="007B40F7" w:rsidRPr="0027342A" w:rsidRDefault="619AD256" w:rsidP="0027342A">
      <w:pPr>
        <w:pStyle w:val="ListParagraph"/>
        <w:numPr>
          <w:ilvl w:val="0"/>
          <w:numId w:val="30"/>
        </w:numPr>
        <w:spacing w:before="160"/>
        <w:ind w:left="714" w:hanging="357"/>
        <w:contextualSpacing w:val="0"/>
        <w:rPr>
          <w:rFonts w:ascii="Arial" w:eastAsia="Segoe UI Symbol" w:hAnsi="Arial" w:cs="Arial"/>
          <w:sz w:val="24"/>
          <w:szCs w:val="24"/>
        </w:rPr>
      </w:pPr>
      <w:r w:rsidRPr="005A6FFF">
        <w:rPr>
          <w:rFonts w:ascii="Arial" w:eastAsia="Segoe UI Symbol" w:hAnsi="Arial" w:cs="Arial"/>
          <w:sz w:val="24"/>
          <w:szCs w:val="24"/>
        </w:rPr>
        <w:t>+3 largely beneficia</w:t>
      </w:r>
      <w:r w:rsidR="00CF4E68" w:rsidRPr="005A6FFF">
        <w:rPr>
          <w:rFonts w:ascii="Arial" w:eastAsia="Segoe UI Symbol" w:hAnsi="Arial" w:cs="Arial"/>
          <w:sz w:val="24"/>
          <w:szCs w:val="24"/>
        </w:rPr>
        <w:t>l</w:t>
      </w:r>
    </w:p>
    <w:p w14:paraId="13B8F579" w14:textId="75798D49" w:rsidR="007B40F7" w:rsidRDefault="007B40F7" w:rsidP="0027342A">
      <w:pPr>
        <w:spacing w:before="160"/>
        <w:rPr>
          <w:rFonts w:ascii="Arial" w:eastAsia="Segoe UI Symbol" w:hAnsi="Arial" w:cs="Arial"/>
          <w:sz w:val="24"/>
          <w:szCs w:val="24"/>
        </w:rPr>
      </w:pPr>
      <w:r>
        <w:rPr>
          <w:rFonts w:ascii="Arial" w:eastAsia="Segoe UI Symbol" w:hAnsi="Arial" w:cs="Arial"/>
          <w:sz w:val="24"/>
          <w:szCs w:val="24"/>
        </w:rPr>
        <w:t xml:space="preserve">Each of the </w:t>
      </w:r>
      <w:r w:rsidR="005470E8">
        <w:rPr>
          <w:rFonts w:ascii="Arial" w:eastAsia="Segoe UI Symbol" w:hAnsi="Arial" w:cs="Arial"/>
          <w:sz w:val="24"/>
          <w:szCs w:val="24"/>
        </w:rPr>
        <w:t xml:space="preserve">options is evaluated in the table below. </w:t>
      </w:r>
    </w:p>
    <w:p w14:paraId="051061C8" w14:textId="64451850" w:rsidR="005A704D" w:rsidRDefault="005A704D" w:rsidP="007B40F7">
      <w:pPr>
        <w:rPr>
          <w:rFonts w:ascii="Arial" w:eastAsia="Segoe UI Symbol" w:hAnsi="Arial" w:cs="Arial"/>
          <w:sz w:val="24"/>
          <w:szCs w:val="24"/>
        </w:rPr>
      </w:pPr>
      <w:r w:rsidRPr="6D98FBE5">
        <w:rPr>
          <w:rFonts w:ascii="Arial" w:eastAsia="Segoe UI Symbol" w:hAnsi="Arial" w:cs="Arial"/>
          <w:sz w:val="24"/>
          <w:szCs w:val="24"/>
        </w:rPr>
        <w:t xml:space="preserve">Choice and Control: </w:t>
      </w:r>
      <w:r w:rsidR="0089781E" w:rsidRPr="6D98FBE5">
        <w:rPr>
          <w:rFonts w:ascii="Arial" w:eastAsia="Segoe UI Symbol" w:hAnsi="Arial" w:cs="Arial"/>
          <w:sz w:val="24"/>
          <w:szCs w:val="24"/>
        </w:rPr>
        <w:t>Option</w:t>
      </w:r>
      <w:r w:rsidR="00AE08F1" w:rsidRPr="6D98FBE5">
        <w:rPr>
          <w:rFonts w:ascii="Arial" w:eastAsia="Segoe UI Symbol" w:hAnsi="Arial" w:cs="Arial"/>
          <w:sz w:val="24"/>
          <w:szCs w:val="24"/>
        </w:rPr>
        <w:t>s</w:t>
      </w:r>
      <w:r w:rsidR="0089781E" w:rsidRPr="6D98FBE5">
        <w:rPr>
          <w:rFonts w:ascii="Arial" w:eastAsia="Segoe UI Symbol" w:hAnsi="Arial" w:cs="Arial"/>
          <w:sz w:val="24"/>
          <w:szCs w:val="24"/>
        </w:rPr>
        <w:t xml:space="preserve"> 1</w:t>
      </w:r>
      <w:r w:rsidR="00EF7808" w:rsidRPr="6D98FBE5">
        <w:rPr>
          <w:rFonts w:ascii="Arial" w:eastAsia="Segoe UI Symbol" w:hAnsi="Arial" w:cs="Arial"/>
          <w:sz w:val="24"/>
          <w:szCs w:val="24"/>
        </w:rPr>
        <w:t xml:space="preserve"> and 2</w:t>
      </w:r>
      <w:r w:rsidR="0089781E" w:rsidRPr="6D98FBE5">
        <w:rPr>
          <w:rFonts w:ascii="Arial" w:eastAsia="Segoe UI Symbol" w:hAnsi="Arial" w:cs="Arial"/>
          <w:sz w:val="24"/>
          <w:szCs w:val="24"/>
        </w:rPr>
        <w:t xml:space="preserve"> </w:t>
      </w:r>
      <w:r w:rsidR="00AE08F1" w:rsidRPr="6D98FBE5">
        <w:rPr>
          <w:rFonts w:ascii="Arial" w:eastAsia="Segoe UI Symbol" w:hAnsi="Arial" w:cs="Arial"/>
          <w:sz w:val="24"/>
          <w:szCs w:val="24"/>
        </w:rPr>
        <w:t xml:space="preserve">are </w:t>
      </w:r>
      <w:r w:rsidR="00EF7808" w:rsidRPr="6D98FBE5">
        <w:rPr>
          <w:rFonts w:ascii="Arial" w:eastAsia="Segoe UI Symbol" w:hAnsi="Arial" w:cs="Arial"/>
          <w:sz w:val="24"/>
          <w:szCs w:val="24"/>
        </w:rPr>
        <w:t>assessed as being moderately beneficial for choice and control</w:t>
      </w:r>
      <w:r w:rsidR="00561BF8" w:rsidRPr="6D98FBE5">
        <w:rPr>
          <w:rFonts w:ascii="Arial" w:eastAsia="Segoe UI Symbol" w:hAnsi="Arial" w:cs="Arial"/>
          <w:sz w:val="24"/>
          <w:szCs w:val="24"/>
        </w:rPr>
        <w:t>, a</w:t>
      </w:r>
      <w:r w:rsidR="00A421E3" w:rsidRPr="6D98FBE5">
        <w:rPr>
          <w:rFonts w:ascii="Arial" w:eastAsia="Segoe UI Symbol" w:hAnsi="Arial" w:cs="Arial"/>
          <w:sz w:val="24"/>
          <w:szCs w:val="24"/>
        </w:rPr>
        <w:t xml:space="preserve">s while the available choices may slightly decrease, the information available to participants before making that choice would increase. </w:t>
      </w:r>
      <w:r w:rsidR="00EF7808" w:rsidRPr="6D98FBE5">
        <w:rPr>
          <w:rFonts w:ascii="Arial" w:eastAsia="Segoe UI Symbol" w:hAnsi="Arial" w:cs="Arial"/>
          <w:sz w:val="24"/>
          <w:szCs w:val="24"/>
        </w:rPr>
        <w:t xml:space="preserve">Option 3 would preserve the ability for all NDIS participants to use unregistered providers under the current model. </w:t>
      </w:r>
    </w:p>
    <w:p w14:paraId="6DF7E529" w14:textId="24A75054" w:rsidR="001C012B" w:rsidRDefault="00000436" w:rsidP="007B40F7">
      <w:pPr>
        <w:rPr>
          <w:rFonts w:ascii="Arial" w:eastAsia="Segoe UI Symbol" w:hAnsi="Arial" w:cs="Arial"/>
          <w:sz w:val="24"/>
          <w:szCs w:val="24"/>
        </w:rPr>
      </w:pPr>
      <w:r w:rsidRPr="6D98FBE5">
        <w:rPr>
          <w:rFonts w:ascii="Arial" w:eastAsia="Segoe UI Symbol" w:hAnsi="Arial" w:cs="Arial"/>
          <w:sz w:val="24"/>
          <w:szCs w:val="24"/>
        </w:rPr>
        <w:t xml:space="preserve">Improvement in quality of supports: Options 1 and 2 </w:t>
      </w:r>
      <w:r w:rsidR="005565C0" w:rsidRPr="6D98FBE5">
        <w:rPr>
          <w:rFonts w:ascii="Arial" w:eastAsia="Segoe UI Symbol" w:hAnsi="Arial" w:cs="Arial"/>
          <w:sz w:val="24"/>
          <w:szCs w:val="24"/>
        </w:rPr>
        <w:t xml:space="preserve">are both </w:t>
      </w:r>
      <w:r w:rsidR="00E13690" w:rsidRPr="6D98FBE5">
        <w:rPr>
          <w:rFonts w:ascii="Arial" w:eastAsia="Segoe UI Symbol" w:hAnsi="Arial" w:cs="Arial"/>
          <w:sz w:val="24"/>
          <w:szCs w:val="24"/>
        </w:rPr>
        <w:t xml:space="preserve">assessed as being moderately beneficial to quality as high risk supports (option 2) or all supports would be subject to more rigorous </w:t>
      </w:r>
      <w:r w:rsidR="00B07B5B" w:rsidRPr="6D98FBE5">
        <w:rPr>
          <w:rFonts w:ascii="Arial" w:eastAsia="Segoe UI Symbol" w:hAnsi="Arial" w:cs="Arial"/>
          <w:sz w:val="24"/>
          <w:szCs w:val="24"/>
        </w:rPr>
        <w:t xml:space="preserve">quality standards. </w:t>
      </w:r>
      <w:r w:rsidR="001A6285" w:rsidRPr="6D98FBE5">
        <w:rPr>
          <w:rFonts w:ascii="Arial" w:eastAsia="Segoe UI Symbol" w:hAnsi="Arial" w:cs="Arial"/>
          <w:sz w:val="24"/>
          <w:szCs w:val="24"/>
        </w:rPr>
        <w:t xml:space="preserve">This would </w:t>
      </w:r>
      <w:r w:rsidR="00F31461" w:rsidRPr="6D98FBE5">
        <w:rPr>
          <w:rFonts w:ascii="Arial" w:eastAsia="Segoe UI Symbol" w:hAnsi="Arial" w:cs="Arial"/>
          <w:sz w:val="24"/>
          <w:szCs w:val="24"/>
        </w:rPr>
        <w:t xml:space="preserve">provide a baseline of quality for all providers in these support classes. </w:t>
      </w:r>
    </w:p>
    <w:p w14:paraId="5E2EA6C0" w14:textId="0DC2932F" w:rsidR="007B40F7" w:rsidRDefault="008A41FA" w:rsidP="007B40F7">
      <w:pPr>
        <w:rPr>
          <w:rFonts w:ascii="Arial" w:eastAsia="Segoe UI Symbol" w:hAnsi="Arial" w:cs="Arial"/>
          <w:sz w:val="24"/>
          <w:szCs w:val="24"/>
        </w:rPr>
      </w:pPr>
      <w:r w:rsidRPr="6D98FBE5">
        <w:rPr>
          <w:rFonts w:ascii="Arial" w:eastAsia="Segoe UI Symbol" w:hAnsi="Arial" w:cs="Arial"/>
          <w:sz w:val="24"/>
          <w:szCs w:val="24"/>
        </w:rPr>
        <w:t xml:space="preserve">Proceeding with the status quo </w:t>
      </w:r>
      <w:r w:rsidR="009910E7" w:rsidRPr="6D98FBE5">
        <w:rPr>
          <w:rFonts w:ascii="Arial" w:eastAsia="Segoe UI Symbol" w:hAnsi="Arial" w:cs="Arial"/>
          <w:sz w:val="24"/>
          <w:szCs w:val="24"/>
        </w:rPr>
        <w:t>(</w:t>
      </w:r>
      <w:r w:rsidRPr="6D98FBE5">
        <w:rPr>
          <w:rFonts w:ascii="Arial" w:eastAsia="Segoe UI Symbol" w:hAnsi="Arial" w:cs="Arial"/>
          <w:sz w:val="24"/>
          <w:szCs w:val="24"/>
        </w:rPr>
        <w:t>option</w:t>
      </w:r>
      <w:r w:rsidR="009910E7" w:rsidRPr="6D98FBE5">
        <w:rPr>
          <w:rFonts w:ascii="Arial" w:eastAsia="Segoe UI Symbol" w:hAnsi="Arial" w:cs="Arial"/>
          <w:sz w:val="24"/>
          <w:szCs w:val="24"/>
        </w:rPr>
        <w:t xml:space="preserve"> 3)</w:t>
      </w:r>
      <w:r w:rsidRPr="6D98FBE5">
        <w:rPr>
          <w:rFonts w:ascii="Arial" w:eastAsia="Segoe UI Symbol" w:hAnsi="Arial" w:cs="Arial"/>
          <w:sz w:val="24"/>
          <w:szCs w:val="24"/>
        </w:rPr>
        <w:t xml:space="preserve"> would continue to see </w:t>
      </w:r>
      <w:r w:rsidR="00A77BA1" w:rsidRPr="6D98FBE5">
        <w:rPr>
          <w:rFonts w:ascii="Arial" w:eastAsia="Segoe UI Symbol" w:hAnsi="Arial" w:cs="Arial"/>
          <w:sz w:val="24"/>
          <w:szCs w:val="24"/>
        </w:rPr>
        <w:t xml:space="preserve">the prevalence of </w:t>
      </w:r>
      <w:r w:rsidR="002F6484" w:rsidRPr="6D98FBE5">
        <w:rPr>
          <w:rFonts w:ascii="Arial" w:eastAsia="Segoe UI Symbol" w:hAnsi="Arial" w:cs="Arial"/>
          <w:sz w:val="24"/>
          <w:szCs w:val="24"/>
        </w:rPr>
        <w:t>poor-quality</w:t>
      </w:r>
      <w:r w:rsidR="00A77BA1" w:rsidRPr="6D98FBE5">
        <w:rPr>
          <w:rFonts w:ascii="Arial" w:eastAsia="Segoe UI Symbol" w:hAnsi="Arial" w:cs="Arial"/>
          <w:sz w:val="24"/>
          <w:szCs w:val="24"/>
        </w:rPr>
        <w:t xml:space="preserve"> providers competing with providers of higher quality and skill. </w:t>
      </w:r>
    </w:p>
    <w:p w14:paraId="78A0F81A" w14:textId="2068D18B" w:rsidR="00A77BA1" w:rsidRDefault="00A77BA1">
      <w:pPr>
        <w:rPr>
          <w:rFonts w:ascii="Arial" w:eastAsia="Segoe UI Symbol" w:hAnsi="Arial" w:cs="Arial"/>
          <w:sz w:val="24"/>
          <w:szCs w:val="24"/>
        </w:rPr>
      </w:pPr>
      <w:r w:rsidRPr="6D98FBE5">
        <w:rPr>
          <w:rFonts w:ascii="Arial" w:eastAsia="Segoe UI Symbol" w:hAnsi="Arial" w:cs="Arial"/>
          <w:sz w:val="24"/>
          <w:szCs w:val="24"/>
        </w:rPr>
        <w:t xml:space="preserve">Administrative ease: </w:t>
      </w:r>
      <w:r w:rsidR="002B61FD" w:rsidRPr="6D98FBE5">
        <w:rPr>
          <w:rFonts w:ascii="Arial" w:eastAsia="Segoe UI Symbol" w:hAnsi="Arial" w:cs="Arial"/>
          <w:sz w:val="24"/>
          <w:szCs w:val="24"/>
        </w:rPr>
        <w:t xml:space="preserve">Option 1 would be more complex for </w:t>
      </w:r>
      <w:proofErr w:type="gramStart"/>
      <w:r w:rsidR="002B61FD" w:rsidRPr="6D98FBE5">
        <w:rPr>
          <w:rFonts w:ascii="Arial" w:eastAsia="Segoe UI Symbol" w:hAnsi="Arial" w:cs="Arial"/>
          <w:sz w:val="24"/>
          <w:szCs w:val="24"/>
        </w:rPr>
        <w:t>the vast majority of</w:t>
      </w:r>
      <w:proofErr w:type="gramEnd"/>
      <w:r w:rsidR="002B61FD" w:rsidRPr="6D98FBE5">
        <w:rPr>
          <w:rFonts w:ascii="Arial" w:eastAsia="Segoe UI Symbol" w:hAnsi="Arial" w:cs="Arial"/>
          <w:sz w:val="24"/>
          <w:szCs w:val="24"/>
        </w:rPr>
        <w:t xml:space="preserve"> participants, as they would be required to </w:t>
      </w:r>
      <w:r w:rsidR="00941004" w:rsidRPr="6D98FBE5">
        <w:rPr>
          <w:rFonts w:ascii="Arial" w:eastAsia="Segoe UI Symbol" w:hAnsi="Arial" w:cs="Arial"/>
          <w:sz w:val="24"/>
          <w:szCs w:val="24"/>
        </w:rPr>
        <w:t xml:space="preserve">use registered providers for a far greater array of support types. </w:t>
      </w:r>
      <w:r w:rsidR="009D1C18" w:rsidRPr="6D98FBE5">
        <w:rPr>
          <w:rFonts w:ascii="Arial" w:eastAsia="Segoe UI Symbol" w:hAnsi="Arial" w:cs="Arial"/>
          <w:sz w:val="24"/>
          <w:szCs w:val="24"/>
        </w:rPr>
        <w:t xml:space="preserve">Registering </w:t>
      </w:r>
      <w:r w:rsidR="2E3A124A" w:rsidRPr="6D98FBE5">
        <w:rPr>
          <w:rFonts w:ascii="Arial" w:eastAsia="Segoe UI Symbol" w:hAnsi="Arial" w:cs="Arial"/>
          <w:sz w:val="24"/>
          <w:szCs w:val="24"/>
        </w:rPr>
        <w:t>providers delivering the highest risk providers</w:t>
      </w:r>
      <w:r w:rsidR="009D1C18" w:rsidRPr="6D98FBE5">
        <w:rPr>
          <w:rFonts w:ascii="Arial" w:eastAsia="Segoe UI Symbol" w:hAnsi="Arial" w:cs="Arial"/>
          <w:sz w:val="24"/>
          <w:szCs w:val="24"/>
        </w:rPr>
        <w:t xml:space="preserve"> only would improve the ease of administration, as the </w:t>
      </w:r>
      <w:r w:rsidR="00FB52BA" w:rsidRPr="6D98FBE5">
        <w:rPr>
          <w:rFonts w:ascii="Arial" w:eastAsia="Segoe UI Symbol" w:hAnsi="Arial" w:cs="Arial"/>
          <w:sz w:val="24"/>
          <w:szCs w:val="24"/>
        </w:rPr>
        <w:t xml:space="preserve">providers of higher risk supports are generally larger and </w:t>
      </w:r>
      <w:r w:rsidR="00557319" w:rsidRPr="6D98FBE5">
        <w:rPr>
          <w:rFonts w:ascii="Arial" w:eastAsia="Segoe UI Symbol" w:hAnsi="Arial" w:cs="Arial"/>
          <w:sz w:val="24"/>
          <w:szCs w:val="24"/>
        </w:rPr>
        <w:t xml:space="preserve">would be able to </w:t>
      </w:r>
      <w:r w:rsidR="00B12691" w:rsidRPr="6D98FBE5">
        <w:rPr>
          <w:rFonts w:ascii="Arial" w:eastAsia="Segoe UI Symbol" w:hAnsi="Arial" w:cs="Arial"/>
          <w:sz w:val="24"/>
          <w:szCs w:val="24"/>
        </w:rPr>
        <w:t xml:space="preserve">accommodate additional participants. The status quo would </w:t>
      </w:r>
      <w:r w:rsidR="004D67E8" w:rsidRPr="6D98FBE5">
        <w:rPr>
          <w:rFonts w:ascii="Arial" w:eastAsia="Segoe UI Symbol" w:hAnsi="Arial" w:cs="Arial"/>
          <w:sz w:val="24"/>
          <w:szCs w:val="24"/>
        </w:rPr>
        <w:t>be negative for administrative ease as</w:t>
      </w:r>
      <w:r w:rsidR="00856745" w:rsidRPr="6D98FBE5">
        <w:rPr>
          <w:rFonts w:ascii="Arial" w:eastAsia="Segoe UI Symbol" w:hAnsi="Arial" w:cs="Arial"/>
          <w:sz w:val="24"/>
          <w:szCs w:val="24"/>
        </w:rPr>
        <w:t xml:space="preserve">, in the absence of </w:t>
      </w:r>
      <w:r w:rsidR="00D539D1" w:rsidRPr="6D98FBE5">
        <w:rPr>
          <w:rFonts w:ascii="Arial" w:eastAsia="Segoe UI Symbol" w:hAnsi="Arial" w:cs="Arial"/>
          <w:sz w:val="24"/>
          <w:szCs w:val="24"/>
        </w:rPr>
        <w:t>provider registration</w:t>
      </w:r>
      <w:r w:rsidR="009910E7" w:rsidRPr="6D98FBE5">
        <w:rPr>
          <w:rFonts w:ascii="Arial" w:eastAsia="Segoe UI Symbol" w:hAnsi="Arial" w:cs="Arial"/>
          <w:sz w:val="24"/>
          <w:szCs w:val="24"/>
        </w:rPr>
        <w:t>,</w:t>
      </w:r>
      <w:r w:rsidR="00D539D1" w:rsidRPr="6D98FBE5">
        <w:rPr>
          <w:rFonts w:ascii="Arial" w:eastAsia="Segoe UI Symbol" w:hAnsi="Arial" w:cs="Arial"/>
          <w:sz w:val="24"/>
          <w:szCs w:val="24"/>
        </w:rPr>
        <w:t xml:space="preserve"> more NDIS participants would be subject to fraudulent providers. </w:t>
      </w:r>
      <w:r w:rsidR="00D34FF6" w:rsidRPr="6D98FBE5">
        <w:rPr>
          <w:rFonts w:ascii="Arial" w:eastAsia="Segoe UI Symbol" w:hAnsi="Arial" w:cs="Arial"/>
          <w:sz w:val="24"/>
          <w:szCs w:val="24"/>
        </w:rPr>
        <w:t xml:space="preserve">This means </w:t>
      </w:r>
      <w:r w:rsidR="009F00DA" w:rsidRPr="6D98FBE5">
        <w:rPr>
          <w:rFonts w:ascii="Arial" w:eastAsia="Segoe UI Symbol" w:hAnsi="Arial" w:cs="Arial"/>
          <w:sz w:val="24"/>
          <w:szCs w:val="24"/>
        </w:rPr>
        <w:t>a high</w:t>
      </w:r>
      <w:r w:rsidR="004A361F" w:rsidRPr="6D98FBE5">
        <w:rPr>
          <w:rFonts w:ascii="Arial" w:eastAsia="Segoe UI Symbol" w:hAnsi="Arial" w:cs="Arial"/>
          <w:sz w:val="24"/>
          <w:szCs w:val="24"/>
        </w:rPr>
        <w:t>er</w:t>
      </w:r>
      <w:r w:rsidR="009F00DA" w:rsidRPr="6D98FBE5">
        <w:rPr>
          <w:rFonts w:ascii="Arial" w:eastAsia="Segoe UI Symbol" w:hAnsi="Arial" w:cs="Arial"/>
          <w:sz w:val="24"/>
          <w:szCs w:val="24"/>
        </w:rPr>
        <w:t xml:space="preserve"> likelihood that NDIS participants would have to make complaints to the NDIS </w:t>
      </w:r>
      <w:proofErr w:type="gramStart"/>
      <w:r w:rsidR="009F00DA" w:rsidRPr="6D98FBE5">
        <w:rPr>
          <w:rFonts w:ascii="Arial" w:eastAsia="Segoe UI Symbol" w:hAnsi="Arial" w:cs="Arial"/>
          <w:sz w:val="24"/>
          <w:szCs w:val="24"/>
        </w:rPr>
        <w:t xml:space="preserve">Commission, </w:t>
      </w:r>
      <w:r w:rsidR="000111C6" w:rsidRPr="6D98FBE5">
        <w:rPr>
          <w:rFonts w:ascii="Arial" w:eastAsia="Segoe UI Symbol" w:hAnsi="Arial" w:cs="Arial"/>
          <w:sz w:val="24"/>
          <w:szCs w:val="24"/>
        </w:rPr>
        <w:t>and</w:t>
      </w:r>
      <w:proofErr w:type="gramEnd"/>
      <w:r w:rsidR="000111C6" w:rsidRPr="6D98FBE5">
        <w:rPr>
          <w:rFonts w:ascii="Arial" w:eastAsia="Segoe UI Symbol" w:hAnsi="Arial" w:cs="Arial"/>
          <w:sz w:val="24"/>
          <w:szCs w:val="24"/>
        </w:rPr>
        <w:t xml:space="preserve"> </w:t>
      </w:r>
      <w:r w:rsidR="00462075" w:rsidRPr="6D98FBE5">
        <w:rPr>
          <w:rFonts w:ascii="Arial" w:eastAsia="Segoe UI Symbol" w:hAnsi="Arial" w:cs="Arial"/>
          <w:sz w:val="24"/>
          <w:szCs w:val="24"/>
        </w:rPr>
        <w:t>undergo more work t</w:t>
      </w:r>
      <w:r w:rsidR="00E9162F" w:rsidRPr="6D98FBE5">
        <w:rPr>
          <w:rFonts w:ascii="Arial" w:eastAsia="Segoe UI Symbol" w:hAnsi="Arial" w:cs="Arial"/>
          <w:sz w:val="24"/>
          <w:szCs w:val="24"/>
        </w:rPr>
        <w:t>o respond to the NDIA</w:t>
      </w:r>
      <w:r w:rsidR="0004150A" w:rsidRPr="6D98FBE5">
        <w:rPr>
          <w:rFonts w:ascii="Arial" w:eastAsia="Segoe UI Symbol" w:hAnsi="Arial" w:cs="Arial"/>
          <w:sz w:val="24"/>
          <w:szCs w:val="24"/>
        </w:rPr>
        <w:t xml:space="preserve">’s compliance teams in the absence of provider verification and registration. </w:t>
      </w:r>
    </w:p>
    <w:p w14:paraId="3CAB77DD" w14:textId="3A2EF88A" w:rsidR="0004150A" w:rsidRDefault="008F7510" w:rsidP="007B40F7">
      <w:pPr>
        <w:rPr>
          <w:rFonts w:ascii="Arial" w:eastAsia="Segoe UI Symbol" w:hAnsi="Arial" w:cs="Arial"/>
          <w:sz w:val="24"/>
          <w:szCs w:val="24"/>
        </w:rPr>
      </w:pPr>
      <w:r w:rsidRPr="6D98FBE5">
        <w:rPr>
          <w:rFonts w:ascii="Arial" w:eastAsia="Segoe UI Symbol" w:hAnsi="Arial" w:cs="Arial"/>
          <w:sz w:val="24"/>
          <w:szCs w:val="24"/>
        </w:rPr>
        <w:lastRenderedPageBreak/>
        <w:t>Competitive</w:t>
      </w:r>
      <w:r w:rsidR="00DD5494" w:rsidRPr="6D98FBE5">
        <w:rPr>
          <w:rFonts w:ascii="Arial" w:eastAsia="Segoe UI Symbol" w:hAnsi="Arial" w:cs="Arial"/>
          <w:sz w:val="24"/>
          <w:szCs w:val="24"/>
        </w:rPr>
        <w:t xml:space="preserve"> </w:t>
      </w:r>
      <w:r w:rsidR="00D55CBC" w:rsidRPr="6D98FBE5">
        <w:rPr>
          <w:rFonts w:ascii="Arial" w:eastAsia="Segoe UI Symbol" w:hAnsi="Arial" w:cs="Arial"/>
          <w:sz w:val="24"/>
          <w:szCs w:val="24"/>
        </w:rPr>
        <w:t>c</w:t>
      </w:r>
      <w:r w:rsidR="00DD5494" w:rsidRPr="6D98FBE5">
        <w:rPr>
          <w:rFonts w:ascii="Arial" w:eastAsia="Segoe UI Symbol" w:hAnsi="Arial" w:cs="Arial"/>
          <w:sz w:val="24"/>
          <w:szCs w:val="24"/>
        </w:rPr>
        <w:t xml:space="preserve">onsistency refers to the regulatory burden on </w:t>
      </w:r>
      <w:r w:rsidR="00590792" w:rsidRPr="6D98FBE5">
        <w:rPr>
          <w:rFonts w:ascii="Arial" w:eastAsia="Segoe UI Symbol" w:hAnsi="Arial" w:cs="Arial"/>
          <w:sz w:val="24"/>
          <w:szCs w:val="24"/>
        </w:rPr>
        <w:t xml:space="preserve">firms who compete in the same market. </w:t>
      </w:r>
      <w:r w:rsidR="00C1273D" w:rsidRPr="6D98FBE5">
        <w:rPr>
          <w:rFonts w:ascii="Arial" w:eastAsia="Segoe UI Symbol" w:hAnsi="Arial" w:cs="Arial"/>
          <w:sz w:val="24"/>
          <w:szCs w:val="24"/>
        </w:rPr>
        <w:t xml:space="preserve">The status quo </w:t>
      </w:r>
      <w:r w:rsidR="00643074" w:rsidRPr="6D98FBE5">
        <w:rPr>
          <w:rFonts w:ascii="Arial" w:eastAsia="Segoe UI Symbol" w:hAnsi="Arial" w:cs="Arial"/>
          <w:sz w:val="24"/>
          <w:szCs w:val="24"/>
        </w:rPr>
        <w:t xml:space="preserve">scores a negative result, as </w:t>
      </w:r>
      <w:r w:rsidR="00874668" w:rsidRPr="6D98FBE5">
        <w:rPr>
          <w:rFonts w:ascii="Arial" w:eastAsia="Segoe UI Symbol" w:hAnsi="Arial" w:cs="Arial"/>
          <w:sz w:val="24"/>
          <w:szCs w:val="24"/>
        </w:rPr>
        <w:t xml:space="preserve">the current regulatory framework has </w:t>
      </w:r>
      <w:r w:rsidR="00E43265" w:rsidRPr="6D98FBE5">
        <w:rPr>
          <w:rFonts w:ascii="Arial" w:eastAsia="Segoe UI Symbol" w:hAnsi="Arial" w:cs="Arial"/>
          <w:sz w:val="24"/>
          <w:szCs w:val="24"/>
        </w:rPr>
        <w:t xml:space="preserve">more obligations for registered providers than unregistered providers. This puts registered providers at a competitive disadvantage. </w:t>
      </w:r>
      <w:r w:rsidR="00C952FB" w:rsidRPr="6D98FBE5">
        <w:rPr>
          <w:rFonts w:ascii="Arial" w:eastAsia="Segoe UI Symbol" w:hAnsi="Arial" w:cs="Arial"/>
          <w:sz w:val="24"/>
          <w:szCs w:val="24"/>
        </w:rPr>
        <w:t xml:space="preserve">Options 1 and 2 </w:t>
      </w:r>
      <w:r w:rsidR="007346E3" w:rsidRPr="6D98FBE5">
        <w:rPr>
          <w:rFonts w:ascii="Arial" w:eastAsia="Segoe UI Symbol" w:hAnsi="Arial" w:cs="Arial"/>
          <w:sz w:val="24"/>
          <w:szCs w:val="24"/>
        </w:rPr>
        <w:t>have mandatory registration for high value high risk supports, levelling the playing field</w:t>
      </w:r>
      <w:r w:rsidR="000F6DD3" w:rsidRPr="6D98FBE5">
        <w:rPr>
          <w:rFonts w:ascii="Arial" w:eastAsia="Segoe UI Symbol" w:hAnsi="Arial" w:cs="Arial"/>
          <w:sz w:val="24"/>
          <w:szCs w:val="24"/>
        </w:rPr>
        <w:t xml:space="preserve"> for competitors</w:t>
      </w:r>
      <w:r w:rsidR="007346E3" w:rsidRPr="6D98FBE5">
        <w:rPr>
          <w:rFonts w:ascii="Arial" w:eastAsia="Segoe UI Symbol" w:hAnsi="Arial" w:cs="Arial"/>
          <w:sz w:val="24"/>
          <w:szCs w:val="24"/>
        </w:rPr>
        <w:t>.</w:t>
      </w:r>
    </w:p>
    <w:p w14:paraId="3371BCD8" w14:textId="34B7F7B3" w:rsidR="007346E3" w:rsidRDefault="002117B7" w:rsidP="007B40F7">
      <w:pPr>
        <w:rPr>
          <w:rFonts w:ascii="Arial" w:eastAsia="Segoe UI Symbol" w:hAnsi="Arial" w:cs="Arial"/>
          <w:sz w:val="24"/>
          <w:szCs w:val="24"/>
        </w:rPr>
      </w:pPr>
      <w:r>
        <w:rPr>
          <w:rFonts w:ascii="Arial" w:eastAsia="Segoe UI Symbol" w:hAnsi="Arial" w:cs="Arial"/>
          <w:sz w:val="24"/>
          <w:szCs w:val="24"/>
        </w:rPr>
        <w:t xml:space="preserve">Obligations </w:t>
      </w:r>
      <w:r w:rsidR="007C4C94">
        <w:rPr>
          <w:rFonts w:ascii="Arial" w:eastAsia="Segoe UI Symbol" w:hAnsi="Arial" w:cs="Arial"/>
          <w:sz w:val="24"/>
          <w:szCs w:val="24"/>
        </w:rPr>
        <w:t xml:space="preserve">– option 1 would provide a small benefit for provider obligations as there would be increased compliance costs for </w:t>
      </w:r>
      <w:proofErr w:type="gramStart"/>
      <w:r w:rsidR="007C4C94">
        <w:rPr>
          <w:rFonts w:ascii="Arial" w:eastAsia="Segoe UI Symbol" w:hAnsi="Arial" w:cs="Arial"/>
          <w:sz w:val="24"/>
          <w:szCs w:val="24"/>
        </w:rPr>
        <w:t>a large number of</w:t>
      </w:r>
      <w:proofErr w:type="gramEnd"/>
      <w:r w:rsidR="007C4C94">
        <w:rPr>
          <w:rFonts w:ascii="Arial" w:eastAsia="Segoe UI Symbol" w:hAnsi="Arial" w:cs="Arial"/>
          <w:sz w:val="24"/>
          <w:szCs w:val="24"/>
        </w:rPr>
        <w:t xml:space="preserve"> providers in </w:t>
      </w:r>
      <w:r w:rsidR="002F6484">
        <w:rPr>
          <w:rFonts w:ascii="Arial" w:eastAsia="Segoe UI Symbol" w:hAnsi="Arial" w:cs="Arial"/>
          <w:sz w:val="24"/>
          <w:szCs w:val="24"/>
        </w:rPr>
        <w:t>a broad array of</w:t>
      </w:r>
      <w:r w:rsidR="007C4C94">
        <w:rPr>
          <w:rFonts w:ascii="Arial" w:eastAsia="Segoe UI Symbol" w:hAnsi="Arial" w:cs="Arial"/>
          <w:sz w:val="24"/>
          <w:szCs w:val="24"/>
        </w:rPr>
        <w:t xml:space="preserve"> support types. These obligations would contribute to a fuller picture of the quality of NDIS supports, but at a high cost to both providers and the NDIS Commission. </w:t>
      </w:r>
      <w:r w:rsidR="00D91F53">
        <w:rPr>
          <w:rFonts w:ascii="Arial" w:eastAsia="Segoe UI Symbol" w:hAnsi="Arial" w:cs="Arial"/>
          <w:sz w:val="24"/>
          <w:szCs w:val="24"/>
        </w:rPr>
        <w:t xml:space="preserve">Option 2 would provide a similar level of </w:t>
      </w:r>
      <w:r w:rsidR="008C4086">
        <w:rPr>
          <w:rFonts w:ascii="Arial" w:eastAsia="Segoe UI Symbol" w:hAnsi="Arial" w:cs="Arial"/>
          <w:sz w:val="24"/>
          <w:szCs w:val="24"/>
        </w:rPr>
        <w:t xml:space="preserve">information for the NDIS Commission, but for a lower cost </w:t>
      </w:r>
      <w:r w:rsidR="00410700">
        <w:rPr>
          <w:rFonts w:ascii="Arial" w:eastAsia="Segoe UI Symbol" w:hAnsi="Arial" w:cs="Arial"/>
          <w:sz w:val="24"/>
          <w:szCs w:val="24"/>
        </w:rPr>
        <w:t>as the obligations would only be targeted at high</w:t>
      </w:r>
      <w:r w:rsidR="002F6484">
        <w:rPr>
          <w:rFonts w:ascii="Arial" w:eastAsia="Segoe UI Symbol" w:hAnsi="Arial" w:cs="Arial"/>
          <w:sz w:val="24"/>
          <w:szCs w:val="24"/>
        </w:rPr>
        <w:t>-</w:t>
      </w:r>
      <w:r w:rsidR="00410700">
        <w:rPr>
          <w:rFonts w:ascii="Arial" w:eastAsia="Segoe UI Symbol" w:hAnsi="Arial" w:cs="Arial"/>
          <w:sz w:val="24"/>
          <w:szCs w:val="24"/>
        </w:rPr>
        <w:t>risk providers.</w:t>
      </w:r>
      <w:r w:rsidR="00BC5D33">
        <w:rPr>
          <w:rFonts w:ascii="Arial" w:eastAsia="Segoe UI Symbol" w:hAnsi="Arial" w:cs="Arial"/>
          <w:sz w:val="24"/>
          <w:szCs w:val="24"/>
        </w:rPr>
        <w:t xml:space="preserve"> This is why it is assessed as more beneficial. </w:t>
      </w:r>
      <w:r w:rsidR="00410700">
        <w:rPr>
          <w:rFonts w:ascii="Arial" w:eastAsia="Segoe UI Symbol" w:hAnsi="Arial" w:cs="Arial"/>
          <w:sz w:val="24"/>
          <w:szCs w:val="24"/>
        </w:rPr>
        <w:t xml:space="preserve">Option 3 would </w:t>
      </w:r>
      <w:r w:rsidR="00962D5F">
        <w:rPr>
          <w:rFonts w:ascii="Arial" w:eastAsia="Segoe UI Symbol" w:hAnsi="Arial" w:cs="Arial"/>
          <w:sz w:val="24"/>
          <w:szCs w:val="24"/>
        </w:rPr>
        <w:t xml:space="preserve">continue the current </w:t>
      </w:r>
      <w:r w:rsidR="00251E22">
        <w:rPr>
          <w:rFonts w:ascii="Arial" w:eastAsia="Segoe UI Symbol" w:hAnsi="Arial" w:cs="Arial"/>
          <w:sz w:val="24"/>
          <w:szCs w:val="24"/>
        </w:rPr>
        <w:t xml:space="preserve">inconsistent obligations between </w:t>
      </w:r>
      <w:r w:rsidR="00BC5D33">
        <w:rPr>
          <w:rFonts w:ascii="Arial" w:eastAsia="Segoe UI Symbol" w:hAnsi="Arial" w:cs="Arial"/>
          <w:sz w:val="24"/>
          <w:szCs w:val="24"/>
        </w:rPr>
        <w:t>registered and unregistered providers and is least beneficial.</w:t>
      </w:r>
    </w:p>
    <w:p w14:paraId="2FC5821F" w14:textId="05BFEFA4" w:rsidR="00E43265" w:rsidRDefault="003B7C66" w:rsidP="007B40F7">
      <w:pPr>
        <w:rPr>
          <w:rFonts w:ascii="Arial" w:eastAsia="Segoe UI Symbol" w:hAnsi="Arial" w:cs="Arial"/>
          <w:sz w:val="24"/>
          <w:szCs w:val="24"/>
        </w:rPr>
      </w:pPr>
      <w:r>
        <w:rPr>
          <w:rFonts w:ascii="Arial" w:eastAsia="Segoe UI Symbol" w:hAnsi="Arial" w:cs="Arial"/>
          <w:sz w:val="24"/>
          <w:szCs w:val="24"/>
        </w:rPr>
        <w:t xml:space="preserve">Incentives to improve service have likewise been assessed in terms of the compliance and regulatory cost vs the expected benefit. </w:t>
      </w:r>
      <w:r w:rsidR="0087308B">
        <w:rPr>
          <w:rFonts w:ascii="Arial" w:eastAsia="Segoe UI Symbol" w:hAnsi="Arial" w:cs="Arial"/>
          <w:sz w:val="24"/>
          <w:szCs w:val="24"/>
        </w:rPr>
        <w:t>Therefore option 1 has a marginal improvement in incentives</w:t>
      </w:r>
      <w:r w:rsidR="008D30EA">
        <w:rPr>
          <w:rFonts w:ascii="Arial" w:eastAsia="Segoe UI Symbol" w:hAnsi="Arial" w:cs="Arial"/>
          <w:sz w:val="24"/>
          <w:szCs w:val="24"/>
        </w:rPr>
        <w:t xml:space="preserve">, while option 2 (through better targeting) </w:t>
      </w:r>
      <w:r w:rsidR="0072315A">
        <w:rPr>
          <w:rFonts w:ascii="Arial" w:eastAsia="Segoe UI Symbol" w:hAnsi="Arial" w:cs="Arial"/>
          <w:sz w:val="24"/>
          <w:szCs w:val="24"/>
        </w:rPr>
        <w:t xml:space="preserve">provides a </w:t>
      </w:r>
      <w:r w:rsidR="00F26EDF">
        <w:rPr>
          <w:rFonts w:ascii="Arial" w:eastAsia="Segoe UI Symbol" w:hAnsi="Arial" w:cs="Arial"/>
          <w:sz w:val="24"/>
          <w:szCs w:val="24"/>
        </w:rPr>
        <w:t>similar benefit at a lower cost</w:t>
      </w:r>
      <w:r w:rsidR="0072315A">
        <w:rPr>
          <w:rFonts w:ascii="Arial" w:eastAsia="Segoe UI Symbol" w:hAnsi="Arial" w:cs="Arial"/>
          <w:sz w:val="24"/>
          <w:szCs w:val="24"/>
        </w:rPr>
        <w:t xml:space="preserve">. Option </w:t>
      </w:r>
      <w:r w:rsidR="0048057A">
        <w:rPr>
          <w:rFonts w:ascii="Arial" w:eastAsia="Segoe UI Symbol" w:hAnsi="Arial" w:cs="Arial"/>
          <w:sz w:val="24"/>
          <w:szCs w:val="24"/>
        </w:rPr>
        <w:t>3 would not provide an incentive</w:t>
      </w:r>
      <w:r w:rsidR="00F26EDF">
        <w:rPr>
          <w:rFonts w:ascii="Arial" w:eastAsia="Segoe UI Symbol" w:hAnsi="Arial" w:cs="Arial"/>
          <w:sz w:val="24"/>
          <w:szCs w:val="24"/>
        </w:rPr>
        <w:t xml:space="preserve">, </w:t>
      </w:r>
      <w:r w:rsidR="0043113F">
        <w:rPr>
          <w:rFonts w:ascii="Arial" w:eastAsia="Segoe UI Symbol" w:hAnsi="Arial" w:cs="Arial"/>
          <w:sz w:val="24"/>
          <w:szCs w:val="24"/>
        </w:rPr>
        <w:t xml:space="preserve">and service quality would likely suffer as a result. </w:t>
      </w:r>
    </w:p>
    <w:p w14:paraId="0E692E48" w14:textId="7B974BBE" w:rsidR="002F6484" w:rsidRPr="007B40F7" w:rsidRDefault="0009483E" w:rsidP="007B40F7">
      <w:r w:rsidRPr="1153542A">
        <w:rPr>
          <w:rFonts w:ascii="Arial" w:eastAsia="Segoe UI Symbol" w:hAnsi="Arial" w:cs="Arial"/>
          <w:sz w:val="24"/>
          <w:szCs w:val="24"/>
        </w:rPr>
        <w:t xml:space="preserve">For workers, </w:t>
      </w:r>
      <w:r w:rsidR="00171581" w:rsidRPr="1153542A">
        <w:rPr>
          <w:rFonts w:ascii="Arial" w:eastAsia="Segoe UI Symbol" w:hAnsi="Arial" w:cs="Arial"/>
          <w:sz w:val="24"/>
          <w:szCs w:val="24"/>
        </w:rPr>
        <w:t>option 1</w:t>
      </w:r>
      <w:r w:rsidR="00B004A7" w:rsidRPr="1153542A">
        <w:rPr>
          <w:rFonts w:ascii="Arial" w:eastAsia="Segoe UI Symbol" w:hAnsi="Arial" w:cs="Arial"/>
          <w:sz w:val="24"/>
          <w:szCs w:val="24"/>
        </w:rPr>
        <w:t xml:space="preserve"> is the preferred option, as it would </w:t>
      </w:r>
      <w:r w:rsidR="00F54E85" w:rsidRPr="1153542A">
        <w:rPr>
          <w:rFonts w:ascii="Arial" w:eastAsia="Segoe UI Symbol" w:hAnsi="Arial" w:cs="Arial"/>
          <w:sz w:val="24"/>
          <w:szCs w:val="24"/>
        </w:rPr>
        <w:t xml:space="preserve">lift professional standards </w:t>
      </w:r>
      <w:r w:rsidR="00800408" w:rsidRPr="1153542A">
        <w:rPr>
          <w:rFonts w:ascii="Arial" w:eastAsia="Segoe UI Symbol" w:hAnsi="Arial" w:cs="Arial"/>
          <w:sz w:val="24"/>
          <w:szCs w:val="24"/>
        </w:rPr>
        <w:t xml:space="preserve">for the whole sector, not just those supports which are </w:t>
      </w:r>
      <w:r w:rsidR="00B863AF" w:rsidRPr="1153542A">
        <w:rPr>
          <w:rFonts w:ascii="Arial" w:eastAsia="Segoe UI Symbol" w:hAnsi="Arial" w:cs="Arial"/>
          <w:sz w:val="24"/>
          <w:szCs w:val="24"/>
        </w:rPr>
        <w:t xml:space="preserve">seen as high risk. </w:t>
      </w:r>
      <w:r w:rsidR="00F571FF" w:rsidRPr="1153542A">
        <w:rPr>
          <w:rFonts w:ascii="Arial" w:eastAsia="Segoe UI Symbol" w:hAnsi="Arial" w:cs="Arial"/>
          <w:sz w:val="24"/>
          <w:szCs w:val="24"/>
        </w:rPr>
        <w:t xml:space="preserve">The benefits for workforce mobility and employment standards are assessed as identical due to the increased scrutiny of the NDIS Commission, and </w:t>
      </w:r>
      <w:r w:rsidR="00702935" w:rsidRPr="1153542A">
        <w:rPr>
          <w:rFonts w:ascii="Arial" w:eastAsia="Segoe UI Symbol" w:hAnsi="Arial" w:cs="Arial"/>
          <w:sz w:val="24"/>
          <w:szCs w:val="24"/>
        </w:rPr>
        <w:t xml:space="preserve">providers being subject to audits. </w:t>
      </w:r>
      <w:r w:rsidR="00432870" w:rsidRPr="1153542A">
        <w:rPr>
          <w:rFonts w:ascii="Arial" w:eastAsia="Segoe UI Symbol" w:hAnsi="Arial" w:cs="Arial"/>
          <w:sz w:val="24"/>
          <w:szCs w:val="24"/>
        </w:rPr>
        <w:t xml:space="preserve">Option 3 </w:t>
      </w:r>
      <w:r w:rsidR="00AB3243" w:rsidRPr="1153542A">
        <w:rPr>
          <w:rFonts w:ascii="Arial" w:eastAsia="Segoe UI Symbol" w:hAnsi="Arial" w:cs="Arial"/>
          <w:sz w:val="24"/>
          <w:szCs w:val="24"/>
        </w:rPr>
        <w:t xml:space="preserve">would </w:t>
      </w:r>
      <w:r w:rsidR="00432870" w:rsidRPr="1153542A">
        <w:rPr>
          <w:rFonts w:ascii="Arial" w:eastAsia="Segoe UI Symbol" w:hAnsi="Arial" w:cs="Arial"/>
          <w:sz w:val="24"/>
          <w:szCs w:val="24"/>
        </w:rPr>
        <w:t>have nil impact on workforce mobility</w:t>
      </w:r>
      <w:r w:rsidR="001F3D5D" w:rsidRPr="1153542A">
        <w:rPr>
          <w:rFonts w:ascii="Arial" w:eastAsia="Segoe UI Symbol" w:hAnsi="Arial" w:cs="Arial"/>
          <w:sz w:val="24"/>
          <w:szCs w:val="24"/>
        </w:rPr>
        <w:t xml:space="preserve">, </w:t>
      </w:r>
      <w:r w:rsidR="008F03C3" w:rsidRPr="1153542A">
        <w:rPr>
          <w:rFonts w:ascii="Arial" w:eastAsia="Segoe UI Symbol" w:hAnsi="Arial" w:cs="Arial"/>
          <w:sz w:val="24"/>
          <w:szCs w:val="24"/>
        </w:rPr>
        <w:t xml:space="preserve">and a negative impact on employment and professional standards as </w:t>
      </w:r>
      <w:r w:rsidR="00C2351A" w:rsidRPr="1153542A">
        <w:rPr>
          <w:rFonts w:ascii="Arial" w:eastAsia="Segoe UI Symbol" w:hAnsi="Arial" w:cs="Arial"/>
          <w:sz w:val="24"/>
          <w:szCs w:val="24"/>
        </w:rPr>
        <w:t xml:space="preserve">the number of unregistered providers would </w:t>
      </w:r>
      <w:r w:rsidR="006E5D03" w:rsidRPr="1153542A">
        <w:rPr>
          <w:rFonts w:ascii="Arial" w:eastAsia="Segoe UI Symbol" w:hAnsi="Arial" w:cs="Arial"/>
          <w:sz w:val="24"/>
          <w:szCs w:val="24"/>
        </w:rPr>
        <w:t xml:space="preserve">likely </w:t>
      </w:r>
      <w:r w:rsidR="00C2351A" w:rsidRPr="1153542A">
        <w:rPr>
          <w:rFonts w:ascii="Arial" w:eastAsia="Segoe UI Symbol" w:hAnsi="Arial" w:cs="Arial"/>
          <w:sz w:val="24"/>
          <w:szCs w:val="24"/>
        </w:rPr>
        <w:t xml:space="preserve">grow. </w:t>
      </w:r>
      <w:r w:rsidR="00432870" w:rsidRPr="1153542A">
        <w:rPr>
          <w:rFonts w:ascii="Arial" w:eastAsia="Segoe UI Symbol" w:hAnsi="Arial" w:cs="Arial"/>
          <w:sz w:val="24"/>
          <w:szCs w:val="24"/>
        </w:rPr>
        <w:t xml:space="preserve"> </w:t>
      </w:r>
    </w:p>
    <w:p w14:paraId="2F50A307" w14:textId="6F5DD84A" w:rsidR="1153542A" w:rsidRDefault="1153542A" w:rsidP="1153542A">
      <w:pPr>
        <w:rPr>
          <w:rFonts w:ascii="Arial" w:eastAsia="Segoe UI Symbol" w:hAnsi="Arial" w:cs="Arial"/>
          <w:sz w:val="24"/>
          <w:szCs w:val="24"/>
        </w:rPr>
      </w:pPr>
    </w:p>
    <w:p w14:paraId="74C500CC" w14:textId="78A3D80F" w:rsidR="1153542A" w:rsidRDefault="1153542A" w:rsidP="1153542A">
      <w:pPr>
        <w:rPr>
          <w:rFonts w:ascii="Arial" w:eastAsia="Segoe UI Symbol" w:hAnsi="Arial" w:cs="Arial"/>
          <w:sz w:val="24"/>
          <w:szCs w:val="24"/>
        </w:rPr>
      </w:pPr>
    </w:p>
    <w:p w14:paraId="3B86C7D6" w14:textId="070808EF" w:rsidR="1153542A" w:rsidRDefault="1153542A" w:rsidP="1153542A">
      <w:pPr>
        <w:rPr>
          <w:rFonts w:ascii="Arial" w:eastAsia="Segoe UI Symbol" w:hAnsi="Arial" w:cs="Arial"/>
          <w:sz w:val="24"/>
          <w:szCs w:val="24"/>
        </w:rPr>
      </w:pPr>
    </w:p>
    <w:p w14:paraId="7E12A0CA" w14:textId="76C68BA5" w:rsidR="1153542A" w:rsidRDefault="1153542A" w:rsidP="1153542A">
      <w:pPr>
        <w:rPr>
          <w:rFonts w:ascii="Arial" w:eastAsia="Segoe UI Symbol" w:hAnsi="Arial" w:cs="Arial"/>
          <w:sz w:val="24"/>
          <w:szCs w:val="24"/>
        </w:rPr>
      </w:pPr>
    </w:p>
    <w:p w14:paraId="63C02217" w14:textId="6D2F91A7" w:rsidR="003953F1" w:rsidRDefault="003953F1" w:rsidP="003953F1">
      <w:pPr>
        <w:pStyle w:val="Caption"/>
        <w:keepNext/>
      </w:pPr>
      <w:r>
        <w:t xml:space="preserve">Figure </w:t>
      </w:r>
      <w:r w:rsidR="2AC4BE72">
        <w:t>1</w:t>
      </w:r>
      <w:r>
        <w:t xml:space="preserve">: </w:t>
      </w:r>
      <w:r w:rsidRPr="00DE22DE">
        <w:t>MCA RATINGS OF OPTIONS</w:t>
      </w:r>
    </w:p>
    <w:tbl>
      <w:tblPr>
        <w:tblStyle w:val="TableGrid"/>
        <w:tblW w:w="10774" w:type="dxa"/>
        <w:tblInd w:w="-289" w:type="dxa"/>
        <w:tblLook w:val="04A0" w:firstRow="1" w:lastRow="0" w:firstColumn="1" w:lastColumn="0" w:noHBand="0" w:noVBand="1"/>
      </w:tblPr>
      <w:tblGrid>
        <w:gridCol w:w="1643"/>
        <w:gridCol w:w="3010"/>
        <w:gridCol w:w="2029"/>
        <w:gridCol w:w="2073"/>
        <w:gridCol w:w="2019"/>
      </w:tblGrid>
      <w:tr w:rsidR="00FF6C0A" w:rsidRPr="00952A9F" w14:paraId="7423B3B1" w14:textId="77777777" w:rsidTr="7F72696E">
        <w:trPr>
          <w:trHeight w:val="1063"/>
        </w:trPr>
        <w:tc>
          <w:tcPr>
            <w:tcW w:w="1669" w:type="dxa"/>
            <w:shd w:val="clear" w:color="auto" w:fill="004261" w:themeFill="accent2"/>
            <w:vAlign w:val="center"/>
          </w:tcPr>
          <w:p w14:paraId="436F5751" w14:textId="77777777" w:rsidR="00FF6C0A" w:rsidRPr="00952A9F" w:rsidRDefault="00FF6C0A" w:rsidP="00E74016">
            <w:pPr>
              <w:rPr>
                <w:rFonts w:ascii="Arial" w:hAnsi="Arial" w:cs="Arial"/>
                <w:b/>
                <w:bCs/>
                <w:sz w:val="18"/>
                <w:szCs w:val="18"/>
              </w:rPr>
            </w:pPr>
            <w:r w:rsidRPr="00952A9F">
              <w:rPr>
                <w:rFonts w:ascii="Arial" w:hAnsi="Arial" w:cs="Arial"/>
                <w:b/>
                <w:bCs/>
                <w:sz w:val="20"/>
                <w:szCs w:val="20"/>
              </w:rPr>
              <w:t xml:space="preserve">Stakeholder </w:t>
            </w:r>
          </w:p>
        </w:tc>
        <w:tc>
          <w:tcPr>
            <w:tcW w:w="3151" w:type="dxa"/>
            <w:shd w:val="clear" w:color="auto" w:fill="004261" w:themeFill="accent2"/>
            <w:vAlign w:val="center"/>
          </w:tcPr>
          <w:p w14:paraId="491D4F53" w14:textId="622DE749" w:rsidR="00FF6C0A" w:rsidRPr="00952A9F" w:rsidRDefault="00DB30A3" w:rsidP="00D21E4E">
            <w:pPr>
              <w:rPr>
                <w:rFonts w:ascii="Arial" w:hAnsi="Arial" w:cs="Arial"/>
                <w:b/>
                <w:bCs/>
                <w:sz w:val="20"/>
                <w:szCs w:val="20"/>
              </w:rPr>
            </w:pPr>
            <w:r>
              <w:rPr>
                <w:rFonts w:ascii="Arial" w:hAnsi="Arial" w:cs="Arial"/>
                <w:b/>
                <w:bCs/>
                <w:sz w:val="20"/>
                <w:szCs w:val="20"/>
              </w:rPr>
              <w:t>Impact</w:t>
            </w:r>
          </w:p>
        </w:tc>
        <w:tc>
          <w:tcPr>
            <w:tcW w:w="2127" w:type="dxa"/>
            <w:shd w:val="clear" w:color="auto" w:fill="004261" w:themeFill="accent2"/>
            <w:vAlign w:val="center"/>
          </w:tcPr>
          <w:p w14:paraId="217591E6" w14:textId="060A02E2" w:rsidR="00FF6C0A" w:rsidRPr="00952A9F" w:rsidRDefault="00FF6C0A" w:rsidP="00E74016">
            <w:pPr>
              <w:rPr>
                <w:rFonts w:ascii="Arial" w:hAnsi="Arial" w:cs="Arial"/>
                <w:b/>
                <w:bCs/>
                <w:sz w:val="18"/>
                <w:szCs w:val="18"/>
              </w:rPr>
            </w:pPr>
            <w:r w:rsidRPr="00952A9F">
              <w:rPr>
                <w:rFonts w:ascii="Arial" w:hAnsi="Arial" w:cs="Arial"/>
                <w:b/>
                <w:bCs/>
                <w:sz w:val="20"/>
                <w:szCs w:val="20"/>
              </w:rPr>
              <w:t>Option 1: GRPRM</w:t>
            </w:r>
          </w:p>
        </w:tc>
        <w:tc>
          <w:tcPr>
            <w:tcW w:w="1701" w:type="dxa"/>
            <w:shd w:val="clear" w:color="auto" w:fill="004261" w:themeFill="accent2"/>
            <w:vAlign w:val="center"/>
          </w:tcPr>
          <w:p w14:paraId="366AE55E" w14:textId="10A64E65" w:rsidR="00FF6C0A" w:rsidRPr="00952A9F" w:rsidRDefault="4E62ED50" w:rsidP="00E74016">
            <w:pPr>
              <w:rPr>
                <w:rFonts w:ascii="Arial" w:hAnsi="Arial" w:cs="Arial"/>
              </w:rPr>
            </w:pPr>
            <w:r w:rsidRPr="7F72696E">
              <w:rPr>
                <w:rFonts w:ascii="Arial" w:hAnsi="Arial" w:cs="Arial"/>
                <w:b/>
                <w:bCs/>
                <w:sz w:val="20"/>
                <w:szCs w:val="20"/>
              </w:rPr>
              <w:t xml:space="preserve">Option 2: </w:t>
            </w:r>
            <w:proofErr w:type="spellStart"/>
            <w:r w:rsidRPr="7F72696E">
              <w:rPr>
                <w:rFonts w:ascii="Arial" w:hAnsi="Arial" w:cs="Arial"/>
                <w:b/>
                <w:bCs/>
                <w:sz w:val="20"/>
                <w:szCs w:val="20"/>
              </w:rPr>
              <w:t>providers</w:t>
            </w:r>
            <w:r w:rsidR="59789FB2" w:rsidRPr="7F72696E">
              <w:rPr>
                <w:rFonts w:ascii="Arial" w:hAnsi="Arial" w:cs="Arial"/>
                <w:b/>
                <w:bCs/>
                <w:sz w:val="20"/>
                <w:szCs w:val="20"/>
              </w:rPr>
              <w:t>delivering</w:t>
            </w:r>
            <w:proofErr w:type="spellEnd"/>
            <w:r w:rsidR="59789FB2" w:rsidRPr="7F72696E">
              <w:rPr>
                <w:rFonts w:ascii="Arial" w:hAnsi="Arial" w:cs="Arial"/>
                <w:b/>
                <w:bCs/>
                <w:sz w:val="20"/>
                <w:szCs w:val="20"/>
              </w:rPr>
              <w:t xml:space="preserve"> highest risk supports</w:t>
            </w:r>
            <w:r w:rsidRPr="7F72696E">
              <w:rPr>
                <w:rFonts w:ascii="Arial" w:hAnsi="Arial" w:cs="Arial"/>
                <w:b/>
                <w:bCs/>
                <w:sz w:val="20"/>
                <w:szCs w:val="20"/>
              </w:rPr>
              <w:t xml:space="preserve"> only: </w:t>
            </w:r>
          </w:p>
        </w:tc>
        <w:tc>
          <w:tcPr>
            <w:tcW w:w="2126" w:type="dxa"/>
            <w:shd w:val="clear" w:color="auto" w:fill="004261" w:themeFill="accent2"/>
            <w:vAlign w:val="center"/>
          </w:tcPr>
          <w:p w14:paraId="3DEE258F" w14:textId="2A91279E" w:rsidR="00FF6C0A" w:rsidRPr="00952A9F" w:rsidRDefault="00FF6C0A" w:rsidP="00E74016">
            <w:pPr>
              <w:rPr>
                <w:rFonts w:ascii="Arial" w:hAnsi="Arial" w:cs="Arial"/>
                <w:b/>
                <w:bCs/>
                <w:sz w:val="18"/>
                <w:szCs w:val="18"/>
              </w:rPr>
            </w:pPr>
            <w:r w:rsidRPr="00952A9F">
              <w:rPr>
                <w:rFonts w:ascii="Arial" w:hAnsi="Arial" w:cs="Arial"/>
                <w:b/>
                <w:bCs/>
                <w:sz w:val="20"/>
                <w:szCs w:val="20"/>
              </w:rPr>
              <w:t xml:space="preserve">Option 3: </w:t>
            </w:r>
            <w:r>
              <w:rPr>
                <w:rFonts w:ascii="Arial" w:hAnsi="Arial" w:cs="Arial"/>
                <w:b/>
                <w:bCs/>
                <w:sz w:val="20"/>
                <w:szCs w:val="20"/>
              </w:rPr>
              <w:t>Status Quo</w:t>
            </w:r>
            <w:r w:rsidRPr="00952A9F">
              <w:rPr>
                <w:rFonts w:ascii="Arial" w:hAnsi="Arial" w:cs="Arial"/>
                <w:b/>
                <w:bCs/>
                <w:sz w:val="20"/>
                <w:szCs w:val="20"/>
              </w:rPr>
              <w:t xml:space="preserve"> </w:t>
            </w:r>
          </w:p>
        </w:tc>
      </w:tr>
      <w:tr w:rsidR="00D21E4E" w:rsidRPr="00952A9F" w14:paraId="4CE2FA85" w14:textId="77777777" w:rsidTr="7F72696E">
        <w:trPr>
          <w:trHeight w:val="610"/>
        </w:trPr>
        <w:tc>
          <w:tcPr>
            <w:tcW w:w="1669" w:type="dxa"/>
            <w:vMerge w:val="restart"/>
            <w:shd w:val="clear" w:color="auto" w:fill="004261" w:themeFill="accent2"/>
            <w:vAlign w:val="center"/>
          </w:tcPr>
          <w:p w14:paraId="18B177DA" w14:textId="77777777" w:rsidR="00D21E4E" w:rsidRPr="00952A9F" w:rsidRDefault="00D21E4E" w:rsidP="00E74016">
            <w:pPr>
              <w:rPr>
                <w:rFonts w:ascii="Arial" w:hAnsi="Arial" w:cs="Arial"/>
                <w:b/>
                <w:bCs/>
                <w:sz w:val="18"/>
                <w:szCs w:val="18"/>
              </w:rPr>
            </w:pPr>
            <w:r w:rsidRPr="00952A9F">
              <w:rPr>
                <w:rFonts w:ascii="Arial" w:hAnsi="Arial" w:cs="Arial"/>
                <w:b/>
                <w:bCs/>
                <w:sz w:val="20"/>
                <w:szCs w:val="20"/>
              </w:rPr>
              <w:t xml:space="preserve">NDIS participants and their </w:t>
            </w:r>
            <w:r w:rsidRPr="00952A9F">
              <w:rPr>
                <w:rFonts w:ascii="Arial" w:hAnsi="Arial" w:cs="Arial"/>
                <w:b/>
                <w:bCs/>
                <w:sz w:val="20"/>
                <w:szCs w:val="20"/>
              </w:rPr>
              <w:lastRenderedPageBreak/>
              <w:t>families or nominees</w:t>
            </w:r>
          </w:p>
        </w:tc>
        <w:tc>
          <w:tcPr>
            <w:tcW w:w="3151" w:type="dxa"/>
            <w:vAlign w:val="center"/>
          </w:tcPr>
          <w:p w14:paraId="3905E6BA" w14:textId="0914AE34" w:rsidR="00D21E4E" w:rsidRPr="00952A9F" w:rsidRDefault="009341CB" w:rsidP="00E74016">
            <w:pPr>
              <w:rPr>
                <w:rFonts w:ascii="Arial" w:hAnsi="Arial" w:cs="Arial"/>
                <w:sz w:val="20"/>
                <w:szCs w:val="20"/>
              </w:rPr>
            </w:pPr>
            <w:r>
              <w:rPr>
                <w:rFonts w:ascii="Arial" w:hAnsi="Arial" w:cs="Arial"/>
                <w:sz w:val="20"/>
                <w:szCs w:val="20"/>
              </w:rPr>
              <w:lastRenderedPageBreak/>
              <w:t>Choice and Control</w:t>
            </w:r>
          </w:p>
        </w:tc>
        <w:tc>
          <w:tcPr>
            <w:tcW w:w="2127" w:type="dxa"/>
            <w:vAlign w:val="center"/>
          </w:tcPr>
          <w:p w14:paraId="1DFDD80E" w14:textId="7C7EE3A3" w:rsidR="00D21E4E" w:rsidRPr="00952A9F" w:rsidRDefault="000E123F" w:rsidP="00E74016">
            <w:pPr>
              <w:rPr>
                <w:rFonts w:ascii="Arial" w:hAnsi="Arial" w:cs="Arial"/>
                <w:sz w:val="20"/>
                <w:szCs w:val="20"/>
              </w:rPr>
            </w:pPr>
            <w:r>
              <w:rPr>
                <w:rFonts w:ascii="Arial" w:hAnsi="Arial" w:cs="Arial"/>
                <w:sz w:val="20"/>
                <w:szCs w:val="20"/>
              </w:rPr>
              <w:t>2</w:t>
            </w:r>
          </w:p>
        </w:tc>
        <w:tc>
          <w:tcPr>
            <w:tcW w:w="1701" w:type="dxa"/>
            <w:vAlign w:val="center"/>
          </w:tcPr>
          <w:p w14:paraId="6A5722F9" w14:textId="36577668" w:rsidR="00D21E4E" w:rsidRPr="00952A9F" w:rsidRDefault="00DC74A5" w:rsidP="00E74016">
            <w:pPr>
              <w:rPr>
                <w:rFonts w:ascii="Arial" w:hAnsi="Arial" w:cs="Arial"/>
                <w:sz w:val="20"/>
                <w:szCs w:val="20"/>
              </w:rPr>
            </w:pPr>
            <w:r>
              <w:rPr>
                <w:rFonts w:ascii="Arial" w:hAnsi="Arial" w:cs="Arial"/>
                <w:sz w:val="20"/>
                <w:szCs w:val="20"/>
              </w:rPr>
              <w:t>2</w:t>
            </w:r>
          </w:p>
        </w:tc>
        <w:tc>
          <w:tcPr>
            <w:tcW w:w="2126" w:type="dxa"/>
            <w:vAlign w:val="center"/>
          </w:tcPr>
          <w:p w14:paraId="58EB1073" w14:textId="5367CD88" w:rsidR="00D21E4E" w:rsidRPr="00952A9F" w:rsidRDefault="00BA6A68" w:rsidP="00E74016">
            <w:pPr>
              <w:rPr>
                <w:rFonts w:ascii="Arial" w:hAnsi="Arial" w:cs="Arial"/>
                <w:sz w:val="20"/>
                <w:szCs w:val="20"/>
              </w:rPr>
            </w:pPr>
            <w:r>
              <w:rPr>
                <w:rFonts w:ascii="Arial" w:hAnsi="Arial" w:cs="Arial"/>
                <w:sz w:val="20"/>
                <w:szCs w:val="20"/>
              </w:rPr>
              <w:t>3</w:t>
            </w:r>
          </w:p>
        </w:tc>
      </w:tr>
      <w:tr w:rsidR="00D21E4E" w:rsidRPr="00952A9F" w14:paraId="66539624" w14:textId="77777777" w:rsidTr="7F72696E">
        <w:trPr>
          <w:trHeight w:val="610"/>
        </w:trPr>
        <w:tc>
          <w:tcPr>
            <w:tcW w:w="1669" w:type="dxa"/>
            <w:vMerge/>
            <w:vAlign w:val="center"/>
          </w:tcPr>
          <w:p w14:paraId="6FD2196F" w14:textId="77777777" w:rsidR="00D21E4E" w:rsidRPr="00952A9F" w:rsidRDefault="00D21E4E" w:rsidP="00E74016">
            <w:pPr>
              <w:rPr>
                <w:rFonts w:ascii="Arial" w:hAnsi="Arial" w:cs="Arial"/>
                <w:b/>
                <w:bCs/>
                <w:sz w:val="20"/>
                <w:szCs w:val="20"/>
              </w:rPr>
            </w:pPr>
          </w:p>
        </w:tc>
        <w:tc>
          <w:tcPr>
            <w:tcW w:w="3151" w:type="dxa"/>
            <w:vAlign w:val="center"/>
          </w:tcPr>
          <w:p w14:paraId="379E2D0A" w14:textId="16345A77" w:rsidR="00D21E4E" w:rsidRPr="00952A9F" w:rsidRDefault="00904A6E" w:rsidP="00E74016">
            <w:pPr>
              <w:rPr>
                <w:rFonts w:ascii="Arial" w:hAnsi="Arial" w:cs="Arial"/>
                <w:sz w:val="20"/>
                <w:szCs w:val="20"/>
              </w:rPr>
            </w:pPr>
            <w:r>
              <w:rPr>
                <w:rFonts w:ascii="Arial" w:hAnsi="Arial" w:cs="Arial"/>
                <w:sz w:val="20"/>
                <w:szCs w:val="20"/>
              </w:rPr>
              <w:t>Improvement in quality of supports</w:t>
            </w:r>
          </w:p>
        </w:tc>
        <w:tc>
          <w:tcPr>
            <w:tcW w:w="2127" w:type="dxa"/>
            <w:vAlign w:val="center"/>
          </w:tcPr>
          <w:p w14:paraId="4A329F4A" w14:textId="0AA1C5C3" w:rsidR="00D21E4E" w:rsidRPr="00952A9F" w:rsidRDefault="00DD1ACB" w:rsidP="00E74016">
            <w:pPr>
              <w:rPr>
                <w:rFonts w:ascii="Arial" w:hAnsi="Arial" w:cs="Arial"/>
                <w:sz w:val="20"/>
                <w:szCs w:val="20"/>
              </w:rPr>
            </w:pPr>
            <w:r>
              <w:rPr>
                <w:rFonts w:ascii="Arial" w:hAnsi="Arial" w:cs="Arial"/>
                <w:sz w:val="20"/>
                <w:szCs w:val="20"/>
              </w:rPr>
              <w:t>2</w:t>
            </w:r>
          </w:p>
        </w:tc>
        <w:tc>
          <w:tcPr>
            <w:tcW w:w="1701" w:type="dxa"/>
            <w:vAlign w:val="center"/>
          </w:tcPr>
          <w:p w14:paraId="1315BEBD" w14:textId="05A8F6AB" w:rsidR="00D21E4E" w:rsidRPr="00952A9F" w:rsidRDefault="00FE5201" w:rsidP="00E74016">
            <w:pPr>
              <w:rPr>
                <w:rFonts w:ascii="Arial" w:hAnsi="Arial" w:cs="Arial"/>
                <w:sz w:val="20"/>
                <w:szCs w:val="20"/>
              </w:rPr>
            </w:pPr>
            <w:r>
              <w:rPr>
                <w:rFonts w:ascii="Arial" w:hAnsi="Arial" w:cs="Arial"/>
                <w:sz w:val="20"/>
                <w:szCs w:val="20"/>
              </w:rPr>
              <w:t>2</w:t>
            </w:r>
          </w:p>
        </w:tc>
        <w:tc>
          <w:tcPr>
            <w:tcW w:w="2126" w:type="dxa"/>
            <w:vAlign w:val="center"/>
          </w:tcPr>
          <w:p w14:paraId="6A269CA0" w14:textId="49E03741" w:rsidR="00D21E4E" w:rsidRPr="00952A9F" w:rsidRDefault="006161C3" w:rsidP="00E74016">
            <w:pPr>
              <w:rPr>
                <w:rFonts w:ascii="Arial" w:hAnsi="Arial" w:cs="Arial"/>
                <w:sz w:val="20"/>
                <w:szCs w:val="20"/>
              </w:rPr>
            </w:pPr>
            <w:r>
              <w:rPr>
                <w:rFonts w:ascii="Arial" w:hAnsi="Arial" w:cs="Arial"/>
                <w:sz w:val="20"/>
                <w:szCs w:val="20"/>
              </w:rPr>
              <w:t>-2</w:t>
            </w:r>
          </w:p>
        </w:tc>
      </w:tr>
      <w:tr w:rsidR="00D21E4E" w:rsidRPr="00952A9F" w14:paraId="6E996F71" w14:textId="77777777" w:rsidTr="7F72696E">
        <w:trPr>
          <w:trHeight w:val="610"/>
        </w:trPr>
        <w:tc>
          <w:tcPr>
            <w:tcW w:w="1669" w:type="dxa"/>
            <w:vMerge/>
            <w:vAlign w:val="center"/>
          </w:tcPr>
          <w:p w14:paraId="2FB3D220" w14:textId="77777777" w:rsidR="00D21E4E" w:rsidRPr="00952A9F" w:rsidRDefault="00D21E4E" w:rsidP="00E74016">
            <w:pPr>
              <w:rPr>
                <w:rFonts w:ascii="Arial" w:hAnsi="Arial" w:cs="Arial"/>
                <w:b/>
                <w:bCs/>
                <w:sz w:val="20"/>
                <w:szCs w:val="20"/>
              </w:rPr>
            </w:pPr>
          </w:p>
        </w:tc>
        <w:tc>
          <w:tcPr>
            <w:tcW w:w="3151" w:type="dxa"/>
            <w:vAlign w:val="center"/>
          </w:tcPr>
          <w:p w14:paraId="4F4D7153" w14:textId="155EC7A4" w:rsidR="00D21E4E" w:rsidRPr="00952A9F" w:rsidRDefault="00234C0C" w:rsidP="00E74016">
            <w:pPr>
              <w:rPr>
                <w:rFonts w:ascii="Arial" w:hAnsi="Arial" w:cs="Arial"/>
                <w:sz w:val="20"/>
                <w:szCs w:val="20"/>
              </w:rPr>
            </w:pPr>
            <w:r>
              <w:rPr>
                <w:rFonts w:ascii="Arial" w:hAnsi="Arial" w:cs="Arial"/>
                <w:sz w:val="20"/>
                <w:szCs w:val="20"/>
              </w:rPr>
              <w:t>Administrative ease</w:t>
            </w:r>
          </w:p>
        </w:tc>
        <w:tc>
          <w:tcPr>
            <w:tcW w:w="2127" w:type="dxa"/>
            <w:vAlign w:val="center"/>
          </w:tcPr>
          <w:p w14:paraId="69015617" w14:textId="16F6D275" w:rsidR="00D21E4E" w:rsidRPr="00952A9F" w:rsidRDefault="00320D83" w:rsidP="00E74016">
            <w:pPr>
              <w:rPr>
                <w:rFonts w:ascii="Arial" w:hAnsi="Arial" w:cs="Arial"/>
                <w:sz w:val="20"/>
                <w:szCs w:val="20"/>
              </w:rPr>
            </w:pPr>
            <w:r>
              <w:rPr>
                <w:rFonts w:ascii="Arial" w:hAnsi="Arial" w:cs="Arial"/>
                <w:sz w:val="20"/>
                <w:szCs w:val="20"/>
              </w:rPr>
              <w:t>-1</w:t>
            </w:r>
          </w:p>
        </w:tc>
        <w:tc>
          <w:tcPr>
            <w:tcW w:w="1701" w:type="dxa"/>
            <w:vAlign w:val="center"/>
          </w:tcPr>
          <w:p w14:paraId="7350A17F" w14:textId="6D6E117B" w:rsidR="00D21E4E" w:rsidRPr="00952A9F" w:rsidRDefault="00C71488" w:rsidP="00E74016">
            <w:pPr>
              <w:rPr>
                <w:rFonts w:ascii="Arial" w:hAnsi="Arial" w:cs="Arial"/>
                <w:sz w:val="20"/>
                <w:szCs w:val="20"/>
              </w:rPr>
            </w:pPr>
            <w:r>
              <w:rPr>
                <w:rFonts w:ascii="Arial" w:hAnsi="Arial" w:cs="Arial"/>
                <w:sz w:val="20"/>
                <w:szCs w:val="20"/>
              </w:rPr>
              <w:t>+1</w:t>
            </w:r>
          </w:p>
        </w:tc>
        <w:tc>
          <w:tcPr>
            <w:tcW w:w="2126" w:type="dxa"/>
            <w:vAlign w:val="center"/>
          </w:tcPr>
          <w:p w14:paraId="2090D072" w14:textId="73315CFC" w:rsidR="00D21E4E" w:rsidRPr="00952A9F" w:rsidRDefault="00DF26CE" w:rsidP="00E74016">
            <w:pPr>
              <w:rPr>
                <w:rFonts w:ascii="Arial" w:hAnsi="Arial" w:cs="Arial"/>
                <w:sz w:val="20"/>
                <w:szCs w:val="20"/>
              </w:rPr>
            </w:pPr>
            <w:r>
              <w:rPr>
                <w:rFonts w:ascii="Arial" w:hAnsi="Arial" w:cs="Arial"/>
                <w:sz w:val="20"/>
                <w:szCs w:val="20"/>
              </w:rPr>
              <w:t>-2</w:t>
            </w:r>
          </w:p>
        </w:tc>
      </w:tr>
      <w:tr w:rsidR="00DD089F" w:rsidRPr="00952A9F" w14:paraId="42E17B2D" w14:textId="77777777" w:rsidTr="7F72696E">
        <w:trPr>
          <w:trHeight w:val="612"/>
        </w:trPr>
        <w:tc>
          <w:tcPr>
            <w:tcW w:w="1669" w:type="dxa"/>
            <w:vMerge w:val="restart"/>
            <w:shd w:val="clear" w:color="auto" w:fill="004261" w:themeFill="accent2"/>
            <w:vAlign w:val="center"/>
          </w:tcPr>
          <w:p w14:paraId="3AB1ABFD" w14:textId="77777777" w:rsidR="00DD089F" w:rsidRPr="00952A9F" w:rsidRDefault="00DD089F" w:rsidP="00E74016">
            <w:pPr>
              <w:rPr>
                <w:rFonts w:ascii="Arial" w:hAnsi="Arial" w:cs="Arial"/>
                <w:b/>
                <w:bCs/>
                <w:sz w:val="18"/>
                <w:szCs w:val="18"/>
              </w:rPr>
            </w:pPr>
            <w:r w:rsidRPr="00952A9F">
              <w:rPr>
                <w:rFonts w:ascii="Arial" w:hAnsi="Arial" w:cs="Arial"/>
                <w:b/>
                <w:bCs/>
                <w:sz w:val="20"/>
                <w:szCs w:val="20"/>
              </w:rPr>
              <w:t>NDIS providers</w:t>
            </w:r>
          </w:p>
        </w:tc>
        <w:tc>
          <w:tcPr>
            <w:tcW w:w="3151" w:type="dxa"/>
            <w:vAlign w:val="center"/>
          </w:tcPr>
          <w:p w14:paraId="3143FA43" w14:textId="4F94BB0E" w:rsidR="00DD089F" w:rsidRPr="00952A9F" w:rsidRDefault="008E62EB" w:rsidP="00DD089F">
            <w:pPr>
              <w:rPr>
                <w:rFonts w:ascii="Arial" w:hAnsi="Arial" w:cs="Arial"/>
                <w:sz w:val="20"/>
                <w:szCs w:val="20"/>
              </w:rPr>
            </w:pPr>
            <w:r>
              <w:rPr>
                <w:rFonts w:ascii="Arial" w:hAnsi="Arial" w:cs="Arial"/>
                <w:sz w:val="20"/>
                <w:szCs w:val="20"/>
              </w:rPr>
              <w:t xml:space="preserve">Competitive </w:t>
            </w:r>
            <w:r w:rsidR="002828CA">
              <w:rPr>
                <w:rFonts w:ascii="Arial" w:hAnsi="Arial" w:cs="Arial"/>
                <w:sz w:val="20"/>
                <w:szCs w:val="20"/>
              </w:rPr>
              <w:t>consistency</w:t>
            </w:r>
            <w:r>
              <w:rPr>
                <w:rFonts w:ascii="Arial" w:hAnsi="Arial" w:cs="Arial"/>
                <w:sz w:val="20"/>
                <w:szCs w:val="20"/>
              </w:rPr>
              <w:t xml:space="preserve"> </w:t>
            </w:r>
          </w:p>
        </w:tc>
        <w:tc>
          <w:tcPr>
            <w:tcW w:w="2127" w:type="dxa"/>
            <w:vAlign w:val="center"/>
          </w:tcPr>
          <w:p w14:paraId="271F9086" w14:textId="0AF1F65D" w:rsidR="00DD089F" w:rsidRPr="00952A9F" w:rsidRDefault="00A352DE" w:rsidP="00DD089F">
            <w:pPr>
              <w:rPr>
                <w:rFonts w:ascii="Arial" w:hAnsi="Arial" w:cs="Arial"/>
                <w:sz w:val="20"/>
                <w:szCs w:val="20"/>
              </w:rPr>
            </w:pPr>
            <w:r>
              <w:rPr>
                <w:rFonts w:ascii="Arial" w:hAnsi="Arial" w:cs="Arial"/>
                <w:sz w:val="20"/>
                <w:szCs w:val="20"/>
              </w:rPr>
              <w:t>2</w:t>
            </w:r>
          </w:p>
        </w:tc>
        <w:tc>
          <w:tcPr>
            <w:tcW w:w="1701" w:type="dxa"/>
            <w:vAlign w:val="center"/>
          </w:tcPr>
          <w:p w14:paraId="29489EBB" w14:textId="1386DC51" w:rsidR="00DD089F" w:rsidRPr="00952A9F" w:rsidRDefault="00B810F5" w:rsidP="00DD089F">
            <w:pPr>
              <w:rPr>
                <w:rFonts w:ascii="Arial" w:hAnsi="Arial" w:cs="Arial"/>
                <w:sz w:val="20"/>
                <w:szCs w:val="20"/>
              </w:rPr>
            </w:pPr>
            <w:r>
              <w:rPr>
                <w:rFonts w:ascii="Arial" w:hAnsi="Arial" w:cs="Arial"/>
                <w:sz w:val="20"/>
                <w:szCs w:val="20"/>
              </w:rPr>
              <w:t>2</w:t>
            </w:r>
          </w:p>
        </w:tc>
        <w:tc>
          <w:tcPr>
            <w:tcW w:w="2126" w:type="dxa"/>
            <w:vAlign w:val="center"/>
          </w:tcPr>
          <w:p w14:paraId="3BFF0EA4" w14:textId="58F3109C" w:rsidR="00DD089F" w:rsidRPr="00952A9F" w:rsidRDefault="00DD345E" w:rsidP="00DD089F">
            <w:pPr>
              <w:rPr>
                <w:rFonts w:ascii="Arial" w:hAnsi="Arial" w:cs="Arial"/>
                <w:sz w:val="20"/>
                <w:szCs w:val="20"/>
              </w:rPr>
            </w:pPr>
            <w:r>
              <w:rPr>
                <w:rFonts w:ascii="Arial" w:hAnsi="Arial" w:cs="Arial"/>
                <w:sz w:val="20"/>
                <w:szCs w:val="20"/>
              </w:rPr>
              <w:t>-3</w:t>
            </w:r>
          </w:p>
        </w:tc>
      </w:tr>
      <w:tr w:rsidR="00DD089F" w:rsidRPr="00952A9F" w14:paraId="3853E84A" w14:textId="77777777" w:rsidTr="7F72696E">
        <w:trPr>
          <w:trHeight w:val="612"/>
        </w:trPr>
        <w:tc>
          <w:tcPr>
            <w:tcW w:w="1669" w:type="dxa"/>
            <w:vMerge/>
            <w:vAlign w:val="center"/>
          </w:tcPr>
          <w:p w14:paraId="2C49C9FD" w14:textId="77777777" w:rsidR="00DD089F" w:rsidRPr="00952A9F" w:rsidRDefault="00DD089F" w:rsidP="00E74016">
            <w:pPr>
              <w:rPr>
                <w:rFonts w:ascii="Arial" w:hAnsi="Arial" w:cs="Arial"/>
                <w:b/>
                <w:bCs/>
                <w:sz w:val="20"/>
                <w:szCs w:val="20"/>
              </w:rPr>
            </w:pPr>
          </w:p>
        </w:tc>
        <w:tc>
          <w:tcPr>
            <w:tcW w:w="3151" w:type="dxa"/>
            <w:vAlign w:val="center"/>
          </w:tcPr>
          <w:p w14:paraId="5E972B5D" w14:textId="68F1DD50" w:rsidR="00DD089F" w:rsidRPr="00952A9F" w:rsidRDefault="002828CA" w:rsidP="00DD089F">
            <w:pPr>
              <w:rPr>
                <w:rFonts w:ascii="Arial" w:hAnsi="Arial" w:cs="Arial"/>
                <w:sz w:val="20"/>
                <w:szCs w:val="20"/>
              </w:rPr>
            </w:pPr>
            <w:r>
              <w:rPr>
                <w:rFonts w:ascii="Arial" w:hAnsi="Arial" w:cs="Arial"/>
                <w:sz w:val="20"/>
                <w:szCs w:val="20"/>
              </w:rPr>
              <w:t>Obligations</w:t>
            </w:r>
          </w:p>
        </w:tc>
        <w:tc>
          <w:tcPr>
            <w:tcW w:w="2127" w:type="dxa"/>
            <w:vAlign w:val="center"/>
          </w:tcPr>
          <w:p w14:paraId="6867835F" w14:textId="7EB9B005" w:rsidR="00DD089F" w:rsidRPr="00952A9F" w:rsidRDefault="001F0218" w:rsidP="00DD089F">
            <w:pPr>
              <w:rPr>
                <w:rFonts w:ascii="Arial" w:hAnsi="Arial" w:cs="Arial"/>
                <w:sz w:val="20"/>
                <w:szCs w:val="20"/>
              </w:rPr>
            </w:pPr>
            <w:r>
              <w:rPr>
                <w:rFonts w:ascii="Arial" w:hAnsi="Arial" w:cs="Arial"/>
                <w:sz w:val="20"/>
                <w:szCs w:val="20"/>
              </w:rPr>
              <w:t>1</w:t>
            </w:r>
          </w:p>
        </w:tc>
        <w:tc>
          <w:tcPr>
            <w:tcW w:w="1701" w:type="dxa"/>
            <w:vAlign w:val="center"/>
          </w:tcPr>
          <w:p w14:paraId="6627C5A0" w14:textId="63843640" w:rsidR="00DD089F" w:rsidRPr="00952A9F" w:rsidRDefault="001F0218" w:rsidP="00DD089F">
            <w:pPr>
              <w:rPr>
                <w:rFonts w:ascii="Arial" w:hAnsi="Arial" w:cs="Arial"/>
                <w:sz w:val="20"/>
                <w:szCs w:val="20"/>
              </w:rPr>
            </w:pPr>
            <w:r>
              <w:rPr>
                <w:rFonts w:ascii="Arial" w:hAnsi="Arial" w:cs="Arial"/>
                <w:sz w:val="20"/>
                <w:szCs w:val="20"/>
              </w:rPr>
              <w:t>3</w:t>
            </w:r>
          </w:p>
        </w:tc>
        <w:tc>
          <w:tcPr>
            <w:tcW w:w="2126" w:type="dxa"/>
            <w:vAlign w:val="center"/>
          </w:tcPr>
          <w:p w14:paraId="25D6B113" w14:textId="48A044C4" w:rsidR="00DD089F" w:rsidRPr="00952A9F" w:rsidRDefault="00F850AB" w:rsidP="00DD089F">
            <w:pPr>
              <w:rPr>
                <w:rFonts w:ascii="Arial" w:hAnsi="Arial" w:cs="Arial"/>
                <w:sz w:val="20"/>
                <w:szCs w:val="20"/>
              </w:rPr>
            </w:pPr>
            <w:r>
              <w:rPr>
                <w:rFonts w:ascii="Arial" w:hAnsi="Arial" w:cs="Arial"/>
                <w:sz w:val="20"/>
                <w:szCs w:val="20"/>
              </w:rPr>
              <w:t>-1</w:t>
            </w:r>
          </w:p>
        </w:tc>
      </w:tr>
      <w:tr w:rsidR="00DD089F" w:rsidRPr="00952A9F" w14:paraId="38E99AD9" w14:textId="77777777" w:rsidTr="7F72696E">
        <w:trPr>
          <w:trHeight w:val="612"/>
        </w:trPr>
        <w:tc>
          <w:tcPr>
            <w:tcW w:w="1669" w:type="dxa"/>
            <w:vMerge/>
            <w:vAlign w:val="center"/>
          </w:tcPr>
          <w:p w14:paraId="0603362E" w14:textId="77777777" w:rsidR="00DD089F" w:rsidRPr="00952A9F" w:rsidRDefault="00DD089F" w:rsidP="00E74016">
            <w:pPr>
              <w:rPr>
                <w:rFonts w:ascii="Arial" w:hAnsi="Arial" w:cs="Arial"/>
                <w:b/>
                <w:bCs/>
                <w:sz w:val="20"/>
                <w:szCs w:val="20"/>
              </w:rPr>
            </w:pPr>
          </w:p>
        </w:tc>
        <w:tc>
          <w:tcPr>
            <w:tcW w:w="3151" w:type="dxa"/>
            <w:vAlign w:val="center"/>
          </w:tcPr>
          <w:p w14:paraId="0A265D02" w14:textId="480061FD" w:rsidR="00DD089F" w:rsidRPr="00952A9F" w:rsidRDefault="00B666E6" w:rsidP="00DD089F">
            <w:pPr>
              <w:rPr>
                <w:rFonts w:ascii="Arial" w:hAnsi="Arial" w:cs="Arial"/>
                <w:sz w:val="20"/>
                <w:szCs w:val="20"/>
              </w:rPr>
            </w:pPr>
            <w:r>
              <w:rPr>
                <w:rFonts w:ascii="Arial" w:hAnsi="Arial" w:cs="Arial"/>
                <w:sz w:val="20"/>
                <w:szCs w:val="20"/>
              </w:rPr>
              <w:t>Incentive to improve service</w:t>
            </w:r>
          </w:p>
        </w:tc>
        <w:tc>
          <w:tcPr>
            <w:tcW w:w="2127" w:type="dxa"/>
            <w:vAlign w:val="center"/>
          </w:tcPr>
          <w:p w14:paraId="7CCAD7A9" w14:textId="649E7524" w:rsidR="00DD089F" w:rsidRPr="00952A9F" w:rsidRDefault="0082466B" w:rsidP="00DD089F">
            <w:pPr>
              <w:rPr>
                <w:rFonts w:ascii="Arial" w:hAnsi="Arial" w:cs="Arial"/>
                <w:sz w:val="20"/>
                <w:szCs w:val="20"/>
              </w:rPr>
            </w:pPr>
            <w:r>
              <w:rPr>
                <w:rFonts w:ascii="Arial" w:hAnsi="Arial" w:cs="Arial"/>
                <w:sz w:val="20"/>
                <w:szCs w:val="20"/>
              </w:rPr>
              <w:t>1</w:t>
            </w:r>
          </w:p>
        </w:tc>
        <w:tc>
          <w:tcPr>
            <w:tcW w:w="1701" w:type="dxa"/>
            <w:vAlign w:val="center"/>
          </w:tcPr>
          <w:p w14:paraId="0CC0689B" w14:textId="0906D384" w:rsidR="00DD089F" w:rsidRPr="00952A9F" w:rsidRDefault="00B65B35" w:rsidP="00DD089F">
            <w:pPr>
              <w:rPr>
                <w:rFonts w:ascii="Arial" w:hAnsi="Arial" w:cs="Arial"/>
                <w:sz w:val="20"/>
                <w:szCs w:val="20"/>
              </w:rPr>
            </w:pPr>
            <w:r>
              <w:rPr>
                <w:rFonts w:ascii="Arial" w:hAnsi="Arial" w:cs="Arial"/>
                <w:sz w:val="20"/>
                <w:szCs w:val="20"/>
              </w:rPr>
              <w:t>2</w:t>
            </w:r>
          </w:p>
        </w:tc>
        <w:tc>
          <w:tcPr>
            <w:tcW w:w="2126" w:type="dxa"/>
            <w:vAlign w:val="center"/>
          </w:tcPr>
          <w:p w14:paraId="44422747" w14:textId="565A0943" w:rsidR="00DD089F" w:rsidRPr="00952A9F" w:rsidRDefault="00B65B35" w:rsidP="00DD089F">
            <w:pPr>
              <w:rPr>
                <w:rFonts w:ascii="Arial" w:hAnsi="Arial" w:cs="Arial"/>
                <w:sz w:val="20"/>
                <w:szCs w:val="20"/>
              </w:rPr>
            </w:pPr>
            <w:r>
              <w:rPr>
                <w:rFonts w:ascii="Arial" w:hAnsi="Arial" w:cs="Arial"/>
                <w:sz w:val="20"/>
                <w:szCs w:val="20"/>
              </w:rPr>
              <w:t>-2</w:t>
            </w:r>
          </w:p>
        </w:tc>
      </w:tr>
      <w:tr w:rsidR="00DD089F" w:rsidRPr="00952A9F" w14:paraId="466E735B" w14:textId="77777777" w:rsidTr="7F72696E">
        <w:trPr>
          <w:trHeight w:val="612"/>
        </w:trPr>
        <w:tc>
          <w:tcPr>
            <w:tcW w:w="1669" w:type="dxa"/>
            <w:vMerge w:val="restart"/>
            <w:shd w:val="clear" w:color="auto" w:fill="004261" w:themeFill="accent2"/>
            <w:vAlign w:val="center"/>
          </w:tcPr>
          <w:p w14:paraId="5F3F3FC4" w14:textId="77777777" w:rsidR="00DD089F" w:rsidRPr="00952A9F" w:rsidRDefault="00DD089F" w:rsidP="00E74016">
            <w:pPr>
              <w:rPr>
                <w:rFonts w:ascii="Arial" w:hAnsi="Arial" w:cs="Arial"/>
                <w:b/>
                <w:bCs/>
                <w:sz w:val="18"/>
                <w:szCs w:val="18"/>
              </w:rPr>
            </w:pPr>
            <w:r w:rsidRPr="00952A9F">
              <w:rPr>
                <w:rFonts w:ascii="Arial" w:hAnsi="Arial" w:cs="Arial"/>
                <w:b/>
                <w:bCs/>
                <w:sz w:val="20"/>
                <w:szCs w:val="20"/>
              </w:rPr>
              <w:t>NDIS Workers</w:t>
            </w:r>
          </w:p>
        </w:tc>
        <w:tc>
          <w:tcPr>
            <w:tcW w:w="3151" w:type="dxa"/>
            <w:vAlign w:val="center"/>
          </w:tcPr>
          <w:p w14:paraId="5DF86527" w14:textId="415B01F2" w:rsidR="00DD089F" w:rsidRPr="00952A9F" w:rsidRDefault="00F15385" w:rsidP="00DD089F">
            <w:pPr>
              <w:rPr>
                <w:rFonts w:ascii="Arial" w:hAnsi="Arial" w:cs="Arial"/>
                <w:sz w:val="20"/>
                <w:szCs w:val="20"/>
              </w:rPr>
            </w:pPr>
            <w:r>
              <w:rPr>
                <w:rFonts w:ascii="Arial" w:hAnsi="Arial" w:cs="Arial"/>
                <w:sz w:val="20"/>
                <w:szCs w:val="20"/>
              </w:rPr>
              <w:t>Workforce mobility</w:t>
            </w:r>
          </w:p>
        </w:tc>
        <w:tc>
          <w:tcPr>
            <w:tcW w:w="2127" w:type="dxa"/>
            <w:vAlign w:val="center"/>
          </w:tcPr>
          <w:p w14:paraId="74478441" w14:textId="5CE367ED" w:rsidR="00DD089F" w:rsidRPr="00952A9F" w:rsidRDefault="00522709" w:rsidP="00DD089F">
            <w:pPr>
              <w:rPr>
                <w:rFonts w:ascii="Arial" w:hAnsi="Arial" w:cs="Arial"/>
                <w:sz w:val="20"/>
                <w:szCs w:val="20"/>
              </w:rPr>
            </w:pPr>
            <w:r>
              <w:rPr>
                <w:rFonts w:ascii="Arial" w:hAnsi="Arial" w:cs="Arial"/>
                <w:sz w:val="20"/>
                <w:szCs w:val="20"/>
              </w:rPr>
              <w:t>2</w:t>
            </w:r>
          </w:p>
        </w:tc>
        <w:tc>
          <w:tcPr>
            <w:tcW w:w="1701" w:type="dxa"/>
            <w:vAlign w:val="center"/>
          </w:tcPr>
          <w:p w14:paraId="0C038EB0" w14:textId="5C19DBFB" w:rsidR="00DD089F" w:rsidRPr="00952A9F" w:rsidRDefault="00165865" w:rsidP="00DD089F">
            <w:pPr>
              <w:keepNext/>
              <w:rPr>
                <w:rFonts w:ascii="Arial" w:hAnsi="Arial" w:cs="Arial"/>
                <w:sz w:val="20"/>
                <w:szCs w:val="20"/>
              </w:rPr>
            </w:pPr>
            <w:r>
              <w:rPr>
                <w:rFonts w:ascii="Arial" w:hAnsi="Arial" w:cs="Arial"/>
                <w:sz w:val="20"/>
                <w:szCs w:val="20"/>
              </w:rPr>
              <w:t>2</w:t>
            </w:r>
          </w:p>
        </w:tc>
        <w:tc>
          <w:tcPr>
            <w:tcW w:w="2126" w:type="dxa"/>
            <w:vAlign w:val="center"/>
          </w:tcPr>
          <w:p w14:paraId="48141B77" w14:textId="425A2BBF" w:rsidR="00DD089F" w:rsidRPr="00952A9F" w:rsidRDefault="002160DC" w:rsidP="00DD089F">
            <w:pPr>
              <w:keepNext/>
              <w:rPr>
                <w:rFonts w:ascii="Arial" w:hAnsi="Arial" w:cs="Arial"/>
                <w:sz w:val="20"/>
                <w:szCs w:val="20"/>
              </w:rPr>
            </w:pPr>
            <w:r>
              <w:rPr>
                <w:rFonts w:ascii="Arial" w:hAnsi="Arial" w:cs="Arial"/>
                <w:sz w:val="20"/>
                <w:szCs w:val="20"/>
              </w:rPr>
              <w:t>0</w:t>
            </w:r>
          </w:p>
        </w:tc>
      </w:tr>
      <w:tr w:rsidR="00DD089F" w:rsidRPr="00952A9F" w14:paraId="309C47A9" w14:textId="77777777" w:rsidTr="7F72696E">
        <w:trPr>
          <w:trHeight w:val="612"/>
        </w:trPr>
        <w:tc>
          <w:tcPr>
            <w:tcW w:w="1669" w:type="dxa"/>
            <w:vMerge/>
            <w:vAlign w:val="center"/>
          </w:tcPr>
          <w:p w14:paraId="0249FB35" w14:textId="77777777" w:rsidR="00DD089F" w:rsidRPr="00952A9F" w:rsidRDefault="00DD089F" w:rsidP="00E74016">
            <w:pPr>
              <w:rPr>
                <w:rFonts w:ascii="Arial" w:hAnsi="Arial" w:cs="Arial"/>
                <w:b/>
                <w:bCs/>
                <w:sz w:val="20"/>
                <w:szCs w:val="20"/>
              </w:rPr>
            </w:pPr>
          </w:p>
        </w:tc>
        <w:tc>
          <w:tcPr>
            <w:tcW w:w="3151" w:type="dxa"/>
            <w:vAlign w:val="center"/>
          </w:tcPr>
          <w:p w14:paraId="527EA2E3" w14:textId="20115845" w:rsidR="00DD089F" w:rsidRPr="00952A9F" w:rsidRDefault="00F15385" w:rsidP="00DD089F">
            <w:pPr>
              <w:rPr>
                <w:rFonts w:ascii="Arial" w:hAnsi="Arial" w:cs="Arial"/>
                <w:sz w:val="20"/>
                <w:szCs w:val="20"/>
              </w:rPr>
            </w:pPr>
            <w:r>
              <w:rPr>
                <w:rFonts w:ascii="Arial" w:hAnsi="Arial" w:cs="Arial"/>
                <w:sz w:val="20"/>
                <w:szCs w:val="20"/>
              </w:rPr>
              <w:t xml:space="preserve">Employment </w:t>
            </w:r>
            <w:r w:rsidR="00B835B3">
              <w:rPr>
                <w:rFonts w:ascii="Arial" w:hAnsi="Arial" w:cs="Arial"/>
                <w:sz w:val="20"/>
                <w:szCs w:val="20"/>
              </w:rPr>
              <w:t>standards</w:t>
            </w:r>
          </w:p>
        </w:tc>
        <w:tc>
          <w:tcPr>
            <w:tcW w:w="2127" w:type="dxa"/>
            <w:vAlign w:val="center"/>
          </w:tcPr>
          <w:p w14:paraId="5F3BB7ED" w14:textId="6C582284" w:rsidR="00DD089F" w:rsidRPr="00952A9F" w:rsidRDefault="00750347" w:rsidP="00DD089F">
            <w:pPr>
              <w:rPr>
                <w:rFonts w:ascii="Arial" w:hAnsi="Arial" w:cs="Arial"/>
                <w:sz w:val="20"/>
                <w:szCs w:val="20"/>
              </w:rPr>
            </w:pPr>
            <w:r>
              <w:rPr>
                <w:rFonts w:ascii="Arial" w:hAnsi="Arial" w:cs="Arial"/>
                <w:sz w:val="20"/>
                <w:szCs w:val="20"/>
              </w:rPr>
              <w:t>2</w:t>
            </w:r>
          </w:p>
        </w:tc>
        <w:tc>
          <w:tcPr>
            <w:tcW w:w="1701" w:type="dxa"/>
            <w:vAlign w:val="center"/>
          </w:tcPr>
          <w:p w14:paraId="110BFAA8" w14:textId="46ACAF0F" w:rsidR="00DD089F" w:rsidRPr="00952A9F" w:rsidRDefault="00750347" w:rsidP="00DD089F">
            <w:pPr>
              <w:rPr>
                <w:rFonts w:ascii="Arial" w:hAnsi="Arial" w:cs="Arial"/>
                <w:sz w:val="20"/>
                <w:szCs w:val="20"/>
              </w:rPr>
            </w:pPr>
            <w:r>
              <w:rPr>
                <w:rFonts w:ascii="Arial" w:hAnsi="Arial" w:cs="Arial"/>
                <w:sz w:val="20"/>
                <w:szCs w:val="20"/>
              </w:rPr>
              <w:t>2</w:t>
            </w:r>
          </w:p>
        </w:tc>
        <w:tc>
          <w:tcPr>
            <w:tcW w:w="2126" w:type="dxa"/>
            <w:vAlign w:val="center"/>
          </w:tcPr>
          <w:p w14:paraId="6B36CE7B" w14:textId="379135E3" w:rsidR="00DD089F" w:rsidRPr="00952A9F" w:rsidRDefault="00750347" w:rsidP="00DD089F">
            <w:pPr>
              <w:rPr>
                <w:rFonts w:ascii="Arial" w:hAnsi="Arial" w:cs="Arial"/>
                <w:sz w:val="20"/>
                <w:szCs w:val="20"/>
              </w:rPr>
            </w:pPr>
            <w:r>
              <w:rPr>
                <w:rFonts w:ascii="Arial" w:hAnsi="Arial" w:cs="Arial"/>
                <w:sz w:val="20"/>
                <w:szCs w:val="20"/>
              </w:rPr>
              <w:t>-2</w:t>
            </w:r>
          </w:p>
        </w:tc>
      </w:tr>
      <w:tr w:rsidR="00DD089F" w:rsidRPr="00952A9F" w14:paraId="70E3EA02" w14:textId="77777777" w:rsidTr="7F72696E">
        <w:trPr>
          <w:trHeight w:val="612"/>
        </w:trPr>
        <w:tc>
          <w:tcPr>
            <w:tcW w:w="1669" w:type="dxa"/>
            <w:vMerge/>
            <w:vAlign w:val="center"/>
          </w:tcPr>
          <w:p w14:paraId="7675FC6D" w14:textId="77777777" w:rsidR="00DD089F" w:rsidRPr="00952A9F" w:rsidRDefault="00DD089F" w:rsidP="00E74016">
            <w:pPr>
              <w:rPr>
                <w:rFonts w:ascii="Arial" w:hAnsi="Arial" w:cs="Arial"/>
                <w:b/>
                <w:bCs/>
                <w:sz w:val="20"/>
                <w:szCs w:val="20"/>
              </w:rPr>
            </w:pPr>
          </w:p>
        </w:tc>
        <w:tc>
          <w:tcPr>
            <w:tcW w:w="3151" w:type="dxa"/>
            <w:vAlign w:val="center"/>
          </w:tcPr>
          <w:p w14:paraId="4B972197" w14:textId="1CAAC335" w:rsidR="00DD089F" w:rsidRPr="00952A9F" w:rsidRDefault="00D76EFD" w:rsidP="00DD089F">
            <w:pPr>
              <w:rPr>
                <w:rFonts w:ascii="Arial" w:hAnsi="Arial" w:cs="Arial"/>
                <w:sz w:val="20"/>
                <w:szCs w:val="20"/>
              </w:rPr>
            </w:pPr>
            <w:r>
              <w:rPr>
                <w:rFonts w:ascii="Arial" w:hAnsi="Arial" w:cs="Arial"/>
                <w:sz w:val="20"/>
                <w:szCs w:val="20"/>
              </w:rPr>
              <w:t>Professional standards</w:t>
            </w:r>
          </w:p>
        </w:tc>
        <w:tc>
          <w:tcPr>
            <w:tcW w:w="2127" w:type="dxa"/>
            <w:vAlign w:val="center"/>
          </w:tcPr>
          <w:p w14:paraId="7FF07631" w14:textId="35BAC80D" w:rsidR="00DD089F" w:rsidRPr="00952A9F" w:rsidRDefault="00750347" w:rsidP="00DD089F">
            <w:pPr>
              <w:rPr>
                <w:rFonts w:ascii="Arial" w:hAnsi="Arial" w:cs="Arial"/>
                <w:sz w:val="20"/>
                <w:szCs w:val="20"/>
              </w:rPr>
            </w:pPr>
            <w:r>
              <w:rPr>
                <w:rFonts w:ascii="Arial" w:hAnsi="Arial" w:cs="Arial"/>
                <w:sz w:val="20"/>
                <w:szCs w:val="20"/>
              </w:rPr>
              <w:t>3</w:t>
            </w:r>
          </w:p>
        </w:tc>
        <w:tc>
          <w:tcPr>
            <w:tcW w:w="1701" w:type="dxa"/>
            <w:vAlign w:val="center"/>
          </w:tcPr>
          <w:p w14:paraId="46F33BEC" w14:textId="414601AB" w:rsidR="00DD089F" w:rsidRPr="00952A9F" w:rsidRDefault="00750347" w:rsidP="00DD089F">
            <w:pPr>
              <w:rPr>
                <w:rFonts w:ascii="Arial" w:hAnsi="Arial" w:cs="Arial"/>
                <w:sz w:val="20"/>
                <w:szCs w:val="20"/>
              </w:rPr>
            </w:pPr>
            <w:r>
              <w:rPr>
                <w:rFonts w:ascii="Arial" w:hAnsi="Arial" w:cs="Arial"/>
                <w:sz w:val="20"/>
                <w:szCs w:val="20"/>
              </w:rPr>
              <w:t>2</w:t>
            </w:r>
          </w:p>
        </w:tc>
        <w:tc>
          <w:tcPr>
            <w:tcW w:w="2126" w:type="dxa"/>
            <w:vAlign w:val="center"/>
          </w:tcPr>
          <w:p w14:paraId="2761E03A" w14:textId="4CAA6DE0" w:rsidR="00DD089F" w:rsidRPr="00952A9F" w:rsidRDefault="00750347" w:rsidP="00DD089F">
            <w:pPr>
              <w:rPr>
                <w:rFonts w:ascii="Arial" w:hAnsi="Arial" w:cs="Arial"/>
                <w:sz w:val="20"/>
                <w:szCs w:val="20"/>
              </w:rPr>
            </w:pPr>
            <w:r>
              <w:rPr>
                <w:rFonts w:ascii="Arial" w:hAnsi="Arial" w:cs="Arial"/>
                <w:sz w:val="20"/>
                <w:szCs w:val="20"/>
              </w:rPr>
              <w:t>-2</w:t>
            </w:r>
          </w:p>
        </w:tc>
      </w:tr>
      <w:tr w:rsidR="00FF6C0A" w:rsidRPr="00952A9F" w14:paraId="5A667496" w14:textId="77777777" w:rsidTr="7F72696E">
        <w:trPr>
          <w:trHeight w:val="536"/>
        </w:trPr>
        <w:tc>
          <w:tcPr>
            <w:tcW w:w="1669" w:type="dxa"/>
            <w:shd w:val="clear" w:color="auto" w:fill="004261" w:themeFill="accent2"/>
            <w:vAlign w:val="center"/>
          </w:tcPr>
          <w:p w14:paraId="312264A4" w14:textId="3FFD2E91" w:rsidR="00FF6C0A" w:rsidRPr="00952A9F" w:rsidRDefault="00FF6C0A" w:rsidP="00E74016">
            <w:pPr>
              <w:rPr>
                <w:rFonts w:ascii="Arial" w:hAnsi="Arial" w:cs="Arial"/>
                <w:b/>
                <w:bCs/>
                <w:sz w:val="20"/>
                <w:szCs w:val="20"/>
              </w:rPr>
            </w:pPr>
            <w:r>
              <w:rPr>
                <w:rFonts w:ascii="Arial" w:hAnsi="Arial" w:cs="Arial"/>
                <w:b/>
                <w:bCs/>
                <w:sz w:val="20"/>
                <w:szCs w:val="20"/>
              </w:rPr>
              <w:t>Total rating</w:t>
            </w:r>
          </w:p>
        </w:tc>
        <w:tc>
          <w:tcPr>
            <w:tcW w:w="3151" w:type="dxa"/>
            <w:shd w:val="clear" w:color="auto" w:fill="BFBFBF" w:themeFill="background2" w:themeFillShade="BF"/>
          </w:tcPr>
          <w:p w14:paraId="779C3FE0" w14:textId="77777777" w:rsidR="00FF6C0A" w:rsidRDefault="00FF6C0A" w:rsidP="00E74016">
            <w:pPr>
              <w:rPr>
                <w:rFonts w:ascii="Arial" w:hAnsi="Arial" w:cs="Arial"/>
                <w:sz w:val="20"/>
                <w:szCs w:val="20"/>
              </w:rPr>
            </w:pPr>
          </w:p>
        </w:tc>
        <w:tc>
          <w:tcPr>
            <w:tcW w:w="2127" w:type="dxa"/>
            <w:shd w:val="clear" w:color="auto" w:fill="BFBFBF" w:themeFill="background2" w:themeFillShade="BF"/>
            <w:vAlign w:val="center"/>
          </w:tcPr>
          <w:p w14:paraId="0F7BB941" w14:textId="2D71B881" w:rsidR="00FF6C0A" w:rsidRPr="00952A9F" w:rsidRDefault="00A36FF7" w:rsidP="00E74016">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=SUM(ABOVE) </w:instrText>
            </w:r>
            <w:r>
              <w:rPr>
                <w:rFonts w:ascii="Arial" w:hAnsi="Arial" w:cs="Arial"/>
                <w:sz w:val="20"/>
                <w:szCs w:val="20"/>
              </w:rPr>
              <w:fldChar w:fldCharType="separate"/>
            </w:r>
            <w:r>
              <w:rPr>
                <w:rFonts w:ascii="Arial" w:hAnsi="Arial" w:cs="Arial"/>
                <w:noProof/>
                <w:sz w:val="20"/>
                <w:szCs w:val="20"/>
              </w:rPr>
              <w:t>14</w:t>
            </w:r>
            <w:r>
              <w:rPr>
                <w:rFonts w:ascii="Arial" w:hAnsi="Arial" w:cs="Arial"/>
                <w:sz w:val="20"/>
                <w:szCs w:val="20"/>
              </w:rPr>
              <w:fldChar w:fldCharType="end"/>
            </w:r>
          </w:p>
        </w:tc>
        <w:tc>
          <w:tcPr>
            <w:tcW w:w="1701" w:type="dxa"/>
            <w:shd w:val="clear" w:color="auto" w:fill="BFBFBF" w:themeFill="background2" w:themeFillShade="BF"/>
            <w:vAlign w:val="center"/>
          </w:tcPr>
          <w:p w14:paraId="187EA5A4" w14:textId="48454AB1" w:rsidR="00FF6C0A" w:rsidRPr="00952A9F" w:rsidRDefault="00A36FF7" w:rsidP="00E74016">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=SUM(ABOVE) </w:instrText>
            </w:r>
            <w:r>
              <w:rPr>
                <w:rFonts w:ascii="Arial" w:hAnsi="Arial" w:cs="Arial"/>
                <w:sz w:val="20"/>
                <w:szCs w:val="20"/>
              </w:rPr>
              <w:fldChar w:fldCharType="separate"/>
            </w:r>
            <w:r>
              <w:rPr>
                <w:rFonts w:ascii="Arial" w:hAnsi="Arial" w:cs="Arial"/>
                <w:noProof/>
                <w:sz w:val="20"/>
                <w:szCs w:val="20"/>
              </w:rPr>
              <w:t>17</w:t>
            </w:r>
            <w:r>
              <w:rPr>
                <w:rFonts w:ascii="Arial" w:hAnsi="Arial" w:cs="Arial"/>
                <w:sz w:val="20"/>
                <w:szCs w:val="20"/>
              </w:rPr>
              <w:fldChar w:fldCharType="end"/>
            </w:r>
          </w:p>
        </w:tc>
        <w:tc>
          <w:tcPr>
            <w:tcW w:w="2126" w:type="dxa"/>
            <w:shd w:val="clear" w:color="auto" w:fill="BFBFBF" w:themeFill="background2" w:themeFillShade="BF"/>
            <w:vAlign w:val="center"/>
          </w:tcPr>
          <w:p w14:paraId="4DA552CE" w14:textId="4C820986" w:rsidR="00FF6C0A" w:rsidRPr="00952A9F" w:rsidRDefault="00A36FF7" w:rsidP="00E74016">
            <w:pPr>
              <w:keepNex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=SUM(ABOVE) </w:instrText>
            </w:r>
            <w:r>
              <w:rPr>
                <w:rFonts w:ascii="Arial" w:hAnsi="Arial" w:cs="Arial"/>
                <w:sz w:val="20"/>
                <w:szCs w:val="20"/>
              </w:rPr>
              <w:fldChar w:fldCharType="separate"/>
            </w:r>
            <w:r>
              <w:rPr>
                <w:rFonts w:ascii="Arial" w:hAnsi="Arial" w:cs="Arial"/>
                <w:noProof/>
                <w:sz w:val="20"/>
                <w:szCs w:val="20"/>
              </w:rPr>
              <w:t>-11</w:t>
            </w:r>
            <w:r>
              <w:rPr>
                <w:rFonts w:ascii="Arial" w:hAnsi="Arial" w:cs="Arial"/>
                <w:sz w:val="20"/>
                <w:szCs w:val="20"/>
              </w:rPr>
              <w:fldChar w:fldCharType="end"/>
            </w:r>
          </w:p>
        </w:tc>
      </w:tr>
    </w:tbl>
    <w:bookmarkEnd w:id="1"/>
    <w:p w14:paraId="0A3DC986" w14:textId="1A23EDF2" w:rsidR="005A4739" w:rsidRPr="00A26871" w:rsidRDefault="11ADB49F" w:rsidP="1153542A">
      <w:pPr>
        <w:pStyle w:val="Heading1"/>
        <w:pageBreakBefore/>
        <w:numPr>
          <w:ilvl w:val="0"/>
          <w:numId w:val="10"/>
        </w:numPr>
        <w:spacing w:before="0" w:after="0"/>
        <w:rPr>
          <w:color w:val="3F4A75"/>
          <w:szCs w:val="48"/>
        </w:rPr>
      </w:pPr>
      <w:r w:rsidRPr="1153542A">
        <w:rPr>
          <w:color w:val="3F4A75"/>
          <w:szCs w:val="48"/>
        </w:rPr>
        <w:lastRenderedPageBreak/>
        <w:t>Who did you consult and how did you incorporate their feedback?</w:t>
      </w:r>
    </w:p>
    <w:p w14:paraId="4867136D" w14:textId="4D322DFF" w:rsidR="128CDB8D" w:rsidRPr="00A26871" w:rsidRDefault="003533BB" w:rsidP="1833833B">
      <w:pPr>
        <w:rPr>
          <w:rFonts w:ascii="Arial" w:hAnsi="Arial" w:cs="Arial"/>
          <w:sz w:val="24"/>
          <w:szCs w:val="24"/>
        </w:rPr>
      </w:pPr>
      <w:r w:rsidRPr="00A26871">
        <w:rPr>
          <w:rFonts w:ascii="Arial" w:hAnsi="Arial" w:cs="Arial"/>
          <w:sz w:val="24"/>
          <w:szCs w:val="24"/>
        </w:rPr>
        <w:t>Participant f</w:t>
      </w:r>
      <w:r w:rsidR="128CDB8D" w:rsidRPr="00A26871">
        <w:rPr>
          <w:rFonts w:ascii="Arial" w:hAnsi="Arial" w:cs="Arial"/>
          <w:sz w:val="24"/>
          <w:szCs w:val="24"/>
        </w:rPr>
        <w:t xml:space="preserve">eedback </w:t>
      </w:r>
      <w:r w:rsidR="000E55CC" w:rsidRPr="00A26871">
        <w:rPr>
          <w:rFonts w:ascii="Arial" w:hAnsi="Arial" w:cs="Arial"/>
          <w:sz w:val="24"/>
          <w:szCs w:val="24"/>
        </w:rPr>
        <w:t xml:space="preserve">obtained </w:t>
      </w:r>
      <w:r w:rsidR="128CDB8D" w:rsidRPr="00A26871">
        <w:rPr>
          <w:rFonts w:ascii="Arial" w:hAnsi="Arial" w:cs="Arial"/>
          <w:sz w:val="24"/>
          <w:szCs w:val="24"/>
        </w:rPr>
        <w:t xml:space="preserve">from </w:t>
      </w:r>
      <w:r w:rsidRPr="00A26871">
        <w:rPr>
          <w:rFonts w:ascii="Arial" w:hAnsi="Arial" w:cs="Arial"/>
          <w:sz w:val="24"/>
          <w:szCs w:val="24"/>
        </w:rPr>
        <w:t xml:space="preserve">an extensive </w:t>
      </w:r>
      <w:r w:rsidR="128CDB8D" w:rsidRPr="00A26871">
        <w:rPr>
          <w:rFonts w:ascii="Arial" w:hAnsi="Arial" w:cs="Arial"/>
          <w:sz w:val="24"/>
          <w:szCs w:val="24"/>
        </w:rPr>
        <w:t>consultation</w:t>
      </w:r>
      <w:r w:rsidRPr="00A26871">
        <w:rPr>
          <w:rFonts w:ascii="Arial" w:hAnsi="Arial" w:cs="Arial"/>
          <w:sz w:val="24"/>
          <w:szCs w:val="24"/>
        </w:rPr>
        <w:t xml:space="preserve"> led</w:t>
      </w:r>
      <w:r w:rsidR="128CDB8D" w:rsidRPr="00A26871">
        <w:rPr>
          <w:rFonts w:ascii="Arial" w:hAnsi="Arial" w:cs="Arial"/>
          <w:sz w:val="24"/>
          <w:szCs w:val="24"/>
        </w:rPr>
        <w:t xml:space="preserve"> by the Taskforce, </w:t>
      </w:r>
      <w:r w:rsidR="0470E197" w:rsidRPr="00A26871">
        <w:rPr>
          <w:rFonts w:ascii="Arial" w:hAnsi="Arial" w:cs="Arial"/>
          <w:sz w:val="24"/>
          <w:szCs w:val="24"/>
        </w:rPr>
        <w:t xml:space="preserve">which included real-world implications and impacts on participant choice and control (which is a human right outlined in the </w:t>
      </w:r>
      <w:r w:rsidR="004648BE" w:rsidRPr="00A26871">
        <w:rPr>
          <w:rFonts w:ascii="Arial" w:hAnsi="Arial" w:cs="Arial"/>
          <w:sz w:val="24"/>
          <w:szCs w:val="24"/>
        </w:rPr>
        <w:t xml:space="preserve">United Nations Convention on </w:t>
      </w:r>
      <w:r w:rsidR="34E5226D" w:rsidRPr="00A26871">
        <w:rPr>
          <w:rFonts w:ascii="Arial" w:hAnsi="Arial" w:cs="Arial"/>
          <w:sz w:val="24"/>
          <w:szCs w:val="24"/>
        </w:rPr>
        <w:t>the</w:t>
      </w:r>
      <w:r w:rsidR="16252309" w:rsidRPr="00A26871">
        <w:rPr>
          <w:rFonts w:ascii="Arial" w:hAnsi="Arial" w:cs="Arial"/>
          <w:sz w:val="24"/>
          <w:szCs w:val="24"/>
        </w:rPr>
        <w:t xml:space="preserve"> </w:t>
      </w:r>
      <w:r w:rsidR="004648BE" w:rsidRPr="00A26871">
        <w:rPr>
          <w:rFonts w:ascii="Arial" w:hAnsi="Arial" w:cs="Arial"/>
          <w:sz w:val="24"/>
          <w:szCs w:val="24"/>
        </w:rPr>
        <w:t>Rights for People with Disability</w:t>
      </w:r>
      <w:r w:rsidR="0470E197" w:rsidRPr="00A26871">
        <w:rPr>
          <w:rFonts w:ascii="Arial" w:hAnsi="Arial" w:cs="Arial"/>
          <w:sz w:val="24"/>
          <w:szCs w:val="24"/>
        </w:rPr>
        <w:t>)</w:t>
      </w:r>
      <w:r w:rsidR="70B74690" w:rsidRPr="00A26871">
        <w:rPr>
          <w:rFonts w:ascii="Arial" w:hAnsi="Arial" w:cs="Arial"/>
          <w:sz w:val="24"/>
          <w:szCs w:val="24"/>
        </w:rPr>
        <w:t>. These insights informed the Taskforce</w:t>
      </w:r>
      <w:r w:rsidR="009F2052">
        <w:rPr>
          <w:rFonts w:ascii="Arial" w:hAnsi="Arial" w:cs="Arial"/>
          <w:sz w:val="24"/>
          <w:szCs w:val="24"/>
        </w:rPr>
        <w:t>’</w:t>
      </w:r>
      <w:r w:rsidR="70B74690" w:rsidRPr="00A26871">
        <w:rPr>
          <w:rFonts w:ascii="Arial" w:hAnsi="Arial" w:cs="Arial"/>
          <w:sz w:val="24"/>
          <w:szCs w:val="24"/>
        </w:rPr>
        <w:t>s recommendations on the four registration categories which</w:t>
      </w:r>
      <w:r w:rsidR="0B65AFF8" w:rsidRPr="00A26871">
        <w:rPr>
          <w:rFonts w:ascii="Arial" w:hAnsi="Arial" w:cs="Arial"/>
          <w:sz w:val="24"/>
          <w:szCs w:val="24"/>
        </w:rPr>
        <w:t xml:space="preserve"> includes a separate category </w:t>
      </w:r>
      <w:r w:rsidR="00300462">
        <w:rPr>
          <w:rFonts w:ascii="Arial" w:hAnsi="Arial" w:cs="Arial"/>
          <w:sz w:val="24"/>
          <w:szCs w:val="24"/>
        </w:rPr>
        <w:t>to register NDIS participants who</w:t>
      </w:r>
      <w:r w:rsidR="0B65AFF8" w:rsidRPr="00A26871">
        <w:rPr>
          <w:rFonts w:ascii="Arial" w:hAnsi="Arial" w:cs="Arial"/>
          <w:sz w:val="24"/>
          <w:szCs w:val="24"/>
        </w:rPr>
        <w:t xml:space="preserve"> self-directed supports, as well as an amending the NDIS Act to e</w:t>
      </w:r>
      <w:r w:rsidR="00300462">
        <w:rPr>
          <w:rFonts w:ascii="Arial" w:hAnsi="Arial" w:cs="Arial"/>
          <w:sz w:val="24"/>
          <w:szCs w:val="24"/>
        </w:rPr>
        <w:t xml:space="preserve">xclude mainstream retailers. </w:t>
      </w:r>
      <w:r w:rsidR="0B65AFF8" w:rsidRPr="00A26871">
        <w:rPr>
          <w:rFonts w:ascii="Arial" w:hAnsi="Arial" w:cs="Arial"/>
          <w:sz w:val="24"/>
          <w:szCs w:val="24"/>
        </w:rPr>
        <w:t xml:space="preserve"> </w:t>
      </w:r>
    </w:p>
    <w:p w14:paraId="22B46AC9" w14:textId="5DD28AC3" w:rsidR="00E41B1B" w:rsidRPr="00A26871" w:rsidRDefault="00366229" w:rsidP="1833833B">
      <w:pPr>
        <w:rPr>
          <w:rFonts w:ascii="Arial" w:hAnsi="Arial" w:cs="Arial"/>
          <w:sz w:val="24"/>
          <w:szCs w:val="24"/>
        </w:rPr>
      </w:pPr>
      <w:r w:rsidRPr="7F72696E">
        <w:rPr>
          <w:rFonts w:ascii="Arial" w:hAnsi="Arial" w:cs="Arial"/>
          <w:sz w:val="24"/>
          <w:szCs w:val="24"/>
        </w:rPr>
        <w:t>Under option 1 and option 2</w:t>
      </w:r>
      <w:r w:rsidR="00F51A35" w:rsidRPr="7F72696E">
        <w:rPr>
          <w:rFonts w:ascii="Arial" w:hAnsi="Arial" w:cs="Arial"/>
          <w:sz w:val="24"/>
          <w:szCs w:val="24"/>
        </w:rPr>
        <w:t xml:space="preserve">, the definition of NDIS provider would be amended in the National Disability Insurance Scheme Act 2013 (NDIS Act), to </w:t>
      </w:r>
      <w:r w:rsidR="002068C8" w:rsidRPr="7F72696E">
        <w:rPr>
          <w:rFonts w:ascii="Arial" w:hAnsi="Arial" w:cs="Arial"/>
          <w:sz w:val="24"/>
          <w:szCs w:val="24"/>
        </w:rPr>
        <w:t>clarify that</w:t>
      </w:r>
      <w:r w:rsidR="0032153B" w:rsidRPr="7F72696E">
        <w:rPr>
          <w:rFonts w:ascii="Arial" w:hAnsi="Arial" w:cs="Arial"/>
          <w:sz w:val="24"/>
          <w:szCs w:val="24"/>
        </w:rPr>
        <w:t xml:space="preserve"> the provision of</w:t>
      </w:r>
      <w:r w:rsidR="002068C8" w:rsidRPr="7F72696E">
        <w:rPr>
          <w:rFonts w:ascii="Arial" w:hAnsi="Arial" w:cs="Arial"/>
          <w:sz w:val="24"/>
          <w:szCs w:val="24"/>
        </w:rPr>
        <w:t xml:space="preserve"> mainstream, unmodified NDIS supports</w:t>
      </w:r>
      <w:r w:rsidR="0032153B" w:rsidRPr="7F72696E">
        <w:rPr>
          <w:rFonts w:ascii="Arial" w:hAnsi="Arial" w:cs="Arial"/>
          <w:sz w:val="24"/>
          <w:szCs w:val="24"/>
        </w:rPr>
        <w:t xml:space="preserve"> </w:t>
      </w:r>
      <w:r w:rsidR="005C7B51" w:rsidRPr="7F72696E">
        <w:rPr>
          <w:rFonts w:ascii="Arial" w:hAnsi="Arial" w:cs="Arial"/>
          <w:sz w:val="24"/>
          <w:szCs w:val="24"/>
        </w:rPr>
        <w:t xml:space="preserve">does not automatically make an entity </w:t>
      </w:r>
      <w:proofErr w:type="gramStart"/>
      <w:r w:rsidR="00DC4736" w:rsidRPr="7F72696E">
        <w:rPr>
          <w:rFonts w:ascii="Arial" w:hAnsi="Arial" w:cs="Arial"/>
          <w:sz w:val="24"/>
          <w:szCs w:val="24"/>
        </w:rPr>
        <w:t>an</w:t>
      </w:r>
      <w:proofErr w:type="gramEnd"/>
      <w:r w:rsidR="00DC4736" w:rsidRPr="7F72696E">
        <w:rPr>
          <w:rFonts w:ascii="Arial" w:hAnsi="Arial" w:cs="Arial"/>
          <w:sz w:val="24"/>
          <w:szCs w:val="24"/>
        </w:rPr>
        <w:t xml:space="preserve"> NDIS provider. </w:t>
      </w:r>
      <w:r w:rsidR="021D3ADD" w:rsidRPr="7F72696E">
        <w:rPr>
          <w:rFonts w:ascii="Arial" w:hAnsi="Arial" w:cs="Arial"/>
          <w:sz w:val="24"/>
          <w:szCs w:val="24"/>
        </w:rPr>
        <w:t>Mainstream retailers who</w:t>
      </w:r>
      <w:r w:rsidR="007F6F5D">
        <w:rPr>
          <w:rFonts w:ascii="Arial" w:hAnsi="Arial" w:cs="Arial"/>
          <w:sz w:val="24"/>
          <w:szCs w:val="24"/>
        </w:rPr>
        <w:t xml:space="preserve"> are covered </w:t>
      </w:r>
      <w:r w:rsidR="00174797">
        <w:rPr>
          <w:rFonts w:ascii="Arial" w:hAnsi="Arial" w:cs="Arial"/>
          <w:sz w:val="24"/>
          <w:szCs w:val="24"/>
        </w:rPr>
        <w:t xml:space="preserve">by </w:t>
      </w:r>
      <w:r w:rsidR="00720D16">
        <w:rPr>
          <w:rFonts w:ascii="Arial" w:hAnsi="Arial" w:cs="Arial"/>
          <w:sz w:val="24"/>
          <w:szCs w:val="24"/>
        </w:rPr>
        <w:t xml:space="preserve">regulation in other sectors </w:t>
      </w:r>
      <w:r w:rsidR="00591DEF">
        <w:rPr>
          <w:rFonts w:ascii="Arial" w:hAnsi="Arial" w:cs="Arial"/>
          <w:sz w:val="24"/>
          <w:szCs w:val="24"/>
        </w:rPr>
        <w:t xml:space="preserve">would continue to be visible </w:t>
      </w:r>
      <w:r w:rsidR="3AF0688D" w:rsidRPr="7F72696E">
        <w:rPr>
          <w:rFonts w:ascii="Arial" w:hAnsi="Arial" w:cs="Arial"/>
          <w:sz w:val="24"/>
          <w:szCs w:val="24"/>
        </w:rPr>
        <w:t xml:space="preserve">through </w:t>
      </w:r>
      <w:r w:rsidR="1867A136" w:rsidRPr="7F72696E">
        <w:rPr>
          <w:rFonts w:ascii="Arial" w:hAnsi="Arial" w:cs="Arial"/>
          <w:sz w:val="24"/>
          <w:szCs w:val="24"/>
        </w:rPr>
        <w:t xml:space="preserve">separate measures to improve payment visibility </w:t>
      </w:r>
      <w:r w:rsidR="007734B0">
        <w:rPr>
          <w:rFonts w:ascii="Arial" w:hAnsi="Arial" w:cs="Arial"/>
          <w:sz w:val="24"/>
          <w:szCs w:val="24"/>
        </w:rPr>
        <w:t xml:space="preserve">even though they would </w:t>
      </w:r>
      <w:r w:rsidR="1867A136" w:rsidRPr="7F72696E">
        <w:rPr>
          <w:rFonts w:ascii="Arial" w:hAnsi="Arial" w:cs="Arial"/>
          <w:sz w:val="24"/>
          <w:szCs w:val="24"/>
        </w:rPr>
        <w:t>be excluded from the defi</w:t>
      </w:r>
      <w:r w:rsidR="5F9A4C7D" w:rsidRPr="7F72696E">
        <w:rPr>
          <w:rFonts w:ascii="Arial" w:hAnsi="Arial" w:cs="Arial"/>
          <w:sz w:val="24"/>
          <w:szCs w:val="24"/>
        </w:rPr>
        <w:t xml:space="preserve">nition. </w:t>
      </w:r>
      <w:r w:rsidR="00DC4736" w:rsidRPr="7F72696E">
        <w:rPr>
          <w:rFonts w:ascii="Arial" w:hAnsi="Arial" w:cs="Arial"/>
          <w:sz w:val="24"/>
          <w:szCs w:val="24"/>
        </w:rPr>
        <w:t xml:space="preserve">This will not only improve the targeting of regulation, but </w:t>
      </w:r>
      <w:r w:rsidR="002B5A04" w:rsidRPr="7F72696E">
        <w:rPr>
          <w:rFonts w:ascii="Arial" w:hAnsi="Arial" w:cs="Arial"/>
          <w:sz w:val="24"/>
          <w:szCs w:val="24"/>
        </w:rPr>
        <w:t>will also remove the i</w:t>
      </w:r>
      <w:r w:rsidR="00EB35B7" w:rsidRPr="7F72696E">
        <w:rPr>
          <w:rFonts w:ascii="Arial" w:hAnsi="Arial" w:cs="Arial"/>
          <w:sz w:val="24"/>
          <w:szCs w:val="24"/>
        </w:rPr>
        <w:t xml:space="preserve">nferred expectation that those providers should be </w:t>
      </w:r>
      <w:r w:rsidR="00E833A4" w:rsidRPr="7F72696E">
        <w:rPr>
          <w:rFonts w:ascii="Arial" w:hAnsi="Arial" w:cs="Arial"/>
          <w:sz w:val="24"/>
          <w:szCs w:val="24"/>
        </w:rPr>
        <w:t xml:space="preserve">subject to additional regulatory oversight </w:t>
      </w:r>
      <w:r w:rsidR="006E6ACB" w:rsidRPr="7F72696E">
        <w:rPr>
          <w:rFonts w:ascii="Arial" w:hAnsi="Arial" w:cs="Arial"/>
          <w:sz w:val="24"/>
          <w:szCs w:val="24"/>
        </w:rPr>
        <w:t xml:space="preserve">because </w:t>
      </w:r>
      <w:proofErr w:type="gramStart"/>
      <w:r w:rsidR="006E6ACB" w:rsidRPr="7F72696E">
        <w:rPr>
          <w:rFonts w:ascii="Arial" w:hAnsi="Arial" w:cs="Arial"/>
          <w:sz w:val="24"/>
          <w:szCs w:val="24"/>
        </w:rPr>
        <w:t>an</w:t>
      </w:r>
      <w:proofErr w:type="gramEnd"/>
      <w:r w:rsidR="006E6ACB" w:rsidRPr="7F72696E">
        <w:rPr>
          <w:rFonts w:ascii="Arial" w:hAnsi="Arial" w:cs="Arial"/>
          <w:sz w:val="24"/>
          <w:szCs w:val="24"/>
        </w:rPr>
        <w:t xml:space="preserve"> NDIS participant chose to spend plan funds at their business. </w:t>
      </w:r>
    </w:p>
    <w:p w14:paraId="5FCCB8E9" w14:textId="77777777" w:rsidR="00D809C6" w:rsidRPr="00A26871" w:rsidRDefault="005C4370" w:rsidP="00366D91">
      <w:pPr>
        <w:rPr>
          <w:rFonts w:ascii="Arial" w:eastAsia="Segoe UI Symbol" w:hAnsi="Arial" w:cs="Arial"/>
          <w:sz w:val="24"/>
          <w:szCs w:val="24"/>
        </w:rPr>
      </w:pPr>
      <w:r w:rsidRPr="00A26871">
        <w:rPr>
          <w:rFonts w:ascii="Arial" w:eastAsia="Segoe UI Symbol" w:hAnsi="Arial" w:cs="Arial"/>
          <w:sz w:val="24"/>
          <w:szCs w:val="24"/>
        </w:rPr>
        <w:t>While option 1 may be preferred in an unconstrained fiscal environment, th</w:t>
      </w:r>
      <w:r w:rsidR="003F079B" w:rsidRPr="00A26871">
        <w:rPr>
          <w:rFonts w:ascii="Arial" w:eastAsia="Segoe UI Symbol" w:hAnsi="Arial" w:cs="Arial"/>
          <w:sz w:val="24"/>
          <w:szCs w:val="24"/>
        </w:rPr>
        <w:t>ere are benef</w:t>
      </w:r>
      <w:r w:rsidR="00C867EC" w:rsidRPr="00A26871">
        <w:rPr>
          <w:rFonts w:ascii="Arial" w:eastAsia="Segoe UI Symbol" w:hAnsi="Arial" w:cs="Arial"/>
          <w:sz w:val="24"/>
          <w:szCs w:val="24"/>
        </w:rPr>
        <w:t xml:space="preserve">its to a targeted rollout of increased provider regulation, with the option </w:t>
      </w:r>
      <w:r w:rsidR="00FD1038" w:rsidRPr="00A26871">
        <w:rPr>
          <w:rFonts w:ascii="Arial" w:eastAsia="Segoe UI Symbol" w:hAnsi="Arial" w:cs="Arial"/>
          <w:sz w:val="24"/>
          <w:szCs w:val="24"/>
        </w:rPr>
        <w:t xml:space="preserve">for government to consider expansion </w:t>
      </w:r>
      <w:proofErr w:type="gramStart"/>
      <w:r w:rsidR="00FD1038" w:rsidRPr="00A26871">
        <w:rPr>
          <w:rFonts w:ascii="Arial" w:eastAsia="Segoe UI Symbol" w:hAnsi="Arial" w:cs="Arial"/>
          <w:sz w:val="24"/>
          <w:szCs w:val="24"/>
        </w:rPr>
        <w:t>at a later date</w:t>
      </w:r>
      <w:proofErr w:type="gramEnd"/>
      <w:r w:rsidR="00FD1038" w:rsidRPr="00A26871">
        <w:rPr>
          <w:rFonts w:ascii="Arial" w:eastAsia="Segoe UI Symbol" w:hAnsi="Arial" w:cs="Arial"/>
          <w:sz w:val="24"/>
          <w:szCs w:val="24"/>
        </w:rPr>
        <w:t xml:space="preserve">. Option 2 therefore gives more time to </w:t>
      </w:r>
      <w:r w:rsidR="00AF0D18" w:rsidRPr="00A26871">
        <w:rPr>
          <w:rFonts w:ascii="Arial" w:eastAsia="Segoe UI Symbol" w:hAnsi="Arial" w:cs="Arial"/>
          <w:sz w:val="24"/>
          <w:szCs w:val="24"/>
        </w:rPr>
        <w:t xml:space="preserve">actively consider the intersections between lower risk categories of support and provider registration, to ensure the preservation of choice and control for NDIS participants. </w:t>
      </w:r>
      <w:r w:rsidR="00AA662E" w:rsidRPr="00A26871">
        <w:rPr>
          <w:rFonts w:ascii="Arial" w:eastAsia="Segoe UI Symbol" w:hAnsi="Arial" w:cs="Arial"/>
          <w:sz w:val="24"/>
          <w:szCs w:val="24"/>
        </w:rPr>
        <w:t>It also enables the regulator to gradually scale up its activities</w:t>
      </w:r>
      <w:r w:rsidR="00FD2A68" w:rsidRPr="00A26871">
        <w:rPr>
          <w:rFonts w:ascii="Arial" w:eastAsia="Segoe UI Symbol" w:hAnsi="Arial" w:cs="Arial"/>
          <w:sz w:val="24"/>
          <w:szCs w:val="24"/>
        </w:rPr>
        <w:t xml:space="preserve">, to ensure minimal disruption to existing arrangements. This </w:t>
      </w:r>
      <w:r w:rsidR="00732FAD" w:rsidRPr="00A26871">
        <w:rPr>
          <w:rFonts w:ascii="Arial" w:eastAsia="Segoe UI Symbol" w:hAnsi="Arial" w:cs="Arial"/>
          <w:sz w:val="24"/>
          <w:szCs w:val="24"/>
        </w:rPr>
        <w:t xml:space="preserve">addresses a key concern heard throughout consultation for both the NDIS Review and the NDIS Provider and Worker Registration Taskforce – that </w:t>
      </w:r>
      <w:r w:rsidR="00225082" w:rsidRPr="00A26871">
        <w:rPr>
          <w:rFonts w:ascii="Arial" w:eastAsia="Segoe UI Symbol" w:hAnsi="Arial" w:cs="Arial"/>
          <w:sz w:val="24"/>
          <w:szCs w:val="24"/>
        </w:rPr>
        <w:t xml:space="preserve">ill-defined and extensive regulatory overhaul could </w:t>
      </w:r>
      <w:r w:rsidR="00D809C6" w:rsidRPr="00A26871">
        <w:rPr>
          <w:rFonts w:ascii="Arial" w:eastAsia="Segoe UI Symbol" w:hAnsi="Arial" w:cs="Arial"/>
          <w:sz w:val="24"/>
          <w:szCs w:val="24"/>
        </w:rPr>
        <w:t xml:space="preserve">cause risk through disruption. </w:t>
      </w:r>
    </w:p>
    <w:p w14:paraId="7850F6A2" w14:textId="210681C7" w:rsidR="00366D91" w:rsidRPr="00A26871" w:rsidRDefault="32071C23" w:rsidP="00366D91">
      <w:pPr>
        <w:rPr>
          <w:rFonts w:ascii="Arial" w:hAnsi="Arial" w:cs="Arial"/>
          <w:sz w:val="24"/>
          <w:szCs w:val="24"/>
        </w:rPr>
      </w:pPr>
      <w:r w:rsidRPr="6D98FBE5">
        <w:rPr>
          <w:rFonts w:ascii="Arial" w:eastAsia="Segoe UI Symbol" w:hAnsi="Arial" w:cs="Arial"/>
          <w:sz w:val="24"/>
          <w:szCs w:val="24"/>
        </w:rPr>
        <w:t xml:space="preserve">If </w:t>
      </w:r>
      <w:r w:rsidRPr="6D98FBE5">
        <w:rPr>
          <w:rFonts w:ascii="Arial" w:hAnsi="Arial" w:cs="Arial"/>
          <w:sz w:val="24"/>
          <w:szCs w:val="24"/>
        </w:rPr>
        <w:t xml:space="preserve">policy option </w:t>
      </w:r>
      <w:r w:rsidR="00C469E1" w:rsidRPr="6D98FBE5">
        <w:rPr>
          <w:rFonts w:ascii="Arial" w:hAnsi="Arial" w:cs="Arial"/>
          <w:sz w:val="24"/>
          <w:szCs w:val="24"/>
        </w:rPr>
        <w:t xml:space="preserve">2 </w:t>
      </w:r>
      <w:r w:rsidRPr="6D98FBE5">
        <w:rPr>
          <w:rFonts w:ascii="Arial" w:hAnsi="Arial" w:cs="Arial"/>
          <w:sz w:val="24"/>
          <w:szCs w:val="24"/>
        </w:rPr>
        <w:t xml:space="preserve">is selected, this </w:t>
      </w:r>
      <w:r w:rsidR="2FCA2CAD" w:rsidRPr="6D98FBE5">
        <w:rPr>
          <w:rFonts w:ascii="Arial" w:hAnsi="Arial" w:cs="Arial"/>
          <w:sz w:val="24"/>
          <w:szCs w:val="24"/>
        </w:rPr>
        <w:t xml:space="preserve">approach would solidify the government's public commitment to </w:t>
      </w:r>
      <w:r w:rsidR="3E6C34F7" w:rsidRPr="6D98FBE5">
        <w:rPr>
          <w:rFonts w:ascii="Arial" w:hAnsi="Arial" w:cs="Arial"/>
          <w:sz w:val="24"/>
          <w:szCs w:val="24"/>
        </w:rPr>
        <w:t>taking appropriate steps in response to the identified serious and entrenched abuse, neglect, and exploitation.</w:t>
      </w:r>
      <w:r w:rsidR="10A7D947" w:rsidRPr="6D98FBE5">
        <w:rPr>
          <w:rFonts w:ascii="Arial" w:hAnsi="Arial" w:cs="Arial"/>
          <w:sz w:val="24"/>
          <w:szCs w:val="24"/>
        </w:rPr>
        <w:t xml:space="preserve"> Requiring all providers</w:t>
      </w:r>
      <w:r w:rsidR="517703EF" w:rsidRPr="6D98FBE5">
        <w:rPr>
          <w:rFonts w:ascii="Arial" w:hAnsi="Arial" w:cs="Arial"/>
          <w:sz w:val="24"/>
          <w:szCs w:val="24"/>
        </w:rPr>
        <w:t xml:space="preserve"> delivering the highest risk supports</w:t>
      </w:r>
      <w:r w:rsidR="10A7D947" w:rsidRPr="6D98FBE5">
        <w:rPr>
          <w:rFonts w:ascii="Arial" w:hAnsi="Arial" w:cs="Arial"/>
          <w:sz w:val="24"/>
          <w:szCs w:val="24"/>
        </w:rPr>
        <w:t xml:space="preserve"> to register under an amended definition of a provider </w:t>
      </w:r>
      <w:r w:rsidR="00452204" w:rsidRPr="6D98FBE5">
        <w:rPr>
          <w:rFonts w:ascii="Arial" w:hAnsi="Arial" w:cs="Arial"/>
          <w:sz w:val="24"/>
          <w:szCs w:val="24"/>
        </w:rPr>
        <w:t xml:space="preserve">ensures NDIS participants are not only </w:t>
      </w:r>
      <w:r w:rsidR="10A7D947" w:rsidRPr="6D98FBE5">
        <w:rPr>
          <w:rFonts w:ascii="Arial" w:hAnsi="Arial" w:cs="Arial"/>
          <w:sz w:val="24"/>
          <w:szCs w:val="24"/>
        </w:rPr>
        <w:t>protect</w:t>
      </w:r>
      <w:r w:rsidR="00452204" w:rsidRPr="6D98FBE5">
        <w:rPr>
          <w:rFonts w:ascii="Arial" w:hAnsi="Arial" w:cs="Arial"/>
          <w:sz w:val="24"/>
          <w:szCs w:val="24"/>
        </w:rPr>
        <w:t xml:space="preserve">ed, </w:t>
      </w:r>
      <w:r w:rsidR="00E24142" w:rsidRPr="6D98FBE5">
        <w:rPr>
          <w:rFonts w:ascii="Arial" w:hAnsi="Arial" w:cs="Arial"/>
          <w:sz w:val="24"/>
          <w:szCs w:val="24"/>
        </w:rPr>
        <w:t xml:space="preserve">but their rights to choose their own providers are upheld. </w:t>
      </w:r>
    </w:p>
    <w:p w14:paraId="5C4298C4" w14:textId="5861D7B5" w:rsidR="00C9552A" w:rsidRPr="002D6866" w:rsidRDefault="00366D91" w:rsidP="00366D91">
      <w:pPr>
        <w:spacing w:after="200" w:line="288" w:lineRule="auto"/>
        <w:rPr>
          <w:rFonts w:ascii="Arial" w:hAnsi="Arial" w:cs="Arial"/>
          <w:szCs w:val="22"/>
          <w:highlight w:val="yellow"/>
        </w:rPr>
      </w:pPr>
      <w:r w:rsidRPr="002D6866">
        <w:rPr>
          <w:rFonts w:ascii="Arial" w:hAnsi="Arial" w:cs="Arial"/>
          <w:szCs w:val="22"/>
          <w:highlight w:val="yellow"/>
        </w:rPr>
        <w:br w:type="page"/>
      </w:r>
    </w:p>
    <w:p w14:paraId="55128EA6" w14:textId="77777777" w:rsidR="00C9552A" w:rsidRPr="00C6609A" w:rsidRDefault="00C9552A" w:rsidP="1153542A">
      <w:pPr>
        <w:pStyle w:val="Heading1"/>
        <w:numPr>
          <w:ilvl w:val="0"/>
          <w:numId w:val="1"/>
        </w:numPr>
        <w:spacing w:before="0" w:after="0"/>
        <w:rPr>
          <w:color w:val="3F4A75"/>
          <w:szCs w:val="48"/>
        </w:rPr>
      </w:pPr>
      <w:r w:rsidRPr="1153542A">
        <w:rPr>
          <w:color w:val="3F4A75"/>
          <w:szCs w:val="48"/>
        </w:rPr>
        <w:lastRenderedPageBreak/>
        <w:t>What is the best option from those you have considered and how will it be implemented?</w:t>
      </w:r>
    </w:p>
    <w:p w14:paraId="3EE13140" w14:textId="77777777" w:rsidR="00DC4012" w:rsidRPr="00C6609A" w:rsidRDefault="00C9552A" w:rsidP="00C9552A">
      <w:pPr>
        <w:spacing w:after="0"/>
        <w:rPr>
          <w:rFonts w:ascii="Arial" w:eastAsia="Aptos" w:hAnsi="Arial" w:cs="Arial"/>
          <w:sz w:val="24"/>
          <w:szCs w:val="24"/>
        </w:rPr>
      </w:pPr>
      <w:r w:rsidRPr="00C6609A">
        <w:rPr>
          <w:rFonts w:ascii="Arial" w:eastAsia="Aptos" w:hAnsi="Arial" w:cs="Arial"/>
          <w:sz w:val="24"/>
          <w:szCs w:val="24"/>
        </w:rPr>
        <w:t>The best option to achieve mandatory registration of NDIS providers</w:t>
      </w:r>
      <w:r w:rsidR="00F23E73" w:rsidRPr="00C6609A">
        <w:rPr>
          <w:rFonts w:ascii="Arial" w:eastAsia="Aptos" w:hAnsi="Arial" w:cs="Arial"/>
          <w:sz w:val="24"/>
          <w:szCs w:val="24"/>
        </w:rPr>
        <w:t xml:space="preserve"> in a risk proportionate way is to </w:t>
      </w:r>
      <w:r w:rsidR="005D36B1" w:rsidRPr="00C6609A">
        <w:rPr>
          <w:rFonts w:ascii="Arial" w:eastAsia="Aptos" w:hAnsi="Arial" w:cs="Arial"/>
          <w:sz w:val="24"/>
          <w:szCs w:val="24"/>
        </w:rPr>
        <w:t xml:space="preserve">start with </w:t>
      </w:r>
      <w:r w:rsidR="00FE5329" w:rsidRPr="00C6609A">
        <w:rPr>
          <w:rFonts w:ascii="Arial" w:eastAsia="Aptos" w:hAnsi="Arial" w:cs="Arial"/>
          <w:sz w:val="24"/>
          <w:szCs w:val="24"/>
        </w:rPr>
        <w:t xml:space="preserve">providers of the highest risk supports. </w:t>
      </w:r>
      <w:r w:rsidR="00A15ECD" w:rsidRPr="00C6609A">
        <w:rPr>
          <w:rFonts w:ascii="Arial" w:eastAsia="Aptos" w:hAnsi="Arial" w:cs="Arial"/>
          <w:sz w:val="24"/>
          <w:szCs w:val="24"/>
        </w:rPr>
        <w:t xml:space="preserve">While </w:t>
      </w:r>
      <w:r w:rsidR="0040792F" w:rsidRPr="00C6609A">
        <w:rPr>
          <w:rFonts w:ascii="Arial" w:eastAsia="Aptos" w:hAnsi="Arial" w:cs="Arial"/>
          <w:sz w:val="24"/>
          <w:szCs w:val="24"/>
        </w:rPr>
        <w:t xml:space="preserve">the implementation of a comprehensive model of NDIS provider registration </w:t>
      </w:r>
      <w:r w:rsidR="00084E6B" w:rsidRPr="00C6609A">
        <w:rPr>
          <w:rFonts w:ascii="Arial" w:eastAsia="Aptos" w:hAnsi="Arial" w:cs="Arial"/>
          <w:sz w:val="24"/>
          <w:szCs w:val="24"/>
        </w:rPr>
        <w:t xml:space="preserve">has been </w:t>
      </w:r>
      <w:r w:rsidR="00FA6158" w:rsidRPr="00C6609A">
        <w:rPr>
          <w:rFonts w:ascii="Arial" w:eastAsia="Aptos" w:hAnsi="Arial" w:cs="Arial"/>
          <w:sz w:val="24"/>
          <w:szCs w:val="24"/>
        </w:rPr>
        <w:t xml:space="preserve">proposed by the NDIS Review and the NDIS Provider and Worker Registration Taskforce, </w:t>
      </w:r>
      <w:r w:rsidR="003B74FD" w:rsidRPr="00C6609A">
        <w:rPr>
          <w:rFonts w:ascii="Arial" w:eastAsia="Aptos" w:hAnsi="Arial" w:cs="Arial"/>
          <w:sz w:val="24"/>
          <w:szCs w:val="24"/>
        </w:rPr>
        <w:t>a</w:t>
      </w:r>
      <w:r w:rsidR="00B243F0" w:rsidRPr="00C6609A">
        <w:rPr>
          <w:rFonts w:ascii="Arial" w:eastAsia="Aptos" w:hAnsi="Arial" w:cs="Arial"/>
          <w:sz w:val="24"/>
          <w:szCs w:val="24"/>
        </w:rPr>
        <w:t>n initial</w:t>
      </w:r>
      <w:r w:rsidR="003B74FD" w:rsidRPr="00C6609A">
        <w:rPr>
          <w:rFonts w:ascii="Arial" w:eastAsia="Aptos" w:hAnsi="Arial" w:cs="Arial"/>
          <w:sz w:val="24"/>
          <w:szCs w:val="24"/>
        </w:rPr>
        <w:t xml:space="preserve"> model which prio</w:t>
      </w:r>
      <w:r w:rsidR="00CC0892" w:rsidRPr="00C6609A">
        <w:rPr>
          <w:rFonts w:ascii="Arial" w:eastAsia="Aptos" w:hAnsi="Arial" w:cs="Arial"/>
          <w:sz w:val="24"/>
          <w:szCs w:val="24"/>
        </w:rPr>
        <w:t xml:space="preserve">ritises high risk supports </w:t>
      </w:r>
      <w:r w:rsidR="00862517" w:rsidRPr="00C6609A">
        <w:rPr>
          <w:rFonts w:ascii="Arial" w:eastAsia="Aptos" w:hAnsi="Arial" w:cs="Arial"/>
          <w:sz w:val="24"/>
          <w:szCs w:val="24"/>
        </w:rPr>
        <w:t xml:space="preserve">will </w:t>
      </w:r>
      <w:r w:rsidR="007D61B5" w:rsidRPr="00C6609A">
        <w:rPr>
          <w:rFonts w:ascii="Arial" w:eastAsia="Aptos" w:hAnsi="Arial" w:cs="Arial"/>
          <w:sz w:val="24"/>
          <w:szCs w:val="24"/>
        </w:rPr>
        <w:t xml:space="preserve">provide </w:t>
      </w:r>
      <w:r w:rsidR="00CD531B" w:rsidRPr="00C6609A">
        <w:rPr>
          <w:rFonts w:ascii="Arial" w:eastAsia="Aptos" w:hAnsi="Arial" w:cs="Arial"/>
          <w:sz w:val="24"/>
          <w:szCs w:val="24"/>
        </w:rPr>
        <w:t xml:space="preserve">higher </w:t>
      </w:r>
      <w:r w:rsidR="00DC4012" w:rsidRPr="00C6609A">
        <w:rPr>
          <w:rFonts w:ascii="Arial" w:eastAsia="Aptos" w:hAnsi="Arial" w:cs="Arial"/>
          <w:sz w:val="24"/>
          <w:szCs w:val="24"/>
        </w:rPr>
        <w:t xml:space="preserve">visibility for a smaller regulatory burden. </w:t>
      </w:r>
    </w:p>
    <w:p w14:paraId="753C128F" w14:textId="77777777" w:rsidR="00DC4012" w:rsidRPr="00C6609A" w:rsidRDefault="00DC4012" w:rsidP="00C9552A">
      <w:pPr>
        <w:spacing w:after="0"/>
        <w:rPr>
          <w:rFonts w:ascii="Arial" w:eastAsia="Aptos" w:hAnsi="Arial" w:cs="Arial"/>
          <w:sz w:val="24"/>
          <w:szCs w:val="24"/>
        </w:rPr>
      </w:pPr>
    </w:p>
    <w:p w14:paraId="68E5B83F" w14:textId="3F932086" w:rsidR="00C9552A" w:rsidRPr="00C6609A" w:rsidRDefault="00C9552A" w:rsidP="00C9552A">
      <w:pPr>
        <w:spacing w:after="0"/>
        <w:rPr>
          <w:rFonts w:ascii="Arial" w:eastAsia="Aptos" w:hAnsi="Arial" w:cs="Arial"/>
          <w:sz w:val="24"/>
          <w:szCs w:val="24"/>
        </w:rPr>
      </w:pPr>
      <w:r w:rsidRPr="00C6609A">
        <w:rPr>
          <w:rFonts w:ascii="Arial" w:eastAsia="Aptos" w:hAnsi="Arial" w:cs="Arial"/>
          <w:sz w:val="24"/>
          <w:szCs w:val="24"/>
        </w:rPr>
        <w:t xml:space="preserve">Option 2 balances a comprehensive, measured regulatory response and associated quality and safeguarding benefits </w:t>
      </w:r>
      <w:r w:rsidR="0031032F" w:rsidRPr="00C6609A">
        <w:rPr>
          <w:rFonts w:ascii="Arial" w:eastAsia="Aptos" w:hAnsi="Arial" w:cs="Arial"/>
          <w:sz w:val="24"/>
          <w:szCs w:val="24"/>
        </w:rPr>
        <w:t>which build</w:t>
      </w:r>
      <w:r w:rsidRPr="00C6609A">
        <w:rPr>
          <w:rFonts w:ascii="Arial" w:eastAsia="Aptos" w:hAnsi="Arial" w:cs="Arial"/>
          <w:sz w:val="24"/>
          <w:szCs w:val="24"/>
        </w:rPr>
        <w:t xml:space="preserve"> on the Taskforce Advice with appropriate investment by the government to address the complex challenges present in the provider market and corresponding service delivery. It </w:t>
      </w:r>
      <w:r w:rsidR="00A4149E" w:rsidRPr="00C6609A">
        <w:rPr>
          <w:rFonts w:ascii="Arial" w:eastAsia="Aptos" w:hAnsi="Arial" w:cs="Arial"/>
          <w:sz w:val="24"/>
          <w:szCs w:val="24"/>
        </w:rPr>
        <w:t>provides a</w:t>
      </w:r>
      <w:r w:rsidR="00F93C2B" w:rsidRPr="00C6609A">
        <w:rPr>
          <w:rFonts w:ascii="Arial" w:eastAsia="Aptos" w:hAnsi="Arial" w:cs="Arial"/>
          <w:sz w:val="24"/>
          <w:szCs w:val="24"/>
        </w:rPr>
        <w:t xml:space="preserve">n opportunity for government to separately consider other registration categories once the foundations have </w:t>
      </w:r>
      <w:r w:rsidRPr="00C6609A">
        <w:rPr>
          <w:rFonts w:ascii="Arial" w:eastAsia="Aptos" w:hAnsi="Arial" w:cs="Arial"/>
          <w:sz w:val="24"/>
          <w:szCs w:val="24"/>
        </w:rPr>
        <w:t xml:space="preserve">been </w:t>
      </w:r>
      <w:r w:rsidR="00F93C2B" w:rsidRPr="00C6609A">
        <w:rPr>
          <w:rFonts w:ascii="Arial" w:eastAsia="Aptos" w:hAnsi="Arial" w:cs="Arial"/>
          <w:sz w:val="24"/>
          <w:szCs w:val="24"/>
        </w:rPr>
        <w:t xml:space="preserve">laid for </w:t>
      </w:r>
      <w:r w:rsidR="001817FE" w:rsidRPr="00C6609A">
        <w:rPr>
          <w:rFonts w:ascii="Arial" w:eastAsia="Aptos" w:hAnsi="Arial" w:cs="Arial"/>
          <w:sz w:val="24"/>
          <w:szCs w:val="24"/>
        </w:rPr>
        <w:t xml:space="preserve">high risk supports. </w:t>
      </w:r>
      <w:r w:rsidR="00490A85" w:rsidRPr="00C6609A">
        <w:rPr>
          <w:rFonts w:ascii="Arial" w:eastAsia="Aptos" w:hAnsi="Arial" w:cs="Arial"/>
          <w:sz w:val="24"/>
          <w:szCs w:val="24"/>
        </w:rPr>
        <w:t>This ensures supports which have been identified</w:t>
      </w:r>
      <w:r w:rsidRPr="00C6609A">
        <w:rPr>
          <w:rFonts w:ascii="Arial" w:eastAsia="Aptos" w:hAnsi="Arial" w:cs="Arial"/>
          <w:sz w:val="24"/>
          <w:szCs w:val="24"/>
        </w:rPr>
        <w:t xml:space="preserve"> across the disability sector to </w:t>
      </w:r>
      <w:r w:rsidR="00490A85" w:rsidRPr="00C6609A">
        <w:rPr>
          <w:rFonts w:ascii="Arial" w:eastAsia="Aptos" w:hAnsi="Arial" w:cs="Arial"/>
          <w:sz w:val="24"/>
          <w:szCs w:val="24"/>
        </w:rPr>
        <w:t xml:space="preserve">require registration </w:t>
      </w:r>
      <w:r w:rsidR="00A0346D" w:rsidRPr="00C6609A">
        <w:rPr>
          <w:rFonts w:ascii="Arial" w:eastAsia="Aptos" w:hAnsi="Arial" w:cs="Arial"/>
          <w:sz w:val="24"/>
          <w:szCs w:val="24"/>
        </w:rPr>
        <w:t>become registered by default</w:t>
      </w:r>
      <w:r w:rsidR="009B2C48" w:rsidRPr="00C6609A">
        <w:rPr>
          <w:rFonts w:ascii="Arial" w:eastAsia="Aptos" w:hAnsi="Arial" w:cs="Arial"/>
          <w:sz w:val="24"/>
          <w:szCs w:val="24"/>
        </w:rPr>
        <w:t xml:space="preserve"> to </w:t>
      </w:r>
      <w:r w:rsidRPr="00C6609A">
        <w:rPr>
          <w:rFonts w:ascii="Arial" w:eastAsia="Aptos" w:hAnsi="Arial" w:cs="Arial"/>
          <w:sz w:val="24"/>
          <w:szCs w:val="24"/>
        </w:rPr>
        <w:t xml:space="preserve">address regulatory, safety, and integrity challenges faced by the Scheme. This option </w:t>
      </w:r>
      <w:r w:rsidR="00F25B96" w:rsidRPr="00C6609A">
        <w:rPr>
          <w:rFonts w:ascii="Arial" w:eastAsia="Aptos" w:hAnsi="Arial" w:cs="Arial"/>
          <w:sz w:val="24"/>
          <w:szCs w:val="24"/>
        </w:rPr>
        <w:t xml:space="preserve">would also </w:t>
      </w:r>
      <w:r w:rsidR="00E13BA0" w:rsidRPr="00C6609A">
        <w:rPr>
          <w:rFonts w:ascii="Arial" w:eastAsia="Aptos" w:hAnsi="Arial" w:cs="Arial"/>
          <w:sz w:val="24"/>
          <w:szCs w:val="24"/>
        </w:rPr>
        <w:t xml:space="preserve">put </w:t>
      </w:r>
      <w:r w:rsidR="00D979B1" w:rsidRPr="00C6609A">
        <w:rPr>
          <w:rFonts w:ascii="Arial" w:eastAsia="Aptos" w:hAnsi="Arial" w:cs="Arial"/>
          <w:sz w:val="24"/>
          <w:szCs w:val="24"/>
        </w:rPr>
        <w:t>government in a posi</w:t>
      </w:r>
      <w:r w:rsidR="0069317A">
        <w:rPr>
          <w:rFonts w:ascii="Arial" w:eastAsia="Aptos" w:hAnsi="Arial" w:cs="Arial"/>
          <w:sz w:val="24"/>
          <w:szCs w:val="24"/>
        </w:rPr>
        <w:t>t</w:t>
      </w:r>
      <w:r w:rsidR="00D979B1" w:rsidRPr="00C6609A">
        <w:rPr>
          <w:rFonts w:ascii="Arial" w:eastAsia="Aptos" w:hAnsi="Arial" w:cs="Arial"/>
          <w:sz w:val="24"/>
          <w:szCs w:val="24"/>
        </w:rPr>
        <w:t>ion to</w:t>
      </w:r>
      <w:r w:rsidRPr="00C6609A">
        <w:rPr>
          <w:rFonts w:ascii="Arial" w:eastAsia="Aptos" w:hAnsi="Arial" w:cs="Arial"/>
          <w:sz w:val="24"/>
          <w:szCs w:val="24"/>
        </w:rPr>
        <w:t xml:space="preserve"> consider alignment and parity with provider requirements across the care and support economy (noting both Aged Care and the NDIS have worked together closely, and continue to do so, to align respective regulatory ecosystems)</w:t>
      </w:r>
      <w:r w:rsidR="00D979B1" w:rsidRPr="00C6609A">
        <w:rPr>
          <w:rFonts w:ascii="Arial" w:eastAsia="Aptos" w:hAnsi="Arial" w:cs="Arial"/>
          <w:sz w:val="24"/>
          <w:szCs w:val="24"/>
        </w:rPr>
        <w:t xml:space="preserve"> in a future state</w:t>
      </w:r>
      <w:r w:rsidRPr="00C6609A">
        <w:rPr>
          <w:rFonts w:ascii="Arial" w:eastAsia="Aptos" w:hAnsi="Arial" w:cs="Arial"/>
          <w:sz w:val="24"/>
          <w:szCs w:val="24"/>
        </w:rPr>
        <w:t>. It also allows the NDIS Commission opportunity to adjust to increasing workflows and the third-party auditor market to scale to meet demand.</w:t>
      </w:r>
    </w:p>
    <w:p w14:paraId="4FDA25CC" w14:textId="77777777" w:rsidR="00C9552A" w:rsidRPr="00C6609A" w:rsidRDefault="00C9552A" w:rsidP="00C9552A">
      <w:pPr>
        <w:spacing w:after="0"/>
        <w:rPr>
          <w:rFonts w:ascii="Arial" w:eastAsia="Aptos" w:hAnsi="Arial" w:cs="Arial"/>
          <w:sz w:val="24"/>
          <w:szCs w:val="24"/>
        </w:rPr>
      </w:pPr>
    </w:p>
    <w:p w14:paraId="619E4D14" w14:textId="621EFCAA" w:rsidR="00D25744" w:rsidRPr="00C6609A" w:rsidRDefault="005A4ECD" w:rsidP="00C9552A">
      <w:pPr>
        <w:spacing w:after="0"/>
        <w:rPr>
          <w:rFonts w:ascii="Arial" w:eastAsia="Aptos" w:hAnsi="Arial" w:cs="Arial"/>
          <w:sz w:val="24"/>
          <w:szCs w:val="24"/>
        </w:rPr>
      </w:pPr>
      <w:r w:rsidRPr="00C6609A">
        <w:rPr>
          <w:rFonts w:ascii="Arial" w:eastAsia="Aptos" w:hAnsi="Arial" w:cs="Arial"/>
          <w:sz w:val="24"/>
          <w:szCs w:val="24"/>
        </w:rPr>
        <w:t xml:space="preserve">The rollout of </w:t>
      </w:r>
      <w:r w:rsidR="00456D98" w:rsidRPr="00C6609A">
        <w:rPr>
          <w:rFonts w:ascii="Arial" w:eastAsia="Aptos" w:hAnsi="Arial" w:cs="Arial"/>
          <w:sz w:val="24"/>
          <w:szCs w:val="24"/>
        </w:rPr>
        <w:t>the model proposed by the Taskforce (Option 1) would have increased implementation risk due to the scale of adjacent reforms in the sector.</w:t>
      </w:r>
      <w:r w:rsidR="00211055" w:rsidRPr="00C6609A">
        <w:rPr>
          <w:rFonts w:ascii="Arial" w:eastAsia="Aptos" w:hAnsi="Arial" w:cs="Arial"/>
          <w:sz w:val="24"/>
          <w:szCs w:val="24"/>
        </w:rPr>
        <w:t xml:space="preserve"> </w:t>
      </w:r>
      <w:r w:rsidR="006E2D02" w:rsidRPr="00C6609A">
        <w:rPr>
          <w:rFonts w:ascii="Arial" w:eastAsia="Aptos" w:hAnsi="Arial" w:cs="Arial"/>
          <w:sz w:val="24"/>
          <w:szCs w:val="24"/>
        </w:rPr>
        <w:t xml:space="preserve">Proceeding with registration of the </w:t>
      </w:r>
      <w:r w:rsidR="00601334" w:rsidRPr="00C6609A">
        <w:rPr>
          <w:rFonts w:ascii="Arial" w:eastAsia="Aptos" w:hAnsi="Arial" w:cs="Arial"/>
          <w:sz w:val="24"/>
          <w:szCs w:val="24"/>
        </w:rPr>
        <w:t xml:space="preserve">highest risk supports only reduces this implementation risk considerably and </w:t>
      </w:r>
      <w:r w:rsidR="00545B80" w:rsidRPr="00C6609A">
        <w:rPr>
          <w:rFonts w:ascii="Arial" w:eastAsia="Aptos" w:hAnsi="Arial" w:cs="Arial"/>
          <w:sz w:val="24"/>
          <w:szCs w:val="24"/>
        </w:rPr>
        <w:t xml:space="preserve">provides an opportunity for government to consider further expansion of categories in the future. </w:t>
      </w:r>
      <w:r w:rsidR="00456D98" w:rsidRPr="00C6609A">
        <w:rPr>
          <w:rFonts w:ascii="Arial" w:eastAsia="Aptos" w:hAnsi="Arial" w:cs="Arial"/>
          <w:sz w:val="24"/>
          <w:szCs w:val="24"/>
        </w:rPr>
        <w:t xml:space="preserve"> </w:t>
      </w:r>
    </w:p>
    <w:p w14:paraId="4101096C" w14:textId="77777777" w:rsidR="00D25744" w:rsidRPr="00C6609A" w:rsidRDefault="00D25744" w:rsidP="00C9552A">
      <w:pPr>
        <w:spacing w:after="0"/>
        <w:rPr>
          <w:rFonts w:ascii="Arial" w:eastAsia="Aptos" w:hAnsi="Arial" w:cs="Arial"/>
          <w:sz w:val="24"/>
          <w:szCs w:val="24"/>
        </w:rPr>
      </w:pPr>
    </w:p>
    <w:p w14:paraId="47CA186E" w14:textId="77928647" w:rsidR="00C9552A" w:rsidRPr="00C6609A" w:rsidRDefault="00C9552A" w:rsidP="00C9552A">
      <w:pPr>
        <w:spacing w:after="0"/>
        <w:rPr>
          <w:rFonts w:ascii="Arial" w:eastAsia="Aptos" w:hAnsi="Arial" w:cs="Arial"/>
          <w:sz w:val="24"/>
          <w:szCs w:val="24"/>
        </w:rPr>
      </w:pPr>
      <w:r w:rsidRPr="1153542A">
        <w:rPr>
          <w:rFonts w:ascii="Arial" w:eastAsia="Aptos" w:hAnsi="Arial" w:cs="Arial"/>
          <w:sz w:val="24"/>
          <w:szCs w:val="24"/>
        </w:rPr>
        <w:t xml:space="preserve">Continuing with the status quo (Option </w:t>
      </w:r>
      <w:r w:rsidR="00545B80" w:rsidRPr="1153542A">
        <w:rPr>
          <w:rFonts w:ascii="Arial" w:eastAsia="Aptos" w:hAnsi="Arial" w:cs="Arial"/>
          <w:sz w:val="24"/>
          <w:szCs w:val="24"/>
        </w:rPr>
        <w:t>3</w:t>
      </w:r>
      <w:r w:rsidRPr="1153542A">
        <w:rPr>
          <w:rFonts w:ascii="Arial" w:eastAsia="Aptos" w:hAnsi="Arial" w:cs="Arial"/>
          <w:sz w:val="24"/>
          <w:szCs w:val="24"/>
        </w:rPr>
        <w:t>) is not sustainable due to the significant risk of abuse, neglect and exploitation occurring unseen by the regulator, constraining the government’s ability to proactively intervene and prevent such things from occurring.</w:t>
      </w:r>
    </w:p>
    <w:p w14:paraId="775235FF" w14:textId="0749AA3A" w:rsidR="00C9552A" w:rsidRPr="00C6609A" w:rsidRDefault="00C9552A" w:rsidP="1153542A">
      <w:pPr>
        <w:spacing w:after="200" w:line="288" w:lineRule="auto"/>
        <w:rPr>
          <w:rFonts w:ascii="Arial" w:hAnsi="Arial" w:cs="Arial"/>
        </w:rPr>
        <w:sectPr w:rsidR="00C9552A" w:rsidRPr="00C6609A" w:rsidSect="00D8326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843" w:left="1134" w:header="993" w:footer="709" w:gutter="0"/>
          <w:pgNumType w:start="1"/>
          <w:cols w:space="708"/>
          <w:titlePg/>
          <w:docGrid w:linePitch="360"/>
        </w:sectPr>
      </w:pPr>
    </w:p>
    <w:p w14:paraId="6B9FB0C7" w14:textId="431B6697" w:rsidR="7511170D" w:rsidRPr="00C6609A" w:rsidRDefault="014E73B7" w:rsidP="1153542A">
      <w:pPr>
        <w:spacing w:after="0"/>
        <w:rPr>
          <w:rFonts w:ascii="Arial" w:eastAsia="Aptos" w:hAnsi="Arial" w:cs="Arial"/>
          <w:b/>
          <w:bCs/>
          <w:sz w:val="24"/>
          <w:szCs w:val="24"/>
        </w:rPr>
      </w:pPr>
      <w:r w:rsidRPr="1153542A">
        <w:rPr>
          <w:rFonts w:ascii="Arial" w:eastAsia="Aptos" w:hAnsi="Arial" w:cs="Arial"/>
          <w:b/>
          <w:bCs/>
          <w:sz w:val="24"/>
          <w:szCs w:val="24"/>
        </w:rPr>
        <w:lastRenderedPageBreak/>
        <w:t xml:space="preserve">Implementation </w:t>
      </w:r>
    </w:p>
    <w:p w14:paraId="78CF7CAC" w14:textId="1EDE09A9" w:rsidR="7511170D" w:rsidRPr="00C6609A" w:rsidRDefault="3794312C" w:rsidP="0A9B4EFB">
      <w:pPr>
        <w:spacing w:after="0"/>
        <w:rPr>
          <w:rFonts w:ascii="Arial" w:hAnsi="Arial" w:cs="Arial"/>
        </w:rPr>
      </w:pPr>
      <w:r w:rsidRPr="00C6609A">
        <w:rPr>
          <w:rFonts w:ascii="Arial" w:eastAsia="Aptos" w:hAnsi="Arial" w:cs="Arial"/>
          <w:sz w:val="24"/>
          <w:szCs w:val="24"/>
        </w:rPr>
        <w:t>Option 2 will be implemented in a staged approach over four years</w:t>
      </w:r>
      <w:r w:rsidR="2AC4BE72" w:rsidRPr="00C6609A">
        <w:rPr>
          <w:rFonts w:ascii="Arial" w:eastAsia="Aptos" w:hAnsi="Arial" w:cs="Arial"/>
          <w:sz w:val="24"/>
          <w:szCs w:val="24"/>
        </w:rPr>
        <w:t xml:space="preserve"> from July 2027</w:t>
      </w:r>
      <w:r w:rsidRPr="00C6609A">
        <w:rPr>
          <w:rFonts w:ascii="Arial" w:eastAsia="Aptos" w:hAnsi="Arial" w:cs="Arial"/>
          <w:sz w:val="24"/>
          <w:szCs w:val="24"/>
        </w:rPr>
        <w:t xml:space="preserve">, supported by market </w:t>
      </w:r>
      <w:r w:rsidR="2AC4BE72" w:rsidRPr="00C6609A">
        <w:rPr>
          <w:rFonts w:ascii="Arial" w:eastAsia="Aptos" w:hAnsi="Arial" w:cs="Arial"/>
          <w:sz w:val="24"/>
          <w:szCs w:val="24"/>
        </w:rPr>
        <w:t>education</w:t>
      </w:r>
      <w:r w:rsidRPr="00C6609A">
        <w:rPr>
          <w:rFonts w:ascii="Arial" w:eastAsia="Aptos" w:hAnsi="Arial" w:cs="Arial"/>
          <w:sz w:val="24"/>
          <w:szCs w:val="24"/>
        </w:rPr>
        <w:t xml:space="preserve"> and transition activities. Implementation focuses on:</w:t>
      </w:r>
    </w:p>
    <w:p w14:paraId="17D1A175" w14:textId="0A538B73" w:rsidR="7511170D" w:rsidRPr="00C6609A" w:rsidRDefault="3794312C" w:rsidP="000E4831">
      <w:pPr>
        <w:pStyle w:val="ListParagraph"/>
        <w:numPr>
          <w:ilvl w:val="0"/>
          <w:numId w:val="9"/>
        </w:numPr>
        <w:ind w:left="714" w:hanging="357"/>
        <w:contextualSpacing w:val="0"/>
        <w:rPr>
          <w:rFonts w:ascii="Arial" w:eastAsia="Aptos" w:hAnsi="Arial" w:cs="Arial"/>
          <w:sz w:val="24"/>
          <w:szCs w:val="24"/>
        </w:rPr>
      </w:pPr>
      <w:r w:rsidRPr="00C6609A">
        <w:rPr>
          <w:rFonts w:ascii="Arial" w:eastAsia="Aptos" w:hAnsi="Arial" w:cs="Arial"/>
          <w:sz w:val="24"/>
          <w:szCs w:val="24"/>
        </w:rPr>
        <w:t>Providing clear milestones, information, and market signals to NDIS providers and people with disability and their supporters</w:t>
      </w:r>
      <w:r w:rsidR="55A7FD34" w:rsidRPr="00C6609A">
        <w:rPr>
          <w:rFonts w:ascii="Arial" w:eastAsia="Aptos" w:hAnsi="Arial" w:cs="Arial"/>
          <w:sz w:val="24"/>
          <w:szCs w:val="24"/>
        </w:rPr>
        <w:t xml:space="preserve"> through the implementation of a regulatory framework for </w:t>
      </w:r>
      <w:r w:rsidR="007B639F" w:rsidRPr="00C6609A">
        <w:rPr>
          <w:rFonts w:ascii="Arial" w:eastAsia="Aptos" w:hAnsi="Arial" w:cs="Arial"/>
          <w:sz w:val="24"/>
          <w:szCs w:val="24"/>
        </w:rPr>
        <w:t>high</w:t>
      </w:r>
      <w:r w:rsidR="00392E82">
        <w:rPr>
          <w:rFonts w:ascii="Arial" w:eastAsia="Aptos" w:hAnsi="Arial" w:cs="Arial"/>
          <w:sz w:val="24"/>
          <w:szCs w:val="24"/>
        </w:rPr>
        <w:t>-</w:t>
      </w:r>
      <w:r w:rsidR="007B639F" w:rsidRPr="00C6609A">
        <w:rPr>
          <w:rFonts w:ascii="Arial" w:eastAsia="Aptos" w:hAnsi="Arial" w:cs="Arial"/>
          <w:sz w:val="24"/>
          <w:szCs w:val="24"/>
        </w:rPr>
        <w:t>risk</w:t>
      </w:r>
      <w:r w:rsidR="55A7FD34" w:rsidRPr="00C6609A">
        <w:rPr>
          <w:rFonts w:ascii="Arial" w:eastAsia="Aptos" w:hAnsi="Arial" w:cs="Arial"/>
          <w:sz w:val="24"/>
          <w:szCs w:val="24"/>
        </w:rPr>
        <w:t xml:space="preserve"> NDIS providers</w:t>
      </w:r>
    </w:p>
    <w:p w14:paraId="07A5EB7A" w14:textId="5B14CBA4" w:rsidR="7511170D" w:rsidRPr="00C6609A" w:rsidRDefault="7511170D" w:rsidP="000E4831">
      <w:pPr>
        <w:pStyle w:val="ListParagraph"/>
        <w:numPr>
          <w:ilvl w:val="0"/>
          <w:numId w:val="9"/>
        </w:numPr>
        <w:ind w:left="714" w:hanging="357"/>
        <w:contextualSpacing w:val="0"/>
        <w:rPr>
          <w:rFonts w:ascii="Arial" w:eastAsia="Aptos" w:hAnsi="Arial" w:cs="Arial"/>
          <w:sz w:val="24"/>
          <w:szCs w:val="24"/>
        </w:rPr>
      </w:pPr>
      <w:r w:rsidRPr="00C6609A">
        <w:rPr>
          <w:rFonts w:ascii="Arial" w:eastAsia="Aptos" w:hAnsi="Arial" w:cs="Arial"/>
          <w:sz w:val="24"/>
          <w:szCs w:val="24"/>
        </w:rPr>
        <w:t xml:space="preserve">A careful, staged approach focusing on </w:t>
      </w:r>
      <w:r w:rsidR="00435860" w:rsidRPr="00C6609A">
        <w:rPr>
          <w:rFonts w:ascii="Arial" w:eastAsia="Aptos" w:hAnsi="Arial" w:cs="Arial"/>
          <w:sz w:val="24"/>
          <w:szCs w:val="24"/>
        </w:rPr>
        <w:t xml:space="preserve">registering </w:t>
      </w:r>
      <w:r w:rsidRPr="00C6609A">
        <w:rPr>
          <w:rFonts w:ascii="Arial" w:eastAsia="Aptos" w:hAnsi="Arial" w:cs="Arial"/>
          <w:sz w:val="24"/>
          <w:szCs w:val="24"/>
        </w:rPr>
        <w:t xml:space="preserve">highest risk </w:t>
      </w:r>
      <w:r w:rsidR="009204F8" w:rsidRPr="00C6609A">
        <w:rPr>
          <w:rFonts w:ascii="Arial" w:eastAsia="Aptos" w:hAnsi="Arial" w:cs="Arial"/>
          <w:sz w:val="24"/>
          <w:szCs w:val="24"/>
        </w:rPr>
        <w:t xml:space="preserve">providers </w:t>
      </w:r>
      <w:r w:rsidR="00A24299" w:rsidRPr="00C6609A">
        <w:rPr>
          <w:rFonts w:ascii="Arial" w:eastAsia="Aptos" w:hAnsi="Arial" w:cs="Arial"/>
          <w:sz w:val="24"/>
          <w:szCs w:val="24"/>
        </w:rPr>
        <w:t>who are currently unregistered</w:t>
      </w:r>
      <w:r w:rsidRPr="00C6609A">
        <w:rPr>
          <w:rFonts w:ascii="Arial" w:eastAsia="Aptos" w:hAnsi="Arial" w:cs="Arial"/>
          <w:sz w:val="24"/>
          <w:szCs w:val="24"/>
        </w:rPr>
        <w:t xml:space="preserve"> and services first to minimise risk to people with disability and the Scheme as a matter of priority</w:t>
      </w:r>
    </w:p>
    <w:p w14:paraId="23A620E9" w14:textId="6C025B72" w:rsidR="7511170D" w:rsidRPr="00C6609A" w:rsidRDefault="7511170D" w:rsidP="000E4831">
      <w:pPr>
        <w:pStyle w:val="ListParagraph"/>
        <w:numPr>
          <w:ilvl w:val="0"/>
          <w:numId w:val="9"/>
        </w:numPr>
        <w:ind w:left="714" w:hanging="357"/>
        <w:contextualSpacing w:val="0"/>
        <w:rPr>
          <w:rFonts w:ascii="Arial" w:eastAsia="Aptos" w:hAnsi="Arial" w:cs="Arial"/>
          <w:sz w:val="24"/>
          <w:szCs w:val="24"/>
        </w:rPr>
      </w:pPr>
      <w:r w:rsidRPr="00C6609A">
        <w:rPr>
          <w:rFonts w:ascii="Arial" w:eastAsia="Aptos" w:hAnsi="Arial" w:cs="Arial"/>
          <w:sz w:val="24"/>
          <w:szCs w:val="24"/>
        </w:rPr>
        <w:t>Grandfathering arrangements for existing registered providers, allowing time for transition to new arrangements over time</w:t>
      </w:r>
      <w:r w:rsidR="00B244B8" w:rsidRPr="00C6609A">
        <w:rPr>
          <w:rFonts w:ascii="Arial" w:eastAsia="Aptos" w:hAnsi="Arial" w:cs="Arial"/>
          <w:sz w:val="24"/>
          <w:szCs w:val="24"/>
        </w:rPr>
        <w:t xml:space="preserve"> as their registration is renewed. </w:t>
      </w:r>
    </w:p>
    <w:p w14:paraId="2CB22379" w14:textId="51F356F5" w:rsidR="7511170D" w:rsidRPr="00C6609A" w:rsidRDefault="3794312C" w:rsidP="000E4831">
      <w:pPr>
        <w:pStyle w:val="ListParagraph"/>
        <w:numPr>
          <w:ilvl w:val="0"/>
          <w:numId w:val="9"/>
        </w:numPr>
        <w:ind w:left="714" w:hanging="357"/>
        <w:contextualSpacing w:val="0"/>
        <w:rPr>
          <w:rFonts w:ascii="Arial" w:eastAsia="Aptos" w:hAnsi="Arial" w:cs="Arial"/>
          <w:sz w:val="24"/>
          <w:szCs w:val="24"/>
        </w:rPr>
      </w:pPr>
      <w:r w:rsidRPr="00C6609A">
        <w:rPr>
          <w:rFonts w:ascii="Arial" w:eastAsia="Aptos" w:hAnsi="Arial" w:cs="Arial"/>
          <w:sz w:val="24"/>
          <w:szCs w:val="24"/>
        </w:rPr>
        <w:t xml:space="preserve">Integration with broader NDIS reforms, including legislative reforms, the new planning </w:t>
      </w:r>
      <w:r w:rsidR="44957947" w:rsidRPr="00C6609A">
        <w:rPr>
          <w:rFonts w:ascii="Arial" w:eastAsia="Aptos" w:hAnsi="Arial" w:cs="Arial"/>
          <w:sz w:val="24"/>
          <w:szCs w:val="24"/>
        </w:rPr>
        <w:t>framework, and</w:t>
      </w:r>
      <w:r w:rsidRPr="00C6609A">
        <w:rPr>
          <w:rFonts w:ascii="Arial" w:eastAsia="Aptos" w:hAnsi="Arial" w:cs="Arial"/>
          <w:sz w:val="24"/>
          <w:szCs w:val="24"/>
        </w:rPr>
        <w:t xml:space="preserve"> commissioning approaches</w:t>
      </w:r>
    </w:p>
    <w:p w14:paraId="12B34EFD" w14:textId="42197B4A" w:rsidR="1833833B" w:rsidRPr="00C6609A" w:rsidRDefault="67E8E5B9" w:rsidP="000E4831">
      <w:pPr>
        <w:pStyle w:val="ListParagraph"/>
        <w:numPr>
          <w:ilvl w:val="0"/>
          <w:numId w:val="9"/>
        </w:numPr>
        <w:ind w:left="714" w:hanging="357"/>
        <w:contextualSpacing w:val="0"/>
        <w:rPr>
          <w:rFonts w:ascii="Arial" w:eastAsia="Aptos" w:hAnsi="Arial" w:cs="Arial"/>
          <w:sz w:val="24"/>
          <w:szCs w:val="24"/>
        </w:rPr>
      </w:pPr>
      <w:r w:rsidRPr="7F72696E">
        <w:rPr>
          <w:rFonts w:ascii="Arial" w:eastAsia="Aptos" w:hAnsi="Arial" w:cs="Arial"/>
          <w:sz w:val="24"/>
          <w:szCs w:val="24"/>
        </w:rPr>
        <w:t xml:space="preserve">Implementation of a cost-recovery mechanism to </w:t>
      </w:r>
      <w:r w:rsidR="7DCAC1EE" w:rsidRPr="7F72696E">
        <w:rPr>
          <w:rFonts w:ascii="Arial" w:eastAsia="Aptos" w:hAnsi="Arial" w:cs="Arial"/>
          <w:sz w:val="24"/>
          <w:szCs w:val="24"/>
        </w:rPr>
        <w:t xml:space="preserve">ensure </w:t>
      </w:r>
      <w:r w:rsidR="2215656B" w:rsidRPr="7F72696E">
        <w:rPr>
          <w:rFonts w:ascii="Arial" w:eastAsia="Aptos" w:hAnsi="Arial" w:cs="Arial"/>
          <w:sz w:val="24"/>
          <w:szCs w:val="24"/>
        </w:rPr>
        <w:t>p</w:t>
      </w:r>
      <w:r w:rsidR="2215656B" w:rsidRPr="7F72696E">
        <w:rPr>
          <w:rFonts w:ascii="Arial" w:hAnsi="Arial" w:cs="Arial"/>
          <w:sz w:val="24"/>
          <w:szCs w:val="24"/>
        </w:rPr>
        <w:t>roviders delivering the highest risk supports</w:t>
      </w:r>
      <w:r w:rsidR="7DCAC1EE" w:rsidRPr="7F72696E">
        <w:rPr>
          <w:rFonts w:ascii="Arial" w:eastAsia="Aptos" w:hAnsi="Arial" w:cs="Arial"/>
          <w:sz w:val="24"/>
          <w:szCs w:val="24"/>
        </w:rPr>
        <w:t xml:space="preserve"> NDIS providers who gain value from access to the market contribute to the cost of maintaining that benefit. </w:t>
      </w:r>
    </w:p>
    <w:p w14:paraId="59D3301A" w14:textId="5438F47B" w:rsidR="7511170D" w:rsidRPr="00C6609A" w:rsidRDefault="3794312C" w:rsidP="00872727">
      <w:pPr>
        <w:rPr>
          <w:rFonts w:ascii="Arial" w:eastAsia="Aptos" w:hAnsi="Arial" w:cs="Arial"/>
          <w:sz w:val="24"/>
          <w:szCs w:val="24"/>
        </w:rPr>
      </w:pPr>
      <w:r w:rsidRPr="00C6609A">
        <w:rPr>
          <w:rFonts w:ascii="Arial" w:eastAsia="Aptos" w:hAnsi="Arial" w:cs="Arial"/>
          <w:sz w:val="24"/>
          <w:szCs w:val="24"/>
        </w:rPr>
        <w:t xml:space="preserve">This sequencing ensures time for any refinement to obligations for self-directed participants and that the NDIS Commission can smoothly onboard the increased volume of suitability assessments for all providers. </w:t>
      </w:r>
    </w:p>
    <w:p w14:paraId="285D6682" w14:textId="669BAEC8" w:rsidR="00611047" w:rsidRPr="00C6609A" w:rsidRDefault="7511170D" w:rsidP="00872727">
      <w:pPr>
        <w:rPr>
          <w:rFonts w:ascii="Arial" w:eastAsia="Aptos" w:hAnsi="Arial" w:cs="Arial"/>
          <w:sz w:val="24"/>
          <w:szCs w:val="24"/>
        </w:rPr>
      </w:pPr>
      <w:r w:rsidRPr="00C6609A">
        <w:rPr>
          <w:rFonts w:ascii="Arial" w:eastAsia="Aptos" w:hAnsi="Arial" w:cs="Arial"/>
          <w:sz w:val="24"/>
          <w:szCs w:val="24"/>
        </w:rPr>
        <w:t xml:space="preserve">Implementation of the </w:t>
      </w:r>
      <w:r w:rsidR="004F29B3" w:rsidRPr="00C6609A">
        <w:rPr>
          <w:rFonts w:ascii="Arial" w:eastAsia="Aptos" w:hAnsi="Arial" w:cs="Arial"/>
          <w:sz w:val="24"/>
          <w:szCs w:val="24"/>
        </w:rPr>
        <w:t>mandatory registration of high</w:t>
      </w:r>
      <w:r w:rsidR="00797880">
        <w:rPr>
          <w:rFonts w:ascii="Arial" w:eastAsia="Aptos" w:hAnsi="Arial" w:cs="Arial"/>
          <w:sz w:val="24"/>
          <w:szCs w:val="24"/>
        </w:rPr>
        <w:t>-</w:t>
      </w:r>
      <w:r w:rsidR="004F29B3" w:rsidRPr="00C6609A">
        <w:rPr>
          <w:rFonts w:ascii="Arial" w:eastAsia="Aptos" w:hAnsi="Arial" w:cs="Arial"/>
          <w:sz w:val="24"/>
          <w:szCs w:val="24"/>
        </w:rPr>
        <w:t>risk providers</w:t>
      </w:r>
      <w:r w:rsidRPr="00C6609A">
        <w:rPr>
          <w:rFonts w:ascii="Arial" w:eastAsia="Aptos" w:hAnsi="Arial" w:cs="Arial"/>
          <w:sz w:val="24"/>
          <w:szCs w:val="24"/>
        </w:rPr>
        <w:t xml:space="preserve"> will commence from 1 July 2027 </w:t>
      </w:r>
      <w:r w:rsidR="00920A3A" w:rsidRPr="00C6609A">
        <w:rPr>
          <w:rFonts w:ascii="Arial" w:eastAsia="Aptos" w:hAnsi="Arial" w:cs="Arial"/>
          <w:sz w:val="24"/>
          <w:szCs w:val="24"/>
        </w:rPr>
        <w:t>once</w:t>
      </w:r>
      <w:r w:rsidRPr="00C6609A">
        <w:rPr>
          <w:rFonts w:ascii="Arial" w:eastAsia="Aptos" w:hAnsi="Arial" w:cs="Arial"/>
          <w:sz w:val="24"/>
          <w:szCs w:val="24"/>
        </w:rPr>
        <w:t xml:space="preserve"> the support</w:t>
      </w:r>
      <w:r w:rsidR="00920A3A" w:rsidRPr="00C6609A">
        <w:rPr>
          <w:rFonts w:ascii="Arial" w:eastAsia="Aptos" w:hAnsi="Arial" w:cs="Arial"/>
          <w:sz w:val="24"/>
          <w:szCs w:val="24"/>
        </w:rPr>
        <w:t>ing</w:t>
      </w:r>
      <w:r w:rsidRPr="00C6609A">
        <w:rPr>
          <w:rFonts w:ascii="Arial" w:eastAsia="Aptos" w:hAnsi="Arial" w:cs="Arial"/>
          <w:sz w:val="24"/>
          <w:szCs w:val="24"/>
        </w:rPr>
        <w:t xml:space="preserve"> </w:t>
      </w:r>
      <w:r w:rsidR="00920A3A" w:rsidRPr="00C6609A">
        <w:rPr>
          <w:rFonts w:ascii="Arial" w:eastAsia="Aptos" w:hAnsi="Arial" w:cs="Arial"/>
          <w:sz w:val="24"/>
          <w:szCs w:val="24"/>
        </w:rPr>
        <w:t xml:space="preserve">amendments to the </w:t>
      </w:r>
      <w:r w:rsidRPr="00C6609A">
        <w:rPr>
          <w:rFonts w:ascii="Arial" w:eastAsia="Aptos" w:hAnsi="Arial" w:cs="Arial"/>
          <w:sz w:val="24"/>
          <w:szCs w:val="24"/>
        </w:rPr>
        <w:t xml:space="preserve">NDIS Act </w:t>
      </w:r>
      <w:r w:rsidR="00920A3A" w:rsidRPr="00C6609A">
        <w:rPr>
          <w:rFonts w:ascii="Arial" w:eastAsia="Aptos" w:hAnsi="Arial" w:cs="Arial"/>
          <w:sz w:val="24"/>
          <w:szCs w:val="24"/>
        </w:rPr>
        <w:t xml:space="preserve">are in place, including a </w:t>
      </w:r>
      <w:r w:rsidRPr="00C6609A">
        <w:rPr>
          <w:rFonts w:ascii="Arial" w:eastAsia="Aptos" w:hAnsi="Arial" w:cs="Arial"/>
          <w:sz w:val="24"/>
          <w:szCs w:val="24"/>
        </w:rPr>
        <w:t xml:space="preserve">new </w:t>
      </w:r>
      <w:r w:rsidR="00920A3A" w:rsidRPr="00C6609A">
        <w:rPr>
          <w:rFonts w:ascii="Arial" w:eastAsia="Aptos" w:hAnsi="Arial" w:cs="Arial"/>
          <w:sz w:val="24"/>
          <w:szCs w:val="24"/>
        </w:rPr>
        <w:t xml:space="preserve">definition of </w:t>
      </w:r>
      <w:r w:rsidRPr="00C6609A">
        <w:rPr>
          <w:rFonts w:ascii="Arial" w:eastAsia="Aptos" w:hAnsi="Arial" w:cs="Arial"/>
          <w:sz w:val="24"/>
          <w:szCs w:val="24"/>
        </w:rPr>
        <w:t xml:space="preserve">NDIS provider. </w:t>
      </w:r>
    </w:p>
    <w:p w14:paraId="260FA7D2" w14:textId="7D8D13E2" w:rsidR="7511170D" w:rsidRPr="00C6609A" w:rsidRDefault="3794312C" w:rsidP="00611047">
      <w:pPr>
        <w:rPr>
          <w:rFonts w:ascii="Arial" w:eastAsia="Aptos" w:hAnsi="Arial" w:cs="Arial"/>
          <w:sz w:val="24"/>
          <w:szCs w:val="24"/>
        </w:rPr>
      </w:pPr>
      <w:r w:rsidRPr="00C6609A">
        <w:rPr>
          <w:rFonts w:ascii="Arial" w:eastAsia="Aptos" w:hAnsi="Arial" w:cs="Arial"/>
          <w:sz w:val="24"/>
          <w:szCs w:val="24"/>
        </w:rPr>
        <w:t xml:space="preserve">The proposed sequence to providers into universal registration is as follows: </w:t>
      </w:r>
    </w:p>
    <w:p w14:paraId="455F59BF" w14:textId="48E88C08" w:rsidR="7511170D" w:rsidRPr="00C6609A" w:rsidRDefault="7511170D" w:rsidP="006F4D62">
      <w:pPr>
        <w:pStyle w:val="ListParagraph"/>
        <w:numPr>
          <w:ilvl w:val="0"/>
          <w:numId w:val="8"/>
        </w:numPr>
        <w:spacing w:after="0"/>
        <w:rPr>
          <w:rFonts w:ascii="Arial" w:eastAsia="Aptos" w:hAnsi="Arial" w:cs="Arial"/>
          <w:sz w:val="24"/>
          <w:szCs w:val="24"/>
        </w:rPr>
      </w:pPr>
      <w:r w:rsidRPr="00C6609A">
        <w:rPr>
          <w:rFonts w:ascii="Arial" w:eastAsia="Aptos" w:hAnsi="Arial" w:cs="Arial"/>
          <w:sz w:val="24"/>
          <w:szCs w:val="24"/>
        </w:rPr>
        <w:t>From July 2027, advanced and general categories of registration are introduced for highest risk supports where people with disability are at most</w:t>
      </w:r>
      <w:r w:rsidRPr="00C6609A">
        <w:rPr>
          <w:rFonts w:ascii="Arial" w:eastAsia="Arial" w:hAnsi="Arial" w:cs="Arial"/>
          <w:sz w:val="24"/>
          <w:szCs w:val="24"/>
        </w:rPr>
        <w:t> </w:t>
      </w:r>
      <w:r w:rsidRPr="00C6609A">
        <w:rPr>
          <w:rFonts w:ascii="Arial" w:eastAsia="Aptos" w:hAnsi="Arial" w:cs="Arial"/>
          <w:sz w:val="24"/>
          <w:szCs w:val="24"/>
        </w:rPr>
        <w:t>risk (e.g.</w:t>
      </w:r>
      <w:r w:rsidRPr="00C6609A">
        <w:rPr>
          <w:rFonts w:ascii="Arial" w:eastAsia="Arial" w:hAnsi="Arial" w:cs="Arial"/>
          <w:sz w:val="24"/>
          <w:szCs w:val="24"/>
        </w:rPr>
        <w:t> </w:t>
      </w:r>
      <w:r w:rsidRPr="00C6609A">
        <w:rPr>
          <w:rFonts w:ascii="Arial" w:eastAsia="Aptos" w:hAnsi="Arial" w:cs="Arial"/>
          <w:sz w:val="24"/>
          <w:szCs w:val="24"/>
        </w:rPr>
        <w:t xml:space="preserve">personal care, home and living supports).  </w:t>
      </w:r>
    </w:p>
    <w:p w14:paraId="2BFFEDBC" w14:textId="314D5D61" w:rsidR="7511170D" w:rsidRPr="00C6609A" w:rsidRDefault="7511170D" w:rsidP="0A9B4EFB">
      <w:pPr>
        <w:spacing w:after="0"/>
        <w:rPr>
          <w:rFonts w:ascii="Arial" w:eastAsia="Aptos" w:hAnsi="Arial" w:cs="Arial"/>
          <w:sz w:val="24"/>
          <w:szCs w:val="24"/>
        </w:rPr>
      </w:pPr>
    </w:p>
    <w:p w14:paraId="71ACA8E7" w14:textId="42DFA23B" w:rsidR="7511170D" w:rsidRPr="00C6609A" w:rsidRDefault="3794312C" w:rsidP="0A9B4EFB">
      <w:pPr>
        <w:spacing w:after="0"/>
        <w:rPr>
          <w:rFonts w:ascii="Arial" w:eastAsia="Aptos" w:hAnsi="Arial" w:cs="Arial"/>
          <w:sz w:val="24"/>
          <w:szCs w:val="24"/>
        </w:rPr>
      </w:pPr>
      <w:r w:rsidRPr="6D98FBE5">
        <w:rPr>
          <w:rFonts w:ascii="Arial" w:eastAsia="Aptos" w:hAnsi="Arial" w:cs="Arial"/>
          <w:sz w:val="24"/>
          <w:szCs w:val="24"/>
        </w:rPr>
        <w:t xml:space="preserve">New market entrants </w:t>
      </w:r>
      <w:r w:rsidR="64E29DD8" w:rsidRPr="6D98FBE5">
        <w:rPr>
          <w:rFonts w:ascii="Arial" w:eastAsia="Aptos" w:hAnsi="Arial" w:cs="Arial"/>
          <w:sz w:val="24"/>
          <w:szCs w:val="24"/>
        </w:rPr>
        <w:t>(</w:t>
      </w:r>
      <w:r w:rsidR="69732484" w:rsidRPr="6D98FBE5">
        <w:rPr>
          <w:rFonts w:ascii="Arial" w:eastAsia="Aptos" w:hAnsi="Arial" w:cs="Arial"/>
          <w:sz w:val="24"/>
          <w:szCs w:val="24"/>
        </w:rPr>
        <w:t>i.e. currently</w:t>
      </w:r>
      <w:r w:rsidR="64E29DD8" w:rsidRPr="6D98FBE5">
        <w:rPr>
          <w:rFonts w:ascii="Arial" w:eastAsia="Aptos" w:hAnsi="Arial" w:cs="Arial"/>
          <w:sz w:val="24"/>
          <w:szCs w:val="24"/>
        </w:rPr>
        <w:t xml:space="preserve"> unregistered providers) </w:t>
      </w:r>
      <w:r w:rsidRPr="6D98FBE5">
        <w:rPr>
          <w:rFonts w:ascii="Arial" w:eastAsia="Aptos" w:hAnsi="Arial" w:cs="Arial"/>
          <w:sz w:val="24"/>
          <w:szCs w:val="24"/>
        </w:rPr>
        <w:t xml:space="preserve">would be required to meet the relevant obligations </w:t>
      </w:r>
      <w:r w:rsidR="6D913DF8" w:rsidRPr="6D98FBE5">
        <w:rPr>
          <w:rFonts w:ascii="Arial" w:eastAsia="Aptos" w:hAnsi="Arial" w:cs="Arial"/>
          <w:sz w:val="24"/>
          <w:szCs w:val="24"/>
        </w:rPr>
        <w:t xml:space="preserve">within 12 months of the commencement date for the category. </w:t>
      </w:r>
      <w:r w:rsidRPr="6D98FBE5">
        <w:rPr>
          <w:rFonts w:ascii="Arial" w:eastAsia="Aptos" w:hAnsi="Arial" w:cs="Arial"/>
          <w:sz w:val="24"/>
          <w:szCs w:val="24"/>
        </w:rPr>
        <w:t xml:space="preserve">Existing registered providers would be picked up under their new risk category at their next audit, until all providers are progressively incorporated into the new regulatory model.  </w:t>
      </w:r>
    </w:p>
    <w:p w14:paraId="7F3CDD04" w14:textId="5E0FBC62" w:rsidR="0A9B4EFB" w:rsidRPr="002D6866" w:rsidRDefault="0A9B4EFB" w:rsidP="1833833B">
      <w:pPr>
        <w:spacing w:after="0"/>
        <w:rPr>
          <w:rFonts w:ascii="Arial" w:eastAsia="Aptos" w:hAnsi="Arial" w:cs="Arial"/>
          <w:sz w:val="24"/>
          <w:szCs w:val="24"/>
          <w:highlight w:val="yellow"/>
        </w:rPr>
      </w:pPr>
    </w:p>
    <w:p w14:paraId="5A7A9123" w14:textId="339DD3EC" w:rsidR="1833833B" w:rsidRPr="002D6866" w:rsidRDefault="1833833B" w:rsidP="1833833B">
      <w:pPr>
        <w:spacing w:after="0"/>
        <w:rPr>
          <w:rFonts w:ascii="Arial" w:eastAsia="Aptos" w:hAnsi="Arial" w:cs="Arial"/>
          <w:sz w:val="24"/>
          <w:szCs w:val="24"/>
          <w:highlight w:val="yellow"/>
        </w:rPr>
      </w:pPr>
    </w:p>
    <w:p w14:paraId="4B7C7A4B" w14:textId="77777777" w:rsidR="007550AB" w:rsidRPr="002D6866" w:rsidRDefault="007550AB">
      <w:pPr>
        <w:spacing w:after="200" w:line="288" w:lineRule="auto"/>
        <w:rPr>
          <w:rFonts w:ascii="Arial" w:hAnsi="Arial" w:cs="Arial"/>
          <w:highlight w:val="yellow"/>
        </w:rPr>
      </w:pPr>
      <w:r w:rsidRPr="002D6866">
        <w:rPr>
          <w:rFonts w:ascii="Arial" w:hAnsi="Arial" w:cs="Arial"/>
          <w:highlight w:val="yellow"/>
        </w:rPr>
        <w:br w:type="page"/>
      </w:r>
    </w:p>
    <w:p w14:paraId="29AE9E47" w14:textId="1BFCBBF3" w:rsidR="00BD171D" w:rsidRPr="007B40F7" w:rsidRDefault="1E33D7E6" w:rsidP="1153542A">
      <w:pPr>
        <w:pStyle w:val="Heading1"/>
        <w:numPr>
          <w:ilvl w:val="0"/>
          <w:numId w:val="1"/>
        </w:numPr>
        <w:spacing w:before="0" w:after="0"/>
        <w:rPr>
          <w:color w:val="3F4A75"/>
          <w:szCs w:val="48"/>
        </w:rPr>
      </w:pPr>
      <w:r w:rsidRPr="1153542A">
        <w:rPr>
          <w:color w:val="3F4A75"/>
          <w:szCs w:val="48"/>
        </w:rPr>
        <w:lastRenderedPageBreak/>
        <w:t>How will you evaluate your chosen option against the success metrics?</w:t>
      </w:r>
    </w:p>
    <w:p w14:paraId="204A688D" w14:textId="474F32EE" w:rsidR="72816C4F" w:rsidRPr="007B40F7" w:rsidRDefault="72816C4F" w:rsidP="0A9B4EFB">
      <w:pPr>
        <w:spacing w:after="0"/>
        <w:rPr>
          <w:rFonts w:ascii="Arial" w:hAnsi="Arial" w:cs="Arial"/>
        </w:rPr>
      </w:pPr>
      <w:r w:rsidRPr="007B40F7">
        <w:rPr>
          <w:rFonts w:ascii="Arial" w:eastAsia="Aptos" w:hAnsi="Arial" w:cs="Arial"/>
          <w:sz w:val="24"/>
          <w:szCs w:val="24"/>
        </w:rPr>
        <w:t>The implementation of this measure will be evaluated against the following success metrics</w:t>
      </w:r>
      <w:r w:rsidR="0078731E" w:rsidRPr="007B40F7">
        <w:rPr>
          <w:rFonts w:ascii="Arial" w:eastAsia="Aptos" w:hAnsi="Arial" w:cs="Arial"/>
          <w:sz w:val="24"/>
          <w:szCs w:val="24"/>
        </w:rPr>
        <w:t xml:space="preserve"> demonstrated in Figure </w:t>
      </w:r>
      <w:r w:rsidR="2AC4BE72" w:rsidRPr="007B40F7">
        <w:rPr>
          <w:rFonts w:ascii="Arial" w:eastAsia="Aptos" w:hAnsi="Arial" w:cs="Arial"/>
          <w:sz w:val="24"/>
          <w:szCs w:val="24"/>
        </w:rPr>
        <w:t>2</w:t>
      </w:r>
      <w:r w:rsidR="0078731E" w:rsidRPr="007B40F7">
        <w:rPr>
          <w:rFonts w:ascii="Arial" w:eastAsia="Aptos" w:hAnsi="Arial" w:cs="Arial"/>
          <w:sz w:val="24"/>
          <w:szCs w:val="24"/>
        </w:rPr>
        <w:t xml:space="preserve"> below</w:t>
      </w:r>
      <w:r w:rsidR="0079431E" w:rsidRPr="007B40F7">
        <w:rPr>
          <w:rFonts w:ascii="Arial" w:eastAsia="Aptos" w:hAnsi="Arial" w:cs="Arial"/>
          <w:sz w:val="24"/>
          <w:szCs w:val="24"/>
        </w:rPr>
        <w:t>.</w:t>
      </w:r>
    </w:p>
    <w:p w14:paraId="69A0FDA4" w14:textId="661399E4" w:rsidR="72816C4F" w:rsidRPr="007B40F7" w:rsidRDefault="72816C4F" w:rsidP="0A9B4EFB">
      <w:pPr>
        <w:spacing w:after="0"/>
        <w:rPr>
          <w:rFonts w:ascii="Arial" w:hAnsi="Arial" w:cs="Arial"/>
        </w:rPr>
      </w:pPr>
      <w:r w:rsidRPr="007B40F7">
        <w:rPr>
          <w:rFonts w:ascii="Arial" w:eastAsia="Aptos" w:hAnsi="Arial" w:cs="Arial"/>
          <w:sz w:val="24"/>
          <w:szCs w:val="24"/>
        </w:rPr>
        <w:t xml:space="preserve"> </w:t>
      </w:r>
    </w:p>
    <w:p w14:paraId="301FF2CA" w14:textId="79B16FB6" w:rsidR="0079431E" w:rsidRPr="007B40F7" w:rsidRDefault="0079431E" w:rsidP="0079431E">
      <w:pPr>
        <w:pStyle w:val="Caption"/>
        <w:keepNext/>
      </w:pPr>
      <w:r w:rsidRPr="1153542A">
        <w:rPr>
          <w:color w:val="4D759C"/>
          <w:szCs w:val="22"/>
        </w:rPr>
        <w:t xml:space="preserve">Figure </w:t>
      </w:r>
      <w:r>
        <w:fldChar w:fldCharType="begin"/>
      </w:r>
      <w:r>
        <w:instrText xml:space="preserve"> SEQ Figure \* ARABIC </w:instrText>
      </w:r>
      <w:r>
        <w:fldChar w:fldCharType="separate"/>
      </w:r>
      <w:r>
        <w:t>2</w:t>
      </w:r>
      <w:r>
        <w:fldChar w:fldCharType="end"/>
      </w:r>
      <w:r w:rsidRPr="1153542A">
        <w:rPr>
          <w:color w:val="4D759C"/>
          <w:szCs w:val="22"/>
        </w:rPr>
        <w:t xml:space="preserve">: Success metrics of </w:t>
      </w:r>
      <w:proofErr w:type="spellStart"/>
      <w:r w:rsidRPr="1153542A">
        <w:rPr>
          <w:color w:val="4D759C"/>
          <w:szCs w:val="22"/>
        </w:rPr>
        <w:t>grprm</w:t>
      </w:r>
      <w:proofErr w:type="spellEnd"/>
    </w:p>
    <w:tbl>
      <w:tblPr>
        <w:tblW w:w="0" w:type="auto"/>
        <w:tblLook w:val="04A0" w:firstRow="1" w:lastRow="0" w:firstColumn="1" w:lastColumn="0" w:noHBand="0" w:noVBand="1"/>
      </w:tblPr>
      <w:tblGrid>
        <w:gridCol w:w="2403"/>
        <w:gridCol w:w="2405"/>
        <w:gridCol w:w="2404"/>
        <w:gridCol w:w="2406"/>
      </w:tblGrid>
      <w:tr w:rsidR="0A9B4EFB" w:rsidRPr="002D6866" w14:paraId="43E2340F" w14:textId="77777777" w:rsidTr="0A9B4EFB">
        <w:trPr>
          <w:trHeight w:val="300"/>
        </w:trPr>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667CE4E4" w14:textId="7C2B6792" w:rsidR="0A9B4EFB" w:rsidRPr="007B40F7" w:rsidRDefault="0A9B4EFB" w:rsidP="0A9B4EFB">
            <w:pPr>
              <w:spacing w:after="0"/>
              <w:jc w:val="center"/>
              <w:rPr>
                <w:rFonts w:ascii="Arial" w:hAnsi="Arial" w:cs="Arial"/>
              </w:rPr>
            </w:pPr>
            <w:r w:rsidRPr="007B40F7">
              <w:rPr>
                <w:rFonts w:ascii="Arial" w:eastAsia="Aptos" w:hAnsi="Arial" w:cs="Arial"/>
                <w:b/>
                <w:sz w:val="24"/>
                <w:szCs w:val="24"/>
              </w:rPr>
              <w:t>Success looks like</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3E25E033" w14:textId="776E3BF4" w:rsidR="0A9B4EFB" w:rsidRPr="007B40F7" w:rsidRDefault="0A9B4EFB" w:rsidP="0A9B4EFB">
            <w:pPr>
              <w:spacing w:after="0"/>
              <w:jc w:val="center"/>
              <w:rPr>
                <w:rFonts w:ascii="Arial" w:hAnsi="Arial" w:cs="Arial"/>
              </w:rPr>
            </w:pPr>
            <w:r w:rsidRPr="007B40F7">
              <w:rPr>
                <w:rFonts w:ascii="Arial" w:eastAsia="Aptos" w:hAnsi="Arial" w:cs="Arial"/>
                <w:b/>
                <w:sz w:val="24"/>
                <w:szCs w:val="24"/>
              </w:rPr>
              <w:t>It will be measured by</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21A6DED8" w14:textId="7D911585" w:rsidR="0A9B4EFB" w:rsidRPr="007B40F7" w:rsidRDefault="0A9B4EFB" w:rsidP="0A9B4EFB">
            <w:pPr>
              <w:spacing w:after="0"/>
              <w:jc w:val="center"/>
              <w:rPr>
                <w:rFonts w:ascii="Arial" w:hAnsi="Arial" w:cs="Arial"/>
              </w:rPr>
            </w:pPr>
            <w:r w:rsidRPr="007B40F7">
              <w:rPr>
                <w:rFonts w:ascii="Arial" w:eastAsia="Aptos" w:hAnsi="Arial" w:cs="Arial"/>
                <w:b/>
                <w:sz w:val="24"/>
                <w:szCs w:val="24"/>
              </w:rPr>
              <w:t>How often</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09496531" w14:textId="61D5A0B1" w:rsidR="0A9B4EFB" w:rsidRPr="007B40F7" w:rsidRDefault="0A9B4EFB" w:rsidP="0A9B4EFB">
            <w:pPr>
              <w:spacing w:after="0"/>
              <w:jc w:val="center"/>
              <w:rPr>
                <w:rFonts w:ascii="Arial" w:hAnsi="Arial" w:cs="Arial"/>
              </w:rPr>
            </w:pPr>
            <w:r w:rsidRPr="007B40F7">
              <w:rPr>
                <w:rFonts w:ascii="Arial" w:eastAsia="Aptos" w:hAnsi="Arial" w:cs="Arial"/>
                <w:b/>
                <w:sz w:val="24"/>
                <w:szCs w:val="24"/>
              </w:rPr>
              <w:t>How this data will be used</w:t>
            </w:r>
          </w:p>
        </w:tc>
      </w:tr>
      <w:tr w:rsidR="0A9B4EFB" w:rsidRPr="002D6866" w14:paraId="7FFC09AB" w14:textId="77777777" w:rsidTr="0A9B4EFB">
        <w:trPr>
          <w:trHeight w:val="300"/>
        </w:trPr>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797CAC0A" w14:textId="2840AE27" w:rsidR="0A9B4EFB" w:rsidRPr="007B40F7" w:rsidRDefault="0A9B4EFB" w:rsidP="0A9B4EFB">
            <w:pPr>
              <w:spacing w:after="0"/>
              <w:rPr>
                <w:rFonts w:ascii="Arial" w:hAnsi="Arial" w:cs="Arial"/>
              </w:rPr>
            </w:pPr>
            <w:r w:rsidRPr="007B40F7">
              <w:rPr>
                <w:rFonts w:ascii="Arial" w:eastAsia="Aptos" w:hAnsi="Arial" w:cs="Arial"/>
                <w:sz w:val="24"/>
                <w:szCs w:val="24"/>
              </w:rPr>
              <w:t>100 per cent of</w:t>
            </w:r>
            <w:r w:rsidR="30528163" w:rsidRPr="007B40F7">
              <w:rPr>
                <w:rFonts w:ascii="Arial" w:eastAsia="Aptos" w:hAnsi="Arial" w:cs="Arial"/>
                <w:sz w:val="24"/>
                <w:szCs w:val="24"/>
              </w:rPr>
              <w:t xml:space="preserve"> </w:t>
            </w:r>
            <w:r w:rsidRPr="007B40F7">
              <w:rPr>
                <w:rFonts w:ascii="Arial" w:eastAsia="Aptos" w:hAnsi="Arial" w:cs="Arial"/>
                <w:sz w:val="24"/>
                <w:szCs w:val="24"/>
              </w:rPr>
              <w:t xml:space="preserve">NDIS providers delivering </w:t>
            </w:r>
            <w:r w:rsidR="00520AF0" w:rsidRPr="007B40F7">
              <w:rPr>
                <w:rFonts w:ascii="Arial" w:eastAsia="Aptos" w:hAnsi="Arial" w:cs="Arial"/>
                <w:sz w:val="24"/>
                <w:szCs w:val="24"/>
              </w:rPr>
              <w:t>high risk supports</w:t>
            </w:r>
            <w:r w:rsidR="0083540C" w:rsidRPr="007B40F7">
              <w:rPr>
                <w:rFonts w:ascii="Arial" w:eastAsia="Aptos" w:hAnsi="Arial" w:cs="Arial"/>
                <w:sz w:val="24"/>
                <w:szCs w:val="24"/>
              </w:rPr>
              <w:t xml:space="preserve"> to</w:t>
            </w:r>
            <w:r w:rsidRPr="007B40F7">
              <w:rPr>
                <w:rFonts w:ascii="Arial" w:eastAsia="Aptos" w:hAnsi="Arial" w:cs="Arial"/>
                <w:sz w:val="24"/>
                <w:szCs w:val="24"/>
              </w:rPr>
              <w:t xml:space="preserve"> NDIS </w:t>
            </w:r>
            <w:r w:rsidR="0083540C" w:rsidRPr="007B40F7">
              <w:rPr>
                <w:rFonts w:ascii="Arial" w:eastAsia="Aptos" w:hAnsi="Arial" w:cs="Arial"/>
                <w:sz w:val="24"/>
                <w:szCs w:val="24"/>
              </w:rPr>
              <w:t xml:space="preserve">participants </w:t>
            </w:r>
            <w:r w:rsidRPr="007B40F7">
              <w:rPr>
                <w:rFonts w:ascii="Arial" w:eastAsia="Aptos" w:hAnsi="Arial" w:cs="Arial"/>
                <w:sz w:val="24"/>
                <w:szCs w:val="24"/>
              </w:rPr>
              <w:t xml:space="preserve">are registered with the NDIS Quality and Safeguards Commission </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47FD7B79" w14:textId="07A03B2F" w:rsidR="0A9B4EFB" w:rsidRPr="007B40F7" w:rsidRDefault="0A9B4EFB" w:rsidP="0A9B4EFB">
            <w:pPr>
              <w:spacing w:after="0"/>
              <w:rPr>
                <w:rFonts w:ascii="Arial" w:hAnsi="Arial" w:cs="Arial"/>
              </w:rPr>
            </w:pPr>
            <w:r w:rsidRPr="007B40F7">
              <w:rPr>
                <w:rFonts w:ascii="Arial" w:eastAsia="Aptos" w:hAnsi="Arial" w:cs="Arial"/>
                <w:sz w:val="24"/>
                <w:szCs w:val="24"/>
              </w:rPr>
              <w:t>Numbers of registered providers active in relevant categories in the NDIS marketplace (NDIS Commission and NDIA payment data)</w:t>
            </w:r>
          </w:p>
          <w:p w14:paraId="2BFFCB5B" w14:textId="00209006"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3FE81D3F" w14:textId="347788EF" w:rsidR="0A9B4EFB" w:rsidRPr="007B40F7" w:rsidRDefault="0A9B4EFB" w:rsidP="0A9B4EFB">
            <w:pPr>
              <w:spacing w:after="0"/>
              <w:rPr>
                <w:rFonts w:ascii="Arial" w:hAnsi="Arial" w:cs="Arial"/>
              </w:rPr>
            </w:pPr>
            <w:r w:rsidRPr="007B40F7">
              <w:rPr>
                <w:rFonts w:ascii="Arial" w:eastAsia="Aptos" w:hAnsi="Arial" w:cs="Arial"/>
                <w:sz w:val="24"/>
                <w:szCs w:val="24"/>
              </w:rPr>
              <w:t>Numbers of claims rejected by the NDIA due to the provider being unregistered</w:t>
            </w:r>
          </w:p>
          <w:p w14:paraId="1B1EDCF5" w14:textId="5975C1C5"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08451E39" w14:textId="248BBEBF" w:rsidR="0A9B4EFB" w:rsidRPr="007B40F7" w:rsidRDefault="0A9B4EFB" w:rsidP="0A9B4EFB">
            <w:pPr>
              <w:spacing w:after="0"/>
              <w:rPr>
                <w:rFonts w:ascii="Arial" w:hAnsi="Arial" w:cs="Arial"/>
              </w:rPr>
            </w:pPr>
            <w:r w:rsidRPr="007B40F7">
              <w:rPr>
                <w:rFonts w:ascii="Arial" w:eastAsia="Aptos" w:hAnsi="Arial" w:cs="Arial"/>
                <w:sz w:val="24"/>
                <w:szCs w:val="24"/>
              </w:rPr>
              <w:t>Quarterly from implementation (NDIS Commission quarterly report)</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3AB8CFEA" w14:textId="67D02363" w:rsidR="0A9B4EFB" w:rsidRPr="007B40F7" w:rsidRDefault="0A9B4EFB" w:rsidP="0A9B4EFB">
            <w:pPr>
              <w:spacing w:after="0"/>
              <w:rPr>
                <w:rFonts w:ascii="Arial" w:hAnsi="Arial" w:cs="Arial"/>
              </w:rPr>
            </w:pPr>
            <w:r w:rsidRPr="007B40F7">
              <w:rPr>
                <w:rFonts w:ascii="Arial" w:eastAsia="Aptos" w:hAnsi="Arial" w:cs="Arial"/>
                <w:sz w:val="24"/>
                <w:szCs w:val="24"/>
              </w:rPr>
              <w:t>Track success of the measure</w:t>
            </w:r>
            <w:r w:rsidR="330FD821" w:rsidRPr="007B40F7">
              <w:rPr>
                <w:rFonts w:ascii="Arial" w:eastAsia="Aptos" w:hAnsi="Arial" w:cs="Arial"/>
                <w:sz w:val="24"/>
                <w:szCs w:val="24"/>
              </w:rPr>
              <w:t>:</w:t>
            </w:r>
          </w:p>
          <w:p w14:paraId="04714438" w14:textId="580C1DD7"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02E37183" w14:textId="307C195B" w:rsidR="0A9B4EFB" w:rsidRPr="007B40F7" w:rsidRDefault="0A9B4EFB" w:rsidP="0A9B4EFB">
            <w:pPr>
              <w:spacing w:after="0"/>
              <w:rPr>
                <w:rFonts w:ascii="Arial" w:hAnsi="Arial" w:cs="Arial"/>
              </w:rPr>
            </w:pPr>
            <w:r w:rsidRPr="007B40F7">
              <w:rPr>
                <w:rFonts w:ascii="Arial" w:eastAsia="Aptos" w:hAnsi="Arial" w:cs="Arial"/>
                <w:sz w:val="24"/>
                <w:szCs w:val="24"/>
              </w:rPr>
              <w:t>Track market thickness across categories of support and geographical location</w:t>
            </w:r>
          </w:p>
          <w:p w14:paraId="6F57E97F" w14:textId="3146C0C7"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146B2EB4" w14:textId="15A3D972" w:rsidR="0A9B4EFB" w:rsidRPr="007B40F7" w:rsidRDefault="0A9B4EFB" w:rsidP="0A9B4EFB">
            <w:pPr>
              <w:spacing w:after="0"/>
              <w:rPr>
                <w:rFonts w:ascii="Arial" w:hAnsi="Arial" w:cs="Arial"/>
              </w:rPr>
            </w:pPr>
            <w:r w:rsidRPr="007B40F7">
              <w:rPr>
                <w:rFonts w:ascii="Arial" w:eastAsia="Aptos" w:hAnsi="Arial" w:cs="Arial"/>
                <w:sz w:val="24"/>
                <w:szCs w:val="24"/>
              </w:rPr>
              <w:t xml:space="preserve">Track market entry attempts without registration </w:t>
            </w:r>
          </w:p>
          <w:p w14:paraId="4824E716" w14:textId="231F914E"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74A4B68D" w14:textId="5B67A877" w:rsidR="0A9B4EFB" w:rsidRPr="007B40F7" w:rsidRDefault="0A9B4EFB" w:rsidP="0A9B4EFB">
            <w:pPr>
              <w:spacing w:after="0"/>
              <w:rPr>
                <w:rFonts w:ascii="Arial" w:hAnsi="Arial" w:cs="Arial"/>
              </w:rPr>
            </w:pPr>
            <w:r w:rsidRPr="007B40F7">
              <w:rPr>
                <w:rFonts w:ascii="Arial" w:eastAsia="Aptos" w:hAnsi="Arial" w:cs="Arial"/>
                <w:sz w:val="24"/>
                <w:szCs w:val="24"/>
              </w:rPr>
              <w:t>Assist with targeting of NDIS Commission effort</w:t>
            </w:r>
          </w:p>
          <w:p w14:paraId="305E3444" w14:textId="4EF623DA"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tc>
      </w:tr>
      <w:tr w:rsidR="0A9B4EFB" w:rsidRPr="002D6866" w14:paraId="4165C5F5" w14:textId="77777777" w:rsidTr="0A9B4EFB">
        <w:trPr>
          <w:trHeight w:val="300"/>
        </w:trPr>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614F9DE5" w14:textId="28765BEF" w:rsidR="0A9B4EFB" w:rsidRPr="007B40F7" w:rsidRDefault="0A9B4EFB" w:rsidP="0A9B4EFB">
            <w:pPr>
              <w:spacing w:after="0"/>
              <w:rPr>
                <w:rFonts w:ascii="Arial" w:hAnsi="Arial" w:cs="Arial"/>
              </w:rPr>
            </w:pPr>
            <w:r w:rsidRPr="007B40F7">
              <w:rPr>
                <w:rFonts w:ascii="Arial" w:eastAsia="Aptos" w:hAnsi="Arial" w:cs="Arial"/>
                <w:sz w:val="24"/>
                <w:szCs w:val="24"/>
              </w:rPr>
              <w:t>Proportionate reduction in fraudulent activity and funds leakage once risk proportionate registration is fully implemented</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0B7FAAC8" w14:textId="3AB04F70" w:rsidR="0A9B4EFB" w:rsidRPr="007B40F7" w:rsidRDefault="0A9B4EFB" w:rsidP="0A9B4EFB">
            <w:pPr>
              <w:spacing w:after="0"/>
              <w:rPr>
                <w:rFonts w:ascii="Arial" w:hAnsi="Arial" w:cs="Arial"/>
              </w:rPr>
            </w:pPr>
            <w:r w:rsidRPr="007B40F7">
              <w:rPr>
                <w:rFonts w:ascii="Arial" w:eastAsia="Aptos" w:hAnsi="Arial" w:cs="Arial"/>
                <w:sz w:val="24"/>
                <w:szCs w:val="24"/>
              </w:rPr>
              <w:t xml:space="preserve">Numbers and </w:t>
            </w:r>
            <w:r w:rsidR="580B81D5" w:rsidRPr="007B40F7">
              <w:rPr>
                <w:rFonts w:ascii="Arial" w:eastAsia="Aptos" w:hAnsi="Arial" w:cs="Arial"/>
                <w:sz w:val="24"/>
                <w:szCs w:val="24"/>
              </w:rPr>
              <w:t>AUD</w:t>
            </w:r>
            <w:r w:rsidRPr="007B40F7">
              <w:rPr>
                <w:rFonts w:ascii="Arial" w:eastAsia="Aptos" w:hAnsi="Arial" w:cs="Arial"/>
                <w:sz w:val="24"/>
                <w:szCs w:val="24"/>
              </w:rPr>
              <w:t xml:space="preserve"> amounts of fraud activity from implementation of each registration category proportionate to numbers and </w:t>
            </w:r>
            <w:r w:rsidR="3847AFEC" w:rsidRPr="007B40F7">
              <w:rPr>
                <w:rFonts w:ascii="Arial" w:eastAsia="Aptos" w:hAnsi="Arial" w:cs="Arial"/>
                <w:sz w:val="24"/>
                <w:szCs w:val="24"/>
              </w:rPr>
              <w:t>AUD</w:t>
            </w:r>
            <w:r w:rsidRPr="007B40F7">
              <w:rPr>
                <w:rFonts w:ascii="Arial" w:eastAsia="Aptos" w:hAnsi="Arial" w:cs="Arial"/>
                <w:sz w:val="24"/>
                <w:szCs w:val="24"/>
              </w:rPr>
              <w:t xml:space="preserve"> amounts of fraud activity in the 12 months prior to implementation (NDIS Commission and NDIA payment data)</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13250696" w14:textId="6414E938" w:rsidR="0A9B4EFB" w:rsidRPr="007B40F7" w:rsidRDefault="0A9B4EFB" w:rsidP="0A9B4EFB">
            <w:pPr>
              <w:spacing w:after="0"/>
              <w:rPr>
                <w:rFonts w:ascii="Arial" w:hAnsi="Arial" w:cs="Arial"/>
              </w:rPr>
            </w:pPr>
            <w:r w:rsidRPr="007B40F7">
              <w:rPr>
                <w:rFonts w:ascii="Arial" w:eastAsia="Aptos" w:hAnsi="Arial" w:cs="Arial"/>
                <w:sz w:val="24"/>
                <w:szCs w:val="24"/>
              </w:rPr>
              <w:t xml:space="preserve">Annually from implementation </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377CC6C9" w14:textId="726EADE6" w:rsidR="0A9B4EFB" w:rsidRPr="007B40F7" w:rsidRDefault="0A9B4EFB" w:rsidP="0A9B4EFB">
            <w:pPr>
              <w:spacing w:after="0"/>
              <w:rPr>
                <w:rFonts w:ascii="Arial" w:hAnsi="Arial" w:cs="Arial"/>
              </w:rPr>
            </w:pPr>
            <w:r w:rsidRPr="007B40F7">
              <w:rPr>
                <w:rFonts w:ascii="Arial" w:eastAsia="Aptos" w:hAnsi="Arial" w:cs="Arial"/>
                <w:sz w:val="24"/>
                <w:szCs w:val="24"/>
              </w:rPr>
              <w:t>Track success of the measure</w:t>
            </w:r>
          </w:p>
          <w:p w14:paraId="67BE6051" w14:textId="09CDFDC7"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7102D173" w14:textId="176E34EF" w:rsidR="0A9B4EFB" w:rsidRPr="007B40F7" w:rsidRDefault="0A9B4EFB" w:rsidP="0A9B4EFB">
            <w:pPr>
              <w:spacing w:after="0"/>
              <w:rPr>
                <w:rFonts w:ascii="Arial" w:hAnsi="Arial" w:cs="Arial"/>
              </w:rPr>
            </w:pPr>
            <w:r w:rsidRPr="007B40F7">
              <w:rPr>
                <w:rFonts w:ascii="Arial" w:eastAsia="Aptos" w:hAnsi="Arial" w:cs="Arial"/>
                <w:sz w:val="24"/>
                <w:szCs w:val="24"/>
              </w:rPr>
              <w:t xml:space="preserve">Determine proportionate reduction in funds misuse over time following implementation </w:t>
            </w:r>
          </w:p>
          <w:p w14:paraId="439DBA67" w14:textId="3EDC6D60"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2EB17140" w14:textId="6A81DFD0" w:rsidR="0A9B4EFB" w:rsidRPr="007B40F7" w:rsidRDefault="0A9B4EFB" w:rsidP="0A9B4EFB">
            <w:pPr>
              <w:spacing w:after="0"/>
              <w:rPr>
                <w:rFonts w:ascii="Arial" w:hAnsi="Arial" w:cs="Arial"/>
              </w:rPr>
            </w:pPr>
            <w:r w:rsidRPr="007B40F7">
              <w:rPr>
                <w:rFonts w:ascii="Arial" w:eastAsia="Aptos" w:hAnsi="Arial" w:cs="Arial"/>
                <w:sz w:val="24"/>
                <w:szCs w:val="24"/>
              </w:rPr>
              <w:t>Assist with targeting of NDIS Commission effort</w:t>
            </w:r>
          </w:p>
          <w:p w14:paraId="76F0F57B" w14:textId="05760E48"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tc>
      </w:tr>
      <w:tr w:rsidR="0A9B4EFB" w:rsidRPr="002D6866" w14:paraId="32F23423" w14:textId="77777777" w:rsidTr="0A9B4EFB">
        <w:trPr>
          <w:trHeight w:val="300"/>
        </w:trPr>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6076DD6A" w14:textId="6EFBEFB5" w:rsidR="0A9B4EFB" w:rsidRPr="007B40F7" w:rsidRDefault="0A9B4EFB" w:rsidP="0A9B4EFB">
            <w:pPr>
              <w:spacing w:after="0"/>
              <w:rPr>
                <w:rFonts w:ascii="Arial" w:hAnsi="Arial" w:cs="Arial"/>
              </w:rPr>
            </w:pPr>
            <w:r w:rsidRPr="007B40F7">
              <w:rPr>
                <w:rFonts w:ascii="Arial" w:eastAsia="Aptos" w:hAnsi="Arial" w:cs="Arial"/>
                <w:sz w:val="24"/>
                <w:szCs w:val="24"/>
              </w:rPr>
              <w:lastRenderedPageBreak/>
              <w:t>Proportionate reduction in abuse and neglect of people with disability once risk proportionate registration is fully implemented</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2EF67326" w14:textId="19CFB406" w:rsidR="0A9B4EFB" w:rsidRPr="007B40F7" w:rsidRDefault="0A9B4EFB" w:rsidP="0A9B4EFB">
            <w:pPr>
              <w:spacing w:after="0"/>
              <w:rPr>
                <w:rFonts w:ascii="Arial" w:hAnsi="Arial" w:cs="Arial"/>
              </w:rPr>
            </w:pPr>
            <w:r w:rsidRPr="007B40F7">
              <w:rPr>
                <w:rFonts w:ascii="Arial" w:eastAsia="Aptos" w:hAnsi="Arial" w:cs="Arial"/>
                <w:sz w:val="24"/>
                <w:szCs w:val="24"/>
              </w:rPr>
              <w:t>Violence, abuse, neglect, and exploitation from implementation of each registration category proportionate to numbers of violence, abuse, neglect, and exploitation extant prior to implementation (NDIS Commission DART data)</w:t>
            </w:r>
          </w:p>
          <w:p w14:paraId="6A72964E" w14:textId="29F543FE"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4A18C503" w14:textId="21CA7F96" w:rsidR="0A9B4EFB" w:rsidRPr="007B40F7" w:rsidRDefault="0A9B4EFB" w:rsidP="0A9B4EFB">
            <w:pPr>
              <w:spacing w:after="0"/>
              <w:rPr>
                <w:rFonts w:ascii="Arial" w:hAnsi="Arial" w:cs="Arial"/>
              </w:rPr>
            </w:pPr>
            <w:r w:rsidRPr="007B40F7">
              <w:rPr>
                <w:rFonts w:ascii="Arial" w:eastAsia="Aptos" w:hAnsi="Arial" w:cs="Arial"/>
                <w:sz w:val="24"/>
                <w:szCs w:val="24"/>
              </w:rPr>
              <w:t>NDIS participant survey (baseline – prior to implementation)</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47577147" w14:textId="05601E05" w:rsidR="0A9B4EFB" w:rsidRPr="007B40F7" w:rsidRDefault="0A9B4EFB" w:rsidP="0A9B4EFB">
            <w:pPr>
              <w:spacing w:after="0"/>
              <w:rPr>
                <w:rFonts w:ascii="Arial" w:hAnsi="Arial" w:cs="Arial"/>
              </w:rPr>
            </w:pPr>
            <w:r w:rsidRPr="007B40F7">
              <w:rPr>
                <w:rFonts w:ascii="Arial" w:eastAsia="Aptos" w:hAnsi="Arial" w:cs="Arial"/>
                <w:sz w:val="24"/>
                <w:szCs w:val="24"/>
              </w:rPr>
              <w:t>Annually from implementation</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72CF819F" w14:textId="4B629B86" w:rsidR="0A9B4EFB" w:rsidRPr="007B40F7" w:rsidRDefault="0A9B4EFB" w:rsidP="0A9B4EFB">
            <w:pPr>
              <w:spacing w:after="0"/>
              <w:rPr>
                <w:rFonts w:ascii="Arial" w:hAnsi="Arial" w:cs="Arial"/>
              </w:rPr>
            </w:pPr>
            <w:r w:rsidRPr="007B40F7">
              <w:rPr>
                <w:rFonts w:ascii="Arial" w:eastAsia="Aptos" w:hAnsi="Arial" w:cs="Arial"/>
                <w:sz w:val="24"/>
                <w:szCs w:val="24"/>
              </w:rPr>
              <w:t>Track success of the measure</w:t>
            </w:r>
          </w:p>
          <w:p w14:paraId="02B8BFA4" w14:textId="494BD447"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4EC8C2FF" w14:textId="1FBFF7DE" w:rsidR="0A9B4EFB" w:rsidRPr="007B40F7" w:rsidRDefault="0A9B4EFB" w:rsidP="0A9B4EFB">
            <w:pPr>
              <w:spacing w:after="0"/>
              <w:rPr>
                <w:rFonts w:ascii="Arial" w:hAnsi="Arial" w:cs="Arial"/>
              </w:rPr>
            </w:pPr>
            <w:r w:rsidRPr="007B40F7">
              <w:rPr>
                <w:rFonts w:ascii="Arial" w:eastAsia="Aptos" w:hAnsi="Arial" w:cs="Arial"/>
                <w:sz w:val="24"/>
                <w:szCs w:val="24"/>
              </w:rPr>
              <w:t>Reporting on Disability Royal Commission recommendations</w:t>
            </w:r>
          </w:p>
          <w:p w14:paraId="76D5943E" w14:textId="554E0D01"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1A8BE93E" w14:textId="38A55923" w:rsidR="0A9B4EFB" w:rsidRPr="007B40F7" w:rsidRDefault="0A9B4EFB" w:rsidP="0A9B4EFB">
            <w:pPr>
              <w:spacing w:after="0"/>
              <w:rPr>
                <w:rFonts w:ascii="Arial" w:hAnsi="Arial" w:cs="Arial"/>
              </w:rPr>
            </w:pPr>
            <w:r w:rsidRPr="007B40F7">
              <w:rPr>
                <w:rFonts w:ascii="Arial" w:eastAsia="Aptos" w:hAnsi="Arial" w:cs="Arial"/>
                <w:sz w:val="24"/>
                <w:szCs w:val="24"/>
              </w:rPr>
              <w:t>Identifying focus of compliance and enforcement activity</w:t>
            </w:r>
          </w:p>
          <w:p w14:paraId="3B2ABCFA" w14:textId="748AF34A"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40D90107" w14:textId="5C1BA7D5" w:rsidR="0A9B4EFB" w:rsidRPr="007B40F7" w:rsidRDefault="0A9B4EFB" w:rsidP="0A9B4EFB">
            <w:pPr>
              <w:spacing w:after="0"/>
              <w:rPr>
                <w:rFonts w:ascii="Arial" w:hAnsi="Arial" w:cs="Arial"/>
              </w:rPr>
            </w:pPr>
            <w:r w:rsidRPr="007B40F7">
              <w:rPr>
                <w:rFonts w:ascii="Arial" w:eastAsia="Aptos" w:hAnsi="Arial" w:cs="Arial"/>
                <w:sz w:val="24"/>
                <w:szCs w:val="24"/>
              </w:rPr>
              <w:t xml:space="preserve">Assist with targeting of NDIS Commission effort </w:t>
            </w:r>
          </w:p>
          <w:p w14:paraId="1E7FA25D" w14:textId="61774483"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482B4230" w14:textId="77777777" w:rsidR="0A9B4EFB" w:rsidRPr="007B40F7" w:rsidRDefault="0A9B4EFB" w:rsidP="0A9B4EFB">
            <w:pPr>
              <w:spacing w:after="0"/>
              <w:rPr>
                <w:rFonts w:ascii="Arial" w:eastAsia="Aptos" w:hAnsi="Arial" w:cs="Arial"/>
                <w:sz w:val="24"/>
                <w:szCs w:val="24"/>
              </w:rPr>
            </w:pPr>
            <w:r w:rsidRPr="007B40F7">
              <w:rPr>
                <w:rFonts w:ascii="Arial" w:eastAsia="Aptos" w:hAnsi="Arial" w:cs="Arial"/>
                <w:sz w:val="24"/>
                <w:szCs w:val="24"/>
              </w:rPr>
              <w:t xml:space="preserve">Commonwealth reporting on Australia’s Disability Strategy </w:t>
            </w:r>
          </w:p>
          <w:p w14:paraId="4AD878C0" w14:textId="77777777" w:rsidR="00814781" w:rsidRPr="007B40F7" w:rsidRDefault="00814781" w:rsidP="0A9B4EFB">
            <w:pPr>
              <w:spacing w:after="0"/>
              <w:rPr>
                <w:rFonts w:ascii="Arial" w:hAnsi="Arial" w:cs="Arial"/>
              </w:rPr>
            </w:pPr>
          </w:p>
          <w:p w14:paraId="0F16F9BE" w14:textId="11EEDEA9" w:rsidR="0A9B4EFB" w:rsidRPr="007B40F7" w:rsidRDefault="0C956A4B" w:rsidP="0A9B4EFB">
            <w:pPr>
              <w:spacing w:after="0"/>
              <w:rPr>
                <w:rFonts w:ascii="Arial" w:hAnsi="Arial" w:cs="Arial"/>
                <w:sz w:val="24"/>
                <w:szCs w:val="24"/>
              </w:rPr>
            </w:pPr>
            <w:r w:rsidRPr="007B40F7">
              <w:rPr>
                <w:rFonts w:ascii="Arial" w:hAnsi="Arial" w:cs="Arial"/>
                <w:sz w:val="24"/>
                <w:szCs w:val="24"/>
              </w:rPr>
              <w:t>Tracking trends in complaint, serious incidents and compliance concerns</w:t>
            </w:r>
          </w:p>
        </w:tc>
      </w:tr>
      <w:tr w:rsidR="0A9B4EFB" w:rsidRPr="002D6866" w14:paraId="7586C908" w14:textId="77777777" w:rsidTr="0A9B4EFB">
        <w:trPr>
          <w:trHeight w:val="300"/>
        </w:trPr>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7ED1C5D0" w14:textId="012E5DC8" w:rsidR="0A9B4EFB" w:rsidRPr="007B40F7" w:rsidRDefault="0A9B4EFB" w:rsidP="0A9B4EFB">
            <w:pPr>
              <w:spacing w:after="0"/>
              <w:rPr>
                <w:rFonts w:ascii="Arial" w:hAnsi="Arial" w:cs="Arial"/>
              </w:rPr>
            </w:pPr>
            <w:r w:rsidRPr="007B40F7">
              <w:rPr>
                <w:rFonts w:ascii="Arial" w:eastAsia="Aptos" w:hAnsi="Arial" w:cs="Arial"/>
                <w:sz w:val="24"/>
                <w:szCs w:val="24"/>
              </w:rPr>
              <w:t>Proportionate increase in numbers of compliance, enforcement and investigation activity undertaken against registered NDIS providers once risk proportionate registration is fully implemented</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656194D9" w14:textId="37403B3F" w:rsidR="0A9B4EFB" w:rsidRPr="007B40F7" w:rsidRDefault="0A9B4EFB" w:rsidP="0A9B4EFB">
            <w:pPr>
              <w:spacing w:after="0"/>
              <w:rPr>
                <w:rFonts w:ascii="Arial" w:hAnsi="Arial" w:cs="Arial"/>
              </w:rPr>
            </w:pPr>
            <w:r w:rsidRPr="007B40F7">
              <w:rPr>
                <w:rFonts w:ascii="Arial" w:eastAsia="Aptos" w:hAnsi="Arial" w:cs="Arial"/>
                <w:sz w:val="24"/>
                <w:szCs w:val="24"/>
              </w:rPr>
              <w:t>Numbers of compliance, enforcement, and investigation activity undertaken by the NDIS Commission proportionate to numbers of compliance, enforcement, and investigation activity undertaken prior to implementation (NDIS Commission DART data, Federal Court outcomes, fine amounts)</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66063C28" w14:textId="593BC3A0" w:rsidR="0A9B4EFB" w:rsidRPr="007B40F7" w:rsidRDefault="0A9B4EFB" w:rsidP="0A9B4EFB">
            <w:pPr>
              <w:spacing w:after="0"/>
              <w:rPr>
                <w:rFonts w:ascii="Arial" w:hAnsi="Arial" w:cs="Arial"/>
              </w:rPr>
            </w:pPr>
            <w:r w:rsidRPr="007B40F7">
              <w:rPr>
                <w:rFonts w:ascii="Arial" w:eastAsia="Aptos" w:hAnsi="Arial" w:cs="Arial"/>
                <w:sz w:val="24"/>
                <w:szCs w:val="24"/>
              </w:rPr>
              <w:t>Annually from implementation</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76E2405B" w14:textId="5567BF22" w:rsidR="0A9B4EFB" w:rsidRPr="007B40F7" w:rsidRDefault="0A9B4EFB" w:rsidP="0A9B4EFB">
            <w:pPr>
              <w:spacing w:after="0"/>
              <w:rPr>
                <w:rFonts w:ascii="Arial" w:hAnsi="Arial" w:cs="Arial"/>
              </w:rPr>
            </w:pPr>
            <w:r w:rsidRPr="007B40F7">
              <w:rPr>
                <w:rFonts w:ascii="Arial" w:eastAsia="Aptos" w:hAnsi="Arial" w:cs="Arial"/>
                <w:sz w:val="24"/>
                <w:szCs w:val="24"/>
              </w:rPr>
              <w:t>Track success of the measure</w:t>
            </w:r>
          </w:p>
          <w:p w14:paraId="1644B6BF" w14:textId="50B7A5A6"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0F809D89" w14:textId="2D908540" w:rsidR="0A9B4EFB" w:rsidRPr="007B40F7" w:rsidRDefault="0A9B4EFB" w:rsidP="0A9B4EFB">
            <w:pPr>
              <w:spacing w:after="0"/>
              <w:rPr>
                <w:rFonts w:ascii="Arial" w:hAnsi="Arial" w:cs="Arial"/>
              </w:rPr>
            </w:pPr>
            <w:r w:rsidRPr="007B40F7">
              <w:rPr>
                <w:rFonts w:ascii="Arial" w:eastAsia="Aptos" w:hAnsi="Arial" w:cs="Arial"/>
                <w:sz w:val="24"/>
                <w:szCs w:val="24"/>
              </w:rPr>
              <w:t xml:space="preserve">Assist with targeting of NDIS Commission effort </w:t>
            </w:r>
          </w:p>
          <w:p w14:paraId="37453E18" w14:textId="099176B9"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096A7310" w14:textId="5708BB44" w:rsidR="0A9B4EFB" w:rsidRPr="007B40F7" w:rsidRDefault="0A9B4EFB" w:rsidP="0A9B4EFB">
            <w:pPr>
              <w:spacing w:after="0"/>
              <w:rPr>
                <w:rFonts w:ascii="Arial" w:hAnsi="Arial" w:cs="Arial"/>
              </w:rPr>
            </w:pPr>
            <w:r w:rsidRPr="007B40F7">
              <w:rPr>
                <w:rFonts w:ascii="Arial" w:eastAsia="Aptos" w:hAnsi="Arial" w:cs="Arial"/>
                <w:sz w:val="24"/>
                <w:szCs w:val="24"/>
              </w:rPr>
              <w:t>Identifying focus of compliance and enforcement activity</w:t>
            </w:r>
          </w:p>
          <w:p w14:paraId="2D3AFC3A" w14:textId="43788CD7"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62698833" w14:textId="6E6CF32D" w:rsidR="0A9B4EFB" w:rsidRPr="007B40F7" w:rsidRDefault="0A9B4EFB" w:rsidP="0A9B4EFB">
            <w:pPr>
              <w:spacing w:after="0"/>
              <w:rPr>
                <w:rFonts w:ascii="Arial" w:hAnsi="Arial" w:cs="Arial"/>
              </w:rPr>
            </w:pPr>
            <w:r w:rsidRPr="007B40F7">
              <w:rPr>
                <w:rFonts w:ascii="Arial" w:eastAsia="Aptos" w:hAnsi="Arial" w:cs="Arial"/>
                <w:sz w:val="24"/>
                <w:szCs w:val="24"/>
              </w:rPr>
              <w:t>Commonwealth reporting on Australia’s Disability Strategy</w:t>
            </w:r>
          </w:p>
        </w:tc>
      </w:tr>
      <w:tr w:rsidR="0A9B4EFB" w:rsidRPr="002D6866" w14:paraId="3E4B8CFB" w14:textId="77777777" w:rsidTr="0A9B4EFB">
        <w:trPr>
          <w:trHeight w:val="300"/>
        </w:trPr>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4BBFF61B" w14:textId="50105B09" w:rsidR="0A9B4EFB" w:rsidRPr="007B40F7" w:rsidRDefault="0A9B4EFB" w:rsidP="0A9B4EFB">
            <w:pPr>
              <w:spacing w:after="0"/>
              <w:rPr>
                <w:rFonts w:ascii="Arial" w:hAnsi="Arial" w:cs="Arial"/>
              </w:rPr>
            </w:pPr>
            <w:r w:rsidRPr="007B40F7">
              <w:rPr>
                <w:rFonts w:ascii="Arial" w:eastAsia="Aptos" w:hAnsi="Arial" w:cs="Arial"/>
                <w:sz w:val="24"/>
                <w:szCs w:val="24"/>
              </w:rPr>
              <w:lastRenderedPageBreak/>
              <w:t xml:space="preserve">Provider and participant satisfaction with new model </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313742A9" w14:textId="79758139" w:rsidR="0A9B4EFB" w:rsidRPr="007B40F7" w:rsidRDefault="0A9B4EFB" w:rsidP="0A9B4EFB">
            <w:pPr>
              <w:spacing w:after="0"/>
              <w:rPr>
                <w:rFonts w:ascii="Arial" w:hAnsi="Arial" w:cs="Arial"/>
              </w:rPr>
            </w:pPr>
            <w:r w:rsidRPr="007B40F7">
              <w:rPr>
                <w:rFonts w:ascii="Arial" w:eastAsia="Aptos" w:hAnsi="Arial" w:cs="Arial"/>
                <w:sz w:val="24"/>
                <w:szCs w:val="24"/>
              </w:rPr>
              <w:t>Survey</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59156427" w14:textId="3840E283" w:rsidR="0A9B4EFB" w:rsidRPr="007B40F7" w:rsidRDefault="0A9B4EFB" w:rsidP="0A9B4EFB">
            <w:pPr>
              <w:spacing w:after="0"/>
              <w:rPr>
                <w:rFonts w:ascii="Arial" w:hAnsi="Arial" w:cs="Arial"/>
              </w:rPr>
            </w:pPr>
            <w:r w:rsidRPr="007B40F7">
              <w:rPr>
                <w:rFonts w:ascii="Arial" w:eastAsia="Aptos" w:hAnsi="Arial" w:cs="Arial"/>
                <w:sz w:val="24"/>
                <w:szCs w:val="24"/>
              </w:rPr>
              <w:t xml:space="preserve">Annually from implementation </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tcPr>
          <w:p w14:paraId="6CF9596F" w14:textId="0987F00D" w:rsidR="0A9B4EFB" w:rsidRPr="007B40F7" w:rsidRDefault="0A9B4EFB" w:rsidP="0A9B4EFB">
            <w:pPr>
              <w:spacing w:after="0"/>
              <w:rPr>
                <w:rFonts w:ascii="Arial" w:hAnsi="Arial" w:cs="Arial"/>
              </w:rPr>
            </w:pPr>
            <w:r w:rsidRPr="007B40F7">
              <w:rPr>
                <w:rFonts w:ascii="Arial" w:eastAsia="Aptos" w:hAnsi="Arial" w:cs="Arial"/>
                <w:sz w:val="24"/>
                <w:szCs w:val="24"/>
              </w:rPr>
              <w:t>Identify opportunities for ongoing continuous improvement of registration model</w:t>
            </w:r>
          </w:p>
          <w:p w14:paraId="68715DA8" w14:textId="038342D6" w:rsidR="0A9B4EFB" w:rsidRPr="007B40F7" w:rsidRDefault="0A9B4EFB" w:rsidP="0A9B4EFB">
            <w:pPr>
              <w:spacing w:after="0"/>
              <w:rPr>
                <w:rFonts w:ascii="Arial" w:hAnsi="Arial" w:cs="Arial"/>
              </w:rPr>
            </w:pPr>
            <w:r w:rsidRPr="007B40F7">
              <w:rPr>
                <w:rFonts w:ascii="Arial" w:eastAsia="Aptos" w:hAnsi="Arial" w:cs="Arial"/>
                <w:sz w:val="24"/>
                <w:szCs w:val="24"/>
              </w:rPr>
              <w:t xml:space="preserve"> </w:t>
            </w:r>
          </w:p>
          <w:p w14:paraId="378AA1B3" w14:textId="7703A025" w:rsidR="0A9B4EFB" w:rsidRPr="007B40F7" w:rsidRDefault="0A9B4EFB" w:rsidP="0A9B4EFB">
            <w:pPr>
              <w:spacing w:after="0"/>
              <w:rPr>
                <w:rFonts w:ascii="Arial" w:hAnsi="Arial" w:cs="Arial"/>
              </w:rPr>
            </w:pPr>
            <w:r w:rsidRPr="007B40F7">
              <w:rPr>
                <w:rFonts w:ascii="Arial" w:eastAsia="Aptos" w:hAnsi="Arial" w:cs="Arial"/>
                <w:sz w:val="24"/>
                <w:szCs w:val="24"/>
              </w:rPr>
              <w:t>Test temperature of sector in relation to registration outcomes</w:t>
            </w:r>
          </w:p>
        </w:tc>
      </w:tr>
    </w:tbl>
    <w:p w14:paraId="0A1F7E8D" w14:textId="6AE10DB7" w:rsidR="0A9B4EFB" w:rsidRPr="007B40F7" w:rsidRDefault="0A9B4EFB" w:rsidP="0A9B4EFB">
      <w:pPr>
        <w:spacing w:after="0"/>
        <w:rPr>
          <w:rFonts w:ascii="Arial" w:eastAsia="Aptos" w:hAnsi="Arial" w:cs="Arial"/>
          <w:sz w:val="24"/>
          <w:szCs w:val="24"/>
        </w:rPr>
      </w:pPr>
    </w:p>
    <w:p w14:paraId="48A6B616" w14:textId="13455F49" w:rsidR="0A9B4EFB" w:rsidRPr="007B40F7" w:rsidRDefault="0A9B4EFB">
      <w:pPr>
        <w:rPr>
          <w:rFonts w:ascii="Arial" w:hAnsi="Arial" w:cs="Arial"/>
        </w:rPr>
      </w:pPr>
    </w:p>
    <w:p w14:paraId="02A68CAD" w14:textId="782F3E49" w:rsidR="00AF3016" w:rsidRPr="005B0719" w:rsidRDefault="00AF3016" w:rsidP="6D98FBE5">
      <w:pPr>
        <w:rPr>
          <w:rFonts w:ascii="Arial" w:hAnsi="Arial" w:cs="Arial"/>
        </w:rPr>
      </w:pPr>
    </w:p>
    <w:sectPr w:rsidR="00AF3016" w:rsidRPr="005B0719" w:rsidSect="00D83264">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6EEC" w14:textId="77777777" w:rsidR="00F45AA3" w:rsidRDefault="00F45AA3" w:rsidP="00F957C6">
      <w:pPr>
        <w:spacing w:after="0" w:line="240" w:lineRule="auto"/>
      </w:pPr>
      <w:r>
        <w:separator/>
      </w:r>
    </w:p>
  </w:endnote>
  <w:endnote w:type="continuationSeparator" w:id="0">
    <w:p w14:paraId="7EED5980" w14:textId="77777777" w:rsidR="00F45AA3" w:rsidRDefault="00F45AA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F59D" w14:textId="33920C3A" w:rsidR="009F5413" w:rsidRDefault="00B555D3">
    <w:pPr>
      <w:pStyle w:val="Footer"/>
    </w:pPr>
    <w:r>
      <w:rPr>
        <w:noProof/>
      </w:rPr>
      <mc:AlternateContent>
        <mc:Choice Requires="wps">
          <w:drawing>
            <wp:anchor distT="0" distB="0" distL="0" distR="0" simplePos="0" relativeHeight="251663367" behindDoc="0" locked="0" layoutInCell="1" allowOverlap="1" wp14:anchorId="04EBE869" wp14:editId="3D04654D">
              <wp:simplePos x="635" y="635"/>
              <wp:positionH relativeFrom="page">
                <wp:align>center</wp:align>
              </wp:positionH>
              <wp:positionV relativeFrom="page">
                <wp:align>bottom</wp:align>
              </wp:positionV>
              <wp:extent cx="609600" cy="400050"/>
              <wp:effectExtent l="0" t="0" r="0" b="0"/>
              <wp:wrapNone/>
              <wp:docPr id="3720875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EDE24A1" w14:textId="3B300A35" w:rsidR="00B555D3" w:rsidRPr="00B555D3" w:rsidRDefault="00B555D3" w:rsidP="00B555D3">
                          <w:pPr>
                            <w:spacing w:after="0"/>
                            <w:rPr>
                              <w:rFonts w:ascii="Aptos" w:eastAsia="Aptos" w:hAnsi="Aptos" w:cs="Aptos"/>
                              <w:noProof/>
                              <w:color w:val="FF0000"/>
                              <w:sz w:val="24"/>
                              <w:szCs w:val="24"/>
                            </w:rPr>
                          </w:pPr>
                          <w:r w:rsidRPr="00B555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BE869"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4EDE24A1" w14:textId="3B300A35" w:rsidR="00B555D3" w:rsidRPr="00B555D3" w:rsidRDefault="00B555D3" w:rsidP="00B555D3">
                    <w:pPr>
                      <w:spacing w:after="0"/>
                      <w:rPr>
                        <w:rFonts w:ascii="Aptos" w:eastAsia="Aptos" w:hAnsi="Aptos" w:cs="Aptos"/>
                        <w:noProof/>
                        <w:color w:val="FF0000"/>
                        <w:sz w:val="24"/>
                        <w:szCs w:val="24"/>
                      </w:rPr>
                    </w:pPr>
                    <w:r w:rsidRPr="00B555D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7B7" w14:textId="1325E817" w:rsidR="00D10635" w:rsidRPr="00F86700" w:rsidRDefault="00D10635" w:rsidP="00F86700">
    <w:pPr>
      <w:pStyle w:val="CLASSIFICATION"/>
    </w:pPr>
  </w:p>
  <w:p w14:paraId="3FE30A75" w14:textId="15A242F2" w:rsidR="00037513" w:rsidRPr="00852F35" w:rsidRDefault="00C734F4" w:rsidP="00D10635">
    <w:pPr>
      <w:pStyle w:val="Header"/>
      <w:rPr>
        <w:rFonts w:ascii="Segoe UI" w:hAnsi="Segoe UI" w:cs="Segoe UI"/>
        <w:color w:val="6E6E6E"/>
        <w:sz w:val="18"/>
      </w:rPr>
    </w:pPr>
    <w:r>
      <w:rPr>
        <w:color w:val="6E6E6E"/>
        <w:sz w:val="18"/>
        <w:szCs w:val="18"/>
      </w:rPr>
      <w:t>Office of Impact Analysis</w:t>
    </w:r>
    <w:r w:rsidR="00037513" w:rsidRPr="00852F35">
      <w:rPr>
        <w:color w:val="6E6E6E"/>
        <w:sz w:val="18"/>
        <w:szCs w:val="18"/>
      </w:rPr>
      <w:t xml:space="preserve"> |</w:t>
    </w:r>
    <w:r w:rsidR="00376FE6" w:rsidRPr="00852F35">
      <w:rPr>
        <w:color w:val="6E6E6E"/>
        <w:sz w:val="18"/>
        <w:szCs w:val="18"/>
      </w:rPr>
      <w:t xml:space="preserve"> </w:t>
    </w:r>
    <w:r w:rsidR="00611047">
      <w:rPr>
        <w:color w:val="6E6E6E"/>
        <w:sz w:val="18"/>
        <w:szCs w:val="18"/>
      </w:rPr>
      <w:t>Department of Health, Disability and Ageing</w:t>
    </w:r>
    <w:r w:rsidR="006E4285" w:rsidRPr="00852F35">
      <w:rPr>
        <w:color w:val="6E6E6E"/>
        <w:sz w:val="18"/>
        <w:szCs w:val="18"/>
      </w:rPr>
      <w:t xml:space="preserve"> | </w:t>
    </w:r>
    <w:r w:rsidR="007362FC">
      <w:rPr>
        <w:color w:val="6E6E6E"/>
        <w:sz w:val="18"/>
        <w:szCs w:val="18"/>
      </w:rPr>
      <w:t>Mandatory Registration of all NDIS Providers</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B683F">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D7" w14:textId="3CB665B9" w:rsidR="00464D89" w:rsidRDefault="00464D89" w:rsidP="00464D89">
    <w:pPr>
      <w:pStyle w:val="Header"/>
      <w:jc w:val="center"/>
    </w:pPr>
  </w:p>
  <w:p w14:paraId="6215FD61" w14:textId="67BC5328" w:rsidR="00464D89" w:rsidRPr="00BB1526" w:rsidRDefault="00C734F4" w:rsidP="00BB1526">
    <w:pPr>
      <w:pStyle w:val="Header"/>
      <w:rPr>
        <w:rFonts w:ascii="Segoe UI" w:hAnsi="Segoe UI" w:cs="Segoe UI"/>
        <w:color w:val="6E6E6E"/>
        <w:sz w:val="18"/>
      </w:rPr>
    </w:pPr>
    <w:r>
      <w:rPr>
        <w:color w:val="6E6E6E"/>
        <w:sz w:val="18"/>
        <w:szCs w:val="18"/>
      </w:rPr>
      <w:t>Office of Impact Analysis</w:t>
    </w:r>
    <w:r w:rsidRPr="00852F35">
      <w:rPr>
        <w:color w:val="6E6E6E"/>
        <w:sz w:val="18"/>
        <w:szCs w:val="18"/>
      </w:rPr>
      <w:t xml:space="preserve"> | </w:t>
    </w:r>
    <w:r>
      <w:rPr>
        <w:color w:val="6E6E6E"/>
        <w:sz w:val="18"/>
        <w:szCs w:val="18"/>
      </w:rPr>
      <w:t>Department of Health, Disability and Ageing</w:t>
    </w:r>
    <w:r w:rsidRPr="00852F35">
      <w:rPr>
        <w:color w:val="6E6E6E"/>
        <w:sz w:val="18"/>
        <w:szCs w:val="18"/>
      </w:rPr>
      <w:t xml:space="preserve"> | </w:t>
    </w:r>
    <w:r>
      <w:rPr>
        <w:color w:val="6E6E6E"/>
        <w:sz w:val="18"/>
        <w:szCs w:val="18"/>
      </w:rPr>
      <w:t>Mandatory Registration of all NDIS Providers</w:t>
    </w:r>
    <w:r w:rsidRPr="00852F35">
      <w:rPr>
        <w:color w:val="6E6E6E"/>
      </w:rPr>
      <w:t xml:space="preserve"> </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5B683F">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A037" w14:textId="77777777" w:rsidR="00F45AA3" w:rsidRDefault="00F45AA3" w:rsidP="00F957C6">
      <w:pPr>
        <w:spacing w:after="0" w:line="240" w:lineRule="auto"/>
      </w:pPr>
      <w:r>
        <w:separator/>
      </w:r>
    </w:p>
  </w:footnote>
  <w:footnote w:type="continuationSeparator" w:id="0">
    <w:p w14:paraId="3A2CFE8D" w14:textId="77777777" w:rsidR="00F45AA3" w:rsidRDefault="00F45AA3" w:rsidP="00F957C6">
      <w:pPr>
        <w:spacing w:after="0" w:line="240" w:lineRule="auto"/>
      </w:pPr>
      <w:r>
        <w:continuationSeparator/>
      </w:r>
    </w:p>
  </w:footnote>
  <w:footnote w:id="1">
    <w:p w14:paraId="33D19C20" w14:textId="77777777" w:rsidR="00397AA5" w:rsidRPr="0025346C" w:rsidRDefault="00397AA5" w:rsidP="00397AA5">
      <w:pPr>
        <w:pStyle w:val="FootnoteText"/>
        <w:rPr>
          <w:rFonts w:ascii="Arial" w:hAnsi="Arial" w:cs="Arial"/>
          <w:sz w:val="18"/>
          <w:szCs w:val="18"/>
        </w:rPr>
      </w:pPr>
      <w:r w:rsidRPr="0025346C">
        <w:rPr>
          <w:rStyle w:val="FootnoteReference"/>
          <w:rFonts w:ascii="Arial" w:hAnsi="Arial" w:cs="Arial"/>
          <w:sz w:val="18"/>
          <w:szCs w:val="18"/>
        </w:rPr>
        <w:footnoteRef/>
      </w:r>
      <w:r w:rsidRPr="0025346C">
        <w:rPr>
          <w:rFonts w:ascii="Arial" w:hAnsi="Arial" w:cs="Arial"/>
          <w:sz w:val="18"/>
          <w:szCs w:val="18"/>
        </w:rPr>
        <w:t xml:space="preserve"> </w:t>
      </w:r>
      <w:hyperlink r:id="rId1" w:history="1">
        <w:r w:rsidRPr="0025346C">
          <w:rPr>
            <w:rStyle w:val="Hyperlink"/>
            <w:rFonts w:ascii="Arial" w:hAnsi="Arial" w:cs="Arial"/>
            <w:sz w:val="18"/>
            <w:szCs w:val="18"/>
          </w:rPr>
          <w:t>NDIA Quarterly report to disability ministers Q2 2025-26 Appendices Table D.20</w:t>
        </w:r>
      </w:hyperlink>
      <w:r w:rsidRPr="0025346C">
        <w:rPr>
          <w:rFonts w:ascii="Arial" w:hAnsi="Arial" w:cs="Arial"/>
          <w:sz w:val="18"/>
          <w:szCs w:val="18"/>
        </w:rPr>
        <w:t xml:space="preserve"> , p.107 </w:t>
      </w:r>
    </w:p>
  </w:footnote>
  <w:footnote w:id="2">
    <w:p w14:paraId="5C44AE06" w14:textId="6CC77CA1" w:rsidR="0014570E" w:rsidRPr="0025346C" w:rsidRDefault="0014570E">
      <w:pPr>
        <w:pStyle w:val="FootnoteText"/>
        <w:rPr>
          <w:rFonts w:ascii="Arial" w:hAnsi="Arial" w:cs="Arial"/>
          <w:sz w:val="18"/>
          <w:szCs w:val="18"/>
        </w:rPr>
      </w:pPr>
      <w:r w:rsidRPr="0025346C">
        <w:rPr>
          <w:rStyle w:val="FootnoteReference"/>
          <w:rFonts w:ascii="Arial" w:hAnsi="Arial" w:cs="Arial"/>
          <w:sz w:val="18"/>
          <w:szCs w:val="18"/>
        </w:rPr>
        <w:footnoteRef/>
      </w:r>
      <w:r w:rsidRPr="0025346C">
        <w:rPr>
          <w:rFonts w:ascii="Arial" w:hAnsi="Arial" w:cs="Arial"/>
          <w:sz w:val="18"/>
          <w:szCs w:val="18"/>
        </w:rPr>
        <w:t xml:space="preserve"> </w:t>
      </w:r>
      <w:hyperlink r:id="rId2" w:history="1">
        <w:r w:rsidR="0047361B" w:rsidRPr="0025346C">
          <w:rPr>
            <w:rStyle w:val="Hyperlink"/>
            <w:rFonts w:ascii="Arial" w:hAnsi="Arial" w:cs="Arial"/>
            <w:sz w:val="18"/>
            <w:szCs w:val="18"/>
          </w:rPr>
          <w:t>Independent Review into the NDIS (NDIS Review)</w:t>
        </w:r>
      </w:hyperlink>
      <w:r w:rsidR="0047361B" w:rsidRPr="0025346C">
        <w:rPr>
          <w:rFonts w:ascii="Arial" w:hAnsi="Arial" w:cs="Arial"/>
          <w:sz w:val="18"/>
          <w:szCs w:val="18"/>
        </w:rPr>
        <w:t xml:space="preserve">, p. 215 </w:t>
      </w:r>
    </w:p>
  </w:footnote>
  <w:footnote w:id="3">
    <w:p w14:paraId="0F8388C9" w14:textId="77777777" w:rsidR="004C5C0D" w:rsidRPr="0025346C" w:rsidRDefault="004C5C0D" w:rsidP="004C5C0D">
      <w:pPr>
        <w:pStyle w:val="FootnoteText"/>
        <w:rPr>
          <w:rFonts w:ascii="Arial" w:hAnsi="Arial" w:cs="Arial"/>
          <w:sz w:val="18"/>
          <w:szCs w:val="18"/>
        </w:rPr>
      </w:pPr>
      <w:r w:rsidRPr="0025346C">
        <w:rPr>
          <w:rStyle w:val="FootnoteReference"/>
          <w:rFonts w:ascii="Arial" w:hAnsi="Arial" w:cs="Arial"/>
        </w:rPr>
        <w:footnoteRef/>
      </w:r>
      <w:r w:rsidRPr="0025346C">
        <w:rPr>
          <w:rFonts w:ascii="Arial" w:hAnsi="Arial" w:cs="Arial"/>
        </w:rPr>
        <w:t xml:space="preserve"> </w:t>
      </w:r>
      <w:r w:rsidRPr="0025346C">
        <w:rPr>
          <w:rFonts w:ascii="Arial" w:hAnsi="Arial" w:cs="Arial"/>
          <w:sz w:val="18"/>
          <w:szCs w:val="18"/>
        </w:rPr>
        <w:t>NDIS provider is currently defined in the NDIS Act as (a) a person (other than the Agency) who receives:</w:t>
      </w:r>
    </w:p>
    <w:p w14:paraId="442350C0" w14:textId="77777777" w:rsidR="004C5C0D" w:rsidRPr="0025346C" w:rsidRDefault="004C5C0D" w:rsidP="004C5C0D">
      <w:pPr>
        <w:pStyle w:val="FootnoteText"/>
        <w:rPr>
          <w:rFonts w:ascii="Arial" w:hAnsi="Arial" w:cs="Arial"/>
          <w:sz w:val="18"/>
          <w:szCs w:val="18"/>
        </w:rPr>
      </w:pPr>
      <w:r w:rsidRPr="0025346C">
        <w:rPr>
          <w:rFonts w:ascii="Arial" w:hAnsi="Arial" w:cs="Arial"/>
          <w:sz w:val="18"/>
          <w:szCs w:val="18"/>
        </w:rPr>
        <w:t>(</w:t>
      </w:r>
      <w:proofErr w:type="spellStart"/>
      <w:r w:rsidRPr="0025346C">
        <w:rPr>
          <w:rFonts w:ascii="Arial" w:hAnsi="Arial" w:cs="Arial"/>
          <w:sz w:val="18"/>
          <w:szCs w:val="18"/>
        </w:rPr>
        <w:t>i</w:t>
      </w:r>
      <w:proofErr w:type="spellEnd"/>
      <w:r w:rsidRPr="0025346C">
        <w:rPr>
          <w:rFonts w:ascii="Arial" w:hAnsi="Arial" w:cs="Arial"/>
          <w:sz w:val="18"/>
          <w:szCs w:val="18"/>
        </w:rPr>
        <w:t>) funding under the arrangements set out in Chapter 2; or</w:t>
      </w:r>
    </w:p>
    <w:p w14:paraId="19DDA567" w14:textId="77777777" w:rsidR="004C5C0D" w:rsidRPr="0025346C" w:rsidRDefault="004C5C0D" w:rsidP="004C5C0D">
      <w:pPr>
        <w:pStyle w:val="FootnoteText"/>
        <w:rPr>
          <w:rFonts w:ascii="Arial" w:hAnsi="Arial" w:cs="Arial"/>
          <w:sz w:val="18"/>
          <w:szCs w:val="18"/>
        </w:rPr>
      </w:pPr>
      <w:r w:rsidRPr="0025346C">
        <w:rPr>
          <w:rFonts w:ascii="Arial" w:hAnsi="Arial" w:cs="Arial"/>
          <w:sz w:val="18"/>
          <w:szCs w:val="18"/>
        </w:rPr>
        <w:t>(ii) NDIS amounts (other than as a participant); or</w:t>
      </w:r>
    </w:p>
    <w:p w14:paraId="671F171D" w14:textId="77777777" w:rsidR="004C5C0D" w:rsidRPr="0025346C" w:rsidRDefault="004C5C0D" w:rsidP="004C5C0D">
      <w:pPr>
        <w:pStyle w:val="FootnoteText"/>
        <w:rPr>
          <w:rFonts w:ascii="Arial" w:hAnsi="Arial" w:cs="Arial"/>
          <w:sz w:val="18"/>
          <w:szCs w:val="18"/>
        </w:rPr>
      </w:pPr>
      <w:r w:rsidRPr="0025346C">
        <w:rPr>
          <w:rFonts w:ascii="Arial" w:hAnsi="Arial" w:cs="Arial"/>
          <w:sz w:val="18"/>
          <w:szCs w:val="18"/>
        </w:rPr>
        <w:t>(b) a person or entity:</w:t>
      </w:r>
    </w:p>
    <w:p w14:paraId="2EC6A44E" w14:textId="77777777" w:rsidR="004C5C0D" w:rsidRPr="0025346C" w:rsidRDefault="004C5C0D" w:rsidP="004C5C0D">
      <w:pPr>
        <w:pStyle w:val="FootnoteText"/>
        <w:rPr>
          <w:rFonts w:ascii="Arial" w:hAnsi="Arial" w:cs="Arial"/>
          <w:sz w:val="18"/>
          <w:szCs w:val="18"/>
        </w:rPr>
      </w:pPr>
      <w:r w:rsidRPr="0025346C">
        <w:rPr>
          <w:rFonts w:ascii="Arial" w:hAnsi="Arial" w:cs="Arial"/>
          <w:sz w:val="18"/>
          <w:szCs w:val="18"/>
        </w:rPr>
        <w:t>(</w:t>
      </w:r>
      <w:proofErr w:type="spellStart"/>
      <w:r w:rsidRPr="0025346C">
        <w:rPr>
          <w:rFonts w:ascii="Arial" w:hAnsi="Arial" w:cs="Arial"/>
          <w:sz w:val="18"/>
          <w:szCs w:val="18"/>
        </w:rPr>
        <w:t>i</w:t>
      </w:r>
      <w:proofErr w:type="spellEnd"/>
      <w:r w:rsidRPr="0025346C">
        <w:rPr>
          <w:rFonts w:ascii="Arial" w:hAnsi="Arial" w:cs="Arial"/>
          <w:sz w:val="18"/>
          <w:szCs w:val="18"/>
        </w:rPr>
        <w:t>) who provides supports or services to people with disability other than under the National Disability Insurance Scheme; and</w:t>
      </w:r>
    </w:p>
    <w:p w14:paraId="159A05FA" w14:textId="77777777" w:rsidR="004C5C0D" w:rsidRPr="0025346C" w:rsidRDefault="004C5C0D" w:rsidP="004C5C0D">
      <w:pPr>
        <w:pStyle w:val="FootnoteText"/>
        <w:rPr>
          <w:rFonts w:ascii="Arial" w:hAnsi="Arial" w:cs="Arial"/>
          <w:sz w:val="18"/>
          <w:szCs w:val="18"/>
        </w:rPr>
      </w:pPr>
      <w:r w:rsidRPr="0025346C">
        <w:rPr>
          <w:rFonts w:ascii="Arial" w:hAnsi="Arial" w:cs="Arial"/>
          <w:sz w:val="18"/>
          <w:szCs w:val="18"/>
        </w:rPr>
        <w:t>(ii) who is prescribed by the National Disability Insurance Scheme rules for the purposes of this subparagraph. (Chapter 1, Part 4 Section 9 of the National Disability Insurance Scheme Act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1C71" w14:textId="55F4C57E" w:rsidR="009F5413" w:rsidRDefault="00B555D3">
    <w:pPr>
      <w:pStyle w:val="Header"/>
    </w:pPr>
    <w:r>
      <w:rPr>
        <w:noProof/>
      </w:rPr>
      <mc:AlternateContent>
        <mc:Choice Requires="wps">
          <w:drawing>
            <wp:anchor distT="0" distB="0" distL="0" distR="0" simplePos="0" relativeHeight="251660295" behindDoc="0" locked="0" layoutInCell="1" allowOverlap="1" wp14:anchorId="2A494B31" wp14:editId="402F09DD">
              <wp:simplePos x="635" y="635"/>
              <wp:positionH relativeFrom="page">
                <wp:align>center</wp:align>
              </wp:positionH>
              <wp:positionV relativeFrom="page">
                <wp:align>top</wp:align>
              </wp:positionV>
              <wp:extent cx="609600" cy="400050"/>
              <wp:effectExtent l="0" t="0" r="0" b="0"/>
              <wp:wrapNone/>
              <wp:docPr id="5009718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1DAC139" w14:textId="30336ED1" w:rsidR="00B555D3" w:rsidRPr="00B555D3" w:rsidRDefault="00B555D3" w:rsidP="00B555D3">
                          <w:pPr>
                            <w:spacing w:after="0"/>
                            <w:rPr>
                              <w:rFonts w:ascii="Aptos" w:eastAsia="Aptos" w:hAnsi="Aptos" w:cs="Aptos"/>
                              <w:noProof/>
                              <w:color w:val="FF0000"/>
                              <w:sz w:val="24"/>
                              <w:szCs w:val="24"/>
                            </w:rPr>
                          </w:pPr>
                          <w:r w:rsidRPr="00B555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94B31"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31DAC139" w14:textId="30336ED1" w:rsidR="00B555D3" w:rsidRPr="00B555D3" w:rsidRDefault="00B555D3" w:rsidP="00B555D3">
                    <w:pPr>
                      <w:spacing w:after="0"/>
                      <w:rPr>
                        <w:rFonts w:ascii="Aptos" w:eastAsia="Aptos" w:hAnsi="Aptos" w:cs="Aptos"/>
                        <w:noProof/>
                        <w:color w:val="FF0000"/>
                        <w:sz w:val="24"/>
                        <w:szCs w:val="24"/>
                      </w:rPr>
                    </w:pPr>
                    <w:r w:rsidRPr="00B555D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894D" w14:textId="2241D0A5" w:rsidR="00CE1D1F" w:rsidRPr="00CE1D1F" w:rsidRDefault="00CE1D1F" w:rsidP="00CE1D1F">
    <w:pPr>
      <w:pStyle w:val="Header"/>
      <w:jc w:val="center"/>
      <w:rPr>
        <w:lang w:val="en-US"/>
      </w:rPr>
    </w:pPr>
    <w:r w:rsidRPr="00CE1D1F">
      <w:rPr>
        <w:noProof/>
        <w:lang w:val="en-US"/>
      </w:rPr>
      <w:drawing>
        <wp:anchor distT="0" distB="0" distL="114300" distR="114300" simplePos="0" relativeHeight="251658246" behindDoc="0" locked="0" layoutInCell="1" allowOverlap="1" wp14:anchorId="217D21FC" wp14:editId="58AB8149">
          <wp:simplePos x="0" y="0"/>
          <wp:positionH relativeFrom="margin">
            <wp:posOffset>0</wp:posOffset>
          </wp:positionH>
          <wp:positionV relativeFrom="paragraph">
            <wp:posOffset>-287655</wp:posOffset>
          </wp:positionV>
          <wp:extent cx="1847850" cy="560989"/>
          <wp:effectExtent l="0" t="0" r="0" b="0"/>
          <wp:wrapSquare wrapText="bothSides"/>
          <wp:docPr id="19736703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60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F27D5" w14:textId="1431A934"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7802" w14:textId="3EF3BA6E" w:rsidR="00037513" w:rsidRPr="003B4DC5" w:rsidRDefault="00EB3AE6" w:rsidP="00FA6EEF">
    <w:pPr>
      <w:pStyle w:val="Header"/>
      <w:tabs>
        <w:tab w:val="left" w:pos="1515"/>
        <w:tab w:val="right" w:pos="9638"/>
      </w:tabs>
      <w:rPr>
        <w:rStyle w:val="CLASSIFICATIONChar"/>
        <w:sz w:val="36"/>
        <w:szCs w:val="36"/>
        <w:lang w:val="en-US"/>
      </w:rPr>
    </w:pPr>
    <w:r w:rsidRPr="00CE1D1F">
      <w:rPr>
        <w:noProof/>
        <w:lang w:val="en-US"/>
      </w:rPr>
      <w:drawing>
        <wp:anchor distT="0" distB="0" distL="114300" distR="114300" simplePos="0" relativeHeight="251658247" behindDoc="0" locked="0" layoutInCell="1" allowOverlap="1" wp14:anchorId="1FA127C5" wp14:editId="142A0C8C">
          <wp:simplePos x="0" y="0"/>
          <wp:positionH relativeFrom="margin">
            <wp:posOffset>-190500</wp:posOffset>
          </wp:positionH>
          <wp:positionV relativeFrom="paragraph">
            <wp:posOffset>-221615</wp:posOffset>
          </wp:positionV>
          <wp:extent cx="1847850" cy="560989"/>
          <wp:effectExtent l="0" t="0" r="0" b="0"/>
          <wp:wrapSquare wrapText="bothSides"/>
          <wp:docPr id="13658472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60989"/>
                  </a:xfrm>
                  <a:prstGeom prst="rect">
                    <a:avLst/>
                  </a:prstGeom>
                  <a:noFill/>
                  <a:ln>
                    <a:noFill/>
                  </a:ln>
                </pic:spPr>
              </pic:pic>
            </a:graphicData>
          </a:graphic>
          <wp14:sizeRelH relativeFrom="page">
            <wp14:pctWidth>0</wp14:pctWidth>
          </wp14:sizeRelH>
          <wp14:sizeRelV relativeFrom="page">
            <wp14:pctHeight>0</wp14:pctHeight>
          </wp14:sizeRelV>
        </wp:anchor>
      </w:drawing>
    </w:r>
    <w:r w:rsidR="00FA6EEF">
      <w:rPr>
        <w:rStyle w:val="CLASSIFICATIONChar"/>
        <w:sz w:val="36"/>
        <w:szCs w:val="40"/>
      </w:rPr>
      <w:tab/>
    </w:r>
    <w:r w:rsidR="1153542A" w:rsidRPr="009D3710">
      <w:rPr>
        <w:rStyle w:val="CLASSIFICATIONCha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7031BC"/>
    <w:lvl w:ilvl="0">
      <w:start w:val="1"/>
      <w:numFmt w:val="bullet"/>
      <w:pStyle w:val="ListBullet"/>
      <w:lvlText w:val=""/>
      <w:lvlJc w:val="left"/>
      <w:pPr>
        <w:tabs>
          <w:tab w:val="num" w:pos="-294"/>
        </w:tabs>
        <w:ind w:left="-294" w:hanging="360"/>
      </w:pPr>
      <w:rPr>
        <w:rFonts w:ascii="Symbol" w:hAnsi="Symbol" w:hint="default"/>
      </w:rPr>
    </w:lvl>
  </w:abstractNum>
  <w:abstractNum w:abstractNumId="1" w15:restartNumberingAfterBreak="0">
    <w:nsid w:val="0329F621"/>
    <w:multiLevelType w:val="hybridMultilevel"/>
    <w:tmpl w:val="485C6060"/>
    <w:lvl w:ilvl="0" w:tplc="AB9CF1AC">
      <w:start w:val="1"/>
      <w:numFmt w:val="decimal"/>
      <w:lvlText w:val="%1."/>
      <w:lvlJc w:val="left"/>
      <w:pPr>
        <w:ind w:left="720" w:hanging="360"/>
      </w:pPr>
    </w:lvl>
    <w:lvl w:ilvl="1" w:tplc="038A37B6">
      <w:start w:val="1"/>
      <w:numFmt w:val="lowerLetter"/>
      <w:lvlText w:val="%2."/>
      <w:lvlJc w:val="left"/>
      <w:pPr>
        <w:ind w:left="1440" w:hanging="360"/>
      </w:pPr>
    </w:lvl>
    <w:lvl w:ilvl="2" w:tplc="AE2093A0">
      <w:start w:val="1"/>
      <w:numFmt w:val="lowerRoman"/>
      <w:lvlText w:val="%3."/>
      <w:lvlJc w:val="right"/>
      <w:pPr>
        <w:ind w:left="2160" w:hanging="180"/>
      </w:pPr>
    </w:lvl>
    <w:lvl w:ilvl="3" w:tplc="CE182126">
      <w:start w:val="1"/>
      <w:numFmt w:val="decimal"/>
      <w:lvlText w:val="%4."/>
      <w:lvlJc w:val="left"/>
      <w:pPr>
        <w:ind w:left="2880" w:hanging="360"/>
      </w:pPr>
    </w:lvl>
    <w:lvl w:ilvl="4" w:tplc="03AADE5C">
      <w:start w:val="1"/>
      <w:numFmt w:val="lowerLetter"/>
      <w:lvlText w:val="%5."/>
      <w:lvlJc w:val="left"/>
      <w:pPr>
        <w:ind w:left="3600" w:hanging="360"/>
      </w:pPr>
    </w:lvl>
    <w:lvl w:ilvl="5" w:tplc="32BA5432">
      <w:start w:val="1"/>
      <w:numFmt w:val="lowerRoman"/>
      <w:lvlText w:val="%6."/>
      <w:lvlJc w:val="right"/>
      <w:pPr>
        <w:ind w:left="4320" w:hanging="180"/>
      </w:pPr>
    </w:lvl>
    <w:lvl w:ilvl="6" w:tplc="533EE63E">
      <w:start w:val="1"/>
      <w:numFmt w:val="decimal"/>
      <w:lvlText w:val="%7."/>
      <w:lvlJc w:val="left"/>
      <w:pPr>
        <w:ind w:left="5040" w:hanging="360"/>
      </w:pPr>
    </w:lvl>
    <w:lvl w:ilvl="7" w:tplc="58D6805A">
      <w:start w:val="1"/>
      <w:numFmt w:val="lowerLetter"/>
      <w:lvlText w:val="%8."/>
      <w:lvlJc w:val="left"/>
      <w:pPr>
        <w:ind w:left="5760" w:hanging="360"/>
      </w:pPr>
    </w:lvl>
    <w:lvl w:ilvl="8" w:tplc="9712286E">
      <w:start w:val="1"/>
      <w:numFmt w:val="lowerRoman"/>
      <w:lvlText w:val="%9."/>
      <w:lvlJc w:val="right"/>
      <w:pPr>
        <w:ind w:left="6480" w:hanging="180"/>
      </w:pPr>
    </w:lvl>
  </w:abstractNum>
  <w:abstractNum w:abstractNumId="2" w15:restartNumberingAfterBreak="0">
    <w:nsid w:val="08E9115D"/>
    <w:multiLevelType w:val="hybridMultilevel"/>
    <w:tmpl w:val="90FCB6F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62450"/>
    <w:multiLevelType w:val="hybridMultilevel"/>
    <w:tmpl w:val="AB02E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8F72AE"/>
    <w:multiLevelType w:val="hybridMultilevel"/>
    <w:tmpl w:val="D79640B2"/>
    <w:lvl w:ilvl="0" w:tplc="409616D6">
      <w:start w:val="1"/>
      <w:numFmt w:val="bullet"/>
      <w:lvlText w:val=""/>
      <w:lvlJc w:val="left"/>
      <w:pPr>
        <w:ind w:left="720" w:hanging="360"/>
      </w:pPr>
      <w:rPr>
        <w:rFonts w:ascii="Symbol" w:hAnsi="Symbol" w:hint="default"/>
      </w:rPr>
    </w:lvl>
    <w:lvl w:ilvl="1" w:tplc="760C4C5A">
      <w:start w:val="1"/>
      <w:numFmt w:val="bullet"/>
      <w:lvlText w:val="o"/>
      <w:lvlJc w:val="left"/>
      <w:pPr>
        <w:ind w:left="1440" w:hanging="360"/>
      </w:pPr>
      <w:rPr>
        <w:rFonts w:ascii="Courier New" w:hAnsi="Courier New" w:hint="default"/>
      </w:rPr>
    </w:lvl>
    <w:lvl w:ilvl="2" w:tplc="78944C9E">
      <w:start w:val="1"/>
      <w:numFmt w:val="bullet"/>
      <w:lvlText w:val=""/>
      <w:lvlJc w:val="left"/>
      <w:pPr>
        <w:ind w:left="2160" w:hanging="360"/>
      </w:pPr>
      <w:rPr>
        <w:rFonts w:ascii="Wingdings" w:hAnsi="Wingdings" w:hint="default"/>
      </w:rPr>
    </w:lvl>
    <w:lvl w:ilvl="3" w:tplc="B326706C">
      <w:start w:val="1"/>
      <w:numFmt w:val="bullet"/>
      <w:lvlText w:val=""/>
      <w:lvlJc w:val="left"/>
      <w:pPr>
        <w:ind w:left="2880" w:hanging="360"/>
      </w:pPr>
      <w:rPr>
        <w:rFonts w:ascii="Symbol" w:hAnsi="Symbol" w:hint="default"/>
      </w:rPr>
    </w:lvl>
    <w:lvl w:ilvl="4" w:tplc="804C4278">
      <w:start w:val="1"/>
      <w:numFmt w:val="bullet"/>
      <w:lvlText w:val="o"/>
      <w:lvlJc w:val="left"/>
      <w:pPr>
        <w:ind w:left="3600" w:hanging="360"/>
      </w:pPr>
      <w:rPr>
        <w:rFonts w:ascii="Courier New" w:hAnsi="Courier New" w:hint="default"/>
      </w:rPr>
    </w:lvl>
    <w:lvl w:ilvl="5" w:tplc="7FA09310">
      <w:start w:val="1"/>
      <w:numFmt w:val="bullet"/>
      <w:lvlText w:val=""/>
      <w:lvlJc w:val="left"/>
      <w:pPr>
        <w:ind w:left="4320" w:hanging="360"/>
      </w:pPr>
      <w:rPr>
        <w:rFonts w:ascii="Wingdings" w:hAnsi="Wingdings" w:hint="default"/>
      </w:rPr>
    </w:lvl>
    <w:lvl w:ilvl="6" w:tplc="7A84AB50">
      <w:start w:val="1"/>
      <w:numFmt w:val="bullet"/>
      <w:lvlText w:val=""/>
      <w:lvlJc w:val="left"/>
      <w:pPr>
        <w:ind w:left="5040" w:hanging="360"/>
      </w:pPr>
      <w:rPr>
        <w:rFonts w:ascii="Symbol" w:hAnsi="Symbol" w:hint="default"/>
      </w:rPr>
    </w:lvl>
    <w:lvl w:ilvl="7" w:tplc="8F5AF348">
      <w:start w:val="1"/>
      <w:numFmt w:val="bullet"/>
      <w:lvlText w:val="o"/>
      <w:lvlJc w:val="left"/>
      <w:pPr>
        <w:ind w:left="5760" w:hanging="360"/>
      </w:pPr>
      <w:rPr>
        <w:rFonts w:ascii="Courier New" w:hAnsi="Courier New" w:hint="default"/>
      </w:rPr>
    </w:lvl>
    <w:lvl w:ilvl="8" w:tplc="9D845D6C">
      <w:start w:val="1"/>
      <w:numFmt w:val="bullet"/>
      <w:lvlText w:val=""/>
      <w:lvlJc w:val="left"/>
      <w:pPr>
        <w:ind w:left="6480" w:hanging="360"/>
      </w:pPr>
      <w:rPr>
        <w:rFonts w:ascii="Wingdings" w:hAnsi="Wingdings" w:hint="default"/>
      </w:rPr>
    </w:lvl>
  </w:abstractNum>
  <w:abstractNum w:abstractNumId="5"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4CCD"/>
    <w:multiLevelType w:val="hybridMultilevel"/>
    <w:tmpl w:val="D0E0AE74"/>
    <w:lvl w:ilvl="0" w:tplc="FFFFFFFF">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9" w15:restartNumberingAfterBreak="0">
    <w:nsid w:val="168060C5"/>
    <w:multiLevelType w:val="hybridMultilevel"/>
    <w:tmpl w:val="6FE4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E382E"/>
    <w:multiLevelType w:val="hybridMultilevel"/>
    <w:tmpl w:val="ED1AB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12" w15:restartNumberingAfterBreak="0">
    <w:nsid w:val="1CE88A14"/>
    <w:multiLevelType w:val="hybridMultilevel"/>
    <w:tmpl w:val="1EBED3D4"/>
    <w:lvl w:ilvl="0" w:tplc="10FE2248">
      <w:start w:val="1"/>
      <w:numFmt w:val="bullet"/>
      <w:lvlText w:val=""/>
      <w:lvlJc w:val="left"/>
      <w:pPr>
        <w:ind w:left="720" w:hanging="360"/>
      </w:pPr>
      <w:rPr>
        <w:rFonts w:ascii="Symbol" w:hAnsi="Symbol" w:hint="default"/>
      </w:rPr>
    </w:lvl>
    <w:lvl w:ilvl="1" w:tplc="A8763E6C">
      <w:start w:val="1"/>
      <w:numFmt w:val="bullet"/>
      <w:lvlText w:val="o"/>
      <w:lvlJc w:val="left"/>
      <w:pPr>
        <w:ind w:left="1440" w:hanging="360"/>
      </w:pPr>
      <w:rPr>
        <w:rFonts w:ascii="Courier New" w:hAnsi="Courier New" w:hint="default"/>
      </w:rPr>
    </w:lvl>
    <w:lvl w:ilvl="2" w:tplc="03B0BD5E">
      <w:start w:val="1"/>
      <w:numFmt w:val="bullet"/>
      <w:lvlText w:val=""/>
      <w:lvlJc w:val="left"/>
      <w:pPr>
        <w:ind w:left="2160" w:hanging="360"/>
      </w:pPr>
      <w:rPr>
        <w:rFonts w:ascii="Wingdings" w:hAnsi="Wingdings" w:hint="default"/>
      </w:rPr>
    </w:lvl>
    <w:lvl w:ilvl="3" w:tplc="3402B338">
      <w:start w:val="1"/>
      <w:numFmt w:val="bullet"/>
      <w:lvlText w:val=""/>
      <w:lvlJc w:val="left"/>
      <w:pPr>
        <w:ind w:left="2880" w:hanging="360"/>
      </w:pPr>
      <w:rPr>
        <w:rFonts w:ascii="Symbol" w:hAnsi="Symbol" w:hint="default"/>
      </w:rPr>
    </w:lvl>
    <w:lvl w:ilvl="4" w:tplc="063EB378">
      <w:start w:val="1"/>
      <w:numFmt w:val="bullet"/>
      <w:lvlText w:val="o"/>
      <w:lvlJc w:val="left"/>
      <w:pPr>
        <w:ind w:left="3600" w:hanging="360"/>
      </w:pPr>
      <w:rPr>
        <w:rFonts w:ascii="Courier New" w:hAnsi="Courier New" w:hint="default"/>
      </w:rPr>
    </w:lvl>
    <w:lvl w:ilvl="5" w:tplc="78EC8FA2">
      <w:start w:val="1"/>
      <w:numFmt w:val="bullet"/>
      <w:lvlText w:val=""/>
      <w:lvlJc w:val="left"/>
      <w:pPr>
        <w:ind w:left="4320" w:hanging="360"/>
      </w:pPr>
      <w:rPr>
        <w:rFonts w:ascii="Wingdings" w:hAnsi="Wingdings" w:hint="default"/>
      </w:rPr>
    </w:lvl>
    <w:lvl w:ilvl="6" w:tplc="B6EE3A2C">
      <w:start w:val="1"/>
      <w:numFmt w:val="bullet"/>
      <w:lvlText w:val=""/>
      <w:lvlJc w:val="left"/>
      <w:pPr>
        <w:ind w:left="5040" w:hanging="360"/>
      </w:pPr>
      <w:rPr>
        <w:rFonts w:ascii="Symbol" w:hAnsi="Symbol" w:hint="default"/>
      </w:rPr>
    </w:lvl>
    <w:lvl w:ilvl="7" w:tplc="FB4631B2">
      <w:start w:val="1"/>
      <w:numFmt w:val="bullet"/>
      <w:lvlText w:val="o"/>
      <w:lvlJc w:val="left"/>
      <w:pPr>
        <w:ind w:left="5760" w:hanging="360"/>
      </w:pPr>
      <w:rPr>
        <w:rFonts w:ascii="Courier New" w:hAnsi="Courier New" w:hint="default"/>
      </w:rPr>
    </w:lvl>
    <w:lvl w:ilvl="8" w:tplc="F25EBAEE">
      <w:start w:val="1"/>
      <w:numFmt w:val="bullet"/>
      <w:lvlText w:val=""/>
      <w:lvlJc w:val="left"/>
      <w:pPr>
        <w:ind w:left="6480" w:hanging="360"/>
      </w:pPr>
      <w:rPr>
        <w:rFonts w:ascii="Wingdings" w:hAnsi="Wingdings" w:hint="default"/>
      </w:rPr>
    </w:lvl>
  </w:abstractNum>
  <w:abstractNum w:abstractNumId="13"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0096697"/>
    <w:multiLevelType w:val="hybridMultilevel"/>
    <w:tmpl w:val="D1F42F02"/>
    <w:lvl w:ilvl="0" w:tplc="B420A342">
      <w:start w:val="1"/>
      <w:numFmt w:val="bullet"/>
      <w:lvlText w:val=""/>
      <w:lvlJc w:val="left"/>
      <w:pPr>
        <w:ind w:left="720" w:hanging="360"/>
      </w:pPr>
      <w:rPr>
        <w:rFonts w:ascii="Symbol" w:hAnsi="Symbol" w:hint="default"/>
      </w:rPr>
    </w:lvl>
    <w:lvl w:ilvl="1" w:tplc="C96CD13E">
      <w:start w:val="1"/>
      <w:numFmt w:val="bullet"/>
      <w:lvlText w:val="o"/>
      <w:lvlJc w:val="left"/>
      <w:pPr>
        <w:ind w:left="1440" w:hanging="360"/>
      </w:pPr>
      <w:rPr>
        <w:rFonts w:ascii="Courier New" w:hAnsi="Courier New" w:hint="default"/>
      </w:rPr>
    </w:lvl>
    <w:lvl w:ilvl="2" w:tplc="E5C2D78E">
      <w:start w:val="1"/>
      <w:numFmt w:val="bullet"/>
      <w:lvlText w:val=""/>
      <w:lvlJc w:val="left"/>
      <w:pPr>
        <w:ind w:left="2160" w:hanging="360"/>
      </w:pPr>
      <w:rPr>
        <w:rFonts w:ascii="Wingdings" w:hAnsi="Wingdings" w:hint="default"/>
      </w:rPr>
    </w:lvl>
    <w:lvl w:ilvl="3" w:tplc="EE829EF8">
      <w:start w:val="1"/>
      <w:numFmt w:val="bullet"/>
      <w:lvlText w:val=""/>
      <w:lvlJc w:val="left"/>
      <w:pPr>
        <w:ind w:left="2880" w:hanging="360"/>
      </w:pPr>
      <w:rPr>
        <w:rFonts w:ascii="Symbol" w:hAnsi="Symbol" w:hint="default"/>
      </w:rPr>
    </w:lvl>
    <w:lvl w:ilvl="4" w:tplc="086A38B4">
      <w:start w:val="1"/>
      <w:numFmt w:val="bullet"/>
      <w:lvlText w:val="o"/>
      <w:lvlJc w:val="left"/>
      <w:pPr>
        <w:ind w:left="3600" w:hanging="360"/>
      </w:pPr>
      <w:rPr>
        <w:rFonts w:ascii="Courier New" w:hAnsi="Courier New" w:hint="default"/>
      </w:rPr>
    </w:lvl>
    <w:lvl w:ilvl="5" w:tplc="C5FCE59A">
      <w:start w:val="1"/>
      <w:numFmt w:val="bullet"/>
      <w:lvlText w:val=""/>
      <w:lvlJc w:val="left"/>
      <w:pPr>
        <w:ind w:left="4320" w:hanging="360"/>
      </w:pPr>
      <w:rPr>
        <w:rFonts w:ascii="Wingdings" w:hAnsi="Wingdings" w:hint="default"/>
      </w:rPr>
    </w:lvl>
    <w:lvl w:ilvl="6" w:tplc="CDEA1370">
      <w:start w:val="1"/>
      <w:numFmt w:val="bullet"/>
      <w:lvlText w:val=""/>
      <w:lvlJc w:val="left"/>
      <w:pPr>
        <w:ind w:left="5040" w:hanging="360"/>
      </w:pPr>
      <w:rPr>
        <w:rFonts w:ascii="Symbol" w:hAnsi="Symbol" w:hint="default"/>
      </w:rPr>
    </w:lvl>
    <w:lvl w:ilvl="7" w:tplc="144E3224">
      <w:start w:val="1"/>
      <w:numFmt w:val="bullet"/>
      <w:lvlText w:val="o"/>
      <w:lvlJc w:val="left"/>
      <w:pPr>
        <w:ind w:left="5760" w:hanging="360"/>
      </w:pPr>
      <w:rPr>
        <w:rFonts w:ascii="Courier New" w:hAnsi="Courier New" w:hint="default"/>
      </w:rPr>
    </w:lvl>
    <w:lvl w:ilvl="8" w:tplc="EAA44D3A">
      <w:start w:val="1"/>
      <w:numFmt w:val="bullet"/>
      <w:lvlText w:val=""/>
      <w:lvlJc w:val="left"/>
      <w:pPr>
        <w:ind w:left="6480" w:hanging="360"/>
      </w:pPr>
      <w:rPr>
        <w:rFonts w:ascii="Wingdings" w:hAnsi="Wingdings" w:hint="default"/>
      </w:rPr>
    </w:lvl>
  </w:abstractNum>
  <w:abstractNum w:abstractNumId="1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2ADC1EFE"/>
    <w:multiLevelType w:val="hybridMultilevel"/>
    <w:tmpl w:val="EA14AE82"/>
    <w:lvl w:ilvl="0" w:tplc="59706FFC">
      <w:start w:val="3"/>
      <w:numFmt w:val="decimal"/>
      <w:lvlText w:val="%1."/>
      <w:lvlJc w:val="left"/>
      <w:pPr>
        <w:ind w:left="360" w:hanging="360"/>
      </w:pPr>
    </w:lvl>
    <w:lvl w:ilvl="1" w:tplc="B384561E">
      <w:start w:val="1"/>
      <w:numFmt w:val="lowerLetter"/>
      <w:lvlText w:val="%2."/>
      <w:lvlJc w:val="left"/>
      <w:pPr>
        <w:ind w:left="1080" w:hanging="360"/>
      </w:pPr>
    </w:lvl>
    <w:lvl w:ilvl="2" w:tplc="21B8D9D8">
      <w:start w:val="1"/>
      <w:numFmt w:val="lowerRoman"/>
      <w:lvlText w:val="%3."/>
      <w:lvlJc w:val="right"/>
      <w:pPr>
        <w:ind w:left="1800" w:hanging="180"/>
      </w:pPr>
    </w:lvl>
    <w:lvl w:ilvl="3" w:tplc="D9D09E70">
      <w:start w:val="1"/>
      <w:numFmt w:val="decimal"/>
      <w:lvlText w:val="%4."/>
      <w:lvlJc w:val="left"/>
      <w:pPr>
        <w:ind w:left="2520" w:hanging="360"/>
      </w:pPr>
    </w:lvl>
    <w:lvl w:ilvl="4" w:tplc="D07CE4D2">
      <w:start w:val="1"/>
      <w:numFmt w:val="lowerLetter"/>
      <w:lvlText w:val="%5."/>
      <w:lvlJc w:val="left"/>
      <w:pPr>
        <w:ind w:left="3240" w:hanging="360"/>
      </w:pPr>
    </w:lvl>
    <w:lvl w:ilvl="5" w:tplc="DC2C1858">
      <w:start w:val="1"/>
      <w:numFmt w:val="lowerRoman"/>
      <w:lvlText w:val="%6."/>
      <w:lvlJc w:val="right"/>
      <w:pPr>
        <w:ind w:left="3960" w:hanging="180"/>
      </w:pPr>
    </w:lvl>
    <w:lvl w:ilvl="6" w:tplc="4C724288">
      <w:start w:val="1"/>
      <w:numFmt w:val="decimal"/>
      <w:lvlText w:val="%7."/>
      <w:lvlJc w:val="left"/>
      <w:pPr>
        <w:ind w:left="4680" w:hanging="360"/>
      </w:pPr>
    </w:lvl>
    <w:lvl w:ilvl="7" w:tplc="A912A2F8">
      <w:start w:val="1"/>
      <w:numFmt w:val="lowerLetter"/>
      <w:lvlText w:val="%8."/>
      <w:lvlJc w:val="left"/>
      <w:pPr>
        <w:ind w:left="5400" w:hanging="360"/>
      </w:pPr>
    </w:lvl>
    <w:lvl w:ilvl="8" w:tplc="8DEC1C1E">
      <w:start w:val="1"/>
      <w:numFmt w:val="lowerRoman"/>
      <w:lvlText w:val="%9."/>
      <w:lvlJc w:val="right"/>
      <w:pPr>
        <w:ind w:left="6120" w:hanging="180"/>
      </w:pPr>
    </w:lvl>
  </w:abstractNum>
  <w:abstractNum w:abstractNumId="17"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8" w15:restartNumberingAfterBreak="0">
    <w:nsid w:val="3D4B1A14"/>
    <w:multiLevelType w:val="hybridMultilevel"/>
    <w:tmpl w:val="9A448764"/>
    <w:lvl w:ilvl="0" w:tplc="6FAEC276">
      <w:start w:val="6"/>
      <w:numFmt w:val="decimal"/>
      <w:lvlText w:val="%1."/>
      <w:lvlJc w:val="left"/>
      <w:pPr>
        <w:ind w:left="360" w:hanging="360"/>
      </w:pPr>
    </w:lvl>
    <w:lvl w:ilvl="1" w:tplc="CA941508">
      <w:start w:val="1"/>
      <w:numFmt w:val="lowerLetter"/>
      <w:lvlText w:val="%2."/>
      <w:lvlJc w:val="left"/>
      <w:pPr>
        <w:ind w:left="1080" w:hanging="360"/>
      </w:pPr>
    </w:lvl>
    <w:lvl w:ilvl="2" w:tplc="549C6B40">
      <w:start w:val="1"/>
      <w:numFmt w:val="lowerRoman"/>
      <w:lvlText w:val="%3."/>
      <w:lvlJc w:val="right"/>
      <w:pPr>
        <w:ind w:left="1800" w:hanging="180"/>
      </w:pPr>
    </w:lvl>
    <w:lvl w:ilvl="3" w:tplc="FAD69FAC">
      <w:start w:val="1"/>
      <w:numFmt w:val="decimal"/>
      <w:lvlText w:val="%4."/>
      <w:lvlJc w:val="left"/>
      <w:pPr>
        <w:ind w:left="2520" w:hanging="360"/>
      </w:pPr>
    </w:lvl>
    <w:lvl w:ilvl="4" w:tplc="F9606554">
      <w:start w:val="1"/>
      <w:numFmt w:val="lowerLetter"/>
      <w:lvlText w:val="%5."/>
      <w:lvlJc w:val="left"/>
      <w:pPr>
        <w:ind w:left="3240" w:hanging="360"/>
      </w:pPr>
    </w:lvl>
    <w:lvl w:ilvl="5" w:tplc="A0F0A0EC">
      <w:start w:val="1"/>
      <w:numFmt w:val="lowerRoman"/>
      <w:lvlText w:val="%6."/>
      <w:lvlJc w:val="right"/>
      <w:pPr>
        <w:ind w:left="3960" w:hanging="180"/>
      </w:pPr>
    </w:lvl>
    <w:lvl w:ilvl="6" w:tplc="011009D8">
      <w:start w:val="1"/>
      <w:numFmt w:val="decimal"/>
      <w:lvlText w:val="%7."/>
      <w:lvlJc w:val="left"/>
      <w:pPr>
        <w:ind w:left="4680" w:hanging="360"/>
      </w:pPr>
    </w:lvl>
    <w:lvl w:ilvl="7" w:tplc="27B0E74A">
      <w:start w:val="1"/>
      <w:numFmt w:val="lowerLetter"/>
      <w:lvlText w:val="%8."/>
      <w:lvlJc w:val="left"/>
      <w:pPr>
        <w:ind w:left="5400" w:hanging="360"/>
      </w:pPr>
    </w:lvl>
    <w:lvl w:ilvl="8" w:tplc="B06EFD34">
      <w:start w:val="1"/>
      <w:numFmt w:val="lowerRoman"/>
      <w:lvlText w:val="%9."/>
      <w:lvlJc w:val="right"/>
      <w:pPr>
        <w:ind w:left="6120" w:hanging="180"/>
      </w:pPr>
    </w:lvl>
  </w:abstractNum>
  <w:abstractNum w:abstractNumId="19" w15:restartNumberingAfterBreak="0">
    <w:nsid w:val="496C7FF6"/>
    <w:multiLevelType w:val="hybridMultilevel"/>
    <w:tmpl w:val="4D4A750C"/>
    <w:lvl w:ilvl="0" w:tplc="FFFFFFFF">
      <w:start w:val="1"/>
      <w:numFmt w:val="decimal"/>
      <w:pStyle w:val="BOXNumberedList"/>
      <w:lvlText w:val="%1."/>
      <w:lvlJc w:val="left"/>
      <w:pPr>
        <w:ind w:left="1614" w:hanging="360"/>
      </w:pPr>
    </w:lvl>
    <w:lvl w:ilvl="1" w:tplc="0C090019">
      <w:start w:val="1"/>
      <w:numFmt w:val="lowerLetter"/>
      <w:lvlText w:val="%2."/>
      <w:lvlJc w:val="left"/>
      <w:pPr>
        <w:ind w:left="2334" w:hanging="360"/>
      </w:pPr>
    </w:lvl>
    <w:lvl w:ilvl="2" w:tplc="0C09001B" w:tentative="1">
      <w:start w:val="1"/>
      <w:numFmt w:val="lowerRoman"/>
      <w:lvlText w:val="%3."/>
      <w:lvlJc w:val="right"/>
      <w:pPr>
        <w:ind w:left="3054" w:hanging="180"/>
      </w:pPr>
    </w:lvl>
    <w:lvl w:ilvl="3" w:tplc="0C09000F" w:tentative="1">
      <w:start w:val="1"/>
      <w:numFmt w:val="decimal"/>
      <w:lvlText w:val="%4."/>
      <w:lvlJc w:val="left"/>
      <w:pPr>
        <w:ind w:left="3774" w:hanging="360"/>
      </w:pPr>
    </w:lvl>
    <w:lvl w:ilvl="4" w:tplc="0C090019" w:tentative="1">
      <w:start w:val="1"/>
      <w:numFmt w:val="lowerLetter"/>
      <w:lvlText w:val="%5."/>
      <w:lvlJc w:val="left"/>
      <w:pPr>
        <w:ind w:left="4494" w:hanging="360"/>
      </w:pPr>
    </w:lvl>
    <w:lvl w:ilvl="5" w:tplc="0C09001B" w:tentative="1">
      <w:start w:val="1"/>
      <w:numFmt w:val="lowerRoman"/>
      <w:lvlText w:val="%6."/>
      <w:lvlJc w:val="right"/>
      <w:pPr>
        <w:ind w:left="5214" w:hanging="180"/>
      </w:pPr>
    </w:lvl>
    <w:lvl w:ilvl="6" w:tplc="0C09000F" w:tentative="1">
      <w:start w:val="1"/>
      <w:numFmt w:val="decimal"/>
      <w:lvlText w:val="%7."/>
      <w:lvlJc w:val="left"/>
      <w:pPr>
        <w:ind w:left="5934" w:hanging="360"/>
      </w:pPr>
    </w:lvl>
    <w:lvl w:ilvl="7" w:tplc="0C090019" w:tentative="1">
      <w:start w:val="1"/>
      <w:numFmt w:val="lowerLetter"/>
      <w:lvlText w:val="%8."/>
      <w:lvlJc w:val="left"/>
      <w:pPr>
        <w:ind w:left="6654" w:hanging="360"/>
      </w:pPr>
    </w:lvl>
    <w:lvl w:ilvl="8" w:tplc="0C09001B" w:tentative="1">
      <w:start w:val="1"/>
      <w:numFmt w:val="lowerRoman"/>
      <w:lvlText w:val="%9."/>
      <w:lvlJc w:val="right"/>
      <w:pPr>
        <w:ind w:left="7374" w:hanging="180"/>
      </w:pPr>
    </w:lvl>
  </w:abstractNum>
  <w:abstractNum w:abstractNumId="20" w15:restartNumberingAfterBreak="0">
    <w:nsid w:val="4C1F7CF9"/>
    <w:multiLevelType w:val="hybridMultilevel"/>
    <w:tmpl w:val="1826AE5A"/>
    <w:lvl w:ilvl="0" w:tplc="52AACF76">
      <w:start w:val="1"/>
      <w:numFmt w:val="bullet"/>
      <w:lvlText w:val=""/>
      <w:lvlJc w:val="left"/>
      <w:pPr>
        <w:ind w:left="720" w:hanging="360"/>
      </w:pPr>
      <w:rPr>
        <w:rFonts w:ascii="Symbol" w:hAnsi="Symbol" w:hint="default"/>
      </w:rPr>
    </w:lvl>
    <w:lvl w:ilvl="1" w:tplc="92AEA95C">
      <w:start w:val="1"/>
      <w:numFmt w:val="bullet"/>
      <w:lvlText w:val="o"/>
      <w:lvlJc w:val="left"/>
      <w:pPr>
        <w:ind w:left="1440" w:hanging="360"/>
      </w:pPr>
      <w:rPr>
        <w:rFonts w:ascii="Courier New" w:hAnsi="Courier New" w:hint="default"/>
      </w:rPr>
    </w:lvl>
    <w:lvl w:ilvl="2" w:tplc="B86CA5E6">
      <w:start w:val="1"/>
      <w:numFmt w:val="bullet"/>
      <w:lvlText w:val=""/>
      <w:lvlJc w:val="left"/>
      <w:pPr>
        <w:ind w:left="2160" w:hanging="360"/>
      </w:pPr>
      <w:rPr>
        <w:rFonts w:ascii="Wingdings" w:hAnsi="Wingdings" w:hint="default"/>
      </w:rPr>
    </w:lvl>
    <w:lvl w:ilvl="3" w:tplc="F88EFEB8">
      <w:start w:val="1"/>
      <w:numFmt w:val="bullet"/>
      <w:lvlText w:val=""/>
      <w:lvlJc w:val="left"/>
      <w:pPr>
        <w:ind w:left="2880" w:hanging="360"/>
      </w:pPr>
      <w:rPr>
        <w:rFonts w:ascii="Symbol" w:hAnsi="Symbol" w:hint="default"/>
      </w:rPr>
    </w:lvl>
    <w:lvl w:ilvl="4" w:tplc="7646F202">
      <w:start w:val="1"/>
      <w:numFmt w:val="bullet"/>
      <w:lvlText w:val="o"/>
      <w:lvlJc w:val="left"/>
      <w:pPr>
        <w:ind w:left="3600" w:hanging="360"/>
      </w:pPr>
      <w:rPr>
        <w:rFonts w:ascii="Courier New" w:hAnsi="Courier New" w:hint="default"/>
      </w:rPr>
    </w:lvl>
    <w:lvl w:ilvl="5" w:tplc="C7408C62">
      <w:start w:val="1"/>
      <w:numFmt w:val="bullet"/>
      <w:lvlText w:val=""/>
      <w:lvlJc w:val="left"/>
      <w:pPr>
        <w:ind w:left="4320" w:hanging="360"/>
      </w:pPr>
      <w:rPr>
        <w:rFonts w:ascii="Wingdings" w:hAnsi="Wingdings" w:hint="default"/>
      </w:rPr>
    </w:lvl>
    <w:lvl w:ilvl="6" w:tplc="1E5C35C4">
      <w:start w:val="1"/>
      <w:numFmt w:val="bullet"/>
      <w:lvlText w:val=""/>
      <w:lvlJc w:val="left"/>
      <w:pPr>
        <w:ind w:left="5040" w:hanging="360"/>
      </w:pPr>
      <w:rPr>
        <w:rFonts w:ascii="Symbol" w:hAnsi="Symbol" w:hint="default"/>
      </w:rPr>
    </w:lvl>
    <w:lvl w:ilvl="7" w:tplc="2CDC6118">
      <w:start w:val="1"/>
      <w:numFmt w:val="bullet"/>
      <w:lvlText w:val="o"/>
      <w:lvlJc w:val="left"/>
      <w:pPr>
        <w:ind w:left="5760" w:hanging="360"/>
      </w:pPr>
      <w:rPr>
        <w:rFonts w:ascii="Courier New" w:hAnsi="Courier New" w:hint="default"/>
      </w:rPr>
    </w:lvl>
    <w:lvl w:ilvl="8" w:tplc="2E1A0EF8">
      <w:start w:val="1"/>
      <w:numFmt w:val="bullet"/>
      <w:lvlText w:val=""/>
      <w:lvlJc w:val="left"/>
      <w:pPr>
        <w:ind w:left="6480" w:hanging="360"/>
      </w:pPr>
      <w:rPr>
        <w:rFonts w:ascii="Wingdings" w:hAnsi="Wingdings" w:hint="default"/>
      </w:rPr>
    </w:lvl>
  </w:abstractNum>
  <w:abstractNum w:abstractNumId="21" w15:restartNumberingAfterBreak="0">
    <w:nsid w:val="4D8D7207"/>
    <w:multiLevelType w:val="hybridMultilevel"/>
    <w:tmpl w:val="4356B2A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7955A"/>
    <w:multiLevelType w:val="hybridMultilevel"/>
    <w:tmpl w:val="4CD84E74"/>
    <w:lvl w:ilvl="0" w:tplc="128A76FE">
      <w:start w:val="1"/>
      <w:numFmt w:val="bullet"/>
      <w:lvlText w:val=""/>
      <w:lvlJc w:val="left"/>
      <w:pPr>
        <w:ind w:left="720" w:hanging="360"/>
      </w:pPr>
      <w:rPr>
        <w:rFonts w:ascii="Symbol" w:hAnsi="Symbol" w:hint="default"/>
      </w:rPr>
    </w:lvl>
    <w:lvl w:ilvl="1" w:tplc="895E8456">
      <w:start w:val="1"/>
      <w:numFmt w:val="bullet"/>
      <w:lvlText w:val="o"/>
      <w:lvlJc w:val="left"/>
      <w:pPr>
        <w:ind w:left="1440" w:hanging="360"/>
      </w:pPr>
      <w:rPr>
        <w:rFonts w:ascii="Courier New" w:hAnsi="Courier New" w:hint="default"/>
      </w:rPr>
    </w:lvl>
    <w:lvl w:ilvl="2" w:tplc="439E613C">
      <w:start w:val="1"/>
      <w:numFmt w:val="bullet"/>
      <w:lvlText w:val=""/>
      <w:lvlJc w:val="left"/>
      <w:pPr>
        <w:ind w:left="2160" w:hanging="360"/>
      </w:pPr>
      <w:rPr>
        <w:rFonts w:ascii="Wingdings" w:hAnsi="Wingdings" w:hint="default"/>
      </w:rPr>
    </w:lvl>
    <w:lvl w:ilvl="3" w:tplc="A0FEDCFA">
      <w:start w:val="1"/>
      <w:numFmt w:val="bullet"/>
      <w:lvlText w:val=""/>
      <w:lvlJc w:val="left"/>
      <w:pPr>
        <w:ind w:left="2880" w:hanging="360"/>
      </w:pPr>
      <w:rPr>
        <w:rFonts w:ascii="Symbol" w:hAnsi="Symbol" w:hint="default"/>
      </w:rPr>
    </w:lvl>
    <w:lvl w:ilvl="4" w:tplc="2648E8F2">
      <w:start w:val="1"/>
      <w:numFmt w:val="bullet"/>
      <w:lvlText w:val="o"/>
      <w:lvlJc w:val="left"/>
      <w:pPr>
        <w:ind w:left="3600" w:hanging="360"/>
      </w:pPr>
      <w:rPr>
        <w:rFonts w:ascii="Courier New" w:hAnsi="Courier New" w:hint="default"/>
      </w:rPr>
    </w:lvl>
    <w:lvl w:ilvl="5" w:tplc="46989BAE">
      <w:start w:val="1"/>
      <w:numFmt w:val="bullet"/>
      <w:lvlText w:val=""/>
      <w:lvlJc w:val="left"/>
      <w:pPr>
        <w:ind w:left="4320" w:hanging="360"/>
      </w:pPr>
      <w:rPr>
        <w:rFonts w:ascii="Wingdings" w:hAnsi="Wingdings" w:hint="default"/>
      </w:rPr>
    </w:lvl>
    <w:lvl w:ilvl="6" w:tplc="E5CA1C68">
      <w:start w:val="1"/>
      <w:numFmt w:val="bullet"/>
      <w:lvlText w:val=""/>
      <w:lvlJc w:val="left"/>
      <w:pPr>
        <w:ind w:left="5040" w:hanging="360"/>
      </w:pPr>
      <w:rPr>
        <w:rFonts w:ascii="Symbol" w:hAnsi="Symbol" w:hint="default"/>
      </w:rPr>
    </w:lvl>
    <w:lvl w:ilvl="7" w:tplc="2020BC7E">
      <w:start w:val="1"/>
      <w:numFmt w:val="bullet"/>
      <w:lvlText w:val="o"/>
      <w:lvlJc w:val="left"/>
      <w:pPr>
        <w:ind w:left="5760" w:hanging="360"/>
      </w:pPr>
      <w:rPr>
        <w:rFonts w:ascii="Courier New" w:hAnsi="Courier New" w:hint="default"/>
      </w:rPr>
    </w:lvl>
    <w:lvl w:ilvl="8" w:tplc="BCC465E2">
      <w:start w:val="1"/>
      <w:numFmt w:val="bullet"/>
      <w:lvlText w:val=""/>
      <w:lvlJc w:val="left"/>
      <w:pPr>
        <w:ind w:left="6480" w:hanging="360"/>
      </w:pPr>
      <w:rPr>
        <w:rFonts w:ascii="Wingdings" w:hAnsi="Wingdings" w:hint="default"/>
      </w:rPr>
    </w:lvl>
  </w:abstractNum>
  <w:abstractNum w:abstractNumId="23" w15:restartNumberingAfterBreak="0">
    <w:nsid w:val="51060936"/>
    <w:multiLevelType w:val="hybridMultilevel"/>
    <w:tmpl w:val="2FE0F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0ECB81"/>
    <w:multiLevelType w:val="hybridMultilevel"/>
    <w:tmpl w:val="20C6BD1C"/>
    <w:lvl w:ilvl="0" w:tplc="5FCC7AC2">
      <w:start w:val="1"/>
      <w:numFmt w:val="bullet"/>
      <w:lvlText w:val=""/>
      <w:lvlJc w:val="left"/>
      <w:pPr>
        <w:ind w:left="720" w:hanging="360"/>
      </w:pPr>
      <w:rPr>
        <w:rFonts w:ascii="Symbol" w:hAnsi="Symbol" w:hint="default"/>
      </w:rPr>
    </w:lvl>
    <w:lvl w:ilvl="1" w:tplc="E2A2EA24">
      <w:start w:val="1"/>
      <w:numFmt w:val="bullet"/>
      <w:lvlText w:val="o"/>
      <w:lvlJc w:val="left"/>
      <w:pPr>
        <w:ind w:left="1440" w:hanging="360"/>
      </w:pPr>
      <w:rPr>
        <w:rFonts w:ascii="Courier New" w:hAnsi="Courier New" w:hint="default"/>
      </w:rPr>
    </w:lvl>
    <w:lvl w:ilvl="2" w:tplc="EAC8B4A6">
      <w:start w:val="1"/>
      <w:numFmt w:val="bullet"/>
      <w:lvlText w:val=""/>
      <w:lvlJc w:val="left"/>
      <w:pPr>
        <w:ind w:left="2160" w:hanging="360"/>
      </w:pPr>
      <w:rPr>
        <w:rFonts w:ascii="Wingdings" w:hAnsi="Wingdings" w:hint="default"/>
      </w:rPr>
    </w:lvl>
    <w:lvl w:ilvl="3" w:tplc="CD9C9522">
      <w:start w:val="1"/>
      <w:numFmt w:val="bullet"/>
      <w:lvlText w:val=""/>
      <w:lvlJc w:val="left"/>
      <w:pPr>
        <w:ind w:left="2880" w:hanging="360"/>
      </w:pPr>
      <w:rPr>
        <w:rFonts w:ascii="Symbol" w:hAnsi="Symbol" w:hint="default"/>
      </w:rPr>
    </w:lvl>
    <w:lvl w:ilvl="4" w:tplc="E37E0C7E">
      <w:start w:val="1"/>
      <w:numFmt w:val="bullet"/>
      <w:lvlText w:val="o"/>
      <w:lvlJc w:val="left"/>
      <w:pPr>
        <w:ind w:left="3600" w:hanging="360"/>
      </w:pPr>
      <w:rPr>
        <w:rFonts w:ascii="Courier New" w:hAnsi="Courier New" w:hint="default"/>
      </w:rPr>
    </w:lvl>
    <w:lvl w:ilvl="5" w:tplc="79E6083E">
      <w:start w:val="1"/>
      <w:numFmt w:val="bullet"/>
      <w:lvlText w:val=""/>
      <w:lvlJc w:val="left"/>
      <w:pPr>
        <w:ind w:left="4320" w:hanging="360"/>
      </w:pPr>
      <w:rPr>
        <w:rFonts w:ascii="Wingdings" w:hAnsi="Wingdings" w:hint="default"/>
      </w:rPr>
    </w:lvl>
    <w:lvl w:ilvl="6" w:tplc="95847446">
      <w:start w:val="1"/>
      <w:numFmt w:val="bullet"/>
      <w:lvlText w:val=""/>
      <w:lvlJc w:val="left"/>
      <w:pPr>
        <w:ind w:left="5040" w:hanging="360"/>
      </w:pPr>
      <w:rPr>
        <w:rFonts w:ascii="Symbol" w:hAnsi="Symbol" w:hint="default"/>
      </w:rPr>
    </w:lvl>
    <w:lvl w:ilvl="7" w:tplc="1ACA05E0">
      <w:start w:val="1"/>
      <w:numFmt w:val="bullet"/>
      <w:lvlText w:val="o"/>
      <w:lvlJc w:val="left"/>
      <w:pPr>
        <w:ind w:left="5760" w:hanging="360"/>
      </w:pPr>
      <w:rPr>
        <w:rFonts w:ascii="Courier New" w:hAnsi="Courier New" w:hint="default"/>
      </w:rPr>
    </w:lvl>
    <w:lvl w:ilvl="8" w:tplc="BC907F68">
      <w:start w:val="1"/>
      <w:numFmt w:val="bullet"/>
      <w:lvlText w:val=""/>
      <w:lvlJc w:val="left"/>
      <w:pPr>
        <w:ind w:left="6480" w:hanging="360"/>
      </w:pPr>
      <w:rPr>
        <w:rFonts w:ascii="Wingdings" w:hAnsi="Wingdings" w:hint="default"/>
      </w:rPr>
    </w:lvl>
  </w:abstractNum>
  <w:abstractNum w:abstractNumId="25" w15:restartNumberingAfterBreak="0">
    <w:nsid w:val="55A3219E"/>
    <w:multiLevelType w:val="hybridMultilevel"/>
    <w:tmpl w:val="90FCB6FA"/>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A8120F"/>
    <w:multiLevelType w:val="multilevel"/>
    <w:tmpl w:val="ECD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C5654"/>
    <w:multiLevelType w:val="hybridMultilevel"/>
    <w:tmpl w:val="51E8B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521365"/>
    <w:multiLevelType w:val="hybridMultilevel"/>
    <w:tmpl w:val="63621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392BCD"/>
    <w:multiLevelType w:val="hybridMultilevel"/>
    <w:tmpl w:val="03D20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F4119F"/>
    <w:multiLevelType w:val="hybridMultilevel"/>
    <w:tmpl w:val="EA14AE82"/>
    <w:lvl w:ilvl="0" w:tplc="FFFFFFFF">
      <w:start w:val="3"/>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66504FF0"/>
    <w:multiLevelType w:val="hybridMultilevel"/>
    <w:tmpl w:val="1D1C24B6"/>
    <w:lvl w:ilvl="0" w:tplc="FFFFFFFF">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3DD55"/>
    <w:multiLevelType w:val="hybridMultilevel"/>
    <w:tmpl w:val="D6B685E4"/>
    <w:lvl w:ilvl="0" w:tplc="F2961A8E">
      <w:start w:val="1"/>
      <w:numFmt w:val="bullet"/>
      <w:lvlText w:val=""/>
      <w:lvlJc w:val="left"/>
      <w:pPr>
        <w:ind w:left="720" w:hanging="360"/>
      </w:pPr>
      <w:rPr>
        <w:rFonts w:ascii="Symbol" w:hAnsi="Symbol" w:hint="default"/>
      </w:rPr>
    </w:lvl>
    <w:lvl w:ilvl="1" w:tplc="0E26226A">
      <w:start w:val="1"/>
      <w:numFmt w:val="bullet"/>
      <w:lvlText w:val="o"/>
      <w:lvlJc w:val="left"/>
      <w:pPr>
        <w:ind w:left="1440" w:hanging="360"/>
      </w:pPr>
      <w:rPr>
        <w:rFonts w:ascii="Courier New" w:hAnsi="Courier New" w:hint="default"/>
      </w:rPr>
    </w:lvl>
    <w:lvl w:ilvl="2" w:tplc="A3626E5E">
      <w:start w:val="1"/>
      <w:numFmt w:val="bullet"/>
      <w:lvlText w:val=""/>
      <w:lvlJc w:val="left"/>
      <w:pPr>
        <w:ind w:left="2160" w:hanging="360"/>
      </w:pPr>
      <w:rPr>
        <w:rFonts w:ascii="Wingdings" w:hAnsi="Wingdings" w:hint="default"/>
      </w:rPr>
    </w:lvl>
    <w:lvl w:ilvl="3" w:tplc="731EA6EA">
      <w:start w:val="1"/>
      <w:numFmt w:val="bullet"/>
      <w:lvlText w:val=""/>
      <w:lvlJc w:val="left"/>
      <w:pPr>
        <w:ind w:left="2880" w:hanging="360"/>
      </w:pPr>
      <w:rPr>
        <w:rFonts w:ascii="Symbol" w:hAnsi="Symbol" w:hint="default"/>
      </w:rPr>
    </w:lvl>
    <w:lvl w:ilvl="4" w:tplc="0BC4C82E">
      <w:start w:val="1"/>
      <w:numFmt w:val="bullet"/>
      <w:lvlText w:val="o"/>
      <w:lvlJc w:val="left"/>
      <w:pPr>
        <w:ind w:left="3600" w:hanging="360"/>
      </w:pPr>
      <w:rPr>
        <w:rFonts w:ascii="Courier New" w:hAnsi="Courier New" w:hint="default"/>
      </w:rPr>
    </w:lvl>
    <w:lvl w:ilvl="5" w:tplc="4B4AA3AC">
      <w:start w:val="1"/>
      <w:numFmt w:val="bullet"/>
      <w:lvlText w:val=""/>
      <w:lvlJc w:val="left"/>
      <w:pPr>
        <w:ind w:left="4320" w:hanging="360"/>
      </w:pPr>
      <w:rPr>
        <w:rFonts w:ascii="Wingdings" w:hAnsi="Wingdings" w:hint="default"/>
      </w:rPr>
    </w:lvl>
    <w:lvl w:ilvl="6" w:tplc="8D2A2DCE">
      <w:start w:val="1"/>
      <w:numFmt w:val="bullet"/>
      <w:lvlText w:val=""/>
      <w:lvlJc w:val="left"/>
      <w:pPr>
        <w:ind w:left="5040" w:hanging="360"/>
      </w:pPr>
      <w:rPr>
        <w:rFonts w:ascii="Symbol" w:hAnsi="Symbol" w:hint="default"/>
      </w:rPr>
    </w:lvl>
    <w:lvl w:ilvl="7" w:tplc="BAEA5D52">
      <w:start w:val="1"/>
      <w:numFmt w:val="bullet"/>
      <w:lvlText w:val="o"/>
      <w:lvlJc w:val="left"/>
      <w:pPr>
        <w:ind w:left="5760" w:hanging="360"/>
      </w:pPr>
      <w:rPr>
        <w:rFonts w:ascii="Courier New" w:hAnsi="Courier New" w:hint="default"/>
      </w:rPr>
    </w:lvl>
    <w:lvl w:ilvl="8" w:tplc="681A0B36">
      <w:start w:val="1"/>
      <w:numFmt w:val="bullet"/>
      <w:lvlText w:val=""/>
      <w:lvlJc w:val="left"/>
      <w:pPr>
        <w:ind w:left="6480" w:hanging="360"/>
      </w:pPr>
      <w:rPr>
        <w:rFonts w:ascii="Wingdings" w:hAnsi="Wingdings" w:hint="default"/>
      </w:rPr>
    </w:lvl>
  </w:abstractNum>
  <w:abstractNum w:abstractNumId="33"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5" w15:restartNumberingAfterBreak="0">
    <w:nsid w:val="77250EBB"/>
    <w:multiLevelType w:val="hybridMultilevel"/>
    <w:tmpl w:val="2A6AACEE"/>
    <w:lvl w:ilvl="0" w:tplc="B5F4C44A">
      <w:start w:val="1"/>
      <w:numFmt w:val="bullet"/>
      <w:lvlText w:val=""/>
      <w:lvlJc w:val="left"/>
      <w:pPr>
        <w:ind w:left="720" w:hanging="360"/>
      </w:pPr>
      <w:rPr>
        <w:rFonts w:ascii="Symbol" w:hAnsi="Symbol" w:hint="default"/>
      </w:rPr>
    </w:lvl>
    <w:lvl w:ilvl="1" w:tplc="D090AF7C">
      <w:start w:val="1"/>
      <w:numFmt w:val="bullet"/>
      <w:lvlText w:val="o"/>
      <w:lvlJc w:val="left"/>
      <w:pPr>
        <w:ind w:left="1440" w:hanging="360"/>
      </w:pPr>
      <w:rPr>
        <w:rFonts w:ascii="Courier New" w:hAnsi="Courier New" w:hint="default"/>
      </w:rPr>
    </w:lvl>
    <w:lvl w:ilvl="2" w:tplc="B172DBB6">
      <w:start w:val="1"/>
      <w:numFmt w:val="bullet"/>
      <w:lvlText w:val=""/>
      <w:lvlJc w:val="left"/>
      <w:pPr>
        <w:ind w:left="2160" w:hanging="360"/>
      </w:pPr>
      <w:rPr>
        <w:rFonts w:ascii="Wingdings" w:hAnsi="Wingdings" w:hint="default"/>
      </w:rPr>
    </w:lvl>
    <w:lvl w:ilvl="3" w:tplc="8AE26C4E">
      <w:start w:val="1"/>
      <w:numFmt w:val="bullet"/>
      <w:lvlText w:val=""/>
      <w:lvlJc w:val="left"/>
      <w:pPr>
        <w:ind w:left="2880" w:hanging="360"/>
      </w:pPr>
      <w:rPr>
        <w:rFonts w:ascii="Symbol" w:hAnsi="Symbol" w:hint="default"/>
      </w:rPr>
    </w:lvl>
    <w:lvl w:ilvl="4" w:tplc="5E60F846">
      <w:start w:val="1"/>
      <w:numFmt w:val="bullet"/>
      <w:lvlText w:val="o"/>
      <w:lvlJc w:val="left"/>
      <w:pPr>
        <w:ind w:left="3600" w:hanging="360"/>
      </w:pPr>
      <w:rPr>
        <w:rFonts w:ascii="Courier New" w:hAnsi="Courier New" w:hint="default"/>
      </w:rPr>
    </w:lvl>
    <w:lvl w:ilvl="5" w:tplc="20E699D0">
      <w:start w:val="1"/>
      <w:numFmt w:val="bullet"/>
      <w:lvlText w:val=""/>
      <w:lvlJc w:val="left"/>
      <w:pPr>
        <w:ind w:left="4320" w:hanging="360"/>
      </w:pPr>
      <w:rPr>
        <w:rFonts w:ascii="Wingdings" w:hAnsi="Wingdings" w:hint="default"/>
      </w:rPr>
    </w:lvl>
    <w:lvl w:ilvl="6" w:tplc="5C3845CE">
      <w:start w:val="1"/>
      <w:numFmt w:val="bullet"/>
      <w:lvlText w:val=""/>
      <w:lvlJc w:val="left"/>
      <w:pPr>
        <w:ind w:left="5040" w:hanging="360"/>
      </w:pPr>
      <w:rPr>
        <w:rFonts w:ascii="Symbol" w:hAnsi="Symbol" w:hint="default"/>
      </w:rPr>
    </w:lvl>
    <w:lvl w:ilvl="7" w:tplc="7A465D44">
      <w:start w:val="1"/>
      <w:numFmt w:val="bullet"/>
      <w:lvlText w:val="o"/>
      <w:lvlJc w:val="left"/>
      <w:pPr>
        <w:ind w:left="5760" w:hanging="360"/>
      </w:pPr>
      <w:rPr>
        <w:rFonts w:ascii="Courier New" w:hAnsi="Courier New" w:hint="default"/>
      </w:rPr>
    </w:lvl>
    <w:lvl w:ilvl="8" w:tplc="4E162522">
      <w:start w:val="1"/>
      <w:numFmt w:val="bullet"/>
      <w:lvlText w:val=""/>
      <w:lvlJc w:val="left"/>
      <w:pPr>
        <w:ind w:left="6480" w:hanging="360"/>
      </w:pPr>
      <w:rPr>
        <w:rFonts w:ascii="Wingdings" w:hAnsi="Wingdings" w:hint="default"/>
      </w:rPr>
    </w:lvl>
  </w:abstractNum>
  <w:abstractNum w:abstractNumId="36" w15:restartNumberingAfterBreak="0">
    <w:nsid w:val="77A6AF6C"/>
    <w:multiLevelType w:val="hybridMultilevel"/>
    <w:tmpl w:val="7B98EE90"/>
    <w:lvl w:ilvl="0" w:tplc="B0622C5E">
      <w:start w:val="1"/>
      <w:numFmt w:val="bullet"/>
      <w:lvlText w:val=""/>
      <w:lvlJc w:val="left"/>
      <w:pPr>
        <w:ind w:left="720" w:hanging="360"/>
      </w:pPr>
      <w:rPr>
        <w:rFonts w:ascii="Symbol" w:hAnsi="Symbol" w:hint="default"/>
      </w:rPr>
    </w:lvl>
    <w:lvl w:ilvl="1" w:tplc="9A982C44">
      <w:start w:val="1"/>
      <w:numFmt w:val="bullet"/>
      <w:lvlText w:val="o"/>
      <w:lvlJc w:val="left"/>
      <w:pPr>
        <w:ind w:left="1440" w:hanging="360"/>
      </w:pPr>
      <w:rPr>
        <w:rFonts w:ascii="Courier New" w:hAnsi="Courier New" w:hint="default"/>
      </w:rPr>
    </w:lvl>
    <w:lvl w:ilvl="2" w:tplc="7FAA0A6A">
      <w:start w:val="1"/>
      <w:numFmt w:val="bullet"/>
      <w:lvlText w:val=""/>
      <w:lvlJc w:val="left"/>
      <w:pPr>
        <w:ind w:left="2160" w:hanging="360"/>
      </w:pPr>
      <w:rPr>
        <w:rFonts w:ascii="Wingdings" w:hAnsi="Wingdings" w:hint="default"/>
      </w:rPr>
    </w:lvl>
    <w:lvl w:ilvl="3" w:tplc="DA2A1AF2">
      <w:start w:val="1"/>
      <w:numFmt w:val="bullet"/>
      <w:lvlText w:val=""/>
      <w:lvlJc w:val="left"/>
      <w:pPr>
        <w:ind w:left="2880" w:hanging="360"/>
      </w:pPr>
      <w:rPr>
        <w:rFonts w:ascii="Symbol" w:hAnsi="Symbol" w:hint="default"/>
      </w:rPr>
    </w:lvl>
    <w:lvl w:ilvl="4" w:tplc="1B026B76">
      <w:start w:val="1"/>
      <w:numFmt w:val="bullet"/>
      <w:lvlText w:val="o"/>
      <w:lvlJc w:val="left"/>
      <w:pPr>
        <w:ind w:left="3600" w:hanging="360"/>
      </w:pPr>
      <w:rPr>
        <w:rFonts w:ascii="Courier New" w:hAnsi="Courier New" w:hint="default"/>
      </w:rPr>
    </w:lvl>
    <w:lvl w:ilvl="5" w:tplc="E4845974">
      <w:start w:val="1"/>
      <w:numFmt w:val="bullet"/>
      <w:lvlText w:val=""/>
      <w:lvlJc w:val="left"/>
      <w:pPr>
        <w:ind w:left="4320" w:hanging="360"/>
      </w:pPr>
      <w:rPr>
        <w:rFonts w:ascii="Wingdings" w:hAnsi="Wingdings" w:hint="default"/>
      </w:rPr>
    </w:lvl>
    <w:lvl w:ilvl="6" w:tplc="3F5C3BFE">
      <w:start w:val="1"/>
      <w:numFmt w:val="bullet"/>
      <w:lvlText w:val=""/>
      <w:lvlJc w:val="left"/>
      <w:pPr>
        <w:ind w:left="5040" w:hanging="360"/>
      </w:pPr>
      <w:rPr>
        <w:rFonts w:ascii="Symbol" w:hAnsi="Symbol" w:hint="default"/>
      </w:rPr>
    </w:lvl>
    <w:lvl w:ilvl="7" w:tplc="0EA076B0">
      <w:start w:val="1"/>
      <w:numFmt w:val="bullet"/>
      <w:lvlText w:val="o"/>
      <w:lvlJc w:val="left"/>
      <w:pPr>
        <w:ind w:left="5760" w:hanging="360"/>
      </w:pPr>
      <w:rPr>
        <w:rFonts w:ascii="Courier New" w:hAnsi="Courier New" w:hint="default"/>
      </w:rPr>
    </w:lvl>
    <w:lvl w:ilvl="8" w:tplc="C0EA733C">
      <w:start w:val="1"/>
      <w:numFmt w:val="bullet"/>
      <w:lvlText w:val=""/>
      <w:lvlJc w:val="left"/>
      <w:pPr>
        <w:ind w:left="6480" w:hanging="360"/>
      </w:pPr>
      <w:rPr>
        <w:rFonts w:ascii="Wingdings" w:hAnsi="Wingdings" w:hint="default"/>
      </w:rPr>
    </w:lvl>
  </w:abstractNum>
  <w:abstractNum w:abstractNumId="37"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F80DC8"/>
    <w:multiLevelType w:val="hybridMultilevel"/>
    <w:tmpl w:val="F78089B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545420">
    <w:abstractNumId w:val="18"/>
  </w:num>
  <w:num w:numId="2" w16cid:durableId="341275555">
    <w:abstractNumId w:val="32"/>
  </w:num>
  <w:num w:numId="3" w16cid:durableId="216548931">
    <w:abstractNumId w:val="12"/>
  </w:num>
  <w:num w:numId="4" w16cid:durableId="1774397233">
    <w:abstractNumId w:val="14"/>
  </w:num>
  <w:num w:numId="5" w16cid:durableId="1823234203">
    <w:abstractNumId w:val="1"/>
  </w:num>
  <w:num w:numId="6" w16cid:durableId="595671187">
    <w:abstractNumId w:val="20"/>
  </w:num>
  <w:num w:numId="7" w16cid:durableId="1586766384">
    <w:abstractNumId w:val="24"/>
  </w:num>
  <w:num w:numId="8" w16cid:durableId="2136560151">
    <w:abstractNumId w:val="4"/>
  </w:num>
  <w:num w:numId="9" w16cid:durableId="1142502495">
    <w:abstractNumId w:val="35"/>
  </w:num>
  <w:num w:numId="10" w16cid:durableId="1795369456">
    <w:abstractNumId w:val="16"/>
  </w:num>
  <w:num w:numId="11" w16cid:durableId="70584756">
    <w:abstractNumId w:val="6"/>
  </w:num>
  <w:num w:numId="12" w16cid:durableId="1411930800">
    <w:abstractNumId w:val="5"/>
  </w:num>
  <w:num w:numId="13" w16cid:durableId="1829056210">
    <w:abstractNumId w:val="33"/>
  </w:num>
  <w:num w:numId="14" w16cid:durableId="987709873">
    <w:abstractNumId w:val="15"/>
  </w:num>
  <w:num w:numId="15" w16cid:durableId="1195845671">
    <w:abstractNumId w:val="37"/>
  </w:num>
  <w:num w:numId="16" w16cid:durableId="464785565">
    <w:abstractNumId w:val="11"/>
  </w:num>
  <w:num w:numId="17" w16cid:durableId="2022195123">
    <w:abstractNumId w:val="19"/>
  </w:num>
  <w:num w:numId="18" w16cid:durableId="1849634717">
    <w:abstractNumId w:val="8"/>
  </w:num>
  <w:num w:numId="19" w16cid:durableId="1957910694">
    <w:abstractNumId w:val="13"/>
  </w:num>
  <w:num w:numId="20" w16cid:durableId="1454127806">
    <w:abstractNumId w:val="7"/>
  </w:num>
  <w:num w:numId="21" w16cid:durableId="2049408672">
    <w:abstractNumId w:val="34"/>
  </w:num>
  <w:num w:numId="22" w16cid:durableId="1912350011">
    <w:abstractNumId w:val="17"/>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23" w16cid:durableId="1788500328">
    <w:abstractNumId w:val="19"/>
  </w:num>
  <w:num w:numId="24" w16cid:durableId="1755206875">
    <w:abstractNumId w:val="0"/>
  </w:num>
  <w:num w:numId="25" w16cid:durableId="1465273746">
    <w:abstractNumId w:val="26"/>
  </w:num>
  <w:num w:numId="26" w16cid:durableId="1469787592">
    <w:abstractNumId w:val="38"/>
  </w:num>
  <w:num w:numId="27" w16cid:durableId="853109281">
    <w:abstractNumId w:val="21"/>
  </w:num>
  <w:num w:numId="28" w16cid:durableId="1060598017">
    <w:abstractNumId w:val="31"/>
  </w:num>
  <w:num w:numId="29" w16cid:durableId="1420373326">
    <w:abstractNumId w:val="22"/>
  </w:num>
  <w:num w:numId="30" w16cid:durableId="31733674">
    <w:abstractNumId w:val="36"/>
  </w:num>
  <w:num w:numId="31" w16cid:durableId="49034548">
    <w:abstractNumId w:val="23"/>
  </w:num>
  <w:num w:numId="32" w16cid:durableId="1344018812">
    <w:abstractNumId w:val="28"/>
  </w:num>
  <w:num w:numId="33" w16cid:durableId="1437359869">
    <w:abstractNumId w:val="27"/>
  </w:num>
  <w:num w:numId="34" w16cid:durableId="1786340235">
    <w:abstractNumId w:val="3"/>
  </w:num>
  <w:num w:numId="35" w16cid:durableId="801920406">
    <w:abstractNumId w:val="10"/>
  </w:num>
  <w:num w:numId="36" w16cid:durableId="555555617">
    <w:abstractNumId w:val="29"/>
  </w:num>
  <w:num w:numId="37" w16cid:durableId="960722005">
    <w:abstractNumId w:val="30"/>
  </w:num>
  <w:num w:numId="38" w16cid:durableId="931282988">
    <w:abstractNumId w:val="2"/>
  </w:num>
  <w:num w:numId="39" w16cid:durableId="1775058015">
    <w:abstractNumId w:val="25"/>
  </w:num>
  <w:num w:numId="40" w16cid:durableId="167267897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32"/>
    <w:rsid w:val="00000436"/>
    <w:rsid w:val="000019C1"/>
    <w:rsid w:val="00005EEC"/>
    <w:rsid w:val="00007670"/>
    <w:rsid w:val="0001090B"/>
    <w:rsid w:val="000111C6"/>
    <w:rsid w:val="00015842"/>
    <w:rsid w:val="0001755E"/>
    <w:rsid w:val="0002519A"/>
    <w:rsid w:val="0002555D"/>
    <w:rsid w:val="0002576A"/>
    <w:rsid w:val="00027038"/>
    <w:rsid w:val="000314AC"/>
    <w:rsid w:val="0003154E"/>
    <w:rsid w:val="00031B4A"/>
    <w:rsid w:val="00033D1C"/>
    <w:rsid w:val="0003549D"/>
    <w:rsid w:val="00037513"/>
    <w:rsid w:val="0004150A"/>
    <w:rsid w:val="0004152F"/>
    <w:rsid w:val="000423B6"/>
    <w:rsid w:val="00043573"/>
    <w:rsid w:val="00045276"/>
    <w:rsid w:val="00047717"/>
    <w:rsid w:val="00050E86"/>
    <w:rsid w:val="0005248D"/>
    <w:rsid w:val="00057BBC"/>
    <w:rsid w:val="000615B3"/>
    <w:rsid w:val="0006166A"/>
    <w:rsid w:val="000629D4"/>
    <w:rsid w:val="00065218"/>
    <w:rsid w:val="0006627F"/>
    <w:rsid w:val="000726FA"/>
    <w:rsid w:val="00074D87"/>
    <w:rsid w:val="0007579F"/>
    <w:rsid w:val="0007781C"/>
    <w:rsid w:val="00077CA0"/>
    <w:rsid w:val="00082CA4"/>
    <w:rsid w:val="00084A98"/>
    <w:rsid w:val="00084D02"/>
    <w:rsid w:val="00084E6B"/>
    <w:rsid w:val="00085D64"/>
    <w:rsid w:val="00086D26"/>
    <w:rsid w:val="0008772A"/>
    <w:rsid w:val="00090E2E"/>
    <w:rsid w:val="00092929"/>
    <w:rsid w:val="00093582"/>
    <w:rsid w:val="0009483E"/>
    <w:rsid w:val="000A182B"/>
    <w:rsid w:val="000A1D37"/>
    <w:rsid w:val="000A376F"/>
    <w:rsid w:val="000A37EB"/>
    <w:rsid w:val="000A3C73"/>
    <w:rsid w:val="000B03F6"/>
    <w:rsid w:val="000B0B65"/>
    <w:rsid w:val="000B28A2"/>
    <w:rsid w:val="000B2F76"/>
    <w:rsid w:val="000B3417"/>
    <w:rsid w:val="000B54C2"/>
    <w:rsid w:val="000B63BC"/>
    <w:rsid w:val="000B6A28"/>
    <w:rsid w:val="000C36F6"/>
    <w:rsid w:val="000C6E6A"/>
    <w:rsid w:val="000D04DF"/>
    <w:rsid w:val="000D290D"/>
    <w:rsid w:val="000D6577"/>
    <w:rsid w:val="000D749D"/>
    <w:rsid w:val="000D75C4"/>
    <w:rsid w:val="000D766B"/>
    <w:rsid w:val="000E0D52"/>
    <w:rsid w:val="000E123F"/>
    <w:rsid w:val="000E4831"/>
    <w:rsid w:val="000E55CC"/>
    <w:rsid w:val="000E6E31"/>
    <w:rsid w:val="000F0B89"/>
    <w:rsid w:val="000F2151"/>
    <w:rsid w:val="000F5F7A"/>
    <w:rsid w:val="000F6546"/>
    <w:rsid w:val="000F6DD3"/>
    <w:rsid w:val="0010063E"/>
    <w:rsid w:val="001009A2"/>
    <w:rsid w:val="00101A3D"/>
    <w:rsid w:val="001032DE"/>
    <w:rsid w:val="0011043C"/>
    <w:rsid w:val="00112231"/>
    <w:rsid w:val="00112ABF"/>
    <w:rsid w:val="00115264"/>
    <w:rsid w:val="00117385"/>
    <w:rsid w:val="0011794D"/>
    <w:rsid w:val="00117A77"/>
    <w:rsid w:val="001218A9"/>
    <w:rsid w:val="00122397"/>
    <w:rsid w:val="00123E65"/>
    <w:rsid w:val="00127DED"/>
    <w:rsid w:val="001315EB"/>
    <w:rsid w:val="00134CD5"/>
    <w:rsid w:val="00135DBB"/>
    <w:rsid w:val="0014151F"/>
    <w:rsid w:val="001415FF"/>
    <w:rsid w:val="001425BE"/>
    <w:rsid w:val="0014570E"/>
    <w:rsid w:val="001507AB"/>
    <w:rsid w:val="00153132"/>
    <w:rsid w:val="001533B5"/>
    <w:rsid w:val="00156500"/>
    <w:rsid w:val="00157269"/>
    <w:rsid w:val="001611BF"/>
    <w:rsid w:val="0016139C"/>
    <w:rsid w:val="00162D98"/>
    <w:rsid w:val="00163F64"/>
    <w:rsid w:val="00165865"/>
    <w:rsid w:val="00167F6B"/>
    <w:rsid w:val="00171581"/>
    <w:rsid w:val="00172CE1"/>
    <w:rsid w:val="00173C81"/>
    <w:rsid w:val="0017436A"/>
    <w:rsid w:val="0017446B"/>
    <w:rsid w:val="00174635"/>
    <w:rsid w:val="00174797"/>
    <w:rsid w:val="00177425"/>
    <w:rsid w:val="001817FE"/>
    <w:rsid w:val="001818C4"/>
    <w:rsid w:val="00183BBF"/>
    <w:rsid w:val="001844FA"/>
    <w:rsid w:val="001848CF"/>
    <w:rsid w:val="0019177D"/>
    <w:rsid w:val="001942D4"/>
    <w:rsid w:val="00194949"/>
    <w:rsid w:val="00195316"/>
    <w:rsid w:val="001954AA"/>
    <w:rsid w:val="001954B4"/>
    <w:rsid w:val="00196B32"/>
    <w:rsid w:val="001A1C8C"/>
    <w:rsid w:val="001A6285"/>
    <w:rsid w:val="001A7BC9"/>
    <w:rsid w:val="001B0433"/>
    <w:rsid w:val="001B1FDF"/>
    <w:rsid w:val="001B2D56"/>
    <w:rsid w:val="001C012B"/>
    <w:rsid w:val="001C025A"/>
    <w:rsid w:val="001C2884"/>
    <w:rsid w:val="001C2AB3"/>
    <w:rsid w:val="001C6A9D"/>
    <w:rsid w:val="001C6BE7"/>
    <w:rsid w:val="001C7FFE"/>
    <w:rsid w:val="001D0DC2"/>
    <w:rsid w:val="001D24F0"/>
    <w:rsid w:val="001D3247"/>
    <w:rsid w:val="001D6971"/>
    <w:rsid w:val="001D6D9E"/>
    <w:rsid w:val="001D7D82"/>
    <w:rsid w:val="001E0A30"/>
    <w:rsid w:val="001E57E8"/>
    <w:rsid w:val="001E5968"/>
    <w:rsid w:val="001F0218"/>
    <w:rsid w:val="001F315A"/>
    <w:rsid w:val="001F3D5D"/>
    <w:rsid w:val="001F79DB"/>
    <w:rsid w:val="001F7D5F"/>
    <w:rsid w:val="001F7FDC"/>
    <w:rsid w:val="0020030A"/>
    <w:rsid w:val="0020058D"/>
    <w:rsid w:val="00200BEA"/>
    <w:rsid w:val="00200D9A"/>
    <w:rsid w:val="0020499B"/>
    <w:rsid w:val="00205697"/>
    <w:rsid w:val="00206255"/>
    <w:rsid w:val="002068C8"/>
    <w:rsid w:val="00211055"/>
    <w:rsid w:val="00211114"/>
    <w:rsid w:val="002117B7"/>
    <w:rsid w:val="00212443"/>
    <w:rsid w:val="00213935"/>
    <w:rsid w:val="002158BA"/>
    <w:rsid w:val="002160DC"/>
    <w:rsid w:val="0022031E"/>
    <w:rsid w:val="00220BB9"/>
    <w:rsid w:val="00220C90"/>
    <w:rsid w:val="00220DDA"/>
    <w:rsid w:val="00220EEC"/>
    <w:rsid w:val="00225082"/>
    <w:rsid w:val="00227083"/>
    <w:rsid w:val="00227DB5"/>
    <w:rsid w:val="00230B7D"/>
    <w:rsid w:val="00234C0C"/>
    <w:rsid w:val="00241A26"/>
    <w:rsid w:val="00243CBE"/>
    <w:rsid w:val="002447F4"/>
    <w:rsid w:val="00245569"/>
    <w:rsid w:val="002465D5"/>
    <w:rsid w:val="00246FD0"/>
    <w:rsid w:val="00251E22"/>
    <w:rsid w:val="0025346C"/>
    <w:rsid w:val="0025371C"/>
    <w:rsid w:val="002537F6"/>
    <w:rsid w:val="00254391"/>
    <w:rsid w:val="0025506B"/>
    <w:rsid w:val="00255454"/>
    <w:rsid w:val="00255D6C"/>
    <w:rsid w:val="00261952"/>
    <w:rsid w:val="002650E3"/>
    <w:rsid w:val="00265D99"/>
    <w:rsid w:val="00266CCC"/>
    <w:rsid w:val="00271710"/>
    <w:rsid w:val="00273378"/>
    <w:rsid w:val="0027342A"/>
    <w:rsid w:val="00274D42"/>
    <w:rsid w:val="002771EC"/>
    <w:rsid w:val="00280496"/>
    <w:rsid w:val="002804A3"/>
    <w:rsid w:val="00280636"/>
    <w:rsid w:val="00280993"/>
    <w:rsid w:val="00280D5D"/>
    <w:rsid w:val="002816C0"/>
    <w:rsid w:val="002828CA"/>
    <w:rsid w:val="00285CAF"/>
    <w:rsid w:val="00285E47"/>
    <w:rsid w:val="0028675F"/>
    <w:rsid w:val="00292BFC"/>
    <w:rsid w:val="00292FCF"/>
    <w:rsid w:val="00294575"/>
    <w:rsid w:val="00295A54"/>
    <w:rsid w:val="002A0906"/>
    <w:rsid w:val="002A0A75"/>
    <w:rsid w:val="002A3E4E"/>
    <w:rsid w:val="002B2AB5"/>
    <w:rsid w:val="002B5A04"/>
    <w:rsid w:val="002B5C53"/>
    <w:rsid w:val="002B61FD"/>
    <w:rsid w:val="002B661A"/>
    <w:rsid w:val="002C2FB3"/>
    <w:rsid w:val="002C3E7D"/>
    <w:rsid w:val="002C44CC"/>
    <w:rsid w:val="002C6DBA"/>
    <w:rsid w:val="002C70F1"/>
    <w:rsid w:val="002C7A05"/>
    <w:rsid w:val="002D041B"/>
    <w:rsid w:val="002D30ED"/>
    <w:rsid w:val="002D5378"/>
    <w:rsid w:val="002D6866"/>
    <w:rsid w:val="002D6B3D"/>
    <w:rsid w:val="002E07F1"/>
    <w:rsid w:val="002E2AC6"/>
    <w:rsid w:val="002E3446"/>
    <w:rsid w:val="002E5916"/>
    <w:rsid w:val="002E7367"/>
    <w:rsid w:val="002F08E5"/>
    <w:rsid w:val="002F2A29"/>
    <w:rsid w:val="002F4CCF"/>
    <w:rsid w:val="002F5059"/>
    <w:rsid w:val="002F628C"/>
    <w:rsid w:val="002F6484"/>
    <w:rsid w:val="002F672D"/>
    <w:rsid w:val="002F7771"/>
    <w:rsid w:val="00300462"/>
    <w:rsid w:val="00303593"/>
    <w:rsid w:val="00303C55"/>
    <w:rsid w:val="003046F2"/>
    <w:rsid w:val="00306AD4"/>
    <w:rsid w:val="0030718F"/>
    <w:rsid w:val="00310078"/>
    <w:rsid w:val="0031032F"/>
    <w:rsid w:val="0031103E"/>
    <w:rsid w:val="00311C2D"/>
    <w:rsid w:val="0031408D"/>
    <w:rsid w:val="0031491C"/>
    <w:rsid w:val="00315F48"/>
    <w:rsid w:val="00317030"/>
    <w:rsid w:val="00320D83"/>
    <w:rsid w:val="0032153B"/>
    <w:rsid w:val="00324FCE"/>
    <w:rsid w:val="003259F6"/>
    <w:rsid w:val="00331DBC"/>
    <w:rsid w:val="00333C8F"/>
    <w:rsid w:val="00334373"/>
    <w:rsid w:val="00335A61"/>
    <w:rsid w:val="00336234"/>
    <w:rsid w:val="00337B1A"/>
    <w:rsid w:val="00340303"/>
    <w:rsid w:val="00340E18"/>
    <w:rsid w:val="00342D91"/>
    <w:rsid w:val="003437EE"/>
    <w:rsid w:val="00352A96"/>
    <w:rsid w:val="003533BB"/>
    <w:rsid w:val="00353E5E"/>
    <w:rsid w:val="00354840"/>
    <w:rsid w:val="00355D57"/>
    <w:rsid w:val="00361020"/>
    <w:rsid w:val="00366229"/>
    <w:rsid w:val="00366D91"/>
    <w:rsid w:val="00370B8B"/>
    <w:rsid w:val="003733E4"/>
    <w:rsid w:val="00374D2A"/>
    <w:rsid w:val="00375E12"/>
    <w:rsid w:val="00376459"/>
    <w:rsid w:val="0037664F"/>
    <w:rsid w:val="00376665"/>
    <w:rsid w:val="00376FE6"/>
    <w:rsid w:val="003819A5"/>
    <w:rsid w:val="0038267C"/>
    <w:rsid w:val="00384CB6"/>
    <w:rsid w:val="00385BD5"/>
    <w:rsid w:val="00386D2F"/>
    <w:rsid w:val="00387871"/>
    <w:rsid w:val="00390F88"/>
    <w:rsid w:val="00392E82"/>
    <w:rsid w:val="003944B3"/>
    <w:rsid w:val="00394A95"/>
    <w:rsid w:val="00394E4C"/>
    <w:rsid w:val="00394FED"/>
    <w:rsid w:val="003953F1"/>
    <w:rsid w:val="0039568F"/>
    <w:rsid w:val="00397AA5"/>
    <w:rsid w:val="003A7098"/>
    <w:rsid w:val="003B1221"/>
    <w:rsid w:val="003B1270"/>
    <w:rsid w:val="003B194D"/>
    <w:rsid w:val="003B2780"/>
    <w:rsid w:val="003B421C"/>
    <w:rsid w:val="003B4DC5"/>
    <w:rsid w:val="003B592A"/>
    <w:rsid w:val="003B5F21"/>
    <w:rsid w:val="003B6093"/>
    <w:rsid w:val="003B731C"/>
    <w:rsid w:val="003B74FD"/>
    <w:rsid w:val="003B76F1"/>
    <w:rsid w:val="003B7C66"/>
    <w:rsid w:val="003C181D"/>
    <w:rsid w:val="003C3AB6"/>
    <w:rsid w:val="003C4DE9"/>
    <w:rsid w:val="003C7BD5"/>
    <w:rsid w:val="003C7F99"/>
    <w:rsid w:val="003D0326"/>
    <w:rsid w:val="003D085C"/>
    <w:rsid w:val="003D2371"/>
    <w:rsid w:val="003D26DE"/>
    <w:rsid w:val="003D6408"/>
    <w:rsid w:val="003D676D"/>
    <w:rsid w:val="003E0430"/>
    <w:rsid w:val="003E12CC"/>
    <w:rsid w:val="003E12EB"/>
    <w:rsid w:val="003E2669"/>
    <w:rsid w:val="003E3014"/>
    <w:rsid w:val="003E3D2E"/>
    <w:rsid w:val="003E4FDD"/>
    <w:rsid w:val="003E51E6"/>
    <w:rsid w:val="003E5C6A"/>
    <w:rsid w:val="003F079B"/>
    <w:rsid w:val="003F0917"/>
    <w:rsid w:val="003F23E9"/>
    <w:rsid w:val="003F55F1"/>
    <w:rsid w:val="003F6424"/>
    <w:rsid w:val="004018EF"/>
    <w:rsid w:val="004035DF"/>
    <w:rsid w:val="004049D6"/>
    <w:rsid w:val="00405232"/>
    <w:rsid w:val="0040732E"/>
    <w:rsid w:val="0040792F"/>
    <w:rsid w:val="00407E3E"/>
    <w:rsid w:val="004101CA"/>
    <w:rsid w:val="004106BA"/>
    <w:rsid w:val="00410700"/>
    <w:rsid w:val="00411373"/>
    <w:rsid w:val="0041221E"/>
    <w:rsid w:val="00413707"/>
    <w:rsid w:val="00413B45"/>
    <w:rsid w:val="004159ED"/>
    <w:rsid w:val="004159F2"/>
    <w:rsid w:val="00416CFF"/>
    <w:rsid w:val="004217CD"/>
    <w:rsid w:val="004233EE"/>
    <w:rsid w:val="00423911"/>
    <w:rsid w:val="0043113F"/>
    <w:rsid w:val="00432870"/>
    <w:rsid w:val="0043357B"/>
    <w:rsid w:val="00434EBA"/>
    <w:rsid w:val="00435860"/>
    <w:rsid w:val="00436F91"/>
    <w:rsid w:val="00437BC9"/>
    <w:rsid w:val="00443F97"/>
    <w:rsid w:val="00446B02"/>
    <w:rsid w:val="004501CE"/>
    <w:rsid w:val="00452204"/>
    <w:rsid w:val="00455B67"/>
    <w:rsid w:val="00456D98"/>
    <w:rsid w:val="00457426"/>
    <w:rsid w:val="00461008"/>
    <w:rsid w:val="00462075"/>
    <w:rsid w:val="00462C1E"/>
    <w:rsid w:val="00463C89"/>
    <w:rsid w:val="004648BE"/>
    <w:rsid w:val="00464D89"/>
    <w:rsid w:val="0046591C"/>
    <w:rsid w:val="00466FA6"/>
    <w:rsid w:val="004677BF"/>
    <w:rsid w:val="0046786E"/>
    <w:rsid w:val="004727D3"/>
    <w:rsid w:val="0047361B"/>
    <w:rsid w:val="00473FFA"/>
    <w:rsid w:val="00475393"/>
    <w:rsid w:val="00476074"/>
    <w:rsid w:val="0047792D"/>
    <w:rsid w:val="0048057A"/>
    <w:rsid w:val="00486677"/>
    <w:rsid w:val="00486CF4"/>
    <w:rsid w:val="00490A85"/>
    <w:rsid w:val="00490B90"/>
    <w:rsid w:val="004919F8"/>
    <w:rsid w:val="00495A33"/>
    <w:rsid w:val="004A2F85"/>
    <w:rsid w:val="004A361F"/>
    <w:rsid w:val="004A791A"/>
    <w:rsid w:val="004B2C90"/>
    <w:rsid w:val="004B328A"/>
    <w:rsid w:val="004B3F10"/>
    <w:rsid w:val="004B403F"/>
    <w:rsid w:val="004B5291"/>
    <w:rsid w:val="004B61E9"/>
    <w:rsid w:val="004B7E74"/>
    <w:rsid w:val="004C17DE"/>
    <w:rsid w:val="004C3F06"/>
    <w:rsid w:val="004C5C0D"/>
    <w:rsid w:val="004D0857"/>
    <w:rsid w:val="004D11D9"/>
    <w:rsid w:val="004D3C13"/>
    <w:rsid w:val="004D67E8"/>
    <w:rsid w:val="004E0FFB"/>
    <w:rsid w:val="004E4057"/>
    <w:rsid w:val="004E4679"/>
    <w:rsid w:val="004E51E8"/>
    <w:rsid w:val="004E5759"/>
    <w:rsid w:val="004E5FB2"/>
    <w:rsid w:val="004E6338"/>
    <w:rsid w:val="004E63E6"/>
    <w:rsid w:val="004E7494"/>
    <w:rsid w:val="004F0DF0"/>
    <w:rsid w:val="004F1105"/>
    <w:rsid w:val="004F29B3"/>
    <w:rsid w:val="004F2B81"/>
    <w:rsid w:val="004F4C4F"/>
    <w:rsid w:val="004F6455"/>
    <w:rsid w:val="00501D08"/>
    <w:rsid w:val="00504389"/>
    <w:rsid w:val="00505BB1"/>
    <w:rsid w:val="005068E2"/>
    <w:rsid w:val="00506947"/>
    <w:rsid w:val="00507FB7"/>
    <w:rsid w:val="00511923"/>
    <w:rsid w:val="00512C9C"/>
    <w:rsid w:val="00513565"/>
    <w:rsid w:val="005155B0"/>
    <w:rsid w:val="005158B3"/>
    <w:rsid w:val="00517766"/>
    <w:rsid w:val="00520AF0"/>
    <w:rsid w:val="00521769"/>
    <w:rsid w:val="005226B9"/>
    <w:rsid w:val="00522709"/>
    <w:rsid w:val="00522E2E"/>
    <w:rsid w:val="005328D7"/>
    <w:rsid w:val="005335C2"/>
    <w:rsid w:val="00534389"/>
    <w:rsid w:val="005347B3"/>
    <w:rsid w:val="00534803"/>
    <w:rsid w:val="00537B1D"/>
    <w:rsid w:val="005420C0"/>
    <w:rsid w:val="00544205"/>
    <w:rsid w:val="00545B80"/>
    <w:rsid w:val="00546423"/>
    <w:rsid w:val="00546645"/>
    <w:rsid w:val="005470E8"/>
    <w:rsid w:val="00553CDF"/>
    <w:rsid w:val="00553F87"/>
    <w:rsid w:val="00554131"/>
    <w:rsid w:val="005565C0"/>
    <w:rsid w:val="00556EAA"/>
    <w:rsid w:val="00557319"/>
    <w:rsid w:val="005575FF"/>
    <w:rsid w:val="00561BF8"/>
    <w:rsid w:val="00561FB9"/>
    <w:rsid w:val="0056206A"/>
    <w:rsid w:val="00562EB2"/>
    <w:rsid w:val="005632F8"/>
    <w:rsid w:val="0056434C"/>
    <w:rsid w:val="00565525"/>
    <w:rsid w:val="00566B13"/>
    <w:rsid w:val="00567388"/>
    <w:rsid w:val="00572D61"/>
    <w:rsid w:val="005734B2"/>
    <w:rsid w:val="00573EBF"/>
    <w:rsid w:val="0057484E"/>
    <w:rsid w:val="00576F53"/>
    <w:rsid w:val="0058146E"/>
    <w:rsid w:val="00581F74"/>
    <w:rsid w:val="00582C3D"/>
    <w:rsid w:val="00590792"/>
    <w:rsid w:val="00591288"/>
    <w:rsid w:val="005917FD"/>
    <w:rsid w:val="00591DEF"/>
    <w:rsid w:val="00591E49"/>
    <w:rsid w:val="005920D9"/>
    <w:rsid w:val="005A01CE"/>
    <w:rsid w:val="005A1CED"/>
    <w:rsid w:val="005A24D9"/>
    <w:rsid w:val="005A36E1"/>
    <w:rsid w:val="005A4739"/>
    <w:rsid w:val="005A484F"/>
    <w:rsid w:val="005A4AA1"/>
    <w:rsid w:val="005A4ECD"/>
    <w:rsid w:val="005A55EB"/>
    <w:rsid w:val="005A6FFF"/>
    <w:rsid w:val="005A704D"/>
    <w:rsid w:val="005A7A97"/>
    <w:rsid w:val="005B0719"/>
    <w:rsid w:val="005B0FCF"/>
    <w:rsid w:val="005B1D70"/>
    <w:rsid w:val="005B20A8"/>
    <w:rsid w:val="005B3358"/>
    <w:rsid w:val="005B40D0"/>
    <w:rsid w:val="005B41EB"/>
    <w:rsid w:val="005B5BF9"/>
    <w:rsid w:val="005B683F"/>
    <w:rsid w:val="005C0B09"/>
    <w:rsid w:val="005C0F15"/>
    <w:rsid w:val="005C1864"/>
    <w:rsid w:val="005C2A62"/>
    <w:rsid w:val="005C2C17"/>
    <w:rsid w:val="005C3C13"/>
    <w:rsid w:val="005C4370"/>
    <w:rsid w:val="005C4F2A"/>
    <w:rsid w:val="005C52B9"/>
    <w:rsid w:val="005C57B0"/>
    <w:rsid w:val="005C7B51"/>
    <w:rsid w:val="005C7CC7"/>
    <w:rsid w:val="005D0DD2"/>
    <w:rsid w:val="005D20EA"/>
    <w:rsid w:val="005D2457"/>
    <w:rsid w:val="005D295F"/>
    <w:rsid w:val="005D36B1"/>
    <w:rsid w:val="005D4506"/>
    <w:rsid w:val="005D4706"/>
    <w:rsid w:val="005D5D42"/>
    <w:rsid w:val="005D798C"/>
    <w:rsid w:val="005E1A4C"/>
    <w:rsid w:val="005E286F"/>
    <w:rsid w:val="005E28F9"/>
    <w:rsid w:val="005E3B55"/>
    <w:rsid w:val="005E6898"/>
    <w:rsid w:val="005E7431"/>
    <w:rsid w:val="005F04E1"/>
    <w:rsid w:val="005F0A78"/>
    <w:rsid w:val="005F4744"/>
    <w:rsid w:val="005F4DA0"/>
    <w:rsid w:val="005F5228"/>
    <w:rsid w:val="005F6D15"/>
    <w:rsid w:val="005F77AE"/>
    <w:rsid w:val="0060011C"/>
    <w:rsid w:val="0060078E"/>
    <w:rsid w:val="00601334"/>
    <w:rsid w:val="00601814"/>
    <w:rsid w:val="0060203E"/>
    <w:rsid w:val="00602846"/>
    <w:rsid w:val="00603F77"/>
    <w:rsid w:val="0060495A"/>
    <w:rsid w:val="006076D3"/>
    <w:rsid w:val="00610942"/>
    <w:rsid w:val="00611047"/>
    <w:rsid w:val="00611162"/>
    <w:rsid w:val="00612396"/>
    <w:rsid w:val="006147EB"/>
    <w:rsid w:val="00614D92"/>
    <w:rsid w:val="006161C3"/>
    <w:rsid w:val="00616A44"/>
    <w:rsid w:val="006200EB"/>
    <w:rsid w:val="00620EB3"/>
    <w:rsid w:val="00621AFF"/>
    <w:rsid w:val="00621EA3"/>
    <w:rsid w:val="00622C8F"/>
    <w:rsid w:val="00624324"/>
    <w:rsid w:val="0063280F"/>
    <w:rsid w:val="00634E7C"/>
    <w:rsid w:val="00637E2F"/>
    <w:rsid w:val="00640234"/>
    <w:rsid w:val="0064234D"/>
    <w:rsid w:val="00643074"/>
    <w:rsid w:val="0064343A"/>
    <w:rsid w:val="00656325"/>
    <w:rsid w:val="006577F4"/>
    <w:rsid w:val="00657A71"/>
    <w:rsid w:val="00665FB6"/>
    <w:rsid w:val="00670545"/>
    <w:rsid w:val="00671420"/>
    <w:rsid w:val="00671C17"/>
    <w:rsid w:val="00673D63"/>
    <w:rsid w:val="0067595F"/>
    <w:rsid w:val="00681ED4"/>
    <w:rsid w:val="00683D9D"/>
    <w:rsid w:val="00687835"/>
    <w:rsid w:val="00693081"/>
    <w:rsid w:val="0069317A"/>
    <w:rsid w:val="006945AB"/>
    <w:rsid w:val="00696F0A"/>
    <w:rsid w:val="00697771"/>
    <w:rsid w:val="006A008F"/>
    <w:rsid w:val="006A4D54"/>
    <w:rsid w:val="006A5AA6"/>
    <w:rsid w:val="006A7D1A"/>
    <w:rsid w:val="006B0A92"/>
    <w:rsid w:val="006B1BFD"/>
    <w:rsid w:val="006B27F7"/>
    <w:rsid w:val="006B5758"/>
    <w:rsid w:val="006B6301"/>
    <w:rsid w:val="006C3421"/>
    <w:rsid w:val="006C55DC"/>
    <w:rsid w:val="006C5B5A"/>
    <w:rsid w:val="006C5F8B"/>
    <w:rsid w:val="006D013B"/>
    <w:rsid w:val="006D04BB"/>
    <w:rsid w:val="006D0673"/>
    <w:rsid w:val="006E170D"/>
    <w:rsid w:val="006E2D02"/>
    <w:rsid w:val="006E4285"/>
    <w:rsid w:val="006E430D"/>
    <w:rsid w:val="006E511C"/>
    <w:rsid w:val="006E5D03"/>
    <w:rsid w:val="006E661B"/>
    <w:rsid w:val="006E698B"/>
    <w:rsid w:val="006E6ACB"/>
    <w:rsid w:val="006F1BD2"/>
    <w:rsid w:val="006F1D87"/>
    <w:rsid w:val="006F28A4"/>
    <w:rsid w:val="006F3A33"/>
    <w:rsid w:val="006F4D62"/>
    <w:rsid w:val="00701EEC"/>
    <w:rsid w:val="00702935"/>
    <w:rsid w:val="007037F7"/>
    <w:rsid w:val="00704A46"/>
    <w:rsid w:val="00706316"/>
    <w:rsid w:val="00710191"/>
    <w:rsid w:val="007104E3"/>
    <w:rsid w:val="00711BAF"/>
    <w:rsid w:val="007131FA"/>
    <w:rsid w:val="0071548B"/>
    <w:rsid w:val="00716CB1"/>
    <w:rsid w:val="007203E4"/>
    <w:rsid w:val="007204A9"/>
    <w:rsid w:val="00720D16"/>
    <w:rsid w:val="0072315A"/>
    <w:rsid w:val="00727220"/>
    <w:rsid w:val="0073167B"/>
    <w:rsid w:val="00731C1C"/>
    <w:rsid w:val="00732FAD"/>
    <w:rsid w:val="007346E3"/>
    <w:rsid w:val="007362FC"/>
    <w:rsid w:val="00743202"/>
    <w:rsid w:val="00744FEC"/>
    <w:rsid w:val="0074596E"/>
    <w:rsid w:val="007469FB"/>
    <w:rsid w:val="00747515"/>
    <w:rsid w:val="007476F1"/>
    <w:rsid w:val="0074E2A2"/>
    <w:rsid w:val="00750347"/>
    <w:rsid w:val="0075089E"/>
    <w:rsid w:val="00750DF4"/>
    <w:rsid w:val="00752A48"/>
    <w:rsid w:val="00752AD6"/>
    <w:rsid w:val="007550AB"/>
    <w:rsid w:val="00756929"/>
    <w:rsid w:val="00756980"/>
    <w:rsid w:val="007569D9"/>
    <w:rsid w:val="00757090"/>
    <w:rsid w:val="007574F6"/>
    <w:rsid w:val="00760B7D"/>
    <w:rsid w:val="007621F5"/>
    <w:rsid w:val="007626A0"/>
    <w:rsid w:val="00767DBB"/>
    <w:rsid w:val="00771F4F"/>
    <w:rsid w:val="007720AF"/>
    <w:rsid w:val="0077229E"/>
    <w:rsid w:val="007734B0"/>
    <w:rsid w:val="007738C8"/>
    <w:rsid w:val="00773F89"/>
    <w:rsid w:val="00774457"/>
    <w:rsid w:val="00774646"/>
    <w:rsid w:val="00776F50"/>
    <w:rsid w:val="00780DE6"/>
    <w:rsid w:val="00781695"/>
    <w:rsid w:val="007821EC"/>
    <w:rsid w:val="007856EF"/>
    <w:rsid w:val="0078731E"/>
    <w:rsid w:val="0079026F"/>
    <w:rsid w:val="0079032F"/>
    <w:rsid w:val="00790474"/>
    <w:rsid w:val="00791532"/>
    <w:rsid w:val="00791EE2"/>
    <w:rsid w:val="0079431E"/>
    <w:rsid w:val="00794D8C"/>
    <w:rsid w:val="007957D4"/>
    <w:rsid w:val="00795E1E"/>
    <w:rsid w:val="00797880"/>
    <w:rsid w:val="00797EF4"/>
    <w:rsid w:val="007A0293"/>
    <w:rsid w:val="007A02A7"/>
    <w:rsid w:val="007A405A"/>
    <w:rsid w:val="007A57E3"/>
    <w:rsid w:val="007A7EA8"/>
    <w:rsid w:val="007B03A7"/>
    <w:rsid w:val="007B0CB3"/>
    <w:rsid w:val="007B1A8D"/>
    <w:rsid w:val="007B2C3D"/>
    <w:rsid w:val="007B40F7"/>
    <w:rsid w:val="007B463A"/>
    <w:rsid w:val="007B639F"/>
    <w:rsid w:val="007B67B8"/>
    <w:rsid w:val="007B7DF0"/>
    <w:rsid w:val="007C002E"/>
    <w:rsid w:val="007C0935"/>
    <w:rsid w:val="007C2FAE"/>
    <w:rsid w:val="007C4C94"/>
    <w:rsid w:val="007C51BE"/>
    <w:rsid w:val="007C6CA5"/>
    <w:rsid w:val="007D0DAD"/>
    <w:rsid w:val="007D185B"/>
    <w:rsid w:val="007D1A17"/>
    <w:rsid w:val="007D2ADE"/>
    <w:rsid w:val="007D3588"/>
    <w:rsid w:val="007D3C40"/>
    <w:rsid w:val="007D44F3"/>
    <w:rsid w:val="007D61B5"/>
    <w:rsid w:val="007D6A3D"/>
    <w:rsid w:val="007E2E8E"/>
    <w:rsid w:val="007E3626"/>
    <w:rsid w:val="007E4ECA"/>
    <w:rsid w:val="007E6917"/>
    <w:rsid w:val="007F2590"/>
    <w:rsid w:val="007F47DC"/>
    <w:rsid w:val="007F4E93"/>
    <w:rsid w:val="007F6B48"/>
    <w:rsid w:val="007F6F5D"/>
    <w:rsid w:val="007F7D6D"/>
    <w:rsid w:val="00800408"/>
    <w:rsid w:val="00800B13"/>
    <w:rsid w:val="0080145F"/>
    <w:rsid w:val="008046D4"/>
    <w:rsid w:val="00805304"/>
    <w:rsid w:val="008110E0"/>
    <w:rsid w:val="00814781"/>
    <w:rsid w:val="00815583"/>
    <w:rsid w:val="00815714"/>
    <w:rsid w:val="0081580B"/>
    <w:rsid w:val="00816160"/>
    <w:rsid w:val="0082132D"/>
    <w:rsid w:val="0082466B"/>
    <w:rsid w:val="00825024"/>
    <w:rsid w:val="00826C51"/>
    <w:rsid w:val="008278A1"/>
    <w:rsid w:val="00830527"/>
    <w:rsid w:val="00832A35"/>
    <w:rsid w:val="00833792"/>
    <w:rsid w:val="0083540C"/>
    <w:rsid w:val="008421DE"/>
    <w:rsid w:val="00843F55"/>
    <w:rsid w:val="008450E5"/>
    <w:rsid w:val="0084574D"/>
    <w:rsid w:val="008474D9"/>
    <w:rsid w:val="00850A1D"/>
    <w:rsid w:val="00852D27"/>
    <w:rsid w:val="00852F35"/>
    <w:rsid w:val="008550B7"/>
    <w:rsid w:val="00855EAC"/>
    <w:rsid w:val="00856745"/>
    <w:rsid w:val="008569EF"/>
    <w:rsid w:val="00856DBC"/>
    <w:rsid w:val="00857363"/>
    <w:rsid w:val="00860B39"/>
    <w:rsid w:val="00861392"/>
    <w:rsid w:val="00862517"/>
    <w:rsid w:val="00862C67"/>
    <w:rsid w:val="00862C8F"/>
    <w:rsid w:val="00866C0C"/>
    <w:rsid w:val="00870D7C"/>
    <w:rsid w:val="00870E0B"/>
    <w:rsid w:val="008720E3"/>
    <w:rsid w:val="00872281"/>
    <w:rsid w:val="00872727"/>
    <w:rsid w:val="0087308B"/>
    <w:rsid w:val="00874668"/>
    <w:rsid w:val="0087589A"/>
    <w:rsid w:val="0087668E"/>
    <w:rsid w:val="00877ED4"/>
    <w:rsid w:val="00880485"/>
    <w:rsid w:val="008818DC"/>
    <w:rsid w:val="0088283D"/>
    <w:rsid w:val="00883248"/>
    <w:rsid w:val="00885891"/>
    <w:rsid w:val="00887479"/>
    <w:rsid w:val="00890683"/>
    <w:rsid w:val="00891504"/>
    <w:rsid w:val="00892E37"/>
    <w:rsid w:val="008963D0"/>
    <w:rsid w:val="00896EAC"/>
    <w:rsid w:val="00897218"/>
    <w:rsid w:val="0089781E"/>
    <w:rsid w:val="00897908"/>
    <w:rsid w:val="008A0614"/>
    <w:rsid w:val="008A17DE"/>
    <w:rsid w:val="008A29AD"/>
    <w:rsid w:val="008A41FA"/>
    <w:rsid w:val="008A6532"/>
    <w:rsid w:val="008A7CCF"/>
    <w:rsid w:val="008B0591"/>
    <w:rsid w:val="008B3EFF"/>
    <w:rsid w:val="008B3FD3"/>
    <w:rsid w:val="008B44F5"/>
    <w:rsid w:val="008B581E"/>
    <w:rsid w:val="008C0970"/>
    <w:rsid w:val="008C19A5"/>
    <w:rsid w:val="008C30B9"/>
    <w:rsid w:val="008C3708"/>
    <w:rsid w:val="008C4086"/>
    <w:rsid w:val="008C45A5"/>
    <w:rsid w:val="008C47A1"/>
    <w:rsid w:val="008C738F"/>
    <w:rsid w:val="008D30EA"/>
    <w:rsid w:val="008D31ED"/>
    <w:rsid w:val="008D414F"/>
    <w:rsid w:val="008D6B9E"/>
    <w:rsid w:val="008D7948"/>
    <w:rsid w:val="008E0490"/>
    <w:rsid w:val="008E0493"/>
    <w:rsid w:val="008E1024"/>
    <w:rsid w:val="008E25FD"/>
    <w:rsid w:val="008E2AED"/>
    <w:rsid w:val="008E3E64"/>
    <w:rsid w:val="008E5736"/>
    <w:rsid w:val="008E62EB"/>
    <w:rsid w:val="008F03C3"/>
    <w:rsid w:val="008F39E6"/>
    <w:rsid w:val="008F3AB3"/>
    <w:rsid w:val="008F5FA1"/>
    <w:rsid w:val="008F7510"/>
    <w:rsid w:val="00904A6E"/>
    <w:rsid w:val="009074AF"/>
    <w:rsid w:val="0091230C"/>
    <w:rsid w:val="00912C03"/>
    <w:rsid w:val="00913ED0"/>
    <w:rsid w:val="00913ED3"/>
    <w:rsid w:val="0091690E"/>
    <w:rsid w:val="009204F8"/>
    <w:rsid w:val="00920A3A"/>
    <w:rsid w:val="009230F4"/>
    <w:rsid w:val="0092362D"/>
    <w:rsid w:val="009240C8"/>
    <w:rsid w:val="00924548"/>
    <w:rsid w:val="00927650"/>
    <w:rsid w:val="009315AB"/>
    <w:rsid w:val="0093166A"/>
    <w:rsid w:val="00931E8C"/>
    <w:rsid w:val="009341CB"/>
    <w:rsid w:val="009345C2"/>
    <w:rsid w:val="00936EC2"/>
    <w:rsid w:val="009370EB"/>
    <w:rsid w:val="00940DF9"/>
    <w:rsid w:val="00941004"/>
    <w:rsid w:val="00942CB6"/>
    <w:rsid w:val="00942CE9"/>
    <w:rsid w:val="009437C6"/>
    <w:rsid w:val="00944DF9"/>
    <w:rsid w:val="00950E10"/>
    <w:rsid w:val="009525F3"/>
    <w:rsid w:val="00952A9F"/>
    <w:rsid w:val="00952EF0"/>
    <w:rsid w:val="00953CDB"/>
    <w:rsid w:val="00954FF2"/>
    <w:rsid w:val="009561CC"/>
    <w:rsid w:val="00956DB1"/>
    <w:rsid w:val="009579C5"/>
    <w:rsid w:val="00961075"/>
    <w:rsid w:val="00961273"/>
    <w:rsid w:val="009615D2"/>
    <w:rsid w:val="009616C7"/>
    <w:rsid w:val="00962792"/>
    <w:rsid w:val="00962D5F"/>
    <w:rsid w:val="00962EE8"/>
    <w:rsid w:val="00963027"/>
    <w:rsid w:val="00964812"/>
    <w:rsid w:val="00965248"/>
    <w:rsid w:val="00967189"/>
    <w:rsid w:val="00967452"/>
    <w:rsid w:val="00967B2D"/>
    <w:rsid w:val="00967BC2"/>
    <w:rsid w:val="009704CD"/>
    <w:rsid w:val="00971932"/>
    <w:rsid w:val="00971EB4"/>
    <w:rsid w:val="009727D9"/>
    <w:rsid w:val="00972F4D"/>
    <w:rsid w:val="0097312F"/>
    <w:rsid w:val="00975318"/>
    <w:rsid w:val="00976978"/>
    <w:rsid w:val="00976EE9"/>
    <w:rsid w:val="00977EAA"/>
    <w:rsid w:val="00984376"/>
    <w:rsid w:val="00986FA5"/>
    <w:rsid w:val="00990FFC"/>
    <w:rsid w:val="009910E7"/>
    <w:rsid w:val="00993527"/>
    <w:rsid w:val="0099536D"/>
    <w:rsid w:val="00995541"/>
    <w:rsid w:val="00996F4B"/>
    <w:rsid w:val="00997029"/>
    <w:rsid w:val="009A15DE"/>
    <w:rsid w:val="009A38B7"/>
    <w:rsid w:val="009A3AC8"/>
    <w:rsid w:val="009A6D9C"/>
    <w:rsid w:val="009B01C6"/>
    <w:rsid w:val="009B1BB2"/>
    <w:rsid w:val="009B285C"/>
    <w:rsid w:val="009B2C48"/>
    <w:rsid w:val="009B3B37"/>
    <w:rsid w:val="009B42BD"/>
    <w:rsid w:val="009C115D"/>
    <w:rsid w:val="009C2ADB"/>
    <w:rsid w:val="009C4935"/>
    <w:rsid w:val="009C4E77"/>
    <w:rsid w:val="009C60F6"/>
    <w:rsid w:val="009C60F9"/>
    <w:rsid w:val="009C6AB5"/>
    <w:rsid w:val="009C6D4F"/>
    <w:rsid w:val="009C7E68"/>
    <w:rsid w:val="009C7EF7"/>
    <w:rsid w:val="009D0060"/>
    <w:rsid w:val="009D1C18"/>
    <w:rsid w:val="009D24D8"/>
    <w:rsid w:val="009D2694"/>
    <w:rsid w:val="009D2DBC"/>
    <w:rsid w:val="009D3710"/>
    <w:rsid w:val="009D4A86"/>
    <w:rsid w:val="009E5892"/>
    <w:rsid w:val="009E77C8"/>
    <w:rsid w:val="009F00DA"/>
    <w:rsid w:val="009F0889"/>
    <w:rsid w:val="009F12D1"/>
    <w:rsid w:val="009F143F"/>
    <w:rsid w:val="009F2052"/>
    <w:rsid w:val="009F269B"/>
    <w:rsid w:val="009F38B3"/>
    <w:rsid w:val="009F53B7"/>
    <w:rsid w:val="009F5413"/>
    <w:rsid w:val="009F54FB"/>
    <w:rsid w:val="009F6A0F"/>
    <w:rsid w:val="00A008E6"/>
    <w:rsid w:val="00A0346D"/>
    <w:rsid w:val="00A05D33"/>
    <w:rsid w:val="00A07EB1"/>
    <w:rsid w:val="00A11BFE"/>
    <w:rsid w:val="00A12C83"/>
    <w:rsid w:val="00A15AF2"/>
    <w:rsid w:val="00A15ECD"/>
    <w:rsid w:val="00A1735E"/>
    <w:rsid w:val="00A1760D"/>
    <w:rsid w:val="00A208DF"/>
    <w:rsid w:val="00A21521"/>
    <w:rsid w:val="00A220AF"/>
    <w:rsid w:val="00A22D54"/>
    <w:rsid w:val="00A2309E"/>
    <w:rsid w:val="00A23F5A"/>
    <w:rsid w:val="00A241DA"/>
    <w:rsid w:val="00A24299"/>
    <w:rsid w:val="00A260A7"/>
    <w:rsid w:val="00A26871"/>
    <w:rsid w:val="00A30CE2"/>
    <w:rsid w:val="00A31EA8"/>
    <w:rsid w:val="00A3422F"/>
    <w:rsid w:val="00A34FA6"/>
    <w:rsid w:val="00A352DE"/>
    <w:rsid w:val="00A36FF7"/>
    <w:rsid w:val="00A40B5C"/>
    <w:rsid w:val="00A4149E"/>
    <w:rsid w:val="00A421E3"/>
    <w:rsid w:val="00A422E7"/>
    <w:rsid w:val="00A45279"/>
    <w:rsid w:val="00A4539E"/>
    <w:rsid w:val="00A45C92"/>
    <w:rsid w:val="00A47148"/>
    <w:rsid w:val="00A50B8F"/>
    <w:rsid w:val="00A50B92"/>
    <w:rsid w:val="00A5137C"/>
    <w:rsid w:val="00A515FD"/>
    <w:rsid w:val="00A55238"/>
    <w:rsid w:val="00A5579A"/>
    <w:rsid w:val="00A62EF3"/>
    <w:rsid w:val="00A6422F"/>
    <w:rsid w:val="00A65775"/>
    <w:rsid w:val="00A6703F"/>
    <w:rsid w:val="00A674FF"/>
    <w:rsid w:val="00A710B9"/>
    <w:rsid w:val="00A71190"/>
    <w:rsid w:val="00A71A15"/>
    <w:rsid w:val="00A74135"/>
    <w:rsid w:val="00A74878"/>
    <w:rsid w:val="00A74C27"/>
    <w:rsid w:val="00A759D3"/>
    <w:rsid w:val="00A75A5C"/>
    <w:rsid w:val="00A77BA1"/>
    <w:rsid w:val="00A77F7A"/>
    <w:rsid w:val="00A80412"/>
    <w:rsid w:val="00A8051E"/>
    <w:rsid w:val="00A81170"/>
    <w:rsid w:val="00A84E32"/>
    <w:rsid w:val="00A8652B"/>
    <w:rsid w:val="00A87FEB"/>
    <w:rsid w:val="00A918A7"/>
    <w:rsid w:val="00A9589C"/>
    <w:rsid w:val="00A97A72"/>
    <w:rsid w:val="00AA12EC"/>
    <w:rsid w:val="00AA3B3B"/>
    <w:rsid w:val="00AA662E"/>
    <w:rsid w:val="00AA705F"/>
    <w:rsid w:val="00AB0931"/>
    <w:rsid w:val="00AB13C6"/>
    <w:rsid w:val="00AB304C"/>
    <w:rsid w:val="00AB3243"/>
    <w:rsid w:val="00AB5A95"/>
    <w:rsid w:val="00AB619F"/>
    <w:rsid w:val="00AB764A"/>
    <w:rsid w:val="00AC1352"/>
    <w:rsid w:val="00AC1FEB"/>
    <w:rsid w:val="00AC2CDC"/>
    <w:rsid w:val="00AC5386"/>
    <w:rsid w:val="00AC6BF8"/>
    <w:rsid w:val="00AD44B5"/>
    <w:rsid w:val="00AD7805"/>
    <w:rsid w:val="00AE0368"/>
    <w:rsid w:val="00AE055F"/>
    <w:rsid w:val="00AE08F1"/>
    <w:rsid w:val="00AE0A6C"/>
    <w:rsid w:val="00AE562D"/>
    <w:rsid w:val="00AE5FCD"/>
    <w:rsid w:val="00AF0D18"/>
    <w:rsid w:val="00AF295B"/>
    <w:rsid w:val="00AF2B54"/>
    <w:rsid w:val="00AF3016"/>
    <w:rsid w:val="00AF30DA"/>
    <w:rsid w:val="00AF3683"/>
    <w:rsid w:val="00AF5DE3"/>
    <w:rsid w:val="00AF703E"/>
    <w:rsid w:val="00B004A7"/>
    <w:rsid w:val="00B02323"/>
    <w:rsid w:val="00B04611"/>
    <w:rsid w:val="00B04E40"/>
    <w:rsid w:val="00B0527B"/>
    <w:rsid w:val="00B053AB"/>
    <w:rsid w:val="00B05C0E"/>
    <w:rsid w:val="00B07B5B"/>
    <w:rsid w:val="00B11C16"/>
    <w:rsid w:val="00B12691"/>
    <w:rsid w:val="00B12C13"/>
    <w:rsid w:val="00B133DD"/>
    <w:rsid w:val="00B13446"/>
    <w:rsid w:val="00B1560A"/>
    <w:rsid w:val="00B1686C"/>
    <w:rsid w:val="00B17579"/>
    <w:rsid w:val="00B17D9B"/>
    <w:rsid w:val="00B201B8"/>
    <w:rsid w:val="00B210C3"/>
    <w:rsid w:val="00B21164"/>
    <w:rsid w:val="00B23DB8"/>
    <w:rsid w:val="00B243F0"/>
    <w:rsid w:val="00B244B8"/>
    <w:rsid w:val="00B2690D"/>
    <w:rsid w:val="00B30434"/>
    <w:rsid w:val="00B31736"/>
    <w:rsid w:val="00B3741D"/>
    <w:rsid w:val="00B413C5"/>
    <w:rsid w:val="00B42D53"/>
    <w:rsid w:val="00B44480"/>
    <w:rsid w:val="00B46172"/>
    <w:rsid w:val="00B46D1A"/>
    <w:rsid w:val="00B47797"/>
    <w:rsid w:val="00B52B6E"/>
    <w:rsid w:val="00B541C3"/>
    <w:rsid w:val="00B555D3"/>
    <w:rsid w:val="00B56736"/>
    <w:rsid w:val="00B60475"/>
    <w:rsid w:val="00B60D2A"/>
    <w:rsid w:val="00B6120A"/>
    <w:rsid w:val="00B63C0A"/>
    <w:rsid w:val="00B63D15"/>
    <w:rsid w:val="00B6596F"/>
    <w:rsid w:val="00B65B35"/>
    <w:rsid w:val="00B666E6"/>
    <w:rsid w:val="00B67BAE"/>
    <w:rsid w:val="00B704E3"/>
    <w:rsid w:val="00B70D12"/>
    <w:rsid w:val="00B76840"/>
    <w:rsid w:val="00B7686A"/>
    <w:rsid w:val="00B810F5"/>
    <w:rsid w:val="00B8226C"/>
    <w:rsid w:val="00B835B3"/>
    <w:rsid w:val="00B842AC"/>
    <w:rsid w:val="00B847B1"/>
    <w:rsid w:val="00B859C1"/>
    <w:rsid w:val="00B863AF"/>
    <w:rsid w:val="00B90C7A"/>
    <w:rsid w:val="00B95A7D"/>
    <w:rsid w:val="00B95F07"/>
    <w:rsid w:val="00BA6A68"/>
    <w:rsid w:val="00BA7163"/>
    <w:rsid w:val="00BA76FD"/>
    <w:rsid w:val="00BB02C1"/>
    <w:rsid w:val="00BB1526"/>
    <w:rsid w:val="00BB1F68"/>
    <w:rsid w:val="00BB4B8C"/>
    <w:rsid w:val="00BC323E"/>
    <w:rsid w:val="00BC481C"/>
    <w:rsid w:val="00BC5D33"/>
    <w:rsid w:val="00BC6536"/>
    <w:rsid w:val="00BD171D"/>
    <w:rsid w:val="00BD2691"/>
    <w:rsid w:val="00BD3031"/>
    <w:rsid w:val="00BD33EC"/>
    <w:rsid w:val="00BD384D"/>
    <w:rsid w:val="00BD395D"/>
    <w:rsid w:val="00BD57F5"/>
    <w:rsid w:val="00BD58CA"/>
    <w:rsid w:val="00BD7164"/>
    <w:rsid w:val="00BD71C6"/>
    <w:rsid w:val="00BE3BBD"/>
    <w:rsid w:val="00BE48A4"/>
    <w:rsid w:val="00BE56F0"/>
    <w:rsid w:val="00BE579B"/>
    <w:rsid w:val="00BE70B4"/>
    <w:rsid w:val="00BF0E76"/>
    <w:rsid w:val="00BF48FE"/>
    <w:rsid w:val="00C1273D"/>
    <w:rsid w:val="00C12D35"/>
    <w:rsid w:val="00C162E9"/>
    <w:rsid w:val="00C16B4E"/>
    <w:rsid w:val="00C17614"/>
    <w:rsid w:val="00C2056F"/>
    <w:rsid w:val="00C210FE"/>
    <w:rsid w:val="00C21485"/>
    <w:rsid w:val="00C2351A"/>
    <w:rsid w:val="00C23EF1"/>
    <w:rsid w:val="00C243DF"/>
    <w:rsid w:val="00C30B5A"/>
    <w:rsid w:val="00C31982"/>
    <w:rsid w:val="00C329AC"/>
    <w:rsid w:val="00C34F35"/>
    <w:rsid w:val="00C35478"/>
    <w:rsid w:val="00C35B61"/>
    <w:rsid w:val="00C40528"/>
    <w:rsid w:val="00C40B4A"/>
    <w:rsid w:val="00C43EAA"/>
    <w:rsid w:val="00C4543F"/>
    <w:rsid w:val="00C469E1"/>
    <w:rsid w:val="00C47620"/>
    <w:rsid w:val="00C50AD3"/>
    <w:rsid w:val="00C5202D"/>
    <w:rsid w:val="00C5293A"/>
    <w:rsid w:val="00C535FB"/>
    <w:rsid w:val="00C53B50"/>
    <w:rsid w:val="00C5448A"/>
    <w:rsid w:val="00C54E7F"/>
    <w:rsid w:val="00C55ECF"/>
    <w:rsid w:val="00C61D02"/>
    <w:rsid w:val="00C61D53"/>
    <w:rsid w:val="00C6312D"/>
    <w:rsid w:val="00C64762"/>
    <w:rsid w:val="00C64956"/>
    <w:rsid w:val="00C6609A"/>
    <w:rsid w:val="00C67829"/>
    <w:rsid w:val="00C70947"/>
    <w:rsid w:val="00C71488"/>
    <w:rsid w:val="00C715E8"/>
    <w:rsid w:val="00C715FA"/>
    <w:rsid w:val="00C734F4"/>
    <w:rsid w:val="00C7429D"/>
    <w:rsid w:val="00C746BE"/>
    <w:rsid w:val="00C74BEA"/>
    <w:rsid w:val="00C759A6"/>
    <w:rsid w:val="00C75F39"/>
    <w:rsid w:val="00C76B32"/>
    <w:rsid w:val="00C77412"/>
    <w:rsid w:val="00C8549D"/>
    <w:rsid w:val="00C867EC"/>
    <w:rsid w:val="00C86A80"/>
    <w:rsid w:val="00C86F69"/>
    <w:rsid w:val="00C87349"/>
    <w:rsid w:val="00C916D9"/>
    <w:rsid w:val="00C9257E"/>
    <w:rsid w:val="00C94441"/>
    <w:rsid w:val="00C9461F"/>
    <w:rsid w:val="00C946BC"/>
    <w:rsid w:val="00C949BC"/>
    <w:rsid w:val="00C952FB"/>
    <w:rsid w:val="00C9536E"/>
    <w:rsid w:val="00C9552A"/>
    <w:rsid w:val="00CA02B3"/>
    <w:rsid w:val="00CA0632"/>
    <w:rsid w:val="00CA1B88"/>
    <w:rsid w:val="00CA1ED6"/>
    <w:rsid w:val="00CA5100"/>
    <w:rsid w:val="00CA6573"/>
    <w:rsid w:val="00CA69A0"/>
    <w:rsid w:val="00CA768B"/>
    <w:rsid w:val="00CA7B55"/>
    <w:rsid w:val="00CB21E6"/>
    <w:rsid w:val="00CB4520"/>
    <w:rsid w:val="00CB6DE8"/>
    <w:rsid w:val="00CB76DC"/>
    <w:rsid w:val="00CC0892"/>
    <w:rsid w:val="00CC0A97"/>
    <w:rsid w:val="00CC0C1A"/>
    <w:rsid w:val="00CC186E"/>
    <w:rsid w:val="00CC1E65"/>
    <w:rsid w:val="00CC361B"/>
    <w:rsid w:val="00CC435E"/>
    <w:rsid w:val="00CC5987"/>
    <w:rsid w:val="00CC6110"/>
    <w:rsid w:val="00CC687B"/>
    <w:rsid w:val="00CC722A"/>
    <w:rsid w:val="00CD2896"/>
    <w:rsid w:val="00CD31C0"/>
    <w:rsid w:val="00CD48E0"/>
    <w:rsid w:val="00CD4AAC"/>
    <w:rsid w:val="00CD531B"/>
    <w:rsid w:val="00CD599D"/>
    <w:rsid w:val="00CE0679"/>
    <w:rsid w:val="00CE0736"/>
    <w:rsid w:val="00CE1D1F"/>
    <w:rsid w:val="00CE36B3"/>
    <w:rsid w:val="00CE712B"/>
    <w:rsid w:val="00CF3104"/>
    <w:rsid w:val="00CF4E68"/>
    <w:rsid w:val="00CF4F61"/>
    <w:rsid w:val="00CF75FF"/>
    <w:rsid w:val="00D00812"/>
    <w:rsid w:val="00D01A23"/>
    <w:rsid w:val="00D02B01"/>
    <w:rsid w:val="00D03052"/>
    <w:rsid w:val="00D03799"/>
    <w:rsid w:val="00D04B61"/>
    <w:rsid w:val="00D04E61"/>
    <w:rsid w:val="00D062A2"/>
    <w:rsid w:val="00D06E3F"/>
    <w:rsid w:val="00D079EE"/>
    <w:rsid w:val="00D10635"/>
    <w:rsid w:val="00D13CF9"/>
    <w:rsid w:val="00D14134"/>
    <w:rsid w:val="00D14DF1"/>
    <w:rsid w:val="00D14EE5"/>
    <w:rsid w:val="00D21022"/>
    <w:rsid w:val="00D2142B"/>
    <w:rsid w:val="00D215E9"/>
    <w:rsid w:val="00D21E4E"/>
    <w:rsid w:val="00D22076"/>
    <w:rsid w:val="00D247CD"/>
    <w:rsid w:val="00D25744"/>
    <w:rsid w:val="00D27902"/>
    <w:rsid w:val="00D3054D"/>
    <w:rsid w:val="00D317DA"/>
    <w:rsid w:val="00D327B0"/>
    <w:rsid w:val="00D33895"/>
    <w:rsid w:val="00D34FF6"/>
    <w:rsid w:val="00D36709"/>
    <w:rsid w:val="00D368EB"/>
    <w:rsid w:val="00D40FF4"/>
    <w:rsid w:val="00D41F8A"/>
    <w:rsid w:val="00D44FC7"/>
    <w:rsid w:val="00D478B2"/>
    <w:rsid w:val="00D500C1"/>
    <w:rsid w:val="00D50C25"/>
    <w:rsid w:val="00D51E9E"/>
    <w:rsid w:val="00D525B8"/>
    <w:rsid w:val="00D539D1"/>
    <w:rsid w:val="00D54845"/>
    <w:rsid w:val="00D55354"/>
    <w:rsid w:val="00D55CBC"/>
    <w:rsid w:val="00D60426"/>
    <w:rsid w:val="00D60879"/>
    <w:rsid w:val="00D6122B"/>
    <w:rsid w:val="00D62039"/>
    <w:rsid w:val="00D62DB8"/>
    <w:rsid w:val="00D63310"/>
    <w:rsid w:val="00D647DA"/>
    <w:rsid w:val="00D648A4"/>
    <w:rsid w:val="00D65043"/>
    <w:rsid w:val="00D668FE"/>
    <w:rsid w:val="00D66DD5"/>
    <w:rsid w:val="00D67DCC"/>
    <w:rsid w:val="00D7034E"/>
    <w:rsid w:val="00D71592"/>
    <w:rsid w:val="00D71B15"/>
    <w:rsid w:val="00D71BCA"/>
    <w:rsid w:val="00D72FAF"/>
    <w:rsid w:val="00D7413F"/>
    <w:rsid w:val="00D7432D"/>
    <w:rsid w:val="00D76EFD"/>
    <w:rsid w:val="00D806D7"/>
    <w:rsid w:val="00D809C6"/>
    <w:rsid w:val="00D82A70"/>
    <w:rsid w:val="00D83085"/>
    <w:rsid w:val="00D83264"/>
    <w:rsid w:val="00D83853"/>
    <w:rsid w:val="00D84D26"/>
    <w:rsid w:val="00D91F53"/>
    <w:rsid w:val="00D93991"/>
    <w:rsid w:val="00D979B1"/>
    <w:rsid w:val="00DA18A2"/>
    <w:rsid w:val="00DA3029"/>
    <w:rsid w:val="00DA4858"/>
    <w:rsid w:val="00DA4EB3"/>
    <w:rsid w:val="00DB0A8B"/>
    <w:rsid w:val="00DB2F1A"/>
    <w:rsid w:val="00DB30A3"/>
    <w:rsid w:val="00DB4D1F"/>
    <w:rsid w:val="00DB5695"/>
    <w:rsid w:val="00DB5A93"/>
    <w:rsid w:val="00DB5AA4"/>
    <w:rsid w:val="00DB5B33"/>
    <w:rsid w:val="00DB6704"/>
    <w:rsid w:val="00DC137B"/>
    <w:rsid w:val="00DC17A7"/>
    <w:rsid w:val="00DC1DDD"/>
    <w:rsid w:val="00DC3521"/>
    <w:rsid w:val="00DC4012"/>
    <w:rsid w:val="00DC4736"/>
    <w:rsid w:val="00DC4BFD"/>
    <w:rsid w:val="00DC4D96"/>
    <w:rsid w:val="00DC74A5"/>
    <w:rsid w:val="00DC7C57"/>
    <w:rsid w:val="00DD0806"/>
    <w:rsid w:val="00DD089F"/>
    <w:rsid w:val="00DD1689"/>
    <w:rsid w:val="00DD1ACB"/>
    <w:rsid w:val="00DD1F45"/>
    <w:rsid w:val="00DD345E"/>
    <w:rsid w:val="00DD5494"/>
    <w:rsid w:val="00DD573C"/>
    <w:rsid w:val="00DD5FBD"/>
    <w:rsid w:val="00DD6FE4"/>
    <w:rsid w:val="00DE0C97"/>
    <w:rsid w:val="00DE24B9"/>
    <w:rsid w:val="00DE2E6F"/>
    <w:rsid w:val="00DE57D4"/>
    <w:rsid w:val="00DE77F1"/>
    <w:rsid w:val="00DE7B7C"/>
    <w:rsid w:val="00DF26CE"/>
    <w:rsid w:val="00DF2745"/>
    <w:rsid w:val="00DF2F8D"/>
    <w:rsid w:val="00DF3767"/>
    <w:rsid w:val="00DF5CB9"/>
    <w:rsid w:val="00E005AE"/>
    <w:rsid w:val="00E023DA"/>
    <w:rsid w:val="00E032D2"/>
    <w:rsid w:val="00E0376D"/>
    <w:rsid w:val="00E03F68"/>
    <w:rsid w:val="00E03F71"/>
    <w:rsid w:val="00E041C9"/>
    <w:rsid w:val="00E0595D"/>
    <w:rsid w:val="00E05FA4"/>
    <w:rsid w:val="00E06487"/>
    <w:rsid w:val="00E11772"/>
    <w:rsid w:val="00E12412"/>
    <w:rsid w:val="00E12C12"/>
    <w:rsid w:val="00E13690"/>
    <w:rsid w:val="00E13BA0"/>
    <w:rsid w:val="00E148A4"/>
    <w:rsid w:val="00E14C86"/>
    <w:rsid w:val="00E15468"/>
    <w:rsid w:val="00E20CD4"/>
    <w:rsid w:val="00E224F4"/>
    <w:rsid w:val="00E24142"/>
    <w:rsid w:val="00E242FB"/>
    <w:rsid w:val="00E25811"/>
    <w:rsid w:val="00E2753F"/>
    <w:rsid w:val="00E34A71"/>
    <w:rsid w:val="00E35C64"/>
    <w:rsid w:val="00E372F3"/>
    <w:rsid w:val="00E41B1B"/>
    <w:rsid w:val="00E43265"/>
    <w:rsid w:val="00E45461"/>
    <w:rsid w:val="00E45754"/>
    <w:rsid w:val="00E464E7"/>
    <w:rsid w:val="00E513BF"/>
    <w:rsid w:val="00E539B6"/>
    <w:rsid w:val="00E55643"/>
    <w:rsid w:val="00E55D20"/>
    <w:rsid w:val="00E57DC1"/>
    <w:rsid w:val="00E6212B"/>
    <w:rsid w:val="00E62359"/>
    <w:rsid w:val="00E63818"/>
    <w:rsid w:val="00E659DE"/>
    <w:rsid w:val="00E65CF8"/>
    <w:rsid w:val="00E72520"/>
    <w:rsid w:val="00E73BD6"/>
    <w:rsid w:val="00E74016"/>
    <w:rsid w:val="00E75A89"/>
    <w:rsid w:val="00E77384"/>
    <w:rsid w:val="00E8127B"/>
    <w:rsid w:val="00E833A4"/>
    <w:rsid w:val="00E84491"/>
    <w:rsid w:val="00E84F06"/>
    <w:rsid w:val="00E85D40"/>
    <w:rsid w:val="00E86E2E"/>
    <w:rsid w:val="00E9162F"/>
    <w:rsid w:val="00E92551"/>
    <w:rsid w:val="00E92FBC"/>
    <w:rsid w:val="00E94811"/>
    <w:rsid w:val="00E9516C"/>
    <w:rsid w:val="00E96F39"/>
    <w:rsid w:val="00EA5084"/>
    <w:rsid w:val="00EA558C"/>
    <w:rsid w:val="00EA7CC7"/>
    <w:rsid w:val="00EB1477"/>
    <w:rsid w:val="00EB35B7"/>
    <w:rsid w:val="00EB3741"/>
    <w:rsid w:val="00EB3AE6"/>
    <w:rsid w:val="00EB492A"/>
    <w:rsid w:val="00EC1145"/>
    <w:rsid w:val="00EC5066"/>
    <w:rsid w:val="00EC6D6C"/>
    <w:rsid w:val="00ED0091"/>
    <w:rsid w:val="00ED0697"/>
    <w:rsid w:val="00ED2C82"/>
    <w:rsid w:val="00ED2D4A"/>
    <w:rsid w:val="00ED3968"/>
    <w:rsid w:val="00ED3A4D"/>
    <w:rsid w:val="00EE0710"/>
    <w:rsid w:val="00EE1126"/>
    <w:rsid w:val="00EE4568"/>
    <w:rsid w:val="00EE5496"/>
    <w:rsid w:val="00EE54AF"/>
    <w:rsid w:val="00EE55CB"/>
    <w:rsid w:val="00EE5E8A"/>
    <w:rsid w:val="00EF0824"/>
    <w:rsid w:val="00EF5A81"/>
    <w:rsid w:val="00EF6F10"/>
    <w:rsid w:val="00EF7808"/>
    <w:rsid w:val="00F0059C"/>
    <w:rsid w:val="00F01153"/>
    <w:rsid w:val="00F03073"/>
    <w:rsid w:val="00F05263"/>
    <w:rsid w:val="00F054EC"/>
    <w:rsid w:val="00F06894"/>
    <w:rsid w:val="00F06F64"/>
    <w:rsid w:val="00F11B09"/>
    <w:rsid w:val="00F1411D"/>
    <w:rsid w:val="00F15385"/>
    <w:rsid w:val="00F154F4"/>
    <w:rsid w:val="00F158CD"/>
    <w:rsid w:val="00F17062"/>
    <w:rsid w:val="00F177A0"/>
    <w:rsid w:val="00F17910"/>
    <w:rsid w:val="00F21943"/>
    <w:rsid w:val="00F23583"/>
    <w:rsid w:val="00F23E73"/>
    <w:rsid w:val="00F25B96"/>
    <w:rsid w:val="00F260F1"/>
    <w:rsid w:val="00F26170"/>
    <w:rsid w:val="00F26EDF"/>
    <w:rsid w:val="00F31461"/>
    <w:rsid w:val="00F32C9D"/>
    <w:rsid w:val="00F33CAB"/>
    <w:rsid w:val="00F35714"/>
    <w:rsid w:val="00F37468"/>
    <w:rsid w:val="00F376A3"/>
    <w:rsid w:val="00F40CFA"/>
    <w:rsid w:val="00F442A5"/>
    <w:rsid w:val="00F4464D"/>
    <w:rsid w:val="00F446FE"/>
    <w:rsid w:val="00F45AA3"/>
    <w:rsid w:val="00F479EE"/>
    <w:rsid w:val="00F51A35"/>
    <w:rsid w:val="00F53699"/>
    <w:rsid w:val="00F54405"/>
    <w:rsid w:val="00F548AC"/>
    <w:rsid w:val="00F54E85"/>
    <w:rsid w:val="00F55ACF"/>
    <w:rsid w:val="00F55F1C"/>
    <w:rsid w:val="00F5613A"/>
    <w:rsid w:val="00F565AB"/>
    <w:rsid w:val="00F56B39"/>
    <w:rsid w:val="00F571FF"/>
    <w:rsid w:val="00F5755A"/>
    <w:rsid w:val="00F6016B"/>
    <w:rsid w:val="00F630E3"/>
    <w:rsid w:val="00F641C3"/>
    <w:rsid w:val="00F641E0"/>
    <w:rsid w:val="00F66078"/>
    <w:rsid w:val="00F66924"/>
    <w:rsid w:val="00F67D4C"/>
    <w:rsid w:val="00F74C05"/>
    <w:rsid w:val="00F76EE2"/>
    <w:rsid w:val="00F77BEF"/>
    <w:rsid w:val="00F8025E"/>
    <w:rsid w:val="00F83039"/>
    <w:rsid w:val="00F84EB0"/>
    <w:rsid w:val="00F850AB"/>
    <w:rsid w:val="00F8568A"/>
    <w:rsid w:val="00F85F86"/>
    <w:rsid w:val="00F86700"/>
    <w:rsid w:val="00F86710"/>
    <w:rsid w:val="00F87586"/>
    <w:rsid w:val="00F87EB8"/>
    <w:rsid w:val="00F9233E"/>
    <w:rsid w:val="00F93C2B"/>
    <w:rsid w:val="00F949B5"/>
    <w:rsid w:val="00F9500E"/>
    <w:rsid w:val="00F957C6"/>
    <w:rsid w:val="00F96939"/>
    <w:rsid w:val="00F97E45"/>
    <w:rsid w:val="00FA1A6A"/>
    <w:rsid w:val="00FA6158"/>
    <w:rsid w:val="00FA65A9"/>
    <w:rsid w:val="00FA6EEF"/>
    <w:rsid w:val="00FB08F1"/>
    <w:rsid w:val="00FB52BA"/>
    <w:rsid w:val="00FC1D78"/>
    <w:rsid w:val="00FC62A8"/>
    <w:rsid w:val="00FC64D5"/>
    <w:rsid w:val="00FC6EAE"/>
    <w:rsid w:val="00FC754A"/>
    <w:rsid w:val="00FD0AB4"/>
    <w:rsid w:val="00FD1038"/>
    <w:rsid w:val="00FD1ABD"/>
    <w:rsid w:val="00FD20A5"/>
    <w:rsid w:val="00FD2A68"/>
    <w:rsid w:val="00FD2C22"/>
    <w:rsid w:val="00FD5A7C"/>
    <w:rsid w:val="00FE1F61"/>
    <w:rsid w:val="00FE2733"/>
    <w:rsid w:val="00FE2AB0"/>
    <w:rsid w:val="00FE2C7F"/>
    <w:rsid w:val="00FE3D3D"/>
    <w:rsid w:val="00FE5201"/>
    <w:rsid w:val="00FE5329"/>
    <w:rsid w:val="00FE594A"/>
    <w:rsid w:val="00FE78D4"/>
    <w:rsid w:val="00FF060D"/>
    <w:rsid w:val="00FF4374"/>
    <w:rsid w:val="00FF45DA"/>
    <w:rsid w:val="00FF4C49"/>
    <w:rsid w:val="00FF6C0A"/>
    <w:rsid w:val="00FF75BA"/>
    <w:rsid w:val="010EB5DD"/>
    <w:rsid w:val="01105D2C"/>
    <w:rsid w:val="011098BA"/>
    <w:rsid w:val="01226C6F"/>
    <w:rsid w:val="014E73B7"/>
    <w:rsid w:val="0159D00B"/>
    <w:rsid w:val="016385C4"/>
    <w:rsid w:val="01B6F97E"/>
    <w:rsid w:val="01EA7AB9"/>
    <w:rsid w:val="01EF4128"/>
    <w:rsid w:val="0208621B"/>
    <w:rsid w:val="021D3ADD"/>
    <w:rsid w:val="022FEE24"/>
    <w:rsid w:val="023C6498"/>
    <w:rsid w:val="02464CB1"/>
    <w:rsid w:val="0282C2D4"/>
    <w:rsid w:val="029A0B56"/>
    <w:rsid w:val="02E65EBD"/>
    <w:rsid w:val="030B4615"/>
    <w:rsid w:val="0347CF7B"/>
    <w:rsid w:val="034A95C0"/>
    <w:rsid w:val="03623DE9"/>
    <w:rsid w:val="038A1618"/>
    <w:rsid w:val="03D01449"/>
    <w:rsid w:val="0407A005"/>
    <w:rsid w:val="0442615E"/>
    <w:rsid w:val="0446C675"/>
    <w:rsid w:val="0470E197"/>
    <w:rsid w:val="0490ED6C"/>
    <w:rsid w:val="04961636"/>
    <w:rsid w:val="04C75CEA"/>
    <w:rsid w:val="04E98C30"/>
    <w:rsid w:val="04F1828E"/>
    <w:rsid w:val="04F2B0EB"/>
    <w:rsid w:val="050CC205"/>
    <w:rsid w:val="0520806D"/>
    <w:rsid w:val="052E7C7F"/>
    <w:rsid w:val="0537D9C8"/>
    <w:rsid w:val="0590B4EB"/>
    <w:rsid w:val="05A812A5"/>
    <w:rsid w:val="05ABC042"/>
    <w:rsid w:val="061D41ED"/>
    <w:rsid w:val="062D7FC6"/>
    <w:rsid w:val="06422987"/>
    <w:rsid w:val="064F8975"/>
    <w:rsid w:val="066345DA"/>
    <w:rsid w:val="0663A2BD"/>
    <w:rsid w:val="06716359"/>
    <w:rsid w:val="06A7C06D"/>
    <w:rsid w:val="06C7E3EC"/>
    <w:rsid w:val="06D73648"/>
    <w:rsid w:val="071650D1"/>
    <w:rsid w:val="0754D59C"/>
    <w:rsid w:val="0779CC2B"/>
    <w:rsid w:val="07C94E45"/>
    <w:rsid w:val="07CB3D90"/>
    <w:rsid w:val="07D99601"/>
    <w:rsid w:val="07E3DFE3"/>
    <w:rsid w:val="087194E1"/>
    <w:rsid w:val="08F0E68D"/>
    <w:rsid w:val="092C345E"/>
    <w:rsid w:val="093FDB57"/>
    <w:rsid w:val="098515D8"/>
    <w:rsid w:val="099737DB"/>
    <w:rsid w:val="0999F7E6"/>
    <w:rsid w:val="09D6F991"/>
    <w:rsid w:val="0A0F5301"/>
    <w:rsid w:val="0A766686"/>
    <w:rsid w:val="0A9B4EFB"/>
    <w:rsid w:val="0ADAA7D3"/>
    <w:rsid w:val="0AF7FFE8"/>
    <w:rsid w:val="0B1F33A0"/>
    <w:rsid w:val="0B46958A"/>
    <w:rsid w:val="0B63E393"/>
    <w:rsid w:val="0B65AFF8"/>
    <w:rsid w:val="0B6ADDD5"/>
    <w:rsid w:val="0B8F21D8"/>
    <w:rsid w:val="0B91EBCE"/>
    <w:rsid w:val="0BA47115"/>
    <w:rsid w:val="0BAA66B5"/>
    <w:rsid w:val="0BC8BB93"/>
    <w:rsid w:val="0C044D9E"/>
    <w:rsid w:val="0C12E73A"/>
    <w:rsid w:val="0C956A4B"/>
    <w:rsid w:val="0CCF8E3F"/>
    <w:rsid w:val="0CE32BB2"/>
    <w:rsid w:val="0CF26731"/>
    <w:rsid w:val="0D061293"/>
    <w:rsid w:val="0D0EB9EA"/>
    <w:rsid w:val="0D4C5672"/>
    <w:rsid w:val="0D4F9DC5"/>
    <w:rsid w:val="0D54CA57"/>
    <w:rsid w:val="0D5D7550"/>
    <w:rsid w:val="0D998D65"/>
    <w:rsid w:val="0DBA385F"/>
    <w:rsid w:val="0DCBF34E"/>
    <w:rsid w:val="0DDB632D"/>
    <w:rsid w:val="0E50ED7B"/>
    <w:rsid w:val="0E7319AE"/>
    <w:rsid w:val="0E96336F"/>
    <w:rsid w:val="0EED6EA8"/>
    <w:rsid w:val="0F219EF6"/>
    <w:rsid w:val="0F7208CE"/>
    <w:rsid w:val="0F884D62"/>
    <w:rsid w:val="104083BC"/>
    <w:rsid w:val="105E34BD"/>
    <w:rsid w:val="106F50DF"/>
    <w:rsid w:val="107AAFA7"/>
    <w:rsid w:val="10A7D947"/>
    <w:rsid w:val="10EF091F"/>
    <w:rsid w:val="11172734"/>
    <w:rsid w:val="1132748E"/>
    <w:rsid w:val="1153542A"/>
    <w:rsid w:val="115B7388"/>
    <w:rsid w:val="11947AEA"/>
    <w:rsid w:val="11ADB49F"/>
    <w:rsid w:val="1210175B"/>
    <w:rsid w:val="1218A893"/>
    <w:rsid w:val="1221C5C1"/>
    <w:rsid w:val="1236A054"/>
    <w:rsid w:val="12457BA3"/>
    <w:rsid w:val="125637E5"/>
    <w:rsid w:val="125F42D1"/>
    <w:rsid w:val="128CDB8D"/>
    <w:rsid w:val="12B4DA20"/>
    <w:rsid w:val="12CF3B48"/>
    <w:rsid w:val="13037CBB"/>
    <w:rsid w:val="13060EB1"/>
    <w:rsid w:val="130963A8"/>
    <w:rsid w:val="1336EC8D"/>
    <w:rsid w:val="13939895"/>
    <w:rsid w:val="139FF183"/>
    <w:rsid w:val="13F5E3CD"/>
    <w:rsid w:val="143FB791"/>
    <w:rsid w:val="14800B1D"/>
    <w:rsid w:val="149EA0D3"/>
    <w:rsid w:val="14BEC826"/>
    <w:rsid w:val="14D704A9"/>
    <w:rsid w:val="14E79924"/>
    <w:rsid w:val="14EE4FCD"/>
    <w:rsid w:val="156AD937"/>
    <w:rsid w:val="15DC80E6"/>
    <w:rsid w:val="15F23067"/>
    <w:rsid w:val="16092DBC"/>
    <w:rsid w:val="161667AF"/>
    <w:rsid w:val="16252309"/>
    <w:rsid w:val="16269BDF"/>
    <w:rsid w:val="1632825E"/>
    <w:rsid w:val="164FC1E9"/>
    <w:rsid w:val="1691A548"/>
    <w:rsid w:val="16E288C6"/>
    <w:rsid w:val="16FDBC21"/>
    <w:rsid w:val="171092BA"/>
    <w:rsid w:val="1744FF02"/>
    <w:rsid w:val="17D7F0EF"/>
    <w:rsid w:val="1827AAEC"/>
    <w:rsid w:val="1833833B"/>
    <w:rsid w:val="183A1168"/>
    <w:rsid w:val="18496B31"/>
    <w:rsid w:val="1862D4F3"/>
    <w:rsid w:val="1867A136"/>
    <w:rsid w:val="1893BA8D"/>
    <w:rsid w:val="1897710E"/>
    <w:rsid w:val="18CEB995"/>
    <w:rsid w:val="18EA1184"/>
    <w:rsid w:val="18EA6CFC"/>
    <w:rsid w:val="18F137CB"/>
    <w:rsid w:val="18F20336"/>
    <w:rsid w:val="19111066"/>
    <w:rsid w:val="191A17FA"/>
    <w:rsid w:val="19636B90"/>
    <w:rsid w:val="1975001D"/>
    <w:rsid w:val="1991AF70"/>
    <w:rsid w:val="19AC2D7C"/>
    <w:rsid w:val="1A2885F4"/>
    <w:rsid w:val="1A2EB656"/>
    <w:rsid w:val="1A39F0DA"/>
    <w:rsid w:val="1A551362"/>
    <w:rsid w:val="1A69647C"/>
    <w:rsid w:val="1AB7FD00"/>
    <w:rsid w:val="1ADEE1B1"/>
    <w:rsid w:val="1AECA0AC"/>
    <w:rsid w:val="1B383ADF"/>
    <w:rsid w:val="1B99459C"/>
    <w:rsid w:val="1BAA35D2"/>
    <w:rsid w:val="1BC20340"/>
    <w:rsid w:val="1C2888D0"/>
    <w:rsid w:val="1C3D8579"/>
    <w:rsid w:val="1D3056A0"/>
    <w:rsid w:val="1D4FDC55"/>
    <w:rsid w:val="1D739D73"/>
    <w:rsid w:val="1DB6BF9A"/>
    <w:rsid w:val="1DDEAE02"/>
    <w:rsid w:val="1E1470B4"/>
    <w:rsid w:val="1E175C17"/>
    <w:rsid w:val="1E33D7E6"/>
    <w:rsid w:val="1E5C4026"/>
    <w:rsid w:val="1EA7A584"/>
    <w:rsid w:val="1EB250A7"/>
    <w:rsid w:val="1EBD863D"/>
    <w:rsid w:val="1ECAD4EC"/>
    <w:rsid w:val="1EEC5FBE"/>
    <w:rsid w:val="1EF21C3B"/>
    <w:rsid w:val="1F29C80F"/>
    <w:rsid w:val="1F3E679C"/>
    <w:rsid w:val="1F4FDE25"/>
    <w:rsid w:val="1F60C43F"/>
    <w:rsid w:val="1F909C58"/>
    <w:rsid w:val="1FCE87C3"/>
    <w:rsid w:val="1FCF9359"/>
    <w:rsid w:val="2005FA15"/>
    <w:rsid w:val="2022AA63"/>
    <w:rsid w:val="20261FB0"/>
    <w:rsid w:val="2029E3C7"/>
    <w:rsid w:val="202A8B48"/>
    <w:rsid w:val="203FD9E1"/>
    <w:rsid w:val="20CE496C"/>
    <w:rsid w:val="20DF3673"/>
    <w:rsid w:val="2151CA76"/>
    <w:rsid w:val="21575FB4"/>
    <w:rsid w:val="2184ED0D"/>
    <w:rsid w:val="219633F5"/>
    <w:rsid w:val="21AB7167"/>
    <w:rsid w:val="21D93B2C"/>
    <w:rsid w:val="21EAE05B"/>
    <w:rsid w:val="2204EE9D"/>
    <w:rsid w:val="2215656B"/>
    <w:rsid w:val="22397D57"/>
    <w:rsid w:val="225F61A2"/>
    <w:rsid w:val="226BBB10"/>
    <w:rsid w:val="22C46D37"/>
    <w:rsid w:val="22C9CAAD"/>
    <w:rsid w:val="22FD3563"/>
    <w:rsid w:val="2316D0EC"/>
    <w:rsid w:val="2317804A"/>
    <w:rsid w:val="231B8752"/>
    <w:rsid w:val="23273B2A"/>
    <w:rsid w:val="2348B3EE"/>
    <w:rsid w:val="2353577D"/>
    <w:rsid w:val="2384848A"/>
    <w:rsid w:val="239B2F0C"/>
    <w:rsid w:val="23C4C4E0"/>
    <w:rsid w:val="23E95F06"/>
    <w:rsid w:val="23EC36E2"/>
    <w:rsid w:val="23F581FA"/>
    <w:rsid w:val="24A2A2A3"/>
    <w:rsid w:val="24B4EDEC"/>
    <w:rsid w:val="250A0703"/>
    <w:rsid w:val="2531A6F9"/>
    <w:rsid w:val="2560D825"/>
    <w:rsid w:val="25B47792"/>
    <w:rsid w:val="25E27E0E"/>
    <w:rsid w:val="25EFDB56"/>
    <w:rsid w:val="264FA352"/>
    <w:rsid w:val="266CBE50"/>
    <w:rsid w:val="2690101B"/>
    <w:rsid w:val="26EA8E8C"/>
    <w:rsid w:val="274CF87E"/>
    <w:rsid w:val="27722ED0"/>
    <w:rsid w:val="277A4F4B"/>
    <w:rsid w:val="277D3FBC"/>
    <w:rsid w:val="27C5A1FA"/>
    <w:rsid w:val="27C8928F"/>
    <w:rsid w:val="282A9608"/>
    <w:rsid w:val="2831D374"/>
    <w:rsid w:val="2833771B"/>
    <w:rsid w:val="2859E5E6"/>
    <w:rsid w:val="285DBC64"/>
    <w:rsid w:val="28631119"/>
    <w:rsid w:val="288D59F5"/>
    <w:rsid w:val="28A5B00F"/>
    <w:rsid w:val="28D23983"/>
    <w:rsid w:val="28D9183E"/>
    <w:rsid w:val="28DD9607"/>
    <w:rsid w:val="28DF0E87"/>
    <w:rsid w:val="28E8C322"/>
    <w:rsid w:val="28F1C9AC"/>
    <w:rsid w:val="28F641FE"/>
    <w:rsid w:val="2907E973"/>
    <w:rsid w:val="2985A808"/>
    <w:rsid w:val="2996F16C"/>
    <w:rsid w:val="29B4B353"/>
    <w:rsid w:val="29BC910F"/>
    <w:rsid w:val="2A41E6C4"/>
    <w:rsid w:val="2A7977AB"/>
    <w:rsid w:val="2AC4BE72"/>
    <w:rsid w:val="2ACEABAB"/>
    <w:rsid w:val="2AE9BB2C"/>
    <w:rsid w:val="2B0870E0"/>
    <w:rsid w:val="2B3791AC"/>
    <w:rsid w:val="2B5DEA40"/>
    <w:rsid w:val="2B6212E1"/>
    <w:rsid w:val="2BA305F0"/>
    <w:rsid w:val="2BA81B05"/>
    <w:rsid w:val="2BC35846"/>
    <w:rsid w:val="2BD50640"/>
    <w:rsid w:val="2C952762"/>
    <w:rsid w:val="2CD059F7"/>
    <w:rsid w:val="2CEDB163"/>
    <w:rsid w:val="2D50DC14"/>
    <w:rsid w:val="2D6D400A"/>
    <w:rsid w:val="2DA44CF3"/>
    <w:rsid w:val="2DFF5B32"/>
    <w:rsid w:val="2E30858A"/>
    <w:rsid w:val="2E3A124A"/>
    <w:rsid w:val="2E5965E2"/>
    <w:rsid w:val="2FC882AC"/>
    <w:rsid w:val="2FCA2CAD"/>
    <w:rsid w:val="2FF317B7"/>
    <w:rsid w:val="2FF6D50C"/>
    <w:rsid w:val="2FF9248D"/>
    <w:rsid w:val="300410F8"/>
    <w:rsid w:val="30528163"/>
    <w:rsid w:val="305F2407"/>
    <w:rsid w:val="3065771D"/>
    <w:rsid w:val="306FCBB8"/>
    <w:rsid w:val="30868613"/>
    <w:rsid w:val="3099BC46"/>
    <w:rsid w:val="30B17088"/>
    <w:rsid w:val="30D96B45"/>
    <w:rsid w:val="3104F58E"/>
    <w:rsid w:val="311934B3"/>
    <w:rsid w:val="313753D8"/>
    <w:rsid w:val="314BBEA4"/>
    <w:rsid w:val="31561037"/>
    <w:rsid w:val="31CAC8C9"/>
    <w:rsid w:val="31E9E095"/>
    <w:rsid w:val="32071C23"/>
    <w:rsid w:val="3227FC32"/>
    <w:rsid w:val="3230150F"/>
    <w:rsid w:val="323EDB87"/>
    <w:rsid w:val="3258F1AF"/>
    <w:rsid w:val="32B8018E"/>
    <w:rsid w:val="330FD821"/>
    <w:rsid w:val="33C06608"/>
    <w:rsid w:val="340A5E9C"/>
    <w:rsid w:val="3418DFAF"/>
    <w:rsid w:val="341B7AD3"/>
    <w:rsid w:val="342FFA11"/>
    <w:rsid w:val="344BAE27"/>
    <w:rsid w:val="34810E54"/>
    <w:rsid w:val="348C9BFE"/>
    <w:rsid w:val="34A0B436"/>
    <w:rsid w:val="34C38282"/>
    <w:rsid w:val="34E5226D"/>
    <w:rsid w:val="350AAF8D"/>
    <w:rsid w:val="351E0218"/>
    <w:rsid w:val="353EEF60"/>
    <w:rsid w:val="35525F7C"/>
    <w:rsid w:val="35609B39"/>
    <w:rsid w:val="35767B82"/>
    <w:rsid w:val="35980AE8"/>
    <w:rsid w:val="359CBD4E"/>
    <w:rsid w:val="35AC6E87"/>
    <w:rsid w:val="35DA1C1D"/>
    <w:rsid w:val="35EF4991"/>
    <w:rsid w:val="35F4D3BA"/>
    <w:rsid w:val="3602B9EC"/>
    <w:rsid w:val="360609CF"/>
    <w:rsid w:val="361EBDAA"/>
    <w:rsid w:val="363F06DA"/>
    <w:rsid w:val="3666C602"/>
    <w:rsid w:val="3674E845"/>
    <w:rsid w:val="367C675D"/>
    <w:rsid w:val="368C22E1"/>
    <w:rsid w:val="36973442"/>
    <w:rsid w:val="369A8983"/>
    <w:rsid w:val="369DAB4D"/>
    <w:rsid w:val="36E7E7E9"/>
    <w:rsid w:val="376706BA"/>
    <w:rsid w:val="3794312C"/>
    <w:rsid w:val="37CDB856"/>
    <w:rsid w:val="37F41C52"/>
    <w:rsid w:val="37F49C83"/>
    <w:rsid w:val="3847AFEC"/>
    <w:rsid w:val="38AB2228"/>
    <w:rsid w:val="38AB462B"/>
    <w:rsid w:val="38AB7F96"/>
    <w:rsid w:val="38CA95D8"/>
    <w:rsid w:val="391F0A25"/>
    <w:rsid w:val="3926A5B1"/>
    <w:rsid w:val="39358A51"/>
    <w:rsid w:val="39B62D28"/>
    <w:rsid w:val="39F8EB0F"/>
    <w:rsid w:val="39FAD47C"/>
    <w:rsid w:val="3A2A5C07"/>
    <w:rsid w:val="3A6983D8"/>
    <w:rsid w:val="3A91C3EB"/>
    <w:rsid w:val="3A97C24A"/>
    <w:rsid w:val="3AF0688D"/>
    <w:rsid w:val="3B27C7DE"/>
    <w:rsid w:val="3B62B692"/>
    <w:rsid w:val="3B8FB75B"/>
    <w:rsid w:val="3BB82A0A"/>
    <w:rsid w:val="3BDCC9C8"/>
    <w:rsid w:val="3C7C9ACB"/>
    <w:rsid w:val="3C82A1D0"/>
    <w:rsid w:val="3CE2D72A"/>
    <w:rsid w:val="3CE43758"/>
    <w:rsid w:val="3D138DFC"/>
    <w:rsid w:val="3D282C2B"/>
    <w:rsid w:val="3D406836"/>
    <w:rsid w:val="3DBECCF9"/>
    <w:rsid w:val="3DDB69D2"/>
    <w:rsid w:val="3DF5C747"/>
    <w:rsid w:val="3DF5E333"/>
    <w:rsid w:val="3E19884C"/>
    <w:rsid w:val="3E548AEC"/>
    <w:rsid w:val="3E6C34F7"/>
    <w:rsid w:val="3E8A6676"/>
    <w:rsid w:val="3E8DE84B"/>
    <w:rsid w:val="3F07BBF5"/>
    <w:rsid w:val="400FCAA7"/>
    <w:rsid w:val="40192343"/>
    <w:rsid w:val="40218193"/>
    <w:rsid w:val="40341CC2"/>
    <w:rsid w:val="405D0B22"/>
    <w:rsid w:val="40632643"/>
    <w:rsid w:val="40757553"/>
    <w:rsid w:val="40832E0D"/>
    <w:rsid w:val="410C1DBD"/>
    <w:rsid w:val="4119E02C"/>
    <w:rsid w:val="41299988"/>
    <w:rsid w:val="413C0162"/>
    <w:rsid w:val="4153A657"/>
    <w:rsid w:val="41914AB2"/>
    <w:rsid w:val="41CA941B"/>
    <w:rsid w:val="4207EA18"/>
    <w:rsid w:val="42453F77"/>
    <w:rsid w:val="42658FB4"/>
    <w:rsid w:val="426C967D"/>
    <w:rsid w:val="42B17BFF"/>
    <w:rsid w:val="42C67888"/>
    <w:rsid w:val="42FA2E8B"/>
    <w:rsid w:val="42FC372F"/>
    <w:rsid w:val="432B58BB"/>
    <w:rsid w:val="43364ABB"/>
    <w:rsid w:val="434D6DD5"/>
    <w:rsid w:val="43A9B54C"/>
    <w:rsid w:val="43B38A77"/>
    <w:rsid w:val="43B5C050"/>
    <w:rsid w:val="44455A12"/>
    <w:rsid w:val="44957947"/>
    <w:rsid w:val="4496606B"/>
    <w:rsid w:val="4508036E"/>
    <w:rsid w:val="4512EDCD"/>
    <w:rsid w:val="4544EB93"/>
    <w:rsid w:val="45836FD7"/>
    <w:rsid w:val="4600077B"/>
    <w:rsid w:val="46367CC6"/>
    <w:rsid w:val="4647A1EF"/>
    <w:rsid w:val="465EAE42"/>
    <w:rsid w:val="47287587"/>
    <w:rsid w:val="476D5CF0"/>
    <w:rsid w:val="47771957"/>
    <w:rsid w:val="47CF341F"/>
    <w:rsid w:val="47D55740"/>
    <w:rsid w:val="47FCAD46"/>
    <w:rsid w:val="48349B43"/>
    <w:rsid w:val="48A31BF8"/>
    <w:rsid w:val="48B6DB79"/>
    <w:rsid w:val="48D66FC5"/>
    <w:rsid w:val="48E2BD1A"/>
    <w:rsid w:val="48E643DE"/>
    <w:rsid w:val="490EBB39"/>
    <w:rsid w:val="49113C20"/>
    <w:rsid w:val="492A3119"/>
    <w:rsid w:val="494AA84E"/>
    <w:rsid w:val="499100C8"/>
    <w:rsid w:val="499F0010"/>
    <w:rsid w:val="49BB8282"/>
    <w:rsid w:val="4A0EFCB4"/>
    <w:rsid w:val="4A61E852"/>
    <w:rsid w:val="4AB722A2"/>
    <w:rsid w:val="4ABAF53F"/>
    <w:rsid w:val="4AD28096"/>
    <w:rsid w:val="4AE88655"/>
    <w:rsid w:val="4B229C09"/>
    <w:rsid w:val="4B5BF780"/>
    <w:rsid w:val="4B6D2D58"/>
    <w:rsid w:val="4B877948"/>
    <w:rsid w:val="4BBE400F"/>
    <w:rsid w:val="4C11CD97"/>
    <w:rsid w:val="4C432150"/>
    <w:rsid w:val="4C4E76EA"/>
    <w:rsid w:val="4C837CDC"/>
    <w:rsid w:val="4C8F358C"/>
    <w:rsid w:val="4CB0A497"/>
    <w:rsid w:val="4CEB5628"/>
    <w:rsid w:val="4CF52B8E"/>
    <w:rsid w:val="4D2E7106"/>
    <w:rsid w:val="4D2FDF0F"/>
    <w:rsid w:val="4D7DEDB4"/>
    <w:rsid w:val="4D87B5AD"/>
    <w:rsid w:val="4E3681D5"/>
    <w:rsid w:val="4E62ED50"/>
    <w:rsid w:val="4E7EAB2F"/>
    <w:rsid w:val="4F8BC0BF"/>
    <w:rsid w:val="4FEBA820"/>
    <w:rsid w:val="4FEBDDC7"/>
    <w:rsid w:val="5035C05B"/>
    <w:rsid w:val="507FDD01"/>
    <w:rsid w:val="508669D4"/>
    <w:rsid w:val="5087E5C7"/>
    <w:rsid w:val="509AF425"/>
    <w:rsid w:val="50B9C7DF"/>
    <w:rsid w:val="50CFB83F"/>
    <w:rsid w:val="50E76374"/>
    <w:rsid w:val="50FDF7B6"/>
    <w:rsid w:val="5118D9C4"/>
    <w:rsid w:val="517703EF"/>
    <w:rsid w:val="51C79421"/>
    <w:rsid w:val="51E5AFCB"/>
    <w:rsid w:val="520B8711"/>
    <w:rsid w:val="527769C3"/>
    <w:rsid w:val="529D5E2E"/>
    <w:rsid w:val="52A484D5"/>
    <w:rsid w:val="52B7E143"/>
    <w:rsid w:val="52EBBA88"/>
    <w:rsid w:val="532F24C1"/>
    <w:rsid w:val="53A0C8F6"/>
    <w:rsid w:val="53A42B93"/>
    <w:rsid w:val="53EAB6C2"/>
    <w:rsid w:val="53ED3CF0"/>
    <w:rsid w:val="53EFD659"/>
    <w:rsid w:val="545D9DF5"/>
    <w:rsid w:val="54B7BE67"/>
    <w:rsid w:val="55166B96"/>
    <w:rsid w:val="5552579B"/>
    <w:rsid w:val="5572017F"/>
    <w:rsid w:val="5590DB92"/>
    <w:rsid w:val="55A6E0C7"/>
    <w:rsid w:val="55A7FD34"/>
    <w:rsid w:val="55D01DD5"/>
    <w:rsid w:val="55E6F453"/>
    <w:rsid w:val="56133617"/>
    <w:rsid w:val="56166EE4"/>
    <w:rsid w:val="564F9292"/>
    <w:rsid w:val="566B30EE"/>
    <w:rsid w:val="56F23843"/>
    <w:rsid w:val="571C77C2"/>
    <w:rsid w:val="573A2EFF"/>
    <w:rsid w:val="573ED098"/>
    <w:rsid w:val="575A441D"/>
    <w:rsid w:val="5764A849"/>
    <w:rsid w:val="57AC1CA9"/>
    <w:rsid w:val="57D96FD3"/>
    <w:rsid w:val="57EF0CF2"/>
    <w:rsid w:val="580B81D5"/>
    <w:rsid w:val="5832D32B"/>
    <w:rsid w:val="5857E07D"/>
    <w:rsid w:val="587217F4"/>
    <w:rsid w:val="5878EAD6"/>
    <w:rsid w:val="588F595D"/>
    <w:rsid w:val="58BC3AC5"/>
    <w:rsid w:val="593AB18F"/>
    <w:rsid w:val="593EC58F"/>
    <w:rsid w:val="596E0CE6"/>
    <w:rsid w:val="59789FB2"/>
    <w:rsid w:val="59CAF5C0"/>
    <w:rsid w:val="59CE9DCF"/>
    <w:rsid w:val="5A46F4CC"/>
    <w:rsid w:val="5A6F8421"/>
    <w:rsid w:val="5AC87FB2"/>
    <w:rsid w:val="5AE9DCB9"/>
    <w:rsid w:val="5AEAA890"/>
    <w:rsid w:val="5AF655C3"/>
    <w:rsid w:val="5B240FF2"/>
    <w:rsid w:val="5B49A27D"/>
    <w:rsid w:val="5B798D95"/>
    <w:rsid w:val="5B931720"/>
    <w:rsid w:val="5BC7C7FA"/>
    <w:rsid w:val="5C173429"/>
    <w:rsid w:val="5C6258C5"/>
    <w:rsid w:val="5C770412"/>
    <w:rsid w:val="5C9BB8CC"/>
    <w:rsid w:val="5C9E5866"/>
    <w:rsid w:val="5CC0AAD9"/>
    <w:rsid w:val="5D7790C7"/>
    <w:rsid w:val="5DEBBBAA"/>
    <w:rsid w:val="5E1E3D57"/>
    <w:rsid w:val="5E410DC7"/>
    <w:rsid w:val="5E68FC6B"/>
    <w:rsid w:val="5E7B7228"/>
    <w:rsid w:val="5EB5216E"/>
    <w:rsid w:val="5EC8CDB5"/>
    <w:rsid w:val="5EDEB385"/>
    <w:rsid w:val="5F06C9B1"/>
    <w:rsid w:val="5F835F20"/>
    <w:rsid w:val="5F9A4C7D"/>
    <w:rsid w:val="5FAD8C45"/>
    <w:rsid w:val="5FAE7CD7"/>
    <w:rsid w:val="5FED8FF7"/>
    <w:rsid w:val="60471913"/>
    <w:rsid w:val="605FB597"/>
    <w:rsid w:val="60C4AC82"/>
    <w:rsid w:val="610EFD0F"/>
    <w:rsid w:val="61221839"/>
    <w:rsid w:val="6160B6CB"/>
    <w:rsid w:val="619AD256"/>
    <w:rsid w:val="61D1CE25"/>
    <w:rsid w:val="6201E9F1"/>
    <w:rsid w:val="6218E424"/>
    <w:rsid w:val="623364CB"/>
    <w:rsid w:val="62738048"/>
    <w:rsid w:val="62AA8144"/>
    <w:rsid w:val="62BB09DD"/>
    <w:rsid w:val="62BC343F"/>
    <w:rsid w:val="62F8F957"/>
    <w:rsid w:val="6314EEB8"/>
    <w:rsid w:val="631C8328"/>
    <w:rsid w:val="636B7DDB"/>
    <w:rsid w:val="6370E796"/>
    <w:rsid w:val="638E9639"/>
    <w:rsid w:val="63D519DC"/>
    <w:rsid w:val="640FEE72"/>
    <w:rsid w:val="645F1CC8"/>
    <w:rsid w:val="649C77A9"/>
    <w:rsid w:val="64E29DD8"/>
    <w:rsid w:val="64FF20BD"/>
    <w:rsid w:val="650D3C03"/>
    <w:rsid w:val="652FF76F"/>
    <w:rsid w:val="657B0244"/>
    <w:rsid w:val="65F5F125"/>
    <w:rsid w:val="664099BA"/>
    <w:rsid w:val="6697740D"/>
    <w:rsid w:val="66A884F3"/>
    <w:rsid w:val="66B6B456"/>
    <w:rsid w:val="66BC5A64"/>
    <w:rsid w:val="67118FC0"/>
    <w:rsid w:val="6727FD29"/>
    <w:rsid w:val="672D482C"/>
    <w:rsid w:val="6750C143"/>
    <w:rsid w:val="677DADB2"/>
    <w:rsid w:val="67871E89"/>
    <w:rsid w:val="67914453"/>
    <w:rsid w:val="67E8E5B9"/>
    <w:rsid w:val="67F6EFB9"/>
    <w:rsid w:val="67F9DB2A"/>
    <w:rsid w:val="6830373A"/>
    <w:rsid w:val="68490BBB"/>
    <w:rsid w:val="68599586"/>
    <w:rsid w:val="686CE257"/>
    <w:rsid w:val="68C4A50C"/>
    <w:rsid w:val="68D6FAFE"/>
    <w:rsid w:val="68D8F27E"/>
    <w:rsid w:val="696271A2"/>
    <w:rsid w:val="69732484"/>
    <w:rsid w:val="697F654A"/>
    <w:rsid w:val="698F82E5"/>
    <w:rsid w:val="69988F1C"/>
    <w:rsid w:val="699D16AA"/>
    <w:rsid w:val="69C624AA"/>
    <w:rsid w:val="69F89A2A"/>
    <w:rsid w:val="6A009CBE"/>
    <w:rsid w:val="6A1A5398"/>
    <w:rsid w:val="6A37561A"/>
    <w:rsid w:val="6A44ACC7"/>
    <w:rsid w:val="6A63FFE4"/>
    <w:rsid w:val="6A6FE722"/>
    <w:rsid w:val="6A919B77"/>
    <w:rsid w:val="6A9DF2AA"/>
    <w:rsid w:val="6ABE19D8"/>
    <w:rsid w:val="6AC838A8"/>
    <w:rsid w:val="6B30001B"/>
    <w:rsid w:val="6B527FA5"/>
    <w:rsid w:val="6B5FD607"/>
    <w:rsid w:val="6B5FE3B5"/>
    <w:rsid w:val="6B763155"/>
    <w:rsid w:val="6BBBCCFE"/>
    <w:rsid w:val="6BD5E0B6"/>
    <w:rsid w:val="6BEB7E30"/>
    <w:rsid w:val="6C2289B9"/>
    <w:rsid w:val="6C34B0BA"/>
    <w:rsid w:val="6C4B16C7"/>
    <w:rsid w:val="6C56D931"/>
    <w:rsid w:val="6C5F82EA"/>
    <w:rsid w:val="6C60D0E1"/>
    <w:rsid w:val="6C7255E4"/>
    <w:rsid w:val="6C74C937"/>
    <w:rsid w:val="6CD4C514"/>
    <w:rsid w:val="6D504724"/>
    <w:rsid w:val="6D746994"/>
    <w:rsid w:val="6D797315"/>
    <w:rsid w:val="6D913DF8"/>
    <w:rsid w:val="6D91F6F8"/>
    <w:rsid w:val="6D98FBE5"/>
    <w:rsid w:val="6DA88B3F"/>
    <w:rsid w:val="6DC36ED7"/>
    <w:rsid w:val="6DCD25CC"/>
    <w:rsid w:val="6DCF6399"/>
    <w:rsid w:val="6DD949E7"/>
    <w:rsid w:val="6DEB7EBE"/>
    <w:rsid w:val="6DEBB934"/>
    <w:rsid w:val="6E5DA81C"/>
    <w:rsid w:val="6E5F0223"/>
    <w:rsid w:val="6E67B0A7"/>
    <w:rsid w:val="6E87D058"/>
    <w:rsid w:val="6E92DA40"/>
    <w:rsid w:val="6EA23D1E"/>
    <w:rsid w:val="6EBB9460"/>
    <w:rsid w:val="6ECBF920"/>
    <w:rsid w:val="6F42115D"/>
    <w:rsid w:val="6F8C4AB9"/>
    <w:rsid w:val="6F8E057D"/>
    <w:rsid w:val="6FA635BA"/>
    <w:rsid w:val="6FAF552E"/>
    <w:rsid w:val="6FF4012C"/>
    <w:rsid w:val="7015237F"/>
    <w:rsid w:val="7025A0B1"/>
    <w:rsid w:val="705A94C6"/>
    <w:rsid w:val="707DA4A9"/>
    <w:rsid w:val="70804631"/>
    <w:rsid w:val="709B64D8"/>
    <w:rsid w:val="70AD9187"/>
    <w:rsid w:val="70B74690"/>
    <w:rsid w:val="70C1F8F5"/>
    <w:rsid w:val="70DAF125"/>
    <w:rsid w:val="70EDEA1A"/>
    <w:rsid w:val="7114C180"/>
    <w:rsid w:val="717CA3B0"/>
    <w:rsid w:val="719120BD"/>
    <w:rsid w:val="71EBE998"/>
    <w:rsid w:val="71F9AA23"/>
    <w:rsid w:val="71FAE839"/>
    <w:rsid w:val="72221AFD"/>
    <w:rsid w:val="72280F21"/>
    <w:rsid w:val="723418E3"/>
    <w:rsid w:val="72379F0F"/>
    <w:rsid w:val="724EF683"/>
    <w:rsid w:val="725B3819"/>
    <w:rsid w:val="72816C4F"/>
    <w:rsid w:val="7297D2CF"/>
    <w:rsid w:val="72BE7C61"/>
    <w:rsid w:val="72E3A22D"/>
    <w:rsid w:val="72F88877"/>
    <w:rsid w:val="732B20F4"/>
    <w:rsid w:val="732DB3DD"/>
    <w:rsid w:val="73889B95"/>
    <w:rsid w:val="738A3BA5"/>
    <w:rsid w:val="73F50B2F"/>
    <w:rsid w:val="7403C610"/>
    <w:rsid w:val="7406A214"/>
    <w:rsid w:val="740A098A"/>
    <w:rsid w:val="74233C4B"/>
    <w:rsid w:val="742F8D6F"/>
    <w:rsid w:val="743D66B9"/>
    <w:rsid w:val="743E2A0D"/>
    <w:rsid w:val="745B4F91"/>
    <w:rsid w:val="747368EB"/>
    <w:rsid w:val="749B8E80"/>
    <w:rsid w:val="74A2325E"/>
    <w:rsid w:val="74D3FA7E"/>
    <w:rsid w:val="74E2DE08"/>
    <w:rsid w:val="74F15324"/>
    <w:rsid w:val="7511170D"/>
    <w:rsid w:val="75563F0E"/>
    <w:rsid w:val="75915585"/>
    <w:rsid w:val="75D578BF"/>
    <w:rsid w:val="75E4D3DF"/>
    <w:rsid w:val="76101D35"/>
    <w:rsid w:val="763687C1"/>
    <w:rsid w:val="763990DE"/>
    <w:rsid w:val="765598C8"/>
    <w:rsid w:val="765827C8"/>
    <w:rsid w:val="766E0287"/>
    <w:rsid w:val="767B8915"/>
    <w:rsid w:val="7705234F"/>
    <w:rsid w:val="770A61D0"/>
    <w:rsid w:val="777B79A9"/>
    <w:rsid w:val="7786C368"/>
    <w:rsid w:val="7793737C"/>
    <w:rsid w:val="7802DDC0"/>
    <w:rsid w:val="782E5EFF"/>
    <w:rsid w:val="7842D8C0"/>
    <w:rsid w:val="78807B50"/>
    <w:rsid w:val="7887954E"/>
    <w:rsid w:val="78AA42C6"/>
    <w:rsid w:val="78EC9866"/>
    <w:rsid w:val="78EEB75A"/>
    <w:rsid w:val="79334EE2"/>
    <w:rsid w:val="794F0DB4"/>
    <w:rsid w:val="7964ABFF"/>
    <w:rsid w:val="797F7AC7"/>
    <w:rsid w:val="79C112C8"/>
    <w:rsid w:val="79C45BAD"/>
    <w:rsid w:val="79CC5003"/>
    <w:rsid w:val="79DBA496"/>
    <w:rsid w:val="7A3333BD"/>
    <w:rsid w:val="7A3D3BE3"/>
    <w:rsid w:val="7A705AA6"/>
    <w:rsid w:val="7A8A2FC5"/>
    <w:rsid w:val="7A95A804"/>
    <w:rsid w:val="7A9DA2A9"/>
    <w:rsid w:val="7B17E70C"/>
    <w:rsid w:val="7B23FEB6"/>
    <w:rsid w:val="7B284230"/>
    <w:rsid w:val="7B2BF3CD"/>
    <w:rsid w:val="7B4BEDFD"/>
    <w:rsid w:val="7B4F0DCB"/>
    <w:rsid w:val="7B691F8F"/>
    <w:rsid w:val="7B99E682"/>
    <w:rsid w:val="7BB7801B"/>
    <w:rsid w:val="7BC7E6DC"/>
    <w:rsid w:val="7C053972"/>
    <w:rsid w:val="7C0AAE9D"/>
    <w:rsid w:val="7C4CC459"/>
    <w:rsid w:val="7C8F27B9"/>
    <w:rsid w:val="7CCF0FD8"/>
    <w:rsid w:val="7CF0731F"/>
    <w:rsid w:val="7CFC9538"/>
    <w:rsid w:val="7D0898A0"/>
    <w:rsid w:val="7D1DCE0D"/>
    <w:rsid w:val="7D36D33B"/>
    <w:rsid w:val="7D3A7C8F"/>
    <w:rsid w:val="7D541055"/>
    <w:rsid w:val="7D6D7151"/>
    <w:rsid w:val="7D75D1DA"/>
    <w:rsid w:val="7D9BAABF"/>
    <w:rsid w:val="7DA94C65"/>
    <w:rsid w:val="7DCAC1EE"/>
    <w:rsid w:val="7DF42AC5"/>
    <w:rsid w:val="7E1E6880"/>
    <w:rsid w:val="7E34C912"/>
    <w:rsid w:val="7E48A217"/>
    <w:rsid w:val="7F38FD8C"/>
    <w:rsid w:val="7F47FDC7"/>
    <w:rsid w:val="7F60F516"/>
    <w:rsid w:val="7F72696E"/>
    <w:rsid w:val="7F9504E8"/>
    <w:rsid w:val="7FC9D45D"/>
    <w:rsid w:val="7FCA3165"/>
    <w:rsid w:val="7FE0C826"/>
    <w:rsid w:val="7FF79E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6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16"/>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19"/>
      </w:numPr>
    </w:pPr>
  </w:style>
  <w:style w:type="paragraph" w:customStyle="1" w:styleId="BulletedList-Level3">
    <w:name w:val="Bulleted List - Level 3"/>
    <w:basedOn w:val="ListParagraph"/>
    <w:uiPriority w:val="1"/>
    <w:qFormat/>
    <w:rsid w:val="00BD171D"/>
    <w:pPr>
      <w:numPr>
        <w:numId w:val="20"/>
      </w:numPr>
      <w:ind w:left="1135" w:hanging="284"/>
    </w:pPr>
  </w:style>
  <w:style w:type="paragraph" w:customStyle="1" w:styleId="NumberedList-Level1">
    <w:name w:val="Numbered List - Level 1"/>
    <w:basedOn w:val="ListParagraph"/>
    <w:uiPriority w:val="1"/>
    <w:qFormat/>
    <w:rsid w:val="00BD171D"/>
    <w:pPr>
      <w:numPr>
        <w:numId w:val="15"/>
      </w:numPr>
      <w:ind w:left="568" w:hanging="284"/>
    </w:pPr>
  </w:style>
  <w:style w:type="paragraph" w:customStyle="1" w:styleId="NumberedList-level2">
    <w:name w:val="Numbered List - level 2"/>
    <w:basedOn w:val="ListParagraph"/>
    <w:uiPriority w:val="1"/>
    <w:qFormat/>
    <w:rsid w:val="00BD171D"/>
    <w:pPr>
      <w:numPr>
        <w:ilvl w:val="1"/>
        <w:numId w:val="15"/>
      </w:numPr>
    </w:pPr>
  </w:style>
  <w:style w:type="paragraph" w:customStyle="1" w:styleId="NumberedList-Level3">
    <w:name w:val="Numbered List - Level 3"/>
    <w:basedOn w:val="ListParagraph"/>
    <w:uiPriority w:val="1"/>
    <w:qFormat/>
    <w:rsid w:val="00BD171D"/>
    <w:pPr>
      <w:numPr>
        <w:ilvl w:val="2"/>
        <w:numId w:val="15"/>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17"/>
      </w:numPr>
      <w:ind w:left="584" w:hanging="357"/>
    </w:pPr>
  </w:style>
  <w:style w:type="paragraph" w:customStyle="1" w:styleId="BoxDark-NumberedList">
    <w:name w:val="Box Dark - Numbered List"/>
    <w:basedOn w:val="BOXNumberedList"/>
    <w:uiPriority w:val="8"/>
    <w:rsid w:val="00FE2C7F"/>
    <w:pPr>
      <w:numPr>
        <w:numId w:val="18"/>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rsid w:val="0014151F"/>
    <w:pPr>
      <w:keepLines/>
      <w:numPr>
        <w:numId w:val="21"/>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rsid w:val="002771EC"/>
    <w:pPr>
      <w:numPr>
        <w:numId w:val="22"/>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sid w:val="007E6917"/>
    <w:rPr>
      <w:color w:val="DE761C" w:themeColor="followedHyperlink"/>
      <w:u w:val="single"/>
    </w:rPr>
  </w:style>
  <w:style w:type="paragraph" w:styleId="ListBullet">
    <w:name w:val="List Bullet"/>
    <w:basedOn w:val="Normal"/>
    <w:uiPriority w:val="99"/>
    <w:unhideWhenUsed/>
    <w:rsid w:val="00A45279"/>
    <w:pPr>
      <w:numPr>
        <w:numId w:val="24"/>
      </w:numPr>
      <w:contextualSpacing/>
    </w:pPr>
  </w:style>
  <w:style w:type="character" w:styleId="UnresolvedMention">
    <w:name w:val="Unresolved Mention"/>
    <w:basedOn w:val="DefaultParagraphFont"/>
    <w:uiPriority w:val="99"/>
    <w:semiHidden/>
    <w:unhideWhenUsed/>
    <w:rsid w:val="009230F4"/>
    <w:rPr>
      <w:color w:val="605E5C"/>
      <w:shd w:val="clear" w:color="auto" w:fill="E1DFDD"/>
    </w:rPr>
  </w:style>
  <w:style w:type="character" w:styleId="CommentReference">
    <w:name w:val="annotation reference"/>
    <w:basedOn w:val="DefaultParagraphFont"/>
    <w:uiPriority w:val="99"/>
    <w:semiHidden/>
    <w:unhideWhenUsed/>
    <w:rsid w:val="00744FEC"/>
    <w:rPr>
      <w:sz w:val="16"/>
      <w:szCs w:val="16"/>
    </w:rPr>
  </w:style>
  <w:style w:type="paragraph" w:styleId="CommentText">
    <w:name w:val="annotation text"/>
    <w:basedOn w:val="Normal"/>
    <w:link w:val="CommentTextChar"/>
    <w:uiPriority w:val="99"/>
    <w:unhideWhenUsed/>
    <w:rsid w:val="00744FEC"/>
    <w:pPr>
      <w:spacing w:line="240" w:lineRule="auto"/>
    </w:pPr>
    <w:rPr>
      <w:sz w:val="20"/>
      <w:szCs w:val="20"/>
    </w:rPr>
  </w:style>
  <w:style w:type="character" w:customStyle="1" w:styleId="CommentTextChar">
    <w:name w:val="Comment Text Char"/>
    <w:basedOn w:val="DefaultParagraphFont"/>
    <w:link w:val="CommentText"/>
    <w:uiPriority w:val="99"/>
    <w:rsid w:val="00744FEC"/>
    <w:rPr>
      <w:sz w:val="20"/>
      <w:szCs w:val="20"/>
    </w:rPr>
  </w:style>
  <w:style w:type="paragraph" w:styleId="CommentSubject">
    <w:name w:val="annotation subject"/>
    <w:basedOn w:val="CommentText"/>
    <w:next w:val="CommentText"/>
    <w:link w:val="CommentSubjectChar"/>
    <w:uiPriority w:val="99"/>
    <w:semiHidden/>
    <w:unhideWhenUsed/>
    <w:rsid w:val="00744FEC"/>
    <w:rPr>
      <w:b/>
      <w:bCs/>
    </w:rPr>
  </w:style>
  <w:style w:type="character" w:customStyle="1" w:styleId="CommentSubjectChar">
    <w:name w:val="Comment Subject Char"/>
    <w:basedOn w:val="CommentTextChar"/>
    <w:link w:val="CommentSubject"/>
    <w:uiPriority w:val="99"/>
    <w:semiHidden/>
    <w:rsid w:val="00744FEC"/>
    <w:rPr>
      <w:b/>
      <w:bCs/>
      <w:sz w:val="20"/>
      <w:szCs w:val="20"/>
    </w:rPr>
  </w:style>
  <w:style w:type="paragraph" w:customStyle="1" w:styleId="CABHeading2">
    <w:name w:val="CAB Heading 2."/>
    <w:basedOn w:val="Normal"/>
    <w:link w:val="CABHeading2Char"/>
    <w:uiPriority w:val="98"/>
    <w:qFormat/>
    <w:rsid w:val="0A9B4EFB"/>
    <w:pPr>
      <w:keepNext/>
      <w:keepLines/>
      <w:tabs>
        <w:tab w:val="left" w:pos="567"/>
      </w:tabs>
      <w:spacing w:before="200" w:after="0"/>
      <w:outlineLvl w:val="0"/>
    </w:pPr>
    <w:rPr>
      <w:rFonts w:eastAsiaTheme="majorEastAsia" w:cstheme="majorBidi"/>
      <w:b/>
      <w:bCs/>
      <w:color w:val="003865"/>
      <w:sz w:val="24"/>
      <w:szCs w:val="24"/>
    </w:rPr>
  </w:style>
  <w:style w:type="character" w:customStyle="1" w:styleId="CABHeading2Char">
    <w:name w:val="CAB Heading 2. Char"/>
    <w:basedOn w:val="DefaultParagraphFont"/>
    <w:link w:val="CABHeading2"/>
    <w:uiPriority w:val="98"/>
    <w:rsid w:val="0A9B4EFB"/>
    <w:rPr>
      <w:rFonts w:asciiTheme="minorHAnsi" w:eastAsiaTheme="majorEastAsia" w:hAnsiTheme="minorHAnsi" w:cstheme="majorBidi"/>
      <w:b/>
      <w:bCs/>
      <w:color w:val="003865"/>
      <w:sz w:val="24"/>
      <w:szCs w:val="24"/>
    </w:rPr>
  </w:style>
  <w:style w:type="paragraph" w:customStyle="1" w:styleId="CABNETParagraph">
    <w:name w:val="CABNET Paragraph."/>
    <w:basedOn w:val="Normal"/>
    <w:link w:val="CABNETParagraphChar"/>
    <w:uiPriority w:val="98"/>
    <w:qFormat/>
    <w:rsid w:val="0A9B4EFB"/>
    <w:pPr>
      <w:spacing w:before="120" w:after="120"/>
    </w:pPr>
  </w:style>
  <w:style w:type="character" w:customStyle="1" w:styleId="CABNETParagraphChar">
    <w:name w:val="CABNET Paragraph. Char"/>
    <w:basedOn w:val="DefaultParagraphFont"/>
    <w:link w:val="CABNETParagraph"/>
    <w:uiPriority w:val="98"/>
    <w:rsid w:val="0A9B4EFB"/>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82C3D"/>
    <w:pPr>
      <w:spacing w:after="0" w:line="240" w:lineRule="auto"/>
    </w:pPr>
    <w:rPr>
      <w:sz w:val="20"/>
      <w:szCs w:val="20"/>
    </w:rPr>
  </w:style>
  <w:style w:type="character" w:customStyle="1" w:styleId="FootnoteTextChar">
    <w:name w:val="Footnote Text Char"/>
    <w:basedOn w:val="DefaultParagraphFont"/>
    <w:link w:val="FootnoteText"/>
    <w:uiPriority w:val="99"/>
    <w:rsid w:val="00582C3D"/>
    <w:rPr>
      <w:sz w:val="20"/>
      <w:szCs w:val="20"/>
    </w:rPr>
  </w:style>
  <w:style w:type="character" w:styleId="FootnoteReference">
    <w:name w:val="footnote reference"/>
    <w:basedOn w:val="DefaultParagraphFont"/>
    <w:uiPriority w:val="99"/>
    <w:semiHidden/>
    <w:unhideWhenUsed/>
    <w:rsid w:val="00582C3D"/>
    <w:rPr>
      <w:vertAlign w:val="superscript"/>
    </w:rPr>
  </w:style>
  <w:style w:type="paragraph" w:styleId="NormalWeb">
    <w:name w:val="Normal (Web)"/>
    <w:basedOn w:val="Normal"/>
    <w:uiPriority w:val="99"/>
    <w:semiHidden/>
    <w:unhideWhenUsed/>
    <w:rsid w:val="003B4DC5"/>
    <w:rPr>
      <w:rFonts w:ascii="Times New Roman" w:hAnsi="Times New Roman" w:cs="Times New Roman"/>
      <w:sz w:val="24"/>
      <w:szCs w:val="24"/>
    </w:rPr>
  </w:style>
  <w:style w:type="paragraph" w:styleId="Revision">
    <w:name w:val="Revision"/>
    <w:hidden/>
    <w:uiPriority w:val="99"/>
    <w:semiHidden/>
    <w:rsid w:val="00434EBA"/>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disreview.gov.au/sites/default/files/resource/download/working-together-ndis-review-final-report.pdf" TargetMode="External"/><Relationship Id="rId1" Type="http://schemas.openxmlformats.org/officeDocument/2006/relationships/hyperlink" Target="https://www.ndis.gov.au/media/8282/download?attach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54B1-1794-4CCF-88E5-F782B4C1F504}">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4352</Words>
  <Characters>25248</Characters>
  <Application>Microsoft Office Word</Application>
  <DocSecurity>0</DocSecurity>
  <Lines>664</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2026-05-13T04:41:00Z</dcterms:created>
  <dcterms:modified xsi:type="dcterms:W3CDTF">2026-05-13T04:42:00Z</dcterms:modified>
  <cp:category/>
</cp:coreProperties>
</file>