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E4A6" w14:textId="0896DCC1" w:rsidR="00101C3F" w:rsidRDefault="00101C3F">
      <w:pPr>
        <w:pStyle w:val="Title"/>
        <w:tabs>
          <w:tab w:val="left" w:pos="7938"/>
        </w:tabs>
      </w:pPr>
      <w:bookmarkStart w:id="0" w:name="_Toc96326909"/>
      <w:r>
        <w:drawing>
          <wp:inline distT="0" distB="0" distL="0" distR="0" wp14:anchorId="5C69EF37" wp14:editId="11386AB6">
            <wp:extent cx="3519034" cy="561975"/>
            <wp:effectExtent l="0" t="0" r="5715" b="0"/>
            <wp:docPr id="1214603072" name="Graphic 3" descr="Logo of the 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03072" name="Graphic 3" descr="Logo of the Australian Government Department of Health, Disability and Ageing"/>
                    <pic:cNvPicPr/>
                  </pic:nvPicPr>
                  <pic:blipFill>
                    <a:blip r:embed="rId8">
                      <a:extLst>
                        <a:ext uri="{96DAC541-7B7A-43D3-8B79-37D633B846F1}">
                          <asvg:svgBlip xmlns:asvg="http://schemas.microsoft.com/office/drawing/2016/SVG/main" r:embed="rId9"/>
                        </a:ext>
                      </a:extLst>
                    </a:blip>
                    <a:stretch>
                      <a:fillRect/>
                    </a:stretch>
                  </pic:blipFill>
                  <pic:spPr>
                    <a:xfrm>
                      <a:off x="0" y="0"/>
                      <a:ext cx="3526253" cy="563128"/>
                    </a:xfrm>
                    <a:prstGeom prst="rect">
                      <a:avLst/>
                    </a:prstGeom>
                  </pic:spPr>
                </pic:pic>
              </a:graphicData>
            </a:graphic>
          </wp:inline>
        </w:drawing>
      </w:r>
    </w:p>
    <w:p w14:paraId="6AE1CBB5" w14:textId="77777777" w:rsidR="00101C3F" w:rsidRDefault="00101C3F">
      <w:pPr>
        <w:pStyle w:val="Title"/>
        <w:tabs>
          <w:tab w:val="left" w:pos="7938"/>
        </w:tabs>
      </w:pPr>
    </w:p>
    <w:p w14:paraId="491AB6FE" w14:textId="5FDAE075" w:rsidR="000251A4" w:rsidRPr="000861B0" w:rsidRDefault="584FE3E1">
      <w:pPr>
        <w:pStyle w:val="Title"/>
        <w:tabs>
          <w:tab w:val="left" w:pos="7938"/>
        </w:tabs>
      </w:pPr>
      <w:r w:rsidRPr="000861B0">
        <w:t xml:space="preserve">MODERNISING </w:t>
      </w:r>
      <w:r w:rsidR="12832566" w:rsidRPr="000861B0">
        <w:t xml:space="preserve">THE </w:t>
      </w:r>
      <w:r w:rsidRPr="000861B0">
        <w:t xml:space="preserve">PRIVATE HEALTH INSURANCE </w:t>
      </w:r>
      <w:r w:rsidR="6E58F8FC" w:rsidRPr="000861B0">
        <w:t>REBATE</w:t>
      </w:r>
    </w:p>
    <w:p w14:paraId="20EB04BE" w14:textId="77777777" w:rsidR="000251A4" w:rsidRPr="000861B0" w:rsidRDefault="009E255F">
      <w:pPr>
        <w:pStyle w:val="Subtitle"/>
      </w:pPr>
      <w:r w:rsidRPr="000861B0">
        <w:t>Impact Analysis</w:t>
      </w:r>
    </w:p>
    <w:p w14:paraId="7321B806" w14:textId="1A30E11B" w:rsidR="000251A4" w:rsidRPr="000861B0" w:rsidRDefault="584FE3E1" w:rsidP="58F703B5">
      <w:pPr>
        <w:rPr>
          <w:rStyle w:val="Emphasis"/>
          <w:i w:val="0"/>
          <w:iCs w:val="0"/>
        </w:rPr>
      </w:pPr>
      <w:r w:rsidRPr="000861B0">
        <w:rPr>
          <w:rStyle w:val="Emphasis"/>
          <w:i w:val="0"/>
          <w:iCs w:val="0"/>
        </w:rPr>
        <w:t>Prepared by Department of Health</w:t>
      </w:r>
      <w:r w:rsidR="258C87F5" w:rsidRPr="000861B0">
        <w:rPr>
          <w:rStyle w:val="Emphasis"/>
          <w:i w:val="0"/>
          <w:iCs w:val="0"/>
        </w:rPr>
        <w:t>, Disability</w:t>
      </w:r>
      <w:r w:rsidRPr="000861B0">
        <w:rPr>
          <w:rStyle w:val="Emphasis"/>
          <w:i w:val="0"/>
          <w:iCs w:val="0"/>
        </w:rPr>
        <w:t xml:space="preserve"> and Age</w:t>
      </w:r>
      <w:r w:rsidR="1C909F4E" w:rsidRPr="000861B0">
        <w:rPr>
          <w:rStyle w:val="Emphasis"/>
          <w:i w:val="0"/>
          <w:iCs w:val="0"/>
        </w:rPr>
        <w:t>ing</w:t>
      </w:r>
    </w:p>
    <w:p w14:paraId="3818331A" w14:textId="4A3F2BD5" w:rsidR="1C909F4E" w:rsidRPr="000861B0" w:rsidRDefault="008618C1" w:rsidP="58F703B5">
      <w:r>
        <w:rPr>
          <w:rStyle w:val="Emphasis"/>
          <w:i w:val="0"/>
          <w:iCs w:val="0"/>
        </w:rPr>
        <w:t>May</w:t>
      </w:r>
      <w:r w:rsidRPr="000861B0">
        <w:rPr>
          <w:rStyle w:val="Emphasis"/>
          <w:i w:val="0"/>
          <w:iCs w:val="0"/>
        </w:rPr>
        <w:t xml:space="preserve"> </w:t>
      </w:r>
      <w:r w:rsidR="1C909F4E" w:rsidRPr="000861B0">
        <w:rPr>
          <w:rStyle w:val="Emphasis"/>
          <w:i w:val="0"/>
          <w:iCs w:val="0"/>
        </w:rPr>
        <w:t>2026</w:t>
      </w:r>
    </w:p>
    <w:p w14:paraId="1097F30C" w14:textId="77777777" w:rsidR="000251A4" w:rsidRPr="000861B0" w:rsidRDefault="009E255F">
      <w:pPr>
        <w:spacing w:after="200" w:line="288" w:lineRule="auto"/>
        <w:rPr>
          <w:iCs/>
        </w:rPr>
      </w:pPr>
      <w:r w:rsidRPr="000861B0">
        <w:rPr>
          <w:iCs/>
        </w:rPr>
        <w:br w:type="page"/>
      </w:r>
    </w:p>
    <w:bookmarkEnd w:id="0"/>
    <w:p w14:paraId="2159A946" w14:textId="1DDC0139" w:rsidR="000251A4" w:rsidRPr="00450953" w:rsidRDefault="00CC5211" w:rsidP="00450953">
      <w:pPr>
        <w:pStyle w:val="Heading1"/>
      </w:pPr>
      <w:r w:rsidRPr="00450953">
        <w:lastRenderedPageBreak/>
        <w:t>Executive Summary</w:t>
      </w:r>
      <w:r w:rsidR="009E255F" w:rsidRPr="00450953">
        <w:t xml:space="preserve"> </w:t>
      </w:r>
    </w:p>
    <w:p w14:paraId="19A37719" w14:textId="60E6318F" w:rsidR="584FE3E1" w:rsidRPr="000861B0" w:rsidRDefault="584FE3E1">
      <w:r>
        <w:t>Private Health Insurance (PHI) is relied upon by</w:t>
      </w:r>
      <w:r w:rsidR="06E8AB7E">
        <w:t xml:space="preserve"> 15.</w:t>
      </w:r>
      <w:r w:rsidR="008539DA">
        <w:t>4</w:t>
      </w:r>
      <w:r w:rsidR="06E8AB7E">
        <w:t xml:space="preserve"> </w:t>
      </w:r>
      <w:r>
        <w:t>million people</w:t>
      </w:r>
      <w:r w:rsidR="003F3931">
        <w:rPr>
          <w:rStyle w:val="FootnoteReference"/>
        </w:rPr>
        <w:footnoteReference w:id="1"/>
      </w:r>
      <w:r>
        <w:t xml:space="preserve"> </w:t>
      </w:r>
      <w:r w:rsidR="43480004">
        <w:t xml:space="preserve">in Australia </w:t>
      </w:r>
      <w:r>
        <w:t>to help them access healthcare.</w:t>
      </w:r>
      <w:r w:rsidR="59D80787">
        <w:t xml:space="preserve"> </w:t>
      </w:r>
      <w:r w:rsidR="007F5495">
        <w:t xml:space="preserve">PHI in Australia operates under </w:t>
      </w:r>
      <w:r w:rsidR="007F5495" w:rsidRPr="007F5495">
        <w:t xml:space="preserve">community rating where all policy holders pay the same premium for the same policy, regardless of their gender, age or health status. </w:t>
      </w:r>
      <w:r w:rsidR="59D80787">
        <w:t>Strong PHI participation amongst the young and healthy,</w:t>
      </w:r>
      <w:r w:rsidR="00C07CCF">
        <w:t xml:space="preserve"> particularl</w:t>
      </w:r>
      <w:r w:rsidR="008F23CF">
        <w:t xml:space="preserve">y given the </w:t>
      </w:r>
      <w:r w:rsidR="00C9506B">
        <w:t>increasing age of the PHI population</w:t>
      </w:r>
      <w:r w:rsidR="006F7728">
        <w:t>,</w:t>
      </w:r>
      <w:r w:rsidR="00C07CCF">
        <w:t xml:space="preserve"> </w:t>
      </w:r>
      <w:r w:rsidR="59D80787">
        <w:t xml:space="preserve">facilitated through targeted incentives and consumer safeguards, is critical </w:t>
      </w:r>
      <w:r w:rsidR="006C4CE2">
        <w:t>to PHI affordability</w:t>
      </w:r>
      <w:r w:rsidR="00E05EE3">
        <w:t xml:space="preserve"> and</w:t>
      </w:r>
      <w:r w:rsidR="59D80787">
        <w:t xml:space="preserve"> takes pressure off the public health system. </w:t>
      </w:r>
    </w:p>
    <w:p w14:paraId="4EC69C83" w14:textId="2C34BACB" w:rsidR="007D6941" w:rsidRPr="000861B0" w:rsidRDefault="6D1613C4" w:rsidP="000B3E01">
      <w:r>
        <w:t xml:space="preserve">The Government’s PHI Rebate to support Australians to purchase PHI is inequitable and poorly targeted. </w:t>
      </w:r>
      <w:r w:rsidR="004916C1">
        <w:t>As shown in Table 1, t</w:t>
      </w:r>
      <w:r>
        <w:t>he Rebate subsidises older Australians more, even if they have the same income as younger Australians</w:t>
      </w:r>
      <w:r w:rsidR="00C90914">
        <w:t>.</w:t>
      </w:r>
      <w:r w:rsidR="00FF36E6">
        <w:t xml:space="preserve"> </w:t>
      </w:r>
      <w:r w:rsidR="005B6B39">
        <w:t>However, o</w:t>
      </w:r>
      <w:r w:rsidR="005B6B39" w:rsidRPr="005B6B39">
        <w:t>lder Australians are more likely to retain PHI and receive significantly higher average PHI benefits than younger people. Th</w:t>
      </w:r>
      <w:r w:rsidR="00272370">
        <w:t>is</w:t>
      </w:r>
      <w:r w:rsidR="005B6B39" w:rsidRPr="005B6B39">
        <w:t xml:space="preserve"> inequitable targeting does not align with the purpose of the Rebate, which is to incentivise people to take up and retain PHI</w:t>
      </w:r>
      <w:r w:rsidR="00335615">
        <w:rPr>
          <w:rStyle w:val="FootnoteReference"/>
        </w:rPr>
        <w:footnoteReference w:id="2"/>
      </w:r>
      <w:r w:rsidR="005B6B39" w:rsidRPr="005B6B39">
        <w:t xml:space="preserve">. </w:t>
      </w:r>
      <w:r w:rsidR="00C768AE">
        <w:t xml:space="preserve">This </w:t>
      </w:r>
      <w:r w:rsidR="009E255F" w:rsidRPr="000861B0">
        <w:t>can be addressed by</w:t>
      </w:r>
      <w:r w:rsidR="000B3E01">
        <w:t xml:space="preserve"> </w:t>
      </w:r>
      <w:r w:rsidR="007D6941" w:rsidRPr="000B3E01">
        <w:rPr>
          <w:rFonts w:eastAsia="Arial" w:cs="Arial"/>
          <w:szCs w:val="22"/>
        </w:rPr>
        <w:t>removing the inequitable higher Rebate received by older people compared with those aged less than 65 years earning the same income</w:t>
      </w:r>
      <w:r w:rsidR="000B3E01">
        <w:t>.</w:t>
      </w:r>
    </w:p>
    <w:p w14:paraId="31667D6C" w14:textId="745ED2DE" w:rsidR="00F059F1" w:rsidRDefault="00F059F1" w:rsidP="00F059F1">
      <w:r>
        <w:t>The objectives of Rebate reform are:</w:t>
      </w:r>
    </w:p>
    <w:p w14:paraId="32FC653C" w14:textId="74816976" w:rsidR="00F059F1" w:rsidRDefault="00F059F1" w:rsidP="00061104">
      <w:pPr>
        <w:pStyle w:val="ListParagraph"/>
        <w:numPr>
          <w:ilvl w:val="0"/>
          <w:numId w:val="44"/>
        </w:numPr>
      </w:pPr>
      <w:r w:rsidRPr="000861B0">
        <w:t xml:space="preserve">continue to provide an </w:t>
      </w:r>
      <w:r w:rsidR="00987F42" w:rsidRPr="000861B0">
        <w:t>incentive</w:t>
      </w:r>
      <w:r w:rsidR="00987F42">
        <w:t xml:space="preserve"> </w:t>
      </w:r>
      <w:r w:rsidR="00987F42" w:rsidRPr="000861B0">
        <w:t>for people to participate in PHI</w:t>
      </w:r>
      <w:r w:rsidR="00987F42">
        <w:t xml:space="preserve"> through a simplified Rebate</w:t>
      </w:r>
      <w:r w:rsidR="00987F42" w:rsidRPr="000861B0">
        <w:t xml:space="preserve"> </w:t>
      </w:r>
    </w:p>
    <w:p w14:paraId="17C47AED" w14:textId="0F1FCE7B" w:rsidR="00F059F1" w:rsidRDefault="00F059F1" w:rsidP="00061104">
      <w:pPr>
        <w:pStyle w:val="ListParagraph"/>
        <w:numPr>
          <w:ilvl w:val="0"/>
          <w:numId w:val="44"/>
        </w:numPr>
      </w:pPr>
      <w:r>
        <w:t xml:space="preserve">ensure </w:t>
      </w:r>
      <w:r w:rsidRPr="000861B0">
        <w:t xml:space="preserve">funds are not spent on the Rebate </w:t>
      </w:r>
      <w:r w:rsidR="006523A8">
        <w:t xml:space="preserve">for older people </w:t>
      </w:r>
      <w:r w:rsidRPr="000861B0">
        <w:t xml:space="preserve">if they </w:t>
      </w:r>
      <w:r w:rsidR="002E1774">
        <w:t>are generally</w:t>
      </w:r>
      <w:r w:rsidR="00B76754">
        <w:t xml:space="preserve"> unlike</w:t>
      </w:r>
      <w:r w:rsidR="007C3E28">
        <w:t>l</w:t>
      </w:r>
      <w:r w:rsidR="006939AD">
        <w:t>y</w:t>
      </w:r>
      <w:r w:rsidR="00B76754">
        <w:t xml:space="preserve"> to</w:t>
      </w:r>
      <w:r w:rsidRPr="000861B0">
        <w:t xml:space="preserve"> alter participation decisions and/or could be better directed to </w:t>
      </w:r>
      <w:r w:rsidR="004E4B13">
        <w:t>other</w:t>
      </w:r>
      <w:r w:rsidR="004E4B13" w:rsidRPr="000861B0">
        <w:t xml:space="preserve"> </w:t>
      </w:r>
      <w:r w:rsidRPr="000861B0">
        <w:t>priority health</w:t>
      </w:r>
      <w:r>
        <w:t>, disability and aged care</w:t>
      </w:r>
      <w:r w:rsidRPr="000861B0">
        <w:t xml:space="preserve"> services. </w:t>
      </w:r>
    </w:p>
    <w:p w14:paraId="41E56FA6" w14:textId="1241F6A5" w:rsidR="008D0F81" w:rsidRDefault="00F059F1" w:rsidP="00061104">
      <w:pPr>
        <w:pStyle w:val="ListParagraph"/>
        <w:numPr>
          <w:ilvl w:val="0"/>
          <w:numId w:val="44"/>
        </w:numPr>
      </w:pPr>
      <w:r>
        <w:t>ensure the Rebate is targeted equitably</w:t>
      </w:r>
      <w:r w:rsidR="00CD51FB">
        <w:t>, while minimising any negative impact on participation</w:t>
      </w:r>
      <w:r w:rsidR="0090122A">
        <w:t>.</w:t>
      </w:r>
      <w:r w:rsidR="001A4DE2">
        <w:t xml:space="preserve"> </w:t>
      </w:r>
    </w:p>
    <w:p w14:paraId="58A105A3" w14:textId="430F6D6B" w:rsidR="000E277D" w:rsidRDefault="000E277D" w:rsidP="008D0F81">
      <w:r>
        <w:t>Three options were considered:</w:t>
      </w:r>
    </w:p>
    <w:p w14:paraId="75138E55" w14:textId="3A9DA583" w:rsidR="000E277D" w:rsidRDefault="4B078110" w:rsidP="00FE3AE0">
      <w:pPr>
        <w:pStyle w:val="ListParagraph"/>
        <w:numPr>
          <w:ilvl w:val="0"/>
          <w:numId w:val="16"/>
        </w:numPr>
      </w:pPr>
      <w:r>
        <w:t xml:space="preserve">Option 1. </w:t>
      </w:r>
      <w:r w:rsidR="67849591">
        <w:t>Status Quo, with no change to the PHI Rebate</w:t>
      </w:r>
      <w:r w:rsidR="00421950">
        <w:t>.</w:t>
      </w:r>
    </w:p>
    <w:p w14:paraId="5C41002B" w14:textId="22D78E1A" w:rsidR="002806D3" w:rsidRDefault="6FFD0105" w:rsidP="00FE3AE0">
      <w:pPr>
        <w:pStyle w:val="ListParagraph"/>
        <w:numPr>
          <w:ilvl w:val="0"/>
          <w:numId w:val="16"/>
        </w:numPr>
      </w:pPr>
      <w:r>
        <w:t xml:space="preserve">Option </w:t>
      </w:r>
      <w:r w:rsidR="44350883">
        <w:t>2</w:t>
      </w:r>
      <w:r w:rsidR="00435841">
        <w:t>.</w:t>
      </w:r>
      <w:r>
        <w:t xml:space="preserve"> </w:t>
      </w:r>
      <w:r w:rsidR="006478F2">
        <w:t>Equalise Rebate rates across ages for each income tier.</w:t>
      </w:r>
      <w:r>
        <w:t xml:space="preserve"> </w:t>
      </w:r>
    </w:p>
    <w:p w14:paraId="511267CA" w14:textId="529C2C40" w:rsidR="002806D3" w:rsidRDefault="6FFD0105" w:rsidP="00FE3AE0">
      <w:pPr>
        <w:pStyle w:val="ListParagraph"/>
        <w:numPr>
          <w:ilvl w:val="0"/>
          <w:numId w:val="16"/>
        </w:numPr>
      </w:pPr>
      <w:r>
        <w:t xml:space="preserve">Option </w:t>
      </w:r>
      <w:r w:rsidR="2C4A17BC">
        <w:t>3</w:t>
      </w:r>
      <w:r w:rsidR="00435841">
        <w:t>.</w:t>
      </w:r>
      <w:r>
        <w:t xml:space="preserve"> </w:t>
      </w:r>
      <w:r w:rsidR="006478F2">
        <w:t xml:space="preserve">Equalise Rebate rates across ages for </w:t>
      </w:r>
      <w:r w:rsidR="00AB5751">
        <w:t xml:space="preserve">low-middle incomes and remove </w:t>
      </w:r>
      <w:r w:rsidR="00522043">
        <w:t xml:space="preserve">Rebate </w:t>
      </w:r>
      <w:r w:rsidR="00AB5751">
        <w:t>for higher incomes</w:t>
      </w:r>
      <w:r w:rsidR="00522043">
        <w:t xml:space="preserve"> (Tier 2)</w:t>
      </w:r>
      <w:r w:rsidR="004F67F0">
        <w:t xml:space="preserve"> and reduce it for middle incomes (Tier 1)</w:t>
      </w:r>
      <w:r w:rsidR="00522043">
        <w:t>.</w:t>
      </w:r>
    </w:p>
    <w:p w14:paraId="1F7A31CC" w14:textId="1C0BFE32" w:rsidR="003D0E75" w:rsidRDefault="57667C13">
      <w:r>
        <w:t xml:space="preserve">Option </w:t>
      </w:r>
      <w:r w:rsidR="2F7E8684">
        <w:t>2</w:t>
      </w:r>
      <w:r>
        <w:t xml:space="preserve"> was considered the best option</w:t>
      </w:r>
      <w:r w:rsidR="3B1FA5C8">
        <w:t xml:space="preserve"> as it </w:t>
      </w:r>
      <w:r w:rsidR="002368E6">
        <w:t>meets the identified objective</w:t>
      </w:r>
      <w:r w:rsidR="00C92F0B">
        <w:t>s</w:t>
      </w:r>
      <w:r w:rsidR="002368E6">
        <w:t xml:space="preserve"> and has a smaller impact on insurers, policyholders and PHI participation than Option 3</w:t>
      </w:r>
      <w:r>
        <w:t xml:space="preserve">. </w:t>
      </w:r>
      <w:r w:rsidR="7FA335E5">
        <w:t xml:space="preserve">Option </w:t>
      </w:r>
      <w:r w:rsidR="31CFB370">
        <w:t>2</w:t>
      </w:r>
      <w:r>
        <w:t xml:space="preserve"> will be implemented </w:t>
      </w:r>
      <w:r w:rsidR="00C3402F">
        <w:t xml:space="preserve">on </w:t>
      </w:r>
      <w:r>
        <w:t>1 April 2027.</w:t>
      </w:r>
      <w:r w:rsidR="009B5C36">
        <w:t xml:space="preserve"> </w:t>
      </w:r>
      <w:r w:rsidR="00FB5110">
        <w:t>The</w:t>
      </w:r>
      <w:r w:rsidR="00957973">
        <w:t xml:space="preserve"> </w:t>
      </w:r>
      <w:r w:rsidR="00EF1F30">
        <w:t>additional Government funding</w:t>
      </w:r>
      <w:r w:rsidR="007404A7">
        <w:t xml:space="preserve"> for </w:t>
      </w:r>
      <w:r w:rsidR="00957973">
        <w:t>important aged care services</w:t>
      </w:r>
      <w:r w:rsidR="00504C85">
        <w:t xml:space="preserve"> would not be possible without the savings realised through the rebate changes</w:t>
      </w:r>
      <w:r w:rsidR="00292E8C">
        <w:t>,</w:t>
      </w:r>
      <w:r w:rsidR="003D0E75">
        <w:t xml:space="preserve"> </w:t>
      </w:r>
      <w:r w:rsidR="00292E8C">
        <w:t>s</w:t>
      </w:r>
      <w:r w:rsidR="003D0E75">
        <w:t>pecifically:</w:t>
      </w:r>
    </w:p>
    <w:p w14:paraId="2DD533EE" w14:textId="77777777" w:rsidR="003D0E75" w:rsidRDefault="003D0E75" w:rsidP="003D0E75">
      <w:pPr>
        <w:pStyle w:val="ListParagraph"/>
        <w:numPr>
          <w:ilvl w:val="0"/>
          <w:numId w:val="49"/>
        </w:numPr>
      </w:pPr>
      <w:r>
        <w:lastRenderedPageBreak/>
        <w:t>provide targeted capital subsidies for residential aged care, providing additional funding for supported residents for newly built or refurbished homes</w:t>
      </w:r>
    </w:p>
    <w:p w14:paraId="6735FC9D" w14:textId="77777777" w:rsidR="003D0E75" w:rsidRDefault="003D0E75" w:rsidP="003D0E75">
      <w:pPr>
        <w:pStyle w:val="ListParagraph"/>
        <w:numPr>
          <w:ilvl w:val="0"/>
          <w:numId w:val="49"/>
        </w:numPr>
      </w:pPr>
      <w:r>
        <w:t>increase the accommodation supplement and structural changes to introduce new tiers, and additional payment for homes with more than 60% supported residents</w:t>
      </w:r>
    </w:p>
    <w:p w14:paraId="1D28F3FF" w14:textId="77777777" w:rsidR="003D0E75" w:rsidRDefault="003D0E75" w:rsidP="003D0E75">
      <w:pPr>
        <w:pStyle w:val="ListParagraph"/>
        <w:numPr>
          <w:ilvl w:val="0"/>
          <w:numId w:val="49"/>
        </w:numPr>
      </w:pPr>
      <w:r>
        <w:t>deliver 20 additional Specialist Dementia Care units and expand the Hospital to Aged Care Dementia Support Program, and</w:t>
      </w:r>
    </w:p>
    <w:p w14:paraId="5BFDBB5B" w14:textId="05E8092E" w:rsidR="000251A4" w:rsidRPr="000861B0" w:rsidRDefault="003D0E75" w:rsidP="001F0A22">
      <w:pPr>
        <w:pStyle w:val="ListParagraph"/>
        <w:numPr>
          <w:ilvl w:val="0"/>
          <w:numId w:val="49"/>
        </w:numPr>
      </w:pPr>
      <w:r>
        <w:t xml:space="preserve">expand access to the Support at Home program and make improvements to the program so that it is fairer and more affordable for older Australians. </w:t>
      </w:r>
    </w:p>
    <w:p w14:paraId="30096B26" w14:textId="7C5BCAD5" w:rsidR="000251A4" w:rsidRPr="00450953" w:rsidRDefault="00D365D0" w:rsidP="00450953">
      <w:pPr>
        <w:pStyle w:val="Heading1"/>
      </w:pPr>
      <w:r>
        <w:br w:type="column"/>
      </w:r>
      <w:r w:rsidR="009E255F" w:rsidRPr="00450953">
        <w:lastRenderedPageBreak/>
        <w:t xml:space="preserve">Background </w:t>
      </w:r>
    </w:p>
    <w:p w14:paraId="71DEAF10" w14:textId="2648BFA2" w:rsidR="00B748BC" w:rsidRDefault="584FE3E1" w:rsidP="00B748BC">
      <w:bookmarkStart w:id="1" w:name="_Toc96326938"/>
      <w:r w:rsidRPr="000861B0">
        <w:t>PHI is used by 1</w:t>
      </w:r>
      <w:r w:rsidR="16BCF294" w:rsidRPr="000861B0">
        <w:t>5</w:t>
      </w:r>
      <w:r w:rsidRPr="000861B0">
        <w:t>.</w:t>
      </w:r>
      <w:r w:rsidR="00AB299F" w:rsidRPr="000861B0">
        <w:t>4</w:t>
      </w:r>
      <w:r w:rsidRPr="000861B0">
        <w:t xml:space="preserve"> million people </w:t>
      </w:r>
      <w:r w:rsidR="36ACC400" w:rsidRPr="000861B0">
        <w:t xml:space="preserve">in Australia </w:t>
      </w:r>
      <w:r w:rsidRPr="000861B0">
        <w:t>to help them access</w:t>
      </w:r>
      <w:r w:rsidR="001749A4">
        <w:t xml:space="preserve"> </w:t>
      </w:r>
      <w:r w:rsidRPr="000861B0">
        <w:t>healthcare.</w:t>
      </w:r>
      <w:r w:rsidR="00636631">
        <w:rPr>
          <w:rStyle w:val="FootnoteReference"/>
        </w:rPr>
        <w:footnoteReference w:id="3"/>
      </w:r>
      <w:r w:rsidR="6B6E9A54" w:rsidRPr="000861B0">
        <w:t xml:space="preserve"> </w:t>
      </w:r>
      <w:r w:rsidR="00492BD9">
        <w:t>For the 2025 calendar year,</w:t>
      </w:r>
      <w:r w:rsidR="00600E9F">
        <w:t xml:space="preserve"> insurer</w:t>
      </w:r>
      <w:r w:rsidR="00492BD9">
        <w:t xml:space="preserve"> premium revenue and benefits paid w</w:t>
      </w:r>
      <w:r w:rsidR="140B0C7B">
        <w:t>ere</w:t>
      </w:r>
      <w:r w:rsidR="00492BD9">
        <w:t xml:space="preserve"> $31.9 billion and $27.2 billion</w:t>
      </w:r>
      <w:r w:rsidR="75F918CF">
        <w:t>,</w:t>
      </w:r>
      <w:r w:rsidR="00492BD9">
        <w:t xml:space="preserve"> respectively</w:t>
      </w:r>
      <w:r w:rsidR="6B6E9A54">
        <w:t>.</w:t>
      </w:r>
      <w:r w:rsidR="00492BD9">
        <w:rPr>
          <w:rStyle w:val="FootnoteReference"/>
        </w:rPr>
        <w:footnoteReference w:id="4"/>
      </w:r>
      <w:r w:rsidR="6B6E9A54" w:rsidRPr="000861B0">
        <w:t xml:space="preserve"> </w:t>
      </w:r>
    </w:p>
    <w:p w14:paraId="31BCEF8E" w14:textId="3A47AA83" w:rsidR="000251A4" w:rsidRDefault="63596342" w:rsidP="00B748BC">
      <w:r w:rsidRPr="000861B0">
        <w:t>I</w:t>
      </w:r>
      <w:r w:rsidR="584FE3E1" w:rsidRPr="000861B0">
        <w:t>ndividuals</w:t>
      </w:r>
      <w:r w:rsidR="53F15D1D" w:rsidRPr="000861B0">
        <w:t xml:space="preserve"> with PHI</w:t>
      </w:r>
      <w:r w:rsidR="584FE3E1" w:rsidRPr="000861B0">
        <w:t xml:space="preserve"> make a </w:t>
      </w:r>
      <w:r w:rsidR="0029384A" w:rsidRPr="000861B0">
        <w:t>significant contribution to financing the cost of their own health care and</w:t>
      </w:r>
      <w:r w:rsidR="584FE3E1" w:rsidRPr="000861B0">
        <w:t xml:space="preserve"> to funding the Australian healthcare system.</w:t>
      </w:r>
      <w:r w:rsidR="0090607E" w:rsidRPr="0090607E">
        <w:t xml:space="preserve"> </w:t>
      </w:r>
      <w:r w:rsidR="00A51FB4">
        <w:t>This contribution</w:t>
      </w:r>
      <w:r w:rsidR="00E3131B">
        <w:t xml:space="preserve"> </w:t>
      </w:r>
      <w:r w:rsidR="0090607E" w:rsidRPr="0090607E">
        <w:t>protects consumer interests, including by safeguarding their ability to exercise greater choice over their healthcare provider</w:t>
      </w:r>
      <w:r w:rsidR="0090122A">
        <w:t>.</w:t>
      </w:r>
      <w:r w:rsidR="584FE3E1" w:rsidRPr="000861B0">
        <w:t xml:space="preserve"> </w:t>
      </w:r>
      <w:r w:rsidR="09ED13D5" w:rsidRPr="000861B0">
        <w:t>In recognition of this</w:t>
      </w:r>
      <w:r w:rsidR="00057F85">
        <w:t xml:space="preserve"> valuable contribution</w:t>
      </w:r>
      <w:r w:rsidR="0090122A">
        <w:t>,</w:t>
      </w:r>
      <w:r w:rsidR="09ED13D5" w:rsidRPr="000861B0">
        <w:t xml:space="preserve"> t</w:t>
      </w:r>
      <w:r w:rsidR="584FE3E1" w:rsidRPr="000861B0">
        <w:t xml:space="preserve">he </w:t>
      </w:r>
      <w:r w:rsidR="409B994B" w:rsidRPr="000861B0">
        <w:t>Government</w:t>
      </w:r>
      <w:r w:rsidR="02E95E30" w:rsidRPr="000861B0">
        <w:t xml:space="preserve"> </w:t>
      </w:r>
      <w:r w:rsidR="584FE3E1" w:rsidRPr="000861B0">
        <w:t>provides financial incentives for people to take out PHI.</w:t>
      </w:r>
      <w:r w:rsidR="00355338">
        <w:t xml:space="preserve"> </w:t>
      </w:r>
      <w:r w:rsidR="005234EC">
        <w:t>F</w:t>
      </w:r>
      <w:r w:rsidR="00A367E9">
        <w:t xml:space="preserve">inancial </w:t>
      </w:r>
      <w:r w:rsidR="00D513F4">
        <w:t>incentives</w:t>
      </w:r>
      <w:r w:rsidR="00355338">
        <w:t xml:space="preserve"> include </w:t>
      </w:r>
      <w:r w:rsidR="004019C2">
        <w:t xml:space="preserve">the </w:t>
      </w:r>
      <w:r w:rsidR="004E38BE">
        <w:t xml:space="preserve">Government’s </w:t>
      </w:r>
      <w:r w:rsidR="004019C2">
        <w:t>PHI Rebate</w:t>
      </w:r>
      <w:r w:rsidR="00C813E0">
        <w:t>,</w:t>
      </w:r>
      <w:r w:rsidR="004E38BE">
        <w:t xml:space="preserve"> which is paid to </w:t>
      </w:r>
      <w:r w:rsidR="00D513F4">
        <w:t>eligible consumers as a percentage of premiums</w:t>
      </w:r>
      <w:r w:rsidR="00531014">
        <w:t xml:space="preserve"> </w:t>
      </w:r>
      <w:r w:rsidR="00026D10">
        <w:t>charged by private health insurers</w:t>
      </w:r>
      <w:r w:rsidR="00D513F4">
        <w:t>.</w:t>
      </w:r>
      <w:r w:rsidR="00666EAC">
        <w:t xml:space="preserve"> People on lower incomes and older Australians receive a </w:t>
      </w:r>
      <w:r w:rsidR="00BE78CB">
        <w:t>higher level of financial assistance from the Rebate</w:t>
      </w:r>
      <w:r w:rsidR="00867573">
        <w:t xml:space="preserve">. People on higher incomes are encouraged </w:t>
      </w:r>
      <w:r w:rsidR="009762BE">
        <w:t>to take out PHI through the Medicare Levy Surcharge (MLS)</w:t>
      </w:r>
      <w:r w:rsidR="00831423">
        <w:t xml:space="preserve"> </w:t>
      </w:r>
      <w:r w:rsidR="00BF16C7">
        <w:t xml:space="preserve">which is a levy </w:t>
      </w:r>
      <w:r w:rsidR="005C0CCA">
        <w:t xml:space="preserve">paid by Australian taxpayers who do not hold </w:t>
      </w:r>
      <w:r w:rsidR="00AB7D25">
        <w:t>private hospital insurance</w:t>
      </w:r>
      <w:r w:rsidR="00A43E6F">
        <w:rPr>
          <w:rStyle w:val="FootnoteReference"/>
        </w:rPr>
        <w:footnoteReference w:id="5"/>
      </w:r>
      <w:r w:rsidR="00BE78CB">
        <w:t>.</w:t>
      </w:r>
    </w:p>
    <w:p w14:paraId="7756E474" w14:textId="2820E028" w:rsidR="004163B2" w:rsidRDefault="004163B2" w:rsidP="00B748BC">
      <w:r>
        <w:t xml:space="preserve">For reference, the Rebate </w:t>
      </w:r>
      <w:r w:rsidR="00091624">
        <w:t xml:space="preserve">and MLS </w:t>
      </w:r>
      <w:r>
        <w:t xml:space="preserve">settings </w:t>
      </w:r>
      <w:r w:rsidR="008D3B26">
        <w:t xml:space="preserve">as </w:t>
      </w:r>
      <w:proofErr w:type="gramStart"/>
      <w:r w:rsidR="008D3B26">
        <w:t>at</w:t>
      </w:r>
      <w:proofErr w:type="gramEnd"/>
      <w:r w:rsidR="008D3B26">
        <w:t xml:space="preserve"> 1 July 2026 </w:t>
      </w:r>
      <w:r w:rsidR="0007054F">
        <w:t>are</w:t>
      </w:r>
      <w:r>
        <w:t xml:space="preserve"> provided below</w:t>
      </w:r>
      <w:r w:rsidR="00FC7317">
        <w:t xml:space="preserve"> in Table 1</w:t>
      </w:r>
      <w:r w:rsidR="00D63C69">
        <w:t>.</w:t>
      </w:r>
    </w:p>
    <w:p w14:paraId="20B81BC5" w14:textId="7684CB64" w:rsidR="004163B2" w:rsidRPr="000861B0" w:rsidRDefault="004163B2" w:rsidP="00F95D42">
      <w:pPr>
        <w:pStyle w:val="Heading3"/>
        <w:rPr>
          <w:rStyle w:val="eop"/>
          <w:rFonts w:asciiTheme="minorHAnsi" w:eastAsiaTheme="minorEastAsia" w:hAnsiTheme="minorHAnsi"/>
          <w:b/>
        </w:rPr>
      </w:pPr>
      <w:r w:rsidRPr="000861B0">
        <w:t xml:space="preserve">Table </w:t>
      </w:r>
      <w:r>
        <w:t>1</w:t>
      </w:r>
      <w:r w:rsidRPr="000861B0">
        <w:t xml:space="preserve">: </w:t>
      </w:r>
      <w:r>
        <w:t xml:space="preserve">Rebate </w:t>
      </w:r>
      <w:r w:rsidR="00091624">
        <w:t xml:space="preserve">and MLS </w:t>
      </w:r>
      <w:r>
        <w:t>settings</w:t>
      </w:r>
      <w:r w:rsidR="001548ED">
        <w:t xml:space="preserve"> as </w:t>
      </w:r>
      <w:proofErr w:type="gramStart"/>
      <w:r w:rsidR="001548ED">
        <w:t>at</w:t>
      </w:r>
      <w:proofErr w:type="gramEnd"/>
      <w:r w:rsidR="001548ED">
        <w:t xml:space="preserve"> </w:t>
      </w:r>
      <w:r w:rsidR="00765925">
        <w:t>1 July 2026</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able shows the relevant PHI income tiers, Rebate rates, and MLS rates as at 1 July 2026. The Rebate rates vary by income and by age."/>
      </w:tblPr>
      <w:tblGrid>
        <w:gridCol w:w="2250"/>
        <w:gridCol w:w="1885"/>
        <w:gridCol w:w="1885"/>
        <w:gridCol w:w="1885"/>
        <w:gridCol w:w="1290"/>
      </w:tblGrid>
      <w:tr w:rsidR="00AF3595" w:rsidRPr="000861B0" w14:paraId="39A9EC1F" w14:textId="77777777" w:rsidTr="00F31219">
        <w:trPr>
          <w:trHeight w:val="240"/>
          <w:tblHeader/>
        </w:trPr>
        <w:tc>
          <w:tcPr>
            <w:tcW w:w="2250" w:type="dxa"/>
            <w:vAlign w:val="bottom"/>
            <w:hideMark/>
          </w:tcPr>
          <w:p w14:paraId="520E2676" w14:textId="77777777" w:rsidR="004163B2" w:rsidRPr="000861B0" w:rsidRDefault="004163B2">
            <w:pPr>
              <w:spacing w:after="0" w:line="240" w:lineRule="auto"/>
              <w:textAlignment w:val="baseline"/>
              <w:rPr>
                <w:rFonts w:ascii="Times New Roman" w:eastAsia="Times New Roman" w:hAnsi="Times New Roman" w:cs="Times New Roman"/>
                <w:sz w:val="24"/>
                <w:szCs w:val="24"/>
                <w:lang w:eastAsia="en-AU"/>
              </w:rPr>
            </w:pPr>
            <w:r w:rsidRPr="000861B0">
              <w:rPr>
                <w:rFonts w:ascii="Arial" w:eastAsia="Times New Roman" w:hAnsi="Arial" w:cs="Arial"/>
                <w:sz w:val="20"/>
                <w:szCs w:val="20"/>
                <w:lang w:eastAsia="en-AU"/>
              </w:rPr>
              <w:t> </w:t>
            </w:r>
          </w:p>
        </w:tc>
        <w:tc>
          <w:tcPr>
            <w:tcW w:w="6945" w:type="dxa"/>
            <w:gridSpan w:val="4"/>
            <w:shd w:val="clear" w:color="auto" w:fill="1C2B39" w:themeFill="accent1"/>
            <w:vAlign w:val="bottom"/>
          </w:tcPr>
          <w:p w14:paraId="03E66B2A" w14:textId="30D2DE32" w:rsidR="004163B2" w:rsidRPr="000861B0" w:rsidRDefault="00553BA4">
            <w:pPr>
              <w:spacing w:after="0" w:line="240" w:lineRule="auto"/>
              <w:jc w:val="center"/>
              <w:textAlignment w:val="baseline"/>
              <w:rPr>
                <w:rFonts w:ascii="Times New Roman" w:eastAsia="Times New Roman" w:hAnsi="Times New Roman" w:cs="Times New Roman"/>
                <w:sz w:val="24"/>
                <w:szCs w:val="24"/>
                <w:lang w:eastAsia="en-AU"/>
              </w:rPr>
            </w:pPr>
            <w:r>
              <w:rPr>
                <w:rFonts w:ascii="Arial" w:eastAsia="Times New Roman" w:hAnsi="Arial" w:cs="Arial"/>
                <w:b/>
                <w:bCs/>
                <w:sz w:val="20"/>
                <w:szCs w:val="20"/>
                <w:lang w:eastAsia="en-AU"/>
              </w:rPr>
              <w:t>Income Tiers</w:t>
            </w:r>
          </w:p>
        </w:tc>
      </w:tr>
      <w:tr w:rsidR="00644C18" w:rsidRPr="000861B0" w14:paraId="0D861071" w14:textId="77777777" w:rsidTr="00F31219">
        <w:trPr>
          <w:trHeight w:val="240"/>
          <w:tblHeader/>
        </w:trPr>
        <w:tc>
          <w:tcPr>
            <w:tcW w:w="2250" w:type="dxa"/>
            <w:vAlign w:val="bottom"/>
            <w:hideMark/>
          </w:tcPr>
          <w:p w14:paraId="46D42E23" w14:textId="77777777" w:rsidR="004163B2" w:rsidRPr="000861B0" w:rsidRDefault="004163B2">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Singles Tier threshold</w:t>
            </w:r>
          </w:p>
          <w:p w14:paraId="54FADC7D" w14:textId="77777777" w:rsidR="004163B2" w:rsidRPr="000861B0" w:rsidRDefault="004163B2">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Families Tier threshold</w:t>
            </w:r>
          </w:p>
        </w:tc>
        <w:tc>
          <w:tcPr>
            <w:tcW w:w="1885" w:type="dxa"/>
            <w:vAlign w:val="bottom"/>
            <w:hideMark/>
          </w:tcPr>
          <w:p w14:paraId="36E99734" w14:textId="77777777" w:rsidR="004163B2" w:rsidRPr="000861B0" w:rsidRDefault="004163B2">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&lt;</w:t>
            </w:r>
            <w:r w:rsidRPr="000861B0">
              <w:rPr>
                <w:rFonts w:ascii="Arial" w:eastAsia="Times New Roman" w:hAnsi="Arial" w:cs="Arial"/>
                <w:sz w:val="20"/>
                <w:szCs w:val="20"/>
                <w:lang w:eastAsia="en-AU"/>
              </w:rPr>
              <w:t> $105,000 </w:t>
            </w:r>
          </w:p>
          <w:p w14:paraId="3A5A8008" w14:textId="77777777" w:rsidR="004163B2" w:rsidRPr="000861B0" w:rsidRDefault="004163B2">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&lt;</w:t>
            </w:r>
            <w:r w:rsidRPr="000861B0">
              <w:rPr>
                <w:rFonts w:ascii="Arial" w:eastAsia="Times New Roman" w:hAnsi="Arial" w:cs="Arial"/>
                <w:sz w:val="20"/>
                <w:szCs w:val="20"/>
                <w:lang w:eastAsia="en-AU"/>
              </w:rPr>
              <w:t> $210,000 </w:t>
            </w:r>
          </w:p>
        </w:tc>
        <w:tc>
          <w:tcPr>
            <w:tcW w:w="1885" w:type="dxa"/>
            <w:vAlign w:val="bottom"/>
            <w:hideMark/>
          </w:tcPr>
          <w:p w14:paraId="3CEE7A17" w14:textId="77777777" w:rsidR="004163B2" w:rsidRPr="000861B0" w:rsidRDefault="004163B2">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$105,001-123,000 </w:t>
            </w:r>
          </w:p>
          <w:p w14:paraId="23CE8D43" w14:textId="77777777" w:rsidR="004163B2" w:rsidRPr="000861B0" w:rsidRDefault="004163B2">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$210,001-246,000 </w:t>
            </w:r>
          </w:p>
        </w:tc>
        <w:tc>
          <w:tcPr>
            <w:tcW w:w="1885" w:type="dxa"/>
            <w:vAlign w:val="bottom"/>
            <w:hideMark/>
          </w:tcPr>
          <w:p w14:paraId="460E1310" w14:textId="77777777" w:rsidR="004163B2" w:rsidRPr="000861B0" w:rsidRDefault="004163B2">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$123,001-164,000 </w:t>
            </w:r>
          </w:p>
          <w:p w14:paraId="24FE30D8" w14:textId="77777777" w:rsidR="004163B2" w:rsidRPr="000861B0" w:rsidRDefault="004163B2">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$246,001-328,000 </w:t>
            </w:r>
          </w:p>
        </w:tc>
        <w:tc>
          <w:tcPr>
            <w:tcW w:w="1290" w:type="dxa"/>
            <w:vAlign w:val="bottom"/>
            <w:hideMark/>
          </w:tcPr>
          <w:p w14:paraId="46A494C0" w14:textId="77777777" w:rsidR="004163B2" w:rsidRPr="000861B0" w:rsidRDefault="004163B2">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&gt;</w:t>
            </w:r>
            <w:r w:rsidRPr="000861B0">
              <w:rPr>
                <w:rFonts w:ascii="Arial" w:eastAsia="Times New Roman" w:hAnsi="Arial" w:cs="Arial"/>
                <w:sz w:val="20"/>
                <w:szCs w:val="20"/>
                <w:lang w:eastAsia="en-AU"/>
              </w:rPr>
              <w:t>$164,001 </w:t>
            </w:r>
          </w:p>
          <w:p w14:paraId="32EB7220" w14:textId="77777777" w:rsidR="004163B2" w:rsidRPr="000861B0" w:rsidRDefault="004163B2">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&gt;</w:t>
            </w:r>
            <w:r w:rsidRPr="000861B0">
              <w:rPr>
                <w:rFonts w:ascii="Arial" w:eastAsia="Times New Roman" w:hAnsi="Arial" w:cs="Arial"/>
                <w:sz w:val="20"/>
                <w:szCs w:val="20"/>
                <w:lang w:eastAsia="en-AU"/>
              </w:rPr>
              <w:t>$328,001 </w:t>
            </w:r>
          </w:p>
        </w:tc>
      </w:tr>
      <w:tr w:rsidR="00A9789C" w:rsidRPr="000861B0" w14:paraId="111C2BE1" w14:textId="77777777" w:rsidTr="00F31219">
        <w:trPr>
          <w:trHeight w:val="285"/>
          <w:tblHeader/>
        </w:trPr>
        <w:tc>
          <w:tcPr>
            <w:tcW w:w="2250" w:type="dxa"/>
            <w:vAlign w:val="bottom"/>
          </w:tcPr>
          <w:p w14:paraId="003C37E9" w14:textId="77777777" w:rsidR="00A9789C" w:rsidRPr="000861B0" w:rsidRDefault="00A9789C">
            <w:pPr>
              <w:spacing w:after="0" w:line="240" w:lineRule="auto"/>
              <w:textAlignment w:val="baseline"/>
              <w:rPr>
                <w:rFonts w:ascii="Arial" w:eastAsia="Times New Roman" w:hAnsi="Arial" w:cs="Arial"/>
                <w:sz w:val="20"/>
                <w:szCs w:val="20"/>
                <w:lang w:eastAsia="en-AU"/>
              </w:rPr>
            </w:pPr>
          </w:p>
        </w:tc>
        <w:tc>
          <w:tcPr>
            <w:tcW w:w="6945" w:type="dxa"/>
            <w:gridSpan w:val="4"/>
            <w:shd w:val="clear" w:color="auto" w:fill="1C2B39" w:themeFill="text1"/>
            <w:vAlign w:val="bottom"/>
          </w:tcPr>
          <w:p w14:paraId="150F9036" w14:textId="4BE5D2FD" w:rsidR="00A9789C" w:rsidRPr="000861B0" w:rsidRDefault="00A9789C">
            <w:pPr>
              <w:spacing w:after="0" w:line="240" w:lineRule="auto"/>
              <w:jc w:val="center"/>
              <w:textAlignment w:val="baseline"/>
              <w:rPr>
                <w:rFonts w:ascii="Arial" w:eastAsia="Times New Roman" w:hAnsi="Arial" w:cs="Arial"/>
                <w:b/>
                <w:bCs/>
                <w:sz w:val="20"/>
                <w:szCs w:val="20"/>
                <w:lang w:eastAsia="en-AU"/>
              </w:rPr>
            </w:pPr>
            <w:r w:rsidRPr="000861B0">
              <w:rPr>
                <w:rFonts w:ascii="Arial" w:eastAsia="Times New Roman" w:hAnsi="Arial" w:cs="Arial"/>
                <w:b/>
                <w:bCs/>
                <w:sz w:val="20"/>
                <w:szCs w:val="20"/>
                <w:lang w:eastAsia="en-AU"/>
              </w:rPr>
              <w:t>PHI Rebate %</w:t>
            </w:r>
          </w:p>
        </w:tc>
      </w:tr>
      <w:tr w:rsidR="00644C18" w:rsidRPr="000861B0" w14:paraId="0DF49D49" w14:textId="77777777" w:rsidTr="00F31219">
        <w:trPr>
          <w:trHeight w:val="285"/>
          <w:tblHeader/>
        </w:trPr>
        <w:tc>
          <w:tcPr>
            <w:tcW w:w="2250" w:type="dxa"/>
            <w:vAlign w:val="bottom"/>
            <w:hideMark/>
          </w:tcPr>
          <w:p w14:paraId="6B317838" w14:textId="77777777" w:rsidR="004163B2" w:rsidRPr="000861B0" w:rsidRDefault="004163B2">
            <w:pPr>
              <w:spacing w:after="0" w:line="240" w:lineRule="auto"/>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 </w:t>
            </w:r>
          </w:p>
        </w:tc>
        <w:tc>
          <w:tcPr>
            <w:tcW w:w="1885" w:type="dxa"/>
            <w:vAlign w:val="bottom"/>
            <w:hideMark/>
          </w:tcPr>
          <w:p w14:paraId="63DDECE2"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Base Tier</w:t>
            </w:r>
            <w:r w:rsidRPr="000861B0">
              <w:rPr>
                <w:rFonts w:ascii="Arial" w:eastAsia="Times New Roman" w:hAnsi="Arial" w:cs="Arial"/>
                <w:sz w:val="20"/>
                <w:szCs w:val="20"/>
                <w:lang w:eastAsia="en-AU"/>
              </w:rPr>
              <w:t> </w:t>
            </w:r>
          </w:p>
        </w:tc>
        <w:tc>
          <w:tcPr>
            <w:tcW w:w="1885" w:type="dxa"/>
            <w:vAlign w:val="bottom"/>
            <w:hideMark/>
          </w:tcPr>
          <w:p w14:paraId="53D593B6"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Tier 1</w:t>
            </w:r>
            <w:r w:rsidRPr="000861B0">
              <w:rPr>
                <w:rFonts w:ascii="Arial" w:eastAsia="Times New Roman" w:hAnsi="Arial" w:cs="Arial"/>
                <w:sz w:val="20"/>
                <w:szCs w:val="20"/>
                <w:lang w:eastAsia="en-AU"/>
              </w:rPr>
              <w:t> </w:t>
            </w:r>
          </w:p>
        </w:tc>
        <w:tc>
          <w:tcPr>
            <w:tcW w:w="1885" w:type="dxa"/>
            <w:vAlign w:val="bottom"/>
            <w:hideMark/>
          </w:tcPr>
          <w:p w14:paraId="43907F63"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Tier 2</w:t>
            </w:r>
            <w:r w:rsidRPr="000861B0">
              <w:rPr>
                <w:rFonts w:ascii="Arial" w:eastAsia="Times New Roman" w:hAnsi="Arial" w:cs="Arial"/>
                <w:sz w:val="20"/>
                <w:szCs w:val="20"/>
                <w:lang w:eastAsia="en-AU"/>
              </w:rPr>
              <w:t> </w:t>
            </w:r>
          </w:p>
        </w:tc>
        <w:tc>
          <w:tcPr>
            <w:tcW w:w="1290" w:type="dxa"/>
            <w:vAlign w:val="bottom"/>
            <w:hideMark/>
          </w:tcPr>
          <w:p w14:paraId="1973E3BE"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Tier 3</w:t>
            </w:r>
            <w:r w:rsidRPr="000861B0">
              <w:rPr>
                <w:rFonts w:ascii="Arial" w:eastAsia="Times New Roman" w:hAnsi="Arial" w:cs="Arial"/>
                <w:sz w:val="20"/>
                <w:szCs w:val="20"/>
                <w:lang w:eastAsia="en-AU"/>
              </w:rPr>
              <w:t> </w:t>
            </w:r>
          </w:p>
        </w:tc>
      </w:tr>
      <w:tr w:rsidR="00644C18" w:rsidRPr="000861B0" w14:paraId="5DF31325" w14:textId="77777777" w:rsidTr="00F31219">
        <w:trPr>
          <w:trHeight w:val="285"/>
          <w:tblHeader/>
        </w:trPr>
        <w:tc>
          <w:tcPr>
            <w:tcW w:w="2250" w:type="dxa"/>
            <w:vAlign w:val="bottom"/>
            <w:hideMark/>
          </w:tcPr>
          <w:p w14:paraId="7C42A1E7" w14:textId="77777777" w:rsidR="004163B2" w:rsidRPr="000861B0" w:rsidRDefault="004163B2">
            <w:pPr>
              <w:keepNext/>
              <w:keepLines/>
              <w:spacing w:after="0" w:line="278" w:lineRule="auto"/>
              <w:rPr>
                <w:rFonts w:ascii="Arial" w:eastAsia="Arial" w:hAnsi="Arial" w:cs="Arial"/>
                <w:sz w:val="20"/>
                <w:szCs w:val="20"/>
              </w:rPr>
            </w:pPr>
            <w:r w:rsidRPr="000861B0">
              <w:rPr>
                <w:rFonts w:ascii="Arial" w:eastAsia="Times New Roman" w:hAnsi="Arial" w:cs="Arial"/>
                <w:sz w:val="20"/>
                <w:szCs w:val="20"/>
                <w:lang w:eastAsia="en-AU"/>
              </w:rPr>
              <w:t>Age &lt;65 </w:t>
            </w:r>
          </w:p>
        </w:tc>
        <w:tc>
          <w:tcPr>
            <w:tcW w:w="1885" w:type="dxa"/>
            <w:vAlign w:val="center"/>
            <w:hideMark/>
          </w:tcPr>
          <w:p w14:paraId="234A1773"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24.118%</w:t>
            </w:r>
          </w:p>
        </w:tc>
        <w:tc>
          <w:tcPr>
            <w:tcW w:w="1885" w:type="dxa"/>
            <w:vAlign w:val="center"/>
            <w:hideMark/>
          </w:tcPr>
          <w:p w14:paraId="6C726C6B"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16.079%</w:t>
            </w:r>
          </w:p>
        </w:tc>
        <w:tc>
          <w:tcPr>
            <w:tcW w:w="1885" w:type="dxa"/>
            <w:vAlign w:val="center"/>
            <w:hideMark/>
          </w:tcPr>
          <w:p w14:paraId="7CB6364F"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8.038%</w:t>
            </w:r>
          </w:p>
        </w:tc>
        <w:tc>
          <w:tcPr>
            <w:tcW w:w="1290" w:type="dxa"/>
            <w:vAlign w:val="center"/>
            <w:hideMark/>
          </w:tcPr>
          <w:p w14:paraId="754E7533"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0%</w:t>
            </w:r>
          </w:p>
        </w:tc>
      </w:tr>
      <w:tr w:rsidR="00644C18" w:rsidRPr="000861B0" w14:paraId="11ACC41D" w14:textId="77777777" w:rsidTr="00F31219">
        <w:trPr>
          <w:trHeight w:val="285"/>
          <w:tblHeader/>
        </w:trPr>
        <w:tc>
          <w:tcPr>
            <w:tcW w:w="2250" w:type="dxa"/>
            <w:vAlign w:val="bottom"/>
            <w:hideMark/>
          </w:tcPr>
          <w:p w14:paraId="513268C1" w14:textId="77777777" w:rsidR="004163B2" w:rsidRPr="000861B0" w:rsidRDefault="004163B2">
            <w:pPr>
              <w:keepNext/>
              <w:keepLines/>
              <w:spacing w:after="0" w:line="278" w:lineRule="auto"/>
              <w:rPr>
                <w:rFonts w:ascii="Arial" w:eastAsia="Arial" w:hAnsi="Arial" w:cs="Arial"/>
                <w:sz w:val="20"/>
                <w:szCs w:val="20"/>
              </w:rPr>
            </w:pPr>
            <w:r w:rsidRPr="000861B0">
              <w:rPr>
                <w:rFonts w:ascii="Arial" w:eastAsia="Times New Roman" w:hAnsi="Arial" w:cs="Arial"/>
                <w:sz w:val="20"/>
                <w:szCs w:val="20"/>
                <w:lang w:eastAsia="en-AU"/>
              </w:rPr>
              <w:t>Age 65-69 </w:t>
            </w:r>
          </w:p>
        </w:tc>
        <w:tc>
          <w:tcPr>
            <w:tcW w:w="1885" w:type="dxa"/>
            <w:vAlign w:val="center"/>
            <w:hideMark/>
          </w:tcPr>
          <w:p w14:paraId="15E986B0"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28.139</w:t>
            </w:r>
            <w:r>
              <w:rPr>
                <w:rFonts w:ascii="Arial" w:eastAsia="Arial" w:hAnsi="Arial" w:cs="Arial"/>
                <w:sz w:val="20"/>
                <w:szCs w:val="20"/>
              </w:rPr>
              <w:t>%</w:t>
            </w:r>
          </w:p>
        </w:tc>
        <w:tc>
          <w:tcPr>
            <w:tcW w:w="1885" w:type="dxa"/>
            <w:vAlign w:val="center"/>
            <w:hideMark/>
          </w:tcPr>
          <w:p w14:paraId="3AE0C7DC"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20.098</w:t>
            </w:r>
            <w:r>
              <w:rPr>
                <w:rFonts w:ascii="Arial" w:eastAsia="Arial" w:hAnsi="Arial" w:cs="Arial"/>
                <w:sz w:val="20"/>
                <w:szCs w:val="20"/>
              </w:rPr>
              <w:t>%</w:t>
            </w:r>
          </w:p>
        </w:tc>
        <w:tc>
          <w:tcPr>
            <w:tcW w:w="1885" w:type="dxa"/>
            <w:vAlign w:val="center"/>
            <w:hideMark/>
          </w:tcPr>
          <w:p w14:paraId="5C60060E"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12.058</w:t>
            </w:r>
            <w:r>
              <w:rPr>
                <w:rFonts w:ascii="Arial" w:eastAsia="Arial" w:hAnsi="Arial" w:cs="Arial"/>
                <w:sz w:val="20"/>
                <w:szCs w:val="20"/>
              </w:rPr>
              <w:t>%</w:t>
            </w:r>
          </w:p>
        </w:tc>
        <w:tc>
          <w:tcPr>
            <w:tcW w:w="1290" w:type="dxa"/>
            <w:vAlign w:val="center"/>
            <w:hideMark/>
          </w:tcPr>
          <w:p w14:paraId="6AD53DB2"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0%</w:t>
            </w:r>
          </w:p>
        </w:tc>
      </w:tr>
      <w:tr w:rsidR="00644C18" w:rsidRPr="000861B0" w14:paraId="7664EC34" w14:textId="77777777" w:rsidTr="00F31219">
        <w:trPr>
          <w:trHeight w:val="285"/>
          <w:tblHeader/>
        </w:trPr>
        <w:tc>
          <w:tcPr>
            <w:tcW w:w="2250" w:type="dxa"/>
            <w:vAlign w:val="bottom"/>
            <w:hideMark/>
          </w:tcPr>
          <w:p w14:paraId="2BEC361F" w14:textId="77777777" w:rsidR="004163B2" w:rsidRPr="000861B0" w:rsidRDefault="004163B2">
            <w:pPr>
              <w:keepNext/>
              <w:keepLines/>
              <w:spacing w:after="0" w:line="278" w:lineRule="auto"/>
              <w:rPr>
                <w:rFonts w:ascii="Arial" w:eastAsia="Arial" w:hAnsi="Arial" w:cs="Arial"/>
                <w:sz w:val="20"/>
                <w:szCs w:val="20"/>
              </w:rPr>
            </w:pPr>
            <w:r w:rsidRPr="000861B0">
              <w:rPr>
                <w:rFonts w:ascii="Arial" w:eastAsia="Times New Roman" w:hAnsi="Arial" w:cs="Arial"/>
                <w:sz w:val="20"/>
                <w:szCs w:val="20"/>
                <w:lang w:eastAsia="en-AU"/>
              </w:rPr>
              <w:t>Age 70+ </w:t>
            </w:r>
          </w:p>
        </w:tc>
        <w:tc>
          <w:tcPr>
            <w:tcW w:w="1885" w:type="dxa"/>
            <w:vAlign w:val="center"/>
            <w:hideMark/>
          </w:tcPr>
          <w:p w14:paraId="1FE515D6"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32.158</w:t>
            </w:r>
            <w:r>
              <w:rPr>
                <w:rFonts w:ascii="Arial" w:eastAsia="Arial" w:hAnsi="Arial" w:cs="Arial"/>
                <w:sz w:val="20"/>
                <w:szCs w:val="20"/>
              </w:rPr>
              <w:t>%</w:t>
            </w:r>
          </w:p>
        </w:tc>
        <w:tc>
          <w:tcPr>
            <w:tcW w:w="1885" w:type="dxa"/>
            <w:vAlign w:val="center"/>
            <w:hideMark/>
          </w:tcPr>
          <w:p w14:paraId="32836CAA"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24.118</w:t>
            </w:r>
            <w:r>
              <w:rPr>
                <w:rFonts w:ascii="Arial" w:eastAsia="Arial" w:hAnsi="Arial" w:cs="Arial"/>
                <w:sz w:val="20"/>
                <w:szCs w:val="20"/>
              </w:rPr>
              <w:t>%</w:t>
            </w:r>
          </w:p>
        </w:tc>
        <w:tc>
          <w:tcPr>
            <w:tcW w:w="1885" w:type="dxa"/>
            <w:vAlign w:val="center"/>
            <w:hideMark/>
          </w:tcPr>
          <w:p w14:paraId="76EC78E4"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16.079</w:t>
            </w:r>
            <w:r>
              <w:rPr>
                <w:rFonts w:ascii="Arial" w:eastAsia="Arial" w:hAnsi="Arial" w:cs="Arial"/>
                <w:iCs/>
                <w:sz w:val="20"/>
                <w:szCs w:val="20"/>
              </w:rPr>
              <w:t>%</w:t>
            </w:r>
          </w:p>
        </w:tc>
        <w:tc>
          <w:tcPr>
            <w:tcW w:w="1290" w:type="dxa"/>
            <w:vAlign w:val="center"/>
            <w:hideMark/>
          </w:tcPr>
          <w:p w14:paraId="68E6B970"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0%</w:t>
            </w:r>
          </w:p>
        </w:tc>
      </w:tr>
      <w:tr w:rsidR="00A9789C" w:rsidRPr="000861B0" w14:paraId="62FEF62D" w14:textId="77777777" w:rsidTr="00F31219">
        <w:trPr>
          <w:trHeight w:val="285"/>
          <w:tblHeader/>
        </w:trPr>
        <w:tc>
          <w:tcPr>
            <w:tcW w:w="2250" w:type="dxa"/>
            <w:vAlign w:val="bottom"/>
          </w:tcPr>
          <w:p w14:paraId="437A5C5E" w14:textId="77777777" w:rsidR="00A9789C" w:rsidRPr="000861B0" w:rsidRDefault="00A9789C">
            <w:pPr>
              <w:keepNext/>
              <w:keepLines/>
              <w:spacing w:after="0" w:line="278" w:lineRule="auto"/>
              <w:rPr>
                <w:rFonts w:ascii="Arial" w:eastAsia="Times New Roman" w:hAnsi="Arial" w:cs="Arial"/>
                <w:sz w:val="20"/>
                <w:szCs w:val="20"/>
                <w:lang w:eastAsia="en-AU"/>
              </w:rPr>
            </w:pPr>
          </w:p>
        </w:tc>
        <w:tc>
          <w:tcPr>
            <w:tcW w:w="6945" w:type="dxa"/>
            <w:gridSpan w:val="4"/>
            <w:shd w:val="clear" w:color="auto" w:fill="1C2B39" w:themeFill="text1"/>
            <w:vAlign w:val="center"/>
          </w:tcPr>
          <w:p w14:paraId="01B04976" w14:textId="2268F744" w:rsidR="00A9789C" w:rsidRPr="00553BA4" w:rsidRDefault="00A9789C">
            <w:pPr>
              <w:spacing w:after="0" w:line="240" w:lineRule="auto"/>
              <w:jc w:val="center"/>
              <w:textAlignment w:val="baseline"/>
              <w:rPr>
                <w:rFonts w:ascii="Arial" w:eastAsia="Times New Roman" w:hAnsi="Arial" w:cs="Arial"/>
                <w:b/>
                <w:bCs/>
                <w:sz w:val="20"/>
                <w:szCs w:val="20"/>
                <w:lang w:eastAsia="en-AU"/>
              </w:rPr>
            </w:pPr>
            <w:r w:rsidRPr="00553BA4">
              <w:rPr>
                <w:rFonts w:ascii="Arial" w:eastAsia="Times New Roman" w:hAnsi="Arial" w:cs="Arial"/>
                <w:b/>
                <w:bCs/>
                <w:sz w:val="20"/>
                <w:szCs w:val="20"/>
                <w:lang w:eastAsia="en-AU"/>
              </w:rPr>
              <w:t>MLS</w:t>
            </w:r>
            <w:r w:rsidR="00553BA4" w:rsidRPr="00553BA4">
              <w:rPr>
                <w:rFonts w:ascii="Arial" w:eastAsia="Times New Roman" w:hAnsi="Arial" w:cs="Arial"/>
                <w:b/>
                <w:bCs/>
                <w:sz w:val="20"/>
                <w:szCs w:val="20"/>
                <w:lang w:eastAsia="en-AU"/>
              </w:rPr>
              <w:t xml:space="preserve"> %</w:t>
            </w:r>
          </w:p>
        </w:tc>
      </w:tr>
      <w:tr w:rsidR="00A9789C" w:rsidRPr="000861B0" w14:paraId="6E9A3014" w14:textId="77777777" w:rsidTr="00F31219">
        <w:trPr>
          <w:trHeight w:val="285"/>
          <w:tblHeader/>
        </w:trPr>
        <w:tc>
          <w:tcPr>
            <w:tcW w:w="2250" w:type="dxa"/>
            <w:vAlign w:val="bottom"/>
          </w:tcPr>
          <w:p w14:paraId="699D4C3E" w14:textId="77777777" w:rsidR="00A9789C" w:rsidRPr="000861B0" w:rsidRDefault="00A9789C">
            <w:pPr>
              <w:keepNext/>
              <w:keepLines/>
              <w:spacing w:after="0" w:line="278" w:lineRule="auto"/>
              <w:rPr>
                <w:rFonts w:ascii="Arial" w:eastAsia="Times New Roman" w:hAnsi="Arial" w:cs="Arial"/>
                <w:sz w:val="20"/>
                <w:szCs w:val="20"/>
                <w:lang w:eastAsia="en-AU"/>
              </w:rPr>
            </w:pPr>
          </w:p>
        </w:tc>
        <w:tc>
          <w:tcPr>
            <w:tcW w:w="1885" w:type="dxa"/>
            <w:vAlign w:val="center"/>
          </w:tcPr>
          <w:p w14:paraId="5282DCFC" w14:textId="0EEDF01D" w:rsidR="00A9789C" w:rsidRPr="000861B0" w:rsidRDefault="00091624">
            <w:pPr>
              <w:spacing w:after="0" w:line="240" w:lineRule="auto"/>
              <w:jc w:val="center"/>
              <w:textAlignment w:val="baseline"/>
              <w:rPr>
                <w:rFonts w:ascii="Arial" w:eastAsia="Arial" w:hAnsi="Arial" w:cs="Arial"/>
                <w:sz w:val="20"/>
                <w:szCs w:val="20"/>
              </w:rPr>
            </w:pPr>
            <w:r>
              <w:rPr>
                <w:rFonts w:ascii="Arial" w:eastAsia="Arial" w:hAnsi="Arial" w:cs="Arial"/>
                <w:sz w:val="20"/>
                <w:szCs w:val="20"/>
              </w:rPr>
              <w:t>0.0%</w:t>
            </w:r>
          </w:p>
        </w:tc>
        <w:tc>
          <w:tcPr>
            <w:tcW w:w="1885" w:type="dxa"/>
            <w:vAlign w:val="center"/>
          </w:tcPr>
          <w:p w14:paraId="0164900F" w14:textId="188BAACA" w:rsidR="00A9789C" w:rsidRPr="000861B0" w:rsidRDefault="00091624">
            <w:pPr>
              <w:spacing w:after="0" w:line="240" w:lineRule="auto"/>
              <w:jc w:val="center"/>
              <w:textAlignment w:val="baseline"/>
              <w:rPr>
                <w:rFonts w:ascii="Arial" w:eastAsia="Arial" w:hAnsi="Arial" w:cs="Arial"/>
                <w:sz w:val="20"/>
                <w:szCs w:val="20"/>
              </w:rPr>
            </w:pPr>
            <w:r>
              <w:rPr>
                <w:rFonts w:ascii="Arial" w:eastAsia="Arial" w:hAnsi="Arial" w:cs="Arial"/>
                <w:sz w:val="20"/>
                <w:szCs w:val="20"/>
              </w:rPr>
              <w:t>1.0%</w:t>
            </w:r>
          </w:p>
        </w:tc>
        <w:tc>
          <w:tcPr>
            <w:tcW w:w="1885" w:type="dxa"/>
            <w:vAlign w:val="center"/>
          </w:tcPr>
          <w:p w14:paraId="09F74121" w14:textId="6CF5A291" w:rsidR="00A9789C" w:rsidRPr="000861B0" w:rsidRDefault="00091624">
            <w:pPr>
              <w:spacing w:after="0" w:line="240" w:lineRule="auto"/>
              <w:jc w:val="center"/>
              <w:textAlignment w:val="baseline"/>
              <w:rPr>
                <w:rFonts w:ascii="Arial" w:eastAsia="Arial" w:hAnsi="Arial" w:cs="Arial"/>
                <w:sz w:val="20"/>
                <w:szCs w:val="20"/>
              </w:rPr>
            </w:pPr>
            <w:r>
              <w:rPr>
                <w:rFonts w:ascii="Arial" w:eastAsia="Arial" w:hAnsi="Arial" w:cs="Arial"/>
                <w:sz w:val="20"/>
                <w:szCs w:val="20"/>
              </w:rPr>
              <w:t>1.25%</w:t>
            </w:r>
          </w:p>
        </w:tc>
        <w:tc>
          <w:tcPr>
            <w:tcW w:w="1290" w:type="dxa"/>
            <w:vAlign w:val="center"/>
          </w:tcPr>
          <w:p w14:paraId="6D8A52DF" w14:textId="15301C8D" w:rsidR="00A9789C" w:rsidRPr="000861B0" w:rsidRDefault="00091624">
            <w:pPr>
              <w:spacing w:after="0" w:line="240" w:lineRule="auto"/>
              <w:jc w:val="center"/>
              <w:textAlignment w:val="baseline"/>
              <w:rPr>
                <w:rFonts w:ascii="Arial" w:eastAsia="Times New Roman" w:hAnsi="Arial" w:cs="Arial"/>
                <w:sz w:val="20"/>
                <w:szCs w:val="20"/>
                <w:lang w:eastAsia="en-AU"/>
              </w:rPr>
            </w:pPr>
            <w:r>
              <w:rPr>
                <w:rFonts w:ascii="Arial" w:eastAsia="Times New Roman" w:hAnsi="Arial" w:cs="Arial"/>
                <w:sz w:val="20"/>
                <w:szCs w:val="20"/>
                <w:lang w:eastAsia="en-AU"/>
              </w:rPr>
              <w:t>1.5%</w:t>
            </w:r>
          </w:p>
        </w:tc>
      </w:tr>
    </w:tbl>
    <w:p w14:paraId="7FDFD30B" w14:textId="77777777" w:rsidR="003C72D1" w:rsidRDefault="005F38A5" w:rsidP="0011EF4A">
      <w:pPr>
        <w:pStyle w:val="CABNETParagraph"/>
        <w:spacing w:before="0"/>
        <w:rPr>
          <w:rFonts w:cstheme="minorBidi"/>
          <w:sz w:val="18"/>
          <w:szCs w:val="18"/>
        </w:rPr>
      </w:pPr>
      <w:r w:rsidRPr="000861B0">
        <w:rPr>
          <w:rFonts w:cstheme="minorBidi"/>
          <w:sz w:val="18"/>
          <w:szCs w:val="18"/>
        </w:rPr>
        <w:t xml:space="preserve">Income tiers </w:t>
      </w:r>
      <w:r>
        <w:rPr>
          <w:rFonts w:cstheme="minorBidi"/>
          <w:sz w:val="18"/>
          <w:szCs w:val="18"/>
        </w:rPr>
        <w:t xml:space="preserve">presented are </w:t>
      </w:r>
      <w:r w:rsidRPr="000861B0">
        <w:rPr>
          <w:rFonts w:cstheme="minorBidi"/>
          <w:sz w:val="18"/>
          <w:szCs w:val="18"/>
        </w:rPr>
        <w:t xml:space="preserve">current for 1 July 2026 to 30 June 2027 and </w:t>
      </w:r>
      <w:r>
        <w:rPr>
          <w:rFonts w:cstheme="minorBidi"/>
          <w:sz w:val="18"/>
          <w:szCs w:val="18"/>
        </w:rPr>
        <w:t xml:space="preserve">are </w:t>
      </w:r>
      <w:r w:rsidRPr="000861B0">
        <w:rPr>
          <w:rFonts w:cstheme="minorBidi"/>
          <w:sz w:val="18"/>
          <w:szCs w:val="18"/>
        </w:rPr>
        <w:t xml:space="preserve">subject to annual indexation on 1 July based on changes in Average Weekly Ordinary Time Earnings (AWOTE). </w:t>
      </w:r>
    </w:p>
    <w:p w14:paraId="0CBFCDA2" w14:textId="791085A7" w:rsidR="004163B2" w:rsidRPr="000861B0" w:rsidRDefault="005F38A5" w:rsidP="0011EF4A">
      <w:pPr>
        <w:pStyle w:val="CABNETParagraph"/>
        <w:spacing w:before="0"/>
        <w:rPr>
          <w:rFonts w:eastAsia="Times New Roman" w:cs="Arial"/>
          <w:sz w:val="18"/>
          <w:szCs w:val="18"/>
          <w:lang w:eastAsia="en-AU"/>
        </w:rPr>
      </w:pPr>
      <w:r w:rsidRPr="000861B0">
        <w:rPr>
          <w:sz w:val="18"/>
          <w:szCs w:val="18"/>
        </w:rPr>
        <w:t xml:space="preserve">Rebate rates </w:t>
      </w:r>
      <w:r w:rsidR="003C72D1">
        <w:rPr>
          <w:sz w:val="18"/>
          <w:szCs w:val="18"/>
        </w:rPr>
        <w:t xml:space="preserve">presented are current for 1 April 2026 to 31 March 2027 and </w:t>
      </w:r>
      <w:r>
        <w:rPr>
          <w:sz w:val="18"/>
          <w:szCs w:val="18"/>
        </w:rPr>
        <w:t xml:space="preserve">are </w:t>
      </w:r>
      <w:r w:rsidRPr="000861B0">
        <w:rPr>
          <w:sz w:val="18"/>
          <w:szCs w:val="18"/>
        </w:rPr>
        <w:t>subject to annual indexation through the Rebate Adjustment Factor (RAF) based on the difference between the Consumer Price Index (CPI) and the industry weighted average premium increase.</w:t>
      </w:r>
      <w:r w:rsidRPr="000861B0">
        <w:rPr>
          <w:rFonts w:eastAsia="Times New Roman" w:cs="Arial"/>
          <w:sz w:val="18"/>
          <w:szCs w:val="18"/>
          <w:lang w:eastAsia="en-AU"/>
        </w:rPr>
        <w:t> </w:t>
      </w:r>
    </w:p>
    <w:p w14:paraId="772A4E39" w14:textId="4E8D3D7E" w:rsidR="00BD132A" w:rsidRDefault="00BD71F6" w:rsidP="00B748BC">
      <w:r>
        <w:t xml:space="preserve">PHI in </w:t>
      </w:r>
      <w:r w:rsidR="00C47EE6">
        <w:t>Australia</w:t>
      </w:r>
      <w:r>
        <w:t xml:space="preserve"> is community </w:t>
      </w:r>
      <w:r w:rsidR="00C47EE6">
        <w:t xml:space="preserve">rated, which means everyone pays the same </w:t>
      </w:r>
      <w:r w:rsidR="00D947D6">
        <w:t>premium</w:t>
      </w:r>
      <w:r w:rsidR="00427BB5">
        <w:t xml:space="preserve"> for the same cover</w:t>
      </w:r>
      <w:r w:rsidR="00A504BA">
        <w:t>. I</w:t>
      </w:r>
      <w:r w:rsidR="00732559">
        <w:t>nsurers cannot discriminate</w:t>
      </w:r>
      <w:r w:rsidR="00EC1095">
        <w:t xml:space="preserve"> by charging higher premiums </w:t>
      </w:r>
      <w:r w:rsidR="00301199">
        <w:t xml:space="preserve">for </w:t>
      </w:r>
      <w:r w:rsidR="00EC1095">
        <w:t xml:space="preserve">people likely to </w:t>
      </w:r>
      <w:r w:rsidR="00427BB5">
        <w:t xml:space="preserve">be paid higher benefits, </w:t>
      </w:r>
      <w:r w:rsidR="00F702B3">
        <w:t xml:space="preserve">for </w:t>
      </w:r>
      <w:r w:rsidR="00D947D6">
        <w:t xml:space="preserve">example older or sicker people. </w:t>
      </w:r>
      <w:r w:rsidR="02E95E30" w:rsidRPr="000861B0">
        <w:t xml:space="preserve">Strong PHI participation amongst the young and healthy, facilitated through targeted incentives and consumer safeguards, is critical for PHI to be affordable </w:t>
      </w:r>
      <w:r w:rsidR="1EB3F4BC">
        <w:t>and</w:t>
      </w:r>
      <w:r w:rsidR="02E95E30">
        <w:t xml:space="preserve"> take</w:t>
      </w:r>
      <w:r w:rsidR="02E95E30" w:rsidRPr="000861B0">
        <w:t xml:space="preserve"> pressure off the public health system. However, </w:t>
      </w:r>
      <w:r w:rsidR="584FE3E1" w:rsidRPr="000861B0">
        <w:t xml:space="preserve">PHI participation incentives </w:t>
      </w:r>
      <w:r w:rsidR="584FE3E1" w:rsidRPr="000861B0">
        <w:lastRenderedPageBreak/>
        <w:t xml:space="preserve">have largely remained unchanged for 20 years and are now suboptimal. </w:t>
      </w:r>
      <w:r w:rsidR="6FD14972" w:rsidRPr="000861B0">
        <w:t>In particular, t</w:t>
      </w:r>
      <w:r w:rsidR="584FE3E1" w:rsidRPr="000861B0">
        <w:t>he settings for the PHI Rebate are</w:t>
      </w:r>
      <w:r w:rsidR="00BD132A">
        <w:t>:</w:t>
      </w:r>
    </w:p>
    <w:p w14:paraId="50CA2F62" w14:textId="791E1254" w:rsidR="00BD132A" w:rsidRDefault="584FE3E1" w:rsidP="00061104">
      <w:pPr>
        <w:pStyle w:val="ListParagraph"/>
        <w:numPr>
          <w:ilvl w:val="0"/>
          <w:numId w:val="39"/>
        </w:numPr>
      </w:pPr>
      <w:r w:rsidRPr="000861B0">
        <w:t xml:space="preserve">complex </w:t>
      </w:r>
      <w:r w:rsidR="007E5664">
        <w:t>–</w:t>
      </w:r>
      <w:r w:rsidR="00BD132A" w:rsidRPr="00BD132A">
        <w:t xml:space="preserve"> </w:t>
      </w:r>
      <w:r w:rsidR="007E5664">
        <w:t xml:space="preserve">the </w:t>
      </w:r>
      <w:r w:rsidR="005B1828">
        <w:t>Rebate</w:t>
      </w:r>
      <w:r w:rsidR="007E5664">
        <w:t xml:space="preserve"> includes </w:t>
      </w:r>
      <w:r w:rsidR="00BD132A">
        <w:t>multiple rates by both age and income criteria</w:t>
      </w:r>
      <w:r w:rsidR="008C156A">
        <w:t>, and</w:t>
      </w:r>
    </w:p>
    <w:p w14:paraId="1CDEB175" w14:textId="12150182" w:rsidR="00EC7487" w:rsidRDefault="0022562A" w:rsidP="00061104">
      <w:pPr>
        <w:pStyle w:val="ListParagraph"/>
        <w:numPr>
          <w:ilvl w:val="0"/>
          <w:numId w:val="39"/>
        </w:numPr>
        <w:spacing w:after="200" w:line="288" w:lineRule="auto"/>
      </w:pPr>
      <w:r>
        <w:t>poorly targeted</w:t>
      </w:r>
      <w:r w:rsidR="003252C2">
        <w:t xml:space="preserve"> and inequitable</w:t>
      </w:r>
      <w:r w:rsidR="009B3F71">
        <w:t xml:space="preserve"> – the</w:t>
      </w:r>
      <w:r w:rsidR="003252C2">
        <w:t xml:space="preserve"> </w:t>
      </w:r>
      <w:r w:rsidR="005B1828">
        <w:t>Rebate</w:t>
      </w:r>
      <w:r w:rsidR="009B3F71">
        <w:t xml:space="preserve"> subsidy is</w:t>
      </w:r>
      <w:r w:rsidR="004D2A41">
        <w:t xml:space="preserve"> higher </w:t>
      </w:r>
      <w:r w:rsidR="005F19E3">
        <w:t>for</w:t>
      </w:r>
      <w:r w:rsidR="00181DC1">
        <w:t xml:space="preserve"> older Australians</w:t>
      </w:r>
      <w:r w:rsidR="005F19E3">
        <w:t xml:space="preserve"> </w:t>
      </w:r>
      <w:r w:rsidR="00181DC1">
        <w:t>even if they have the same income as younger Australians</w:t>
      </w:r>
      <w:r w:rsidR="00ED7EF4">
        <w:t xml:space="preserve"> and would be likely to take out </w:t>
      </w:r>
      <w:r w:rsidR="00C42977">
        <w:t>PHI</w:t>
      </w:r>
      <w:r w:rsidR="00ED7EF4">
        <w:t xml:space="preserve"> even without a higher </w:t>
      </w:r>
      <w:r w:rsidR="005B1828">
        <w:t>Rebate</w:t>
      </w:r>
      <w:r w:rsidR="584FE3E1" w:rsidRPr="000861B0">
        <w:t xml:space="preserve">. </w:t>
      </w:r>
      <w:r w:rsidR="00EC7487">
        <w:br w:type="page"/>
      </w:r>
    </w:p>
    <w:bookmarkEnd w:id="1"/>
    <w:p w14:paraId="12281698" w14:textId="0C42C43D" w:rsidR="000251A4" w:rsidRPr="000861B0" w:rsidRDefault="009E255F" w:rsidP="00FE3AE0">
      <w:pPr>
        <w:pStyle w:val="Heading1"/>
        <w:numPr>
          <w:ilvl w:val="0"/>
          <w:numId w:val="15"/>
        </w:numPr>
      </w:pPr>
      <w:r w:rsidRPr="000861B0">
        <w:lastRenderedPageBreak/>
        <w:t>What is the policy problem you are trying to solve and what data is available?</w:t>
      </w:r>
    </w:p>
    <w:p w14:paraId="08D25E14" w14:textId="787757DC" w:rsidR="008356A3" w:rsidRPr="008356A3" w:rsidRDefault="008356A3" w:rsidP="00F95D42">
      <w:pPr>
        <w:pStyle w:val="Heading3"/>
      </w:pPr>
      <w:r w:rsidRPr="008356A3">
        <w:t>Policy problem</w:t>
      </w:r>
    </w:p>
    <w:p w14:paraId="2E56DFC5" w14:textId="4D307F7B" w:rsidR="00B55F36" w:rsidRDefault="00B55F36" w:rsidP="00B55F36">
      <w:r>
        <w:t>Government expenditure on the PHI Rebate is estimated to be $7.9 billion in 2025-26 and</w:t>
      </w:r>
      <w:r w:rsidR="00BB3C47">
        <w:t xml:space="preserve"> a total of</w:t>
      </w:r>
      <w:r>
        <w:t xml:space="preserve"> $32.6 billion from 2025-26 to 2028-29. The purpose of the PHI Rebate is to incentivise people to take up and retain PHI by </w:t>
      </w:r>
      <w:r w:rsidR="00DD1DCF" w:rsidRPr="00AF5427">
        <w:t>subsidising the premiums charged by private health insurers</w:t>
      </w:r>
      <w:r>
        <w:t>, which contributes to the overall sustainability of Australia’s health system.</w:t>
      </w:r>
    </w:p>
    <w:p w14:paraId="210D11F3" w14:textId="2E6629C3" w:rsidR="007C4CA7" w:rsidRDefault="00EE5DFE">
      <w:r>
        <w:t>H</w:t>
      </w:r>
      <w:r w:rsidR="00D80EBA">
        <w:t>owever,</w:t>
      </w:r>
      <w:r w:rsidR="370531F1">
        <w:t xml:space="preserve"> the PHI Rebate is inequitable as it subsidises older Australians (i.e. those</w:t>
      </w:r>
      <w:r w:rsidR="0065246C">
        <w:t xml:space="preserve"> aged</w:t>
      </w:r>
      <w:r w:rsidR="370531F1">
        <w:t xml:space="preserve"> 65</w:t>
      </w:r>
      <w:r w:rsidR="0065246C">
        <w:t>+ years</w:t>
      </w:r>
      <w:r w:rsidR="370531F1">
        <w:t xml:space="preserve">) more, even if they have the same income as younger Australians. </w:t>
      </w:r>
      <w:r w:rsidR="00C45190">
        <w:t>This creates intergenerational inequity in how the PHI Rebate is administered.</w:t>
      </w:r>
    </w:p>
    <w:p w14:paraId="0EBF5D67" w14:textId="17D56DA1" w:rsidR="007639A7" w:rsidRDefault="008216ED" w:rsidP="00C12500">
      <w:r>
        <w:t xml:space="preserve">People aged 65+ </w:t>
      </w:r>
      <w:r w:rsidR="00595E95">
        <w:t xml:space="preserve">years </w:t>
      </w:r>
      <w:r>
        <w:t xml:space="preserve">benefit </w:t>
      </w:r>
      <w:r w:rsidR="00017E4F">
        <w:t>more</w:t>
      </w:r>
      <w:r>
        <w:t xml:space="preserve"> from the current Rebate settings through reduced PHI premiums</w:t>
      </w:r>
      <w:r w:rsidR="00A374C4">
        <w:t xml:space="preserve"> (e.g. </w:t>
      </w:r>
      <w:r w:rsidR="00A00209">
        <w:t xml:space="preserve">a Rebate rate of </w:t>
      </w:r>
      <w:r w:rsidR="00F12F83">
        <w:t xml:space="preserve">approximately 32% </w:t>
      </w:r>
      <w:r w:rsidR="00753CE5">
        <w:t xml:space="preserve">for those aged 70+ and 28% for </w:t>
      </w:r>
      <w:r w:rsidR="00FE109C">
        <w:t>65-69 years, compared with 24% for &lt;65 years</w:t>
      </w:r>
      <w:r w:rsidR="00A00209">
        <w:t xml:space="preserve"> for the Base income tier</w:t>
      </w:r>
      <w:r w:rsidR="00FE109C">
        <w:t>)</w:t>
      </w:r>
      <w:r>
        <w:t xml:space="preserve">. </w:t>
      </w:r>
      <w:r w:rsidR="00A109A4">
        <w:t>The</w:t>
      </w:r>
      <w:r w:rsidR="00C12500">
        <w:t xml:space="preserve"> 65+ age group receives significantly higher average PHI benefits per person than younger people (see Figure 1). </w:t>
      </w:r>
      <w:r w:rsidR="004C6FF9">
        <w:t xml:space="preserve">Further, health insurance is community rated, meaning all policy holders pay the same premiums for the same policy, regardless of their age or health status. </w:t>
      </w:r>
      <w:r w:rsidR="002E4C12">
        <w:t>If health insurance was</w:t>
      </w:r>
      <w:r w:rsidR="006514A6">
        <w:t xml:space="preserve"> </w:t>
      </w:r>
      <w:r w:rsidR="008C095A">
        <w:t xml:space="preserve">risk-rated </w:t>
      </w:r>
      <w:r w:rsidR="002E4C12">
        <w:t xml:space="preserve">like other forms of </w:t>
      </w:r>
      <w:proofErr w:type="gramStart"/>
      <w:r w:rsidR="002E4C12">
        <w:t>insurance</w:t>
      </w:r>
      <w:proofErr w:type="gramEnd"/>
      <w:r w:rsidR="00C65D82">
        <w:t xml:space="preserve"> then </w:t>
      </w:r>
      <w:r w:rsidR="0080707B">
        <w:t xml:space="preserve">health </w:t>
      </w:r>
      <w:r w:rsidR="008C095A">
        <w:t>insurance</w:t>
      </w:r>
      <w:r w:rsidR="00C65D82">
        <w:t xml:space="preserve"> would be unaffordable for many (particularly older people who have higher average claims)</w:t>
      </w:r>
      <w:r w:rsidR="0080707B">
        <w:t>.</w:t>
      </w:r>
      <w:r w:rsidR="004C6FF9">
        <w:t xml:space="preserve"> </w:t>
      </w:r>
    </w:p>
    <w:p w14:paraId="75BC44D4" w14:textId="0B0D0D2E" w:rsidR="00C12500" w:rsidRDefault="00C12500" w:rsidP="00C12500">
      <w:r>
        <w:t xml:space="preserve">Many older people are therefore likely to retain PHI even if government assistance via the PHI Rebate is reduced. They do not require a higher incentive to participate in PHI than younger people earning the same income to see the value in PHI. </w:t>
      </w:r>
      <w:r w:rsidR="00575571">
        <w:t xml:space="preserve">Therefore, </w:t>
      </w:r>
      <w:r w:rsidR="00361E4E">
        <w:t xml:space="preserve">targeting higher </w:t>
      </w:r>
      <w:r w:rsidR="005B1828">
        <w:t>Rebate</w:t>
      </w:r>
      <w:r w:rsidR="00361E4E">
        <w:t>s to people</w:t>
      </w:r>
      <w:r w:rsidR="00880016">
        <w:t xml:space="preserve"> </w:t>
      </w:r>
      <w:r w:rsidR="0065246C">
        <w:t xml:space="preserve">aged </w:t>
      </w:r>
      <w:r w:rsidR="00880016">
        <w:t>65</w:t>
      </w:r>
      <w:r w:rsidR="0065246C">
        <w:t>+</w:t>
      </w:r>
      <w:r w:rsidR="00880016">
        <w:t xml:space="preserve"> does not align with the purpose of the Rebate</w:t>
      </w:r>
      <w:r w:rsidR="004542D4">
        <w:t>, which is to incenti</w:t>
      </w:r>
      <w:r w:rsidR="00844893">
        <w:t>vi</w:t>
      </w:r>
      <w:r w:rsidR="004542D4">
        <w:t>se</w:t>
      </w:r>
      <w:r w:rsidR="00634508">
        <w:t xml:space="preserve"> people to take up and retain PHI.</w:t>
      </w:r>
      <w:r w:rsidR="00844893">
        <w:t xml:space="preserve"> </w:t>
      </w:r>
    </w:p>
    <w:p w14:paraId="14CC1D68" w14:textId="38F50EAC" w:rsidR="00C276B1" w:rsidRDefault="00C12500">
      <w:r>
        <w:t xml:space="preserve">The PHI Rebate could be better targeted by </w:t>
      </w:r>
      <w:r w:rsidR="00CC6197">
        <w:t>reducing the higher Rebate rates that are currently provided</w:t>
      </w:r>
      <w:r>
        <w:t xml:space="preserve"> to older people where it is unlikely to be </w:t>
      </w:r>
      <w:r w:rsidR="001C6F88">
        <w:t>incentivising</w:t>
      </w:r>
      <w:r>
        <w:t xml:space="preserve"> uptake. </w:t>
      </w:r>
      <w:r w:rsidR="009F527B">
        <w:t xml:space="preserve">Further, </w:t>
      </w:r>
      <w:r w:rsidR="003D0E75">
        <w:t xml:space="preserve">there are higher health, disability and aged care priorities </w:t>
      </w:r>
      <w:r w:rsidR="00504C85">
        <w:t>for</w:t>
      </w:r>
      <w:r w:rsidR="003D0E75">
        <w:t xml:space="preserve"> which the money spent on the higher Rebate for older people could be </w:t>
      </w:r>
      <w:r w:rsidR="04D57396">
        <w:t>used to support</w:t>
      </w:r>
      <w:r w:rsidR="003D0E75">
        <w:t>.</w:t>
      </w:r>
    </w:p>
    <w:p w14:paraId="6E2336AD" w14:textId="22F43A18" w:rsidR="00D270EB" w:rsidRDefault="00D270EB" w:rsidP="00CC4046">
      <w:r>
        <w:t xml:space="preserve">Amending the PHI Rebate requires Government intervention to amend the </w:t>
      </w:r>
      <w:r w:rsidRPr="00A15846">
        <w:rPr>
          <w:i/>
          <w:iCs/>
        </w:rPr>
        <w:t>Private Health Insurance Act 2007</w:t>
      </w:r>
      <w:r>
        <w:t xml:space="preserve"> which provides relevant </w:t>
      </w:r>
      <w:r w:rsidR="005B1828">
        <w:t>Rebate</w:t>
      </w:r>
      <w:r>
        <w:t xml:space="preserve"> settings at Part 2-2.</w:t>
      </w:r>
    </w:p>
    <w:p w14:paraId="6E221973" w14:textId="77777777" w:rsidR="00C27AF5" w:rsidRPr="008356A3" w:rsidRDefault="00C27AF5" w:rsidP="00F95D42">
      <w:pPr>
        <w:pStyle w:val="Heading3"/>
      </w:pPr>
      <w:r w:rsidRPr="008356A3">
        <w:lastRenderedPageBreak/>
        <w:t>Available data</w:t>
      </w:r>
    </w:p>
    <w:p w14:paraId="5D9D2EF6" w14:textId="7BE20B4E" w:rsidR="00BD4BF7" w:rsidRDefault="005B18E9">
      <w:r>
        <w:t xml:space="preserve">The ‘PHI Rebate Forward Estimates’ model </w:t>
      </w:r>
      <w:r w:rsidR="001E7182" w:rsidRPr="00147DFF">
        <w:t>ha</w:t>
      </w:r>
      <w:r w:rsidR="001E7182">
        <w:t>s</w:t>
      </w:r>
      <w:r w:rsidR="001E7182" w:rsidRPr="00147DFF">
        <w:t xml:space="preserve"> been used for all PHI </w:t>
      </w:r>
      <w:r w:rsidR="001E7182">
        <w:t xml:space="preserve">Rebate </w:t>
      </w:r>
      <w:r w:rsidR="001E7182" w:rsidRPr="00147DFF">
        <w:t>forward estimates and costings</w:t>
      </w:r>
      <w:r w:rsidR="002A5CC9">
        <w:t xml:space="preserve"> </w:t>
      </w:r>
      <w:r w:rsidR="001E7182" w:rsidRPr="00147DFF">
        <w:t>approved by the Department of Finance over the past</w:t>
      </w:r>
      <w:r w:rsidR="001E7182">
        <w:t xml:space="preserve"> 7</w:t>
      </w:r>
      <w:r w:rsidR="001E7182" w:rsidRPr="00147DFF">
        <w:t>+ years</w:t>
      </w:r>
      <w:r w:rsidR="002A5CC9">
        <w:t xml:space="preserve"> and is also used to model </w:t>
      </w:r>
      <w:r w:rsidR="00846134">
        <w:t>potential policy changes to Rebate settings</w:t>
      </w:r>
      <w:r w:rsidR="0015662F">
        <w:t xml:space="preserve">. </w:t>
      </w:r>
      <w:r w:rsidR="00EE67FD">
        <w:t xml:space="preserve">The model </w:t>
      </w:r>
      <w:r w:rsidR="00820C60">
        <w:t xml:space="preserve">contains four </w:t>
      </w:r>
      <w:r w:rsidR="004F292B">
        <w:t xml:space="preserve">input </w:t>
      </w:r>
      <w:r w:rsidR="00820C60">
        <w:t>module</w:t>
      </w:r>
      <w:r w:rsidR="009470CD">
        <w:t>s</w:t>
      </w:r>
      <w:r w:rsidR="00BD4BF7">
        <w:t>:</w:t>
      </w:r>
    </w:p>
    <w:p w14:paraId="60E7B011" w14:textId="37AA979D" w:rsidR="00BD4BF7" w:rsidRDefault="009432E8" w:rsidP="00061104">
      <w:pPr>
        <w:pStyle w:val="ListParagraph"/>
        <w:numPr>
          <w:ilvl w:val="0"/>
          <w:numId w:val="50"/>
        </w:numPr>
      </w:pPr>
      <w:r>
        <w:t>demographic</w:t>
      </w:r>
      <w:r w:rsidR="004D19B3">
        <w:t xml:space="preserve"> </w:t>
      </w:r>
      <w:r w:rsidR="000C1AD0">
        <w:t>module</w:t>
      </w:r>
      <w:r w:rsidR="004D19B3">
        <w:t xml:space="preserve"> – uses ABS</w:t>
      </w:r>
      <w:r w:rsidR="003B4800">
        <w:t xml:space="preserve"> </w:t>
      </w:r>
      <w:r w:rsidR="00754B67">
        <w:t>population data</w:t>
      </w:r>
      <w:r w:rsidR="00CC788D">
        <w:t xml:space="preserve"> t</w:t>
      </w:r>
      <w:r w:rsidR="00CD07B0">
        <w:t>o project population size, segmented by demographic characteristics relevant to PHI participation.</w:t>
      </w:r>
    </w:p>
    <w:p w14:paraId="63FF1629" w14:textId="1B2BA55B" w:rsidR="00BD4BF7" w:rsidRDefault="003D3020" w:rsidP="00061104">
      <w:pPr>
        <w:pStyle w:val="ListParagraph"/>
        <w:numPr>
          <w:ilvl w:val="0"/>
          <w:numId w:val="50"/>
        </w:numPr>
      </w:pPr>
      <w:r>
        <w:t>e</w:t>
      </w:r>
      <w:r w:rsidR="009432E8">
        <w:t>conomic</w:t>
      </w:r>
      <w:r w:rsidR="0070058B">
        <w:t xml:space="preserve"> </w:t>
      </w:r>
      <w:r w:rsidR="000C1AD0">
        <w:t xml:space="preserve">module </w:t>
      </w:r>
      <w:r w:rsidR="00361B65">
        <w:t>–</w:t>
      </w:r>
      <w:r w:rsidR="0070058B">
        <w:t xml:space="preserve"> </w:t>
      </w:r>
      <w:r w:rsidR="00B71D5A">
        <w:t xml:space="preserve">projects </w:t>
      </w:r>
      <w:r w:rsidR="004932FB">
        <w:t>future</w:t>
      </w:r>
      <w:r w:rsidR="00361B65">
        <w:t xml:space="preserve"> </w:t>
      </w:r>
      <w:r w:rsidR="00373489">
        <w:t xml:space="preserve">economic indicators e.g. </w:t>
      </w:r>
      <w:r w:rsidR="00361B65">
        <w:t>CPI and AWE</w:t>
      </w:r>
      <w:r w:rsidR="00CE1E48">
        <w:t xml:space="preserve"> </w:t>
      </w:r>
    </w:p>
    <w:p w14:paraId="7A11BD20" w14:textId="24B04509" w:rsidR="00BD4BF7" w:rsidRDefault="009432E8" w:rsidP="00061104">
      <w:pPr>
        <w:pStyle w:val="ListParagraph"/>
        <w:numPr>
          <w:ilvl w:val="0"/>
          <w:numId w:val="50"/>
        </w:numPr>
      </w:pPr>
      <w:r>
        <w:t>participation</w:t>
      </w:r>
      <w:r w:rsidR="003D3020">
        <w:t xml:space="preserve"> </w:t>
      </w:r>
      <w:r w:rsidR="000C1AD0">
        <w:t xml:space="preserve">module </w:t>
      </w:r>
      <w:r w:rsidR="00A264D7">
        <w:t>–</w:t>
      </w:r>
      <w:r w:rsidR="003D3020">
        <w:t xml:space="preserve"> </w:t>
      </w:r>
      <w:r w:rsidR="00A264D7">
        <w:t>analyse</w:t>
      </w:r>
      <w:r w:rsidR="005704DA">
        <w:t>s</w:t>
      </w:r>
      <w:r w:rsidR="00A264D7">
        <w:t xml:space="preserve"> data on ind</w:t>
      </w:r>
      <w:r w:rsidR="00C55178">
        <w:t>ividual PHI holders</w:t>
      </w:r>
      <w:r w:rsidR="00BE18C3">
        <w:t xml:space="preserve"> </w:t>
      </w:r>
      <w:r w:rsidR="002905B7">
        <w:t xml:space="preserve">(primarily </w:t>
      </w:r>
      <w:r w:rsidR="00727F34">
        <w:t>Services Australia (SA)</w:t>
      </w:r>
      <w:r w:rsidR="002905B7">
        <w:t xml:space="preserve"> data linked with </w:t>
      </w:r>
      <w:r w:rsidR="007201C3">
        <w:t>Australian Taxation Office (</w:t>
      </w:r>
      <w:r w:rsidR="002905B7">
        <w:t>ATO</w:t>
      </w:r>
      <w:r w:rsidR="007201C3">
        <w:t>)</w:t>
      </w:r>
      <w:r w:rsidR="002905B7">
        <w:t xml:space="preserve"> data) </w:t>
      </w:r>
      <w:r w:rsidR="00BE18C3">
        <w:t>to assess propensity to change coverage types</w:t>
      </w:r>
      <w:r w:rsidR="00523FB4">
        <w:t xml:space="preserve"> </w:t>
      </w:r>
    </w:p>
    <w:p w14:paraId="72D59912" w14:textId="5F166E69" w:rsidR="00BD4BF7" w:rsidRDefault="009432E8" w:rsidP="00061104">
      <w:pPr>
        <w:pStyle w:val="ListParagraph"/>
        <w:numPr>
          <w:ilvl w:val="0"/>
          <w:numId w:val="50"/>
        </w:numPr>
      </w:pPr>
      <w:r>
        <w:t>premium</w:t>
      </w:r>
      <w:r w:rsidR="001D5E4B">
        <w:t>s</w:t>
      </w:r>
      <w:r w:rsidR="007312E9">
        <w:t xml:space="preserve"> </w:t>
      </w:r>
      <w:r w:rsidR="000C1AD0">
        <w:t xml:space="preserve">module </w:t>
      </w:r>
      <w:r w:rsidR="005A2412">
        <w:t>–</w:t>
      </w:r>
      <w:r w:rsidR="001D5E4B">
        <w:t xml:space="preserve"> </w:t>
      </w:r>
      <w:r w:rsidR="006D5134">
        <w:t>analy</w:t>
      </w:r>
      <w:r w:rsidR="0048379E">
        <w:t>se</w:t>
      </w:r>
      <w:r w:rsidR="00757D53">
        <w:t>s</w:t>
      </w:r>
      <w:r w:rsidR="005A2412">
        <w:t xml:space="preserve"> premiums data on individual PHI holders</w:t>
      </w:r>
      <w:r w:rsidR="00B66A51">
        <w:t xml:space="preserve"> to project future premiums</w:t>
      </w:r>
      <w:r w:rsidR="00757D53">
        <w:t xml:space="preserve"> (</w:t>
      </w:r>
      <w:r w:rsidR="00727F34">
        <w:t>SA</w:t>
      </w:r>
      <w:r w:rsidR="00E90974">
        <w:t xml:space="preserve"> data linked with ATO data, Treasury projections of CPI</w:t>
      </w:r>
      <w:r w:rsidR="00184810">
        <w:t>, premium round rates</w:t>
      </w:r>
      <w:r w:rsidR="00DD472F">
        <w:t>).</w:t>
      </w:r>
    </w:p>
    <w:p w14:paraId="4EE85696" w14:textId="1B7CF600" w:rsidR="00A522B7" w:rsidRDefault="00BD4BF7">
      <w:r>
        <w:t>These</w:t>
      </w:r>
      <w:r w:rsidR="007312E9">
        <w:t xml:space="preserve"> feed into a forecasting </w:t>
      </w:r>
      <w:r w:rsidR="00F70737">
        <w:t xml:space="preserve">module </w:t>
      </w:r>
      <w:r w:rsidR="002662EF">
        <w:t xml:space="preserve">which </w:t>
      </w:r>
      <w:r w:rsidR="00B86139">
        <w:t xml:space="preserve">projects </w:t>
      </w:r>
      <w:r w:rsidR="00B24B2A">
        <w:t xml:space="preserve">the </w:t>
      </w:r>
      <w:r w:rsidR="00A113DC">
        <w:t>number of insure</w:t>
      </w:r>
      <w:r w:rsidR="00F70BC0">
        <w:t>d</w:t>
      </w:r>
      <w:r w:rsidR="00A96A6D">
        <w:t xml:space="preserve"> adults</w:t>
      </w:r>
      <w:r w:rsidR="00F70BC0">
        <w:t>, premium</w:t>
      </w:r>
      <w:r w:rsidR="00A96A6D">
        <w:t>s</w:t>
      </w:r>
      <w:r w:rsidR="00F70BC0">
        <w:t xml:space="preserve"> and Rebates</w:t>
      </w:r>
      <w:r w:rsidR="00BD60E8">
        <w:t xml:space="preserve"> for the next </w:t>
      </w:r>
      <w:r w:rsidR="00595E95">
        <w:t xml:space="preserve">10 </w:t>
      </w:r>
      <w:r w:rsidR="00BD60E8">
        <w:t>years</w:t>
      </w:r>
      <w:r w:rsidR="009432E8">
        <w:t>.</w:t>
      </w:r>
      <w:r w:rsidR="009470CD">
        <w:t xml:space="preserve"> </w:t>
      </w:r>
      <w:r w:rsidR="0015662F">
        <w:t>More information on the model is available in subsection 4.1 and the ‘</w:t>
      </w:r>
      <w:r w:rsidR="00581B91">
        <w:t>A</w:t>
      </w:r>
      <w:r w:rsidR="0015662F">
        <w:t xml:space="preserve">dditional </w:t>
      </w:r>
      <w:r w:rsidR="00581B91">
        <w:t>I</w:t>
      </w:r>
      <w:r w:rsidR="0015662F">
        <w:t>nformation’ section.</w:t>
      </w:r>
    </w:p>
    <w:p w14:paraId="5289EEF4" w14:textId="38C809B6" w:rsidR="00826201" w:rsidRDefault="00826201" w:rsidP="00BD4BF7">
      <w:r>
        <w:t xml:space="preserve">The </w:t>
      </w:r>
      <w:r w:rsidR="004B1DD1">
        <w:t>Australian</w:t>
      </w:r>
      <w:r w:rsidR="009D4828">
        <w:t xml:space="preserve"> Prudential Regulation Authority </w:t>
      </w:r>
      <w:r w:rsidR="00BF7429">
        <w:t>(APRA)</w:t>
      </w:r>
      <w:r w:rsidR="00B35BDC">
        <w:t xml:space="preserve"> publishes statistics on the PHI industry on a quarterly basis</w:t>
      </w:r>
      <w:r w:rsidR="007F1A56">
        <w:t xml:space="preserve"> (and annually by insurer)</w:t>
      </w:r>
      <w:r w:rsidR="006C22C8">
        <w:t>, covering membership, coverage</w:t>
      </w:r>
      <w:r w:rsidR="005D1D5C">
        <w:t xml:space="preserve">, </w:t>
      </w:r>
      <w:r w:rsidR="0094103D">
        <w:t>benefits paid</w:t>
      </w:r>
      <w:r w:rsidR="005D1D5C">
        <w:t xml:space="preserve"> and financial performance</w:t>
      </w:r>
      <w:r w:rsidR="0094103D">
        <w:t>.</w:t>
      </w:r>
      <w:r w:rsidR="00024EB2">
        <w:t xml:space="preserve"> These statistics can be used to track</w:t>
      </w:r>
      <w:r w:rsidR="00CC77E0">
        <w:t xml:space="preserve"> average</w:t>
      </w:r>
      <w:r w:rsidR="007B64E4">
        <w:t xml:space="preserve"> </w:t>
      </w:r>
      <w:r w:rsidR="003C32A9">
        <w:t>premiums paid and benefits received by people in various age groups</w:t>
      </w:r>
      <w:r w:rsidR="00AE75F4">
        <w:t xml:space="preserve"> (as shown in Figure 1)</w:t>
      </w:r>
      <w:r w:rsidR="00786B1D">
        <w:t>, whi</w:t>
      </w:r>
      <w:r w:rsidR="000843B6">
        <w:t xml:space="preserve">ch </w:t>
      </w:r>
      <w:r w:rsidR="009B0952">
        <w:t>indicate that people aged 65</w:t>
      </w:r>
      <w:r w:rsidR="00595E95">
        <w:t>+ years</w:t>
      </w:r>
      <w:r w:rsidR="009B0952">
        <w:t xml:space="preserve"> </w:t>
      </w:r>
      <w:r w:rsidR="0051330F">
        <w:t>on average receive more in benefits than they pay in premiums.</w:t>
      </w:r>
      <w:r w:rsidR="00777953">
        <w:t xml:space="preserve"> APRA data can also be used to </w:t>
      </w:r>
      <w:r w:rsidR="006A30EB">
        <w:t xml:space="preserve">estimate the number of policies </w:t>
      </w:r>
      <w:r w:rsidR="005A5A71">
        <w:t xml:space="preserve">impacted </w:t>
      </w:r>
      <w:r w:rsidR="00236706">
        <w:t>by potential changes to Rebate settings</w:t>
      </w:r>
      <w:r w:rsidR="0043162C">
        <w:t xml:space="preserve"> and to monitor the impact of changes to participation rates in future years.</w:t>
      </w:r>
    </w:p>
    <w:p w14:paraId="3A4AA95A" w14:textId="7318898A" w:rsidR="00E16027" w:rsidRDefault="584FE3E1">
      <w:r w:rsidRPr="000861B0">
        <w:t>The department</w:t>
      </w:r>
      <w:r w:rsidR="00125FDF">
        <w:t xml:space="preserve"> </w:t>
      </w:r>
      <w:r w:rsidR="006A7A7A">
        <w:t xml:space="preserve">procured </w:t>
      </w:r>
      <w:r w:rsidR="00125FDF">
        <w:t>an independent study</w:t>
      </w:r>
      <w:r w:rsidR="00007A47">
        <w:t xml:space="preserve"> </w:t>
      </w:r>
      <w:r w:rsidR="006A7A7A">
        <w:t xml:space="preserve">of PHI incentives </w:t>
      </w:r>
      <w:r w:rsidR="00007A47">
        <w:t>in 2022-2023</w:t>
      </w:r>
      <w:r w:rsidR="009E3339">
        <w:rPr>
          <w:rStyle w:val="FootnoteReference"/>
        </w:rPr>
        <w:footnoteReference w:id="6"/>
      </w:r>
      <w:r w:rsidR="009470E6">
        <w:t xml:space="preserve"> to </w:t>
      </w:r>
      <w:r w:rsidRPr="000861B0">
        <w:t xml:space="preserve">review the effectiveness of the PHI Rebate and other key participation incentives. </w:t>
      </w:r>
      <w:r w:rsidR="00286F5B">
        <w:t>The study</w:t>
      </w:r>
      <w:r w:rsidR="00B63A4A">
        <w:t xml:space="preserve"> </w:t>
      </w:r>
      <w:r w:rsidR="00E72829">
        <w:t>gathered stakeholder views</w:t>
      </w:r>
      <w:r w:rsidR="00D1192B">
        <w:rPr>
          <w:rStyle w:val="FootnoteReference"/>
        </w:rPr>
        <w:footnoteReference w:id="7"/>
      </w:r>
      <w:r w:rsidR="00DD18E0">
        <w:t>, which included</w:t>
      </w:r>
      <w:r w:rsidR="005A0D2E">
        <w:t xml:space="preserve"> criticis</w:t>
      </w:r>
      <w:r w:rsidR="00DD18E0">
        <w:t>m of</w:t>
      </w:r>
      <w:r w:rsidR="00657BCE">
        <w:t xml:space="preserve"> the complexity of</w:t>
      </w:r>
      <w:r w:rsidR="005A0D2E">
        <w:t xml:space="preserve"> </w:t>
      </w:r>
      <w:r w:rsidR="002B5971">
        <w:t xml:space="preserve">PHI incentives and </w:t>
      </w:r>
      <w:r w:rsidR="00862384">
        <w:t>question</w:t>
      </w:r>
      <w:r w:rsidR="00A31684">
        <w:t>s on</w:t>
      </w:r>
      <w:r w:rsidR="0013158B">
        <w:t xml:space="preserve"> the </w:t>
      </w:r>
      <w:r w:rsidR="00862384">
        <w:t>value</w:t>
      </w:r>
      <w:r w:rsidR="0013158B">
        <w:t xml:space="preserve"> of</w:t>
      </w:r>
      <w:r w:rsidR="008E58D9">
        <w:t xml:space="preserve"> </w:t>
      </w:r>
      <w:r w:rsidR="00643FF7">
        <w:t xml:space="preserve">the </w:t>
      </w:r>
      <w:r w:rsidR="00AC4E4F">
        <w:t>R</w:t>
      </w:r>
      <w:r w:rsidR="00643FF7">
        <w:t xml:space="preserve">ebate </w:t>
      </w:r>
      <w:r w:rsidR="00666511">
        <w:t xml:space="preserve">and whether the </w:t>
      </w:r>
      <w:r w:rsidR="00B86BB0">
        <w:t xml:space="preserve">funding would be </w:t>
      </w:r>
      <w:r w:rsidR="00C64E79">
        <w:t xml:space="preserve">more effectively </w:t>
      </w:r>
      <w:r w:rsidR="00B86BB0">
        <w:t xml:space="preserve">spent on other </w:t>
      </w:r>
      <w:r w:rsidR="003B324F">
        <w:t xml:space="preserve">healthcare </w:t>
      </w:r>
      <w:r w:rsidR="00DD1236">
        <w:t>prior</w:t>
      </w:r>
      <w:r w:rsidR="007C3EEF">
        <w:t>ities</w:t>
      </w:r>
      <w:r w:rsidR="00EC3D32">
        <w:t xml:space="preserve">. </w:t>
      </w:r>
      <w:r w:rsidR="00E16027">
        <w:t>T</w:t>
      </w:r>
      <w:r w:rsidR="00327F89">
        <w:t>h</w:t>
      </w:r>
      <w:r w:rsidR="00027711">
        <w:t>e independent study</w:t>
      </w:r>
      <w:r w:rsidR="00327F89">
        <w:t xml:space="preserve"> </w:t>
      </w:r>
      <w:r w:rsidR="1AD50977">
        <w:t>wa</w:t>
      </w:r>
      <w:r w:rsidR="000B17CB">
        <w:t xml:space="preserve">s </w:t>
      </w:r>
      <w:r w:rsidR="00E16027">
        <w:t xml:space="preserve">informed by </w:t>
      </w:r>
      <w:r w:rsidR="002A0227">
        <w:t xml:space="preserve">data </w:t>
      </w:r>
      <w:r w:rsidR="00D55769">
        <w:t>from</w:t>
      </w:r>
      <w:r w:rsidR="007212F7">
        <w:t xml:space="preserve"> </w:t>
      </w:r>
      <w:r w:rsidR="009E5C26">
        <w:t>APRA,</w:t>
      </w:r>
      <w:r w:rsidR="00647987">
        <w:t xml:space="preserve"> </w:t>
      </w:r>
      <w:r w:rsidR="00D55769">
        <w:t>S</w:t>
      </w:r>
      <w:r w:rsidR="002B7430">
        <w:t>A</w:t>
      </w:r>
      <w:r w:rsidR="008C5B83">
        <w:t>,</w:t>
      </w:r>
      <w:r w:rsidR="000B17CB">
        <w:t xml:space="preserve"> the</w:t>
      </w:r>
      <w:r w:rsidR="007201C3">
        <w:t xml:space="preserve"> </w:t>
      </w:r>
      <w:r w:rsidR="0565EE18">
        <w:t>ATO</w:t>
      </w:r>
      <w:r w:rsidR="000640A3">
        <w:t xml:space="preserve"> and insurers</w:t>
      </w:r>
      <w:r w:rsidR="76E51A4F">
        <w:t>,</w:t>
      </w:r>
      <w:r w:rsidR="00647987">
        <w:t xml:space="preserve"> </w:t>
      </w:r>
      <w:r w:rsidR="00327F89">
        <w:t>noting that t</w:t>
      </w:r>
      <w:r w:rsidR="748F9646">
        <w:t>he SA and ATO datasets</w:t>
      </w:r>
      <w:r w:rsidR="00327F89">
        <w:t xml:space="preserve"> </w:t>
      </w:r>
      <w:r w:rsidR="007E4C08">
        <w:t>do not include all insured people</w:t>
      </w:r>
      <w:r w:rsidR="000B17CB">
        <w:t>.</w:t>
      </w:r>
      <w:r w:rsidR="00D324FC">
        <w:t xml:space="preserve"> </w:t>
      </w:r>
      <w:r w:rsidR="004E5962">
        <w:t xml:space="preserve">The department sought </w:t>
      </w:r>
      <w:r w:rsidR="00B446EA">
        <w:t xml:space="preserve">further </w:t>
      </w:r>
      <w:r w:rsidR="004E5962">
        <w:t xml:space="preserve">stakeholder views on the </w:t>
      </w:r>
      <w:r w:rsidR="00B446EA">
        <w:t>final report</w:t>
      </w:r>
      <w:r w:rsidR="00ED5598">
        <w:t>.</w:t>
      </w:r>
    </w:p>
    <w:p w14:paraId="2BED9511" w14:textId="640D670C" w:rsidR="00721D07" w:rsidRDefault="00CB2EF8">
      <w:r>
        <w:t>Further, p</w:t>
      </w:r>
      <w:r w:rsidRPr="002927F3">
        <w:t>ublished reviews</w:t>
      </w:r>
      <w:r w:rsidRPr="000861B0">
        <w:t xml:space="preserve"> highlight deficiencies </w:t>
      </w:r>
      <w:r>
        <w:t>in</w:t>
      </w:r>
      <w:r w:rsidRPr="000861B0">
        <w:t xml:space="preserve"> </w:t>
      </w:r>
      <w:r>
        <w:t>the PHI Rebate</w:t>
      </w:r>
      <w:r w:rsidRPr="000861B0">
        <w:t xml:space="preserve"> settings</w:t>
      </w:r>
      <w:r>
        <w:t>, including that an uplift for older people targets a group already strongly incentivised to purchase PHI</w:t>
      </w:r>
      <w:r>
        <w:rPr>
          <w:rStyle w:val="FootnoteReference"/>
        </w:rPr>
        <w:footnoteReference w:id="8"/>
      </w:r>
      <w:r w:rsidRPr="000861B0">
        <w:t>.</w:t>
      </w:r>
      <w:r>
        <w:t xml:space="preserve"> </w:t>
      </w:r>
      <w:r w:rsidR="00310A22">
        <w:t>O</w:t>
      </w:r>
      <w:r w:rsidR="00D341BC" w:rsidRPr="00490289">
        <w:t xml:space="preserve">n average, </w:t>
      </w:r>
      <w:r w:rsidR="00F85AD4">
        <w:t xml:space="preserve">older people </w:t>
      </w:r>
      <w:r w:rsidR="00D341BC" w:rsidRPr="00490289">
        <w:t xml:space="preserve">tend to be less sensitive to changes in insurance prices. </w:t>
      </w:r>
      <w:r w:rsidR="00A6756E" w:rsidRPr="0002508F">
        <w:t xml:space="preserve">This may be because </w:t>
      </w:r>
      <w:r w:rsidR="002634B1" w:rsidRPr="0002508F">
        <w:t xml:space="preserve">the value </w:t>
      </w:r>
      <w:r w:rsidR="002634B1" w:rsidRPr="0002508F">
        <w:lastRenderedPageBreak/>
        <w:t>proposition of PHI is higher for older people than younger people</w:t>
      </w:r>
      <w:r w:rsidR="007F56E1">
        <w:t>,</w:t>
      </w:r>
      <w:r w:rsidR="00A6756E" w:rsidRPr="0002508F">
        <w:t xml:space="preserve"> they place a higher value on private treatment</w:t>
      </w:r>
      <w:r w:rsidR="00211572">
        <w:t xml:space="preserve"> and/or</w:t>
      </w:r>
      <w:r w:rsidR="00A6756E">
        <w:t xml:space="preserve"> </w:t>
      </w:r>
      <w:r w:rsidR="00A6756E" w:rsidRPr="0002508F">
        <w:t>are more risk averse than the general population</w:t>
      </w:r>
      <w:r>
        <w:t xml:space="preserve">. </w:t>
      </w:r>
    </w:p>
    <w:p w14:paraId="1DCF0162" w14:textId="26320A15" w:rsidR="005A0EEE" w:rsidRDefault="007B1A9E">
      <w:r>
        <w:t>T</w:t>
      </w:r>
      <w:r w:rsidR="0038530C" w:rsidRPr="0038530C">
        <w:t xml:space="preserve">he </w:t>
      </w:r>
      <w:r w:rsidR="00B15AD4">
        <w:t>department</w:t>
      </w:r>
      <w:r w:rsidR="0038530C" w:rsidRPr="0038530C">
        <w:t xml:space="preserve"> </w:t>
      </w:r>
      <w:r w:rsidR="00AF33EF">
        <w:t>did</w:t>
      </w:r>
      <w:r w:rsidR="00AF33EF" w:rsidRPr="0038530C">
        <w:t xml:space="preserve"> </w:t>
      </w:r>
      <w:r w:rsidR="0038530C" w:rsidRPr="0038530C">
        <w:t xml:space="preserve">not </w:t>
      </w:r>
      <w:r w:rsidR="00FF3FBC">
        <w:t xml:space="preserve">further </w:t>
      </w:r>
      <w:r w:rsidR="0038530C" w:rsidRPr="0038530C">
        <w:t xml:space="preserve">consult on the specific changes to the Rebate </w:t>
      </w:r>
      <w:r w:rsidR="00120B9D">
        <w:t>proposed</w:t>
      </w:r>
      <w:r w:rsidR="0038530C" w:rsidRPr="0038530C">
        <w:t xml:space="preserve"> </w:t>
      </w:r>
      <w:r w:rsidR="005F7824">
        <w:t>in this document</w:t>
      </w:r>
      <w:r w:rsidR="0010656F">
        <w:t>, due to budget confidentiality requirements and prior consultation</w:t>
      </w:r>
      <w:r w:rsidR="00B15AD4">
        <w:t>.</w:t>
      </w:r>
    </w:p>
    <w:p w14:paraId="16C36503" w14:textId="644188A5" w:rsidR="00EE7423" w:rsidRDefault="00EE7423" w:rsidP="00EE7423">
      <w:pPr>
        <w:pStyle w:val="Heading3"/>
      </w:pPr>
      <w:r w:rsidRPr="007010B1">
        <w:t xml:space="preserve">Figure </w:t>
      </w:r>
      <w:r w:rsidR="00B22B1E">
        <w:t>1</w:t>
      </w:r>
      <w:r w:rsidRPr="007010B1">
        <w:t xml:space="preserve">: </w:t>
      </w:r>
      <w:r>
        <w:t xml:space="preserve">Average PHI benefits paid per person by age compared with average premium </w:t>
      </w:r>
      <w:r w:rsidR="005668DE">
        <w:t xml:space="preserve">charged </w:t>
      </w:r>
      <w:r>
        <w:t>for a single by product tier</w:t>
      </w:r>
      <w:r w:rsidR="004D48D6">
        <w:t xml:space="preserve"> before and after Rebate (for Base income tier)</w:t>
      </w:r>
    </w:p>
    <w:p w14:paraId="50D1BD08" w14:textId="0101764B" w:rsidR="00EE7423" w:rsidRDefault="00BA4A66" w:rsidP="00EE7423">
      <w:r w:rsidRPr="00BA4A66">
        <w:rPr>
          <w:noProof/>
        </w:rPr>
        <w:drawing>
          <wp:inline distT="0" distB="0" distL="0" distR="0" wp14:anchorId="3023C20F" wp14:editId="39F9F40C">
            <wp:extent cx="6120130" cy="1920875"/>
            <wp:effectExtent l="0" t="0" r="0" b="3175"/>
            <wp:docPr id="1457526146" name="Picture 1" descr="Two charts are provided side by side showing the cost of average benefits and average premiums by age. The left chart shows average premiums before the Rebate, while the right chart shows average premiums after the Rebate. In the before rebate chart, average benefits are lower than average premiums for people under 70, and higher than average premiums for people aged 70 and over. In the after rebate chart, average benefits are lower than average premiums for people under 65, and higher than average premiums for people aged 65 years and ol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26146" name="Picture 1" descr="Two charts are provided side by side showing the cost of average benefits and average premiums by age. The left chart shows average premiums before the Rebate, while the right chart shows average premiums after the Rebate. In the before rebate chart, average benefits are lower than average premiums for people under 70, and higher than average premiums for people aged 70 and over. In the after rebate chart, average benefits are lower than average premiums for people under 65, and higher than average premiums for people aged 65 years and older.&#10;"/>
                    <pic:cNvPicPr/>
                  </pic:nvPicPr>
                  <pic:blipFill>
                    <a:blip r:embed="rId10"/>
                    <a:stretch>
                      <a:fillRect/>
                    </a:stretch>
                  </pic:blipFill>
                  <pic:spPr>
                    <a:xfrm>
                      <a:off x="0" y="0"/>
                      <a:ext cx="6120130" cy="1920875"/>
                    </a:xfrm>
                    <a:prstGeom prst="rect">
                      <a:avLst/>
                    </a:prstGeom>
                  </pic:spPr>
                </pic:pic>
              </a:graphicData>
            </a:graphic>
          </wp:inline>
        </w:drawing>
      </w:r>
    </w:p>
    <w:p w14:paraId="4D83458A" w14:textId="77777777" w:rsidR="00411B8D" w:rsidRDefault="00411B8D" w:rsidP="00411B8D">
      <w:pPr>
        <w:spacing w:after="0" w:line="240" w:lineRule="auto"/>
        <w:rPr>
          <w:sz w:val="16"/>
          <w:szCs w:val="16"/>
        </w:rPr>
      </w:pPr>
      <w:r w:rsidRPr="000861B0">
        <w:rPr>
          <w:sz w:val="16"/>
          <w:szCs w:val="16"/>
        </w:rPr>
        <w:t>Source: Average benefits – APRA quarterly PHI data (</w:t>
      </w:r>
      <w:r w:rsidRPr="000861B0">
        <w:rPr>
          <w:sz w:val="16"/>
          <w:szCs w:val="16"/>
          <w:lang w:val="en-GB"/>
        </w:rPr>
        <w:t xml:space="preserve">benefits paid are calculated for the 12 months to </w:t>
      </w:r>
      <w:r>
        <w:rPr>
          <w:sz w:val="16"/>
          <w:szCs w:val="16"/>
          <w:lang w:val="en-GB"/>
        </w:rPr>
        <w:t>December</w:t>
      </w:r>
      <w:r w:rsidRPr="000861B0">
        <w:rPr>
          <w:sz w:val="16"/>
          <w:szCs w:val="16"/>
          <w:lang w:val="en-GB"/>
        </w:rPr>
        <w:t xml:space="preserve"> 2025</w:t>
      </w:r>
      <w:r>
        <w:rPr>
          <w:sz w:val="16"/>
          <w:szCs w:val="16"/>
          <w:lang w:val="en-GB"/>
        </w:rPr>
        <w:t xml:space="preserve"> and i</w:t>
      </w:r>
      <w:r w:rsidRPr="000861B0">
        <w:rPr>
          <w:sz w:val="16"/>
          <w:szCs w:val="16"/>
          <w:lang w:val="en-GB"/>
        </w:rPr>
        <w:t xml:space="preserve">nsured persons are as </w:t>
      </w:r>
      <w:proofErr w:type="gramStart"/>
      <w:r w:rsidRPr="000861B0">
        <w:rPr>
          <w:sz w:val="16"/>
          <w:szCs w:val="16"/>
          <w:lang w:val="en-GB"/>
        </w:rPr>
        <w:t>at</w:t>
      </w:r>
      <w:proofErr w:type="gramEnd"/>
      <w:r w:rsidRPr="000861B0">
        <w:rPr>
          <w:sz w:val="16"/>
          <w:szCs w:val="16"/>
          <w:lang w:val="en-GB"/>
        </w:rPr>
        <w:t xml:space="preserve"> 31 </w:t>
      </w:r>
      <w:r>
        <w:rPr>
          <w:sz w:val="16"/>
          <w:szCs w:val="16"/>
          <w:lang w:val="en-GB"/>
        </w:rPr>
        <w:t>December</w:t>
      </w:r>
      <w:r w:rsidRPr="000861B0" w:rsidDel="00013342">
        <w:rPr>
          <w:sz w:val="16"/>
          <w:szCs w:val="16"/>
          <w:lang w:val="en-GB"/>
        </w:rPr>
        <w:t xml:space="preserve"> </w:t>
      </w:r>
      <w:r w:rsidRPr="000861B0">
        <w:rPr>
          <w:sz w:val="16"/>
          <w:szCs w:val="16"/>
          <w:lang w:val="en-GB"/>
        </w:rPr>
        <w:t xml:space="preserve">2025.) Average premiums – private health information statements, Commonwealth Ombudsman, average premiums for Singles policy by tier after standard </w:t>
      </w:r>
      <w:r>
        <w:rPr>
          <w:sz w:val="16"/>
          <w:szCs w:val="16"/>
          <w:lang w:val="en-GB"/>
        </w:rPr>
        <w:t>Rebate</w:t>
      </w:r>
      <w:r w:rsidRPr="000861B0">
        <w:rPr>
          <w:sz w:val="16"/>
          <w:szCs w:val="16"/>
          <w:lang w:val="en-GB"/>
        </w:rPr>
        <w:t xml:space="preserve"> observed </w:t>
      </w:r>
      <w:proofErr w:type="gramStart"/>
      <w:r w:rsidRPr="000861B0">
        <w:rPr>
          <w:sz w:val="16"/>
          <w:szCs w:val="16"/>
          <w:lang w:val="en-GB"/>
        </w:rPr>
        <w:t>at</w:t>
      </w:r>
      <w:proofErr w:type="gramEnd"/>
      <w:r w:rsidRPr="000861B0">
        <w:rPr>
          <w:sz w:val="16"/>
          <w:szCs w:val="16"/>
          <w:lang w:val="en-GB"/>
        </w:rPr>
        <w:t xml:space="preserve"> </w:t>
      </w:r>
      <w:r>
        <w:rPr>
          <w:sz w:val="16"/>
          <w:szCs w:val="16"/>
          <w:lang w:val="en-GB"/>
        </w:rPr>
        <w:t>1 April 2026</w:t>
      </w:r>
      <w:r w:rsidRPr="000861B0">
        <w:rPr>
          <w:sz w:val="16"/>
          <w:szCs w:val="16"/>
          <w:lang w:val="en-GB"/>
        </w:rPr>
        <w:t xml:space="preserve"> </w:t>
      </w:r>
      <w:r w:rsidRPr="000861B0">
        <w:rPr>
          <w:sz w:val="16"/>
          <w:szCs w:val="16"/>
        </w:rPr>
        <w:t>excluding corporate policies.</w:t>
      </w:r>
    </w:p>
    <w:p w14:paraId="5F9E4BA4" w14:textId="3423C994" w:rsidR="004D48D6" w:rsidRDefault="004D48D6" w:rsidP="00411B8D">
      <w:pPr>
        <w:spacing w:after="0" w:line="240" w:lineRule="auto"/>
        <w:rPr>
          <w:sz w:val="16"/>
          <w:szCs w:val="16"/>
        </w:rPr>
      </w:pPr>
      <w:r>
        <w:rPr>
          <w:sz w:val="16"/>
          <w:szCs w:val="16"/>
        </w:rPr>
        <w:t xml:space="preserve">Note: the </w:t>
      </w:r>
      <w:proofErr w:type="gramStart"/>
      <w:r>
        <w:rPr>
          <w:sz w:val="16"/>
          <w:szCs w:val="16"/>
        </w:rPr>
        <w:t>after Rebate</w:t>
      </w:r>
      <w:proofErr w:type="gramEnd"/>
      <w:r>
        <w:rPr>
          <w:sz w:val="16"/>
          <w:szCs w:val="16"/>
        </w:rPr>
        <w:t xml:space="preserve"> figure is presented for the Base income tier (noting that </w:t>
      </w:r>
      <w:proofErr w:type="gramStart"/>
      <w:r>
        <w:rPr>
          <w:sz w:val="16"/>
          <w:szCs w:val="16"/>
        </w:rPr>
        <w:t>the majority of</w:t>
      </w:r>
      <w:proofErr w:type="gramEnd"/>
      <w:r>
        <w:rPr>
          <w:sz w:val="16"/>
          <w:szCs w:val="16"/>
        </w:rPr>
        <w:t xml:space="preserve"> policy holders are in this tier).</w:t>
      </w:r>
    </w:p>
    <w:p w14:paraId="12EC35F1" w14:textId="77777777" w:rsidR="00B22B1E" w:rsidRDefault="00B22B1E" w:rsidP="00411B8D">
      <w:pPr>
        <w:spacing w:after="0" w:line="240" w:lineRule="auto"/>
        <w:rPr>
          <w:sz w:val="16"/>
          <w:szCs w:val="16"/>
        </w:rPr>
      </w:pPr>
    </w:p>
    <w:p w14:paraId="2F4A1BFA" w14:textId="77777777" w:rsidR="00411B8D" w:rsidRPr="00EE7423" w:rsidRDefault="00411B8D" w:rsidP="00EE7423"/>
    <w:p w14:paraId="4DFEC8F8" w14:textId="77777777" w:rsidR="000251A4" w:rsidRPr="000861B0" w:rsidRDefault="009E255F">
      <w:pPr>
        <w:spacing w:after="200" w:line="288" w:lineRule="auto"/>
      </w:pPr>
      <w:r w:rsidRPr="000861B0">
        <w:br w:type="page"/>
      </w:r>
    </w:p>
    <w:p w14:paraId="4270B333" w14:textId="530154C6" w:rsidR="000251A4" w:rsidRPr="00F11572" w:rsidRDefault="009E255F" w:rsidP="00FE3AE0">
      <w:pPr>
        <w:pStyle w:val="Heading1"/>
        <w:numPr>
          <w:ilvl w:val="0"/>
          <w:numId w:val="15"/>
        </w:numPr>
        <w:rPr>
          <w:sz w:val="44"/>
          <w:szCs w:val="44"/>
        </w:rPr>
      </w:pPr>
      <w:r w:rsidRPr="00F11572">
        <w:rPr>
          <w:sz w:val="44"/>
          <w:szCs w:val="44"/>
        </w:rPr>
        <w:lastRenderedPageBreak/>
        <w:t>What are the objectives, why is government intervention needed to achieve them, and how will success be measured?</w:t>
      </w:r>
    </w:p>
    <w:p w14:paraId="51C72A6F" w14:textId="498A3358" w:rsidR="2BF33FFD" w:rsidRDefault="2BF33FFD" w:rsidP="00310BCC">
      <w:pPr>
        <w:pStyle w:val="Heading3"/>
      </w:pPr>
      <w:r w:rsidRPr="0011EF4A">
        <w:t>Objectives</w:t>
      </w:r>
    </w:p>
    <w:p w14:paraId="789794F3" w14:textId="79CF528B" w:rsidR="000251A4" w:rsidRPr="000861B0" w:rsidRDefault="00B55FDC">
      <w:r>
        <w:t>G</w:t>
      </w:r>
      <w:r w:rsidRPr="000861B0">
        <w:t>overnment</w:t>
      </w:r>
      <w:r w:rsidR="009E255F" w:rsidRPr="000861B0">
        <w:t xml:space="preserve"> funding for healthcare is finite and </w:t>
      </w:r>
      <w:r w:rsidR="00337CF3">
        <w:t>demand</w:t>
      </w:r>
      <w:r w:rsidR="009E255F" w:rsidRPr="000861B0">
        <w:t xml:space="preserve"> across the health</w:t>
      </w:r>
      <w:r w:rsidR="00695FFF">
        <w:t>, disability</w:t>
      </w:r>
      <w:r w:rsidR="00857D8E">
        <w:t xml:space="preserve"> and aged </w:t>
      </w:r>
      <w:r w:rsidR="009E255F" w:rsidRPr="000861B0">
        <w:t>care system</w:t>
      </w:r>
      <w:r w:rsidR="002601C8">
        <w:t>s</w:t>
      </w:r>
      <w:r w:rsidR="008E671A">
        <w:t xml:space="preserve"> continues to grow due to</w:t>
      </w:r>
      <w:r w:rsidR="00700E34">
        <w:t xml:space="preserve"> </w:t>
      </w:r>
      <w:r w:rsidR="009E255F" w:rsidRPr="000861B0">
        <w:t xml:space="preserve">increasing incidence of chronic and preventable diseases and </w:t>
      </w:r>
      <w:r w:rsidR="000B1B60">
        <w:t xml:space="preserve">increased need for aged care services </w:t>
      </w:r>
      <w:r w:rsidR="009E255F" w:rsidRPr="000861B0" w:rsidDel="00700E34">
        <w:t>due to an</w:t>
      </w:r>
      <w:r w:rsidR="009E255F" w:rsidRPr="000861B0">
        <w:t xml:space="preserve"> ageing population. </w:t>
      </w:r>
    </w:p>
    <w:p w14:paraId="6A3A1DEB" w14:textId="68E90A84" w:rsidR="000251A4" w:rsidRPr="000861B0" w:rsidRDefault="009E255F">
      <w:r w:rsidRPr="000861B0">
        <w:t>The</w:t>
      </w:r>
      <w:r w:rsidR="00403236" w:rsidRPr="000861B0">
        <w:t xml:space="preserve"> Australian</w:t>
      </w:r>
      <w:r w:rsidRPr="000861B0">
        <w:t xml:space="preserve"> </w:t>
      </w:r>
      <w:r w:rsidR="00403236" w:rsidRPr="000861B0">
        <w:t>G</w:t>
      </w:r>
      <w:r w:rsidRPr="000861B0">
        <w:t>overnment is responsible for setting the PHI incentives</w:t>
      </w:r>
      <w:r w:rsidR="009E7FD2">
        <w:t xml:space="preserve">. The </w:t>
      </w:r>
      <w:r w:rsidR="00F531CB">
        <w:t>g</w:t>
      </w:r>
      <w:r w:rsidR="009E7FD2">
        <w:t>overnment must also</w:t>
      </w:r>
      <w:r w:rsidRPr="000861B0">
        <w:t xml:space="preserve"> </w:t>
      </w:r>
      <w:r>
        <w:t>balanc</w:t>
      </w:r>
      <w:r w:rsidR="008C3223">
        <w:t>e</w:t>
      </w:r>
      <w:r>
        <w:t xml:space="preserve"> </w:t>
      </w:r>
      <w:r w:rsidR="00C64514">
        <w:t>its</w:t>
      </w:r>
      <w:r w:rsidRPr="000861B0">
        <w:t xml:space="preserve"> support </w:t>
      </w:r>
      <w:r w:rsidR="00C64514">
        <w:t>for</w:t>
      </w:r>
      <w:r>
        <w:t xml:space="preserve"> </w:t>
      </w:r>
      <w:r w:rsidRPr="000861B0">
        <w:t>privately insured patients with the funding it provides for the entire health</w:t>
      </w:r>
      <w:r w:rsidR="00695FFF">
        <w:t>, disability and aged care</w:t>
      </w:r>
      <w:r w:rsidRPr="000861B0">
        <w:t xml:space="preserve"> system. </w:t>
      </w:r>
    </w:p>
    <w:p w14:paraId="1D49C162" w14:textId="0A53DCA6" w:rsidR="00874B3B" w:rsidRDefault="009E255F">
      <w:r w:rsidRPr="000861B0">
        <w:t xml:space="preserve">In making these decisions, </w:t>
      </w:r>
      <w:r w:rsidR="00576752" w:rsidRPr="000861B0">
        <w:t xml:space="preserve">the </w:t>
      </w:r>
      <w:r w:rsidRPr="000861B0">
        <w:t>government’s objectives include ensuring equitable access across the community to the full range of health</w:t>
      </w:r>
      <w:r w:rsidR="00695FFF">
        <w:t xml:space="preserve">, disability and aged </w:t>
      </w:r>
      <w:r w:rsidRPr="000861B0">
        <w:t xml:space="preserve">care services, not just </w:t>
      </w:r>
      <w:r>
        <w:t>th</w:t>
      </w:r>
      <w:r w:rsidR="007166ED">
        <w:t>e services</w:t>
      </w:r>
      <w:r w:rsidRPr="000861B0">
        <w:t xml:space="preserve"> within the scope of </w:t>
      </w:r>
      <w:r w:rsidR="00016637">
        <w:t>PHI</w:t>
      </w:r>
      <w:r w:rsidRPr="000861B0">
        <w:t xml:space="preserve"> products</w:t>
      </w:r>
      <w:r w:rsidR="008852D4">
        <w:t>.</w:t>
      </w:r>
    </w:p>
    <w:p w14:paraId="529AB316" w14:textId="4E4479A3" w:rsidR="000251A4" w:rsidRPr="000861B0" w:rsidRDefault="008852D4">
      <w:r>
        <w:t xml:space="preserve">Depending on </w:t>
      </w:r>
      <w:r w:rsidR="00B031A6">
        <w:t xml:space="preserve">the policy taken out, </w:t>
      </w:r>
      <w:r w:rsidR="00016637">
        <w:t>PHI</w:t>
      </w:r>
      <w:r w:rsidR="00D46C97">
        <w:t xml:space="preserve"> provide</w:t>
      </w:r>
      <w:r w:rsidR="00F64461">
        <w:t>s</w:t>
      </w:r>
      <w:r w:rsidR="00D46C97">
        <w:t xml:space="preserve"> benefits </w:t>
      </w:r>
      <w:r w:rsidR="00F53876">
        <w:t>related to</w:t>
      </w:r>
      <w:r w:rsidR="00D46C97">
        <w:t xml:space="preserve"> </w:t>
      </w:r>
      <w:r w:rsidR="00F55593">
        <w:t xml:space="preserve">hospital </w:t>
      </w:r>
      <w:r w:rsidR="00146882">
        <w:t>treatment</w:t>
      </w:r>
      <w:r w:rsidR="003E2FCB">
        <w:t xml:space="preserve"> </w:t>
      </w:r>
      <w:r w:rsidR="00782EFC">
        <w:t xml:space="preserve">and </w:t>
      </w:r>
      <w:r w:rsidR="00146882">
        <w:t>general treatment (</w:t>
      </w:r>
      <w:r w:rsidR="003E2FCB">
        <w:t>certain dental and allied health services)</w:t>
      </w:r>
      <w:r w:rsidR="009E255F" w:rsidRPr="000861B0">
        <w:t xml:space="preserve">. </w:t>
      </w:r>
    </w:p>
    <w:p w14:paraId="069D51D1" w14:textId="0E8E2EF4" w:rsidR="00720B7A" w:rsidRDefault="00873ECA">
      <w:r w:rsidRPr="000861B0">
        <w:t xml:space="preserve">The </w:t>
      </w:r>
      <w:r w:rsidR="00814EC8">
        <w:t>objective</w:t>
      </w:r>
      <w:r w:rsidR="004F2EE8">
        <w:t>s</w:t>
      </w:r>
      <w:r w:rsidR="00814EC8" w:rsidRPr="000861B0">
        <w:t xml:space="preserve"> </w:t>
      </w:r>
      <w:r w:rsidRPr="000861B0" w:rsidDel="00285F5D">
        <w:t xml:space="preserve">of the </w:t>
      </w:r>
      <w:r w:rsidR="005A4775" w:rsidRPr="000861B0" w:rsidDel="00285F5D">
        <w:t xml:space="preserve">policy options </w:t>
      </w:r>
      <w:r w:rsidR="004F2EE8">
        <w:t>are</w:t>
      </w:r>
      <w:r w:rsidR="009E255F" w:rsidRPr="000861B0">
        <w:t xml:space="preserve"> to</w:t>
      </w:r>
      <w:r w:rsidR="00720B7A">
        <w:t>:</w:t>
      </w:r>
    </w:p>
    <w:p w14:paraId="7997CFCC" w14:textId="0F648517" w:rsidR="004E4B13" w:rsidRDefault="004E4B13" w:rsidP="00061104">
      <w:pPr>
        <w:pStyle w:val="ListParagraph"/>
        <w:numPr>
          <w:ilvl w:val="0"/>
          <w:numId w:val="45"/>
        </w:numPr>
      </w:pPr>
      <w:r w:rsidRPr="000861B0">
        <w:t>continue to provide an incentive</w:t>
      </w:r>
      <w:r>
        <w:t xml:space="preserve"> </w:t>
      </w:r>
      <w:r w:rsidRPr="000861B0">
        <w:t>for people to participate in PHI</w:t>
      </w:r>
      <w:r w:rsidR="00E41A5F">
        <w:t xml:space="preserve"> through a simplified Rebate</w:t>
      </w:r>
    </w:p>
    <w:p w14:paraId="500BAED5" w14:textId="49ACD673" w:rsidR="004E4B13" w:rsidRDefault="004E4B13" w:rsidP="00061104">
      <w:pPr>
        <w:pStyle w:val="ListParagraph"/>
        <w:numPr>
          <w:ilvl w:val="0"/>
          <w:numId w:val="45"/>
        </w:numPr>
      </w:pPr>
      <w:r>
        <w:t xml:space="preserve">ensure </w:t>
      </w:r>
      <w:r w:rsidRPr="000861B0">
        <w:t>funds are not spent on the Rebate</w:t>
      </w:r>
      <w:r w:rsidR="0074061C">
        <w:t xml:space="preserve"> </w:t>
      </w:r>
      <w:r w:rsidRPr="000861B0">
        <w:t xml:space="preserve">if they </w:t>
      </w:r>
      <w:r>
        <w:t>are generally unlikely to</w:t>
      </w:r>
      <w:r w:rsidRPr="000861B0">
        <w:t xml:space="preserve"> alter participation decisions and/or could be better directed to </w:t>
      </w:r>
      <w:r>
        <w:t>other</w:t>
      </w:r>
      <w:r w:rsidRPr="000861B0">
        <w:t xml:space="preserve"> priority health</w:t>
      </w:r>
      <w:r>
        <w:t>, disability and aged care</w:t>
      </w:r>
      <w:r w:rsidRPr="000861B0">
        <w:t xml:space="preserve"> services</w:t>
      </w:r>
      <w:r w:rsidR="00257552">
        <w:t>, and</w:t>
      </w:r>
      <w:r w:rsidRPr="000861B0">
        <w:t xml:space="preserve"> </w:t>
      </w:r>
    </w:p>
    <w:p w14:paraId="12F77BDB" w14:textId="33FB37EF" w:rsidR="001B5269" w:rsidRDefault="004E4B13" w:rsidP="00061104">
      <w:pPr>
        <w:pStyle w:val="ListParagraph"/>
        <w:numPr>
          <w:ilvl w:val="0"/>
          <w:numId w:val="45"/>
        </w:numPr>
      </w:pPr>
      <w:r>
        <w:t xml:space="preserve">ensure the Rebate is </w:t>
      </w:r>
      <w:r w:rsidR="00D9547E">
        <w:t xml:space="preserve">equitably </w:t>
      </w:r>
      <w:r>
        <w:t>targeted</w:t>
      </w:r>
      <w:r w:rsidR="0095757B">
        <w:t>,</w:t>
      </w:r>
      <w:r w:rsidR="00896669">
        <w:t xml:space="preserve"> </w:t>
      </w:r>
      <w:r w:rsidR="009B3EC4">
        <w:t xml:space="preserve">while </w:t>
      </w:r>
      <w:r w:rsidR="006A0C33">
        <w:t>minimising</w:t>
      </w:r>
      <w:r w:rsidR="009B3EC4">
        <w:t xml:space="preserve"> any negative impact </w:t>
      </w:r>
      <w:r w:rsidR="000F0C9D">
        <w:t>on participation</w:t>
      </w:r>
      <w:r w:rsidR="00844F03">
        <w:t>.</w:t>
      </w:r>
    </w:p>
    <w:p w14:paraId="396DAC98" w14:textId="67A54944" w:rsidR="319B3C11" w:rsidRDefault="319B3C11" w:rsidP="00310BCC">
      <w:pPr>
        <w:pStyle w:val="Heading3"/>
      </w:pPr>
      <w:r w:rsidRPr="0011EF4A">
        <w:t>Measuring success</w:t>
      </w:r>
    </w:p>
    <w:p w14:paraId="0AA25DCB" w14:textId="5F9C78E8" w:rsidR="00C875CD" w:rsidRDefault="00462D72" w:rsidP="00502691">
      <w:r>
        <w:t>Table 2</w:t>
      </w:r>
      <w:r w:rsidR="000B0582" w:rsidRPr="000B0582">
        <w:t xml:space="preserve"> outlines the factor that will make this proposed policy change a success, along with </w:t>
      </w:r>
      <w:r w:rsidR="00EE31EA">
        <w:t xml:space="preserve">a </w:t>
      </w:r>
      <w:r w:rsidR="000B0582" w:rsidRPr="000B0582">
        <w:t>measurable target</w:t>
      </w:r>
      <w:r w:rsidR="00F736EE">
        <w:t xml:space="preserve">. </w:t>
      </w:r>
    </w:p>
    <w:p w14:paraId="5707D023" w14:textId="13BD13BB" w:rsidR="00462D72" w:rsidRDefault="00462D72" w:rsidP="00DF4B01">
      <w:pPr>
        <w:pStyle w:val="Heading3"/>
      </w:pPr>
      <w:r>
        <w:lastRenderedPageBreak/>
        <w:t xml:space="preserve">Table 2: </w:t>
      </w:r>
      <w:r w:rsidR="00FC1047">
        <w:t>Success factor and measurable target for the policy change</w:t>
      </w:r>
    </w:p>
    <w:tbl>
      <w:tblPr>
        <w:tblStyle w:val="TableGrid"/>
        <w:tblW w:w="0" w:type="auto"/>
        <w:tblLook w:val="04A0" w:firstRow="1" w:lastRow="0" w:firstColumn="1" w:lastColumn="0" w:noHBand="0" w:noVBand="1"/>
        <w:tblDescription w:val="Table outlines the objective, success factor, and success metric for the policy change. The objective is to ensure the rebate is equitably targeted, while minimising any negative impact on participation. The success factor is a minmal reduction in the proportion of the population participating in PHI in the first 2 years from 1 April 2027. The success metric is insured people as a proportion of the population in the March 2029 quarter has not reduced by more than 1 percentage point compared with the March 2027 quarter."/>
      </w:tblPr>
      <w:tblGrid>
        <w:gridCol w:w="2547"/>
        <w:gridCol w:w="2835"/>
        <w:gridCol w:w="4246"/>
      </w:tblGrid>
      <w:tr w:rsidR="00502691" w14:paraId="397AE159" w14:textId="77777777" w:rsidTr="003726F8">
        <w:trPr>
          <w:tblHeader/>
        </w:trPr>
        <w:tc>
          <w:tcPr>
            <w:tcW w:w="2547" w:type="dxa"/>
            <w:shd w:val="clear" w:color="auto" w:fill="1C2B39" w:themeFill="accent1"/>
          </w:tcPr>
          <w:p w14:paraId="64A9AD80" w14:textId="123F5225" w:rsidR="00502691" w:rsidRPr="00446E6A" w:rsidRDefault="006F02AC" w:rsidP="00DF4B01">
            <w:pPr>
              <w:keepNext/>
              <w:rPr>
                <w:b/>
                <w:bCs/>
              </w:rPr>
            </w:pPr>
            <w:r w:rsidRPr="00446E6A">
              <w:rPr>
                <w:b/>
                <w:bCs/>
              </w:rPr>
              <w:t>Objective</w:t>
            </w:r>
          </w:p>
        </w:tc>
        <w:tc>
          <w:tcPr>
            <w:tcW w:w="2835" w:type="dxa"/>
            <w:shd w:val="clear" w:color="auto" w:fill="1C2B39" w:themeFill="accent1"/>
          </w:tcPr>
          <w:p w14:paraId="5C71F1AC" w14:textId="290A1186" w:rsidR="00502691" w:rsidRPr="00446E6A" w:rsidRDefault="00446E6A" w:rsidP="00DF4B01">
            <w:pPr>
              <w:keepNext/>
              <w:rPr>
                <w:b/>
                <w:bCs/>
              </w:rPr>
            </w:pPr>
            <w:r w:rsidRPr="00446E6A">
              <w:rPr>
                <w:b/>
                <w:bCs/>
              </w:rPr>
              <w:t>Success Factor</w:t>
            </w:r>
          </w:p>
        </w:tc>
        <w:tc>
          <w:tcPr>
            <w:tcW w:w="4246" w:type="dxa"/>
            <w:shd w:val="clear" w:color="auto" w:fill="1C2B39" w:themeFill="accent1"/>
          </w:tcPr>
          <w:p w14:paraId="1A513C16" w14:textId="6B2E7B73" w:rsidR="00502691" w:rsidRPr="00446E6A" w:rsidRDefault="00446E6A" w:rsidP="00DF4B01">
            <w:pPr>
              <w:keepNext/>
              <w:rPr>
                <w:b/>
                <w:bCs/>
              </w:rPr>
            </w:pPr>
            <w:r w:rsidRPr="00446E6A">
              <w:rPr>
                <w:b/>
                <w:bCs/>
              </w:rPr>
              <w:t>Success Metric</w:t>
            </w:r>
          </w:p>
        </w:tc>
      </w:tr>
      <w:tr w:rsidR="00502691" w14:paraId="4374D6C1" w14:textId="77777777" w:rsidTr="003726F8">
        <w:trPr>
          <w:tblHeader/>
        </w:trPr>
        <w:tc>
          <w:tcPr>
            <w:tcW w:w="2547" w:type="dxa"/>
          </w:tcPr>
          <w:p w14:paraId="28AD50BD" w14:textId="479D9DDF" w:rsidR="00502691" w:rsidRPr="00E11A90" w:rsidRDefault="00065E67" w:rsidP="00E11A90">
            <w:pPr>
              <w:spacing w:after="0"/>
              <w:rPr>
                <w:b/>
                <w:bCs/>
              </w:rPr>
            </w:pPr>
            <w:r w:rsidRPr="00E11A90">
              <w:rPr>
                <w:b/>
                <w:bCs/>
              </w:rPr>
              <w:t xml:space="preserve">Ensure the Rebate is equitably targeted, while </w:t>
            </w:r>
            <w:r w:rsidR="4B3A9613" w:rsidRPr="00E11A90">
              <w:rPr>
                <w:b/>
                <w:bCs/>
              </w:rPr>
              <w:t xml:space="preserve">minimising any negative impact on </w:t>
            </w:r>
            <w:r w:rsidRPr="00E11A90">
              <w:rPr>
                <w:b/>
                <w:bCs/>
              </w:rPr>
              <w:t>participation</w:t>
            </w:r>
          </w:p>
        </w:tc>
        <w:tc>
          <w:tcPr>
            <w:tcW w:w="2835" w:type="dxa"/>
          </w:tcPr>
          <w:p w14:paraId="1BFF26FF" w14:textId="56A406D3" w:rsidR="00A527D9" w:rsidRDefault="00DB5467" w:rsidP="0008631F">
            <w:pPr>
              <w:spacing w:after="0"/>
            </w:pPr>
            <w:r>
              <w:t>As a result of e</w:t>
            </w:r>
            <w:r w:rsidRPr="00DB5467">
              <w:t xml:space="preserve">ligibility for </w:t>
            </w:r>
            <w:proofErr w:type="gramStart"/>
            <w:r w:rsidR="0019377A">
              <w:t xml:space="preserve">particular </w:t>
            </w:r>
            <w:r w:rsidRPr="00DB5467">
              <w:t>Rebate</w:t>
            </w:r>
            <w:proofErr w:type="gramEnd"/>
            <w:r w:rsidRPr="00DB5467">
              <w:t xml:space="preserve"> </w:t>
            </w:r>
            <w:r w:rsidR="0019377A">
              <w:t xml:space="preserve">rates </w:t>
            </w:r>
            <w:r w:rsidR="002062C8">
              <w:t>being</w:t>
            </w:r>
            <w:r w:rsidRPr="00DB5467">
              <w:t xml:space="preserve"> determined by income only, rather than by income and age</w:t>
            </w:r>
            <w:r w:rsidR="0019377A">
              <w:t>, there is m</w:t>
            </w:r>
            <w:r w:rsidR="00962BAC">
              <w:t xml:space="preserve">inimal reduction in the proportion of the population that participates in PHI </w:t>
            </w:r>
            <w:r w:rsidR="000A7508">
              <w:t>in the first two years</w:t>
            </w:r>
            <w:r w:rsidR="00430C39">
              <w:t xml:space="preserve"> </w:t>
            </w:r>
            <w:r w:rsidR="009D318A">
              <w:t>from 1 April 2027</w:t>
            </w:r>
            <w:r w:rsidR="00D64096">
              <w:t xml:space="preserve">. </w:t>
            </w:r>
          </w:p>
        </w:tc>
        <w:tc>
          <w:tcPr>
            <w:tcW w:w="4246" w:type="dxa"/>
          </w:tcPr>
          <w:p w14:paraId="2687D14A" w14:textId="54FF6C6C" w:rsidR="006526D5" w:rsidRDefault="00202DDB" w:rsidP="00E11A90">
            <w:pPr>
              <w:spacing w:after="0"/>
            </w:pPr>
            <w:r w:rsidRPr="00E11A90">
              <w:rPr>
                <w:lang w:val="en-US"/>
              </w:rPr>
              <w:t>Insured people as a proportion of the population in the March 2029 quarter has not reduced by more than 1</w:t>
            </w:r>
            <w:r w:rsidR="00EC591B">
              <w:rPr>
                <w:lang w:val="en-US"/>
              </w:rPr>
              <w:t> </w:t>
            </w:r>
            <w:r w:rsidRPr="00E11A90">
              <w:rPr>
                <w:lang w:val="en-US"/>
              </w:rPr>
              <w:t xml:space="preserve">percentage point compared with the March 2027 quarter. </w:t>
            </w:r>
            <w:r w:rsidR="00265286">
              <w:rPr>
                <w:lang w:val="en-US"/>
              </w:rPr>
              <w:t>1 percentage point is larger than the modelled impact on participation but has been chosen to account for</w:t>
            </w:r>
            <w:r w:rsidR="00122B0E">
              <w:rPr>
                <w:lang w:val="en-US"/>
              </w:rPr>
              <w:t xml:space="preserve"> </w:t>
            </w:r>
            <w:r w:rsidR="009646B0">
              <w:rPr>
                <w:lang w:val="en-US"/>
              </w:rPr>
              <w:t xml:space="preserve">the </w:t>
            </w:r>
            <w:r w:rsidR="00CE07DB">
              <w:rPr>
                <w:lang w:val="en-US"/>
              </w:rPr>
              <w:t xml:space="preserve">possible </w:t>
            </w:r>
            <w:r w:rsidR="009646B0">
              <w:rPr>
                <w:lang w:val="en-US"/>
              </w:rPr>
              <w:t>impacts of external factors, such</w:t>
            </w:r>
            <w:r w:rsidR="004B3652">
              <w:rPr>
                <w:lang w:val="en-US"/>
              </w:rPr>
              <w:t xml:space="preserve"> as </w:t>
            </w:r>
            <w:proofErr w:type="gramStart"/>
            <w:r w:rsidR="00EE667E">
              <w:rPr>
                <w:lang w:val="en-US"/>
              </w:rPr>
              <w:t>higher than expected</w:t>
            </w:r>
            <w:proofErr w:type="gramEnd"/>
            <w:r w:rsidR="00EE667E">
              <w:rPr>
                <w:lang w:val="en-US"/>
              </w:rPr>
              <w:t xml:space="preserve"> </w:t>
            </w:r>
            <w:r w:rsidR="009646B0">
              <w:rPr>
                <w:lang w:val="en-US"/>
              </w:rPr>
              <w:t>cost o</w:t>
            </w:r>
            <w:r w:rsidR="001D34D5">
              <w:rPr>
                <w:lang w:val="en-US"/>
              </w:rPr>
              <w:t>f living pressures</w:t>
            </w:r>
            <w:r w:rsidR="00CE07DB">
              <w:rPr>
                <w:lang w:val="en-US"/>
              </w:rPr>
              <w:t xml:space="preserve"> that differ from the modelled assumptions</w:t>
            </w:r>
            <w:r w:rsidR="0055266B">
              <w:rPr>
                <w:lang w:val="en-US"/>
              </w:rPr>
              <w:t xml:space="preserve">. </w:t>
            </w:r>
            <w:r w:rsidR="00380D8A" w:rsidRPr="00E11A90">
              <w:rPr>
                <w:lang w:val="en-US"/>
              </w:rPr>
              <w:t xml:space="preserve">The number of </w:t>
            </w:r>
            <w:proofErr w:type="gramStart"/>
            <w:r w:rsidR="00380D8A" w:rsidRPr="00E11A90">
              <w:rPr>
                <w:lang w:val="en-US"/>
              </w:rPr>
              <w:t>insured people</w:t>
            </w:r>
            <w:proofErr w:type="gramEnd"/>
            <w:r w:rsidR="00380D8A" w:rsidRPr="00E11A90">
              <w:rPr>
                <w:lang w:val="en-US"/>
              </w:rPr>
              <w:t xml:space="preserve"> is expected to continue to rise, </w:t>
            </w:r>
            <w:r w:rsidR="00657303" w:rsidRPr="00E11A90">
              <w:rPr>
                <w:lang w:val="en-US"/>
              </w:rPr>
              <w:t xml:space="preserve">reflecting growth in the overall population. </w:t>
            </w:r>
            <w:r w:rsidR="00A80524" w:rsidRPr="00E11A90">
              <w:rPr>
                <w:lang w:val="en-US"/>
              </w:rPr>
              <w:t>Using</w:t>
            </w:r>
            <w:r w:rsidR="0023590B" w:rsidRPr="00E11A90">
              <w:rPr>
                <w:lang w:val="en-US"/>
              </w:rPr>
              <w:t xml:space="preserve"> this</w:t>
            </w:r>
            <w:r w:rsidR="00A80524" w:rsidRPr="00E11A90">
              <w:rPr>
                <w:lang w:val="en-US"/>
              </w:rPr>
              <w:t xml:space="preserve"> </w:t>
            </w:r>
            <w:r w:rsidR="00D20696" w:rsidRPr="00E11A90">
              <w:rPr>
                <w:lang w:val="en-US"/>
              </w:rPr>
              <w:t xml:space="preserve">participation </w:t>
            </w:r>
            <w:r w:rsidR="00481944" w:rsidRPr="00E11A90">
              <w:rPr>
                <w:lang w:val="en-US"/>
              </w:rPr>
              <w:t xml:space="preserve">metric allows </w:t>
            </w:r>
            <w:r w:rsidR="007412DF" w:rsidRPr="00E11A90">
              <w:rPr>
                <w:lang w:val="en-US"/>
              </w:rPr>
              <w:t xml:space="preserve">comparison of </w:t>
            </w:r>
            <w:r w:rsidR="00861766" w:rsidRPr="00E11A90">
              <w:rPr>
                <w:lang w:val="en-US"/>
              </w:rPr>
              <w:t xml:space="preserve">the </w:t>
            </w:r>
            <w:r w:rsidR="00922999" w:rsidRPr="00E11A90">
              <w:rPr>
                <w:lang w:val="en-US"/>
              </w:rPr>
              <w:t xml:space="preserve">impact relative to the </w:t>
            </w:r>
            <w:r w:rsidR="00861766" w:rsidRPr="00E11A90">
              <w:rPr>
                <w:lang w:val="en-US"/>
              </w:rPr>
              <w:t xml:space="preserve">population </w:t>
            </w:r>
            <w:r w:rsidR="000B41AC" w:rsidRPr="00E11A90">
              <w:rPr>
                <w:lang w:val="en-US"/>
              </w:rPr>
              <w:t xml:space="preserve">using </w:t>
            </w:r>
            <w:r w:rsidR="006B7287" w:rsidRPr="00E11A90">
              <w:rPr>
                <w:lang w:val="en-US"/>
              </w:rPr>
              <w:t>public</w:t>
            </w:r>
            <w:r w:rsidR="00922999" w:rsidRPr="00E11A90">
              <w:rPr>
                <w:lang w:val="en-US"/>
              </w:rPr>
              <w:t>ly available</w:t>
            </w:r>
            <w:r w:rsidR="006B7287" w:rsidRPr="00E11A90">
              <w:rPr>
                <w:lang w:val="en-US"/>
              </w:rPr>
              <w:t xml:space="preserve"> </w:t>
            </w:r>
            <w:r w:rsidR="008E1282" w:rsidRPr="00E11A90">
              <w:rPr>
                <w:lang w:val="en-US"/>
              </w:rPr>
              <w:t>APRA</w:t>
            </w:r>
            <w:r w:rsidR="000B41AC" w:rsidRPr="00E11A90">
              <w:rPr>
                <w:lang w:val="en-US"/>
              </w:rPr>
              <w:t xml:space="preserve"> data</w:t>
            </w:r>
            <w:r w:rsidR="00922999" w:rsidRPr="00E11A90">
              <w:rPr>
                <w:lang w:val="en-US"/>
              </w:rPr>
              <w:t>.</w:t>
            </w:r>
            <w:r w:rsidR="0008631F">
              <w:rPr>
                <w:lang w:val="en-US"/>
              </w:rPr>
              <w:t xml:space="preserve"> </w:t>
            </w:r>
            <w:r w:rsidR="0008631F">
              <w:t xml:space="preserve">A </w:t>
            </w:r>
            <w:proofErr w:type="gramStart"/>
            <w:r w:rsidR="0008631F">
              <w:t>2 year</w:t>
            </w:r>
            <w:proofErr w:type="gramEnd"/>
            <w:r w:rsidR="0008631F">
              <w:t xml:space="preserve"> </w:t>
            </w:r>
            <w:proofErr w:type="gramStart"/>
            <w:r w:rsidR="0008631F">
              <w:t>time period</w:t>
            </w:r>
            <w:proofErr w:type="gramEnd"/>
            <w:r w:rsidR="0008631F">
              <w:t xml:space="preserve"> has been chosen because the participation impact (while expected to be minor) is likely to be most pronounced in the first 2 years. The </w:t>
            </w:r>
            <w:proofErr w:type="gramStart"/>
            <w:r w:rsidR="0008631F">
              <w:t>2 year</w:t>
            </w:r>
            <w:proofErr w:type="gramEnd"/>
            <w:r w:rsidR="0008631F">
              <w:t xml:space="preserve"> </w:t>
            </w:r>
            <w:proofErr w:type="gramStart"/>
            <w:r w:rsidR="0008631F">
              <w:t>time period</w:t>
            </w:r>
            <w:proofErr w:type="gramEnd"/>
            <w:r w:rsidR="0008631F">
              <w:t xml:space="preserve"> will provide sufficient time for consumers to feel the impact of the change and decide whether to remain in PHI.</w:t>
            </w:r>
          </w:p>
        </w:tc>
      </w:tr>
    </w:tbl>
    <w:p w14:paraId="137CA3A6" w14:textId="77777777" w:rsidR="00727215" w:rsidRDefault="00727215" w:rsidP="00EB17CF"/>
    <w:p w14:paraId="4A958D81" w14:textId="15ACC27A" w:rsidR="001605F3" w:rsidRDefault="001605F3" w:rsidP="00FC1047">
      <w:pPr>
        <w:pStyle w:val="Heading3"/>
      </w:pPr>
      <w:r>
        <w:t xml:space="preserve">Limitations </w:t>
      </w:r>
      <w:r w:rsidR="003D6F67">
        <w:t xml:space="preserve">to </w:t>
      </w:r>
      <w:r w:rsidR="00666066">
        <w:t>implementation and b</w:t>
      </w:r>
      <w:r>
        <w:t>arriers to</w:t>
      </w:r>
      <w:r w:rsidR="00666066">
        <w:t xml:space="preserve"> success</w:t>
      </w:r>
    </w:p>
    <w:p w14:paraId="2CBB28D1" w14:textId="65EF4658" w:rsidR="006A2D82" w:rsidRDefault="00257BB9" w:rsidP="003D6F67">
      <w:r>
        <w:t>One potential barrier to success is</w:t>
      </w:r>
      <w:r w:rsidR="001B6091">
        <w:t xml:space="preserve"> </w:t>
      </w:r>
      <w:r w:rsidR="00CE07DB">
        <w:t xml:space="preserve">the possibility </w:t>
      </w:r>
      <w:r w:rsidR="00DF4B01">
        <w:t xml:space="preserve">of </w:t>
      </w:r>
      <w:r w:rsidR="005D523C">
        <w:t>significant</w:t>
      </w:r>
      <w:r w:rsidR="0089196E">
        <w:t>ly higher</w:t>
      </w:r>
      <w:r w:rsidR="005D523C">
        <w:t xml:space="preserve"> </w:t>
      </w:r>
      <w:r w:rsidR="001B6091">
        <w:t xml:space="preserve">negative impacts </w:t>
      </w:r>
      <w:r w:rsidR="0089196E">
        <w:t xml:space="preserve">than </w:t>
      </w:r>
      <w:r w:rsidR="00620CD7">
        <w:t>modelled</w:t>
      </w:r>
      <w:r w:rsidR="0089196E">
        <w:t xml:space="preserve"> </w:t>
      </w:r>
      <w:r w:rsidR="001B6091">
        <w:t xml:space="preserve">on </w:t>
      </w:r>
      <w:r w:rsidR="0071589E">
        <w:t>PHI</w:t>
      </w:r>
      <w:r w:rsidR="001B6091">
        <w:t xml:space="preserve"> participation</w:t>
      </w:r>
      <w:r w:rsidR="00E02BE3">
        <w:t xml:space="preserve"> </w:t>
      </w:r>
      <w:proofErr w:type="gramStart"/>
      <w:r w:rsidR="00E02BE3">
        <w:t>as a result of</w:t>
      </w:r>
      <w:proofErr w:type="gramEnd"/>
      <w:r w:rsidR="00E02BE3">
        <w:t xml:space="preserve"> the Rebate changes</w:t>
      </w:r>
      <w:r w:rsidR="005D523C">
        <w:t xml:space="preserve">. </w:t>
      </w:r>
      <w:r w:rsidR="004C73DA">
        <w:t>While only a</w:t>
      </w:r>
      <w:r w:rsidR="00675B76">
        <w:t xml:space="preserve"> </w:t>
      </w:r>
      <w:r w:rsidR="00225F6E">
        <w:t>marginal impact on participation is expected</w:t>
      </w:r>
      <w:r w:rsidR="004C73DA">
        <w:t xml:space="preserve">, </w:t>
      </w:r>
      <w:r w:rsidR="00675B76">
        <w:t xml:space="preserve">external factors, such as </w:t>
      </w:r>
      <w:r w:rsidR="00CE07DB">
        <w:t xml:space="preserve">greater than anticipated </w:t>
      </w:r>
      <w:r w:rsidR="00675B76">
        <w:t>increased cost of living pressures</w:t>
      </w:r>
      <w:r w:rsidR="004C73DA">
        <w:t>,</w:t>
      </w:r>
      <w:r w:rsidR="00675B76">
        <w:t xml:space="preserve"> </w:t>
      </w:r>
      <w:r w:rsidR="00772F53">
        <w:t xml:space="preserve">could result in a </w:t>
      </w:r>
      <w:proofErr w:type="gramStart"/>
      <w:r w:rsidR="00772F53">
        <w:t>higher than expected</w:t>
      </w:r>
      <w:proofErr w:type="gramEnd"/>
      <w:r w:rsidR="00772F53">
        <w:t xml:space="preserve"> participation impact</w:t>
      </w:r>
      <w:r w:rsidR="009F4914">
        <w:t xml:space="preserve">. This </w:t>
      </w:r>
      <w:r w:rsidR="00A3125B">
        <w:t>could</w:t>
      </w:r>
      <w:r w:rsidR="00D23911">
        <w:t xml:space="preserve"> have </w:t>
      </w:r>
      <w:r w:rsidR="65229E43">
        <w:t xml:space="preserve">potential </w:t>
      </w:r>
      <w:r w:rsidR="00D23911">
        <w:t>repercussions for the</w:t>
      </w:r>
      <w:r w:rsidR="003B39F8">
        <w:t xml:space="preserve"> broader health system</w:t>
      </w:r>
      <w:r w:rsidR="00B27F46">
        <w:t>, including the viability of private health insurers and private hospitals</w:t>
      </w:r>
      <w:r w:rsidR="00634163">
        <w:t xml:space="preserve"> and</w:t>
      </w:r>
      <w:r w:rsidR="3283F347">
        <w:t xml:space="preserve"> </w:t>
      </w:r>
      <w:r w:rsidR="00634163">
        <w:t>pressures on public hospitals</w:t>
      </w:r>
      <w:r w:rsidR="00B27F46">
        <w:t xml:space="preserve">. </w:t>
      </w:r>
      <w:r w:rsidR="00705DC9">
        <w:t xml:space="preserve">The </w:t>
      </w:r>
      <w:r w:rsidR="00843C0F">
        <w:t xml:space="preserve">department will </w:t>
      </w:r>
      <w:r w:rsidR="004176EC">
        <w:t xml:space="preserve">monitor the effect of the proposed change on participation as shown in Table 2 and will communicate the </w:t>
      </w:r>
      <w:r w:rsidR="00231E70">
        <w:t xml:space="preserve">results to government </w:t>
      </w:r>
      <w:r w:rsidR="00EB0277">
        <w:t xml:space="preserve">for consideration </w:t>
      </w:r>
      <w:r w:rsidR="00231E70">
        <w:t>as appropriate</w:t>
      </w:r>
      <w:r w:rsidR="00EB0277">
        <w:t>.</w:t>
      </w:r>
      <w:r w:rsidR="00705DC9">
        <w:t xml:space="preserve"> </w:t>
      </w:r>
      <w:r w:rsidR="003B39F8">
        <w:t xml:space="preserve"> </w:t>
      </w:r>
    </w:p>
    <w:p w14:paraId="1DF52F97" w14:textId="26E411E6" w:rsidR="00854492" w:rsidRDefault="009E4963" w:rsidP="003D6F67">
      <w:r>
        <w:lastRenderedPageBreak/>
        <w:t xml:space="preserve">Similarly, </w:t>
      </w:r>
      <w:r w:rsidR="004869C8">
        <w:t>some</w:t>
      </w:r>
      <w:r w:rsidR="00B04194">
        <w:t xml:space="preserve"> affected</w:t>
      </w:r>
      <w:r w:rsidR="004869C8">
        <w:t xml:space="preserve"> </w:t>
      </w:r>
      <w:r w:rsidR="007A4355">
        <w:t xml:space="preserve">consumers may respond to the </w:t>
      </w:r>
      <w:r w:rsidR="00B04194">
        <w:t xml:space="preserve">reduced </w:t>
      </w:r>
      <w:r w:rsidR="007A4355">
        <w:t xml:space="preserve">Rebate </w:t>
      </w:r>
      <w:r w:rsidR="00B04194">
        <w:t xml:space="preserve">rate </w:t>
      </w:r>
      <w:r w:rsidR="007A4355">
        <w:t xml:space="preserve">by choosing to </w:t>
      </w:r>
      <w:r w:rsidR="007A4355" w:rsidDel="0001297B">
        <w:t xml:space="preserve">reduce </w:t>
      </w:r>
      <w:r w:rsidR="007A4355">
        <w:t>their level of PHI cover</w:t>
      </w:r>
      <w:r w:rsidR="002D2059">
        <w:t xml:space="preserve"> </w:t>
      </w:r>
      <w:r w:rsidR="007A4355">
        <w:t>in line with their financial circumstances and health needs.</w:t>
      </w:r>
      <w:r w:rsidR="002D2059">
        <w:t xml:space="preserve"> </w:t>
      </w:r>
      <w:r w:rsidR="00F3333A">
        <w:t>This</w:t>
      </w:r>
      <w:r w:rsidR="002D2059">
        <w:t xml:space="preserve"> could include </w:t>
      </w:r>
      <w:r w:rsidR="002D2059" w:rsidRPr="002D2059">
        <w:t xml:space="preserve">reducing </w:t>
      </w:r>
      <w:r w:rsidR="002D2059">
        <w:t xml:space="preserve">their hospital product tier </w:t>
      </w:r>
      <w:r w:rsidR="00A0657F">
        <w:t xml:space="preserve">(such as </w:t>
      </w:r>
      <w:r w:rsidR="002D2059" w:rsidRPr="002D2059">
        <w:t xml:space="preserve">from </w:t>
      </w:r>
      <w:r w:rsidR="002D2059" w:rsidRPr="00D313E0">
        <w:t xml:space="preserve">Gold </w:t>
      </w:r>
      <w:r w:rsidR="00D55EA1" w:rsidRPr="00D313E0">
        <w:t>to</w:t>
      </w:r>
      <w:r w:rsidR="002D2059" w:rsidRPr="00D313E0">
        <w:t xml:space="preserve"> Silver, </w:t>
      </w:r>
      <w:r w:rsidR="00D55EA1" w:rsidRPr="00D313E0">
        <w:t>or</w:t>
      </w:r>
      <w:r w:rsidR="002D2059" w:rsidRPr="00D313E0">
        <w:t xml:space="preserve"> Bronze </w:t>
      </w:r>
      <w:r w:rsidR="00D55EA1" w:rsidRPr="00D313E0">
        <w:t>to</w:t>
      </w:r>
      <w:r w:rsidR="002D2059" w:rsidRPr="00D313E0">
        <w:t xml:space="preserve"> Basic</w:t>
      </w:r>
      <w:r w:rsidR="0001297B">
        <w:t>,</w:t>
      </w:r>
      <w:r w:rsidR="00A253A8" w:rsidRPr="00D313E0">
        <w:t xml:space="preserve"> and</w:t>
      </w:r>
      <w:r w:rsidR="00A253A8">
        <w:t xml:space="preserve"> therefore reducing the number of clinical categories they are covered for</w:t>
      </w:r>
      <w:r w:rsidR="00A0657F">
        <w:t>)</w:t>
      </w:r>
      <w:r w:rsidR="002D2059" w:rsidRPr="002D2059">
        <w:t>, or by increasing the excess they would need to pay for hospital treatment</w:t>
      </w:r>
      <w:r w:rsidR="002D2059">
        <w:t xml:space="preserve">. </w:t>
      </w:r>
      <w:r w:rsidR="001C5DB2">
        <w:t>This reduction in coverage could place additional pressure on public hospitals if consumers do not accurately assess their likely future health needs when choosing their level of cover.</w:t>
      </w:r>
      <w:r w:rsidR="009E5B45">
        <w:t xml:space="preserve"> The impact on private and public hospitals is discussed in more detail in Table 10 in Section 4.3.</w:t>
      </w:r>
    </w:p>
    <w:p w14:paraId="4C1F9739" w14:textId="3639FCE5" w:rsidR="004D276D" w:rsidRDefault="0072203A" w:rsidP="004D276D">
      <w:r>
        <w:t xml:space="preserve">There may also be </w:t>
      </w:r>
      <w:r w:rsidR="003D6F67">
        <w:t xml:space="preserve">changes </w:t>
      </w:r>
      <w:r w:rsidR="002B07CC">
        <w:t>in</w:t>
      </w:r>
      <w:r w:rsidR="003D6F67">
        <w:t xml:space="preserve"> the relationship between Government and some stakeholders</w:t>
      </w:r>
      <w:r w:rsidR="00355F04">
        <w:t>, at least during an initial perio</w:t>
      </w:r>
      <w:r w:rsidR="00493D13">
        <w:t>d</w:t>
      </w:r>
      <w:r w:rsidR="009F55ED">
        <w:t xml:space="preserve"> in the lead up to implementation</w:t>
      </w:r>
      <w:r w:rsidR="005A3F2F">
        <w:t xml:space="preserve">. </w:t>
      </w:r>
      <w:r w:rsidR="000E6B94">
        <w:t>S</w:t>
      </w:r>
      <w:r w:rsidR="005A3F2F">
        <w:t>takeholders</w:t>
      </w:r>
      <w:r w:rsidR="007073D4">
        <w:t xml:space="preserve">, </w:t>
      </w:r>
      <w:r w:rsidR="005F1948">
        <w:t xml:space="preserve">including </w:t>
      </w:r>
      <w:r w:rsidR="007C69F5">
        <w:t xml:space="preserve">some </w:t>
      </w:r>
      <w:r w:rsidR="007073D4">
        <w:t xml:space="preserve">consumers, </w:t>
      </w:r>
      <w:r w:rsidR="005F1948">
        <w:t xml:space="preserve">insurers and </w:t>
      </w:r>
      <w:r w:rsidR="00A76B02">
        <w:t>healthcare providers</w:t>
      </w:r>
      <w:r w:rsidR="00541E7F">
        <w:t>,</w:t>
      </w:r>
      <w:r w:rsidR="00DA392A">
        <w:t xml:space="preserve"> may </w:t>
      </w:r>
      <w:r w:rsidR="00550BF7">
        <w:t>argue</w:t>
      </w:r>
      <w:r w:rsidR="00C52169">
        <w:t xml:space="preserve"> that changing </w:t>
      </w:r>
      <w:r w:rsidR="005B1828">
        <w:t>Rebate</w:t>
      </w:r>
      <w:r w:rsidR="00C52169">
        <w:t xml:space="preserve"> settings co</w:t>
      </w:r>
      <w:r w:rsidR="003952BB">
        <w:t xml:space="preserve">uld cause a </w:t>
      </w:r>
      <w:r w:rsidR="006F7656">
        <w:t>significant</w:t>
      </w:r>
      <w:r w:rsidR="003952BB">
        <w:t xml:space="preserve"> </w:t>
      </w:r>
      <w:r w:rsidR="00F13A32">
        <w:t>change in PHI participation</w:t>
      </w:r>
      <w:r w:rsidR="00424B18">
        <w:t xml:space="preserve"> and</w:t>
      </w:r>
      <w:r w:rsidR="00291A46">
        <w:t xml:space="preserve"> flow on impact</w:t>
      </w:r>
      <w:r w:rsidR="00AF494B">
        <w:t>s</w:t>
      </w:r>
      <w:r w:rsidR="00291A46">
        <w:t xml:space="preserve"> </w:t>
      </w:r>
      <w:r w:rsidR="00F32672">
        <w:t>to consumer access</w:t>
      </w:r>
      <w:r w:rsidR="00AE73A9">
        <w:t xml:space="preserve"> </w:t>
      </w:r>
      <w:r w:rsidR="00F32672">
        <w:t xml:space="preserve">to </w:t>
      </w:r>
      <w:r w:rsidR="00343540">
        <w:t>privately funded health care</w:t>
      </w:r>
      <w:r w:rsidR="00A026E4">
        <w:t xml:space="preserve"> and pressure on public hospitals</w:t>
      </w:r>
      <w:r w:rsidR="008A39A2">
        <w:t xml:space="preserve">. </w:t>
      </w:r>
      <w:r w:rsidR="00C93AA9">
        <w:t>T</w:t>
      </w:r>
      <w:r w:rsidR="005D6E45">
        <w:t xml:space="preserve">his </w:t>
      </w:r>
      <w:r w:rsidR="00493B67">
        <w:t xml:space="preserve">is addressed in the </w:t>
      </w:r>
      <w:r w:rsidR="00EC392F">
        <w:t>consideration</w:t>
      </w:r>
      <w:r w:rsidR="00493B67">
        <w:t xml:space="preserve"> of options and </w:t>
      </w:r>
      <w:r w:rsidR="00012F89">
        <w:t xml:space="preserve">will require </w:t>
      </w:r>
      <w:r w:rsidR="0041373E">
        <w:t>effective communications with stakeholders</w:t>
      </w:r>
      <w:r w:rsidR="00DA06B6">
        <w:t xml:space="preserve">. </w:t>
      </w:r>
    </w:p>
    <w:p w14:paraId="6BA1BB6D" w14:textId="48751592" w:rsidR="00124377" w:rsidRDefault="00866AED" w:rsidP="003D6F67">
      <w:r>
        <w:t>Other b</w:t>
      </w:r>
      <w:r w:rsidR="00124377">
        <w:t xml:space="preserve">arriers to success </w:t>
      </w:r>
      <w:r w:rsidR="00D44F97">
        <w:t xml:space="preserve">include the challenges associated with </w:t>
      </w:r>
      <w:r w:rsidR="004765E7">
        <w:t xml:space="preserve">maintaining </w:t>
      </w:r>
      <w:r w:rsidR="00D44F97">
        <w:t>effective communication</w:t>
      </w:r>
      <w:r w:rsidR="004765E7">
        <w:t>s</w:t>
      </w:r>
      <w:r w:rsidR="00D44F97">
        <w:t xml:space="preserve"> </w:t>
      </w:r>
      <w:r w:rsidR="004E6CCA">
        <w:t xml:space="preserve">with </w:t>
      </w:r>
      <w:r w:rsidR="009C47CB">
        <w:t>concerned stakeholders</w:t>
      </w:r>
      <w:r w:rsidR="00DC62A3">
        <w:t xml:space="preserve">. It will be important </w:t>
      </w:r>
      <w:r w:rsidR="002A116C">
        <w:t xml:space="preserve">for the department </w:t>
      </w:r>
      <w:r w:rsidR="00DC62A3">
        <w:t xml:space="preserve">to </w:t>
      </w:r>
      <w:r w:rsidR="00CE7E81">
        <w:t xml:space="preserve">work </w:t>
      </w:r>
      <w:r w:rsidR="00701EBD">
        <w:t>collaboratively</w:t>
      </w:r>
      <w:r w:rsidR="002A048B">
        <w:t xml:space="preserve"> with insurers to</w:t>
      </w:r>
      <w:r w:rsidR="00731EC5">
        <w:t xml:space="preserve"> ensure</w:t>
      </w:r>
      <w:r w:rsidR="00701EBD">
        <w:t xml:space="preserve"> </w:t>
      </w:r>
      <w:r w:rsidR="000B6C27">
        <w:t xml:space="preserve">affected consumers understand the </w:t>
      </w:r>
      <w:r w:rsidR="00A80447">
        <w:t xml:space="preserve">continuing value </w:t>
      </w:r>
      <w:r w:rsidR="00CF651A">
        <w:t xml:space="preserve">of </w:t>
      </w:r>
      <w:r w:rsidR="00016637">
        <w:t>PHI</w:t>
      </w:r>
      <w:r w:rsidR="00014B3C">
        <w:t xml:space="preserve">. </w:t>
      </w:r>
      <w:r w:rsidR="004D16BA">
        <w:t>The department will further address this barrier by c</w:t>
      </w:r>
      <w:r w:rsidR="00014B3C">
        <w:t>ommunicating</w:t>
      </w:r>
      <w:r w:rsidR="001F1328">
        <w:t xml:space="preserve"> with </w:t>
      </w:r>
      <w:r w:rsidR="00F16159">
        <w:t>consumers about</w:t>
      </w:r>
      <w:r w:rsidR="008332B7">
        <w:t xml:space="preserve"> </w:t>
      </w:r>
      <w:r w:rsidR="006B79A1">
        <w:t xml:space="preserve">the important </w:t>
      </w:r>
      <w:r w:rsidR="000513AE">
        <w:t>a</w:t>
      </w:r>
      <w:r w:rsidR="006B79A1">
        <w:t xml:space="preserve">ged </w:t>
      </w:r>
      <w:r w:rsidR="000513AE">
        <w:t>c</w:t>
      </w:r>
      <w:r w:rsidR="006B79A1">
        <w:t>are services</w:t>
      </w:r>
      <w:r w:rsidR="00A51199">
        <w:t xml:space="preserve"> which </w:t>
      </w:r>
      <w:r w:rsidR="006B79A1">
        <w:t xml:space="preserve">will </w:t>
      </w:r>
      <w:r w:rsidR="00C156D8">
        <w:t xml:space="preserve">be </w:t>
      </w:r>
      <w:r w:rsidR="00A94502">
        <w:t xml:space="preserve">supported </w:t>
      </w:r>
      <w:r w:rsidR="00971CB2">
        <w:t xml:space="preserve">by additional Government funding </w:t>
      </w:r>
      <w:proofErr w:type="gramStart"/>
      <w:r w:rsidR="00C156D8">
        <w:t>as a result of</w:t>
      </w:r>
      <w:proofErr w:type="gramEnd"/>
      <w:r w:rsidR="00C156D8">
        <w:t xml:space="preserve"> the savings</w:t>
      </w:r>
      <w:r w:rsidR="00F16159">
        <w:t xml:space="preserve"> </w:t>
      </w:r>
      <w:r w:rsidR="004D16BA">
        <w:t>from the Rebate change</w:t>
      </w:r>
      <w:r w:rsidR="00350B4E">
        <w:t>.</w:t>
      </w:r>
    </w:p>
    <w:p w14:paraId="7FEFD0EC" w14:textId="66757B9A" w:rsidR="001605F3" w:rsidRDefault="005117EC" w:rsidP="00FC1047">
      <w:pPr>
        <w:pStyle w:val="Heading3"/>
      </w:pPr>
      <w:r>
        <w:t xml:space="preserve">Alternatives to Government </w:t>
      </w:r>
      <w:r w:rsidR="00A24789">
        <w:t>intervention</w:t>
      </w:r>
    </w:p>
    <w:p w14:paraId="6D1B0906" w14:textId="46C0E8FF" w:rsidR="005117EC" w:rsidRDefault="008D2C1C" w:rsidP="005117EC">
      <w:r>
        <w:t xml:space="preserve">One alternative to Government intervention is to </w:t>
      </w:r>
      <w:r w:rsidR="00FE5808">
        <w:t xml:space="preserve">maintain the current Rebate settings. </w:t>
      </w:r>
      <w:r w:rsidR="00BD5E2A">
        <w:t xml:space="preserve">A failure to adjust the existing government </w:t>
      </w:r>
      <w:r w:rsidR="00581AE4">
        <w:t>PHI Rebate</w:t>
      </w:r>
      <w:r w:rsidR="00BD5E2A">
        <w:t xml:space="preserve"> would mean the Rebate remains </w:t>
      </w:r>
      <w:r w:rsidR="004E54A3">
        <w:t>inequitable</w:t>
      </w:r>
      <w:r w:rsidR="00FC3187">
        <w:t>,</w:t>
      </w:r>
      <w:r w:rsidR="004E54A3">
        <w:t xml:space="preserve"> </w:t>
      </w:r>
      <w:r w:rsidR="00FE3AE0">
        <w:t>with different rates by age</w:t>
      </w:r>
      <w:r w:rsidR="00F3328B">
        <w:t xml:space="preserve">, as </w:t>
      </w:r>
      <w:r w:rsidR="003C6821">
        <w:t xml:space="preserve">explained in more detail </w:t>
      </w:r>
      <w:r w:rsidR="00F3328B">
        <w:t xml:space="preserve">in the Policy </w:t>
      </w:r>
      <w:r w:rsidR="003C6821">
        <w:t>Problem section</w:t>
      </w:r>
      <w:r w:rsidR="00BD5E2A">
        <w:t>.</w:t>
      </w:r>
      <w:r w:rsidR="00B206AA">
        <w:t xml:space="preserve"> This would also result in a shortfall in </w:t>
      </w:r>
      <w:r w:rsidR="00504C85">
        <w:t>funding</w:t>
      </w:r>
      <w:r w:rsidR="00B206AA">
        <w:t xml:space="preserve"> </w:t>
      </w:r>
      <w:r w:rsidR="0024210B">
        <w:t xml:space="preserve">for additional Government funding for </w:t>
      </w:r>
      <w:r w:rsidR="00B206AA">
        <w:t>aged care services.</w:t>
      </w:r>
      <w:r w:rsidR="002906FB">
        <w:t xml:space="preserve"> </w:t>
      </w:r>
      <w:r w:rsidR="009E6306">
        <w:t xml:space="preserve">Therefore, Government intervention is required </w:t>
      </w:r>
      <w:proofErr w:type="gramStart"/>
      <w:r w:rsidR="009E6306">
        <w:t>in order to</w:t>
      </w:r>
      <w:proofErr w:type="gramEnd"/>
      <w:r w:rsidR="009E6306">
        <w:t xml:space="preserve"> achieve the stated objective</w:t>
      </w:r>
      <w:r w:rsidR="00D555A1">
        <w:t>s</w:t>
      </w:r>
      <w:r w:rsidR="009E6306">
        <w:t xml:space="preserve">. </w:t>
      </w:r>
      <w:r w:rsidR="002906FB">
        <w:t>A</w:t>
      </w:r>
      <w:r w:rsidR="005117EC">
        <w:t xml:space="preserve">s the PHI Rebate is </w:t>
      </w:r>
      <w:r w:rsidR="009F76C0">
        <w:t>provided in</w:t>
      </w:r>
      <w:r w:rsidR="00AB0576">
        <w:t xml:space="preserve"> the</w:t>
      </w:r>
      <w:r w:rsidR="009F76C0">
        <w:t xml:space="preserve"> </w:t>
      </w:r>
      <w:r w:rsidR="00AB0576" w:rsidRPr="00A15846">
        <w:rPr>
          <w:i/>
          <w:iCs/>
        </w:rPr>
        <w:t xml:space="preserve">Private Health Insurance Act </w:t>
      </w:r>
      <w:r w:rsidR="0081344E" w:rsidRPr="00A15846">
        <w:rPr>
          <w:i/>
          <w:iCs/>
        </w:rPr>
        <w:t>2007</w:t>
      </w:r>
      <w:r w:rsidR="0081344E">
        <w:t>,</w:t>
      </w:r>
      <w:r w:rsidR="005117EC">
        <w:t xml:space="preserve"> </w:t>
      </w:r>
      <w:r w:rsidR="00AB0576">
        <w:t>the change</w:t>
      </w:r>
      <w:r w:rsidR="006A4380">
        <w:t xml:space="preserve"> will</w:t>
      </w:r>
      <w:r w:rsidR="005117EC">
        <w:t xml:space="preserve"> </w:t>
      </w:r>
      <w:r w:rsidR="00AD0D62">
        <w:t xml:space="preserve">require </w:t>
      </w:r>
      <w:r w:rsidR="005117EC">
        <w:t xml:space="preserve">legislative amendment. </w:t>
      </w:r>
    </w:p>
    <w:p w14:paraId="4955A694" w14:textId="77777777" w:rsidR="00F11572" w:rsidRDefault="00F11572">
      <w:pPr>
        <w:spacing w:after="200" w:line="288" w:lineRule="auto"/>
        <w:rPr>
          <w:rFonts w:asciiTheme="majorHAnsi" w:eastAsiaTheme="majorEastAsia" w:hAnsiTheme="majorHAnsi" w:cstheme="majorBidi"/>
          <w:color w:val="1C2B39" w:themeColor="accent1"/>
          <w:sz w:val="48"/>
          <w:szCs w:val="40"/>
        </w:rPr>
      </w:pPr>
      <w:bookmarkStart w:id="2" w:name="_Toc96326924"/>
      <w:r>
        <w:br w:type="page"/>
      </w:r>
    </w:p>
    <w:p w14:paraId="76E4CB52" w14:textId="65AA1788" w:rsidR="000251A4" w:rsidRPr="000646D1" w:rsidRDefault="584FE3E1" w:rsidP="00FE3AE0">
      <w:pPr>
        <w:pStyle w:val="Heading1"/>
        <w:numPr>
          <w:ilvl w:val="0"/>
          <w:numId w:val="15"/>
        </w:numPr>
      </w:pPr>
      <w:r w:rsidRPr="000646D1">
        <w:lastRenderedPageBreak/>
        <w:t>What policy options are you considering?</w:t>
      </w:r>
    </w:p>
    <w:p w14:paraId="3123C5FC" w14:textId="56DCCAAA" w:rsidR="009B1799" w:rsidRPr="000861B0" w:rsidRDefault="6462B211" w:rsidP="009B1799">
      <w:pPr>
        <w:pStyle w:val="Heading2"/>
      </w:pPr>
      <w:r>
        <w:t xml:space="preserve">3.1 </w:t>
      </w:r>
      <w:r w:rsidR="601F5520" w:rsidRPr="00300E4B">
        <w:t xml:space="preserve">Option 1 - </w:t>
      </w:r>
      <w:r w:rsidRPr="00300E4B">
        <w:t xml:space="preserve">Status </w:t>
      </w:r>
      <w:r w:rsidR="05F40DA8" w:rsidRPr="00300E4B">
        <w:t>Q</w:t>
      </w:r>
      <w:r w:rsidRPr="00300E4B">
        <w:t>uo</w:t>
      </w:r>
    </w:p>
    <w:p w14:paraId="7904D2FF" w14:textId="4B82E86B" w:rsidR="00B2412D" w:rsidRDefault="00FD3D29" w:rsidP="009B1799">
      <w:pPr>
        <w:pStyle w:val="paragraph"/>
        <w:spacing w:before="0" w:beforeAutospacing="0" w:after="0" w:afterAutospacing="0"/>
        <w:textAlignment w:val="baseline"/>
        <w:rPr>
          <w:rStyle w:val="normaltextrun"/>
          <w:rFonts w:asciiTheme="minorHAnsi" w:eastAsiaTheme="majorEastAsia" w:hAnsiTheme="minorHAnsi" w:cs="Arial"/>
          <w:sz w:val="22"/>
          <w:szCs w:val="22"/>
        </w:rPr>
      </w:pPr>
      <w:r>
        <w:rPr>
          <w:rStyle w:val="normaltextrun"/>
          <w:rFonts w:asciiTheme="minorHAnsi" w:eastAsiaTheme="majorEastAsia" w:hAnsiTheme="minorHAnsi" w:cs="Arial"/>
          <w:sz w:val="22"/>
          <w:szCs w:val="22"/>
        </w:rPr>
        <w:t xml:space="preserve">The Rebate settings </w:t>
      </w:r>
      <w:r w:rsidR="00D24E02">
        <w:rPr>
          <w:rStyle w:val="normaltextrun"/>
          <w:rFonts w:asciiTheme="minorHAnsi" w:eastAsiaTheme="majorEastAsia" w:hAnsiTheme="minorHAnsi" w:cs="Arial"/>
          <w:sz w:val="22"/>
          <w:szCs w:val="22"/>
        </w:rPr>
        <w:t xml:space="preserve">(see Table </w:t>
      </w:r>
      <w:r w:rsidR="00EA4583">
        <w:rPr>
          <w:rStyle w:val="normaltextrun"/>
          <w:rFonts w:asciiTheme="minorHAnsi" w:eastAsiaTheme="majorEastAsia" w:hAnsiTheme="minorHAnsi" w:cs="Arial"/>
          <w:sz w:val="22"/>
          <w:szCs w:val="22"/>
        </w:rPr>
        <w:t>3</w:t>
      </w:r>
      <w:r w:rsidR="00D24E02">
        <w:rPr>
          <w:rStyle w:val="normaltextrun"/>
          <w:rFonts w:asciiTheme="minorHAnsi" w:eastAsiaTheme="majorEastAsia" w:hAnsiTheme="minorHAnsi" w:cs="Arial"/>
          <w:sz w:val="22"/>
          <w:szCs w:val="22"/>
        </w:rPr>
        <w:t xml:space="preserve">) </w:t>
      </w:r>
      <w:r>
        <w:rPr>
          <w:rStyle w:val="normaltextrun"/>
          <w:rFonts w:asciiTheme="minorHAnsi" w:eastAsiaTheme="majorEastAsia" w:hAnsiTheme="minorHAnsi" w:cs="Arial"/>
          <w:sz w:val="22"/>
          <w:szCs w:val="22"/>
        </w:rPr>
        <w:t>include multiple rates</w:t>
      </w:r>
      <w:r w:rsidR="00AD4F27">
        <w:rPr>
          <w:rStyle w:val="normaltextrun"/>
          <w:rFonts w:asciiTheme="minorHAnsi" w:eastAsiaTheme="majorEastAsia" w:hAnsiTheme="minorHAnsi" w:cs="Arial"/>
          <w:sz w:val="22"/>
          <w:szCs w:val="22"/>
        </w:rPr>
        <w:t>, with eligibility</w:t>
      </w:r>
      <w:r>
        <w:rPr>
          <w:rStyle w:val="normaltextrun"/>
          <w:rFonts w:asciiTheme="minorHAnsi" w:eastAsiaTheme="majorEastAsia" w:hAnsiTheme="minorHAnsi" w:cs="Arial"/>
          <w:sz w:val="22"/>
          <w:szCs w:val="22"/>
        </w:rPr>
        <w:t xml:space="preserve"> </w:t>
      </w:r>
      <w:r w:rsidR="00AD4F27">
        <w:rPr>
          <w:rStyle w:val="normaltextrun"/>
          <w:rFonts w:asciiTheme="minorHAnsi" w:eastAsiaTheme="majorEastAsia" w:hAnsiTheme="minorHAnsi" w:cs="Arial"/>
          <w:sz w:val="22"/>
          <w:szCs w:val="22"/>
        </w:rPr>
        <w:t xml:space="preserve">determined </w:t>
      </w:r>
      <w:r>
        <w:rPr>
          <w:rStyle w:val="normaltextrun"/>
          <w:rFonts w:asciiTheme="minorHAnsi" w:eastAsiaTheme="majorEastAsia" w:hAnsiTheme="minorHAnsi" w:cs="Arial"/>
          <w:sz w:val="22"/>
          <w:szCs w:val="22"/>
        </w:rPr>
        <w:t xml:space="preserve">by both age and income </w:t>
      </w:r>
      <w:r w:rsidR="00DF54F6">
        <w:rPr>
          <w:rStyle w:val="normaltextrun"/>
          <w:rFonts w:asciiTheme="minorHAnsi" w:eastAsiaTheme="majorEastAsia" w:hAnsiTheme="minorHAnsi" w:cs="Arial"/>
          <w:sz w:val="22"/>
          <w:szCs w:val="22"/>
        </w:rPr>
        <w:t>criteria</w:t>
      </w:r>
      <w:r w:rsidR="00EC1F72">
        <w:rPr>
          <w:rStyle w:val="normaltextrun"/>
          <w:rFonts w:asciiTheme="minorHAnsi" w:eastAsiaTheme="majorEastAsia" w:hAnsiTheme="minorHAnsi" w:cs="Arial"/>
          <w:sz w:val="22"/>
          <w:szCs w:val="22"/>
        </w:rPr>
        <w:t xml:space="preserve">, which </w:t>
      </w:r>
      <w:r w:rsidR="00D6296E">
        <w:rPr>
          <w:rStyle w:val="normaltextrun"/>
          <w:rFonts w:asciiTheme="minorHAnsi" w:eastAsiaTheme="majorEastAsia" w:hAnsiTheme="minorHAnsi" w:cs="Arial"/>
          <w:sz w:val="22"/>
          <w:szCs w:val="22"/>
        </w:rPr>
        <w:t>creates complexity for both policyholders and insurers</w:t>
      </w:r>
      <w:r w:rsidR="00C4012D">
        <w:rPr>
          <w:rStyle w:val="normaltextrun"/>
          <w:rFonts w:asciiTheme="minorHAnsi" w:eastAsiaTheme="majorEastAsia" w:hAnsiTheme="minorHAnsi" w:cs="Arial"/>
          <w:sz w:val="22"/>
          <w:szCs w:val="22"/>
        </w:rPr>
        <w:t>. The</w:t>
      </w:r>
      <w:r w:rsidR="00542CE4">
        <w:rPr>
          <w:rStyle w:val="normaltextrun"/>
          <w:rFonts w:asciiTheme="minorHAnsi" w:eastAsiaTheme="majorEastAsia" w:hAnsiTheme="minorHAnsi" w:cs="Arial"/>
          <w:sz w:val="22"/>
          <w:szCs w:val="22"/>
        </w:rPr>
        <w:t xml:space="preserve"> current settings</w:t>
      </w:r>
      <w:r w:rsidR="00C4012D">
        <w:rPr>
          <w:rStyle w:val="normaltextrun"/>
          <w:rFonts w:asciiTheme="minorHAnsi" w:eastAsiaTheme="majorEastAsia" w:hAnsiTheme="minorHAnsi" w:cs="Arial"/>
          <w:sz w:val="22"/>
          <w:szCs w:val="22"/>
        </w:rPr>
        <w:t xml:space="preserve"> are also poorly targeted and inequitable</w:t>
      </w:r>
      <w:r w:rsidR="00542CE4">
        <w:rPr>
          <w:rStyle w:val="normaltextrun"/>
          <w:rFonts w:asciiTheme="minorHAnsi" w:eastAsiaTheme="majorEastAsia" w:hAnsiTheme="minorHAnsi" w:cs="Arial"/>
          <w:sz w:val="22"/>
          <w:szCs w:val="22"/>
        </w:rPr>
        <w:t>,</w:t>
      </w:r>
      <w:r w:rsidR="00C0291A">
        <w:rPr>
          <w:rStyle w:val="normaltextrun"/>
          <w:rFonts w:asciiTheme="minorHAnsi" w:eastAsiaTheme="majorEastAsia" w:hAnsiTheme="minorHAnsi" w:cs="Arial"/>
          <w:sz w:val="22"/>
          <w:szCs w:val="22"/>
        </w:rPr>
        <w:t xml:space="preserve"> as they subsidise older Australians more than younger Australians on the same income</w:t>
      </w:r>
      <w:r w:rsidR="008A5FB1">
        <w:rPr>
          <w:rStyle w:val="normaltextrun"/>
          <w:rFonts w:asciiTheme="minorHAnsi" w:eastAsiaTheme="majorEastAsia" w:hAnsiTheme="minorHAnsi" w:cs="Arial"/>
          <w:sz w:val="22"/>
          <w:szCs w:val="22"/>
        </w:rPr>
        <w:t xml:space="preserve">. This is in addition to </w:t>
      </w:r>
      <w:r w:rsidR="000342E2">
        <w:rPr>
          <w:rStyle w:val="normaltextrun"/>
          <w:rFonts w:asciiTheme="minorHAnsi" w:eastAsiaTheme="majorEastAsia" w:hAnsiTheme="minorHAnsi" w:cs="Arial"/>
          <w:sz w:val="22"/>
          <w:szCs w:val="22"/>
        </w:rPr>
        <w:t xml:space="preserve">older people’s </w:t>
      </w:r>
      <w:r w:rsidR="009215ED">
        <w:rPr>
          <w:rStyle w:val="normaltextrun"/>
          <w:rFonts w:asciiTheme="minorHAnsi" w:eastAsiaTheme="majorEastAsia" w:hAnsiTheme="minorHAnsi" w:cs="Arial"/>
          <w:sz w:val="22"/>
          <w:szCs w:val="22"/>
        </w:rPr>
        <w:t xml:space="preserve">insurance </w:t>
      </w:r>
      <w:r w:rsidR="000342E2">
        <w:rPr>
          <w:rStyle w:val="normaltextrun"/>
          <w:rFonts w:asciiTheme="minorHAnsi" w:eastAsiaTheme="majorEastAsia" w:hAnsiTheme="minorHAnsi" w:cs="Arial"/>
          <w:sz w:val="22"/>
          <w:szCs w:val="22"/>
        </w:rPr>
        <w:t>claims being cross subsidised by younger members under community rating</w:t>
      </w:r>
      <w:r w:rsidR="00B2412D">
        <w:rPr>
          <w:rStyle w:val="normaltextrun"/>
          <w:rFonts w:asciiTheme="minorHAnsi" w:eastAsiaTheme="majorEastAsia" w:hAnsiTheme="minorHAnsi" w:cs="Arial"/>
          <w:sz w:val="22"/>
          <w:szCs w:val="22"/>
        </w:rPr>
        <w:t xml:space="preserve"> where </w:t>
      </w:r>
      <w:r w:rsidR="00B2412D" w:rsidRPr="00B2412D">
        <w:rPr>
          <w:rStyle w:val="normaltextrun"/>
          <w:rFonts w:asciiTheme="minorHAnsi" w:eastAsiaTheme="majorEastAsia" w:hAnsiTheme="minorHAnsi" w:cs="Arial"/>
          <w:sz w:val="22"/>
          <w:szCs w:val="22"/>
        </w:rPr>
        <w:t>all policy holders pay the same premium for the same policy, regardless of their gender, age or health status</w:t>
      </w:r>
      <w:r w:rsidR="00792813">
        <w:rPr>
          <w:rStyle w:val="normaltextrun"/>
          <w:rFonts w:asciiTheme="minorHAnsi" w:eastAsiaTheme="majorEastAsia" w:hAnsiTheme="minorHAnsi" w:cs="Arial"/>
          <w:sz w:val="22"/>
          <w:szCs w:val="22"/>
        </w:rPr>
        <w:t>.</w:t>
      </w:r>
      <w:r w:rsidR="00D24E02">
        <w:rPr>
          <w:rStyle w:val="normaltextrun"/>
          <w:rFonts w:asciiTheme="minorHAnsi" w:eastAsiaTheme="majorEastAsia" w:hAnsiTheme="minorHAnsi" w:cs="Arial"/>
          <w:sz w:val="22"/>
          <w:szCs w:val="22"/>
        </w:rPr>
        <w:t xml:space="preserve"> </w:t>
      </w:r>
    </w:p>
    <w:p w14:paraId="692309A1" w14:textId="77777777" w:rsidR="00B2412D" w:rsidRDefault="00B2412D" w:rsidP="009B1799">
      <w:pPr>
        <w:pStyle w:val="paragraph"/>
        <w:spacing w:before="0" w:beforeAutospacing="0" w:after="0" w:afterAutospacing="0"/>
        <w:textAlignment w:val="baseline"/>
        <w:rPr>
          <w:rStyle w:val="normaltextrun"/>
          <w:rFonts w:asciiTheme="minorHAnsi" w:eastAsiaTheme="majorEastAsia" w:hAnsiTheme="minorHAnsi" w:cs="Arial"/>
          <w:sz w:val="22"/>
          <w:szCs w:val="22"/>
        </w:rPr>
      </w:pPr>
    </w:p>
    <w:p w14:paraId="7F8606BC" w14:textId="148E4B6D" w:rsidR="00AF00E5" w:rsidRDefault="008F5A58" w:rsidP="39C392DB">
      <w:pPr>
        <w:pStyle w:val="paragraph"/>
        <w:spacing w:before="0" w:beforeAutospacing="0" w:after="0" w:afterAutospacing="0"/>
        <w:textAlignment w:val="baseline"/>
        <w:rPr>
          <w:rStyle w:val="normaltextrun"/>
          <w:rFonts w:asciiTheme="minorHAnsi" w:eastAsiaTheme="majorEastAsia" w:hAnsiTheme="minorHAnsi" w:cs="Arial"/>
          <w:sz w:val="22"/>
          <w:szCs w:val="22"/>
        </w:rPr>
      </w:pPr>
      <w:r w:rsidRPr="39C392DB">
        <w:rPr>
          <w:rStyle w:val="normaltextrun"/>
          <w:rFonts w:asciiTheme="minorHAnsi" w:eastAsiaTheme="majorEastAsia" w:hAnsiTheme="minorHAnsi" w:cs="Arial"/>
          <w:sz w:val="22"/>
          <w:szCs w:val="22"/>
        </w:rPr>
        <w:t xml:space="preserve">Maintaining current </w:t>
      </w:r>
      <w:r w:rsidR="00FD7561" w:rsidRPr="39C392DB">
        <w:rPr>
          <w:rStyle w:val="normaltextrun"/>
          <w:rFonts w:asciiTheme="minorHAnsi" w:eastAsiaTheme="majorEastAsia" w:hAnsiTheme="minorHAnsi" w:cs="Arial"/>
          <w:sz w:val="22"/>
          <w:szCs w:val="22"/>
        </w:rPr>
        <w:t xml:space="preserve">Rebate </w:t>
      </w:r>
      <w:r w:rsidRPr="39C392DB">
        <w:rPr>
          <w:rStyle w:val="normaltextrun"/>
          <w:rFonts w:asciiTheme="minorHAnsi" w:eastAsiaTheme="majorEastAsia" w:hAnsiTheme="minorHAnsi" w:cs="Arial"/>
          <w:sz w:val="22"/>
          <w:szCs w:val="22"/>
        </w:rPr>
        <w:t xml:space="preserve">settings would maintain higher </w:t>
      </w:r>
      <w:r w:rsidR="005B1828" w:rsidRPr="39C392DB">
        <w:rPr>
          <w:rStyle w:val="normaltextrun"/>
          <w:rFonts w:asciiTheme="minorHAnsi" w:eastAsiaTheme="majorEastAsia" w:hAnsiTheme="minorHAnsi" w:cs="Arial"/>
          <w:sz w:val="22"/>
          <w:szCs w:val="22"/>
        </w:rPr>
        <w:t>Rebate</w:t>
      </w:r>
      <w:r w:rsidR="00E06D17" w:rsidRPr="39C392DB">
        <w:rPr>
          <w:rStyle w:val="normaltextrun"/>
          <w:rFonts w:asciiTheme="minorHAnsi" w:eastAsiaTheme="majorEastAsia" w:hAnsiTheme="minorHAnsi" w:cs="Arial"/>
          <w:sz w:val="22"/>
          <w:szCs w:val="22"/>
        </w:rPr>
        <w:t>s</w:t>
      </w:r>
      <w:r w:rsidRPr="39C392DB">
        <w:rPr>
          <w:rStyle w:val="normaltextrun"/>
          <w:rFonts w:asciiTheme="minorHAnsi" w:eastAsiaTheme="majorEastAsia" w:hAnsiTheme="minorHAnsi" w:cs="Arial"/>
          <w:sz w:val="22"/>
          <w:szCs w:val="22"/>
        </w:rPr>
        <w:t xml:space="preserve"> </w:t>
      </w:r>
      <w:r w:rsidR="00795D5C" w:rsidRPr="39C392DB">
        <w:rPr>
          <w:rStyle w:val="normaltextrun"/>
          <w:rFonts w:asciiTheme="minorHAnsi" w:eastAsiaTheme="majorEastAsia" w:hAnsiTheme="minorHAnsi" w:cs="Arial"/>
          <w:sz w:val="22"/>
          <w:szCs w:val="22"/>
        </w:rPr>
        <w:t>for people on lower incomes and older people</w:t>
      </w:r>
      <w:r w:rsidR="0008554C" w:rsidRPr="39C392DB">
        <w:rPr>
          <w:rStyle w:val="normaltextrun"/>
          <w:rFonts w:asciiTheme="minorHAnsi" w:eastAsiaTheme="majorEastAsia" w:hAnsiTheme="minorHAnsi" w:cs="Arial"/>
          <w:sz w:val="22"/>
          <w:szCs w:val="22"/>
        </w:rPr>
        <w:t>,</w:t>
      </w:r>
      <w:r w:rsidR="00F068A4" w:rsidRPr="39C392DB">
        <w:rPr>
          <w:rStyle w:val="normaltextrun"/>
          <w:rFonts w:asciiTheme="minorHAnsi" w:eastAsiaTheme="majorEastAsia" w:hAnsiTheme="minorHAnsi" w:cs="Arial"/>
          <w:sz w:val="22"/>
          <w:szCs w:val="22"/>
        </w:rPr>
        <w:t xml:space="preserve"> which is expected to cost almost $</w:t>
      </w:r>
      <w:r w:rsidR="009C7C97" w:rsidRPr="39C392DB">
        <w:rPr>
          <w:rStyle w:val="normaltextrun"/>
          <w:rFonts w:asciiTheme="minorHAnsi" w:eastAsiaTheme="majorEastAsia" w:hAnsiTheme="minorHAnsi" w:cs="Arial"/>
          <w:sz w:val="22"/>
          <w:szCs w:val="22"/>
        </w:rPr>
        <w:t xml:space="preserve">31 billion </w:t>
      </w:r>
      <w:r w:rsidR="00B078E3" w:rsidRPr="39C392DB">
        <w:rPr>
          <w:rStyle w:val="normaltextrun"/>
          <w:rFonts w:asciiTheme="minorHAnsi" w:eastAsiaTheme="majorEastAsia" w:hAnsiTheme="minorHAnsi" w:cs="Arial"/>
          <w:sz w:val="22"/>
          <w:szCs w:val="22"/>
        </w:rPr>
        <w:t>over 4 years from 2026-27</w:t>
      </w:r>
      <w:r w:rsidR="004936CA" w:rsidRPr="39C392DB">
        <w:rPr>
          <w:rStyle w:val="normaltextrun"/>
          <w:rFonts w:asciiTheme="minorHAnsi" w:eastAsiaTheme="majorEastAsia" w:hAnsiTheme="minorHAnsi" w:cs="Arial"/>
          <w:sz w:val="22"/>
          <w:szCs w:val="22"/>
        </w:rPr>
        <w:t>.</w:t>
      </w:r>
      <w:r w:rsidR="00081620" w:rsidRPr="39C392DB">
        <w:rPr>
          <w:rStyle w:val="normaltextrun"/>
          <w:rFonts w:asciiTheme="minorHAnsi" w:eastAsiaTheme="majorEastAsia" w:hAnsiTheme="minorHAnsi" w:cs="Arial"/>
          <w:sz w:val="22"/>
          <w:szCs w:val="22"/>
        </w:rPr>
        <w:t xml:space="preserve"> This option would mean there are no savings to government </w:t>
      </w:r>
      <w:r w:rsidR="00D6358F" w:rsidRPr="39C392DB">
        <w:rPr>
          <w:rStyle w:val="normaltextrun"/>
          <w:rFonts w:asciiTheme="minorHAnsi" w:eastAsiaTheme="majorEastAsia" w:hAnsiTheme="minorHAnsi" w:cs="Arial"/>
          <w:sz w:val="22"/>
          <w:szCs w:val="22"/>
        </w:rPr>
        <w:t xml:space="preserve">and therefore </w:t>
      </w:r>
      <w:r w:rsidR="004952C8" w:rsidRPr="39C392DB">
        <w:rPr>
          <w:rStyle w:val="normaltextrun"/>
          <w:rFonts w:asciiTheme="minorHAnsi" w:eastAsiaTheme="majorEastAsia" w:hAnsiTheme="minorHAnsi" w:cs="Arial"/>
          <w:sz w:val="22"/>
          <w:szCs w:val="22"/>
        </w:rPr>
        <w:t>no</w:t>
      </w:r>
      <w:r w:rsidR="00D6358F" w:rsidRPr="39C392DB">
        <w:rPr>
          <w:rStyle w:val="normaltextrun"/>
          <w:rFonts w:asciiTheme="minorHAnsi" w:eastAsiaTheme="majorEastAsia" w:hAnsiTheme="minorHAnsi" w:cs="Arial"/>
          <w:sz w:val="22"/>
          <w:szCs w:val="22"/>
        </w:rPr>
        <w:t xml:space="preserve"> opportunity to </w:t>
      </w:r>
      <w:r w:rsidR="0090498E" w:rsidRPr="39C392DB">
        <w:rPr>
          <w:rStyle w:val="normaltextrun"/>
          <w:rFonts w:asciiTheme="minorHAnsi" w:eastAsiaTheme="majorEastAsia" w:hAnsiTheme="minorHAnsi" w:cs="Arial"/>
          <w:sz w:val="22"/>
          <w:szCs w:val="22"/>
        </w:rPr>
        <w:t>support</w:t>
      </w:r>
      <w:r w:rsidR="002B1826" w:rsidRPr="39C392DB">
        <w:rPr>
          <w:rStyle w:val="normaltextrun"/>
          <w:rFonts w:asciiTheme="minorHAnsi" w:eastAsiaTheme="majorEastAsia" w:hAnsiTheme="minorHAnsi" w:cs="Arial"/>
          <w:sz w:val="22"/>
          <w:szCs w:val="22"/>
        </w:rPr>
        <w:t xml:space="preserve"> additional Government funding for</w:t>
      </w:r>
      <w:r w:rsidR="00081620" w:rsidRPr="39C392DB">
        <w:rPr>
          <w:rStyle w:val="normaltextrun"/>
          <w:rFonts w:asciiTheme="minorHAnsi" w:eastAsiaTheme="majorEastAsia" w:hAnsiTheme="minorHAnsi" w:cs="Arial"/>
          <w:sz w:val="22"/>
          <w:szCs w:val="22"/>
        </w:rPr>
        <w:t xml:space="preserve"> </w:t>
      </w:r>
      <w:r w:rsidR="00F67498" w:rsidRPr="39C392DB">
        <w:rPr>
          <w:rStyle w:val="normaltextrun"/>
          <w:rFonts w:asciiTheme="minorHAnsi" w:eastAsiaTheme="majorEastAsia" w:hAnsiTheme="minorHAnsi" w:cs="Arial"/>
          <w:sz w:val="22"/>
          <w:szCs w:val="22"/>
        </w:rPr>
        <w:t>aged care</w:t>
      </w:r>
      <w:r w:rsidR="00401264" w:rsidRPr="39C392DB">
        <w:rPr>
          <w:rStyle w:val="normaltextrun"/>
          <w:rFonts w:asciiTheme="minorHAnsi" w:eastAsiaTheme="majorEastAsia" w:hAnsiTheme="minorHAnsi" w:cs="Arial"/>
          <w:sz w:val="22"/>
          <w:szCs w:val="22"/>
        </w:rPr>
        <w:t xml:space="preserve"> services</w:t>
      </w:r>
      <w:r w:rsidR="00081620" w:rsidRPr="39C392DB">
        <w:rPr>
          <w:rStyle w:val="normaltextrun"/>
          <w:rFonts w:asciiTheme="minorHAnsi" w:eastAsiaTheme="majorEastAsia" w:hAnsiTheme="minorHAnsi" w:cs="Arial"/>
          <w:sz w:val="22"/>
          <w:szCs w:val="22"/>
        </w:rPr>
        <w:t>.</w:t>
      </w:r>
    </w:p>
    <w:p w14:paraId="7E3C3681" w14:textId="2A7846C9" w:rsidR="00AF00E5" w:rsidRPr="000861B0" w:rsidRDefault="00AF00E5" w:rsidP="00300E4B">
      <w:pPr>
        <w:pStyle w:val="Heading3"/>
        <w:rPr>
          <w:rStyle w:val="eop"/>
          <w:rFonts w:asciiTheme="minorHAnsi" w:eastAsiaTheme="minorEastAsia" w:hAnsiTheme="minorHAnsi"/>
          <w:b/>
        </w:rPr>
      </w:pPr>
      <w:r w:rsidRPr="000861B0">
        <w:t xml:space="preserve">Table </w:t>
      </w:r>
      <w:r w:rsidR="00300E4B">
        <w:rPr>
          <w:bCs/>
        </w:rPr>
        <w:t>3</w:t>
      </w:r>
      <w:r w:rsidRPr="000861B0">
        <w:t xml:space="preserve">: </w:t>
      </w:r>
      <w:r>
        <w:t>Rebate settings</w:t>
      </w:r>
      <w:r w:rsidR="0055264E">
        <w:t xml:space="preserve"> as </w:t>
      </w:r>
      <w:proofErr w:type="gramStart"/>
      <w:r w:rsidR="0055264E">
        <w:t>at</w:t>
      </w:r>
      <w:proofErr w:type="gramEnd"/>
      <w:r w:rsidR="0055264E">
        <w:t xml:space="preserve"> 1 July 2026</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able shows the relevant PHI income tiers and Rebate rates from 1 July 2026. Rebate rates vary by income and age."/>
      </w:tblPr>
      <w:tblGrid>
        <w:gridCol w:w="2250"/>
        <w:gridCol w:w="1885"/>
        <w:gridCol w:w="1885"/>
        <w:gridCol w:w="1885"/>
        <w:gridCol w:w="1290"/>
      </w:tblGrid>
      <w:tr w:rsidR="00AF5C69" w:rsidRPr="000861B0" w14:paraId="262152DB" w14:textId="77777777" w:rsidTr="003726F8">
        <w:trPr>
          <w:trHeight w:val="240"/>
          <w:tblHeader/>
        </w:trPr>
        <w:tc>
          <w:tcPr>
            <w:tcW w:w="2250" w:type="dxa"/>
            <w:vAlign w:val="bottom"/>
            <w:hideMark/>
          </w:tcPr>
          <w:p w14:paraId="6703E38E" w14:textId="77777777" w:rsidR="00AF00E5" w:rsidRPr="000861B0" w:rsidRDefault="00AF00E5">
            <w:pPr>
              <w:spacing w:after="0" w:line="240" w:lineRule="auto"/>
              <w:textAlignment w:val="baseline"/>
              <w:rPr>
                <w:rFonts w:ascii="Times New Roman" w:eastAsia="Times New Roman" w:hAnsi="Times New Roman" w:cs="Times New Roman"/>
                <w:sz w:val="24"/>
                <w:szCs w:val="24"/>
                <w:lang w:eastAsia="en-AU"/>
              </w:rPr>
            </w:pPr>
            <w:r w:rsidRPr="000861B0">
              <w:rPr>
                <w:rFonts w:ascii="Arial" w:eastAsia="Times New Roman" w:hAnsi="Arial" w:cs="Arial"/>
                <w:sz w:val="20"/>
                <w:szCs w:val="20"/>
                <w:lang w:eastAsia="en-AU"/>
              </w:rPr>
              <w:t> </w:t>
            </w:r>
          </w:p>
        </w:tc>
        <w:tc>
          <w:tcPr>
            <w:tcW w:w="6945" w:type="dxa"/>
            <w:gridSpan w:val="4"/>
            <w:shd w:val="clear" w:color="auto" w:fill="1C2B39" w:themeFill="accent1"/>
            <w:vAlign w:val="bottom"/>
            <w:hideMark/>
          </w:tcPr>
          <w:p w14:paraId="1B3D9F9F" w14:textId="77777777" w:rsidR="00AF00E5" w:rsidRPr="000861B0" w:rsidRDefault="00AF00E5">
            <w:pPr>
              <w:spacing w:after="0" w:line="240" w:lineRule="auto"/>
              <w:jc w:val="center"/>
              <w:textAlignment w:val="baseline"/>
              <w:rPr>
                <w:rFonts w:ascii="Times New Roman" w:eastAsia="Times New Roman" w:hAnsi="Times New Roman" w:cs="Times New Roman"/>
                <w:sz w:val="24"/>
                <w:szCs w:val="24"/>
                <w:lang w:eastAsia="en-AU"/>
              </w:rPr>
            </w:pPr>
            <w:r w:rsidRPr="000861B0">
              <w:rPr>
                <w:rFonts w:ascii="Arial" w:eastAsia="Times New Roman" w:hAnsi="Arial" w:cs="Arial"/>
                <w:b/>
                <w:bCs/>
                <w:sz w:val="20"/>
                <w:szCs w:val="20"/>
                <w:lang w:eastAsia="en-AU"/>
              </w:rPr>
              <w:t>PHI Rebate % </w:t>
            </w:r>
            <w:r w:rsidRPr="000861B0">
              <w:rPr>
                <w:rFonts w:ascii="Arial" w:eastAsia="Times New Roman" w:hAnsi="Arial" w:cs="Arial"/>
                <w:sz w:val="20"/>
                <w:szCs w:val="20"/>
                <w:lang w:eastAsia="en-AU"/>
              </w:rPr>
              <w:t> </w:t>
            </w:r>
          </w:p>
        </w:tc>
      </w:tr>
      <w:tr w:rsidR="00E05EE3" w:rsidRPr="000861B0" w14:paraId="552B3993" w14:textId="77777777" w:rsidTr="003726F8">
        <w:trPr>
          <w:trHeight w:val="240"/>
          <w:tblHeader/>
        </w:trPr>
        <w:tc>
          <w:tcPr>
            <w:tcW w:w="2250" w:type="dxa"/>
            <w:vAlign w:val="bottom"/>
            <w:hideMark/>
          </w:tcPr>
          <w:p w14:paraId="677468F5" w14:textId="1391C251" w:rsidR="00AF00E5" w:rsidRPr="000861B0" w:rsidRDefault="00AF00E5">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Singles Tier threshold</w:t>
            </w:r>
          </w:p>
          <w:p w14:paraId="77EB7131" w14:textId="45EC5CC1" w:rsidR="00AF00E5" w:rsidRPr="000861B0" w:rsidRDefault="00AF00E5">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Families Tier threshold</w:t>
            </w:r>
          </w:p>
        </w:tc>
        <w:tc>
          <w:tcPr>
            <w:tcW w:w="1885" w:type="dxa"/>
            <w:vAlign w:val="bottom"/>
            <w:hideMark/>
          </w:tcPr>
          <w:p w14:paraId="1E625E1D" w14:textId="77777777" w:rsidR="00AF00E5" w:rsidRPr="000861B0" w:rsidRDefault="00AF00E5">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&lt;</w:t>
            </w:r>
            <w:r w:rsidRPr="000861B0">
              <w:rPr>
                <w:rFonts w:ascii="Arial" w:eastAsia="Times New Roman" w:hAnsi="Arial" w:cs="Arial"/>
                <w:sz w:val="20"/>
                <w:szCs w:val="20"/>
                <w:lang w:eastAsia="en-AU"/>
              </w:rPr>
              <w:t> $105,000 </w:t>
            </w:r>
          </w:p>
          <w:p w14:paraId="3EC13502" w14:textId="77777777" w:rsidR="00AF00E5" w:rsidRPr="000861B0" w:rsidRDefault="00AF00E5">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&lt;</w:t>
            </w:r>
            <w:r w:rsidRPr="000861B0">
              <w:rPr>
                <w:rFonts w:ascii="Arial" w:eastAsia="Times New Roman" w:hAnsi="Arial" w:cs="Arial"/>
                <w:sz w:val="20"/>
                <w:szCs w:val="20"/>
                <w:lang w:eastAsia="en-AU"/>
              </w:rPr>
              <w:t> $210,000 </w:t>
            </w:r>
          </w:p>
        </w:tc>
        <w:tc>
          <w:tcPr>
            <w:tcW w:w="1885" w:type="dxa"/>
            <w:vAlign w:val="bottom"/>
            <w:hideMark/>
          </w:tcPr>
          <w:p w14:paraId="151B6997" w14:textId="77777777" w:rsidR="00AF00E5" w:rsidRPr="000861B0" w:rsidRDefault="00AF00E5">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$105,001-123,000 </w:t>
            </w:r>
          </w:p>
          <w:p w14:paraId="57AE93DB" w14:textId="77777777" w:rsidR="00AF00E5" w:rsidRPr="000861B0" w:rsidRDefault="00AF00E5">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$210,001-246,000 </w:t>
            </w:r>
          </w:p>
        </w:tc>
        <w:tc>
          <w:tcPr>
            <w:tcW w:w="1885" w:type="dxa"/>
            <w:vAlign w:val="bottom"/>
            <w:hideMark/>
          </w:tcPr>
          <w:p w14:paraId="5F6B15C5" w14:textId="77777777" w:rsidR="00AF00E5" w:rsidRPr="000861B0" w:rsidRDefault="00AF00E5">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$123,001-164,000 </w:t>
            </w:r>
          </w:p>
          <w:p w14:paraId="2A2EFEE9" w14:textId="77777777" w:rsidR="00AF00E5" w:rsidRPr="000861B0" w:rsidRDefault="00AF00E5">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$246,001-328,000 </w:t>
            </w:r>
          </w:p>
        </w:tc>
        <w:tc>
          <w:tcPr>
            <w:tcW w:w="1290" w:type="dxa"/>
            <w:vAlign w:val="bottom"/>
            <w:hideMark/>
          </w:tcPr>
          <w:p w14:paraId="67F5EA0A" w14:textId="77777777" w:rsidR="00AF00E5" w:rsidRPr="000861B0" w:rsidRDefault="00AF00E5">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&gt;</w:t>
            </w:r>
            <w:r w:rsidRPr="000861B0">
              <w:rPr>
                <w:rFonts w:ascii="Arial" w:eastAsia="Times New Roman" w:hAnsi="Arial" w:cs="Arial"/>
                <w:sz w:val="20"/>
                <w:szCs w:val="20"/>
                <w:lang w:eastAsia="en-AU"/>
              </w:rPr>
              <w:t>$164,001 </w:t>
            </w:r>
          </w:p>
          <w:p w14:paraId="602060B7" w14:textId="77777777" w:rsidR="00AF00E5" w:rsidRPr="000861B0" w:rsidRDefault="00AF00E5">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&gt;</w:t>
            </w:r>
            <w:r w:rsidRPr="000861B0">
              <w:rPr>
                <w:rFonts w:ascii="Arial" w:eastAsia="Times New Roman" w:hAnsi="Arial" w:cs="Arial"/>
                <w:sz w:val="20"/>
                <w:szCs w:val="20"/>
                <w:lang w:eastAsia="en-AU"/>
              </w:rPr>
              <w:t>$328,001 </w:t>
            </w:r>
          </w:p>
        </w:tc>
      </w:tr>
      <w:tr w:rsidR="00E05EE3" w:rsidRPr="000861B0" w14:paraId="517D381D" w14:textId="77777777" w:rsidTr="003726F8">
        <w:trPr>
          <w:trHeight w:val="285"/>
          <w:tblHeader/>
        </w:trPr>
        <w:tc>
          <w:tcPr>
            <w:tcW w:w="2250" w:type="dxa"/>
            <w:vAlign w:val="bottom"/>
            <w:hideMark/>
          </w:tcPr>
          <w:p w14:paraId="764CA839" w14:textId="77777777" w:rsidR="00AF00E5" w:rsidRPr="000861B0" w:rsidRDefault="00AF00E5">
            <w:pPr>
              <w:spacing w:after="0" w:line="240" w:lineRule="auto"/>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 </w:t>
            </w:r>
          </w:p>
        </w:tc>
        <w:tc>
          <w:tcPr>
            <w:tcW w:w="1885" w:type="dxa"/>
            <w:vAlign w:val="bottom"/>
            <w:hideMark/>
          </w:tcPr>
          <w:p w14:paraId="75DE7B27" w14:textId="77777777"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Base Tier</w:t>
            </w:r>
            <w:r w:rsidRPr="000861B0">
              <w:rPr>
                <w:rFonts w:ascii="Arial" w:eastAsia="Times New Roman" w:hAnsi="Arial" w:cs="Arial"/>
                <w:sz w:val="20"/>
                <w:szCs w:val="20"/>
                <w:lang w:eastAsia="en-AU"/>
              </w:rPr>
              <w:t> </w:t>
            </w:r>
          </w:p>
        </w:tc>
        <w:tc>
          <w:tcPr>
            <w:tcW w:w="1885" w:type="dxa"/>
            <w:vAlign w:val="bottom"/>
            <w:hideMark/>
          </w:tcPr>
          <w:p w14:paraId="73278F76" w14:textId="77777777"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Tier 1</w:t>
            </w:r>
            <w:r w:rsidRPr="000861B0">
              <w:rPr>
                <w:rFonts w:ascii="Arial" w:eastAsia="Times New Roman" w:hAnsi="Arial" w:cs="Arial"/>
                <w:sz w:val="20"/>
                <w:szCs w:val="20"/>
                <w:lang w:eastAsia="en-AU"/>
              </w:rPr>
              <w:t> </w:t>
            </w:r>
          </w:p>
        </w:tc>
        <w:tc>
          <w:tcPr>
            <w:tcW w:w="1885" w:type="dxa"/>
            <w:vAlign w:val="bottom"/>
            <w:hideMark/>
          </w:tcPr>
          <w:p w14:paraId="4FB78B4A" w14:textId="77777777"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Tier 2</w:t>
            </w:r>
            <w:r w:rsidRPr="000861B0">
              <w:rPr>
                <w:rFonts w:ascii="Arial" w:eastAsia="Times New Roman" w:hAnsi="Arial" w:cs="Arial"/>
                <w:sz w:val="20"/>
                <w:szCs w:val="20"/>
                <w:lang w:eastAsia="en-AU"/>
              </w:rPr>
              <w:t> </w:t>
            </w:r>
          </w:p>
        </w:tc>
        <w:tc>
          <w:tcPr>
            <w:tcW w:w="1290" w:type="dxa"/>
            <w:vAlign w:val="bottom"/>
            <w:hideMark/>
          </w:tcPr>
          <w:p w14:paraId="4F67859A" w14:textId="77777777"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Tier 3</w:t>
            </w:r>
            <w:r w:rsidRPr="000861B0">
              <w:rPr>
                <w:rFonts w:ascii="Arial" w:eastAsia="Times New Roman" w:hAnsi="Arial" w:cs="Arial"/>
                <w:sz w:val="20"/>
                <w:szCs w:val="20"/>
                <w:lang w:eastAsia="en-AU"/>
              </w:rPr>
              <w:t> </w:t>
            </w:r>
          </w:p>
        </w:tc>
      </w:tr>
      <w:tr w:rsidR="00E05EE3" w:rsidRPr="000861B0" w14:paraId="6447AC20" w14:textId="77777777" w:rsidTr="003726F8">
        <w:trPr>
          <w:trHeight w:val="285"/>
          <w:tblHeader/>
        </w:trPr>
        <w:tc>
          <w:tcPr>
            <w:tcW w:w="2250" w:type="dxa"/>
            <w:vAlign w:val="bottom"/>
            <w:hideMark/>
          </w:tcPr>
          <w:p w14:paraId="4BDEA233" w14:textId="77777777" w:rsidR="00AF00E5" w:rsidRPr="000861B0" w:rsidRDefault="00AF00E5">
            <w:pPr>
              <w:keepNext/>
              <w:keepLines/>
              <w:spacing w:after="0" w:line="278" w:lineRule="auto"/>
              <w:rPr>
                <w:rFonts w:ascii="Arial" w:eastAsia="Arial" w:hAnsi="Arial" w:cs="Arial"/>
                <w:sz w:val="20"/>
                <w:szCs w:val="20"/>
              </w:rPr>
            </w:pPr>
            <w:r w:rsidRPr="000861B0">
              <w:rPr>
                <w:rFonts w:ascii="Arial" w:eastAsia="Times New Roman" w:hAnsi="Arial" w:cs="Arial"/>
                <w:sz w:val="20"/>
                <w:szCs w:val="20"/>
                <w:lang w:eastAsia="en-AU"/>
              </w:rPr>
              <w:t>Age &lt;65 </w:t>
            </w:r>
          </w:p>
        </w:tc>
        <w:tc>
          <w:tcPr>
            <w:tcW w:w="1885" w:type="dxa"/>
            <w:vAlign w:val="center"/>
            <w:hideMark/>
          </w:tcPr>
          <w:p w14:paraId="37016D6C" w14:textId="77777777"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24.118%</w:t>
            </w:r>
          </w:p>
        </w:tc>
        <w:tc>
          <w:tcPr>
            <w:tcW w:w="1885" w:type="dxa"/>
            <w:vAlign w:val="center"/>
            <w:hideMark/>
          </w:tcPr>
          <w:p w14:paraId="4CCF9B7B" w14:textId="77777777"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16.079%</w:t>
            </w:r>
          </w:p>
        </w:tc>
        <w:tc>
          <w:tcPr>
            <w:tcW w:w="1885" w:type="dxa"/>
            <w:vAlign w:val="center"/>
            <w:hideMark/>
          </w:tcPr>
          <w:p w14:paraId="538C8FF4" w14:textId="77777777"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8.038%</w:t>
            </w:r>
          </w:p>
        </w:tc>
        <w:tc>
          <w:tcPr>
            <w:tcW w:w="1290" w:type="dxa"/>
            <w:vAlign w:val="center"/>
            <w:hideMark/>
          </w:tcPr>
          <w:p w14:paraId="527B6E6A" w14:textId="77777777"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0%</w:t>
            </w:r>
          </w:p>
        </w:tc>
      </w:tr>
      <w:tr w:rsidR="00E05EE3" w:rsidRPr="000861B0" w14:paraId="643E761E" w14:textId="77777777" w:rsidTr="003726F8">
        <w:trPr>
          <w:trHeight w:val="285"/>
          <w:tblHeader/>
        </w:trPr>
        <w:tc>
          <w:tcPr>
            <w:tcW w:w="2250" w:type="dxa"/>
            <w:vAlign w:val="bottom"/>
            <w:hideMark/>
          </w:tcPr>
          <w:p w14:paraId="2CA33CBD" w14:textId="77777777" w:rsidR="00AF00E5" w:rsidRPr="000861B0" w:rsidRDefault="00AF00E5">
            <w:pPr>
              <w:keepNext/>
              <w:keepLines/>
              <w:spacing w:after="0" w:line="278" w:lineRule="auto"/>
              <w:rPr>
                <w:rFonts w:ascii="Arial" w:eastAsia="Arial" w:hAnsi="Arial" w:cs="Arial"/>
                <w:sz w:val="20"/>
                <w:szCs w:val="20"/>
              </w:rPr>
            </w:pPr>
            <w:r w:rsidRPr="000861B0">
              <w:rPr>
                <w:rFonts w:ascii="Arial" w:eastAsia="Times New Roman" w:hAnsi="Arial" w:cs="Arial"/>
                <w:sz w:val="20"/>
                <w:szCs w:val="20"/>
                <w:lang w:eastAsia="en-AU"/>
              </w:rPr>
              <w:t>Age 65-69 </w:t>
            </w:r>
          </w:p>
        </w:tc>
        <w:tc>
          <w:tcPr>
            <w:tcW w:w="1885" w:type="dxa"/>
            <w:vAlign w:val="center"/>
            <w:hideMark/>
          </w:tcPr>
          <w:p w14:paraId="0D5DF4D5" w14:textId="3DE306AE"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28.139</w:t>
            </w:r>
            <w:r>
              <w:rPr>
                <w:rFonts w:ascii="Arial" w:eastAsia="Arial" w:hAnsi="Arial" w:cs="Arial"/>
                <w:sz w:val="20"/>
                <w:szCs w:val="20"/>
              </w:rPr>
              <w:t>%</w:t>
            </w:r>
          </w:p>
        </w:tc>
        <w:tc>
          <w:tcPr>
            <w:tcW w:w="1885" w:type="dxa"/>
            <w:vAlign w:val="center"/>
            <w:hideMark/>
          </w:tcPr>
          <w:p w14:paraId="68863E82" w14:textId="68D1B371"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20.098</w:t>
            </w:r>
            <w:r>
              <w:rPr>
                <w:rFonts w:ascii="Arial" w:eastAsia="Arial" w:hAnsi="Arial" w:cs="Arial"/>
                <w:sz w:val="20"/>
                <w:szCs w:val="20"/>
              </w:rPr>
              <w:t>%</w:t>
            </w:r>
          </w:p>
        </w:tc>
        <w:tc>
          <w:tcPr>
            <w:tcW w:w="1885" w:type="dxa"/>
            <w:vAlign w:val="center"/>
            <w:hideMark/>
          </w:tcPr>
          <w:p w14:paraId="0118E4BC" w14:textId="26D26F25"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12.058</w:t>
            </w:r>
            <w:r>
              <w:rPr>
                <w:rFonts w:ascii="Arial" w:eastAsia="Arial" w:hAnsi="Arial" w:cs="Arial"/>
                <w:sz w:val="20"/>
                <w:szCs w:val="20"/>
              </w:rPr>
              <w:t>%</w:t>
            </w:r>
          </w:p>
        </w:tc>
        <w:tc>
          <w:tcPr>
            <w:tcW w:w="1290" w:type="dxa"/>
            <w:vAlign w:val="center"/>
            <w:hideMark/>
          </w:tcPr>
          <w:p w14:paraId="330BBC2A" w14:textId="77777777"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0%</w:t>
            </w:r>
          </w:p>
        </w:tc>
      </w:tr>
      <w:tr w:rsidR="00E05EE3" w:rsidRPr="000861B0" w14:paraId="02E2F79B" w14:textId="77777777" w:rsidTr="003726F8">
        <w:trPr>
          <w:trHeight w:val="285"/>
          <w:tblHeader/>
        </w:trPr>
        <w:tc>
          <w:tcPr>
            <w:tcW w:w="2250" w:type="dxa"/>
            <w:vAlign w:val="bottom"/>
            <w:hideMark/>
          </w:tcPr>
          <w:p w14:paraId="4B464097" w14:textId="77777777" w:rsidR="00AF00E5" w:rsidRPr="000861B0" w:rsidRDefault="00AF00E5">
            <w:pPr>
              <w:keepNext/>
              <w:keepLines/>
              <w:spacing w:after="0" w:line="278" w:lineRule="auto"/>
              <w:rPr>
                <w:rFonts w:ascii="Arial" w:eastAsia="Arial" w:hAnsi="Arial" w:cs="Arial"/>
                <w:sz w:val="20"/>
                <w:szCs w:val="20"/>
              </w:rPr>
            </w:pPr>
            <w:r w:rsidRPr="000861B0">
              <w:rPr>
                <w:rFonts w:ascii="Arial" w:eastAsia="Times New Roman" w:hAnsi="Arial" w:cs="Arial"/>
                <w:sz w:val="20"/>
                <w:szCs w:val="20"/>
                <w:lang w:eastAsia="en-AU"/>
              </w:rPr>
              <w:t>Age 70+ </w:t>
            </w:r>
          </w:p>
        </w:tc>
        <w:tc>
          <w:tcPr>
            <w:tcW w:w="1885" w:type="dxa"/>
            <w:vAlign w:val="center"/>
            <w:hideMark/>
          </w:tcPr>
          <w:p w14:paraId="6128C15D" w14:textId="6D3C60BF"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32.158</w:t>
            </w:r>
            <w:r>
              <w:rPr>
                <w:rFonts w:ascii="Arial" w:eastAsia="Arial" w:hAnsi="Arial" w:cs="Arial"/>
                <w:sz w:val="20"/>
                <w:szCs w:val="20"/>
              </w:rPr>
              <w:t>%</w:t>
            </w:r>
          </w:p>
        </w:tc>
        <w:tc>
          <w:tcPr>
            <w:tcW w:w="1885" w:type="dxa"/>
            <w:vAlign w:val="center"/>
            <w:hideMark/>
          </w:tcPr>
          <w:p w14:paraId="738EE4D3" w14:textId="5B88C09A"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24.118</w:t>
            </w:r>
            <w:r>
              <w:rPr>
                <w:rFonts w:ascii="Arial" w:eastAsia="Arial" w:hAnsi="Arial" w:cs="Arial"/>
                <w:sz w:val="20"/>
                <w:szCs w:val="20"/>
              </w:rPr>
              <w:t>%</w:t>
            </w:r>
          </w:p>
        </w:tc>
        <w:tc>
          <w:tcPr>
            <w:tcW w:w="1885" w:type="dxa"/>
            <w:vAlign w:val="center"/>
            <w:hideMark/>
          </w:tcPr>
          <w:p w14:paraId="4BED5CE6" w14:textId="214E0C54"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16.079</w:t>
            </w:r>
            <w:r>
              <w:rPr>
                <w:rFonts w:ascii="Arial" w:eastAsia="Arial" w:hAnsi="Arial" w:cs="Arial"/>
                <w:iCs/>
                <w:sz w:val="20"/>
                <w:szCs w:val="20"/>
              </w:rPr>
              <w:t>%</w:t>
            </w:r>
          </w:p>
        </w:tc>
        <w:tc>
          <w:tcPr>
            <w:tcW w:w="1290" w:type="dxa"/>
            <w:vAlign w:val="center"/>
            <w:hideMark/>
          </w:tcPr>
          <w:p w14:paraId="6C11D345" w14:textId="77777777"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0%</w:t>
            </w:r>
          </w:p>
        </w:tc>
      </w:tr>
    </w:tbl>
    <w:p w14:paraId="16470570" w14:textId="77777777" w:rsidR="00430C98" w:rsidRDefault="00AF00E5" w:rsidP="00F5033E">
      <w:pPr>
        <w:pStyle w:val="CABNETParagraph"/>
        <w:spacing w:before="0"/>
        <w:rPr>
          <w:rFonts w:cstheme="minorBidi"/>
          <w:sz w:val="18"/>
          <w:szCs w:val="18"/>
        </w:rPr>
      </w:pPr>
      <w:r w:rsidRPr="000861B0">
        <w:rPr>
          <w:rFonts w:cstheme="minorBidi"/>
          <w:sz w:val="18"/>
          <w:szCs w:val="18"/>
        </w:rPr>
        <w:t xml:space="preserve">Income tiers </w:t>
      </w:r>
      <w:r w:rsidR="00F5033E">
        <w:rPr>
          <w:rFonts w:cstheme="minorBidi"/>
          <w:sz w:val="18"/>
          <w:szCs w:val="18"/>
        </w:rPr>
        <w:t xml:space="preserve">presented are </w:t>
      </w:r>
      <w:r w:rsidRPr="000861B0">
        <w:rPr>
          <w:rFonts w:cstheme="minorBidi"/>
          <w:sz w:val="18"/>
          <w:szCs w:val="18"/>
        </w:rPr>
        <w:t xml:space="preserve">current for 1 July 2026 to 30 June 2027 and </w:t>
      </w:r>
      <w:r w:rsidR="00F5033E">
        <w:rPr>
          <w:rFonts w:cstheme="minorBidi"/>
          <w:sz w:val="18"/>
          <w:szCs w:val="18"/>
        </w:rPr>
        <w:t xml:space="preserve">are </w:t>
      </w:r>
      <w:r w:rsidRPr="000861B0">
        <w:rPr>
          <w:rFonts w:cstheme="minorBidi"/>
          <w:sz w:val="18"/>
          <w:szCs w:val="18"/>
        </w:rPr>
        <w:t xml:space="preserve">subject to annual indexation on 1 July based on changes in AWOTE. </w:t>
      </w:r>
    </w:p>
    <w:p w14:paraId="66DD55EF" w14:textId="1DA05013" w:rsidR="00AF00E5" w:rsidRDefault="00AF00E5" w:rsidP="00F5033E">
      <w:pPr>
        <w:pStyle w:val="CABNETParagraph"/>
        <w:spacing w:before="0"/>
        <w:rPr>
          <w:rFonts w:eastAsia="Times New Roman" w:cs="Arial"/>
          <w:sz w:val="18"/>
          <w:szCs w:val="18"/>
          <w:lang w:eastAsia="en-AU"/>
        </w:rPr>
      </w:pPr>
      <w:r w:rsidRPr="000861B0">
        <w:rPr>
          <w:sz w:val="18"/>
          <w:szCs w:val="18"/>
        </w:rPr>
        <w:t xml:space="preserve">Rebate rates </w:t>
      </w:r>
      <w:r w:rsidR="00430C98">
        <w:rPr>
          <w:sz w:val="18"/>
          <w:szCs w:val="18"/>
        </w:rPr>
        <w:t xml:space="preserve">presented are current for 1 April 2026 to 31 March 2027 and </w:t>
      </w:r>
      <w:r w:rsidR="00F5033E">
        <w:rPr>
          <w:sz w:val="18"/>
          <w:szCs w:val="18"/>
        </w:rPr>
        <w:t xml:space="preserve">are </w:t>
      </w:r>
      <w:r w:rsidRPr="000861B0">
        <w:rPr>
          <w:sz w:val="18"/>
          <w:szCs w:val="18"/>
        </w:rPr>
        <w:t>subject to annual indexation through the RAF based on the difference between the CPI and the industry weighted average premium increase.</w:t>
      </w:r>
      <w:r w:rsidRPr="000861B0">
        <w:rPr>
          <w:rFonts w:eastAsia="Times New Roman" w:cs="Arial"/>
          <w:sz w:val="18"/>
          <w:szCs w:val="18"/>
          <w:lang w:eastAsia="en-AU"/>
        </w:rPr>
        <w:t> </w:t>
      </w:r>
    </w:p>
    <w:p w14:paraId="3C6C8FBF" w14:textId="61ED08E8" w:rsidR="00CA3426" w:rsidRDefault="0033266F" w:rsidP="00E11F8B">
      <w:pPr>
        <w:pStyle w:val="paragraph"/>
        <w:spacing w:before="0" w:beforeAutospacing="0" w:after="0" w:afterAutospacing="0"/>
        <w:textAlignment w:val="baseline"/>
        <w:rPr>
          <w:rStyle w:val="normaltextrun"/>
          <w:rFonts w:asciiTheme="minorHAnsi" w:eastAsiaTheme="majorEastAsia" w:hAnsiTheme="minorHAnsi" w:cs="Arial"/>
          <w:sz w:val="22"/>
          <w:szCs w:val="22"/>
        </w:rPr>
      </w:pPr>
      <w:r>
        <w:rPr>
          <w:rStyle w:val="normaltextrun"/>
          <w:rFonts w:asciiTheme="minorHAnsi" w:eastAsiaTheme="majorEastAsia" w:hAnsiTheme="minorHAnsi" w:cs="Arial"/>
          <w:sz w:val="22"/>
          <w:szCs w:val="22"/>
        </w:rPr>
        <w:t>As Rebate entitlement would continue to be determined by both income and age, t</w:t>
      </w:r>
      <w:r w:rsidR="002F7866">
        <w:rPr>
          <w:rStyle w:val="normaltextrun"/>
          <w:rFonts w:asciiTheme="minorHAnsi" w:eastAsiaTheme="majorEastAsia" w:hAnsiTheme="minorHAnsi" w:cs="Arial"/>
          <w:sz w:val="22"/>
          <w:szCs w:val="22"/>
        </w:rPr>
        <w:t xml:space="preserve">his option would not </w:t>
      </w:r>
      <w:r w:rsidR="004B532B">
        <w:rPr>
          <w:rStyle w:val="normaltextrun"/>
          <w:rFonts w:asciiTheme="minorHAnsi" w:eastAsiaTheme="majorEastAsia" w:hAnsiTheme="minorHAnsi" w:cs="Arial"/>
          <w:sz w:val="22"/>
          <w:szCs w:val="22"/>
        </w:rPr>
        <w:t>address</w:t>
      </w:r>
      <w:r w:rsidR="002F7866">
        <w:rPr>
          <w:rStyle w:val="normaltextrun"/>
          <w:rFonts w:asciiTheme="minorHAnsi" w:eastAsiaTheme="majorEastAsia" w:hAnsiTheme="minorHAnsi" w:cs="Arial"/>
          <w:sz w:val="22"/>
          <w:szCs w:val="22"/>
        </w:rPr>
        <w:t xml:space="preserve"> the </w:t>
      </w:r>
      <w:r w:rsidR="004A3C62">
        <w:rPr>
          <w:rStyle w:val="normaltextrun"/>
          <w:rFonts w:asciiTheme="minorHAnsi" w:eastAsiaTheme="majorEastAsia" w:hAnsiTheme="minorHAnsi" w:cs="Arial"/>
          <w:sz w:val="22"/>
          <w:szCs w:val="22"/>
        </w:rPr>
        <w:t xml:space="preserve">inequity of </w:t>
      </w:r>
      <w:r w:rsidR="00C11DF6">
        <w:rPr>
          <w:rStyle w:val="normaltextrun"/>
          <w:rFonts w:asciiTheme="minorHAnsi" w:eastAsiaTheme="majorEastAsia" w:hAnsiTheme="minorHAnsi" w:cs="Arial"/>
          <w:sz w:val="22"/>
          <w:szCs w:val="22"/>
        </w:rPr>
        <w:t xml:space="preserve">providing higher </w:t>
      </w:r>
      <w:r w:rsidR="005B1828">
        <w:rPr>
          <w:rStyle w:val="normaltextrun"/>
          <w:rFonts w:asciiTheme="minorHAnsi" w:eastAsiaTheme="majorEastAsia" w:hAnsiTheme="minorHAnsi" w:cs="Arial"/>
          <w:sz w:val="22"/>
          <w:szCs w:val="22"/>
        </w:rPr>
        <w:t>Rebate</w:t>
      </w:r>
      <w:r w:rsidR="00C11DF6">
        <w:rPr>
          <w:rStyle w:val="normaltextrun"/>
          <w:rFonts w:asciiTheme="minorHAnsi" w:eastAsiaTheme="majorEastAsia" w:hAnsiTheme="minorHAnsi" w:cs="Arial"/>
          <w:sz w:val="22"/>
          <w:szCs w:val="22"/>
        </w:rPr>
        <w:t>s to those aged 65+</w:t>
      </w:r>
      <w:r w:rsidR="00EC5D3F">
        <w:rPr>
          <w:rStyle w:val="normaltextrun"/>
          <w:rFonts w:asciiTheme="minorHAnsi" w:eastAsiaTheme="majorEastAsia" w:hAnsiTheme="minorHAnsi" w:cs="Arial"/>
          <w:sz w:val="22"/>
          <w:szCs w:val="22"/>
        </w:rPr>
        <w:t xml:space="preserve"> </w:t>
      </w:r>
      <w:r w:rsidR="00BD0234">
        <w:rPr>
          <w:rStyle w:val="normaltextrun"/>
          <w:rFonts w:asciiTheme="minorHAnsi" w:eastAsiaTheme="majorEastAsia" w:hAnsiTheme="minorHAnsi" w:cs="Arial"/>
          <w:sz w:val="22"/>
          <w:szCs w:val="22"/>
        </w:rPr>
        <w:t xml:space="preserve">than younger people earning the same income. It would also continue to provide Rebates to </w:t>
      </w:r>
      <w:r w:rsidR="004D02C5">
        <w:rPr>
          <w:rStyle w:val="normaltextrun"/>
          <w:rFonts w:asciiTheme="minorHAnsi" w:eastAsiaTheme="majorEastAsia" w:hAnsiTheme="minorHAnsi" w:cs="Arial"/>
          <w:sz w:val="22"/>
          <w:szCs w:val="22"/>
        </w:rPr>
        <w:t>middle-higher income earners</w:t>
      </w:r>
      <w:r w:rsidR="00135943">
        <w:rPr>
          <w:rStyle w:val="normaltextrun"/>
          <w:rFonts w:asciiTheme="minorHAnsi" w:eastAsiaTheme="majorEastAsia" w:hAnsiTheme="minorHAnsi" w:cs="Arial"/>
          <w:sz w:val="22"/>
          <w:szCs w:val="22"/>
        </w:rPr>
        <w:t>.</w:t>
      </w:r>
      <w:r w:rsidR="004D02C5">
        <w:rPr>
          <w:rStyle w:val="normaltextrun"/>
          <w:rFonts w:asciiTheme="minorHAnsi" w:eastAsiaTheme="majorEastAsia" w:hAnsiTheme="minorHAnsi" w:cs="Arial"/>
          <w:sz w:val="22"/>
          <w:szCs w:val="22"/>
        </w:rPr>
        <w:t xml:space="preserve"> </w:t>
      </w:r>
      <w:r w:rsidR="00C95572">
        <w:rPr>
          <w:rStyle w:val="normaltextrun"/>
          <w:rFonts w:asciiTheme="minorHAnsi" w:eastAsiaTheme="majorEastAsia" w:hAnsiTheme="minorHAnsi" w:cs="Arial"/>
          <w:sz w:val="22"/>
          <w:szCs w:val="22"/>
        </w:rPr>
        <w:t xml:space="preserve">This option does not achieve the </w:t>
      </w:r>
      <w:r w:rsidR="002F7866">
        <w:rPr>
          <w:rStyle w:val="normaltextrun"/>
          <w:rFonts w:asciiTheme="minorHAnsi" w:eastAsiaTheme="majorEastAsia" w:hAnsiTheme="minorHAnsi" w:cs="Arial"/>
          <w:sz w:val="22"/>
          <w:szCs w:val="22"/>
        </w:rPr>
        <w:t xml:space="preserve">policy </w:t>
      </w:r>
      <w:r w:rsidR="00962570">
        <w:rPr>
          <w:rStyle w:val="normaltextrun"/>
          <w:rFonts w:asciiTheme="minorHAnsi" w:eastAsiaTheme="majorEastAsia" w:hAnsiTheme="minorHAnsi" w:cs="Arial"/>
          <w:sz w:val="22"/>
          <w:szCs w:val="22"/>
        </w:rPr>
        <w:t>objective</w:t>
      </w:r>
      <w:r w:rsidR="009C13D1">
        <w:rPr>
          <w:rStyle w:val="normaltextrun"/>
          <w:rFonts w:asciiTheme="minorHAnsi" w:eastAsiaTheme="majorEastAsia" w:hAnsiTheme="minorHAnsi" w:cs="Arial"/>
          <w:sz w:val="22"/>
          <w:szCs w:val="22"/>
        </w:rPr>
        <w:t>s</w:t>
      </w:r>
      <w:r w:rsidR="00962570">
        <w:rPr>
          <w:rStyle w:val="normaltextrun"/>
          <w:rFonts w:asciiTheme="minorHAnsi" w:eastAsiaTheme="majorEastAsia" w:hAnsiTheme="minorHAnsi" w:cs="Arial"/>
          <w:sz w:val="22"/>
          <w:szCs w:val="22"/>
        </w:rPr>
        <w:t xml:space="preserve"> of </w:t>
      </w:r>
      <w:r w:rsidR="002B0C54">
        <w:rPr>
          <w:rStyle w:val="normaltextrun"/>
          <w:rFonts w:asciiTheme="minorHAnsi" w:eastAsiaTheme="majorEastAsia" w:hAnsiTheme="minorHAnsi" w:cs="Arial"/>
          <w:sz w:val="22"/>
          <w:szCs w:val="22"/>
        </w:rPr>
        <w:t xml:space="preserve">ensuring the </w:t>
      </w:r>
      <w:r w:rsidR="00962570">
        <w:rPr>
          <w:rStyle w:val="normaltextrun"/>
          <w:rFonts w:asciiTheme="minorHAnsi" w:eastAsiaTheme="majorEastAsia" w:hAnsiTheme="minorHAnsi" w:cs="Arial"/>
          <w:sz w:val="22"/>
          <w:szCs w:val="22"/>
        </w:rPr>
        <w:t xml:space="preserve">Rebate </w:t>
      </w:r>
      <w:r w:rsidR="002B0C54" w:rsidRPr="0011EF4A">
        <w:rPr>
          <w:rStyle w:val="normaltextrun"/>
          <w:rFonts w:asciiTheme="minorHAnsi" w:eastAsiaTheme="majorEastAsia" w:hAnsiTheme="minorHAnsi" w:cs="Arial"/>
          <w:sz w:val="22"/>
          <w:szCs w:val="22"/>
        </w:rPr>
        <w:t>i</w:t>
      </w:r>
      <w:r w:rsidR="006370CD" w:rsidRPr="0011EF4A">
        <w:rPr>
          <w:rStyle w:val="normaltextrun"/>
          <w:rFonts w:asciiTheme="minorHAnsi" w:eastAsiaTheme="majorEastAsia" w:hAnsiTheme="minorHAnsi" w:cs="Arial"/>
          <w:sz w:val="22"/>
          <w:szCs w:val="22"/>
        </w:rPr>
        <w:t>s</w:t>
      </w:r>
      <w:r w:rsidR="006370CD">
        <w:rPr>
          <w:rStyle w:val="normaltextrun"/>
          <w:rFonts w:asciiTheme="minorHAnsi" w:eastAsiaTheme="majorEastAsia" w:hAnsiTheme="minorHAnsi" w:cs="Arial"/>
          <w:sz w:val="22"/>
          <w:szCs w:val="22"/>
        </w:rPr>
        <w:t xml:space="preserve"> </w:t>
      </w:r>
      <w:r w:rsidR="00962570">
        <w:rPr>
          <w:rStyle w:val="normaltextrun"/>
          <w:rFonts w:asciiTheme="minorHAnsi" w:eastAsiaTheme="majorEastAsia" w:hAnsiTheme="minorHAnsi" w:cs="Arial"/>
          <w:sz w:val="22"/>
          <w:szCs w:val="22"/>
        </w:rPr>
        <w:t xml:space="preserve">an incentive </w:t>
      </w:r>
      <w:r w:rsidR="009F08A9">
        <w:rPr>
          <w:rStyle w:val="normaltextrun"/>
          <w:rFonts w:asciiTheme="minorHAnsi" w:eastAsiaTheme="majorEastAsia" w:hAnsiTheme="minorHAnsi" w:cs="Arial"/>
          <w:sz w:val="22"/>
          <w:szCs w:val="22"/>
        </w:rPr>
        <w:t xml:space="preserve">while </w:t>
      </w:r>
      <w:r w:rsidR="006370CD">
        <w:rPr>
          <w:rStyle w:val="normaltextrun"/>
          <w:rFonts w:asciiTheme="minorHAnsi" w:eastAsiaTheme="majorEastAsia" w:hAnsiTheme="minorHAnsi" w:cs="Arial"/>
          <w:sz w:val="22"/>
          <w:szCs w:val="22"/>
        </w:rPr>
        <w:t xml:space="preserve">targeting </w:t>
      </w:r>
      <w:r w:rsidR="009F08A9">
        <w:rPr>
          <w:rStyle w:val="normaltextrun"/>
          <w:rFonts w:asciiTheme="minorHAnsi" w:eastAsiaTheme="majorEastAsia" w:hAnsiTheme="minorHAnsi" w:cs="Arial"/>
          <w:sz w:val="22"/>
          <w:szCs w:val="22"/>
        </w:rPr>
        <w:t xml:space="preserve">it </w:t>
      </w:r>
      <w:r w:rsidR="009F08A9" w:rsidRPr="0011EF4A">
        <w:rPr>
          <w:rStyle w:val="normaltextrun"/>
          <w:rFonts w:asciiTheme="minorHAnsi" w:eastAsiaTheme="majorEastAsia" w:hAnsiTheme="minorHAnsi" w:cs="Arial"/>
          <w:sz w:val="22"/>
          <w:szCs w:val="22"/>
        </w:rPr>
        <w:t>to</w:t>
      </w:r>
      <w:r w:rsidR="006370CD">
        <w:rPr>
          <w:rStyle w:val="normaltextrun"/>
          <w:rFonts w:asciiTheme="minorHAnsi" w:eastAsiaTheme="majorEastAsia" w:hAnsiTheme="minorHAnsi" w:cs="Arial"/>
          <w:sz w:val="22"/>
          <w:szCs w:val="22"/>
        </w:rPr>
        <w:t xml:space="preserve"> where </w:t>
      </w:r>
      <w:r w:rsidR="00EE171F" w:rsidRPr="0011EF4A">
        <w:rPr>
          <w:rStyle w:val="normaltextrun"/>
          <w:rFonts w:asciiTheme="minorHAnsi" w:eastAsiaTheme="majorEastAsia" w:hAnsiTheme="minorHAnsi" w:cs="Arial"/>
          <w:sz w:val="22"/>
          <w:szCs w:val="22"/>
        </w:rPr>
        <w:t>it</w:t>
      </w:r>
      <w:r w:rsidR="006370CD">
        <w:rPr>
          <w:rStyle w:val="normaltextrun"/>
          <w:rFonts w:asciiTheme="minorHAnsi" w:eastAsiaTheme="majorEastAsia" w:hAnsiTheme="minorHAnsi" w:cs="Arial"/>
          <w:sz w:val="22"/>
          <w:szCs w:val="22"/>
        </w:rPr>
        <w:t xml:space="preserve"> would most likely </w:t>
      </w:r>
      <w:r w:rsidR="006370CD" w:rsidRPr="006370CD">
        <w:rPr>
          <w:rStyle w:val="normaltextrun"/>
          <w:rFonts w:asciiTheme="minorHAnsi" w:eastAsiaTheme="majorEastAsia" w:hAnsiTheme="minorHAnsi" w:cs="Arial"/>
          <w:sz w:val="22"/>
          <w:szCs w:val="22"/>
        </w:rPr>
        <w:t>alter a person’s participation decision</w:t>
      </w:r>
      <w:r w:rsidR="006370CD">
        <w:rPr>
          <w:rStyle w:val="normaltextrun"/>
          <w:rFonts w:asciiTheme="minorHAnsi" w:eastAsiaTheme="majorEastAsia" w:hAnsiTheme="minorHAnsi" w:cs="Arial"/>
          <w:sz w:val="22"/>
          <w:szCs w:val="22"/>
        </w:rPr>
        <w:t>.</w:t>
      </w:r>
    </w:p>
    <w:p w14:paraId="54FDDCC5" w14:textId="77777777" w:rsidR="00301111" w:rsidRDefault="00301111" w:rsidP="00E11F8B">
      <w:pPr>
        <w:pStyle w:val="paragraph"/>
        <w:spacing w:before="0" w:beforeAutospacing="0" w:after="0" w:afterAutospacing="0"/>
        <w:textAlignment w:val="baseline"/>
        <w:rPr>
          <w:rStyle w:val="normaltextrun"/>
          <w:rFonts w:asciiTheme="minorHAnsi" w:eastAsiaTheme="majorEastAsia" w:hAnsiTheme="minorHAnsi" w:cs="Arial"/>
          <w:sz w:val="22"/>
          <w:szCs w:val="22"/>
        </w:rPr>
      </w:pPr>
    </w:p>
    <w:p w14:paraId="57684472" w14:textId="2FEEC005" w:rsidR="00301111" w:rsidRDefault="00301111" w:rsidP="00E11F8B">
      <w:pPr>
        <w:pStyle w:val="paragraph"/>
        <w:spacing w:before="0" w:beforeAutospacing="0" w:after="0" w:afterAutospacing="0"/>
        <w:textAlignment w:val="baseline"/>
        <w:rPr>
          <w:rStyle w:val="normaltextrun"/>
          <w:rFonts w:asciiTheme="minorHAnsi" w:eastAsiaTheme="majorEastAsia" w:hAnsiTheme="minorHAnsi" w:cs="Arial"/>
          <w:sz w:val="22"/>
          <w:szCs w:val="22"/>
        </w:rPr>
      </w:pPr>
      <w:r>
        <w:rPr>
          <w:rStyle w:val="normaltextrun"/>
          <w:rFonts w:asciiTheme="minorHAnsi" w:eastAsiaTheme="majorEastAsia" w:hAnsiTheme="minorHAnsi" w:cs="Arial"/>
          <w:sz w:val="22"/>
          <w:szCs w:val="22"/>
        </w:rPr>
        <w:t xml:space="preserve">Figure 2 below </w:t>
      </w:r>
      <w:r w:rsidR="00BD4189">
        <w:rPr>
          <w:rStyle w:val="normaltextrun"/>
          <w:rFonts w:asciiTheme="minorHAnsi" w:eastAsiaTheme="majorEastAsia" w:hAnsiTheme="minorHAnsi" w:cs="Arial"/>
          <w:sz w:val="22"/>
          <w:szCs w:val="22"/>
        </w:rPr>
        <w:t>sho</w:t>
      </w:r>
      <w:r w:rsidR="009526AE">
        <w:rPr>
          <w:rStyle w:val="normaltextrun"/>
          <w:rFonts w:asciiTheme="minorHAnsi" w:eastAsiaTheme="majorEastAsia" w:hAnsiTheme="minorHAnsi" w:cs="Arial"/>
          <w:sz w:val="22"/>
          <w:szCs w:val="22"/>
        </w:rPr>
        <w:t>w</w:t>
      </w:r>
      <w:r w:rsidR="00BD4189">
        <w:rPr>
          <w:rStyle w:val="normaltextrun"/>
          <w:rFonts w:asciiTheme="minorHAnsi" w:eastAsiaTheme="majorEastAsia" w:hAnsiTheme="minorHAnsi" w:cs="Arial"/>
          <w:sz w:val="22"/>
          <w:szCs w:val="22"/>
        </w:rPr>
        <w:t>s the average PHI benefits paid per person compared with average premiums</w:t>
      </w:r>
      <w:r w:rsidR="009526AE">
        <w:rPr>
          <w:rStyle w:val="normaltextrun"/>
          <w:rFonts w:asciiTheme="minorHAnsi" w:eastAsiaTheme="majorEastAsia" w:hAnsiTheme="minorHAnsi" w:cs="Arial"/>
          <w:sz w:val="22"/>
          <w:szCs w:val="22"/>
        </w:rPr>
        <w:t xml:space="preserve"> after the Rebate for the Base income Tier</w:t>
      </w:r>
      <w:r w:rsidR="00281EDB">
        <w:rPr>
          <w:rStyle w:val="normaltextrun"/>
          <w:rFonts w:asciiTheme="minorHAnsi" w:eastAsiaTheme="majorEastAsia" w:hAnsiTheme="minorHAnsi" w:cs="Arial"/>
          <w:sz w:val="22"/>
          <w:szCs w:val="22"/>
        </w:rPr>
        <w:t xml:space="preserve"> (noting </w:t>
      </w:r>
      <w:proofErr w:type="gramStart"/>
      <w:r w:rsidR="00281EDB">
        <w:rPr>
          <w:rStyle w:val="normaltextrun"/>
          <w:rFonts w:asciiTheme="minorHAnsi" w:eastAsiaTheme="majorEastAsia" w:hAnsiTheme="minorHAnsi" w:cs="Arial"/>
          <w:sz w:val="22"/>
          <w:szCs w:val="22"/>
        </w:rPr>
        <w:t>the majority of</w:t>
      </w:r>
      <w:proofErr w:type="gramEnd"/>
      <w:r w:rsidR="00281EDB">
        <w:rPr>
          <w:rStyle w:val="normaltextrun"/>
          <w:rFonts w:asciiTheme="minorHAnsi" w:eastAsiaTheme="majorEastAsia" w:hAnsiTheme="minorHAnsi" w:cs="Arial"/>
          <w:sz w:val="22"/>
          <w:szCs w:val="22"/>
        </w:rPr>
        <w:t xml:space="preserve"> insured people are in this tier)</w:t>
      </w:r>
      <w:r w:rsidR="009526AE">
        <w:rPr>
          <w:rStyle w:val="normaltextrun"/>
          <w:rFonts w:asciiTheme="minorHAnsi" w:eastAsiaTheme="majorEastAsia" w:hAnsiTheme="minorHAnsi" w:cs="Arial"/>
          <w:sz w:val="22"/>
          <w:szCs w:val="22"/>
        </w:rPr>
        <w:t xml:space="preserve">. </w:t>
      </w:r>
    </w:p>
    <w:p w14:paraId="2DE2A7BA" w14:textId="5C6A3FF7" w:rsidR="00301111" w:rsidRPr="007010B1" w:rsidRDefault="00301111" w:rsidP="00301111">
      <w:pPr>
        <w:pStyle w:val="Heading3"/>
      </w:pPr>
      <w:r w:rsidRPr="007010B1">
        <w:lastRenderedPageBreak/>
        <w:t xml:space="preserve">Figure </w:t>
      </w:r>
      <w:r>
        <w:t>2</w:t>
      </w:r>
      <w:r w:rsidRPr="007010B1">
        <w:t xml:space="preserve">: </w:t>
      </w:r>
      <w:r>
        <w:t>Average PHI benefits paid per person by age compared with average premium for a single by product tier (after Rebate under Option 1 for Base income Tier)</w:t>
      </w:r>
    </w:p>
    <w:p w14:paraId="13E4DE3D" w14:textId="3F53205D" w:rsidR="00F85DA2" w:rsidRDefault="00F85DA2" w:rsidP="00301111">
      <w:pPr>
        <w:spacing w:after="0" w:line="240" w:lineRule="auto"/>
        <w:rPr>
          <w:noProof/>
        </w:rPr>
      </w:pPr>
      <w:r>
        <w:rPr>
          <w:noProof/>
        </w:rPr>
        <w:drawing>
          <wp:inline distT="0" distB="0" distL="0" distR="0" wp14:anchorId="67B951D8" wp14:editId="72B6AA2B">
            <wp:extent cx="6201043" cy="2948026"/>
            <wp:effectExtent l="0" t="0" r="0" b="5080"/>
            <wp:docPr id="1529646820" name="Picture 2" descr="Chart demonstrating the cost of average benefits and average premiums after the Rebate, by age. Average benefits is below average premiums till approximately 50-54, then rapidly increases and is higher than average benefits from age 65. There is a reduction in average premiums after the Rebate for the 65-69 ag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46820" name="Picture 2" descr="Chart demonstrating the cost of average benefits and average premiums after the Rebate, by age. Average benefits is below average premiums till approximately 50-54, then rapidly increases and is higher than average benefits from age 65. There is a reduction in average premiums after the Rebate for the 65-69 age grou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7092" cy="2955656"/>
                    </a:xfrm>
                    <a:prstGeom prst="rect">
                      <a:avLst/>
                    </a:prstGeom>
                    <a:noFill/>
                  </pic:spPr>
                </pic:pic>
              </a:graphicData>
            </a:graphic>
          </wp:inline>
        </w:drawing>
      </w:r>
    </w:p>
    <w:p w14:paraId="74A19B3C" w14:textId="238A8389" w:rsidR="00301111" w:rsidRDefault="00301111" w:rsidP="00301111">
      <w:pPr>
        <w:spacing w:after="0" w:line="240" w:lineRule="auto"/>
        <w:rPr>
          <w:sz w:val="16"/>
          <w:szCs w:val="16"/>
        </w:rPr>
      </w:pPr>
      <w:r w:rsidRPr="000861B0">
        <w:rPr>
          <w:sz w:val="16"/>
          <w:szCs w:val="16"/>
        </w:rPr>
        <w:t>Source: Average benefits – APRA quarterly PHI data (</w:t>
      </w:r>
      <w:r w:rsidRPr="000861B0">
        <w:rPr>
          <w:sz w:val="16"/>
          <w:szCs w:val="16"/>
          <w:lang w:val="en-GB"/>
        </w:rPr>
        <w:t xml:space="preserve">benefits paid are calculated for the 12 months to </w:t>
      </w:r>
      <w:r>
        <w:rPr>
          <w:sz w:val="16"/>
          <w:szCs w:val="16"/>
          <w:lang w:val="en-GB"/>
        </w:rPr>
        <w:t>December</w:t>
      </w:r>
      <w:r w:rsidRPr="000861B0">
        <w:rPr>
          <w:sz w:val="16"/>
          <w:szCs w:val="16"/>
          <w:lang w:val="en-GB"/>
        </w:rPr>
        <w:t xml:space="preserve"> 2025</w:t>
      </w:r>
      <w:r>
        <w:rPr>
          <w:sz w:val="16"/>
          <w:szCs w:val="16"/>
          <w:lang w:val="en-GB"/>
        </w:rPr>
        <w:t xml:space="preserve"> and i</w:t>
      </w:r>
      <w:r w:rsidRPr="000861B0">
        <w:rPr>
          <w:sz w:val="16"/>
          <w:szCs w:val="16"/>
          <w:lang w:val="en-GB"/>
        </w:rPr>
        <w:t xml:space="preserve">nsured persons are as </w:t>
      </w:r>
      <w:proofErr w:type="gramStart"/>
      <w:r w:rsidRPr="000861B0">
        <w:rPr>
          <w:sz w:val="16"/>
          <w:szCs w:val="16"/>
          <w:lang w:val="en-GB"/>
        </w:rPr>
        <w:t>at</w:t>
      </w:r>
      <w:proofErr w:type="gramEnd"/>
      <w:r w:rsidRPr="000861B0">
        <w:rPr>
          <w:sz w:val="16"/>
          <w:szCs w:val="16"/>
          <w:lang w:val="en-GB"/>
        </w:rPr>
        <w:t xml:space="preserve"> 31 </w:t>
      </w:r>
      <w:r>
        <w:rPr>
          <w:sz w:val="16"/>
          <w:szCs w:val="16"/>
          <w:lang w:val="en-GB"/>
        </w:rPr>
        <w:t>December</w:t>
      </w:r>
      <w:r w:rsidRPr="000861B0" w:rsidDel="00013342">
        <w:rPr>
          <w:sz w:val="16"/>
          <w:szCs w:val="16"/>
          <w:lang w:val="en-GB"/>
        </w:rPr>
        <w:t xml:space="preserve"> </w:t>
      </w:r>
      <w:r w:rsidRPr="000861B0">
        <w:rPr>
          <w:sz w:val="16"/>
          <w:szCs w:val="16"/>
          <w:lang w:val="en-GB"/>
        </w:rPr>
        <w:t xml:space="preserve">2025.) Average premiums – private health information statements, Commonwealth Ombudsman, average premiums for Singles policy by tier after standard </w:t>
      </w:r>
      <w:r>
        <w:rPr>
          <w:sz w:val="16"/>
          <w:szCs w:val="16"/>
          <w:lang w:val="en-GB"/>
        </w:rPr>
        <w:t>Rebate</w:t>
      </w:r>
      <w:r w:rsidRPr="000861B0">
        <w:rPr>
          <w:sz w:val="16"/>
          <w:szCs w:val="16"/>
          <w:lang w:val="en-GB"/>
        </w:rPr>
        <w:t xml:space="preserve"> observed </w:t>
      </w:r>
      <w:proofErr w:type="gramStart"/>
      <w:r w:rsidRPr="000861B0">
        <w:rPr>
          <w:sz w:val="16"/>
          <w:szCs w:val="16"/>
          <w:lang w:val="en-GB"/>
        </w:rPr>
        <w:t>at</w:t>
      </w:r>
      <w:proofErr w:type="gramEnd"/>
      <w:r w:rsidRPr="000861B0">
        <w:rPr>
          <w:sz w:val="16"/>
          <w:szCs w:val="16"/>
          <w:lang w:val="en-GB"/>
        </w:rPr>
        <w:t xml:space="preserve"> </w:t>
      </w:r>
      <w:r>
        <w:rPr>
          <w:sz w:val="16"/>
          <w:szCs w:val="16"/>
          <w:lang w:val="en-GB"/>
        </w:rPr>
        <w:t>1 April 2026</w:t>
      </w:r>
      <w:r w:rsidRPr="000861B0">
        <w:rPr>
          <w:sz w:val="16"/>
          <w:szCs w:val="16"/>
          <w:lang w:val="en-GB"/>
        </w:rPr>
        <w:t xml:space="preserve"> </w:t>
      </w:r>
      <w:r w:rsidRPr="000861B0">
        <w:rPr>
          <w:sz w:val="16"/>
          <w:szCs w:val="16"/>
        </w:rPr>
        <w:t>excluding corporate policies.</w:t>
      </w:r>
    </w:p>
    <w:p w14:paraId="1F073D44" w14:textId="77777777" w:rsidR="0092289E" w:rsidRDefault="0092289E" w:rsidP="0092289E">
      <w:pPr>
        <w:spacing w:after="0" w:line="240" w:lineRule="auto"/>
        <w:rPr>
          <w:sz w:val="16"/>
          <w:szCs w:val="16"/>
        </w:rPr>
      </w:pPr>
      <w:r>
        <w:rPr>
          <w:sz w:val="16"/>
          <w:szCs w:val="16"/>
        </w:rPr>
        <w:t xml:space="preserve">Note: presented as after Rebate for the Base income tier (noting that </w:t>
      </w:r>
      <w:proofErr w:type="gramStart"/>
      <w:r>
        <w:rPr>
          <w:sz w:val="16"/>
          <w:szCs w:val="16"/>
        </w:rPr>
        <w:t>the majority of</w:t>
      </w:r>
      <w:proofErr w:type="gramEnd"/>
      <w:r>
        <w:rPr>
          <w:sz w:val="16"/>
          <w:szCs w:val="16"/>
        </w:rPr>
        <w:t xml:space="preserve"> policy holders are in this tier).</w:t>
      </w:r>
    </w:p>
    <w:p w14:paraId="66FDEA44" w14:textId="7475E5C5" w:rsidR="0089428A" w:rsidRPr="00EA4583" w:rsidRDefault="0089428A" w:rsidP="00EA4583">
      <w:pPr>
        <w:pStyle w:val="Heading2"/>
      </w:pPr>
      <w:r w:rsidRPr="00EA4583">
        <w:t>3.</w:t>
      </w:r>
      <w:r w:rsidR="00B70D83" w:rsidRPr="00EA4583">
        <w:t>2</w:t>
      </w:r>
      <w:r w:rsidRPr="00EA4583" w:rsidDel="00B70D83">
        <w:t xml:space="preserve"> </w:t>
      </w:r>
      <w:r w:rsidR="00B70D83" w:rsidRPr="00EA4583">
        <w:t xml:space="preserve">Option </w:t>
      </w:r>
      <w:r w:rsidR="000103A5" w:rsidRPr="00EA4583">
        <w:t>2</w:t>
      </w:r>
      <w:r w:rsidR="00B70D83" w:rsidRPr="00EA4583">
        <w:t xml:space="preserve"> </w:t>
      </w:r>
      <w:r w:rsidRPr="00EA4583">
        <w:t xml:space="preserve">– </w:t>
      </w:r>
      <w:r w:rsidR="00D94B70">
        <w:t xml:space="preserve">Equalise </w:t>
      </w:r>
      <w:r w:rsidR="000D4703">
        <w:t>Rebate rates across ages for each Income Tier</w:t>
      </w:r>
    </w:p>
    <w:p w14:paraId="2EB37798" w14:textId="2271D7D6" w:rsidR="00542154" w:rsidRPr="00F06DB9" w:rsidRDefault="007335D9" w:rsidP="00542154">
      <w:pPr>
        <w:pStyle w:val="paragraph"/>
        <w:spacing w:before="0" w:beforeAutospacing="0" w:after="0" w:afterAutospacing="0"/>
        <w:textAlignment w:val="baseline"/>
        <w:rPr>
          <w:rStyle w:val="normaltextrun"/>
          <w:rFonts w:asciiTheme="minorHAnsi" w:eastAsiaTheme="majorEastAsia" w:hAnsiTheme="minorHAnsi"/>
          <w:sz w:val="22"/>
          <w:szCs w:val="22"/>
        </w:rPr>
      </w:pPr>
      <w:r>
        <w:rPr>
          <w:rStyle w:val="normaltextrun"/>
          <w:rFonts w:asciiTheme="minorHAnsi" w:eastAsiaTheme="majorEastAsia" w:hAnsiTheme="minorHAnsi" w:cs="Arial"/>
          <w:sz w:val="22"/>
          <w:szCs w:val="22"/>
        </w:rPr>
        <w:t xml:space="preserve">Based on </w:t>
      </w:r>
      <w:r w:rsidR="001B216A">
        <w:rPr>
          <w:rStyle w:val="normaltextrun"/>
          <w:rFonts w:asciiTheme="minorHAnsi" w:eastAsiaTheme="majorEastAsia" w:hAnsiTheme="minorHAnsi" w:cs="Arial"/>
          <w:sz w:val="22"/>
          <w:szCs w:val="22"/>
        </w:rPr>
        <w:t xml:space="preserve">outputs generated by </w:t>
      </w:r>
      <w:r>
        <w:rPr>
          <w:rStyle w:val="normaltextrun"/>
          <w:rFonts w:asciiTheme="minorHAnsi" w:eastAsiaTheme="majorEastAsia" w:hAnsiTheme="minorHAnsi" w:cs="Arial"/>
          <w:sz w:val="22"/>
          <w:szCs w:val="22"/>
        </w:rPr>
        <w:t>the PHI Rebate model (described in subsection 4.1), t</w:t>
      </w:r>
      <w:r w:rsidR="11FD9737" w:rsidRPr="40073980">
        <w:rPr>
          <w:rStyle w:val="normaltextrun"/>
          <w:rFonts w:asciiTheme="minorHAnsi" w:eastAsiaTheme="majorEastAsia" w:hAnsiTheme="minorHAnsi" w:cs="Arial"/>
          <w:sz w:val="22"/>
          <w:szCs w:val="22"/>
        </w:rPr>
        <w:t xml:space="preserve">his </w:t>
      </w:r>
      <w:r w:rsidR="007D05A5">
        <w:rPr>
          <w:rStyle w:val="normaltextrun"/>
          <w:rFonts w:asciiTheme="minorHAnsi" w:eastAsiaTheme="majorEastAsia" w:hAnsiTheme="minorHAnsi" w:cs="Arial"/>
          <w:sz w:val="22"/>
          <w:szCs w:val="22"/>
        </w:rPr>
        <w:t>option</w:t>
      </w:r>
      <w:r w:rsidR="007D05A5" w:rsidRPr="40073980">
        <w:rPr>
          <w:rStyle w:val="normaltextrun"/>
          <w:rFonts w:asciiTheme="minorHAnsi" w:eastAsiaTheme="majorEastAsia" w:hAnsiTheme="minorHAnsi" w:cs="Arial"/>
          <w:sz w:val="22"/>
          <w:szCs w:val="22"/>
        </w:rPr>
        <w:t xml:space="preserve"> </w:t>
      </w:r>
      <w:r w:rsidR="11FD9737" w:rsidRPr="40073980">
        <w:rPr>
          <w:rStyle w:val="normaltextrun"/>
          <w:rFonts w:asciiTheme="minorHAnsi" w:eastAsiaTheme="majorEastAsia" w:hAnsiTheme="minorHAnsi" w:cs="Arial"/>
          <w:sz w:val="22"/>
          <w:szCs w:val="22"/>
        </w:rPr>
        <w:t>would achieve indicative savings of $</w:t>
      </w:r>
      <w:r w:rsidR="6B2FA492" w:rsidRPr="40073980">
        <w:rPr>
          <w:rStyle w:val="normaltextrun"/>
          <w:rFonts w:asciiTheme="minorHAnsi" w:eastAsiaTheme="majorEastAsia" w:hAnsiTheme="minorHAnsi" w:cs="Arial"/>
          <w:sz w:val="22"/>
          <w:szCs w:val="22"/>
        </w:rPr>
        <w:t>2,994.7</w:t>
      </w:r>
      <w:r w:rsidR="11FD9737" w:rsidRPr="40073980">
        <w:rPr>
          <w:rStyle w:val="normaltextrun"/>
          <w:rFonts w:asciiTheme="minorHAnsi" w:eastAsiaTheme="majorEastAsia" w:hAnsiTheme="minorHAnsi" w:cs="Arial"/>
          <w:sz w:val="22"/>
          <w:szCs w:val="22"/>
        </w:rPr>
        <w:t xml:space="preserve"> million over 4 years from </w:t>
      </w:r>
      <w:r w:rsidR="51CCA8F2" w:rsidRPr="40073980">
        <w:rPr>
          <w:rFonts w:asciiTheme="minorHAnsi" w:eastAsiaTheme="minorEastAsia" w:hAnsiTheme="minorHAnsi" w:cstheme="minorBidi"/>
          <w:sz w:val="22"/>
          <w:szCs w:val="22"/>
        </w:rPr>
        <w:t>2026-27 (1</w:t>
      </w:r>
      <w:r w:rsidR="537C3DAD" w:rsidRPr="40073980">
        <w:rPr>
          <w:rFonts w:asciiTheme="minorHAnsi" w:eastAsiaTheme="minorEastAsia" w:hAnsiTheme="minorHAnsi" w:cstheme="minorBidi"/>
          <w:sz w:val="22"/>
          <w:szCs w:val="22"/>
        </w:rPr>
        <w:t> </w:t>
      </w:r>
      <w:r w:rsidR="51CCA8F2" w:rsidRPr="40073980">
        <w:rPr>
          <w:rFonts w:asciiTheme="minorHAnsi" w:eastAsiaTheme="minorEastAsia" w:hAnsiTheme="minorHAnsi" w:cstheme="minorBidi"/>
          <w:sz w:val="22"/>
          <w:szCs w:val="22"/>
        </w:rPr>
        <w:t xml:space="preserve">April 2027) </w:t>
      </w:r>
      <w:r w:rsidR="05F40DA8" w:rsidRPr="40073980">
        <w:rPr>
          <w:rFonts w:asciiTheme="minorHAnsi" w:eastAsiaTheme="minorEastAsia" w:hAnsiTheme="minorHAnsi" w:cstheme="minorBidi"/>
          <w:sz w:val="22"/>
          <w:szCs w:val="22"/>
        </w:rPr>
        <w:t xml:space="preserve">compared with </w:t>
      </w:r>
      <w:r w:rsidR="523941BD" w:rsidRPr="40073980">
        <w:rPr>
          <w:rFonts w:asciiTheme="minorHAnsi" w:eastAsiaTheme="minorEastAsia" w:hAnsiTheme="minorHAnsi" w:cstheme="minorBidi"/>
          <w:sz w:val="22"/>
          <w:szCs w:val="22"/>
        </w:rPr>
        <w:t>Option 1 (</w:t>
      </w:r>
      <w:r w:rsidR="05F40DA8" w:rsidRPr="40073980">
        <w:rPr>
          <w:rFonts w:asciiTheme="minorHAnsi" w:eastAsiaTheme="minorEastAsia" w:hAnsiTheme="minorHAnsi" w:cstheme="minorBidi"/>
          <w:sz w:val="22"/>
          <w:szCs w:val="22"/>
        </w:rPr>
        <w:t>Status Quo</w:t>
      </w:r>
      <w:r w:rsidR="7DDC7DE2" w:rsidRPr="40073980">
        <w:rPr>
          <w:rFonts w:asciiTheme="minorHAnsi" w:eastAsiaTheme="minorEastAsia" w:hAnsiTheme="minorHAnsi" w:cstheme="minorBidi"/>
          <w:sz w:val="22"/>
          <w:szCs w:val="22"/>
        </w:rPr>
        <w:t>)</w:t>
      </w:r>
      <w:r w:rsidR="05F40DA8" w:rsidRPr="40073980">
        <w:rPr>
          <w:rFonts w:asciiTheme="minorHAnsi" w:eastAsiaTheme="minorEastAsia" w:hAnsiTheme="minorHAnsi" w:cstheme="minorBidi"/>
          <w:sz w:val="22"/>
          <w:szCs w:val="22"/>
        </w:rPr>
        <w:t xml:space="preserve"> </w:t>
      </w:r>
      <w:r w:rsidR="11FD9737" w:rsidRPr="40073980">
        <w:rPr>
          <w:rStyle w:val="normaltextrun"/>
          <w:rFonts w:asciiTheme="minorHAnsi" w:eastAsiaTheme="majorEastAsia" w:hAnsiTheme="minorHAnsi" w:cs="Arial"/>
          <w:sz w:val="22"/>
          <w:szCs w:val="22"/>
        </w:rPr>
        <w:t>by</w:t>
      </w:r>
      <w:r w:rsidR="00542154">
        <w:rPr>
          <w:rStyle w:val="normaltextrun"/>
          <w:rFonts w:asciiTheme="minorHAnsi" w:eastAsiaTheme="majorEastAsia" w:hAnsiTheme="minorHAnsi" w:cs="Arial"/>
          <w:sz w:val="22"/>
          <w:szCs w:val="22"/>
        </w:rPr>
        <w:t xml:space="preserve"> </w:t>
      </w:r>
      <w:r w:rsidR="00542154" w:rsidRPr="00200F33">
        <w:rPr>
          <w:rStyle w:val="normaltextrun"/>
          <w:rFonts w:asciiTheme="minorHAnsi" w:eastAsiaTheme="majorEastAsia" w:hAnsiTheme="minorHAnsi" w:cs="Arial"/>
          <w:sz w:val="22"/>
          <w:szCs w:val="22"/>
        </w:rPr>
        <w:t xml:space="preserve">moving to a model where Rebate entitlement is determined only by income, removing any </w:t>
      </w:r>
      <w:proofErr w:type="gramStart"/>
      <w:r w:rsidR="00542154" w:rsidRPr="00200F33">
        <w:rPr>
          <w:rStyle w:val="normaltextrun"/>
          <w:rFonts w:asciiTheme="minorHAnsi" w:eastAsiaTheme="majorEastAsia" w:hAnsiTheme="minorHAnsi" w:cs="Arial"/>
          <w:sz w:val="22"/>
          <w:szCs w:val="22"/>
        </w:rPr>
        <w:t>age based</w:t>
      </w:r>
      <w:proofErr w:type="gramEnd"/>
      <w:r w:rsidR="00542154" w:rsidRPr="00200F33">
        <w:rPr>
          <w:rStyle w:val="normaltextrun"/>
          <w:rFonts w:asciiTheme="minorHAnsi" w:eastAsiaTheme="majorEastAsia" w:hAnsiTheme="minorHAnsi" w:cs="Arial"/>
          <w:sz w:val="22"/>
          <w:szCs w:val="22"/>
        </w:rPr>
        <w:t xml:space="preserve"> Rebate uplifts</w:t>
      </w:r>
      <w:r w:rsidR="00542154">
        <w:rPr>
          <w:rStyle w:val="normaltextrun"/>
          <w:rFonts w:asciiTheme="minorHAnsi" w:eastAsiaTheme="majorEastAsia" w:hAnsiTheme="minorHAnsi" w:cs="Arial"/>
          <w:sz w:val="22"/>
          <w:szCs w:val="22"/>
        </w:rPr>
        <w:t xml:space="preserve">. </w:t>
      </w:r>
      <w:r w:rsidR="00542154" w:rsidDel="00192451">
        <w:rPr>
          <w:rStyle w:val="normaltextrun"/>
          <w:rFonts w:asciiTheme="minorHAnsi" w:eastAsiaTheme="majorEastAsia" w:hAnsiTheme="minorHAnsi" w:cs="Arial"/>
          <w:sz w:val="22"/>
          <w:szCs w:val="22"/>
        </w:rPr>
        <w:t xml:space="preserve">The Rebate would be simplified by </w:t>
      </w:r>
      <w:r w:rsidR="00542154" w:rsidRPr="00F06DB9" w:rsidDel="00192451">
        <w:rPr>
          <w:rStyle w:val="normaltextrun"/>
          <w:rFonts w:asciiTheme="minorHAnsi" w:eastAsiaTheme="majorEastAsia" w:hAnsiTheme="minorHAnsi" w:cs="Arial"/>
          <w:sz w:val="22"/>
          <w:szCs w:val="22"/>
        </w:rPr>
        <w:t>removing the higher Rebate for older people compared to those under 65 years earning the same incom</w:t>
      </w:r>
      <w:r w:rsidR="00542154" w:rsidRPr="00F06DB9" w:rsidDel="00192451">
        <w:rPr>
          <w:rStyle w:val="normaltextrun"/>
          <w:rFonts w:asciiTheme="minorHAnsi" w:eastAsiaTheme="majorEastAsia" w:hAnsiTheme="minorHAnsi"/>
          <w:sz w:val="22"/>
          <w:szCs w:val="22"/>
        </w:rPr>
        <w:t>e.</w:t>
      </w:r>
    </w:p>
    <w:p w14:paraId="0D688974" w14:textId="24C61595" w:rsidR="0089428A" w:rsidRPr="000861B0" w:rsidRDefault="0089428A" w:rsidP="00542154">
      <w:pPr>
        <w:pStyle w:val="paragraph"/>
        <w:spacing w:before="0" w:beforeAutospacing="0" w:after="0" w:afterAutospacing="0"/>
        <w:textAlignment w:val="baseline"/>
        <w:rPr>
          <w:rFonts w:eastAsia="Arial" w:cs="Arial"/>
          <w:color w:val="000000"/>
          <w:szCs w:val="22"/>
        </w:rPr>
      </w:pPr>
    </w:p>
    <w:p w14:paraId="56ED16A1" w14:textId="266443E5" w:rsidR="0089428A" w:rsidRPr="000861B0" w:rsidRDefault="0089428A" w:rsidP="0089428A">
      <w:pPr>
        <w:pStyle w:val="paragraph"/>
        <w:spacing w:before="0" w:beforeAutospacing="0" w:after="0" w:afterAutospacing="0"/>
        <w:textAlignment w:val="baseline"/>
        <w:rPr>
          <w:rStyle w:val="eop"/>
          <w:rFonts w:asciiTheme="minorHAnsi" w:eastAsiaTheme="majorEastAsia" w:hAnsiTheme="minorHAnsi" w:cs="Arial"/>
        </w:rPr>
      </w:pPr>
      <w:r w:rsidRPr="000861B0">
        <w:rPr>
          <w:rStyle w:val="normaltextrun"/>
          <w:rFonts w:asciiTheme="minorHAnsi" w:eastAsiaTheme="majorEastAsia" w:hAnsiTheme="minorHAnsi" w:cs="Arial"/>
          <w:sz w:val="22"/>
          <w:szCs w:val="22"/>
        </w:rPr>
        <w:t xml:space="preserve">Table </w:t>
      </w:r>
      <w:r w:rsidR="00EA4583">
        <w:rPr>
          <w:rStyle w:val="normaltextrun"/>
          <w:rFonts w:asciiTheme="minorHAnsi" w:eastAsiaTheme="majorEastAsia" w:hAnsiTheme="minorHAnsi" w:cs="Arial"/>
          <w:sz w:val="22"/>
          <w:szCs w:val="22"/>
        </w:rPr>
        <w:t>4</w:t>
      </w:r>
      <w:r w:rsidRPr="000861B0">
        <w:rPr>
          <w:rStyle w:val="normaltextrun"/>
          <w:rFonts w:asciiTheme="minorHAnsi" w:eastAsiaTheme="majorEastAsia" w:hAnsiTheme="minorHAnsi" w:cs="Arial"/>
          <w:sz w:val="22"/>
          <w:szCs w:val="22"/>
        </w:rPr>
        <w:t xml:space="preserve"> below shows the proposed changes (with changes from current arrangements in </w:t>
      </w:r>
      <w:r w:rsidRPr="004B532B">
        <w:rPr>
          <w:rStyle w:val="normaltextrun"/>
          <w:rFonts w:asciiTheme="minorHAnsi" w:eastAsiaTheme="majorEastAsia" w:hAnsiTheme="minorHAnsi" w:cs="Arial"/>
          <w:i/>
          <w:iCs/>
          <w:sz w:val="22"/>
          <w:szCs w:val="22"/>
        </w:rPr>
        <w:t>italics</w:t>
      </w:r>
      <w:r w:rsidRPr="000861B0">
        <w:rPr>
          <w:rStyle w:val="normaltextrun"/>
          <w:rFonts w:asciiTheme="minorHAnsi" w:eastAsiaTheme="majorEastAsia" w:hAnsiTheme="minorHAnsi" w:cs="Arial"/>
          <w:sz w:val="22"/>
          <w:szCs w:val="22"/>
        </w:rPr>
        <w:t>).</w:t>
      </w:r>
      <w:r w:rsidRPr="0011EF4A">
        <w:rPr>
          <w:rStyle w:val="eop"/>
          <w:rFonts w:asciiTheme="minorHAnsi" w:eastAsiaTheme="majorEastAsia" w:hAnsiTheme="minorHAnsi" w:cs="Arial"/>
        </w:rPr>
        <w:t> </w:t>
      </w:r>
    </w:p>
    <w:p w14:paraId="608A0FB4" w14:textId="4D99BE74" w:rsidR="0089428A" w:rsidRPr="000861B0" w:rsidRDefault="0089428A" w:rsidP="00EA4583">
      <w:pPr>
        <w:pStyle w:val="Heading3"/>
        <w:rPr>
          <w:rStyle w:val="eop"/>
          <w:rFonts w:asciiTheme="minorHAnsi" w:eastAsiaTheme="minorEastAsia" w:hAnsiTheme="minorHAnsi"/>
          <w:b/>
        </w:rPr>
      </w:pPr>
      <w:r w:rsidRPr="000861B0">
        <w:t xml:space="preserve">Table </w:t>
      </w:r>
      <w:r w:rsidR="00EA4583">
        <w:rPr>
          <w:bCs/>
        </w:rPr>
        <w:t>4</w:t>
      </w:r>
      <w:r w:rsidRPr="000861B0">
        <w:t xml:space="preserve">: proposed changes to PHI Rebate under </w:t>
      </w:r>
      <w:r w:rsidR="006A7EF8" w:rsidRPr="0011EF4A">
        <w:rPr>
          <w:bCs/>
        </w:rPr>
        <w:t>Option</w:t>
      </w:r>
      <w:r w:rsidR="006A7EF8">
        <w:t xml:space="preserve"> </w:t>
      </w:r>
      <w:r w:rsidR="001A63F3">
        <w:t>2</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able shows the relevant PHI income tiers and Rebate rates under Option 2. Changes to certain Rebate rates are italicised. The proposed Rebate rates for people aged 65+ are in line with those for people aged less than 65."/>
      </w:tblPr>
      <w:tblGrid>
        <w:gridCol w:w="2250"/>
        <w:gridCol w:w="1885"/>
        <w:gridCol w:w="1885"/>
        <w:gridCol w:w="1885"/>
        <w:gridCol w:w="1290"/>
      </w:tblGrid>
      <w:tr w:rsidR="00AF5C69" w:rsidRPr="000861B0" w14:paraId="251E7481" w14:textId="77777777" w:rsidTr="003726F8">
        <w:trPr>
          <w:trHeight w:val="240"/>
          <w:tblHeader/>
        </w:trPr>
        <w:tc>
          <w:tcPr>
            <w:tcW w:w="2250" w:type="dxa"/>
            <w:vAlign w:val="bottom"/>
            <w:hideMark/>
          </w:tcPr>
          <w:p w14:paraId="2B8957D7" w14:textId="77777777" w:rsidR="0089428A" w:rsidRPr="000861B0" w:rsidRDefault="0089428A" w:rsidP="00F5033E">
            <w:pPr>
              <w:keepNext/>
              <w:spacing w:after="0" w:line="240" w:lineRule="auto"/>
              <w:textAlignment w:val="baseline"/>
              <w:rPr>
                <w:rFonts w:ascii="Times New Roman" w:eastAsia="Times New Roman" w:hAnsi="Times New Roman" w:cs="Times New Roman"/>
                <w:sz w:val="24"/>
                <w:szCs w:val="24"/>
                <w:lang w:eastAsia="en-AU"/>
              </w:rPr>
            </w:pPr>
            <w:r w:rsidRPr="000861B0">
              <w:rPr>
                <w:rFonts w:ascii="Arial" w:eastAsia="Times New Roman" w:hAnsi="Arial" w:cs="Arial"/>
                <w:sz w:val="20"/>
                <w:szCs w:val="20"/>
                <w:lang w:eastAsia="en-AU"/>
              </w:rPr>
              <w:t> </w:t>
            </w:r>
          </w:p>
        </w:tc>
        <w:tc>
          <w:tcPr>
            <w:tcW w:w="6945" w:type="dxa"/>
            <w:gridSpan w:val="4"/>
            <w:shd w:val="clear" w:color="auto" w:fill="1C2B39" w:themeFill="accent1"/>
            <w:vAlign w:val="bottom"/>
            <w:hideMark/>
          </w:tcPr>
          <w:p w14:paraId="4EFB98B7" w14:textId="77777777" w:rsidR="0089428A" w:rsidRPr="000861B0" w:rsidRDefault="0089428A" w:rsidP="00F5033E">
            <w:pPr>
              <w:keepNext/>
              <w:spacing w:after="0" w:line="240" w:lineRule="auto"/>
              <w:jc w:val="center"/>
              <w:textAlignment w:val="baseline"/>
              <w:rPr>
                <w:rFonts w:ascii="Times New Roman" w:eastAsia="Times New Roman" w:hAnsi="Times New Roman" w:cs="Times New Roman"/>
                <w:sz w:val="24"/>
                <w:szCs w:val="24"/>
                <w:lang w:eastAsia="en-AU"/>
              </w:rPr>
            </w:pPr>
            <w:r w:rsidRPr="000861B0">
              <w:rPr>
                <w:rFonts w:ascii="Arial" w:eastAsia="Times New Roman" w:hAnsi="Arial" w:cs="Arial"/>
                <w:b/>
                <w:bCs/>
                <w:sz w:val="20"/>
                <w:szCs w:val="20"/>
                <w:lang w:eastAsia="en-AU"/>
              </w:rPr>
              <w:t>PHI Rebate % </w:t>
            </w:r>
            <w:r w:rsidRPr="000861B0">
              <w:rPr>
                <w:rFonts w:ascii="Arial" w:eastAsia="Times New Roman" w:hAnsi="Arial" w:cs="Arial"/>
                <w:sz w:val="20"/>
                <w:szCs w:val="20"/>
                <w:lang w:eastAsia="en-AU"/>
              </w:rPr>
              <w:t> </w:t>
            </w:r>
          </w:p>
        </w:tc>
      </w:tr>
      <w:tr w:rsidR="00E05EE3" w:rsidRPr="000861B0" w14:paraId="7C66F19E" w14:textId="77777777" w:rsidTr="003726F8">
        <w:trPr>
          <w:trHeight w:val="240"/>
          <w:tblHeader/>
        </w:trPr>
        <w:tc>
          <w:tcPr>
            <w:tcW w:w="2250" w:type="dxa"/>
            <w:vAlign w:val="bottom"/>
            <w:hideMark/>
          </w:tcPr>
          <w:p w14:paraId="1C685268" w14:textId="77777777" w:rsidR="0089428A" w:rsidRPr="000861B0" w:rsidRDefault="0089428A" w:rsidP="00F5033E">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Singles Tier threshold</w:t>
            </w:r>
          </w:p>
          <w:p w14:paraId="692E1594" w14:textId="77777777" w:rsidR="0089428A" w:rsidRPr="000861B0" w:rsidRDefault="0089428A" w:rsidP="00F5033E">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Families Tier threshold</w:t>
            </w:r>
          </w:p>
        </w:tc>
        <w:tc>
          <w:tcPr>
            <w:tcW w:w="1885" w:type="dxa"/>
            <w:vAlign w:val="bottom"/>
            <w:hideMark/>
          </w:tcPr>
          <w:p w14:paraId="27FEB8A4" w14:textId="77777777" w:rsidR="0089428A" w:rsidRPr="000861B0" w:rsidRDefault="0089428A" w:rsidP="00F5033E">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&lt;</w:t>
            </w:r>
            <w:r w:rsidRPr="000861B0">
              <w:rPr>
                <w:rFonts w:ascii="Arial" w:eastAsia="Times New Roman" w:hAnsi="Arial" w:cs="Arial"/>
                <w:sz w:val="20"/>
                <w:szCs w:val="20"/>
                <w:lang w:eastAsia="en-AU"/>
              </w:rPr>
              <w:t> $105,000 </w:t>
            </w:r>
          </w:p>
          <w:p w14:paraId="71FE384D" w14:textId="77777777" w:rsidR="0089428A" w:rsidRPr="000861B0" w:rsidRDefault="0089428A" w:rsidP="00F5033E">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&lt;</w:t>
            </w:r>
            <w:r w:rsidRPr="000861B0">
              <w:rPr>
                <w:rFonts w:ascii="Arial" w:eastAsia="Times New Roman" w:hAnsi="Arial" w:cs="Arial"/>
                <w:sz w:val="20"/>
                <w:szCs w:val="20"/>
                <w:lang w:eastAsia="en-AU"/>
              </w:rPr>
              <w:t> $210,000 </w:t>
            </w:r>
          </w:p>
        </w:tc>
        <w:tc>
          <w:tcPr>
            <w:tcW w:w="1885" w:type="dxa"/>
            <w:vAlign w:val="bottom"/>
            <w:hideMark/>
          </w:tcPr>
          <w:p w14:paraId="40C2E22D" w14:textId="77777777" w:rsidR="0089428A" w:rsidRPr="000861B0" w:rsidRDefault="0089428A" w:rsidP="00F5033E">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$105,001-123,000 </w:t>
            </w:r>
          </w:p>
          <w:p w14:paraId="0F6BAA19" w14:textId="77777777" w:rsidR="0089428A" w:rsidRPr="000861B0" w:rsidRDefault="0089428A" w:rsidP="00F5033E">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$210,001-246,000 </w:t>
            </w:r>
          </w:p>
        </w:tc>
        <w:tc>
          <w:tcPr>
            <w:tcW w:w="1885" w:type="dxa"/>
            <w:vAlign w:val="bottom"/>
            <w:hideMark/>
          </w:tcPr>
          <w:p w14:paraId="30693B14" w14:textId="77777777" w:rsidR="0089428A" w:rsidRPr="000861B0" w:rsidRDefault="0089428A" w:rsidP="00F5033E">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$123,001-164,000 </w:t>
            </w:r>
          </w:p>
          <w:p w14:paraId="500C385E" w14:textId="77777777" w:rsidR="0089428A" w:rsidRPr="000861B0" w:rsidRDefault="0089428A" w:rsidP="00F5033E">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$246,001-328,000 </w:t>
            </w:r>
          </w:p>
        </w:tc>
        <w:tc>
          <w:tcPr>
            <w:tcW w:w="1290" w:type="dxa"/>
            <w:vAlign w:val="bottom"/>
            <w:hideMark/>
          </w:tcPr>
          <w:p w14:paraId="7FDB60A3" w14:textId="77777777" w:rsidR="0089428A" w:rsidRPr="000861B0" w:rsidRDefault="0089428A" w:rsidP="00F5033E">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&gt;</w:t>
            </w:r>
            <w:r w:rsidRPr="000861B0">
              <w:rPr>
                <w:rFonts w:ascii="Arial" w:eastAsia="Times New Roman" w:hAnsi="Arial" w:cs="Arial"/>
                <w:sz w:val="20"/>
                <w:szCs w:val="20"/>
                <w:lang w:eastAsia="en-AU"/>
              </w:rPr>
              <w:t>$164,001 </w:t>
            </w:r>
          </w:p>
          <w:p w14:paraId="1E173C09" w14:textId="77777777" w:rsidR="0089428A" w:rsidRPr="000861B0" w:rsidRDefault="0089428A" w:rsidP="00F5033E">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&gt;</w:t>
            </w:r>
            <w:r w:rsidRPr="000861B0">
              <w:rPr>
                <w:rFonts w:ascii="Arial" w:eastAsia="Times New Roman" w:hAnsi="Arial" w:cs="Arial"/>
                <w:sz w:val="20"/>
                <w:szCs w:val="20"/>
                <w:lang w:eastAsia="en-AU"/>
              </w:rPr>
              <w:t>$328,001 </w:t>
            </w:r>
          </w:p>
        </w:tc>
      </w:tr>
      <w:tr w:rsidR="00E05EE3" w:rsidRPr="000861B0" w14:paraId="5D6224C9" w14:textId="77777777" w:rsidTr="003726F8">
        <w:trPr>
          <w:trHeight w:val="285"/>
          <w:tblHeader/>
        </w:trPr>
        <w:tc>
          <w:tcPr>
            <w:tcW w:w="2250" w:type="dxa"/>
            <w:vAlign w:val="bottom"/>
            <w:hideMark/>
          </w:tcPr>
          <w:p w14:paraId="14503E20" w14:textId="77777777" w:rsidR="0089428A" w:rsidRPr="000861B0" w:rsidRDefault="0089428A" w:rsidP="00F5033E">
            <w:pPr>
              <w:keepNext/>
              <w:spacing w:after="0" w:line="240" w:lineRule="auto"/>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 </w:t>
            </w:r>
          </w:p>
        </w:tc>
        <w:tc>
          <w:tcPr>
            <w:tcW w:w="1885" w:type="dxa"/>
            <w:vAlign w:val="bottom"/>
            <w:hideMark/>
          </w:tcPr>
          <w:p w14:paraId="656C11B0" w14:textId="77777777" w:rsidR="0089428A" w:rsidRPr="000861B0" w:rsidRDefault="0089428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Base Tier</w:t>
            </w:r>
            <w:r w:rsidRPr="000861B0">
              <w:rPr>
                <w:rFonts w:ascii="Arial" w:eastAsia="Times New Roman" w:hAnsi="Arial" w:cs="Arial"/>
                <w:sz w:val="20"/>
                <w:szCs w:val="20"/>
                <w:lang w:eastAsia="en-AU"/>
              </w:rPr>
              <w:t> </w:t>
            </w:r>
          </w:p>
        </w:tc>
        <w:tc>
          <w:tcPr>
            <w:tcW w:w="1885" w:type="dxa"/>
            <w:vAlign w:val="bottom"/>
            <w:hideMark/>
          </w:tcPr>
          <w:p w14:paraId="7DEF7263" w14:textId="77777777" w:rsidR="0089428A" w:rsidRPr="000861B0" w:rsidRDefault="0089428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Tier 1</w:t>
            </w:r>
            <w:r w:rsidRPr="000861B0">
              <w:rPr>
                <w:rFonts w:ascii="Arial" w:eastAsia="Times New Roman" w:hAnsi="Arial" w:cs="Arial"/>
                <w:sz w:val="20"/>
                <w:szCs w:val="20"/>
                <w:lang w:eastAsia="en-AU"/>
              </w:rPr>
              <w:t> </w:t>
            </w:r>
          </w:p>
        </w:tc>
        <w:tc>
          <w:tcPr>
            <w:tcW w:w="1885" w:type="dxa"/>
            <w:vAlign w:val="bottom"/>
            <w:hideMark/>
          </w:tcPr>
          <w:p w14:paraId="66043DEB" w14:textId="77777777" w:rsidR="0089428A" w:rsidRPr="000861B0" w:rsidRDefault="0089428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Tier 2</w:t>
            </w:r>
            <w:r w:rsidRPr="000861B0">
              <w:rPr>
                <w:rFonts w:ascii="Arial" w:eastAsia="Times New Roman" w:hAnsi="Arial" w:cs="Arial"/>
                <w:sz w:val="20"/>
                <w:szCs w:val="20"/>
                <w:lang w:eastAsia="en-AU"/>
              </w:rPr>
              <w:t> </w:t>
            </w:r>
          </w:p>
        </w:tc>
        <w:tc>
          <w:tcPr>
            <w:tcW w:w="1290" w:type="dxa"/>
            <w:vAlign w:val="bottom"/>
            <w:hideMark/>
          </w:tcPr>
          <w:p w14:paraId="4BC8473F" w14:textId="77777777" w:rsidR="0089428A" w:rsidRPr="000861B0" w:rsidRDefault="0089428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Tier 3</w:t>
            </w:r>
            <w:r w:rsidRPr="000861B0">
              <w:rPr>
                <w:rFonts w:ascii="Arial" w:eastAsia="Times New Roman" w:hAnsi="Arial" w:cs="Arial"/>
                <w:sz w:val="20"/>
                <w:szCs w:val="20"/>
                <w:lang w:eastAsia="en-AU"/>
              </w:rPr>
              <w:t> </w:t>
            </w:r>
          </w:p>
        </w:tc>
      </w:tr>
      <w:tr w:rsidR="00E05EE3" w:rsidRPr="000861B0" w14:paraId="0F419BDA" w14:textId="77777777" w:rsidTr="003726F8">
        <w:trPr>
          <w:trHeight w:val="285"/>
          <w:tblHeader/>
        </w:trPr>
        <w:tc>
          <w:tcPr>
            <w:tcW w:w="2250" w:type="dxa"/>
            <w:vAlign w:val="bottom"/>
            <w:hideMark/>
          </w:tcPr>
          <w:p w14:paraId="192A1840" w14:textId="77777777" w:rsidR="0089428A" w:rsidRPr="000861B0" w:rsidRDefault="0089428A" w:rsidP="00F5033E">
            <w:pPr>
              <w:keepNext/>
              <w:keepLines/>
              <w:spacing w:after="0" w:line="278" w:lineRule="auto"/>
              <w:rPr>
                <w:rFonts w:ascii="Arial" w:eastAsia="Arial" w:hAnsi="Arial" w:cs="Arial"/>
                <w:sz w:val="20"/>
                <w:szCs w:val="20"/>
              </w:rPr>
            </w:pPr>
            <w:r w:rsidRPr="000861B0">
              <w:rPr>
                <w:rFonts w:ascii="Arial" w:eastAsia="Times New Roman" w:hAnsi="Arial" w:cs="Arial"/>
                <w:sz w:val="20"/>
                <w:szCs w:val="20"/>
                <w:lang w:eastAsia="en-AU"/>
              </w:rPr>
              <w:t>Age &lt;65 </w:t>
            </w:r>
          </w:p>
        </w:tc>
        <w:tc>
          <w:tcPr>
            <w:tcW w:w="1885" w:type="dxa"/>
            <w:vAlign w:val="center"/>
            <w:hideMark/>
          </w:tcPr>
          <w:p w14:paraId="7EF111EF" w14:textId="4D631556" w:rsidR="0089428A" w:rsidRPr="000861B0" w:rsidRDefault="00D1343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24.118%</w:t>
            </w:r>
          </w:p>
        </w:tc>
        <w:tc>
          <w:tcPr>
            <w:tcW w:w="1885" w:type="dxa"/>
            <w:vAlign w:val="center"/>
            <w:hideMark/>
          </w:tcPr>
          <w:p w14:paraId="0149F0FE" w14:textId="59AFFE34" w:rsidR="0089428A" w:rsidRPr="000861B0" w:rsidRDefault="00D1343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16.079%</w:t>
            </w:r>
          </w:p>
        </w:tc>
        <w:tc>
          <w:tcPr>
            <w:tcW w:w="1885" w:type="dxa"/>
            <w:vAlign w:val="center"/>
            <w:hideMark/>
          </w:tcPr>
          <w:p w14:paraId="0CAEFACC" w14:textId="61F92876" w:rsidR="0089428A" w:rsidRPr="000861B0" w:rsidRDefault="00D1343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8.038%</w:t>
            </w:r>
          </w:p>
        </w:tc>
        <w:tc>
          <w:tcPr>
            <w:tcW w:w="1290" w:type="dxa"/>
            <w:vAlign w:val="center"/>
            <w:hideMark/>
          </w:tcPr>
          <w:p w14:paraId="2FD81245" w14:textId="77777777" w:rsidR="0089428A" w:rsidRPr="000861B0" w:rsidRDefault="0089428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0%</w:t>
            </w:r>
          </w:p>
        </w:tc>
      </w:tr>
      <w:tr w:rsidR="00E05EE3" w:rsidRPr="000861B0" w14:paraId="042FD0FC" w14:textId="77777777" w:rsidTr="003726F8">
        <w:trPr>
          <w:trHeight w:val="285"/>
          <w:tblHeader/>
        </w:trPr>
        <w:tc>
          <w:tcPr>
            <w:tcW w:w="2250" w:type="dxa"/>
            <w:vAlign w:val="bottom"/>
            <w:hideMark/>
          </w:tcPr>
          <w:p w14:paraId="6304AD8F" w14:textId="77777777" w:rsidR="0089428A" w:rsidRPr="000861B0" w:rsidRDefault="0089428A" w:rsidP="00F5033E">
            <w:pPr>
              <w:keepNext/>
              <w:keepLines/>
              <w:spacing w:after="0" w:line="278" w:lineRule="auto"/>
              <w:rPr>
                <w:rFonts w:ascii="Arial" w:eastAsia="Arial" w:hAnsi="Arial" w:cs="Arial"/>
                <w:sz w:val="20"/>
                <w:szCs w:val="20"/>
              </w:rPr>
            </w:pPr>
            <w:r w:rsidRPr="000861B0">
              <w:rPr>
                <w:rFonts w:ascii="Arial" w:eastAsia="Times New Roman" w:hAnsi="Arial" w:cs="Arial"/>
                <w:sz w:val="20"/>
                <w:szCs w:val="20"/>
                <w:lang w:eastAsia="en-AU"/>
              </w:rPr>
              <w:t>Age 65-69 </w:t>
            </w:r>
          </w:p>
        </w:tc>
        <w:tc>
          <w:tcPr>
            <w:tcW w:w="1885" w:type="dxa"/>
            <w:vAlign w:val="center"/>
            <w:hideMark/>
          </w:tcPr>
          <w:p w14:paraId="4583215A" w14:textId="358EF64E" w:rsidR="0089428A" w:rsidRPr="000861B0" w:rsidRDefault="00D1343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 xml:space="preserve">28.139 / </w:t>
            </w:r>
            <w:r w:rsidRPr="000861B0">
              <w:rPr>
                <w:rFonts w:ascii="Arial" w:eastAsia="Arial" w:hAnsi="Arial" w:cs="Arial"/>
                <w:i/>
                <w:iCs/>
                <w:sz w:val="20"/>
                <w:szCs w:val="20"/>
              </w:rPr>
              <w:t>24.118</w:t>
            </w:r>
            <w:r w:rsidRPr="000861B0">
              <w:rPr>
                <w:rFonts w:ascii="Arial" w:eastAsia="Arial" w:hAnsi="Arial" w:cs="Arial"/>
                <w:i/>
                <w:sz w:val="20"/>
                <w:szCs w:val="20"/>
              </w:rPr>
              <w:t>%</w:t>
            </w:r>
          </w:p>
        </w:tc>
        <w:tc>
          <w:tcPr>
            <w:tcW w:w="1885" w:type="dxa"/>
            <w:vAlign w:val="center"/>
            <w:hideMark/>
          </w:tcPr>
          <w:p w14:paraId="52A3461F" w14:textId="38E6E893" w:rsidR="0089428A" w:rsidRPr="000861B0" w:rsidRDefault="00D1343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 xml:space="preserve">20.098 / </w:t>
            </w:r>
            <w:r w:rsidRPr="000861B0">
              <w:rPr>
                <w:rFonts w:ascii="Arial" w:eastAsia="Arial" w:hAnsi="Arial" w:cs="Arial"/>
                <w:i/>
                <w:iCs/>
                <w:sz w:val="20"/>
                <w:szCs w:val="20"/>
              </w:rPr>
              <w:t>16.079</w:t>
            </w:r>
            <w:r w:rsidRPr="000861B0">
              <w:rPr>
                <w:rFonts w:ascii="Arial" w:eastAsia="Arial" w:hAnsi="Arial" w:cs="Arial"/>
                <w:i/>
                <w:sz w:val="20"/>
                <w:szCs w:val="20"/>
              </w:rPr>
              <w:t>%</w:t>
            </w:r>
          </w:p>
        </w:tc>
        <w:tc>
          <w:tcPr>
            <w:tcW w:w="1885" w:type="dxa"/>
            <w:vAlign w:val="center"/>
            <w:hideMark/>
          </w:tcPr>
          <w:p w14:paraId="5CC5F797" w14:textId="613AD286" w:rsidR="0089428A" w:rsidRPr="000861B0" w:rsidRDefault="00D1343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 xml:space="preserve">12.058 / </w:t>
            </w:r>
            <w:r w:rsidRPr="000861B0">
              <w:rPr>
                <w:rFonts w:ascii="Arial" w:eastAsia="Arial" w:hAnsi="Arial" w:cs="Arial"/>
                <w:i/>
                <w:iCs/>
                <w:sz w:val="20"/>
                <w:szCs w:val="20"/>
              </w:rPr>
              <w:t>8.038%</w:t>
            </w:r>
          </w:p>
        </w:tc>
        <w:tc>
          <w:tcPr>
            <w:tcW w:w="1290" w:type="dxa"/>
            <w:vAlign w:val="center"/>
            <w:hideMark/>
          </w:tcPr>
          <w:p w14:paraId="31B83E03" w14:textId="77777777" w:rsidR="0089428A" w:rsidRPr="000861B0" w:rsidRDefault="0089428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0%</w:t>
            </w:r>
          </w:p>
        </w:tc>
      </w:tr>
      <w:tr w:rsidR="00E05EE3" w:rsidRPr="000861B0" w14:paraId="2D6D5D58" w14:textId="77777777" w:rsidTr="003726F8">
        <w:trPr>
          <w:trHeight w:val="285"/>
          <w:tblHeader/>
        </w:trPr>
        <w:tc>
          <w:tcPr>
            <w:tcW w:w="2250" w:type="dxa"/>
            <w:vAlign w:val="bottom"/>
            <w:hideMark/>
          </w:tcPr>
          <w:p w14:paraId="3971097F" w14:textId="77777777" w:rsidR="0089428A" w:rsidRPr="000861B0" w:rsidRDefault="0089428A" w:rsidP="00F5033E">
            <w:pPr>
              <w:keepNext/>
              <w:keepLines/>
              <w:spacing w:after="0" w:line="278" w:lineRule="auto"/>
              <w:rPr>
                <w:rFonts w:ascii="Arial" w:eastAsia="Arial" w:hAnsi="Arial" w:cs="Arial"/>
                <w:sz w:val="20"/>
                <w:szCs w:val="20"/>
              </w:rPr>
            </w:pPr>
            <w:r w:rsidRPr="000861B0">
              <w:rPr>
                <w:rFonts w:ascii="Arial" w:eastAsia="Times New Roman" w:hAnsi="Arial" w:cs="Arial"/>
                <w:sz w:val="20"/>
                <w:szCs w:val="20"/>
                <w:lang w:eastAsia="en-AU"/>
              </w:rPr>
              <w:t>Age 70+ </w:t>
            </w:r>
          </w:p>
        </w:tc>
        <w:tc>
          <w:tcPr>
            <w:tcW w:w="1885" w:type="dxa"/>
            <w:vAlign w:val="center"/>
            <w:hideMark/>
          </w:tcPr>
          <w:p w14:paraId="40861E96" w14:textId="4DD77EA4" w:rsidR="0089428A" w:rsidRPr="000861B0" w:rsidRDefault="00D1343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 xml:space="preserve">32.158 / </w:t>
            </w:r>
            <w:r w:rsidRPr="000861B0">
              <w:rPr>
                <w:rFonts w:ascii="Arial" w:eastAsia="Arial" w:hAnsi="Arial" w:cs="Arial"/>
                <w:i/>
                <w:iCs/>
                <w:sz w:val="20"/>
                <w:szCs w:val="20"/>
              </w:rPr>
              <w:t>24.118</w:t>
            </w:r>
            <w:r w:rsidRPr="000861B0">
              <w:rPr>
                <w:rFonts w:ascii="Arial" w:eastAsia="Arial" w:hAnsi="Arial" w:cs="Arial"/>
                <w:i/>
                <w:sz w:val="20"/>
                <w:szCs w:val="20"/>
              </w:rPr>
              <w:t>%</w:t>
            </w:r>
          </w:p>
        </w:tc>
        <w:tc>
          <w:tcPr>
            <w:tcW w:w="1885" w:type="dxa"/>
            <w:vAlign w:val="center"/>
            <w:hideMark/>
          </w:tcPr>
          <w:p w14:paraId="745024F9" w14:textId="3DB9A5F1" w:rsidR="0089428A" w:rsidRPr="000861B0" w:rsidRDefault="00D1343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 xml:space="preserve">24.118 / </w:t>
            </w:r>
            <w:r w:rsidRPr="000861B0">
              <w:rPr>
                <w:rFonts w:ascii="Arial" w:eastAsia="Arial" w:hAnsi="Arial" w:cs="Arial"/>
                <w:i/>
                <w:iCs/>
                <w:sz w:val="20"/>
                <w:szCs w:val="20"/>
              </w:rPr>
              <w:t>16.079</w:t>
            </w:r>
            <w:r w:rsidRPr="000861B0">
              <w:rPr>
                <w:rFonts w:ascii="Arial" w:eastAsia="Arial" w:hAnsi="Arial" w:cs="Arial"/>
                <w:i/>
                <w:sz w:val="20"/>
                <w:szCs w:val="20"/>
              </w:rPr>
              <w:t>%</w:t>
            </w:r>
          </w:p>
        </w:tc>
        <w:tc>
          <w:tcPr>
            <w:tcW w:w="1885" w:type="dxa"/>
            <w:vAlign w:val="center"/>
            <w:hideMark/>
          </w:tcPr>
          <w:p w14:paraId="41A76569" w14:textId="0DED403F" w:rsidR="0089428A" w:rsidRPr="000861B0" w:rsidRDefault="00D1343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16.079</w:t>
            </w:r>
            <w:r w:rsidRPr="000861B0">
              <w:rPr>
                <w:rFonts w:ascii="Arial" w:eastAsia="Arial" w:hAnsi="Arial" w:cs="Arial"/>
                <w:i/>
                <w:sz w:val="20"/>
                <w:szCs w:val="20"/>
              </w:rPr>
              <w:t xml:space="preserve"> </w:t>
            </w:r>
            <w:r w:rsidRPr="000861B0">
              <w:rPr>
                <w:rFonts w:ascii="Arial" w:eastAsia="Arial" w:hAnsi="Arial" w:cs="Arial"/>
                <w:iCs/>
                <w:sz w:val="20"/>
                <w:szCs w:val="20"/>
              </w:rPr>
              <w:t>/</w:t>
            </w:r>
            <w:r w:rsidRPr="000861B0">
              <w:rPr>
                <w:rFonts w:ascii="Arial" w:eastAsia="Arial" w:hAnsi="Arial" w:cs="Arial"/>
                <w:i/>
                <w:sz w:val="20"/>
                <w:szCs w:val="20"/>
              </w:rPr>
              <w:t xml:space="preserve"> </w:t>
            </w:r>
            <w:r w:rsidRPr="000861B0">
              <w:rPr>
                <w:rFonts w:ascii="Arial" w:eastAsia="Arial" w:hAnsi="Arial" w:cs="Arial"/>
                <w:i/>
                <w:iCs/>
                <w:sz w:val="20"/>
                <w:szCs w:val="20"/>
              </w:rPr>
              <w:t>8.038%</w:t>
            </w:r>
          </w:p>
        </w:tc>
        <w:tc>
          <w:tcPr>
            <w:tcW w:w="1290" w:type="dxa"/>
            <w:vAlign w:val="center"/>
            <w:hideMark/>
          </w:tcPr>
          <w:p w14:paraId="4DEA37D9" w14:textId="77777777" w:rsidR="0089428A" w:rsidRPr="000861B0" w:rsidRDefault="0089428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0%</w:t>
            </w:r>
          </w:p>
        </w:tc>
      </w:tr>
    </w:tbl>
    <w:p w14:paraId="57A2C6D1" w14:textId="21A7B65E" w:rsidR="0089428A" w:rsidRPr="005F2C3C" w:rsidRDefault="00D7052E" w:rsidP="005F2C3C">
      <w:pPr>
        <w:pStyle w:val="CABNETParagraph"/>
        <w:spacing w:before="0"/>
        <w:rPr>
          <w:rFonts w:cstheme="minorBidi"/>
          <w:sz w:val="18"/>
          <w:szCs w:val="18"/>
        </w:rPr>
      </w:pPr>
      <w:r w:rsidRPr="000861B0">
        <w:rPr>
          <w:rFonts w:cstheme="minorBidi"/>
          <w:sz w:val="18"/>
          <w:szCs w:val="18"/>
        </w:rPr>
        <w:t xml:space="preserve">Income tiers </w:t>
      </w:r>
      <w:r>
        <w:rPr>
          <w:rFonts w:cstheme="minorBidi"/>
          <w:sz w:val="18"/>
          <w:szCs w:val="18"/>
        </w:rPr>
        <w:t xml:space="preserve">presented are </w:t>
      </w:r>
      <w:r w:rsidRPr="000861B0">
        <w:rPr>
          <w:rFonts w:cstheme="minorBidi"/>
          <w:sz w:val="18"/>
          <w:szCs w:val="18"/>
        </w:rPr>
        <w:t xml:space="preserve">current for 1 July 2026 to 30 June 2027 and </w:t>
      </w:r>
      <w:r>
        <w:rPr>
          <w:rFonts w:cstheme="minorBidi"/>
          <w:sz w:val="18"/>
          <w:szCs w:val="18"/>
        </w:rPr>
        <w:t xml:space="preserve">are </w:t>
      </w:r>
      <w:r w:rsidRPr="000861B0">
        <w:rPr>
          <w:rFonts w:cstheme="minorBidi"/>
          <w:sz w:val="18"/>
          <w:szCs w:val="18"/>
        </w:rPr>
        <w:t xml:space="preserve">subject to annual indexation on 1 July based on changes in AWOTE. </w:t>
      </w:r>
      <w:r w:rsidR="00FC3A6F" w:rsidRPr="000861B0">
        <w:rPr>
          <w:rFonts w:cstheme="minorBidi"/>
          <w:sz w:val="18"/>
          <w:szCs w:val="18"/>
        </w:rPr>
        <w:t xml:space="preserve">The reset </w:t>
      </w:r>
      <w:r w:rsidR="00FC3A6F" w:rsidRPr="000861B0">
        <w:rPr>
          <w:sz w:val="18"/>
          <w:szCs w:val="18"/>
        </w:rPr>
        <w:t xml:space="preserve">Rebate rates would be subject to annual indexation through the RAF on 1 April 2028 </w:t>
      </w:r>
      <w:r w:rsidR="00FC3A6F" w:rsidRPr="000861B0">
        <w:rPr>
          <w:sz w:val="18"/>
          <w:szCs w:val="18"/>
        </w:rPr>
        <w:lastRenderedPageBreak/>
        <w:t xml:space="preserve">and subsequent years based on the difference between the CPI and the industry weighted average premium increase (however, the RAF would </w:t>
      </w:r>
      <w:r>
        <w:rPr>
          <w:sz w:val="18"/>
          <w:szCs w:val="18"/>
        </w:rPr>
        <w:t>be set to 1</w:t>
      </w:r>
      <w:r w:rsidRPr="000861B0">
        <w:rPr>
          <w:sz w:val="18"/>
          <w:szCs w:val="18"/>
        </w:rPr>
        <w:t xml:space="preserve"> </w:t>
      </w:r>
      <w:r>
        <w:rPr>
          <w:sz w:val="18"/>
          <w:szCs w:val="18"/>
        </w:rPr>
        <w:t xml:space="preserve">for </w:t>
      </w:r>
      <w:r w:rsidR="00FC3A6F" w:rsidRPr="000861B0">
        <w:rPr>
          <w:sz w:val="18"/>
          <w:szCs w:val="18"/>
        </w:rPr>
        <w:t>1 April 2027</w:t>
      </w:r>
      <w:r w:rsidR="008353ED">
        <w:rPr>
          <w:sz w:val="18"/>
          <w:szCs w:val="18"/>
        </w:rPr>
        <w:t xml:space="preserve"> to provide certainty of the rates to apply on 1 April 2027</w:t>
      </w:r>
      <w:r w:rsidR="00FC3A6F" w:rsidRPr="000861B0">
        <w:rPr>
          <w:sz w:val="18"/>
          <w:szCs w:val="18"/>
        </w:rPr>
        <w:t>).</w:t>
      </w:r>
      <w:r w:rsidR="0089428A" w:rsidRPr="000861B0">
        <w:rPr>
          <w:rFonts w:eastAsia="Times New Roman" w:cs="Arial"/>
          <w:sz w:val="18"/>
          <w:szCs w:val="18"/>
          <w:lang w:eastAsia="en-AU"/>
        </w:rPr>
        <w:t> </w:t>
      </w:r>
    </w:p>
    <w:p w14:paraId="386D2A42" w14:textId="535DDF16" w:rsidR="00F81E20" w:rsidRDefault="00F81E20" w:rsidP="00F5033E">
      <w:pPr>
        <w:pStyle w:val="CABNETParagraph"/>
        <w:keepNext/>
        <w:spacing w:before="0"/>
        <w:rPr>
          <w:rStyle w:val="normaltextrun"/>
          <w:rFonts w:asciiTheme="minorHAnsi" w:eastAsiaTheme="majorEastAsia" w:hAnsiTheme="minorHAnsi" w:cs="Arial"/>
        </w:rPr>
      </w:pPr>
      <w:r>
        <w:rPr>
          <w:rStyle w:val="normaltextrun"/>
          <w:rFonts w:asciiTheme="minorHAnsi" w:eastAsiaTheme="majorEastAsia" w:hAnsiTheme="minorHAnsi" w:cs="Arial"/>
        </w:rPr>
        <w:t xml:space="preserve">This option would address the policy objective of </w:t>
      </w:r>
      <w:r w:rsidR="00BD01DA">
        <w:rPr>
          <w:rStyle w:val="normaltextrun"/>
          <w:rFonts w:asciiTheme="minorHAnsi" w:eastAsiaTheme="majorEastAsia" w:hAnsiTheme="minorHAnsi" w:cs="Arial"/>
        </w:rPr>
        <w:t>ensuring the Rebate is equitably targeted</w:t>
      </w:r>
      <w:r w:rsidR="00181CBD">
        <w:rPr>
          <w:rStyle w:val="normaltextrun"/>
          <w:rFonts w:asciiTheme="minorHAnsi" w:eastAsiaTheme="majorEastAsia" w:hAnsiTheme="minorHAnsi" w:cs="Arial"/>
        </w:rPr>
        <w:t xml:space="preserve"> by ensuring the Rebate is only set with reference to income, not age. </w:t>
      </w:r>
      <w:r w:rsidR="00181CBD" w:rsidRPr="001F76C7">
        <w:rPr>
          <w:rStyle w:val="normaltextrun"/>
          <w:rFonts w:asciiTheme="minorHAnsi" w:eastAsiaTheme="majorEastAsia" w:hAnsiTheme="minorHAnsi" w:cs="Arial"/>
        </w:rPr>
        <w:t xml:space="preserve">This option </w:t>
      </w:r>
      <w:r w:rsidR="00A66090">
        <w:rPr>
          <w:rStyle w:val="normaltextrun"/>
          <w:rFonts w:asciiTheme="minorHAnsi" w:eastAsiaTheme="majorEastAsia" w:hAnsiTheme="minorHAnsi" w:cs="Arial"/>
        </w:rPr>
        <w:t xml:space="preserve">better targets </w:t>
      </w:r>
      <w:r w:rsidR="00971BC8" w:rsidRPr="001F76C7">
        <w:rPr>
          <w:rStyle w:val="normaltextrun"/>
          <w:rFonts w:asciiTheme="minorHAnsi" w:eastAsiaTheme="majorEastAsia" w:hAnsiTheme="minorHAnsi" w:cs="Arial"/>
        </w:rPr>
        <w:t xml:space="preserve">the Rebate </w:t>
      </w:r>
      <w:r w:rsidR="00A66090">
        <w:rPr>
          <w:rStyle w:val="normaltextrun"/>
          <w:rFonts w:asciiTheme="minorHAnsi" w:eastAsiaTheme="majorEastAsia" w:hAnsiTheme="minorHAnsi" w:cs="Arial"/>
        </w:rPr>
        <w:t>to</w:t>
      </w:r>
      <w:r w:rsidR="00971BC8" w:rsidRPr="001F76C7">
        <w:rPr>
          <w:rStyle w:val="normaltextrun"/>
          <w:rFonts w:asciiTheme="minorHAnsi" w:eastAsiaTheme="majorEastAsia" w:hAnsiTheme="minorHAnsi" w:cs="Arial"/>
        </w:rPr>
        <w:t xml:space="preserve"> </w:t>
      </w:r>
      <w:r w:rsidR="00325D25" w:rsidRPr="001F76C7">
        <w:rPr>
          <w:rStyle w:val="normaltextrun"/>
          <w:rFonts w:asciiTheme="minorHAnsi" w:eastAsiaTheme="majorEastAsia" w:hAnsiTheme="minorHAnsi" w:cs="Arial"/>
        </w:rPr>
        <w:t xml:space="preserve">cohorts </w:t>
      </w:r>
      <w:r w:rsidR="00986804" w:rsidRPr="0011EF4A">
        <w:rPr>
          <w:rStyle w:val="normaltextrun"/>
          <w:rFonts w:asciiTheme="minorHAnsi" w:eastAsiaTheme="majorEastAsia" w:hAnsiTheme="minorHAnsi" w:cs="Arial"/>
        </w:rPr>
        <w:t>where</w:t>
      </w:r>
      <w:r w:rsidR="00986804" w:rsidRPr="001F76C7">
        <w:rPr>
          <w:rStyle w:val="normaltextrun"/>
          <w:rFonts w:asciiTheme="minorHAnsi" w:eastAsiaTheme="majorEastAsia" w:hAnsiTheme="minorHAnsi" w:cs="Arial"/>
        </w:rPr>
        <w:t xml:space="preserve"> it is likely to </w:t>
      </w:r>
      <w:r w:rsidR="00135943">
        <w:rPr>
          <w:rStyle w:val="normaltextrun"/>
          <w:rFonts w:asciiTheme="minorHAnsi" w:eastAsiaTheme="majorEastAsia" w:hAnsiTheme="minorHAnsi" w:cs="Arial"/>
        </w:rPr>
        <w:t xml:space="preserve">support </w:t>
      </w:r>
      <w:r w:rsidR="00986804" w:rsidRPr="001F76C7">
        <w:rPr>
          <w:rStyle w:val="normaltextrun"/>
          <w:rFonts w:asciiTheme="minorHAnsi" w:eastAsiaTheme="majorEastAsia" w:hAnsiTheme="minorHAnsi" w:cs="Arial"/>
        </w:rPr>
        <w:t>decisions to hold PHI</w:t>
      </w:r>
      <w:r w:rsidR="00AC6C42" w:rsidRPr="001F76C7">
        <w:rPr>
          <w:rStyle w:val="normaltextrun"/>
          <w:rFonts w:asciiTheme="minorHAnsi" w:eastAsiaTheme="majorEastAsia" w:hAnsiTheme="minorHAnsi" w:cs="Arial"/>
        </w:rPr>
        <w:t xml:space="preserve">, </w:t>
      </w:r>
      <w:r w:rsidR="007E39A9" w:rsidRPr="001F76C7">
        <w:rPr>
          <w:rStyle w:val="normaltextrun"/>
          <w:rFonts w:asciiTheme="minorHAnsi" w:eastAsiaTheme="majorEastAsia" w:hAnsiTheme="minorHAnsi" w:cs="Arial"/>
        </w:rPr>
        <w:t>as</w:t>
      </w:r>
      <w:r w:rsidR="00AC6C42" w:rsidRPr="001F76C7">
        <w:rPr>
          <w:rStyle w:val="normaltextrun"/>
          <w:rFonts w:asciiTheme="minorHAnsi" w:eastAsiaTheme="majorEastAsia" w:hAnsiTheme="minorHAnsi" w:cs="Arial"/>
        </w:rPr>
        <w:t xml:space="preserve"> </w:t>
      </w:r>
      <w:r w:rsidR="003105F8">
        <w:rPr>
          <w:rStyle w:val="normaltextrun"/>
          <w:rFonts w:asciiTheme="minorHAnsi" w:eastAsiaTheme="majorEastAsia" w:hAnsiTheme="minorHAnsi" w:cs="Arial"/>
        </w:rPr>
        <w:t xml:space="preserve">most </w:t>
      </w:r>
      <w:r w:rsidR="00D102E2" w:rsidRPr="001F76C7">
        <w:rPr>
          <w:rStyle w:val="normaltextrun"/>
          <w:rFonts w:asciiTheme="minorHAnsi" w:eastAsiaTheme="majorEastAsia" w:hAnsiTheme="minorHAnsi" w:cs="Arial"/>
        </w:rPr>
        <w:t xml:space="preserve">older Australians </w:t>
      </w:r>
      <w:r w:rsidR="0079616D">
        <w:rPr>
          <w:rStyle w:val="normaltextrun"/>
          <w:rFonts w:asciiTheme="minorHAnsi" w:eastAsiaTheme="majorEastAsia" w:hAnsiTheme="minorHAnsi" w:cs="Arial"/>
        </w:rPr>
        <w:t xml:space="preserve">are likely to </w:t>
      </w:r>
      <w:r w:rsidR="00D102E2" w:rsidRPr="001F76C7">
        <w:rPr>
          <w:rStyle w:val="normaltextrun"/>
          <w:rFonts w:asciiTheme="minorHAnsi" w:eastAsiaTheme="majorEastAsia" w:hAnsiTheme="minorHAnsi" w:cs="Arial"/>
        </w:rPr>
        <w:t xml:space="preserve">continue to </w:t>
      </w:r>
      <w:r w:rsidR="003741B5" w:rsidRPr="0011EF4A">
        <w:rPr>
          <w:rStyle w:val="normaltextrun"/>
          <w:rFonts w:asciiTheme="minorHAnsi" w:eastAsiaTheme="majorEastAsia" w:hAnsiTheme="minorHAnsi" w:cs="Arial"/>
        </w:rPr>
        <w:t>hold</w:t>
      </w:r>
      <w:r w:rsidR="00D102E2" w:rsidRPr="0011EF4A">
        <w:rPr>
          <w:rStyle w:val="normaltextrun"/>
          <w:rFonts w:asciiTheme="minorHAnsi" w:eastAsiaTheme="majorEastAsia" w:hAnsiTheme="minorHAnsi" w:cs="Arial"/>
        </w:rPr>
        <w:t xml:space="preserve"> PHI</w:t>
      </w:r>
      <w:r w:rsidR="00D102E2" w:rsidRPr="001F76C7">
        <w:rPr>
          <w:rStyle w:val="normaltextrun"/>
          <w:rFonts w:asciiTheme="minorHAnsi" w:eastAsiaTheme="majorEastAsia" w:hAnsiTheme="minorHAnsi" w:cs="Arial"/>
        </w:rPr>
        <w:t xml:space="preserve"> </w:t>
      </w:r>
      <w:r w:rsidR="007E39A9" w:rsidRPr="001F76C7">
        <w:rPr>
          <w:rStyle w:val="normaltextrun"/>
          <w:rFonts w:asciiTheme="minorHAnsi" w:eastAsiaTheme="majorEastAsia" w:hAnsiTheme="minorHAnsi" w:cs="Arial"/>
        </w:rPr>
        <w:t>despite a reduction in the Rebate</w:t>
      </w:r>
      <w:r w:rsidR="00D03690">
        <w:rPr>
          <w:rStyle w:val="normaltextrun"/>
          <w:rFonts w:asciiTheme="minorHAnsi" w:eastAsiaTheme="majorEastAsia" w:hAnsiTheme="minorHAnsi" w:cs="Arial"/>
        </w:rPr>
        <w:t>,</w:t>
      </w:r>
      <w:r w:rsidR="00B00190" w:rsidRPr="001F76C7">
        <w:rPr>
          <w:rStyle w:val="normaltextrun"/>
          <w:rFonts w:asciiTheme="minorHAnsi" w:eastAsiaTheme="majorEastAsia" w:hAnsiTheme="minorHAnsi" w:cs="Arial"/>
        </w:rPr>
        <w:t xml:space="preserve"> </w:t>
      </w:r>
      <w:r w:rsidR="00177AAD" w:rsidRPr="00177AAD">
        <w:rPr>
          <w:rStyle w:val="normaltextrun"/>
          <w:rFonts w:asciiTheme="minorHAnsi" w:eastAsiaTheme="majorEastAsia" w:hAnsiTheme="minorHAnsi" w:cs="Arial"/>
        </w:rPr>
        <w:t xml:space="preserve">given they are significant beneficiaries of the system </w:t>
      </w:r>
      <w:r w:rsidR="00551169" w:rsidRPr="001F76C7">
        <w:rPr>
          <w:rStyle w:val="normaltextrun"/>
          <w:rFonts w:asciiTheme="minorHAnsi" w:eastAsiaTheme="majorEastAsia" w:hAnsiTheme="minorHAnsi" w:cs="Arial"/>
        </w:rPr>
        <w:t>(</w:t>
      </w:r>
      <w:r w:rsidR="006754C2">
        <w:rPr>
          <w:rStyle w:val="normaltextrun"/>
          <w:rFonts w:asciiTheme="minorHAnsi" w:eastAsiaTheme="majorEastAsia" w:hAnsiTheme="minorHAnsi" w:cs="Arial"/>
        </w:rPr>
        <w:t xml:space="preserve">see </w:t>
      </w:r>
      <w:r w:rsidR="00551169" w:rsidRPr="001F76C7">
        <w:rPr>
          <w:rStyle w:val="normaltextrun"/>
          <w:rFonts w:asciiTheme="minorHAnsi" w:eastAsiaTheme="majorEastAsia" w:hAnsiTheme="minorHAnsi" w:cs="Arial"/>
        </w:rPr>
        <w:t xml:space="preserve">Table </w:t>
      </w:r>
      <w:r w:rsidR="00C51C80">
        <w:rPr>
          <w:rStyle w:val="normaltextrun"/>
          <w:rFonts w:asciiTheme="minorHAnsi" w:eastAsiaTheme="majorEastAsia" w:hAnsiTheme="minorHAnsi" w:cs="Arial"/>
        </w:rPr>
        <w:t>1</w:t>
      </w:r>
      <w:r w:rsidR="00562FC4">
        <w:rPr>
          <w:rStyle w:val="normaltextrun"/>
          <w:rFonts w:asciiTheme="minorHAnsi" w:eastAsiaTheme="majorEastAsia" w:hAnsiTheme="minorHAnsi" w:cs="Arial"/>
        </w:rPr>
        <w:t>8</w:t>
      </w:r>
      <w:r w:rsidR="00551169" w:rsidRPr="001F76C7">
        <w:rPr>
          <w:rStyle w:val="normaltextrun"/>
          <w:rFonts w:asciiTheme="minorHAnsi" w:eastAsiaTheme="majorEastAsia" w:hAnsiTheme="minorHAnsi" w:cs="Arial"/>
        </w:rPr>
        <w:t>)</w:t>
      </w:r>
      <w:r w:rsidR="007E39A9" w:rsidRPr="001F76C7">
        <w:rPr>
          <w:rStyle w:val="normaltextrun"/>
          <w:rFonts w:asciiTheme="minorHAnsi" w:eastAsiaTheme="majorEastAsia" w:hAnsiTheme="minorHAnsi" w:cs="Arial"/>
        </w:rPr>
        <w:t>.</w:t>
      </w:r>
      <w:r w:rsidR="0057093D">
        <w:rPr>
          <w:rStyle w:val="normaltextrun"/>
          <w:rFonts w:asciiTheme="minorHAnsi" w:eastAsiaTheme="majorEastAsia" w:hAnsiTheme="minorHAnsi" w:cs="Arial"/>
        </w:rPr>
        <w:t xml:space="preserve"> </w:t>
      </w:r>
    </w:p>
    <w:p w14:paraId="61B31222" w14:textId="7FBB514F" w:rsidR="009526AE" w:rsidRDefault="009526AE" w:rsidP="009526AE">
      <w:pPr>
        <w:pStyle w:val="paragraph"/>
        <w:spacing w:before="0" w:beforeAutospacing="0" w:after="0" w:afterAutospacing="0"/>
        <w:textAlignment w:val="baseline"/>
        <w:rPr>
          <w:rStyle w:val="normaltextrun"/>
          <w:rFonts w:asciiTheme="minorHAnsi" w:eastAsiaTheme="majorEastAsia" w:hAnsiTheme="minorHAnsi" w:cs="Arial"/>
          <w:sz w:val="22"/>
          <w:szCs w:val="22"/>
        </w:rPr>
      </w:pPr>
      <w:r>
        <w:rPr>
          <w:rStyle w:val="normaltextrun"/>
          <w:rFonts w:asciiTheme="minorHAnsi" w:eastAsiaTheme="majorEastAsia" w:hAnsiTheme="minorHAnsi" w:cs="Arial"/>
          <w:sz w:val="22"/>
          <w:szCs w:val="22"/>
        </w:rPr>
        <w:t>Figure 3 below shows the average PHI benefits paid per person compared with average premiums after the Rebate for the Base income Tier</w:t>
      </w:r>
      <w:r w:rsidR="00281EDB">
        <w:rPr>
          <w:rStyle w:val="normaltextrun"/>
          <w:rFonts w:asciiTheme="minorHAnsi" w:eastAsiaTheme="majorEastAsia" w:hAnsiTheme="minorHAnsi" w:cs="Arial"/>
          <w:sz w:val="22"/>
          <w:szCs w:val="22"/>
        </w:rPr>
        <w:t xml:space="preserve"> (noting </w:t>
      </w:r>
      <w:proofErr w:type="gramStart"/>
      <w:r w:rsidR="00281EDB">
        <w:rPr>
          <w:rStyle w:val="normaltextrun"/>
          <w:rFonts w:asciiTheme="minorHAnsi" w:eastAsiaTheme="majorEastAsia" w:hAnsiTheme="minorHAnsi" w:cs="Arial"/>
          <w:sz w:val="22"/>
          <w:szCs w:val="22"/>
        </w:rPr>
        <w:t>the majority of</w:t>
      </w:r>
      <w:proofErr w:type="gramEnd"/>
      <w:r w:rsidR="00281EDB">
        <w:rPr>
          <w:rStyle w:val="normaltextrun"/>
          <w:rFonts w:asciiTheme="minorHAnsi" w:eastAsiaTheme="majorEastAsia" w:hAnsiTheme="minorHAnsi" w:cs="Arial"/>
          <w:sz w:val="22"/>
          <w:szCs w:val="22"/>
        </w:rPr>
        <w:t xml:space="preserve"> insured people are in this tier)</w:t>
      </w:r>
      <w:r>
        <w:rPr>
          <w:rStyle w:val="normaltextrun"/>
          <w:rFonts w:asciiTheme="minorHAnsi" w:eastAsiaTheme="majorEastAsia" w:hAnsiTheme="minorHAnsi" w:cs="Arial"/>
          <w:sz w:val="22"/>
          <w:szCs w:val="22"/>
        </w:rPr>
        <w:t xml:space="preserve">. </w:t>
      </w:r>
    </w:p>
    <w:p w14:paraId="33CBAAFD" w14:textId="580BF4A6" w:rsidR="00956BBC" w:rsidRPr="007010B1" w:rsidRDefault="00956BBC" w:rsidP="00956BBC">
      <w:pPr>
        <w:pStyle w:val="Heading3"/>
      </w:pPr>
      <w:r w:rsidRPr="007010B1">
        <w:t xml:space="preserve">Figure </w:t>
      </w:r>
      <w:r>
        <w:t>3</w:t>
      </w:r>
      <w:r w:rsidRPr="007010B1">
        <w:t xml:space="preserve">: </w:t>
      </w:r>
      <w:r>
        <w:t>Average PHI benefits paid per person by age compared with average premium for a single by product tier (after Rebate under Option 2 for Base income Tier)</w:t>
      </w:r>
    </w:p>
    <w:p w14:paraId="0FF2D5B9" w14:textId="35376E18" w:rsidR="00E64C65" w:rsidRDefault="00E64C65" w:rsidP="00956BBC">
      <w:pPr>
        <w:spacing w:after="0" w:line="240" w:lineRule="auto"/>
        <w:rPr>
          <w:noProof/>
        </w:rPr>
      </w:pPr>
      <w:r>
        <w:rPr>
          <w:noProof/>
        </w:rPr>
        <w:drawing>
          <wp:inline distT="0" distB="0" distL="0" distR="0" wp14:anchorId="34159E3A" wp14:editId="0099D08F">
            <wp:extent cx="6035040" cy="2869106"/>
            <wp:effectExtent l="0" t="0" r="3810" b="7620"/>
            <wp:docPr id="1287357239" name="Picture 3" descr="Chart demonstrating the cost of average benefits and average premiums after the Rebate, by age. Average benefits is below average premiums till approximately 50-54, then rapidly increases and is higher than average premiums for people aged 65 and over. Average premiums after the rebate do not change based on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57239" name="Picture 3" descr="Chart demonstrating the cost of average benefits and average premiums after the Rebate, by age. Average benefits is below average premiums till approximately 50-54, then rapidly increases and is higher than average premiums for people aged 65 and over. Average premiums after the rebate do not change based on 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0823" cy="2876609"/>
                    </a:xfrm>
                    <a:prstGeom prst="rect">
                      <a:avLst/>
                    </a:prstGeom>
                    <a:noFill/>
                  </pic:spPr>
                </pic:pic>
              </a:graphicData>
            </a:graphic>
          </wp:inline>
        </w:drawing>
      </w:r>
    </w:p>
    <w:p w14:paraId="622AD19A" w14:textId="7628A29A" w:rsidR="00956BBC" w:rsidRDefault="00956BBC" w:rsidP="00956BBC">
      <w:pPr>
        <w:spacing w:after="0" w:line="240" w:lineRule="auto"/>
        <w:rPr>
          <w:sz w:val="16"/>
          <w:szCs w:val="16"/>
        </w:rPr>
      </w:pPr>
      <w:r w:rsidRPr="000861B0">
        <w:rPr>
          <w:sz w:val="16"/>
          <w:szCs w:val="16"/>
        </w:rPr>
        <w:t>Source: Average benefits – APRA quarterly PHI data (</w:t>
      </w:r>
      <w:r w:rsidRPr="000861B0">
        <w:rPr>
          <w:sz w:val="16"/>
          <w:szCs w:val="16"/>
          <w:lang w:val="en-GB"/>
        </w:rPr>
        <w:t xml:space="preserve">benefits paid are calculated for the 12 months to </w:t>
      </w:r>
      <w:r>
        <w:rPr>
          <w:sz w:val="16"/>
          <w:szCs w:val="16"/>
          <w:lang w:val="en-GB"/>
        </w:rPr>
        <w:t>December</w:t>
      </w:r>
      <w:r w:rsidRPr="000861B0">
        <w:rPr>
          <w:sz w:val="16"/>
          <w:szCs w:val="16"/>
          <w:lang w:val="en-GB"/>
        </w:rPr>
        <w:t xml:space="preserve"> 2025</w:t>
      </w:r>
      <w:r>
        <w:rPr>
          <w:sz w:val="16"/>
          <w:szCs w:val="16"/>
          <w:lang w:val="en-GB"/>
        </w:rPr>
        <w:t xml:space="preserve"> and i</w:t>
      </w:r>
      <w:r w:rsidRPr="000861B0">
        <w:rPr>
          <w:sz w:val="16"/>
          <w:szCs w:val="16"/>
          <w:lang w:val="en-GB"/>
        </w:rPr>
        <w:t xml:space="preserve">nsured persons are as </w:t>
      </w:r>
      <w:proofErr w:type="gramStart"/>
      <w:r w:rsidRPr="000861B0">
        <w:rPr>
          <w:sz w:val="16"/>
          <w:szCs w:val="16"/>
          <w:lang w:val="en-GB"/>
        </w:rPr>
        <w:t>at</w:t>
      </w:r>
      <w:proofErr w:type="gramEnd"/>
      <w:r w:rsidRPr="000861B0">
        <w:rPr>
          <w:sz w:val="16"/>
          <w:szCs w:val="16"/>
          <w:lang w:val="en-GB"/>
        </w:rPr>
        <w:t xml:space="preserve"> 31 </w:t>
      </w:r>
      <w:r>
        <w:rPr>
          <w:sz w:val="16"/>
          <w:szCs w:val="16"/>
          <w:lang w:val="en-GB"/>
        </w:rPr>
        <w:t>December</w:t>
      </w:r>
      <w:r w:rsidRPr="000861B0" w:rsidDel="00013342">
        <w:rPr>
          <w:sz w:val="16"/>
          <w:szCs w:val="16"/>
          <w:lang w:val="en-GB"/>
        </w:rPr>
        <w:t xml:space="preserve"> </w:t>
      </w:r>
      <w:r w:rsidRPr="000861B0">
        <w:rPr>
          <w:sz w:val="16"/>
          <w:szCs w:val="16"/>
          <w:lang w:val="en-GB"/>
        </w:rPr>
        <w:t xml:space="preserve">2025.) Average premiums – private health information statements, Commonwealth Ombudsman, average premiums for Singles policy by tier after standard </w:t>
      </w:r>
      <w:r>
        <w:rPr>
          <w:sz w:val="16"/>
          <w:szCs w:val="16"/>
          <w:lang w:val="en-GB"/>
        </w:rPr>
        <w:t>Rebate</w:t>
      </w:r>
      <w:r w:rsidRPr="000861B0">
        <w:rPr>
          <w:sz w:val="16"/>
          <w:szCs w:val="16"/>
          <w:lang w:val="en-GB"/>
        </w:rPr>
        <w:t xml:space="preserve"> observed </w:t>
      </w:r>
      <w:proofErr w:type="gramStart"/>
      <w:r w:rsidRPr="000861B0">
        <w:rPr>
          <w:sz w:val="16"/>
          <w:szCs w:val="16"/>
          <w:lang w:val="en-GB"/>
        </w:rPr>
        <w:t>at</w:t>
      </w:r>
      <w:proofErr w:type="gramEnd"/>
      <w:r w:rsidRPr="000861B0">
        <w:rPr>
          <w:sz w:val="16"/>
          <w:szCs w:val="16"/>
          <w:lang w:val="en-GB"/>
        </w:rPr>
        <w:t xml:space="preserve"> </w:t>
      </w:r>
      <w:r>
        <w:rPr>
          <w:sz w:val="16"/>
          <w:szCs w:val="16"/>
          <w:lang w:val="en-GB"/>
        </w:rPr>
        <w:t>1 April 2026</w:t>
      </w:r>
      <w:r w:rsidRPr="000861B0">
        <w:rPr>
          <w:sz w:val="16"/>
          <w:szCs w:val="16"/>
          <w:lang w:val="en-GB"/>
        </w:rPr>
        <w:t xml:space="preserve"> </w:t>
      </w:r>
      <w:r w:rsidRPr="000861B0">
        <w:rPr>
          <w:sz w:val="16"/>
          <w:szCs w:val="16"/>
        </w:rPr>
        <w:t>excluding corporate policies.</w:t>
      </w:r>
    </w:p>
    <w:p w14:paraId="240B2EC7" w14:textId="221A2C01" w:rsidR="00DC2C0C" w:rsidRDefault="00DC2C0C" w:rsidP="00956BBC">
      <w:pPr>
        <w:spacing w:after="0" w:line="240" w:lineRule="auto"/>
        <w:rPr>
          <w:sz w:val="16"/>
          <w:szCs w:val="16"/>
        </w:rPr>
      </w:pPr>
      <w:r>
        <w:rPr>
          <w:sz w:val="16"/>
          <w:szCs w:val="16"/>
        </w:rPr>
        <w:t xml:space="preserve">Note: presented </w:t>
      </w:r>
      <w:r w:rsidR="0092289E">
        <w:rPr>
          <w:sz w:val="16"/>
          <w:szCs w:val="16"/>
        </w:rPr>
        <w:t xml:space="preserve">as after Rebate </w:t>
      </w:r>
      <w:r>
        <w:rPr>
          <w:sz w:val="16"/>
          <w:szCs w:val="16"/>
        </w:rPr>
        <w:t xml:space="preserve">for the Base income tier (noting that </w:t>
      </w:r>
      <w:proofErr w:type="gramStart"/>
      <w:r>
        <w:rPr>
          <w:sz w:val="16"/>
          <w:szCs w:val="16"/>
        </w:rPr>
        <w:t>the majority of</w:t>
      </w:r>
      <w:proofErr w:type="gramEnd"/>
      <w:r>
        <w:rPr>
          <w:sz w:val="16"/>
          <w:szCs w:val="16"/>
        </w:rPr>
        <w:t xml:space="preserve"> policy holders are in this tier).</w:t>
      </w:r>
    </w:p>
    <w:p w14:paraId="4026A857" w14:textId="331E8A49" w:rsidR="000251A4" w:rsidRPr="00562FC4" w:rsidRDefault="0A4BEA56" w:rsidP="00562FC4">
      <w:pPr>
        <w:pStyle w:val="Heading2"/>
      </w:pPr>
      <w:r w:rsidRPr="00562FC4">
        <w:t>3</w:t>
      </w:r>
      <w:r w:rsidR="5087203C" w:rsidRPr="00562FC4">
        <w:t>.</w:t>
      </w:r>
      <w:r w:rsidR="00B70D83" w:rsidRPr="00562FC4">
        <w:t>3</w:t>
      </w:r>
      <w:r w:rsidR="007D7B44" w:rsidRPr="00562FC4" w:rsidDel="00B70D83">
        <w:t xml:space="preserve"> </w:t>
      </w:r>
      <w:r w:rsidR="4EF08A47" w:rsidRPr="00562FC4">
        <w:t>Option</w:t>
      </w:r>
      <w:r w:rsidR="5087203C" w:rsidRPr="00562FC4">
        <w:t xml:space="preserve"> </w:t>
      </w:r>
      <w:r w:rsidR="00241132" w:rsidRPr="00562FC4">
        <w:t>3</w:t>
      </w:r>
      <w:r w:rsidR="00B70D83" w:rsidRPr="00562FC4">
        <w:t xml:space="preserve"> </w:t>
      </w:r>
      <w:r w:rsidR="5087203C" w:rsidRPr="00562FC4">
        <w:t xml:space="preserve">– </w:t>
      </w:r>
      <w:r w:rsidR="000D4703">
        <w:t xml:space="preserve">Equalise Rebate rates across ages for low-middle incomes and remove </w:t>
      </w:r>
      <w:r w:rsidR="00522043">
        <w:t xml:space="preserve">Rebate </w:t>
      </w:r>
      <w:r w:rsidR="000D4703">
        <w:t>for higher incomes (Tier 2)</w:t>
      </w:r>
    </w:p>
    <w:p w14:paraId="6B85F4B9" w14:textId="42E24A7F" w:rsidR="18F6C2FF" w:rsidRPr="000861B0" w:rsidRDefault="007335D9" w:rsidP="58F703B5">
      <w:pPr>
        <w:spacing w:before="120" w:after="120"/>
        <w:rPr>
          <w:rFonts w:eastAsia="Arial" w:cs="Arial"/>
          <w:color w:val="000000"/>
          <w:szCs w:val="22"/>
        </w:rPr>
      </w:pPr>
      <w:r>
        <w:rPr>
          <w:rStyle w:val="normaltextrun"/>
          <w:rFonts w:eastAsiaTheme="majorEastAsia" w:cs="Arial"/>
          <w:szCs w:val="22"/>
        </w:rPr>
        <w:t xml:space="preserve">Based on </w:t>
      </w:r>
      <w:r w:rsidR="009B3621">
        <w:rPr>
          <w:rStyle w:val="normaltextrun"/>
          <w:rFonts w:eastAsiaTheme="majorEastAsia" w:cs="Arial"/>
          <w:szCs w:val="22"/>
        </w:rPr>
        <w:t xml:space="preserve">outputs generated by </w:t>
      </w:r>
      <w:r>
        <w:rPr>
          <w:rStyle w:val="normaltextrun"/>
          <w:rFonts w:eastAsiaTheme="majorEastAsia" w:cs="Arial"/>
          <w:szCs w:val="22"/>
        </w:rPr>
        <w:t>the PHI Rebate model (described in subsection 4.1 below),</w:t>
      </w:r>
      <w:r>
        <w:rPr>
          <w:rFonts w:eastAsia="Arial" w:cs="Arial"/>
          <w:color w:val="000000"/>
          <w:szCs w:val="22"/>
        </w:rPr>
        <w:t xml:space="preserve"> t</w:t>
      </w:r>
      <w:r w:rsidR="18F6C2FF" w:rsidRPr="000861B0">
        <w:rPr>
          <w:rFonts w:eastAsia="Arial" w:cs="Arial"/>
          <w:color w:val="000000"/>
          <w:szCs w:val="22"/>
        </w:rPr>
        <w:t xml:space="preserve">his </w:t>
      </w:r>
      <w:r w:rsidR="002A0C6A">
        <w:rPr>
          <w:rFonts w:eastAsia="Arial" w:cs="Arial"/>
          <w:color w:val="000000"/>
          <w:szCs w:val="22"/>
        </w:rPr>
        <w:t>option</w:t>
      </w:r>
      <w:r w:rsidR="002A0C6A" w:rsidRPr="000861B0">
        <w:rPr>
          <w:rFonts w:eastAsia="Arial" w:cs="Arial"/>
          <w:color w:val="000000"/>
          <w:szCs w:val="22"/>
        </w:rPr>
        <w:t xml:space="preserve"> </w:t>
      </w:r>
      <w:r w:rsidR="18F6C2FF" w:rsidRPr="000861B0">
        <w:rPr>
          <w:rFonts w:eastAsia="Arial" w:cs="Arial"/>
          <w:color w:val="000000"/>
          <w:szCs w:val="22"/>
        </w:rPr>
        <w:t>would achieve indicative savings</w:t>
      </w:r>
      <w:r w:rsidR="18F6C2FF" w:rsidRPr="000861B0">
        <w:rPr>
          <w:color w:val="000000"/>
          <w:szCs w:val="22"/>
        </w:rPr>
        <w:t xml:space="preserve"> of $3,</w:t>
      </w:r>
      <w:r w:rsidR="00AB6813" w:rsidRPr="000861B0">
        <w:rPr>
          <w:color w:val="000000"/>
          <w:szCs w:val="22"/>
        </w:rPr>
        <w:t>922.4</w:t>
      </w:r>
      <w:r w:rsidR="18F6C2FF" w:rsidRPr="000861B0">
        <w:rPr>
          <w:color w:val="000000"/>
          <w:szCs w:val="22"/>
        </w:rPr>
        <w:t xml:space="preserve"> milli</w:t>
      </w:r>
      <w:r w:rsidR="18F6C2FF" w:rsidRPr="000861B0">
        <w:rPr>
          <w:rFonts w:eastAsia="Arial" w:cs="Arial"/>
          <w:color w:val="000000"/>
          <w:szCs w:val="22"/>
        </w:rPr>
        <w:t xml:space="preserve">on over 4 years from </w:t>
      </w:r>
      <w:r w:rsidR="00A26775" w:rsidRPr="000861B0">
        <w:rPr>
          <w:szCs w:val="22"/>
        </w:rPr>
        <w:t>2026-27 (1</w:t>
      </w:r>
      <w:r w:rsidR="0021528B" w:rsidRPr="000861B0">
        <w:rPr>
          <w:szCs w:val="22"/>
        </w:rPr>
        <w:t> </w:t>
      </w:r>
      <w:r w:rsidR="00A26775" w:rsidRPr="000861B0">
        <w:rPr>
          <w:szCs w:val="22"/>
        </w:rPr>
        <w:t>April</w:t>
      </w:r>
      <w:r w:rsidR="00951AAA">
        <w:rPr>
          <w:szCs w:val="22"/>
        </w:rPr>
        <w:t> </w:t>
      </w:r>
      <w:r w:rsidR="00A26775" w:rsidRPr="000861B0">
        <w:rPr>
          <w:szCs w:val="22"/>
        </w:rPr>
        <w:t xml:space="preserve">2027) </w:t>
      </w:r>
      <w:r w:rsidR="18F6C2FF" w:rsidRPr="000861B0">
        <w:rPr>
          <w:rFonts w:eastAsia="Arial" w:cs="Arial"/>
          <w:color w:val="000000"/>
          <w:szCs w:val="22"/>
        </w:rPr>
        <w:t xml:space="preserve">by: </w:t>
      </w:r>
    </w:p>
    <w:p w14:paraId="195C82C4" w14:textId="1DC43B62" w:rsidR="18F6C2FF" w:rsidRPr="000861B0" w:rsidRDefault="18F6C2FF" w:rsidP="58F703B5">
      <w:pPr>
        <w:pStyle w:val="ListParagraph"/>
        <w:numPr>
          <w:ilvl w:val="0"/>
          <w:numId w:val="1"/>
        </w:numPr>
        <w:tabs>
          <w:tab w:val="left" w:pos="851"/>
        </w:tabs>
        <w:spacing w:before="120" w:after="120" w:line="240" w:lineRule="auto"/>
        <w:rPr>
          <w:rFonts w:eastAsia="Arial" w:cs="Arial"/>
          <w:color w:val="000000"/>
        </w:rPr>
      </w:pPr>
      <w:r w:rsidRPr="0011EF4A">
        <w:rPr>
          <w:color w:val="000000"/>
        </w:rPr>
        <w:t xml:space="preserve">moving to a model where Rebate entitlement is determined only by income, for only Base Tier and Tier 1 earners, </w:t>
      </w:r>
      <w:r w:rsidR="00AA0368" w:rsidRPr="0011EF4A">
        <w:rPr>
          <w:color w:val="000000"/>
        </w:rPr>
        <w:t xml:space="preserve">and </w:t>
      </w:r>
      <w:r w:rsidRPr="0011EF4A">
        <w:rPr>
          <w:color w:val="000000"/>
        </w:rPr>
        <w:t xml:space="preserve">removing any </w:t>
      </w:r>
      <w:proofErr w:type="gramStart"/>
      <w:r w:rsidRPr="0011EF4A">
        <w:rPr>
          <w:color w:val="000000"/>
        </w:rPr>
        <w:t>age based</w:t>
      </w:r>
      <w:proofErr w:type="gramEnd"/>
      <w:r w:rsidRPr="0011EF4A">
        <w:rPr>
          <w:color w:val="000000"/>
        </w:rPr>
        <w:t xml:space="preserve"> </w:t>
      </w:r>
      <w:r w:rsidR="005B1828">
        <w:rPr>
          <w:color w:val="000000"/>
        </w:rPr>
        <w:t>Rebate</w:t>
      </w:r>
      <w:r w:rsidRPr="0011EF4A">
        <w:rPr>
          <w:color w:val="000000"/>
        </w:rPr>
        <w:t xml:space="preserve"> uplifts: </w:t>
      </w:r>
    </w:p>
    <w:p w14:paraId="3C216516" w14:textId="70F9E7B4" w:rsidR="18F6C2FF" w:rsidRPr="000861B0" w:rsidRDefault="18F6C2FF" w:rsidP="58F703B5">
      <w:pPr>
        <w:pStyle w:val="ListParagraph"/>
        <w:numPr>
          <w:ilvl w:val="1"/>
          <w:numId w:val="1"/>
        </w:numPr>
        <w:tabs>
          <w:tab w:val="left" w:pos="851"/>
        </w:tabs>
        <w:spacing w:before="120" w:after="120" w:line="240" w:lineRule="auto"/>
        <w:rPr>
          <w:rFonts w:eastAsia="Arial" w:cs="Arial"/>
          <w:color w:val="000000"/>
          <w:szCs w:val="22"/>
        </w:rPr>
      </w:pPr>
      <w:r w:rsidRPr="000861B0">
        <w:rPr>
          <w:color w:val="000000"/>
          <w:szCs w:val="22"/>
        </w:rPr>
        <w:t xml:space="preserve">better targeting and simplifying the Rebate for </w:t>
      </w:r>
      <w:proofErr w:type="gramStart"/>
      <w:r w:rsidRPr="000861B0">
        <w:rPr>
          <w:color w:val="000000"/>
          <w:szCs w:val="22"/>
        </w:rPr>
        <w:t>middle and</w:t>
      </w:r>
      <w:r w:rsidR="565EFB48" w:rsidRPr="000861B0">
        <w:rPr>
          <w:color w:val="000000"/>
          <w:szCs w:val="22"/>
        </w:rPr>
        <w:t xml:space="preserve"> </w:t>
      </w:r>
      <w:r w:rsidRPr="000861B0">
        <w:rPr>
          <w:color w:val="000000"/>
          <w:szCs w:val="22"/>
        </w:rPr>
        <w:t>lower income</w:t>
      </w:r>
      <w:proofErr w:type="gramEnd"/>
      <w:r w:rsidRPr="000861B0">
        <w:rPr>
          <w:color w:val="000000"/>
          <w:szCs w:val="22"/>
        </w:rPr>
        <w:t xml:space="preserve"> earners (Base tier and Tier 1) through a reset flat 25% and 10% Rebate</w:t>
      </w:r>
    </w:p>
    <w:p w14:paraId="59ADB5E1" w14:textId="4A2EB6B0" w:rsidR="18F6C2FF" w:rsidRPr="000861B0" w:rsidRDefault="18F6C2FF" w:rsidP="58F703B5">
      <w:pPr>
        <w:pStyle w:val="ListParagraph"/>
        <w:numPr>
          <w:ilvl w:val="1"/>
          <w:numId w:val="1"/>
        </w:numPr>
        <w:tabs>
          <w:tab w:val="left" w:pos="851"/>
        </w:tabs>
        <w:spacing w:before="120" w:after="120" w:line="240" w:lineRule="auto"/>
        <w:rPr>
          <w:rFonts w:eastAsia="Arial" w:cs="Arial"/>
          <w:color w:val="000000"/>
          <w:szCs w:val="22"/>
        </w:rPr>
      </w:pPr>
      <w:r w:rsidRPr="000861B0">
        <w:rPr>
          <w:color w:val="000000"/>
          <w:szCs w:val="22"/>
        </w:rPr>
        <w:lastRenderedPageBreak/>
        <w:t>removing the higher Rebate for older people compared to those under 65 years earning the same incom</w:t>
      </w:r>
      <w:r w:rsidRPr="000861B0">
        <w:rPr>
          <w:rFonts w:eastAsia="Arial" w:cs="Arial"/>
          <w:color w:val="000000"/>
          <w:szCs w:val="22"/>
        </w:rPr>
        <w:t xml:space="preserve">e, </w:t>
      </w:r>
    </w:p>
    <w:p w14:paraId="33FD504E" w14:textId="1C332E5E" w:rsidR="53FE8E2E" w:rsidRPr="000861B0" w:rsidRDefault="53FE8E2E" w:rsidP="58F703B5">
      <w:pPr>
        <w:pStyle w:val="ListParagraph"/>
        <w:numPr>
          <w:ilvl w:val="1"/>
          <w:numId w:val="1"/>
        </w:numPr>
        <w:tabs>
          <w:tab w:val="left" w:pos="851"/>
        </w:tabs>
        <w:spacing w:before="120" w:after="120" w:line="240" w:lineRule="auto"/>
      </w:pPr>
      <w:r w:rsidRPr="2AF732E7">
        <w:rPr>
          <w:rFonts w:eastAsia="Arial" w:cs="Arial"/>
          <w:color w:val="000000"/>
        </w:rPr>
        <w:t xml:space="preserve">removing the Rebate for Tier 2 </w:t>
      </w:r>
      <w:r w:rsidR="00B34CEE" w:rsidRPr="2AF732E7">
        <w:rPr>
          <w:rFonts w:eastAsia="Arial" w:cs="Arial"/>
          <w:color w:val="000000"/>
        </w:rPr>
        <w:t>(</w:t>
      </w:r>
      <w:r w:rsidRPr="2AF732E7">
        <w:rPr>
          <w:rFonts w:eastAsia="Arial" w:cs="Arial"/>
          <w:color w:val="000000"/>
        </w:rPr>
        <w:t>high income earn</w:t>
      </w:r>
      <w:r w:rsidR="00B34CEE" w:rsidRPr="2AF732E7">
        <w:rPr>
          <w:rFonts w:eastAsia="Arial" w:cs="Arial"/>
          <w:color w:val="000000"/>
        </w:rPr>
        <w:t>ers</w:t>
      </w:r>
      <w:r w:rsidR="007F4226" w:rsidRPr="2AF732E7">
        <w:rPr>
          <w:rFonts w:eastAsia="Arial" w:cs="Arial"/>
          <w:color w:val="000000"/>
        </w:rPr>
        <w:t>)</w:t>
      </w:r>
      <w:r w:rsidR="00B34CEE" w:rsidRPr="2AF732E7">
        <w:rPr>
          <w:rFonts w:eastAsia="Arial" w:cs="Arial"/>
          <w:color w:val="000000"/>
        </w:rPr>
        <w:t xml:space="preserve"> </w:t>
      </w:r>
      <w:r w:rsidR="007D6325" w:rsidRPr="2AF732E7">
        <w:rPr>
          <w:rFonts w:eastAsia="Arial" w:cs="Arial"/>
          <w:color w:val="000000"/>
        </w:rPr>
        <w:t>to align</w:t>
      </w:r>
      <w:r w:rsidRPr="2AF732E7">
        <w:rPr>
          <w:rFonts w:eastAsia="Arial" w:cs="Arial"/>
          <w:color w:val="000000"/>
        </w:rPr>
        <w:t xml:space="preserve"> with Tier 3 earners</w:t>
      </w:r>
      <w:r w:rsidR="004F67F0">
        <w:rPr>
          <w:rFonts w:eastAsia="Arial" w:cs="Arial"/>
          <w:color w:val="000000"/>
        </w:rPr>
        <w:t xml:space="preserve"> </w:t>
      </w:r>
      <w:r w:rsidR="004F67F0">
        <w:t>and reduce it for middle incomes (Tier 1)</w:t>
      </w:r>
      <w:r w:rsidRPr="2AF732E7">
        <w:rPr>
          <w:rFonts w:eastAsia="Arial" w:cs="Arial"/>
          <w:color w:val="000000"/>
        </w:rPr>
        <w:t>.</w:t>
      </w:r>
    </w:p>
    <w:p w14:paraId="0B2583D7" w14:textId="08205131" w:rsidR="00403F4F" w:rsidRPr="000861B0" w:rsidRDefault="00DE57A0" w:rsidP="005269B3">
      <w:pPr>
        <w:spacing w:before="120" w:after="120"/>
        <w:rPr>
          <w:rFonts w:ascii="Arial" w:eastAsia="Arial" w:hAnsi="Arial" w:cs="Arial"/>
          <w:color w:val="000000"/>
        </w:rPr>
      </w:pPr>
      <w:r w:rsidRPr="0011EF4A">
        <w:rPr>
          <w:rFonts w:eastAsia="Arial" w:cs="Arial"/>
          <w:color w:val="000000"/>
        </w:rPr>
        <w:t xml:space="preserve">Table </w:t>
      </w:r>
      <w:r w:rsidR="00562FC4">
        <w:rPr>
          <w:rFonts w:eastAsia="Arial" w:cs="Arial"/>
          <w:color w:val="000000"/>
        </w:rPr>
        <w:t>5</w:t>
      </w:r>
      <w:r w:rsidR="0CE38114" w:rsidRPr="0011EF4A">
        <w:rPr>
          <w:rFonts w:eastAsia="Arial" w:cs="Arial"/>
          <w:color w:val="000000"/>
        </w:rPr>
        <w:t xml:space="preserve"> shows the proposed changes </w:t>
      </w:r>
      <w:r w:rsidR="0CE38114" w:rsidRPr="0011EF4A" w:rsidDel="00D719BA">
        <w:rPr>
          <w:rFonts w:eastAsia="Arial" w:cs="Arial"/>
          <w:color w:val="000000"/>
        </w:rPr>
        <w:t xml:space="preserve">under </w:t>
      </w:r>
      <w:r w:rsidR="00660709" w:rsidRPr="0011EF4A">
        <w:rPr>
          <w:rFonts w:eastAsia="Arial" w:cs="Arial"/>
          <w:color w:val="000000"/>
        </w:rPr>
        <w:t xml:space="preserve">Option </w:t>
      </w:r>
      <w:r w:rsidR="00241132">
        <w:rPr>
          <w:rFonts w:eastAsia="Arial" w:cs="Arial"/>
          <w:color w:val="000000"/>
        </w:rPr>
        <w:t>3</w:t>
      </w:r>
      <w:r w:rsidR="0CE38114" w:rsidRPr="0011EF4A">
        <w:rPr>
          <w:rFonts w:eastAsia="Arial" w:cs="Arial"/>
          <w:color w:val="000000"/>
        </w:rPr>
        <w:t xml:space="preserve"> (with changes from current arrangements in </w:t>
      </w:r>
      <w:r w:rsidR="0CE38114" w:rsidRPr="0011EF4A">
        <w:rPr>
          <w:rFonts w:eastAsia="Arial" w:cs="Arial"/>
          <w:i/>
          <w:color w:val="000000"/>
        </w:rPr>
        <w:t>italics</w:t>
      </w:r>
      <w:r w:rsidR="0CE38114" w:rsidRPr="0011EF4A">
        <w:rPr>
          <w:rFonts w:eastAsia="Arial" w:cs="Arial"/>
          <w:color w:val="000000"/>
        </w:rPr>
        <w:t>).</w:t>
      </w:r>
    </w:p>
    <w:p w14:paraId="048BF227" w14:textId="17536BC9" w:rsidR="00DE57A0" w:rsidRPr="000861B0" w:rsidRDefault="00DE57A0" w:rsidP="00562FC4">
      <w:pPr>
        <w:pStyle w:val="Heading3"/>
      </w:pPr>
      <w:r w:rsidRPr="000861B0">
        <w:t xml:space="preserve">Table </w:t>
      </w:r>
      <w:r w:rsidR="00562FC4">
        <w:rPr>
          <w:bCs/>
        </w:rPr>
        <w:t>5</w:t>
      </w:r>
      <w:r w:rsidRPr="000861B0">
        <w:t xml:space="preserve">: proposed changes to PHI Rebate under </w:t>
      </w:r>
      <w:r w:rsidR="006A7EF8" w:rsidRPr="0011EF4A">
        <w:rPr>
          <w:bCs/>
        </w:rPr>
        <w:t>Option</w:t>
      </w:r>
      <w:r w:rsidR="006A7EF8">
        <w:t xml:space="preserve"> </w:t>
      </w:r>
      <w:r w:rsidR="00C03FE6">
        <w:t>3</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Description w:val="Table shows the relevant PHI income tiers and Rebate rates under Option 3. Changes to certain Rebate rates are italicised. Under this option, the proposed rebate rates are 25% for Base Tier, 10% for Tier 1 and 0% for Tier 2 and Tier 3."/>
      </w:tblPr>
      <w:tblGrid>
        <w:gridCol w:w="2250"/>
        <w:gridCol w:w="1560"/>
        <w:gridCol w:w="1980"/>
        <w:gridCol w:w="2115"/>
        <w:gridCol w:w="1275"/>
      </w:tblGrid>
      <w:tr w:rsidR="004A533F" w:rsidRPr="000861B0" w14:paraId="1B10BF0D" w14:textId="7F17A194" w:rsidTr="003726F8">
        <w:trPr>
          <w:trHeight w:val="240"/>
          <w:tblHeader/>
        </w:trPr>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73F267FA" w14:textId="3C665210" w:rsidR="58F703B5" w:rsidRPr="000861B0" w:rsidRDefault="58F703B5" w:rsidP="00644794">
            <w:pPr>
              <w:keepNext/>
              <w:keepLines/>
              <w:spacing w:after="0" w:line="278" w:lineRule="auto"/>
              <w:rPr>
                <w:rFonts w:ascii="Arial" w:eastAsia="Arial" w:hAnsi="Arial" w:cs="Arial"/>
                <w:sz w:val="20"/>
                <w:szCs w:val="20"/>
              </w:rPr>
            </w:pPr>
          </w:p>
        </w:tc>
        <w:tc>
          <w:tcPr>
            <w:tcW w:w="6930" w:type="dxa"/>
            <w:gridSpan w:val="4"/>
            <w:tcBorders>
              <w:top w:val="single" w:sz="6" w:space="0" w:color="auto"/>
              <w:left w:val="single" w:sz="6" w:space="0" w:color="auto"/>
              <w:bottom w:val="single" w:sz="6" w:space="0" w:color="auto"/>
              <w:right w:val="single" w:sz="6" w:space="0" w:color="auto"/>
            </w:tcBorders>
            <w:shd w:val="clear" w:color="auto" w:fill="1C2B39" w:themeFill="accent1"/>
            <w:tcMar>
              <w:top w:w="15" w:type="dxa"/>
              <w:left w:w="105" w:type="dxa"/>
              <w:bottom w:w="15" w:type="dxa"/>
              <w:right w:w="105" w:type="dxa"/>
            </w:tcMar>
            <w:vAlign w:val="bottom"/>
          </w:tcPr>
          <w:p w14:paraId="0E99E7F7" w14:textId="55497B9A"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b/>
                <w:bCs/>
                <w:sz w:val="20"/>
                <w:szCs w:val="20"/>
              </w:rPr>
              <w:t xml:space="preserve">PHI Rebate % </w:t>
            </w:r>
          </w:p>
        </w:tc>
      </w:tr>
      <w:tr w:rsidR="007438DA" w:rsidRPr="000861B0" w14:paraId="664F9ED8" w14:textId="799635CD" w:rsidTr="003726F8">
        <w:trPr>
          <w:trHeight w:val="240"/>
          <w:tblHeader/>
        </w:trPr>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50F0135A" w14:textId="06B084D9" w:rsidR="58F703B5" w:rsidRPr="000861B0" w:rsidRDefault="58F703B5" w:rsidP="00644794">
            <w:pPr>
              <w:keepNext/>
              <w:keepLines/>
              <w:spacing w:after="0" w:line="278" w:lineRule="auto"/>
              <w:rPr>
                <w:rFonts w:ascii="Arial" w:eastAsia="Arial" w:hAnsi="Arial" w:cs="Arial"/>
                <w:sz w:val="20"/>
                <w:szCs w:val="20"/>
              </w:rPr>
            </w:pPr>
            <w:r w:rsidRPr="000861B0">
              <w:rPr>
                <w:rFonts w:ascii="Arial" w:eastAsia="Arial" w:hAnsi="Arial" w:cs="Arial"/>
                <w:sz w:val="20"/>
                <w:szCs w:val="20"/>
              </w:rPr>
              <w:t>Singles Tier threshold</w:t>
            </w:r>
          </w:p>
          <w:p w14:paraId="0B8AFCB2" w14:textId="3D12D931" w:rsidR="58F703B5" w:rsidRPr="000861B0" w:rsidRDefault="58F703B5" w:rsidP="00644794">
            <w:pPr>
              <w:keepNext/>
              <w:keepLines/>
              <w:spacing w:after="0" w:line="278" w:lineRule="auto"/>
              <w:rPr>
                <w:rFonts w:ascii="Arial" w:eastAsia="Arial" w:hAnsi="Arial" w:cs="Arial"/>
                <w:sz w:val="20"/>
                <w:szCs w:val="20"/>
              </w:rPr>
            </w:pPr>
            <w:r w:rsidRPr="000861B0">
              <w:rPr>
                <w:rFonts w:ascii="Arial" w:eastAsia="Arial" w:hAnsi="Arial" w:cs="Arial"/>
                <w:sz w:val="20"/>
                <w:szCs w:val="20"/>
              </w:rPr>
              <w:t>Families Tier threshold</w:t>
            </w:r>
          </w:p>
        </w:tc>
        <w:tc>
          <w:tcPr>
            <w:tcW w:w="156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327CF17F" w14:textId="7A79D1C8"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u w:val="single"/>
              </w:rPr>
              <w:t>&lt;</w:t>
            </w:r>
            <w:r w:rsidRPr="000861B0">
              <w:rPr>
                <w:rFonts w:ascii="Arial" w:eastAsia="Arial" w:hAnsi="Arial" w:cs="Arial"/>
                <w:sz w:val="20"/>
                <w:szCs w:val="20"/>
              </w:rPr>
              <w:t xml:space="preserve"> $105,000</w:t>
            </w:r>
          </w:p>
          <w:p w14:paraId="34234EC7" w14:textId="2B105024"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u w:val="single"/>
              </w:rPr>
              <w:t>&lt;</w:t>
            </w:r>
            <w:r w:rsidRPr="000861B0">
              <w:rPr>
                <w:rFonts w:ascii="Arial" w:eastAsia="Arial" w:hAnsi="Arial" w:cs="Arial"/>
                <w:sz w:val="20"/>
                <w:szCs w:val="20"/>
              </w:rPr>
              <w:t xml:space="preserve"> $210,000</w:t>
            </w:r>
          </w:p>
        </w:tc>
        <w:tc>
          <w:tcPr>
            <w:tcW w:w="198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7E494B7E" w14:textId="2C0996EA"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$105,001-123,000</w:t>
            </w:r>
          </w:p>
          <w:p w14:paraId="60E8A585" w14:textId="261B0699"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$210,001-246,000</w:t>
            </w:r>
          </w:p>
        </w:tc>
        <w:tc>
          <w:tcPr>
            <w:tcW w:w="211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59D137A8" w14:textId="1B35B0FC"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$123,001-164,000</w:t>
            </w:r>
          </w:p>
          <w:p w14:paraId="0AF5F575" w14:textId="4AAE1CA5"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$246,001-328,000</w:t>
            </w:r>
          </w:p>
        </w:tc>
        <w:tc>
          <w:tcPr>
            <w:tcW w:w="127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5A51785E" w14:textId="6ED40A16"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u w:val="single"/>
              </w:rPr>
              <w:t>&gt;</w:t>
            </w:r>
            <w:r w:rsidRPr="000861B0">
              <w:rPr>
                <w:rFonts w:ascii="Arial" w:eastAsia="Arial" w:hAnsi="Arial" w:cs="Arial"/>
                <w:sz w:val="20"/>
                <w:szCs w:val="20"/>
              </w:rPr>
              <w:t>$164,001</w:t>
            </w:r>
          </w:p>
          <w:p w14:paraId="1531082A" w14:textId="5DCF6D05"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u w:val="single"/>
              </w:rPr>
              <w:t>&gt;</w:t>
            </w:r>
            <w:r w:rsidRPr="000861B0">
              <w:rPr>
                <w:rFonts w:ascii="Arial" w:eastAsia="Arial" w:hAnsi="Arial" w:cs="Arial"/>
                <w:sz w:val="20"/>
                <w:szCs w:val="20"/>
              </w:rPr>
              <w:t>$328,001</w:t>
            </w:r>
          </w:p>
        </w:tc>
      </w:tr>
      <w:tr w:rsidR="007438DA" w:rsidRPr="000861B0" w14:paraId="6CE1033C" w14:textId="440CF7C8" w:rsidTr="003726F8">
        <w:trPr>
          <w:trHeight w:val="285"/>
          <w:tblHeader/>
        </w:trPr>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03BB9E5F" w14:textId="129AE346" w:rsidR="58F703B5" w:rsidRPr="000861B0" w:rsidRDefault="58F703B5" w:rsidP="00644794">
            <w:pPr>
              <w:keepNext/>
              <w:keepLines/>
              <w:spacing w:after="0" w:line="278" w:lineRule="auto"/>
              <w:rPr>
                <w:rFonts w:ascii="Arial" w:eastAsia="Arial" w:hAnsi="Arial" w:cs="Arial"/>
                <w:sz w:val="20"/>
                <w:szCs w:val="20"/>
              </w:rPr>
            </w:pPr>
          </w:p>
        </w:tc>
        <w:tc>
          <w:tcPr>
            <w:tcW w:w="156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1785C469" w14:textId="38ACA166"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b/>
                <w:bCs/>
                <w:sz w:val="20"/>
                <w:szCs w:val="20"/>
              </w:rPr>
              <w:t>Base Tier</w:t>
            </w:r>
          </w:p>
        </w:tc>
        <w:tc>
          <w:tcPr>
            <w:tcW w:w="198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4FF4AB33" w14:textId="3193349C"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b/>
                <w:bCs/>
                <w:sz w:val="20"/>
                <w:szCs w:val="20"/>
              </w:rPr>
              <w:t>Tier 1</w:t>
            </w:r>
          </w:p>
        </w:tc>
        <w:tc>
          <w:tcPr>
            <w:tcW w:w="211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3A47CB4C" w14:textId="39768BF5"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b/>
                <w:bCs/>
                <w:sz w:val="20"/>
                <w:szCs w:val="20"/>
              </w:rPr>
              <w:t>Tier 2</w:t>
            </w:r>
          </w:p>
        </w:tc>
        <w:tc>
          <w:tcPr>
            <w:tcW w:w="127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58EB1F47" w14:textId="2FD61C6B"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b/>
                <w:bCs/>
                <w:sz w:val="20"/>
                <w:szCs w:val="20"/>
              </w:rPr>
              <w:t>Tier 3</w:t>
            </w:r>
          </w:p>
        </w:tc>
      </w:tr>
      <w:tr w:rsidR="007438DA" w:rsidRPr="000861B0" w14:paraId="1D57DE0E" w14:textId="4B2F0E01" w:rsidTr="003726F8">
        <w:trPr>
          <w:trHeight w:val="285"/>
          <w:tblHeader/>
        </w:trPr>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4FE541DD" w14:textId="1F90E53B" w:rsidR="58F703B5" w:rsidRPr="000861B0" w:rsidRDefault="58F703B5" w:rsidP="00644794">
            <w:pPr>
              <w:keepNext/>
              <w:keepLines/>
              <w:spacing w:after="0" w:line="278" w:lineRule="auto"/>
              <w:rPr>
                <w:rFonts w:ascii="Arial" w:eastAsia="Arial" w:hAnsi="Arial" w:cs="Arial"/>
                <w:sz w:val="20"/>
                <w:szCs w:val="20"/>
              </w:rPr>
            </w:pPr>
            <w:r w:rsidRPr="000861B0">
              <w:rPr>
                <w:rFonts w:ascii="Arial" w:eastAsia="Arial" w:hAnsi="Arial" w:cs="Arial"/>
                <w:sz w:val="20"/>
                <w:szCs w:val="20"/>
              </w:rPr>
              <w:t>Age &lt;65</w:t>
            </w:r>
          </w:p>
        </w:tc>
        <w:tc>
          <w:tcPr>
            <w:tcW w:w="156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0BCFE8DC" w14:textId="1FB84221" w:rsidR="58F703B5" w:rsidRPr="000861B0" w:rsidRDefault="58F703B5" w:rsidP="00FD7706">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 xml:space="preserve">24.118 / </w:t>
            </w:r>
            <w:r w:rsidRPr="000861B0">
              <w:rPr>
                <w:rFonts w:ascii="Arial" w:eastAsia="Arial" w:hAnsi="Arial" w:cs="Arial"/>
                <w:i/>
                <w:iCs/>
                <w:sz w:val="20"/>
                <w:szCs w:val="20"/>
              </w:rPr>
              <w:t>25%</w:t>
            </w:r>
          </w:p>
        </w:tc>
        <w:tc>
          <w:tcPr>
            <w:tcW w:w="198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475CA3CA" w14:textId="46E5E6E6"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 xml:space="preserve">16.079 / </w:t>
            </w:r>
            <w:r w:rsidRPr="000861B0">
              <w:rPr>
                <w:rFonts w:ascii="Arial" w:eastAsia="Arial" w:hAnsi="Arial" w:cs="Arial"/>
                <w:i/>
                <w:iCs/>
                <w:sz w:val="20"/>
                <w:szCs w:val="20"/>
              </w:rPr>
              <w:t>10%</w:t>
            </w:r>
          </w:p>
        </w:tc>
        <w:tc>
          <w:tcPr>
            <w:tcW w:w="211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1A55C122" w14:textId="40D7030D"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 xml:space="preserve">8.038 / </w:t>
            </w:r>
            <w:r w:rsidRPr="000861B0">
              <w:rPr>
                <w:rFonts w:ascii="Arial" w:eastAsia="Arial" w:hAnsi="Arial" w:cs="Arial"/>
                <w:i/>
                <w:iCs/>
                <w:sz w:val="20"/>
                <w:szCs w:val="20"/>
              </w:rPr>
              <w:t>0%</w:t>
            </w:r>
          </w:p>
        </w:tc>
        <w:tc>
          <w:tcPr>
            <w:tcW w:w="127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6AB62927" w14:textId="062EC458"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0%</w:t>
            </w:r>
          </w:p>
        </w:tc>
      </w:tr>
      <w:tr w:rsidR="007438DA" w:rsidRPr="000861B0" w14:paraId="25303D09" w14:textId="461E31C7" w:rsidTr="003726F8">
        <w:trPr>
          <w:trHeight w:val="285"/>
          <w:tblHeader/>
        </w:trPr>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6DFBA51F" w14:textId="13830129" w:rsidR="58F703B5" w:rsidRPr="000861B0" w:rsidRDefault="58F703B5" w:rsidP="00644794">
            <w:pPr>
              <w:keepNext/>
              <w:keepLines/>
              <w:spacing w:after="0" w:line="278" w:lineRule="auto"/>
              <w:rPr>
                <w:rFonts w:ascii="Arial" w:eastAsia="Arial" w:hAnsi="Arial" w:cs="Arial"/>
                <w:sz w:val="20"/>
                <w:szCs w:val="20"/>
              </w:rPr>
            </w:pPr>
            <w:r w:rsidRPr="000861B0">
              <w:rPr>
                <w:rFonts w:ascii="Arial" w:eastAsia="Arial" w:hAnsi="Arial" w:cs="Arial"/>
                <w:sz w:val="20"/>
                <w:szCs w:val="20"/>
              </w:rPr>
              <w:t>Age 65-69</w:t>
            </w:r>
          </w:p>
        </w:tc>
        <w:tc>
          <w:tcPr>
            <w:tcW w:w="156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21E202B7" w14:textId="4C537355" w:rsidR="58F703B5" w:rsidRPr="000861B0" w:rsidRDefault="58F703B5" w:rsidP="00FD7706">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 xml:space="preserve">28.139 / </w:t>
            </w:r>
            <w:r w:rsidRPr="000861B0">
              <w:rPr>
                <w:rFonts w:ascii="Arial" w:eastAsia="Arial" w:hAnsi="Arial" w:cs="Arial"/>
                <w:i/>
                <w:iCs/>
                <w:sz w:val="20"/>
                <w:szCs w:val="20"/>
              </w:rPr>
              <w:t>25%</w:t>
            </w:r>
          </w:p>
        </w:tc>
        <w:tc>
          <w:tcPr>
            <w:tcW w:w="198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086DAD8F" w14:textId="69599897"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 xml:space="preserve">20.098 / </w:t>
            </w:r>
            <w:r w:rsidRPr="000861B0">
              <w:rPr>
                <w:rFonts w:ascii="Arial" w:eastAsia="Arial" w:hAnsi="Arial" w:cs="Arial"/>
                <w:i/>
                <w:iCs/>
                <w:sz w:val="20"/>
                <w:szCs w:val="20"/>
              </w:rPr>
              <w:t>10%</w:t>
            </w:r>
          </w:p>
        </w:tc>
        <w:tc>
          <w:tcPr>
            <w:tcW w:w="211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5BE82EF7" w14:textId="6EC606D9"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 xml:space="preserve">12.058 / </w:t>
            </w:r>
            <w:r w:rsidRPr="000861B0">
              <w:rPr>
                <w:rFonts w:ascii="Arial" w:eastAsia="Arial" w:hAnsi="Arial" w:cs="Arial"/>
                <w:i/>
                <w:iCs/>
                <w:sz w:val="20"/>
                <w:szCs w:val="20"/>
              </w:rPr>
              <w:t>0%</w:t>
            </w:r>
          </w:p>
        </w:tc>
        <w:tc>
          <w:tcPr>
            <w:tcW w:w="127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3136030D" w14:textId="620A7458"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0%</w:t>
            </w:r>
          </w:p>
        </w:tc>
      </w:tr>
      <w:tr w:rsidR="007438DA" w:rsidRPr="000861B0" w14:paraId="3BABAC68" w14:textId="3F3A412C" w:rsidTr="003726F8">
        <w:trPr>
          <w:trHeight w:val="285"/>
          <w:tblHeader/>
        </w:trPr>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46EB1828" w14:textId="385D439B" w:rsidR="58F703B5" w:rsidRPr="000861B0" w:rsidRDefault="58F703B5" w:rsidP="00644794">
            <w:pPr>
              <w:keepNext/>
              <w:keepLines/>
              <w:spacing w:after="0" w:line="278" w:lineRule="auto"/>
              <w:rPr>
                <w:rFonts w:ascii="Arial" w:eastAsia="Arial" w:hAnsi="Arial" w:cs="Arial"/>
                <w:sz w:val="20"/>
                <w:szCs w:val="20"/>
              </w:rPr>
            </w:pPr>
            <w:r w:rsidRPr="000861B0">
              <w:rPr>
                <w:rFonts w:ascii="Arial" w:eastAsia="Arial" w:hAnsi="Arial" w:cs="Arial"/>
                <w:sz w:val="20"/>
                <w:szCs w:val="20"/>
              </w:rPr>
              <w:t>Age 70+</w:t>
            </w:r>
          </w:p>
        </w:tc>
        <w:tc>
          <w:tcPr>
            <w:tcW w:w="156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30D037FE" w14:textId="1FCE3BAF" w:rsidR="58F703B5" w:rsidRPr="000861B0" w:rsidRDefault="58F703B5" w:rsidP="00FD7706">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 xml:space="preserve">32.158 / </w:t>
            </w:r>
            <w:r w:rsidRPr="000861B0">
              <w:rPr>
                <w:rFonts w:ascii="Arial" w:eastAsia="Arial" w:hAnsi="Arial" w:cs="Arial"/>
                <w:i/>
                <w:iCs/>
                <w:sz w:val="20"/>
                <w:szCs w:val="20"/>
              </w:rPr>
              <w:t>25%</w:t>
            </w:r>
          </w:p>
        </w:tc>
        <w:tc>
          <w:tcPr>
            <w:tcW w:w="198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32BD4DFE" w14:textId="752538C8"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 xml:space="preserve">24.118 / </w:t>
            </w:r>
            <w:r w:rsidRPr="000861B0">
              <w:rPr>
                <w:rFonts w:ascii="Arial" w:eastAsia="Arial" w:hAnsi="Arial" w:cs="Arial"/>
                <w:i/>
                <w:iCs/>
                <w:sz w:val="20"/>
                <w:szCs w:val="20"/>
              </w:rPr>
              <w:t>10%</w:t>
            </w:r>
          </w:p>
        </w:tc>
        <w:tc>
          <w:tcPr>
            <w:tcW w:w="211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41D60309" w14:textId="4C53B979"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16.079</w:t>
            </w:r>
            <w:r w:rsidRPr="000861B0">
              <w:rPr>
                <w:rFonts w:ascii="Arial" w:eastAsia="Arial" w:hAnsi="Arial" w:cs="Arial"/>
                <w:i/>
                <w:iCs/>
                <w:sz w:val="20"/>
                <w:szCs w:val="20"/>
              </w:rPr>
              <w:t xml:space="preserve"> </w:t>
            </w:r>
            <w:r w:rsidRPr="000861B0">
              <w:rPr>
                <w:rFonts w:ascii="Arial" w:eastAsia="Arial" w:hAnsi="Arial" w:cs="Arial"/>
                <w:sz w:val="20"/>
                <w:szCs w:val="20"/>
              </w:rPr>
              <w:t>/</w:t>
            </w:r>
            <w:r w:rsidRPr="000861B0">
              <w:rPr>
                <w:rFonts w:ascii="Arial" w:eastAsia="Arial" w:hAnsi="Arial" w:cs="Arial"/>
                <w:i/>
                <w:iCs/>
                <w:sz w:val="20"/>
                <w:szCs w:val="20"/>
              </w:rPr>
              <w:t xml:space="preserve"> 0%</w:t>
            </w:r>
          </w:p>
        </w:tc>
        <w:tc>
          <w:tcPr>
            <w:tcW w:w="127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4590D51F" w14:textId="53CECA78"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0%</w:t>
            </w:r>
          </w:p>
        </w:tc>
      </w:tr>
    </w:tbl>
    <w:p w14:paraId="6A891FDD" w14:textId="77777777" w:rsidR="008353ED" w:rsidRDefault="008353ED" w:rsidP="008353ED">
      <w:pPr>
        <w:pStyle w:val="CABNETParagraph"/>
        <w:spacing w:before="0"/>
        <w:rPr>
          <w:rFonts w:cstheme="minorBidi"/>
          <w:sz w:val="18"/>
          <w:szCs w:val="18"/>
        </w:rPr>
      </w:pPr>
      <w:r w:rsidRPr="000861B0">
        <w:rPr>
          <w:rFonts w:cstheme="minorBidi"/>
          <w:sz w:val="18"/>
          <w:szCs w:val="18"/>
        </w:rPr>
        <w:t xml:space="preserve">Income tiers </w:t>
      </w:r>
      <w:r>
        <w:rPr>
          <w:rFonts w:cstheme="minorBidi"/>
          <w:sz w:val="18"/>
          <w:szCs w:val="18"/>
        </w:rPr>
        <w:t xml:space="preserve">presented are </w:t>
      </w:r>
      <w:r w:rsidRPr="000861B0">
        <w:rPr>
          <w:rFonts w:cstheme="minorBidi"/>
          <w:sz w:val="18"/>
          <w:szCs w:val="18"/>
        </w:rPr>
        <w:t xml:space="preserve">current for 1 July 2026 to 30 June 2027 and </w:t>
      </w:r>
      <w:r>
        <w:rPr>
          <w:rFonts w:cstheme="minorBidi"/>
          <w:sz w:val="18"/>
          <w:szCs w:val="18"/>
        </w:rPr>
        <w:t xml:space="preserve">are </w:t>
      </w:r>
      <w:r w:rsidRPr="000861B0">
        <w:rPr>
          <w:rFonts w:cstheme="minorBidi"/>
          <w:sz w:val="18"/>
          <w:szCs w:val="18"/>
        </w:rPr>
        <w:t xml:space="preserve">subject to annual indexation on 1 July based on changes in AWOTE. </w:t>
      </w:r>
    </w:p>
    <w:p w14:paraId="2998482A" w14:textId="77777777" w:rsidR="008353ED" w:rsidRDefault="008353ED" w:rsidP="008353ED">
      <w:pPr>
        <w:pStyle w:val="CABNETParagraph"/>
        <w:keepNext/>
        <w:spacing w:before="0"/>
        <w:rPr>
          <w:rFonts w:eastAsia="Times New Roman" w:cs="Arial"/>
          <w:sz w:val="18"/>
          <w:szCs w:val="18"/>
          <w:lang w:eastAsia="en-AU"/>
        </w:rPr>
      </w:pPr>
      <w:r w:rsidRPr="000861B0">
        <w:rPr>
          <w:rFonts w:cstheme="minorBidi"/>
          <w:sz w:val="18"/>
          <w:szCs w:val="18"/>
        </w:rPr>
        <w:t xml:space="preserve">The reset </w:t>
      </w:r>
      <w:r w:rsidRPr="000861B0">
        <w:rPr>
          <w:sz w:val="18"/>
          <w:szCs w:val="18"/>
        </w:rPr>
        <w:t xml:space="preserve">Rebate rates would be subject to annual indexation through the RAF on 1 April 2028 and subsequent years based on the difference between the CPI and the industry weighted average premium increase (however, the RAF would </w:t>
      </w:r>
      <w:r>
        <w:rPr>
          <w:sz w:val="18"/>
          <w:szCs w:val="18"/>
        </w:rPr>
        <w:t>be set to 1</w:t>
      </w:r>
      <w:r w:rsidRPr="000861B0">
        <w:rPr>
          <w:sz w:val="18"/>
          <w:szCs w:val="18"/>
        </w:rPr>
        <w:t xml:space="preserve"> </w:t>
      </w:r>
      <w:r>
        <w:rPr>
          <w:sz w:val="18"/>
          <w:szCs w:val="18"/>
        </w:rPr>
        <w:t xml:space="preserve">for </w:t>
      </w:r>
      <w:r w:rsidRPr="000861B0">
        <w:rPr>
          <w:sz w:val="18"/>
          <w:szCs w:val="18"/>
        </w:rPr>
        <w:t>1 April 2027</w:t>
      </w:r>
      <w:r>
        <w:rPr>
          <w:sz w:val="18"/>
          <w:szCs w:val="18"/>
        </w:rPr>
        <w:t xml:space="preserve"> to provide certainty of the rates to apply on 1 April 2027</w:t>
      </w:r>
      <w:r w:rsidRPr="000861B0">
        <w:rPr>
          <w:sz w:val="18"/>
          <w:szCs w:val="18"/>
        </w:rPr>
        <w:t>).</w:t>
      </w:r>
      <w:r w:rsidRPr="000861B0">
        <w:rPr>
          <w:rFonts w:eastAsia="Times New Roman" w:cs="Arial"/>
          <w:sz w:val="18"/>
          <w:szCs w:val="18"/>
          <w:lang w:eastAsia="en-AU"/>
        </w:rPr>
        <w:t> </w:t>
      </w:r>
    </w:p>
    <w:p w14:paraId="0593CE14" w14:textId="30B55C6E" w:rsidR="00B670BA" w:rsidRDefault="00BC22B4" w:rsidP="00D65DB8">
      <w:pPr>
        <w:pStyle w:val="CABNETParagraph"/>
        <w:keepNext/>
        <w:spacing w:before="0"/>
        <w:rPr>
          <w:rStyle w:val="normaltextrun"/>
          <w:rFonts w:asciiTheme="minorHAnsi" w:eastAsiaTheme="majorEastAsia" w:hAnsiTheme="minorHAnsi" w:cs="Arial"/>
        </w:rPr>
      </w:pPr>
      <w:r>
        <w:rPr>
          <w:rStyle w:val="normaltextrun"/>
          <w:rFonts w:asciiTheme="minorHAnsi" w:eastAsiaTheme="majorEastAsia" w:hAnsiTheme="minorHAnsi" w:cs="Arial"/>
        </w:rPr>
        <w:t>Removing the Rebate from Tier 2</w:t>
      </w:r>
      <w:r w:rsidR="00B670BA">
        <w:rPr>
          <w:rStyle w:val="normaltextrun"/>
          <w:rFonts w:asciiTheme="minorHAnsi" w:eastAsiaTheme="majorEastAsia" w:hAnsiTheme="minorHAnsi" w:cs="Arial"/>
        </w:rPr>
        <w:t xml:space="preserve"> was </w:t>
      </w:r>
      <w:r w:rsidR="0085232D">
        <w:rPr>
          <w:rStyle w:val="normaltextrun"/>
          <w:rFonts w:asciiTheme="minorHAnsi" w:eastAsiaTheme="majorEastAsia" w:hAnsiTheme="minorHAnsi" w:cs="Arial"/>
        </w:rPr>
        <w:t xml:space="preserve">suggested in </w:t>
      </w:r>
      <w:r w:rsidR="00B670BA">
        <w:rPr>
          <w:rStyle w:val="normaltextrun"/>
          <w:rFonts w:asciiTheme="minorHAnsi" w:eastAsiaTheme="majorEastAsia" w:hAnsiTheme="minorHAnsi" w:cs="Arial"/>
        </w:rPr>
        <w:t xml:space="preserve">the </w:t>
      </w:r>
      <w:r w:rsidR="0085232D">
        <w:rPr>
          <w:rStyle w:val="normaltextrun"/>
          <w:rFonts w:asciiTheme="minorHAnsi" w:eastAsiaTheme="majorEastAsia" w:hAnsiTheme="minorHAnsi" w:cs="Arial"/>
        </w:rPr>
        <w:t>2022-</w:t>
      </w:r>
      <w:r w:rsidR="00026678">
        <w:rPr>
          <w:rStyle w:val="normaltextrun"/>
          <w:rFonts w:asciiTheme="minorHAnsi" w:eastAsiaTheme="majorEastAsia" w:hAnsiTheme="minorHAnsi" w:cs="Arial"/>
        </w:rPr>
        <w:t>20</w:t>
      </w:r>
      <w:r w:rsidR="0085232D">
        <w:rPr>
          <w:rStyle w:val="normaltextrun"/>
          <w:rFonts w:asciiTheme="minorHAnsi" w:eastAsiaTheme="majorEastAsia" w:hAnsiTheme="minorHAnsi" w:cs="Arial"/>
        </w:rPr>
        <w:t xml:space="preserve">23 </w:t>
      </w:r>
      <w:r w:rsidR="00B670BA">
        <w:rPr>
          <w:rStyle w:val="normaltextrun"/>
          <w:rFonts w:asciiTheme="minorHAnsi" w:eastAsiaTheme="majorEastAsia" w:hAnsiTheme="minorHAnsi" w:cs="Arial"/>
        </w:rPr>
        <w:t>independent study</w:t>
      </w:r>
      <w:r w:rsidR="00B670BA">
        <w:rPr>
          <w:rStyle w:val="FootnoteReference"/>
          <w:rFonts w:asciiTheme="minorHAnsi" w:eastAsiaTheme="majorEastAsia" w:hAnsiTheme="minorHAnsi" w:cs="Arial"/>
        </w:rPr>
        <w:footnoteReference w:id="9"/>
      </w:r>
      <w:r w:rsidR="00CF0580">
        <w:rPr>
          <w:rStyle w:val="normaltextrun"/>
          <w:rFonts w:asciiTheme="minorHAnsi" w:eastAsiaTheme="majorEastAsia" w:hAnsiTheme="minorHAnsi" w:cs="Arial"/>
        </w:rPr>
        <w:t>.</w:t>
      </w:r>
      <w:r w:rsidR="117A31B3" w:rsidRPr="46C64733">
        <w:rPr>
          <w:rStyle w:val="normaltextrun"/>
          <w:rFonts w:asciiTheme="minorHAnsi" w:eastAsiaTheme="majorEastAsia" w:hAnsiTheme="minorHAnsi" w:cs="Arial"/>
        </w:rPr>
        <w:t xml:space="preserve"> </w:t>
      </w:r>
      <w:r w:rsidR="117A31B3" w:rsidRPr="66E45470">
        <w:rPr>
          <w:rStyle w:val="normaltextrun"/>
          <w:rFonts w:asciiTheme="minorHAnsi" w:eastAsiaTheme="majorEastAsia" w:hAnsiTheme="minorHAnsi" w:cs="Arial"/>
        </w:rPr>
        <w:t xml:space="preserve">The study also </w:t>
      </w:r>
      <w:r w:rsidR="00146086">
        <w:rPr>
          <w:rStyle w:val="normaltextrun"/>
          <w:rFonts w:asciiTheme="minorHAnsi" w:eastAsiaTheme="majorEastAsia" w:hAnsiTheme="minorHAnsi" w:cs="Arial"/>
        </w:rPr>
        <w:t>explored</w:t>
      </w:r>
      <w:r w:rsidR="117A31B3" w:rsidRPr="66E45470">
        <w:rPr>
          <w:rStyle w:val="normaltextrun"/>
          <w:rFonts w:asciiTheme="minorHAnsi" w:eastAsiaTheme="majorEastAsia" w:hAnsiTheme="minorHAnsi" w:cs="Arial"/>
        </w:rPr>
        <w:t xml:space="preserve"> </w:t>
      </w:r>
      <w:r w:rsidR="117A31B3" w:rsidRPr="35C4C0B0">
        <w:rPr>
          <w:rStyle w:val="normaltextrun"/>
          <w:rFonts w:asciiTheme="minorHAnsi" w:eastAsiaTheme="majorEastAsia" w:hAnsiTheme="minorHAnsi" w:cs="Arial"/>
        </w:rPr>
        <w:t xml:space="preserve">removing the Rebate for Tier 1 </w:t>
      </w:r>
      <w:proofErr w:type="gramStart"/>
      <w:r w:rsidR="117A31B3" w:rsidRPr="6AC2A8D5">
        <w:rPr>
          <w:rStyle w:val="normaltextrun"/>
          <w:rFonts w:asciiTheme="minorHAnsi" w:eastAsiaTheme="majorEastAsia" w:hAnsiTheme="minorHAnsi" w:cs="Arial"/>
        </w:rPr>
        <w:t>earners</w:t>
      </w:r>
      <w:r w:rsidR="002760EE">
        <w:rPr>
          <w:rStyle w:val="normaltextrun"/>
          <w:rFonts w:asciiTheme="minorHAnsi" w:eastAsiaTheme="majorEastAsia" w:hAnsiTheme="minorHAnsi" w:cs="Arial"/>
        </w:rPr>
        <w:t>,</w:t>
      </w:r>
      <w:r w:rsidR="117A31B3" w:rsidRPr="6AC2A8D5">
        <w:rPr>
          <w:rStyle w:val="normaltextrun"/>
          <w:rFonts w:asciiTheme="minorHAnsi" w:eastAsiaTheme="majorEastAsia" w:hAnsiTheme="minorHAnsi" w:cs="Arial"/>
        </w:rPr>
        <w:t xml:space="preserve"> </w:t>
      </w:r>
      <w:r w:rsidR="003525E1">
        <w:rPr>
          <w:rStyle w:val="normaltextrun"/>
          <w:rFonts w:asciiTheme="minorHAnsi" w:eastAsiaTheme="majorEastAsia" w:hAnsiTheme="minorHAnsi" w:cs="Arial"/>
        </w:rPr>
        <w:t>and</w:t>
      </w:r>
      <w:proofErr w:type="gramEnd"/>
      <w:r w:rsidR="117A31B3" w:rsidRPr="6BA9F5CB">
        <w:rPr>
          <w:rStyle w:val="normaltextrun"/>
          <w:rFonts w:asciiTheme="minorHAnsi" w:eastAsiaTheme="majorEastAsia" w:hAnsiTheme="minorHAnsi" w:cs="Arial"/>
        </w:rPr>
        <w:t xml:space="preserve"> </w:t>
      </w:r>
      <w:r w:rsidR="00146086">
        <w:rPr>
          <w:rStyle w:val="normaltextrun"/>
          <w:rFonts w:asciiTheme="minorHAnsi" w:eastAsiaTheme="majorEastAsia" w:hAnsiTheme="minorHAnsi" w:cs="Arial"/>
        </w:rPr>
        <w:t>suggested</w:t>
      </w:r>
      <w:r w:rsidR="117A31B3" w:rsidRPr="6BA9F5CB">
        <w:rPr>
          <w:rStyle w:val="normaltextrun"/>
          <w:rFonts w:asciiTheme="minorHAnsi" w:eastAsiaTheme="majorEastAsia" w:hAnsiTheme="minorHAnsi" w:cs="Arial"/>
        </w:rPr>
        <w:t xml:space="preserve"> that the MLS </w:t>
      </w:r>
      <w:r w:rsidR="003525E1">
        <w:rPr>
          <w:rStyle w:val="normaltextrun"/>
          <w:rFonts w:asciiTheme="minorHAnsi" w:eastAsiaTheme="majorEastAsia" w:hAnsiTheme="minorHAnsi" w:cs="Arial"/>
        </w:rPr>
        <w:t>provides</w:t>
      </w:r>
      <w:r w:rsidR="117A31B3" w:rsidRPr="6BA9F5CB">
        <w:rPr>
          <w:rStyle w:val="normaltextrun"/>
          <w:rFonts w:asciiTheme="minorHAnsi" w:eastAsiaTheme="majorEastAsia" w:hAnsiTheme="minorHAnsi" w:cs="Arial"/>
        </w:rPr>
        <w:t xml:space="preserve"> a sufficient incentive for</w:t>
      </w:r>
      <w:r w:rsidR="117A31B3" w:rsidRPr="2A00428C">
        <w:rPr>
          <w:rStyle w:val="normaltextrun"/>
          <w:rFonts w:asciiTheme="minorHAnsi" w:eastAsiaTheme="majorEastAsia" w:hAnsiTheme="minorHAnsi" w:cs="Arial"/>
        </w:rPr>
        <w:t xml:space="preserve"> Tier 1</w:t>
      </w:r>
      <w:r w:rsidR="00146086">
        <w:rPr>
          <w:rStyle w:val="normaltextrun"/>
          <w:rFonts w:asciiTheme="minorHAnsi" w:eastAsiaTheme="majorEastAsia" w:hAnsiTheme="minorHAnsi" w:cs="Arial"/>
        </w:rPr>
        <w:t xml:space="preserve"> and 2</w:t>
      </w:r>
      <w:r w:rsidR="117A31B3" w:rsidRPr="2A00428C">
        <w:rPr>
          <w:rStyle w:val="normaltextrun"/>
          <w:rFonts w:asciiTheme="minorHAnsi" w:eastAsiaTheme="majorEastAsia" w:hAnsiTheme="minorHAnsi" w:cs="Arial"/>
        </w:rPr>
        <w:t xml:space="preserve"> earners to retain PHI.</w:t>
      </w:r>
    </w:p>
    <w:p w14:paraId="065FA458" w14:textId="0C26D12F" w:rsidR="00194D4F" w:rsidRDefault="00D170AB" w:rsidP="00D65DB8">
      <w:pPr>
        <w:pStyle w:val="CABNETParagraph"/>
        <w:keepNext/>
        <w:spacing w:before="0"/>
        <w:rPr>
          <w:rStyle w:val="normaltextrun"/>
          <w:rFonts w:asciiTheme="minorHAnsi" w:eastAsiaTheme="majorEastAsia" w:hAnsiTheme="minorHAnsi" w:cs="Arial"/>
        </w:rPr>
      </w:pPr>
      <w:r w:rsidRPr="2AF732E7">
        <w:rPr>
          <w:rStyle w:val="normaltextrun"/>
          <w:rFonts w:asciiTheme="minorHAnsi" w:eastAsiaTheme="majorEastAsia" w:hAnsiTheme="minorHAnsi" w:cs="Arial"/>
        </w:rPr>
        <w:t xml:space="preserve">This option would address the policy objective of ensuring the Rebate is equitably targeted by ensuring the Rebate is only set with reference to income, not age. </w:t>
      </w:r>
      <w:r w:rsidR="00373EA5" w:rsidRPr="2AF732E7">
        <w:rPr>
          <w:rStyle w:val="normaltextrun"/>
          <w:rFonts w:asciiTheme="minorHAnsi" w:eastAsiaTheme="majorEastAsia" w:hAnsiTheme="minorHAnsi" w:cs="Arial"/>
        </w:rPr>
        <w:t xml:space="preserve">This option </w:t>
      </w:r>
      <w:r w:rsidR="004E4D85" w:rsidRPr="2AF732E7">
        <w:rPr>
          <w:rStyle w:val="normaltextrun"/>
          <w:rFonts w:asciiTheme="minorHAnsi" w:eastAsiaTheme="majorEastAsia" w:hAnsiTheme="minorHAnsi" w:cs="Arial"/>
        </w:rPr>
        <w:t xml:space="preserve">would </w:t>
      </w:r>
      <w:r w:rsidR="00373EA5" w:rsidRPr="2AF732E7">
        <w:rPr>
          <w:rStyle w:val="normaltextrun"/>
          <w:rFonts w:asciiTheme="minorHAnsi" w:eastAsiaTheme="majorEastAsia" w:hAnsiTheme="minorHAnsi" w:cs="Arial"/>
        </w:rPr>
        <w:t>also contribute to ensuring the Rebate is spent on cohorts where it is likely to influence individual decisions to hold PHI, as older Australians will continue to hold PHI despite a reduction in the Rebate (</w:t>
      </w:r>
      <w:r w:rsidR="00464CB0" w:rsidRPr="2AF732E7">
        <w:rPr>
          <w:rStyle w:val="normaltextrun"/>
          <w:rFonts w:asciiTheme="minorHAnsi" w:eastAsiaTheme="majorEastAsia" w:hAnsiTheme="minorHAnsi" w:cs="Arial"/>
        </w:rPr>
        <w:t xml:space="preserve">see </w:t>
      </w:r>
      <w:r w:rsidR="00373EA5" w:rsidRPr="2AF732E7">
        <w:rPr>
          <w:rStyle w:val="normaltextrun"/>
          <w:rFonts w:asciiTheme="minorHAnsi" w:eastAsiaTheme="majorEastAsia" w:hAnsiTheme="minorHAnsi" w:cs="Arial"/>
        </w:rPr>
        <w:t xml:space="preserve">Table </w:t>
      </w:r>
      <w:r w:rsidR="0056625D" w:rsidRPr="2AF732E7">
        <w:rPr>
          <w:rStyle w:val="normaltextrun"/>
          <w:rFonts w:asciiTheme="minorHAnsi" w:eastAsiaTheme="majorEastAsia" w:hAnsiTheme="minorHAnsi" w:cs="Arial"/>
        </w:rPr>
        <w:t>1</w:t>
      </w:r>
      <w:r w:rsidR="0092471D">
        <w:rPr>
          <w:rStyle w:val="normaltextrun"/>
          <w:rFonts w:asciiTheme="minorHAnsi" w:eastAsiaTheme="majorEastAsia" w:hAnsiTheme="minorHAnsi" w:cs="Arial"/>
        </w:rPr>
        <w:t>8</w:t>
      </w:r>
      <w:r w:rsidR="00373EA5" w:rsidRPr="2AF732E7">
        <w:rPr>
          <w:rStyle w:val="normaltextrun"/>
          <w:rFonts w:asciiTheme="minorHAnsi" w:eastAsiaTheme="majorEastAsia" w:hAnsiTheme="minorHAnsi" w:cs="Arial"/>
        </w:rPr>
        <w:t>).</w:t>
      </w:r>
      <w:r w:rsidR="00373EA5" w:rsidRPr="2AF732E7">
        <w:rPr>
          <w:rFonts w:eastAsia="Times New Roman" w:cs="Arial"/>
          <w:sz w:val="18"/>
          <w:szCs w:val="18"/>
          <w:lang w:eastAsia="en-AU"/>
        </w:rPr>
        <w:t xml:space="preserve"> </w:t>
      </w:r>
      <w:r w:rsidR="00AE1BAB" w:rsidRPr="2AF732E7">
        <w:rPr>
          <w:rStyle w:val="normaltextrun"/>
          <w:rFonts w:asciiTheme="minorHAnsi" w:eastAsiaTheme="majorEastAsia" w:hAnsiTheme="minorHAnsi" w:cs="Arial"/>
        </w:rPr>
        <w:t xml:space="preserve">The reduction </w:t>
      </w:r>
      <w:r w:rsidR="006A241F" w:rsidRPr="2AF732E7">
        <w:rPr>
          <w:rStyle w:val="normaltextrun"/>
          <w:rFonts w:asciiTheme="minorHAnsi" w:eastAsiaTheme="majorEastAsia" w:hAnsiTheme="minorHAnsi" w:cs="Arial"/>
        </w:rPr>
        <w:t xml:space="preserve">of the </w:t>
      </w:r>
      <w:r w:rsidR="00141207" w:rsidRPr="2AF732E7">
        <w:rPr>
          <w:rStyle w:val="normaltextrun"/>
          <w:rFonts w:asciiTheme="minorHAnsi" w:eastAsiaTheme="majorEastAsia" w:hAnsiTheme="minorHAnsi" w:cs="Arial"/>
        </w:rPr>
        <w:t xml:space="preserve">Rebate for </w:t>
      </w:r>
      <w:r w:rsidR="00234FC0">
        <w:rPr>
          <w:rStyle w:val="normaltextrun"/>
          <w:rFonts w:asciiTheme="minorHAnsi" w:eastAsiaTheme="majorEastAsia" w:hAnsiTheme="minorHAnsi" w:cs="Arial"/>
        </w:rPr>
        <w:t xml:space="preserve">all </w:t>
      </w:r>
      <w:r w:rsidR="00141207" w:rsidRPr="2AF732E7">
        <w:rPr>
          <w:rStyle w:val="normaltextrun"/>
          <w:rFonts w:asciiTheme="minorHAnsi" w:eastAsiaTheme="majorEastAsia" w:hAnsiTheme="minorHAnsi" w:cs="Arial"/>
        </w:rPr>
        <w:t xml:space="preserve">people </w:t>
      </w:r>
      <w:r w:rsidR="00732F56">
        <w:rPr>
          <w:rStyle w:val="normaltextrun"/>
          <w:rFonts w:asciiTheme="minorHAnsi" w:eastAsiaTheme="majorEastAsia" w:hAnsiTheme="minorHAnsi" w:cs="Arial"/>
        </w:rPr>
        <w:t>in</w:t>
      </w:r>
      <w:r w:rsidR="00732F56" w:rsidRPr="2AF732E7">
        <w:rPr>
          <w:rStyle w:val="normaltextrun"/>
          <w:rFonts w:asciiTheme="minorHAnsi" w:eastAsiaTheme="majorEastAsia" w:hAnsiTheme="minorHAnsi" w:cs="Arial"/>
        </w:rPr>
        <w:t xml:space="preserve"> </w:t>
      </w:r>
      <w:r w:rsidR="006A241F" w:rsidRPr="2AF732E7">
        <w:rPr>
          <w:rStyle w:val="normaltextrun"/>
          <w:rFonts w:asciiTheme="minorHAnsi" w:eastAsiaTheme="majorEastAsia" w:hAnsiTheme="minorHAnsi" w:cs="Arial"/>
        </w:rPr>
        <w:t>Tier 1</w:t>
      </w:r>
      <w:r w:rsidR="00141207" w:rsidRPr="2AF732E7">
        <w:rPr>
          <w:rStyle w:val="normaltextrun"/>
          <w:rFonts w:asciiTheme="minorHAnsi" w:eastAsiaTheme="majorEastAsia" w:hAnsiTheme="minorHAnsi" w:cs="Arial"/>
        </w:rPr>
        <w:t xml:space="preserve"> </w:t>
      </w:r>
      <w:r w:rsidR="00AE1BAB" w:rsidRPr="2AF732E7">
        <w:rPr>
          <w:rStyle w:val="normaltextrun"/>
          <w:rFonts w:asciiTheme="minorHAnsi" w:eastAsiaTheme="majorEastAsia" w:hAnsiTheme="minorHAnsi" w:cs="Arial"/>
        </w:rPr>
        <w:t xml:space="preserve">and removal for those on Tier 2 </w:t>
      </w:r>
      <w:r w:rsidR="00C955AA" w:rsidRPr="2AF732E7">
        <w:rPr>
          <w:rStyle w:val="normaltextrun"/>
          <w:rFonts w:asciiTheme="minorHAnsi" w:eastAsiaTheme="majorEastAsia" w:hAnsiTheme="minorHAnsi" w:cs="Arial"/>
        </w:rPr>
        <w:t xml:space="preserve">would </w:t>
      </w:r>
      <w:r w:rsidR="000556B1" w:rsidRPr="2AF732E7">
        <w:rPr>
          <w:rStyle w:val="normaltextrun"/>
          <w:rFonts w:asciiTheme="minorHAnsi" w:eastAsiaTheme="majorEastAsia" w:hAnsiTheme="minorHAnsi" w:cs="Arial"/>
        </w:rPr>
        <w:t>target</w:t>
      </w:r>
      <w:r w:rsidR="00474608" w:rsidRPr="2AF732E7">
        <w:rPr>
          <w:rStyle w:val="normaltextrun"/>
          <w:rFonts w:asciiTheme="minorHAnsi" w:eastAsiaTheme="majorEastAsia" w:hAnsiTheme="minorHAnsi" w:cs="Arial"/>
        </w:rPr>
        <w:t xml:space="preserve"> the </w:t>
      </w:r>
      <w:r w:rsidR="005B1828">
        <w:rPr>
          <w:rStyle w:val="normaltextrun"/>
          <w:rFonts w:asciiTheme="minorHAnsi" w:eastAsiaTheme="majorEastAsia" w:hAnsiTheme="minorHAnsi" w:cs="Arial"/>
        </w:rPr>
        <w:t>Rebate</w:t>
      </w:r>
      <w:r w:rsidR="00474608" w:rsidRPr="2AF732E7">
        <w:rPr>
          <w:rStyle w:val="normaltextrun"/>
          <w:rFonts w:asciiTheme="minorHAnsi" w:eastAsiaTheme="majorEastAsia" w:hAnsiTheme="minorHAnsi" w:cs="Arial"/>
        </w:rPr>
        <w:t xml:space="preserve"> expenditure </w:t>
      </w:r>
      <w:r w:rsidR="000556B1" w:rsidRPr="2AF732E7">
        <w:rPr>
          <w:rStyle w:val="normaltextrun"/>
          <w:rFonts w:asciiTheme="minorHAnsi" w:eastAsiaTheme="majorEastAsia" w:hAnsiTheme="minorHAnsi" w:cs="Arial"/>
        </w:rPr>
        <w:t>to</w:t>
      </w:r>
      <w:r w:rsidR="00DE1CCF" w:rsidRPr="2AF732E7">
        <w:rPr>
          <w:rStyle w:val="normaltextrun"/>
          <w:rFonts w:asciiTheme="minorHAnsi" w:eastAsiaTheme="majorEastAsia" w:hAnsiTheme="minorHAnsi" w:cs="Arial"/>
        </w:rPr>
        <w:t xml:space="preserve"> the lowest income earners</w:t>
      </w:r>
      <w:r w:rsidR="00AE1BAB" w:rsidRPr="2AF732E7">
        <w:rPr>
          <w:rStyle w:val="normaltextrun"/>
          <w:rFonts w:asciiTheme="minorHAnsi" w:eastAsiaTheme="majorEastAsia" w:hAnsiTheme="minorHAnsi" w:cs="Arial"/>
        </w:rPr>
        <w:t>.</w:t>
      </w:r>
      <w:r w:rsidR="009A7D9D">
        <w:rPr>
          <w:rStyle w:val="normaltextrun"/>
          <w:rFonts w:asciiTheme="minorHAnsi" w:eastAsiaTheme="majorEastAsia" w:hAnsiTheme="minorHAnsi" w:cs="Arial"/>
        </w:rPr>
        <w:t xml:space="preserve"> </w:t>
      </w:r>
    </w:p>
    <w:p w14:paraId="4DD66D36" w14:textId="2018317E" w:rsidR="00194D4F" w:rsidRDefault="00A41FA0" w:rsidP="00194D4F">
      <w:pPr>
        <w:pStyle w:val="CABNETParagraph"/>
        <w:keepNext/>
        <w:spacing w:before="0"/>
        <w:rPr>
          <w:rStyle w:val="normaltextrun"/>
          <w:rFonts w:asciiTheme="minorHAnsi" w:eastAsiaTheme="majorEastAsia" w:hAnsiTheme="minorHAnsi" w:cs="Arial"/>
        </w:rPr>
      </w:pPr>
      <w:r>
        <w:rPr>
          <w:rStyle w:val="normaltextrun"/>
          <w:rFonts w:asciiTheme="minorHAnsi" w:eastAsiaTheme="majorEastAsia" w:hAnsiTheme="minorHAnsi" w:cs="Arial"/>
        </w:rPr>
        <w:t>Community rating</w:t>
      </w:r>
      <w:r w:rsidR="00194D4F">
        <w:rPr>
          <w:rStyle w:val="normaltextrun"/>
          <w:rFonts w:asciiTheme="minorHAnsi" w:eastAsiaTheme="majorEastAsia" w:hAnsiTheme="minorHAnsi" w:cs="Arial"/>
        </w:rPr>
        <w:t xml:space="preserve"> would be maintained under this option, i.e. all policy holders pay the same premium for the same policy, regardless of their gender, age or health status. Older </w:t>
      </w:r>
      <w:r w:rsidR="0042317D">
        <w:rPr>
          <w:rStyle w:val="normaltextrun"/>
          <w:rFonts w:asciiTheme="minorHAnsi" w:eastAsiaTheme="majorEastAsia" w:hAnsiTheme="minorHAnsi" w:cs="Arial"/>
        </w:rPr>
        <w:t xml:space="preserve">or sicker </w:t>
      </w:r>
      <w:r w:rsidR="00194D4F">
        <w:rPr>
          <w:rStyle w:val="normaltextrun"/>
          <w:rFonts w:asciiTheme="minorHAnsi" w:eastAsiaTheme="majorEastAsia" w:hAnsiTheme="minorHAnsi" w:cs="Arial"/>
        </w:rPr>
        <w:t xml:space="preserve">Australians would therefore continue to be protected from higher premium costs that would be associated with risk-rated insurance by their claims being cross-subsidised by the premiums paid by younger </w:t>
      </w:r>
      <w:r w:rsidR="0042317D">
        <w:rPr>
          <w:rStyle w:val="normaltextrun"/>
          <w:rFonts w:asciiTheme="minorHAnsi" w:eastAsiaTheme="majorEastAsia" w:hAnsiTheme="minorHAnsi" w:cs="Arial"/>
        </w:rPr>
        <w:t xml:space="preserve">or </w:t>
      </w:r>
      <w:r w:rsidR="00194D4F">
        <w:rPr>
          <w:rStyle w:val="normaltextrun"/>
          <w:rFonts w:asciiTheme="minorHAnsi" w:eastAsiaTheme="majorEastAsia" w:hAnsiTheme="minorHAnsi" w:cs="Arial"/>
        </w:rPr>
        <w:t>healthier policy holders.</w:t>
      </w:r>
    </w:p>
    <w:p w14:paraId="21D1C7BF" w14:textId="3998A2D4" w:rsidR="00281EDB" w:rsidRDefault="00281EDB" w:rsidP="00281EDB">
      <w:pPr>
        <w:pStyle w:val="paragraph"/>
        <w:spacing w:before="0" w:beforeAutospacing="0" w:after="0" w:afterAutospacing="0"/>
        <w:textAlignment w:val="baseline"/>
        <w:rPr>
          <w:rStyle w:val="normaltextrun"/>
          <w:rFonts w:asciiTheme="minorHAnsi" w:eastAsiaTheme="majorEastAsia" w:hAnsiTheme="minorHAnsi" w:cs="Arial"/>
          <w:sz w:val="22"/>
          <w:szCs w:val="22"/>
        </w:rPr>
      </w:pPr>
      <w:r>
        <w:rPr>
          <w:rStyle w:val="normaltextrun"/>
          <w:rFonts w:asciiTheme="minorHAnsi" w:eastAsiaTheme="majorEastAsia" w:hAnsiTheme="minorHAnsi" w:cs="Arial"/>
          <w:sz w:val="22"/>
          <w:szCs w:val="22"/>
        </w:rPr>
        <w:t xml:space="preserve">Figure 4 below shows the average PHI benefits paid per person compared with average premiums after the Rebate for the Base income Tier (noting </w:t>
      </w:r>
      <w:proofErr w:type="gramStart"/>
      <w:r>
        <w:rPr>
          <w:rStyle w:val="normaltextrun"/>
          <w:rFonts w:asciiTheme="minorHAnsi" w:eastAsiaTheme="majorEastAsia" w:hAnsiTheme="minorHAnsi" w:cs="Arial"/>
          <w:sz w:val="22"/>
          <w:szCs w:val="22"/>
        </w:rPr>
        <w:t>the majority of</w:t>
      </w:r>
      <w:proofErr w:type="gramEnd"/>
      <w:r>
        <w:rPr>
          <w:rStyle w:val="normaltextrun"/>
          <w:rFonts w:asciiTheme="minorHAnsi" w:eastAsiaTheme="majorEastAsia" w:hAnsiTheme="minorHAnsi" w:cs="Arial"/>
          <w:sz w:val="22"/>
          <w:szCs w:val="22"/>
        </w:rPr>
        <w:t xml:space="preserve"> insured people are in this tier). </w:t>
      </w:r>
    </w:p>
    <w:p w14:paraId="34B2A2B9" w14:textId="0C7E54FD" w:rsidR="00956BBC" w:rsidRPr="007010B1" w:rsidRDefault="00956BBC" w:rsidP="00956BBC">
      <w:pPr>
        <w:pStyle w:val="Heading3"/>
      </w:pPr>
      <w:r w:rsidRPr="007010B1">
        <w:lastRenderedPageBreak/>
        <w:t xml:space="preserve">Figure </w:t>
      </w:r>
      <w:r>
        <w:t>4</w:t>
      </w:r>
      <w:r w:rsidRPr="007010B1">
        <w:t xml:space="preserve">: </w:t>
      </w:r>
      <w:r>
        <w:t>Average PHI benefits paid per person by age compared with average premium for a single by product tier (after Rebate under Option 3 for Base income Tier)</w:t>
      </w:r>
    </w:p>
    <w:p w14:paraId="76591586" w14:textId="3A7228E4" w:rsidR="00767B6B" w:rsidRDefault="00767B6B" w:rsidP="00956BBC">
      <w:pPr>
        <w:spacing w:after="0" w:line="240" w:lineRule="auto"/>
        <w:rPr>
          <w:noProof/>
        </w:rPr>
      </w:pPr>
      <w:r>
        <w:rPr>
          <w:noProof/>
        </w:rPr>
        <w:drawing>
          <wp:inline distT="0" distB="0" distL="0" distR="0" wp14:anchorId="3A1EF68A" wp14:editId="36640D3E">
            <wp:extent cx="6100876" cy="2900406"/>
            <wp:effectExtent l="0" t="0" r="0" b="0"/>
            <wp:docPr id="1049726831" name="Picture 4" descr="Chart demonstrating the cost of average benefits and average premiums after the Rebate, by age. Average benefits is below average premiums till approximately 50-54, then rapidly increases and is above average premiums for people aged 65 and older. Average premiums after the rebate do not change based on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26831" name="Picture 4" descr="Chart demonstrating the cost of average benefits and average premiums after the Rebate, by age. Average benefits is below average premiums till approximately 50-54, then rapidly increases and is above average premiums for people aged 65 and older. Average premiums after the rebate do not change based on 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2383" cy="2905877"/>
                    </a:xfrm>
                    <a:prstGeom prst="rect">
                      <a:avLst/>
                    </a:prstGeom>
                    <a:noFill/>
                  </pic:spPr>
                </pic:pic>
              </a:graphicData>
            </a:graphic>
          </wp:inline>
        </w:drawing>
      </w:r>
    </w:p>
    <w:p w14:paraId="1B967845" w14:textId="22D23C1E" w:rsidR="00956BBC" w:rsidRDefault="00956BBC" w:rsidP="00956BBC">
      <w:pPr>
        <w:spacing w:after="0" w:line="240" w:lineRule="auto"/>
        <w:rPr>
          <w:sz w:val="16"/>
          <w:szCs w:val="16"/>
        </w:rPr>
      </w:pPr>
      <w:r w:rsidRPr="000861B0">
        <w:rPr>
          <w:sz w:val="16"/>
          <w:szCs w:val="16"/>
        </w:rPr>
        <w:t>Source: Average benefits – APRA quarterly PHI data (</w:t>
      </w:r>
      <w:r w:rsidRPr="000861B0">
        <w:rPr>
          <w:sz w:val="16"/>
          <w:szCs w:val="16"/>
          <w:lang w:val="en-GB"/>
        </w:rPr>
        <w:t xml:space="preserve">benefits paid are calculated for the 12 months to </w:t>
      </w:r>
      <w:r>
        <w:rPr>
          <w:sz w:val="16"/>
          <w:szCs w:val="16"/>
          <w:lang w:val="en-GB"/>
        </w:rPr>
        <w:t>December</w:t>
      </w:r>
      <w:r w:rsidRPr="000861B0">
        <w:rPr>
          <w:sz w:val="16"/>
          <w:szCs w:val="16"/>
          <w:lang w:val="en-GB"/>
        </w:rPr>
        <w:t xml:space="preserve"> 2025</w:t>
      </w:r>
      <w:r>
        <w:rPr>
          <w:sz w:val="16"/>
          <w:szCs w:val="16"/>
          <w:lang w:val="en-GB"/>
        </w:rPr>
        <w:t xml:space="preserve"> and i</w:t>
      </w:r>
      <w:r w:rsidRPr="000861B0">
        <w:rPr>
          <w:sz w:val="16"/>
          <w:szCs w:val="16"/>
          <w:lang w:val="en-GB"/>
        </w:rPr>
        <w:t xml:space="preserve">nsured persons are as </w:t>
      </w:r>
      <w:proofErr w:type="gramStart"/>
      <w:r w:rsidRPr="000861B0">
        <w:rPr>
          <w:sz w:val="16"/>
          <w:szCs w:val="16"/>
          <w:lang w:val="en-GB"/>
        </w:rPr>
        <w:t>at</w:t>
      </w:r>
      <w:proofErr w:type="gramEnd"/>
      <w:r w:rsidRPr="000861B0">
        <w:rPr>
          <w:sz w:val="16"/>
          <w:szCs w:val="16"/>
          <w:lang w:val="en-GB"/>
        </w:rPr>
        <w:t xml:space="preserve"> 31 </w:t>
      </w:r>
      <w:r>
        <w:rPr>
          <w:sz w:val="16"/>
          <w:szCs w:val="16"/>
          <w:lang w:val="en-GB"/>
        </w:rPr>
        <w:t>December</w:t>
      </w:r>
      <w:r w:rsidRPr="000861B0" w:rsidDel="00013342">
        <w:rPr>
          <w:sz w:val="16"/>
          <w:szCs w:val="16"/>
          <w:lang w:val="en-GB"/>
        </w:rPr>
        <w:t xml:space="preserve"> </w:t>
      </w:r>
      <w:r w:rsidRPr="000861B0">
        <w:rPr>
          <w:sz w:val="16"/>
          <w:szCs w:val="16"/>
          <w:lang w:val="en-GB"/>
        </w:rPr>
        <w:t xml:space="preserve">2025.) Average premiums – private health information statements, Commonwealth Ombudsman, average premiums for Singles policy by tier after standard </w:t>
      </w:r>
      <w:r>
        <w:rPr>
          <w:sz w:val="16"/>
          <w:szCs w:val="16"/>
          <w:lang w:val="en-GB"/>
        </w:rPr>
        <w:t>Rebate</w:t>
      </w:r>
      <w:r w:rsidRPr="000861B0">
        <w:rPr>
          <w:sz w:val="16"/>
          <w:szCs w:val="16"/>
          <w:lang w:val="en-GB"/>
        </w:rPr>
        <w:t xml:space="preserve"> observed </w:t>
      </w:r>
      <w:proofErr w:type="gramStart"/>
      <w:r w:rsidRPr="000861B0">
        <w:rPr>
          <w:sz w:val="16"/>
          <w:szCs w:val="16"/>
          <w:lang w:val="en-GB"/>
        </w:rPr>
        <w:t>at</w:t>
      </w:r>
      <w:proofErr w:type="gramEnd"/>
      <w:r w:rsidRPr="000861B0">
        <w:rPr>
          <w:sz w:val="16"/>
          <w:szCs w:val="16"/>
          <w:lang w:val="en-GB"/>
        </w:rPr>
        <w:t xml:space="preserve"> </w:t>
      </w:r>
      <w:r>
        <w:rPr>
          <w:sz w:val="16"/>
          <w:szCs w:val="16"/>
          <w:lang w:val="en-GB"/>
        </w:rPr>
        <w:t>1 April 2026</w:t>
      </w:r>
      <w:r w:rsidRPr="000861B0">
        <w:rPr>
          <w:sz w:val="16"/>
          <w:szCs w:val="16"/>
          <w:lang w:val="en-GB"/>
        </w:rPr>
        <w:t xml:space="preserve"> </w:t>
      </w:r>
      <w:r w:rsidRPr="000861B0">
        <w:rPr>
          <w:sz w:val="16"/>
          <w:szCs w:val="16"/>
        </w:rPr>
        <w:t>excluding corporate policies.</w:t>
      </w:r>
    </w:p>
    <w:p w14:paraId="39CD90EA" w14:textId="77777777" w:rsidR="0092289E" w:rsidRDefault="0092289E" w:rsidP="0092289E">
      <w:pPr>
        <w:spacing w:after="0" w:line="240" w:lineRule="auto"/>
        <w:rPr>
          <w:sz w:val="16"/>
          <w:szCs w:val="16"/>
        </w:rPr>
      </w:pPr>
      <w:r>
        <w:rPr>
          <w:sz w:val="16"/>
          <w:szCs w:val="16"/>
        </w:rPr>
        <w:t xml:space="preserve">Note: presented as after Rebate for the Base income tier (noting that </w:t>
      </w:r>
      <w:proofErr w:type="gramStart"/>
      <w:r>
        <w:rPr>
          <w:sz w:val="16"/>
          <w:szCs w:val="16"/>
        </w:rPr>
        <w:t>the majority of</w:t>
      </w:r>
      <w:proofErr w:type="gramEnd"/>
      <w:r>
        <w:rPr>
          <w:sz w:val="16"/>
          <w:szCs w:val="16"/>
        </w:rPr>
        <w:t xml:space="preserve"> policy holders are in this tier).</w:t>
      </w:r>
    </w:p>
    <w:p w14:paraId="42691E25" w14:textId="77777777" w:rsidR="00F11572" w:rsidRDefault="00F11572">
      <w:pPr>
        <w:spacing w:after="200" w:line="288" w:lineRule="auto"/>
        <w:rPr>
          <w:rFonts w:asciiTheme="majorHAnsi" w:eastAsiaTheme="majorEastAsia" w:hAnsiTheme="majorHAnsi" w:cstheme="majorBidi"/>
          <w:color w:val="1C2B39" w:themeColor="accent1"/>
          <w:sz w:val="48"/>
          <w:szCs w:val="48"/>
        </w:rPr>
      </w:pPr>
      <w:r>
        <w:rPr>
          <w:szCs w:val="48"/>
        </w:rPr>
        <w:br w:type="page"/>
      </w:r>
    </w:p>
    <w:p w14:paraId="07DD2249" w14:textId="1AB23A09" w:rsidR="000251A4" w:rsidRPr="00F11572" w:rsidRDefault="009E255F" w:rsidP="00FE3AE0">
      <w:pPr>
        <w:pStyle w:val="Heading1"/>
        <w:numPr>
          <w:ilvl w:val="0"/>
          <w:numId w:val="15"/>
        </w:numPr>
        <w:spacing w:before="0"/>
        <w:rPr>
          <w:szCs w:val="48"/>
        </w:rPr>
      </w:pPr>
      <w:r w:rsidRPr="00F11572">
        <w:rPr>
          <w:szCs w:val="48"/>
        </w:rPr>
        <w:lastRenderedPageBreak/>
        <w:t>What is the likely net benefit of each option?</w:t>
      </w:r>
    </w:p>
    <w:p w14:paraId="3B4E0999" w14:textId="7E5A3BF2" w:rsidR="008833BD" w:rsidRPr="0045221A" w:rsidRDefault="00672579" w:rsidP="008833BD">
      <w:r>
        <w:t>The</w:t>
      </w:r>
      <w:r w:rsidR="00C87900">
        <w:t xml:space="preserve"> following analysis of the</w:t>
      </w:r>
      <w:r>
        <w:t xml:space="preserve"> </w:t>
      </w:r>
      <w:r w:rsidR="008833BD" w:rsidRPr="0045221A">
        <w:t xml:space="preserve">likely net benefit of each option </w:t>
      </w:r>
      <w:r w:rsidR="00DC35F3">
        <w:t>considers both q</w:t>
      </w:r>
      <w:r w:rsidR="008833BD" w:rsidRPr="0045221A">
        <w:t xml:space="preserve">uantitative and qualitative </w:t>
      </w:r>
      <w:r w:rsidR="00E90ECD">
        <w:t>factors</w:t>
      </w:r>
      <w:r>
        <w:t>:</w:t>
      </w:r>
    </w:p>
    <w:p w14:paraId="3BD30BAC" w14:textId="66BAA879" w:rsidR="008833BD" w:rsidRDefault="00E90ECD" w:rsidP="00061104">
      <w:pPr>
        <w:pStyle w:val="ListParagraph"/>
        <w:numPr>
          <w:ilvl w:val="0"/>
          <w:numId w:val="37"/>
        </w:numPr>
      </w:pPr>
      <w:r>
        <w:t>T</w:t>
      </w:r>
      <w:r w:rsidR="008833BD" w:rsidRPr="0045221A">
        <w:t xml:space="preserve">he estimated </w:t>
      </w:r>
      <w:r w:rsidR="00806A19">
        <w:t xml:space="preserve">direct </w:t>
      </w:r>
      <w:r w:rsidR="008833BD" w:rsidRPr="0045221A">
        <w:t>regulatory burden of each option</w:t>
      </w:r>
      <w:r w:rsidR="00A41760">
        <w:t>.</w:t>
      </w:r>
    </w:p>
    <w:p w14:paraId="7A7DA001" w14:textId="5F109326" w:rsidR="00D21F82" w:rsidRDefault="00A41760" w:rsidP="00061104">
      <w:pPr>
        <w:pStyle w:val="ListParagraph"/>
        <w:numPr>
          <w:ilvl w:val="0"/>
          <w:numId w:val="37"/>
        </w:numPr>
      </w:pPr>
      <w:r>
        <w:t>A</w:t>
      </w:r>
      <w:r w:rsidR="008833BD" w:rsidRPr="0045221A">
        <w:t xml:space="preserve"> multi-criteria analysis</w:t>
      </w:r>
      <w:r w:rsidR="00F15436">
        <w:t xml:space="preserve"> </w:t>
      </w:r>
      <w:r w:rsidR="009F1CCA">
        <w:t>of</w:t>
      </w:r>
      <w:r w:rsidR="00D21F82">
        <w:t xml:space="preserve"> each option against:</w:t>
      </w:r>
    </w:p>
    <w:p w14:paraId="2A739E33" w14:textId="686CA9BE" w:rsidR="008833BD" w:rsidRDefault="00D21F82" w:rsidP="00061104">
      <w:pPr>
        <w:pStyle w:val="ListParagraph"/>
        <w:numPr>
          <w:ilvl w:val="1"/>
          <w:numId w:val="37"/>
        </w:numPr>
      </w:pPr>
      <w:r>
        <w:t xml:space="preserve">the </w:t>
      </w:r>
      <w:r w:rsidR="00540E6A">
        <w:t>o</w:t>
      </w:r>
      <w:r>
        <w:t>bjective</w:t>
      </w:r>
      <w:r w:rsidR="00B858A0">
        <w:t>s</w:t>
      </w:r>
      <w:r w:rsidR="006F1E6B">
        <w:t xml:space="preserve"> described in section 2</w:t>
      </w:r>
    </w:p>
    <w:p w14:paraId="096E866C" w14:textId="2BB8CEA4" w:rsidR="00B858A0" w:rsidRPr="0045221A" w:rsidRDefault="006F1E6B" w:rsidP="00061104">
      <w:pPr>
        <w:pStyle w:val="ListParagraph"/>
        <w:numPr>
          <w:ilvl w:val="1"/>
          <w:numId w:val="37"/>
        </w:numPr>
      </w:pPr>
      <w:r>
        <w:t xml:space="preserve">the </w:t>
      </w:r>
      <w:r w:rsidR="00B705AF">
        <w:t>impacts o</w:t>
      </w:r>
      <w:r w:rsidR="006D7FB5">
        <w:t>n</w:t>
      </w:r>
      <w:r w:rsidR="00B705AF">
        <w:t xml:space="preserve"> stakeholders, such as consumers, private health insurers, private hospitals, public hospitals, and medical professionals</w:t>
      </w:r>
      <w:r w:rsidR="004D7789">
        <w:t>.</w:t>
      </w:r>
    </w:p>
    <w:p w14:paraId="4C8EDFA9" w14:textId="7B5335EB" w:rsidR="007975C1" w:rsidRDefault="007975C1" w:rsidP="008833BD">
      <w:r>
        <w:t>The regulatory burden was estimated to be greatest for Option 3, followed by Option 2 and Option</w:t>
      </w:r>
      <w:r w:rsidR="00191177">
        <w:t> </w:t>
      </w:r>
      <w:r>
        <w:t>1.</w:t>
      </w:r>
      <w:r w:rsidR="008D6F6F">
        <w:t xml:space="preserve"> </w:t>
      </w:r>
      <w:r>
        <w:t xml:space="preserve">The </w:t>
      </w:r>
      <w:r w:rsidR="00CD582A">
        <w:t xml:space="preserve">best option </w:t>
      </w:r>
      <w:r w:rsidR="00152519">
        <w:t>identified</w:t>
      </w:r>
      <w:r w:rsidR="00CD582A">
        <w:t xml:space="preserve"> through the multi-criteria analysis is Option 2, followed by Option 3 and </w:t>
      </w:r>
      <w:r w:rsidR="00152519">
        <w:t xml:space="preserve">then </w:t>
      </w:r>
      <w:r w:rsidR="00CD582A">
        <w:t>Option 1</w:t>
      </w:r>
      <w:r w:rsidR="00191177">
        <w:t>.</w:t>
      </w:r>
      <w:r w:rsidR="0004621A">
        <w:t xml:space="preserve"> Option 1 </w:t>
      </w:r>
      <w:r w:rsidR="00191177">
        <w:t xml:space="preserve">is least preferred because it </w:t>
      </w:r>
      <w:r w:rsidR="0004621A">
        <w:t>would not achieve the objectives</w:t>
      </w:r>
      <w:r w:rsidR="00CD582A">
        <w:t>.</w:t>
      </w:r>
    </w:p>
    <w:p w14:paraId="3088E6C4" w14:textId="77D94859" w:rsidR="008833BD" w:rsidRPr="0045221A" w:rsidRDefault="008833BD" w:rsidP="008833BD">
      <w:r w:rsidRPr="0045221A">
        <w:t xml:space="preserve">This </w:t>
      </w:r>
      <w:r w:rsidR="00B71D36">
        <w:t xml:space="preserve">analytical </w:t>
      </w:r>
      <w:r w:rsidRPr="0045221A">
        <w:t>approach was taken</w:t>
      </w:r>
      <w:r w:rsidR="009F3C99">
        <w:t>,</w:t>
      </w:r>
      <w:r w:rsidRPr="0045221A">
        <w:t xml:space="preserve"> noting:</w:t>
      </w:r>
    </w:p>
    <w:p w14:paraId="0F09B7AF" w14:textId="77777777" w:rsidR="008833BD" w:rsidRPr="0045221A" w:rsidRDefault="008833BD" w:rsidP="00061104">
      <w:pPr>
        <w:pStyle w:val="ListParagraph"/>
        <w:numPr>
          <w:ilvl w:val="0"/>
          <w:numId w:val="37"/>
        </w:numPr>
      </w:pPr>
      <w:r w:rsidRPr="0045221A">
        <w:t>the difficulty in quantifying benefits and regulatory costs</w:t>
      </w:r>
    </w:p>
    <w:p w14:paraId="02D87D2F" w14:textId="424875E0" w:rsidR="008833BD" w:rsidRPr="0045221A" w:rsidRDefault="008833BD" w:rsidP="00061104">
      <w:pPr>
        <w:pStyle w:val="ListParagraph"/>
        <w:numPr>
          <w:ilvl w:val="0"/>
          <w:numId w:val="37"/>
        </w:numPr>
      </w:pPr>
      <w:r w:rsidRPr="0045221A">
        <w:t>the number of variables influencing the impact of each option</w:t>
      </w:r>
    </w:p>
    <w:p w14:paraId="464727ED" w14:textId="77777777" w:rsidR="008833BD" w:rsidRDefault="008833BD" w:rsidP="00061104">
      <w:pPr>
        <w:pStyle w:val="ListParagraph"/>
        <w:numPr>
          <w:ilvl w:val="0"/>
          <w:numId w:val="37"/>
        </w:numPr>
      </w:pPr>
      <w:r w:rsidRPr="0045221A">
        <w:t>existing and potential future Government interventions on stated or similar objectives.</w:t>
      </w:r>
    </w:p>
    <w:p w14:paraId="32D37D40" w14:textId="37E638F2" w:rsidR="008833BD" w:rsidRPr="0092471D" w:rsidRDefault="002B5EDC" w:rsidP="0092471D">
      <w:pPr>
        <w:pStyle w:val="Heading2"/>
      </w:pPr>
      <w:r>
        <w:br w:type="column"/>
      </w:r>
      <w:r w:rsidR="00F451F1" w:rsidRPr="0092471D">
        <w:lastRenderedPageBreak/>
        <w:t xml:space="preserve">4.1 </w:t>
      </w:r>
      <w:r w:rsidR="00F4769E" w:rsidRPr="0092471D">
        <w:t>Modelling</w:t>
      </w:r>
    </w:p>
    <w:p w14:paraId="090CEA2F" w14:textId="7A447C2B" w:rsidR="00F4769E" w:rsidRDefault="003D17D6" w:rsidP="003D17D6">
      <w:pPr>
        <w:spacing w:before="120" w:after="120"/>
      </w:pPr>
      <w:r>
        <w:t>The costings</w:t>
      </w:r>
      <w:r w:rsidR="003008F9">
        <w:t xml:space="preserve"> for </w:t>
      </w:r>
      <w:r w:rsidR="002222E1">
        <w:t>savings</w:t>
      </w:r>
      <w:r>
        <w:t xml:space="preserve"> and</w:t>
      </w:r>
      <w:r w:rsidR="002222E1">
        <w:t xml:space="preserve"> the</w:t>
      </w:r>
      <w:r>
        <w:t xml:space="preserve"> estimates of insured people and </w:t>
      </w:r>
      <w:r w:rsidR="005B1828">
        <w:t>Rebate</w:t>
      </w:r>
      <w:r>
        <w:t xml:space="preserve"> per person </w:t>
      </w:r>
      <w:r w:rsidR="001C1682">
        <w:t xml:space="preserve">for all three options </w:t>
      </w:r>
      <w:r w:rsidRPr="00147DFF">
        <w:t xml:space="preserve">were </w:t>
      </w:r>
      <w:r>
        <w:t xml:space="preserve">estimated </w:t>
      </w:r>
      <w:r w:rsidRPr="00147DFF">
        <w:t>using the “PHI Rebate Forward Estimates Model”, which ha</w:t>
      </w:r>
      <w:r>
        <w:t>s</w:t>
      </w:r>
      <w:r w:rsidRPr="00147DFF">
        <w:t xml:space="preserve"> been used for all PHI </w:t>
      </w:r>
      <w:r w:rsidR="001E7182">
        <w:t xml:space="preserve">Rebate </w:t>
      </w:r>
      <w:r w:rsidRPr="00147DFF">
        <w:t>forward estimates and costings approved by the Department of Finance over the past</w:t>
      </w:r>
      <w:r w:rsidR="00C0544D">
        <w:t xml:space="preserve"> 7</w:t>
      </w:r>
      <w:r w:rsidRPr="00147DFF">
        <w:t xml:space="preserve">+ years. </w:t>
      </w:r>
      <w:r>
        <w:t xml:space="preserve">The PHI </w:t>
      </w:r>
      <w:r w:rsidR="005B1828">
        <w:t>Rebate</w:t>
      </w:r>
      <w:r>
        <w:t xml:space="preserve"> model</w:t>
      </w:r>
      <w:r w:rsidRPr="00147DFF">
        <w:t xml:space="preserve"> uses Generalised Linear Models (GLMs) to predict whether people would buy </w:t>
      </w:r>
      <w:r w:rsidR="00016637">
        <w:t>PHI</w:t>
      </w:r>
      <w:r w:rsidRPr="00147DFF">
        <w:t xml:space="preserve"> based on </w:t>
      </w:r>
      <w:proofErr w:type="gramStart"/>
      <w:r w:rsidRPr="00147DFF">
        <w:t>various different</w:t>
      </w:r>
      <w:proofErr w:type="gramEnd"/>
      <w:r w:rsidRPr="00147DFF">
        <w:t xml:space="preserve"> demographic characteristics like age, gender</w:t>
      </w:r>
      <w:r>
        <w:t xml:space="preserve"> and</w:t>
      </w:r>
      <w:r w:rsidRPr="00147DFF">
        <w:t xml:space="preserve"> income as well as PHI incentives like MLS and PHI </w:t>
      </w:r>
      <w:r w:rsidR="005B1828">
        <w:t>Rebate</w:t>
      </w:r>
      <w:r w:rsidRPr="00147DFF">
        <w:t>. This means the PHI costings were not assumptions </w:t>
      </w:r>
      <w:proofErr w:type="gramStart"/>
      <w:r w:rsidRPr="00147DFF">
        <w:t>based, but</w:t>
      </w:r>
      <w:proofErr w:type="gramEnd"/>
      <w:r w:rsidRPr="00147DFF">
        <w:t xml:space="preserve"> driven by statistical regression. </w:t>
      </w:r>
      <w:r w:rsidRPr="003C3B01">
        <w:t>Further details of the model are provided in the Additional Information section.</w:t>
      </w:r>
      <w:r w:rsidRPr="00147DFF">
        <w:t> </w:t>
      </w:r>
    </w:p>
    <w:p w14:paraId="66C7A748" w14:textId="3EC61521" w:rsidR="003D17D6" w:rsidRPr="00147DFF" w:rsidRDefault="003D17D6" w:rsidP="000C2BF4">
      <w:pPr>
        <w:pStyle w:val="Heading3"/>
      </w:pPr>
      <w:r w:rsidRPr="00147DFF">
        <w:t>Figure </w:t>
      </w:r>
      <w:r w:rsidR="00956BBC">
        <w:rPr>
          <w:bCs/>
        </w:rPr>
        <w:t>5</w:t>
      </w:r>
      <w:r>
        <w:t>:</w:t>
      </w:r>
      <w:r w:rsidRPr="00147DFF">
        <w:t> Modelling module structure </w:t>
      </w:r>
    </w:p>
    <w:p w14:paraId="146963D4" w14:textId="77777777" w:rsidR="003D17D6" w:rsidRDefault="003D17D6" w:rsidP="003D17D6">
      <w:r>
        <w:rPr>
          <w:noProof/>
        </w:rPr>
        <w:drawing>
          <wp:inline distT="0" distB="0" distL="0" distR="0" wp14:anchorId="2A277A5C" wp14:editId="2DBD3E94">
            <wp:extent cx="6053069" cy="3505200"/>
            <wp:effectExtent l="0" t="0" r="5080" b="0"/>
            <wp:docPr id="1053097316" name="Picture 2" descr="A simplified diagram of the Model is shown. The Model comprises various modules that consider demographic, economic, participation and premium factors, that is used to generate a forecast and return an output. Rebate expenditure is the sum of the number of insured adults, the average premium, and the Rebate rate being multiplied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97316" name="Picture 2" descr="A simplified diagram of the Model is shown. The Model comprises various modules that consider demographic, economic, participation and premium factors, that is used to generate a forecast and return an output. Rebate expenditure is the sum of the number of insured adults, the average premium, and the Rebate rate being multiplied togeth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9192" cy="3549281"/>
                    </a:xfrm>
                    <a:prstGeom prst="rect">
                      <a:avLst/>
                    </a:prstGeom>
                    <a:noFill/>
                    <a:ln>
                      <a:noFill/>
                    </a:ln>
                  </pic:spPr>
                </pic:pic>
              </a:graphicData>
            </a:graphic>
          </wp:inline>
        </w:drawing>
      </w:r>
      <w:r w:rsidRPr="0011EF4A">
        <w:rPr>
          <w:b/>
          <w:smallCaps/>
          <w:color w:val="4D759C"/>
          <w:lang w:val="en-US"/>
        </w:rPr>
        <w:t> </w:t>
      </w:r>
    </w:p>
    <w:p w14:paraId="4587896D" w14:textId="77777777" w:rsidR="00BA6723" w:rsidRDefault="00BA6723">
      <w:pPr>
        <w:spacing w:after="200" w:line="288" w:lineRule="auto"/>
        <w:rPr>
          <w:rFonts w:asciiTheme="majorHAnsi" w:eastAsiaTheme="majorEastAsia" w:hAnsiTheme="majorHAnsi" w:cstheme="majorBidi"/>
          <w:color w:val="1C2B39" w:themeColor="accent1"/>
          <w:sz w:val="36"/>
          <w:szCs w:val="28"/>
        </w:rPr>
      </w:pPr>
      <w:r>
        <w:br w:type="page"/>
      </w:r>
    </w:p>
    <w:p w14:paraId="7678DC09" w14:textId="4BC3EE0A" w:rsidR="008833BD" w:rsidRPr="00F451F1" w:rsidRDefault="00F451F1" w:rsidP="00F451F1">
      <w:pPr>
        <w:pStyle w:val="Heading2"/>
      </w:pPr>
      <w:r>
        <w:lastRenderedPageBreak/>
        <w:t xml:space="preserve">4.2 </w:t>
      </w:r>
      <w:r w:rsidR="008833BD" w:rsidRPr="00F451F1">
        <w:t xml:space="preserve">Estimated regulatory burden </w:t>
      </w:r>
    </w:p>
    <w:p w14:paraId="159E32AB" w14:textId="185FFEA5" w:rsidR="008833BD" w:rsidRDefault="003D67DB" w:rsidP="008833BD">
      <w:r>
        <w:t xml:space="preserve">The estimated regulatory burden </w:t>
      </w:r>
      <w:r w:rsidR="00296FA5">
        <w:t xml:space="preserve">is provided in Table </w:t>
      </w:r>
      <w:r w:rsidR="000C2BF4">
        <w:t>6</w:t>
      </w:r>
      <w:r w:rsidR="00296FA5" w:rsidRPr="004B109A">
        <w:t xml:space="preserve"> </w:t>
      </w:r>
      <w:r w:rsidR="00296FA5">
        <w:t>below</w:t>
      </w:r>
      <w:r w:rsidR="00B56A7F">
        <w:t xml:space="preserve">. Due to the </w:t>
      </w:r>
      <w:r w:rsidR="00FA6C92">
        <w:t>confidentiality required of Budget processes, the department did not consult</w:t>
      </w:r>
      <w:r w:rsidR="002F4EF0">
        <w:t xml:space="preserve"> with industry </w:t>
      </w:r>
      <w:r w:rsidR="00A31717">
        <w:t>on the expected regulatory burden associated with the proposed options.</w:t>
      </w:r>
    </w:p>
    <w:p w14:paraId="4CE638AE" w14:textId="743B0981" w:rsidR="00296FA5" w:rsidRDefault="00296FA5" w:rsidP="000C2BF4">
      <w:pPr>
        <w:pStyle w:val="Heading3"/>
      </w:pPr>
      <w:r w:rsidRPr="000861B0">
        <w:t xml:space="preserve">Table </w:t>
      </w:r>
      <w:r w:rsidR="000C2BF4">
        <w:rPr>
          <w:bCs/>
        </w:rPr>
        <w:t>6</w:t>
      </w:r>
      <w:r w:rsidRPr="000861B0">
        <w:t xml:space="preserve">: </w:t>
      </w:r>
      <w:r w:rsidR="00975025">
        <w:t xml:space="preserve">summary of </w:t>
      </w:r>
      <w:r w:rsidRPr="000861B0">
        <w:t>regulatory burden estimate</w:t>
      </w:r>
      <w:r>
        <w:t xml:space="preserve"> </w:t>
      </w:r>
      <w:r w:rsidR="009E4D4B">
        <w:t>for each</w:t>
      </w:r>
      <w:r>
        <w:t xml:space="preserve"> option</w:t>
      </w:r>
    </w:p>
    <w:tbl>
      <w:tblPr>
        <w:tblStyle w:val="Custom1"/>
        <w:tblW w:w="0" w:type="auto"/>
        <w:tblLook w:val="0660" w:firstRow="1" w:lastRow="1" w:firstColumn="0" w:lastColumn="0" w:noHBand="1" w:noVBand="1"/>
        <w:tblDescription w:val="Table shows the one-off regulatory burden. Only businesses under option 2 and 3 have this burden, which is higher for Option 3 ($1,324,140 across all insurers) than option 2 ($689,584 across all insurers)."/>
      </w:tblPr>
      <w:tblGrid>
        <w:gridCol w:w="1418"/>
        <w:gridCol w:w="1975"/>
        <w:gridCol w:w="1976"/>
        <w:gridCol w:w="1976"/>
        <w:gridCol w:w="1976"/>
      </w:tblGrid>
      <w:tr w:rsidR="00E960C9" w:rsidRPr="000861B0" w14:paraId="6DBBD4C0" w14:textId="77777777" w:rsidTr="003726F8">
        <w:trPr>
          <w:cnfStyle w:val="100000000000" w:firstRow="1" w:lastRow="0" w:firstColumn="0" w:lastColumn="0" w:oddVBand="0" w:evenVBand="0" w:oddHBand="0" w:evenHBand="0" w:firstRowFirstColumn="0" w:firstRowLastColumn="0" w:lastRowFirstColumn="0" w:lastRowLastColumn="0"/>
          <w:trHeight w:val="350"/>
          <w:tblHeader/>
        </w:trPr>
        <w:tc>
          <w:tcPr>
            <w:tcW w:w="9321" w:type="dxa"/>
            <w:gridSpan w:val="5"/>
          </w:tcPr>
          <w:p w14:paraId="378B1545" w14:textId="77777777" w:rsidR="00E960C9" w:rsidRPr="000861B0" w:rsidRDefault="00E960C9">
            <w:pPr>
              <w:spacing w:after="0" w:line="240" w:lineRule="auto"/>
              <w:rPr>
                <w:rFonts w:ascii="Segoe UI" w:hAnsi="Segoe UI" w:cs="Segoe UI"/>
                <w:color w:val="FFFFFF" w:themeColor="background1"/>
              </w:rPr>
            </w:pPr>
            <w:r w:rsidRPr="0011EF4A">
              <w:rPr>
                <w:rFonts w:ascii="Segoe UI" w:hAnsi="Segoe UI" w:cs="Segoe UI"/>
                <w:color w:val="FFFFFF" w:themeColor="background2"/>
              </w:rPr>
              <w:t>One-off regulatory burden</w:t>
            </w:r>
          </w:p>
        </w:tc>
      </w:tr>
      <w:tr w:rsidR="00E960C9" w:rsidRPr="000861B0" w14:paraId="30538DC6" w14:textId="77777777" w:rsidTr="003726F8">
        <w:trPr>
          <w:cnfStyle w:val="100000000000" w:firstRow="1" w:lastRow="0" w:firstColumn="0" w:lastColumn="0" w:oddVBand="0" w:evenVBand="0" w:oddHBand="0" w:evenHBand="0" w:firstRowFirstColumn="0" w:firstRowLastColumn="0" w:lastRowFirstColumn="0" w:lastRowLastColumn="0"/>
          <w:trHeight w:val="350"/>
          <w:tblHeader/>
        </w:trPr>
        <w:tc>
          <w:tcPr>
            <w:tcW w:w="1418" w:type="dxa"/>
            <w:shd w:val="clear" w:color="auto" w:fill="auto"/>
          </w:tcPr>
          <w:p w14:paraId="59DDBE0A" w14:textId="7EA7BE41" w:rsidR="00E960C9" w:rsidRPr="000861B0" w:rsidRDefault="00E960C9">
            <w:pPr>
              <w:spacing w:after="0" w:line="240" w:lineRule="auto"/>
            </w:pPr>
          </w:p>
        </w:tc>
        <w:tc>
          <w:tcPr>
            <w:tcW w:w="1975" w:type="dxa"/>
            <w:shd w:val="clear" w:color="auto" w:fill="auto"/>
          </w:tcPr>
          <w:p w14:paraId="2AD05BE0" w14:textId="77777777" w:rsidR="00E960C9" w:rsidRPr="003D67DB" w:rsidRDefault="00E960C9">
            <w:pPr>
              <w:spacing w:after="0" w:line="240" w:lineRule="auto"/>
              <w:rPr>
                <w:b w:val="0"/>
                <w:bCs/>
              </w:rPr>
            </w:pPr>
            <w:r w:rsidRPr="003D67DB">
              <w:rPr>
                <w:bCs/>
              </w:rPr>
              <w:t>Individuals</w:t>
            </w:r>
          </w:p>
        </w:tc>
        <w:tc>
          <w:tcPr>
            <w:tcW w:w="1976" w:type="dxa"/>
            <w:shd w:val="clear" w:color="auto" w:fill="auto"/>
          </w:tcPr>
          <w:p w14:paraId="16617CD7" w14:textId="77777777" w:rsidR="00E960C9" w:rsidRPr="003D67DB" w:rsidRDefault="00E960C9">
            <w:pPr>
              <w:spacing w:after="0" w:line="240" w:lineRule="auto"/>
              <w:rPr>
                <w:b w:val="0"/>
                <w:bCs/>
              </w:rPr>
            </w:pPr>
            <w:r w:rsidRPr="003D67DB">
              <w:rPr>
                <w:bCs/>
              </w:rPr>
              <w:t xml:space="preserve">Business </w:t>
            </w:r>
          </w:p>
        </w:tc>
        <w:tc>
          <w:tcPr>
            <w:tcW w:w="1976" w:type="dxa"/>
            <w:shd w:val="clear" w:color="auto" w:fill="auto"/>
          </w:tcPr>
          <w:p w14:paraId="34FEFD20" w14:textId="77777777" w:rsidR="00E960C9" w:rsidRPr="003D67DB" w:rsidRDefault="00491DEC">
            <w:pPr>
              <w:spacing w:after="0" w:line="240" w:lineRule="auto"/>
              <w:rPr>
                <w:b w:val="0"/>
                <w:bCs/>
              </w:rPr>
            </w:pPr>
            <w:r w:rsidRPr="003D67DB">
              <w:rPr>
                <w:bCs/>
              </w:rPr>
              <w:t>Community organisations</w:t>
            </w:r>
          </w:p>
        </w:tc>
        <w:tc>
          <w:tcPr>
            <w:tcW w:w="1976" w:type="dxa"/>
            <w:shd w:val="clear" w:color="auto" w:fill="auto"/>
          </w:tcPr>
          <w:p w14:paraId="3541973B" w14:textId="016F2EFA" w:rsidR="00E960C9" w:rsidRPr="003D67DB" w:rsidRDefault="00907FCA">
            <w:pPr>
              <w:spacing w:after="0" w:line="240" w:lineRule="auto"/>
              <w:rPr>
                <w:b w:val="0"/>
                <w:bCs/>
              </w:rPr>
            </w:pPr>
            <w:r>
              <w:rPr>
                <w:bCs/>
              </w:rPr>
              <w:t>Total one-off regulatory burden</w:t>
            </w:r>
          </w:p>
        </w:tc>
      </w:tr>
      <w:tr w:rsidR="00E960C9" w:rsidRPr="000861B0" w14:paraId="0BF19E53" w14:textId="77777777" w:rsidTr="003726F8">
        <w:trPr>
          <w:cnfStyle w:val="100000000000" w:firstRow="1" w:lastRow="0" w:firstColumn="0" w:lastColumn="0" w:oddVBand="0" w:evenVBand="0" w:oddHBand="0" w:evenHBand="0" w:firstRowFirstColumn="0" w:firstRowLastColumn="0" w:lastRowFirstColumn="0" w:lastRowLastColumn="0"/>
          <w:trHeight w:val="350"/>
          <w:tblHeader/>
        </w:trPr>
        <w:tc>
          <w:tcPr>
            <w:tcW w:w="1418" w:type="dxa"/>
            <w:shd w:val="clear" w:color="auto" w:fill="auto"/>
          </w:tcPr>
          <w:p w14:paraId="1072A885" w14:textId="35164524" w:rsidR="00E960C9" w:rsidRPr="003D67DB" w:rsidRDefault="00491DEC">
            <w:pPr>
              <w:spacing w:after="0" w:line="240" w:lineRule="auto"/>
              <w:rPr>
                <w:b w:val="0"/>
                <w:bCs/>
              </w:rPr>
            </w:pPr>
            <w:r w:rsidRPr="003D67DB">
              <w:rPr>
                <w:bCs/>
              </w:rPr>
              <w:t>Option 1</w:t>
            </w:r>
          </w:p>
        </w:tc>
        <w:tc>
          <w:tcPr>
            <w:tcW w:w="1975" w:type="dxa"/>
            <w:shd w:val="clear" w:color="auto" w:fill="auto"/>
          </w:tcPr>
          <w:p w14:paraId="19B7A3A7" w14:textId="77777777" w:rsidR="00E960C9" w:rsidRPr="003726F8" w:rsidRDefault="00491DEC">
            <w:pPr>
              <w:spacing w:after="0" w:line="240" w:lineRule="auto"/>
              <w:rPr>
                <w:b w:val="0"/>
                <w:bCs/>
              </w:rPr>
            </w:pPr>
            <w:r w:rsidRPr="003726F8">
              <w:rPr>
                <w:b w:val="0"/>
                <w:bCs/>
              </w:rPr>
              <w:t>$0</w:t>
            </w:r>
          </w:p>
        </w:tc>
        <w:tc>
          <w:tcPr>
            <w:tcW w:w="1976" w:type="dxa"/>
            <w:shd w:val="clear" w:color="auto" w:fill="auto"/>
          </w:tcPr>
          <w:p w14:paraId="350DED06" w14:textId="031D5606" w:rsidR="00E960C9" w:rsidRPr="003726F8" w:rsidRDefault="00491DEC">
            <w:pPr>
              <w:spacing w:after="0" w:line="240" w:lineRule="auto"/>
              <w:rPr>
                <w:b w:val="0"/>
                <w:bCs/>
              </w:rPr>
            </w:pPr>
            <w:r w:rsidRPr="003726F8">
              <w:rPr>
                <w:b w:val="0"/>
                <w:bCs/>
              </w:rPr>
              <w:t>$0</w:t>
            </w:r>
          </w:p>
        </w:tc>
        <w:tc>
          <w:tcPr>
            <w:tcW w:w="1976" w:type="dxa"/>
            <w:shd w:val="clear" w:color="auto" w:fill="auto"/>
          </w:tcPr>
          <w:p w14:paraId="724AD139" w14:textId="77777777" w:rsidR="00E960C9" w:rsidRPr="003726F8" w:rsidRDefault="00491DEC">
            <w:pPr>
              <w:spacing w:after="0" w:line="240" w:lineRule="auto"/>
              <w:rPr>
                <w:b w:val="0"/>
                <w:bCs/>
              </w:rPr>
            </w:pPr>
            <w:r w:rsidRPr="003726F8">
              <w:rPr>
                <w:b w:val="0"/>
                <w:bCs/>
              </w:rPr>
              <w:t>$0</w:t>
            </w:r>
          </w:p>
        </w:tc>
        <w:tc>
          <w:tcPr>
            <w:tcW w:w="1976" w:type="dxa"/>
            <w:shd w:val="clear" w:color="auto" w:fill="auto"/>
          </w:tcPr>
          <w:p w14:paraId="3B4973F0" w14:textId="758B40E9" w:rsidR="00E960C9" w:rsidRPr="003726F8" w:rsidRDefault="00491DEC">
            <w:pPr>
              <w:spacing w:after="0" w:line="240" w:lineRule="auto"/>
              <w:rPr>
                <w:b w:val="0"/>
                <w:bCs/>
              </w:rPr>
            </w:pPr>
            <w:r w:rsidRPr="003726F8">
              <w:rPr>
                <w:b w:val="0"/>
                <w:bCs/>
              </w:rPr>
              <w:t>$0</w:t>
            </w:r>
          </w:p>
        </w:tc>
      </w:tr>
      <w:tr w:rsidR="00491DEC" w:rsidRPr="000861B0" w14:paraId="27084827" w14:textId="77777777" w:rsidTr="003726F8">
        <w:trPr>
          <w:cnfStyle w:val="100000000000" w:firstRow="1" w:lastRow="0" w:firstColumn="0" w:lastColumn="0" w:oddVBand="0" w:evenVBand="0" w:oddHBand="0" w:evenHBand="0" w:firstRowFirstColumn="0" w:firstRowLastColumn="0" w:lastRowFirstColumn="0" w:lastRowLastColumn="0"/>
          <w:trHeight w:val="350"/>
          <w:tblHeader/>
        </w:trPr>
        <w:tc>
          <w:tcPr>
            <w:tcW w:w="1418" w:type="dxa"/>
            <w:shd w:val="clear" w:color="auto" w:fill="auto"/>
          </w:tcPr>
          <w:p w14:paraId="197817B1" w14:textId="08FA67E7" w:rsidR="00491DEC" w:rsidRPr="003D67DB" w:rsidRDefault="00491DEC" w:rsidP="00491DEC">
            <w:pPr>
              <w:spacing w:after="0" w:line="240" w:lineRule="auto"/>
              <w:rPr>
                <w:b w:val="0"/>
                <w:bCs/>
              </w:rPr>
            </w:pPr>
            <w:r w:rsidRPr="003D67DB">
              <w:rPr>
                <w:bCs/>
              </w:rPr>
              <w:t>Option 2</w:t>
            </w:r>
          </w:p>
        </w:tc>
        <w:tc>
          <w:tcPr>
            <w:tcW w:w="1975" w:type="dxa"/>
            <w:shd w:val="clear" w:color="auto" w:fill="auto"/>
          </w:tcPr>
          <w:p w14:paraId="2F319766" w14:textId="1DC1A9B0" w:rsidR="00491DEC" w:rsidRPr="003726F8" w:rsidRDefault="00491DEC" w:rsidP="00491DEC">
            <w:pPr>
              <w:spacing w:after="0" w:line="240" w:lineRule="auto"/>
              <w:rPr>
                <w:b w:val="0"/>
                <w:bCs/>
              </w:rPr>
            </w:pPr>
            <w:r w:rsidRPr="003726F8">
              <w:rPr>
                <w:b w:val="0"/>
                <w:bCs/>
              </w:rPr>
              <w:t>$0</w:t>
            </w:r>
          </w:p>
        </w:tc>
        <w:tc>
          <w:tcPr>
            <w:tcW w:w="1976" w:type="dxa"/>
            <w:shd w:val="clear" w:color="auto" w:fill="auto"/>
          </w:tcPr>
          <w:p w14:paraId="1C8A0371" w14:textId="2997938A" w:rsidR="00491DEC" w:rsidRPr="003726F8" w:rsidRDefault="00491DEC" w:rsidP="00491DEC">
            <w:pPr>
              <w:spacing w:after="0" w:line="240" w:lineRule="auto"/>
              <w:rPr>
                <w:b w:val="0"/>
                <w:bCs/>
              </w:rPr>
            </w:pPr>
            <w:r w:rsidRPr="003726F8">
              <w:rPr>
                <w:b w:val="0"/>
                <w:bCs/>
              </w:rPr>
              <w:t>$689,584</w:t>
            </w:r>
          </w:p>
        </w:tc>
        <w:tc>
          <w:tcPr>
            <w:tcW w:w="1976" w:type="dxa"/>
            <w:shd w:val="clear" w:color="auto" w:fill="auto"/>
          </w:tcPr>
          <w:p w14:paraId="75B2C24A" w14:textId="3703DD5D" w:rsidR="00491DEC" w:rsidRPr="003726F8" w:rsidRDefault="00491DEC" w:rsidP="00491DEC">
            <w:pPr>
              <w:spacing w:after="0" w:line="240" w:lineRule="auto"/>
              <w:rPr>
                <w:b w:val="0"/>
                <w:bCs/>
              </w:rPr>
            </w:pPr>
            <w:r w:rsidRPr="003726F8">
              <w:rPr>
                <w:b w:val="0"/>
                <w:bCs/>
              </w:rPr>
              <w:t>$0</w:t>
            </w:r>
          </w:p>
        </w:tc>
        <w:tc>
          <w:tcPr>
            <w:tcW w:w="1976" w:type="dxa"/>
            <w:shd w:val="clear" w:color="auto" w:fill="auto"/>
          </w:tcPr>
          <w:p w14:paraId="65D49295" w14:textId="7EE95FBB" w:rsidR="00491DEC" w:rsidRPr="003726F8" w:rsidRDefault="003D67DB" w:rsidP="00491DEC">
            <w:pPr>
              <w:spacing w:after="0" w:line="240" w:lineRule="auto"/>
              <w:rPr>
                <w:b w:val="0"/>
                <w:bCs/>
              </w:rPr>
            </w:pPr>
            <w:r w:rsidRPr="003726F8">
              <w:rPr>
                <w:b w:val="0"/>
                <w:bCs/>
              </w:rPr>
              <w:t>$689,584</w:t>
            </w:r>
          </w:p>
        </w:tc>
      </w:tr>
      <w:tr w:rsidR="003D67DB" w:rsidRPr="000861B0" w14:paraId="451D2891" w14:textId="77777777" w:rsidTr="003726F8">
        <w:trPr>
          <w:cnfStyle w:val="100000000000" w:firstRow="1" w:lastRow="0" w:firstColumn="0" w:lastColumn="0" w:oddVBand="0" w:evenVBand="0" w:oddHBand="0" w:evenHBand="0" w:firstRowFirstColumn="0" w:firstRowLastColumn="0" w:lastRowFirstColumn="0" w:lastRowLastColumn="0"/>
          <w:trHeight w:val="350"/>
          <w:tblHeader/>
        </w:trPr>
        <w:tc>
          <w:tcPr>
            <w:tcW w:w="1418" w:type="dxa"/>
            <w:shd w:val="clear" w:color="auto" w:fill="auto"/>
          </w:tcPr>
          <w:p w14:paraId="1C40CF61" w14:textId="34337340" w:rsidR="003D67DB" w:rsidRPr="003D67DB" w:rsidRDefault="003D67DB" w:rsidP="003D67DB">
            <w:pPr>
              <w:spacing w:after="0" w:line="240" w:lineRule="auto"/>
              <w:rPr>
                <w:b w:val="0"/>
                <w:bCs/>
              </w:rPr>
            </w:pPr>
            <w:r w:rsidRPr="003D67DB">
              <w:rPr>
                <w:bCs/>
              </w:rPr>
              <w:t>Option 3</w:t>
            </w:r>
          </w:p>
        </w:tc>
        <w:tc>
          <w:tcPr>
            <w:tcW w:w="1975" w:type="dxa"/>
            <w:shd w:val="clear" w:color="auto" w:fill="auto"/>
          </w:tcPr>
          <w:p w14:paraId="7D606B97" w14:textId="5DF5EAF6" w:rsidR="003D67DB" w:rsidRPr="003726F8" w:rsidRDefault="003D67DB" w:rsidP="003D67DB">
            <w:pPr>
              <w:spacing w:after="0" w:line="240" w:lineRule="auto"/>
              <w:rPr>
                <w:b w:val="0"/>
                <w:bCs/>
              </w:rPr>
            </w:pPr>
            <w:r w:rsidRPr="003726F8">
              <w:rPr>
                <w:b w:val="0"/>
                <w:bCs/>
              </w:rPr>
              <w:t>$0</w:t>
            </w:r>
          </w:p>
        </w:tc>
        <w:tc>
          <w:tcPr>
            <w:tcW w:w="1976" w:type="dxa"/>
            <w:shd w:val="clear" w:color="auto" w:fill="auto"/>
          </w:tcPr>
          <w:p w14:paraId="770C7843" w14:textId="3E43CD83" w:rsidR="003D67DB" w:rsidRPr="003726F8" w:rsidRDefault="003D67DB" w:rsidP="003D67DB">
            <w:pPr>
              <w:spacing w:after="0" w:line="240" w:lineRule="auto"/>
              <w:rPr>
                <w:b w:val="0"/>
                <w:bCs/>
              </w:rPr>
            </w:pPr>
            <w:r w:rsidRPr="003726F8">
              <w:rPr>
                <w:b w:val="0"/>
                <w:bCs/>
              </w:rPr>
              <w:t>$1,324,140</w:t>
            </w:r>
          </w:p>
        </w:tc>
        <w:tc>
          <w:tcPr>
            <w:tcW w:w="1976" w:type="dxa"/>
            <w:shd w:val="clear" w:color="auto" w:fill="auto"/>
          </w:tcPr>
          <w:p w14:paraId="346E9EA6" w14:textId="4A2FF4E1" w:rsidR="003D67DB" w:rsidRPr="003726F8" w:rsidRDefault="003D67DB" w:rsidP="003D67DB">
            <w:pPr>
              <w:spacing w:after="0" w:line="240" w:lineRule="auto"/>
              <w:rPr>
                <w:b w:val="0"/>
                <w:bCs/>
              </w:rPr>
            </w:pPr>
            <w:r w:rsidRPr="003726F8">
              <w:rPr>
                <w:b w:val="0"/>
                <w:bCs/>
              </w:rPr>
              <w:t>$0</w:t>
            </w:r>
          </w:p>
        </w:tc>
        <w:tc>
          <w:tcPr>
            <w:tcW w:w="1976" w:type="dxa"/>
            <w:shd w:val="clear" w:color="auto" w:fill="auto"/>
          </w:tcPr>
          <w:p w14:paraId="12C906F9" w14:textId="2CD230DC" w:rsidR="003D67DB" w:rsidRPr="003726F8" w:rsidRDefault="003D67DB" w:rsidP="003D67DB">
            <w:pPr>
              <w:spacing w:after="0" w:line="240" w:lineRule="auto"/>
              <w:rPr>
                <w:b w:val="0"/>
                <w:bCs/>
              </w:rPr>
            </w:pPr>
            <w:r w:rsidRPr="003726F8">
              <w:rPr>
                <w:b w:val="0"/>
                <w:bCs/>
              </w:rPr>
              <w:t>$1,324,140</w:t>
            </w:r>
          </w:p>
        </w:tc>
      </w:tr>
    </w:tbl>
    <w:p w14:paraId="1379369E" w14:textId="6EB5CBC3" w:rsidR="00C27A2C" w:rsidRDefault="00C27A2C" w:rsidP="00B30C3D">
      <w:pPr>
        <w:spacing w:before="120" w:after="120"/>
      </w:pPr>
      <w:r>
        <w:t xml:space="preserve">There was no identified regulatory burden for individuals and community organisations. </w:t>
      </w:r>
      <w:r w:rsidR="004B508B">
        <w:t>However, broader impacts</w:t>
      </w:r>
      <w:r w:rsidR="00A6033A">
        <w:t xml:space="preserve"> on these groups</w:t>
      </w:r>
      <w:r w:rsidR="004B508B">
        <w:t xml:space="preserve"> have been identified in the multi-criteria analysis in subsection</w:t>
      </w:r>
      <w:r w:rsidR="00500ACF">
        <w:t> </w:t>
      </w:r>
      <w:r w:rsidR="004B508B">
        <w:t>4.3.</w:t>
      </w:r>
    </w:p>
    <w:p w14:paraId="0D3E09E8" w14:textId="76274C9B" w:rsidR="00B30C3D" w:rsidRDefault="00B30C3D" w:rsidP="00B30C3D">
      <w:pPr>
        <w:spacing w:before="120" w:after="120"/>
      </w:pPr>
      <w:r>
        <w:t xml:space="preserve">The estimated regulatory burden </w:t>
      </w:r>
      <w:r w:rsidR="00C27A2C">
        <w:t xml:space="preserve">for </w:t>
      </w:r>
      <w:r w:rsidR="00BD1520">
        <w:t>businesses, specifically private health insurers,</w:t>
      </w:r>
      <w:r w:rsidR="00C27A2C">
        <w:t xml:space="preserve"> </w:t>
      </w:r>
      <w:r>
        <w:t>was calculated by multiplying:</w:t>
      </w:r>
    </w:p>
    <w:p w14:paraId="200EBA96" w14:textId="7D9DAA84" w:rsidR="00B30C3D" w:rsidRDefault="00B30C3D" w:rsidP="00061104">
      <w:pPr>
        <w:pStyle w:val="ListParagraph"/>
        <w:numPr>
          <w:ilvl w:val="0"/>
          <w:numId w:val="37"/>
        </w:numPr>
        <w:spacing w:before="120" w:after="120"/>
      </w:pPr>
      <w:r>
        <w:t xml:space="preserve">the estimated number of hours required </w:t>
      </w:r>
      <w:r w:rsidR="00CE4D83">
        <w:t xml:space="preserve">by insurers </w:t>
      </w:r>
      <w:r>
        <w:t>to comply with legislative adjustments to the Rebate</w:t>
      </w:r>
    </w:p>
    <w:p w14:paraId="7018D3E5" w14:textId="77777777" w:rsidR="00B30C3D" w:rsidRDefault="00B30C3D" w:rsidP="00061104">
      <w:pPr>
        <w:pStyle w:val="ListParagraph"/>
        <w:numPr>
          <w:ilvl w:val="0"/>
          <w:numId w:val="37"/>
        </w:numPr>
        <w:spacing w:before="120" w:after="120"/>
      </w:pPr>
      <w:r>
        <w:t>the number of insurers (28) affected by the change, where relevant</w:t>
      </w:r>
    </w:p>
    <w:p w14:paraId="0385FC5E" w14:textId="6DA0D02A" w:rsidR="00B30C3D" w:rsidRDefault="00B30C3D" w:rsidP="00061104">
      <w:pPr>
        <w:pStyle w:val="ListParagraph"/>
        <w:numPr>
          <w:ilvl w:val="0"/>
          <w:numId w:val="37"/>
        </w:numPr>
        <w:spacing w:before="120" w:after="120"/>
      </w:pPr>
      <w:r>
        <w:t>the default labour cost, which is $85.17 per hour</w:t>
      </w:r>
      <w:r w:rsidR="009C6BBC">
        <w:t>,</w:t>
      </w:r>
      <w:r>
        <w:t xml:space="preserve"> as provided for in the Regulatory Burden Measurement Framework</w:t>
      </w:r>
      <w:r>
        <w:rPr>
          <w:rStyle w:val="FootnoteReference"/>
        </w:rPr>
        <w:footnoteReference w:id="10"/>
      </w:r>
      <w:r>
        <w:t>.</w:t>
      </w:r>
    </w:p>
    <w:p w14:paraId="710A8516" w14:textId="45B6E2DE" w:rsidR="008833BD" w:rsidRDefault="004B508B" w:rsidP="008833BD">
      <w:r>
        <w:t xml:space="preserve">While other businesses (private </w:t>
      </w:r>
      <w:r w:rsidR="00A307D2">
        <w:t xml:space="preserve">and public </w:t>
      </w:r>
      <w:r>
        <w:t>hospitals and medical professionals) do not have a direct regulatory burden, broader</w:t>
      </w:r>
      <w:r w:rsidRPr="004B508B">
        <w:t xml:space="preserve"> </w:t>
      </w:r>
      <w:r>
        <w:t xml:space="preserve">impacts </w:t>
      </w:r>
      <w:r w:rsidR="00931BC4">
        <w:t xml:space="preserve">on these stakeholders </w:t>
      </w:r>
      <w:r>
        <w:t>have been identified in the multi-criteria analysis in subsection 4.3.</w:t>
      </w:r>
    </w:p>
    <w:p w14:paraId="0577B0F0" w14:textId="714C1A90" w:rsidR="000F3865" w:rsidRDefault="00E72103" w:rsidP="008833BD">
      <w:r>
        <w:t xml:space="preserve">Table </w:t>
      </w:r>
      <w:r w:rsidR="000E6FBF">
        <w:t>7</w:t>
      </w:r>
      <w:r>
        <w:t xml:space="preserve"> </w:t>
      </w:r>
      <w:r w:rsidR="007D5B7E">
        <w:t xml:space="preserve">demonstrates </w:t>
      </w:r>
      <w:r>
        <w:t xml:space="preserve">how the summary financial impact as provided </w:t>
      </w:r>
      <w:r w:rsidR="00012F72">
        <w:t xml:space="preserve">in Table </w:t>
      </w:r>
      <w:r w:rsidR="00EF17C0">
        <w:t>6</w:t>
      </w:r>
      <w:r>
        <w:t xml:space="preserve"> was derived</w:t>
      </w:r>
      <w:r w:rsidR="000F3865">
        <w:t xml:space="preserve">. Notably, the increased regulatory burden on business for Option 3 compared to Option 2 is solely driven by the </w:t>
      </w:r>
      <w:r w:rsidR="00264BC2">
        <w:t>higher</w:t>
      </w:r>
      <w:r w:rsidR="000F3865">
        <w:t xml:space="preserve"> the number of policyholders who are directly affected by Option 3, which would increase the number of hours likely expended by industry to handle enquiries from affected policyholders. </w:t>
      </w:r>
      <w:r w:rsidR="000F3335">
        <w:t xml:space="preserve">There is no regulatory burden under </w:t>
      </w:r>
      <w:r w:rsidR="000F3865">
        <w:t>Option 1</w:t>
      </w:r>
      <w:r w:rsidR="00E17E1D">
        <w:t>,</w:t>
      </w:r>
      <w:r w:rsidR="000F3335">
        <w:t xml:space="preserve"> as the status quo is maintained.</w:t>
      </w:r>
    </w:p>
    <w:p w14:paraId="26CED078" w14:textId="77777777" w:rsidR="00E72103" w:rsidRDefault="00E72103">
      <w:pPr>
        <w:spacing w:after="200" w:line="288" w:lineRule="auto"/>
        <w:rPr>
          <w:b/>
          <w:sz w:val="24"/>
          <w:szCs w:val="24"/>
        </w:rPr>
      </w:pPr>
      <w:r>
        <w:rPr>
          <w:b/>
          <w:sz w:val="24"/>
          <w:szCs w:val="24"/>
        </w:rPr>
        <w:br w:type="page"/>
      </w:r>
    </w:p>
    <w:p w14:paraId="2FC027C2" w14:textId="77777777" w:rsidR="00E72103" w:rsidRDefault="00E72103" w:rsidP="00E72103">
      <w:pPr>
        <w:rPr>
          <w:b/>
          <w:sz w:val="24"/>
          <w:szCs w:val="24"/>
        </w:rPr>
        <w:sectPr w:rsidR="00E72103">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843" w:left="1134" w:header="993" w:footer="709" w:gutter="0"/>
          <w:pgNumType w:start="1"/>
          <w:cols w:space="708"/>
          <w:titlePg/>
          <w:docGrid w:linePitch="360"/>
        </w:sectPr>
      </w:pPr>
    </w:p>
    <w:p w14:paraId="79470000" w14:textId="5A24C033" w:rsidR="00E72103" w:rsidRDefault="00E72103" w:rsidP="0029388B">
      <w:pPr>
        <w:pStyle w:val="Heading3"/>
      </w:pPr>
      <w:r w:rsidRPr="000861B0">
        <w:lastRenderedPageBreak/>
        <w:t xml:space="preserve">Table </w:t>
      </w:r>
      <w:r w:rsidR="007C1E97">
        <w:t>7</w:t>
      </w:r>
      <w:r w:rsidRPr="000861B0">
        <w:t xml:space="preserve">: </w:t>
      </w:r>
      <w:r w:rsidR="00975025">
        <w:t xml:space="preserve">detailed </w:t>
      </w:r>
      <w:r w:rsidRPr="000861B0">
        <w:t>regulatory burden estimate</w:t>
      </w:r>
      <w:r>
        <w:t xml:space="preserve"> </w:t>
      </w:r>
      <w:r w:rsidR="009E4D4B">
        <w:t>for each</w:t>
      </w:r>
      <w:r>
        <w:t xml:space="preserve"> option</w:t>
      </w:r>
    </w:p>
    <w:tbl>
      <w:tblPr>
        <w:tblStyle w:val="Custom1"/>
        <w:tblW w:w="0" w:type="auto"/>
        <w:tblLayout w:type="fixed"/>
        <w:tblLook w:val="0660" w:firstRow="1" w:lastRow="1" w:firstColumn="0" w:lastColumn="0" w:noHBand="1" w:noVBand="1"/>
        <w:tblDescription w:val="Table shows the estimated number of hours for business for the one-off regulatory burden. The table uses formatting techniques and spacing to denote each type of estimated regulatory burden. The number of estimated hours is greatest for Option 3 (13,867) than Option 2 (8,097) due to the higher number of policyholders affected. There is no estimated number of hours for Option 1."/>
      </w:tblPr>
      <w:tblGrid>
        <w:gridCol w:w="3893"/>
        <w:gridCol w:w="1494"/>
        <w:gridCol w:w="1369"/>
        <w:gridCol w:w="1262"/>
        <w:gridCol w:w="5276"/>
      </w:tblGrid>
      <w:tr w:rsidR="00E72103" w:rsidRPr="000861B0" w14:paraId="7214BF20" w14:textId="77777777" w:rsidTr="00FE723C">
        <w:trPr>
          <w:cnfStyle w:val="100000000000" w:firstRow="1" w:lastRow="0" w:firstColumn="0" w:lastColumn="0" w:oddVBand="0" w:evenVBand="0" w:oddHBand="0" w:evenHBand="0" w:firstRowFirstColumn="0" w:firstRowLastColumn="0" w:lastRowFirstColumn="0" w:lastRowLastColumn="0"/>
          <w:trHeight w:val="350"/>
          <w:tblHeader/>
        </w:trPr>
        <w:tc>
          <w:tcPr>
            <w:tcW w:w="13294" w:type="dxa"/>
            <w:gridSpan w:val="5"/>
          </w:tcPr>
          <w:p w14:paraId="597B811B" w14:textId="77777777" w:rsidR="00E72103" w:rsidRPr="000861B0" w:rsidRDefault="00E72103">
            <w:pPr>
              <w:spacing w:after="0" w:line="240" w:lineRule="auto"/>
              <w:rPr>
                <w:rFonts w:ascii="Segoe UI" w:hAnsi="Segoe UI" w:cs="Segoe UI"/>
                <w:color w:val="FFFFFF" w:themeColor="background1"/>
              </w:rPr>
            </w:pPr>
            <w:r>
              <w:rPr>
                <w:rFonts w:ascii="Segoe UI" w:hAnsi="Segoe UI" w:cs="Segoe UI"/>
                <w:color w:val="FFFFFF" w:themeColor="background2"/>
              </w:rPr>
              <w:t>Estimated number of hours for business regulatory burden</w:t>
            </w:r>
          </w:p>
        </w:tc>
      </w:tr>
      <w:tr w:rsidR="00E72103" w:rsidRPr="000861B0" w14:paraId="0C16E1EC" w14:textId="77777777" w:rsidTr="00FE723C">
        <w:trPr>
          <w:trHeight w:val="350"/>
        </w:trPr>
        <w:tc>
          <w:tcPr>
            <w:tcW w:w="3893" w:type="dxa"/>
          </w:tcPr>
          <w:p w14:paraId="20F5120F" w14:textId="77777777" w:rsidR="00E72103" w:rsidRPr="00F964AC" w:rsidRDefault="00E72103">
            <w:pPr>
              <w:spacing w:after="0" w:line="240" w:lineRule="auto"/>
              <w:rPr>
                <w:b/>
                <w:bCs/>
              </w:rPr>
            </w:pPr>
            <w:r w:rsidRPr="00F964AC">
              <w:rPr>
                <w:b/>
                <w:bCs/>
              </w:rPr>
              <w:t>Category</w:t>
            </w:r>
          </w:p>
        </w:tc>
        <w:tc>
          <w:tcPr>
            <w:tcW w:w="1494" w:type="dxa"/>
          </w:tcPr>
          <w:p w14:paraId="64766A3F" w14:textId="77777777" w:rsidR="00E72103" w:rsidRPr="00F964AC" w:rsidRDefault="00E72103">
            <w:pPr>
              <w:spacing w:after="0" w:line="240" w:lineRule="auto"/>
              <w:rPr>
                <w:b/>
                <w:bCs/>
              </w:rPr>
            </w:pPr>
            <w:r>
              <w:rPr>
                <w:b/>
                <w:bCs/>
              </w:rPr>
              <w:t>Option 1</w:t>
            </w:r>
          </w:p>
          <w:p w14:paraId="53E91BA9" w14:textId="744488EB" w:rsidR="00E72103" w:rsidRDefault="00E72103">
            <w:pPr>
              <w:spacing w:after="0" w:line="240" w:lineRule="auto"/>
            </w:pPr>
          </w:p>
        </w:tc>
        <w:tc>
          <w:tcPr>
            <w:tcW w:w="1369" w:type="dxa"/>
          </w:tcPr>
          <w:p w14:paraId="738BBB7F" w14:textId="7F44B09D" w:rsidR="009824A2" w:rsidRPr="00F964AC" w:rsidRDefault="009824A2" w:rsidP="009824A2">
            <w:pPr>
              <w:spacing w:after="0" w:line="240" w:lineRule="auto"/>
              <w:rPr>
                <w:b/>
                <w:bCs/>
              </w:rPr>
            </w:pPr>
            <w:r>
              <w:rPr>
                <w:b/>
                <w:bCs/>
              </w:rPr>
              <w:t>Option 2</w:t>
            </w:r>
          </w:p>
          <w:p w14:paraId="43215F6D" w14:textId="41E31D2E" w:rsidR="00E72103" w:rsidRDefault="00E72103">
            <w:pPr>
              <w:spacing w:after="0" w:line="240" w:lineRule="auto"/>
            </w:pPr>
          </w:p>
        </w:tc>
        <w:tc>
          <w:tcPr>
            <w:tcW w:w="1262" w:type="dxa"/>
          </w:tcPr>
          <w:p w14:paraId="33097FD8" w14:textId="49E6CBBE" w:rsidR="009824A2" w:rsidRPr="00F964AC" w:rsidRDefault="009824A2" w:rsidP="009824A2">
            <w:pPr>
              <w:spacing w:after="0" w:line="240" w:lineRule="auto"/>
              <w:rPr>
                <w:b/>
                <w:bCs/>
              </w:rPr>
            </w:pPr>
            <w:r>
              <w:rPr>
                <w:b/>
                <w:bCs/>
              </w:rPr>
              <w:t>Option 3</w:t>
            </w:r>
          </w:p>
          <w:p w14:paraId="74C27E6C" w14:textId="2FE2F22C" w:rsidR="00E72103" w:rsidRPr="00F964AC" w:rsidRDefault="00E72103" w:rsidP="009824A2">
            <w:pPr>
              <w:spacing w:after="0" w:line="240" w:lineRule="auto"/>
              <w:rPr>
                <w:b/>
                <w:bCs/>
              </w:rPr>
            </w:pPr>
          </w:p>
        </w:tc>
        <w:tc>
          <w:tcPr>
            <w:tcW w:w="5276" w:type="dxa"/>
          </w:tcPr>
          <w:p w14:paraId="6478DF2E" w14:textId="77777777" w:rsidR="00E72103" w:rsidRPr="00F964AC" w:rsidRDefault="00E72103">
            <w:pPr>
              <w:spacing w:after="0" w:line="240" w:lineRule="auto"/>
              <w:rPr>
                <w:b/>
                <w:bCs/>
              </w:rPr>
            </w:pPr>
            <w:r w:rsidRPr="00F964AC">
              <w:rPr>
                <w:b/>
                <w:bCs/>
              </w:rPr>
              <w:t>Comments</w:t>
            </w:r>
          </w:p>
        </w:tc>
      </w:tr>
      <w:tr w:rsidR="00E72103" w:rsidRPr="000861B0" w14:paraId="06537D39" w14:textId="77777777" w:rsidTr="00FE723C">
        <w:trPr>
          <w:trHeight w:val="350"/>
        </w:trPr>
        <w:tc>
          <w:tcPr>
            <w:tcW w:w="3893" w:type="dxa"/>
          </w:tcPr>
          <w:p w14:paraId="64E5D806" w14:textId="77777777" w:rsidR="00E72103" w:rsidRPr="00906ADD" w:rsidRDefault="00E72103">
            <w:pPr>
              <w:spacing w:after="0" w:line="240" w:lineRule="auto"/>
              <w:rPr>
                <w:b/>
              </w:rPr>
            </w:pPr>
            <w:r w:rsidRPr="00906ADD">
              <w:rPr>
                <w:b/>
              </w:rPr>
              <w:t>Administrative cost to implement the change</w:t>
            </w:r>
          </w:p>
        </w:tc>
        <w:tc>
          <w:tcPr>
            <w:tcW w:w="1494" w:type="dxa"/>
          </w:tcPr>
          <w:p w14:paraId="7C8E7C7E" w14:textId="77777777" w:rsidR="00E72103" w:rsidRDefault="00E72103">
            <w:pPr>
              <w:spacing w:after="0" w:line="240" w:lineRule="auto"/>
            </w:pPr>
          </w:p>
        </w:tc>
        <w:tc>
          <w:tcPr>
            <w:tcW w:w="1369" w:type="dxa"/>
          </w:tcPr>
          <w:p w14:paraId="014AE510" w14:textId="77777777" w:rsidR="00E72103" w:rsidRDefault="00E72103">
            <w:pPr>
              <w:spacing w:after="0" w:line="240" w:lineRule="auto"/>
            </w:pPr>
          </w:p>
        </w:tc>
        <w:tc>
          <w:tcPr>
            <w:tcW w:w="1262" w:type="dxa"/>
          </w:tcPr>
          <w:p w14:paraId="609D4E58" w14:textId="446F4A9F" w:rsidR="00E72103" w:rsidRDefault="00E72103">
            <w:pPr>
              <w:spacing w:after="0" w:line="240" w:lineRule="auto"/>
            </w:pPr>
          </w:p>
        </w:tc>
        <w:tc>
          <w:tcPr>
            <w:tcW w:w="5276" w:type="dxa"/>
          </w:tcPr>
          <w:p w14:paraId="0DD382F4" w14:textId="77777777" w:rsidR="00E72103" w:rsidRPr="00906ADD" w:rsidRDefault="00E72103">
            <w:pPr>
              <w:spacing w:after="0" w:line="240" w:lineRule="auto"/>
              <w:rPr>
                <w:b/>
              </w:rPr>
            </w:pPr>
            <w:r w:rsidRPr="00906ADD">
              <w:rPr>
                <w:b/>
              </w:rPr>
              <w:t>Time taken to edit internal systems to match the new PHI Rebate percentages</w:t>
            </w:r>
          </w:p>
        </w:tc>
      </w:tr>
      <w:tr w:rsidR="007A100C" w:rsidRPr="000861B0" w14:paraId="35723EC3" w14:textId="77777777" w:rsidTr="00FE723C">
        <w:trPr>
          <w:trHeight w:val="350"/>
        </w:trPr>
        <w:tc>
          <w:tcPr>
            <w:tcW w:w="3893" w:type="dxa"/>
          </w:tcPr>
          <w:p w14:paraId="4BF7981F" w14:textId="77777777" w:rsidR="007A100C" w:rsidRPr="00907FCA" w:rsidRDefault="007A100C" w:rsidP="007A100C">
            <w:pPr>
              <w:spacing w:after="0" w:line="240" w:lineRule="auto"/>
              <w:ind w:left="184"/>
              <w:rPr>
                <w:i/>
                <w:iCs/>
              </w:rPr>
            </w:pPr>
            <w:r w:rsidRPr="00907FCA">
              <w:rPr>
                <w:i/>
                <w:iCs/>
              </w:rPr>
              <w:t>Estimated number of hours per insurer</w:t>
            </w:r>
          </w:p>
        </w:tc>
        <w:tc>
          <w:tcPr>
            <w:tcW w:w="1494" w:type="dxa"/>
          </w:tcPr>
          <w:p w14:paraId="27807013" w14:textId="53548B7D" w:rsidR="007A100C" w:rsidRDefault="007A100C" w:rsidP="007A100C">
            <w:pPr>
              <w:spacing w:after="0" w:line="240" w:lineRule="auto"/>
            </w:pPr>
            <w:r>
              <w:t>0</w:t>
            </w:r>
          </w:p>
        </w:tc>
        <w:tc>
          <w:tcPr>
            <w:tcW w:w="1369" w:type="dxa"/>
          </w:tcPr>
          <w:p w14:paraId="05583FC1" w14:textId="7517EBDB" w:rsidR="007A100C" w:rsidRDefault="007A100C" w:rsidP="007A100C">
            <w:pPr>
              <w:spacing w:after="0" w:line="240" w:lineRule="auto"/>
            </w:pPr>
            <w:r>
              <w:t>0</w:t>
            </w:r>
          </w:p>
        </w:tc>
        <w:tc>
          <w:tcPr>
            <w:tcW w:w="1262" w:type="dxa"/>
          </w:tcPr>
          <w:p w14:paraId="7493C1BD" w14:textId="04B3FEDA" w:rsidR="007A100C" w:rsidRDefault="007A100C" w:rsidP="007A100C">
            <w:pPr>
              <w:spacing w:after="0" w:line="240" w:lineRule="auto"/>
            </w:pPr>
            <w:r>
              <w:t>0</w:t>
            </w:r>
          </w:p>
        </w:tc>
        <w:tc>
          <w:tcPr>
            <w:tcW w:w="5276" w:type="dxa"/>
          </w:tcPr>
          <w:p w14:paraId="637C5FC0" w14:textId="51401086" w:rsidR="007A100C" w:rsidRDefault="007A100C" w:rsidP="007A100C">
            <w:pPr>
              <w:spacing w:after="0" w:line="240" w:lineRule="auto"/>
            </w:pPr>
            <w:r>
              <w:t xml:space="preserve">Rebate changes </w:t>
            </w:r>
            <w:r w:rsidR="003E56B7">
              <w:t xml:space="preserve">occur </w:t>
            </w:r>
            <w:r>
              <w:t xml:space="preserve">on 1 April every year, therefore there is no </w:t>
            </w:r>
            <w:r w:rsidR="00D95A5E">
              <w:t>additional administrative cost</w:t>
            </w:r>
          </w:p>
        </w:tc>
      </w:tr>
      <w:tr w:rsidR="007A100C" w:rsidRPr="000861B0" w14:paraId="310C7F97" w14:textId="77777777" w:rsidTr="00FE723C">
        <w:trPr>
          <w:trHeight w:val="350"/>
        </w:trPr>
        <w:tc>
          <w:tcPr>
            <w:tcW w:w="3893" w:type="dxa"/>
          </w:tcPr>
          <w:p w14:paraId="7ADE9BE6" w14:textId="3460519A" w:rsidR="007A100C" w:rsidRPr="00907FCA" w:rsidRDefault="007A100C" w:rsidP="007A100C">
            <w:pPr>
              <w:spacing w:after="0" w:line="240" w:lineRule="auto"/>
              <w:ind w:left="184"/>
              <w:rPr>
                <w:i/>
                <w:iCs/>
              </w:rPr>
            </w:pPr>
            <w:r w:rsidRPr="00907FCA">
              <w:rPr>
                <w:i/>
                <w:iCs/>
              </w:rPr>
              <w:t>Number of insurers</w:t>
            </w:r>
            <w:r w:rsidR="00FC2582">
              <w:rPr>
                <w:i/>
                <w:iCs/>
              </w:rPr>
              <w:t xml:space="preserve"> affected</w:t>
            </w:r>
          </w:p>
        </w:tc>
        <w:tc>
          <w:tcPr>
            <w:tcW w:w="1494" w:type="dxa"/>
          </w:tcPr>
          <w:p w14:paraId="50D4F39F" w14:textId="2E35CE3F" w:rsidR="007A100C" w:rsidRDefault="007A100C" w:rsidP="007A100C">
            <w:pPr>
              <w:spacing w:after="0" w:line="240" w:lineRule="auto"/>
            </w:pPr>
            <w:r>
              <w:t>0</w:t>
            </w:r>
          </w:p>
        </w:tc>
        <w:tc>
          <w:tcPr>
            <w:tcW w:w="1369" w:type="dxa"/>
          </w:tcPr>
          <w:p w14:paraId="1492EFA9" w14:textId="31C02B98" w:rsidR="007A100C" w:rsidRDefault="007A100C" w:rsidP="007A100C">
            <w:pPr>
              <w:spacing w:after="0" w:line="240" w:lineRule="auto"/>
            </w:pPr>
            <w:r>
              <w:t>28</w:t>
            </w:r>
          </w:p>
        </w:tc>
        <w:tc>
          <w:tcPr>
            <w:tcW w:w="1262" w:type="dxa"/>
          </w:tcPr>
          <w:p w14:paraId="490FB752" w14:textId="0844AD37" w:rsidR="007A100C" w:rsidRDefault="007A100C" w:rsidP="007A100C">
            <w:pPr>
              <w:spacing w:after="0" w:line="240" w:lineRule="auto"/>
            </w:pPr>
            <w:r>
              <w:t>28</w:t>
            </w:r>
          </w:p>
        </w:tc>
        <w:tc>
          <w:tcPr>
            <w:tcW w:w="5276" w:type="dxa"/>
          </w:tcPr>
          <w:p w14:paraId="7AF8ACDC" w14:textId="77777777" w:rsidR="007A100C" w:rsidRDefault="007A100C" w:rsidP="007A100C">
            <w:pPr>
              <w:spacing w:after="0" w:line="240" w:lineRule="auto"/>
            </w:pPr>
          </w:p>
        </w:tc>
      </w:tr>
      <w:tr w:rsidR="007A100C" w:rsidRPr="000861B0" w14:paraId="3858B448" w14:textId="77777777" w:rsidTr="00FE723C">
        <w:trPr>
          <w:trHeight w:val="350"/>
        </w:trPr>
        <w:tc>
          <w:tcPr>
            <w:tcW w:w="3893" w:type="dxa"/>
          </w:tcPr>
          <w:p w14:paraId="47878D83" w14:textId="7B5312A8" w:rsidR="007A100C" w:rsidRPr="00A40E07" w:rsidRDefault="007A100C" w:rsidP="007A100C">
            <w:pPr>
              <w:spacing w:after="0" w:line="240" w:lineRule="auto"/>
              <w:ind w:left="184"/>
              <w:rPr>
                <w:u w:val="single"/>
              </w:rPr>
            </w:pPr>
            <w:r w:rsidRPr="00A40E07">
              <w:rPr>
                <w:u w:val="single"/>
              </w:rPr>
              <w:t>Total estimated hours across industry</w:t>
            </w:r>
          </w:p>
        </w:tc>
        <w:tc>
          <w:tcPr>
            <w:tcW w:w="1494" w:type="dxa"/>
          </w:tcPr>
          <w:p w14:paraId="3ECD088E" w14:textId="54A5E6CC" w:rsidR="007A100C" w:rsidRDefault="007A100C" w:rsidP="007A100C">
            <w:pPr>
              <w:spacing w:after="0" w:line="240" w:lineRule="auto"/>
            </w:pPr>
            <w:r>
              <w:t>0</w:t>
            </w:r>
          </w:p>
        </w:tc>
        <w:tc>
          <w:tcPr>
            <w:tcW w:w="1369" w:type="dxa"/>
          </w:tcPr>
          <w:p w14:paraId="5ACE00E2" w14:textId="34552396" w:rsidR="007A100C" w:rsidRDefault="007A100C" w:rsidP="007A100C">
            <w:pPr>
              <w:spacing w:after="0" w:line="240" w:lineRule="auto"/>
            </w:pPr>
            <w:r>
              <w:t>0</w:t>
            </w:r>
          </w:p>
        </w:tc>
        <w:tc>
          <w:tcPr>
            <w:tcW w:w="1262" w:type="dxa"/>
          </w:tcPr>
          <w:p w14:paraId="364CA345" w14:textId="4DB5DD6A" w:rsidR="007A100C" w:rsidRDefault="007A100C" w:rsidP="007A100C">
            <w:pPr>
              <w:spacing w:after="0" w:line="240" w:lineRule="auto"/>
            </w:pPr>
            <w:r>
              <w:t>0</w:t>
            </w:r>
          </w:p>
        </w:tc>
        <w:tc>
          <w:tcPr>
            <w:tcW w:w="5276" w:type="dxa"/>
          </w:tcPr>
          <w:p w14:paraId="35206F40" w14:textId="77777777" w:rsidR="007A100C" w:rsidRDefault="007A100C" w:rsidP="007A100C">
            <w:pPr>
              <w:spacing w:after="0" w:line="240" w:lineRule="auto"/>
            </w:pPr>
          </w:p>
        </w:tc>
      </w:tr>
      <w:tr w:rsidR="007A100C" w:rsidRPr="000861B0" w14:paraId="178023B2" w14:textId="77777777" w:rsidTr="00FE723C">
        <w:trPr>
          <w:trHeight w:val="350"/>
        </w:trPr>
        <w:tc>
          <w:tcPr>
            <w:tcW w:w="3893" w:type="dxa"/>
          </w:tcPr>
          <w:p w14:paraId="3E08F351" w14:textId="77777777" w:rsidR="007A100C" w:rsidRPr="00906ADD" w:rsidRDefault="007A100C" w:rsidP="007A100C">
            <w:pPr>
              <w:spacing w:after="0" w:line="240" w:lineRule="auto"/>
              <w:rPr>
                <w:b/>
              </w:rPr>
            </w:pPr>
            <w:r w:rsidRPr="00906ADD">
              <w:rPr>
                <w:b/>
              </w:rPr>
              <w:t xml:space="preserve">Substantiative compliance cost to provide communications to all members </w:t>
            </w:r>
          </w:p>
        </w:tc>
        <w:tc>
          <w:tcPr>
            <w:tcW w:w="1494" w:type="dxa"/>
          </w:tcPr>
          <w:p w14:paraId="3BB4F4C4" w14:textId="77777777" w:rsidR="007A100C" w:rsidRPr="000861B0" w:rsidRDefault="007A100C" w:rsidP="007A100C">
            <w:pPr>
              <w:spacing w:after="0" w:line="240" w:lineRule="auto"/>
            </w:pPr>
          </w:p>
        </w:tc>
        <w:tc>
          <w:tcPr>
            <w:tcW w:w="1369" w:type="dxa"/>
          </w:tcPr>
          <w:p w14:paraId="281ED3AE" w14:textId="77777777" w:rsidR="007A100C" w:rsidRPr="000861B0" w:rsidRDefault="007A100C" w:rsidP="007A100C">
            <w:pPr>
              <w:spacing w:after="0" w:line="240" w:lineRule="auto"/>
            </w:pPr>
          </w:p>
        </w:tc>
        <w:tc>
          <w:tcPr>
            <w:tcW w:w="1262" w:type="dxa"/>
          </w:tcPr>
          <w:p w14:paraId="786B3700" w14:textId="2ECE4EE2" w:rsidR="007A100C" w:rsidRPr="000861B0" w:rsidRDefault="007A100C" w:rsidP="007A100C">
            <w:pPr>
              <w:spacing w:after="0" w:line="240" w:lineRule="auto"/>
            </w:pPr>
          </w:p>
        </w:tc>
        <w:tc>
          <w:tcPr>
            <w:tcW w:w="5276" w:type="dxa"/>
          </w:tcPr>
          <w:p w14:paraId="4429ED44" w14:textId="77777777" w:rsidR="007A100C" w:rsidRPr="00906ADD" w:rsidRDefault="007A100C" w:rsidP="007A100C">
            <w:pPr>
              <w:spacing w:after="0" w:line="240" w:lineRule="auto"/>
              <w:rPr>
                <w:b/>
              </w:rPr>
            </w:pPr>
            <w:r w:rsidRPr="00906ADD">
              <w:rPr>
                <w:b/>
                <w:bCs/>
              </w:rPr>
              <w:t>Time taken to develop frontline material, centralised messaging, website updates, and other related activities</w:t>
            </w:r>
          </w:p>
        </w:tc>
      </w:tr>
      <w:tr w:rsidR="007A100C" w:rsidRPr="000861B0" w14:paraId="2A5FEF11" w14:textId="77777777" w:rsidTr="00FE723C">
        <w:trPr>
          <w:trHeight w:val="350"/>
        </w:trPr>
        <w:tc>
          <w:tcPr>
            <w:tcW w:w="3893" w:type="dxa"/>
          </w:tcPr>
          <w:p w14:paraId="29E61CE9" w14:textId="77777777" w:rsidR="007A100C" w:rsidRPr="00907FCA" w:rsidRDefault="007A100C" w:rsidP="007A100C">
            <w:pPr>
              <w:spacing w:after="0" w:line="240" w:lineRule="auto"/>
              <w:ind w:left="184"/>
              <w:rPr>
                <w:i/>
                <w:iCs/>
              </w:rPr>
            </w:pPr>
            <w:r w:rsidRPr="00907FCA">
              <w:rPr>
                <w:i/>
                <w:iCs/>
              </w:rPr>
              <w:t>Estimated number of hours per insurer</w:t>
            </w:r>
          </w:p>
        </w:tc>
        <w:tc>
          <w:tcPr>
            <w:tcW w:w="1494" w:type="dxa"/>
          </w:tcPr>
          <w:p w14:paraId="0F296D8E" w14:textId="40A7061C" w:rsidR="007A100C" w:rsidRPr="000861B0" w:rsidRDefault="007A100C" w:rsidP="007A100C">
            <w:pPr>
              <w:spacing w:after="0" w:line="240" w:lineRule="auto"/>
            </w:pPr>
            <w:r>
              <w:t>0</w:t>
            </w:r>
          </w:p>
        </w:tc>
        <w:tc>
          <w:tcPr>
            <w:tcW w:w="1369" w:type="dxa"/>
          </w:tcPr>
          <w:p w14:paraId="435C8DC5" w14:textId="41430244" w:rsidR="007A100C" w:rsidRPr="000861B0" w:rsidRDefault="007A100C" w:rsidP="007A100C">
            <w:pPr>
              <w:spacing w:after="0" w:line="240" w:lineRule="auto"/>
            </w:pPr>
            <w:r>
              <w:t>60</w:t>
            </w:r>
          </w:p>
        </w:tc>
        <w:tc>
          <w:tcPr>
            <w:tcW w:w="1262" w:type="dxa"/>
          </w:tcPr>
          <w:p w14:paraId="7BEFE7CA" w14:textId="54FBFB75" w:rsidR="007A100C" w:rsidRPr="000861B0" w:rsidRDefault="007A100C" w:rsidP="007A100C">
            <w:pPr>
              <w:spacing w:after="0" w:line="240" w:lineRule="auto"/>
            </w:pPr>
            <w:r>
              <w:t>60</w:t>
            </w:r>
          </w:p>
        </w:tc>
        <w:tc>
          <w:tcPr>
            <w:tcW w:w="5276" w:type="dxa"/>
          </w:tcPr>
          <w:p w14:paraId="3D9C25B9" w14:textId="77777777" w:rsidR="007A100C" w:rsidRPr="000861B0" w:rsidRDefault="007A100C" w:rsidP="007A100C">
            <w:pPr>
              <w:spacing w:after="0" w:line="240" w:lineRule="auto"/>
            </w:pPr>
          </w:p>
        </w:tc>
      </w:tr>
      <w:tr w:rsidR="007A100C" w:rsidRPr="000861B0" w14:paraId="41ECE12D" w14:textId="77777777" w:rsidTr="00FE723C">
        <w:trPr>
          <w:trHeight w:val="350"/>
        </w:trPr>
        <w:tc>
          <w:tcPr>
            <w:tcW w:w="3893" w:type="dxa"/>
          </w:tcPr>
          <w:p w14:paraId="3D63363E" w14:textId="2EA1E1F5" w:rsidR="007A100C" w:rsidRPr="00907FCA" w:rsidRDefault="007A100C" w:rsidP="007A100C">
            <w:pPr>
              <w:spacing w:after="0" w:line="240" w:lineRule="auto"/>
              <w:ind w:left="184"/>
              <w:rPr>
                <w:i/>
                <w:iCs/>
              </w:rPr>
            </w:pPr>
            <w:r w:rsidRPr="00907FCA">
              <w:rPr>
                <w:i/>
                <w:iCs/>
              </w:rPr>
              <w:t>Number of insurers</w:t>
            </w:r>
            <w:r w:rsidR="00231723">
              <w:rPr>
                <w:i/>
                <w:iCs/>
              </w:rPr>
              <w:t xml:space="preserve"> affected</w:t>
            </w:r>
          </w:p>
        </w:tc>
        <w:tc>
          <w:tcPr>
            <w:tcW w:w="1494" w:type="dxa"/>
          </w:tcPr>
          <w:p w14:paraId="02E6EB2C" w14:textId="0F4A7252" w:rsidR="007A100C" w:rsidRPr="000861B0" w:rsidRDefault="007A100C" w:rsidP="007A100C">
            <w:pPr>
              <w:spacing w:after="0" w:line="240" w:lineRule="auto"/>
            </w:pPr>
            <w:r>
              <w:t>0</w:t>
            </w:r>
          </w:p>
        </w:tc>
        <w:tc>
          <w:tcPr>
            <w:tcW w:w="1369" w:type="dxa"/>
          </w:tcPr>
          <w:p w14:paraId="6FD8A80F" w14:textId="42BABD33" w:rsidR="007A100C" w:rsidRPr="000861B0" w:rsidRDefault="007A100C" w:rsidP="007A100C">
            <w:pPr>
              <w:spacing w:after="0" w:line="240" w:lineRule="auto"/>
            </w:pPr>
            <w:r>
              <w:t>28</w:t>
            </w:r>
          </w:p>
        </w:tc>
        <w:tc>
          <w:tcPr>
            <w:tcW w:w="1262" w:type="dxa"/>
          </w:tcPr>
          <w:p w14:paraId="2224C4EA" w14:textId="61EA8A13" w:rsidR="007A100C" w:rsidRPr="000861B0" w:rsidRDefault="007A100C" w:rsidP="007A100C">
            <w:pPr>
              <w:spacing w:after="0" w:line="240" w:lineRule="auto"/>
            </w:pPr>
            <w:r>
              <w:t>28</w:t>
            </w:r>
          </w:p>
        </w:tc>
        <w:tc>
          <w:tcPr>
            <w:tcW w:w="5276" w:type="dxa"/>
          </w:tcPr>
          <w:p w14:paraId="77A2F70F" w14:textId="77777777" w:rsidR="007A100C" w:rsidRPr="000861B0" w:rsidRDefault="007A100C" w:rsidP="007A100C">
            <w:pPr>
              <w:spacing w:after="0" w:line="240" w:lineRule="auto"/>
            </w:pPr>
          </w:p>
        </w:tc>
      </w:tr>
      <w:tr w:rsidR="007A100C" w:rsidRPr="000861B0" w14:paraId="51B468C8" w14:textId="77777777" w:rsidTr="00FE723C">
        <w:trPr>
          <w:trHeight w:val="350"/>
        </w:trPr>
        <w:tc>
          <w:tcPr>
            <w:tcW w:w="3893" w:type="dxa"/>
          </w:tcPr>
          <w:p w14:paraId="37875663" w14:textId="102E737E" w:rsidR="007A100C" w:rsidRPr="00907FCA" w:rsidRDefault="007A100C" w:rsidP="007A100C">
            <w:pPr>
              <w:spacing w:after="0" w:line="240" w:lineRule="auto"/>
              <w:ind w:left="184"/>
              <w:rPr>
                <w:u w:val="single"/>
              </w:rPr>
            </w:pPr>
            <w:r w:rsidRPr="00907FCA">
              <w:rPr>
                <w:u w:val="single"/>
              </w:rPr>
              <w:t>Total estimated hours across industry</w:t>
            </w:r>
          </w:p>
        </w:tc>
        <w:tc>
          <w:tcPr>
            <w:tcW w:w="1494" w:type="dxa"/>
          </w:tcPr>
          <w:p w14:paraId="053F485A" w14:textId="49F3E141" w:rsidR="007A100C" w:rsidRPr="000861B0" w:rsidRDefault="00BA6723" w:rsidP="007A100C">
            <w:pPr>
              <w:spacing w:after="0" w:line="240" w:lineRule="auto"/>
            </w:pPr>
            <w:r>
              <w:t>0</w:t>
            </w:r>
          </w:p>
        </w:tc>
        <w:tc>
          <w:tcPr>
            <w:tcW w:w="1369" w:type="dxa"/>
          </w:tcPr>
          <w:p w14:paraId="67C768BA" w14:textId="10F926D8" w:rsidR="007A100C" w:rsidRPr="000861B0" w:rsidRDefault="007A100C" w:rsidP="007A100C">
            <w:pPr>
              <w:spacing w:after="0" w:line="240" w:lineRule="auto"/>
            </w:pPr>
            <w:r>
              <w:t>1,680</w:t>
            </w:r>
          </w:p>
        </w:tc>
        <w:tc>
          <w:tcPr>
            <w:tcW w:w="1262" w:type="dxa"/>
          </w:tcPr>
          <w:p w14:paraId="5E09E20A" w14:textId="7DBFDB2F" w:rsidR="007A100C" w:rsidRPr="000861B0" w:rsidRDefault="007A100C" w:rsidP="007A100C">
            <w:pPr>
              <w:spacing w:after="0" w:line="240" w:lineRule="auto"/>
            </w:pPr>
            <w:r>
              <w:t>1,680</w:t>
            </w:r>
          </w:p>
        </w:tc>
        <w:tc>
          <w:tcPr>
            <w:tcW w:w="5276" w:type="dxa"/>
          </w:tcPr>
          <w:p w14:paraId="3C317DD0" w14:textId="77777777" w:rsidR="007A100C" w:rsidRPr="000861B0" w:rsidRDefault="007A100C" w:rsidP="007A100C">
            <w:pPr>
              <w:spacing w:after="0" w:line="240" w:lineRule="auto"/>
            </w:pPr>
          </w:p>
        </w:tc>
      </w:tr>
      <w:tr w:rsidR="007A100C" w:rsidRPr="000861B0" w14:paraId="244EC91D" w14:textId="77777777" w:rsidTr="00FE723C">
        <w:trPr>
          <w:trHeight w:val="350"/>
        </w:trPr>
        <w:tc>
          <w:tcPr>
            <w:tcW w:w="3893" w:type="dxa"/>
          </w:tcPr>
          <w:p w14:paraId="1124A0CB" w14:textId="21C6BDB2" w:rsidR="007A100C" w:rsidRPr="00906ADD" w:rsidRDefault="007A100C" w:rsidP="007A100C">
            <w:pPr>
              <w:spacing w:after="0" w:line="240" w:lineRule="auto"/>
              <w:rPr>
                <w:b/>
              </w:rPr>
            </w:pPr>
            <w:r w:rsidRPr="00906ADD">
              <w:rPr>
                <w:b/>
              </w:rPr>
              <w:t>Substantiative compliance cost to handle enquiries from directly affected policyholders</w:t>
            </w:r>
          </w:p>
        </w:tc>
        <w:tc>
          <w:tcPr>
            <w:tcW w:w="1494" w:type="dxa"/>
          </w:tcPr>
          <w:p w14:paraId="6B2534BE" w14:textId="77777777" w:rsidR="007A100C" w:rsidRDefault="007A100C" w:rsidP="007A100C">
            <w:pPr>
              <w:spacing w:after="0" w:line="240" w:lineRule="auto"/>
            </w:pPr>
          </w:p>
        </w:tc>
        <w:tc>
          <w:tcPr>
            <w:tcW w:w="1369" w:type="dxa"/>
          </w:tcPr>
          <w:p w14:paraId="0D6548D9" w14:textId="77777777" w:rsidR="007A100C" w:rsidRDefault="007A100C" w:rsidP="007A100C">
            <w:pPr>
              <w:spacing w:after="0" w:line="240" w:lineRule="auto"/>
            </w:pPr>
          </w:p>
        </w:tc>
        <w:tc>
          <w:tcPr>
            <w:tcW w:w="1262" w:type="dxa"/>
          </w:tcPr>
          <w:p w14:paraId="453940F2" w14:textId="67FCDFDE" w:rsidR="007A100C" w:rsidRDefault="007A100C" w:rsidP="007A100C">
            <w:pPr>
              <w:spacing w:after="0" w:line="240" w:lineRule="auto"/>
            </w:pPr>
          </w:p>
        </w:tc>
        <w:tc>
          <w:tcPr>
            <w:tcW w:w="5276" w:type="dxa"/>
          </w:tcPr>
          <w:p w14:paraId="407D5C68" w14:textId="77777777" w:rsidR="007A100C" w:rsidRPr="00906ADD" w:rsidRDefault="007A100C" w:rsidP="007A100C">
            <w:pPr>
              <w:spacing w:after="0" w:line="240" w:lineRule="auto"/>
              <w:rPr>
                <w:b/>
              </w:rPr>
            </w:pPr>
            <w:r w:rsidRPr="00906ADD">
              <w:rPr>
                <w:b/>
              </w:rPr>
              <w:t>Time taken to handle phone calls and web enquiries from directly affected policyholders</w:t>
            </w:r>
          </w:p>
        </w:tc>
      </w:tr>
      <w:tr w:rsidR="007A100C" w:rsidRPr="000861B0" w14:paraId="4548881B" w14:textId="77777777" w:rsidTr="00FE723C">
        <w:trPr>
          <w:trHeight w:val="350"/>
        </w:trPr>
        <w:tc>
          <w:tcPr>
            <w:tcW w:w="3893" w:type="dxa"/>
          </w:tcPr>
          <w:p w14:paraId="7D863460" w14:textId="77777777" w:rsidR="007A100C" w:rsidRPr="00907FCA" w:rsidRDefault="007A100C" w:rsidP="007A100C">
            <w:pPr>
              <w:spacing w:after="0" w:line="240" w:lineRule="auto"/>
              <w:ind w:left="184"/>
              <w:rPr>
                <w:i/>
                <w:iCs/>
              </w:rPr>
            </w:pPr>
            <w:r w:rsidRPr="00907FCA">
              <w:rPr>
                <w:i/>
                <w:iCs/>
              </w:rPr>
              <w:t>Estimated total number of policies impacted</w:t>
            </w:r>
          </w:p>
        </w:tc>
        <w:tc>
          <w:tcPr>
            <w:tcW w:w="1494" w:type="dxa"/>
          </w:tcPr>
          <w:p w14:paraId="41934152" w14:textId="1EADFCCE" w:rsidR="007A100C" w:rsidRDefault="007A100C" w:rsidP="007A100C">
            <w:pPr>
              <w:spacing w:after="0" w:line="240" w:lineRule="auto"/>
            </w:pPr>
            <w:r>
              <w:t>N/A</w:t>
            </w:r>
          </w:p>
        </w:tc>
        <w:tc>
          <w:tcPr>
            <w:tcW w:w="1369" w:type="dxa"/>
          </w:tcPr>
          <w:p w14:paraId="493DC400" w14:textId="4CB9F672" w:rsidR="007A100C" w:rsidRDefault="007A100C" w:rsidP="007A100C">
            <w:pPr>
              <w:spacing w:after="0" w:line="240" w:lineRule="auto"/>
            </w:pPr>
            <w:r>
              <w:t>1.9 m</w:t>
            </w:r>
          </w:p>
        </w:tc>
        <w:tc>
          <w:tcPr>
            <w:tcW w:w="1262" w:type="dxa"/>
          </w:tcPr>
          <w:p w14:paraId="209434B9" w14:textId="44488393" w:rsidR="007A100C" w:rsidRDefault="007A100C" w:rsidP="007A100C">
            <w:pPr>
              <w:spacing w:after="0" w:line="240" w:lineRule="auto"/>
            </w:pPr>
            <w:r>
              <w:t>3.7</w:t>
            </w:r>
            <w:r w:rsidRPr="00377410">
              <w:t xml:space="preserve"> m</w:t>
            </w:r>
          </w:p>
        </w:tc>
        <w:tc>
          <w:tcPr>
            <w:tcW w:w="5276" w:type="dxa"/>
          </w:tcPr>
          <w:p w14:paraId="70B75BC5" w14:textId="1C34169A" w:rsidR="007A100C" w:rsidRPr="000861B0" w:rsidRDefault="007A100C" w:rsidP="007A100C">
            <w:pPr>
              <w:spacing w:after="0" w:line="240" w:lineRule="auto"/>
            </w:pPr>
            <w:r>
              <w:t xml:space="preserve">Estimated </w:t>
            </w:r>
            <w:r w:rsidRPr="00377410">
              <w:t>policies</w:t>
            </w:r>
            <w:r>
              <w:t xml:space="preserve"> </w:t>
            </w:r>
            <w:r w:rsidR="009519C9">
              <w:t xml:space="preserve">impacted </w:t>
            </w:r>
            <w:r>
              <w:t xml:space="preserve">is derived from APRA </w:t>
            </w:r>
            <w:r w:rsidR="00016637">
              <w:t>PHI</w:t>
            </w:r>
            <w:r>
              <w:t xml:space="preserve"> quarterly data. </w:t>
            </w:r>
            <w:r w:rsidRPr="00377410">
              <w:t xml:space="preserve">Policies </w:t>
            </w:r>
            <w:proofErr w:type="gramStart"/>
            <w:r w:rsidRPr="00377410">
              <w:t>is</w:t>
            </w:r>
            <w:proofErr w:type="gramEnd"/>
            <w:r w:rsidRPr="00377410">
              <w:t xml:space="preserve"> used instead of </w:t>
            </w:r>
            <w:r w:rsidRPr="00377410">
              <w:lastRenderedPageBreak/>
              <w:t xml:space="preserve">people, as only the main contact under a multi-person policy </w:t>
            </w:r>
            <w:r w:rsidR="00E41F04">
              <w:t>is expected to</w:t>
            </w:r>
            <w:r w:rsidRPr="00377410">
              <w:t xml:space="preserve"> contact the insurer</w:t>
            </w:r>
            <w:r w:rsidR="00E41F04">
              <w:t>.</w:t>
            </w:r>
            <w:r w:rsidR="00211E07">
              <w:t xml:space="preserve"> (Note: number is rounded to 1dp, but unrounded figure used for calculation)</w:t>
            </w:r>
          </w:p>
        </w:tc>
      </w:tr>
      <w:tr w:rsidR="007A100C" w:rsidRPr="000861B0" w14:paraId="7DFB7992" w14:textId="77777777" w:rsidTr="00FE723C">
        <w:trPr>
          <w:trHeight w:val="350"/>
        </w:trPr>
        <w:tc>
          <w:tcPr>
            <w:tcW w:w="3893" w:type="dxa"/>
          </w:tcPr>
          <w:p w14:paraId="0A9A513F" w14:textId="6AD09971" w:rsidR="007A100C" w:rsidRPr="00907FCA" w:rsidRDefault="007A100C" w:rsidP="007A100C">
            <w:pPr>
              <w:spacing w:after="0" w:line="240" w:lineRule="auto"/>
              <w:ind w:left="184"/>
              <w:rPr>
                <w:i/>
                <w:iCs/>
              </w:rPr>
            </w:pPr>
            <w:r w:rsidRPr="00907FCA">
              <w:rPr>
                <w:i/>
                <w:iCs/>
              </w:rPr>
              <w:lastRenderedPageBreak/>
              <w:t>Estimated percent</w:t>
            </w:r>
            <w:r w:rsidR="0086088E">
              <w:rPr>
                <w:i/>
                <w:iCs/>
              </w:rPr>
              <w:t>age</w:t>
            </w:r>
            <w:r w:rsidRPr="00907FCA">
              <w:rPr>
                <w:i/>
                <w:iCs/>
              </w:rPr>
              <w:t xml:space="preserve"> of policyholders making contact</w:t>
            </w:r>
          </w:p>
        </w:tc>
        <w:tc>
          <w:tcPr>
            <w:tcW w:w="1494" w:type="dxa"/>
          </w:tcPr>
          <w:p w14:paraId="1DEA21DF" w14:textId="40419D1D" w:rsidR="007A100C" w:rsidRDefault="007A100C" w:rsidP="007A100C">
            <w:pPr>
              <w:spacing w:after="0" w:line="240" w:lineRule="auto"/>
            </w:pPr>
            <w:r>
              <w:t>N/A</w:t>
            </w:r>
          </w:p>
        </w:tc>
        <w:tc>
          <w:tcPr>
            <w:tcW w:w="1369" w:type="dxa"/>
          </w:tcPr>
          <w:p w14:paraId="3A223CE8" w14:textId="32069AAF" w:rsidR="007A100C" w:rsidRDefault="007A100C" w:rsidP="007A100C">
            <w:pPr>
              <w:spacing w:after="0" w:line="240" w:lineRule="auto"/>
            </w:pPr>
            <w:r>
              <w:t>2%</w:t>
            </w:r>
          </w:p>
        </w:tc>
        <w:tc>
          <w:tcPr>
            <w:tcW w:w="1262" w:type="dxa"/>
          </w:tcPr>
          <w:p w14:paraId="5D2BA4C4" w14:textId="2CEC6EA7" w:rsidR="007A100C" w:rsidRDefault="007A100C" w:rsidP="007A100C">
            <w:pPr>
              <w:spacing w:after="0" w:line="240" w:lineRule="auto"/>
            </w:pPr>
            <w:r>
              <w:t>2%</w:t>
            </w:r>
          </w:p>
        </w:tc>
        <w:tc>
          <w:tcPr>
            <w:tcW w:w="5276" w:type="dxa"/>
          </w:tcPr>
          <w:p w14:paraId="6E5CECF6" w14:textId="3D45222A" w:rsidR="007A100C" w:rsidRDefault="00CF0739" w:rsidP="007A100C">
            <w:pPr>
              <w:spacing w:after="0" w:line="240" w:lineRule="auto"/>
            </w:pPr>
            <w:r>
              <w:t xml:space="preserve">Assumption </w:t>
            </w:r>
            <w:r w:rsidR="00FD28D0">
              <w:t xml:space="preserve">information </w:t>
            </w:r>
            <w:r>
              <w:t>is provided below.</w:t>
            </w:r>
          </w:p>
        </w:tc>
      </w:tr>
      <w:tr w:rsidR="007A100C" w:rsidRPr="000861B0" w14:paraId="40C59C5F" w14:textId="77777777" w:rsidTr="00FE723C">
        <w:trPr>
          <w:trHeight w:val="350"/>
        </w:trPr>
        <w:tc>
          <w:tcPr>
            <w:tcW w:w="3893" w:type="dxa"/>
          </w:tcPr>
          <w:p w14:paraId="3373DEEF" w14:textId="77777777" w:rsidR="007A100C" w:rsidRPr="00907FCA" w:rsidRDefault="007A100C" w:rsidP="007A100C">
            <w:pPr>
              <w:spacing w:after="0" w:line="240" w:lineRule="auto"/>
              <w:ind w:left="184"/>
              <w:rPr>
                <w:i/>
                <w:iCs/>
              </w:rPr>
            </w:pPr>
            <w:r w:rsidRPr="00907FCA">
              <w:rPr>
                <w:i/>
                <w:iCs/>
              </w:rPr>
              <w:t>Estimated contact time</w:t>
            </w:r>
          </w:p>
        </w:tc>
        <w:tc>
          <w:tcPr>
            <w:tcW w:w="1494" w:type="dxa"/>
          </w:tcPr>
          <w:p w14:paraId="0DFF67CF" w14:textId="2C2FC663" w:rsidR="007A100C" w:rsidRDefault="007A100C" w:rsidP="007A100C">
            <w:pPr>
              <w:spacing w:after="0" w:line="240" w:lineRule="auto"/>
            </w:pPr>
            <w:r>
              <w:t>N/A</w:t>
            </w:r>
          </w:p>
        </w:tc>
        <w:tc>
          <w:tcPr>
            <w:tcW w:w="1369" w:type="dxa"/>
          </w:tcPr>
          <w:p w14:paraId="1A3E1B23" w14:textId="295DF7D9" w:rsidR="007A100C" w:rsidRDefault="007A100C" w:rsidP="007A100C">
            <w:pPr>
              <w:spacing w:after="0" w:line="240" w:lineRule="auto"/>
            </w:pPr>
            <w:r>
              <w:t>10 min</w:t>
            </w:r>
          </w:p>
        </w:tc>
        <w:tc>
          <w:tcPr>
            <w:tcW w:w="1262" w:type="dxa"/>
          </w:tcPr>
          <w:p w14:paraId="7F3C4B44" w14:textId="055DC4C1" w:rsidR="007A100C" w:rsidRDefault="007A100C" w:rsidP="007A100C">
            <w:pPr>
              <w:spacing w:after="0" w:line="240" w:lineRule="auto"/>
            </w:pPr>
            <w:r>
              <w:t>10 min</w:t>
            </w:r>
          </w:p>
        </w:tc>
        <w:tc>
          <w:tcPr>
            <w:tcW w:w="5276" w:type="dxa"/>
          </w:tcPr>
          <w:p w14:paraId="472064BE" w14:textId="77777777" w:rsidR="007A100C" w:rsidRDefault="007A100C" w:rsidP="007A100C">
            <w:pPr>
              <w:spacing w:after="0" w:line="240" w:lineRule="auto"/>
            </w:pPr>
          </w:p>
        </w:tc>
      </w:tr>
      <w:tr w:rsidR="007A100C" w:rsidRPr="000861B0" w14:paraId="6A018C55" w14:textId="77777777" w:rsidTr="00FE723C">
        <w:trPr>
          <w:trHeight w:val="350"/>
        </w:trPr>
        <w:tc>
          <w:tcPr>
            <w:tcW w:w="3893" w:type="dxa"/>
          </w:tcPr>
          <w:p w14:paraId="780CD00F" w14:textId="7988D5F4" w:rsidR="007A100C" w:rsidRPr="00907FCA" w:rsidRDefault="007A100C" w:rsidP="007A100C">
            <w:pPr>
              <w:spacing w:after="0" w:line="240" w:lineRule="auto"/>
              <w:ind w:left="184"/>
              <w:rPr>
                <w:u w:val="single"/>
              </w:rPr>
            </w:pPr>
            <w:r w:rsidRPr="00907FCA">
              <w:rPr>
                <w:u w:val="single"/>
              </w:rPr>
              <w:t>Total estimated hours across industry</w:t>
            </w:r>
          </w:p>
        </w:tc>
        <w:tc>
          <w:tcPr>
            <w:tcW w:w="1494" w:type="dxa"/>
          </w:tcPr>
          <w:p w14:paraId="34042904" w14:textId="05FA541D" w:rsidR="007A100C" w:rsidRPr="00BA6723" w:rsidRDefault="00BA6723" w:rsidP="007A100C">
            <w:pPr>
              <w:spacing w:after="0" w:line="240" w:lineRule="auto"/>
            </w:pPr>
            <w:r w:rsidRPr="00BA6723">
              <w:t>0</w:t>
            </w:r>
          </w:p>
        </w:tc>
        <w:tc>
          <w:tcPr>
            <w:tcW w:w="1369" w:type="dxa"/>
          </w:tcPr>
          <w:p w14:paraId="1EA64EEE" w14:textId="14FA1674" w:rsidR="007A100C" w:rsidRPr="00BA6723" w:rsidRDefault="007A100C" w:rsidP="007A100C">
            <w:pPr>
              <w:spacing w:after="0" w:line="240" w:lineRule="auto"/>
            </w:pPr>
            <w:r w:rsidRPr="00BA6723">
              <w:t>6,417</w:t>
            </w:r>
          </w:p>
        </w:tc>
        <w:tc>
          <w:tcPr>
            <w:tcW w:w="1262" w:type="dxa"/>
          </w:tcPr>
          <w:p w14:paraId="1E96D0B4" w14:textId="7951C98C" w:rsidR="007A100C" w:rsidRPr="00BA6723" w:rsidRDefault="007A100C" w:rsidP="007A100C">
            <w:pPr>
              <w:spacing w:after="0" w:line="240" w:lineRule="auto"/>
            </w:pPr>
            <w:r w:rsidRPr="00BA6723">
              <w:t>12,187</w:t>
            </w:r>
          </w:p>
        </w:tc>
        <w:tc>
          <w:tcPr>
            <w:tcW w:w="5276" w:type="dxa"/>
          </w:tcPr>
          <w:p w14:paraId="1AD1499B" w14:textId="77777777" w:rsidR="007A100C" w:rsidRDefault="007A100C" w:rsidP="007A100C">
            <w:pPr>
              <w:spacing w:after="0" w:line="240" w:lineRule="auto"/>
            </w:pPr>
            <w:r>
              <w:t>The impact will generally be concentrated on larger insurers and insurers with a greater proportion of older policyholders</w:t>
            </w:r>
          </w:p>
        </w:tc>
      </w:tr>
      <w:tr w:rsidR="007A100C" w:rsidRPr="000861B0" w14:paraId="2A90C4A0" w14:textId="77777777" w:rsidTr="00FE723C">
        <w:trPr>
          <w:trHeight w:val="350"/>
        </w:trPr>
        <w:tc>
          <w:tcPr>
            <w:tcW w:w="3893" w:type="dxa"/>
          </w:tcPr>
          <w:p w14:paraId="58718E97" w14:textId="77777777" w:rsidR="007A100C" w:rsidRPr="00BA0DAD" w:rsidRDefault="007A100C" w:rsidP="007A100C">
            <w:pPr>
              <w:spacing w:after="0" w:line="240" w:lineRule="auto"/>
              <w:rPr>
                <w:b/>
                <w:bCs/>
              </w:rPr>
            </w:pPr>
            <w:r w:rsidRPr="00BA0DAD">
              <w:rPr>
                <w:b/>
                <w:bCs/>
              </w:rPr>
              <w:t>Total estimated hours</w:t>
            </w:r>
          </w:p>
        </w:tc>
        <w:tc>
          <w:tcPr>
            <w:tcW w:w="1494" w:type="dxa"/>
          </w:tcPr>
          <w:p w14:paraId="7798B834" w14:textId="4032EF3E" w:rsidR="007A100C" w:rsidRPr="00BA0DAD" w:rsidRDefault="007A100C" w:rsidP="007A100C">
            <w:pPr>
              <w:spacing w:after="0" w:line="240" w:lineRule="auto"/>
              <w:rPr>
                <w:b/>
                <w:bCs/>
              </w:rPr>
            </w:pPr>
            <w:r>
              <w:rPr>
                <w:b/>
                <w:bCs/>
              </w:rPr>
              <w:t>0</w:t>
            </w:r>
          </w:p>
        </w:tc>
        <w:tc>
          <w:tcPr>
            <w:tcW w:w="1369" w:type="dxa"/>
          </w:tcPr>
          <w:p w14:paraId="38DFAD22" w14:textId="593C12B7" w:rsidR="007A100C" w:rsidRPr="00BA0DAD" w:rsidRDefault="007A100C" w:rsidP="007A100C">
            <w:pPr>
              <w:spacing w:after="0" w:line="240" w:lineRule="auto"/>
              <w:rPr>
                <w:b/>
                <w:bCs/>
              </w:rPr>
            </w:pPr>
            <w:r w:rsidRPr="00BA0DAD">
              <w:rPr>
                <w:b/>
                <w:bCs/>
              </w:rPr>
              <w:t>8,097</w:t>
            </w:r>
          </w:p>
        </w:tc>
        <w:tc>
          <w:tcPr>
            <w:tcW w:w="1262" w:type="dxa"/>
          </w:tcPr>
          <w:p w14:paraId="17781E69" w14:textId="51ADEADB" w:rsidR="007A100C" w:rsidRPr="00BA0DAD" w:rsidRDefault="007A100C" w:rsidP="007A100C">
            <w:pPr>
              <w:spacing w:after="0" w:line="240" w:lineRule="auto"/>
              <w:rPr>
                <w:b/>
                <w:bCs/>
              </w:rPr>
            </w:pPr>
            <w:r>
              <w:rPr>
                <w:b/>
                <w:bCs/>
              </w:rPr>
              <w:t>13,867</w:t>
            </w:r>
          </w:p>
        </w:tc>
        <w:tc>
          <w:tcPr>
            <w:tcW w:w="5276" w:type="dxa"/>
          </w:tcPr>
          <w:p w14:paraId="763356AB" w14:textId="77777777" w:rsidR="007A100C" w:rsidRDefault="007A100C" w:rsidP="007A100C">
            <w:pPr>
              <w:spacing w:after="0" w:line="240" w:lineRule="auto"/>
            </w:pPr>
          </w:p>
        </w:tc>
      </w:tr>
      <w:tr w:rsidR="007A100C" w:rsidRPr="000861B0" w14:paraId="6E846719" w14:textId="77777777" w:rsidTr="00FE723C">
        <w:trPr>
          <w:trHeight w:val="350"/>
        </w:trPr>
        <w:tc>
          <w:tcPr>
            <w:tcW w:w="3893" w:type="dxa"/>
          </w:tcPr>
          <w:p w14:paraId="38B0BE2B" w14:textId="2A5772DB" w:rsidR="007A100C" w:rsidRPr="00BA0DAD" w:rsidRDefault="007A100C" w:rsidP="007A100C">
            <w:pPr>
              <w:spacing w:after="0" w:line="240" w:lineRule="auto"/>
              <w:rPr>
                <w:b/>
                <w:bCs/>
              </w:rPr>
            </w:pPr>
            <w:r w:rsidRPr="00907FCA">
              <w:rPr>
                <w:b/>
                <w:bCs/>
              </w:rPr>
              <w:t>Total one-off regulatory burden</w:t>
            </w:r>
          </w:p>
        </w:tc>
        <w:tc>
          <w:tcPr>
            <w:tcW w:w="1494" w:type="dxa"/>
          </w:tcPr>
          <w:p w14:paraId="6F7C5428" w14:textId="782E055D" w:rsidR="007A100C" w:rsidRPr="00BA0DAD" w:rsidRDefault="007A100C" w:rsidP="007A100C">
            <w:pPr>
              <w:spacing w:after="0" w:line="240" w:lineRule="auto"/>
              <w:rPr>
                <w:b/>
                <w:bCs/>
              </w:rPr>
            </w:pPr>
            <w:r w:rsidRPr="00907FCA">
              <w:rPr>
                <w:b/>
                <w:bCs/>
              </w:rPr>
              <w:t>$0</w:t>
            </w:r>
          </w:p>
        </w:tc>
        <w:tc>
          <w:tcPr>
            <w:tcW w:w="1369" w:type="dxa"/>
          </w:tcPr>
          <w:p w14:paraId="0FB568E3" w14:textId="4923365E" w:rsidR="007A100C" w:rsidRPr="005F3357" w:rsidRDefault="007A100C" w:rsidP="007A100C">
            <w:pPr>
              <w:spacing w:after="0" w:line="240" w:lineRule="auto"/>
              <w:rPr>
                <w:b/>
                <w:vertAlign w:val="superscript"/>
              </w:rPr>
            </w:pPr>
            <w:r w:rsidRPr="00907FCA">
              <w:rPr>
                <w:b/>
                <w:bCs/>
              </w:rPr>
              <w:t>$689,584</w:t>
            </w:r>
            <w:r w:rsidR="005F3357">
              <w:rPr>
                <w:b/>
                <w:bCs/>
                <w:vertAlign w:val="superscript"/>
              </w:rPr>
              <w:t>*</w:t>
            </w:r>
          </w:p>
        </w:tc>
        <w:tc>
          <w:tcPr>
            <w:tcW w:w="1262" w:type="dxa"/>
          </w:tcPr>
          <w:p w14:paraId="3D8584BD" w14:textId="5CA77E22" w:rsidR="007A100C" w:rsidRPr="005F3357" w:rsidRDefault="007A100C" w:rsidP="007A100C">
            <w:pPr>
              <w:spacing w:after="0" w:line="240" w:lineRule="auto"/>
              <w:rPr>
                <w:b/>
                <w:vertAlign w:val="superscript"/>
              </w:rPr>
            </w:pPr>
            <w:r w:rsidRPr="00907FCA">
              <w:rPr>
                <w:b/>
                <w:bCs/>
              </w:rPr>
              <w:t>$1,324,140</w:t>
            </w:r>
            <w:r w:rsidR="005F3357">
              <w:rPr>
                <w:b/>
                <w:bCs/>
                <w:vertAlign w:val="superscript"/>
              </w:rPr>
              <w:t>*</w:t>
            </w:r>
          </w:p>
        </w:tc>
        <w:tc>
          <w:tcPr>
            <w:tcW w:w="5276" w:type="dxa"/>
          </w:tcPr>
          <w:p w14:paraId="464209F2" w14:textId="3B8FF9BB" w:rsidR="007A100C" w:rsidRDefault="007A100C" w:rsidP="007A100C">
            <w:pPr>
              <w:spacing w:after="0" w:line="240" w:lineRule="auto"/>
            </w:pPr>
            <w:r>
              <w:t>Derived by multiplying total estimated hours and the default labour cost</w:t>
            </w:r>
            <w:r w:rsidR="0080247B">
              <w:t xml:space="preserve"> ($85.17 per hour)</w:t>
            </w:r>
          </w:p>
        </w:tc>
      </w:tr>
    </w:tbl>
    <w:p w14:paraId="41D67CFA" w14:textId="2A54ED77" w:rsidR="005F3357" w:rsidRPr="005F3357" w:rsidRDefault="005F3357" w:rsidP="00BA6723">
      <w:pPr>
        <w:spacing w:before="120" w:after="120"/>
      </w:pPr>
      <w:r>
        <w:rPr>
          <w:vertAlign w:val="superscript"/>
        </w:rPr>
        <w:t>*</w:t>
      </w:r>
      <w:r>
        <w:t xml:space="preserve"> </w:t>
      </w:r>
      <w:r w:rsidR="002B1C87">
        <w:t>Figures in this table do not sum</w:t>
      </w:r>
      <w:r w:rsidR="00D603FE">
        <w:t xml:space="preserve"> </w:t>
      </w:r>
      <w:r w:rsidR="0060669A">
        <w:t>to the displayed ‘</w:t>
      </w:r>
      <w:r w:rsidR="0060669A" w:rsidRPr="0060669A">
        <w:rPr>
          <w:i/>
          <w:iCs/>
        </w:rPr>
        <w:t>total one-off regulatory burden’</w:t>
      </w:r>
      <w:r w:rsidR="0060669A">
        <w:t xml:space="preserve"> </w:t>
      </w:r>
      <w:r w:rsidR="00D603FE">
        <w:t>due to rounding</w:t>
      </w:r>
      <w:r w:rsidR="001576C3">
        <w:t xml:space="preserve"> </w:t>
      </w:r>
      <w:r w:rsidR="00501C93">
        <w:t xml:space="preserve">in the </w:t>
      </w:r>
      <w:r w:rsidR="00501C93" w:rsidRPr="00501C93">
        <w:t>‘</w:t>
      </w:r>
      <w:r w:rsidR="00501C93" w:rsidRPr="00501C93">
        <w:rPr>
          <w:i/>
          <w:iCs/>
        </w:rPr>
        <w:t>Substantiative compliance cost to handle enquiries from directly affected policyholders</w:t>
      </w:r>
      <w:r w:rsidR="00501C93" w:rsidRPr="00501C93">
        <w:t>’ section</w:t>
      </w:r>
    </w:p>
    <w:p w14:paraId="0E379EBC" w14:textId="46DDB0DA" w:rsidR="00BA6723" w:rsidRDefault="00BA6723" w:rsidP="00BA6723">
      <w:pPr>
        <w:spacing w:before="120" w:after="120"/>
      </w:pPr>
      <w:r>
        <w:t>The department notes the following assumptions:</w:t>
      </w:r>
    </w:p>
    <w:p w14:paraId="06D139DD" w14:textId="4D994761" w:rsidR="00BA6723" w:rsidRDefault="00BF5B1F" w:rsidP="00061104">
      <w:pPr>
        <w:pStyle w:val="ListParagraph"/>
        <w:numPr>
          <w:ilvl w:val="0"/>
          <w:numId w:val="37"/>
        </w:numPr>
        <w:spacing w:before="120" w:after="120"/>
      </w:pPr>
      <w:r>
        <w:t xml:space="preserve">2% </w:t>
      </w:r>
      <w:r w:rsidR="00CD62B9">
        <w:t xml:space="preserve">of policyholders </w:t>
      </w:r>
      <w:r>
        <w:t>making contact about the change:</w:t>
      </w:r>
      <w:r w:rsidR="00162AE5">
        <w:t xml:space="preserve"> </w:t>
      </w:r>
      <w:r w:rsidR="00BA6723">
        <w:t xml:space="preserve">this is an estimate as </w:t>
      </w:r>
      <w:r w:rsidR="00E1740B">
        <w:t>the department has</w:t>
      </w:r>
      <w:r w:rsidR="00BA6723">
        <w:t xml:space="preserve"> not consulted insurers on </w:t>
      </w:r>
      <w:r w:rsidR="00162AE5">
        <w:t>this metric</w:t>
      </w:r>
      <w:r w:rsidR="00DF7330">
        <w:t xml:space="preserve"> given the confidentiality required of Budget processes</w:t>
      </w:r>
      <w:r w:rsidR="00BA6723">
        <w:t xml:space="preserve">. </w:t>
      </w:r>
      <w:r w:rsidR="00DA60D6">
        <w:t>It is</w:t>
      </w:r>
      <w:r w:rsidR="00BA6723">
        <w:t xml:space="preserve"> assumed that most policyholders will base their decision on the communication material provided by insurers</w:t>
      </w:r>
      <w:r w:rsidR="005821E7">
        <w:t xml:space="preserve"> and that some </w:t>
      </w:r>
      <w:r w:rsidR="00AF0AD4">
        <w:t xml:space="preserve">policyholders </w:t>
      </w:r>
      <w:r w:rsidR="00DB066C">
        <w:t xml:space="preserve">or potential policyholders </w:t>
      </w:r>
      <w:r w:rsidR="00AF0AD4">
        <w:t>already contact</w:t>
      </w:r>
      <w:r w:rsidR="00DB066C">
        <w:t xml:space="preserve"> insurers about the </w:t>
      </w:r>
      <w:r w:rsidR="005B1828">
        <w:t>Rebate</w:t>
      </w:r>
      <w:r w:rsidR="00B44982">
        <w:t xml:space="preserve"> </w:t>
      </w:r>
      <w:r w:rsidR="00796B40">
        <w:t xml:space="preserve">and premium </w:t>
      </w:r>
      <w:r w:rsidR="00B44982">
        <w:t>changes each year</w:t>
      </w:r>
      <w:r w:rsidR="00BA6723">
        <w:t xml:space="preserve">. The propensity </w:t>
      </w:r>
      <w:r w:rsidR="003D6C75">
        <w:t xml:space="preserve">of policyholders </w:t>
      </w:r>
      <w:r w:rsidR="00BA6723">
        <w:t>to make contact is</w:t>
      </w:r>
      <w:r w:rsidR="00EB3484">
        <w:t xml:space="preserve"> also</w:t>
      </w:r>
      <w:r w:rsidR="00BA6723">
        <w:t xml:space="preserve"> reduced due to</w:t>
      </w:r>
      <w:r w:rsidR="00F168D0">
        <w:t xml:space="preserve"> the</w:t>
      </w:r>
      <w:r w:rsidR="00BA6723">
        <w:t xml:space="preserve"> significant effort insurers put into communications and the relative difficulty</w:t>
      </w:r>
      <w:r w:rsidR="00F168D0">
        <w:t xml:space="preserve"> for policyholders</w:t>
      </w:r>
      <w:r w:rsidR="00BA6723">
        <w:t xml:space="preserve"> to </w:t>
      </w:r>
      <w:proofErr w:type="gramStart"/>
      <w:r w:rsidR="00BA6723">
        <w:t>make contact with</w:t>
      </w:r>
      <w:proofErr w:type="gramEnd"/>
      <w:r w:rsidR="00BA6723">
        <w:t xml:space="preserve"> a human</w:t>
      </w:r>
      <w:r w:rsidR="003D4CA2">
        <w:t xml:space="preserve"> responder</w:t>
      </w:r>
      <w:r w:rsidR="00BA6723">
        <w:t>.</w:t>
      </w:r>
    </w:p>
    <w:p w14:paraId="23A5832B" w14:textId="6593BC5E" w:rsidR="00BA6723" w:rsidRDefault="00BA6723" w:rsidP="00061104">
      <w:pPr>
        <w:pStyle w:val="ListParagraph"/>
        <w:numPr>
          <w:ilvl w:val="0"/>
          <w:numId w:val="37"/>
        </w:numPr>
        <w:spacing w:before="120" w:after="120"/>
      </w:pPr>
      <w:r>
        <w:t>Insurers regularly prepare for PHI Rebate percentage adjustments each 1 April via the Rebate Adjustment Factor</w:t>
      </w:r>
      <w:r w:rsidR="002D24DC">
        <w:t xml:space="preserve"> (typically announced in </w:t>
      </w:r>
      <w:r w:rsidR="003C62BB">
        <w:t xml:space="preserve">the </w:t>
      </w:r>
      <w:r w:rsidR="002D24DC">
        <w:t xml:space="preserve">February </w:t>
      </w:r>
      <w:r w:rsidR="003C62BB">
        <w:t>immediately prior to 1 April</w:t>
      </w:r>
      <w:r w:rsidR="002D24DC">
        <w:t>)</w:t>
      </w:r>
      <w:r>
        <w:t xml:space="preserve">. Therefore, by timing implementation to 1 April, there is no expected </w:t>
      </w:r>
      <w:r>
        <w:lastRenderedPageBreak/>
        <w:t>administrative cost.</w:t>
      </w:r>
      <w:r w:rsidR="00215844">
        <w:t xml:space="preserve"> Further, insurers will have more notice </w:t>
      </w:r>
      <w:r w:rsidR="002D24DC">
        <w:t xml:space="preserve">of the Rebate rates to apply from 1 April 2027 </w:t>
      </w:r>
      <w:r w:rsidR="00215844">
        <w:t xml:space="preserve">than </w:t>
      </w:r>
      <w:r w:rsidR="002D24DC">
        <w:t>in a usual year by several months</w:t>
      </w:r>
      <w:r w:rsidR="003C62BB">
        <w:t xml:space="preserve"> (noting the intention to </w:t>
      </w:r>
      <w:r w:rsidR="00D95BEA">
        <w:t>set the RAF to 1 for 1 April 2027</w:t>
      </w:r>
      <w:r w:rsidR="009827D8">
        <w:t>)</w:t>
      </w:r>
      <w:r w:rsidR="002D24DC">
        <w:t xml:space="preserve">. </w:t>
      </w:r>
    </w:p>
    <w:p w14:paraId="1FA5BEB9" w14:textId="0A29AAFF" w:rsidR="00BA6723" w:rsidRDefault="00BA6723" w:rsidP="00061104">
      <w:pPr>
        <w:pStyle w:val="ListParagraph"/>
        <w:numPr>
          <w:ilvl w:val="0"/>
          <w:numId w:val="37"/>
        </w:numPr>
        <w:spacing w:before="120" w:after="120"/>
      </w:pPr>
      <w:r>
        <w:t xml:space="preserve">Similarly, insurers prepare communications to policyholders about regular 1 April PHI Rebate changes as part of premium price change announcements. Therefore, the </w:t>
      </w:r>
      <w:r w:rsidR="00B71B7A">
        <w:t xml:space="preserve">estimated </w:t>
      </w:r>
      <w:r>
        <w:t>time taken to provide communications on these Rebate changes was reduced to take this into account.</w:t>
      </w:r>
    </w:p>
    <w:p w14:paraId="3492783A" w14:textId="4B21E230" w:rsidR="00BA6723" w:rsidRDefault="00BA6723" w:rsidP="00BA6723">
      <w:pPr>
        <w:spacing w:before="120" w:after="120"/>
      </w:pPr>
      <w:r>
        <w:t xml:space="preserve">The department acknowledges there are further impacts </w:t>
      </w:r>
      <w:r w:rsidR="004A75DC">
        <w:t>on</w:t>
      </w:r>
      <w:r>
        <w:t xml:space="preserve"> insurers that are not directly compliance related. Whilst these have not been modelled as </w:t>
      </w:r>
      <w:r w:rsidR="001464A2">
        <w:t>they are</w:t>
      </w:r>
      <w:r>
        <w:t xml:space="preserve"> outside the scope of the direct regulatory burden estimate, the</w:t>
      </w:r>
      <w:r w:rsidR="001464A2">
        <w:t>y</w:t>
      </w:r>
      <w:r>
        <w:t xml:space="preserve"> include:</w:t>
      </w:r>
    </w:p>
    <w:p w14:paraId="721B2BAC" w14:textId="5B2F6B04" w:rsidR="00BA6723" w:rsidRDefault="00BA6723" w:rsidP="00061104">
      <w:pPr>
        <w:pStyle w:val="ListParagraph"/>
        <w:numPr>
          <w:ilvl w:val="0"/>
          <w:numId w:val="37"/>
        </w:numPr>
        <w:spacing w:before="120" w:after="120"/>
      </w:pPr>
      <w:r>
        <w:t xml:space="preserve">larger financial impacts for certain insurers, based on the proportion of </w:t>
      </w:r>
      <w:r w:rsidR="00E34CCF">
        <w:t xml:space="preserve">their </w:t>
      </w:r>
      <w:r>
        <w:t>policyholders who are 65 or older</w:t>
      </w:r>
    </w:p>
    <w:p w14:paraId="17676730" w14:textId="1F7CCE93" w:rsidR="00BA6723" w:rsidRDefault="00BA6723" w:rsidP="00061104">
      <w:pPr>
        <w:pStyle w:val="ListParagraph"/>
        <w:numPr>
          <w:ilvl w:val="0"/>
          <w:numId w:val="37"/>
        </w:numPr>
        <w:spacing w:before="120" w:after="120"/>
      </w:pPr>
      <w:r>
        <w:t xml:space="preserve">a larger </w:t>
      </w:r>
      <w:r w:rsidR="00156196">
        <w:t xml:space="preserve">relative </w:t>
      </w:r>
      <w:r>
        <w:t>impact on smaller insurers, noting that the transition cost (60 hours per insurer) is the same regardless of insurer size</w:t>
      </w:r>
      <w:r w:rsidR="001B6BEE">
        <w:t>, with t</w:t>
      </w:r>
      <w:r>
        <w:t xml:space="preserve">his </w:t>
      </w:r>
      <w:r w:rsidR="001B6BEE">
        <w:t xml:space="preserve">being </w:t>
      </w:r>
      <w:r>
        <w:t xml:space="preserve">somewhat mitigated by the relatively </w:t>
      </w:r>
      <w:r w:rsidR="00DF4145">
        <w:t xml:space="preserve">minor </w:t>
      </w:r>
      <w:r>
        <w:t>nature of this transition cost</w:t>
      </w:r>
      <w:r w:rsidR="001B6BEE">
        <w:t>, and</w:t>
      </w:r>
    </w:p>
    <w:p w14:paraId="74EE6018" w14:textId="120DB320" w:rsidR="00BA6723" w:rsidRDefault="001B6BEE" w:rsidP="00061104">
      <w:pPr>
        <w:pStyle w:val="ListParagraph"/>
        <w:numPr>
          <w:ilvl w:val="0"/>
          <w:numId w:val="37"/>
        </w:numPr>
        <w:spacing w:before="120" w:after="120"/>
      </w:pPr>
      <w:r>
        <w:t>i</w:t>
      </w:r>
      <w:r w:rsidR="00BA6723">
        <w:t>nsurers adjusting their business strategy in the context of reduced Rebate expenditure, which may impact on their policyholder acquisition, retention, capital and risk planning.</w:t>
      </w:r>
    </w:p>
    <w:p w14:paraId="06F0B899" w14:textId="2875E032" w:rsidR="009935BE" w:rsidRDefault="008E7DB1" w:rsidP="009935BE">
      <w:pPr>
        <w:spacing w:before="120" w:after="120"/>
      </w:pPr>
      <w:r>
        <w:t>Given that implementation is planned for 1 April 2027, i</w:t>
      </w:r>
      <w:r w:rsidR="00B148CB">
        <w:t xml:space="preserve">nsurers will have substantial time to factor in these changes </w:t>
      </w:r>
      <w:r w:rsidR="00E85D46">
        <w:t xml:space="preserve">and to prepare their business and policyholders for </w:t>
      </w:r>
      <w:r w:rsidR="00B239B9">
        <w:t xml:space="preserve">these changes. </w:t>
      </w:r>
      <w:r w:rsidR="009935BE">
        <w:t>These have been factored into the multi-criteria analysis below.</w:t>
      </w:r>
    </w:p>
    <w:p w14:paraId="63C7A3E5" w14:textId="1D6C47A7" w:rsidR="009935BE" w:rsidRDefault="00BA6723" w:rsidP="009935BE">
      <w:pPr>
        <w:spacing w:before="120" w:after="120"/>
      </w:pPr>
      <w:r>
        <w:t>The department considers there is no direct regulatory cost on community organisations or on individuals. However, it is important to note that</w:t>
      </w:r>
      <w:r w:rsidR="007E26B1">
        <w:t xml:space="preserve">, </w:t>
      </w:r>
      <w:r w:rsidR="00744F20">
        <w:t>if Option 2 or 3 is implemented</w:t>
      </w:r>
      <w:r w:rsidR="007E26B1">
        <w:t>,</w:t>
      </w:r>
      <w:r>
        <w:t xml:space="preserve"> individuals holding </w:t>
      </w:r>
      <w:r w:rsidR="00016637">
        <w:t>PHI</w:t>
      </w:r>
      <w:r>
        <w:t xml:space="preserve"> are more likely than usual to consider the effect of premium changes on 1 April 2027 and whether to continue to hold PHI. The impact will fall on individuals that are subject to the proposed </w:t>
      </w:r>
      <w:r w:rsidR="00E371CD">
        <w:t xml:space="preserve">Rebate </w:t>
      </w:r>
      <w:r>
        <w:t xml:space="preserve">changes as outlined for Option 2 or </w:t>
      </w:r>
      <w:r w:rsidR="00B17367">
        <w:t>3</w:t>
      </w:r>
      <w:r>
        <w:t xml:space="preserve"> – other PHI holders will not be </w:t>
      </w:r>
      <w:r w:rsidR="00495645">
        <w:t xml:space="preserve">directly </w:t>
      </w:r>
      <w:r>
        <w:t>affected.</w:t>
      </w:r>
      <w:r w:rsidR="009935BE">
        <w:t xml:space="preserve"> Similarly, this has been factored into the multi-criteria analysis below.</w:t>
      </w:r>
    </w:p>
    <w:p w14:paraId="032B2B79" w14:textId="7CE76D91" w:rsidR="00E72103" w:rsidRDefault="00E72103" w:rsidP="00BA6723">
      <w:pPr>
        <w:spacing w:before="120" w:after="120"/>
      </w:pPr>
      <w:r>
        <w:br w:type="page"/>
      </w:r>
    </w:p>
    <w:p w14:paraId="1B9EB3A5" w14:textId="77777777" w:rsidR="00E72103" w:rsidRDefault="00E72103" w:rsidP="008833BD">
      <w:pPr>
        <w:sectPr w:rsidR="00E72103" w:rsidSect="009678FA">
          <w:pgSz w:w="16838" w:h="11906" w:orient="landscape"/>
          <w:pgMar w:top="1134" w:right="1701" w:bottom="1134" w:left="1843" w:header="992" w:footer="709" w:gutter="0"/>
          <w:cols w:space="708"/>
          <w:titlePg/>
          <w:docGrid w:linePitch="360"/>
        </w:sectPr>
      </w:pPr>
    </w:p>
    <w:p w14:paraId="3BA09B52" w14:textId="70A59FC5" w:rsidR="008833BD" w:rsidRPr="00F451F1" w:rsidRDefault="00F451F1" w:rsidP="00F451F1">
      <w:pPr>
        <w:pStyle w:val="Heading2"/>
      </w:pPr>
      <w:r>
        <w:lastRenderedPageBreak/>
        <w:t xml:space="preserve">4.3 </w:t>
      </w:r>
      <w:proofErr w:type="gramStart"/>
      <w:r w:rsidR="008833BD" w:rsidRPr="00F451F1">
        <w:t>Multi-criteria analysis</w:t>
      </w:r>
      <w:proofErr w:type="gramEnd"/>
    </w:p>
    <w:p w14:paraId="46E4CCA1" w14:textId="055D32BE" w:rsidR="00EA72D7" w:rsidRDefault="00EA72D7" w:rsidP="008833BD">
      <w:r>
        <w:t xml:space="preserve">A multi-criteria analysis </w:t>
      </w:r>
      <w:proofErr w:type="gramStart"/>
      <w:r>
        <w:t>was considered to be</w:t>
      </w:r>
      <w:proofErr w:type="gramEnd"/>
      <w:r>
        <w:t xml:space="preserve"> appropriate </w:t>
      </w:r>
      <w:r w:rsidR="00660FBE">
        <w:t xml:space="preserve">because </w:t>
      </w:r>
      <w:r w:rsidR="00891C79">
        <w:t xml:space="preserve">the main objective relates to equity issues and there </w:t>
      </w:r>
      <w:r w:rsidR="00096B2E">
        <w:t>is</w:t>
      </w:r>
      <w:r w:rsidR="00891C79">
        <w:t xml:space="preserve"> </w:t>
      </w:r>
      <w:r w:rsidR="00225BB8">
        <w:t xml:space="preserve">limited </w:t>
      </w:r>
      <w:r w:rsidR="007D0BE9">
        <w:t xml:space="preserve">information </w:t>
      </w:r>
      <w:r w:rsidR="00096B2E">
        <w:t xml:space="preserve">available to allow the </w:t>
      </w:r>
      <w:r w:rsidR="006D59DC">
        <w:t>effects to be quantified.</w:t>
      </w:r>
      <w:r w:rsidR="00096B2E">
        <w:t xml:space="preserve"> </w:t>
      </w:r>
    </w:p>
    <w:p w14:paraId="1B737C39" w14:textId="59F27E51" w:rsidR="008833BD" w:rsidRPr="0045221A" w:rsidRDefault="008833BD" w:rsidP="008833BD">
      <w:r w:rsidRPr="0045221A">
        <w:t>The multi-criteria analysis assesses each option against:</w:t>
      </w:r>
    </w:p>
    <w:p w14:paraId="38714B9B" w14:textId="7D6B551A" w:rsidR="008833BD" w:rsidRDefault="008833BD" w:rsidP="00061104">
      <w:pPr>
        <w:pStyle w:val="ListParagraph"/>
        <w:numPr>
          <w:ilvl w:val="0"/>
          <w:numId w:val="37"/>
        </w:numPr>
      </w:pPr>
      <w:r w:rsidRPr="0045221A">
        <w:t xml:space="preserve">the objectives </w:t>
      </w:r>
      <w:r w:rsidR="005D1DD2">
        <w:t xml:space="preserve">of Rebate reform, as </w:t>
      </w:r>
      <w:r w:rsidRPr="0045221A">
        <w:t xml:space="preserve">outlined in </w:t>
      </w:r>
      <w:r w:rsidR="00CB2D5D">
        <w:t>S</w:t>
      </w:r>
      <w:r w:rsidRPr="0045221A">
        <w:t>ection 2</w:t>
      </w:r>
      <w:r>
        <w:t xml:space="preserve"> i.</w:t>
      </w:r>
      <w:r w:rsidR="00710166">
        <w:t>e.</w:t>
      </w:r>
      <w:r>
        <w:t>:</w:t>
      </w:r>
    </w:p>
    <w:p w14:paraId="40E78349" w14:textId="329D7E4F" w:rsidR="00736344" w:rsidRDefault="00736344" w:rsidP="00061104">
      <w:pPr>
        <w:pStyle w:val="ListParagraph"/>
        <w:numPr>
          <w:ilvl w:val="1"/>
          <w:numId w:val="37"/>
        </w:numPr>
      </w:pPr>
      <w:r w:rsidRPr="000861B0">
        <w:t>continue to provide an incentive</w:t>
      </w:r>
      <w:r w:rsidR="00B01DBC">
        <w:t xml:space="preserve"> </w:t>
      </w:r>
      <w:r w:rsidRPr="000861B0">
        <w:t>for people to participate in PHI</w:t>
      </w:r>
      <w:r w:rsidR="00B01DBC">
        <w:t xml:space="preserve"> through a simplified Rebate</w:t>
      </w:r>
    </w:p>
    <w:p w14:paraId="0CA4700C" w14:textId="255DC190" w:rsidR="00736344" w:rsidRDefault="00736344" w:rsidP="00061104">
      <w:pPr>
        <w:pStyle w:val="ListParagraph"/>
        <w:numPr>
          <w:ilvl w:val="1"/>
          <w:numId w:val="37"/>
        </w:numPr>
      </w:pPr>
      <w:r>
        <w:t xml:space="preserve">ensure </w:t>
      </w:r>
      <w:r w:rsidRPr="000861B0">
        <w:t>funds are not spent on the Rebate</w:t>
      </w:r>
      <w:r>
        <w:t xml:space="preserve"> </w:t>
      </w:r>
      <w:r w:rsidRPr="000861B0">
        <w:t xml:space="preserve">if they </w:t>
      </w:r>
      <w:r>
        <w:t>are generally unlikely to</w:t>
      </w:r>
      <w:r w:rsidRPr="000861B0">
        <w:t xml:space="preserve"> alter participation decisions and/or could be better directed to </w:t>
      </w:r>
      <w:r>
        <w:t>other</w:t>
      </w:r>
      <w:r w:rsidRPr="000861B0">
        <w:t xml:space="preserve"> priority health</w:t>
      </w:r>
      <w:r>
        <w:t>, disability and aged care</w:t>
      </w:r>
      <w:r w:rsidRPr="000861B0">
        <w:t xml:space="preserve"> services</w:t>
      </w:r>
      <w:r w:rsidR="00717236">
        <w:t>, and</w:t>
      </w:r>
      <w:r w:rsidRPr="000861B0">
        <w:t xml:space="preserve"> </w:t>
      </w:r>
    </w:p>
    <w:p w14:paraId="09BF5A60" w14:textId="637044F7" w:rsidR="008833BD" w:rsidRPr="0045221A" w:rsidRDefault="00736344" w:rsidP="00061104">
      <w:pPr>
        <w:pStyle w:val="ListParagraph"/>
        <w:numPr>
          <w:ilvl w:val="1"/>
          <w:numId w:val="37"/>
        </w:numPr>
      </w:pPr>
      <w:r>
        <w:t xml:space="preserve">ensure the Rebate is equitably targeted, </w:t>
      </w:r>
      <w:r w:rsidR="007B429D" w:rsidRPr="007B429D">
        <w:t xml:space="preserve">while minimising any negative impact on </w:t>
      </w:r>
      <w:proofErr w:type="gramStart"/>
      <w:r w:rsidR="007B429D" w:rsidRPr="007B429D">
        <w:t>participation</w:t>
      </w:r>
      <w:r w:rsidR="0048568A">
        <w:t>;</w:t>
      </w:r>
      <w:proofErr w:type="gramEnd"/>
    </w:p>
    <w:p w14:paraId="0CFAC415" w14:textId="6FDC2D85" w:rsidR="008833BD" w:rsidRDefault="008833BD" w:rsidP="00061104">
      <w:pPr>
        <w:pStyle w:val="ListParagraph"/>
        <w:numPr>
          <w:ilvl w:val="0"/>
          <w:numId w:val="37"/>
        </w:numPr>
      </w:pPr>
      <w:r w:rsidRPr="0045221A">
        <w:t>the impacts on stakeholders (other than government)</w:t>
      </w:r>
      <w:r>
        <w:t xml:space="preserve">, which includes </w:t>
      </w:r>
      <w:r w:rsidR="00AC13ED">
        <w:t xml:space="preserve">consumers, </w:t>
      </w:r>
      <w:r>
        <w:t>private health insur</w:t>
      </w:r>
      <w:r w:rsidR="00214BA6">
        <w:t>ers</w:t>
      </w:r>
      <w:r>
        <w:t>, private hospitals, medical professionals</w:t>
      </w:r>
      <w:r w:rsidR="00214BA6">
        <w:t xml:space="preserve"> and</w:t>
      </w:r>
      <w:r>
        <w:t xml:space="preserve"> public hospitals. </w:t>
      </w:r>
    </w:p>
    <w:p w14:paraId="0B411DBE" w14:textId="179BD69C" w:rsidR="008833BD" w:rsidRPr="0045221A" w:rsidRDefault="008833BD" w:rsidP="008833BD">
      <w:r w:rsidRPr="001979E4">
        <w:t xml:space="preserve">A simple scale, ranging from -3 to +3 (with 0 representing no net change in benefit), has been chosen to illustrate and compare the relative benefits of each </w:t>
      </w:r>
      <w:r w:rsidR="000D44FE">
        <w:t>option</w:t>
      </w:r>
      <w:r w:rsidRPr="001979E4">
        <w:t>.</w:t>
      </w:r>
      <w:r w:rsidR="00893E34">
        <w:t xml:space="preserve"> </w:t>
      </w:r>
      <w:r w:rsidR="006C1DD1">
        <w:t>All</w:t>
      </w:r>
      <w:r w:rsidR="00893E34">
        <w:t xml:space="preserve"> criteria ha</w:t>
      </w:r>
      <w:r w:rsidR="006C1DD1">
        <w:t>ve</w:t>
      </w:r>
      <w:r w:rsidR="00893E34">
        <w:t xml:space="preserve"> been weighted equally for this analysis.</w:t>
      </w:r>
      <w:r w:rsidR="009E3737">
        <w:t xml:space="preserve"> </w:t>
      </w:r>
    </w:p>
    <w:tbl>
      <w:tblPr>
        <w:tblStyle w:val="TableGrid"/>
        <w:tblW w:w="0" w:type="auto"/>
        <w:tblLook w:val="04A0" w:firstRow="1" w:lastRow="0" w:firstColumn="1" w:lastColumn="0" w:noHBand="0" w:noVBand="1"/>
        <w:tblDescription w:val="The table presents a scale from -3, meaning significantly adverse impact, to 3, meaning significantly beneficial impact. Zero means neutral impact."/>
      </w:tblPr>
      <w:tblGrid>
        <w:gridCol w:w="1897"/>
        <w:gridCol w:w="1897"/>
        <w:gridCol w:w="1898"/>
        <w:gridCol w:w="1898"/>
        <w:gridCol w:w="1898"/>
        <w:gridCol w:w="1898"/>
        <w:gridCol w:w="1898"/>
      </w:tblGrid>
      <w:tr w:rsidR="00E72103" w:rsidRPr="00F575E0" w14:paraId="58F51186" w14:textId="77777777" w:rsidTr="003726F8">
        <w:trPr>
          <w:tblHeader/>
        </w:trPr>
        <w:tc>
          <w:tcPr>
            <w:tcW w:w="1897" w:type="dxa"/>
            <w:tcBorders>
              <w:top w:val="single" w:sz="4" w:space="0" w:color="auto"/>
              <w:left w:val="single" w:sz="4" w:space="0" w:color="auto"/>
              <w:bottom w:val="single" w:sz="4" w:space="0" w:color="auto"/>
              <w:right w:val="single" w:sz="4" w:space="0" w:color="auto"/>
            </w:tcBorders>
            <w:shd w:val="clear" w:color="auto" w:fill="DD7F7E" w:themeFill="accent6" w:themeFillTint="99"/>
            <w:hideMark/>
          </w:tcPr>
          <w:p w14:paraId="5C1EB9C5" w14:textId="77777777" w:rsidR="008833BD" w:rsidRPr="00F575E0" w:rsidRDefault="008833BD">
            <w:pPr>
              <w:rPr>
                <w:b/>
                <w:bCs/>
              </w:rPr>
            </w:pPr>
            <w:r w:rsidRPr="00F575E0">
              <w:rPr>
                <w:b/>
                <w:bCs/>
              </w:rPr>
              <w:t>-3</w:t>
            </w:r>
          </w:p>
        </w:tc>
        <w:tc>
          <w:tcPr>
            <w:tcW w:w="1897" w:type="dxa"/>
            <w:tcBorders>
              <w:top w:val="single" w:sz="4" w:space="0" w:color="auto"/>
              <w:left w:val="single" w:sz="4" w:space="0" w:color="auto"/>
              <w:bottom w:val="single" w:sz="4" w:space="0" w:color="auto"/>
              <w:right w:val="single" w:sz="4" w:space="0" w:color="auto"/>
            </w:tcBorders>
            <w:shd w:val="clear" w:color="auto" w:fill="EB9968" w:themeFill="accent5" w:themeFillTint="99"/>
            <w:hideMark/>
          </w:tcPr>
          <w:p w14:paraId="21C999CD" w14:textId="77777777" w:rsidR="008833BD" w:rsidRPr="00F575E0" w:rsidRDefault="008833BD">
            <w:pPr>
              <w:rPr>
                <w:b/>
                <w:bCs/>
              </w:rPr>
            </w:pPr>
            <w:r w:rsidRPr="00F575E0">
              <w:rPr>
                <w:b/>
                <w:bCs/>
              </w:rPr>
              <w:t>-2</w:t>
            </w:r>
          </w:p>
        </w:tc>
        <w:tc>
          <w:tcPr>
            <w:tcW w:w="1898" w:type="dxa"/>
            <w:tcBorders>
              <w:top w:val="single" w:sz="4" w:space="0" w:color="auto"/>
              <w:left w:val="single" w:sz="4" w:space="0" w:color="auto"/>
              <w:bottom w:val="single" w:sz="4" w:space="0" w:color="auto"/>
              <w:right w:val="single" w:sz="4" w:space="0" w:color="auto"/>
            </w:tcBorders>
            <w:shd w:val="clear" w:color="auto" w:fill="F8DDCC" w:themeFill="accent5" w:themeFillTint="33"/>
            <w:hideMark/>
          </w:tcPr>
          <w:p w14:paraId="4E1E2224" w14:textId="77777777" w:rsidR="008833BD" w:rsidRPr="00F575E0" w:rsidRDefault="008833BD">
            <w:pPr>
              <w:rPr>
                <w:b/>
                <w:bCs/>
              </w:rPr>
            </w:pPr>
            <w:r w:rsidRPr="00F575E0">
              <w:rPr>
                <w:b/>
                <w:bCs/>
              </w:rPr>
              <w:t>-1</w:t>
            </w:r>
          </w:p>
        </w:tc>
        <w:tc>
          <w:tcPr>
            <w:tcW w:w="1898" w:type="dxa"/>
            <w:tcBorders>
              <w:top w:val="single" w:sz="4" w:space="0" w:color="auto"/>
              <w:left w:val="single" w:sz="4" w:space="0" w:color="auto"/>
              <w:bottom w:val="single" w:sz="4" w:space="0" w:color="auto"/>
              <w:right w:val="single" w:sz="4" w:space="0" w:color="auto"/>
            </w:tcBorders>
            <w:shd w:val="clear" w:color="auto" w:fill="FFFF00"/>
            <w:hideMark/>
          </w:tcPr>
          <w:p w14:paraId="7510A2A8" w14:textId="77777777" w:rsidR="008833BD" w:rsidRPr="00F575E0" w:rsidRDefault="008833BD">
            <w:pPr>
              <w:rPr>
                <w:b/>
                <w:bCs/>
              </w:rPr>
            </w:pPr>
            <w:r w:rsidRPr="00F575E0">
              <w:rPr>
                <w:b/>
                <w:bCs/>
              </w:rPr>
              <w:t>0</w:t>
            </w:r>
          </w:p>
        </w:tc>
        <w:tc>
          <w:tcPr>
            <w:tcW w:w="1898" w:type="dxa"/>
            <w:tcBorders>
              <w:top w:val="single" w:sz="4" w:space="0" w:color="auto"/>
              <w:left w:val="single" w:sz="4" w:space="0" w:color="auto"/>
              <w:bottom w:val="single" w:sz="4" w:space="0" w:color="auto"/>
              <w:right w:val="single" w:sz="4" w:space="0" w:color="auto"/>
            </w:tcBorders>
            <w:shd w:val="clear" w:color="auto" w:fill="DAEFC3"/>
            <w:hideMark/>
          </w:tcPr>
          <w:p w14:paraId="1A3CF03C" w14:textId="77777777" w:rsidR="008833BD" w:rsidRPr="00F575E0" w:rsidRDefault="008833BD">
            <w:pPr>
              <w:rPr>
                <w:b/>
                <w:bCs/>
              </w:rPr>
            </w:pPr>
            <w:r w:rsidRPr="00F575E0">
              <w:rPr>
                <w:b/>
                <w:bCs/>
              </w:rPr>
              <w:t>1</w:t>
            </w:r>
          </w:p>
        </w:tc>
        <w:tc>
          <w:tcPr>
            <w:tcW w:w="1898" w:type="dxa"/>
            <w:tcBorders>
              <w:top w:val="single" w:sz="4" w:space="0" w:color="auto"/>
              <w:left w:val="single" w:sz="4" w:space="0" w:color="auto"/>
              <w:bottom w:val="single" w:sz="4" w:space="0" w:color="auto"/>
              <w:right w:val="single" w:sz="4" w:space="0" w:color="auto"/>
            </w:tcBorders>
            <w:shd w:val="clear" w:color="auto" w:fill="92D050"/>
            <w:hideMark/>
          </w:tcPr>
          <w:p w14:paraId="2ED8E22C" w14:textId="77777777" w:rsidR="008833BD" w:rsidRPr="00F575E0" w:rsidRDefault="008833BD">
            <w:pPr>
              <w:rPr>
                <w:b/>
                <w:bCs/>
              </w:rPr>
            </w:pPr>
            <w:r w:rsidRPr="00F575E0">
              <w:rPr>
                <w:b/>
                <w:bCs/>
              </w:rPr>
              <w:t>2</w:t>
            </w:r>
          </w:p>
        </w:tc>
        <w:tc>
          <w:tcPr>
            <w:tcW w:w="1898" w:type="dxa"/>
            <w:tcBorders>
              <w:top w:val="single" w:sz="4" w:space="0" w:color="auto"/>
              <w:left w:val="single" w:sz="4" w:space="0" w:color="auto"/>
              <w:bottom w:val="single" w:sz="4" w:space="0" w:color="auto"/>
              <w:right w:val="single" w:sz="4" w:space="0" w:color="auto"/>
            </w:tcBorders>
            <w:shd w:val="clear" w:color="auto" w:fill="00B050"/>
            <w:hideMark/>
          </w:tcPr>
          <w:p w14:paraId="51698A8D" w14:textId="77777777" w:rsidR="008833BD" w:rsidRPr="00F575E0" w:rsidRDefault="008833BD">
            <w:pPr>
              <w:rPr>
                <w:b/>
                <w:bCs/>
              </w:rPr>
            </w:pPr>
            <w:r w:rsidRPr="00F575E0">
              <w:rPr>
                <w:b/>
                <w:bCs/>
              </w:rPr>
              <w:t>3</w:t>
            </w:r>
          </w:p>
        </w:tc>
      </w:tr>
      <w:tr w:rsidR="00E72103" w:rsidRPr="00F575E0" w14:paraId="13682E7F" w14:textId="77777777" w:rsidTr="003726F8">
        <w:trPr>
          <w:tblHeader/>
        </w:trPr>
        <w:tc>
          <w:tcPr>
            <w:tcW w:w="1897" w:type="dxa"/>
            <w:tcBorders>
              <w:top w:val="single" w:sz="4" w:space="0" w:color="auto"/>
              <w:left w:val="single" w:sz="4" w:space="0" w:color="auto"/>
              <w:bottom w:val="single" w:sz="4" w:space="0" w:color="auto"/>
              <w:right w:val="single" w:sz="4" w:space="0" w:color="auto"/>
            </w:tcBorders>
            <w:shd w:val="clear" w:color="auto" w:fill="DD7F7E" w:themeFill="accent6" w:themeFillTint="99"/>
            <w:hideMark/>
          </w:tcPr>
          <w:p w14:paraId="4CAE1466" w14:textId="77777777" w:rsidR="008833BD" w:rsidRPr="00F575E0" w:rsidRDefault="008833BD">
            <w:r w:rsidRPr="00F575E0">
              <w:t>Significantly adverse</w:t>
            </w:r>
          </w:p>
        </w:tc>
        <w:tc>
          <w:tcPr>
            <w:tcW w:w="1897" w:type="dxa"/>
            <w:tcBorders>
              <w:top w:val="single" w:sz="4" w:space="0" w:color="auto"/>
              <w:left w:val="single" w:sz="4" w:space="0" w:color="auto"/>
              <w:bottom w:val="single" w:sz="4" w:space="0" w:color="auto"/>
              <w:right w:val="single" w:sz="4" w:space="0" w:color="auto"/>
            </w:tcBorders>
            <w:shd w:val="clear" w:color="auto" w:fill="EB9968" w:themeFill="accent5" w:themeFillTint="99"/>
            <w:hideMark/>
          </w:tcPr>
          <w:p w14:paraId="4D517B46" w14:textId="77777777" w:rsidR="008833BD" w:rsidRPr="00F575E0" w:rsidRDefault="008833BD">
            <w:r w:rsidRPr="00F575E0">
              <w:t>Moderately adverse</w:t>
            </w:r>
          </w:p>
        </w:tc>
        <w:tc>
          <w:tcPr>
            <w:tcW w:w="1898" w:type="dxa"/>
            <w:tcBorders>
              <w:top w:val="single" w:sz="4" w:space="0" w:color="auto"/>
              <w:left w:val="single" w:sz="4" w:space="0" w:color="auto"/>
              <w:bottom w:val="single" w:sz="4" w:space="0" w:color="auto"/>
              <w:right w:val="single" w:sz="4" w:space="0" w:color="auto"/>
            </w:tcBorders>
            <w:shd w:val="clear" w:color="auto" w:fill="F8DDCC" w:themeFill="accent5" w:themeFillTint="33"/>
            <w:hideMark/>
          </w:tcPr>
          <w:p w14:paraId="49F30DB0" w14:textId="77777777" w:rsidR="008833BD" w:rsidRPr="00F575E0" w:rsidRDefault="008833BD">
            <w:r w:rsidRPr="00F575E0">
              <w:t>Slightly adverse</w:t>
            </w:r>
          </w:p>
        </w:tc>
        <w:tc>
          <w:tcPr>
            <w:tcW w:w="1898" w:type="dxa"/>
            <w:tcBorders>
              <w:top w:val="single" w:sz="4" w:space="0" w:color="auto"/>
              <w:left w:val="single" w:sz="4" w:space="0" w:color="auto"/>
              <w:bottom w:val="single" w:sz="4" w:space="0" w:color="auto"/>
              <w:right w:val="single" w:sz="4" w:space="0" w:color="auto"/>
            </w:tcBorders>
            <w:shd w:val="clear" w:color="auto" w:fill="FFFF00"/>
            <w:hideMark/>
          </w:tcPr>
          <w:p w14:paraId="0C60E9F0" w14:textId="77777777" w:rsidR="008833BD" w:rsidRPr="00F575E0" w:rsidRDefault="008833BD">
            <w:r w:rsidRPr="00F575E0">
              <w:t>Neutral</w:t>
            </w:r>
          </w:p>
        </w:tc>
        <w:tc>
          <w:tcPr>
            <w:tcW w:w="1898" w:type="dxa"/>
            <w:tcBorders>
              <w:top w:val="single" w:sz="4" w:space="0" w:color="auto"/>
              <w:left w:val="single" w:sz="4" w:space="0" w:color="auto"/>
              <w:bottom w:val="single" w:sz="4" w:space="0" w:color="auto"/>
              <w:right w:val="single" w:sz="4" w:space="0" w:color="auto"/>
            </w:tcBorders>
            <w:shd w:val="clear" w:color="auto" w:fill="DAEFC3"/>
            <w:hideMark/>
          </w:tcPr>
          <w:p w14:paraId="7CFB5D39" w14:textId="77777777" w:rsidR="008833BD" w:rsidRPr="00F575E0" w:rsidRDefault="008833BD">
            <w:r w:rsidRPr="00F575E0">
              <w:t>Slightly beneficial</w:t>
            </w:r>
          </w:p>
        </w:tc>
        <w:tc>
          <w:tcPr>
            <w:tcW w:w="1898" w:type="dxa"/>
            <w:tcBorders>
              <w:top w:val="single" w:sz="4" w:space="0" w:color="auto"/>
              <w:left w:val="single" w:sz="4" w:space="0" w:color="auto"/>
              <w:bottom w:val="single" w:sz="4" w:space="0" w:color="auto"/>
              <w:right w:val="single" w:sz="4" w:space="0" w:color="auto"/>
            </w:tcBorders>
            <w:shd w:val="clear" w:color="auto" w:fill="92D050"/>
            <w:hideMark/>
          </w:tcPr>
          <w:p w14:paraId="52344705" w14:textId="77777777" w:rsidR="008833BD" w:rsidRPr="00F575E0" w:rsidRDefault="008833BD">
            <w:r w:rsidRPr="00F575E0">
              <w:t>Moderately beneficial</w:t>
            </w:r>
          </w:p>
        </w:tc>
        <w:tc>
          <w:tcPr>
            <w:tcW w:w="1898" w:type="dxa"/>
            <w:tcBorders>
              <w:top w:val="single" w:sz="4" w:space="0" w:color="auto"/>
              <w:left w:val="single" w:sz="4" w:space="0" w:color="auto"/>
              <w:bottom w:val="single" w:sz="4" w:space="0" w:color="auto"/>
              <w:right w:val="single" w:sz="4" w:space="0" w:color="auto"/>
            </w:tcBorders>
            <w:shd w:val="clear" w:color="auto" w:fill="00B050"/>
            <w:hideMark/>
          </w:tcPr>
          <w:p w14:paraId="3A9579A3" w14:textId="77777777" w:rsidR="008833BD" w:rsidRPr="00F575E0" w:rsidRDefault="008833BD">
            <w:r w:rsidRPr="00F575E0">
              <w:t>Significantly beneficial</w:t>
            </w:r>
          </w:p>
        </w:tc>
      </w:tr>
    </w:tbl>
    <w:p w14:paraId="23AB2BA8" w14:textId="77777777" w:rsidR="008833BD" w:rsidRDefault="008833BD" w:rsidP="00D564E8">
      <w:pPr>
        <w:keepNext/>
        <w:rPr>
          <w:b/>
          <w:sz w:val="24"/>
          <w:szCs w:val="24"/>
        </w:rPr>
      </w:pPr>
      <w:r w:rsidRPr="00F451F1">
        <w:rPr>
          <w:b/>
          <w:sz w:val="24"/>
          <w:szCs w:val="24"/>
        </w:rPr>
        <w:lastRenderedPageBreak/>
        <w:t>Results of multi-criteria analysis</w:t>
      </w:r>
    </w:p>
    <w:p w14:paraId="4B4F6A04" w14:textId="020FA6F9" w:rsidR="005345CF" w:rsidRDefault="00C07283" w:rsidP="00D564E8">
      <w:pPr>
        <w:keepNext/>
      </w:pPr>
      <w:r>
        <w:t xml:space="preserve">Table </w:t>
      </w:r>
      <w:r w:rsidR="00C2044F">
        <w:t>8</w:t>
      </w:r>
      <w:r>
        <w:t xml:space="preserve"> provides t</w:t>
      </w:r>
      <w:r w:rsidR="005345CF">
        <w:t>he summary result of the multi-criteria analysi</w:t>
      </w:r>
      <w:r>
        <w:t>s</w:t>
      </w:r>
      <w:r w:rsidR="00294152">
        <w:t>.</w:t>
      </w:r>
    </w:p>
    <w:p w14:paraId="7EB2ECFE" w14:textId="70A79859" w:rsidR="00F21C7E" w:rsidRPr="00F21C7E" w:rsidRDefault="00F21C7E" w:rsidP="00D564E8">
      <w:pPr>
        <w:pStyle w:val="Heading3"/>
      </w:pPr>
      <w:r w:rsidRPr="000861B0">
        <w:t xml:space="preserve">Table </w:t>
      </w:r>
      <w:r w:rsidR="00C2044F">
        <w:t>8</w:t>
      </w:r>
      <w:r>
        <w:t xml:space="preserve">: </w:t>
      </w:r>
      <w:r w:rsidR="00AE724C">
        <w:t>A</w:t>
      </w:r>
      <w:r w:rsidR="0023672C">
        <w:t xml:space="preserve">ggregated </w:t>
      </w:r>
      <w:r w:rsidR="00AE724C">
        <w:t xml:space="preserve">summary of </w:t>
      </w:r>
      <w:r>
        <w:t>multi-criteria analysis</w:t>
      </w:r>
      <w:r w:rsidR="00294152">
        <w:t xml:space="preserve"> of each option</w:t>
      </w:r>
    </w:p>
    <w:tbl>
      <w:tblPr>
        <w:tblStyle w:val="Custom1"/>
        <w:tblW w:w="0" w:type="auto"/>
        <w:tblLook w:val="0660" w:firstRow="1" w:lastRow="1" w:firstColumn="0" w:lastColumn="0" w:noHBand="1" w:noVBand="1"/>
        <w:tblDescription w:val="Table outlines the result of the multi-criteria analysis based on the overall scoring against the stated objectives and stakeholders respectively. Option 2 scored then highest (1), followed by Option 3 (-1) and Option 1 (-5)."/>
      </w:tblPr>
      <w:tblGrid>
        <w:gridCol w:w="2555"/>
        <w:gridCol w:w="3448"/>
        <w:gridCol w:w="3448"/>
        <w:gridCol w:w="3449"/>
      </w:tblGrid>
      <w:tr w:rsidR="005345CF" w:rsidRPr="000861B0" w14:paraId="1BCAE304" w14:textId="77777777" w:rsidTr="003726F8">
        <w:trPr>
          <w:cnfStyle w:val="100000000000" w:firstRow="1" w:lastRow="0" w:firstColumn="0" w:lastColumn="0" w:oddVBand="0" w:evenVBand="0" w:oddHBand="0" w:evenHBand="0" w:firstRowFirstColumn="0" w:firstRowLastColumn="0" w:lastRowFirstColumn="0" w:lastRowLastColumn="0"/>
          <w:trHeight w:val="350"/>
          <w:tblHeader/>
        </w:trPr>
        <w:tc>
          <w:tcPr>
            <w:tcW w:w="2555" w:type="dxa"/>
          </w:tcPr>
          <w:p w14:paraId="699DBB42" w14:textId="6BDE0785" w:rsidR="005345CF" w:rsidRPr="005345CF" w:rsidRDefault="005345CF" w:rsidP="00D564E8">
            <w:pPr>
              <w:keepNext/>
              <w:spacing w:after="0" w:line="240" w:lineRule="auto"/>
              <w:rPr>
                <w:b w:val="0"/>
                <w:bCs/>
              </w:rPr>
            </w:pPr>
            <w:r w:rsidRPr="005345CF">
              <w:rPr>
                <w:bCs/>
              </w:rPr>
              <w:t>Score</w:t>
            </w:r>
          </w:p>
        </w:tc>
        <w:tc>
          <w:tcPr>
            <w:tcW w:w="3448" w:type="dxa"/>
          </w:tcPr>
          <w:p w14:paraId="3A8B5B42" w14:textId="12B53D2E" w:rsidR="005345CF" w:rsidRPr="005345CF" w:rsidRDefault="005345CF" w:rsidP="00D564E8">
            <w:pPr>
              <w:keepNext/>
              <w:spacing w:after="0" w:line="240" w:lineRule="auto"/>
              <w:rPr>
                <w:b w:val="0"/>
                <w:bCs/>
              </w:rPr>
            </w:pPr>
            <w:r w:rsidRPr="005345CF">
              <w:rPr>
                <w:bCs/>
              </w:rPr>
              <w:t>Option 1</w:t>
            </w:r>
            <w:r w:rsidR="00A23247">
              <w:rPr>
                <w:bCs/>
              </w:rPr>
              <w:t xml:space="preserve"> (Status Quo)</w:t>
            </w:r>
          </w:p>
        </w:tc>
        <w:tc>
          <w:tcPr>
            <w:tcW w:w="3448" w:type="dxa"/>
          </w:tcPr>
          <w:p w14:paraId="0F38C540" w14:textId="4FFB1574" w:rsidR="005345CF" w:rsidRPr="005345CF" w:rsidRDefault="005345CF" w:rsidP="00D564E8">
            <w:pPr>
              <w:keepNext/>
              <w:spacing w:after="0" w:line="240" w:lineRule="auto"/>
              <w:rPr>
                <w:b w:val="0"/>
                <w:bCs/>
              </w:rPr>
            </w:pPr>
            <w:r w:rsidRPr="005345CF">
              <w:rPr>
                <w:bCs/>
              </w:rPr>
              <w:t>Option 2</w:t>
            </w:r>
          </w:p>
        </w:tc>
        <w:tc>
          <w:tcPr>
            <w:tcW w:w="3449" w:type="dxa"/>
          </w:tcPr>
          <w:p w14:paraId="0FF3ECAA" w14:textId="0B52D45C" w:rsidR="005345CF" w:rsidRPr="005345CF" w:rsidRDefault="005345CF" w:rsidP="00D564E8">
            <w:pPr>
              <w:keepNext/>
              <w:spacing w:after="0" w:line="240" w:lineRule="auto"/>
              <w:rPr>
                <w:b w:val="0"/>
                <w:bCs/>
              </w:rPr>
            </w:pPr>
            <w:r w:rsidRPr="005345CF">
              <w:rPr>
                <w:bCs/>
              </w:rPr>
              <w:t>Option 3</w:t>
            </w:r>
          </w:p>
        </w:tc>
      </w:tr>
      <w:tr w:rsidR="005345CF" w:rsidRPr="000861B0" w14:paraId="54964249" w14:textId="77777777" w:rsidTr="003726F8">
        <w:trPr>
          <w:cnfStyle w:val="100000000000" w:firstRow="1" w:lastRow="0" w:firstColumn="0" w:lastColumn="0" w:oddVBand="0" w:evenVBand="0" w:oddHBand="0" w:evenHBand="0" w:firstRowFirstColumn="0" w:firstRowLastColumn="0" w:lastRowFirstColumn="0" w:lastRowLastColumn="0"/>
          <w:trHeight w:val="350"/>
          <w:tblHeader/>
        </w:trPr>
        <w:tc>
          <w:tcPr>
            <w:tcW w:w="2555" w:type="dxa"/>
            <w:shd w:val="clear" w:color="auto" w:fill="auto"/>
          </w:tcPr>
          <w:p w14:paraId="5173DF34" w14:textId="1B4DF1D5" w:rsidR="005345CF" w:rsidRPr="005345CF" w:rsidRDefault="005345CF" w:rsidP="00D564E8">
            <w:pPr>
              <w:keepNext/>
              <w:spacing w:after="0" w:line="240" w:lineRule="auto"/>
              <w:rPr>
                <w:b w:val="0"/>
              </w:rPr>
            </w:pPr>
            <w:r w:rsidRPr="005345CF">
              <w:t xml:space="preserve">Stated objectives </w:t>
            </w:r>
          </w:p>
        </w:tc>
        <w:tc>
          <w:tcPr>
            <w:tcW w:w="3448" w:type="dxa"/>
            <w:shd w:val="clear" w:color="auto" w:fill="auto"/>
          </w:tcPr>
          <w:p w14:paraId="6210A8F1" w14:textId="7B26D701" w:rsidR="005345CF" w:rsidRPr="003726F8" w:rsidRDefault="005345CF" w:rsidP="00D564E8">
            <w:pPr>
              <w:keepNext/>
              <w:spacing w:after="0" w:line="240" w:lineRule="auto"/>
              <w:rPr>
                <w:b w:val="0"/>
                <w:bCs/>
              </w:rPr>
            </w:pPr>
            <w:r w:rsidRPr="003726F8">
              <w:rPr>
                <w:b w:val="0"/>
                <w:bCs/>
              </w:rPr>
              <w:t>-</w:t>
            </w:r>
            <w:r w:rsidR="009024CF" w:rsidRPr="003726F8">
              <w:rPr>
                <w:b w:val="0"/>
                <w:bCs/>
              </w:rPr>
              <w:t>5</w:t>
            </w:r>
          </w:p>
        </w:tc>
        <w:tc>
          <w:tcPr>
            <w:tcW w:w="3448" w:type="dxa"/>
            <w:shd w:val="clear" w:color="auto" w:fill="auto"/>
          </w:tcPr>
          <w:p w14:paraId="342E090E" w14:textId="1093E94B" w:rsidR="005345CF" w:rsidRPr="003726F8" w:rsidRDefault="009024CF" w:rsidP="00D564E8">
            <w:pPr>
              <w:keepNext/>
              <w:spacing w:after="0" w:line="240" w:lineRule="auto"/>
              <w:rPr>
                <w:b w:val="0"/>
                <w:bCs/>
              </w:rPr>
            </w:pPr>
            <w:r w:rsidRPr="003726F8">
              <w:rPr>
                <w:b w:val="0"/>
                <w:bCs/>
              </w:rPr>
              <w:t>5</w:t>
            </w:r>
          </w:p>
        </w:tc>
        <w:tc>
          <w:tcPr>
            <w:tcW w:w="3449" w:type="dxa"/>
            <w:shd w:val="clear" w:color="auto" w:fill="auto"/>
          </w:tcPr>
          <w:p w14:paraId="651E4051" w14:textId="26A54878" w:rsidR="005345CF" w:rsidRPr="003726F8" w:rsidRDefault="009024CF" w:rsidP="00D564E8">
            <w:pPr>
              <w:keepNext/>
              <w:spacing w:after="0" w:line="240" w:lineRule="auto"/>
              <w:rPr>
                <w:b w:val="0"/>
                <w:bCs/>
              </w:rPr>
            </w:pPr>
            <w:r w:rsidRPr="003726F8">
              <w:rPr>
                <w:b w:val="0"/>
                <w:bCs/>
              </w:rPr>
              <w:t>6</w:t>
            </w:r>
          </w:p>
        </w:tc>
      </w:tr>
      <w:tr w:rsidR="005345CF" w:rsidRPr="000861B0" w14:paraId="568B2D88" w14:textId="77777777" w:rsidTr="003726F8">
        <w:trPr>
          <w:cnfStyle w:val="100000000000" w:firstRow="1" w:lastRow="0" w:firstColumn="0" w:lastColumn="0" w:oddVBand="0" w:evenVBand="0" w:oddHBand="0" w:evenHBand="0" w:firstRowFirstColumn="0" w:firstRowLastColumn="0" w:lastRowFirstColumn="0" w:lastRowLastColumn="0"/>
          <w:trHeight w:val="350"/>
          <w:tblHeader/>
        </w:trPr>
        <w:tc>
          <w:tcPr>
            <w:tcW w:w="2555" w:type="dxa"/>
            <w:shd w:val="clear" w:color="auto" w:fill="auto"/>
          </w:tcPr>
          <w:p w14:paraId="3F556B35" w14:textId="6A5BC5D5" w:rsidR="005345CF" w:rsidRPr="005345CF" w:rsidRDefault="005345CF" w:rsidP="00D564E8">
            <w:pPr>
              <w:keepNext/>
              <w:spacing w:after="0" w:line="240" w:lineRule="auto"/>
              <w:rPr>
                <w:b w:val="0"/>
              </w:rPr>
            </w:pPr>
            <w:r w:rsidRPr="005345CF">
              <w:t>Stakeholders</w:t>
            </w:r>
          </w:p>
        </w:tc>
        <w:tc>
          <w:tcPr>
            <w:tcW w:w="3448" w:type="dxa"/>
            <w:shd w:val="clear" w:color="auto" w:fill="auto"/>
          </w:tcPr>
          <w:p w14:paraId="265D3191" w14:textId="02A5650C" w:rsidR="005345CF" w:rsidRPr="003726F8" w:rsidRDefault="005345CF" w:rsidP="00D564E8">
            <w:pPr>
              <w:keepNext/>
              <w:spacing w:after="0" w:line="240" w:lineRule="auto"/>
              <w:rPr>
                <w:b w:val="0"/>
                <w:bCs/>
              </w:rPr>
            </w:pPr>
            <w:r w:rsidRPr="003726F8">
              <w:rPr>
                <w:b w:val="0"/>
                <w:bCs/>
              </w:rPr>
              <w:t>0</w:t>
            </w:r>
          </w:p>
        </w:tc>
        <w:tc>
          <w:tcPr>
            <w:tcW w:w="3448" w:type="dxa"/>
            <w:shd w:val="clear" w:color="auto" w:fill="auto"/>
          </w:tcPr>
          <w:p w14:paraId="60434617" w14:textId="5F681ACF" w:rsidR="005345CF" w:rsidRPr="003726F8" w:rsidRDefault="005345CF" w:rsidP="00D564E8">
            <w:pPr>
              <w:keepNext/>
              <w:spacing w:after="0" w:line="240" w:lineRule="auto"/>
              <w:rPr>
                <w:b w:val="0"/>
                <w:bCs/>
              </w:rPr>
            </w:pPr>
            <w:r w:rsidRPr="003726F8">
              <w:rPr>
                <w:b w:val="0"/>
                <w:bCs/>
              </w:rPr>
              <w:t>-</w:t>
            </w:r>
            <w:r w:rsidR="00C732C3" w:rsidRPr="003726F8">
              <w:rPr>
                <w:b w:val="0"/>
                <w:bCs/>
              </w:rPr>
              <w:t>4</w:t>
            </w:r>
          </w:p>
        </w:tc>
        <w:tc>
          <w:tcPr>
            <w:tcW w:w="3449" w:type="dxa"/>
            <w:shd w:val="clear" w:color="auto" w:fill="auto"/>
          </w:tcPr>
          <w:p w14:paraId="0FE4C5F6" w14:textId="08481108" w:rsidR="005345CF" w:rsidRPr="003726F8" w:rsidRDefault="005345CF" w:rsidP="00D564E8">
            <w:pPr>
              <w:keepNext/>
              <w:spacing w:after="0" w:line="240" w:lineRule="auto"/>
              <w:rPr>
                <w:b w:val="0"/>
                <w:bCs/>
              </w:rPr>
            </w:pPr>
            <w:r w:rsidRPr="003726F8">
              <w:rPr>
                <w:b w:val="0"/>
                <w:bCs/>
              </w:rPr>
              <w:t>-</w:t>
            </w:r>
            <w:r w:rsidR="00755353" w:rsidRPr="003726F8">
              <w:rPr>
                <w:b w:val="0"/>
                <w:bCs/>
              </w:rPr>
              <w:t>7</w:t>
            </w:r>
          </w:p>
        </w:tc>
      </w:tr>
      <w:tr w:rsidR="005345CF" w:rsidRPr="000861B0" w14:paraId="6A7137AE" w14:textId="77777777" w:rsidTr="003726F8">
        <w:trPr>
          <w:cnfStyle w:val="100000000000" w:firstRow="1" w:lastRow="0" w:firstColumn="0" w:lastColumn="0" w:oddVBand="0" w:evenVBand="0" w:oddHBand="0" w:evenHBand="0" w:firstRowFirstColumn="0" w:firstRowLastColumn="0" w:lastRowFirstColumn="0" w:lastRowLastColumn="0"/>
          <w:trHeight w:val="350"/>
          <w:tblHeader/>
        </w:trPr>
        <w:tc>
          <w:tcPr>
            <w:tcW w:w="2555" w:type="dxa"/>
            <w:shd w:val="clear" w:color="auto" w:fill="auto"/>
          </w:tcPr>
          <w:p w14:paraId="11D72540" w14:textId="221B3AF3" w:rsidR="005345CF" w:rsidRPr="005345CF" w:rsidRDefault="005345CF">
            <w:pPr>
              <w:spacing w:after="0" w:line="240" w:lineRule="auto"/>
              <w:rPr>
                <w:b w:val="0"/>
                <w:bCs/>
              </w:rPr>
            </w:pPr>
            <w:r>
              <w:rPr>
                <w:bCs/>
              </w:rPr>
              <w:t>Total</w:t>
            </w:r>
          </w:p>
        </w:tc>
        <w:tc>
          <w:tcPr>
            <w:tcW w:w="3448" w:type="dxa"/>
            <w:shd w:val="clear" w:color="auto" w:fill="auto"/>
          </w:tcPr>
          <w:p w14:paraId="370A02C2" w14:textId="2FE31D80" w:rsidR="005345CF" w:rsidRPr="003726F8" w:rsidRDefault="00311F65">
            <w:pPr>
              <w:spacing w:after="0" w:line="240" w:lineRule="auto"/>
              <w:rPr>
                <w:b w:val="0"/>
                <w:bCs/>
              </w:rPr>
            </w:pPr>
            <w:r w:rsidRPr="003726F8">
              <w:rPr>
                <w:b w:val="0"/>
                <w:bCs/>
              </w:rPr>
              <w:t>-</w:t>
            </w:r>
            <w:r w:rsidR="003B5CC8" w:rsidRPr="003726F8">
              <w:rPr>
                <w:b w:val="0"/>
                <w:bCs/>
              </w:rPr>
              <w:t>5</w:t>
            </w:r>
          </w:p>
        </w:tc>
        <w:tc>
          <w:tcPr>
            <w:tcW w:w="3448" w:type="dxa"/>
            <w:shd w:val="clear" w:color="auto" w:fill="auto"/>
          </w:tcPr>
          <w:p w14:paraId="161892FD" w14:textId="3E780821" w:rsidR="005345CF" w:rsidRPr="003726F8" w:rsidRDefault="00C732C3">
            <w:pPr>
              <w:spacing w:after="0" w:line="240" w:lineRule="auto"/>
              <w:rPr>
                <w:b w:val="0"/>
                <w:bCs/>
              </w:rPr>
            </w:pPr>
            <w:r w:rsidRPr="003726F8">
              <w:rPr>
                <w:b w:val="0"/>
                <w:bCs/>
              </w:rPr>
              <w:t>1</w:t>
            </w:r>
          </w:p>
        </w:tc>
        <w:tc>
          <w:tcPr>
            <w:tcW w:w="3449" w:type="dxa"/>
            <w:shd w:val="clear" w:color="auto" w:fill="auto"/>
          </w:tcPr>
          <w:p w14:paraId="47CBA477" w14:textId="4FC21016" w:rsidR="005345CF" w:rsidRPr="003726F8" w:rsidRDefault="00755353">
            <w:pPr>
              <w:spacing w:after="0" w:line="240" w:lineRule="auto"/>
              <w:rPr>
                <w:b w:val="0"/>
                <w:bCs/>
              </w:rPr>
            </w:pPr>
            <w:r w:rsidRPr="003726F8">
              <w:rPr>
                <w:b w:val="0"/>
                <w:bCs/>
              </w:rPr>
              <w:t>-1</w:t>
            </w:r>
          </w:p>
        </w:tc>
      </w:tr>
    </w:tbl>
    <w:p w14:paraId="3F9AA810" w14:textId="6CD58563" w:rsidR="00680AA2" w:rsidRDefault="00C07283" w:rsidP="001218EF">
      <w:pPr>
        <w:spacing w:before="240" w:after="200" w:line="288" w:lineRule="auto"/>
      </w:pPr>
      <w:r>
        <w:t xml:space="preserve">Table </w:t>
      </w:r>
      <w:r w:rsidR="00C2044F">
        <w:t>9</w:t>
      </w:r>
      <w:r>
        <w:t xml:space="preserve"> provides </w:t>
      </w:r>
      <w:r w:rsidR="00E71013">
        <w:t xml:space="preserve">results of the multi-criteria </w:t>
      </w:r>
      <w:r w:rsidR="00E71013" w:rsidRPr="00E71013">
        <w:t xml:space="preserve">analysis on the impact of each option on </w:t>
      </w:r>
      <w:r w:rsidR="00CD2BB0">
        <w:t>the</w:t>
      </w:r>
      <w:r w:rsidR="00E71013" w:rsidRPr="00E71013">
        <w:t xml:space="preserve"> stated objectives</w:t>
      </w:r>
      <w:r w:rsidR="00F21C7E">
        <w:t>.</w:t>
      </w:r>
    </w:p>
    <w:p w14:paraId="6663D7BD" w14:textId="10D27CCF" w:rsidR="00F21C7E" w:rsidRPr="00F21C7E" w:rsidRDefault="00F21C7E" w:rsidP="00C2044F">
      <w:pPr>
        <w:pStyle w:val="Heading3"/>
      </w:pPr>
      <w:r w:rsidRPr="000861B0">
        <w:t xml:space="preserve">Table </w:t>
      </w:r>
      <w:r w:rsidR="00C2044F">
        <w:t>9</w:t>
      </w:r>
      <w:r>
        <w:t>: Summary of multi-criteria analysis</w:t>
      </w:r>
      <w:r w:rsidR="00294152">
        <w:t xml:space="preserve"> of each option on stated objectives</w:t>
      </w:r>
    </w:p>
    <w:tbl>
      <w:tblPr>
        <w:tblStyle w:val="Custom1"/>
        <w:tblW w:w="0" w:type="auto"/>
        <w:tblLook w:val="0660" w:firstRow="1" w:lastRow="1" w:firstColumn="0" w:lastColumn="0" w:noHBand="1" w:noVBand="1"/>
        <w:tblDescription w:val="Table outlines the result of the multi-criteria analysis based on the three stated objectives. Each option is given a score against each objective, and comments are included to explain the score given. The total scores were -5 for option 1, 5 for option 2, 6 for option 3."/>
      </w:tblPr>
      <w:tblGrid>
        <w:gridCol w:w="3119"/>
        <w:gridCol w:w="2067"/>
        <w:gridCol w:w="2067"/>
        <w:gridCol w:w="5647"/>
      </w:tblGrid>
      <w:tr w:rsidR="002550EA" w:rsidRPr="000861B0" w14:paraId="12AED454" w14:textId="77777777" w:rsidTr="00D564E8">
        <w:trPr>
          <w:cnfStyle w:val="100000000000" w:firstRow="1" w:lastRow="0" w:firstColumn="0" w:lastColumn="0" w:oddVBand="0" w:evenVBand="0" w:oddHBand="0" w:evenHBand="0" w:firstRowFirstColumn="0" w:firstRowLastColumn="0" w:lastRowFirstColumn="0" w:lastRowLastColumn="0"/>
          <w:trHeight w:val="350"/>
          <w:tblHeader/>
        </w:trPr>
        <w:tc>
          <w:tcPr>
            <w:tcW w:w="3119" w:type="dxa"/>
          </w:tcPr>
          <w:p w14:paraId="18C00C8A" w14:textId="4FF2D4F0" w:rsidR="002550EA" w:rsidRPr="002550EA" w:rsidRDefault="002550EA">
            <w:pPr>
              <w:spacing w:after="0" w:line="240" w:lineRule="auto"/>
              <w:rPr>
                <w:b w:val="0"/>
                <w:bCs/>
              </w:rPr>
            </w:pPr>
            <w:r w:rsidRPr="002550EA">
              <w:rPr>
                <w:bCs/>
              </w:rPr>
              <w:t>Objective</w:t>
            </w:r>
          </w:p>
        </w:tc>
        <w:tc>
          <w:tcPr>
            <w:tcW w:w="2067" w:type="dxa"/>
          </w:tcPr>
          <w:p w14:paraId="3C8AE9F2" w14:textId="77777777" w:rsidR="00A23247" w:rsidRDefault="002550EA">
            <w:pPr>
              <w:spacing w:after="0" w:line="240" w:lineRule="auto"/>
              <w:rPr>
                <w:b w:val="0"/>
                <w:bCs/>
              </w:rPr>
            </w:pPr>
            <w:r w:rsidRPr="002550EA">
              <w:rPr>
                <w:bCs/>
              </w:rPr>
              <w:t>Option 1</w:t>
            </w:r>
            <w:r w:rsidR="00A23247">
              <w:rPr>
                <w:bCs/>
              </w:rPr>
              <w:t xml:space="preserve"> </w:t>
            </w:r>
          </w:p>
          <w:p w14:paraId="1A7D2B3D" w14:textId="3A8C89B0" w:rsidR="002550EA" w:rsidRPr="002550EA" w:rsidRDefault="00A23247">
            <w:pPr>
              <w:spacing w:after="0" w:line="240" w:lineRule="auto"/>
              <w:rPr>
                <w:b w:val="0"/>
                <w:bCs/>
              </w:rPr>
            </w:pPr>
            <w:r>
              <w:rPr>
                <w:bCs/>
              </w:rPr>
              <w:t>(Status Quo)</w:t>
            </w:r>
          </w:p>
        </w:tc>
        <w:tc>
          <w:tcPr>
            <w:tcW w:w="2067" w:type="dxa"/>
          </w:tcPr>
          <w:p w14:paraId="4EF077AF" w14:textId="2D2DCBAD" w:rsidR="002550EA" w:rsidRPr="002550EA" w:rsidRDefault="002550EA">
            <w:pPr>
              <w:spacing w:after="0" w:line="240" w:lineRule="auto"/>
              <w:rPr>
                <w:b w:val="0"/>
                <w:bCs/>
              </w:rPr>
            </w:pPr>
            <w:r w:rsidRPr="002550EA">
              <w:rPr>
                <w:bCs/>
              </w:rPr>
              <w:t>Option 2</w:t>
            </w:r>
          </w:p>
        </w:tc>
        <w:tc>
          <w:tcPr>
            <w:tcW w:w="5647" w:type="dxa"/>
          </w:tcPr>
          <w:p w14:paraId="7A2C5B13" w14:textId="26770385" w:rsidR="002550EA" w:rsidRPr="002550EA" w:rsidRDefault="002550EA">
            <w:pPr>
              <w:spacing w:after="0" w:line="240" w:lineRule="auto"/>
              <w:rPr>
                <w:b w:val="0"/>
                <w:bCs/>
              </w:rPr>
            </w:pPr>
            <w:r w:rsidRPr="002550EA">
              <w:rPr>
                <w:bCs/>
              </w:rPr>
              <w:t>Option 3</w:t>
            </w:r>
          </w:p>
        </w:tc>
      </w:tr>
      <w:tr w:rsidR="00CE0D53" w:rsidRPr="000861B0" w14:paraId="4C248F15" w14:textId="77777777">
        <w:trPr>
          <w:trHeight w:val="350"/>
        </w:trPr>
        <w:tc>
          <w:tcPr>
            <w:tcW w:w="3119" w:type="dxa"/>
            <w:vMerge w:val="restart"/>
          </w:tcPr>
          <w:p w14:paraId="29CE31C1" w14:textId="3809A269" w:rsidR="00CE0D53" w:rsidRPr="000A68A1" w:rsidRDefault="00CE0D53" w:rsidP="00061104">
            <w:pPr>
              <w:pStyle w:val="ListParagraph"/>
              <w:numPr>
                <w:ilvl w:val="0"/>
                <w:numId w:val="42"/>
              </w:numPr>
              <w:spacing w:after="0" w:line="240" w:lineRule="auto"/>
            </w:pPr>
            <w:r w:rsidRPr="000A68A1">
              <w:t>Continue to provide a</w:t>
            </w:r>
            <w:r w:rsidR="00843169">
              <w:t>n</w:t>
            </w:r>
            <w:r w:rsidRPr="000A68A1">
              <w:t xml:space="preserve"> </w:t>
            </w:r>
            <w:r w:rsidRPr="000861B0">
              <w:t>incentive</w:t>
            </w:r>
            <w:r>
              <w:t xml:space="preserve"> </w:t>
            </w:r>
            <w:r w:rsidRPr="000861B0">
              <w:t>for people to participate in PHI</w:t>
            </w:r>
            <w:r>
              <w:t xml:space="preserve"> through a simplified Rebate</w:t>
            </w:r>
          </w:p>
        </w:tc>
        <w:tc>
          <w:tcPr>
            <w:tcW w:w="2067" w:type="dxa"/>
          </w:tcPr>
          <w:p w14:paraId="66577AD3" w14:textId="77777777" w:rsidR="00CE0D53" w:rsidRDefault="00CE0D53">
            <w:pPr>
              <w:spacing w:after="0" w:line="240" w:lineRule="auto"/>
            </w:pPr>
            <w:r>
              <w:t>-1</w:t>
            </w:r>
          </w:p>
          <w:p w14:paraId="450FD5F5" w14:textId="77777777" w:rsidR="00CE0D53" w:rsidRPr="000861B0" w:rsidRDefault="00CE0D53">
            <w:pPr>
              <w:spacing w:after="0" w:line="240" w:lineRule="auto"/>
            </w:pPr>
          </w:p>
        </w:tc>
        <w:tc>
          <w:tcPr>
            <w:tcW w:w="2067" w:type="dxa"/>
          </w:tcPr>
          <w:p w14:paraId="0B8FE1A9" w14:textId="77777777" w:rsidR="00CE0D53" w:rsidRPr="000861B0" w:rsidRDefault="00CE0D53">
            <w:pPr>
              <w:spacing w:after="0" w:line="240" w:lineRule="auto"/>
            </w:pPr>
            <w:r>
              <w:t>1</w:t>
            </w:r>
          </w:p>
        </w:tc>
        <w:tc>
          <w:tcPr>
            <w:tcW w:w="5647" w:type="dxa"/>
          </w:tcPr>
          <w:p w14:paraId="29D0D914" w14:textId="77777777" w:rsidR="00CE0D53" w:rsidRPr="000861B0" w:rsidRDefault="00CE0D53">
            <w:pPr>
              <w:spacing w:after="0" w:line="240" w:lineRule="auto"/>
            </w:pPr>
            <w:r>
              <w:t>1</w:t>
            </w:r>
          </w:p>
        </w:tc>
      </w:tr>
      <w:tr w:rsidR="00CE0D53" w:rsidRPr="000861B0" w14:paraId="67D32474" w14:textId="77777777">
        <w:trPr>
          <w:trHeight w:val="350"/>
        </w:trPr>
        <w:tc>
          <w:tcPr>
            <w:tcW w:w="3119" w:type="dxa"/>
            <w:vMerge/>
          </w:tcPr>
          <w:p w14:paraId="31920906" w14:textId="77777777" w:rsidR="00CE0D53" w:rsidRPr="000A68A1" w:rsidRDefault="00CE0D53">
            <w:pPr>
              <w:spacing w:after="0" w:line="240" w:lineRule="auto"/>
            </w:pPr>
          </w:p>
        </w:tc>
        <w:tc>
          <w:tcPr>
            <w:tcW w:w="9781" w:type="dxa"/>
            <w:gridSpan w:val="3"/>
          </w:tcPr>
          <w:p w14:paraId="4A70F057" w14:textId="5A2C9F25" w:rsidR="00CE0D53" w:rsidRDefault="00CE0D53">
            <w:pPr>
              <w:spacing w:after="0" w:line="240" w:lineRule="auto"/>
            </w:pPr>
            <w:r>
              <w:t xml:space="preserve">This objective has been scored based on the relative change in participation compared to the Status Quo (Option 1), and whether the </w:t>
            </w:r>
            <w:r w:rsidR="005B1828">
              <w:t>R</w:t>
            </w:r>
            <w:r>
              <w:t>ebate is simplified.</w:t>
            </w:r>
          </w:p>
          <w:p w14:paraId="69C1062E" w14:textId="723694BF" w:rsidR="00CE0D53" w:rsidRDefault="00CE0D53">
            <w:pPr>
              <w:spacing w:after="0" w:line="240" w:lineRule="auto"/>
            </w:pPr>
            <w:r>
              <w:t xml:space="preserve">Option 1 – no change in participation, but as the </w:t>
            </w:r>
            <w:r w:rsidR="005B1828">
              <w:t>R</w:t>
            </w:r>
            <w:r>
              <w:t xml:space="preserve">ebate structure is unchanged, it does not achieve simplification of the </w:t>
            </w:r>
            <w:r w:rsidR="005B1828">
              <w:t>R</w:t>
            </w:r>
            <w:r>
              <w:t>ebate.</w:t>
            </w:r>
            <w:r w:rsidR="00A20407">
              <w:t xml:space="preserve"> </w:t>
            </w:r>
          </w:p>
          <w:p w14:paraId="2D1704FA" w14:textId="567A69B4" w:rsidR="00CE0D53" w:rsidRDefault="00CE0D53">
            <w:pPr>
              <w:spacing w:after="0" w:line="240" w:lineRule="auto"/>
            </w:pPr>
            <w:r>
              <w:t xml:space="preserve">Option 2 – marginal reduction in participation through a simplified </w:t>
            </w:r>
            <w:r w:rsidR="005B1828">
              <w:t>Rebate</w:t>
            </w:r>
            <w:r>
              <w:t xml:space="preserve"> being solely based on income tiers rather than a mix of income tier and age.</w:t>
            </w:r>
          </w:p>
          <w:p w14:paraId="6726C4BB" w14:textId="0A69760E" w:rsidR="00CE0D53" w:rsidRDefault="00CE0D53">
            <w:pPr>
              <w:spacing w:after="0" w:line="240" w:lineRule="auto"/>
            </w:pPr>
            <w:r>
              <w:t xml:space="preserve">Option 3 – marginal impact on participation (though larger than </w:t>
            </w:r>
            <w:r w:rsidR="008F42C8">
              <w:t>O</w:t>
            </w:r>
            <w:r>
              <w:t xml:space="preserve">ption 1), through a simplified </w:t>
            </w:r>
            <w:r w:rsidR="005B1828">
              <w:t>Rebate</w:t>
            </w:r>
            <w:r>
              <w:t xml:space="preserve"> being solely based on income tiers rather than a mix of income tier and age, and Rebate </w:t>
            </w:r>
            <w:r w:rsidR="00A04E1A">
              <w:t>reduced for all people in Tier 1 and</w:t>
            </w:r>
            <w:r>
              <w:t xml:space="preserve"> removed altogether from Tier 2.</w:t>
            </w:r>
          </w:p>
          <w:p w14:paraId="555638F0" w14:textId="77777777" w:rsidR="00CE0D53" w:rsidRPr="000861B0" w:rsidRDefault="00CE0D53">
            <w:pPr>
              <w:spacing w:after="0" w:line="240" w:lineRule="auto"/>
            </w:pPr>
            <w:r w:rsidRPr="00813979">
              <w:lastRenderedPageBreak/>
              <w:t>Further analysis on this scoring is provided below.</w:t>
            </w:r>
          </w:p>
        </w:tc>
      </w:tr>
      <w:tr w:rsidR="00FF706D" w:rsidRPr="000861B0" w14:paraId="6817AA6B" w14:textId="77777777">
        <w:trPr>
          <w:trHeight w:val="350"/>
        </w:trPr>
        <w:tc>
          <w:tcPr>
            <w:tcW w:w="3119" w:type="dxa"/>
            <w:vMerge w:val="restart"/>
          </w:tcPr>
          <w:p w14:paraId="36219D41" w14:textId="77777777" w:rsidR="00FF706D" w:rsidRPr="000A68A1" w:rsidRDefault="00FF706D">
            <w:pPr>
              <w:spacing w:after="0" w:line="240" w:lineRule="auto"/>
              <w:ind w:left="357" w:hanging="357"/>
            </w:pPr>
            <w:r>
              <w:lastRenderedPageBreak/>
              <w:t xml:space="preserve">2.   </w:t>
            </w:r>
            <w:r w:rsidRPr="000A68A1">
              <w:t>Ensure funds are not spent on the Rebate if they are generally unlike</w:t>
            </w:r>
            <w:r>
              <w:t>ly</w:t>
            </w:r>
            <w:r w:rsidRPr="000A68A1">
              <w:t xml:space="preserve"> to alter participation decisions and/or could be better directed to </w:t>
            </w:r>
            <w:r>
              <w:t>other</w:t>
            </w:r>
            <w:r w:rsidRPr="000A68A1">
              <w:t xml:space="preserve"> priority health, disability and aged care services.</w:t>
            </w:r>
          </w:p>
        </w:tc>
        <w:tc>
          <w:tcPr>
            <w:tcW w:w="2067" w:type="dxa"/>
          </w:tcPr>
          <w:p w14:paraId="429A9F2E" w14:textId="77777777" w:rsidR="00FF706D" w:rsidRPr="000861B0" w:rsidRDefault="00FF706D">
            <w:pPr>
              <w:spacing w:after="0" w:line="240" w:lineRule="auto"/>
            </w:pPr>
            <w:r>
              <w:t>-2</w:t>
            </w:r>
          </w:p>
        </w:tc>
        <w:tc>
          <w:tcPr>
            <w:tcW w:w="2067" w:type="dxa"/>
          </w:tcPr>
          <w:p w14:paraId="40D97603" w14:textId="77777777" w:rsidR="00FF706D" w:rsidRPr="000861B0" w:rsidRDefault="00FF706D">
            <w:pPr>
              <w:spacing w:after="0" w:line="240" w:lineRule="auto"/>
            </w:pPr>
            <w:r>
              <w:t>2</w:t>
            </w:r>
          </w:p>
        </w:tc>
        <w:tc>
          <w:tcPr>
            <w:tcW w:w="5647" w:type="dxa"/>
          </w:tcPr>
          <w:p w14:paraId="719123CF" w14:textId="387B0785" w:rsidR="00FF706D" w:rsidRPr="000861B0" w:rsidRDefault="00186281">
            <w:pPr>
              <w:spacing w:after="0" w:line="240" w:lineRule="auto"/>
            </w:pPr>
            <w:r>
              <w:t>3</w:t>
            </w:r>
          </w:p>
        </w:tc>
      </w:tr>
      <w:tr w:rsidR="00FF706D" w:rsidRPr="000861B0" w14:paraId="6201F5F7" w14:textId="77777777">
        <w:trPr>
          <w:trHeight w:val="350"/>
        </w:trPr>
        <w:tc>
          <w:tcPr>
            <w:tcW w:w="3119" w:type="dxa"/>
            <w:vMerge/>
          </w:tcPr>
          <w:p w14:paraId="6EF1AC33" w14:textId="77777777" w:rsidR="00FF706D" w:rsidRPr="000A68A1" w:rsidRDefault="00FF706D">
            <w:pPr>
              <w:spacing w:after="0" w:line="240" w:lineRule="auto"/>
            </w:pPr>
          </w:p>
        </w:tc>
        <w:tc>
          <w:tcPr>
            <w:tcW w:w="9781" w:type="dxa"/>
            <w:gridSpan w:val="3"/>
          </w:tcPr>
          <w:p w14:paraId="48681EDB" w14:textId="5F1E9DB1" w:rsidR="00FF706D" w:rsidRDefault="00FF706D">
            <w:pPr>
              <w:spacing w:after="0" w:line="240" w:lineRule="auto"/>
            </w:pPr>
            <w:r>
              <w:t xml:space="preserve">This objective has been scored based on whether the option targets cohorts that are unlikely to drop PHI due to a reduced Rebate, and the overall savings achieved by Government that </w:t>
            </w:r>
            <w:r w:rsidRPr="000A68A1">
              <w:t xml:space="preserve">could be better directed to </w:t>
            </w:r>
            <w:r>
              <w:t>other</w:t>
            </w:r>
            <w:r w:rsidRPr="000A68A1">
              <w:t xml:space="preserve"> priority</w:t>
            </w:r>
            <w:r>
              <w:t xml:space="preserve"> initiatives.</w:t>
            </w:r>
            <w:r w:rsidR="001A1F04">
              <w:t xml:space="preserve"> </w:t>
            </w:r>
          </w:p>
          <w:p w14:paraId="5D749AFD" w14:textId="107C7B09" w:rsidR="00FF706D" w:rsidRDefault="00FF706D">
            <w:pPr>
              <w:spacing w:after="0" w:line="240" w:lineRule="auto"/>
            </w:pPr>
            <w:r>
              <w:t xml:space="preserve">Option 1 takes no action to address these issues, whilst Option 2 and 3 have </w:t>
            </w:r>
            <w:r w:rsidR="00450DFE">
              <w:t xml:space="preserve">moderately and significantly </w:t>
            </w:r>
            <w:r>
              <w:t>beneficial impacts on those metrics</w:t>
            </w:r>
            <w:r w:rsidR="00450DFE">
              <w:t>, respectively</w:t>
            </w:r>
            <w:r>
              <w:t xml:space="preserve">. </w:t>
            </w:r>
          </w:p>
          <w:p w14:paraId="5D6AB72C" w14:textId="77777777" w:rsidR="00FF706D" w:rsidRPr="000861B0" w:rsidRDefault="00FF706D">
            <w:pPr>
              <w:spacing w:after="0" w:line="240" w:lineRule="auto"/>
            </w:pPr>
            <w:r w:rsidRPr="0053052E">
              <w:t>Further analysis on this scoring is provided below.</w:t>
            </w:r>
          </w:p>
        </w:tc>
      </w:tr>
      <w:tr w:rsidR="00F60CBF" w:rsidRPr="000861B0" w14:paraId="55A189A2" w14:textId="77777777" w:rsidTr="2AF732E7">
        <w:trPr>
          <w:trHeight w:val="350"/>
        </w:trPr>
        <w:tc>
          <w:tcPr>
            <w:tcW w:w="3119" w:type="dxa"/>
            <w:vMerge w:val="restart"/>
          </w:tcPr>
          <w:p w14:paraId="497EE89D" w14:textId="3D5B1E4D" w:rsidR="00F60CBF" w:rsidRPr="000A68A1" w:rsidRDefault="000C40AD" w:rsidP="000C40AD">
            <w:pPr>
              <w:spacing w:after="0" w:line="240" w:lineRule="auto"/>
              <w:ind w:left="357" w:hanging="357"/>
            </w:pPr>
            <w:r>
              <w:t xml:space="preserve">3.   </w:t>
            </w:r>
            <w:r w:rsidR="00F60CBF" w:rsidRPr="000A68A1">
              <w:t>Ensure the Rebate is targeted equitably</w:t>
            </w:r>
            <w:r w:rsidR="007B429D">
              <w:t>, while minimising any negative impact on participation</w:t>
            </w:r>
            <w:r w:rsidR="00D36409">
              <w:t>.</w:t>
            </w:r>
          </w:p>
        </w:tc>
        <w:tc>
          <w:tcPr>
            <w:tcW w:w="2067" w:type="dxa"/>
          </w:tcPr>
          <w:p w14:paraId="24AEB550" w14:textId="1C470BEF" w:rsidR="00F60CBF" w:rsidRPr="000861B0" w:rsidRDefault="00D91801">
            <w:pPr>
              <w:spacing w:after="0" w:line="240" w:lineRule="auto"/>
            </w:pPr>
            <w:r>
              <w:t>-2</w:t>
            </w:r>
          </w:p>
        </w:tc>
        <w:tc>
          <w:tcPr>
            <w:tcW w:w="2067" w:type="dxa"/>
          </w:tcPr>
          <w:p w14:paraId="5D6E9594" w14:textId="046D63B7" w:rsidR="00F60CBF" w:rsidRPr="000861B0" w:rsidRDefault="00D91801">
            <w:pPr>
              <w:spacing w:after="0" w:line="240" w:lineRule="auto"/>
            </w:pPr>
            <w:r>
              <w:t>2</w:t>
            </w:r>
          </w:p>
        </w:tc>
        <w:tc>
          <w:tcPr>
            <w:tcW w:w="5647" w:type="dxa"/>
          </w:tcPr>
          <w:p w14:paraId="766D2E99" w14:textId="1D9E5380" w:rsidR="00A16C2C" w:rsidRPr="000861B0" w:rsidRDefault="00A16C2C">
            <w:pPr>
              <w:spacing w:after="0" w:line="240" w:lineRule="auto"/>
            </w:pPr>
            <w:r>
              <w:t>2</w:t>
            </w:r>
          </w:p>
        </w:tc>
      </w:tr>
      <w:tr w:rsidR="00F60CBF" w:rsidRPr="000861B0" w14:paraId="0C8A60CC" w14:textId="77777777" w:rsidTr="2AF732E7">
        <w:trPr>
          <w:trHeight w:val="350"/>
        </w:trPr>
        <w:tc>
          <w:tcPr>
            <w:tcW w:w="3119" w:type="dxa"/>
            <w:vMerge/>
          </w:tcPr>
          <w:p w14:paraId="25B65CC2" w14:textId="77777777" w:rsidR="00F60CBF" w:rsidRPr="002550EA" w:rsidRDefault="00F60CBF">
            <w:pPr>
              <w:spacing w:after="0" w:line="240" w:lineRule="auto"/>
              <w:rPr>
                <w:b/>
                <w:bCs/>
              </w:rPr>
            </w:pPr>
          </w:p>
        </w:tc>
        <w:tc>
          <w:tcPr>
            <w:tcW w:w="9781" w:type="dxa"/>
            <w:gridSpan w:val="3"/>
          </w:tcPr>
          <w:p w14:paraId="5CA580B3" w14:textId="5084CCE5" w:rsidR="006B44BC" w:rsidRDefault="000721B6">
            <w:pPr>
              <w:spacing w:after="0" w:line="240" w:lineRule="auto"/>
            </w:pPr>
            <w:r>
              <w:t xml:space="preserve">This objective has been scored based on whether </w:t>
            </w:r>
            <w:r w:rsidR="00B43034">
              <w:t xml:space="preserve">each option </w:t>
            </w:r>
            <w:r w:rsidR="0063561D">
              <w:t>is considered equitable</w:t>
            </w:r>
            <w:r w:rsidR="000E0201">
              <w:t>.</w:t>
            </w:r>
          </w:p>
          <w:p w14:paraId="3C93C8C7" w14:textId="70943525" w:rsidR="00F60CBF" w:rsidRPr="000861B0" w:rsidRDefault="0063561D">
            <w:pPr>
              <w:spacing w:after="0" w:line="240" w:lineRule="auto"/>
            </w:pPr>
            <w:r>
              <w:t xml:space="preserve">Option 1 is not considered equitable given that it would continue to provide </w:t>
            </w:r>
            <w:r w:rsidR="00F8064B">
              <w:t>higher Rebates for older Australians despite being on the same income</w:t>
            </w:r>
            <w:r w:rsidR="00B158F7">
              <w:t xml:space="preserve">. </w:t>
            </w:r>
            <w:r w:rsidR="0067366E">
              <w:t>Option 2 and 3</w:t>
            </w:r>
            <w:r w:rsidR="00FF46AE">
              <w:t xml:space="preserve"> both</w:t>
            </w:r>
            <w:r w:rsidR="0067366E">
              <w:t xml:space="preserve"> have beneficial impacts</w:t>
            </w:r>
            <w:r w:rsidR="00957115">
              <w:t xml:space="preserve"> of removing the inequity of higher subsidy for older people</w:t>
            </w:r>
            <w:r w:rsidR="00724456">
              <w:t>.</w:t>
            </w:r>
            <w:r w:rsidR="000F76FA">
              <w:t xml:space="preserve"> </w:t>
            </w:r>
          </w:p>
        </w:tc>
      </w:tr>
      <w:tr w:rsidR="000A68A1" w:rsidRPr="000861B0" w14:paraId="3014BDED" w14:textId="77777777" w:rsidTr="2AF732E7">
        <w:trPr>
          <w:trHeight w:val="350"/>
        </w:trPr>
        <w:tc>
          <w:tcPr>
            <w:tcW w:w="3119" w:type="dxa"/>
          </w:tcPr>
          <w:p w14:paraId="468C1ECE" w14:textId="64C9A4AB" w:rsidR="000A68A1" w:rsidRPr="002550EA" w:rsidRDefault="000A68A1">
            <w:pPr>
              <w:spacing w:after="0" w:line="240" w:lineRule="auto"/>
              <w:rPr>
                <w:b/>
                <w:bCs/>
              </w:rPr>
            </w:pPr>
            <w:r>
              <w:rPr>
                <w:b/>
                <w:bCs/>
              </w:rPr>
              <w:t>Total score</w:t>
            </w:r>
          </w:p>
        </w:tc>
        <w:tc>
          <w:tcPr>
            <w:tcW w:w="2067" w:type="dxa"/>
          </w:tcPr>
          <w:p w14:paraId="2072F7D3" w14:textId="159C8AD5" w:rsidR="000A68A1" w:rsidRDefault="00A10F2F">
            <w:pPr>
              <w:spacing w:after="0" w:line="240" w:lineRule="auto"/>
            </w:pPr>
            <w:r>
              <w:t>-</w:t>
            </w:r>
            <w:r w:rsidR="00C01571">
              <w:t>5</w:t>
            </w:r>
          </w:p>
        </w:tc>
        <w:tc>
          <w:tcPr>
            <w:tcW w:w="2067" w:type="dxa"/>
          </w:tcPr>
          <w:p w14:paraId="759A1884" w14:textId="76917CED" w:rsidR="000A68A1" w:rsidRDefault="00584BED">
            <w:pPr>
              <w:spacing w:after="0" w:line="240" w:lineRule="auto"/>
            </w:pPr>
            <w:r>
              <w:t>5</w:t>
            </w:r>
          </w:p>
        </w:tc>
        <w:tc>
          <w:tcPr>
            <w:tcW w:w="5647" w:type="dxa"/>
          </w:tcPr>
          <w:p w14:paraId="0886A280" w14:textId="2F4CEA59" w:rsidR="000A68A1" w:rsidRDefault="00584BED">
            <w:pPr>
              <w:spacing w:after="0" w:line="240" w:lineRule="auto"/>
            </w:pPr>
            <w:r>
              <w:t>6</w:t>
            </w:r>
          </w:p>
        </w:tc>
      </w:tr>
    </w:tbl>
    <w:p w14:paraId="46C1022F" w14:textId="20BFEFF1" w:rsidR="00680AA2" w:rsidRDefault="00C07283" w:rsidP="001218EF">
      <w:pPr>
        <w:keepNext/>
        <w:spacing w:before="240"/>
      </w:pPr>
      <w:r>
        <w:lastRenderedPageBreak/>
        <w:t xml:space="preserve">Table </w:t>
      </w:r>
      <w:r w:rsidR="00C2044F">
        <w:t>10</w:t>
      </w:r>
      <w:r>
        <w:t xml:space="preserve"> provides </w:t>
      </w:r>
      <w:r w:rsidR="000A68A1">
        <w:t xml:space="preserve">the results of the </w:t>
      </w:r>
      <w:r w:rsidR="00E71013">
        <w:t xml:space="preserve">multi-criteria analysis </w:t>
      </w:r>
      <w:r w:rsidR="001E29B3">
        <w:t>for</w:t>
      </w:r>
      <w:r w:rsidR="00E71013">
        <w:t xml:space="preserve"> key stakeholders</w:t>
      </w:r>
      <w:r>
        <w:t>:</w:t>
      </w:r>
    </w:p>
    <w:p w14:paraId="1EF28C43" w14:textId="396A054E" w:rsidR="00294152" w:rsidRPr="00ED3927" w:rsidRDefault="00294152" w:rsidP="00ED3927">
      <w:pPr>
        <w:pStyle w:val="Heading3"/>
      </w:pPr>
      <w:r w:rsidRPr="00ED3927">
        <w:t xml:space="preserve">Table </w:t>
      </w:r>
      <w:r w:rsidR="00C2044F" w:rsidRPr="00ED3927">
        <w:t>10</w:t>
      </w:r>
      <w:r w:rsidRPr="00ED3927">
        <w:t>: Summary of multi-criteria analysis of each option against key stakeholders</w:t>
      </w:r>
    </w:p>
    <w:tbl>
      <w:tblPr>
        <w:tblStyle w:val="Custom1"/>
        <w:tblW w:w="0" w:type="auto"/>
        <w:tblLook w:val="0660" w:firstRow="1" w:lastRow="1" w:firstColumn="0" w:lastColumn="0" w:noHBand="1" w:noVBand="1"/>
        <w:tblDescription w:val="Table outlines the result of the multi-criteria analysis based on the five stakeholders (insurers, consumers, public hospitals, private hospitals, medical practitioners). Each option is given a score against each stakeholder, and comments are included to explain the score given. The total scores wree 0 for option 1, -4 for option 2 and -7 for option 3."/>
      </w:tblPr>
      <w:tblGrid>
        <w:gridCol w:w="1560"/>
        <w:gridCol w:w="2586"/>
        <w:gridCol w:w="2587"/>
        <w:gridCol w:w="6167"/>
      </w:tblGrid>
      <w:tr w:rsidR="000A68A1" w:rsidRPr="000861B0" w14:paraId="19D03E86" w14:textId="77777777" w:rsidTr="00AD7E78">
        <w:trPr>
          <w:cnfStyle w:val="100000000000" w:firstRow="1" w:lastRow="0" w:firstColumn="0" w:lastColumn="0" w:oddVBand="0" w:evenVBand="0" w:oddHBand="0" w:evenHBand="0" w:firstRowFirstColumn="0" w:firstRowLastColumn="0" w:lastRowFirstColumn="0" w:lastRowLastColumn="0"/>
          <w:trHeight w:val="350"/>
          <w:tblHeader/>
        </w:trPr>
        <w:tc>
          <w:tcPr>
            <w:tcW w:w="1560" w:type="dxa"/>
          </w:tcPr>
          <w:p w14:paraId="4D656FD6" w14:textId="52C268E4" w:rsidR="000A68A1" w:rsidRPr="002550EA" w:rsidRDefault="00627FF3" w:rsidP="00E91BD9">
            <w:pPr>
              <w:keepNext/>
              <w:spacing w:after="0" w:line="240" w:lineRule="auto"/>
              <w:rPr>
                <w:b w:val="0"/>
                <w:bCs/>
              </w:rPr>
            </w:pPr>
            <w:r>
              <w:rPr>
                <w:bCs/>
              </w:rPr>
              <w:t>Stakeholder</w:t>
            </w:r>
          </w:p>
        </w:tc>
        <w:tc>
          <w:tcPr>
            <w:tcW w:w="2586" w:type="dxa"/>
          </w:tcPr>
          <w:p w14:paraId="36118484" w14:textId="77777777" w:rsidR="000A68A1" w:rsidRDefault="000A68A1" w:rsidP="00E91BD9">
            <w:pPr>
              <w:keepNext/>
              <w:spacing w:after="0" w:line="240" w:lineRule="auto"/>
              <w:rPr>
                <w:b w:val="0"/>
                <w:bCs/>
              </w:rPr>
            </w:pPr>
            <w:r w:rsidRPr="002550EA">
              <w:rPr>
                <w:bCs/>
              </w:rPr>
              <w:t>Option 1</w:t>
            </w:r>
          </w:p>
          <w:p w14:paraId="47803969" w14:textId="5915951E" w:rsidR="00A23247" w:rsidRPr="002550EA" w:rsidRDefault="00A23247" w:rsidP="00E91BD9">
            <w:pPr>
              <w:keepNext/>
              <w:spacing w:after="0" w:line="240" w:lineRule="auto"/>
              <w:rPr>
                <w:b w:val="0"/>
                <w:bCs/>
              </w:rPr>
            </w:pPr>
            <w:r>
              <w:rPr>
                <w:bCs/>
              </w:rPr>
              <w:t>(Status Quo)</w:t>
            </w:r>
          </w:p>
        </w:tc>
        <w:tc>
          <w:tcPr>
            <w:tcW w:w="2587" w:type="dxa"/>
          </w:tcPr>
          <w:p w14:paraId="1D2754BA" w14:textId="77777777" w:rsidR="000A68A1" w:rsidRPr="002550EA" w:rsidRDefault="000A68A1" w:rsidP="00E91BD9">
            <w:pPr>
              <w:keepNext/>
              <w:spacing w:after="0" w:line="240" w:lineRule="auto"/>
              <w:rPr>
                <w:b w:val="0"/>
                <w:bCs/>
              </w:rPr>
            </w:pPr>
            <w:r w:rsidRPr="002550EA">
              <w:rPr>
                <w:bCs/>
              </w:rPr>
              <w:t>Option 2</w:t>
            </w:r>
          </w:p>
        </w:tc>
        <w:tc>
          <w:tcPr>
            <w:tcW w:w="6167" w:type="dxa"/>
          </w:tcPr>
          <w:p w14:paraId="08EA2669" w14:textId="77777777" w:rsidR="000A68A1" w:rsidRPr="002550EA" w:rsidRDefault="000A68A1" w:rsidP="00E91BD9">
            <w:pPr>
              <w:keepNext/>
              <w:spacing w:after="0" w:line="240" w:lineRule="auto"/>
              <w:rPr>
                <w:b w:val="0"/>
                <w:bCs/>
              </w:rPr>
            </w:pPr>
            <w:r w:rsidRPr="002550EA">
              <w:rPr>
                <w:bCs/>
              </w:rPr>
              <w:t>Option 3</w:t>
            </w:r>
          </w:p>
        </w:tc>
      </w:tr>
      <w:tr w:rsidR="0060239C" w:rsidRPr="000861B0" w14:paraId="6FF2CDA0" w14:textId="77777777" w:rsidTr="00787293">
        <w:trPr>
          <w:trHeight w:val="350"/>
        </w:trPr>
        <w:tc>
          <w:tcPr>
            <w:tcW w:w="1560" w:type="dxa"/>
            <w:vMerge w:val="restart"/>
          </w:tcPr>
          <w:p w14:paraId="6113E9BE" w14:textId="63C089DA" w:rsidR="0060239C" w:rsidRPr="0060239C" w:rsidRDefault="0060239C" w:rsidP="00E91BD9">
            <w:pPr>
              <w:keepNext/>
              <w:spacing w:after="0" w:line="240" w:lineRule="auto"/>
            </w:pPr>
            <w:r>
              <w:t>Consumers</w:t>
            </w:r>
          </w:p>
        </w:tc>
        <w:tc>
          <w:tcPr>
            <w:tcW w:w="2586" w:type="dxa"/>
          </w:tcPr>
          <w:p w14:paraId="53FB1083" w14:textId="74059CD3" w:rsidR="0060239C" w:rsidRPr="00EA3D75" w:rsidRDefault="00EA3D75" w:rsidP="00E91BD9">
            <w:pPr>
              <w:keepNext/>
              <w:spacing w:after="0" w:line="240" w:lineRule="auto"/>
            </w:pPr>
            <w:r w:rsidRPr="00EA3D75">
              <w:t>0</w:t>
            </w:r>
          </w:p>
        </w:tc>
        <w:tc>
          <w:tcPr>
            <w:tcW w:w="2587" w:type="dxa"/>
          </w:tcPr>
          <w:p w14:paraId="61B56068" w14:textId="708BF5CA" w:rsidR="0060239C" w:rsidRPr="00EA3D75" w:rsidRDefault="0020515C" w:rsidP="00E91BD9">
            <w:pPr>
              <w:keepNext/>
              <w:spacing w:after="0" w:line="240" w:lineRule="auto"/>
            </w:pPr>
            <w:r>
              <w:t>-1</w:t>
            </w:r>
          </w:p>
        </w:tc>
        <w:tc>
          <w:tcPr>
            <w:tcW w:w="6167" w:type="dxa"/>
          </w:tcPr>
          <w:p w14:paraId="0640686D" w14:textId="62EFEDF6" w:rsidR="0060239C" w:rsidRPr="00EA3D75" w:rsidRDefault="00F709C3" w:rsidP="00E91BD9">
            <w:pPr>
              <w:keepNext/>
              <w:spacing w:after="0" w:line="240" w:lineRule="auto"/>
            </w:pPr>
            <w:r>
              <w:t>-</w:t>
            </w:r>
            <w:r w:rsidR="009F0405">
              <w:t>2</w:t>
            </w:r>
          </w:p>
        </w:tc>
      </w:tr>
      <w:tr w:rsidR="0060239C" w:rsidRPr="000861B0" w14:paraId="7A2B821C" w14:textId="77777777" w:rsidTr="00787293">
        <w:trPr>
          <w:trHeight w:val="350"/>
        </w:trPr>
        <w:tc>
          <w:tcPr>
            <w:tcW w:w="1560" w:type="dxa"/>
            <w:vMerge/>
          </w:tcPr>
          <w:p w14:paraId="08B384E9" w14:textId="77777777" w:rsidR="0060239C" w:rsidRPr="0060239C" w:rsidRDefault="0060239C" w:rsidP="0060239C">
            <w:pPr>
              <w:spacing w:after="0" w:line="240" w:lineRule="auto"/>
            </w:pPr>
          </w:p>
        </w:tc>
        <w:tc>
          <w:tcPr>
            <w:tcW w:w="11340" w:type="dxa"/>
            <w:gridSpan w:val="3"/>
          </w:tcPr>
          <w:p w14:paraId="42FE0F25" w14:textId="7B7B05A6" w:rsidR="00EA3D75" w:rsidRDefault="00EA3D75" w:rsidP="00F451F1">
            <w:r>
              <w:t xml:space="preserve">Consumers </w:t>
            </w:r>
            <w:r w:rsidR="00F709C3">
              <w:t xml:space="preserve">will </w:t>
            </w:r>
            <w:r>
              <w:t xml:space="preserve">face no </w:t>
            </w:r>
            <w:r w:rsidR="00143EC7">
              <w:t xml:space="preserve">direct </w:t>
            </w:r>
            <w:r w:rsidR="00F709C3">
              <w:t>impact</w:t>
            </w:r>
            <w:r w:rsidR="006C0DAD">
              <w:t xml:space="preserve"> in relation to </w:t>
            </w:r>
            <w:r w:rsidR="00150E95">
              <w:t>PHI</w:t>
            </w:r>
            <w:r w:rsidR="00F709C3">
              <w:t xml:space="preserve"> under Option 1</w:t>
            </w:r>
            <w:r w:rsidR="00143EC7">
              <w:t xml:space="preserve"> which has therefore been scored to be neutral</w:t>
            </w:r>
            <w:r w:rsidR="00F709C3">
              <w:t>.</w:t>
            </w:r>
            <w:r w:rsidR="00150E95">
              <w:t xml:space="preserve"> </w:t>
            </w:r>
            <w:r w:rsidR="009F5E15">
              <w:t>However, i</w:t>
            </w:r>
            <w:r w:rsidR="00150E95">
              <w:t xml:space="preserve">n the current fiscal environment, </w:t>
            </w:r>
            <w:r w:rsidR="009C17B5">
              <w:t xml:space="preserve">Option 1 </w:t>
            </w:r>
            <w:r w:rsidR="00147A76">
              <w:t xml:space="preserve">would </w:t>
            </w:r>
            <w:r w:rsidR="00FE307F">
              <w:t xml:space="preserve">reduce the funds available </w:t>
            </w:r>
            <w:r w:rsidR="00A44CBF">
              <w:t>for Government to</w:t>
            </w:r>
            <w:r w:rsidR="00FE307F">
              <w:t xml:space="preserve"> deliver</w:t>
            </w:r>
            <w:r w:rsidR="00A44CBF">
              <w:t xml:space="preserve"> </w:t>
            </w:r>
            <w:r w:rsidR="00FE307F">
              <w:t>other priority health, disability and aged care services</w:t>
            </w:r>
            <w:r w:rsidR="009F5E15">
              <w:t xml:space="preserve"> provided to consumers</w:t>
            </w:r>
            <w:r w:rsidR="00FD18B5">
              <w:t>.</w:t>
            </w:r>
          </w:p>
          <w:p w14:paraId="1F7CF258" w14:textId="49887B24" w:rsidR="00AE09FA" w:rsidRDefault="00F709C3" w:rsidP="00F451F1">
            <w:r>
              <w:t xml:space="preserve">Consumers will face </w:t>
            </w:r>
            <w:r w:rsidR="00AE09FA">
              <w:t xml:space="preserve">a </w:t>
            </w:r>
            <w:r w:rsidR="0020515C">
              <w:t>slightly adverse</w:t>
            </w:r>
            <w:r w:rsidR="00AE09FA">
              <w:t xml:space="preserve"> impact </w:t>
            </w:r>
            <w:r>
              <w:t>under Option 2.</w:t>
            </w:r>
            <w:r w:rsidR="00821054">
              <w:t xml:space="preserve"> </w:t>
            </w:r>
            <w:r w:rsidR="000523C6">
              <w:t xml:space="preserve">The </w:t>
            </w:r>
            <w:r w:rsidR="007E067A">
              <w:t xml:space="preserve">impact on an individual’s Rebate would depend on </w:t>
            </w:r>
            <w:r w:rsidR="00697D5F">
              <w:t>their age</w:t>
            </w:r>
            <w:r w:rsidR="0057545C">
              <w:t>, income and the cost of their policy, noting the Rebate is paid as a percentage of the premium. However, the a</w:t>
            </w:r>
            <w:r w:rsidR="0057545C" w:rsidRPr="000523C6">
              <w:t xml:space="preserve">verage </w:t>
            </w:r>
            <w:r w:rsidR="00C940D2">
              <w:t>change</w:t>
            </w:r>
            <w:r w:rsidR="0057545C" w:rsidRPr="000523C6">
              <w:t xml:space="preserve"> in rebate per person </w:t>
            </w:r>
            <w:r w:rsidR="0057545C">
              <w:t xml:space="preserve">under Option 2 </w:t>
            </w:r>
            <w:r w:rsidR="00C940D2">
              <w:t xml:space="preserve">in 2028-29 is </w:t>
            </w:r>
            <w:r w:rsidR="00C940D2" w:rsidRPr="00CB67CB">
              <w:t>-$252</w:t>
            </w:r>
            <w:r w:rsidR="00C940D2">
              <w:t xml:space="preserve"> </w:t>
            </w:r>
            <w:r w:rsidR="0057545C" w:rsidRPr="000523C6">
              <w:t>for those aged 65+ years in the 3 affected income tiers (Base, 1 and 2)</w:t>
            </w:r>
            <w:r w:rsidR="0057545C">
              <w:t>.</w:t>
            </w:r>
            <w:r w:rsidR="0057545C" w:rsidRPr="000523C6">
              <w:t xml:space="preserve"> </w:t>
            </w:r>
            <w:r w:rsidR="00AB0D69">
              <w:t>S</w:t>
            </w:r>
            <w:r w:rsidR="00A5792B">
              <w:t xml:space="preserve">ome </w:t>
            </w:r>
            <w:r w:rsidR="00F060C5">
              <w:t>policyholders</w:t>
            </w:r>
            <w:r w:rsidR="00A5792B">
              <w:t xml:space="preserve"> will </w:t>
            </w:r>
            <w:r w:rsidR="003408D5">
              <w:t>drop</w:t>
            </w:r>
            <w:r w:rsidR="003E1C7E">
              <w:t xml:space="preserve"> or not take up PHI due to the removal of the higher </w:t>
            </w:r>
            <w:r w:rsidR="005B1828">
              <w:t>Rebate</w:t>
            </w:r>
            <w:r w:rsidR="003E1C7E">
              <w:t xml:space="preserve"> for older Australians.</w:t>
            </w:r>
            <w:r w:rsidR="003408D5">
              <w:t xml:space="preserve"> </w:t>
            </w:r>
            <w:r w:rsidR="003E1C7E">
              <w:t>H</w:t>
            </w:r>
            <w:r w:rsidR="003408D5">
              <w:t>owever</w:t>
            </w:r>
            <w:r w:rsidR="007B1F7E">
              <w:t>,</w:t>
            </w:r>
            <w:r w:rsidR="003408D5">
              <w:t xml:space="preserve"> the projected</w:t>
            </w:r>
            <w:r w:rsidR="004E5E5F">
              <w:t xml:space="preserve"> </w:t>
            </w:r>
            <w:r w:rsidR="003408D5">
              <w:t>change is expected to be minor in the context of the total insured population</w:t>
            </w:r>
            <w:r w:rsidR="00AE09FA">
              <w:t xml:space="preserve">. </w:t>
            </w:r>
            <w:r w:rsidR="001F227B">
              <w:t xml:space="preserve">This is because </w:t>
            </w:r>
            <w:r w:rsidR="00032304">
              <w:t xml:space="preserve">older people are </w:t>
            </w:r>
            <w:r w:rsidR="00C20FE1">
              <w:t xml:space="preserve">strongly incentivised to hold PHI even without the </w:t>
            </w:r>
            <w:r w:rsidR="005B1828">
              <w:t>Rebate</w:t>
            </w:r>
            <w:r w:rsidR="00C20FE1">
              <w:t xml:space="preserve"> due to </w:t>
            </w:r>
            <w:r w:rsidR="001F227B">
              <w:t xml:space="preserve">higher benefits </w:t>
            </w:r>
            <w:r w:rsidR="00991F65">
              <w:t xml:space="preserve">they </w:t>
            </w:r>
            <w:r w:rsidR="001F227B">
              <w:t>experience compared to the premium paid</w:t>
            </w:r>
            <w:r w:rsidR="00991F65">
              <w:t>. In addition</w:t>
            </w:r>
            <w:r w:rsidR="002A718C">
              <w:t>,</w:t>
            </w:r>
            <w:r w:rsidR="00991F65">
              <w:t xml:space="preserve"> older people who </w:t>
            </w:r>
            <w:r w:rsidR="00344D30">
              <w:t>have held insurance for</w:t>
            </w:r>
            <w:r w:rsidR="00991F65">
              <w:t xml:space="preserve"> </w:t>
            </w:r>
            <w:r w:rsidR="00344D30">
              <w:t>a longer period</w:t>
            </w:r>
            <w:r w:rsidR="004936DF">
              <w:t xml:space="preserve"> would </w:t>
            </w:r>
            <w:r w:rsidR="00620370">
              <w:t>have a high</w:t>
            </w:r>
            <w:r w:rsidR="00782426">
              <w:t>er</w:t>
            </w:r>
            <w:r w:rsidR="00620370">
              <w:t xml:space="preserve"> </w:t>
            </w:r>
            <w:r w:rsidR="004936DF">
              <w:t xml:space="preserve">cost to re-join </w:t>
            </w:r>
            <w:r w:rsidR="00D4161F">
              <w:t>due to</w:t>
            </w:r>
            <w:r w:rsidR="00782426">
              <w:t xml:space="preserve"> the Lifetime Health Cover loading </w:t>
            </w:r>
            <w:r w:rsidR="00620370">
              <w:t>if they dropped cover</w:t>
            </w:r>
            <w:r w:rsidR="00FD17F5">
              <w:t xml:space="preserve"> and exhausted their allowable d</w:t>
            </w:r>
            <w:r w:rsidR="009C144B">
              <w:t>ays of absence</w:t>
            </w:r>
            <w:r w:rsidR="00D4161F">
              <w:t xml:space="preserve"> before rejoining</w:t>
            </w:r>
            <w:r w:rsidR="004936DF">
              <w:t xml:space="preserve">. </w:t>
            </w:r>
            <w:r w:rsidR="003754FA">
              <w:t xml:space="preserve">The lower </w:t>
            </w:r>
            <w:r w:rsidR="005B1828">
              <w:t>Rebate</w:t>
            </w:r>
            <w:r w:rsidR="00AE09FA">
              <w:t xml:space="preserve"> will</w:t>
            </w:r>
            <w:r w:rsidR="00692FCA">
              <w:t xml:space="preserve"> likely</w:t>
            </w:r>
            <w:r w:rsidR="00AE09FA">
              <w:t xml:space="preserve"> be counterbalanced by </w:t>
            </w:r>
            <w:r w:rsidR="00A5792B">
              <w:t>slightly lower premium</w:t>
            </w:r>
            <w:r w:rsidR="00CA29D3">
              <w:t xml:space="preserve"> increases</w:t>
            </w:r>
            <w:r w:rsidR="00A5792B">
              <w:t xml:space="preserve"> </w:t>
            </w:r>
            <w:r w:rsidR="00963C32">
              <w:t xml:space="preserve">for </w:t>
            </w:r>
            <w:r w:rsidR="00A5792B">
              <w:t>those remaining</w:t>
            </w:r>
            <w:r w:rsidR="007F32F6">
              <w:t xml:space="preserve"> in PHI</w:t>
            </w:r>
            <w:r w:rsidR="003408D5">
              <w:t>. This is because</w:t>
            </w:r>
            <w:r w:rsidR="000824FD">
              <w:t>,</w:t>
            </w:r>
            <w:r w:rsidR="003408D5">
              <w:t xml:space="preserve"> </w:t>
            </w:r>
            <w:r w:rsidR="00B64276">
              <w:t xml:space="preserve">whilst there is no significant impact on younger Australians, </w:t>
            </w:r>
            <w:r w:rsidR="009C679B">
              <w:t>some</w:t>
            </w:r>
            <w:r w:rsidR="000D5AA9">
              <w:t xml:space="preserve"> </w:t>
            </w:r>
            <w:r w:rsidR="00B64276">
              <w:t xml:space="preserve">older Australians </w:t>
            </w:r>
            <w:r w:rsidR="000D5AA9">
              <w:t xml:space="preserve">(who generally receive more in benefits than </w:t>
            </w:r>
            <w:r w:rsidR="008A566B">
              <w:t xml:space="preserve">they pay </w:t>
            </w:r>
            <w:r w:rsidR="000D5AA9">
              <w:t>in premiums</w:t>
            </w:r>
            <w:r w:rsidR="008A566B">
              <w:t>, as shown in</w:t>
            </w:r>
            <w:r w:rsidR="000D5AA9">
              <w:t xml:space="preserve"> </w:t>
            </w:r>
            <w:r w:rsidR="009C679B">
              <w:t>F</w:t>
            </w:r>
            <w:r w:rsidR="000D5AA9">
              <w:t>igure 1)</w:t>
            </w:r>
            <w:r w:rsidR="004D441D">
              <w:t xml:space="preserve"> will leave, putting </w:t>
            </w:r>
            <w:r w:rsidR="005709FB">
              <w:t>downwards pressure on premiums</w:t>
            </w:r>
            <w:r w:rsidR="008A566B">
              <w:t>.</w:t>
            </w:r>
            <w:r w:rsidR="00F2189F">
              <w:t xml:space="preserve"> However, this impact will be moderated if those who leave PHI </w:t>
            </w:r>
            <w:r w:rsidR="005C3A7A">
              <w:t xml:space="preserve">do so at least partly because they were </w:t>
            </w:r>
            <w:r w:rsidR="00F2189F">
              <w:t>less likely to make a claim</w:t>
            </w:r>
            <w:r w:rsidR="005C3A7A">
              <w:t xml:space="preserve"> than the average</w:t>
            </w:r>
            <w:r w:rsidR="00A10811">
              <w:t xml:space="preserve"> older Australian</w:t>
            </w:r>
            <w:r w:rsidR="005C3A7A">
              <w:t>.</w:t>
            </w:r>
          </w:p>
          <w:p w14:paraId="2DC292D9" w14:textId="3B87BADE" w:rsidR="00AA0D62" w:rsidRDefault="00AE09FA" w:rsidP="00F451F1">
            <w:r>
              <w:t xml:space="preserve">Consumers will face a </w:t>
            </w:r>
            <w:r w:rsidR="009C679B">
              <w:t xml:space="preserve">more </w:t>
            </w:r>
            <w:r>
              <w:t>adverse impact under Option 3</w:t>
            </w:r>
            <w:r w:rsidR="00151770">
              <w:t xml:space="preserve"> compared to Option 2</w:t>
            </w:r>
            <w:r>
              <w:t xml:space="preserve">. </w:t>
            </w:r>
            <w:r w:rsidR="00151770">
              <w:t>A</w:t>
            </w:r>
            <w:r w:rsidR="00A5792B">
              <w:t xml:space="preserve"> greater number of </w:t>
            </w:r>
            <w:r w:rsidR="001971F4">
              <w:t>policyholders will drop their insurance</w:t>
            </w:r>
            <w:r w:rsidR="00F64760">
              <w:t xml:space="preserve"> due to the removal of the </w:t>
            </w:r>
            <w:r w:rsidR="005B1828">
              <w:t>Rebate</w:t>
            </w:r>
            <w:r w:rsidR="00F64760">
              <w:t xml:space="preserve"> for people </w:t>
            </w:r>
            <w:r w:rsidR="00B12AB4">
              <w:t xml:space="preserve">in </w:t>
            </w:r>
            <w:r w:rsidR="009359B2">
              <w:t xml:space="preserve">Tier 2 </w:t>
            </w:r>
            <w:r w:rsidR="00B12AB4">
              <w:t xml:space="preserve">and the reduction of the </w:t>
            </w:r>
            <w:r w:rsidR="005B1828">
              <w:t>Rebate</w:t>
            </w:r>
            <w:r w:rsidR="00B12AB4">
              <w:t xml:space="preserve"> </w:t>
            </w:r>
            <w:r w:rsidR="00831688">
              <w:t xml:space="preserve">for people </w:t>
            </w:r>
            <w:r w:rsidR="00B12AB4">
              <w:t>in Tier 1</w:t>
            </w:r>
            <w:r w:rsidR="009359B2">
              <w:t xml:space="preserve">. People with Tier 3 incomes already receive no </w:t>
            </w:r>
            <w:r w:rsidR="005B1828">
              <w:t>Rebate</w:t>
            </w:r>
            <w:r w:rsidR="009359B2">
              <w:t xml:space="preserve">. </w:t>
            </w:r>
            <w:r w:rsidR="00E1487E">
              <w:t xml:space="preserve">Unlike Option 2, there would </w:t>
            </w:r>
            <w:r w:rsidR="00E1487E">
              <w:lastRenderedPageBreak/>
              <w:t xml:space="preserve">also be </w:t>
            </w:r>
            <w:r w:rsidR="003E443E">
              <w:t xml:space="preserve">no expected reduction in premium </w:t>
            </w:r>
            <w:r w:rsidR="008E1850">
              <w:t xml:space="preserve">increases </w:t>
            </w:r>
            <w:r w:rsidR="003E443E">
              <w:t xml:space="preserve">as </w:t>
            </w:r>
            <w:r w:rsidR="0069467D">
              <w:t>more</w:t>
            </w:r>
            <w:r w:rsidR="00A7658D">
              <w:t xml:space="preserve"> younger Australians and fewer older Australians will leave </w:t>
            </w:r>
            <w:r w:rsidR="00F81023">
              <w:t xml:space="preserve">PHI </w:t>
            </w:r>
            <w:r w:rsidR="00A7658D">
              <w:t xml:space="preserve">compared to Option </w:t>
            </w:r>
            <w:r w:rsidR="0069467D">
              <w:t>2</w:t>
            </w:r>
            <w:r w:rsidR="00A7658D">
              <w:t>.</w:t>
            </w:r>
            <w:r w:rsidR="00636808">
              <w:t xml:space="preserve"> </w:t>
            </w:r>
            <w:r w:rsidR="00636808" w:rsidRPr="00636808">
              <w:t xml:space="preserve">The impact on an individual’s Rebate would depend on their age, income and the cost of their policy, noting the Rebate is paid as a percentage of the premium. However, the average </w:t>
            </w:r>
            <w:r w:rsidR="00AA0D62">
              <w:t>change</w:t>
            </w:r>
            <w:r w:rsidR="00636808" w:rsidRPr="00636808">
              <w:t xml:space="preserve"> in rebate per person under Option </w:t>
            </w:r>
            <w:r w:rsidR="00636808">
              <w:t>3</w:t>
            </w:r>
            <w:r w:rsidR="00636808" w:rsidRPr="00636808">
              <w:t xml:space="preserve"> </w:t>
            </w:r>
            <w:r w:rsidR="00CC1732" w:rsidRPr="00636808">
              <w:t>in 2028</w:t>
            </w:r>
            <w:r w:rsidR="00CC1732">
              <w:noBreakHyphen/>
            </w:r>
            <w:r w:rsidR="00CC1732" w:rsidRPr="00636808">
              <w:t>29</w:t>
            </w:r>
            <w:r w:rsidR="00CC1732">
              <w:t xml:space="preserve"> </w:t>
            </w:r>
            <w:r w:rsidR="00CC1732" w:rsidRPr="00636808">
              <w:t>is</w:t>
            </w:r>
            <w:r w:rsidR="00AA0D62">
              <w:t>:</w:t>
            </w:r>
            <w:r w:rsidR="00CC1732" w:rsidRPr="00636808">
              <w:t xml:space="preserve"> </w:t>
            </w:r>
          </w:p>
          <w:p w14:paraId="41867B18" w14:textId="69CEDB95" w:rsidR="00AA0D62" w:rsidRPr="00CB67CB" w:rsidRDefault="00AA0D62" w:rsidP="00061104">
            <w:pPr>
              <w:pStyle w:val="ListParagraph"/>
              <w:numPr>
                <w:ilvl w:val="0"/>
                <w:numId w:val="48"/>
              </w:numPr>
            </w:pPr>
            <w:r w:rsidRPr="00CB67CB">
              <w:t>-</w:t>
            </w:r>
            <w:r w:rsidR="00CC1732" w:rsidRPr="00CB67CB">
              <w:t xml:space="preserve">$252 </w:t>
            </w:r>
            <w:r w:rsidR="00636808" w:rsidRPr="00CB67CB">
              <w:t>for those aged 65+ years in the 3 affected income tiers (Base, 1 and 2)</w:t>
            </w:r>
          </w:p>
          <w:p w14:paraId="6837FAD6" w14:textId="3DFDDFEA" w:rsidR="007636BB" w:rsidRPr="00CB67CB" w:rsidRDefault="00AA0D62" w:rsidP="00061104">
            <w:pPr>
              <w:pStyle w:val="ListParagraph"/>
              <w:numPr>
                <w:ilvl w:val="0"/>
                <w:numId w:val="48"/>
              </w:numPr>
            </w:pPr>
            <w:r w:rsidRPr="00CB67CB">
              <w:t>-$203 for those aged under 65 years in the 2 income tiers (1 and 2)</w:t>
            </w:r>
            <w:r w:rsidR="003B6882" w:rsidRPr="00CB67CB">
              <w:t xml:space="preserve"> with a Rebate rate reduction</w:t>
            </w:r>
          </w:p>
          <w:p w14:paraId="2204E12D" w14:textId="5B2ED1D4" w:rsidR="00AE09FA" w:rsidRDefault="007636BB" w:rsidP="00061104">
            <w:pPr>
              <w:pStyle w:val="ListParagraph"/>
              <w:numPr>
                <w:ilvl w:val="0"/>
                <w:numId w:val="48"/>
              </w:numPr>
            </w:pPr>
            <w:r w:rsidRPr="00CB67CB">
              <w:t>+$31 for</w:t>
            </w:r>
            <w:r>
              <w:t xml:space="preserve"> those aged under 65 years in the Base tier</w:t>
            </w:r>
            <w:r w:rsidR="003B6882">
              <w:t xml:space="preserve"> which had a small Rebate rate increase</w:t>
            </w:r>
            <w:r w:rsidR="00636808" w:rsidRPr="00636808">
              <w:t>.</w:t>
            </w:r>
          </w:p>
          <w:p w14:paraId="5912748C" w14:textId="55DFF389" w:rsidR="00651187" w:rsidRDefault="00651187" w:rsidP="00D2297E">
            <w:pPr>
              <w:keepNext/>
            </w:pPr>
            <w:r>
              <w:t>There are also some additional impacts</w:t>
            </w:r>
            <w:r w:rsidR="00D300CA">
              <w:t xml:space="preserve"> for Options 2 and 3</w:t>
            </w:r>
            <w:r w:rsidR="000D1BD5">
              <w:t xml:space="preserve"> </w:t>
            </w:r>
            <w:r w:rsidR="007F0DBE">
              <w:t>factored into the above score</w:t>
            </w:r>
            <w:r w:rsidR="00BA3399">
              <w:t>,</w:t>
            </w:r>
            <w:r w:rsidR="000D1BD5">
              <w:t xml:space="preserve"> </w:t>
            </w:r>
            <w:r>
              <w:t>such as:</w:t>
            </w:r>
          </w:p>
          <w:p w14:paraId="731611F6" w14:textId="0B8EAFCE" w:rsidR="0020515C" w:rsidRDefault="00D112C6" w:rsidP="00061104">
            <w:pPr>
              <w:pStyle w:val="ListParagraph"/>
              <w:numPr>
                <w:ilvl w:val="0"/>
                <w:numId w:val="37"/>
              </w:numPr>
            </w:pPr>
            <w:r>
              <w:t xml:space="preserve">the decision cost incurred by individuals who are impacted by the changes to the Rebate on 1 April 2027, who will be </w:t>
            </w:r>
            <w:r w:rsidRPr="00F13B78">
              <w:t xml:space="preserve">more likely than usual </w:t>
            </w:r>
            <w:r>
              <w:t xml:space="preserve">following the 1 April implementation of approved </w:t>
            </w:r>
            <w:r w:rsidRPr="00F13B78">
              <w:t xml:space="preserve">premium changes </w:t>
            </w:r>
            <w:r>
              <w:t xml:space="preserve">to consider whether to change or drop their cover. </w:t>
            </w:r>
            <w:r w:rsidR="009C72B9">
              <w:t>This</w:t>
            </w:r>
            <w:r w:rsidR="005A39D1">
              <w:t xml:space="preserve"> is greater under Option 3 compared </w:t>
            </w:r>
            <w:r w:rsidR="008129EA">
              <w:t xml:space="preserve">with </w:t>
            </w:r>
            <w:r w:rsidR="005A39D1">
              <w:t>Option 2</w:t>
            </w:r>
            <w:r w:rsidR="009C72B9">
              <w:t xml:space="preserve"> due to the higher number of people affected</w:t>
            </w:r>
            <w:r w:rsidR="00111A31">
              <w:t xml:space="preserve"> in Option 3</w:t>
            </w:r>
            <w:r w:rsidR="009C72B9">
              <w:t>.</w:t>
            </w:r>
          </w:p>
          <w:p w14:paraId="16E31A90" w14:textId="68DE5222" w:rsidR="005405C3" w:rsidRDefault="004A4D62" w:rsidP="00061104">
            <w:pPr>
              <w:pStyle w:val="ListParagraph"/>
              <w:numPr>
                <w:ilvl w:val="0"/>
                <w:numId w:val="37"/>
              </w:numPr>
            </w:pPr>
            <w:r>
              <w:t>t</w:t>
            </w:r>
            <w:r w:rsidRPr="004A4D62">
              <w:t>hose who exit PHI would no longer pay</w:t>
            </w:r>
            <w:r w:rsidR="00FE2FEC">
              <w:t xml:space="preserve"> PHI</w:t>
            </w:r>
            <w:r w:rsidRPr="004A4D62">
              <w:t xml:space="preserve"> premiums and retain the right to be treated as a public patient in a public hospital under Medicare</w:t>
            </w:r>
            <w:r w:rsidR="00442243">
              <w:t>,</w:t>
            </w:r>
            <w:r w:rsidR="00F96AE5">
              <w:t xml:space="preserve"> noting that every</w:t>
            </w:r>
            <w:r w:rsidRPr="004A4D62">
              <w:t xml:space="preserve"> Australian has the right to receive safe, high-quality healthcare that complies with national standards, as well as to receive their care in a safe setting</w:t>
            </w:r>
            <w:r w:rsidR="00B3736C" w:rsidDel="00F35529">
              <w:t>, h</w:t>
            </w:r>
            <w:r w:rsidR="00B3736C">
              <w:t>owever</w:t>
            </w:r>
            <w:r w:rsidR="00F35529">
              <w:t>,</w:t>
            </w:r>
            <w:r w:rsidR="00442243">
              <w:t xml:space="preserve"> there would be impacts to access and timeliness to some services:</w:t>
            </w:r>
          </w:p>
          <w:p w14:paraId="3C9DB71C" w14:textId="010A4A40" w:rsidR="00651187" w:rsidRDefault="00651187" w:rsidP="00061104">
            <w:pPr>
              <w:pStyle w:val="ListParagraph"/>
              <w:numPr>
                <w:ilvl w:val="1"/>
                <w:numId w:val="37"/>
              </w:numPr>
            </w:pPr>
            <w:r>
              <w:t xml:space="preserve">the loss of </w:t>
            </w:r>
            <w:r w:rsidR="008B679E">
              <w:t>access to</w:t>
            </w:r>
            <w:r w:rsidR="00837EF5">
              <w:t xml:space="preserve"> </w:t>
            </w:r>
            <w:proofErr w:type="gramStart"/>
            <w:r w:rsidR="00837EF5">
              <w:t>cho</w:t>
            </w:r>
            <w:r w:rsidR="008B679E">
              <w:t>ice</w:t>
            </w:r>
            <w:proofErr w:type="gramEnd"/>
            <w:r w:rsidR="008B679E">
              <w:t xml:space="preserve"> of</w:t>
            </w:r>
            <w:r w:rsidR="00837EF5">
              <w:t xml:space="preserve"> treating specialist</w:t>
            </w:r>
            <w:r w:rsidR="0020515C">
              <w:t xml:space="preserve"> </w:t>
            </w:r>
            <w:r>
              <w:t xml:space="preserve">(unless self-funded), </w:t>
            </w:r>
            <w:r w:rsidR="002E6C93">
              <w:t>impacts</w:t>
            </w:r>
            <w:r w:rsidR="00BE6F3C">
              <w:t xml:space="preserve"> </w:t>
            </w:r>
            <w:r w:rsidR="006A2D0C">
              <w:t xml:space="preserve">more people </w:t>
            </w:r>
            <w:r>
              <w:t xml:space="preserve">for </w:t>
            </w:r>
            <w:r w:rsidR="005A39D1">
              <w:t>O</w:t>
            </w:r>
            <w:r>
              <w:t>ption</w:t>
            </w:r>
            <w:r w:rsidR="003D3485">
              <w:t> </w:t>
            </w:r>
            <w:r>
              <w:t>3</w:t>
            </w:r>
            <w:r w:rsidR="00837EF5">
              <w:t xml:space="preserve"> compared to </w:t>
            </w:r>
            <w:r w:rsidR="005A39D1">
              <w:t>O</w:t>
            </w:r>
            <w:r w:rsidR="00837EF5">
              <w:t>ption 2</w:t>
            </w:r>
          </w:p>
          <w:p w14:paraId="2D815564" w14:textId="4E4855E7" w:rsidR="00651187" w:rsidRDefault="00837EF5" w:rsidP="00061104">
            <w:pPr>
              <w:pStyle w:val="ListParagraph"/>
              <w:numPr>
                <w:ilvl w:val="1"/>
                <w:numId w:val="37"/>
              </w:numPr>
            </w:pPr>
            <w:r>
              <w:t xml:space="preserve">longer waiting times associated with seeking treatment in the public system </w:t>
            </w:r>
            <w:r w:rsidR="002E6C93">
              <w:t>impacts</w:t>
            </w:r>
            <w:r w:rsidR="006A2D0C">
              <w:t xml:space="preserve"> more people</w:t>
            </w:r>
            <w:r w:rsidR="0023555F">
              <w:t xml:space="preserve"> under</w:t>
            </w:r>
            <w:r>
              <w:t xml:space="preserve"> </w:t>
            </w:r>
            <w:r w:rsidR="005A39D1">
              <w:t>O</w:t>
            </w:r>
            <w:r>
              <w:t xml:space="preserve">ption 3 compared to </w:t>
            </w:r>
            <w:r w:rsidR="005A39D1">
              <w:t>O</w:t>
            </w:r>
            <w:r>
              <w:t>ption 2</w:t>
            </w:r>
          </w:p>
          <w:p w14:paraId="67210E39" w14:textId="5E059C38" w:rsidR="0060239C" w:rsidRPr="007F0DBE" w:rsidRDefault="00296396" w:rsidP="00061104">
            <w:pPr>
              <w:pStyle w:val="ListParagraph"/>
              <w:numPr>
                <w:ilvl w:val="0"/>
                <w:numId w:val="37"/>
              </w:numPr>
            </w:pPr>
            <w:r>
              <w:t xml:space="preserve">costs associated with paying the </w:t>
            </w:r>
            <w:r w:rsidR="00091624">
              <w:t>MLS</w:t>
            </w:r>
            <w:r>
              <w:t xml:space="preserve">, for those </w:t>
            </w:r>
            <w:r w:rsidR="00FE2670">
              <w:t xml:space="preserve">in Tier 1 and 2 </w:t>
            </w:r>
            <w:r>
              <w:t>ceasing to hold cover. This is greater under Option 3 compared to Option 2</w:t>
            </w:r>
            <w:r w:rsidR="00053C22">
              <w:t>, as more people</w:t>
            </w:r>
            <w:r w:rsidR="008500B6">
              <w:t xml:space="preserve"> in Tiers 1 and 2</w:t>
            </w:r>
            <w:r w:rsidR="00053C22">
              <w:t xml:space="preserve"> are expected to drop cover under Option 3 (see Tables 1</w:t>
            </w:r>
            <w:r w:rsidR="0023317C">
              <w:t>2</w:t>
            </w:r>
            <w:r w:rsidR="00053C22">
              <w:t xml:space="preserve"> and 1</w:t>
            </w:r>
            <w:r w:rsidR="0023317C">
              <w:t>3</w:t>
            </w:r>
            <w:r w:rsidR="00053C22">
              <w:t>)</w:t>
            </w:r>
            <w:r>
              <w:t>.</w:t>
            </w:r>
          </w:p>
        </w:tc>
      </w:tr>
      <w:tr w:rsidR="0060239C" w:rsidRPr="000861B0" w14:paraId="5FD11E7F" w14:textId="77777777" w:rsidTr="00787293">
        <w:trPr>
          <w:trHeight w:val="350"/>
        </w:trPr>
        <w:tc>
          <w:tcPr>
            <w:tcW w:w="1560" w:type="dxa"/>
            <w:vMerge w:val="restart"/>
          </w:tcPr>
          <w:p w14:paraId="64FB4CE1" w14:textId="3452B7F6" w:rsidR="0060239C" w:rsidRPr="000A68A1" w:rsidRDefault="0060239C" w:rsidP="0060239C">
            <w:pPr>
              <w:spacing w:after="0" w:line="240" w:lineRule="auto"/>
            </w:pPr>
            <w:r>
              <w:lastRenderedPageBreak/>
              <w:t>Private health insurers</w:t>
            </w:r>
          </w:p>
        </w:tc>
        <w:tc>
          <w:tcPr>
            <w:tcW w:w="2586" w:type="dxa"/>
          </w:tcPr>
          <w:p w14:paraId="6D036A23" w14:textId="7750BF77" w:rsidR="0060239C" w:rsidRPr="000861B0" w:rsidRDefault="00F11C8F" w:rsidP="0060239C">
            <w:pPr>
              <w:spacing w:after="0" w:line="240" w:lineRule="auto"/>
            </w:pPr>
            <w:r>
              <w:t>0</w:t>
            </w:r>
          </w:p>
        </w:tc>
        <w:tc>
          <w:tcPr>
            <w:tcW w:w="2587" w:type="dxa"/>
          </w:tcPr>
          <w:p w14:paraId="370BAEEF" w14:textId="3E59461F" w:rsidR="0060239C" w:rsidRPr="000861B0" w:rsidRDefault="00F11C8F" w:rsidP="0060239C">
            <w:pPr>
              <w:spacing w:after="0" w:line="240" w:lineRule="auto"/>
            </w:pPr>
            <w:r>
              <w:t>-1</w:t>
            </w:r>
          </w:p>
        </w:tc>
        <w:tc>
          <w:tcPr>
            <w:tcW w:w="6167" w:type="dxa"/>
          </w:tcPr>
          <w:p w14:paraId="5642E828" w14:textId="7BDAD032" w:rsidR="0060239C" w:rsidRPr="000861B0" w:rsidRDefault="00F11C8F" w:rsidP="0060239C">
            <w:pPr>
              <w:spacing w:after="0" w:line="240" w:lineRule="auto"/>
            </w:pPr>
            <w:r>
              <w:t>-</w:t>
            </w:r>
            <w:r w:rsidR="002A00A5">
              <w:t>3</w:t>
            </w:r>
          </w:p>
        </w:tc>
      </w:tr>
      <w:tr w:rsidR="0060239C" w:rsidRPr="000861B0" w14:paraId="66664062" w14:textId="77777777" w:rsidTr="00787293">
        <w:trPr>
          <w:trHeight w:val="350"/>
        </w:trPr>
        <w:tc>
          <w:tcPr>
            <w:tcW w:w="1560" w:type="dxa"/>
            <w:vMerge/>
          </w:tcPr>
          <w:p w14:paraId="748BD16A" w14:textId="77777777" w:rsidR="0060239C" w:rsidRPr="000A68A1" w:rsidRDefault="0060239C" w:rsidP="0060239C">
            <w:pPr>
              <w:spacing w:after="0" w:line="240" w:lineRule="auto"/>
            </w:pPr>
          </w:p>
        </w:tc>
        <w:tc>
          <w:tcPr>
            <w:tcW w:w="11340" w:type="dxa"/>
            <w:gridSpan w:val="3"/>
          </w:tcPr>
          <w:p w14:paraId="17F3D849" w14:textId="77777777" w:rsidR="00915749" w:rsidRDefault="00F11C8F" w:rsidP="00915749">
            <w:r>
              <w:t>Private health insurers will face no impact under Option 1</w:t>
            </w:r>
            <w:r w:rsidR="00915749">
              <w:t>.</w:t>
            </w:r>
          </w:p>
          <w:p w14:paraId="47C9FDB9" w14:textId="15F270FA" w:rsidR="00D50DC8" w:rsidRDefault="00915749" w:rsidP="00915749">
            <w:r>
              <w:t xml:space="preserve">Private health insurers will face a </w:t>
            </w:r>
            <w:r w:rsidR="00D50DC8">
              <w:t>slightly adverse impact under Option 2</w:t>
            </w:r>
            <w:r w:rsidR="00B75FCB">
              <w:t xml:space="preserve"> and a </w:t>
            </w:r>
            <w:r w:rsidR="005879C3">
              <w:t xml:space="preserve">significantly </w:t>
            </w:r>
            <w:r w:rsidR="00B75FCB">
              <w:t>adverse impact under Option 3.</w:t>
            </w:r>
            <w:r w:rsidR="00504D9D">
              <w:t xml:space="preserve"> Option 3 impact</w:t>
            </w:r>
            <w:r w:rsidR="00331D38">
              <w:t>s</w:t>
            </w:r>
            <w:r w:rsidR="00504D9D">
              <w:t xml:space="preserve"> a </w:t>
            </w:r>
            <w:r w:rsidR="00913BD6">
              <w:t xml:space="preserve">marginally </w:t>
            </w:r>
            <w:r w:rsidR="00504D9D">
              <w:t>larger cohort of the insured population compared to Option 2, which has consequential flow-on effects to insurers.</w:t>
            </w:r>
            <w:r w:rsidR="00B75FCB">
              <w:t xml:space="preserve"> This is mostly derived from the regulatory impact burden discussion above</w:t>
            </w:r>
            <w:r w:rsidR="00A26898">
              <w:t xml:space="preserve"> and considered in the context of each option as summarised here:</w:t>
            </w:r>
          </w:p>
          <w:p w14:paraId="5A8031EB" w14:textId="117FF335" w:rsidR="00C16775" w:rsidRDefault="00D8586B" w:rsidP="00061104">
            <w:pPr>
              <w:pStyle w:val="ListParagraph"/>
              <w:numPr>
                <w:ilvl w:val="0"/>
                <w:numId w:val="37"/>
              </w:numPr>
            </w:pPr>
            <w:r>
              <w:t xml:space="preserve">larger financial impacts for insurers that have a </w:t>
            </w:r>
            <w:r w:rsidR="000A19A6">
              <w:t>greater</w:t>
            </w:r>
            <w:r>
              <w:t xml:space="preserve"> proportion of policyholders affected based on the proposed changes under each Option</w:t>
            </w:r>
          </w:p>
          <w:p w14:paraId="0615B6DE" w14:textId="147C80BF" w:rsidR="007E7C16" w:rsidRDefault="00D233F4" w:rsidP="00061104">
            <w:pPr>
              <w:pStyle w:val="ListParagraph"/>
              <w:numPr>
                <w:ilvl w:val="0"/>
                <w:numId w:val="37"/>
              </w:numPr>
            </w:pPr>
            <w:r>
              <w:t xml:space="preserve">adjustments to their business strategy in the context of reduced Rebate </w:t>
            </w:r>
            <w:r w:rsidR="00D457CD">
              <w:t>and increase in the amount of premiums paid directly by the consumer</w:t>
            </w:r>
            <w:r>
              <w:t>, which may impact on their policyholder acquisition</w:t>
            </w:r>
            <w:r w:rsidR="009E2B5A">
              <w:t xml:space="preserve"> and</w:t>
            </w:r>
            <w:r>
              <w:t xml:space="preserve"> retention</w:t>
            </w:r>
            <w:r w:rsidR="009E2B5A">
              <w:t xml:space="preserve"> marketing strategies and their</w:t>
            </w:r>
            <w:r>
              <w:t xml:space="preserve"> capital and risk planning.</w:t>
            </w:r>
          </w:p>
          <w:p w14:paraId="32EDC333" w14:textId="5FF29B3D" w:rsidR="0081618F" w:rsidRPr="000861B0" w:rsidRDefault="0053052E" w:rsidP="00061104">
            <w:pPr>
              <w:pStyle w:val="ListParagraph"/>
              <w:numPr>
                <w:ilvl w:val="0"/>
                <w:numId w:val="37"/>
              </w:numPr>
            </w:pPr>
            <w:r>
              <w:t>short term changes to gross margins for insurers</w:t>
            </w:r>
            <w:r w:rsidR="00EF3937">
              <w:t xml:space="preserve">. This is due to people </w:t>
            </w:r>
            <w:r w:rsidR="003D180A">
              <w:t xml:space="preserve">aged </w:t>
            </w:r>
            <w:r w:rsidR="00EF3937">
              <w:t>65+ dropping PHI</w:t>
            </w:r>
            <w:r w:rsidR="00C071A1">
              <w:t xml:space="preserve"> (and younger people in Tiers 1 and 2 in Option 3)</w:t>
            </w:r>
            <w:r w:rsidR="00E11553">
              <w:t>, which would result in reduced premium revenue for insurers</w:t>
            </w:r>
            <w:r w:rsidR="00BF1368">
              <w:t xml:space="preserve">. </w:t>
            </w:r>
            <w:r w:rsidR="004A6192">
              <w:t>People are also more likely to downgrade cover under Option 3 than Option 2, because the Rebate is being removed f</w:t>
            </w:r>
            <w:r w:rsidR="001755EC">
              <w:t>or Tier 2 earners</w:t>
            </w:r>
            <w:r w:rsidR="004A6192">
              <w:t xml:space="preserve"> who may </w:t>
            </w:r>
            <w:r w:rsidR="00274088">
              <w:t xml:space="preserve">be more likely to </w:t>
            </w:r>
            <w:r w:rsidR="004A6192">
              <w:t xml:space="preserve">choose to retain </w:t>
            </w:r>
            <w:r w:rsidR="00274088">
              <w:t xml:space="preserve">a lower level of </w:t>
            </w:r>
            <w:r w:rsidR="004A6192">
              <w:t>PHI at a lower premium</w:t>
            </w:r>
            <w:r w:rsidR="00274088">
              <w:t xml:space="preserve"> than people in lower income tiers who may be more likely to drop cover altogether</w:t>
            </w:r>
            <w:r w:rsidR="00B10D2B">
              <w:t>.</w:t>
            </w:r>
            <w:r w:rsidR="00BF1368">
              <w:t xml:space="preserve"> Whether the reduced premium</w:t>
            </w:r>
            <w:r w:rsidR="005566E1">
              <w:t xml:space="preserve"> revenue</w:t>
            </w:r>
            <w:r w:rsidR="00BF1368">
              <w:t xml:space="preserve"> is </w:t>
            </w:r>
            <w:r w:rsidR="002E5692">
              <w:t>outweighed by the</w:t>
            </w:r>
            <w:r w:rsidR="00E71158">
              <w:t xml:space="preserve"> reduction in benefits paid</w:t>
            </w:r>
            <w:r w:rsidR="00BF1368">
              <w:t xml:space="preserve"> would depend on the mix of those dropping PHI. </w:t>
            </w:r>
            <w:r w:rsidR="007B162C">
              <w:t xml:space="preserve">Insurers </w:t>
            </w:r>
            <w:r w:rsidR="0073625D">
              <w:t xml:space="preserve">would face reduced margins if those dropping their PHI were </w:t>
            </w:r>
            <w:r w:rsidR="0073625D" w:rsidDel="00864F12">
              <w:t xml:space="preserve">those </w:t>
            </w:r>
            <w:r w:rsidR="0073625D">
              <w:t xml:space="preserve">members who were less likely to make a claim than those that remain. </w:t>
            </w:r>
            <w:r w:rsidR="001D7D0A">
              <w:t>The larger number of younger people dropping cover in</w:t>
            </w:r>
            <w:r w:rsidR="00BF1368">
              <w:t xml:space="preserve"> Option 3 </w:t>
            </w:r>
            <w:r w:rsidR="001D7D0A">
              <w:t xml:space="preserve">could result in </w:t>
            </w:r>
            <w:r w:rsidR="0067021B">
              <w:t>a bigger drop in margins than Option 2, noting that younger people are typically healthier and less likely to make a claim</w:t>
            </w:r>
            <w:r w:rsidR="00E71158">
              <w:t>.</w:t>
            </w:r>
            <w:r w:rsidR="003C1A0A">
              <w:t xml:space="preserve"> The reduced</w:t>
            </w:r>
            <w:r w:rsidR="00742EE6">
              <w:t xml:space="preserve"> </w:t>
            </w:r>
            <w:r w:rsidR="003C1A0A">
              <w:t xml:space="preserve">younger people in Option 3 could also </w:t>
            </w:r>
            <w:r w:rsidR="001B0934">
              <w:t xml:space="preserve">result in some of </w:t>
            </w:r>
            <w:r w:rsidR="003C1A0A">
              <w:t>these people feeling locked out of PHI in future if the</w:t>
            </w:r>
            <w:r w:rsidR="00F87A1F">
              <w:t>y</w:t>
            </w:r>
            <w:r w:rsidR="003C1A0A">
              <w:t xml:space="preserve"> drop cover and would later face a Lifetime Health Cover loading if they wished to take out cover again. </w:t>
            </w:r>
          </w:p>
        </w:tc>
      </w:tr>
      <w:tr w:rsidR="0060239C" w:rsidRPr="000861B0" w14:paraId="731B411D" w14:textId="77777777" w:rsidTr="00787293">
        <w:trPr>
          <w:trHeight w:val="350"/>
        </w:trPr>
        <w:tc>
          <w:tcPr>
            <w:tcW w:w="1560" w:type="dxa"/>
            <w:vMerge w:val="restart"/>
          </w:tcPr>
          <w:p w14:paraId="7BC0ED07" w14:textId="66CF70EB" w:rsidR="0060239C" w:rsidRPr="000A68A1" w:rsidRDefault="0060239C" w:rsidP="0060239C">
            <w:pPr>
              <w:spacing w:after="0" w:line="240" w:lineRule="auto"/>
            </w:pPr>
            <w:r>
              <w:lastRenderedPageBreak/>
              <w:t>Private hospitals</w:t>
            </w:r>
          </w:p>
        </w:tc>
        <w:tc>
          <w:tcPr>
            <w:tcW w:w="2586" w:type="dxa"/>
          </w:tcPr>
          <w:p w14:paraId="3352284B" w14:textId="5597878A" w:rsidR="0060239C" w:rsidRPr="000861B0" w:rsidRDefault="00A26898" w:rsidP="0060239C">
            <w:pPr>
              <w:spacing w:after="0" w:line="240" w:lineRule="auto"/>
            </w:pPr>
            <w:r>
              <w:t>0</w:t>
            </w:r>
          </w:p>
        </w:tc>
        <w:tc>
          <w:tcPr>
            <w:tcW w:w="2587" w:type="dxa"/>
          </w:tcPr>
          <w:p w14:paraId="71E09DBC" w14:textId="3FBEAA50" w:rsidR="0060239C" w:rsidRPr="000861B0" w:rsidRDefault="00A7069E" w:rsidP="0060239C">
            <w:pPr>
              <w:spacing w:after="0" w:line="240" w:lineRule="auto"/>
            </w:pPr>
            <w:r>
              <w:t>-1</w:t>
            </w:r>
          </w:p>
        </w:tc>
        <w:tc>
          <w:tcPr>
            <w:tcW w:w="6167" w:type="dxa"/>
          </w:tcPr>
          <w:p w14:paraId="511022FE" w14:textId="047CA05F" w:rsidR="0060239C" w:rsidRPr="000861B0" w:rsidRDefault="00156652" w:rsidP="0060239C">
            <w:pPr>
              <w:spacing w:after="0" w:line="240" w:lineRule="auto"/>
            </w:pPr>
            <w:r>
              <w:t>-1</w:t>
            </w:r>
          </w:p>
        </w:tc>
      </w:tr>
      <w:tr w:rsidR="0060239C" w:rsidRPr="000861B0" w14:paraId="5EEC6FDF" w14:textId="77777777" w:rsidTr="00787293">
        <w:trPr>
          <w:trHeight w:val="350"/>
        </w:trPr>
        <w:tc>
          <w:tcPr>
            <w:tcW w:w="1560" w:type="dxa"/>
            <w:vMerge/>
          </w:tcPr>
          <w:p w14:paraId="779DE361" w14:textId="77777777" w:rsidR="0060239C" w:rsidRPr="000A68A1" w:rsidRDefault="0060239C" w:rsidP="0060239C">
            <w:pPr>
              <w:spacing w:after="0" w:line="240" w:lineRule="auto"/>
            </w:pPr>
          </w:p>
        </w:tc>
        <w:tc>
          <w:tcPr>
            <w:tcW w:w="11340" w:type="dxa"/>
            <w:gridSpan w:val="3"/>
          </w:tcPr>
          <w:p w14:paraId="32F9A709" w14:textId="17914FC4" w:rsidR="00156652" w:rsidRDefault="00156652" w:rsidP="00156652">
            <w:r>
              <w:t>Private hospitals will face no impact under Option 1.</w:t>
            </w:r>
          </w:p>
          <w:p w14:paraId="0CEF6DD0" w14:textId="31FD506F" w:rsidR="00A47974" w:rsidRDefault="00156652" w:rsidP="00823DC8">
            <w:r>
              <w:t>Private hospitals will face a slightly adverse impact under Option 2 and Option 3</w:t>
            </w:r>
            <w:r w:rsidR="00567615">
              <w:t>. Potential reduc</w:t>
            </w:r>
            <w:r w:rsidR="00305300">
              <w:t>ed growth</w:t>
            </w:r>
            <w:r w:rsidR="00567615">
              <w:t xml:space="preserve"> in the </w:t>
            </w:r>
            <w:r w:rsidR="00567615" w:rsidDel="00836BFB">
              <w:t>level</w:t>
            </w:r>
            <w:r w:rsidR="00567615">
              <w:t xml:space="preserve"> of privately insured patients is expected to result in a </w:t>
            </w:r>
            <w:r w:rsidR="007403E2">
              <w:t xml:space="preserve">marginal </w:t>
            </w:r>
            <w:r w:rsidR="00567615">
              <w:t>reduction</w:t>
            </w:r>
            <w:r w:rsidR="00C16775">
              <w:t xml:space="preserve"> in</w:t>
            </w:r>
            <w:r w:rsidR="00567615">
              <w:t xml:space="preserve"> demand for private hospital </w:t>
            </w:r>
            <w:r w:rsidR="00C16775">
              <w:t>services</w:t>
            </w:r>
            <w:r w:rsidR="00604B60">
              <w:t xml:space="preserve"> compared with</w:t>
            </w:r>
            <w:r w:rsidR="009E02D0">
              <w:t xml:space="preserve"> </w:t>
            </w:r>
            <w:r w:rsidR="00BC12CA">
              <w:t>Option 1</w:t>
            </w:r>
            <w:r w:rsidR="00DC78C5">
              <w:t xml:space="preserve">, while noting that the overall number of people covered by PHI </w:t>
            </w:r>
            <w:r w:rsidR="00C4522B">
              <w:t xml:space="preserve">is </w:t>
            </w:r>
            <w:r w:rsidR="00DC78C5">
              <w:t>expected to continue to grow</w:t>
            </w:r>
            <w:r w:rsidR="00C16775">
              <w:t xml:space="preserve">. </w:t>
            </w:r>
            <w:r w:rsidR="00A47974">
              <w:t>T</w:t>
            </w:r>
            <w:r w:rsidR="00FE178C" w:rsidRPr="00FE178C">
              <w:t xml:space="preserve">he impact on the </w:t>
            </w:r>
            <w:r w:rsidR="00FE178C">
              <w:t xml:space="preserve">private </w:t>
            </w:r>
            <w:r w:rsidR="00FE178C" w:rsidRPr="00FE178C">
              <w:t>hospital system will depend on the extent to which these patients would have made use of the private hospital services funded by their private health insurance.</w:t>
            </w:r>
            <w:r w:rsidR="00E257A8">
              <w:t xml:space="preserve"> </w:t>
            </w:r>
          </w:p>
          <w:p w14:paraId="2AA290AF" w14:textId="4BA34092" w:rsidR="00F964C5" w:rsidRDefault="00A47974" w:rsidP="007F37FF">
            <w:r>
              <w:t xml:space="preserve">For </w:t>
            </w:r>
            <w:r w:rsidR="00AD370E">
              <w:t>O</w:t>
            </w:r>
            <w:r>
              <w:t>ption 2, t</w:t>
            </w:r>
            <w:r w:rsidR="00F001AC" w:rsidRPr="00F001AC">
              <w:t>he estimated impact on total insured private hospital separations</w:t>
            </w:r>
            <w:r w:rsidR="00485A91">
              <w:t xml:space="preserve">, compared with </w:t>
            </w:r>
            <w:r w:rsidR="002723F2">
              <w:t>O</w:t>
            </w:r>
            <w:r w:rsidR="00485A91">
              <w:t>ption 1</w:t>
            </w:r>
            <w:r w:rsidR="007E2E5B">
              <w:t>,</w:t>
            </w:r>
            <w:r w:rsidR="00F001AC" w:rsidRPr="00F001AC">
              <w:t xml:space="preserve"> is projected to be a reduction ranging between 0.4</w:t>
            </w:r>
            <w:r w:rsidR="00F01E25">
              <w:t>%</w:t>
            </w:r>
            <w:r w:rsidR="00F001AC" w:rsidRPr="00F001AC">
              <w:t xml:space="preserve"> and 1.1</w:t>
            </w:r>
            <w:r w:rsidR="00F01E25">
              <w:t xml:space="preserve">% </w:t>
            </w:r>
            <w:r w:rsidR="00F001AC" w:rsidRPr="00F001AC">
              <w:t>in 2028</w:t>
            </w:r>
            <w:r w:rsidR="00F001AC">
              <w:noBreakHyphen/>
            </w:r>
            <w:r w:rsidR="00F001AC" w:rsidRPr="00F001AC">
              <w:t>29</w:t>
            </w:r>
            <w:r w:rsidR="00E73CDE">
              <w:t xml:space="preserve">, depending on </w:t>
            </w:r>
            <w:r w:rsidR="00F001AC" w:rsidRPr="00F001AC">
              <w:t>assumptions about the type of people who are likely to no longer take out PHI and the extent to which these people would have accessed a privately insured hospital treatment.</w:t>
            </w:r>
            <w:r w:rsidR="00823DC8">
              <w:t xml:space="preserve"> </w:t>
            </w:r>
            <w:r w:rsidR="00075468" w:rsidRPr="00075468">
              <w:t>It is possible that those who drop or reduce their PHI cover do so because their usage of PHI is below that of their peers, or because they are likely to seek treatment as a public patient regardless of whether they had PHI or not, and they don’t see value in maintaining their previous cover.</w:t>
            </w:r>
          </w:p>
          <w:p w14:paraId="1FF07409" w14:textId="25D04768" w:rsidR="00823DC8" w:rsidRDefault="00823DC8" w:rsidP="007F37FF">
            <w:proofErr w:type="gramStart"/>
            <w:r>
              <w:t xml:space="preserve">This </w:t>
            </w:r>
            <w:r w:rsidR="005821CD">
              <w:t>above estimates</w:t>
            </w:r>
            <w:proofErr w:type="gramEnd"/>
            <w:r>
              <w:t xml:space="preserve"> do not </w:t>
            </w:r>
            <w:proofErr w:type="gramStart"/>
            <w:r>
              <w:t>take into account</w:t>
            </w:r>
            <w:proofErr w:type="gramEnd"/>
            <w:r w:rsidR="007F37FF">
              <w:t xml:space="preserve"> </w:t>
            </w:r>
            <w:r>
              <w:t>privately insured people who decide to downgrade their cover.</w:t>
            </w:r>
            <w:r w:rsidR="002C573F">
              <w:t xml:space="preserve"> Some affected consumers may respond to the reduced Rebate rate by choosing to reduce their PHI </w:t>
            </w:r>
            <w:r w:rsidR="002C573F" w:rsidRPr="00F406C8">
              <w:t xml:space="preserve">cover in line with their financial circumstances and health needs. Cover reductions could include reducing their hospital product tier </w:t>
            </w:r>
            <w:r w:rsidR="002C573F">
              <w:t xml:space="preserve">(such as from </w:t>
            </w:r>
            <w:r w:rsidR="002C573F" w:rsidRPr="00F406C8">
              <w:t xml:space="preserve">Gold </w:t>
            </w:r>
            <w:r w:rsidR="002C573F">
              <w:t>to</w:t>
            </w:r>
            <w:r w:rsidR="002C573F" w:rsidRPr="00F406C8">
              <w:t xml:space="preserve"> Silver,</w:t>
            </w:r>
            <w:r w:rsidR="002C573F">
              <w:t xml:space="preserve"> or</w:t>
            </w:r>
            <w:r w:rsidR="002C573F" w:rsidRPr="00F406C8">
              <w:t xml:space="preserve"> Bronze </w:t>
            </w:r>
            <w:r w:rsidR="002C573F">
              <w:t>to</w:t>
            </w:r>
            <w:r w:rsidR="002C573F" w:rsidRPr="00F406C8">
              <w:t xml:space="preserve"> Basic</w:t>
            </w:r>
            <w:r w:rsidR="002C573F">
              <w:t xml:space="preserve">, and </w:t>
            </w:r>
            <w:r w:rsidR="002C573F" w:rsidDel="00D54CFB">
              <w:t xml:space="preserve">are </w:t>
            </w:r>
            <w:r w:rsidR="002C573F">
              <w:t xml:space="preserve">therefore </w:t>
            </w:r>
            <w:r w:rsidR="002C573F" w:rsidDel="000E2EEC">
              <w:t xml:space="preserve">not covered for as many </w:t>
            </w:r>
            <w:r w:rsidR="002C573F">
              <w:t>clinical categories)</w:t>
            </w:r>
            <w:r w:rsidR="002C573F" w:rsidRPr="00F406C8">
              <w:t xml:space="preserve"> or by increasing the excess </w:t>
            </w:r>
            <w:r w:rsidR="002C573F">
              <w:t xml:space="preserve">amount </w:t>
            </w:r>
            <w:r w:rsidR="002C573F" w:rsidRPr="00F406C8">
              <w:t>they would need to pay for hospital treatment.</w:t>
            </w:r>
            <w:r w:rsidR="008B6DA9">
              <w:t xml:space="preserve"> </w:t>
            </w:r>
            <w:r w:rsidR="008B6DA9" w:rsidRPr="008B6DA9">
              <w:t>It is possible that those who drop or reduce their PHI cover do so because their usage of PHI is below that of their peers, or because they are likely to seek treatment as a public patient regardless of whether they had PHI or not, and they do</w:t>
            </w:r>
            <w:r w:rsidR="00B37B5D">
              <w:t xml:space="preserve"> </w:t>
            </w:r>
            <w:r w:rsidR="008B6DA9" w:rsidRPr="008B6DA9">
              <w:t>n</w:t>
            </w:r>
            <w:r w:rsidR="00B37B5D">
              <w:t>o</w:t>
            </w:r>
            <w:r w:rsidR="008B6DA9" w:rsidRPr="008B6DA9">
              <w:t>t see value in maintaining their previous cover.</w:t>
            </w:r>
            <w:r w:rsidR="00D655FA">
              <w:t xml:space="preserve"> However, this reduction in coverage could </w:t>
            </w:r>
            <w:r w:rsidR="001957A3">
              <w:t xml:space="preserve">result in </w:t>
            </w:r>
            <w:r w:rsidR="001E5CB1">
              <w:t xml:space="preserve">a larger </w:t>
            </w:r>
            <w:r w:rsidR="00C012EC">
              <w:t xml:space="preserve">than estimated </w:t>
            </w:r>
            <w:r w:rsidR="001E5CB1" w:rsidDel="005B1C55">
              <w:t xml:space="preserve">reduction </w:t>
            </w:r>
            <w:r w:rsidR="001E5CB1">
              <w:t xml:space="preserve">in private hospital separations </w:t>
            </w:r>
            <w:r w:rsidR="00D655FA">
              <w:t>if consumers do not accurately assess their likely future health needs when choosing their level of cover.</w:t>
            </w:r>
          </w:p>
          <w:p w14:paraId="11D6B14E" w14:textId="52B00F66" w:rsidR="001E70C8" w:rsidRDefault="001E70C8" w:rsidP="00823DC8">
            <w:r>
              <w:lastRenderedPageBreak/>
              <w:t xml:space="preserve">While more people drop out of PHI in Option 3, this </w:t>
            </w:r>
            <w:r w:rsidR="00D31D0F">
              <w:t>includes some</w:t>
            </w:r>
            <w:r>
              <w:t xml:space="preserve"> younger people and </w:t>
            </w:r>
            <w:r w:rsidR="00CC7896">
              <w:t xml:space="preserve">marginally </w:t>
            </w:r>
            <w:r>
              <w:t xml:space="preserve">fewer older people </w:t>
            </w:r>
            <w:r w:rsidDel="009E0663">
              <w:t xml:space="preserve">dropping </w:t>
            </w:r>
            <w:r>
              <w:t xml:space="preserve">than </w:t>
            </w:r>
            <w:r w:rsidR="00447433">
              <w:t>in</w:t>
            </w:r>
            <w:r>
              <w:t xml:space="preserve"> Option 2</w:t>
            </w:r>
            <w:r w:rsidR="00D31D0F">
              <w:t xml:space="preserve"> due to the higher (25%) Rebate rate for the Base tier in Option 3</w:t>
            </w:r>
            <w:r>
              <w:t>. As younger people are on average likely to be healthier and less likely to make a claim than older people, and the difference is marginal in any case, there is not expected to be a significant difference in PHI claims between Options 2 and 3.</w:t>
            </w:r>
          </w:p>
          <w:p w14:paraId="7F28E52A" w14:textId="60254BB8" w:rsidR="00E600B6" w:rsidRPr="000861B0" w:rsidRDefault="00E600B6" w:rsidP="00C16775">
            <w:r>
              <w:t xml:space="preserve">A negative score is applied </w:t>
            </w:r>
            <w:r w:rsidR="00292CB5">
              <w:t xml:space="preserve">to Options 2 and 3 </w:t>
            </w:r>
            <w:r>
              <w:t xml:space="preserve">in this case, as </w:t>
            </w:r>
            <w:r w:rsidR="00240BAD">
              <w:t xml:space="preserve">reduced private hospital demand </w:t>
            </w:r>
            <w:proofErr w:type="gramStart"/>
            <w:r>
              <w:t>is considered to be</w:t>
            </w:r>
            <w:proofErr w:type="gramEnd"/>
            <w:r>
              <w:t xml:space="preserve"> a </w:t>
            </w:r>
            <w:r w:rsidR="00240BAD">
              <w:t xml:space="preserve">negative </w:t>
            </w:r>
            <w:r>
              <w:t xml:space="preserve">outcome </w:t>
            </w:r>
            <w:r w:rsidR="00DB2263">
              <w:t xml:space="preserve">from the perspective of </w:t>
            </w:r>
            <w:r>
              <w:t>private hospital</w:t>
            </w:r>
            <w:r w:rsidR="00DB2263">
              <w:t>s</w:t>
            </w:r>
            <w:r>
              <w:t>.</w:t>
            </w:r>
          </w:p>
        </w:tc>
      </w:tr>
      <w:tr w:rsidR="0060239C" w:rsidRPr="000861B0" w14:paraId="7B6AC555" w14:textId="77777777" w:rsidTr="00787293">
        <w:trPr>
          <w:trHeight w:val="350"/>
        </w:trPr>
        <w:tc>
          <w:tcPr>
            <w:tcW w:w="1560" w:type="dxa"/>
            <w:vMerge w:val="restart"/>
          </w:tcPr>
          <w:p w14:paraId="2F8CA258" w14:textId="35DAB3E2" w:rsidR="0060239C" w:rsidRPr="000A68A1" w:rsidRDefault="00AB6E8A" w:rsidP="00DD22B3">
            <w:pPr>
              <w:keepNext/>
              <w:spacing w:after="0" w:line="240" w:lineRule="auto"/>
            </w:pPr>
            <w:r>
              <w:lastRenderedPageBreak/>
              <w:t>Public hospitals</w:t>
            </w:r>
          </w:p>
        </w:tc>
        <w:tc>
          <w:tcPr>
            <w:tcW w:w="2586" w:type="dxa"/>
          </w:tcPr>
          <w:p w14:paraId="413CC5C3" w14:textId="15E7E551" w:rsidR="0060239C" w:rsidRPr="000861B0" w:rsidRDefault="00C16775" w:rsidP="00DD22B3">
            <w:pPr>
              <w:keepNext/>
              <w:spacing w:after="0" w:line="240" w:lineRule="auto"/>
            </w:pPr>
            <w:r>
              <w:t>0</w:t>
            </w:r>
          </w:p>
        </w:tc>
        <w:tc>
          <w:tcPr>
            <w:tcW w:w="2587" w:type="dxa"/>
          </w:tcPr>
          <w:p w14:paraId="537BA1BB" w14:textId="5FC2C51E" w:rsidR="0060239C" w:rsidRPr="000861B0" w:rsidRDefault="00C16775" w:rsidP="00DD22B3">
            <w:pPr>
              <w:keepNext/>
              <w:spacing w:after="0" w:line="240" w:lineRule="auto"/>
            </w:pPr>
            <w:r>
              <w:t>-1</w:t>
            </w:r>
          </w:p>
        </w:tc>
        <w:tc>
          <w:tcPr>
            <w:tcW w:w="6167" w:type="dxa"/>
          </w:tcPr>
          <w:p w14:paraId="48F85F3F" w14:textId="097BD794" w:rsidR="0060239C" w:rsidRPr="000861B0" w:rsidRDefault="00C16775" w:rsidP="00DD22B3">
            <w:pPr>
              <w:keepNext/>
              <w:spacing w:after="0" w:line="240" w:lineRule="auto"/>
            </w:pPr>
            <w:r>
              <w:t>-1</w:t>
            </w:r>
          </w:p>
        </w:tc>
      </w:tr>
      <w:tr w:rsidR="0060239C" w:rsidRPr="000861B0" w14:paraId="06ED3945" w14:textId="77777777" w:rsidTr="00787293">
        <w:trPr>
          <w:trHeight w:val="350"/>
        </w:trPr>
        <w:tc>
          <w:tcPr>
            <w:tcW w:w="1560" w:type="dxa"/>
            <w:vMerge/>
          </w:tcPr>
          <w:p w14:paraId="4A2138BA" w14:textId="77777777" w:rsidR="0060239C" w:rsidRPr="002550EA" w:rsidRDefault="0060239C" w:rsidP="0060239C">
            <w:pPr>
              <w:spacing w:after="0" w:line="240" w:lineRule="auto"/>
              <w:rPr>
                <w:b/>
                <w:bCs/>
              </w:rPr>
            </w:pPr>
          </w:p>
        </w:tc>
        <w:tc>
          <w:tcPr>
            <w:tcW w:w="11340" w:type="dxa"/>
            <w:gridSpan w:val="3"/>
          </w:tcPr>
          <w:p w14:paraId="23336762" w14:textId="4E2988C1" w:rsidR="00C16775" w:rsidRDefault="00C16775" w:rsidP="00C16775">
            <w:r>
              <w:t>P</w:t>
            </w:r>
            <w:r w:rsidR="00D83A1D">
              <w:t>ublic</w:t>
            </w:r>
            <w:r>
              <w:t xml:space="preserve"> hospitals will face no impact under Option 1.</w:t>
            </w:r>
          </w:p>
          <w:p w14:paraId="76895797" w14:textId="1E426A0D" w:rsidR="00E600B6" w:rsidRDefault="00D83A1D" w:rsidP="00E600B6">
            <w:r>
              <w:t xml:space="preserve">Public </w:t>
            </w:r>
            <w:r w:rsidR="00C16775">
              <w:t>hospitals</w:t>
            </w:r>
            <w:r>
              <w:t xml:space="preserve"> </w:t>
            </w:r>
            <w:r w:rsidR="00FE1F5A">
              <w:t xml:space="preserve">may </w:t>
            </w:r>
            <w:r>
              <w:t xml:space="preserve">experience </w:t>
            </w:r>
            <w:r w:rsidR="00FE1F5A">
              <w:t xml:space="preserve">marginal </w:t>
            </w:r>
            <w:r>
              <w:t>adverse impacts</w:t>
            </w:r>
            <w:r w:rsidR="00C16775">
              <w:t xml:space="preserve"> under Option 2 and Option 3</w:t>
            </w:r>
            <w:r>
              <w:t xml:space="preserve">. </w:t>
            </w:r>
            <w:r w:rsidR="00026441">
              <w:t>S</w:t>
            </w:r>
            <w:r w:rsidR="00A604EF">
              <w:t>l</w:t>
            </w:r>
            <w:r w:rsidR="00026441">
              <w:t>ower</w:t>
            </w:r>
            <w:r w:rsidR="00B428A6">
              <w:t xml:space="preserve"> growth in people with PHI </w:t>
            </w:r>
            <w:r w:rsidR="00C16775">
              <w:t xml:space="preserve">is expected to result in </w:t>
            </w:r>
            <w:r w:rsidR="00AE32E0">
              <w:t>marginal</w:t>
            </w:r>
            <w:r w:rsidR="00B428A6">
              <w:t>ly</w:t>
            </w:r>
            <w:r w:rsidR="00AE32E0">
              <w:t xml:space="preserve"> </w:t>
            </w:r>
            <w:r w:rsidR="00B428A6">
              <w:t xml:space="preserve">higher </w:t>
            </w:r>
            <w:r w:rsidR="00C16775">
              <w:t xml:space="preserve">demand for </w:t>
            </w:r>
            <w:r w:rsidR="00FC1302">
              <w:t>public</w:t>
            </w:r>
            <w:r w:rsidR="00C16775">
              <w:t xml:space="preserve"> hospital services</w:t>
            </w:r>
            <w:r w:rsidR="00B428A6">
              <w:t xml:space="preserve"> than would occur under current settings</w:t>
            </w:r>
            <w:r w:rsidR="00C16775">
              <w:t xml:space="preserve">. </w:t>
            </w:r>
          </w:p>
          <w:p w14:paraId="09FA06B7" w14:textId="341E147E" w:rsidR="00C60140" w:rsidRDefault="004C57CD">
            <w:pPr>
              <w:pStyle w:val="ListParagraph"/>
              <w:numPr>
                <w:ilvl w:val="0"/>
                <w:numId w:val="47"/>
              </w:numPr>
            </w:pPr>
            <w:r>
              <w:t>For Option 2, i</w:t>
            </w:r>
            <w:r w:rsidR="00542C7B">
              <w:t xml:space="preserve">f the </w:t>
            </w:r>
            <w:r w:rsidR="008C796D">
              <w:t xml:space="preserve">decrease in private hospital separations </w:t>
            </w:r>
            <w:r w:rsidR="00A36F36">
              <w:t xml:space="preserve">estimated in the row above all </w:t>
            </w:r>
            <w:r w:rsidR="00F4272C">
              <w:t xml:space="preserve">transferred to the public hospital system, </w:t>
            </w:r>
            <w:r w:rsidR="00D03B46">
              <w:t xml:space="preserve">then </w:t>
            </w:r>
            <w:r w:rsidR="000D785E">
              <w:t xml:space="preserve">these additional public hospital separations </w:t>
            </w:r>
            <w:r w:rsidR="008C16A3">
              <w:t>would represent less than 1% of projected public hospital admissions in 2028-29</w:t>
            </w:r>
            <w:r w:rsidR="008C16A3">
              <w:rPr>
                <w:rStyle w:val="FootnoteReference"/>
              </w:rPr>
              <w:footnoteReference w:id="11"/>
            </w:r>
            <w:r>
              <w:t>.</w:t>
            </w:r>
          </w:p>
          <w:p w14:paraId="6C6AB26B" w14:textId="77777777" w:rsidR="009953A3" w:rsidRDefault="007F37FF">
            <w:pPr>
              <w:pStyle w:val="ListParagraph"/>
              <w:numPr>
                <w:ilvl w:val="0"/>
                <w:numId w:val="47"/>
              </w:numPr>
            </w:pPr>
            <w:r>
              <w:t xml:space="preserve">This does not </w:t>
            </w:r>
            <w:proofErr w:type="gramStart"/>
            <w:r>
              <w:t>take into account</w:t>
            </w:r>
            <w:proofErr w:type="gramEnd"/>
            <w:r w:rsidR="009953A3">
              <w:t>:</w:t>
            </w:r>
            <w:r w:rsidR="00D824B1">
              <w:t xml:space="preserve"> </w:t>
            </w:r>
          </w:p>
          <w:p w14:paraId="3BE66377" w14:textId="4F94E6DC" w:rsidR="00D824B1" w:rsidRDefault="007F37FF" w:rsidP="009953A3">
            <w:pPr>
              <w:pStyle w:val="ListParagraph"/>
              <w:numPr>
                <w:ilvl w:val="1"/>
                <w:numId w:val="47"/>
              </w:numPr>
            </w:pPr>
            <w:r w:rsidRPr="007F37FF">
              <w:t>the extent to which people who drop their PHI choose to continue to access private hospital services without insurance (i.e. self-fund) or seek alternative treatments outside of the hospital system (for example access intravitr</w:t>
            </w:r>
            <w:r w:rsidR="00FA6D03">
              <w:t>e</w:t>
            </w:r>
            <w:r w:rsidRPr="007F37FF">
              <w:t xml:space="preserve">al injections in </w:t>
            </w:r>
            <w:proofErr w:type="gramStart"/>
            <w:r w:rsidRPr="007F37FF">
              <w:t>doctors</w:t>
            </w:r>
            <w:proofErr w:type="gramEnd"/>
            <w:r w:rsidRPr="007F37FF">
              <w:t xml:space="preserve"> rooms or manage a joint complaint through physiotherapy etc, as opposed to surgery)</w:t>
            </w:r>
            <w:r w:rsidR="00D824B1">
              <w:t>.</w:t>
            </w:r>
          </w:p>
          <w:p w14:paraId="3E6615BA" w14:textId="78E8F628" w:rsidR="00094BD8" w:rsidRDefault="007D293F" w:rsidP="00B37B5D">
            <w:pPr>
              <w:pStyle w:val="ListParagraph"/>
              <w:numPr>
                <w:ilvl w:val="1"/>
                <w:numId w:val="47"/>
              </w:numPr>
            </w:pPr>
            <w:r w:rsidRPr="007D293F">
              <w:t>privately insured people who decide to downgrade their cover</w:t>
            </w:r>
            <w:r w:rsidR="009953A3">
              <w:t xml:space="preserve"> (as discussed further above)</w:t>
            </w:r>
            <w:r w:rsidR="00C62E38">
              <w:t>.</w:t>
            </w:r>
            <w:r w:rsidR="00554538" w:rsidDel="00536874">
              <w:t xml:space="preserve"> </w:t>
            </w:r>
            <w:r w:rsidR="00554538">
              <w:t>T</w:t>
            </w:r>
            <w:r w:rsidR="007208F6">
              <w:t xml:space="preserve">his reduction in coverage could </w:t>
            </w:r>
            <w:r w:rsidR="00384859">
              <w:t xml:space="preserve">place </w:t>
            </w:r>
            <w:r w:rsidR="007208F6">
              <w:t xml:space="preserve">additional </w:t>
            </w:r>
            <w:r w:rsidR="00384859">
              <w:t xml:space="preserve">pressure on </w:t>
            </w:r>
            <w:r w:rsidR="007208F6">
              <w:t>public hospital</w:t>
            </w:r>
            <w:r w:rsidR="00384859">
              <w:t>s</w:t>
            </w:r>
            <w:r w:rsidR="00E06721">
              <w:t xml:space="preserve"> </w:t>
            </w:r>
            <w:proofErr w:type="gramStart"/>
            <w:r w:rsidR="00A34CC3">
              <w:t>as a result of</w:t>
            </w:r>
            <w:proofErr w:type="gramEnd"/>
            <w:r w:rsidR="00A34CC3">
              <w:t xml:space="preserve"> the change </w:t>
            </w:r>
            <w:r w:rsidR="00A34CC3">
              <w:lastRenderedPageBreak/>
              <w:t>to the Rebate</w:t>
            </w:r>
            <w:r w:rsidR="00384859">
              <w:t xml:space="preserve"> if consumers do not </w:t>
            </w:r>
            <w:r w:rsidR="0085586B">
              <w:t>accurately</w:t>
            </w:r>
            <w:r w:rsidR="00D06973">
              <w:t xml:space="preserve"> assess their likely future health needs when choosing their level of cover.</w:t>
            </w:r>
            <w:r w:rsidR="00BA42EE">
              <w:t xml:space="preserve"> </w:t>
            </w:r>
            <w:r w:rsidR="00094BD8">
              <w:t>It is possible that those who drop or reduce their PHI cover do so because their usage of PHI is below that of their peers, or because they are likely to seek treatment as a public patient regardless of whether they had PHI or not, and they do</w:t>
            </w:r>
            <w:r w:rsidR="00B37B5D">
              <w:t xml:space="preserve"> </w:t>
            </w:r>
            <w:r w:rsidR="00094BD8">
              <w:t>n</w:t>
            </w:r>
            <w:r w:rsidR="00B37B5D">
              <w:t>o</w:t>
            </w:r>
            <w:r w:rsidR="00094BD8">
              <w:t xml:space="preserve">t see value in maintaining </w:t>
            </w:r>
            <w:r w:rsidR="00411D6A">
              <w:t xml:space="preserve">their previous </w:t>
            </w:r>
            <w:r w:rsidR="00094BD8">
              <w:t xml:space="preserve">cover. If so, </w:t>
            </w:r>
            <w:r w:rsidR="00051E35">
              <w:t xml:space="preserve">this would </w:t>
            </w:r>
            <w:r w:rsidR="00146F75">
              <w:t>moderate</w:t>
            </w:r>
            <w:r w:rsidR="00EE6013">
              <w:t xml:space="preserve"> any </w:t>
            </w:r>
            <w:r w:rsidR="00146F75">
              <w:t xml:space="preserve">resulting </w:t>
            </w:r>
            <w:r w:rsidR="00EE6013">
              <w:t>increase in public hospital admissions.</w:t>
            </w:r>
          </w:p>
          <w:p w14:paraId="6319F411" w14:textId="56F70AC2" w:rsidR="00776966" w:rsidRDefault="001A5295" w:rsidP="00061104">
            <w:pPr>
              <w:pStyle w:val="ListParagraph"/>
              <w:numPr>
                <w:ilvl w:val="0"/>
                <w:numId w:val="47"/>
              </w:numPr>
            </w:pPr>
            <w:r>
              <w:t xml:space="preserve">Based on the services that are more or less likely to be funded by </w:t>
            </w:r>
            <w:r w:rsidR="0071589E">
              <w:t>PHI</w:t>
            </w:r>
            <w:r>
              <w:t xml:space="preserve"> versus publicly funded, t</w:t>
            </w:r>
            <w:r w:rsidR="00776966">
              <w:t xml:space="preserve">hese additional admissions would </w:t>
            </w:r>
            <w:r>
              <w:t xml:space="preserve">be more </w:t>
            </w:r>
            <w:r w:rsidR="00F06A8F">
              <w:t xml:space="preserve">likely </w:t>
            </w:r>
            <w:r>
              <w:t xml:space="preserve">to </w:t>
            </w:r>
            <w:r w:rsidR="00F06A8F">
              <w:t xml:space="preserve">be </w:t>
            </w:r>
            <w:r w:rsidR="00703FED">
              <w:t xml:space="preserve">elective </w:t>
            </w:r>
            <w:r w:rsidR="00377431">
              <w:t>rather</w:t>
            </w:r>
            <w:r w:rsidR="00A272C9">
              <w:t xml:space="preserve"> than </w:t>
            </w:r>
            <w:r>
              <w:t xml:space="preserve">emergency or </w:t>
            </w:r>
            <w:r w:rsidR="00F77369">
              <w:t xml:space="preserve">nursing home type stay/maintenance </w:t>
            </w:r>
            <w:r>
              <w:t xml:space="preserve">admissions. </w:t>
            </w:r>
            <w:r w:rsidR="007504F9" w:rsidRPr="007504F9">
              <w:t>Most PHI funded separations in 2023-24 were elective (75%) with the remaining separations being emergency (12%) and ‘not assigned’ (13%)</w:t>
            </w:r>
            <w:r w:rsidR="00633532">
              <w:rPr>
                <w:rStyle w:val="FootnoteReference"/>
              </w:rPr>
              <w:footnoteReference w:id="12"/>
            </w:r>
            <w:r w:rsidR="007504F9" w:rsidRPr="007504F9">
              <w:t xml:space="preserve">. </w:t>
            </w:r>
          </w:p>
          <w:p w14:paraId="040F364F" w14:textId="2B382755" w:rsidR="005C6B89" w:rsidRPr="005873DA" w:rsidRDefault="00431B77" w:rsidP="00061104">
            <w:pPr>
              <w:pStyle w:val="ListParagraph"/>
              <w:numPr>
                <w:ilvl w:val="0"/>
                <w:numId w:val="47"/>
              </w:numPr>
            </w:pPr>
            <w:r>
              <w:t xml:space="preserve">As outlined in section </w:t>
            </w:r>
            <w:proofErr w:type="gramStart"/>
            <w:r>
              <w:t xml:space="preserve">1, </w:t>
            </w:r>
            <w:r w:rsidR="005861C3">
              <w:t xml:space="preserve"> </w:t>
            </w:r>
            <w:r w:rsidR="002B1826">
              <w:t>additional</w:t>
            </w:r>
            <w:proofErr w:type="gramEnd"/>
            <w:r w:rsidR="002B1826">
              <w:t xml:space="preserve"> Government funding for </w:t>
            </w:r>
            <w:r w:rsidR="00BE65B6" w:rsidRPr="00BE65B6">
              <w:t>important aged care initiatives</w:t>
            </w:r>
            <w:r w:rsidR="00287E90">
              <w:t>,</w:t>
            </w:r>
            <w:r w:rsidR="00BE65B6" w:rsidRPr="00BE65B6">
              <w:t xml:space="preserve"> </w:t>
            </w:r>
            <w:r>
              <w:t xml:space="preserve">which may </w:t>
            </w:r>
            <w:r w:rsidR="00835749">
              <w:t xml:space="preserve">help to </w:t>
            </w:r>
            <w:r w:rsidR="001C73EA">
              <w:t xml:space="preserve">address delayed discharge and relieve </w:t>
            </w:r>
            <w:r w:rsidR="005873DA" w:rsidRPr="005873DA">
              <w:t>pressure on public hospital</w:t>
            </w:r>
            <w:r w:rsidR="000E60DC">
              <w:t>s</w:t>
            </w:r>
            <w:r w:rsidR="00287E90">
              <w:t>,</w:t>
            </w:r>
            <w:r w:rsidR="00504C85">
              <w:t xml:space="preserve"> would not have been possible without the savings realised </w:t>
            </w:r>
            <w:r w:rsidR="00B63A5A">
              <w:t>through this measure</w:t>
            </w:r>
            <w:r w:rsidR="001C73EA">
              <w:t>.</w:t>
            </w:r>
          </w:p>
          <w:p w14:paraId="4F28661B" w14:textId="714CD313" w:rsidR="00DC78C5" w:rsidRDefault="00AE32E0" w:rsidP="00E600B6">
            <w:r>
              <w:t>The demographic differences between the changes in the insured population between Option</w:t>
            </w:r>
            <w:r w:rsidR="002C67E1">
              <w:t>s</w:t>
            </w:r>
            <w:r>
              <w:t xml:space="preserve"> 2 and 3 are sufficiently marginal (</w:t>
            </w:r>
            <w:proofErr w:type="gramStart"/>
            <w:r>
              <w:t>similar to</w:t>
            </w:r>
            <w:proofErr w:type="gramEnd"/>
            <w:r>
              <w:t xml:space="preserve"> private hospitals above), hence the impact has been assessed as the same for both options.</w:t>
            </w:r>
          </w:p>
          <w:p w14:paraId="778A124E" w14:textId="636FB2BA" w:rsidR="00E600B6" w:rsidRPr="000861B0" w:rsidRDefault="00E600B6" w:rsidP="00E600B6">
            <w:r>
              <w:t xml:space="preserve">A negative score is </w:t>
            </w:r>
            <w:r w:rsidR="00240BAD">
              <w:t xml:space="preserve">applied in this case, </w:t>
            </w:r>
            <w:r w:rsidR="00DB2263">
              <w:t xml:space="preserve">as increased public hospital demand </w:t>
            </w:r>
            <w:proofErr w:type="gramStart"/>
            <w:r w:rsidR="00DB2263">
              <w:t>is considered to be</w:t>
            </w:r>
            <w:proofErr w:type="gramEnd"/>
            <w:r w:rsidR="00DB2263">
              <w:t xml:space="preserve"> a negative outcome from the perspective of public hospitals.</w:t>
            </w:r>
          </w:p>
        </w:tc>
      </w:tr>
      <w:tr w:rsidR="00EA3D75" w:rsidRPr="000861B0" w14:paraId="555F4530" w14:textId="77777777" w:rsidTr="00787293">
        <w:trPr>
          <w:trHeight w:val="350"/>
        </w:trPr>
        <w:tc>
          <w:tcPr>
            <w:tcW w:w="1560" w:type="dxa"/>
            <w:vMerge w:val="restart"/>
          </w:tcPr>
          <w:p w14:paraId="78D47FDD" w14:textId="59C7D07B" w:rsidR="00EA3D75" w:rsidRPr="002550EA" w:rsidRDefault="00EA3D75" w:rsidP="0060239C">
            <w:pPr>
              <w:spacing w:after="0" w:line="240" w:lineRule="auto"/>
              <w:rPr>
                <w:b/>
                <w:bCs/>
              </w:rPr>
            </w:pPr>
            <w:r>
              <w:lastRenderedPageBreak/>
              <w:t>Medical professionals</w:t>
            </w:r>
          </w:p>
        </w:tc>
        <w:tc>
          <w:tcPr>
            <w:tcW w:w="2586" w:type="dxa"/>
          </w:tcPr>
          <w:p w14:paraId="005F119E" w14:textId="2F26AA66" w:rsidR="00EA3D75" w:rsidRDefault="00DB2263" w:rsidP="0060239C">
            <w:pPr>
              <w:spacing w:after="0" w:line="240" w:lineRule="auto"/>
            </w:pPr>
            <w:r>
              <w:t>0</w:t>
            </w:r>
          </w:p>
        </w:tc>
        <w:tc>
          <w:tcPr>
            <w:tcW w:w="2587" w:type="dxa"/>
          </w:tcPr>
          <w:p w14:paraId="5A337DB0" w14:textId="5DE268D8" w:rsidR="00EA3D75" w:rsidRDefault="00DB2263" w:rsidP="0060239C">
            <w:pPr>
              <w:spacing w:after="0" w:line="240" w:lineRule="auto"/>
            </w:pPr>
            <w:r>
              <w:t>0</w:t>
            </w:r>
          </w:p>
        </w:tc>
        <w:tc>
          <w:tcPr>
            <w:tcW w:w="6167" w:type="dxa"/>
          </w:tcPr>
          <w:p w14:paraId="0B3A446A" w14:textId="26C195E6" w:rsidR="00EA3D75" w:rsidRDefault="00DB2263" w:rsidP="0060239C">
            <w:pPr>
              <w:spacing w:after="0" w:line="240" w:lineRule="auto"/>
            </w:pPr>
            <w:r>
              <w:t>0</w:t>
            </w:r>
          </w:p>
        </w:tc>
      </w:tr>
      <w:tr w:rsidR="00EA3D75" w:rsidRPr="000861B0" w14:paraId="2EFB134F" w14:textId="77777777" w:rsidTr="00787293">
        <w:trPr>
          <w:trHeight w:val="350"/>
        </w:trPr>
        <w:tc>
          <w:tcPr>
            <w:tcW w:w="1560" w:type="dxa"/>
            <w:vMerge/>
          </w:tcPr>
          <w:p w14:paraId="49DB0461" w14:textId="77777777" w:rsidR="00EA3D75" w:rsidRPr="002550EA" w:rsidRDefault="00EA3D75" w:rsidP="0060239C">
            <w:pPr>
              <w:spacing w:after="0" w:line="240" w:lineRule="auto"/>
              <w:rPr>
                <w:b/>
                <w:bCs/>
              </w:rPr>
            </w:pPr>
          </w:p>
        </w:tc>
        <w:tc>
          <w:tcPr>
            <w:tcW w:w="11340" w:type="dxa"/>
            <w:gridSpan w:val="3"/>
          </w:tcPr>
          <w:p w14:paraId="77F88D86" w14:textId="5A7E97AC" w:rsidR="00830EF2" w:rsidRDefault="003B7892" w:rsidP="00DD440D">
            <w:r>
              <w:t>Medical professionals will face no</w:t>
            </w:r>
            <w:r w:rsidR="00E72044">
              <w:t xml:space="preserve"> significant</w:t>
            </w:r>
            <w:r>
              <w:t xml:space="preserve"> impact under </w:t>
            </w:r>
            <w:r w:rsidR="00830EF2">
              <w:t>any option.</w:t>
            </w:r>
          </w:p>
          <w:p w14:paraId="7243D2CE" w14:textId="4F6906D8" w:rsidR="00EA3D75" w:rsidRDefault="0030050A" w:rsidP="00DD440D">
            <w:r>
              <w:t>M</w:t>
            </w:r>
            <w:r w:rsidR="00996BC4">
              <w:t>edical professionals may practice in the public, private, or both systems</w:t>
            </w:r>
            <w:r>
              <w:t xml:space="preserve">. </w:t>
            </w:r>
            <w:r w:rsidR="00B74497">
              <w:t>W</w:t>
            </w:r>
            <w:r>
              <w:t>hile some medical professionals may see a slight decrease in demand for services in a particular system</w:t>
            </w:r>
            <w:r w:rsidR="0080606A">
              <w:t xml:space="preserve"> under Options 2 and 3</w:t>
            </w:r>
            <w:r>
              <w:t xml:space="preserve">, there will be an increase </w:t>
            </w:r>
            <w:r>
              <w:lastRenderedPageBreak/>
              <w:t xml:space="preserve">in demand in the other system. </w:t>
            </w:r>
            <w:r w:rsidR="00E72044">
              <w:t>While the</w:t>
            </w:r>
            <w:r w:rsidR="00DB6983">
              <w:t>re may be a difference in income earned depending on the relativ</w:t>
            </w:r>
            <w:r w:rsidR="00C63F11">
              <w:t>ity</w:t>
            </w:r>
            <w:r w:rsidR="00DB6983">
              <w:t xml:space="preserve"> of working in the private and public sectors, given the marginal impact on participation this impact is expected to not be significant. </w:t>
            </w:r>
            <w:r>
              <w:t>Therefore, the net impact is neutral.</w:t>
            </w:r>
          </w:p>
        </w:tc>
      </w:tr>
      <w:tr w:rsidR="0060239C" w:rsidRPr="000861B0" w14:paraId="103E9BF7" w14:textId="77777777" w:rsidTr="00787293">
        <w:trPr>
          <w:trHeight w:val="350"/>
        </w:trPr>
        <w:tc>
          <w:tcPr>
            <w:tcW w:w="1560" w:type="dxa"/>
          </w:tcPr>
          <w:p w14:paraId="55BAB427" w14:textId="77777777" w:rsidR="0060239C" w:rsidRPr="002550EA" w:rsidRDefault="0060239C" w:rsidP="0060239C">
            <w:pPr>
              <w:spacing w:after="0" w:line="240" w:lineRule="auto"/>
              <w:rPr>
                <w:b/>
                <w:bCs/>
              </w:rPr>
            </w:pPr>
            <w:r>
              <w:rPr>
                <w:b/>
                <w:bCs/>
              </w:rPr>
              <w:lastRenderedPageBreak/>
              <w:t>Total score</w:t>
            </w:r>
          </w:p>
        </w:tc>
        <w:tc>
          <w:tcPr>
            <w:tcW w:w="2586" w:type="dxa"/>
          </w:tcPr>
          <w:p w14:paraId="769E1CD3" w14:textId="5DA0D3D1" w:rsidR="0060239C" w:rsidRPr="00830EF2" w:rsidRDefault="00830EF2" w:rsidP="0060239C">
            <w:pPr>
              <w:spacing w:after="0" w:line="240" w:lineRule="auto"/>
              <w:rPr>
                <w:b/>
                <w:bCs/>
              </w:rPr>
            </w:pPr>
            <w:r w:rsidRPr="00830EF2">
              <w:rPr>
                <w:b/>
                <w:bCs/>
              </w:rPr>
              <w:t>0</w:t>
            </w:r>
          </w:p>
        </w:tc>
        <w:tc>
          <w:tcPr>
            <w:tcW w:w="2587" w:type="dxa"/>
          </w:tcPr>
          <w:p w14:paraId="2AC4B0A2" w14:textId="7A9DE5E2" w:rsidR="0060239C" w:rsidRPr="00830EF2" w:rsidRDefault="00830EF2" w:rsidP="0060239C">
            <w:pPr>
              <w:spacing w:after="0" w:line="240" w:lineRule="auto"/>
              <w:rPr>
                <w:b/>
                <w:bCs/>
              </w:rPr>
            </w:pPr>
            <w:r>
              <w:rPr>
                <w:b/>
                <w:bCs/>
              </w:rPr>
              <w:t>-</w:t>
            </w:r>
            <w:r w:rsidR="00C732C3">
              <w:rPr>
                <w:b/>
                <w:bCs/>
              </w:rPr>
              <w:t>4</w:t>
            </w:r>
          </w:p>
        </w:tc>
        <w:tc>
          <w:tcPr>
            <w:tcW w:w="6167" w:type="dxa"/>
          </w:tcPr>
          <w:p w14:paraId="56B8F291" w14:textId="2988EBA2" w:rsidR="0060239C" w:rsidRPr="00830EF2" w:rsidRDefault="00830EF2" w:rsidP="0060239C">
            <w:pPr>
              <w:spacing w:after="0" w:line="240" w:lineRule="auto"/>
              <w:rPr>
                <w:b/>
                <w:bCs/>
              </w:rPr>
            </w:pPr>
            <w:r>
              <w:rPr>
                <w:b/>
                <w:bCs/>
              </w:rPr>
              <w:t>-</w:t>
            </w:r>
            <w:r w:rsidR="00755353">
              <w:rPr>
                <w:b/>
                <w:bCs/>
              </w:rPr>
              <w:t>7</w:t>
            </w:r>
          </w:p>
        </w:tc>
      </w:tr>
    </w:tbl>
    <w:p w14:paraId="3B6BF724" w14:textId="55627E39" w:rsidR="00787293" w:rsidRDefault="00787293" w:rsidP="008833BD"/>
    <w:p w14:paraId="3E9134BD" w14:textId="77777777" w:rsidR="00787293" w:rsidRDefault="00787293">
      <w:pPr>
        <w:spacing w:after="200" w:line="288" w:lineRule="auto"/>
      </w:pPr>
      <w:r>
        <w:br w:type="page"/>
      </w:r>
    </w:p>
    <w:p w14:paraId="26768A63" w14:textId="77777777" w:rsidR="00787293" w:rsidRDefault="00787293" w:rsidP="008833BD">
      <w:pPr>
        <w:sectPr w:rsidR="00787293" w:rsidSect="009678FA">
          <w:pgSz w:w="16838" w:h="11906" w:orient="landscape"/>
          <w:pgMar w:top="1134" w:right="1701" w:bottom="1134" w:left="1843" w:header="992" w:footer="709" w:gutter="0"/>
          <w:cols w:space="708"/>
          <w:titlePg/>
          <w:docGrid w:linePitch="360"/>
        </w:sectPr>
      </w:pPr>
    </w:p>
    <w:p w14:paraId="119EB258" w14:textId="647BBD34" w:rsidR="008833BD" w:rsidRPr="00A417FE" w:rsidRDefault="00031856" w:rsidP="00A417FE">
      <w:pPr>
        <w:pStyle w:val="Heading3"/>
      </w:pPr>
      <w:r w:rsidRPr="00A417FE">
        <w:lastRenderedPageBreak/>
        <w:t xml:space="preserve">Analysis </w:t>
      </w:r>
      <w:r w:rsidR="009256EB" w:rsidRPr="00A417FE">
        <w:t>against</w:t>
      </w:r>
      <w:r w:rsidRPr="00A417FE">
        <w:t xml:space="preserve"> </w:t>
      </w:r>
      <w:r w:rsidR="009256EB" w:rsidRPr="00A417FE">
        <w:t>O</w:t>
      </w:r>
      <w:r w:rsidRPr="00A417FE">
        <w:t>bjective</w:t>
      </w:r>
      <w:r w:rsidR="009256EB" w:rsidRPr="00A417FE">
        <w:t xml:space="preserve"> 1</w:t>
      </w:r>
      <w:r w:rsidR="00A80D64" w:rsidRPr="00A417FE">
        <w:t>:</w:t>
      </w:r>
      <w:r w:rsidRPr="00A417FE">
        <w:t xml:space="preserve"> continue to provide an </w:t>
      </w:r>
      <w:r w:rsidR="00B01DBC" w:rsidRPr="00A417FE">
        <w:t>incentive for people to participate in PHI through a simplified Rebate</w:t>
      </w:r>
    </w:p>
    <w:p w14:paraId="293FD82B" w14:textId="5E0811BF" w:rsidR="00CD0742" w:rsidRPr="00CD0742" w:rsidRDefault="00CD0742" w:rsidP="001218EF">
      <w:pPr>
        <w:spacing w:before="240"/>
      </w:pPr>
      <w:r>
        <w:t>This objective has been scored based on the relative change in participation compared to the Status Quo</w:t>
      </w:r>
      <w:r w:rsidR="008764AC">
        <w:t xml:space="preserve"> (Option 1)</w:t>
      </w:r>
      <w:r w:rsidR="0094753B">
        <w:t>,</w:t>
      </w:r>
      <w:r w:rsidR="17689C93">
        <w:t xml:space="preserve"> and whether the </w:t>
      </w:r>
      <w:r w:rsidR="005B1828">
        <w:t>Rebate</w:t>
      </w:r>
      <w:r w:rsidR="17689C93">
        <w:t xml:space="preserve"> is simplified</w:t>
      </w:r>
      <w:r>
        <w:t>.</w:t>
      </w:r>
    </w:p>
    <w:p w14:paraId="03F83B00" w14:textId="593822B3" w:rsidR="00CF0654" w:rsidRPr="00CD0742" w:rsidRDefault="39AA692C" w:rsidP="001218EF">
      <w:pPr>
        <w:spacing w:before="240"/>
      </w:pPr>
      <w:r>
        <w:t xml:space="preserve">Option 1 – no change in participation, but as the </w:t>
      </w:r>
      <w:r w:rsidR="005B1828">
        <w:t>Rebate</w:t>
      </w:r>
      <w:r>
        <w:t xml:space="preserve"> structure is unchanged, it does not achieve simplification of the </w:t>
      </w:r>
      <w:r w:rsidR="005B1828">
        <w:t>Rebate</w:t>
      </w:r>
      <w:r>
        <w:t>.</w:t>
      </w:r>
    </w:p>
    <w:p w14:paraId="4727DD36" w14:textId="33ACAB22" w:rsidR="00031856" w:rsidRDefault="00CD0742" w:rsidP="00DE6457">
      <w:r>
        <w:t xml:space="preserve">Option 2 and Option 3 </w:t>
      </w:r>
      <w:r w:rsidR="00CE4869">
        <w:t>–</w:t>
      </w:r>
      <w:r w:rsidR="54ADD977">
        <w:t xml:space="preserve"> </w:t>
      </w:r>
      <w:r w:rsidR="00776338">
        <w:t>b</w:t>
      </w:r>
      <w:r w:rsidR="37D520F6">
        <w:t xml:space="preserve">oth achieve simplification due to the </w:t>
      </w:r>
      <w:r w:rsidR="005B1828">
        <w:t>Rebate</w:t>
      </w:r>
      <w:r w:rsidR="37D520F6">
        <w:t xml:space="preserve"> being solely based on income tiers rather than a mix of income tier and age</w:t>
      </w:r>
      <w:r w:rsidR="00691B56">
        <w:t xml:space="preserve"> with </w:t>
      </w:r>
      <w:r w:rsidR="00776338">
        <w:t>adverse impacts on participation</w:t>
      </w:r>
      <w:r w:rsidR="0076604E">
        <w:t>.</w:t>
      </w:r>
      <w:r w:rsidR="00776338">
        <w:t xml:space="preserve"> </w:t>
      </w:r>
      <w:r w:rsidR="00CF2514">
        <w:t>Tables 1</w:t>
      </w:r>
      <w:r w:rsidR="00CE04F3">
        <w:t>1</w:t>
      </w:r>
      <w:r w:rsidR="00CF2514">
        <w:t>-1</w:t>
      </w:r>
      <w:r w:rsidR="00CE04F3">
        <w:t>3</w:t>
      </w:r>
      <w:r w:rsidR="00CF2514">
        <w:t xml:space="preserve"> </w:t>
      </w:r>
      <w:r w:rsidR="3FF45A18">
        <w:t>analys</w:t>
      </w:r>
      <w:r w:rsidR="00CF2514">
        <w:t>e</w:t>
      </w:r>
      <w:r w:rsidR="3FF45A18">
        <w:t xml:space="preserve"> the differences</w:t>
      </w:r>
      <w:r w:rsidR="64906987">
        <w:t xml:space="preserve"> in </w:t>
      </w:r>
      <w:r w:rsidR="00CF2514">
        <w:t xml:space="preserve">PHI </w:t>
      </w:r>
      <w:r w:rsidR="64906987">
        <w:t>participation</w:t>
      </w:r>
      <w:r w:rsidR="3FF45A18">
        <w:t xml:space="preserve"> </w:t>
      </w:r>
      <w:r w:rsidR="3B805BF7">
        <w:t>under</w:t>
      </w:r>
      <w:r w:rsidR="3FF45A18">
        <w:t xml:space="preserve"> Options 1, 2, and 3, </w:t>
      </w:r>
      <w:r w:rsidR="00CF2514">
        <w:t>by considering</w:t>
      </w:r>
      <w:r w:rsidR="0062442A">
        <w:t>:</w:t>
      </w:r>
    </w:p>
    <w:p w14:paraId="1256CD05" w14:textId="2E7E40CC" w:rsidR="0062442A" w:rsidRDefault="0062442A" w:rsidP="00061104">
      <w:pPr>
        <w:pStyle w:val="ListParagraph"/>
        <w:numPr>
          <w:ilvl w:val="0"/>
          <w:numId w:val="37"/>
        </w:numPr>
      </w:pPr>
      <w:r>
        <w:t>the projected number of people insured in 202</w:t>
      </w:r>
      <w:r w:rsidR="6D41BD0B">
        <w:t>8</w:t>
      </w:r>
      <w:r>
        <w:t>-2</w:t>
      </w:r>
      <w:r w:rsidR="12597CEA">
        <w:t>9</w:t>
      </w:r>
      <w:r>
        <w:t xml:space="preserve"> under Option 1 (</w:t>
      </w:r>
      <w:r w:rsidR="00704EC0">
        <w:t>S</w:t>
      </w:r>
      <w:r>
        <w:t xml:space="preserve">tatus </w:t>
      </w:r>
      <w:r w:rsidR="00704EC0">
        <w:t>Q</w:t>
      </w:r>
      <w:r>
        <w:t>uo)</w:t>
      </w:r>
      <w:r w:rsidR="00FB14D6">
        <w:t xml:space="preserve"> (Table 1</w:t>
      </w:r>
      <w:r w:rsidR="00CE04F3">
        <w:t>1</w:t>
      </w:r>
      <w:r w:rsidR="00FB14D6">
        <w:t>)</w:t>
      </w:r>
    </w:p>
    <w:p w14:paraId="01418276" w14:textId="4C7A2664" w:rsidR="0062442A" w:rsidRDefault="0062442A" w:rsidP="00061104">
      <w:pPr>
        <w:pStyle w:val="ListParagraph"/>
        <w:numPr>
          <w:ilvl w:val="0"/>
          <w:numId w:val="37"/>
        </w:numPr>
      </w:pPr>
      <w:r>
        <w:t>the projected change in the number of people insured in 2028-29</w:t>
      </w:r>
      <w:r w:rsidR="0082664D">
        <w:t xml:space="preserve"> under Option 2 and Option 3 compared </w:t>
      </w:r>
      <w:r w:rsidR="000B0068">
        <w:t xml:space="preserve">with </w:t>
      </w:r>
      <w:r w:rsidR="0082664D">
        <w:t>Option 1</w:t>
      </w:r>
      <w:r w:rsidR="001D4A0B">
        <w:t xml:space="preserve"> </w:t>
      </w:r>
      <w:r w:rsidR="0082664D">
        <w:t>(</w:t>
      </w:r>
      <w:r w:rsidR="00704EC0">
        <w:t>S</w:t>
      </w:r>
      <w:r w:rsidR="0082664D">
        <w:t xml:space="preserve">tatus </w:t>
      </w:r>
      <w:r w:rsidR="00704EC0">
        <w:t>Q</w:t>
      </w:r>
      <w:r w:rsidR="0082664D">
        <w:t>uo)</w:t>
      </w:r>
      <w:r w:rsidR="00FB14D6">
        <w:t xml:space="preserve"> (Tables 1</w:t>
      </w:r>
      <w:r w:rsidR="00CE04F3">
        <w:t>2</w:t>
      </w:r>
      <w:r w:rsidR="00FB14D6">
        <w:t xml:space="preserve"> and 1</w:t>
      </w:r>
      <w:r w:rsidR="00CE04F3">
        <w:t>3</w:t>
      </w:r>
      <w:r w:rsidR="00FB14D6">
        <w:t>).</w:t>
      </w:r>
    </w:p>
    <w:p w14:paraId="37546405" w14:textId="6EB33FB9" w:rsidR="00C47968" w:rsidRDefault="008D59EB" w:rsidP="00C47968">
      <w:pPr>
        <w:spacing w:before="240"/>
      </w:pPr>
      <w:r>
        <w:t xml:space="preserve">All three options </w:t>
      </w:r>
      <w:r w:rsidR="00C47968">
        <w:t xml:space="preserve">will result in an absolute </w:t>
      </w:r>
      <w:r w:rsidR="008D7E73">
        <w:t>increase</w:t>
      </w:r>
      <w:r w:rsidR="00C47968">
        <w:t xml:space="preserve"> in the number of people holding </w:t>
      </w:r>
      <w:r w:rsidR="00016637">
        <w:t>PHI</w:t>
      </w:r>
      <w:r w:rsidR="00C47968">
        <w:t xml:space="preserve"> </w:t>
      </w:r>
      <w:r w:rsidR="00B82EBA">
        <w:t>between implementation on 1 April 2027 and 2028-29.</w:t>
      </w:r>
      <w:r w:rsidR="00C47968">
        <w:t xml:space="preserve"> </w:t>
      </w:r>
      <w:r w:rsidR="00917C7F">
        <w:t>However,</w:t>
      </w:r>
      <w:r w:rsidR="00D76C27">
        <w:t xml:space="preserve"> the rate of increase is expected to be slower </w:t>
      </w:r>
      <w:r w:rsidR="001E2B9B">
        <w:t xml:space="preserve">for Options 2 and 3 </w:t>
      </w:r>
      <w:r w:rsidR="00D76C27">
        <w:t xml:space="preserve">than </w:t>
      </w:r>
      <w:r w:rsidR="001E2B9B">
        <w:t>Option 1 (S</w:t>
      </w:r>
      <w:r w:rsidR="00D76C27">
        <w:t xml:space="preserve">tatus </w:t>
      </w:r>
      <w:r w:rsidR="001E2B9B">
        <w:t>Q</w:t>
      </w:r>
      <w:r w:rsidR="00D76C27">
        <w:t>uo</w:t>
      </w:r>
      <w:r w:rsidR="001E2B9B">
        <w:t>)</w:t>
      </w:r>
      <w:r w:rsidR="00D76C27">
        <w:t>, resulting in fewer people insured by 2028</w:t>
      </w:r>
      <w:r w:rsidR="00D76C27">
        <w:noBreakHyphen/>
        <w:t>29 under Options 2 and 3 compared with Option 1 (see Tables 1</w:t>
      </w:r>
      <w:r w:rsidR="00CE04F3">
        <w:t>2</w:t>
      </w:r>
      <w:r w:rsidR="00D76C27">
        <w:t xml:space="preserve"> and 1</w:t>
      </w:r>
      <w:r w:rsidR="00CE04F3">
        <w:t>3</w:t>
      </w:r>
      <w:r w:rsidR="00D76C27">
        <w:t>).</w:t>
      </w:r>
      <w:r w:rsidR="00283025">
        <w:t xml:space="preserve"> </w:t>
      </w:r>
      <w:r w:rsidR="00283025" w:rsidRPr="00283025">
        <w:t>The net expected change in the number of</w:t>
      </w:r>
      <w:r w:rsidR="00704494">
        <w:t xml:space="preserve"> non-dependent</w:t>
      </w:r>
      <w:r w:rsidR="00283025" w:rsidRPr="00283025">
        <w:t xml:space="preserve"> insured people under Option 2 and Option 3 </w:t>
      </w:r>
      <w:r w:rsidR="00283025">
        <w:t xml:space="preserve">(compared with Option 1) </w:t>
      </w:r>
      <w:r w:rsidR="00283025" w:rsidRPr="00283025">
        <w:t xml:space="preserve">is a decrease of 42,304 and 49,204, respectively. </w:t>
      </w:r>
    </w:p>
    <w:p w14:paraId="719BE171" w14:textId="45BDD0DF" w:rsidR="0082664D" w:rsidRDefault="0082664D" w:rsidP="0082664D">
      <w:r>
        <w:t>The figures below are</w:t>
      </w:r>
      <w:r w:rsidR="00B4673A">
        <w:t xml:space="preserve"> </w:t>
      </w:r>
      <w:r w:rsidR="0045194C">
        <w:t xml:space="preserve">the </w:t>
      </w:r>
      <w:r w:rsidR="004154E2">
        <w:t xml:space="preserve">unrounded </w:t>
      </w:r>
      <w:r w:rsidR="0045194C">
        <w:t xml:space="preserve">outputs </w:t>
      </w:r>
      <w:r w:rsidR="00505522">
        <w:t xml:space="preserve">of statistical regression in </w:t>
      </w:r>
      <w:r>
        <w:t>the PHI model described in subsection 4.1</w:t>
      </w:r>
      <w:r w:rsidR="00EB7881">
        <w:t xml:space="preserve"> and the Additional Information provided at the end of this document</w:t>
      </w:r>
      <w:r w:rsidR="00AB7AFB">
        <w:t xml:space="preserve"> about modelling participation</w:t>
      </w:r>
      <w:r>
        <w:t>.</w:t>
      </w:r>
      <w:r w:rsidR="003D6625">
        <w:t xml:space="preserve"> </w:t>
      </w:r>
      <w:r w:rsidR="00702567">
        <w:t>The number of insured people is those aged 18+ years and does not include dependents.</w:t>
      </w:r>
    </w:p>
    <w:p w14:paraId="4BAB73FD" w14:textId="1374297B" w:rsidR="00AB58F7" w:rsidRPr="000861B0" w:rsidRDefault="00AB58F7" w:rsidP="004A1340">
      <w:pPr>
        <w:pStyle w:val="Heading3"/>
      </w:pPr>
      <w:r w:rsidRPr="000861B0">
        <w:t xml:space="preserve">Table </w:t>
      </w:r>
      <w:r w:rsidR="00294152">
        <w:t>1</w:t>
      </w:r>
      <w:r w:rsidR="004A1340">
        <w:t>1</w:t>
      </w:r>
      <w:r w:rsidRPr="0011EF4A">
        <w:t xml:space="preserve">: </w:t>
      </w:r>
      <w:r w:rsidR="00D92E52">
        <w:t>E</w:t>
      </w:r>
      <w:r w:rsidRPr="0011EF4A">
        <w:t>xpected</w:t>
      </w:r>
      <w:r w:rsidRPr="000861B0">
        <w:t xml:space="preserve"> number of insured </w:t>
      </w:r>
      <w:r w:rsidR="00172CD2" w:rsidRPr="000861B0">
        <w:t xml:space="preserve">people </w:t>
      </w:r>
      <w:r w:rsidR="00704494">
        <w:t xml:space="preserve">(non-dependents) </w:t>
      </w:r>
      <w:r w:rsidRPr="000861B0">
        <w:t xml:space="preserve">in </w:t>
      </w:r>
      <w:r w:rsidR="00046634">
        <w:t>2028-29</w:t>
      </w:r>
      <w:r w:rsidRPr="000861B0">
        <w:t xml:space="preserve"> under </w:t>
      </w:r>
      <w:r w:rsidR="001D4A0B">
        <w:t>Option 1 (Status Quo)</w:t>
      </w:r>
    </w:p>
    <w:tbl>
      <w:tblPr>
        <w:tblW w:w="5078" w:type="pct"/>
        <w:tblBorders>
          <w:top w:val="outset" w:sz="6" w:space="0" w:color="auto"/>
          <w:left w:val="outset" w:sz="6" w:space="0" w:color="auto"/>
          <w:bottom w:val="outset" w:sz="6" w:space="0" w:color="auto"/>
          <w:right w:val="outset" w:sz="6" w:space="0" w:color="auto"/>
        </w:tblBorders>
        <w:tblCellMar>
          <w:left w:w="74" w:type="dxa"/>
          <w:right w:w="74" w:type="dxa"/>
        </w:tblCellMar>
        <w:tblLook w:val="04A0" w:firstRow="1" w:lastRow="0" w:firstColumn="1" w:lastColumn="0" w:noHBand="0" w:noVBand="1"/>
        <w:tblDescription w:val="Table outlines the expected number of insured non-dependent persons in 2028-29 under Option 1, which is the status quo, broken down by age and tier."/>
      </w:tblPr>
      <w:tblGrid>
        <w:gridCol w:w="3960"/>
        <w:gridCol w:w="2830"/>
        <w:gridCol w:w="2982"/>
      </w:tblGrid>
      <w:tr w:rsidR="00AB58F7" w:rsidRPr="00C62723" w14:paraId="7365B089" w14:textId="77777777" w:rsidTr="0058606C">
        <w:trPr>
          <w:trHeight w:val="285"/>
          <w:tblHeader/>
        </w:trPr>
        <w:tc>
          <w:tcPr>
            <w:tcW w:w="2026" w:type="pct"/>
            <w:tcBorders>
              <w:top w:val="single" w:sz="6" w:space="0" w:color="auto"/>
              <w:left w:val="single" w:sz="6" w:space="0" w:color="auto"/>
              <w:bottom w:val="single" w:sz="6" w:space="0" w:color="auto"/>
              <w:right w:val="single" w:sz="6" w:space="0" w:color="auto"/>
            </w:tcBorders>
            <w:shd w:val="clear" w:color="auto" w:fill="1C2B39" w:themeFill="accent1"/>
            <w:vAlign w:val="bottom"/>
            <w:hideMark/>
          </w:tcPr>
          <w:p w14:paraId="0B8D8A74" w14:textId="68AB9516" w:rsidR="00AB58F7" w:rsidRPr="00DD61DB" w:rsidRDefault="00AB58F7" w:rsidP="009E4F9A">
            <w:pPr>
              <w:pStyle w:val="CABParagraph"/>
              <w:keepNext/>
              <w:spacing w:before="0"/>
              <w:rPr>
                <w:rFonts w:asciiTheme="minorHAnsi" w:hAnsiTheme="minorHAnsi" w:cs="Arial"/>
              </w:rPr>
            </w:pPr>
            <w:r w:rsidRPr="00DD61DB">
              <w:rPr>
                <w:rFonts w:asciiTheme="minorHAnsi" w:hAnsiTheme="minorHAnsi" w:cs="Arial"/>
              </w:rPr>
              <w:t>  </w:t>
            </w:r>
          </w:p>
        </w:tc>
        <w:tc>
          <w:tcPr>
            <w:tcW w:w="1448" w:type="pct"/>
            <w:tcBorders>
              <w:top w:val="single" w:sz="6" w:space="0" w:color="auto"/>
              <w:left w:val="single" w:sz="6" w:space="0" w:color="auto"/>
              <w:bottom w:val="single" w:sz="6" w:space="0" w:color="auto"/>
              <w:right w:val="single" w:sz="6" w:space="0" w:color="auto"/>
            </w:tcBorders>
            <w:shd w:val="clear" w:color="auto" w:fill="1C2B39" w:themeFill="accent1"/>
            <w:vAlign w:val="bottom"/>
            <w:hideMark/>
          </w:tcPr>
          <w:p w14:paraId="500539F0" w14:textId="600CBF56" w:rsidR="00AB58F7" w:rsidRPr="00223DD6" w:rsidRDefault="00AB58F7" w:rsidP="009E4F9A">
            <w:pPr>
              <w:pStyle w:val="CABParagraph"/>
              <w:keepNext/>
              <w:spacing w:before="0"/>
              <w:rPr>
                <w:rFonts w:asciiTheme="minorHAnsi" w:hAnsiTheme="minorHAnsi" w:cs="Arial"/>
                <w:b/>
                <w:bCs/>
              </w:rPr>
            </w:pPr>
            <w:r w:rsidRPr="00223DD6">
              <w:rPr>
                <w:rFonts w:asciiTheme="minorHAnsi" w:hAnsiTheme="minorHAnsi" w:cs="Arial"/>
                <w:b/>
                <w:bCs/>
              </w:rPr>
              <w:t>18-64 years </w:t>
            </w:r>
          </w:p>
        </w:tc>
        <w:tc>
          <w:tcPr>
            <w:tcW w:w="1526" w:type="pct"/>
            <w:tcBorders>
              <w:top w:val="single" w:sz="6" w:space="0" w:color="auto"/>
              <w:left w:val="single" w:sz="6" w:space="0" w:color="auto"/>
              <w:bottom w:val="single" w:sz="6" w:space="0" w:color="auto"/>
              <w:right w:val="single" w:sz="6" w:space="0" w:color="auto"/>
            </w:tcBorders>
            <w:shd w:val="clear" w:color="auto" w:fill="1C2B39" w:themeFill="accent1"/>
            <w:vAlign w:val="bottom"/>
            <w:hideMark/>
          </w:tcPr>
          <w:p w14:paraId="738C960F" w14:textId="1D64EA4C" w:rsidR="00AB58F7" w:rsidRPr="00223DD6" w:rsidRDefault="00AB58F7" w:rsidP="009E4F9A">
            <w:pPr>
              <w:pStyle w:val="CABParagraph"/>
              <w:keepNext/>
              <w:spacing w:before="0"/>
              <w:rPr>
                <w:rFonts w:asciiTheme="minorHAnsi" w:hAnsiTheme="minorHAnsi" w:cs="Arial"/>
                <w:b/>
                <w:bCs/>
              </w:rPr>
            </w:pPr>
            <w:r w:rsidRPr="00223DD6">
              <w:rPr>
                <w:rFonts w:asciiTheme="minorHAnsi" w:hAnsiTheme="minorHAnsi" w:cs="Arial"/>
                <w:b/>
                <w:bCs/>
              </w:rPr>
              <w:t>65+ years </w:t>
            </w:r>
          </w:p>
        </w:tc>
      </w:tr>
      <w:tr w:rsidR="005F3F15" w:rsidRPr="00C62723" w14:paraId="5C658581" w14:textId="77777777" w:rsidTr="0058606C">
        <w:trPr>
          <w:trHeight w:val="285"/>
          <w:tblHeader/>
        </w:trPr>
        <w:tc>
          <w:tcPr>
            <w:tcW w:w="2026" w:type="pct"/>
            <w:tcBorders>
              <w:top w:val="single" w:sz="6" w:space="0" w:color="auto"/>
              <w:left w:val="single" w:sz="6" w:space="0" w:color="auto"/>
              <w:bottom w:val="single" w:sz="6" w:space="0" w:color="auto"/>
              <w:right w:val="single" w:sz="6" w:space="0" w:color="auto"/>
            </w:tcBorders>
            <w:vAlign w:val="bottom"/>
            <w:hideMark/>
          </w:tcPr>
          <w:p w14:paraId="1F3277F9" w14:textId="5D40B740" w:rsidR="005F3F15" w:rsidRPr="00223DD6" w:rsidRDefault="005F3F15" w:rsidP="005F3F15">
            <w:pPr>
              <w:pStyle w:val="CABParagraph"/>
              <w:keepNext/>
              <w:spacing w:before="0"/>
              <w:rPr>
                <w:rFonts w:asciiTheme="minorHAnsi" w:hAnsiTheme="minorHAnsi" w:cs="Arial"/>
                <w:b/>
                <w:bCs/>
              </w:rPr>
            </w:pPr>
            <w:r w:rsidRPr="00223DD6">
              <w:rPr>
                <w:rFonts w:asciiTheme="minorHAnsi" w:hAnsiTheme="minorHAnsi" w:cs="Arial"/>
                <w:b/>
                <w:bCs/>
              </w:rPr>
              <w:t>Base Tier </w:t>
            </w:r>
          </w:p>
        </w:tc>
        <w:tc>
          <w:tcPr>
            <w:tcW w:w="1448" w:type="pct"/>
            <w:tcBorders>
              <w:top w:val="single" w:sz="6" w:space="0" w:color="auto"/>
              <w:left w:val="single" w:sz="6" w:space="0" w:color="auto"/>
              <w:bottom w:val="single" w:sz="6" w:space="0" w:color="auto"/>
              <w:right w:val="single" w:sz="6" w:space="0" w:color="auto"/>
            </w:tcBorders>
            <w:hideMark/>
          </w:tcPr>
          <w:p w14:paraId="6E315D34" w14:textId="5312700C" w:rsidR="005F3F15" w:rsidRPr="00D92E52" w:rsidRDefault="005F3F15" w:rsidP="00D92E52">
            <w:pPr>
              <w:keepNext/>
              <w:spacing w:after="0" w:line="240" w:lineRule="auto"/>
            </w:pPr>
            <w:r w:rsidRPr="00941308">
              <w:t xml:space="preserve">4,666,287 </w:t>
            </w:r>
          </w:p>
        </w:tc>
        <w:tc>
          <w:tcPr>
            <w:tcW w:w="1526" w:type="pct"/>
            <w:tcBorders>
              <w:top w:val="single" w:sz="6" w:space="0" w:color="auto"/>
              <w:left w:val="single" w:sz="6" w:space="0" w:color="auto"/>
              <w:bottom w:val="single" w:sz="6" w:space="0" w:color="auto"/>
              <w:right w:val="single" w:sz="6" w:space="0" w:color="auto"/>
            </w:tcBorders>
            <w:hideMark/>
          </w:tcPr>
          <w:p w14:paraId="76D1743F" w14:textId="02FB0B48" w:rsidR="005F3F15" w:rsidRPr="00D92E52" w:rsidRDefault="005F3F15" w:rsidP="00D92E52">
            <w:pPr>
              <w:keepNext/>
              <w:spacing w:after="0" w:line="240" w:lineRule="auto"/>
            </w:pPr>
            <w:r w:rsidRPr="00E704E8">
              <w:t xml:space="preserve">2,998,008 </w:t>
            </w:r>
          </w:p>
        </w:tc>
      </w:tr>
      <w:tr w:rsidR="005F3F15" w:rsidRPr="00C62723" w14:paraId="653C9B00" w14:textId="77777777" w:rsidTr="0058606C">
        <w:trPr>
          <w:trHeight w:val="285"/>
          <w:tblHeader/>
        </w:trPr>
        <w:tc>
          <w:tcPr>
            <w:tcW w:w="2026" w:type="pct"/>
            <w:tcBorders>
              <w:top w:val="single" w:sz="6" w:space="0" w:color="auto"/>
              <w:left w:val="single" w:sz="6" w:space="0" w:color="auto"/>
              <w:bottom w:val="single" w:sz="6" w:space="0" w:color="auto"/>
              <w:right w:val="single" w:sz="6" w:space="0" w:color="auto"/>
            </w:tcBorders>
            <w:vAlign w:val="bottom"/>
            <w:hideMark/>
          </w:tcPr>
          <w:p w14:paraId="3DBF8001" w14:textId="1FB456CD" w:rsidR="005F3F15" w:rsidRPr="00223DD6" w:rsidRDefault="005F3F15" w:rsidP="005F3F15">
            <w:pPr>
              <w:pStyle w:val="CABParagraph"/>
              <w:keepNext/>
              <w:spacing w:before="0"/>
              <w:rPr>
                <w:rFonts w:asciiTheme="minorHAnsi" w:hAnsiTheme="minorHAnsi" w:cs="Arial"/>
                <w:b/>
                <w:bCs/>
              </w:rPr>
            </w:pPr>
            <w:r w:rsidRPr="00223DD6">
              <w:rPr>
                <w:rFonts w:asciiTheme="minorHAnsi" w:hAnsiTheme="minorHAnsi" w:cs="Arial"/>
                <w:b/>
                <w:bCs/>
              </w:rPr>
              <w:t>Tier 1 </w:t>
            </w:r>
          </w:p>
        </w:tc>
        <w:tc>
          <w:tcPr>
            <w:tcW w:w="1448" w:type="pct"/>
            <w:tcBorders>
              <w:top w:val="single" w:sz="6" w:space="0" w:color="auto"/>
              <w:left w:val="single" w:sz="6" w:space="0" w:color="auto"/>
              <w:bottom w:val="single" w:sz="6" w:space="0" w:color="auto"/>
              <w:right w:val="single" w:sz="6" w:space="0" w:color="auto"/>
            </w:tcBorders>
            <w:hideMark/>
          </w:tcPr>
          <w:p w14:paraId="769E6D8B" w14:textId="1FE5AA52" w:rsidR="005F3F15" w:rsidRPr="00D92E52" w:rsidRDefault="005F3F15" w:rsidP="00D92E52">
            <w:pPr>
              <w:keepNext/>
              <w:spacing w:after="0" w:line="240" w:lineRule="auto"/>
            </w:pPr>
            <w:r w:rsidRPr="00941308">
              <w:t xml:space="preserve">692,981 </w:t>
            </w:r>
          </w:p>
        </w:tc>
        <w:tc>
          <w:tcPr>
            <w:tcW w:w="1526" w:type="pct"/>
            <w:tcBorders>
              <w:top w:val="single" w:sz="6" w:space="0" w:color="auto"/>
              <w:left w:val="single" w:sz="6" w:space="0" w:color="auto"/>
              <w:bottom w:val="single" w:sz="6" w:space="0" w:color="auto"/>
              <w:right w:val="single" w:sz="6" w:space="0" w:color="auto"/>
            </w:tcBorders>
            <w:hideMark/>
          </w:tcPr>
          <w:p w14:paraId="36DD5CC4" w14:textId="19A438D5" w:rsidR="005F3F15" w:rsidRPr="00D92E52" w:rsidRDefault="005F3F15" w:rsidP="00D92E52">
            <w:pPr>
              <w:keepNext/>
              <w:spacing w:after="0" w:line="240" w:lineRule="auto"/>
            </w:pPr>
            <w:r w:rsidRPr="00E704E8">
              <w:t xml:space="preserve">136,931 </w:t>
            </w:r>
          </w:p>
        </w:tc>
      </w:tr>
      <w:tr w:rsidR="005F3F15" w:rsidRPr="00C62723" w14:paraId="63EDBE3B" w14:textId="77777777" w:rsidTr="0058606C">
        <w:trPr>
          <w:trHeight w:val="285"/>
          <w:tblHeader/>
        </w:trPr>
        <w:tc>
          <w:tcPr>
            <w:tcW w:w="2026" w:type="pct"/>
            <w:tcBorders>
              <w:top w:val="single" w:sz="6" w:space="0" w:color="auto"/>
              <w:left w:val="single" w:sz="6" w:space="0" w:color="auto"/>
              <w:bottom w:val="single" w:sz="6" w:space="0" w:color="auto"/>
              <w:right w:val="single" w:sz="6" w:space="0" w:color="auto"/>
            </w:tcBorders>
            <w:vAlign w:val="bottom"/>
            <w:hideMark/>
          </w:tcPr>
          <w:p w14:paraId="611339FF" w14:textId="37896C02" w:rsidR="005F3F15" w:rsidRPr="00223DD6" w:rsidRDefault="005F3F15" w:rsidP="005F3F15">
            <w:pPr>
              <w:pStyle w:val="CABParagraph"/>
              <w:keepNext/>
              <w:spacing w:before="0"/>
              <w:rPr>
                <w:rFonts w:asciiTheme="minorHAnsi" w:hAnsiTheme="minorHAnsi" w:cs="Arial"/>
                <w:b/>
                <w:bCs/>
              </w:rPr>
            </w:pPr>
            <w:r w:rsidRPr="00223DD6">
              <w:rPr>
                <w:rFonts w:asciiTheme="minorHAnsi" w:hAnsiTheme="minorHAnsi" w:cs="Arial"/>
                <w:b/>
                <w:bCs/>
              </w:rPr>
              <w:t>Tier 2 </w:t>
            </w:r>
          </w:p>
        </w:tc>
        <w:tc>
          <w:tcPr>
            <w:tcW w:w="1448" w:type="pct"/>
            <w:tcBorders>
              <w:top w:val="single" w:sz="6" w:space="0" w:color="auto"/>
              <w:left w:val="single" w:sz="6" w:space="0" w:color="auto"/>
              <w:bottom w:val="single" w:sz="6" w:space="0" w:color="auto"/>
              <w:right w:val="single" w:sz="6" w:space="0" w:color="auto"/>
            </w:tcBorders>
            <w:hideMark/>
          </w:tcPr>
          <w:p w14:paraId="39A4D42A" w14:textId="0388C4DF" w:rsidR="005F3F15" w:rsidRPr="00D92E52" w:rsidRDefault="005F3F15" w:rsidP="00D92E52">
            <w:pPr>
              <w:keepNext/>
              <w:spacing w:after="0" w:line="240" w:lineRule="auto"/>
            </w:pPr>
            <w:r w:rsidRPr="00941308">
              <w:t xml:space="preserve">1,045,524 </w:t>
            </w:r>
          </w:p>
        </w:tc>
        <w:tc>
          <w:tcPr>
            <w:tcW w:w="1526" w:type="pct"/>
            <w:tcBorders>
              <w:top w:val="single" w:sz="6" w:space="0" w:color="auto"/>
              <w:left w:val="single" w:sz="6" w:space="0" w:color="auto"/>
              <w:bottom w:val="single" w:sz="6" w:space="0" w:color="auto"/>
              <w:right w:val="single" w:sz="6" w:space="0" w:color="auto"/>
            </w:tcBorders>
            <w:hideMark/>
          </w:tcPr>
          <w:p w14:paraId="036C11A6" w14:textId="505E8094" w:rsidR="005F3F15" w:rsidRPr="00D92E52" w:rsidRDefault="005F3F15" w:rsidP="00D92E52">
            <w:pPr>
              <w:keepNext/>
              <w:spacing w:after="0" w:line="240" w:lineRule="auto"/>
            </w:pPr>
            <w:r w:rsidRPr="00E704E8">
              <w:t xml:space="preserve">221,188 </w:t>
            </w:r>
          </w:p>
        </w:tc>
      </w:tr>
      <w:tr w:rsidR="005F3F15" w:rsidRPr="00C62723" w14:paraId="39A28F6F" w14:textId="77777777" w:rsidTr="0058606C">
        <w:trPr>
          <w:trHeight w:val="285"/>
          <w:tblHeader/>
        </w:trPr>
        <w:tc>
          <w:tcPr>
            <w:tcW w:w="2026" w:type="pct"/>
            <w:tcBorders>
              <w:top w:val="single" w:sz="6" w:space="0" w:color="auto"/>
              <w:left w:val="single" w:sz="6" w:space="0" w:color="auto"/>
              <w:bottom w:val="single" w:sz="6" w:space="0" w:color="auto"/>
              <w:right w:val="single" w:sz="6" w:space="0" w:color="auto"/>
            </w:tcBorders>
            <w:vAlign w:val="bottom"/>
            <w:hideMark/>
          </w:tcPr>
          <w:p w14:paraId="32A7CEBA" w14:textId="143F53F5" w:rsidR="005F3F15" w:rsidRPr="00223DD6" w:rsidRDefault="005F3F15" w:rsidP="005F3F15">
            <w:pPr>
              <w:pStyle w:val="CABParagraph"/>
              <w:spacing w:before="0"/>
              <w:rPr>
                <w:rFonts w:asciiTheme="minorHAnsi" w:hAnsiTheme="minorHAnsi" w:cs="Arial"/>
                <w:b/>
                <w:bCs/>
              </w:rPr>
            </w:pPr>
            <w:r w:rsidRPr="00223DD6">
              <w:rPr>
                <w:rFonts w:asciiTheme="minorHAnsi" w:hAnsiTheme="minorHAnsi" w:cs="Arial"/>
                <w:b/>
                <w:bCs/>
              </w:rPr>
              <w:t>Tier 3 </w:t>
            </w:r>
          </w:p>
        </w:tc>
        <w:tc>
          <w:tcPr>
            <w:tcW w:w="1448" w:type="pct"/>
            <w:tcBorders>
              <w:top w:val="single" w:sz="6" w:space="0" w:color="auto"/>
              <w:left w:val="single" w:sz="6" w:space="0" w:color="auto"/>
              <w:bottom w:val="single" w:sz="6" w:space="0" w:color="auto"/>
              <w:right w:val="single" w:sz="6" w:space="0" w:color="auto"/>
            </w:tcBorders>
            <w:hideMark/>
          </w:tcPr>
          <w:p w14:paraId="6AB2819F" w14:textId="65D94153" w:rsidR="005F3F15" w:rsidRPr="00D92E52" w:rsidRDefault="005F3F15" w:rsidP="00D92E52">
            <w:pPr>
              <w:keepNext/>
              <w:spacing w:after="0" w:line="240" w:lineRule="auto"/>
            </w:pPr>
            <w:r w:rsidRPr="00941308">
              <w:t xml:space="preserve">1,295,233 </w:t>
            </w:r>
          </w:p>
        </w:tc>
        <w:tc>
          <w:tcPr>
            <w:tcW w:w="1526" w:type="pct"/>
            <w:tcBorders>
              <w:top w:val="single" w:sz="6" w:space="0" w:color="auto"/>
              <w:left w:val="single" w:sz="6" w:space="0" w:color="auto"/>
              <w:bottom w:val="single" w:sz="6" w:space="0" w:color="auto"/>
              <w:right w:val="single" w:sz="6" w:space="0" w:color="auto"/>
            </w:tcBorders>
            <w:hideMark/>
          </w:tcPr>
          <w:p w14:paraId="5D23989C" w14:textId="15864DDD" w:rsidR="005F3F15" w:rsidRPr="00D92E52" w:rsidRDefault="005F3F15" w:rsidP="00D92E52">
            <w:pPr>
              <w:keepNext/>
              <w:spacing w:after="0" w:line="240" w:lineRule="auto"/>
            </w:pPr>
            <w:r w:rsidRPr="00E704E8">
              <w:t xml:space="preserve">336,275 </w:t>
            </w:r>
          </w:p>
        </w:tc>
      </w:tr>
    </w:tbl>
    <w:p w14:paraId="130B883B" w14:textId="051FB568" w:rsidR="0062442A" w:rsidRPr="000861B0" w:rsidRDefault="0062442A" w:rsidP="0092155A">
      <w:pPr>
        <w:pStyle w:val="Heading3"/>
      </w:pPr>
      <w:r w:rsidRPr="0011EF4A" w:rsidDel="00526A5B">
        <w:lastRenderedPageBreak/>
        <w:t xml:space="preserve">Table </w:t>
      </w:r>
      <w:r w:rsidR="00294152">
        <w:rPr>
          <w:bCs/>
        </w:rPr>
        <w:t>1</w:t>
      </w:r>
      <w:r w:rsidR="0092155A">
        <w:rPr>
          <w:bCs/>
        </w:rPr>
        <w:t>2</w:t>
      </w:r>
      <w:r w:rsidRPr="000861B0">
        <w:t xml:space="preserve">: </w:t>
      </w:r>
      <w:r w:rsidR="00D92E52">
        <w:t>E</w:t>
      </w:r>
      <w:r w:rsidRPr="000861B0">
        <w:t xml:space="preserve">xpected change in number of insured people </w:t>
      </w:r>
      <w:r w:rsidR="00704494">
        <w:rPr>
          <w:bCs/>
        </w:rPr>
        <w:t xml:space="preserve">(non-dependents) </w:t>
      </w:r>
      <w:r w:rsidRPr="000861B0">
        <w:t xml:space="preserve">in 2028-29 by age and income tier </w:t>
      </w:r>
      <w:r w:rsidR="00CD1D81">
        <w:t>for Option 2 compared to Option 1</w:t>
      </w:r>
      <w:r w:rsidR="009D2085">
        <w:t xml:space="preserve"> (Status Quo)</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able outlines the expected change in the number of insured non-dependent persons in 2028-29 under Option 2 compared to Option 1, broken down by age and tier. The largest decrease is expected in base tier 65+ years group (-42,001 people), with much smaller decreases in the other tiers for people 65+ and Tier 3 for people aged 18-64 years."/>
      </w:tblPr>
      <w:tblGrid>
        <w:gridCol w:w="3961"/>
        <w:gridCol w:w="2835"/>
        <w:gridCol w:w="2977"/>
      </w:tblGrid>
      <w:tr w:rsidR="0062442A" w:rsidRPr="000861B0" w14:paraId="597D42F6" w14:textId="77777777" w:rsidTr="0058606C">
        <w:trPr>
          <w:trHeight w:val="285"/>
          <w:tblHeader/>
        </w:trPr>
        <w:tc>
          <w:tcPr>
            <w:tcW w:w="3961" w:type="dxa"/>
            <w:tcBorders>
              <w:top w:val="single" w:sz="6" w:space="0" w:color="auto"/>
              <w:left w:val="single" w:sz="6" w:space="0" w:color="auto"/>
              <w:bottom w:val="single" w:sz="6" w:space="0" w:color="auto"/>
              <w:right w:val="single" w:sz="6" w:space="0" w:color="auto"/>
            </w:tcBorders>
            <w:shd w:val="clear" w:color="auto" w:fill="1C2B39" w:themeFill="accent1"/>
            <w:vAlign w:val="bottom"/>
            <w:hideMark/>
          </w:tcPr>
          <w:p w14:paraId="3C75F336" w14:textId="40679A2A" w:rsidR="0062442A" w:rsidRPr="000861B0" w:rsidRDefault="0062442A" w:rsidP="009E4F9A">
            <w:pPr>
              <w:keepNext/>
              <w:spacing w:after="0" w:line="240" w:lineRule="auto"/>
              <w:rPr>
                <w:rFonts w:eastAsia="Aptos" w:cs="Times New Roman"/>
              </w:rPr>
            </w:pPr>
            <w:r w:rsidRPr="000861B0">
              <w:rPr>
                <w:rFonts w:eastAsia="Aptos" w:cs="Times New Roman"/>
              </w:rPr>
              <w:t>  </w:t>
            </w:r>
          </w:p>
        </w:tc>
        <w:tc>
          <w:tcPr>
            <w:tcW w:w="2835" w:type="dxa"/>
            <w:tcBorders>
              <w:top w:val="single" w:sz="6" w:space="0" w:color="auto"/>
              <w:left w:val="single" w:sz="6" w:space="0" w:color="auto"/>
              <w:bottom w:val="single" w:sz="6" w:space="0" w:color="auto"/>
              <w:right w:val="single" w:sz="6" w:space="0" w:color="auto"/>
            </w:tcBorders>
            <w:shd w:val="clear" w:color="auto" w:fill="1C2B39" w:themeFill="accent1"/>
            <w:vAlign w:val="bottom"/>
            <w:hideMark/>
          </w:tcPr>
          <w:p w14:paraId="140025CD" w14:textId="3A7C038D" w:rsidR="0062442A" w:rsidRPr="00CB53F1" w:rsidRDefault="0062442A" w:rsidP="009E4F9A">
            <w:pPr>
              <w:keepNext/>
              <w:spacing w:after="0" w:line="240" w:lineRule="auto"/>
              <w:rPr>
                <w:rFonts w:eastAsia="Aptos" w:cs="Times New Roman"/>
                <w:b/>
                <w:bCs/>
              </w:rPr>
            </w:pPr>
            <w:r w:rsidRPr="00CB53F1">
              <w:rPr>
                <w:rFonts w:eastAsia="Aptos" w:cs="Times New Roman"/>
                <w:b/>
                <w:bCs/>
              </w:rPr>
              <w:t>18-64 years </w:t>
            </w:r>
          </w:p>
        </w:tc>
        <w:tc>
          <w:tcPr>
            <w:tcW w:w="2977" w:type="dxa"/>
            <w:tcBorders>
              <w:top w:val="single" w:sz="6" w:space="0" w:color="auto"/>
              <w:left w:val="single" w:sz="6" w:space="0" w:color="auto"/>
              <w:bottom w:val="single" w:sz="6" w:space="0" w:color="auto"/>
              <w:right w:val="single" w:sz="6" w:space="0" w:color="auto"/>
            </w:tcBorders>
            <w:shd w:val="clear" w:color="auto" w:fill="1C2B39" w:themeFill="accent1"/>
            <w:vAlign w:val="bottom"/>
            <w:hideMark/>
          </w:tcPr>
          <w:p w14:paraId="64B6F260" w14:textId="36D491C8" w:rsidR="0062442A" w:rsidRPr="00CB53F1" w:rsidRDefault="0062442A" w:rsidP="009E4F9A">
            <w:pPr>
              <w:keepNext/>
              <w:spacing w:after="0" w:line="240" w:lineRule="auto"/>
              <w:rPr>
                <w:rFonts w:eastAsia="Aptos" w:cs="Times New Roman"/>
                <w:b/>
                <w:bCs/>
              </w:rPr>
            </w:pPr>
            <w:r w:rsidRPr="00CB53F1">
              <w:rPr>
                <w:rFonts w:eastAsia="Aptos" w:cs="Times New Roman"/>
                <w:b/>
                <w:bCs/>
              </w:rPr>
              <w:t>65+ years </w:t>
            </w:r>
          </w:p>
        </w:tc>
      </w:tr>
      <w:tr w:rsidR="0062442A" w:rsidRPr="000861B0" w14:paraId="2751B537" w14:textId="77777777" w:rsidTr="0058606C">
        <w:trPr>
          <w:trHeight w:val="285"/>
          <w:tblHeader/>
        </w:trPr>
        <w:tc>
          <w:tcPr>
            <w:tcW w:w="3961" w:type="dxa"/>
            <w:tcBorders>
              <w:top w:val="single" w:sz="6" w:space="0" w:color="auto"/>
              <w:left w:val="single" w:sz="6" w:space="0" w:color="auto"/>
              <w:bottom w:val="single" w:sz="6" w:space="0" w:color="auto"/>
              <w:right w:val="single" w:sz="6" w:space="0" w:color="auto"/>
            </w:tcBorders>
            <w:vAlign w:val="bottom"/>
            <w:hideMark/>
          </w:tcPr>
          <w:p w14:paraId="357EBB66" w14:textId="5AEE7D44" w:rsidR="0062442A" w:rsidRPr="00CB53F1" w:rsidRDefault="0062442A" w:rsidP="009E4F9A">
            <w:pPr>
              <w:keepNext/>
              <w:spacing w:after="0" w:line="240" w:lineRule="auto"/>
              <w:rPr>
                <w:rFonts w:eastAsia="Aptos" w:cs="Times New Roman"/>
                <w:b/>
                <w:bCs/>
              </w:rPr>
            </w:pPr>
            <w:r w:rsidRPr="00CB53F1">
              <w:rPr>
                <w:rFonts w:eastAsia="Aptos" w:cs="Times New Roman"/>
                <w:b/>
                <w:bCs/>
              </w:rPr>
              <w:t>Base Tier </w:t>
            </w:r>
          </w:p>
        </w:tc>
        <w:tc>
          <w:tcPr>
            <w:tcW w:w="2835" w:type="dxa"/>
            <w:tcBorders>
              <w:top w:val="single" w:sz="6" w:space="0" w:color="auto"/>
              <w:left w:val="single" w:sz="6" w:space="0" w:color="auto"/>
              <w:bottom w:val="single" w:sz="6" w:space="0" w:color="auto"/>
              <w:right w:val="single" w:sz="6" w:space="0" w:color="auto"/>
            </w:tcBorders>
          </w:tcPr>
          <w:p w14:paraId="59E7FE56" w14:textId="1A571838" w:rsidR="0062442A" w:rsidRPr="000861B0" w:rsidRDefault="0062442A" w:rsidP="009E4F9A">
            <w:pPr>
              <w:keepNext/>
              <w:spacing w:after="0" w:line="240" w:lineRule="auto"/>
              <w:rPr>
                <w:rFonts w:eastAsia="Aptos" w:cs="Times New Roman"/>
              </w:rPr>
            </w:pPr>
            <w:r w:rsidRPr="000861B0">
              <w:t xml:space="preserve">1,809 </w:t>
            </w:r>
          </w:p>
        </w:tc>
        <w:tc>
          <w:tcPr>
            <w:tcW w:w="2977" w:type="dxa"/>
            <w:tcBorders>
              <w:top w:val="single" w:sz="6" w:space="0" w:color="auto"/>
              <w:left w:val="single" w:sz="6" w:space="0" w:color="auto"/>
              <w:bottom w:val="single" w:sz="6" w:space="0" w:color="auto"/>
              <w:right w:val="single" w:sz="6" w:space="0" w:color="auto"/>
            </w:tcBorders>
          </w:tcPr>
          <w:p w14:paraId="3415119E" w14:textId="79B7D629" w:rsidR="0062442A" w:rsidRPr="000861B0" w:rsidRDefault="0062442A" w:rsidP="009E4F9A">
            <w:pPr>
              <w:keepNext/>
              <w:spacing w:after="0" w:line="240" w:lineRule="auto"/>
              <w:rPr>
                <w:rFonts w:eastAsia="Aptos" w:cs="Times New Roman"/>
                <w:color w:val="FF0000"/>
              </w:rPr>
            </w:pPr>
            <w:r w:rsidRPr="000861B0">
              <w:rPr>
                <w:color w:val="FF0000"/>
              </w:rPr>
              <w:t xml:space="preserve">-42,001 </w:t>
            </w:r>
          </w:p>
        </w:tc>
      </w:tr>
      <w:tr w:rsidR="0062442A" w:rsidRPr="000861B0" w14:paraId="4DD7EF4C" w14:textId="77777777" w:rsidTr="0058606C">
        <w:trPr>
          <w:trHeight w:val="285"/>
          <w:tblHeader/>
        </w:trPr>
        <w:tc>
          <w:tcPr>
            <w:tcW w:w="3961" w:type="dxa"/>
            <w:tcBorders>
              <w:top w:val="single" w:sz="6" w:space="0" w:color="auto"/>
              <w:left w:val="single" w:sz="6" w:space="0" w:color="auto"/>
              <w:bottom w:val="single" w:sz="6" w:space="0" w:color="auto"/>
              <w:right w:val="single" w:sz="6" w:space="0" w:color="auto"/>
            </w:tcBorders>
            <w:vAlign w:val="bottom"/>
            <w:hideMark/>
          </w:tcPr>
          <w:p w14:paraId="04A1B828" w14:textId="3922B9B7" w:rsidR="0062442A" w:rsidRPr="00CB53F1" w:rsidRDefault="0062442A" w:rsidP="009E4F9A">
            <w:pPr>
              <w:keepNext/>
              <w:spacing w:after="0" w:line="240" w:lineRule="auto"/>
              <w:rPr>
                <w:rFonts w:eastAsia="Aptos" w:cs="Times New Roman"/>
                <w:b/>
                <w:bCs/>
              </w:rPr>
            </w:pPr>
            <w:r w:rsidRPr="00CB53F1">
              <w:rPr>
                <w:rFonts w:eastAsia="Aptos" w:cs="Times New Roman"/>
                <w:b/>
                <w:bCs/>
              </w:rPr>
              <w:t>Tier 1 </w:t>
            </w:r>
          </w:p>
        </w:tc>
        <w:tc>
          <w:tcPr>
            <w:tcW w:w="2835" w:type="dxa"/>
            <w:tcBorders>
              <w:top w:val="single" w:sz="6" w:space="0" w:color="auto"/>
              <w:left w:val="single" w:sz="6" w:space="0" w:color="auto"/>
              <w:bottom w:val="single" w:sz="6" w:space="0" w:color="auto"/>
              <w:right w:val="single" w:sz="6" w:space="0" w:color="auto"/>
            </w:tcBorders>
          </w:tcPr>
          <w:p w14:paraId="4B227A59" w14:textId="7581724A" w:rsidR="0062442A" w:rsidRPr="000861B0" w:rsidRDefault="0062442A" w:rsidP="009E4F9A">
            <w:pPr>
              <w:keepNext/>
              <w:spacing w:after="0" w:line="240" w:lineRule="auto"/>
              <w:rPr>
                <w:rFonts w:eastAsia="Aptos" w:cs="Times New Roman"/>
              </w:rPr>
            </w:pPr>
            <w:r w:rsidRPr="000861B0">
              <w:t xml:space="preserve">118 </w:t>
            </w:r>
          </w:p>
        </w:tc>
        <w:tc>
          <w:tcPr>
            <w:tcW w:w="2977" w:type="dxa"/>
            <w:tcBorders>
              <w:top w:val="single" w:sz="6" w:space="0" w:color="auto"/>
              <w:left w:val="single" w:sz="6" w:space="0" w:color="auto"/>
              <w:bottom w:val="single" w:sz="6" w:space="0" w:color="auto"/>
              <w:right w:val="single" w:sz="6" w:space="0" w:color="auto"/>
            </w:tcBorders>
          </w:tcPr>
          <w:p w14:paraId="04BC7B6E" w14:textId="687435D3" w:rsidR="0062442A" w:rsidRPr="000861B0" w:rsidRDefault="0062442A" w:rsidP="009E4F9A">
            <w:pPr>
              <w:keepNext/>
              <w:spacing w:after="0" w:line="240" w:lineRule="auto"/>
              <w:rPr>
                <w:rFonts w:eastAsia="Aptos" w:cs="Times New Roman"/>
                <w:color w:val="FF0000"/>
              </w:rPr>
            </w:pPr>
            <w:r w:rsidRPr="000861B0">
              <w:rPr>
                <w:color w:val="FF0000"/>
              </w:rPr>
              <w:t xml:space="preserve">-835 </w:t>
            </w:r>
          </w:p>
        </w:tc>
      </w:tr>
      <w:tr w:rsidR="0062442A" w:rsidRPr="000861B0" w14:paraId="617301E6" w14:textId="77777777" w:rsidTr="0058606C">
        <w:trPr>
          <w:trHeight w:val="285"/>
          <w:tblHeader/>
        </w:trPr>
        <w:tc>
          <w:tcPr>
            <w:tcW w:w="3961" w:type="dxa"/>
            <w:tcBorders>
              <w:top w:val="single" w:sz="6" w:space="0" w:color="auto"/>
              <w:left w:val="single" w:sz="6" w:space="0" w:color="auto"/>
              <w:bottom w:val="single" w:sz="6" w:space="0" w:color="auto"/>
              <w:right w:val="single" w:sz="6" w:space="0" w:color="auto"/>
            </w:tcBorders>
            <w:vAlign w:val="bottom"/>
            <w:hideMark/>
          </w:tcPr>
          <w:p w14:paraId="70040342" w14:textId="45364C2E" w:rsidR="0062442A" w:rsidRPr="00CB53F1" w:rsidRDefault="0062442A" w:rsidP="009E4F9A">
            <w:pPr>
              <w:keepNext/>
              <w:spacing w:after="0" w:line="240" w:lineRule="auto"/>
              <w:rPr>
                <w:rFonts w:eastAsia="Aptos" w:cs="Times New Roman"/>
                <w:b/>
                <w:bCs/>
              </w:rPr>
            </w:pPr>
            <w:r w:rsidRPr="00CB53F1">
              <w:rPr>
                <w:rFonts w:eastAsia="Aptos" w:cs="Times New Roman"/>
                <w:b/>
                <w:bCs/>
              </w:rPr>
              <w:t>Tier 2 </w:t>
            </w:r>
          </w:p>
        </w:tc>
        <w:tc>
          <w:tcPr>
            <w:tcW w:w="2835" w:type="dxa"/>
            <w:tcBorders>
              <w:top w:val="single" w:sz="6" w:space="0" w:color="auto"/>
              <w:left w:val="single" w:sz="6" w:space="0" w:color="auto"/>
              <w:bottom w:val="single" w:sz="6" w:space="0" w:color="auto"/>
              <w:right w:val="single" w:sz="6" w:space="0" w:color="auto"/>
            </w:tcBorders>
          </w:tcPr>
          <w:p w14:paraId="64FDF435" w14:textId="022B5A4B" w:rsidR="0062442A" w:rsidRPr="000861B0" w:rsidRDefault="0062442A" w:rsidP="009E4F9A">
            <w:pPr>
              <w:keepNext/>
              <w:spacing w:after="0" w:line="240" w:lineRule="auto"/>
              <w:rPr>
                <w:rFonts w:eastAsia="Aptos" w:cs="Times New Roman"/>
              </w:rPr>
            </w:pPr>
            <w:r w:rsidRPr="000861B0">
              <w:t xml:space="preserve">97 </w:t>
            </w:r>
          </w:p>
        </w:tc>
        <w:tc>
          <w:tcPr>
            <w:tcW w:w="2977" w:type="dxa"/>
            <w:tcBorders>
              <w:top w:val="single" w:sz="6" w:space="0" w:color="auto"/>
              <w:left w:val="single" w:sz="6" w:space="0" w:color="auto"/>
              <w:bottom w:val="single" w:sz="6" w:space="0" w:color="auto"/>
              <w:right w:val="single" w:sz="6" w:space="0" w:color="auto"/>
            </w:tcBorders>
          </w:tcPr>
          <w:p w14:paraId="7D8E918E" w14:textId="5CFED8FB" w:rsidR="0062442A" w:rsidRPr="000861B0" w:rsidRDefault="0062442A" w:rsidP="009E4F9A">
            <w:pPr>
              <w:keepNext/>
              <w:spacing w:after="0" w:line="240" w:lineRule="auto"/>
              <w:rPr>
                <w:rFonts w:eastAsia="Aptos" w:cs="Times New Roman"/>
                <w:color w:val="FF0000"/>
              </w:rPr>
            </w:pPr>
            <w:r w:rsidRPr="000861B0">
              <w:rPr>
                <w:color w:val="FF0000"/>
              </w:rPr>
              <w:t xml:space="preserve">-1,477 </w:t>
            </w:r>
          </w:p>
        </w:tc>
      </w:tr>
      <w:tr w:rsidR="0062442A" w:rsidRPr="000861B0" w14:paraId="6C774797" w14:textId="77777777" w:rsidTr="0058606C">
        <w:trPr>
          <w:trHeight w:val="285"/>
          <w:tblHeader/>
        </w:trPr>
        <w:tc>
          <w:tcPr>
            <w:tcW w:w="3961" w:type="dxa"/>
            <w:tcBorders>
              <w:top w:val="single" w:sz="6" w:space="0" w:color="auto"/>
              <w:left w:val="single" w:sz="6" w:space="0" w:color="auto"/>
              <w:bottom w:val="single" w:sz="6" w:space="0" w:color="auto"/>
              <w:right w:val="single" w:sz="6" w:space="0" w:color="auto"/>
            </w:tcBorders>
            <w:vAlign w:val="bottom"/>
            <w:hideMark/>
          </w:tcPr>
          <w:p w14:paraId="141CC493" w14:textId="50D2F91D" w:rsidR="0062442A" w:rsidRPr="00CB53F1" w:rsidRDefault="0062442A" w:rsidP="009E4F9A">
            <w:pPr>
              <w:keepNext/>
              <w:spacing w:after="0" w:line="240" w:lineRule="auto"/>
              <w:rPr>
                <w:rFonts w:eastAsia="Aptos" w:cs="Times New Roman"/>
                <w:b/>
                <w:bCs/>
              </w:rPr>
            </w:pPr>
            <w:r w:rsidRPr="00CB53F1">
              <w:rPr>
                <w:rFonts w:eastAsia="Aptos" w:cs="Times New Roman"/>
                <w:b/>
                <w:bCs/>
              </w:rPr>
              <w:t>Tier 3 </w:t>
            </w:r>
          </w:p>
        </w:tc>
        <w:tc>
          <w:tcPr>
            <w:tcW w:w="2835" w:type="dxa"/>
            <w:tcBorders>
              <w:top w:val="single" w:sz="6" w:space="0" w:color="auto"/>
              <w:left w:val="single" w:sz="6" w:space="0" w:color="auto"/>
              <w:bottom w:val="single" w:sz="6" w:space="0" w:color="auto"/>
              <w:right w:val="single" w:sz="6" w:space="0" w:color="auto"/>
            </w:tcBorders>
          </w:tcPr>
          <w:p w14:paraId="2EAE0416" w14:textId="7D8890CD" w:rsidR="0062442A" w:rsidRPr="000861B0" w:rsidRDefault="0062442A" w:rsidP="009E4F9A">
            <w:pPr>
              <w:keepNext/>
              <w:spacing w:after="0" w:line="240" w:lineRule="auto"/>
              <w:rPr>
                <w:rFonts w:eastAsia="Aptos" w:cs="Times New Roman"/>
                <w:color w:val="FF0000"/>
              </w:rPr>
            </w:pPr>
            <w:r w:rsidRPr="000861B0">
              <w:rPr>
                <w:color w:val="FF0000"/>
              </w:rPr>
              <w:t xml:space="preserve">-4 </w:t>
            </w:r>
          </w:p>
        </w:tc>
        <w:tc>
          <w:tcPr>
            <w:tcW w:w="2977" w:type="dxa"/>
            <w:tcBorders>
              <w:top w:val="single" w:sz="6" w:space="0" w:color="auto"/>
              <w:left w:val="single" w:sz="6" w:space="0" w:color="auto"/>
              <w:bottom w:val="single" w:sz="6" w:space="0" w:color="auto"/>
              <w:right w:val="single" w:sz="6" w:space="0" w:color="auto"/>
            </w:tcBorders>
          </w:tcPr>
          <w:p w14:paraId="64DF7ACF" w14:textId="486637AA" w:rsidR="0062442A" w:rsidRPr="000861B0" w:rsidRDefault="0062442A" w:rsidP="009E4F9A">
            <w:pPr>
              <w:keepNext/>
              <w:spacing w:after="0" w:line="240" w:lineRule="auto"/>
              <w:rPr>
                <w:rFonts w:eastAsia="Aptos" w:cs="Times New Roman"/>
                <w:color w:val="FF0000"/>
              </w:rPr>
            </w:pPr>
            <w:r w:rsidRPr="000861B0">
              <w:rPr>
                <w:color w:val="FF0000"/>
              </w:rPr>
              <w:t xml:space="preserve">-11 </w:t>
            </w:r>
          </w:p>
        </w:tc>
      </w:tr>
    </w:tbl>
    <w:p w14:paraId="25A36C36" w14:textId="2C7EF98D" w:rsidR="00105CEC" w:rsidRPr="009968D1" w:rsidRDefault="00105CEC" w:rsidP="000157E6">
      <w:pPr>
        <w:rPr>
          <w:sz w:val="18"/>
          <w:szCs w:val="18"/>
        </w:rPr>
      </w:pPr>
      <w:r w:rsidRPr="009968D1">
        <w:rPr>
          <w:sz w:val="18"/>
          <w:szCs w:val="18"/>
        </w:rPr>
        <w:t>Note</w:t>
      </w:r>
      <w:r w:rsidR="009968D1">
        <w:rPr>
          <w:sz w:val="18"/>
          <w:szCs w:val="18"/>
        </w:rPr>
        <w:t>s</w:t>
      </w:r>
      <w:r w:rsidRPr="009968D1">
        <w:rPr>
          <w:sz w:val="18"/>
          <w:szCs w:val="18"/>
        </w:rPr>
        <w:t xml:space="preserve">: </w:t>
      </w:r>
      <w:r w:rsidR="009523CD" w:rsidRPr="009968D1">
        <w:rPr>
          <w:sz w:val="18"/>
          <w:szCs w:val="18"/>
        </w:rPr>
        <w:t>The increase in i</w:t>
      </w:r>
      <w:r w:rsidRPr="009968D1">
        <w:rPr>
          <w:sz w:val="18"/>
          <w:szCs w:val="18"/>
        </w:rPr>
        <w:t xml:space="preserve">nsured people aged &lt;65 years in the Base, Tier 1 and Tier 2 incomes tiers </w:t>
      </w:r>
      <w:r w:rsidR="009523CD" w:rsidRPr="009968D1">
        <w:rPr>
          <w:sz w:val="18"/>
          <w:szCs w:val="18"/>
        </w:rPr>
        <w:t>is</w:t>
      </w:r>
      <w:r w:rsidRPr="009968D1">
        <w:rPr>
          <w:sz w:val="18"/>
          <w:szCs w:val="18"/>
        </w:rPr>
        <w:t xml:space="preserve"> due to the RAF being </w:t>
      </w:r>
      <w:r w:rsidR="00FA5B6F">
        <w:rPr>
          <w:sz w:val="18"/>
          <w:szCs w:val="18"/>
        </w:rPr>
        <w:t>set to 1</w:t>
      </w:r>
      <w:r w:rsidR="00FA5B6F" w:rsidRPr="009968D1">
        <w:rPr>
          <w:sz w:val="18"/>
          <w:szCs w:val="18"/>
        </w:rPr>
        <w:t xml:space="preserve"> </w:t>
      </w:r>
      <w:r w:rsidRPr="009968D1">
        <w:rPr>
          <w:sz w:val="18"/>
          <w:szCs w:val="18"/>
        </w:rPr>
        <w:t xml:space="preserve">on 1 April 2027 (i.e. the Rebate rate </w:t>
      </w:r>
      <w:r w:rsidR="00A1674A" w:rsidRPr="009968D1">
        <w:rPr>
          <w:sz w:val="18"/>
          <w:szCs w:val="18"/>
        </w:rPr>
        <w:t xml:space="preserve">for these cohorts </w:t>
      </w:r>
      <w:r w:rsidRPr="009968D1">
        <w:rPr>
          <w:sz w:val="18"/>
          <w:szCs w:val="18"/>
        </w:rPr>
        <w:t xml:space="preserve">is assumed to be slightly higher </w:t>
      </w:r>
      <w:r w:rsidR="00A1674A" w:rsidRPr="009968D1">
        <w:rPr>
          <w:sz w:val="18"/>
          <w:szCs w:val="18"/>
        </w:rPr>
        <w:t xml:space="preserve">than under Status Quo). </w:t>
      </w:r>
      <w:r w:rsidR="009523CD" w:rsidRPr="009968D1">
        <w:rPr>
          <w:sz w:val="18"/>
          <w:szCs w:val="18"/>
        </w:rPr>
        <w:t>The decrease in i</w:t>
      </w:r>
      <w:r w:rsidR="00A1674A" w:rsidRPr="009968D1">
        <w:rPr>
          <w:sz w:val="18"/>
          <w:szCs w:val="18"/>
        </w:rPr>
        <w:t>nsu</w:t>
      </w:r>
      <w:r w:rsidR="009523CD" w:rsidRPr="009968D1">
        <w:rPr>
          <w:sz w:val="18"/>
          <w:szCs w:val="18"/>
        </w:rPr>
        <w:t>r</w:t>
      </w:r>
      <w:r w:rsidR="00A1674A" w:rsidRPr="009968D1">
        <w:rPr>
          <w:sz w:val="18"/>
          <w:szCs w:val="18"/>
        </w:rPr>
        <w:t xml:space="preserve">ed people in Tier 3 </w:t>
      </w:r>
      <w:r w:rsidR="007E1745">
        <w:rPr>
          <w:sz w:val="18"/>
          <w:szCs w:val="18"/>
        </w:rPr>
        <w:t>is</w:t>
      </w:r>
      <w:r w:rsidR="00A1674A" w:rsidRPr="009968D1">
        <w:rPr>
          <w:sz w:val="18"/>
          <w:szCs w:val="18"/>
        </w:rPr>
        <w:t xml:space="preserve"> </w:t>
      </w:r>
      <w:r w:rsidR="009523CD" w:rsidRPr="009968D1">
        <w:rPr>
          <w:sz w:val="18"/>
          <w:szCs w:val="18"/>
        </w:rPr>
        <w:t xml:space="preserve">due to </w:t>
      </w:r>
      <w:r w:rsidR="009968D1" w:rsidRPr="009968D1">
        <w:rPr>
          <w:sz w:val="18"/>
          <w:szCs w:val="18"/>
        </w:rPr>
        <w:t xml:space="preserve">people in Tier 2 dropping out in 2027-28 who would have otherwise moved to Tier 3 in 2028-29 due to income tier indexation. </w:t>
      </w:r>
    </w:p>
    <w:p w14:paraId="78A5CA79" w14:textId="1E38547E" w:rsidR="0062442A" w:rsidRPr="000861B0" w:rsidRDefault="0062442A" w:rsidP="0092155A">
      <w:pPr>
        <w:pStyle w:val="Heading3"/>
      </w:pPr>
      <w:r w:rsidRPr="0011EF4A" w:rsidDel="00D95557">
        <w:t xml:space="preserve">Table </w:t>
      </w:r>
      <w:r w:rsidR="00294152">
        <w:rPr>
          <w:bCs/>
        </w:rPr>
        <w:t>1</w:t>
      </w:r>
      <w:r w:rsidR="0092155A">
        <w:rPr>
          <w:bCs/>
        </w:rPr>
        <w:t>3</w:t>
      </w:r>
      <w:r w:rsidRPr="000861B0">
        <w:t xml:space="preserve">: </w:t>
      </w:r>
      <w:r w:rsidR="00D92E52">
        <w:t>E</w:t>
      </w:r>
      <w:r w:rsidRPr="000861B0">
        <w:t xml:space="preserve">xpected change in number of insured people </w:t>
      </w:r>
      <w:r w:rsidR="00704494">
        <w:rPr>
          <w:bCs/>
        </w:rPr>
        <w:t xml:space="preserve">(non-dependents) </w:t>
      </w:r>
      <w:r w:rsidRPr="000861B0">
        <w:t xml:space="preserve">in 2028-29 by age and income tier </w:t>
      </w:r>
      <w:r w:rsidR="00CD1D81">
        <w:t>for Option 3 compared to Option 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able outlines the expected change in the number of insured non-dependent persons in 2028-29 under Option 3 compared to Option 1, broken down by age and tier. The largest decrease is expected in the Base Tier 65+ years group (-36,193 people), with smaller decreases in the other 3 tiers for people 65+ and for people aged 18-64 years in T1, T2 and T3."/>
      </w:tblPr>
      <w:tblGrid>
        <w:gridCol w:w="3964"/>
        <w:gridCol w:w="2835"/>
        <w:gridCol w:w="2977"/>
      </w:tblGrid>
      <w:tr w:rsidR="0062442A" w:rsidRPr="000861B0" w14:paraId="0BF2F956" w14:textId="77777777" w:rsidTr="0058606C">
        <w:trPr>
          <w:trHeight w:val="285"/>
          <w:tblHeader/>
        </w:trPr>
        <w:tc>
          <w:tcPr>
            <w:tcW w:w="3964" w:type="dxa"/>
            <w:shd w:val="clear" w:color="auto" w:fill="1C2B39" w:themeFill="accent1"/>
            <w:vAlign w:val="bottom"/>
            <w:hideMark/>
          </w:tcPr>
          <w:p w14:paraId="0B557507" w14:textId="62B29599" w:rsidR="0062442A" w:rsidRPr="000861B0" w:rsidRDefault="0062442A" w:rsidP="009E4F9A">
            <w:pPr>
              <w:keepNext/>
              <w:spacing w:after="0" w:line="240" w:lineRule="auto"/>
              <w:rPr>
                <w:rFonts w:eastAsia="Aptos" w:cs="Times New Roman"/>
              </w:rPr>
            </w:pPr>
            <w:r w:rsidRPr="000861B0">
              <w:rPr>
                <w:rFonts w:eastAsia="Aptos" w:cs="Times New Roman"/>
              </w:rPr>
              <w:t>  </w:t>
            </w:r>
          </w:p>
        </w:tc>
        <w:tc>
          <w:tcPr>
            <w:tcW w:w="2835" w:type="dxa"/>
            <w:shd w:val="clear" w:color="auto" w:fill="1C2B39" w:themeFill="accent1"/>
            <w:vAlign w:val="bottom"/>
            <w:hideMark/>
          </w:tcPr>
          <w:p w14:paraId="687744C3" w14:textId="4BFA5993" w:rsidR="0062442A" w:rsidRPr="00CB53F1" w:rsidRDefault="0062442A" w:rsidP="009E4F9A">
            <w:pPr>
              <w:keepNext/>
              <w:spacing w:after="0" w:line="240" w:lineRule="auto"/>
              <w:rPr>
                <w:rFonts w:eastAsia="Aptos" w:cs="Times New Roman"/>
                <w:b/>
                <w:bCs/>
              </w:rPr>
            </w:pPr>
            <w:r w:rsidRPr="00CB53F1">
              <w:rPr>
                <w:rFonts w:eastAsia="Aptos" w:cs="Times New Roman"/>
                <w:b/>
                <w:bCs/>
              </w:rPr>
              <w:t>18-64 years </w:t>
            </w:r>
          </w:p>
        </w:tc>
        <w:tc>
          <w:tcPr>
            <w:tcW w:w="2977" w:type="dxa"/>
            <w:shd w:val="clear" w:color="auto" w:fill="1C2B39" w:themeFill="accent1"/>
            <w:vAlign w:val="bottom"/>
            <w:hideMark/>
          </w:tcPr>
          <w:p w14:paraId="4295E806" w14:textId="0489CFED" w:rsidR="0062442A" w:rsidRPr="00CB53F1" w:rsidRDefault="0062442A" w:rsidP="009E4F9A">
            <w:pPr>
              <w:keepNext/>
              <w:spacing w:after="0" w:line="240" w:lineRule="auto"/>
              <w:rPr>
                <w:rFonts w:eastAsia="Aptos" w:cs="Times New Roman"/>
                <w:b/>
                <w:bCs/>
              </w:rPr>
            </w:pPr>
            <w:r w:rsidRPr="00CB53F1">
              <w:rPr>
                <w:rFonts w:eastAsia="Aptos" w:cs="Times New Roman"/>
                <w:b/>
                <w:bCs/>
              </w:rPr>
              <w:t>65+ years </w:t>
            </w:r>
          </w:p>
        </w:tc>
      </w:tr>
      <w:tr w:rsidR="0062442A" w:rsidRPr="000861B0" w14:paraId="11F31076" w14:textId="77777777" w:rsidTr="0058606C">
        <w:trPr>
          <w:trHeight w:val="285"/>
          <w:tblHeader/>
        </w:trPr>
        <w:tc>
          <w:tcPr>
            <w:tcW w:w="3964" w:type="dxa"/>
            <w:vAlign w:val="bottom"/>
            <w:hideMark/>
          </w:tcPr>
          <w:p w14:paraId="035412D7" w14:textId="3BC13353" w:rsidR="0062442A" w:rsidRPr="00CB53F1" w:rsidRDefault="0062442A" w:rsidP="009E4F9A">
            <w:pPr>
              <w:keepNext/>
              <w:spacing w:after="0" w:line="240" w:lineRule="auto"/>
              <w:rPr>
                <w:rFonts w:eastAsia="Aptos" w:cs="Times New Roman"/>
                <w:b/>
                <w:bCs/>
              </w:rPr>
            </w:pPr>
            <w:r w:rsidRPr="00CB53F1">
              <w:rPr>
                <w:rFonts w:eastAsia="Aptos" w:cs="Times New Roman"/>
                <w:b/>
                <w:bCs/>
              </w:rPr>
              <w:t>Base Tier </w:t>
            </w:r>
          </w:p>
        </w:tc>
        <w:tc>
          <w:tcPr>
            <w:tcW w:w="2835" w:type="dxa"/>
          </w:tcPr>
          <w:p w14:paraId="4B63773B" w14:textId="4DD59A5A" w:rsidR="0062442A" w:rsidRPr="000861B0" w:rsidRDefault="0062442A" w:rsidP="009E4F9A">
            <w:pPr>
              <w:keepNext/>
              <w:spacing w:after="0" w:line="240" w:lineRule="auto"/>
              <w:rPr>
                <w:rFonts w:eastAsia="Aptos" w:cs="Times New Roman"/>
              </w:rPr>
            </w:pPr>
            <w:r w:rsidRPr="000861B0">
              <w:t xml:space="preserve">7,885 </w:t>
            </w:r>
          </w:p>
        </w:tc>
        <w:tc>
          <w:tcPr>
            <w:tcW w:w="2977" w:type="dxa"/>
          </w:tcPr>
          <w:p w14:paraId="41E1E3F5" w14:textId="11B64341" w:rsidR="0062442A" w:rsidRPr="000861B0" w:rsidRDefault="0062442A" w:rsidP="009E4F9A">
            <w:pPr>
              <w:keepNext/>
              <w:spacing w:after="0" w:line="240" w:lineRule="auto"/>
              <w:rPr>
                <w:rFonts w:eastAsia="Aptos" w:cs="Times New Roman"/>
                <w:color w:val="FF0000"/>
              </w:rPr>
            </w:pPr>
            <w:r w:rsidRPr="000861B0">
              <w:rPr>
                <w:color w:val="FF0000"/>
              </w:rPr>
              <w:t xml:space="preserve">-36,193 </w:t>
            </w:r>
          </w:p>
        </w:tc>
      </w:tr>
      <w:tr w:rsidR="0062442A" w:rsidRPr="000861B0" w14:paraId="31265D8D" w14:textId="77777777" w:rsidTr="0058606C">
        <w:trPr>
          <w:trHeight w:val="285"/>
          <w:tblHeader/>
        </w:trPr>
        <w:tc>
          <w:tcPr>
            <w:tcW w:w="3964" w:type="dxa"/>
            <w:vAlign w:val="bottom"/>
            <w:hideMark/>
          </w:tcPr>
          <w:p w14:paraId="34CB4C45" w14:textId="0251DE62" w:rsidR="0062442A" w:rsidRPr="00CB53F1" w:rsidRDefault="0062442A" w:rsidP="009E4F9A">
            <w:pPr>
              <w:keepNext/>
              <w:spacing w:after="0" w:line="240" w:lineRule="auto"/>
              <w:rPr>
                <w:rFonts w:eastAsia="Aptos" w:cs="Times New Roman"/>
                <w:b/>
                <w:bCs/>
              </w:rPr>
            </w:pPr>
            <w:r w:rsidRPr="00CB53F1">
              <w:rPr>
                <w:rFonts w:eastAsia="Aptos" w:cs="Times New Roman"/>
                <w:b/>
                <w:bCs/>
              </w:rPr>
              <w:t>Tier 1 </w:t>
            </w:r>
          </w:p>
        </w:tc>
        <w:tc>
          <w:tcPr>
            <w:tcW w:w="2835" w:type="dxa"/>
          </w:tcPr>
          <w:p w14:paraId="7639BEE4" w14:textId="6ACAEB76" w:rsidR="0062442A" w:rsidRPr="000861B0" w:rsidRDefault="0062442A" w:rsidP="009E4F9A">
            <w:pPr>
              <w:keepNext/>
              <w:spacing w:after="0" w:line="240" w:lineRule="auto"/>
              <w:rPr>
                <w:rFonts w:eastAsia="Aptos" w:cs="Times New Roman"/>
                <w:color w:val="FF0000"/>
              </w:rPr>
            </w:pPr>
            <w:r w:rsidRPr="000861B0">
              <w:rPr>
                <w:color w:val="FF0000"/>
              </w:rPr>
              <w:t xml:space="preserve">-4,419 </w:t>
            </w:r>
          </w:p>
        </w:tc>
        <w:tc>
          <w:tcPr>
            <w:tcW w:w="2977" w:type="dxa"/>
          </w:tcPr>
          <w:p w14:paraId="205D2A24" w14:textId="0059E1CA" w:rsidR="0062442A" w:rsidRPr="000861B0" w:rsidRDefault="0062442A" w:rsidP="009E4F9A">
            <w:pPr>
              <w:keepNext/>
              <w:spacing w:after="0" w:line="240" w:lineRule="auto"/>
              <w:rPr>
                <w:rFonts w:eastAsia="Aptos" w:cs="Times New Roman"/>
                <w:color w:val="FF0000"/>
              </w:rPr>
            </w:pPr>
            <w:r w:rsidRPr="000861B0">
              <w:rPr>
                <w:color w:val="FF0000"/>
              </w:rPr>
              <w:t xml:space="preserve">-1,873 </w:t>
            </w:r>
          </w:p>
        </w:tc>
      </w:tr>
      <w:tr w:rsidR="0062442A" w:rsidRPr="000861B0" w14:paraId="20F50564" w14:textId="77777777" w:rsidTr="0058606C">
        <w:trPr>
          <w:trHeight w:val="285"/>
          <w:tblHeader/>
        </w:trPr>
        <w:tc>
          <w:tcPr>
            <w:tcW w:w="3964" w:type="dxa"/>
            <w:vAlign w:val="bottom"/>
            <w:hideMark/>
          </w:tcPr>
          <w:p w14:paraId="27DFC616" w14:textId="575C9C90" w:rsidR="0062442A" w:rsidRPr="00CB53F1" w:rsidRDefault="0062442A" w:rsidP="009E4F9A">
            <w:pPr>
              <w:keepNext/>
              <w:spacing w:after="0" w:line="240" w:lineRule="auto"/>
              <w:rPr>
                <w:rFonts w:eastAsia="Aptos" w:cs="Times New Roman"/>
                <w:b/>
                <w:bCs/>
              </w:rPr>
            </w:pPr>
            <w:r w:rsidRPr="00CB53F1">
              <w:rPr>
                <w:rFonts w:eastAsia="Aptos" w:cs="Times New Roman"/>
                <w:b/>
                <w:bCs/>
              </w:rPr>
              <w:t>Tier 2 </w:t>
            </w:r>
          </w:p>
        </w:tc>
        <w:tc>
          <w:tcPr>
            <w:tcW w:w="2835" w:type="dxa"/>
          </w:tcPr>
          <w:p w14:paraId="4EBF07FE" w14:textId="6C864A74" w:rsidR="0062442A" w:rsidRPr="000861B0" w:rsidRDefault="0062442A" w:rsidP="009E4F9A">
            <w:pPr>
              <w:keepNext/>
              <w:spacing w:after="0" w:line="240" w:lineRule="auto"/>
              <w:rPr>
                <w:rFonts w:eastAsia="Aptos" w:cs="Times New Roman"/>
                <w:color w:val="FF0000"/>
              </w:rPr>
            </w:pPr>
            <w:r w:rsidRPr="000861B0">
              <w:rPr>
                <w:color w:val="FF0000"/>
              </w:rPr>
              <w:t xml:space="preserve">-10,388 </w:t>
            </w:r>
          </w:p>
        </w:tc>
        <w:tc>
          <w:tcPr>
            <w:tcW w:w="2977" w:type="dxa"/>
          </w:tcPr>
          <w:p w14:paraId="11A2787D" w14:textId="02BCCF74" w:rsidR="0062442A" w:rsidRPr="000861B0" w:rsidRDefault="0062442A" w:rsidP="009E4F9A">
            <w:pPr>
              <w:keepNext/>
              <w:spacing w:after="0" w:line="240" w:lineRule="auto"/>
              <w:rPr>
                <w:rFonts w:eastAsia="Aptos" w:cs="Times New Roman"/>
                <w:color w:val="FF0000"/>
              </w:rPr>
            </w:pPr>
            <w:r w:rsidRPr="000861B0">
              <w:rPr>
                <w:color w:val="FF0000"/>
              </w:rPr>
              <w:t xml:space="preserve">-4,006 </w:t>
            </w:r>
          </w:p>
        </w:tc>
      </w:tr>
      <w:tr w:rsidR="0062442A" w:rsidRPr="000861B0" w14:paraId="2F764F84" w14:textId="77777777" w:rsidTr="0058606C">
        <w:trPr>
          <w:trHeight w:val="285"/>
          <w:tblHeader/>
        </w:trPr>
        <w:tc>
          <w:tcPr>
            <w:tcW w:w="3964" w:type="dxa"/>
            <w:vAlign w:val="bottom"/>
            <w:hideMark/>
          </w:tcPr>
          <w:p w14:paraId="72DC86B8" w14:textId="72CCF57E" w:rsidR="0062442A" w:rsidRPr="00CB53F1" w:rsidRDefault="0062442A" w:rsidP="009E4F9A">
            <w:pPr>
              <w:spacing w:after="0" w:line="240" w:lineRule="auto"/>
              <w:rPr>
                <w:rFonts w:eastAsia="Aptos" w:cs="Times New Roman"/>
                <w:b/>
                <w:bCs/>
              </w:rPr>
            </w:pPr>
            <w:r w:rsidRPr="00CB53F1">
              <w:rPr>
                <w:rFonts w:eastAsia="Aptos" w:cs="Times New Roman"/>
                <w:b/>
                <w:bCs/>
              </w:rPr>
              <w:t>Tier 3 </w:t>
            </w:r>
          </w:p>
        </w:tc>
        <w:tc>
          <w:tcPr>
            <w:tcW w:w="2835" w:type="dxa"/>
          </w:tcPr>
          <w:p w14:paraId="1129464B" w14:textId="6D1A83AC" w:rsidR="0062442A" w:rsidRPr="000861B0" w:rsidRDefault="0062442A" w:rsidP="009E4F9A">
            <w:pPr>
              <w:spacing w:after="0" w:line="240" w:lineRule="auto"/>
              <w:rPr>
                <w:rFonts w:eastAsia="Aptos" w:cs="Times New Roman"/>
                <w:color w:val="FF0000"/>
              </w:rPr>
            </w:pPr>
            <w:r w:rsidRPr="000861B0">
              <w:rPr>
                <w:color w:val="FF0000"/>
              </w:rPr>
              <w:t xml:space="preserve">-150 </w:t>
            </w:r>
          </w:p>
        </w:tc>
        <w:tc>
          <w:tcPr>
            <w:tcW w:w="2977" w:type="dxa"/>
          </w:tcPr>
          <w:p w14:paraId="777A720D" w14:textId="3143309E" w:rsidR="0062442A" w:rsidRPr="000861B0" w:rsidRDefault="0062442A" w:rsidP="009E4F9A">
            <w:pPr>
              <w:spacing w:after="0" w:line="240" w:lineRule="auto"/>
              <w:rPr>
                <w:rFonts w:eastAsia="Aptos" w:cs="Times New Roman"/>
                <w:color w:val="FF0000"/>
              </w:rPr>
            </w:pPr>
            <w:r w:rsidRPr="000861B0">
              <w:rPr>
                <w:color w:val="FF0000"/>
              </w:rPr>
              <w:t xml:space="preserve">-60 </w:t>
            </w:r>
          </w:p>
        </w:tc>
      </w:tr>
    </w:tbl>
    <w:p w14:paraId="1078D0DA" w14:textId="1E37A3F5" w:rsidR="009968D1" w:rsidRPr="000157E6" w:rsidRDefault="009968D1" w:rsidP="000157E6">
      <w:pPr>
        <w:rPr>
          <w:sz w:val="18"/>
          <w:szCs w:val="18"/>
        </w:rPr>
      </w:pPr>
      <w:r w:rsidRPr="000157E6">
        <w:rPr>
          <w:sz w:val="18"/>
          <w:szCs w:val="18"/>
        </w:rPr>
        <w:t xml:space="preserve">Note: The decrease in insured people in Tier 3 </w:t>
      </w:r>
      <w:r w:rsidR="007E1745" w:rsidRPr="000157E6">
        <w:rPr>
          <w:sz w:val="18"/>
          <w:szCs w:val="18"/>
        </w:rPr>
        <w:t>is</w:t>
      </w:r>
      <w:r w:rsidRPr="000157E6">
        <w:rPr>
          <w:sz w:val="18"/>
          <w:szCs w:val="18"/>
        </w:rPr>
        <w:t xml:space="preserve"> due to a people in Tier 2 dropping out in 2027-28 who would have otherwise moved to Tier 3 in 2028-29 due to income tier indexation. </w:t>
      </w:r>
    </w:p>
    <w:p w14:paraId="3F41AD05" w14:textId="6F515B9B" w:rsidR="0082664D" w:rsidRDefault="007734E2" w:rsidP="0082664D">
      <w:pPr>
        <w:spacing w:before="240"/>
      </w:pPr>
      <w:r>
        <w:t>T</w:t>
      </w:r>
      <w:r w:rsidR="00BE25B2">
        <w:t xml:space="preserve">able </w:t>
      </w:r>
      <w:r>
        <w:t>1</w:t>
      </w:r>
      <w:r w:rsidR="00B36F62">
        <w:t>4</w:t>
      </w:r>
      <w:r>
        <w:t xml:space="preserve"> </w:t>
      </w:r>
      <w:r w:rsidR="00163891">
        <w:t>shows</w:t>
      </w:r>
      <w:r w:rsidR="00E602D8">
        <w:t xml:space="preserve"> the projected relative change in the number of people insured in 2028-29 under Option 2 and Option 3 compared to Option 1, in the context of:</w:t>
      </w:r>
    </w:p>
    <w:p w14:paraId="77333DB2" w14:textId="5A7A0E75" w:rsidR="00BE25B2" w:rsidRDefault="00E602D8" w:rsidP="00061104">
      <w:pPr>
        <w:pStyle w:val="ListParagraph"/>
        <w:numPr>
          <w:ilvl w:val="0"/>
          <w:numId w:val="37"/>
        </w:numPr>
        <w:spacing w:before="240"/>
      </w:pPr>
      <w:r>
        <w:t xml:space="preserve">only the </w:t>
      </w:r>
      <w:r w:rsidR="00E42E5A">
        <w:t xml:space="preserve">directly </w:t>
      </w:r>
      <w:r w:rsidR="009E7B2D">
        <w:t xml:space="preserve">impacted </w:t>
      </w:r>
      <w:r>
        <w:t>cohort, which is:</w:t>
      </w:r>
    </w:p>
    <w:p w14:paraId="3F945B41" w14:textId="0272A208" w:rsidR="00E602D8" w:rsidRDefault="00E602D8" w:rsidP="00061104">
      <w:pPr>
        <w:pStyle w:val="ListParagraph"/>
        <w:numPr>
          <w:ilvl w:val="1"/>
          <w:numId w:val="37"/>
        </w:numPr>
        <w:spacing w:before="240"/>
      </w:pPr>
      <w:r>
        <w:t xml:space="preserve">Option 2 – </w:t>
      </w:r>
      <w:r w:rsidR="00016503">
        <w:t>non-dependents</w:t>
      </w:r>
      <w:r>
        <w:t xml:space="preserve"> aged 65</w:t>
      </w:r>
      <w:r w:rsidR="00FD2A91">
        <w:t>+</w:t>
      </w:r>
      <w:r>
        <w:t xml:space="preserve"> in the Base Tier, Tier 1 and </w:t>
      </w:r>
      <w:r w:rsidR="000A4574">
        <w:t xml:space="preserve">Tier </w:t>
      </w:r>
      <w:r>
        <w:t>2</w:t>
      </w:r>
    </w:p>
    <w:p w14:paraId="0D4D1564" w14:textId="354E0031" w:rsidR="00E602D8" w:rsidRDefault="00E602D8" w:rsidP="00061104">
      <w:pPr>
        <w:pStyle w:val="ListParagraph"/>
        <w:numPr>
          <w:ilvl w:val="1"/>
          <w:numId w:val="37"/>
        </w:numPr>
        <w:spacing w:before="240"/>
      </w:pPr>
      <w:r>
        <w:t xml:space="preserve">Option 3 – </w:t>
      </w:r>
      <w:r w:rsidR="00FD2A91">
        <w:t>non-dependents aged 18</w:t>
      </w:r>
      <w:r w:rsidR="00B1667E">
        <w:t>-64 and 65</w:t>
      </w:r>
      <w:r w:rsidR="00FD2A91">
        <w:t>+ in the Base Tier, Tier 1 and Tier 2</w:t>
      </w:r>
    </w:p>
    <w:p w14:paraId="47341E9F" w14:textId="44157EFA" w:rsidR="00E602D8" w:rsidRDefault="00E602D8" w:rsidP="00061104">
      <w:pPr>
        <w:pStyle w:val="ListParagraph"/>
        <w:numPr>
          <w:ilvl w:val="0"/>
          <w:numId w:val="37"/>
        </w:numPr>
        <w:spacing w:before="240"/>
      </w:pPr>
      <w:r>
        <w:t xml:space="preserve">the </w:t>
      </w:r>
      <w:r w:rsidR="00AC7412">
        <w:t>total change in the insured population</w:t>
      </w:r>
      <w:r w:rsidR="00FD1B1C">
        <w:t>, across all age</w:t>
      </w:r>
      <w:r w:rsidR="00480D55">
        <w:t xml:space="preserve"> and </w:t>
      </w:r>
      <w:r w:rsidR="00FD1B1C">
        <w:t>income cohorts</w:t>
      </w:r>
      <w:r w:rsidR="00594ED0">
        <w:t xml:space="preserve"> (as shown in Tables 1</w:t>
      </w:r>
      <w:r w:rsidR="00B36F62">
        <w:t>2</w:t>
      </w:r>
      <w:r w:rsidR="00594ED0">
        <w:t xml:space="preserve"> and 1</w:t>
      </w:r>
      <w:r w:rsidR="00B36F62">
        <w:t>3</w:t>
      </w:r>
      <w:r w:rsidR="00594ED0">
        <w:t>)</w:t>
      </w:r>
      <w:r w:rsidR="004F5C5C">
        <w:t>.</w:t>
      </w:r>
    </w:p>
    <w:p w14:paraId="2D2062FA" w14:textId="6F2DD772" w:rsidR="00F81C1D" w:rsidRPr="00F81C1D" w:rsidRDefault="00F81C1D" w:rsidP="00B36F62">
      <w:pPr>
        <w:pStyle w:val="Heading3"/>
      </w:pPr>
      <w:r w:rsidRPr="0011EF4A" w:rsidDel="00D95557">
        <w:t xml:space="preserve">Table </w:t>
      </w:r>
      <w:r w:rsidR="001D4A0B">
        <w:rPr>
          <w:bCs/>
        </w:rPr>
        <w:t>1</w:t>
      </w:r>
      <w:r w:rsidR="00B36F62">
        <w:rPr>
          <w:bCs/>
        </w:rPr>
        <w:t>4</w:t>
      </w:r>
      <w:r w:rsidRPr="000861B0">
        <w:t xml:space="preserve">: </w:t>
      </w:r>
      <w:r w:rsidR="00873FD3">
        <w:t xml:space="preserve">expected change in the number of insured people in 2028-29 (not including dependents) compared with </w:t>
      </w:r>
      <w:r w:rsidR="009D2085">
        <w:t>Option 1</w:t>
      </w:r>
      <w:r w:rsidR="00873FD3">
        <w:t xml:space="preserve">, as presented in Tables </w:t>
      </w:r>
      <w:r w:rsidR="001D4A0B">
        <w:t>1</w:t>
      </w:r>
      <w:r w:rsidR="00B36F62">
        <w:t>2</w:t>
      </w:r>
      <w:r w:rsidR="00873FD3">
        <w:t xml:space="preserve"> and </w:t>
      </w:r>
      <w:r w:rsidR="001D4A0B">
        <w:t>1</w:t>
      </w:r>
      <w:r w:rsidR="00B36F62">
        <w:t>3</w:t>
      </w:r>
      <w:r w:rsidR="00873FD3">
        <w:t xml:space="preserve"> above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4" w:type="dxa"/>
          <w:right w:w="74" w:type="dxa"/>
        </w:tblCellMar>
        <w:tblLook w:val="04A0" w:firstRow="1" w:lastRow="0" w:firstColumn="1" w:lastColumn="0" w:noHBand="0" w:noVBand="1"/>
        <w:tblDescription w:val="Table outlines the the expected change for Option 2 and 3 in the number of insured non-dependent persons in 2029-29 compared with Option 1. Two rows are presented on the different ways the expected change can be calculated: among those directly affected by the option, and among the total insured population. All figures show decreases between 42,300 and 49,300 people, with larger increases for Option 3 compared to Option 2."/>
      </w:tblPr>
      <w:tblGrid>
        <w:gridCol w:w="6799"/>
        <w:gridCol w:w="1418"/>
        <w:gridCol w:w="1559"/>
      </w:tblGrid>
      <w:tr w:rsidR="004F5C5C" w:rsidRPr="00CB53F1" w14:paraId="0E162C18" w14:textId="77777777" w:rsidTr="0058606C">
        <w:trPr>
          <w:trHeight w:val="285"/>
          <w:tblHeader/>
        </w:trPr>
        <w:tc>
          <w:tcPr>
            <w:tcW w:w="6799" w:type="dxa"/>
            <w:shd w:val="clear" w:color="auto" w:fill="1C2B39" w:themeFill="accent1"/>
            <w:vAlign w:val="bottom"/>
            <w:hideMark/>
          </w:tcPr>
          <w:p w14:paraId="383C306C" w14:textId="74CF92D6" w:rsidR="004F5C5C" w:rsidRPr="000861B0" w:rsidRDefault="00E26337" w:rsidP="009E4F9A">
            <w:pPr>
              <w:keepNext/>
              <w:spacing w:after="0" w:line="240" w:lineRule="auto"/>
              <w:rPr>
                <w:rFonts w:eastAsia="Aptos" w:cs="Times New Roman"/>
              </w:rPr>
            </w:pPr>
            <w:r w:rsidRPr="00E26337">
              <w:rPr>
                <w:rFonts w:eastAsia="Aptos" w:cs="Times New Roman"/>
                <w:b/>
                <w:bCs/>
              </w:rPr>
              <w:t>Measurement</w:t>
            </w:r>
          </w:p>
        </w:tc>
        <w:tc>
          <w:tcPr>
            <w:tcW w:w="1418" w:type="dxa"/>
            <w:shd w:val="clear" w:color="auto" w:fill="1C2B39" w:themeFill="accent1"/>
            <w:vAlign w:val="bottom"/>
            <w:hideMark/>
          </w:tcPr>
          <w:p w14:paraId="781A619E" w14:textId="48946FCB" w:rsidR="004F5C5C" w:rsidRPr="00CB53F1" w:rsidRDefault="004F5C5C" w:rsidP="009E4F9A">
            <w:pPr>
              <w:keepNext/>
              <w:spacing w:after="0" w:line="240" w:lineRule="auto"/>
              <w:rPr>
                <w:rFonts w:eastAsia="Aptos" w:cs="Times New Roman"/>
                <w:b/>
                <w:bCs/>
              </w:rPr>
            </w:pPr>
            <w:r>
              <w:rPr>
                <w:rFonts w:eastAsia="Aptos" w:cs="Times New Roman"/>
                <w:b/>
                <w:bCs/>
              </w:rPr>
              <w:t>Option 2</w:t>
            </w:r>
            <w:r w:rsidRPr="00CB53F1">
              <w:rPr>
                <w:rFonts w:eastAsia="Aptos" w:cs="Times New Roman"/>
                <w:b/>
                <w:bCs/>
              </w:rPr>
              <w:t> </w:t>
            </w:r>
          </w:p>
        </w:tc>
        <w:tc>
          <w:tcPr>
            <w:tcW w:w="1559" w:type="dxa"/>
            <w:shd w:val="clear" w:color="auto" w:fill="1C2B39" w:themeFill="accent1"/>
            <w:vAlign w:val="bottom"/>
            <w:hideMark/>
          </w:tcPr>
          <w:p w14:paraId="271FE80E" w14:textId="4724E05B" w:rsidR="004F5C5C" w:rsidRPr="00CB53F1" w:rsidRDefault="004F5C5C" w:rsidP="009E4F9A">
            <w:pPr>
              <w:keepNext/>
              <w:spacing w:after="0" w:line="240" w:lineRule="auto"/>
              <w:rPr>
                <w:rFonts w:eastAsia="Aptos" w:cs="Times New Roman"/>
                <w:b/>
                <w:bCs/>
              </w:rPr>
            </w:pPr>
            <w:r>
              <w:rPr>
                <w:rFonts w:eastAsia="Aptos" w:cs="Times New Roman"/>
                <w:b/>
                <w:bCs/>
              </w:rPr>
              <w:t>Option 3</w:t>
            </w:r>
          </w:p>
        </w:tc>
      </w:tr>
      <w:tr w:rsidR="00E26337" w:rsidRPr="000861B0" w14:paraId="7DE9321F" w14:textId="77777777" w:rsidTr="0058606C">
        <w:trPr>
          <w:trHeight w:val="285"/>
          <w:tblHeader/>
        </w:trPr>
        <w:tc>
          <w:tcPr>
            <w:tcW w:w="6799" w:type="dxa"/>
            <w:vAlign w:val="bottom"/>
            <w:hideMark/>
          </w:tcPr>
          <w:p w14:paraId="03A64161" w14:textId="1E02E6FC" w:rsidR="00E26337" w:rsidRPr="00CB53F1" w:rsidRDefault="00B633C3" w:rsidP="00E26337">
            <w:pPr>
              <w:keepNext/>
              <w:spacing w:after="0" w:line="240" w:lineRule="auto"/>
              <w:rPr>
                <w:rFonts w:eastAsia="Aptos" w:cs="Times New Roman"/>
                <w:b/>
                <w:bCs/>
              </w:rPr>
            </w:pPr>
            <w:r>
              <w:rPr>
                <w:rFonts w:eastAsia="Aptos" w:cs="Times New Roman"/>
                <w:b/>
                <w:bCs/>
              </w:rPr>
              <w:t>Expected change in number o</w:t>
            </w:r>
            <w:r w:rsidR="0074259F">
              <w:rPr>
                <w:rFonts w:eastAsia="Aptos" w:cs="Times New Roman"/>
                <w:b/>
                <w:bCs/>
              </w:rPr>
              <w:t xml:space="preserve">f insured people </w:t>
            </w:r>
            <w:r w:rsidR="00E271BB">
              <w:rPr>
                <w:rFonts w:eastAsia="Aptos" w:cs="Times New Roman"/>
                <w:b/>
                <w:bCs/>
              </w:rPr>
              <w:t xml:space="preserve">among </w:t>
            </w:r>
            <w:r w:rsidR="00E26337">
              <w:rPr>
                <w:rFonts w:eastAsia="Aptos" w:cs="Times New Roman"/>
                <w:b/>
                <w:bCs/>
              </w:rPr>
              <w:t xml:space="preserve">those </w:t>
            </w:r>
            <w:r w:rsidR="007D1776">
              <w:rPr>
                <w:rFonts w:eastAsia="Aptos" w:cs="Times New Roman"/>
                <w:b/>
                <w:bCs/>
              </w:rPr>
              <w:t xml:space="preserve">directly </w:t>
            </w:r>
            <w:r w:rsidR="00E26337">
              <w:rPr>
                <w:rFonts w:eastAsia="Aptos" w:cs="Times New Roman"/>
                <w:b/>
                <w:bCs/>
              </w:rPr>
              <w:t>affected by the option</w:t>
            </w:r>
          </w:p>
        </w:tc>
        <w:tc>
          <w:tcPr>
            <w:tcW w:w="1418" w:type="dxa"/>
          </w:tcPr>
          <w:p w14:paraId="1C26E39B" w14:textId="04298624" w:rsidR="00E26337" w:rsidRPr="00E26337" w:rsidRDefault="00E26337" w:rsidP="00E26337">
            <w:pPr>
              <w:keepNext/>
              <w:spacing w:after="0" w:line="240" w:lineRule="auto"/>
              <w:rPr>
                <w:rFonts w:eastAsia="Aptos" w:cs="Times New Roman"/>
                <w:color w:val="FF0000"/>
              </w:rPr>
            </w:pPr>
            <w:r w:rsidRPr="00E26337">
              <w:rPr>
                <w:color w:val="FF0000"/>
              </w:rPr>
              <w:t>-44,313</w:t>
            </w:r>
          </w:p>
        </w:tc>
        <w:tc>
          <w:tcPr>
            <w:tcW w:w="1559" w:type="dxa"/>
          </w:tcPr>
          <w:p w14:paraId="1AF68215" w14:textId="06236EE4" w:rsidR="00E26337" w:rsidRPr="00E26337" w:rsidRDefault="00E26337" w:rsidP="00E26337">
            <w:pPr>
              <w:keepNext/>
              <w:spacing w:after="0" w:line="240" w:lineRule="auto"/>
              <w:rPr>
                <w:rFonts w:eastAsia="Aptos" w:cs="Times New Roman"/>
                <w:color w:val="FF0000"/>
              </w:rPr>
            </w:pPr>
            <w:r w:rsidRPr="00E26337">
              <w:rPr>
                <w:color w:val="FF0000"/>
              </w:rPr>
              <w:t>-48,994</w:t>
            </w:r>
          </w:p>
        </w:tc>
      </w:tr>
      <w:tr w:rsidR="00E26337" w:rsidRPr="000861B0" w14:paraId="634BEF60" w14:textId="77777777" w:rsidTr="0058606C">
        <w:trPr>
          <w:trHeight w:val="285"/>
          <w:tblHeader/>
        </w:trPr>
        <w:tc>
          <w:tcPr>
            <w:tcW w:w="6799" w:type="dxa"/>
            <w:vAlign w:val="bottom"/>
            <w:hideMark/>
          </w:tcPr>
          <w:p w14:paraId="7634CEF0" w14:textId="70642191" w:rsidR="00E26337" w:rsidRPr="00CB53F1" w:rsidRDefault="00E271BB" w:rsidP="00E26337">
            <w:pPr>
              <w:keepNext/>
              <w:spacing w:after="0" w:line="240" w:lineRule="auto"/>
              <w:rPr>
                <w:rFonts w:eastAsia="Aptos" w:cs="Times New Roman"/>
                <w:b/>
                <w:bCs/>
              </w:rPr>
            </w:pPr>
            <w:r>
              <w:rPr>
                <w:rFonts w:eastAsia="Aptos" w:cs="Times New Roman"/>
                <w:b/>
                <w:bCs/>
              </w:rPr>
              <w:t>Expected change in number of insured people among t</w:t>
            </w:r>
            <w:r w:rsidR="00F81C1D">
              <w:rPr>
                <w:rFonts w:eastAsia="Aptos" w:cs="Times New Roman"/>
                <w:b/>
                <w:bCs/>
              </w:rPr>
              <w:t>otal insured population</w:t>
            </w:r>
          </w:p>
        </w:tc>
        <w:tc>
          <w:tcPr>
            <w:tcW w:w="1418" w:type="dxa"/>
          </w:tcPr>
          <w:p w14:paraId="62F3BACE" w14:textId="384A8300" w:rsidR="00E26337" w:rsidRPr="00E26337" w:rsidRDefault="00E26337" w:rsidP="00E26337">
            <w:pPr>
              <w:keepNext/>
              <w:spacing w:after="0" w:line="240" w:lineRule="auto"/>
              <w:rPr>
                <w:rFonts w:eastAsia="Aptos" w:cs="Times New Roman"/>
                <w:color w:val="FF0000"/>
              </w:rPr>
            </w:pPr>
            <w:r w:rsidRPr="00E26337">
              <w:rPr>
                <w:color w:val="FF0000"/>
              </w:rPr>
              <w:t>-42,304</w:t>
            </w:r>
          </w:p>
        </w:tc>
        <w:tc>
          <w:tcPr>
            <w:tcW w:w="1559" w:type="dxa"/>
          </w:tcPr>
          <w:p w14:paraId="3B526726" w14:textId="48EF7DA8" w:rsidR="00E26337" w:rsidRPr="00E26337" w:rsidRDefault="00E26337" w:rsidP="00E26337">
            <w:pPr>
              <w:keepNext/>
              <w:spacing w:after="0" w:line="240" w:lineRule="auto"/>
              <w:rPr>
                <w:rFonts w:eastAsia="Aptos" w:cs="Times New Roman"/>
                <w:color w:val="FF0000"/>
              </w:rPr>
            </w:pPr>
            <w:r w:rsidRPr="00E26337">
              <w:rPr>
                <w:color w:val="FF0000"/>
              </w:rPr>
              <w:t>-49,204</w:t>
            </w:r>
          </w:p>
        </w:tc>
      </w:tr>
    </w:tbl>
    <w:p w14:paraId="494CD135" w14:textId="1ECE7A54" w:rsidR="00BE25B2" w:rsidRDefault="00F81C1D" w:rsidP="0082664D">
      <w:pPr>
        <w:spacing w:before="240"/>
      </w:pPr>
      <w:r>
        <w:t xml:space="preserve">Under both </w:t>
      </w:r>
      <w:r w:rsidR="00E53AF3">
        <w:t>approaches to</w:t>
      </w:r>
      <w:r>
        <w:t xml:space="preserve"> considering the </w:t>
      </w:r>
      <w:r w:rsidR="007E71A6">
        <w:t>change</w:t>
      </w:r>
      <w:r>
        <w:t xml:space="preserve"> in relative insured population between Option 1 (Status Quo) and Option</w:t>
      </w:r>
      <w:r w:rsidR="00615306">
        <w:t>s</w:t>
      </w:r>
      <w:r>
        <w:t xml:space="preserve"> 2 and 3, Option 3 would have </w:t>
      </w:r>
      <w:r w:rsidR="00F21D18">
        <w:t>a marginally</w:t>
      </w:r>
      <w:r>
        <w:t xml:space="preserve"> greater impact on the insured population.</w:t>
      </w:r>
      <w:r w:rsidR="00E14B50">
        <w:t xml:space="preserve"> </w:t>
      </w:r>
      <w:r w:rsidR="007C4C10">
        <w:t>W</w:t>
      </w:r>
      <w:r w:rsidR="00E14B50">
        <w:t xml:space="preserve">hilst Option 3 slightly boosts participation for those </w:t>
      </w:r>
      <w:r w:rsidR="009860B0">
        <w:t>for those aged 18-64 years</w:t>
      </w:r>
      <w:r w:rsidR="009860B0" w:rsidDel="00743FF2">
        <w:t xml:space="preserve"> </w:t>
      </w:r>
      <w:r w:rsidR="00743FF2">
        <w:t xml:space="preserve">in the </w:t>
      </w:r>
      <w:r w:rsidR="00E14B50">
        <w:lastRenderedPageBreak/>
        <w:t xml:space="preserve">Base Tier, that increase is more than offset by greater declines </w:t>
      </w:r>
      <w:r w:rsidR="00813979">
        <w:t xml:space="preserve">in other segments of the projected insured population. </w:t>
      </w:r>
      <w:r w:rsidR="0086023F">
        <w:t xml:space="preserve">This is due to </w:t>
      </w:r>
      <w:r w:rsidR="00C72A93">
        <w:t xml:space="preserve">removal of the </w:t>
      </w:r>
      <w:r w:rsidR="005B1828">
        <w:t>Rebate</w:t>
      </w:r>
      <w:r w:rsidR="00C72A93">
        <w:t xml:space="preserve"> for </w:t>
      </w:r>
      <w:r w:rsidR="003E02E1">
        <w:t>people in Tier 2</w:t>
      </w:r>
      <w:r w:rsidR="00093600">
        <w:t xml:space="preserve"> </w:t>
      </w:r>
      <w:r w:rsidR="00700399">
        <w:t>and reduction fo</w:t>
      </w:r>
      <w:r w:rsidR="00E56284">
        <w:t xml:space="preserve">r people in Tier 1 </w:t>
      </w:r>
      <w:r w:rsidR="00093600">
        <w:t>under Option 3</w:t>
      </w:r>
      <w:r w:rsidR="00AA4C2A">
        <w:t xml:space="preserve">, which </w:t>
      </w:r>
      <w:r w:rsidR="00126568">
        <w:t xml:space="preserve">is estimated to </w:t>
      </w:r>
      <w:r w:rsidR="00410BCD">
        <w:t>ha</w:t>
      </w:r>
      <w:r w:rsidR="00126568">
        <w:t>ve</w:t>
      </w:r>
      <w:r w:rsidR="00410BCD">
        <w:t xml:space="preserve"> a more significant impact on participation</w:t>
      </w:r>
      <w:r w:rsidRPr="00F81C1D">
        <w:t xml:space="preserve"> in PH</w:t>
      </w:r>
      <w:r w:rsidR="00DB0F63">
        <w:t>I</w:t>
      </w:r>
      <w:r>
        <w:t xml:space="preserve"> compared </w:t>
      </w:r>
      <w:r w:rsidR="00496AF0">
        <w:t xml:space="preserve">with </w:t>
      </w:r>
      <w:r>
        <w:t>Option 2.</w:t>
      </w:r>
      <w:r w:rsidR="00941D26">
        <w:t xml:space="preserve"> However, given the marginal </w:t>
      </w:r>
      <w:r w:rsidR="007A3F4A">
        <w:t>effect on participation in both Options 2 and 3, each received</w:t>
      </w:r>
      <w:r w:rsidR="00A419DA">
        <w:t xml:space="preserve"> the same score of 1 for this objective in the multi-criteria analysis. Option 1 received a score of -1 for this objective</w:t>
      </w:r>
      <w:r w:rsidR="00EC570F">
        <w:t xml:space="preserve"> given the </w:t>
      </w:r>
      <w:r w:rsidR="005B1828">
        <w:t>Rebate</w:t>
      </w:r>
      <w:r w:rsidR="00EC570F">
        <w:t xml:space="preserve"> has not been simplified</w:t>
      </w:r>
      <w:r w:rsidR="00A419DA">
        <w:t>.</w:t>
      </w:r>
    </w:p>
    <w:p w14:paraId="5CA8DAA9" w14:textId="06D6F863" w:rsidR="00813979" w:rsidRPr="00F451F1" w:rsidRDefault="00813979" w:rsidP="00FB689D">
      <w:pPr>
        <w:pStyle w:val="Heading3"/>
      </w:pPr>
      <w:r>
        <w:t xml:space="preserve">Analysis </w:t>
      </w:r>
      <w:r w:rsidR="00636062">
        <w:t>against O</w:t>
      </w:r>
      <w:r>
        <w:t>bjective</w:t>
      </w:r>
      <w:r w:rsidR="00636062">
        <w:t xml:space="preserve"> </w:t>
      </w:r>
      <w:r w:rsidR="009256EB">
        <w:t>2</w:t>
      </w:r>
      <w:r w:rsidR="00A80D64">
        <w:t>:</w:t>
      </w:r>
      <w:r>
        <w:t xml:space="preserve"> </w:t>
      </w:r>
      <w:r w:rsidR="0011040A">
        <w:t>e</w:t>
      </w:r>
      <w:r w:rsidR="0011040A" w:rsidRPr="0011040A">
        <w:t xml:space="preserve">nsure funds are not spent on the Rebate if they are generally unlikely to alter participation decisions and/or could be better directed to </w:t>
      </w:r>
      <w:r w:rsidR="001B12EB">
        <w:t>other</w:t>
      </w:r>
      <w:r w:rsidR="0011040A" w:rsidRPr="0011040A">
        <w:t xml:space="preserve"> priority health, disability and aged care services.</w:t>
      </w:r>
    </w:p>
    <w:p w14:paraId="57935CA6" w14:textId="7D03D0FA" w:rsidR="005F0D77" w:rsidRDefault="00656EFF" w:rsidP="00656EFF">
      <w:pPr>
        <w:spacing w:before="240"/>
      </w:pPr>
      <w:r>
        <w:t xml:space="preserve">This objective has been scored based on whether the option targets cohorts that are </w:t>
      </w:r>
      <w:r w:rsidR="00891027">
        <w:t xml:space="preserve">generally </w:t>
      </w:r>
      <w:r>
        <w:t xml:space="preserve">unlikely to drop </w:t>
      </w:r>
      <w:r w:rsidR="00016637">
        <w:t>PHI</w:t>
      </w:r>
      <w:r>
        <w:t xml:space="preserve"> due to a reduced Rebate, and the overall savings achieved by Government that could be better </w:t>
      </w:r>
      <w:r w:rsidR="00B63A5A">
        <w:t xml:space="preserve">spent on </w:t>
      </w:r>
      <w:r w:rsidR="00DD76B1">
        <w:t>support</w:t>
      </w:r>
      <w:r w:rsidR="00B63A5A">
        <w:t>ing</w:t>
      </w:r>
      <w:r w:rsidR="00DD76B1">
        <w:t xml:space="preserve"> </w:t>
      </w:r>
      <w:r w:rsidR="002A66F7">
        <w:t xml:space="preserve">additional Government funding for </w:t>
      </w:r>
      <w:r w:rsidR="001B243E">
        <w:t>important aged care services</w:t>
      </w:r>
      <w:r w:rsidR="00640684">
        <w:t xml:space="preserve">. </w:t>
      </w:r>
      <w:r>
        <w:t>Option 1 takes no action to address these issues</w:t>
      </w:r>
      <w:r w:rsidR="00640684">
        <w:t xml:space="preserve">. </w:t>
      </w:r>
      <w:r>
        <w:t>Option</w:t>
      </w:r>
      <w:r w:rsidR="00640684">
        <w:t>s</w:t>
      </w:r>
      <w:r>
        <w:t xml:space="preserve"> 2 and 3 have beneficial impacts on those metrics</w:t>
      </w:r>
      <w:r w:rsidR="0008367C">
        <w:t>.</w:t>
      </w:r>
    </w:p>
    <w:p w14:paraId="4A6A0C18" w14:textId="550C78EB" w:rsidR="0008367C" w:rsidRDefault="0008367C" w:rsidP="00656EFF">
      <w:pPr>
        <w:spacing w:before="240"/>
      </w:pPr>
      <w:r>
        <w:t>Each element has been considered based on:</w:t>
      </w:r>
    </w:p>
    <w:p w14:paraId="31C05778" w14:textId="0F14283D" w:rsidR="0008367C" w:rsidRDefault="0008367C" w:rsidP="00061104">
      <w:pPr>
        <w:pStyle w:val="ListParagraph"/>
        <w:numPr>
          <w:ilvl w:val="0"/>
          <w:numId w:val="41"/>
        </w:numPr>
        <w:spacing w:before="240"/>
      </w:pPr>
      <w:r>
        <w:t>the expected save to government</w:t>
      </w:r>
      <w:r w:rsidR="003F7B09">
        <w:t xml:space="preserve"> for each option</w:t>
      </w:r>
      <w:r w:rsidR="00380F06">
        <w:t xml:space="preserve">, which represents funds that could be </w:t>
      </w:r>
      <w:r w:rsidR="3970EACE">
        <w:t>used to support additional Government funding for</w:t>
      </w:r>
      <w:r w:rsidR="00BC1E7E">
        <w:t xml:space="preserve"> </w:t>
      </w:r>
      <w:r w:rsidR="00380F06">
        <w:t>aged care services</w:t>
      </w:r>
    </w:p>
    <w:p w14:paraId="1FF27AD2" w14:textId="6961216E" w:rsidR="002C24B4" w:rsidRDefault="002C24B4" w:rsidP="00061104">
      <w:pPr>
        <w:pStyle w:val="ListParagraph"/>
        <w:numPr>
          <w:ilvl w:val="0"/>
          <w:numId w:val="41"/>
        </w:numPr>
        <w:spacing w:before="240"/>
      </w:pPr>
      <w:r>
        <w:t xml:space="preserve">whether the </w:t>
      </w:r>
      <w:r w:rsidR="001C7449">
        <w:t>cohort</w:t>
      </w:r>
      <w:r w:rsidR="00A26DBB">
        <w:t>s</w:t>
      </w:r>
      <w:r w:rsidR="001C7449">
        <w:t xml:space="preserve"> impacted by</w:t>
      </w:r>
      <w:r w:rsidR="003F7B09">
        <w:t xml:space="preserve"> each option </w:t>
      </w:r>
      <w:r w:rsidR="00380F06">
        <w:t>are generally likely to alter their PHI participation decision</w:t>
      </w:r>
      <w:r w:rsidR="005A79AC">
        <w:t xml:space="preserve"> </w:t>
      </w:r>
      <w:proofErr w:type="gramStart"/>
      <w:r w:rsidR="005A79AC">
        <w:t>as a result of</w:t>
      </w:r>
      <w:proofErr w:type="gramEnd"/>
      <w:r w:rsidR="005A79AC">
        <w:t xml:space="preserve"> the change</w:t>
      </w:r>
      <w:r w:rsidR="00380F06">
        <w:t>.</w:t>
      </w:r>
    </w:p>
    <w:p w14:paraId="034150DA" w14:textId="5A622154" w:rsidR="00813979" w:rsidRDefault="00700DAF" w:rsidP="0082664D">
      <w:pPr>
        <w:spacing w:before="240"/>
      </w:pPr>
      <w:r>
        <w:t>In relation to a) above</w:t>
      </w:r>
      <w:r w:rsidR="00380F06">
        <w:t xml:space="preserve">, the </w:t>
      </w:r>
      <w:r w:rsidR="00B40D8B">
        <w:t>estimated</w:t>
      </w:r>
      <w:r w:rsidR="00380F06">
        <w:t xml:space="preserve"> save to </w:t>
      </w:r>
      <w:r w:rsidR="00B40D8B">
        <w:t>G</w:t>
      </w:r>
      <w:r w:rsidR="00380F06">
        <w:t>overnment</w:t>
      </w:r>
      <w:r w:rsidR="00873FD3">
        <w:t xml:space="preserve">, </w:t>
      </w:r>
      <w:r w:rsidR="00B40D8B">
        <w:t>per the PHI model,</w:t>
      </w:r>
      <w:r w:rsidR="00380F06">
        <w:t xml:space="preserve"> is outlined below:</w:t>
      </w:r>
    </w:p>
    <w:p w14:paraId="27A48340" w14:textId="7EB2722A" w:rsidR="00873FD3" w:rsidRPr="00873FD3" w:rsidRDefault="00873FD3" w:rsidP="00FB689D">
      <w:pPr>
        <w:pStyle w:val="Heading3"/>
      </w:pPr>
      <w:r w:rsidRPr="0011EF4A" w:rsidDel="00D95557">
        <w:t xml:space="preserve">Table </w:t>
      </w:r>
      <w:r w:rsidR="001D4A0B">
        <w:rPr>
          <w:bCs/>
        </w:rPr>
        <w:t>1</w:t>
      </w:r>
      <w:r w:rsidR="00FB689D">
        <w:rPr>
          <w:bCs/>
        </w:rPr>
        <w:t>5</w:t>
      </w:r>
      <w:r w:rsidRPr="000861B0">
        <w:t xml:space="preserve">: </w:t>
      </w:r>
      <w:r>
        <w:t>Saving to government for each option (4 years from 2026-27)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4" w:type="dxa"/>
          <w:right w:w="74" w:type="dxa"/>
        </w:tblCellMar>
        <w:tblLook w:val="04A0" w:firstRow="1" w:lastRow="0" w:firstColumn="1" w:lastColumn="0" w:noHBand="0" w:noVBand="1"/>
        <w:tblDescription w:val="Table shows the saving to government under each Option, over 4 years from 2026-27. Option 3 has the larger save ($3,922.4 million) compared to Option 2 ($2,994.7 million). There is no save for Option 1."/>
      </w:tblPr>
      <w:tblGrid>
        <w:gridCol w:w="2972"/>
        <w:gridCol w:w="2268"/>
        <w:gridCol w:w="2268"/>
        <w:gridCol w:w="2268"/>
      </w:tblGrid>
      <w:tr w:rsidR="00873FD3" w:rsidRPr="00CB53F1" w14:paraId="06EE5EAD" w14:textId="77777777" w:rsidTr="0058606C">
        <w:trPr>
          <w:trHeight w:val="285"/>
          <w:tblHeader/>
        </w:trPr>
        <w:tc>
          <w:tcPr>
            <w:tcW w:w="2972" w:type="dxa"/>
            <w:shd w:val="clear" w:color="auto" w:fill="1C2B39" w:themeFill="accent1"/>
            <w:vAlign w:val="bottom"/>
            <w:hideMark/>
          </w:tcPr>
          <w:p w14:paraId="03CAFF18" w14:textId="12018A2E" w:rsidR="00873FD3" w:rsidRPr="000861B0" w:rsidRDefault="00873FD3" w:rsidP="009E4F9A">
            <w:pPr>
              <w:keepNext/>
              <w:spacing w:after="0" w:line="240" w:lineRule="auto"/>
              <w:rPr>
                <w:rFonts w:eastAsia="Aptos" w:cs="Times New Roman"/>
              </w:rPr>
            </w:pPr>
            <w:r>
              <w:rPr>
                <w:rFonts w:eastAsia="Aptos" w:cs="Times New Roman"/>
                <w:b/>
                <w:bCs/>
              </w:rPr>
              <w:t>Option</w:t>
            </w:r>
          </w:p>
        </w:tc>
        <w:tc>
          <w:tcPr>
            <w:tcW w:w="2268" w:type="dxa"/>
            <w:shd w:val="clear" w:color="auto" w:fill="1C2B39" w:themeFill="accent1"/>
          </w:tcPr>
          <w:p w14:paraId="3BBFE786" w14:textId="169A2C73" w:rsidR="00873FD3" w:rsidRDefault="00873FD3" w:rsidP="009E4F9A">
            <w:pPr>
              <w:keepNext/>
              <w:spacing w:after="0" w:line="240" w:lineRule="auto"/>
              <w:rPr>
                <w:rFonts w:eastAsia="Aptos" w:cs="Times New Roman"/>
                <w:b/>
                <w:bCs/>
              </w:rPr>
            </w:pPr>
            <w:r>
              <w:rPr>
                <w:rFonts w:eastAsia="Aptos" w:cs="Times New Roman"/>
                <w:b/>
                <w:bCs/>
              </w:rPr>
              <w:t>Option 1</w:t>
            </w:r>
          </w:p>
        </w:tc>
        <w:tc>
          <w:tcPr>
            <w:tcW w:w="2268" w:type="dxa"/>
            <w:shd w:val="clear" w:color="auto" w:fill="1C2B39" w:themeFill="accent1"/>
            <w:vAlign w:val="bottom"/>
            <w:hideMark/>
          </w:tcPr>
          <w:p w14:paraId="1DA90154" w14:textId="106BFD9C" w:rsidR="00873FD3" w:rsidRPr="00CB53F1" w:rsidRDefault="00873FD3" w:rsidP="009E4F9A">
            <w:pPr>
              <w:keepNext/>
              <w:spacing w:after="0" w:line="240" w:lineRule="auto"/>
              <w:rPr>
                <w:rFonts w:eastAsia="Aptos" w:cs="Times New Roman"/>
                <w:b/>
                <w:bCs/>
              </w:rPr>
            </w:pPr>
            <w:r>
              <w:rPr>
                <w:rFonts w:eastAsia="Aptos" w:cs="Times New Roman"/>
                <w:b/>
                <w:bCs/>
              </w:rPr>
              <w:t>Option 2</w:t>
            </w:r>
            <w:r w:rsidRPr="00CB53F1">
              <w:rPr>
                <w:rFonts w:eastAsia="Aptos" w:cs="Times New Roman"/>
                <w:b/>
                <w:bCs/>
              </w:rPr>
              <w:t> </w:t>
            </w:r>
          </w:p>
        </w:tc>
        <w:tc>
          <w:tcPr>
            <w:tcW w:w="2268" w:type="dxa"/>
            <w:shd w:val="clear" w:color="auto" w:fill="1C2B39" w:themeFill="accent1"/>
            <w:vAlign w:val="bottom"/>
            <w:hideMark/>
          </w:tcPr>
          <w:p w14:paraId="77A4C389" w14:textId="37788148" w:rsidR="00873FD3" w:rsidRPr="00CB53F1" w:rsidRDefault="00873FD3" w:rsidP="009E4F9A">
            <w:pPr>
              <w:keepNext/>
              <w:spacing w:after="0" w:line="240" w:lineRule="auto"/>
              <w:rPr>
                <w:rFonts w:eastAsia="Aptos" w:cs="Times New Roman"/>
                <w:b/>
                <w:bCs/>
              </w:rPr>
            </w:pPr>
            <w:r>
              <w:rPr>
                <w:rFonts w:eastAsia="Aptos" w:cs="Times New Roman"/>
                <w:b/>
                <w:bCs/>
              </w:rPr>
              <w:t>Option 3</w:t>
            </w:r>
          </w:p>
        </w:tc>
      </w:tr>
      <w:tr w:rsidR="00873FD3" w:rsidRPr="00E26337" w14:paraId="4D8F10B6" w14:textId="77777777" w:rsidTr="0058606C">
        <w:trPr>
          <w:trHeight w:val="285"/>
          <w:tblHeader/>
        </w:trPr>
        <w:tc>
          <w:tcPr>
            <w:tcW w:w="2972" w:type="dxa"/>
            <w:vAlign w:val="bottom"/>
            <w:hideMark/>
          </w:tcPr>
          <w:p w14:paraId="11A35F00" w14:textId="124241F8" w:rsidR="00873FD3" w:rsidRDefault="00873FD3" w:rsidP="00873FD3">
            <w:pPr>
              <w:keepNext/>
              <w:spacing w:after="0" w:line="240" w:lineRule="auto"/>
              <w:rPr>
                <w:rFonts w:eastAsia="Aptos" w:cs="Times New Roman"/>
                <w:b/>
                <w:bCs/>
              </w:rPr>
            </w:pPr>
            <w:r>
              <w:rPr>
                <w:rFonts w:eastAsia="Aptos" w:cs="Times New Roman"/>
                <w:b/>
                <w:bCs/>
              </w:rPr>
              <w:t xml:space="preserve">Saving to government </w:t>
            </w:r>
          </w:p>
          <w:p w14:paraId="01B2C8BA" w14:textId="2377548C" w:rsidR="00873FD3" w:rsidRPr="00CB53F1" w:rsidRDefault="00873FD3" w:rsidP="00873FD3">
            <w:pPr>
              <w:keepNext/>
              <w:spacing w:after="0" w:line="240" w:lineRule="auto"/>
              <w:rPr>
                <w:rFonts w:eastAsia="Aptos" w:cs="Times New Roman"/>
                <w:b/>
                <w:bCs/>
              </w:rPr>
            </w:pPr>
            <w:r>
              <w:t>(4 years from 2026-27)</w:t>
            </w:r>
          </w:p>
        </w:tc>
        <w:tc>
          <w:tcPr>
            <w:tcW w:w="2268" w:type="dxa"/>
          </w:tcPr>
          <w:p w14:paraId="3B93EA7B" w14:textId="1717D9CD" w:rsidR="00873FD3" w:rsidRPr="00E26337" w:rsidRDefault="00873FD3" w:rsidP="00873FD3">
            <w:pPr>
              <w:keepNext/>
              <w:spacing w:after="0" w:line="240" w:lineRule="auto"/>
              <w:rPr>
                <w:color w:val="FF0000"/>
              </w:rPr>
            </w:pPr>
            <w:r>
              <w:t>Nil</w:t>
            </w:r>
          </w:p>
        </w:tc>
        <w:tc>
          <w:tcPr>
            <w:tcW w:w="2268" w:type="dxa"/>
          </w:tcPr>
          <w:p w14:paraId="42CB2BB0" w14:textId="573273CF" w:rsidR="00873FD3" w:rsidRPr="00E26337" w:rsidRDefault="00873FD3" w:rsidP="00873FD3">
            <w:pPr>
              <w:keepNext/>
              <w:spacing w:after="0" w:line="240" w:lineRule="auto"/>
              <w:rPr>
                <w:rFonts w:eastAsia="Aptos" w:cs="Times New Roman"/>
                <w:color w:val="FF0000"/>
              </w:rPr>
            </w:pPr>
            <w:r>
              <w:t>$</w:t>
            </w:r>
            <w:r w:rsidRPr="00050BE1">
              <w:t>2,994.7 million</w:t>
            </w:r>
          </w:p>
        </w:tc>
        <w:tc>
          <w:tcPr>
            <w:tcW w:w="2268" w:type="dxa"/>
          </w:tcPr>
          <w:p w14:paraId="0757C78D" w14:textId="026A3EFA" w:rsidR="00873FD3" w:rsidRPr="00E26337" w:rsidRDefault="00873FD3" w:rsidP="00873FD3">
            <w:pPr>
              <w:keepNext/>
              <w:spacing w:after="0" w:line="240" w:lineRule="auto"/>
              <w:rPr>
                <w:rFonts w:eastAsia="Aptos" w:cs="Times New Roman"/>
                <w:color w:val="FF0000"/>
              </w:rPr>
            </w:pPr>
            <w:r w:rsidRPr="009D5E5B">
              <w:t>$3,922.4 million</w:t>
            </w:r>
          </w:p>
        </w:tc>
      </w:tr>
    </w:tbl>
    <w:p w14:paraId="6DAA1B8E" w14:textId="13E28D1B" w:rsidR="00320CDB" w:rsidRDefault="00BE63DF" w:rsidP="0082664D">
      <w:pPr>
        <w:spacing w:before="240"/>
      </w:pPr>
      <w:r>
        <w:t xml:space="preserve">Both </w:t>
      </w:r>
      <w:r w:rsidR="00873FD3">
        <w:t>Option</w:t>
      </w:r>
      <w:r>
        <w:t>s</w:t>
      </w:r>
      <w:r w:rsidR="00873FD3">
        <w:t xml:space="preserve"> 2 </w:t>
      </w:r>
      <w:r>
        <w:t xml:space="preserve">and 3 have </w:t>
      </w:r>
      <w:r w:rsidR="00671DCB">
        <w:t>beneficial</w:t>
      </w:r>
      <w:r>
        <w:t xml:space="preserve"> savings impacts, with the magnitude </w:t>
      </w:r>
      <w:r w:rsidR="00671DCB">
        <w:t xml:space="preserve">significantly greater for Option 3. </w:t>
      </w:r>
      <w:r w:rsidR="00FC61B9" w:rsidRPr="0005260C">
        <w:t xml:space="preserve">However, </w:t>
      </w:r>
      <w:r w:rsidR="00553075" w:rsidRPr="0005260C">
        <w:t xml:space="preserve">the </w:t>
      </w:r>
      <w:r w:rsidR="00320CDB" w:rsidRPr="0005260C">
        <w:t xml:space="preserve">fact that the </w:t>
      </w:r>
      <w:r w:rsidR="00553075" w:rsidRPr="0005260C">
        <w:t xml:space="preserve">entirety of the save for option 2 is achieved through reducing the Rebate for the </w:t>
      </w:r>
      <w:r w:rsidR="00553075" w:rsidRPr="0005260C" w:rsidDel="00D533DE">
        <w:t xml:space="preserve">same </w:t>
      </w:r>
      <w:r w:rsidR="008104CC">
        <w:t>c</w:t>
      </w:r>
      <w:r w:rsidR="00553075" w:rsidRPr="0005260C">
        <w:t>ohort that is likely to benefit from increased</w:t>
      </w:r>
      <w:r w:rsidR="00B63A5A">
        <w:t xml:space="preserve"> funding</w:t>
      </w:r>
      <w:r w:rsidR="00011660" w:rsidRPr="0005260C">
        <w:t xml:space="preserve"> </w:t>
      </w:r>
      <w:r w:rsidR="00553075" w:rsidRPr="0005260C">
        <w:t>for aged care services</w:t>
      </w:r>
      <w:r w:rsidR="00320CDB" w:rsidRPr="0005260C">
        <w:t xml:space="preserve"> </w:t>
      </w:r>
      <w:r w:rsidR="00163A82">
        <w:t xml:space="preserve">in the immediate future </w:t>
      </w:r>
      <w:r w:rsidR="00320CDB" w:rsidRPr="0005260C">
        <w:t>was factored into the scoring</w:t>
      </w:r>
      <w:r w:rsidR="00553075" w:rsidRPr="0005260C">
        <w:t>.</w:t>
      </w:r>
      <w:r w:rsidR="00FC61B9">
        <w:t xml:space="preserve"> </w:t>
      </w:r>
    </w:p>
    <w:p w14:paraId="08A010D7" w14:textId="498425C7" w:rsidR="00380F06" w:rsidRDefault="00FC61B9" w:rsidP="0082664D">
      <w:pPr>
        <w:spacing w:before="240"/>
      </w:pPr>
      <w:r>
        <w:t xml:space="preserve">There is no saving or cost to government for Option 1. </w:t>
      </w:r>
      <w:r w:rsidR="00850749">
        <w:t>G</w:t>
      </w:r>
      <w:r w:rsidR="008F7CB5">
        <w:t>iven the fiscal challenges in delivering services across the health land</w:t>
      </w:r>
      <w:r w:rsidR="00110A06">
        <w:t>scape</w:t>
      </w:r>
      <w:r w:rsidR="007A6629">
        <w:t xml:space="preserve"> and objective to consider better directing funds</w:t>
      </w:r>
      <w:r w:rsidR="00110A06">
        <w:t xml:space="preserve">, </w:t>
      </w:r>
      <w:r w:rsidR="002C37AD">
        <w:t>no savings</w:t>
      </w:r>
      <w:r w:rsidR="00110A06">
        <w:t xml:space="preserve"> is considered negative</w:t>
      </w:r>
      <w:r w:rsidR="00873FD3">
        <w:t>.</w:t>
      </w:r>
      <w:r w:rsidR="00676A4E">
        <w:t xml:space="preserve"> </w:t>
      </w:r>
    </w:p>
    <w:p w14:paraId="59F4172C" w14:textId="45ABD6C4" w:rsidR="00873FD3" w:rsidRDefault="00E71661" w:rsidP="0082664D">
      <w:pPr>
        <w:spacing w:before="240"/>
      </w:pPr>
      <w:r>
        <w:t>In relation to b) above</w:t>
      </w:r>
      <w:r w:rsidR="00873FD3">
        <w:t>, an analysis of</w:t>
      </w:r>
      <w:r w:rsidR="00B40D8B">
        <w:t xml:space="preserve"> </w:t>
      </w:r>
      <w:r w:rsidR="00014754">
        <w:t xml:space="preserve">whether the cohort impacted by each option </w:t>
      </w:r>
      <w:r w:rsidR="00014754" w:rsidDel="008104CC">
        <w:t>are</w:t>
      </w:r>
      <w:r w:rsidR="00014754">
        <w:t xml:space="preserve"> generally unlikely to alter </w:t>
      </w:r>
      <w:r w:rsidR="00014754" w:rsidDel="008104CC">
        <w:t>their</w:t>
      </w:r>
      <w:r w:rsidR="00014754">
        <w:t xml:space="preserve"> PHI participation decision</w:t>
      </w:r>
      <w:r w:rsidR="00B40D8B">
        <w:t xml:space="preserve"> is provided in </w:t>
      </w:r>
      <w:r w:rsidR="00014754">
        <w:t>T</w:t>
      </w:r>
      <w:r w:rsidR="00B40D8B">
        <w:t xml:space="preserve">able </w:t>
      </w:r>
      <w:r w:rsidR="001D4A0B">
        <w:t>1</w:t>
      </w:r>
      <w:r w:rsidR="00BA0FBE">
        <w:t>6</w:t>
      </w:r>
      <w:r w:rsidR="00B40D8B">
        <w:t xml:space="preserve"> below:</w:t>
      </w:r>
    </w:p>
    <w:p w14:paraId="3A840395" w14:textId="37593091" w:rsidR="00B40D8B" w:rsidRPr="00ED3927" w:rsidRDefault="00B40D8B" w:rsidP="00CA7A0A">
      <w:pPr>
        <w:pStyle w:val="Heading3"/>
      </w:pPr>
      <w:r w:rsidRPr="00ED3927" w:rsidDel="00D95557">
        <w:lastRenderedPageBreak/>
        <w:t xml:space="preserve">Table </w:t>
      </w:r>
      <w:r w:rsidR="001D4A0B" w:rsidRPr="00ED3927">
        <w:t>1</w:t>
      </w:r>
      <w:r w:rsidR="00BA0FBE" w:rsidRPr="00ED3927">
        <w:t>6</w:t>
      </w:r>
      <w:r w:rsidRPr="00ED3927">
        <w:t>: Analysis of</w:t>
      </w:r>
      <w:r w:rsidR="00320200" w:rsidRPr="00ED3927">
        <w:t xml:space="preserve"> </w:t>
      </w:r>
      <w:r w:rsidR="00005F52" w:rsidRPr="00ED3927">
        <w:t>likelihood of impacted</w:t>
      </w:r>
      <w:r w:rsidR="00156AA3" w:rsidRPr="00ED3927">
        <w:t xml:space="preserve"> cohorts</w:t>
      </w:r>
      <w:r w:rsidR="00005F52" w:rsidRPr="00ED3927">
        <w:t xml:space="preserve"> to alter PHI participation</w:t>
      </w:r>
    </w:p>
    <w:tbl>
      <w:tblPr>
        <w:tblStyle w:val="TableGrid"/>
        <w:tblW w:w="0" w:type="auto"/>
        <w:tblLook w:val="04A0" w:firstRow="1" w:lastRow="0" w:firstColumn="1" w:lastColumn="0" w:noHBand="0" w:noVBand="1"/>
      </w:tblPr>
      <w:tblGrid>
        <w:gridCol w:w="1271"/>
        <w:gridCol w:w="8357"/>
      </w:tblGrid>
      <w:tr w:rsidR="00F46B72" w14:paraId="27D4E157" w14:textId="77777777" w:rsidTr="000007BA">
        <w:tc>
          <w:tcPr>
            <w:tcW w:w="1271" w:type="dxa"/>
            <w:shd w:val="clear" w:color="auto" w:fill="1C2B39" w:themeFill="accent1"/>
          </w:tcPr>
          <w:p w14:paraId="5EB4E545" w14:textId="4A1DA0BE" w:rsidR="00F46B72" w:rsidRPr="00A61FE7" w:rsidRDefault="00F46B72" w:rsidP="0082664D">
            <w:pPr>
              <w:spacing w:before="240"/>
              <w:rPr>
                <w:b/>
                <w:bCs/>
              </w:rPr>
            </w:pPr>
            <w:r w:rsidRPr="00A61FE7">
              <w:rPr>
                <w:b/>
                <w:bCs/>
              </w:rPr>
              <w:t>Option</w:t>
            </w:r>
          </w:p>
        </w:tc>
        <w:tc>
          <w:tcPr>
            <w:tcW w:w="8357" w:type="dxa"/>
            <w:shd w:val="clear" w:color="auto" w:fill="1C2B39" w:themeFill="accent1"/>
          </w:tcPr>
          <w:p w14:paraId="5CCC61E8" w14:textId="1D8DFC23" w:rsidR="00F46B72" w:rsidRPr="00A61FE7" w:rsidRDefault="00AA08F5" w:rsidP="0082664D">
            <w:pPr>
              <w:spacing w:before="240"/>
              <w:rPr>
                <w:b/>
                <w:bCs/>
              </w:rPr>
            </w:pPr>
            <w:r w:rsidRPr="00A61FE7">
              <w:rPr>
                <w:b/>
                <w:bCs/>
              </w:rPr>
              <w:t>Analysis</w:t>
            </w:r>
          </w:p>
        </w:tc>
      </w:tr>
      <w:tr w:rsidR="00F46B72" w14:paraId="08D0BC0A" w14:textId="77777777" w:rsidTr="00A61FE7">
        <w:tc>
          <w:tcPr>
            <w:tcW w:w="1271" w:type="dxa"/>
          </w:tcPr>
          <w:p w14:paraId="2CD59B33" w14:textId="2287DB5C" w:rsidR="00F46B72" w:rsidRDefault="00AA08F5" w:rsidP="0082664D">
            <w:pPr>
              <w:spacing w:before="240"/>
            </w:pPr>
            <w:r>
              <w:t>Option 1</w:t>
            </w:r>
          </w:p>
        </w:tc>
        <w:tc>
          <w:tcPr>
            <w:tcW w:w="8357" w:type="dxa"/>
          </w:tcPr>
          <w:p w14:paraId="15AB1F43" w14:textId="77777777" w:rsidR="00514546" w:rsidRPr="00514546" w:rsidRDefault="00514546" w:rsidP="00514546">
            <w:pPr>
              <w:spacing w:before="240"/>
            </w:pPr>
            <w:r w:rsidRPr="00514546">
              <w:t>Option 1 would be significantly adverse in terms of the objective not to fund cohorts where the Rebate is generally unlikely to alter PHI participation. This is because the Status Quo:</w:t>
            </w:r>
          </w:p>
          <w:p w14:paraId="60DB1D23" w14:textId="718363D1" w:rsidR="00514546" w:rsidRPr="00514546" w:rsidRDefault="00514546" w:rsidP="00514546">
            <w:pPr>
              <w:pStyle w:val="ListParagraph"/>
              <w:numPr>
                <w:ilvl w:val="0"/>
                <w:numId w:val="53"/>
              </w:numPr>
              <w:spacing w:before="240"/>
            </w:pPr>
            <w:r w:rsidRPr="00514546">
              <w:t>would continue to provide a higher Rebate for older Australians. As discussed above, older Australians are generally less responsive to price for PHI given the value they derive from holding PHI.</w:t>
            </w:r>
          </w:p>
          <w:p w14:paraId="19AFD024" w14:textId="613C84DF" w:rsidR="00F46B72" w:rsidRDefault="00514546" w:rsidP="00514546">
            <w:pPr>
              <w:pStyle w:val="ListParagraph"/>
              <w:numPr>
                <w:ilvl w:val="0"/>
                <w:numId w:val="53"/>
              </w:numPr>
              <w:spacing w:before="240"/>
            </w:pPr>
            <w:r w:rsidRPr="00514546">
              <w:t>would continue to provide a Rebate for Australians earning a higher income (Tier 2) and not reduce the Rebate for Tier 1 income earners. Tier 3 income earners already do not receive a Rebate. As noted in the independent study into the PHI incentives, the MLS provides a much greater incentive for higher income Australians to purchase and hold PHI than the Rebate</w:t>
            </w:r>
            <w:r w:rsidR="003F381B">
              <w:rPr>
                <w:rStyle w:val="FootnoteReference"/>
              </w:rPr>
              <w:footnoteReference w:id="13"/>
            </w:r>
            <w:r w:rsidRPr="00514546">
              <w:t>.</w:t>
            </w:r>
          </w:p>
        </w:tc>
      </w:tr>
      <w:tr w:rsidR="00F46B72" w14:paraId="747AEB17" w14:textId="77777777" w:rsidTr="00A61FE7">
        <w:tc>
          <w:tcPr>
            <w:tcW w:w="1271" w:type="dxa"/>
          </w:tcPr>
          <w:p w14:paraId="4ACA7FA2" w14:textId="6A7D4781" w:rsidR="00F46B72" w:rsidRDefault="00AA08F5" w:rsidP="0082664D">
            <w:pPr>
              <w:spacing w:before="240"/>
            </w:pPr>
            <w:r>
              <w:t>Option 2</w:t>
            </w:r>
          </w:p>
        </w:tc>
        <w:tc>
          <w:tcPr>
            <w:tcW w:w="8357" w:type="dxa"/>
          </w:tcPr>
          <w:p w14:paraId="76218ED4" w14:textId="77777777" w:rsidR="00A057EA" w:rsidRPr="00A057EA" w:rsidRDefault="00A057EA" w:rsidP="00A057EA">
            <w:pPr>
              <w:spacing w:before="240"/>
            </w:pPr>
            <w:r w:rsidRPr="00A057EA">
              <w:t xml:space="preserve">Option 2 would be moderately beneficial in terms of the objective not to fund cohorts where the Rebate is generally unlikely to alter PHI participation. </w:t>
            </w:r>
          </w:p>
          <w:p w14:paraId="558F45F0" w14:textId="38886812" w:rsidR="00F46B72" w:rsidRDefault="00A057EA" w:rsidP="0082664D">
            <w:pPr>
              <w:spacing w:before="240"/>
            </w:pPr>
            <w:r w:rsidRPr="00A057EA">
              <w:t>Option 2 targets a reduction in Rebate for this segment of the population that is generally likely to continue to retain PHI despite ceasing the higher Rebate. The Rebate would be reduced for approximately 3.2 million older Australians (as per expected participation when the proposed change would be implemented on 1 April 2027). Around 99% of these affected individuals are expected to continue to participate in PHI. This is in line with research</w:t>
            </w:r>
            <w:r w:rsidR="00940EB7">
              <w:rPr>
                <w:rStyle w:val="FootnoteReference"/>
              </w:rPr>
              <w:footnoteReference w:id="14"/>
            </w:r>
            <w:r w:rsidRPr="00A057EA">
              <w:t xml:space="preserve"> that indicates the elderly tend to be less sensitive to changes in insurance prices. This may be because they place a higher value on private treatment, are more risk averse than the general population and/or because the value proposition of PHI is higher for older people than younger people. The effect of Option 2 on overall PHI participation could be monitored using publicly available APRA data, as shown in Table 2.</w:t>
            </w:r>
          </w:p>
        </w:tc>
      </w:tr>
      <w:tr w:rsidR="00F46B72" w14:paraId="4C02E624" w14:textId="77777777" w:rsidTr="00A61FE7">
        <w:tc>
          <w:tcPr>
            <w:tcW w:w="1271" w:type="dxa"/>
          </w:tcPr>
          <w:p w14:paraId="2A99C891" w14:textId="16894992" w:rsidR="00F46B72" w:rsidRDefault="00AA08F5" w:rsidP="0082664D">
            <w:pPr>
              <w:spacing w:before="240"/>
            </w:pPr>
            <w:r>
              <w:t xml:space="preserve">Option </w:t>
            </w:r>
            <w:r w:rsidR="000007BA">
              <w:t>3</w:t>
            </w:r>
          </w:p>
        </w:tc>
        <w:tc>
          <w:tcPr>
            <w:tcW w:w="8357" w:type="dxa"/>
          </w:tcPr>
          <w:p w14:paraId="2BD81F10" w14:textId="77777777" w:rsidR="000007BA" w:rsidRPr="000007BA" w:rsidRDefault="000007BA" w:rsidP="000007BA">
            <w:pPr>
              <w:spacing w:before="240"/>
            </w:pPr>
            <w:r w:rsidRPr="000007BA">
              <w:t>Option 3 would be moderately beneficial in terms of the objective not to fund cohorts where the Rebate is generally unlikely to alter PHI participation. The proposed changes under Option 3, in addition to those under Option 2:</w:t>
            </w:r>
          </w:p>
          <w:p w14:paraId="1D2C650F" w14:textId="2A3FA01C" w:rsidR="000007BA" w:rsidRPr="000007BA" w:rsidRDefault="000007BA" w:rsidP="000007BA">
            <w:pPr>
              <w:pStyle w:val="ListParagraph"/>
              <w:numPr>
                <w:ilvl w:val="0"/>
                <w:numId w:val="54"/>
              </w:numPr>
              <w:spacing w:before="240"/>
            </w:pPr>
            <w:r w:rsidRPr="000007BA">
              <w:lastRenderedPageBreak/>
              <w:t xml:space="preserve">remove the Rebate for all Australians earning a higher income (Tier 2) and reduce the Rebate for all Australians earning a middle-high income (Tier 1) and for older Australians in the Base Tier. Noting the analysis provided for Option 1 above, Option 3 would target a segment of the population that is likely to continue to retain PHI despite the Rebate ceasing or reducing. This is based on the likely relative value placed on retaining the benefits of PHI for people in these income tiers, as well as the impact of the MLS. This was referred to in the 2022-2023 independent study of PHI incentives </w:t>
            </w:r>
            <w:r w:rsidR="006E30DC">
              <w:rPr>
                <w:rStyle w:val="FootnoteReference"/>
              </w:rPr>
              <w:footnoteReference w:id="15"/>
            </w:r>
            <w:r w:rsidRPr="000007BA">
              <w:t>.</w:t>
            </w:r>
          </w:p>
          <w:p w14:paraId="4B2DA56C" w14:textId="07BCC4B4" w:rsidR="000007BA" w:rsidRPr="000007BA" w:rsidRDefault="000007BA" w:rsidP="000007BA">
            <w:pPr>
              <w:pStyle w:val="ListParagraph"/>
              <w:numPr>
                <w:ilvl w:val="0"/>
                <w:numId w:val="54"/>
              </w:numPr>
              <w:spacing w:before="240"/>
            </w:pPr>
            <w:r w:rsidRPr="000007BA">
              <w:t>provide a slightly higher Rebate for those aged 18-64 years in the Base Tier compared to Option 2. As changes in the Rebate are more likely to incentivise this cohort, this change would appropriately target a segment of the population that may be more likely to take up PHI due to the increased Rebate.</w:t>
            </w:r>
          </w:p>
          <w:p w14:paraId="31300A2F" w14:textId="77777777" w:rsidR="000007BA" w:rsidRPr="000007BA" w:rsidRDefault="000007BA" w:rsidP="000007BA">
            <w:pPr>
              <w:spacing w:before="240"/>
            </w:pPr>
            <w:r w:rsidRPr="000007BA">
              <w:t xml:space="preserve">Although Option 3 removes the Rebate for certain populations who may retain PHI without it, the greater participation impacts of Option 3 compared to Option 2 suggest that more of the affected individuals were relying on the PHI Rebate for their PHI participation. </w:t>
            </w:r>
          </w:p>
          <w:p w14:paraId="1B0380C6" w14:textId="77777777" w:rsidR="000007BA" w:rsidRPr="000007BA" w:rsidRDefault="000007BA" w:rsidP="000007BA">
            <w:pPr>
              <w:spacing w:before="240"/>
            </w:pPr>
            <w:r w:rsidRPr="000007BA">
              <w:t>The Rebate would be reduced for approximately 4.9 million older Australians (as per expected participation when the proposed change would be made on 1 April 2027). Around 99% of these affected individuals are expected to continue to participate in PHI. The Rebate will also marginally increase for 1.7 million individuals aged 0 64 years in the Base tier, which is expected to increase participation in that cohort by less than half a percent (7,885 people).</w:t>
            </w:r>
          </w:p>
          <w:p w14:paraId="68B03C37" w14:textId="706FDB48" w:rsidR="00F46B72" w:rsidRDefault="000007BA" w:rsidP="000007BA">
            <w:pPr>
              <w:spacing w:before="240"/>
            </w:pPr>
            <w:r w:rsidRPr="000007BA">
              <w:t>Although the participation impacts for Option 3 are marginally greater than for Option 2, the saving to government for Option 3 significantly outweighs that for Option 2. Therefore, on balance, Option 3 was deemed to be more beneficial for this objective than Option 2.</w:t>
            </w:r>
          </w:p>
        </w:tc>
      </w:tr>
    </w:tbl>
    <w:p w14:paraId="458CB825" w14:textId="78C35B76" w:rsidR="00813979" w:rsidRDefault="0023648B" w:rsidP="0082664D">
      <w:pPr>
        <w:spacing w:before="240"/>
      </w:pPr>
      <w:r>
        <w:lastRenderedPageBreak/>
        <w:t>Therefore, based on each element described above</w:t>
      </w:r>
      <w:r w:rsidR="00884F17">
        <w:t xml:space="preserve"> for the objective,</w:t>
      </w:r>
      <w:r>
        <w:t xml:space="preserve"> </w:t>
      </w:r>
      <w:r w:rsidR="00B160FC">
        <w:t xml:space="preserve">Option 1 overall </w:t>
      </w:r>
      <w:r w:rsidR="00884F17">
        <w:t xml:space="preserve">is moderately adverse </w:t>
      </w:r>
      <w:r w:rsidR="007A2BF3">
        <w:t xml:space="preserve">and received a score of -2, </w:t>
      </w:r>
      <w:r w:rsidR="00884F17">
        <w:t xml:space="preserve">Option 2 </w:t>
      </w:r>
      <w:r w:rsidR="0006365C">
        <w:t xml:space="preserve">is </w:t>
      </w:r>
      <w:r w:rsidR="00884F17">
        <w:t>moderately beneficial</w:t>
      </w:r>
      <w:r w:rsidR="007A2BF3">
        <w:t xml:space="preserve"> and received a score of 2</w:t>
      </w:r>
      <w:r w:rsidR="0006365C">
        <w:t>, and Option 3 is significantly beneficial and received a score of 3</w:t>
      </w:r>
      <w:r w:rsidR="007A2BF3">
        <w:t>.</w:t>
      </w:r>
    </w:p>
    <w:p w14:paraId="4FDD90C1" w14:textId="781E3EFC" w:rsidR="005D2D2A" w:rsidRPr="000861B0" w:rsidDel="00D95557" w:rsidRDefault="002922FC" w:rsidP="00C20DF4">
      <w:pPr>
        <w:pStyle w:val="CABParagraph"/>
        <w:keepNext/>
        <w:spacing w:after="120"/>
        <w:rPr>
          <w:rFonts w:asciiTheme="minorHAnsi" w:eastAsiaTheme="minorEastAsia" w:hAnsiTheme="minorHAnsi"/>
          <w:b/>
          <w:sz w:val="24"/>
          <w:szCs w:val="24"/>
        </w:rPr>
      </w:pPr>
      <w:r>
        <w:rPr>
          <w:rFonts w:asciiTheme="minorHAnsi" w:eastAsiaTheme="minorEastAsia" w:hAnsiTheme="minorHAnsi"/>
          <w:b/>
          <w:sz w:val="24"/>
          <w:szCs w:val="24"/>
        </w:rPr>
        <w:t>Analysis against Objective 3:</w:t>
      </w:r>
      <w:r w:rsidR="00C33629">
        <w:rPr>
          <w:rFonts w:asciiTheme="minorHAnsi" w:eastAsiaTheme="minorEastAsia" w:hAnsiTheme="minorHAnsi"/>
          <w:b/>
          <w:sz w:val="24"/>
          <w:szCs w:val="24"/>
        </w:rPr>
        <w:t xml:space="preserve"> ensure the Rebate is </w:t>
      </w:r>
      <w:r w:rsidR="00C33629" w:rsidRPr="003143E5">
        <w:rPr>
          <w:rFonts w:asciiTheme="minorHAnsi" w:eastAsiaTheme="minorEastAsia" w:hAnsiTheme="minorHAnsi"/>
          <w:b/>
          <w:sz w:val="24"/>
          <w:szCs w:val="24"/>
        </w:rPr>
        <w:t>equitably</w:t>
      </w:r>
      <w:r w:rsidR="00243520">
        <w:rPr>
          <w:rFonts w:asciiTheme="minorHAnsi" w:eastAsiaTheme="minorEastAsia" w:hAnsiTheme="minorHAnsi"/>
          <w:b/>
          <w:sz w:val="24"/>
          <w:szCs w:val="24"/>
        </w:rPr>
        <w:t xml:space="preserve"> targeted, while minimising </w:t>
      </w:r>
      <w:r w:rsidR="00CD51FB">
        <w:rPr>
          <w:rFonts w:asciiTheme="minorHAnsi" w:eastAsiaTheme="minorEastAsia" w:hAnsiTheme="minorHAnsi"/>
          <w:b/>
          <w:sz w:val="24"/>
          <w:szCs w:val="24"/>
        </w:rPr>
        <w:t>any negative impact on participation</w:t>
      </w:r>
    </w:p>
    <w:p w14:paraId="0D3A80D2" w14:textId="7998B932" w:rsidR="00C62D44" w:rsidRPr="00C62D44" w:rsidRDefault="00C62D44" w:rsidP="00C62D44">
      <w:pPr>
        <w:rPr>
          <w:lang w:val="en-US"/>
        </w:rPr>
      </w:pPr>
      <w:r>
        <w:rPr>
          <w:lang w:val="en-US"/>
        </w:rPr>
        <w:t>This objective has been score</w:t>
      </w:r>
      <w:r w:rsidR="00E54500">
        <w:rPr>
          <w:lang w:val="en-US"/>
        </w:rPr>
        <w:t>d</w:t>
      </w:r>
      <w:r>
        <w:rPr>
          <w:lang w:val="en-US"/>
        </w:rPr>
        <w:t xml:space="preserve"> based on whether each option </w:t>
      </w:r>
      <w:proofErr w:type="gramStart"/>
      <w:r>
        <w:rPr>
          <w:lang w:val="en-US"/>
        </w:rPr>
        <w:t>is considered to be</w:t>
      </w:r>
      <w:proofErr w:type="gramEnd"/>
      <w:r>
        <w:rPr>
          <w:lang w:val="en-US"/>
        </w:rPr>
        <w:t xml:space="preserve"> equitable.</w:t>
      </w:r>
    </w:p>
    <w:p w14:paraId="7A9438F0" w14:textId="7B8C8C01" w:rsidR="00F7469E" w:rsidRPr="00C62D44" w:rsidRDefault="00F7469E" w:rsidP="00C62D44">
      <w:pPr>
        <w:rPr>
          <w:lang w:val="en-US"/>
        </w:rPr>
      </w:pPr>
      <w:r>
        <w:rPr>
          <w:lang w:val="en-US"/>
        </w:rPr>
        <w:lastRenderedPageBreak/>
        <w:t xml:space="preserve">Option 1 is not considered to be equitable given </w:t>
      </w:r>
      <w:r w:rsidR="00BF3B04">
        <w:rPr>
          <w:lang w:val="en-US"/>
        </w:rPr>
        <w:t>that it</w:t>
      </w:r>
      <w:r>
        <w:rPr>
          <w:lang w:val="en-US"/>
        </w:rPr>
        <w:t xml:space="preserve"> would continue to</w:t>
      </w:r>
      <w:r w:rsidR="00BF3B04">
        <w:rPr>
          <w:lang w:val="en-US"/>
        </w:rPr>
        <w:t xml:space="preserve"> provide </w:t>
      </w:r>
      <w:r w:rsidR="00CB04AE">
        <w:rPr>
          <w:lang w:val="en-US"/>
        </w:rPr>
        <w:t xml:space="preserve">higher </w:t>
      </w:r>
      <w:r w:rsidR="00BF3B04">
        <w:rPr>
          <w:lang w:val="en-US"/>
        </w:rPr>
        <w:t>Rebates for older Australians compared to younger Australians</w:t>
      </w:r>
      <w:r w:rsidR="00CB04AE">
        <w:rPr>
          <w:lang w:val="en-US"/>
        </w:rPr>
        <w:t xml:space="preserve"> on the same income.</w:t>
      </w:r>
    </w:p>
    <w:p w14:paraId="366FDD8C" w14:textId="6D540AA0" w:rsidR="005A3C94" w:rsidRPr="00C62D44" w:rsidRDefault="005A3C94" w:rsidP="00C62D44">
      <w:pPr>
        <w:rPr>
          <w:lang w:val="en-US"/>
        </w:rPr>
      </w:pPr>
      <w:r>
        <w:rPr>
          <w:lang w:val="en-US"/>
        </w:rPr>
        <w:t xml:space="preserve">Option 2 </w:t>
      </w:r>
      <w:r w:rsidR="00D15C68">
        <w:rPr>
          <w:lang w:val="en-US"/>
        </w:rPr>
        <w:t xml:space="preserve">and Option 3 </w:t>
      </w:r>
      <w:proofErr w:type="gramStart"/>
      <w:r w:rsidR="00D15C68">
        <w:rPr>
          <w:lang w:val="en-US"/>
        </w:rPr>
        <w:t>are</w:t>
      </w:r>
      <w:r>
        <w:rPr>
          <w:lang w:val="en-US"/>
        </w:rPr>
        <w:t xml:space="preserve"> considered to be</w:t>
      </w:r>
      <w:proofErr w:type="gramEnd"/>
      <w:r>
        <w:rPr>
          <w:lang w:val="en-US"/>
        </w:rPr>
        <w:t xml:space="preserve"> more equitable than Option 1, because </w:t>
      </w:r>
      <w:r w:rsidR="00D15C68">
        <w:rPr>
          <w:lang w:val="en-US"/>
        </w:rPr>
        <w:t>they</w:t>
      </w:r>
      <w:r>
        <w:rPr>
          <w:lang w:val="en-US"/>
        </w:rPr>
        <w:t xml:space="preserve"> remove the inequitable higher subsidy for older people</w:t>
      </w:r>
      <w:r w:rsidR="004B0622">
        <w:rPr>
          <w:lang w:val="en-US"/>
        </w:rPr>
        <w:t xml:space="preserve"> </w:t>
      </w:r>
      <w:r w:rsidR="00D72552">
        <w:rPr>
          <w:lang w:val="en-US"/>
        </w:rPr>
        <w:t>compared to younger people earning the same income</w:t>
      </w:r>
      <w:r w:rsidR="00695777">
        <w:rPr>
          <w:lang w:val="en-US"/>
        </w:rPr>
        <w:t>.</w:t>
      </w:r>
      <w:r w:rsidR="00D15C68">
        <w:rPr>
          <w:lang w:val="en-US"/>
        </w:rPr>
        <w:t xml:space="preserve"> </w:t>
      </w:r>
      <w:r w:rsidR="00BC3CA8">
        <w:rPr>
          <w:lang w:val="en-US"/>
        </w:rPr>
        <w:t>Option 3 also provides a slightly higher PHI Rebate to lower income earners in the Base Tier (25%) compared to Option 2 (24.118%)</w:t>
      </w:r>
      <w:r w:rsidR="00A331FC">
        <w:rPr>
          <w:lang w:val="en-US"/>
        </w:rPr>
        <w:t xml:space="preserve"> and reduces </w:t>
      </w:r>
      <w:r w:rsidR="008C08CA">
        <w:rPr>
          <w:lang w:val="en-US"/>
        </w:rPr>
        <w:t xml:space="preserve">the Rebate for </w:t>
      </w:r>
      <w:r w:rsidR="006517F8">
        <w:rPr>
          <w:lang w:val="en-US"/>
        </w:rPr>
        <w:t xml:space="preserve">all </w:t>
      </w:r>
      <w:r w:rsidR="008C08CA">
        <w:rPr>
          <w:lang w:val="en-US"/>
        </w:rPr>
        <w:t>middle to higher</w:t>
      </w:r>
      <w:r w:rsidR="0001019D">
        <w:rPr>
          <w:lang w:val="en-US"/>
        </w:rPr>
        <w:t xml:space="preserve"> </w:t>
      </w:r>
      <w:r w:rsidR="008C08CA">
        <w:rPr>
          <w:lang w:val="en-US"/>
        </w:rPr>
        <w:t>income earners in Tier 1 and 2</w:t>
      </w:r>
      <w:r w:rsidR="009C06B7">
        <w:rPr>
          <w:lang w:val="en-US"/>
        </w:rPr>
        <w:t>.</w:t>
      </w:r>
      <w:r w:rsidR="008C08CA">
        <w:rPr>
          <w:lang w:val="en-US"/>
        </w:rPr>
        <w:t xml:space="preserve"> </w:t>
      </w:r>
      <w:r w:rsidR="009C06B7">
        <w:rPr>
          <w:lang w:val="en-US"/>
        </w:rPr>
        <w:t>T</w:t>
      </w:r>
      <w:r w:rsidR="003E0DE2">
        <w:rPr>
          <w:lang w:val="en-US"/>
        </w:rPr>
        <w:t xml:space="preserve">his was </w:t>
      </w:r>
      <w:r w:rsidR="00623B40">
        <w:rPr>
          <w:lang w:val="en-US"/>
        </w:rPr>
        <w:t xml:space="preserve">considered to have a marginal impact on </w:t>
      </w:r>
      <w:r w:rsidR="00775F14">
        <w:rPr>
          <w:lang w:val="en-US"/>
        </w:rPr>
        <w:t>the</w:t>
      </w:r>
      <w:r w:rsidR="00623B40">
        <w:rPr>
          <w:lang w:val="en-US"/>
        </w:rPr>
        <w:t xml:space="preserve"> overall equity of Option 3.</w:t>
      </w:r>
      <w:r w:rsidR="00ED404A">
        <w:rPr>
          <w:lang w:val="en-US"/>
        </w:rPr>
        <w:t xml:space="preserve"> </w:t>
      </w:r>
    </w:p>
    <w:p w14:paraId="7AD4CC5C" w14:textId="002F9BF2" w:rsidR="00DE029F" w:rsidRPr="00C62D44" w:rsidRDefault="00FD679E" w:rsidP="00C62D44">
      <w:pPr>
        <w:rPr>
          <w:lang w:val="en-US"/>
        </w:rPr>
      </w:pPr>
      <w:r>
        <w:rPr>
          <w:lang w:val="en-US"/>
        </w:rPr>
        <w:t>F</w:t>
      </w:r>
      <w:r w:rsidR="00DE029F">
        <w:rPr>
          <w:lang w:val="en-US"/>
        </w:rPr>
        <w:t xml:space="preserve">or Objective 3, Option </w:t>
      </w:r>
      <w:r w:rsidR="00623B40">
        <w:rPr>
          <w:lang w:val="en-US"/>
        </w:rPr>
        <w:t>2</w:t>
      </w:r>
      <w:r w:rsidR="00DE029F">
        <w:rPr>
          <w:lang w:val="en-US"/>
        </w:rPr>
        <w:t xml:space="preserve"> </w:t>
      </w:r>
      <w:r w:rsidR="00623B40">
        <w:rPr>
          <w:lang w:val="en-US"/>
        </w:rPr>
        <w:t>and Option 3 both</w:t>
      </w:r>
      <w:r w:rsidR="00DE029F">
        <w:rPr>
          <w:lang w:val="en-US"/>
        </w:rPr>
        <w:t xml:space="preserve"> </w:t>
      </w:r>
      <w:r w:rsidR="00022221">
        <w:rPr>
          <w:lang w:val="en-US"/>
        </w:rPr>
        <w:t>had a score of 2, and</w:t>
      </w:r>
      <w:r w:rsidR="00DE029F">
        <w:rPr>
          <w:lang w:val="en-US"/>
        </w:rPr>
        <w:t xml:space="preserve"> Option 1 </w:t>
      </w:r>
      <w:r w:rsidR="00022221">
        <w:rPr>
          <w:lang w:val="en-US"/>
        </w:rPr>
        <w:t>had a score of -2</w:t>
      </w:r>
      <w:r w:rsidR="00DE029F">
        <w:rPr>
          <w:lang w:val="en-US"/>
        </w:rPr>
        <w:t>.</w:t>
      </w:r>
    </w:p>
    <w:p w14:paraId="156998A0" w14:textId="3C724A2C" w:rsidR="00147DFF" w:rsidRPr="00147DFF" w:rsidRDefault="00FE6DA2" w:rsidP="00FE3AE0">
      <w:pPr>
        <w:pStyle w:val="Heading1"/>
        <w:numPr>
          <w:ilvl w:val="0"/>
          <w:numId w:val="15"/>
        </w:numPr>
        <w:spacing w:before="120" w:after="120"/>
        <w:rPr>
          <w:sz w:val="36"/>
          <w:szCs w:val="36"/>
        </w:rPr>
      </w:pPr>
      <w:r w:rsidRPr="0011EF4A">
        <w:rPr>
          <w:sz w:val="36"/>
          <w:szCs w:val="36"/>
        </w:rPr>
        <w:br w:type="column"/>
      </w:r>
      <w:r w:rsidR="00147DFF" w:rsidRPr="00F11572">
        <w:rPr>
          <w:szCs w:val="48"/>
        </w:rPr>
        <w:lastRenderedPageBreak/>
        <w:t>Who did you consult and how did you incorporate their feedback? </w:t>
      </w:r>
    </w:p>
    <w:p w14:paraId="69EB2484" w14:textId="1DBA9556" w:rsidR="00D67CE7" w:rsidRDefault="00D67CE7" w:rsidP="0054305F">
      <w:pPr>
        <w:spacing w:before="120" w:after="120"/>
      </w:pPr>
      <w:r>
        <w:t>Due to the confidentiality required of Budget processes, the department did not con</w:t>
      </w:r>
      <w:r w:rsidR="002C0BB5">
        <w:t xml:space="preserve">duct </w:t>
      </w:r>
      <w:r w:rsidR="00CD3F62">
        <w:t xml:space="preserve">specific </w:t>
      </w:r>
      <w:r w:rsidR="002C0BB5">
        <w:t xml:space="preserve">consultation on the proposed </w:t>
      </w:r>
      <w:r w:rsidR="006E682C">
        <w:t>changes to the Rebate</w:t>
      </w:r>
      <w:r w:rsidR="00850CB9">
        <w:t>.</w:t>
      </w:r>
    </w:p>
    <w:p w14:paraId="28408E3D" w14:textId="4A6FD1F4" w:rsidR="00571243" w:rsidRDefault="00CD3F62" w:rsidP="0054305F">
      <w:pPr>
        <w:spacing w:before="120" w:after="120"/>
      </w:pPr>
      <w:r>
        <w:t>C</w:t>
      </w:r>
      <w:r w:rsidR="00147DFF" w:rsidRPr="00147DFF">
        <w:t>onsultation with stakeholders</w:t>
      </w:r>
      <w:r w:rsidR="00423250">
        <w:t xml:space="preserve"> </w:t>
      </w:r>
      <w:r w:rsidR="00030542">
        <w:t xml:space="preserve">about PHI incentives, including </w:t>
      </w:r>
      <w:r w:rsidR="00423250">
        <w:t>Rebate settings</w:t>
      </w:r>
      <w:r w:rsidR="007C7772">
        <w:t>,</w:t>
      </w:r>
      <w:r w:rsidR="00147DFF" w:rsidRPr="00147DFF">
        <w:t xml:space="preserve"> was undertaken</w:t>
      </w:r>
      <w:r w:rsidR="00B604E1">
        <w:t xml:space="preserve"> </w:t>
      </w:r>
      <w:r w:rsidR="00147DFF" w:rsidRPr="00147DFF">
        <w:t>in 2022</w:t>
      </w:r>
      <w:r w:rsidR="00B604E1">
        <w:t xml:space="preserve"> and 2023</w:t>
      </w:r>
      <w:r w:rsidR="00147DFF" w:rsidRPr="00147DFF">
        <w:t xml:space="preserve"> during </w:t>
      </w:r>
      <w:r w:rsidR="00EE472A">
        <w:t>p</w:t>
      </w:r>
      <w:r w:rsidR="00147DFF" w:rsidRPr="00147DFF">
        <w:t xml:space="preserve">reparation of an independent </w:t>
      </w:r>
      <w:r w:rsidR="006618A0">
        <w:t>study</w:t>
      </w:r>
      <w:r w:rsidR="008A2043">
        <w:rPr>
          <w:rStyle w:val="FootnoteReference"/>
        </w:rPr>
        <w:footnoteReference w:id="16"/>
      </w:r>
      <w:r w:rsidR="00147DFF" w:rsidRPr="00147DFF">
        <w:t>. </w:t>
      </w:r>
      <w:r w:rsidR="0054305F">
        <w:t xml:space="preserve">This included </w:t>
      </w:r>
      <w:r w:rsidR="00571243" w:rsidRPr="00147DFF">
        <w:t>insurers, healthcare providers, hospitals, consumers and other interested parties</w:t>
      </w:r>
      <w:r w:rsidR="00463396">
        <w:t>.</w:t>
      </w:r>
    </w:p>
    <w:p w14:paraId="682BE46D" w14:textId="61CA1BD9" w:rsidR="0059384C" w:rsidRPr="00147DFF" w:rsidRDefault="0059384C" w:rsidP="0059384C">
      <w:pPr>
        <w:tabs>
          <w:tab w:val="num" w:pos="720"/>
        </w:tabs>
        <w:spacing w:before="120" w:after="120"/>
      </w:pPr>
      <w:r>
        <w:t xml:space="preserve">The department recognises </w:t>
      </w:r>
      <w:r w:rsidR="00522937">
        <w:t>the value of</w:t>
      </w:r>
      <w:r>
        <w:t xml:space="preserve"> consultation </w:t>
      </w:r>
      <w:r w:rsidR="00E45442">
        <w:t xml:space="preserve">when </w:t>
      </w:r>
      <w:r w:rsidR="00B5079A">
        <w:t>consider</w:t>
      </w:r>
      <w:r w:rsidR="00E45442">
        <w:t>ing</w:t>
      </w:r>
      <w:r>
        <w:t xml:space="preserve"> </w:t>
      </w:r>
      <w:r w:rsidR="00F206EF">
        <w:t>different</w:t>
      </w:r>
      <w:r w:rsidR="00B5079A">
        <w:t xml:space="preserve"> </w:t>
      </w:r>
      <w:r w:rsidR="001F2DF7">
        <w:t>interventions</w:t>
      </w:r>
      <w:r w:rsidR="00B5079A">
        <w:t>, including</w:t>
      </w:r>
      <w:r w:rsidR="0048542A">
        <w:t xml:space="preserve"> </w:t>
      </w:r>
      <w:r w:rsidR="00F206EF">
        <w:t>identifying</w:t>
      </w:r>
      <w:r w:rsidR="00463396">
        <w:t xml:space="preserve"> </w:t>
      </w:r>
      <w:r w:rsidR="00B5079A">
        <w:t>any unanticipated</w:t>
      </w:r>
      <w:r w:rsidR="0038586A">
        <w:t xml:space="preserve"> consequences</w:t>
      </w:r>
      <w:r w:rsidR="0048542A">
        <w:t>, for example</w:t>
      </w:r>
      <w:r w:rsidR="0038586A">
        <w:t xml:space="preserve"> from adjusting the Rebate percentages.</w:t>
      </w:r>
      <w:r w:rsidR="00A260E3">
        <w:t xml:space="preserve"> </w:t>
      </w:r>
      <w:r w:rsidR="00A05F2F">
        <w:t>Th</w:t>
      </w:r>
      <w:r w:rsidR="00AA2CA7">
        <w:t xml:space="preserve">is consultation included </w:t>
      </w:r>
      <w:r w:rsidR="003C36AD">
        <w:t xml:space="preserve">a </w:t>
      </w:r>
      <w:r w:rsidR="00DA7C21">
        <w:t>substantial</w:t>
      </w:r>
      <w:r w:rsidR="00A05F2F">
        <w:t xml:space="preserve"> number</w:t>
      </w:r>
      <w:r w:rsidR="00E910F9">
        <w:t xml:space="preserve"> of </w:t>
      </w:r>
      <w:r w:rsidR="00EB49DA">
        <w:t>one</w:t>
      </w:r>
      <w:r w:rsidR="0054396A">
        <w:t>-</w:t>
      </w:r>
      <w:r w:rsidR="00EB49DA">
        <w:t>on</w:t>
      </w:r>
      <w:r w:rsidR="0054396A">
        <w:t>-</w:t>
      </w:r>
      <w:r w:rsidR="00EB49DA">
        <w:t xml:space="preserve">one and workshop </w:t>
      </w:r>
      <w:r w:rsidR="00E910F9">
        <w:t>engagement</w:t>
      </w:r>
      <w:r w:rsidR="00A05F2F">
        <w:t>s</w:t>
      </w:r>
      <w:r w:rsidR="00E910F9">
        <w:t xml:space="preserve"> </w:t>
      </w:r>
      <w:r w:rsidR="00EB49DA">
        <w:t xml:space="preserve">to support </w:t>
      </w:r>
      <w:r w:rsidR="00E910F9">
        <w:t>the</w:t>
      </w:r>
      <w:r w:rsidR="00072C97">
        <w:t xml:space="preserve"> finding</w:t>
      </w:r>
      <w:r w:rsidR="00BA292F">
        <w:t>s of the</w:t>
      </w:r>
      <w:r w:rsidR="00E910F9">
        <w:t xml:space="preserve"> </w:t>
      </w:r>
      <w:r w:rsidR="00CC709D">
        <w:t xml:space="preserve">independent study’s </w:t>
      </w:r>
      <w:r w:rsidR="00E910F9">
        <w:t>final report</w:t>
      </w:r>
      <w:r w:rsidR="00732610">
        <w:rPr>
          <w:rStyle w:val="FootnoteReference"/>
        </w:rPr>
        <w:footnoteReference w:id="17"/>
      </w:r>
      <w:r w:rsidR="004001F8">
        <w:t xml:space="preserve"> </w:t>
      </w:r>
      <w:r w:rsidR="005D128B">
        <w:t xml:space="preserve">and related </w:t>
      </w:r>
      <w:r w:rsidR="00A929CD">
        <w:t xml:space="preserve">document setting out themes from the </w:t>
      </w:r>
      <w:r w:rsidR="00066657">
        <w:t>engagement</w:t>
      </w:r>
      <w:r w:rsidR="00016637">
        <w:t>.</w:t>
      </w:r>
      <w:r w:rsidR="00A929CD">
        <w:rPr>
          <w:rStyle w:val="FootnoteReference"/>
        </w:rPr>
        <w:footnoteReference w:id="18"/>
      </w:r>
      <w:r w:rsidR="00066657">
        <w:t xml:space="preserve"> </w:t>
      </w:r>
      <w:r w:rsidR="0030665A">
        <w:t xml:space="preserve">Whilst the </w:t>
      </w:r>
      <w:r w:rsidR="00B15AD4">
        <w:t>department</w:t>
      </w:r>
      <w:r w:rsidR="0030665A">
        <w:t xml:space="preserve"> has not consulted on </w:t>
      </w:r>
      <w:r w:rsidR="0052254B">
        <w:t xml:space="preserve">the specific </w:t>
      </w:r>
      <w:r w:rsidR="00B93661">
        <w:t xml:space="preserve">proposed changes to the Rebate </w:t>
      </w:r>
      <w:r w:rsidR="00B15AD4">
        <w:t>due to</w:t>
      </w:r>
      <w:r w:rsidR="00B93661">
        <w:t xml:space="preserve"> the </w:t>
      </w:r>
      <w:r w:rsidR="008A7DE9">
        <w:t>confidentiality required for Budget processes</w:t>
      </w:r>
      <w:r w:rsidR="00B93661">
        <w:t xml:space="preserve">, </w:t>
      </w:r>
      <w:r w:rsidR="00FF4CC4">
        <w:t xml:space="preserve">feedback </w:t>
      </w:r>
      <w:r w:rsidR="00D07A29">
        <w:t>reflected through</w:t>
      </w:r>
      <w:r w:rsidR="00FF4CC4">
        <w:t xml:space="preserve"> the </w:t>
      </w:r>
      <w:r w:rsidR="004C540D">
        <w:t>2022-2023</w:t>
      </w:r>
      <w:r w:rsidR="00FF4CC4">
        <w:t xml:space="preserve"> </w:t>
      </w:r>
      <w:r w:rsidR="0002168C">
        <w:t xml:space="preserve">independent study </w:t>
      </w:r>
      <w:r w:rsidR="007203B0">
        <w:t xml:space="preserve">and subsequent public consultation </w:t>
      </w:r>
      <w:r w:rsidR="00B44690">
        <w:t>on the final report</w:t>
      </w:r>
      <w:r w:rsidR="00C47808">
        <w:rPr>
          <w:rStyle w:val="FootnoteReference"/>
        </w:rPr>
        <w:footnoteReference w:id="19"/>
      </w:r>
      <w:r w:rsidR="00B44690">
        <w:t xml:space="preserve"> </w:t>
      </w:r>
      <w:r w:rsidR="008F742A">
        <w:t>was considered</w:t>
      </w:r>
      <w:r w:rsidR="00C47808">
        <w:t xml:space="preserve"> in the development of the options</w:t>
      </w:r>
      <w:r w:rsidR="00477814">
        <w:t>.</w:t>
      </w:r>
      <w:r w:rsidR="009C1A26">
        <w:t xml:space="preserve"> This feedback remains relevant because the Rebate settings have not changed since </w:t>
      </w:r>
      <w:r w:rsidR="006726E6">
        <w:t>the feedback was provided</w:t>
      </w:r>
      <w:r w:rsidR="009C1A26">
        <w:t>, and the specific options</w:t>
      </w:r>
      <w:r w:rsidR="00007900">
        <w:t xml:space="preserve"> proposed</w:t>
      </w:r>
      <w:r w:rsidR="004F6E89">
        <w:t xml:space="preserve"> were inclu</w:t>
      </w:r>
      <w:r w:rsidR="008A7D5A">
        <w:t xml:space="preserve">ded in the </w:t>
      </w:r>
      <w:r w:rsidR="00C0034D">
        <w:t>independent report</w:t>
      </w:r>
      <w:r w:rsidR="00940DF7">
        <w:t>.</w:t>
      </w:r>
    </w:p>
    <w:p w14:paraId="129F01E6" w14:textId="219B3C22" w:rsidR="00E16BA1" w:rsidRDefault="00747506" w:rsidP="00C86409">
      <w:pPr>
        <w:spacing w:before="120" w:after="120"/>
      </w:pPr>
      <w:r>
        <w:t xml:space="preserve">Almost all stakeholders indicated the current Rebate settings were overly complex. </w:t>
      </w:r>
      <w:r w:rsidR="00583226">
        <w:t xml:space="preserve">Rebate reform options suggested by </w:t>
      </w:r>
      <w:r w:rsidR="00173884">
        <w:t>stakeholders typically aligned with</w:t>
      </w:r>
      <w:r w:rsidR="0031780C">
        <w:t xml:space="preserve"> </w:t>
      </w:r>
      <w:r w:rsidR="00F70C7F">
        <w:t>improving their own circumstances</w:t>
      </w:r>
      <w:r w:rsidR="0019433E">
        <w:t xml:space="preserve">. For example, </w:t>
      </w:r>
      <w:r w:rsidR="00173884">
        <w:t>i</w:t>
      </w:r>
      <w:r w:rsidR="00A9431E">
        <w:t xml:space="preserve">nsurers and their peak bodies </w:t>
      </w:r>
      <w:r w:rsidR="0019433E">
        <w:t xml:space="preserve">asked </w:t>
      </w:r>
      <w:r w:rsidR="00A9431E">
        <w:t>for the Rebate to be increased</w:t>
      </w:r>
      <w:r w:rsidR="00654052">
        <w:t xml:space="preserve">, including </w:t>
      </w:r>
      <w:r w:rsidR="00DC7D7E">
        <w:t xml:space="preserve">requesting it </w:t>
      </w:r>
      <w:r w:rsidR="00654052">
        <w:t>return</w:t>
      </w:r>
      <w:r w:rsidR="00246FCA">
        <w:t xml:space="preserve"> to the </w:t>
      </w:r>
      <w:r w:rsidR="003F562E">
        <w:t xml:space="preserve">flat </w:t>
      </w:r>
      <w:r w:rsidR="00246FCA">
        <w:t xml:space="preserve">rate of 30% </w:t>
      </w:r>
      <w:r w:rsidR="002E34F5">
        <w:t>that applied</w:t>
      </w:r>
      <w:r w:rsidR="00654052">
        <w:t xml:space="preserve"> when </w:t>
      </w:r>
      <w:r w:rsidR="00246FCA">
        <w:t xml:space="preserve">it was introduced in </w:t>
      </w:r>
      <w:r w:rsidR="003F562E">
        <w:t>1999.</w:t>
      </w:r>
      <w:r w:rsidR="00654052">
        <w:t xml:space="preserve"> </w:t>
      </w:r>
      <w:r w:rsidR="00977F59">
        <w:t xml:space="preserve">Consumers </w:t>
      </w:r>
      <w:r w:rsidR="0096588F">
        <w:t xml:space="preserve">sought ongoing </w:t>
      </w:r>
      <w:r w:rsidR="00862825">
        <w:t>support in relation to the c</w:t>
      </w:r>
      <w:r w:rsidR="00977F59">
        <w:t>ost of premiums</w:t>
      </w:r>
      <w:r w:rsidR="00862825">
        <w:t xml:space="preserve"> and</w:t>
      </w:r>
      <w:r w:rsidR="00977F59">
        <w:t xml:space="preserve"> out</w:t>
      </w:r>
      <w:r w:rsidR="00B93EF3">
        <w:t xml:space="preserve"> </w:t>
      </w:r>
      <w:r w:rsidR="00977F59">
        <w:t xml:space="preserve">of pocket costs of private </w:t>
      </w:r>
      <w:r w:rsidR="00B93EF3">
        <w:t>healthcare</w:t>
      </w:r>
      <w:r w:rsidR="000F6517">
        <w:t>. They also mentioned concerns around</w:t>
      </w:r>
      <w:r w:rsidR="00B93EF3">
        <w:t xml:space="preserve"> </w:t>
      </w:r>
      <w:r w:rsidR="00977F59">
        <w:t xml:space="preserve">the </w:t>
      </w:r>
      <w:r w:rsidR="00B93EF3">
        <w:t xml:space="preserve">overall </w:t>
      </w:r>
      <w:r w:rsidR="00977F59">
        <w:t xml:space="preserve">complexity of </w:t>
      </w:r>
      <w:r w:rsidR="00016637">
        <w:t>PHI</w:t>
      </w:r>
      <w:r w:rsidR="00AC48D0">
        <w:t xml:space="preserve"> in general</w:t>
      </w:r>
      <w:r w:rsidR="00016637">
        <w:t xml:space="preserve"> and of the </w:t>
      </w:r>
      <w:r w:rsidR="00AC48D0">
        <w:t xml:space="preserve">PHI </w:t>
      </w:r>
      <w:r w:rsidR="00016637">
        <w:t>incentives (including the Rebate)</w:t>
      </w:r>
      <w:r w:rsidR="00B93EF3">
        <w:t xml:space="preserve">. </w:t>
      </w:r>
      <w:r w:rsidR="00654052">
        <w:t>Healthcare providers</w:t>
      </w:r>
      <w:r w:rsidR="00251AFF">
        <w:t xml:space="preserve"> </w:t>
      </w:r>
      <w:r w:rsidR="007C3FA4">
        <w:t>wanted to avoid</w:t>
      </w:r>
      <w:r w:rsidR="00251AFF">
        <w:t xml:space="preserve"> any </w:t>
      </w:r>
      <w:r w:rsidR="00B00126">
        <w:t xml:space="preserve">flow-on </w:t>
      </w:r>
      <w:r w:rsidR="00B7062C">
        <w:t xml:space="preserve">reduction in funding </w:t>
      </w:r>
      <w:r w:rsidR="005219CB">
        <w:t xml:space="preserve">potentially </w:t>
      </w:r>
      <w:r w:rsidR="00025573">
        <w:t>decreas</w:t>
      </w:r>
      <w:r w:rsidR="005219CB">
        <w:t>ing</w:t>
      </w:r>
      <w:r w:rsidR="00E16BA1">
        <w:t xml:space="preserve"> </w:t>
      </w:r>
      <w:r w:rsidR="00025573">
        <w:t>private hospital admissions</w:t>
      </w:r>
      <w:r w:rsidR="00E16BA1">
        <w:t xml:space="preserve">. </w:t>
      </w:r>
    </w:p>
    <w:p w14:paraId="54380515" w14:textId="4E6875F0" w:rsidR="00583226" w:rsidRDefault="00583226" w:rsidP="00583226">
      <w:pPr>
        <w:spacing w:before="120" w:after="120"/>
      </w:pPr>
      <w:r>
        <w:t xml:space="preserve">Options </w:t>
      </w:r>
      <w:r w:rsidR="000F0765">
        <w:t>2</w:t>
      </w:r>
      <w:r>
        <w:t xml:space="preserve"> and </w:t>
      </w:r>
      <w:r w:rsidR="000F0765">
        <w:t>3</w:t>
      </w:r>
      <w:r>
        <w:t xml:space="preserve"> would address concern</w:t>
      </w:r>
      <w:r w:rsidR="0043333D">
        <w:t>s about Rebate complexity</w:t>
      </w:r>
      <w:r>
        <w:t xml:space="preserve"> by removing differing rates by age</w:t>
      </w:r>
      <w:r w:rsidR="00826A29">
        <w:t xml:space="preserve">, with </w:t>
      </w:r>
      <w:r>
        <w:t>eligibility</w:t>
      </w:r>
      <w:r w:rsidR="00826A29">
        <w:t xml:space="preserve"> being </w:t>
      </w:r>
      <w:r>
        <w:t xml:space="preserve">determined </w:t>
      </w:r>
      <w:r w:rsidR="00826A29">
        <w:t xml:space="preserve">only </w:t>
      </w:r>
      <w:r>
        <w:t>by income.</w:t>
      </w:r>
    </w:p>
    <w:p w14:paraId="4AD4D5BE" w14:textId="5CC16367" w:rsidR="000E4B1A" w:rsidRDefault="00354AB2" w:rsidP="00C86409">
      <w:pPr>
        <w:spacing w:before="120" w:after="120"/>
      </w:pPr>
      <w:r>
        <w:t>O</w:t>
      </w:r>
      <w:r w:rsidR="00147DFF" w:rsidRPr="00147DFF">
        <w:t>ption </w:t>
      </w:r>
      <w:r w:rsidR="006422E0">
        <w:t>2</w:t>
      </w:r>
      <w:r w:rsidR="008C4B90">
        <w:t xml:space="preserve"> </w:t>
      </w:r>
      <w:r w:rsidR="00147DFF" w:rsidRPr="00147DFF">
        <w:t>has been </w:t>
      </w:r>
      <w:r w:rsidR="008A1520">
        <w:t>designed</w:t>
      </w:r>
      <w:r w:rsidR="008A1520" w:rsidRPr="00147DFF">
        <w:t> </w:t>
      </w:r>
      <w:r w:rsidR="00147DFF" w:rsidRPr="00147DFF">
        <w:t>to limit the reduction in the Rebate to</w:t>
      </w:r>
      <w:r w:rsidR="008C4B90">
        <w:t xml:space="preserve"> </w:t>
      </w:r>
      <w:r w:rsidR="00147DFF" w:rsidRPr="00147DFF">
        <w:t>minimise</w:t>
      </w:r>
      <w:r w:rsidR="00147DFF" w:rsidRPr="00147DFF" w:rsidDel="008C4B90">
        <w:t xml:space="preserve"> </w:t>
      </w:r>
      <w:r w:rsidR="00147DFF" w:rsidRPr="00147DFF">
        <w:t>the</w:t>
      </w:r>
      <w:r w:rsidR="00583226">
        <w:t xml:space="preserve"> </w:t>
      </w:r>
      <w:r w:rsidR="00147DFF" w:rsidRPr="00147DFF">
        <w:t>anticipated</w:t>
      </w:r>
      <w:r w:rsidR="00583226">
        <w:t xml:space="preserve"> </w:t>
      </w:r>
      <w:r w:rsidR="00147DFF" w:rsidRPr="00147DFF">
        <w:t>increase in the cost of premiums and the </w:t>
      </w:r>
      <w:proofErr w:type="gramStart"/>
      <w:r w:rsidR="0019177B" w:rsidRPr="00147DFF">
        <w:t>cost</w:t>
      </w:r>
      <w:r w:rsidR="009646B0">
        <w:t xml:space="preserve"> </w:t>
      </w:r>
      <w:r w:rsidR="0019177B" w:rsidRPr="00147DFF">
        <w:t>of</w:t>
      </w:r>
      <w:r w:rsidR="009646B0">
        <w:t xml:space="preserve"> </w:t>
      </w:r>
      <w:r w:rsidR="0019177B" w:rsidRPr="00147DFF">
        <w:t>living</w:t>
      </w:r>
      <w:proofErr w:type="gramEnd"/>
      <w:r w:rsidR="00147DFF" w:rsidRPr="00147DFF">
        <w:t> pressure for people who choose to continue to participate in PHI</w:t>
      </w:r>
      <w:r w:rsidR="001221E5">
        <w:t xml:space="preserve"> and to </w:t>
      </w:r>
      <w:r w:rsidR="00E5739A">
        <w:t>remove intergenerational equity in the Rebate settings</w:t>
      </w:r>
      <w:r w:rsidR="00147DFF" w:rsidRPr="00147DFF">
        <w:t>.</w:t>
      </w:r>
      <w:r w:rsidR="0003753C">
        <w:t xml:space="preserve"> </w:t>
      </w:r>
    </w:p>
    <w:p w14:paraId="4DFCDBFB" w14:textId="7E4491E0" w:rsidR="003D0FA9" w:rsidRDefault="00061AB7" w:rsidP="000E4B1A">
      <w:pPr>
        <w:spacing w:before="120" w:after="120"/>
      </w:pPr>
      <w:r>
        <w:lastRenderedPageBreak/>
        <w:t xml:space="preserve">The department acknowledges that </w:t>
      </w:r>
      <w:r w:rsidR="003D0FA9">
        <w:t xml:space="preserve">some </w:t>
      </w:r>
      <w:r>
        <w:t xml:space="preserve">time has passed </w:t>
      </w:r>
      <w:r w:rsidR="009A49D9">
        <w:t xml:space="preserve">since </w:t>
      </w:r>
      <w:r w:rsidR="00A42BB3">
        <w:t>the consultation process</w:t>
      </w:r>
      <w:r w:rsidR="001A2F6B">
        <w:t xml:space="preserve"> and there have been broader shifts in macroeconomic circumstances over last 3 years</w:t>
      </w:r>
      <w:r w:rsidR="00A42BB3">
        <w:t xml:space="preserve">. However, the feedback remains relevant and current, </w:t>
      </w:r>
      <w:r w:rsidR="00BE359F">
        <w:t>because the</w:t>
      </w:r>
      <w:r w:rsidR="00A42BB3">
        <w:t xml:space="preserve"> Rebate </w:t>
      </w:r>
      <w:r w:rsidR="001B5FEF">
        <w:t xml:space="preserve">and other major PHI </w:t>
      </w:r>
      <w:r w:rsidR="00A42BB3">
        <w:t xml:space="preserve">settings remain unchanged since </w:t>
      </w:r>
      <w:r w:rsidR="00EA4932">
        <w:t>that time</w:t>
      </w:r>
      <w:r w:rsidR="00D301A6">
        <w:t xml:space="preserve">. </w:t>
      </w:r>
      <w:r w:rsidR="00C32C55">
        <w:t xml:space="preserve">Relevant </w:t>
      </w:r>
      <w:r w:rsidR="00BA69A0">
        <w:t>quantitative statistics</w:t>
      </w:r>
      <w:r w:rsidR="00DE3083">
        <w:t>,</w:t>
      </w:r>
      <w:r w:rsidR="00BA69A0">
        <w:t xml:space="preserve"> </w:t>
      </w:r>
      <w:r w:rsidR="001D78A5">
        <w:t>such as change</w:t>
      </w:r>
      <w:r w:rsidR="00DE3083">
        <w:t>s</w:t>
      </w:r>
      <w:r w:rsidR="001D78A5">
        <w:t xml:space="preserve"> to Rebate expenditure and insured persons</w:t>
      </w:r>
      <w:r w:rsidR="00DE3083">
        <w:t>,</w:t>
      </w:r>
      <w:r w:rsidR="001D78A5">
        <w:t xml:space="preserve"> </w:t>
      </w:r>
      <w:r w:rsidR="00BA69A0">
        <w:t xml:space="preserve">were refreshed </w:t>
      </w:r>
      <w:r w:rsidR="00792B4D">
        <w:t>for an</w:t>
      </w:r>
      <w:r w:rsidR="00661655">
        <w:t xml:space="preserve"> </w:t>
      </w:r>
      <w:r w:rsidR="0042011D">
        <w:t>up-to-date</w:t>
      </w:r>
      <w:r w:rsidR="00661655">
        <w:t xml:space="preserve"> consideration of the issues </w:t>
      </w:r>
      <w:r w:rsidR="001D78A5">
        <w:t>via the department’s Rebate Model</w:t>
      </w:r>
      <w:r w:rsidR="00011801">
        <w:t>,</w:t>
      </w:r>
      <w:r w:rsidR="00DE3083">
        <w:t xml:space="preserve"> as </w:t>
      </w:r>
      <w:r w:rsidR="00F9626E">
        <w:t xml:space="preserve">described </w:t>
      </w:r>
      <w:r w:rsidR="00BA69A0">
        <w:t>in section 4.</w:t>
      </w:r>
    </w:p>
    <w:p w14:paraId="7296687C" w14:textId="5E2EF40B" w:rsidR="00F4119B" w:rsidRPr="00F4119B" w:rsidRDefault="00FE6DA2" w:rsidP="00FE3AE0">
      <w:pPr>
        <w:pStyle w:val="Heading1"/>
        <w:numPr>
          <w:ilvl w:val="0"/>
          <w:numId w:val="15"/>
        </w:numPr>
        <w:spacing w:before="120" w:after="120"/>
        <w:rPr>
          <w:sz w:val="36"/>
          <w:szCs w:val="36"/>
        </w:rPr>
      </w:pPr>
      <w:r w:rsidRPr="0011EF4A">
        <w:rPr>
          <w:lang w:val="en-US"/>
        </w:rPr>
        <w:br w:type="column"/>
      </w:r>
      <w:r w:rsidR="00F4119B" w:rsidRPr="003B6B0D">
        <w:rPr>
          <w:szCs w:val="48"/>
        </w:rPr>
        <w:lastRenderedPageBreak/>
        <w:t>What is the best option from those you have considered and how will it be implemented? </w:t>
      </w:r>
    </w:p>
    <w:p w14:paraId="24AC4BC3" w14:textId="1A30D2E6" w:rsidR="000B3CBE" w:rsidRDefault="0056147C" w:rsidP="00940510">
      <w:pPr>
        <w:pStyle w:val="Heading3"/>
      </w:pPr>
      <w:r w:rsidRPr="00105A1B">
        <w:t>The best option</w:t>
      </w:r>
    </w:p>
    <w:p w14:paraId="269B7FB0" w14:textId="5B5EB832" w:rsidR="00D856F1" w:rsidRDefault="00F4119B" w:rsidP="00F4119B">
      <w:pPr>
        <w:spacing w:before="120" w:after="120"/>
      </w:pPr>
      <w:r w:rsidRPr="00F4119B">
        <w:t>Independent analysis of the PHI Rebate identified</w:t>
      </w:r>
      <w:r w:rsidR="00545F3E">
        <w:t xml:space="preserve"> that</w:t>
      </w:r>
      <w:r w:rsidRPr="00F4119B">
        <w:t> government investment in the Rebate is </w:t>
      </w:r>
      <w:r w:rsidR="00AE42B9">
        <w:t xml:space="preserve">greater than </w:t>
      </w:r>
      <w:r w:rsidRPr="00F4119B">
        <w:t>required to incentivise PHI participation</w:t>
      </w:r>
      <w:r w:rsidR="00C2336C">
        <w:rPr>
          <w:rStyle w:val="FootnoteReference"/>
        </w:rPr>
        <w:footnoteReference w:id="20"/>
      </w:r>
      <w:r w:rsidR="00186478">
        <w:t>.</w:t>
      </w:r>
      <w:r w:rsidRPr="00F4119B">
        <w:t xml:space="preserve"> </w:t>
      </w:r>
      <w:r w:rsidR="00186478">
        <w:t>A</w:t>
      </w:r>
      <w:r w:rsidRPr="00F4119B">
        <w:t>nalysis of whole of health</w:t>
      </w:r>
      <w:r w:rsidR="003662D6">
        <w:t>, disability and aged care</w:t>
      </w:r>
      <w:r w:rsidRPr="00F4119B">
        <w:t xml:space="preserve"> system priorities and budget constraints provide a strong case for the excess </w:t>
      </w:r>
      <w:r w:rsidR="00623653">
        <w:t xml:space="preserve">Rebate </w:t>
      </w:r>
      <w:r w:rsidRPr="00F4119B">
        <w:t xml:space="preserve">funding to be directed to </w:t>
      </w:r>
      <w:r w:rsidR="003175E1">
        <w:t>higher</w:t>
      </w:r>
      <w:r w:rsidRPr="00F4119B">
        <w:t xml:space="preserve"> priorities</w:t>
      </w:r>
      <w:r w:rsidR="000B080D">
        <w:t xml:space="preserve"> like aged care</w:t>
      </w:r>
      <w:r w:rsidRPr="00F4119B">
        <w:t>. However, the private health system i</w:t>
      </w:r>
      <w:r w:rsidR="00555F11">
        <w:t>s</w:t>
      </w:r>
      <w:r w:rsidR="00DC78FB">
        <w:t xml:space="preserve"> under financial </w:t>
      </w:r>
      <w:r w:rsidR="00450154">
        <w:t>pressure</w:t>
      </w:r>
      <w:r w:rsidR="00996F55">
        <w:t>,</w:t>
      </w:r>
      <w:r w:rsidRPr="00F4119B">
        <w:t xml:space="preserve"> and reduction or removal of the Rebate without broader reforms to the private hospital and insurance system will likely result in some existing policy holders choosing to drop their cover</w:t>
      </w:r>
      <w:r w:rsidR="0026675C">
        <w:t xml:space="preserve"> as noted in the analysis presented in subsection 4.3</w:t>
      </w:r>
      <w:r w:rsidRPr="00F4119B">
        <w:t xml:space="preserve">. </w:t>
      </w:r>
    </w:p>
    <w:p w14:paraId="485A5F1A" w14:textId="314372DE" w:rsidR="007300E8" w:rsidRDefault="00470DC2" w:rsidP="00F4119B">
      <w:pPr>
        <w:spacing w:before="120" w:after="120"/>
      </w:pPr>
      <w:r>
        <w:t>Overall</w:t>
      </w:r>
      <w:r w:rsidR="00FE6927">
        <w:t xml:space="preserve"> </w:t>
      </w:r>
      <w:r w:rsidR="00714C25">
        <w:t xml:space="preserve">benefits and </w:t>
      </w:r>
      <w:r w:rsidR="00FE6927">
        <w:t xml:space="preserve">costs are summarised </w:t>
      </w:r>
      <w:r w:rsidR="006667AC">
        <w:t>in</w:t>
      </w:r>
      <w:r w:rsidR="00F96415">
        <w:t xml:space="preserve"> Table 1</w:t>
      </w:r>
      <w:r w:rsidR="00940510">
        <w:t>7</w:t>
      </w:r>
      <w:r w:rsidR="006274BD">
        <w:t>.</w:t>
      </w:r>
    </w:p>
    <w:p w14:paraId="1C3FE16C" w14:textId="59D1FC53" w:rsidR="00F96415" w:rsidRPr="00F96415" w:rsidRDefault="00F96415" w:rsidP="00940510">
      <w:pPr>
        <w:pStyle w:val="Heading3"/>
        <w:rPr>
          <w:rFonts w:ascii="Calibri" w:eastAsia="Times New Roman" w:hAnsi="Calibri" w:cs="Calibri"/>
          <w:color w:val="000000"/>
          <w:lang w:val="en-US"/>
        </w:rPr>
      </w:pPr>
      <w:r w:rsidRPr="000861B0">
        <w:t xml:space="preserve">Table </w:t>
      </w:r>
      <w:r>
        <w:rPr>
          <w:bCs/>
        </w:rPr>
        <w:t>1</w:t>
      </w:r>
      <w:r w:rsidR="00940510">
        <w:rPr>
          <w:bCs/>
        </w:rPr>
        <w:t>7</w:t>
      </w:r>
      <w:r w:rsidRPr="000861B0">
        <w:t xml:space="preserve">: </w:t>
      </w:r>
      <w:r>
        <w:t xml:space="preserve">Overall </w:t>
      </w:r>
      <w:r w:rsidR="00714C25">
        <w:t>benefits and costs per option</w:t>
      </w:r>
    </w:p>
    <w:tbl>
      <w:tblPr>
        <w:tblStyle w:val="Custom1"/>
        <w:tblW w:w="0" w:type="auto"/>
        <w:tblLook w:val="0660" w:firstRow="1" w:lastRow="1" w:firstColumn="0" w:lastColumn="0" w:noHBand="1" w:noVBand="1"/>
        <w:tblDescription w:val="Table provides a snapshot of key metrics used to consider the overall benefits and costs of each Option. These include the direct regulatory cost, estimated Government savings, estimated changes to insured persons, and the results of the multi-criteria analysis."/>
      </w:tblPr>
      <w:tblGrid>
        <w:gridCol w:w="3828"/>
        <w:gridCol w:w="1830"/>
        <w:gridCol w:w="1831"/>
        <w:gridCol w:w="1831"/>
      </w:tblGrid>
      <w:tr w:rsidR="00566926" w:rsidRPr="000861B0" w14:paraId="7AC7A5EC" w14:textId="77777777"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9320" w:type="dxa"/>
            <w:gridSpan w:val="4"/>
          </w:tcPr>
          <w:p w14:paraId="2D504083" w14:textId="395BBD2C" w:rsidR="007300E8" w:rsidRPr="000861B0" w:rsidRDefault="007300E8">
            <w:pPr>
              <w:spacing w:after="0" w:line="240" w:lineRule="auto"/>
              <w:rPr>
                <w:rFonts w:ascii="Segoe UI" w:hAnsi="Segoe UI" w:cs="Segoe UI"/>
                <w:color w:val="FFFFFF" w:themeColor="background1"/>
              </w:rPr>
            </w:pPr>
            <w:r w:rsidRPr="0011EF4A">
              <w:rPr>
                <w:rFonts w:ascii="Segoe UI" w:hAnsi="Segoe UI" w:cs="Segoe UI"/>
                <w:color w:val="FFFFFF" w:themeColor="background2"/>
              </w:rPr>
              <w:t>Overall costs per option</w:t>
            </w:r>
          </w:p>
        </w:tc>
      </w:tr>
      <w:tr w:rsidR="00AD3D89" w:rsidRPr="000861B0" w14:paraId="04212108" w14:textId="77777777"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3828" w:type="dxa"/>
            <w:shd w:val="clear" w:color="auto" w:fill="auto"/>
          </w:tcPr>
          <w:p w14:paraId="0E2835B3" w14:textId="529AE736" w:rsidR="007300E8" w:rsidRPr="0058606C" w:rsidRDefault="007300E8">
            <w:pPr>
              <w:spacing w:after="0" w:line="240" w:lineRule="auto"/>
              <w:rPr>
                <w:b w:val="0"/>
                <w:bCs/>
              </w:rPr>
            </w:pPr>
          </w:p>
        </w:tc>
        <w:tc>
          <w:tcPr>
            <w:tcW w:w="1830" w:type="dxa"/>
            <w:shd w:val="clear" w:color="auto" w:fill="auto"/>
          </w:tcPr>
          <w:p w14:paraId="56354556" w14:textId="77777777" w:rsidR="009D2085" w:rsidRPr="0058606C" w:rsidRDefault="1F43482E">
            <w:pPr>
              <w:spacing w:after="0" w:line="240" w:lineRule="auto"/>
              <w:rPr>
                <w:b w:val="0"/>
                <w:bCs/>
              </w:rPr>
            </w:pPr>
            <w:r w:rsidRPr="0058606C">
              <w:rPr>
                <w:b w:val="0"/>
                <w:bCs/>
              </w:rPr>
              <w:t xml:space="preserve">Option 1 </w:t>
            </w:r>
          </w:p>
          <w:p w14:paraId="37A0CA6D" w14:textId="4904BF8C" w:rsidR="007300E8" w:rsidRPr="0058606C" w:rsidRDefault="1F43482E">
            <w:pPr>
              <w:spacing w:after="0" w:line="240" w:lineRule="auto"/>
              <w:rPr>
                <w:b w:val="0"/>
                <w:bCs/>
              </w:rPr>
            </w:pPr>
            <w:r w:rsidRPr="0058606C">
              <w:rPr>
                <w:b w:val="0"/>
                <w:bCs/>
              </w:rPr>
              <w:t>(</w:t>
            </w:r>
            <w:r w:rsidR="67746AAC" w:rsidRPr="0058606C">
              <w:rPr>
                <w:b w:val="0"/>
                <w:bCs/>
              </w:rPr>
              <w:t>Status Quo</w:t>
            </w:r>
            <w:r w:rsidR="6E52989D" w:rsidRPr="0058606C">
              <w:rPr>
                <w:b w:val="0"/>
                <w:bCs/>
              </w:rPr>
              <w:t>)</w:t>
            </w:r>
            <w:r w:rsidR="61B3C356" w:rsidRPr="0058606C">
              <w:rPr>
                <w:b w:val="0"/>
                <w:bCs/>
              </w:rPr>
              <w:t xml:space="preserve"> </w:t>
            </w:r>
          </w:p>
        </w:tc>
        <w:tc>
          <w:tcPr>
            <w:tcW w:w="1831" w:type="dxa"/>
            <w:shd w:val="clear" w:color="auto" w:fill="auto"/>
          </w:tcPr>
          <w:p w14:paraId="2E828C7E" w14:textId="31289BC5" w:rsidR="007300E8" w:rsidRPr="0058606C" w:rsidRDefault="001214ED">
            <w:pPr>
              <w:spacing w:after="0" w:line="240" w:lineRule="auto"/>
              <w:rPr>
                <w:b w:val="0"/>
                <w:bCs/>
              </w:rPr>
            </w:pPr>
            <w:r w:rsidRPr="0058606C">
              <w:rPr>
                <w:b w:val="0"/>
                <w:bCs/>
              </w:rPr>
              <w:t xml:space="preserve">Option </w:t>
            </w:r>
            <w:r w:rsidR="006422E0" w:rsidRPr="0058606C">
              <w:rPr>
                <w:b w:val="0"/>
                <w:bCs/>
              </w:rPr>
              <w:t>2</w:t>
            </w:r>
          </w:p>
        </w:tc>
        <w:tc>
          <w:tcPr>
            <w:tcW w:w="1831" w:type="dxa"/>
            <w:shd w:val="clear" w:color="auto" w:fill="auto"/>
          </w:tcPr>
          <w:p w14:paraId="61548FE5" w14:textId="7DEC8F3B" w:rsidR="007300E8" w:rsidRPr="0058606C" w:rsidRDefault="001214ED">
            <w:pPr>
              <w:spacing w:after="0" w:line="240" w:lineRule="auto"/>
              <w:rPr>
                <w:b w:val="0"/>
                <w:bCs/>
              </w:rPr>
            </w:pPr>
            <w:r w:rsidRPr="0058606C">
              <w:rPr>
                <w:b w:val="0"/>
                <w:bCs/>
              </w:rPr>
              <w:t xml:space="preserve">Option </w:t>
            </w:r>
            <w:r w:rsidR="00753C20" w:rsidRPr="0058606C">
              <w:rPr>
                <w:b w:val="0"/>
                <w:bCs/>
              </w:rPr>
              <w:t>3</w:t>
            </w:r>
          </w:p>
        </w:tc>
      </w:tr>
      <w:tr w:rsidR="00AD3D89" w:rsidRPr="000861B0" w14:paraId="30DE5D14" w14:textId="77777777"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3828" w:type="dxa"/>
            <w:shd w:val="clear" w:color="auto" w:fill="auto"/>
          </w:tcPr>
          <w:p w14:paraId="51F994C8" w14:textId="57E4D861" w:rsidR="007300E8" w:rsidRPr="0058606C" w:rsidRDefault="00B57E71">
            <w:pPr>
              <w:spacing w:after="0" w:line="240" w:lineRule="auto"/>
              <w:rPr>
                <w:b w:val="0"/>
                <w:bCs/>
              </w:rPr>
            </w:pPr>
            <w:r w:rsidRPr="0058606C">
              <w:rPr>
                <w:b w:val="0"/>
                <w:bCs/>
              </w:rPr>
              <w:t>Direct regulatory cost</w:t>
            </w:r>
            <w:r w:rsidR="007D420B" w:rsidRPr="0058606C">
              <w:rPr>
                <w:b w:val="0"/>
                <w:bCs/>
              </w:rPr>
              <w:t xml:space="preserve"> (One-off)</w:t>
            </w:r>
          </w:p>
        </w:tc>
        <w:tc>
          <w:tcPr>
            <w:tcW w:w="1830" w:type="dxa"/>
            <w:shd w:val="clear" w:color="auto" w:fill="auto"/>
          </w:tcPr>
          <w:p w14:paraId="6ECD99DD" w14:textId="7DC88A3A" w:rsidR="007300E8" w:rsidRPr="0058606C" w:rsidRDefault="00797A78">
            <w:pPr>
              <w:spacing w:after="0" w:line="240" w:lineRule="auto"/>
              <w:rPr>
                <w:b w:val="0"/>
                <w:bCs/>
              </w:rPr>
            </w:pPr>
            <w:r w:rsidRPr="0058606C">
              <w:rPr>
                <w:b w:val="0"/>
                <w:bCs/>
              </w:rPr>
              <w:t>Nil</w:t>
            </w:r>
          </w:p>
        </w:tc>
        <w:tc>
          <w:tcPr>
            <w:tcW w:w="1831" w:type="dxa"/>
            <w:shd w:val="clear" w:color="auto" w:fill="auto"/>
          </w:tcPr>
          <w:p w14:paraId="6094B1FD" w14:textId="0D70CDFC" w:rsidR="007300E8" w:rsidRPr="0058606C" w:rsidRDefault="007300E8">
            <w:pPr>
              <w:spacing w:after="0" w:line="240" w:lineRule="auto"/>
              <w:rPr>
                <w:b w:val="0"/>
                <w:bCs/>
              </w:rPr>
            </w:pPr>
            <w:r w:rsidRPr="0058606C">
              <w:rPr>
                <w:b w:val="0"/>
                <w:bCs/>
              </w:rPr>
              <w:t>$</w:t>
            </w:r>
            <w:r w:rsidR="00D05588" w:rsidRPr="0058606C">
              <w:rPr>
                <w:b w:val="0"/>
                <w:bCs/>
              </w:rPr>
              <w:t>689,584</w:t>
            </w:r>
          </w:p>
        </w:tc>
        <w:tc>
          <w:tcPr>
            <w:tcW w:w="1831" w:type="dxa"/>
            <w:shd w:val="clear" w:color="auto" w:fill="auto"/>
          </w:tcPr>
          <w:p w14:paraId="437D16BE" w14:textId="2CB63325" w:rsidR="007300E8" w:rsidRPr="0058606C" w:rsidRDefault="007300E8">
            <w:pPr>
              <w:spacing w:after="0" w:line="240" w:lineRule="auto"/>
              <w:rPr>
                <w:b w:val="0"/>
                <w:bCs/>
              </w:rPr>
            </w:pPr>
            <w:r w:rsidRPr="0058606C">
              <w:rPr>
                <w:b w:val="0"/>
                <w:bCs/>
              </w:rPr>
              <w:t>$</w:t>
            </w:r>
            <w:r w:rsidR="00D05588" w:rsidRPr="0058606C">
              <w:rPr>
                <w:b w:val="0"/>
                <w:bCs/>
              </w:rPr>
              <w:t>1,324,140</w:t>
            </w:r>
          </w:p>
        </w:tc>
      </w:tr>
      <w:tr w:rsidR="00AD3D89" w:rsidRPr="000861B0" w14:paraId="242D0B71" w14:textId="77777777"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3828" w:type="dxa"/>
            <w:shd w:val="clear" w:color="auto" w:fill="auto"/>
          </w:tcPr>
          <w:p w14:paraId="06B3FFA2" w14:textId="14C25D15" w:rsidR="00B57E71" w:rsidRPr="0058606C" w:rsidRDefault="00CA0276">
            <w:pPr>
              <w:spacing w:after="0" w:line="240" w:lineRule="auto"/>
              <w:rPr>
                <w:b w:val="0"/>
                <w:bCs/>
              </w:rPr>
            </w:pPr>
            <w:r w:rsidRPr="0058606C">
              <w:rPr>
                <w:b w:val="0"/>
                <w:bCs/>
              </w:rPr>
              <w:t>Estimated s</w:t>
            </w:r>
            <w:r w:rsidR="00B57E71" w:rsidRPr="0058606C">
              <w:rPr>
                <w:b w:val="0"/>
                <w:bCs/>
              </w:rPr>
              <w:t>avings to Government</w:t>
            </w:r>
            <w:r w:rsidR="004A1AEF" w:rsidRPr="0058606C">
              <w:rPr>
                <w:b w:val="0"/>
                <w:bCs/>
              </w:rPr>
              <w:t xml:space="preserve"> / impacts to policyholders</w:t>
            </w:r>
            <w:r w:rsidR="00B57E71" w:rsidRPr="0058606C">
              <w:rPr>
                <w:b w:val="0"/>
                <w:bCs/>
              </w:rPr>
              <w:t xml:space="preserve"> (4</w:t>
            </w:r>
            <w:r w:rsidR="00C74380" w:rsidRPr="0058606C">
              <w:rPr>
                <w:b w:val="0"/>
                <w:bCs/>
              </w:rPr>
              <w:t> </w:t>
            </w:r>
            <w:r w:rsidR="00B57E71" w:rsidRPr="0058606C">
              <w:rPr>
                <w:b w:val="0"/>
                <w:bCs/>
              </w:rPr>
              <w:t>years from 2026-27)</w:t>
            </w:r>
          </w:p>
        </w:tc>
        <w:tc>
          <w:tcPr>
            <w:tcW w:w="1830" w:type="dxa"/>
            <w:shd w:val="clear" w:color="auto" w:fill="auto"/>
          </w:tcPr>
          <w:p w14:paraId="4262A81E" w14:textId="3B2E3DF2" w:rsidR="00B57E71" w:rsidRPr="0058606C" w:rsidRDefault="00B57E71">
            <w:pPr>
              <w:spacing w:after="0" w:line="240" w:lineRule="auto"/>
              <w:rPr>
                <w:b w:val="0"/>
                <w:bCs/>
              </w:rPr>
            </w:pPr>
            <w:r w:rsidRPr="0058606C">
              <w:rPr>
                <w:b w:val="0"/>
                <w:bCs/>
              </w:rPr>
              <w:t>Nil</w:t>
            </w:r>
          </w:p>
        </w:tc>
        <w:tc>
          <w:tcPr>
            <w:tcW w:w="1831" w:type="dxa"/>
            <w:shd w:val="clear" w:color="auto" w:fill="auto"/>
          </w:tcPr>
          <w:p w14:paraId="5DD85E90" w14:textId="11AF28DD" w:rsidR="00B57E71" w:rsidRPr="0058606C" w:rsidRDefault="00B57E71">
            <w:pPr>
              <w:spacing w:after="0" w:line="240" w:lineRule="auto"/>
              <w:rPr>
                <w:b w:val="0"/>
                <w:bCs/>
              </w:rPr>
            </w:pPr>
            <w:r w:rsidRPr="0058606C">
              <w:rPr>
                <w:b w:val="0"/>
                <w:bCs/>
              </w:rPr>
              <w:t>$2,994.7 million</w:t>
            </w:r>
          </w:p>
        </w:tc>
        <w:tc>
          <w:tcPr>
            <w:tcW w:w="1831" w:type="dxa"/>
            <w:shd w:val="clear" w:color="auto" w:fill="auto"/>
          </w:tcPr>
          <w:p w14:paraId="50B0A815" w14:textId="34639762" w:rsidR="00B57E71" w:rsidRPr="0058606C" w:rsidRDefault="00B57E71">
            <w:pPr>
              <w:spacing w:after="0" w:line="240" w:lineRule="auto"/>
              <w:rPr>
                <w:b w:val="0"/>
                <w:bCs/>
              </w:rPr>
            </w:pPr>
            <w:r w:rsidRPr="0058606C">
              <w:rPr>
                <w:b w:val="0"/>
                <w:bCs/>
              </w:rPr>
              <w:t>$3,922.4 million</w:t>
            </w:r>
          </w:p>
        </w:tc>
      </w:tr>
      <w:tr w:rsidR="00AD3D89" w:rsidRPr="000861B0" w14:paraId="01C0DF0F" w14:textId="77777777"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3828" w:type="dxa"/>
            <w:shd w:val="clear" w:color="auto" w:fill="auto"/>
          </w:tcPr>
          <w:p w14:paraId="0D30406D" w14:textId="0AF344CE" w:rsidR="00CA0276" w:rsidRPr="0058606C" w:rsidRDefault="00012CFB">
            <w:pPr>
              <w:spacing w:after="0" w:line="240" w:lineRule="auto"/>
              <w:rPr>
                <w:b w:val="0"/>
                <w:bCs/>
              </w:rPr>
            </w:pPr>
            <w:r w:rsidRPr="0058606C">
              <w:rPr>
                <w:b w:val="0"/>
                <w:bCs/>
              </w:rPr>
              <w:t xml:space="preserve">Expected change in the number of </w:t>
            </w:r>
            <w:r w:rsidR="006545EC" w:rsidRPr="0058606C">
              <w:rPr>
                <w:b w:val="0"/>
                <w:bCs/>
              </w:rPr>
              <w:t xml:space="preserve">affected </w:t>
            </w:r>
            <w:r w:rsidR="00144DD2" w:rsidRPr="0058606C">
              <w:rPr>
                <w:b w:val="0"/>
                <w:bCs/>
              </w:rPr>
              <w:t xml:space="preserve">insured persons </w:t>
            </w:r>
            <w:r w:rsidR="000422FD" w:rsidRPr="0058606C">
              <w:rPr>
                <w:b w:val="0"/>
                <w:bCs/>
              </w:rPr>
              <w:t xml:space="preserve">in 2028-29 </w:t>
            </w:r>
            <w:r w:rsidR="006545EC" w:rsidRPr="0058606C">
              <w:rPr>
                <w:b w:val="0"/>
                <w:bCs/>
              </w:rPr>
              <w:t>for the o</w:t>
            </w:r>
            <w:r w:rsidR="00D24D5F" w:rsidRPr="0058606C">
              <w:rPr>
                <w:b w:val="0"/>
                <w:bCs/>
              </w:rPr>
              <w:t xml:space="preserve">ption </w:t>
            </w:r>
            <w:r w:rsidR="003E15BD" w:rsidRPr="0058606C">
              <w:rPr>
                <w:b w:val="0"/>
                <w:bCs/>
              </w:rPr>
              <w:t xml:space="preserve">compared to Option 1 </w:t>
            </w:r>
          </w:p>
        </w:tc>
        <w:tc>
          <w:tcPr>
            <w:tcW w:w="1830" w:type="dxa"/>
            <w:shd w:val="clear" w:color="auto" w:fill="auto"/>
          </w:tcPr>
          <w:p w14:paraId="0F24542B" w14:textId="22912E6A" w:rsidR="00B57E71" w:rsidRPr="0058606C" w:rsidRDefault="0065048D">
            <w:pPr>
              <w:spacing w:after="0" w:line="240" w:lineRule="auto"/>
              <w:rPr>
                <w:b w:val="0"/>
                <w:bCs/>
              </w:rPr>
            </w:pPr>
            <w:r w:rsidRPr="0058606C">
              <w:rPr>
                <w:b w:val="0"/>
                <w:bCs/>
              </w:rPr>
              <w:t>N/A</w:t>
            </w:r>
          </w:p>
        </w:tc>
        <w:tc>
          <w:tcPr>
            <w:tcW w:w="1831" w:type="dxa"/>
            <w:shd w:val="clear" w:color="auto" w:fill="auto"/>
          </w:tcPr>
          <w:p w14:paraId="7FBD9C6E" w14:textId="53FDCFCA" w:rsidR="00B57E71" w:rsidRPr="0058606C" w:rsidRDefault="00012CFB">
            <w:pPr>
              <w:spacing w:after="0" w:line="240" w:lineRule="auto"/>
              <w:rPr>
                <w:b w:val="0"/>
                <w:bCs/>
              </w:rPr>
            </w:pPr>
            <w:r w:rsidRPr="0058606C">
              <w:rPr>
                <w:b w:val="0"/>
                <w:bCs/>
              </w:rPr>
              <w:t>-44,313</w:t>
            </w:r>
          </w:p>
        </w:tc>
        <w:tc>
          <w:tcPr>
            <w:tcW w:w="1831" w:type="dxa"/>
            <w:shd w:val="clear" w:color="auto" w:fill="auto"/>
          </w:tcPr>
          <w:p w14:paraId="28272B9D" w14:textId="259984B3" w:rsidR="00B57E71" w:rsidRPr="0058606C" w:rsidRDefault="00012CFB">
            <w:pPr>
              <w:spacing w:after="0" w:line="240" w:lineRule="auto"/>
              <w:rPr>
                <w:b w:val="0"/>
                <w:bCs/>
              </w:rPr>
            </w:pPr>
            <w:r w:rsidRPr="0058606C">
              <w:rPr>
                <w:b w:val="0"/>
                <w:bCs/>
              </w:rPr>
              <w:t>-48,994</w:t>
            </w:r>
          </w:p>
        </w:tc>
      </w:tr>
      <w:tr w:rsidR="002D152D" w:rsidRPr="000861B0" w14:paraId="03BA89DE" w14:textId="77777777"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3828" w:type="dxa"/>
            <w:shd w:val="clear" w:color="auto" w:fill="auto"/>
          </w:tcPr>
          <w:p w14:paraId="5B287EE4" w14:textId="06C2DA8A" w:rsidR="002D152D" w:rsidRPr="0058606C" w:rsidDel="00012CFB" w:rsidRDefault="002D152D">
            <w:pPr>
              <w:spacing w:after="0" w:line="240" w:lineRule="auto"/>
              <w:rPr>
                <w:b w:val="0"/>
                <w:bCs/>
              </w:rPr>
            </w:pPr>
            <w:r w:rsidRPr="0058606C">
              <w:rPr>
                <w:b w:val="0"/>
                <w:bCs/>
              </w:rPr>
              <w:t>Results of multi-criteria analysis</w:t>
            </w:r>
            <w:r w:rsidR="00D062E6" w:rsidRPr="0058606C">
              <w:rPr>
                <w:b w:val="0"/>
                <w:bCs/>
              </w:rPr>
              <w:t xml:space="preserve"> on stated objectives</w:t>
            </w:r>
          </w:p>
        </w:tc>
        <w:tc>
          <w:tcPr>
            <w:tcW w:w="1830" w:type="dxa"/>
            <w:shd w:val="clear" w:color="auto" w:fill="auto"/>
          </w:tcPr>
          <w:p w14:paraId="3B98D6CE" w14:textId="7D9E4134" w:rsidR="002D152D" w:rsidRPr="0058606C" w:rsidRDefault="006C4F7B">
            <w:pPr>
              <w:spacing w:after="0" w:line="240" w:lineRule="auto"/>
              <w:rPr>
                <w:b w:val="0"/>
                <w:bCs/>
              </w:rPr>
            </w:pPr>
            <w:r w:rsidRPr="0058606C">
              <w:rPr>
                <w:b w:val="0"/>
                <w:bCs/>
              </w:rPr>
              <w:t>-5</w:t>
            </w:r>
          </w:p>
        </w:tc>
        <w:tc>
          <w:tcPr>
            <w:tcW w:w="1831" w:type="dxa"/>
            <w:shd w:val="clear" w:color="auto" w:fill="auto"/>
          </w:tcPr>
          <w:p w14:paraId="71757ED7" w14:textId="0D849136" w:rsidR="002D152D" w:rsidRPr="0058606C" w:rsidRDefault="00157D47">
            <w:pPr>
              <w:spacing w:after="0" w:line="240" w:lineRule="auto"/>
              <w:rPr>
                <w:b w:val="0"/>
                <w:bCs/>
              </w:rPr>
            </w:pPr>
            <w:r w:rsidRPr="0058606C">
              <w:rPr>
                <w:b w:val="0"/>
                <w:bCs/>
              </w:rPr>
              <w:t>5</w:t>
            </w:r>
          </w:p>
        </w:tc>
        <w:tc>
          <w:tcPr>
            <w:tcW w:w="1831" w:type="dxa"/>
            <w:shd w:val="clear" w:color="auto" w:fill="auto"/>
          </w:tcPr>
          <w:p w14:paraId="438FEE6C" w14:textId="42B442A0" w:rsidR="002D152D" w:rsidRPr="0058606C" w:rsidRDefault="00CE710D">
            <w:pPr>
              <w:spacing w:after="0" w:line="240" w:lineRule="auto"/>
              <w:rPr>
                <w:b w:val="0"/>
                <w:bCs/>
              </w:rPr>
            </w:pPr>
            <w:r w:rsidRPr="0058606C">
              <w:rPr>
                <w:b w:val="0"/>
                <w:bCs/>
              </w:rPr>
              <w:t>6</w:t>
            </w:r>
          </w:p>
        </w:tc>
      </w:tr>
      <w:tr w:rsidR="00D062E6" w:rsidRPr="000861B0" w14:paraId="49BB424E" w14:textId="77777777"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3828" w:type="dxa"/>
            <w:shd w:val="clear" w:color="auto" w:fill="auto"/>
          </w:tcPr>
          <w:p w14:paraId="21F3F684" w14:textId="23DBA90E" w:rsidR="00D062E6" w:rsidRPr="0058606C" w:rsidRDefault="00D062E6">
            <w:pPr>
              <w:spacing w:after="0" w:line="240" w:lineRule="auto"/>
              <w:rPr>
                <w:b w:val="0"/>
                <w:bCs/>
              </w:rPr>
            </w:pPr>
            <w:r w:rsidRPr="0058606C">
              <w:rPr>
                <w:b w:val="0"/>
                <w:bCs/>
              </w:rPr>
              <w:t>Results of multi-criteria analysis on affected stakeholders</w:t>
            </w:r>
          </w:p>
        </w:tc>
        <w:tc>
          <w:tcPr>
            <w:tcW w:w="1830" w:type="dxa"/>
            <w:shd w:val="clear" w:color="auto" w:fill="auto"/>
          </w:tcPr>
          <w:p w14:paraId="2744EDF6" w14:textId="1C2B1691" w:rsidR="00D062E6" w:rsidRPr="0058606C" w:rsidRDefault="006C4F7B">
            <w:pPr>
              <w:spacing w:after="0" w:line="240" w:lineRule="auto"/>
              <w:rPr>
                <w:b w:val="0"/>
                <w:bCs/>
              </w:rPr>
            </w:pPr>
            <w:r w:rsidRPr="0058606C">
              <w:rPr>
                <w:b w:val="0"/>
                <w:bCs/>
              </w:rPr>
              <w:t>0</w:t>
            </w:r>
          </w:p>
        </w:tc>
        <w:tc>
          <w:tcPr>
            <w:tcW w:w="1831" w:type="dxa"/>
            <w:shd w:val="clear" w:color="auto" w:fill="auto"/>
          </w:tcPr>
          <w:p w14:paraId="1A69BF33" w14:textId="31C3715A" w:rsidR="00D062E6" w:rsidRPr="0058606C" w:rsidRDefault="006C4F7B">
            <w:pPr>
              <w:spacing w:after="0" w:line="240" w:lineRule="auto"/>
              <w:rPr>
                <w:b w:val="0"/>
                <w:bCs/>
              </w:rPr>
            </w:pPr>
            <w:r w:rsidRPr="0058606C">
              <w:rPr>
                <w:b w:val="0"/>
                <w:bCs/>
              </w:rPr>
              <w:t>-</w:t>
            </w:r>
            <w:r w:rsidR="00157D47" w:rsidRPr="0058606C">
              <w:rPr>
                <w:b w:val="0"/>
                <w:bCs/>
              </w:rPr>
              <w:t>4</w:t>
            </w:r>
          </w:p>
        </w:tc>
        <w:tc>
          <w:tcPr>
            <w:tcW w:w="1831" w:type="dxa"/>
            <w:shd w:val="clear" w:color="auto" w:fill="auto"/>
          </w:tcPr>
          <w:p w14:paraId="65D8D048" w14:textId="31E04E08" w:rsidR="00D062E6" w:rsidRPr="0058606C" w:rsidRDefault="006C4F7B">
            <w:pPr>
              <w:spacing w:after="0" w:line="240" w:lineRule="auto"/>
              <w:rPr>
                <w:b w:val="0"/>
                <w:bCs/>
              </w:rPr>
            </w:pPr>
            <w:r w:rsidRPr="0058606C">
              <w:rPr>
                <w:b w:val="0"/>
                <w:bCs/>
              </w:rPr>
              <w:t>-</w:t>
            </w:r>
            <w:r w:rsidR="00157D47" w:rsidRPr="0058606C">
              <w:rPr>
                <w:b w:val="0"/>
                <w:bCs/>
              </w:rPr>
              <w:t>6</w:t>
            </w:r>
          </w:p>
        </w:tc>
      </w:tr>
    </w:tbl>
    <w:p w14:paraId="0C831B89" w14:textId="02BF5C13" w:rsidR="006B5432" w:rsidRDefault="00E61F31" w:rsidP="006B5432">
      <w:pPr>
        <w:spacing w:before="120" w:after="120"/>
      </w:pPr>
      <w:r>
        <w:t xml:space="preserve">The objectives </w:t>
      </w:r>
      <w:r w:rsidR="00EF5272">
        <w:t>of the provided options, as</w:t>
      </w:r>
      <w:r>
        <w:t xml:space="preserve"> outlined in section 2</w:t>
      </w:r>
      <w:r w:rsidR="00EF5272">
        <w:t>,</w:t>
      </w:r>
      <w:r>
        <w:t xml:space="preserve"> were to</w:t>
      </w:r>
      <w:r w:rsidR="006B5432">
        <w:t>:</w:t>
      </w:r>
    </w:p>
    <w:p w14:paraId="4E196365" w14:textId="5870A60D" w:rsidR="00317D53" w:rsidRDefault="00317D53" w:rsidP="00061104">
      <w:pPr>
        <w:pStyle w:val="ListParagraph"/>
        <w:numPr>
          <w:ilvl w:val="0"/>
          <w:numId w:val="46"/>
        </w:numPr>
        <w:spacing w:before="120" w:after="120"/>
      </w:pPr>
      <w:r w:rsidRPr="000861B0">
        <w:t xml:space="preserve">continue to provide an </w:t>
      </w:r>
      <w:r w:rsidR="00B01DBC" w:rsidRPr="000861B0">
        <w:t>incentive</w:t>
      </w:r>
      <w:r w:rsidR="00B01DBC">
        <w:t xml:space="preserve"> </w:t>
      </w:r>
      <w:r w:rsidR="00B01DBC" w:rsidRPr="000861B0">
        <w:t>for people to participate in PHI</w:t>
      </w:r>
      <w:r w:rsidR="00B01DBC">
        <w:t xml:space="preserve"> through a simplified Rebate</w:t>
      </w:r>
      <w:r w:rsidR="00B01DBC" w:rsidRPr="000861B0" w:rsidDel="00B01DBC">
        <w:t xml:space="preserve"> </w:t>
      </w:r>
    </w:p>
    <w:p w14:paraId="3F06EBE3" w14:textId="77777777" w:rsidR="00317D53" w:rsidRDefault="00317D53" w:rsidP="00061104">
      <w:pPr>
        <w:pStyle w:val="ListParagraph"/>
        <w:numPr>
          <w:ilvl w:val="0"/>
          <w:numId w:val="46"/>
        </w:numPr>
        <w:spacing w:before="120" w:after="120"/>
      </w:pPr>
      <w:r>
        <w:lastRenderedPageBreak/>
        <w:t xml:space="preserve">ensure </w:t>
      </w:r>
      <w:r w:rsidRPr="000861B0">
        <w:t xml:space="preserve">funds are not spent on the Rebate if they </w:t>
      </w:r>
      <w:r>
        <w:t>are generally unlikely to</w:t>
      </w:r>
      <w:r w:rsidRPr="000861B0">
        <w:t xml:space="preserve"> alter participation decisions and/or could be better directed to </w:t>
      </w:r>
      <w:r>
        <w:t>other</w:t>
      </w:r>
      <w:r w:rsidRPr="000861B0">
        <w:t xml:space="preserve"> priority health</w:t>
      </w:r>
      <w:r>
        <w:t>, disability and aged care</w:t>
      </w:r>
      <w:r w:rsidRPr="000861B0">
        <w:t xml:space="preserve"> services. </w:t>
      </w:r>
    </w:p>
    <w:p w14:paraId="297AE980" w14:textId="2F8D6572" w:rsidR="00D9727F" w:rsidRDefault="00317D53" w:rsidP="00061104">
      <w:pPr>
        <w:pStyle w:val="ListParagraph"/>
        <w:numPr>
          <w:ilvl w:val="0"/>
          <w:numId w:val="46"/>
        </w:numPr>
        <w:spacing w:before="120" w:after="120"/>
      </w:pPr>
      <w:r>
        <w:t>ensure the Rebate is targeted equitably</w:t>
      </w:r>
      <w:r w:rsidR="008A5E96">
        <w:t>, while minimising any negative impacts on participation.</w:t>
      </w:r>
    </w:p>
    <w:p w14:paraId="1086E8A0" w14:textId="53128FE0" w:rsidR="00A9473B" w:rsidRDefault="5CFB9807" w:rsidP="00D9727F">
      <w:pPr>
        <w:spacing w:before="120" w:after="120"/>
      </w:pPr>
      <w:r>
        <w:t xml:space="preserve">As outlined in Section 3.1, maintaining the </w:t>
      </w:r>
      <w:r w:rsidR="00753EC5">
        <w:t>S</w:t>
      </w:r>
      <w:r>
        <w:t xml:space="preserve">tatus </w:t>
      </w:r>
      <w:r w:rsidR="00753EC5">
        <w:t>Q</w:t>
      </w:r>
      <w:r>
        <w:t xml:space="preserve">uo </w:t>
      </w:r>
      <w:r w:rsidR="6DDA8F63">
        <w:t xml:space="preserve">(Option 1) </w:t>
      </w:r>
      <w:r>
        <w:t xml:space="preserve">would not address the objectives, as the Rebate </w:t>
      </w:r>
      <w:r w:rsidR="56808452">
        <w:t xml:space="preserve">would </w:t>
      </w:r>
      <w:r>
        <w:t>continue</w:t>
      </w:r>
      <w:r w:rsidR="56808452">
        <w:t xml:space="preserve"> </w:t>
      </w:r>
      <w:r>
        <w:t>to provide a subsidy greater than required to incentivise participation, with negative consequences for other health system priorities.</w:t>
      </w:r>
      <w:r w:rsidR="56808452">
        <w:t xml:space="preserve"> </w:t>
      </w:r>
      <w:r w:rsidR="63343AFF">
        <w:t xml:space="preserve">Maintaining the </w:t>
      </w:r>
      <w:r w:rsidR="00916CEB">
        <w:t>S</w:t>
      </w:r>
      <w:r w:rsidR="63343AFF">
        <w:t xml:space="preserve">tatus </w:t>
      </w:r>
      <w:r w:rsidR="00916CEB">
        <w:t>Q</w:t>
      </w:r>
      <w:r w:rsidR="63343AFF">
        <w:t xml:space="preserve">uo would also not address the inherent inequity </w:t>
      </w:r>
      <w:r w:rsidR="31672ABC">
        <w:t>of people aged 65+ receiving a higher Rebate than younger people earning the same income.</w:t>
      </w:r>
    </w:p>
    <w:p w14:paraId="70CCB383" w14:textId="7673C3EB" w:rsidR="003D2F08" w:rsidRDefault="003D2F08" w:rsidP="00F4119B">
      <w:pPr>
        <w:spacing w:before="120" w:after="120"/>
      </w:pPr>
      <w:r>
        <w:t xml:space="preserve">In comparing the </w:t>
      </w:r>
      <w:r w:rsidR="00D169C3">
        <w:t xml:space="preserve">potential benefits of Option </w:t>
      </w:r>
      <w:r w:rsidR="00164620">
        <w:t>2</w:t>
      </w:r>
      <w:r w:rsidR="00D169C3">
        <w:t xml:space="preserve"> and </w:t>
      </w:r>
      <w:r w:rsidR="00AB4BF8">
        <w:t>3</w:t>
      </w:r>
      <w:r w:rsidR="00D169C3">
        <w:t xml:space="preserve">, </w:t>
      </w:r>
      <w:r w:rsidR="00782D85">
        <w:t xml:space="preserve">Table </w:t>
      </w:r>
      <w:r w:rsidR="0042679F">
        <w:t>1</w:t>
      </w:r>
      <w:r w:rsidR="00D9727F">
        <w:t>8</w:t>
      </w:r>
      <w:r w:rsidR="00D169C3">
        <w:t xml:space="preserve"> provides the </w:t>
      </w:r>
      <w:r w:rsidR="00A559AE">
        <w:t>expected change in the number of insured people in 2028-29</w:t>
      </w:r>
      <w:r w:rsidR="007777E0">
        <w:t xml:space="preserve">, </w:t>
      </w:r>
      <w:r w:rsidR="00C71C0A">
        <w:t xml:space="preserve">as a percentage change against </w:t>
      </w:r>
      <w:r w:rsidR="006611FE">
        <w:t>Option 1 (</w:t>
      </w:r>
      <w:r w:rsidR="00C71C0A">
        <w:t>Status Quo</w:t>
      </w:r>
      <w:r w:rsidR="006611FE">
        <w:t>)</w:t>
      </w:r>
      <w:r w:rsidR="00C71C0A">
        <w:t xml:space="preserve">, segmented by </w:t>
      </w:r>
      <w:r w:rsidR="00DF760E">
        <w:t>age</w:t>
      </w:r>
      <w:r w:rsidR="003856E9">
        <w:t>.</w:t>
      </w:r>
    </w:p>
    <w:p w14:paraId="27543776" w14:textId="19010E6A" w:rsidR="00D169C3" w:rsidRPr="00ED3927" w:rsidRDefault="00D169C3" w:rsidP="00ED3927">
      <w:pPr>
        <w:pStyle w:val="Heading3"/>
      </w:pPr>
      <w:r w:rsidRPr="00ED3927">
        <w:t xml:space="preserve">Table </w:t>
      </w:r>
      <w:r w:rsidR="0042679F" w:rsidRPr="00ED3927">
        <w:t>1</w:t>
      </w:r>
      <w:r w:rsidR="00D9727F" w:rsidRPr="00ED3927">
        <w:t>8</w:t>
      </w:r>
      <w:r w:rsidR="009E14ED" w:rsidRPr="00ED3927">
        <w:t>:</w:t>
      </w:r>
      <w:r w:rsidRPr="00ED3927">
        <w:t xml:space="preserve"> </w:t>
      </w:r>
      <w:r w:rsidR="00AB66A9" w:rsidRPr="00ED3927">
        <w:t xml:space="preserve">estimated </w:t>
      </w:r>
      <w:r w:rsidR="00CD14C6" w:rsidRPr="00ED3927">
        <w:t>change in number of insured people in 2028-29 by age</w:t>
      </w:r>
      <w:r w:rsidR="00001696" w:rsidRPr="00ED3927">
        <w:t xml:space="preserve"> (not including dependents) compared with </w:t>
      </w:r>
      <w:r w:rsidR="006611FE" w:rsidRPr="00ED3927">
        <w:t>Option 1 (</w:t>
      </w:r>
      <w:r w:rsidR="00001696" w:rsidRPr="00ED3927">
        <w:t>Status Quo</w:t>
      </w:r>
      <w:r w:rsidR="006611FE" w:rsidRPr="00ED3927">
        <w:t>)</w:t>
      </w:r>
    </w:p>
    <w:tbl>
      <w:tblPr>
        <w:tblStyle w:val="Custom1"/>
        <w:tblW w:w="5000" w:type="pct"/>
        <w:tblLook w:val="0660" w:firstRow="1" w:lastRow="1" w:firstColumn="0" w:lastColumn="0" w:noHBand="1" w:noVBand="1"/>
        <w:tblDescription w:val="Table shows the estimated change in the number of insured non-dependent persons in 2028-29 for Option 2 and 3 compared to Option 3. The table is split by age. The change in insured population is -0.4% for options 2 and 3."/>
      </w:tblPr>
      <w:tblGrid>
        <w:gridCol w:w="2274"/>
        <w:gridCol w:w="2454"/>
        <w:gridCol w:w="2454"/>
        <w:gridCol w:w="2456"/>
      </w:tblGrid>
      <w:tr w:rsidR="00662EDE" w:rsidRPr="000861B0" w14:paraId="1D87898E" w14:textId="0388EBB5"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5000" w:type="pct"/>
            <w:gridSpan w:val="4"/>
          </w:tcPr>
          <w:p w14:paraId="364072DC" w14:textId="52300369" w:rsidR="00662EDE" w:rsidRDefault="00662EDE">
            <w:pPr>
              <w:spacing w:after="0" w:line="240" w:lineRule="auto"/>
            </w:pPr>
            <w:r w:rsidRPr="0011EF4A">
              <w:rPr>
                <w:rFonts w:ascii="Segoe UI" w:hAnsi="Segoe UI" w:cs="Segoe UI"/>
                <w:color w:val="FFFFFF" w:themeColor="background2"/>
              </w:rPr>
              <w:t>Change in insured people compared to Status Quo</w:t>
            </w:r>
            <w:r>
              <w:rPr>
                <w:rFonts w:ascii="Segoe UI" w:hAnsi="Segoe UI" w:cs="Segoe UI"/>
                <w:color w:val="FFFFFF" w:themeColor="background2"/>
              </w:rPr>
              <w:t xml:space="preserve"> </w:t>
            </w:r>
            <w:r w:rsidRPr="0011EF4A">
              <w:rPr>
                <w:rFonts w:ascii="Segoe UI" w:hAnsi="Segoe UI" w:cs="Segoe UI"/>
                <w:color w:val="FFFFFF" w:themeColor="background2"/>
              </w:rPr>
              <w:t>(%)</w:t>
            </w:r>
          </w:p>
        </w:tc>
      </w:tr>
      <w:tr w:rsidR="00662EDE" w:rsidRPr="000861B0" w14:paraId="5CC4F614" w14:textId="75DE44A0"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1180" w:type="pct"/>
            <w:shd w:val="clear" w:color="auto" w:fill="auto"/>
          </w:tcPr>
          <w:p w14:paraId="28652A65" w14:textId="77777777" w:rsidR="00662EDE" w:rsidRPr="0058606C" w:rsidRDefault="00662EDE" w:rsidP="00DF760E">
            <w:pPr>
              <w:spacing w:after="0" w:line="240" w:lineRule="auto"/>
              <w:rPr>
                <w:b w:val="0"/>
                <w:bCs/>
              </w:rPr>
            </w:pPr>
          </w:p>
        </w:tc>
        <w:tc>
          <w:tcPr>
            <w:tcW w:w="1273" w:type="pct"/>
            <w:shd w:val="clear" w:color="auto" w:fill="auto"/>
          </w:tcPr>
          <w:p w14:paraId="4C182774" w14:textId="75A231F8" w:rsidR="00662EDE" w:rsidRPr="0058606C" w:rsidRDefault="00662EDE" w:rsidP="00DF760E">
            <w:pPr>
              <w:spacing w:after="0" w:line="240" w:lineRule="auto"/>
              <w:rPr>
                <w:b w:val="0"/>
                <w:bCs/>
              </w:rPr>
            </w:pPr>
            <w:r w:rsidRPr="0058606C">
              <w:rPr>
                <w:b w:val="0"/>
                <w:bCs/>
              </w:rPr>
              <w:t>18-64 years</w:t>
            </w:r>
          </w:p>
        </w:tc>
        <w:tc>
          <w:tcPr>
            <w:tcW w:w="1273" w:type="pct"/>
            <w:shd w:val="clear" w:color="auto" w:fill="auto"/>
          </w:tcPr>
          <w:p w14:paraId="55AE60E9" w14:textId="10965D94" w:rsidR="00662EDE" w:rsidRPr="0058606C" w:rsidRDefault="00662EDE" w:rsidP="00DF760E">
            <w:pPr>
              <w:spacing w:after="0" w:line="240" w:lineRule="auto"/>
              <w:rPr>
                <w:b w:val="0"/>
                <w:bCs/>
              </w:rPr>
            </w:pPr>
            <w:r w:rsidRPr="0058606C">
              <w:rPr>
                <w:b w:val="0"/>
                <w:bCs/>
              </w:rPr>
              <w:t>65+ years</w:t>
            </w:r>
          </w:p>
        </w:tc>
        <w:tc>
          <w:tcPr>
            <w:tcW w:w="1274" w:type="pct"/>
            <w:shd w:val="clear" w:color="auto" w:fill="auto"/>
          </w:tcPr>
          <w:p w14:paraId="27D11784" w14:textId="64D01316" w:rsidR="00662EDE" w:rsidRPr="0058606C" w:rsidRDefault="00662EDE" w:rsidP="00DF760E">
            <w:pPr>
              <w:spacing w:after="0" w:line="240" w:lineRule="auto"/>
              <w:rPr>
                <w:b w:val="0"/>
                <w:bCs/>
              </w:rPr>
            </w:pPr>
            <w:r w:rsidRPr="0058606C">
              <w:rPr>
                <w:b w:val="0"/>
                <w:bCs/>
              </w:rPr>
              <w:t>Whole population</w:t>
            </w:r>
          </w:p>
        </w:tc>
      </w:tr>
      <w:tr w:rsidR="00662EDE" w:rsidRPr="000861B0" w14:paraId="4992BAA3" w14:textId="1F4E5DBD"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1180" w:type="pct"/>
            <w:shd w:val="clear" w:color="auto" w:fill="auto"/>
          </w:tcPr>
          <w:p w14:paraId="279FAA4C" w14:textId="16FFA27F" w:rsidR="00662EDE" w:rsidRPr="0058606C" w:rsidRDefault="00662EDE" w:rsidP="00691698">
            <w:pPr>
              <w:spacing w:after="0" w:line="240" w:lineRule="auto"/>
              <w:rPr>
                <w:b w:val="0"/>
                <w:bCs/>
              </w:rPr>
            </w:pPr>
            <w:r w:rsidRPr="0058606C">
              <w:rPr>
                <w:b w:val="0"/>
                <w:bCs/>
              </w:rPr>
              <w:t>Option 2</w:t>
            </w:r>
          </w:p>
        </w:tc>
        <w:tc>
          <w:tcPr>
            <w:tcW w:w="1273" w:type="pct"/>
            <w:shd w:val="clear" w:color="auto" w:fill="auto"/>
          </w:tcPr>
          <w:p w14:paraId="3354F88E" w14:textId="6809A352" w:rsidR="00662EDE" w:rsidRPr="0058606C" w:rsidRDefault="002927C6" w:rsidP="00691698">
            <w:pPr>
              <w:spacing w:after="0" w:line="240" w:lineRule="auto"/>
              <w:rPr>
                <w:b w:val="0"/>
                <w:bCs/>
              </w:rPr>
            </w:pPr>
            <w:r w:rsidRPr="0058606C">
              <w:rPr>
                <w:b w:val="0"/>
                <w:bCs/>
              </w:rPr>
              <w:t>0.0%</w:t>
            </w:r>
          </w:p>
        </w:tc>
        <w:tc>
          <w:tcPr>
            <w:tcW w:w="1273" w:type="pct"/>
            <w:shd w:val="clear" w:color="auto" w:fill="auto"/>
          </w:tcPr>
          <w:p w14:paraId="5DD03C58" w14:textId="1E48A023" w:rsidR="00662EDE" w:rsidRPr="0058606C" w:rsidRDefault="00662EDE" w:rsidP="00691698">
            <w:pPr>
              <w:spacing w:after="0" w:line="240" w:lineRule="auto"/>
              <w:rPr>
                <w:b w:val="0"/>
                <w:bCs/>
              </w:rPr>
            </w:pPr>
            <w:r w:rsidRPr="0058606C">
              <w:rPr>
                <w:b w:val="0"/>
                <w:bCs/>
              </w:rPr>
              <w:t>-1.</w:t>
            </w:r>
            <w:r w:rsidR="00097C03" w:rsidRPr="0058606C">
              <w:rPr>
                <w:b w:val="0"/>
                <w:bCs/>
              </w:rPr>
              <w:t>2</w:t>
            </w:r>
            <w:r w:rsidRPr="0058606C">
              <w:rPr>
                <w:b w:val="0"/>
                <w:bCs/>
              </w:rPr>
              <w:t>%</w:t>
            </w:r>
          </w:p>
        </w:tc>
        <w:tc>
          <w:tcPr>
            <w:tcW w:w="1274" w:type="pct"/>
            <w:shd w:val="clear" w:color="auto" w:fill="auto"/>
          </w:tcPr>
          <w:p w14:paraId="5CD7ADAF" w14:textId="1887984B" w:rsidR="00662EDE" w:rsidRPr="0058606C" w:rsidRDefault="00662EDE" w:rsidP="00691698">
            <w:pPr>
              <w:spacing w:after="0" w:line="240" w:lineRule="auto"/>
              <w:rPr>
                <w:b w:val="0"/>
                <w:bCs/>
              </w:rPr>
            </w:pPr>
            <w:r w:rsidRPr="0058606C">
              <w:rPr>
                <w:b w:val="0"/>
                <w:bCs/>
              </w:rPr>
              <w:t>-0.4%</w:t>
            </w:r>
          </w:p>
        </w:tc>
      </w:tr>
      <w:tr w:rsidR="00662EDE" w:rsidRPr="000861B0" w14:paraId="48B41A57" w14:textId="77777777"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1180" w:type="pct"/>
            <w:shd w:val="clear" w:color="auto" w:fill="auto"/>
          </w:tcPr>
          <w:p w14:paraId="45A76100" w14:textId="758C6CC9" w:rsidR="00662EDE" w:rsidRPr="0058606C" w:rsidDel="00662EDE" w:rsidRDefault="00662EDE" w:rsidP="00662EDE">
            <w:pPr>
              <w:spacing w:after="0" w:line="240" w:lineRule="auto"/>
              <w:rPr>
                <w:b w:val="0"/>
                <w:bCs/>
              </w:rPr>
            </w:pPr>
            <w:r w:rsidRPr="0058606C">
              <w:rPr>
                <w:b w:val="0"/>
                <w:bCs/>
              </w:rPr>
              <w:t>Option 3</w:t>
            </w:r>
          </w:p>
        </w:tc>
        <w:tc>
          <w:tcPr>
            <w:tcW w:w="1273" w:type="pct"/>
            <w:shd w:val="clear" w:color="auto" w:fill="auto"/>
          </w:tcPr>
          <w:p w14:paraId="41411A36" w14:textId="0993129A" w:rsidR="00662EDE" w:rsidRPr="0058606C" w:rsidRDefault="00662EDE" w:rsidP="00662EDE">
            <w:pPr>
              <w:spacing w:after="0" w:line="240" w:lineRule="auto"/>
              <w:rPr>
                <w:b w:val="0"/>
                <w:bCs/>
              </w:rPr>
            </w:pPr>
            <w:r w:rsidRPr="0058606C">
              <w:rPr>
                <w:b w:val="0"/>
                <w:bCs/>
              </w:rPr>
              <w:t>-0.1%</w:t>
            </w:r>
          </w:p>
        </w:tc>
        <w:tc>
          <w:tcPr>
            <w:tcW w:w="1273" w:type="pct"/>
            <w:shd w:val="clear" w:color="auto" w:fill="auto"/>
          </w:tcPr>
          <w:p w14:paraId="799761F4" w14:textId="404777F9" w:rsidR="00662EDE" w:rsidRPr="0058606C" w:rsidRDefault="00662EDE" w:rsidP="00662EDE">
            <w:pPr>
              <w:spacing w:after="0" w:line="240" w:lineRule="auto"/>
              <w:rPr>
                <w:b w:val="0"/>
                <w:bCs/>
              </w:rPr>
            </w:pPr>
            <w:r w:rsidRPr="0058606C">
              <w:rPr>
                <w:b w:val="0"/>
                <w:bCs/>
              </w:rPr>
              <w:t>-1.</w:t>
            </w:r>
            <w:r w:rsidR="00097C03" w:rsidRPr="0058606C">
              <w:rPr>
                <w:b w:val="0"/>
                <w:bCs/>
              </w:rPr>
              <w:t>1</w:t>
            </w:r>
            <w:r w:rsidRPr="0058606C">
              <w:rPr>
                <w:b w:val="0"/>
                <w:bCs/>
              </w:rPr>
              <w:t>%</w:t>
            </w:r>
          </w:p>
        </w:tc>
        <w:tc>
          <w:tcPr>
            <w:tcW w:w="1274" w:type="pct"/>
            <w:shd w:val="clear" w:color="auto" w:fill="auto"/>
          </w:tcPr>
          <w:p w14:paraId="3F95D3C3" w14:textId="4E742C22" w:rsidR="00662EDE" w:rsidRPr="0058606C" w:rsidRDefault="00662EDE" w:rsidP="00662EDE">
            <w:pPr>
              <w:spacing w:after="0" w:line="240" w:lineRule="auto"/>
              <w:rPr>
                <w:b w:val="0"/>
                <w:bCs/>
              </w:rPr>
            </w:pPr>
            <w:r w:rsidRPr="0058606C">
              <w:rPr>
                <w:b w:val="0"/>
                <w:bCs/>
              </w:rPr>
              <w:t>-0.4%</w:t>
            </w:r>
          </w:p>
        </w:tc>
      </w:tr>
    </w:tbl>
    <w:p w14:paraId="07D5F691" w14:textId="69E58ABD" w:rsidR="00A712E5" w:rsidRDefault="003E1DF4" w:rsidP="00A712E5">
      <w:pPr>
        <w:spacing w:before="120" w:after="120"/>
      </w:pPr>
      <w:r>
        <w:t xml:space="preserve">Option </w:t>
      </w:r>
      <w:r w:rsidR="00164620">
        <w:t>2</w:t>
      </w:r>
      <w:r>
        <w:t xml:space="preserve"> would address each of the objectives. </w:t>
      </w:r>
      <w:r w:rsidR="00606AD4">
        <w:t xml:space="preserve">It would continue to provide an incentive </w:t>
      </w:r>
      <w:r w:rsidR="00ED6786">
        <w:t>for PHI participation</w:t>
      </w:r>
      <w:r w:rsidR="00937662">
        <w:t xml:space="preserve"> through simplified Rebate rates</w:t>
      </w:r>
      <w:r w:rsidR="00ED6786">
        <w:t>, while ensuring</w:t>
      </w:r>
      <w:r w:rsidR="00A83BB7">
        <w:t xml:space="preserve"> </w:t>
      </w:r>
      <w:r w:rsidR="008B0558">
        <w:t xml:space="preserve">some Rebate </w:t>
      </w:r>
      <w:r w:rsidR="00A83BB7">
        <w:t xml:space="preserve">funds </w:t>
      </w:r>
      <w:r w:rsidR="005A6757">
        <w:t>($2,994.7</w:t>
      </w:r>
      <w:r w:rsidR="002F7A0B">
        <w:t> </w:t>
      </w:r>
      <w:r w:rsidR="005A6757">
        <w:t xml:space="preserve">million over 4 years from 2026-27) </w:t>
      </w:r>
      <w:r w:rsidR="00E1145D">
        <w:t>were available</w:t>
      </w:r>
      <w:r w:rsidR="00A83BB7">
        <w:t xml:space="preserve"> </w:t>
      </w:r>
      <w:r w:rsidR="00E1145D">
        <w:t>to be</w:t>
      </w:r>
      <w:r w:rsidR="00766B86">
        <w:t xml:space="preserve"> </w:t>
      </w:r>
      <w:r w:rsidR="00A83BB7">
        <w:t xml:space="preserve">spent on </w:t>
      </w:r>
      <w:r w:rsidR="007B4E9C">
        <w:t xml:space="preserve">supporting </w:t>
      </w:r>
      <w:r w:rsidR="00FF626A">
        <w:t>important aged care services.</w:t>
      </w:r>
      <w:r w:rsidR="003C6222">
        <w:t xml:space="preserve"> </w:t>
      </w:r>
      <w:r w:rsidR="000B59D8">
        <w:t>Option</w:t>
      </w:r>
      <w:r w:rsidR="008B0558">
        <w:t xml:space="preserve"> </w:t>
      </w:r>
      <w:r w:rsidR="00164620">
        <w:t>2</w:t>
      </w:r>
      <w:r w:rsidR="008B0558">
        <w:t xml:space="preserve"> </w:t>
      </w:r>
      <w:r w:rsidR="00CA0A77">
        <w:t xml:space="preserve">ensures the </w:t>
      </w:r>
      <w:r w:rsidR="00D152EA">
        <w:t>Rebate is equitably targeted by ensuring the Rebate is only set with reference to income, not age.</w:t>
      </w:r>
      <w:r w:rsidR="00360F8A">
        <w:t xml:space="preserve"> It also ensures the Rebate is spent on cohorts</w:t>
      </w:r>
      <w:r w:rsidR="00E31AE0">
        <w:t xml:space="preserve"> where it might influence individual decisions to purchase PHI</w:t>
      </w:r>
      <w:r w:rsidR="006901E0">
        <w:t xml:space="preserve">, as older Australians are likely to continue to </w:t>
      </w:r>
      <w:r w:rsidR="00204CFB">
        <w:t>maintain PHI even if their</w:t>
      </w:r>
      <w:r w:rsidR="008E61CC">
        <w:t xml:space="preserve"> Rebate entitlement is reduced</w:t>
      </w:r>
      <w:r w:rsidR="004A0B68">
        <w:t xml:space="preserve"> </w:t>
      </w:r>
      <w:r w:rsidR="0012513B">
        <w:t>(</w:t>
      </w:r>
      <w:r w:rsidR="00464CB0">
        <w:t xml:space="preserve">see </w:t>
      </w:r>
      <w:r w:rsidR="0012513B">
        <w:t xml:space="preserve">Table </w:t>
      </w:r>
      <w:r w:rsidR="00113063">
        <w:t>9</w:t>
      </w:r>
      <w:r w:rsidR="0012513B">
        <w:t>)</w:t>
      </w:r>
      <w:r w:rsidR="006E0283">
        <w:t>,</w:t>
      </w:r>
      <w:r w:rsidR="0012513B">
        <w:t xml:space="preserve"> </w:t>
      </w:r>
      <w:r w:rsidR="004A0B68">
        <w:t xml:space="preserve">as the benefits </w:t>
      </w:r>
      <w:r w:rsidR="00241E32">
        <w:t>outweigh the reduction in Rebate</w:t>
      </w:r>
      <w:r w:rsidR="00431094">
        <w:t xml:space="preserve"> (</w:t>
      </w:r>
      <w:r w:rsidR="0012513B">
        <w:t>Figure 1)</w:t>
      </w:r>
      <w:r w:rsidR="00241E32">
        <w:t>.</w:t>
      </w:r>
      <w:r w:rsidR="00671CF9">
        <w:t xml:space="preserve"> </w:t>
      </w:r>
      <w:r w:rsidR="00431094">
        <w:t>Overall, c</w:t>
      </w:r>
      <w:r w:rsidR="00671CF9">
        <w:t>ompared to Option</w:t>
      </w:r>
      <w:r w:rsidR="00BF7224">
        <w:t> </w:t>
      </w:r>
      <w:r w:rsidR="00F0798A">
        <w:t>3</w:t>
      </w:r>
      <w:r w:rsidR="00671CF9">
        <w:t xml:space="preserve">, Option </w:t>
      </w:r>
      <w:r w:rsidR="00164620">
        <w:t>2</w:t>
      </w:r>
      <w:r w:rsidR="00671CF9">
        <w:t xml:space="preserve"> </w:t>
      </w:r>
      <w:r w:rsidR="00846628">
        <w:t>has</w:t>
      </w:r>
      <w:r w:rsidR="00A712E5">
        <w:t>:</w:t>
      </w:r>
    </w:p>
    <w:p w14:paraId="3660C9AE" w14:textId="77777777" w:rsidR="00A712E5" w:rsidRDefault="00A712E5" w:rsidP="00061104">
      <w:pPr>
        <w:pStyle w:val="ListParagraph"/>
        <w:numPr>
          <w:ilvl w:val="0"/>
          <w:numId w:val="43"/>
        </w:numPr>
        <w:spacing w:before="120" w:after="120"/>
      </w:pPr>
      <w:r>
        <w:t>a smaller regulatory burden (estimated at $</w:t>
      </w:r>
      <w:r w:rsidRPr="000324DB">
        <w:t>689,584</w:t>
      </w:r>
      <w:r w:rsidRPr="00177A75" w:rsidDel="000324DB">
        <w:t xml:space="preserve"> </w:t>
      </w:r>
      <w:r>
        <w:t xml:space="preserve">and </w:t>
      </w:r>
      <w:r w:rsidRPr="004F4D17">
        <w:t>$1,324,140</w:t>
      </w:r>
      <w:r>
        <w:t>, respectively)</w:t>
      </w:r>
    </w:p>
    <w:p w14:paraId="3A25EA1C" w14:textId="6C8CE6BD" w:rsidR="00A712E5" w:rsidRDefault="00A712E5" w:rsidP="00061104">
      <w:pPr>
        <w:pStyle w:val="ListParagraph"/>
        <w:numPr>
          <w:ilvl w:val="0"/>
          <w:numId w:val="43"/>
        </w:numPr>
        <w:spacing w:before="120" w:after="120"/>
      </w:pPr>
      <w:r>
        <w:t>a smaller cost to consumers ($</w:t>
      </w:r>
      <w:r w:rsidRPr="00050BE1">
        <w:t>2,994.7</w:t>
      </w:r>
      <w:r>
        <w:t xml:space="preserve"> and</w:t>
      </w:r>
      <w:r w:rsidRPr="00050BE1">
        <w:t xml:space="preserve"> </w:t>
      </w:r>
      <w:r w:rsidRPr="009D5E5B">
        <w:t>$3,922.4 million</w:t>
      </w:r>
      <w:r>
        <w:t xml:space="preserve"> over 4 years from 2026-27, respectively)</w:t>
      </w:r>
      <w:r w:rsidR="005B4EA2">
        <w:t>, and</w:t>
      </w:r>
    </w:p>
    <w:p w14:paraId="5B92FC1A" w14:textId="77777777" w:rsidR="00A712E5" w:rsidRPr="000E55B0" w:rsidRDefault="00A712E5" w:rsidP="00061104">
      <w:pPr>
        <w:pStyle w:val="ListParagraph"/>
        <w:numPr>
          <w:ilvl w:val="0"/>
          <w:numId w:val="43"/>
        </w:numPr>
        <w:spacing w:before="120" w:after="120"/>
        <w:rPr>
          <w:b/>
          <w:sz w:val="24"/>
          <w:szCs w:val="24"/>
        </w:rPr>
      </w:pPr>
      <w:r>
        <w:t>a smaller participation impact (-</w:t>
      </w:r>
      <w:r w:rsidRPr="00597E4A">
        <w:t>42,304</w:t>
      </w:r>
      <w:r>
        <w:t xml:space="preserve"> and </w:t>
      </w:r>
      <w:r w:rsidRPr="00597E4A">
        <w:t>-49,204</w:t>
      </w:r>
      <w:r>
        <w:t xml:space="preserve"> in 2028-29, respectively).</w:t>
      </w:r>
    </w:p>
    <w:p w14:paraId="662CE45E" w14:textId="79513F43" w:rsidR="00692E77" w:rsidRDefault="00692E77">
      <w:pPr>
        <w:spacing w:before="120" w:after="120"/>
        <w:rPr>
          <w:b/>
          <w:bCs/>
          <w:sz w:val="24"/>
          <w:szCs w:val="24"/>
        </w:rPr>
      </w:pPr>
      <w:r>
        <w:t xml:space="preserve">Option </w:t>
      </w:r>
      <w:r w:rsidR="00F0798A">
        <w:t>3</w:t>
      </w:r>
      <w:r w:rsidR="006A2E03">
        <w:t xml:space="preserve"> </w:t>
      </w:r>
      <w:r w:rsidR="00EA51D1">
        <w:t>addresses</w:t>
      </w:r>
      <w:r w:rsidR="006A2E03">
        <w:t xml:space="preserve"> the </w:t>
      </w:r>
      <w:r w:rsidR="00EA51D1">
        <w:t xml:space="preserve">same </w:t>
      </w:r>
      <w:r w:rsidR="006A2E03">
        <w:t>objectives</w:t>
      </w:r>
      <w:r w:rsidR="00EA51D1">
        <w:t xml:space="preserve"> as Option </w:t>
      </w:r>
      <w:r w:rsidR="003329C7">
        <w:t>2</w:t>
      </w:r>
      <w:r w:rsidR="00284303">
        <w:t>, although t</w:t>
      </w:r>
      <w:r w:rsidR="00CA6ECC">
        <w:t>he</w:t>
      </w:r>
      <w:r w:rsidR="00D52E9C">
        <w:t xml:space="preserve"> </w:t>
      </w:r>
      <w:r w:rsidR="0065149F">
        <w:t xml:space="preserve">Rebate funding saved </w:t>
      </w:r>
      <w:r w:rsidR="00600E49">
        <w:t xml:space="preserve">that could be </w:t>
      </w:r>
      <w:r w:rsidR="1FC83C4C">
        <w:t xml:space="preserve">used to support </w:t>
      </w:r>
      <w:r w:rsidR="006B036C">
        <w:t xml:space="preserve">other </w:t>
      </w:r>
      <w:r w:rsidR="00D52E9C">
        <w:t>priorit</w:t>
      </w:r>
      <w:r w:rsidR="0065149F">
        <w:t xml:space="preserve">ies </w:t>
      </w:r>
      <w:r w:rsidR="00D52E9C">
        <w:t>is higher ($3,922.4 million over 4 years from 2026-27).</w:t>
      </w:r>
      <w:r w:rsidR="00974F24">
        <w:t xml:space="preserve"> However, </w:t>
      </w:r>
      <w:r w:rsidR="00746FBA">
        <w:t xml:space="preserve">compared to Option </w:t>
      </w:r>
      <w:r w:rsidR="003329C7">
        <w:t>2</w:t>
      </w:r>
      <w:r w:rsidR="00746FBA">
        <w:t xml:space="preserve">, </w:t>
      </w:r>
      <w:r w:rsidR="00974F24">
        <w:t xml:space="preserve">Option </w:t>
      </w:r>
      <w:r w:rsidR="00F0798A">
        <w:t>3</w:t>
      </w:r>
      <w:r w:rsidR="00974F24">
        <w:t xml:space="preserve"> has higher regulatory costs for insurers,</w:t>
      </w:r>
      <w:r w:rsidR="00746FBA">
        <w:t xml:space="preserve"> a larger impact on </w:t>
      </w:r>
      <w:r w:rsidR="003037F8">
        <w:t xml:space="preserve">consumers </w:t>
      </w:r>
      <w:r w:rsidR="00746FBA">
        <w:t>and is likely to result in more people dropping PHI</w:t>
      </w:r>
      <w:r w:rsidR="00E71442">
        <w:t xml:space="preserve"> (</w:t>
      </w:r>
      <w:r w:rsidR="00C93C64">
        <w:t xml:space="preserve">see </w:t>
      </w:r>
      <w:r w:rsidR="00E71442">
        <w:t>Table 1</w:t>
      </w:r>
      <w:r w:rsidR="00CF2138">
        <w:t>3</w:t>
      </w:r>
      <w:r w:rsidR="00E71442">
        <w:t>)</w:t>
      </w:r>
      <w:r w:rsidR="00204730">
        <w:t>, including younger people in Tiers 1 and 2</w:t>
      </w:r>
      <w:r w:rsidR="00746FBA">
        <w:t>.</w:t>
      </w:r>
      <w:r w:rsidR="00854F4E">
        <w:t xml:space="preserve"> Younger people dropping their cover would undermine the sustainability of </w:t>
      </w:r>
      <w:r w:rsidR="00854F4E">
        <w:lastRenderedPageBreak/>
        <w:t>the PHI system which requires participation by younger (typically healthier) individuals to cross-subsidise the older cohort.</w:t>
      </w:r>
      <w:r w:rsidR="00854F4E" w:rsidRPr="39C392DB">
        <w:rPr>
          <w:b/>
          <w:bCs/>
          <w:sz w:val="24"/>
          <w:szCs w:val="24"/>
        </w:rPr>
        <w:t xml:space="preserve"> </w:t>
      </w:r>
    </w:p>
    <w:p w14:paraId="17B48197" w14:textId="11973412" w:rsidR="000E55B0" w:rsidRPr="000E55B0" w:rsidRDefault="0003033D" w:rsidP="00871AE4">
      <w:pPr>
        <w:spacing w:before="120" w:after="120"/>
        <w:rPr>
          <w:b/>
          <w:sz w:val="24"/>
          <w:szCs w:val="24"/>
        </w:rPr>
      </w:pPr>
      <w:r w:rsidRPr="00177A75">
        <w:t xml:space="preserve">Overall, Option </w:t>
      </w:r>
      <w:r w:rsidR="003329C7">
        <w:t>2</w:t>
      </w:r>
      <w:r w:rsidRPr="00177A75">
        <w:t xml:space="preserve"> is </w:t>
      </w:r>
      <w:r w:rsidR="5CE5C598">
        <w:t>preferred</w:t>
      </w:r>
      <w:r w:rsidRPr="00177A75">
        <w:t>, as it meets the identified objectives</w:t>
      </w:r>
      <w:r w:rsidR="00796659" w:rsidRPr="00177A75">
        <w:t xml:space="preserve"> </w:t>
      </w:r>
      <w:r w:rsidR="004E7A2D">
        <w:t xml:space="preserve">to a greater extent </w:t>
      </w:r>
      <w:r w:rsidR="00736956">
        <w:t xml:space="preserve">overall </w:t>
      </w:r>
      <w:r w:rsidR="004E7A2D">
        <w:t>than Option</w:t>
      </w:r>
      <w:r w:rsidR="00736956">
        <w:t>s</w:t>
      </w:r>
      <w:r w:rsidR="004E7A2D">
        <w:t xml:space="preserve"> 1 and 3</w:t>
      </w:r>
      <w:r w:rsidR="00762CAB">
        <w:t xml:space="preserve">. </w:t>
      </w:r>
      <w:proofErr w:type="gramStart"/>
      <w:r w:rsidR="00762CAB">
        <w:t>It</w:t>
      </w:r>
      <w:r w:rsidR="00F01DE1">
        <w:t xml:space="preserve"> </w:t>
      </w:r>
      <w:r w:rsidR="000870D0" w:rsidDel="00380890">
        <w:t xml:space="preserve"> </w:t>
      </w:r>
      <w:r w:rsidR="000870D0">
        <w:t>has</w:t>
      </w:r>
      <w:proofErr w:type="gramEnd"/>
      <w:r w:rsidR="000870D0">
        <w:t xml:space="preserve"> a smaller impact on affected stakeholders than Option 3</w:t>
      </w:r>
      <w:r w:rsidR="00C70251">
        <w:t>, as shown in the multi-criteria analysis in section 4.3</w:t>
      </w:r>
      <w:r w:rsidR="004F4287">
        <w:t>.</w:t>
      </w:r>
      <w:r w:rsidR="004F4287" w:rsidDel="002545C3">
        <w:t xml:space="preserve"> </w:t>
      </w:r>
      <w:r w:rsidR="00E819BE">
        <w:t xml:space="preserve">Overall, Option 2 received a score of 1 in the multi-criteria analysis, and Option 3 received a score of </w:t>
      </w:r>
      <w:r w:rsidR="00286DFB">
        <w:t>-1</w:t>
      </w:r>
      <w:r w:rsidR="00E819BE">
        <w:t>.</w:t>
      </w:r>
      <w:r w:rsidR="004F4287">
        <w:t xml:space="preserve"> </w:t>
      </w:r>
    </w:p>
    <w:p w14:paraId="0AC67AD3" w14:textId="50F4DE9A" w:rsidR="00AB0889" w:rsidRDefault="00AB0889" w:rsidP="00793642">
      <w:pPr>
        <w:pStyle w:val="Heading3"/>
      </w:pPr>
      <w:r w:rsidRPr="0011EF4A">
        <w:t>Implementation</w:t>
      </w:r>
    </w:p>
    <w:p w14:paraId="4F4EF070" w14:textId="47402CD0" w:rsidR="00F4119B" w:rsidRDefault="00F4119B" w:rsidP="00F4119B">
      <w:pPr>
        <w:spacing w:before="120" w:after="120"/>
        <w:rPr>
          <w:lang w:val="en-US"/>
        </w:rPr>
      </w:pPr>
      <w:r w:rsidRPr="00F4119B">
        <w:t>PHI participation and performance statistics are collected and released on a quarterly basis by APRA. This regular reporting and the close prudential oversight undertaken by APRA, including on insurer governance and change management arrangements, will support government to closely monitor insurers’ progress in developing and implementing sound strategies to assist their customers to adapt to the changes in Rebate levels.</w:t>
      </w:r>
      <w:r w:rsidRPr="00F4119B">
        <w:rPr>
          <w:lang w:val="en-US"/>
        </w:rPr>
        <w:t> </w:t>
      </w:r>
    </w:p>
    <w:p w14:paraId="1C2962C5" w14:textId="6642A548" w:rsidR="00E61F31" w:rsidRDefault="00E60604" w:rsidP="002313E7">
      <w:pPr>
        <w:spacing w:before="120" w:after="120"/>
        <w:rPr>
          <w:lang w:val="en-US"/>
        </w:rPr>
      </w:pPr>
      <w:r>
        <w:rPr>
          <w:lang w:val="en-US"/>
        </w:rPr>
        <w:t>The Rebate changes</w:t>
      </w:r>
      <w:r w:rsidR="00317A42">
        <w:rPr>
          <w:lang w:val="en-US"/>
        </w:rPr>
        <w:t xml:space="preserve"> would be implemented through amendments to the </w:t>
      </w:r>
      <w:r w:rsidR="00C65976" w:rsidRPr="00C65976">
        <w:rPr>
          <w:i/>
          <w:iCs/>
        </w:rPr>
        <w:t xml:space="preserve">Private Health Insurance Act </w:t>
      </w:r>
      <w:r w:rsidR="00C65976" w:rsidRPr="00C65976" w:rsidDel="00CE15E6">
        <w:rPr>
          <w:i/>
          <w:iCs/>
        </w:rPr>
        <w:t>2007</w:t>
      </w:r>
      <w:r w:rsidR="00B91FB2">
        <w:rPr>
          <w:i/>
          <w:iCs/>
        </w:rPr>
        <w:t>,</w:t>
      </w:r>
      <w:r w:rsidR="00C65976" w:rsidDel="00CE15E6">
        <w:rPr>
          <w:i/>
          <w:iCs/>
        </w:rPr>
        <w:t xml:space="preserve"> </w:t>
      </w:r>
      <w:r w:rsidR="00CE15E6">
        <w:t>to</w:t>
      </w:r>
      <w:r w:rsidR="00C65976">
        <w:t xml:space="preserve"> come into effect on 1 April 2027.</w:t>
      </w:r>
      <w:r w:rsidR="002660B3">
        <w:t xml:space="preserve"> </w:t>
      </w:r>
      <w:r w:rsidR="00721C13">
        <w:t xml:space="preserve">Government agencies </w:t>
      </w:r>
      <w:r w:rsidR="002E499C">
        <w:t>(</w:t>
      </w:r>
      <w:r w:rsidR="00F668ED">
        <w:t>SA</w:t>
      </w:r>
      <w:r w:rsidR="002E499C">
        <w:t xml:space="preserve"> and the </w:t>
      </w:r>
      <w:r w:rsidR="00F668ED">
        <w:t>ATO</w:t>
      </w:r>
      <w:r w:rsidR="002E499C">
        <w:t xml:space="preserve">) </w:t>
      </w:r>
      <w:r w:rsidR="00721C13">
        <w:t xml:space="preserve">and private health insurers </w:t>
      </w:r>
      <w:r w:rsidR="00024EAE">
        <w:t>will require several months’ lead time</w:t>
      </w:r>
      <w:r w:rsidR="009F0A82">
        <w:t xml:space="preserve"> following detailed communications, so they can </w:t>
      </w:r>
      <w:r w:rsidR="00721C13">
        <w:t xml:space="preserve">implement </w:t>
      </w:r>
      <w:r w:rsidR="004348A7">
        <w:t>relevant</w:t>
      </w:r>
      <w:r w:rsidR="00721C13">
        <w:t xml:space="preserve"> changes to their IT and </w:t>
      </w:r>
      <w:r w:rsidR="002E499C">
        <w:t>administrative systems.</w:t>
      </w:r>
      <w:r w:rsidR="00A43BFE">
        <w:t xml:space="preserve"> </w:t>
      </w:r>
      <w:r w:rsidR="00F063F1">
        <w:t>P</w:t>
      </w:r>
      <w:r w:rsidR="00A43BFE">
        <w:t xml:space="preserve">rivate health insurers </w:t>
      </w:r>
      <w:r w:rsidR="00A22E49">
        <w:t xml:space="preserve">will require time </w:t>
      </w:r>
      <w:r w:rsidR="002313E7">
        <w:t>to f</w:t>
      </w:r>
      <w:r w:rsidR="002313E7" w:rsidRPr="00F4119B">
        <w:t>orecast impacts to their business and develop pricing strategies to enable their businesses to transition (including through their 202</w:t>
      </w:r>
      <w:r w:rsidR="002313E7">
        <w:t>7</w:t>
      </w:r>
      <w:r w:rsidR="002313E7" w:rsidRPr="00F4119B">
        <w:t xml:space="preserve"> </w:t>
      </w:r>
      <w:r w:rsidR="00016637">
        <w:t xml:space="preserve">PHI </w:t>
      </w:r>
      <w:r w:rsidR="002313E7" w:rsidRPr="00F4119B">
        <w:t xml:space="preserve">premium round </w:t>
      </w:r>
      <w:r w:rsidR="00DF3A5A" w:rsidRPr="00F4119B">
        <w:t>applications</w:t>
      </w:r>
      <w:r w:rsidR="00DF3A5A">
        <w:t xml:space="preserve">, </w:t>
      </w:r>
      <w:r w:rsidR="002313E7" w:rsidRPr="00F4119B">
        <w:t>which would likely be due by mid-November 202</w:t>
      </w:r>
      <w:r w:rsidR="002313E7">
        <w:t>6</w:t>
      </w:r>
      <w:r w:rsidR="002313E7" w:rsidRPr="00F4119B">
        <w:t>).</w:t>
      </w:r>
      <w:r w:rsidR="002313E7" w:rsidRPr="00F4119B">
        <w:rPr>
          <w:lang w:val="en-US"/>
        </w:rPr>
        <w:t> </w:t>
      </w:r>
    </w:p>
    <w:p w14:paraId="682BD2A5" w14:textId="5EC68E6A" w:rsidR="006F3467" w:rsidRPr="006F3467" w:rsidRDefault="006F3467" w:rsidP="00793642">
      <w:pPr>
        <w:pStyle w:val="Heading3"/>
      </w:pPr>
      <w:r w:rsidRPr="006F3467">
        <w:t>Implementation risks</w:t>
      </w:r>
    </w:p>
    <w:p w14:paraId="1C82787D" w14:textId="27E4C788" w:rsidR="00685A5F" w:rsidRPr="000861B0" w:rsidRDefault="00685A5F" w:rsidP="00685A5F">
      <w:r>
        <w:rPr>
          <w:lang w:val="en-US"/>
        </w:rPr>
        <w:t>The department is conscious of</w:t>
      </w:r>
      <w:r w:rsidR="00A22E49">
        <w:rPr>
          <w:lang w:val="en-US"/>
        </w:rPr>
        <w:t xml:space="preserve"> likely</w:t>
      </w:r>
      <w:r>
        <w:rPr>
          <w:lang w:val="en-US"/>
        </w:rPr>
        <w:t xml:space="preserve"> </w:t>
      </w:r>
      <w:r w:rsidR="00265396">
        <w:rPr>
          <w:lang w:val="en-US"/>
        </w:rPr>
        <w:t>risks</w:t>
      </w:r>
      <w:r>
        <w:rPr>
          <w:lang w:val="en-US"/>
        </w:rPr>
        <w:t xml:space="preserve"> </w:t>
      </w:r>
      <w:r w:rsidR="00A22E49">
        <w:rPr>
          <w:lang w:val="en-US"/>
        </w:rPr>
        <w:t>associated with</w:t>
      </w:r>
      <w:r>
        <w:rPr>
          <w:lang w:val="en-US"/>
        </w:rPr>
        <w:t xml:space="preserve"> implementation. </w:t>
      </w:r>
      <w:r w:rsidRPr="000861B0">
        <w:t>Competition in the PHI market is expected to force insurers to limit the extent to which they increase premiums for some of their products</w:t>
      </w:r>
      <w:r w:rsidR="00A22E49">
        <w:t>,</w:t>
      </w:r>
      <w:r w:rsidRPr="000861B0">
        <w:t xml:space="preserve"> </w:t>
      </w:r>
      <w:proofErr w:type="gramStart"/>
      <w:r w:rsidR="006F05CD">
        <w:t xml:space="preserve">in order </w:t>
      </w:r>
      <w:r w:rsidRPr="000861B0">
        <w:t>to</w:t>
      </w:r>
      <w:proofErr w:type="gramEnd"/>
      <w:r w:rsidRPr="000861B0">
        <w:t xml:space="preserve"> maintain membership levels given the lower Rebate assistance. This may include accepting lower profit margins. Insurers are also expected to design and offer products that balance coverage with affordability, offering products with lower benefits </w:t>
      </w:r>
      <w:r w:rsidR="00573A31">
        <w:t xml:space="preserve">within regulations </w:t>
      </w:r>
      <w:r w:rsidRPr="000861B0">
        <w:t>to retain people who have had their level of Rebate assistance reduced or removed.</w:t>
      </w:r>
    </w:p>
    <w:p w14:paraId="54551B57" w14:textId="1200DC95" w:rsidR="00685A5F" w:rsidRPr="000861B0" w:rsidRDefault="00685A5F" w:rsidP="00685A5F">
      <w:r w:rsidRPr="000861B0">
        <w:t xml:space="preserve">People who decide that PHI is no longer affordable can access necessary healthcare through </w:t>
      </w:r>
      <w:r w:rsidR="003826E4">
        <w:t>Australia’s universal</w:t>
      </w:r>
      <w:r w:rsidR="003826E4" w:rsidRPr="000861B0">
        <w:t xml:space="preserve"> </w:t>
      </w:r>
      <w:r w:rsidRPr="000861B0">
        <w:t xml:space="preserve">public system. In circumstances where their level of cover was not comprehensive, or their health professional elected to charge out of pocket costs, </w:t>
      </w:r>
      <w:r w:rsidR="00A22E49">
        <w:t>some policy holders</w:t>
      </w:r>
      <w:r w:rsidR="00A22E49" w:rsidRPr="000861B0">
        <w:t xml:space="preserve"> </w:t>
      </w:r>
      <w:r w:rsidRPr="000861B0">
        <w:t>may be financially better off accessing care in the public system.</w:t>
      </w:r>
      <w:r w:rsidR="00A22E49">
        <w:t xml:space="preserve"> They would lose the option for choice of service provider</w:t>
      </w:r>
      <w:r w:rsidR="00B06A2A">
        <w:t xml:space="preserve"> and may face</w:t>
      </w:r>
      <w:r w:rsidR="00FD3613">
        <w:t xml:space="preserve"> longer waiting times for treatment</w:t>
      </w:r>
      <w:r w:rsidR="00A22E49">
        <w:t>.</w:t>
      </w:r>
      <w:r w:rsidR="00D71F3F">
        <w:t xml:space="preserve"> People</w:t>
      </w:r>
      <w:r w:rsidR="00D36551">
        <w:t xml:space="preserve"> dropping their PHI is </w:t>
      </w:r>
      <w:r w:rsidR="008D13D7">
        <w:t xml:space="preserve">therefore expected to </w:t>
      </w:r>
      <w:r w:rsidR="004F1582">
        <w:t xml:space="preserve">lead to a </w:t>
      </w:r>
      <w:r w:rsidR="001215D8">
        <w:t>marginal</w:t>
      </w:r>
      <w:r w:rsidR="004F1582">
        <w:t xml:space="preserve"> </w:t>
      </w:r>
      <w:r w:rsidR="008D13D7">
        <w:t>increase</w:t>
      </w:r>
      <w:r w:rsidR="004F1582">
        <w:t xml:space="preserve"> in</w:t>
      </w:r>
      <w:r w:rsidR="008D13D7">
        <w:t xml:space="preserve"> demand on the</w:t>
      </w:r>
      <w:r w:rsidR="00D36551">
        <w:t xml:space="preserve"> public</w:t>
      </w:r>
      <w:r w:rsidR="008D13D7">
        <w:t xml:space="preserve"> hospital</w:t>
      </w:r>
      <w:r w:rsidR="00D36551">
        <w:t xml:space="preserve"> system,</w:t>
      </w:r>
      <w:r w:rsidR="0018064E">
        <w:t xml:space="preserve"> as shown in section 4.3 </w:t>
      </w:r>
      <w:r w:rsidR="009063C2">
        <w:t>(multi-criteria analysis).</w:t>
      </w:r>
      <w:r w:rsidR="00D36551">
        <w:t xml:space="preserve"> </w:t>
      </w:r>
    </w:p>
    <w:p w14:paraId="6006C0D4" w14:textId="6E40CF79" w:rsidR="00685A5F" w:rsidRPr="000861B0" w:rsidRDefault="00685A5F" w:rsidP="00685A5F">
      <w:r w:rsidRPr="000861B0">
        <w:t xml:space="preserve">The </w:t>
      </w:r>
      <w:hyperlink r:id="rId21">
        <w:r w:rsidRPr="000861B0">
          <w:rPr>
            <w:rStyle w:val="Hyperlink"/>
          </w:rPr>
          <w:t>Private Hospital Financial Viability Health Check</w:t>
        </w:r>
      </w:hyperlink>
      <w:r w:rsidRPr="000861B0">
        <w:t xml:space="preserve"> </w:t>
      </w:r>
      <w:r w:rsidR="00A22E49">
        <w:t xml:space="preserve">conducted </w:t>
      </w:r>
      <w:r w:rsidR="00A22E49" w:rsidRPr="000646D1">
        <w:t xml:space="preserve">in </w:t>
      </w:r>
      <w:r w:rsidR="00384AE2" w:rsidRPr="000646D1">
        <w:t>late 2024</w:t>
      </w:r>
      <w:r w:rsidR="00A22E49" w:rsidRPr="000646D1">
        <w:t xml:space="preserve"> </w:t>
      </w:r>
      <w:r w:rsidRPr="000646D1">
        <w:t>found that</w:t>
      </w:r>
      <w:r w:rsidR="009B3D7B">
        <w:t xml:space="preserve"> </w:t>
      </w:r>
      <w:r w:rsidRPr="000861B0">
        <w:t xml:space="preserve">the </w:t>
      </w:r>
      <w:r w:rsidR="009B3D7B">
        <w:t xml:space="preserve">average </w:t>
      </w:r>
      <w:r w:rsidRPr="000861B0">
        <w:t>profitability of the private hospital sector has declined. Several hospitals are at high risk of near</w:t>
      </w:r>
      <w:r w:rsidR="007D1DEF">
        <w:noBreakHyphen/>
      </w:r>
      <w:r w:rsidRPr="000861B0">
        <w:t>term exit and</w:t>
      </w:r>
      <w:r w:rsidR="000646D1">
        <w:t xml:space="preserve"> </w:t>
      </w:r>
      <w:r w:rsidRPr="000861B0">
        <w:t xml:space="preserve">parts of the sector are not generating the returns needed for continued </w:t>
      </w:r>
      <w:r w:rsidRPr="000861B0">
        <w:lastRenderedPageBreak/>
        <w:t>investment. While some market correction is anticipated, it is expected to be limited under current PHI funding models. Potential reductions in the level of privately insured patients</w:t>
      </w:r>
      <w:r w:rsidR="00FA7FA1">
        <w:t>, compared to what would have been the case had the measure not been implemented</w:t>
      </w:r>
      <w:r w:rsidR="00F71E74">
        <w:t>,</w:t>
      </w:r>
      <w:r w:rsidRPr="000861B0">
        <w:t xml:space="preserve"> is expected to result in </w:t>
      </w:r>
      <w:r w:rsidR="000436FB">
        <w:t xml:space="preserve">a </w:t>
      </w:r>
      <w:r w:rsidR="0058708E">
        <w:t xml:space="preserve">marginal </w:t>
      </w:r>
      <w:r w:rsidRPr="000861B0">
        <w:t>reduc</w:t>
      </w:r>
      <w:r w:rsidR="000436FB">
        <w:t>tion in</w:t>
      </w:r>
      <w:r w:rsidRPr="000861B0">
        <w:t xml:space="preserve"> demand for private hospital services</w:t>
      </w:r>
      <w:r w:rsidR="0091225D">
        <w:t xml:space="preserve"> </w:t>
      </w:r>
      <w:r w:rsidR="00C04E1D">
        <w:t>compared to</w:t>
      </w:r>
      <w:r w:rsidR="0091225D">
        <w:t xml:space="preserve"> </w:t>
      </w:r>
      <w:r w:rsidR="00E4688E">
        <w:t>O</w:t>
      </w:r>
      <w:r w:rsidR="0091225D">
        <w:t>ption 1,</w:t>
      </w:r>
      <w:r w:rsidR="00C04E1D">
        <w:t xml:space="preserve"> </w:t>
      </w:r>
      <w:r w:rsidR="00605CE1">
        <w:t>as shown in section 4.3 (multi-criteria analysis).</w:t>
      </w:r>
    </w:p>
    <w:p w14:paraId="603BA73B" w14:textId="2882CC14" w:rsidR="00685A5F" w:rsidRDefault="00A22E49" w:rsidP="00CB3710">
      <w:r>
        <w:t>Potentially r</w:t>
      </w:r>
      <w:r w:rsidR="00685A5F" w:rsidRPr="000861B0">
        <w:t xml:space="preserve">educed demand for </w:t>
      </w:r>
      <w:r>
        <w:t>medical specialist</w:t>
      </w:r>
      <w:r w:rsidRPr="000861B0">
        <w:t xml:space="preserve"> </w:t>
      </w:r>
      <w:r w:rsidR="00685A5F" w:rsidRPr="000861B0">
        <w:t xml:space="preserve">services in the private hospital sector may result in </w:t>
      </w:r>
      <w:r w:rsidR="003F7897">
        <w:t>specialists</w:t>
      </w:r>
      <w:r w:rsidR="003F7897" w:rsidRPr="000861B0">
        <w:t xml:space="preserve"> </w:t>
      </w:r>
      <w:r w:rsidR="00685A5F" w:rsidRPr="000861B0">
        <w:t xml:space="preserve">deciding to deliver more private services to non-admitted patients, delivering more services in the public sector, or competing to retain current patient numbers by reducing their fees.  </w:t>
      </w:r>
    </w:p>
    <w:p w14:paraId="59F855C9" w14:textId="25CB991E" w:rsidR="002313E7" w:rsidRDefault="0074278C" w:rsidP="002313E7">
      <w:pPr>
        <w:spacing w:before="120" w:after="120"/>
        <w:rPr>
          <w:lang w:val="en-US"/>
        </w:rPr>
      </w:pPr>
      <w:r>
        <w:rPr>
          <w:lang w:val="en-US"/>
        </w:rPr>
        <w:t>W</w:t>
      </w:r>
      <w:r w:rsidR="00BF7F1C">
        <w:rPr>
          <w:lang w:val="en-US"/>
        </w:rPr>
        <w:t xml:space="preserve">hilst the risk of the projected impacts on business, government, and consumers is relatively low, metrics will be tracked and any significant deviations will be managed through </w:t>
      </w:r>
      <w:r w:rsidR="00824C6E">
        <w:rPr>
          <w:lang w:val="en-US"/>
        </w:rPr>
        <w:t>a range of reform options identified by the sector</w:t>
      </w:r>
      <w:r w:rsidR="00466775">
        <w:rPr>
          <w:lang w:val="en-US"/>
        </w:rPr>
        <w:t xml:space="preserve"> being considered by Government.</w:t>
      </w:r>
    </w:p>
    <w:p w14:paraId="7013E494" w14:textId="53EA466C" w:rsidR="005A5FD1" w:rsidRDefault="006D7AA9" w:rsidP="002313E7">
      <w:pPr>
        <w:spacing w:before="120" w:after="120"/>
        <w:rPr>
          <w:lang w:val="en-US"/>
        </w:rPr>
      </w:pPr>
      <w:r>
        <w:rPr>
          <w:lang w:val="en-US"/>
        </w:rPr>
        <w:t xml:space="preserve">The status of the Impact Analysis at each major decision point is outlined in Table </w:t>
      </w:r>
      <w:r w:rsidR="0042679F">
        <w:rPr>
          <w:lang w:val="en-US"/>
        </w:rPr>
        <w:t>1</w:t>
      </w:r>
      <w:r w:rsidR="005D1A1A">
        <w:rPr>
          <w:lang w:val="en-US"/>
        </w:rPr>
        <w:t>9</w:t>
      </w:r>
      <w:r>
        <w:rPr>
          <w:lang w:val="en-US"/>
        </w:rPr>
        <w:t>.</w:t>
      </w:r>
    </w:p>
    <w:p w14:paraId="672BCD27" w14:textId="57ECB5ED" w:rsidR="00347742" w:rsidRPr="00ED3927" w:rsidRDefault="00347742" w:rsidP="00ED3927">
      <w:pPr>
        <w:pStyle w:val="Heading3"/>
      </w:pPr>
      <w:r w:rsidRPr="00ED3927">
        <w:t xml:space="preserve">Table </w:t>
      </w:r>
      <w:r w:rsidR="0042679F" w:rsidRPr="00ED3927">
        <w:t>1</w:t>
      </w:r>
      <w:r w:rsidR="005D1A1A" w:rsidRPr="00ED3927">
        <w:t>9</w:t>
      </w:r>
      <w:r w:rsidRPr="00ED3927">
        <w:t>: interim and final decision points</w:t>
      </w:r>
    </w:p>
    <w:tbl>
      <w:tblPr>
        <w:tblStyle w:val="TableGrid"/>
        <w:tblW w:w="0" w:type="auto"/>
        <w:tblLook w:val="04A0" w:firstRow="1" w:lastRow="0" w:firstColumn="1" w:lastColumn="0" w:noHBand="0" w:noVBand="1"/>
        <w:tblDescription w:val="The table outlines the status of the Impact Analysis at interim and final decision points by Government, which occurred between March and May 2026."/>
      </w:tblPr>
      <w:tblGrid>
        <w:gridCol w:w="5087"/>
        <w:gridCol w:w="2282"/>
        <w:gridCol w:w="2259"/>
      </w:tblGrid>
      <w:tr w:rsidR="005B6CEF" w14:paraId="2C17717D" w14:textId="77777777" w:rsidTr="0058606C">
        <w:trPr>
          <w:tblHeader/>
        </w:trPr>
        <w:tc>
          <w:tcPr>
            <w:tcW w:w="5087" w:type="dxa"/>
            <w:shd w:val="clear" w:color="auto" w:fill="1C2B39" w:themeFill="accent1"/>
          </w:tcPr>
          <w:p w14:paraId="3D4221D0" w14:textId="4B4288E3" w:rsidR="00967933" w:rsidRPr="00C41B50" w:rsidRDefault="00967933" w:rsidP="00967933">
            <w:pPr>
              <w:spacing w:before="120" w:after="120"/>
              <w:jc w:val="center"/>
              <w:rPr>
                <w:b/>
                <w:bCs/>
                <w:lang w:val="en-US"/>
              </w:rPr>
            </w:pPr>
            <w:r w:rsidRPr="00C41B50">
              <w:rPr>
                <w:b/>
                <w:bCs/>
                <w:lang w:val="en-US"/>
              </w:rPr>
              <w:t>Decision Point</w:t>
            </w:r>
          </w:p>
        </w:tc>
        <w:tc>
          <w:tcPr>
            <w:tcW w:w="2282" w:type="dxa"/>
            <w:shd w:val="clear" w:color="auto" w:fill="1C2B39" w:themeFill="accent1"/>
          </w:tcPr>
          <w:p w14:paraId="2D17F2D1" w14:textId="325A0DCB" w:rsidR="00967933" w:rsidRPr="00C41B50" w:rsidRDefault="00967933" w:rsidP="00967933">
            <w:pPr>
              <w:spacing w:before="120" w:after="120"/>
              <w:jc w:val="center"/>
              <w:rPr>
                <w:b/>
                <w:bCs/>
                <w:lang w:val="en-US"/>
              </w:rPr>
            </w:pPr>
            <w:r w:rsidRPr="00C41B50">
              <w:rPr>
                <w:b/>
                <w:bCs/>
                <w:lang w:val="en-US"/>
              </w:rPr>
              <w:t>Timeframe</w:t>
            </w:r>
          </w:p>
        </w:tc>
        <w:tc>
          <w:tcPr>
            <w:tcW w:w="2259" w:type="dxa"/>
            <w:shd w:val="clear" w:color="auto" w:fill="1C2B39" w:themeFill="accent1"/>
          </w:tcPr>
          <w:p w14:paraId="0ACB15FE" w14:textId="19AB22FA" w:rsidR="00967933" w:rsidRPr="00C41B50" w:rsidRDefault="00967933" w:rsidP="00967933">
            <w:pPr>
              <w:spacing w:before="120" w:after="120"/>
              <w:jc w:val="center"/>
              <w:rPr>
                <w:b/>
                <w:bCs/>
                <w:lang w:val="en-US"/>
              </w:rPr>
            </w:pPr>
            <w:r w:rsidRPr="00C41B50">
              <w:rPr>
                <w:b/>
                <w:bCs/>
                <w:lang w:val="en-US"/>
              </w:rPr>
              <w:t>Impact analysis status</w:t>
            </w:r>
          </w:p>
        </w:tc>
      </w:tr>
      <w:tr w:rsidR="005B6CEF" w14:paraId="5A33BACE" w14:textId="77777777" w:rsidTr="0058606C">
        <w:trPr>
          <w:tblHeader/>
        </w:trPr>
        <w:tc>
          <w:tcPr>
            <w:tcW w:w="5087" w:type="dxa"/>
          </w:tcPr>
          <w:p w14:paraId="2B69A8DA" w14:textId="5097335C" w:rsidR="00967933" w:rsidRDefault="00C46921" w:rsidP="002313E7">
            <w:pPr>
              <w:spacing w:before="120" w:after="120"/>
              <w:rPr>
                <w:lang w:val="en-US"/>
              </w:rPr>
            </w:pPr>
            <w:r>
              <w:rPr>
                <w:lang w:val="en-US"/>
              </w:rPr>
              <w:t xml:space="preserve">Consideration by </w:t>
            </w:r>
            <w:r w:rsidR="006574FF">
              <w:rPr>
                <w:lang w:val="en-US"/>
              </w:rPr>
              <w:t>Government</w:t>
            </w:r>
          </w:p>
        </w:tc>
        <w:tc>
          <w:tcPr>
            <w:tcW w:w="2282" w:type="dxa"/>
          </w:tcPr>
          <w:p w14:paraId="0F7F7942" w14:textId="32658082" w:rsidR="00967933" w:rsidRDefault="001E366D" w:rsidP="002313E7">
            <w:pPr>
              <w:spacing w:before="120" w:after="120"/>
              <w:rPr>
                <w:lang w:val="en-US"/>
              </w:rPr>
            </w:pPr>
            <w:r>
              <w:rPr>
                <w:lang w:val="en-US"/>
              </w:rPr>
              <w:t>March/</w:t>
            </w:r>
            <w:r w:rsidR="0049720E">
              <w:rPr>
                <w:lang w:val="en-US"/>
              </w:rPr>
              <w:t>April 2026</w:t>
            </w:r>
          </w:p>
        </w:tc>
        <w:tc>
          <w:tcPr>
            <w:tcW w:w="2259" w:type="dxa"/>
          </w:tcPr>
          <w:p w14:paraId="00408781" w14:textId="18759CD9" w:rsidR="001E366D" w:rsidRDefault="001E366D" w:rsidP="002313E7">
            <w:pPr>
              <w:spacing w:before="120" w:after="120"/>
              <w:rPr>
                <w:lang w:val="en-US"/>
              </w:rPr>
            </w:pPr>
            <w:r>
              <w:rPr>
                <w:lang w:val="en-US"/>
              </w:rPr>
              <w:t>Preliminary IA undertaken March 2026</w:t>
            </w:r>
          </w:p>
          <w:p w14:paraId="285B8616" w14:textId="71D1187B" w:rsidR="00967933" w:rsidRDefault="00B703A1" w:rsidP="002313E7">
            <w:pPr>
              <w:spacing w:before="120" w:after="120"/>
              <w:rPr>
                <w:lang w:val="en-US"/>
              </w:rPr>
            </w:pPr>
            <w:r>
              <w:rPr>
                <w:lang w:val="en-US"/>
              </w:rPr>
              <w:t>Full IA drafting process</w:t>
            </w:r>
            <w:r w:rsidR="0069535B">
              <w:rPr>
                <w:lang w:val="en-US"/>
              </w:rPr>
              <w:t xml:space="preserve">. </w:t>
            </w:r>
          </w:p>
        </w:tc>
      </w:tr>
      <w:tr w:rsidR="005B6CEF" w14:paraId="5625F559" w14:textId="77777777" w:rsidTr="0058606C">
        <w:trPr>
          <w:tblHeader/>
        </w:trPr>
        <w:tc>
          <w:tcPr>
            <w:tcW w:w="5087" w:type="dxa"/>
          </w:tcPr>
          <w:p w14:paraId="0D924F40" w14:textId="539A2829" w:rsidR="00967933" w:rsidRDefault="00214614" w:rsidP="002313E7">
            <w:pPr>
              <w:spacing w:before="120" w:after="120"/>
              <w:rPr>
                <w:lang w:val="en-US"/>
              </w:rPr>
            </w:pPr>
            <w:r>
              <w:rPr>
                <w:lang w:val="en-US"/>
              </w:rPr>
              <w:t>Preliminary a</w:t>
            </w:r>
            <w:r w:rsidR="00EB07EF">
              <w:rPr>
                <w:lang w:val="en-US"/>
              </w:rPr>
              <w:t>nnouncement</w:t>
            </w:r>
          </w:p>
        </w:tc>
        <w:tc>
          <w:tcPr>
            <w:tcW w:w="2282" w:type="dxa"/>
          </w:tcPr>
          <w:p w14:paraId="40F6F8A2" w14:textId="66F6ABF3" w:rsidR="00967933" w:rsidRDefault="00BA6DEF" w:rsidP="002313E7">
            <w:pPr>
              <w:spacing w:before="120" w:after="120"/>
              <w:rPr>
                <w:lang w:val="en-US"/>
              </w:rPr>
            </w:pPr>
            <w:r>
              <w:rPr>
                <w:lang w:val="en-US"/>
              </w:rPr>
              <w:t>22</w:t>
            </w:r>
            <w:r w:rsidR="004D5447">
              <w:rPr>
                <w:lang w:val="en-US"/>
              </w:rPr>
              <w:t xml:space="preserve"> </w:t>
            </w:r>
            <w:r w:rsidR="00D65C2E">
              <w:rPr>
                <w:lang w:val="en-US"/>
              </w:rPr>
              <w:t>April 2026</w:t>
            </w:r>
          </w:p>
        </w:tc>
        <w:tc>
          <w:tcPr>
            <w:tcW w:w="2259" w:type="dxa"/>
          </w:tcPr>
          <w:p w14:paraId="5DAD2309" w14:textId="125C9D8B" w:rsidR="00967933" w:rsidRDefault="00BE6349" w:rsidP="002313E7">
            <w:pPr>
              <w:spacing w:before="120" w:after="120"/>
              <w:rPr>
                <w:lang w:val="en-US"/>
              </w:rPr>
            </w:pPr>
            <w:r>
              <w:rPr>
                <w:lang w:val="en-US"/>
              </w:rPr>
              <w:t>First Pass completed April 2026</w:t>
            </w:r>
          </w:p>
        </w:tc>
      </w:tr>
      <w:tr w:rsidR="00730829" w14:paraId="5E2F9BE4" w14:textId="77777777" w:rsidTr="0058606C">
        <w:trPr>
          <w:tblHeader/>
        </w:trPr>
        <w:tc>
          <w:tcPr>
            <w:tcW w:w="5087" w:type="dxa"/>
          </w:tcPr>
          <w:p w14:paraId="6A5B4EA9" w14:textId="75F495B9" w:rsidR="00730829" w:rsidRDefault="0005559D" w:rsidP="002313E7">
            <w:pPr>
              <w:spacing w:before="120" w:after="120"/>
              <w:rPr>
                <w:lang w:val="en-US"/>
              </w:rPr>
            </w:pPr>
            <w:r>
              <w:rPr>
                <w:lang w:val="en-US"/>
              </w:rPr>
              <w:t>Final announcement</w:t>
            </w:r>
          </w:p>
        </w:tc>
        <w:tc>
          <w:tcPr>
            <w:tcW w:w="2282" w:type="dxa"/>
          </w:tcPr>
          <w:p w14:paraId="4BE5A4E0" w14:textId="0361328B" w:rsidR="00730829" w:rsidRDefault="0005559D" w:rsidP="002313E7">
            <w:pPr>
              <w:spacing w:before="120" w:after="120"/>
              <w:rPr>
                <w:lang w:val="en-US"/>
              </w:rPr>
            </w:pPr>
            <w:r>
              <w:rPr>
                <w:lang w:val="en-US"/>
              </w:rPr>
              <w:t>12 May 2026</w:t>
            </w:r>
          </w:p>
        </w:tc>
        <w:tc>
          <w:tcPr>
            <w:tcW w:w="2259" w:type="dxa"/>
          </w:tcPr>
          <w:p w14:paraId="43F30C67" w14:textId="4A5A2FBD" w:rsidR="00730829" w:rsidRDefault="0005559D" w:rsidP="002313E7">
            <w:pPr>
              <w:spacing w:before="120" w:after="120"/>
              <w:rPr>
                <w:lang w:val="en-US"/>
              </w:rPr>
            </w:pPr>
            <w:r>
              <w:rPr>
                <w:lang w:val="en-US"/>
              </w:rPr>
              <w:t>Second Pass completed May 2026</w:t>
            </w:r>
          </w:p>
        </w:tc>
      </w:tr>
    </w:tbl>
    <w:p w14:paraId="0B533E5D" w14:textId="77777777" w:rsidR="00741E94" w:rsidRDefault="00741E94" w:rsidP="009A2AAE">
      <w:pPr>
        <w:spacing w:before="120" w:after="120"/>
        <w:rPr>
          <w:sz w:val="36"/>
          <w:szCs w:val="36"/>
        </w:rPr>
      </w:pPr>
    </w:p>
    <w:p w14:paraId="457CA7CC" w14:textId="28E59A0A" w:rsidR="00F4119B" w:rsidRPr="00741E94" w:rsidRDefault="008C39D1" w:rsidP="00741E94">
      <w:pPr>
        <w:pStyle w:val="Heading1"/>
        <w:numPr>
          <w:ilvl w:val="0"/>
          <w:numId w:val="15"/>
        </w:numPr>
        <w:spacing w:before="120" w:after="120"/>
        <w:rPr>
          <w:szCs w:val="48"/>
        </w:rPr>
      </w:pPr>
      <w:r w:rsidRPr="0011EF4A">
        <w:rPr>
          <w:sz w:val="36"/>
          <w:szCs w:val="36"/>
        </w:rPr>
        <w:br w:type="column"/>
      </w:r>
      <w:r w:rsidR="00F4119B" w:rsidRPr="00741E94">
        <w:rPr>
          <w:szCs w:val="48"/>
        </w:rPr>
        <w:lastRenderedPageBreak/>
        <w:t>How will you evaluate your chosen</w:t>
      </w:r>
      <w:r w:rsidR="00AA4B05" w:rsidRPr="00741E94">
        <w:rPr>
          <w:szCs w:val="48"/>
        </w:rPr>
        <w:t xml:space="preserve"> </w:t>
      </w:r>
      <w:r w:rsidR="00F4119B" w:rsidRPr="00741E94">
        <w:rPr>
          <w:szCs w:val="48"/>
        </w:rPr>
        <w:t>option</w:t>
      </w:r>
      <w:r w:rsidR="00AA4B05" w:rsidRPr="00741E94">
        <w:rPr>
          <w:szCs w:val="48"/>
        </w:rPr>
        <w:t xml:space="preserve"> </w:t>
      </w:r>
      <w:r w:rsidR="00F4119B" w:rsidRPr="00741E94">
        <w:rPr>
          <w:szCs w:val="48"/>
        </w:rPr>
        <w:t>against the success metrics? </w:t>
      </w:r>
    </w:p>
    <w:p w14:paraId="727277B1" w14:textId="6EECEFE7" w:rsidR="00AA4B05" w:rsidRDefault="00407261" w:rsidP="00F4119B">
      <w:pPr>
        <w:spacing w:before="120" w:after="120"/>
      </w:pPr>
      <w:r w:rsidRPr="00407261">
        <w:t xml:space="preserve">Evaluation is critical </w:t>
      </w:r>
      <w:r>
        <w:t xml:space="preserve">to determine </w:t>
      </w:r>
      <w:r w:rsidRPr="00407261">
        <w:t xml:space="preserve">whether </w:t>
      </w:r>
      <w:r>
        <w:t xml:space="preserve">proposed reforms efficiently achieve </w:t>
      </w:r>
      <w:r w:rsidRPr="00407261">
        <w:t>their objectives and is an important tool to improve policy design and implementation</w:t>
      </w:r>
      <w:r w:rsidR="008515C4">
        <w:t xml:space="preserve"> for future reform endeavours</w:t>
      </w:r>
      <w:r w:rsidRPr="00407261">
        <w:t>.</w:t>
      </w:r>
    </w:p>
    <w:p w14:paraId="255A3267" w14:textId="795AD8CD" w:rsidR="008515C4" w:rsidRDefault="00946CF8" w:rsidP="00F4119B">
      <w:pPr>
        <w:spacing w:before="120" w:after="120"/>
      </w:pPr>
      <w:r>
        <w:t>The evaluative approach will be through a</w:t>
      </w:r>
      <w:r w:rsidR="00566508">
        <w:t>n</w:t>
      </w:r>
      <w:r>
        <w:t xml:space="preserve"> internal process to consider whether the preferred option (Option 2) </w:t>
      </w:r>
      <w:r w:rsidR="00B71290">
        <w:t xml:space="preserve">achieves the measures of success which were outlined in </w:t>
      </w:r>
      <w:r w:rsidR="000F797C">
        <w:t>S</w:t>
      </w:r>
      <w:r w:rsidR="00B71290">
        <w:t>ection 2.</w:t>
      </w:r>
    </w:p>
    <w:p w14:paraId="25F9CA05" w14:textId="2A569886" w:rsidR="00891921" w:rsidRDefault="00891921" w:rsidP="005453CD">
      <w:pPr>
        <w:spacing w:after="200" w:line="288" w:lineRule="auto"/>
      </w:pPr>
      <w:r>
        <w:t>A proposed evaluation plan is provided below which outlines:</w:t>
      </w:r>
    </w:p>
    <w:p w14:paraId="39CB29DF" w14:textId="69D6CD02" w:rsidR="00891921" w:rsidRDefault="00891921" w:rsidP="00FE3AE0">
      <w:pPr>
        <w:pStyle w:val="ListParagraph"/>
        <w:numPr>
          <w:ilvl w:val="0"/>
          <w:numId w:val="16"/>
        </w:numPr>
        <w:spacing w:after="200" w:line="288" w:lineRule="auto"/>
      </w:pPr>
      <w:r>
        <w:t>Measur</w:t>
      </w:r>
      <w:r w:rsidR="00C069B3">
        <w:t>ing</w:t>
      </w:r>
      <w:r>
        <w:t xml:space="preserve"> and </w:t>
      </w:r>
      <w:r w:rsidR="00C069B3">
        <w:t>assessing</w:t>
      </w:r>
    </w:p>
    <w:p w14:paraId="387C45AD" w14:textId="30358E0F" w:rsidR="00DD3B9F" w:rsidRDefault="00E35895" w:rsidP="00FE3AE0">
      <w:pPr>
        <w:pStyle w:val="ListParagraph"/>
        <w:numPr>
          <w:ilvl w:val="0"/>
          <w:numId w:val="16"/>
        </w:numPr>
        <w:spacing w:after="200" w:line="288" w:lineRule="auto"/>
      </w:pPr>
      <w:r>
        <w:t>Reporting and accountability</w:t>
      </w:r>
      <w:r w:rsidR="00022A7F">
        <w:t>.</w:t>
      </w:r>
    </w:p>
    <w:p w14:paraId="25C6072A" w14:textId="42F96F66" w:rsidR="00184A70" w:rsidRPr="005D1A1A" w:rsidRDefault="00C209A5" w:rsidP="005D1A1A">
      <w:pPr>
        <w:pStyle w:val="Heading2"/>
      </w:pPr>
      <w:r w:rsidRPr="005D1A1A">
        <w:t xml:space="preserve">7.1 </w:t>
      </w:r>
      <w:r w:rsidR="00C069B3" w:rsidRPr="005D1A1A">
        <w:t>Measuring and assessing</w:t>
      </w:r>
    </w:p>
    <w:p w14:paraId="4EDFA467" w14:textId="574ACDFF" w:rsidR="00505431" w:rsidRPr="00505431" w:rsidRDefault="00505431" w:rsidP="00505431">
      <w:r>
        <w:t xml:space="preserve">Table </w:t>
      </w:r>
      <w:r w:rsidR="005D1A1A">
        <w:t>20</w:t>
      </w:r>
      <w:r>
        <w:t xml:space="preserve"> shows </w:t>
      </w:r>
      <w:r w:rsidR="00C54AC5">
        <w:t xml:space="preserve">the success factors and metrics needed to achieve each of the identified objectives, and the person/s responsible for </w:t>
      </w:r>
      <w:r w:rsidR="00A927DB">
        <w:t>the success factors/metrics.</w:t>
      </w:r>
    </w:p>
    <w:p w14:paraId="3C788194" w14:textId="0614A13C" w:rsidR="0080403F" w:rsidRPr="00573BE1" w:rsidRDefault="0080403F" w:rsidP="005D1A1A">
      <w:pPr>
        <w:pStyle w:val="Heading3"/>
      </w:pPr>
      <w:r w:rsidRPr="00573BE1">
        <w:t xml:space="preserve">Table </w:t>
      </w:r>
      <w:r w:rsidR="005D1A1A">
        <w:t>20</w:t>
      </w:r>
      <w:r w:rsidRPr="00573BE1">
        <w:t>: success factors</w:t>
      </w:r>
      <w:r w:rsidR="001C2888">
        <w:t>,</w:t>
      </w:r>
      <w:r w:rsidRPr="00573BE1">
        <w:t xml:space="preserve"> metrics and responsible persons needed to achieve </w:t>
      </w:r>
      <w:r w:rsidR="00D822FE">
        <w:t>the</w:t>
      </w:r>
      <w:r w:rsidRPr="00573BE1">
        <w:t xml:space="preserve"> identified objective</w:t>
      </w:r>
    </w:p>
    <w:tbl>
      <w:tblPr>
        <w:tblStyle w:val="TableGrid"/>
        <w:tblW w:w="0" w:type="auto"/>
        <w:tblLook w:val="04A0" w:firstRow="1" w:lastRow="0" w:firstColumn="1" w:lastColumn="0" w:noHBand="0" w:noVBand="1"/>
        <w:tblDescription w:val="Table outlines, for the policy objective, the success factor, the success metric, and the responsible person that will monitor the success metric. The objective is to ensure the rebate is equitably targeted, while minimising any negative impact on participation. The success factor is a minmal reduction in the proportion of the population participating in PHI in the first 2 years from 1 April 2027. The success metric is insured people as a proportion of the population in the March 2029 quarter has not reduced by more than 1 percentage point compared with the March 2027 quarter. The responsible person/s is the program team, who will publicly available APRA data to determine whether the success metric has been reached."/>
      </w:tblPr>
      <w:tblGrid>
        <w:gridCol w:w="1838"/>
        <w:gridCol w:w="2552"/>
        <w:gridCol w:w="2496"/>
        <w:gridCol w:w="2181"/>
      </w:tblGrid>
      <w:tr w:rsidR="001A6C16" w14:paraId="61737739" w14:textId="69282199" w:rsidTr="00AD7E78">
        <w:trPr>
          <w:tblHeader/>
        </w:trPr>
        <w:tc>
          <w:tcPr>
            <w:tcW w:w="1838" w:type="dxa"/>
            <w:shd w:val="clear" w:color="auto" w:fill="1C2B39" w:themeFill="accent1"/>
          </w:tcPr>
          <w:p w14:paraId="0CD66069" w14:textId="77777777" w:rsidR="001A6C16" w:rsidRPr="00C41B50" w:rsidRDefault="001A6C16">
            <w:pPr>
              <w:rPr>
                <w:b/>
                <w:bCs/>
              </w:rPr>
            </w:pPr>
            <w:r w:rsidRPr="00C41B50">
              <w:rPr>
                <w:b/>
                <w:bCs/>
              </w:rPr>
              <w:t>Objective</w:t>
            </w:r>
          </w:p>
        </w:tc>
        <w:tc>
          <w:tcPr>
            <w:tcW w:w="2552" w:type="dxa"/>
            <w:shd w:val="clear" w:color="auto" w:fill="1C2B39" w:themeFill="accent1"/>
          </w:tcPr>
          <w:p w14:paraId="173D491B" w14:textId="77777777" w:rsidR="001A6C16" w:rsidRPr="00C41B50" w:rsidRDefault="001A6C16">
            <w:pPr>
              <w:rPr>
                <w:b/>
                <w:bCs/>
              </w:rPr>
            </w:pPr>
            <w:r w:rsidRPr="00C41B50">
              <w:rPr>
                <w:b/>
                <w:bCs/>
              </w:rPr>
              <w:t>Success Factor</w:t>
            </w:r>
          </w:p>
        </w:tc>
        <w:tc>
          <w:tcPr>
            <w:tcW w:w="2496" w:type="dxa"/>
            <w:shd w:val="clear" w:color="auto" w:fill="1C2B39" w:themeFill="accent1"/>
          </w:tcPr>
          <w:p w14:paraId="252A43B0" w14:textId="77777777" w:rsidR="001A6C16" w:rsidRPr="00C41B50" w:rsidRDefault="001A6C16">
            <w:pPr>
              <w:rPr>
                <w:b/>
                <w:bCs/>
              </w:rPr>
            </w:pPr>
            <w:r w:rsidRPr="00C41B50">
              <w:rPr>
                <w:b/>
                <w:bCs/>
              </w:rPr>
              <w:t>Success Metric</w:t>
            </w:r>
          </w:p>
        </w:tc>
        <w:tc>
          <w:tcPr>
            <w:tcW w:w="2181" w:type="dxa"/>
            <w:shd w:val="clear" w:color="auto" w:fill="1C2B39" w:themeFill="accent1"/>
          </w:tcPr>
          <w:p w14:paraId="439DD8CD" w14:textId="2094E756" w:rsidR="001A6C16" w:rsidRPr="00C41B50" w:rsidRDefault="001A6C16">
            <w:pPr>
              <w:rPr>
                <w:b/>
                <w:bCs/>
              </w:rPr>
            </w:pPr>
            <w:r w:rsidRPr="00C41B50">
              <w:rPr>
                <w:b/>
                <w:bCs/>
              </w:rPr>
              <w:t>Responsible person/s</w:t>
            </w:r>
          </w:p>
        </w:tc>
      </w:tr>
      <w:tr w:rsidR="001A6C16" w14:paraId="58A852A7" w14:textId="1D1001DA" w:rsidTr="00DF4B01">
        <w:tc>
          <w:tcPr>
            <w:tcW w:w="1838" w:type="dxa"/>
          </w:tcPr>
          <w:p w14:paraId="79F4C6A5" w14:textId="0EBDE533" w:rsidR="001A6C16" w:rsidRPr="00065E67" w:rsidRDefault="001A6C16" w:rsidP="00061104">
            <w:pPr>
              <w:pStyle w:val="ListParagraph"/>
              <w:numPr>
                <w:ilvl w:val="0"/>
                <w:numId w:val="40"/>
              </w:numPr>
              <w:rPr>
                <w:b/>
                <w:bCs/>
              </w:rPr>
            </w:pPr>
            <w:r w:rsidRPr="2AF732E7">
              <w:rPr>
                <w:b/>
                <w:bCs/>
              </w:rPr>
              <w:t>Ensure the Rebate is equitably targeted</w:t>
            </w:r>
            <w:r w:rsidR="0037629D">
              <w:rPr>
                <w:b/>
                <w:bCs/>
              </w:rPr>
              <w:t xml:space="preserve"> </w:t>
            </w:r>
            <w:r w:rsidR="0037629D" w:rsidRPr="0037629D">
              <w:rPr>
                <w:b/>
                <w:bCs/>
              </w:rPr>
              <w:t xml:space="preserve">while minimising any negative impact </w:t>
            </w:r>
            <w:proofErr w:type="gramStart"/>
            <w:r w:rsidR="0037629D" w:rsidRPr="0037629D">
              <w:rPr>
                <w:b/>
                <w:bCs/>
              </w:rPr>
              <w:t>on  participation</w:t>
            </w:r>
            <w:proofErr w:type="gramEnd"/>
          </w:p>
        </w:tc>
        <w:tc>
          <w:tcPr>
            <w:tcW w:w="2552" w:type="dxa"/>
          </w:tcPr>
          <w:p w14:paraId="211CE717" w14:textId="143426DD" w:rsidR="001A6C16" w:rsidRDefault="00EE2588" w:rsidP="00061104">
            <w:pPr>
              <w:pStyle w:val="ListParagraph"/>
              <w:numPr>
                <w:ilvl w:val="0"/>
                <w:numId w:val="40"/>
              </w:numPr>
            </w:pPr>
            <w:r>
              <w:t>As a result of e</w:t>
            </w:r>
            <w:r w:rsidRPr="00DB5467">
              <w:t xml:space="preserve">ligibility for </w:t>
            </w:r>
            <w:proofErr w:type="gramStart"/>
            <w:r>
              <w:t>particular</w:t>
            </w:r>
            <w:r w:rsidRPr="00DB5467">
              <w:t xml:space="preserve"> Rebate</w:t>
            </w:r>
            <w:proofErr w:type="gramEnd"/>
            <w:r w:rsidRPr="00DB5467">
              <w:t xml:space="preserve"> </w:t>
            </w:r>
            <w:r>
              <w:t>rates being</w:t>
            </w:r>
            <w:r w:rsidRPr="00DB5467">
              <w:t xml:space="preserve"> determined by income only, rather than by income and age</w:t>
            </w:r>
            <w:r>
              <w:t>, there is minimal reduction in the proportion of the population that participates in PHI in the first two years.</w:t>
            </w:r>
          </w:p>
        </w:tc>
        <w:tc>
          <w:tcPr>
            <w:tcW w:w="2496" w:type="dxa"/>
          </w:tcPr>
          <w:p w14:paraId="3C2AFFE9" w14:textId="497FE185" w:rsidR="001A6C16" w:rsidRDefault="00D85561" w:rsidP="00061104">
            <w:pPr>
              <w:pStyle w:val="ListParagraph"/>
              <w:numPr>
                <w:ilvl w:val="0"/>
                <w:numId w:val="40"/>
              </w:numPr>
            </w:pPr>
            <w:r w:rsidRPr="00E11A90">
              <w:rPr>
                <w:lang w:val="en-US"/>
              </w:rPr>
              <w:t xml:space="preserve">Insured people as a proportion of the population in the March 2029 quarter has not reduced by more than 1 percentage point compared with the March 2027 quarter. </w:t>
            </w:r>
            <w:r w:rsidR="00DF4B01">
              <w:rPr>
                <w:lang w:val="en-US"/>
              </w:rPr>
              <w:t xml:space="preserve">1 percentage point is larger than the modelled impact on participation but has been chosen to account for the possible </w:t>
            </w:r>
            <w:r w:rsidR="00DF4B01">
              <w:rPr>
                <w:lang w:val="en-US"/>
              </w:rPr>
              <w:lastRenderedPageBreak/>
              <w:t xml:space="preserve">impacts of external factors, such </w:t>
            </w:r>
            <w:proofErr w:type="gramStart"/>
            <w:r w:rsidR="00DF4B01">
              <w:rPr>
                <w:lang w:val="en-US"/>
              </w:rPr>
              <w:t>cost of living</w:t>
            </w:r>
            <w:proofErr w:type="gramEnd"/>
            <w:r w:rsidR="00DF4B01">
              <w:rPr>
                <w:lang w:val="en-US"/>
              </w:rPr>
              <w:t xml:space="preserve"> pressures that</w:t>
            </w:r>
            <w:r w:rsidR="000B7132">
              <w:rPr>
                <w:lang w:val="en-US"/>
              </w:rPr>
              <w:t xml:space="preserve"> </w:t>
            </w:r>
            <w:r w:rsidR="00DF4B01">
              <w:rPr>
                <w:lang w:val="en-US"/>
              </w:rPr>
              <w:t xml:space="preserve">differ from the modelled assumptions. </w:t>
            </w:r>
            <w:r w:rsidRPr="00E11A90">
              <w:rPr>
                <w:lang w:val="en-US"/>
              </w:rPr>
              <w:t xml:space="preserve">The number of </w:t>
            </w:r>
            <w:proofErr w:type="gramStart"/>
            <w:r w:rsidRPr="00E11A90">
              <w:rPr>
                <w:lang w:val="en-US"/>
              </w:rPr>
              <w:t>insured people</w:t>
            </w:r>
            <w:proofErr w:type="gramEnd"/>
            <w:r w:rsidRPr="00E11A90">
              <w:rPr>
                <w:lang w:val="en-US"/>
              </w:rPr>
              <w:t xml:space="preserve"> is expected to continue to rise, reflecting growth in the overall population. Using this participation metric allows comparison of the impact relative to the population using publicly available APRA data.</w:t>
            </w:r>
            <w:r>
              <w:rPr>
                <w:lang w:val="en-US"/>
              </w:rPr>
              <w:t xml:space="preserve"> </w:t>
            </w:r>
            <w:r>
              <w:t xml:space="preserve">A </w:t>
            </w:r>
            <w:proofErr w:type="gramStart"/>
            <w:r>
              <w:t>2 year</w:t>
            </w:r>
            <w:proofErr w:type="gramEnd"/>
            <w:r>
              <w:t xml:space="preserve"> </w:t>
            </w:r>
            <w:proofErr w:type="gramStart"/>
            <w:r>
              <w:t>time period</w:t>
            </w:r>
            <w:proofErr w:type="gramEnd"/>
            <w:r>
              <w:t xml:space="preserve"> has been chosen because the participation impact (while expected to be minor) is likely to be most pronounced in the first 2 years.</w:t>
            </w:r>
            <w:r w:rsidR="00DF4B01">
              <w:t xml:space="preserve"> </w:t>
            </w:r>
            <w:r>
              <w:t xml:space="preserve"> The </w:t>
            </w:r>
            <w:proofErr w:type="gramStart"/>
            <w:r>
              <w:t>2 year</w:t>
            </w:r>
            <w:proofErr w:type="gramEnd"/>
            <w:r>
              <w:t xml:space="preserve"> </w:t>
            </w:r>
            <w:proofErr w:type="gramStart"/>
            <w:r>
              <w:t>time period</w:t>
            </w:r>
            <w:proofErr w:type="gramEnd"/>
            <w:r>
              <w:t xml:space="preserve"> will provide sufficient time for consumers to feel the impact of the change and decide whether to remain in PHI.</w:t>
            </w:r>
          </w:p>
        </w:tc>
        <w:tc>
          <w:tcPr>
            <w:tcW w:w="2181" w:type="dxa"/>
          </w:tcPr>
          <w:p w14:paraId="0A23C737" w14:textId="3881DFFC" w:rsidR="001A6C16" w:rsidRDefault="00D1627C" w:rsidP="00061104">
            <w:pPr>
              <w:pStyle w:val="ListParagraph"/>
              <w:numPr>
                <w:ilvl w:val="0"/>
                <w:numId w:val="40"/>
              </w:numPr>
            </w:pPr>
            <w:r>
              <w:lastRenderedPageBreak/>
              <w:t xml:space="preserve">Program team is responsible for interrogating APRA’s Quarterly PHI Statistics to determine whether insured people </w:t>
            </w:r>
            <w:r w:rsidR="00444DD1">
              <w:t xml:space="preserve">(with any form of PHI) </w:t>
            </w:r>
            <w:r>
              <w:t xml:space="preserve">as a proportion of the population reduces by more than 1 percentage point in March </w:t>
            </w:r>
            <w:r>
              <w:lastRenderedPageBreak/>
              <w:t>2029 quarter compared to March 2027 quarter.</w:t>
            </w:r>
          </w:p>
        </w:tc>
      </w:tr>
    </w:tbl>
    <w:p w14:paraId="0F23E06F" w14:textId="77777777" w:rsidR="00826E23" w:rsidRDefault="00826E23" w:rsidP="00022A7F">
      <w:pPr>
        <w:spacing w:after="200" w:line="288" w:lineRule="auto"/>
      </w:pPr>
    </w:p>
    <w:p w14:paraId="18794701" w14:textId="4E15BED9" w:rsidR="00826E23" w:rsidRDefault="00826E23" w:rsidP="00826E23">
      <w:pPr>
        <w:pStyle w:val="Heading2"/>
      </w:pPr>
      <w:r>
        <w:lastRenderedPageBreak/>
        <w:t>7.</w:t>
      </w:r>
      <w:r w:rsidR="00C209A5">
        <w:t>2</w:t>
      </w:r>
      <w:r>
        <w:t xml:space="preserve"> Reporting and accountability</w:t>
      </w:r>
    </w:p>
    <w:p w14:paraId="0B8B9B08" w14:textId="335DE9A7" w:rsidR="00942921" w:rsidRPr="00011D82" w:rsidRDefault="00364D15" w:rsidP="00942921">
      <w:pPr>
        <w:spacing w:before="120" w:after="120"/>
      </w:pPr>
      <w:r>
        <w:t xml:space="preserve">The department will </w:t>
      </w:r>
      <w:r w:rsidR="00342125">
        <w:t>conduct a formal internal</w:t>
      </w:r>
      <w:r>
        <w:t xml:space="preserve"> evaluat</w:t>
      </w:r>
      <w:r w:rsidR="00342125">
        <w:t xml:space="preserve">ion </w:t>
      </w:r>
      <w:r w:rsidR="00306926">
        <w:t>of</w:t>
      </w:r>
      <w:r>
        <w:t xml:space="preserve"> the success of meeting the </w:t>
      </w:r>
      <w:r w:rsidR="00550BA1">
        <w:t xml:space="preserve">third </w:t>
      </w:r>
      <w:r>
        <w:t xml:space="preserve">objective: </w:t>
      </w:r>
      <w:r w:rsidR="00550BA1">
        <w:rPr>
          <w:i/>
          <w:iCs/>
        </w:rPr>
        <w:t>e</w:t>
      </w:r>
      <w:r w:rsidR="00550BA1" w:rsidRPr="00550BA1">
        <w:rPr>
          <w:i/>
          <w:iCs/>
        </w:rPr>
        <w:t>nsure the Rebate is equitably targeted</w:t>
      </w:r>
      <w:r w:rsidR="00BD0F1F">
        <w:rPr>
          <w:i/>
          <w:iCs/>
        </w:rPr>
        <w:t xml:space="preserve"> while minimising any negative impact on participation</w:t>
      </w:r>
      <w:r w:rsidR="00BB6DC9">
        <w:t>.</w:t>
      </w:r>
      <w:r w:rsidR="00B62BA1">
        <w:t xml:space="preserve"> The </w:t>
      </w:r>
      <w:r w:rsidR="002B08F7">
        <w:t>program team</w:t>
      </w:r>
      <w:r w:rsidR="00B62BA1">
        <w:t xml:space="preserve"> will interrogate </w:t>
      </w:r>
      <w:r w:rsidR="005728B1">
        <w:t>APRA Quarterly PHI Statistics</w:t>
      </w:r>
      <w:r w:rsidR="006D1093">
        <w:t xml:space="preserve"> to determine whether insured people as a proportion of the population reduces by more than 1</w:t>
      </w:r>
      <w:r w:rsidR="00283D2D">
        <w:t> </w:t>
      </w:r>
      <w:r w:rsidR="006D1093">
        <w:t xml:space="preserve">percentage point in </w:t>
      </w:r>
      <w:r w:rsidR="00283612">
        <w:t xml:space="preserve">the </w:t>
      </w:r>
      <w:r w:rsidR="006D1093">
        <w:t xml:space="preserve">March 2029 quarter compared to </w:t>
      </w:r>
      <w:r w:rsidR="00283612">
        <w:t xml:space="preserve">the </w:t>
      </w:r>
      <w:r w:rsidR="006D1093">
        <w:t>March 2027 quarter.</w:t>
      </w:r>
      <w:r w:rsidR="00D277C7">
        <w:t xml:space="preserve"> </w:t>
      </w:r>
      <w:r w:rsidR="008C0084">
        <w:t xml:space="preserve">APRA data of </w:t>
      </w:r>
      <w:r w:rsidR="00D91D18">
        <w:t>PHI membership</w:t>
      </w:r>
      <w:r w:rsidR="00E45618">
        <w:t xml:space="preserve"> </w:t>
      </w:r>
      <w:r w:rsidR="00D91D18">
        <w:t xml:space="preserve">by age </w:t>
      </w:r>
      <w:r w:rsidR="008C0084">
        <w:t xml:space="preserve">and membership by coverage type (hospital and general treatment) </w:t>
      </w:r>
      <w:r w:rsidR="00E45618">
        <w:t>will also be examine</w:t>
      </w:r>
      <w:r w:rsidR="00D11590">
        <w:t>d</w:t>
      </w:r>
      <w:r w:rsidR="00E45618">
        <w:t xml:space="preserve"> to determine whether </w:t>
      </w:r>
      <w:r w:rsidR="00F7492E">
        <w:t xml:space="preserve">any </w:t>
      </w:r>
      <w:r w:rsidR="004D1ADD">
        <w:t xml:space="preserve">reduction in the proportion of insured people has likely occurred due to the </w:t>
      </w:r>
      <w:r w:rsidR="00B438C1">
        <w:t>changes to the Rebate settings.</w:t>
      </w:r>
      <w:r w:rsidR="00795341">
        <w:t xml:space="preserve"> As shown in Table 11,</w:t>
      </w:r>
      <w:r w:rsidR="00C560CF">
        <w:t xml:space="preserve"> the </w:t>
      </w:r>
      <w:r w:rsidR="00816BCC">
        <w:t xml:space="preserve">greatest expected participation impacts are in </w:t>
      </w:r>
      <w:r w:rsidR="003C0458">
        <w:t>people aged 65+</w:t>
      </w:r>
      <w:r w:rsidR="00915846">
        <w:t xml:space="preserve"> years</w:t>
      </w:r>
      <w:r w:rsidR="003C0458">
        <w:t xml:space="preserve"> in the Base Tier.</w:t>
      </w:r>
      <w:r w:rsidR="00B438C1">
        <w:t xml:space="preserve"> </w:t>
      </w:r>
      <w:r w:rsidR="00942921" w:rsidRPr="00942921">
        <w:rPr>
          <w:lang w:val="en-US"/>
        </w:rPr>
        <w:t xml:space="preserve">Barring other significant impacts, it is </w:t>
      </w:r>
      <w:r w:rsidR="002879B7">
        <w:rPr>
          <w:lang w:val="en-US"/>
        </w:rPr>
        <w:t>anticipated</w:t>
      </w:r>
      <w:r w:rsidR="00942921" w:rsidRPr="00942921">
        <w:rPr>
          <w:lang w:val="en-US"/>
        </w:rPr>
        <w:t xml:space="preserve"> this measure </w:t>
      </w:r>
      <w:r w:rsidR="003D10A0">
        <w:rPr>
          <w:lang w:val="en-US"/>
        </w:rPr>
        <w:t xml:space="preserve">will </w:t>
      </w:r>
      <w:r w:rsidR="00942921" w:rsidRPr="00942921">
        <w:rPr>
          <w:lang w:val="en-US"/>
        </w:rPr>
        <w:t xml:space="preserve">have </w:t>
      </w:r>
      <w:r w:rsidR="003D10A0">
        <w:rPr>
          <w:lang w:val="en-US"/>
        </w:rPr>
        <w:t xml:space="preserve">a </w:t>
      </w:r>
      <w:r w:rsidR="00942921" w:rsidRPr="00942921">
        <w:rPr>
          <w:lang w:val="en-US"/>
        </w:rPr>
        <w:t xml:space="preserve">marginal impact on participation across the whole population. </w:t>
      </w:r>
    </w:p>
    <w:p w14:paraId="20C12EA4" w14:textId="3F9ACA84" w:rsidR="00FE7221" w:rsidRPr="00B62BA1" w:rsidRDefault="00636EC7" w:rsidP="00252C48">
      <w:r>
        <w:t xml:space="preserve">If a reduction of more than 1 percentage point occurs, this may indicate that the </w:t>
      </w:r>
      <w:r w:rsidDel="00247763">
        <w:t>change</w:t>
      </w:r>
      <w:r w:rsidR="003D6279" w:rsidDel="00247763">
        <w:t xml:space="preserve"> has had a greater than anticipated impact on </w:t>
      </w:r>
      <w:r w:rsidR="0008665B" w:rsidDel="00247763">
        <w:t xml:space="preserve">PHI </w:t>
      </w:r>
      <w:r w:rsidR="003D6279" w:rsidDel="00247763">
        <w:t>participation</w:t>
      </w:r>
      <w:r w:rsidR="00870162" w:rsidDel="00247763">
        <w:t xml:space="preserve"> and</w:t>
      </w:r>
      <w:r w:rsidR="00870162">
        <w:t xml:space="preserve"> is potentially no longer providing an incentive for people to participate in PHI</w:t>
      </w:r>
      <w:r w:rsidR="00E4787E">
        <w:t xml:space="preserve"> and negative impacts on participation were not sufficiently minimised</w:t>
      </w:r>
      <w:r w:rsidR="002B08F7">
        <w:t>. This information will be communicat</w:t>
      </w:r>
      <w:r w:rsidR="0008665B">
        <w:t>ed</w:t>
      </w:r>
      <w:r w:rsidR="002B08F7">
        <w:t xml:space="preserve"> to Government, as appropriate.</w:t>
      </w:r>
    </w:p>
    <w:p w14:paraId="48E67AB4" w14:textId="2AF5E53D" w:rsidR="00F4119B" w:rsidRPr="00F4119B" w:rsidRDefault="00BA22D1" w:rsidP="00CC0CBA">
      <w:pPr>
        <w:pStyle w:val="Heading1"/>
        <w:numPr>
          <w:ilvl w:val="0"/>
          <w:numId w:val="15"/>
        </w:numPr>
        <w:spacing w:before="120" w:after="120"/>
        <w:rPr>
          <w:sz w:val="36"/>
          <w:szCs w:val="28"/>
        </w:rPr>
      </w:pPr>
      <w:r>
        <w:br w:type="page"/>
      </w:r>
      <w:r w:rsidR="00F4119B" w:rsidRPr="00CC0CBA">
        <w:rPr>
          <w:szCs w:val="48"/>
        </w:rPr>
        <w:lastRenderedPageBreak/>
        <w:t>Additional Information</w:t>
      </w:r>
      <w:r w:rsidR="00F4119B" w:rsidRPr="00F4119B">
        <w:rPr>
          <w:sz w:val="36"/>
          <w:szCs w:val="28"/>
        </w:rPr>
        <w:t>  </w:t>
      </w:r>
    </w:p>
    <w:p w14:paraId="4CFE25FA" w14:textId="77777777" w:rsidR="00F4119B" w:rsidRPr="00F4119B" w:rsidRDefault="00F4119B" w:rsidP="00B16F51">
      <w:pPr>
        <w:pStyle w:val="CABParagraph"/>
        <w:keepNext/>
        <w:spacing w:after="120"/>
        <w:rPr>
          <w:rFonts w:asciiTheme="minorHAnsi" w:eastAsiaTheme="minorEastAsia" w:hAnsiTheme="minorHAnsi"/>
          <w:b/>
          <w:sz w:val="24"/>
          <w:szCs w:val="24"/>
        </w:rPr>
      </w:pPr>
      <w:r w:rsidRPr="00F4119B">
        <w:rPr>
          <w:rFonts w:asciiTheme="minorHAnsi" w:eastAsiaTheme="minorEastAsia" w:hAnsiTheme="minorHAnsi"/>
          <w:b/>
          <w:sz w:val="24"/>
          <w:szCs w:val="24"/>
        </w:rPr>
        <w:t>PHI Rebate Forward Estimates Model </w:t>
      </w:r>
    </w:p>
    <w:p w14:paraId="4D03D8D0" w14:textId="77777777" w:rsidR="00F4119B" w:rsidRPr="00F4119B" w:rsidRDefault="00F4119B" w:rsidP="00F4119B">
      <w:pPr>
        <w:spacing w:before="120" w:after="120"/>
        <w:rPr>
          <w:lang w:val="en-US"/>
        </w:rPr>
      </w:pPr>
      <w:r w:rsidRPr="00F4119B">
        <w:t>A brief description of each module of the Model follows: </w:t>
      </w:r>
      <w:r w:rsidRPr="00F4119B">
        <w:rPr>
          <w:lang w:val="en-US"/>
        </w:rPr>
        <w:t> </w:t>
      </w:r>
    </w:p>
    <w:p w14:paraId="27A17A1B" w14:textId="77777777" w:rsidR="00F4119B" w:rsidRPr="00F4119B" w:rsidRDefault="00F4119B" w:rsidP="00F4119B">
      <w:pPr>
        <w:spacing w:before="120" w:after="120"/>
        <w:rPr>
          <w:lang w:val="en-US"/>
        </w:rPr>
      </w:pPr>
      <w:r w:rsidRPr="00F4119B">
        <w:rPr>
          <w:i/>
          <w:iCs/>
        </w:rPr>
        <w:t>Demographic Module</w:t>
      </w:r>
      <w:r w:rsidRPr="00F4119B">
        <w:rPr>
          <w:lang w:val="en-US"/>
        </w:rPr>
        <w:t> </w:t>
      </w:r>
    </w:p>
    <w:p w14:paraId="4BF3DA8E" w14:textId="77777777" w:rsidR="00F4119B" w:rsidRPr="00F4119B" w:rsidRDefault="00F4119B" w:rsidP="00F4119B">
      <w:pPr>
        <w:spacing w:before="120" w:after="120"/>
        <w:rPr>
          <w:lang w:val="en-US"/>
        </w:rPr>
      </w:pPr>
      <w:r w:rsidRPr="00F4119B">
        <w:t>The projection of the number of insured adults requires a projection of the population that is eligible to take up this insurance. The population size and its growth are influenced by various factors such as birth rates and mortality rates as well as rates of migration. In addition to these, the characteristics of the population also play an important role in determining the take-up of insurance. For example, an aging population will require more healthcare services, on average. Families planning for children are more likely to take up or upgrade insurance policies to include hospital cover. The incomes of individuals will determine whether insurance is affordable for them and how influential they find government incentive schemes. </w:t>
      </w:r>
      <w:r w:rsidRPr="00F4119B">
        <w:rPr>
          <w:lang w:val="en-US"/>
        </w:rPr>
        <w:t> </w:t>
      </w:r>
    </w:p>
    <w:p w14:paraId="65145DC3" w14:textId="52760BFC" w:rsidR="00F4119B" w:rsidRPr="00F4119B" w:rsidRDefault="00F4119B" w:rsidP="00F4119B">
      <w:pPr>
        <w:spacing w:before="120" w:after="120"/>
        <w:rPr>
          <w:lang w:val="en-US"/>
        </w:rPr>
      </w:pPr>
      <w:r w:rsidRPr="00F4119B">
        <w:t>The Demographic Module (built in SAS) took the most recent projection of the population of Australia from the Australian Bureau of Statistics (ABS) and updated it to reflect any deviations between the projections and the current population. It then used various other sources of information such as Census sample files and ATO sample files to disaggregate the projections. The output of this module was the projected population size, segmented by the various demographic characteristics that may be significant in determining the level of participation in PHI. </w:t>
      </w:r>
      <w:r w:rsidRPr="00F4119B">
        <w:rPr>
          <w:lang w:val="en-US"/>
        </w:rPr>
        <w:t> </w:t>
      </w:r>
    </w:p>
    <w:p w14:paraId="595DFC6C" w14:textId="77777777" w:rsidR="00F4119B" w:rsidRPr="00F4119B" w:rsidRDefault="00F4119B" w:rsidP="00F4119B">
      <w:pPr>
        <w:spacing w:before="120" w:after="120"/>
        <w:rPr>
          <w:lang w:val="en-US"/>
        </w:rPr>
      </w:pPr>
      <w:r w:rsidRPr="00F4119B">
        <w:t>The demographic characteristics that are significant in explaining policyholder behaviour included: </w:t>
      </w:r>
      <w:r w:rsidRPr="00F4119B">
        <w:rPr>
          <w:lang w:val="en-US"/>
        </w:rPr>
        <w:t> </w:t>
      </w:r>
    </w:p>
    <w:p w14:paraId="05A99B5F" w14:textId="34C574A4" w:rsidR="00F4119B" w:rsidRPr="00F4119B" w:rsidRDefault="00F4119B" w:rsidP="00061104">
      <w:pPr>
        <w:numPr>
          <w:ilvl w:val="0"/>
          <w:numId w:val="17"/>
        </w:numPr>
        <w:spacing w:before="120" w:after="120"/>
        <w:rPr>
          <w:lang w:val="en-US"/>
        </w:rPr>
      </w:pPr>
      <w:r w:rsidRPr="00F4119B">
        <w:t>Age/age band – the older population may have a higher demand for PHI because of their increasing needs for healthcare. There may be a spike in demand for PHI at age 30 because of the operation of the Lifetime Health C</w:t>
      </w:r>
      <w:r w:rsidR="00FF184C">
        <w:t>over</w:t>
      </w:r>
      <w:r w:rsidRPr="00F4119B">
        <w:t xml:space="preserve"> loading (LHC). </w:t>
      </w:r>
      <w:r w:rsidRPr="00F4119B">
        <w:rPr>
          <w:lang w:val="en-US"/>
        </w:rPr>
        <w:t> </w:t>
      </w:r>
    </w:p>
    <w:p w14:paraId="56BA40B6" w14:textId="77777777" w:rsidR="00F4119B" w:rsidRPr="00F4119B" w:rsidRDefault="00F4119B" w:rsidP="00061104">
      <w:pPr>
        <w:numPr>
          <w:ilvl w:val="0"/>
          <w:numId w:val="18"/>
        </w:numPr>
        <w:spacing w:before="120" w:after="120"/>
        <w:rPr>
          <w:lang w:val="en-US"/>
        </w:rPr>
      </w:pPr>
      <w:r w:rsidRPr="00F4119B">
        <w:t>Gender – males may have different demand for PHI than females for various reasons. </w:t>
      </w:r>
      <w:r w:rsidRPr="00F4119B">
        <w:rPr>
          <w:lang w:val="en-US"/>
        </w:rPr>
        <w:t> </w:t>
      </w:r>
    </w:p>
    <w:p w14:paraId="42515E9C" w14:textId="77777777" w:rsidR="00F4119B" w:rsidRPr="00F4119B" w:rsidRDefault="00F4119B" w:rsidP="00061104">
      <w:pPr>
        <w:numPr>
          <w:ilvl w:val="0"/>
          <w:numId w:val="19"/>
        </w:numPr>
        <w:spacing w:before="120" w:after="120"/>
        <w:rPr>
          <w:lang w:val="en-US"/>
        </w:rPr>
      </w:pPr>
      <w:r w:rsidRPr="00F4119B">
        <w:t>State/jurisdiction – PHI premiums may differ by state and affect premium affordability and therefore the demand for PHI. </w:t>
      </w:r>
      <w:r w:rsidRPr="00F4119B">
        <w:rPr>
          <w:lang w:val="en-US"/>
        </w:rPr>
        <w:t> </w:t>
      </w:r>
    </w:p>
    <w:p w14:paraId="46A74E01" w14:textId="77777777" w:rsidR="00F4119B" w:rsidRPr="00F4119B" w:rsidRDefault="00F4119B" w:rsidP="00061104">
      <w:pPr>
        <w:numPr>
          <w:ilvl w:val="0"/>
          <w:numId w:val="20"/>
        </w:numPr>
        <w:spacing w:before="120" w:after="120"/>
        <w:rPr>
          <w:lang w:val="en-US"/>
        </w:rPr>
      </w:pPr>
      <w:r w:rsidRPr="00F4119B">
        <w:t>SEIFA (socio-economic indicator) – those with a higher indicator will be more able to afford PHI and may have a higher demand. </w:t>
      </w:r>
      <w:r w:rsidRPr="00F4119B">
        <w:rPr>
          <w:lang w:val="en-US"/>
        </w:rPr>
        <w:t> </w:t>
      </w:r>
    </w:p>
    <w:p w14:paraId="1B685335" w14:textId="77777777" w:rsidR="00F4119B" w:rsidRPr="00F4119B" w:rsidRDefault="00F4119B" w:rsidP="00061104">
      <w:pPr>
        <w:numPr>
          <w:ilvl w:val="0"/>
          <w:numId w:val="21"/>
        </w:numPr>
        <w:spacing w:before="120" w:after="120"/>
        <w:rPr>
          <w:lang w:val="en-US"/>
        </w:rPr>
      </w:pPr>
      <w:r w:rsidRPr="00F4119B">
        <w:t>Family status – families may have a higher demand than singles. Couples at </w:t>
      </w:r>
      <w:proofErr w:type="gramStart"/>
      <w:r w:rsidRPr="00F4119B">
        <w:t>child bearing</w:t>
      </w:r>
      <w:proofErr w:type="gramEnd"/>
      <w:r w:rsidRPr="00F4119B">
        <w:t> age may have a higher demand for family cover. </w:t>
      </w:r>
      <w:r w:rsidRPr="00F4119B">
        <w:rPr>
          <w:lang w:val="en-US"/>
        </w:rPr>
        <w:t> </w:t>
      </w:r>
    </w:p>
    <w:p w14:paraId="0C4CDFBD" w14:textId="77777777" w:rsidR="00F4119B" w:rsidRPr="00F4119B" w:rsidRDefault="00F4119B" w:rsidP="00061104">
      <w:pPr>
        <w:numPr>
          <w:ilvl w:val="0"/>
          <w:numId w:val="22"/>
        </w:numPr>
        <w:spacing w:before="120" w:after="120"/>
        <w:rPr>
          <w:lang w:val="en-US"/>
        </w:rPr>
      </w:pPr>
      <w:r w:rsidRPr="00F4119B">
        <w:t>Income/income band – those with higher income may be more able to afford PHI. </w:t>
      </w:r>
      <w:r w:rsidRPr="00F4119B">
        <w:rPr>
          <w:lang w:val="en-US"/>
        </w:rPr>
        <w:t> </w:t>
      </w:r>
    </w:p>
    <w:p w14:paraId="7C301412" w14:textId="77777777" w:rsidR="00F4119B" w:rsidRPr="00F4119B" w:rsidRDefault="00F4119B" w:rsidP="00061104">
      <w:pPr>
        <w:numPr>
          <w:ilvl w:val="0"/>
          <w:numId w:val="23"/>
        </w:numPr>
        <w:spacing w:before="120" w:after="120"/>
        <w:rPr>
          <w:lang w:val="en-US"/>
        </w:rPr>
      </w:pPr>
      <w:r w:rsidRPr="00F4119B">
        <w:t>Dependent children (or number of dependent children) may increase the demand for PHI cover. </w:t>
      </w:r>
      <w:r w:rsidRPr="00F4119B">
        <w:rPr>
          <w:lang w:val="en-US"/>
        </w:rPr>
        <w:t> </w:t>
      </w:r>
    </w:p>
    <w:p w14:paraId="5B7F0281" w14:textId="77777777" w:rsidR="00F4119B" w:rsidRPr="00F4119B" w:rsidRDefault="00F4119B" w:rsidP="00F4119B">
      <w:pPr>
        <w:spacing w:before="120" w:after="120"/>
        <w:rPr>
          <w:lang w:val="en-US"/>
        </w:rPr>
      </w:pPr>
      <w:r w:rsidRPr="00F4119B">
        <w:rPr>
          <w:lang w:val="en-US"/>
        </w:rPr>
        <w:t> </w:t>
      </w:r>
    </w:p>
    <w:p w14:paraId="579F7EE3" w14:textId="7D086D1F" w:rsidR="00F4119B" w:rsidRPr="00F4119B" w:rsidRDefault="00F4119B" w:rsidP="00F36C97">
      <w:pPr>
        <w:keepNext/>
        <w:spacing w:before="120" w:after="120"/>
        <w:rPr>
          <w:lang w:val="en-US"/>
        </w:rPr>
      </w:pPr>
      <w:r w:rsidRPr="00F4119B">
        <w:rPr>
          <w:i/>
          <w:iCs/>
        </w:rPr>
        <w:lastRenderedPageBreak/>
        <w:t>Economic Module </w:t>
      </w:r>
      <w:r w:rsidRPr="00F4119B">
        <w:rPr>
          <w:lang w:val="en-US"/>
        </w:rPr>
        <w:t> </w:t>
      </w:r>
    </w:p>
    <w:p w14:paraId="1CD3AD26" w14:textId="20670B4D" w:rsidR="00F4119B" w:rsidRPr="00F4119B" w:rsidRDefault="00F4119B" w:rsidP="00F4119B">
      <w:pPr>
        <w:spacing w:before="120" w:after="120"/>
        <w:rPr>
          <w:lang w:val="en-US"/>
        </w:rPr>
      </w:pPr>
      <w:r w:rsidRPr="00F4119B">
        <w:t xml:space="preserve">The Economic Module (built in Excel as part of the Forecasting Module) contains a projection of the various indicators of economic activity that will impact on the </w:t>
      </w:r>
      <w:r w:rsidR="005B1828">
        <w:t>Rebate</w:t>
      </w:r>
      <w:r w:rsidRPr="00F4119B">
        <w:t xml:space="preserve"> projections. These include: </w:t>
      </w:r>
      <w:r w:rsidRPr="00F4119B">
        <w:rPr>
          <w:lang w:val="en-US"/>
        </w:rPr>
        <w:t> </w:t>
      </w:r>
    </w:p>
    <w:p w14:paraId="7FA646BE" w14:textId="4573D447" w:rsidR="00F4119B" w:rsidRPr="00F4119B" w:rsidRDefault="00F4119B" w:rsidP="00061104">
      <w:pPr>
        <w:numPr>
          <w:ilvl w:val="0"/>
          <w:numId w:val="24"/>
        </w:numPr>
        <w:spacing w:before="120" w:after="120"/>
        <w:rPr>
          <w:lang w:val="en-US"/>
        </w:rPr>
      </w:pPr>
      <w:r w:rsidRPr="00F4119B">
        <w:t xml:space="preserve">Consumer Price Index (CPI), which will directly impact on the </w:t>
      </w:r>
      <w:r w:rsidR="005B1828">
        <w:t>Rebate</w:t>
      </w:r>
      <w:r w:rsidRPr="00F4119B">
        <w:t xml:space="preserve"> percentage through the </w:t>
      </w:r>
      <w:r w:rsidR="005B1828">
        <w:t>Rebate</w:t>
      </w:r>
      <w:r w:rsidRPr="00F4119B">
        <w:t xml:space="preserve"> adjustment factor (RAF). It will also be used in the indexation of income to measure changes in real purchasing power. Similarly, it will be used in the indexation of PHI premiums to express their real rate of growth (above the cost of living). </w:t>
      </w:r>
      <w:r w:rsidRPr="00F4119B">
        <w:rPr>
          <w:lang w:val="en-US"/>
        </w:rPr>
        <w:t> </w:t>
      </w:r>
    </w:p>
    <w:p w14:paraId="28F4F337" w14:textId="07A375CC" w:rsidR="00F4119B" w:rsidRPr="00F4119B" w:rsidRDefault="00F4119B" w:rsidP="00061104">
      <w:pPr>
        <w:numPr>
          <w:ilvl w:val="0"/>
          <w:numId w:val="25"/>
        </w:numPr>
        <w:spacing w:before="120" w:after="120"/>
        <w:rPr>
          <w:lang w:val="en-US"/>
        </w:rPr>
      </w:pPr>
      <w:r w:rsidRPr="00F4119B">
        <w:t xml:space="preserve">Average Weekly Earnings (AWE), for the purposes of inflating income over time as well as the definition of the income tier bands in the </w:t>
      </w:r>
      <w:r w:rsidR="005B1828">
        <w:t>Rebate</w:t>
      </w:r>
      <w:r w:rsidRPr="00F4119B">
        <w:t>/MLS tables. </w:t>
      </w:r>
      <w:r w:rsidRPr="00F4119B">
        <w:rPr>
          <w:lang w:val="en-US"/>
        </w:rPr>
        <w:t> </w:t>
      </w:r>
    </w:p>
    <w:p w14:paraId="58235920" w14:textId="77777777" w:rsidR="00F4119B" w:rsidRPr="00F4119B" w:rsidRDefault="00F4119B" w:rsidP="00F4119B">
      <w:pPr>
        <w:spacing w:before="120" w:after="120"/>
        <w:rPr>
          <w:lang w:val="en-US"/>
        </w:rPr>
      </w:pPr>
      <w:r w:rsidRPr="00F4119B">
        <w:rPr>
          <w:i/>
          <w:iCs/>
        </w:rPr>
        <w:t>Premiums Module </w:t>
      </w:r>
      <w:r w:rsidRPr="00F4119B">
        <w:rPr>
          <w:lang w:val="en-US"/>
        </w:rPr>
        <w:t> </w:t>
      </w:r>
    </w:p>
    <w:p w14:paraId="5F1EF9CA" w14:textId="77777777" w:rsidR="00F4119B" w:rsidRPr="00F4119B" w:rsidRDefault="00F4119B" w:rsidP="00F4119B">
      <w:pPr>
        <w:spacing w:before="120" w:after="120"/>
        <w:rPr>
          <w:lang w:val="en-US"/>
        </w:rPr>
      </w:pPr>
      <w:r w:rsidRPr="00F4119B">
        <w:t>The Premiums Module (built in SAS) analysed the premiums data on the individuals who have had a PHI policy in recent years. The main purpose of this analysis was to estimate premium growth rates that can be applied to current premium levels to project future premiums. The output from the analysis included: </w:t>
      </w:r>
      <w:r w:rsidRPr="00F4119B">
        <w:rPr>
          <w:lang w:val="en-US"/>
        </w:rPr>
        <w:t> </w:t>
      </w:r>
    </w:p>
    <w:p w14:paraId="42619A11" w14:textId="77777777" w:rsidR="00F4119B" w:rsidRPr="00F4119B" w:rsidRDefault="00F4119B" w:rsidP="00061104">
      <w:pPr>
        <w:numPr>
          <w:ilvl w:val="0"/>
          <w:numId w:val="26"/>
        </w:numPr>
        <w:spacing w:before="120" w:after="120"/>
        <w:rPr>
          <w:lang w:val="en-US"/>
        </w:rPr>
      </w:pPr>
      <w:r w:rsidRPr="00F4119B">
        <w:t xml:space="preserve">the average annualised premium per insured adult in each behaviour </w:t>
      </w:r>
      <w:proofErr w:type="gramStart"/>
      <w:r w:rsidRPr="00F4119B">
        <w:t>segment;</w:t>
      </w:r>
      <w:proofErr w:type="gramEnd"/>
      <w:r w:rsidRPr="00F4119B">
        <w:t> </w:t>
      </w:r>
      <w:r w:rsidRPr="00F4119B">
        <w:rPr>
          <w:lang w:val="en-US"/>
        </w:rPr>
        <w:t> </w:t>
      </w:r>
    </w:p>
    <w:p w14:paraId="3560564B" w14:textId="77777777" w:rsidR="00F4119B" w:rsidRPr="00F4119B" w:rsidRDefault="00F4119B" w:rsidP="00061104">
      <w:pPr>
        <w:numPr>
          <w:ilvl w:val="0"/>
          <w:numId w:val="27"/>
        </w:numPr>
        <w:spacing w:before="120" w:after="120"/>
        <w:rPr>
          <w:lang w:val="en-US"/>
        </w:rPr>
      </w:pPr>
      <w:r w:rsidRPr="00F4119B">
        <w:t xml:space="preserve">the historical annual premium growth rates by state (jurisdiction), family status and coverage </w:t>
      </w:r>
      <w:proofErr w:type="gramStart"/>
      <w:r w:rsidRPr="00F4119B">
        <w:t>type;</w:t>
      </w:r>
      <w:proofErr w:type="gramEnd"/>
      <w:r w:rsidRPr="00F4119B">
        <w:t> </w:t>
      </w:r>
      <w:r w:rsidRPr="00F4119B">
        <w:rPr>
          <w:lang w:val="en-US"/>
        </w:rPr>
        <w:t> </w:t>
      </w:r>
    </w:p>
    <w:p w14:paraId="4BDB4619" w14:textId="77777777" w:rsidR="00F4119B" w:rsidRPr="00F4119B" w:rsidRDefault="00F4119B" w:rsidP="00061104">
      <w:pPr>
        <w:numPr>
          <w:ilvl w:val="0"/>
          <w:numId w:val="28"/>
        </w:numPr>
        <w:spacing w:before="120" w:after="120"/>
        <w:rPr>
          <w:lang w:val="en-US"/>
        </w:rPr>
      </w:pPr>
      <w:r w:rsidRPr="00F4119B">
        <w:t xml:space="preserve">the proportion of insured adults by state, family status and coverage </w:t>
      </w:r>
      <w:proofErr w:type="gramStart"/>
      <w:r w:rsidRPr="00F4119B">
        <w:t>type;</w:t>
      </w:r>
      <w:proofErr w:type="gramEnd"/>
      <w:r w:rsidRPr="00F4119B">
        <w:t> </w:t>
      </w:r>
      <w:r w:rsidRPr="00F4119B">
        <w:rPr>
          <w:lang w:val="en-US"/>
        </w:rPr>
        <w:t> </w:t>
      </w:r>
    </w:p>
    <w:p w14:paraId="361D1888" w14:textId="77777777" w:rsidR="00F4119B" w:rsidRPr="00F4119B" w:rsidRDefault="00F4119B" w:rsidP="00061104">
      <w:pPr>
        <w:numPr>
          <w:ilvl w:val="0"/>
          <w:numId w:val="29"/>
        </w:numPr>
        <w:spacing w:before="120" w:after="120"/>
        <w:rPr>
          <w:lang w:val="en-US"/>
        </w:rPr>
      </w:pPr>
      <w:r w:rsidRPr="00F4119B">
        <w:t>the average ‘non-annualised’ premium per insured adult in each behaviour segment (to be used for General only cover); and </w:t>
      </w:r>
      <w:r w:rsidRPr="00F4119B">
        <w:rPr>
          <w:lang w:val="en-US"/>
        </w:rPr>
        <w:t> </w:t>
      </w:r>
    </w:p>
    <w:p w14:paraId="1542DF04" w14:textId="77777777" w:rsidR="00F4119B" w:rsidRPr="00F4119B" w:rsidRDefault="00F4119B" w:rsidP="00061104">
      <w:pPr>
        <w:numPr>
          <w:ilvl w:val="0"/>
          <w:numId w:val="30"/>
        </w:numPr>
        <w:spacing w:before="120" w:after="120"/>
        <w:rPr>
          <w:lang w:val="en-US"/>
        </w:rPr>
      </w:pPr>
      <w:r w:rsidRPr="00F4119B">
        <w:t>the insured adult population in each behaviour segment per financial year. </w:t>
      </w:r>
      <w:r w:rsidRPr="00F4119B">
        <w:rPr>
          <w:lang w:val="en-US"/>
        </w:rPr>
        <w:t> </w:t>
      </w:r>
    </w:p>
    <w:p w14:paraId="41726C7A" w14:textId="77777777" w:rsidR="00F4119B" w:rsidRPr="00F4119B" w:rsidRDefault="00F4119B" w:rsidP="00F4119B">
      <w:pPr>
        <w:spacing w:before="120" w:after="120"/>
        <w:rPr>
          <w:lang w:val="en-US"/>
        </w:rPr>
      </w:pPr>
      <w:r w:rsidRPr="00F4119B">
        <w:t>The analysis of item a) for consecutive years allowed item b) to be calculated. Item b) formed an initial basis for the selection of future premium growth rates by state, family status and coverage type. Item c) allowed the growth rates to be summarised at an industry level (by weighting the growth rate in each segment according to the proportion of insureds in each segment). The industry growth rate was then compared against APRA figures for reasonableness. The selected growth rates were then calibrated if required. </w:t>
      </w:r>
      <w:r w:rsidRPr="00F4119B">
        <w:rPr>
          <w:lang w:val="en-US"/>
        </w:rPr>
        <w:t> </w:t>
      </w:r>
    </w:p>
    <w:p w14:paraId="5DB85DDC" w14:textId="77777777" w:rsidR="00F4119B" w:rsidRPr="00F4119B" w:rsidRDefault="00F4119B" w:rsidP="00F4119B">
      <w:pPr>
        <w:spacing w:before="120" w:after="120"/>
        <w:rPr>
          <w:lang w:val="en-US"/>
        </w:rPr>
      </w:pPr>
      <w:r w:rsidRPr="00F4119B">
        <w:t>Items a), d) and e) were used as inputs into the Forecasting Module. For General only cover, the average premiums used were the ‘non-annualised’ version due to the way in which the number of General only insureds were counted. </w:t>
      </w:r>
      <w:r w:rsidRPr="00F4119B">
        <w:rPr>
          <w:lang w:val="en-US"/>
        </w:rPr>
        <w:t> </w:t>
      </w:r>
    </w:p>
    <w:p w14:paraId="04F59D16" w14:textId="77777777" w:rsidR="00F4119B" w:rsidRPr="00F4119B" w:rsidRDefault="00F4119B" w:rsidP="00F4119B">
      <w:pPr>
        <w:spacing w:before="120" w:after="120"/>
        <w:rPr>
          <w:lang w:val="en-US"/>
        </w:rPr>
      </w:pPr>
      <w:r w:rsidRPr="00F4119B">
        <w:t>Note that the average premium growth rates from b) encapsulated multiple factors. These include the intrinsic increases due to increases the cost of providing health care over time, upgrading/downgrading within coverage types etc. </w:t>
      </w:r>
      <w:proofErr w:type="gramStart"/>
      <w:r w:rsidRPr="00F4119B">
        <w:t>In particular, it</w:t>
      </w:r>
      <w:proofErr w:type="gramEnd"/>
      <w:r w:rsidRPr="00F4119B">
        <w:t xml:space="preserve"> included the impact of the aging population – where progressively more insureds will be paying higher premiums that provide more comprehensive cover as they grow older. We have selected the future growth rate as the average of the growth rates observed in the latest two years. However, since our model explicitly </w:t>
      </w:r>
      <w:r w:rsidRPr="00F4119B">
        <w:lastRenderedPageBreak/>
        <w:t>allows for the impact of the aging of the PHI population, before applying this growth rate, an adjustment was made to the rate to only account for the remaining sources of growth. </w:t>
      </w:r>
      <w:r w:rsidRPr="00F4119B">
        <w:rPr>
          <w:lang w:val="en-US"/>
        </w:rPr>
        <w:t> </w:t>
      </w:r>
    </w:p>
    <w:p w14:paraId="5D981880" w14:textId="77777777" w:rsidR="00F4119B" w:rsidRPr="00F4119B" w:rsidRDefault="00F4119B" w:rsidP="00F4119B">
      <w:pPr>
        <w:spacing w:before="120" w:after="120"/>
        <w:rPr>
          <w:lang w:val="en-US"/>
        </w:rPr>
      </w:pPr>
      <w:r w:rsidRPr="00F4119B">
        <w:rPr>
          <w:i/>
          <w:iCs/>
        </w:rPr>
        <w:t>Participation Module </w:t>
      </w:r>
      <w:r w:rsidRPr="00F4119B">
        <w:rPr>
          <w:lang w:val="en-US"/>
        </w:rPr>
        <w:t> </w:t>
      </w:r>
    </w:p>
    <w:p w14:paraId="2EF0D997" w14:textId="77777777" w:rsidR="00F4119B" w:rsidRPr="00F4119B" w:rsidRDefault="00F4119B" w:rsidP="00F4119B">
      <w:pPr>
        <w:spacing w:before="120" w:after="120"/>
        <w:rPr>
          <w:lang w:val="en-US"/>
        </w:rPr>
      </w:pPr>
      <w:r w:rsidRPr="00F4119B">
        <w:t>The Participation Module (built in SAS and Teradata) analysed data on all the individuals who have held a PHI policy in recent years and assessed their propensity to change coverage types depending on their behavioural characteristics (which included demographic characteristics, PHI incentive characteristics and premium characteristics). Modelling coverage type was desirable because: </w:t>
      </w:r>
      <w:r w:rsidRPr="00F4119B">
        <w:rPr>
          <w:lang w:val="en-US"/>
        </w:rPr>
        <w:t> </w:t>
      </w:r>
    </w:p>
    <w:p w14:paraId="68D84FB1" w14:textId="77777777" w:rsidR="00F4119B" w:rsidRPr="00F4119B" w:rsidRDefault="00F4119B" w:rsidP="00061104">
      <w:pPr>
        <w:numPr>
          <w:ilvl w:val="0"/>
          <w:numId w:val="31"/>
        </w:numPr>
        <w:spacing w:before="120" w:after="120"/>
        <w:rPr>
          <w:lang w:val="en-US"/>
        </w:rPr>
      </w:pPr>
      <w:r w:rsidRPr="00F4119B">
        <w:t>The MLS applies to those without Hospital/Combined cover and the LHC applies to those who did not purchase Hospital/Combined cover before age 31. Since these incentives are coverage type specific, it would be important to be able to project the number of insureds by coverage type, </w:t>
      </w:r>
      <w:proofErr w:type="gramStart"/>
      <w:r w:rsidRPr="00F4119B">
        <w:t>in order to</w:t>
      </w:r>
      <w:proofErr w:type="gramEnd"/>
      <w:r w:rsidRPr="00F4119B">
        <w:t> be able to model their impacts. </w:t>
      </w:r>
      <w:r w:rsidRPr="00F4119B">
        <w:rPr>
          <w:lang w:val="en-US"/>
        </w:rPr>
        <w:t> </w:t>
      </w:r>
    </w:p>
    <w:p w14:paraId="4D763156" w14:textId="77777777" w:rsidR="00F4119B" w:rsidRPr="00F4119B" w:rsidRDefault="00F4119B" w:rsidP="00061104">
      <w:pPr>
        <w:numPr>
          <w:ilvl w:val="0"/>
          <w:numId w:val="32"/>
        </w:numPr>
        <w:spacing w:before="120" w:after="120"/>
        <w:rPr>
          <w:lang w:val="en-US"/>
        </w:rPr>
      </w:pPr>
      <w:r w:rsidRPr="00F4119B">
        <w:t>There may be a desire to scenario test the impact of various government policy changes that are coverage type specific. Modelling coverage type would facilitate the testing of these scenarios. </w:t>
      </w:r>
      <w:r w:rsidRPr="00F4119B">
        <w:rPr>
          <w:lang w:val="en-US"/>
        </w:rPr>
        <w:t> </w:t>
      </w:r>
    </w:p>
    <w:p w14:paraId="4A4F89A2" w14:textId="77777777" w:rsidR="00F4119B" w:rsidRPr="00F4119B" w:rsidRDefault="00F4119B" w:rsidP="00F4119B">
      <w:pPr>
        <w:spacing w:before="120" w:after="120"/>
        <w:rPr>
          <w:lang w:val="en-US"/>
        </w:rPr>
      </w:pPr>
      <w:r w:rsidRPr="00F4119B">
        <w:rPr>
          <w:i/>
          <w:iCs/>
        </w:rPr>
        <w:t>Forecasting Module </w:t>
      </w:r>
      <w:r w:rsidRPr="00F4119B">
        <w:rPr>
          <w:lang w:val="en-US"/>
        </w:rPr>
        <w:t> </w:t>
      </w:r>
    </w:p>
    <w:p w14:paraId="685FDA13" w14:textId="77777777" w:rsidR="00F4119B" w:rsidRPr="00F4119B" w:rsidRDefault="00F4119B" w:rsidP="00F4119B">
      <w:pPr>
        <w:spacing w:before="120" w:after="120"/>
        <w:rPr>
          <w:lang w:val="en-US"/>
        </w:rPr>
      </w:pPr>
      <w:r w:rsidRPr="00F4119B">
        <w:t>The Forecasting Module (built in SAS and Excel) brought together all the inputs from the Demographic, Economic, Premium, and Participation modules to forecast for the next ten years: </w:t>
      </w:r>
      <w:r w:rsidRPr="00F4119B">
        <w:rPr>
          <w:lang w:val="en-US"/>
        </w:rPr>
        <w:t> </w:t>
      </w:r>
    </w:p>
    <w:p w14:paraId="403DFD05" w14:textId="77777777" w:rsidR="00F4119B" w:rsidRPr="00F4119B" w:rsidRDefault="00F4119B" w:rsidP="00061104">
      <w:pPr>
        <w:numPr>
          <w:ilvl w:val="0"/>
          <w:numId w:val="33"/>
        </w:numPr>
        <w:spacing w:before="120" w:after="120"/>
        <w:rPr>
          <w:lang w:val="en-US"/>
        </w:rPr>
      </w:pPr>
      <w:r w:rsidRPr="00F4119B">
        <w:t xml:space="preserve">the probabilities of transition between coverage </w:t>
      </w:r>
      <w:proofErr w:type="gramStart"/>
      <w:r w:rsidRPr="00F4119B">
        <w:t>types;</w:t>
      </w:r>
      <w:proofErr w:type="gramEnd"/>
      <w:r w:rsidRPr="00F4119B">
        <w:t> </w:t>
      </w:r>
      <w:r w:rsidRPr="00F4119B">
        <w:rPr>
          <w:lang w:val="en-US"/>
        </w:rPr>
        <w:t> </w:t>
      </w:r>
    </w:p>
    <w:p w14:paraId="252074CC" w14:textId="77777777" w:rsidR="00F4119B" w:rsidRPr="00F4119B" w:rsidRDefault="00F4119B" w:rsidP="00061104">
      <w:pPr>
        <w:numPr>
          <w:ilvl w:val="0"/>
          <w:numId w:val="34"/>
        </w:numPr>
        <w:spacing w:before="120" w:after="120"/>
        <w:rPr>
          <w:lang w:val="en-US"/>
        </w:rPr>
      </w:pPr>
      <w:r w:rsidRPr="00F4119B">
        <w:t>the number of adults in each demographic segment and coverage type (General, Hospital, Combined and No Cover</w:t>
      </w:r>
      <w:proofErr w:type="gramStart"/>
      <w:r w:rsidRPr="00F4119B">
        <w:t>);</w:t>
      </w:r>
      <w:proofErr w:type="gramEnd"/>
      <w:r w:rsidRPr="00F4119B">
        <w:t> </w:t>
      </w:r>
      <w:r w:rsidRPr="00F4119B">
        <w:rPr>
          <w:lang w:val="en-US"/>
        </w:rPr>
        <w:t> </w:t>
      </w:r>
    </w:p>
    <w:p w14:paraId="692D70A0" w14:textId="77777777" w:rsidR="00F4119B" w:rsidRPr="00F4119B" w:rsidRDefault="00F4119B" w:rsidP="00061104">
      <w:pPr>
        <w:numPr>
          <w:ilvl w:val="0"/>
          <w:numId w:val="35"/>
        </w:numPr>
        <w:spacing w:before="120" w:after="120"/>
        <w:rPr>
          <w:lang w:val="en-US"/>
        </w:rPr>
      </w:pPr>
      <w:r w:rsidRPr="00F4119B">
        <w:t>the projected premiums paid; and </w:t>
      </w:r>
      <w:r w:rsidRPr="00F4119B">
        <w:rPr>
          <w:lang w:val="en-US"/>
        </w:rPr>
        <w:t> </w:t>
      </w:r>
    </w:p>
    <w:p w14:paraId="0F46A503" w14:textId="24EAC9F5" w:rsidR="00F4119B" w:rsidRPr="00F4119B" w:rsidRDefault="00F4119B" w:rsidP="00061104">
      <w:pPr>
        <w:numPr>
          <w:ilvl w:val="0"/>
          <w:numId w:val="36"/>
        </w:numPr>
        <w:spacing w:before="120" w:after="120"/>
        <w:rPr>
          <w:lang w:val="en-US"/>
        </w:rPr>
      </w:pPr>
      <w:r w:rsidRPr="00F4119B">
        <w:t xml:space="preserve">the projected </w:t>
      </w:r>
      <w:r w:rsidR="005B1828">
        <w:t>Rebate</w:t>
      </w:r>
      <w:r w:rsidRPr="00F4119B">
        <w:t xml:space="preserve"> amounts. </w:t>
      </w:r>
      <w:r w:rsidRPr="00F4119B">
        <w:rPr>
          <w:lang w:val="en-US"/>
        </w:rPr>
        <w:t> </w:t>
      </w:r>
    </w:p>
    <w:p w14:paraId="137EFAD9" w14:textId="3D59EB6C" w:rsidR="00AF4517" w:rsidRPr="00DC11A9" w:rsidRDefault="00F4119B" w:rsidP="00DC11A9">
      <w:pPr>
        <w:spacing w:before="120" w:after="120"/>
        <w:rPr>
          <w:lang w:val="en-US"/>
        </w:rPr>
      </w:pPr>
      <w:r w:rsidRPr="00F4119B">
        <w:t xml:space="preserve">Note that the model only projects insureds, premiums and </w:t>
      </w:r>
      <w:r w:rsidR="005B1828">
        <w:t>Rebate</w:t>
      </w:r>
      <w:r w:rsidRPr="00F4119B">
        <w:t xml:space="preserve">s in respect of those who claim the </w:t>
      </w:r>
      <w:r w:rsidR="005B1828">
        <w:t>Rebate</w:t>
      </w:r>
      <w:r w:rsidRPr="00F4119B">
        <w:t xml:space="preserve">s from a discount on the insurance premiums rather than from the ATO through their tax returns. Therefore, </w:t>
      </w:r>
      <w:r w:rsidR="005B1828">
        <w:t>Rebate</w:t>
      </w:r>
      <w:r w:rsidRPr="00F4119B">
        <w:t xml:space="preserve">s from the ATO need to be added to the projections from the model if total </w:t>
      </w:r>
      <w:r w:rsidR="005B1828">
        <w:t>Rebate</w:t>
      </w:r>
      <w:r w:rsidRPr="00F4119B">
        <w:t xml:space="preserve">s are required. Also, this model does not allow for </w:t>
      </w:r>
      <w:r w:rsidR="005B1828">
        <w:t>Rebate</w:t>
      </w:r>
      <w:r w:rsidRPr="00F4119B">
        <w:t>s that are paid to insureds who </w:t>
      </w:r>
      <w:proofErr w:type="spellStart"/>
      <w:r w:rsidRPr="00F4119B">
        <w:t>misdeclare</w:t>
      </w:r>
      <w:proofErr w:type="spellEnd"/>
      <w:r w:rsidRPr="00F4119B">
        <w:t xml:space="preserve"> their income tiers when claiming their </w:t>
      </w:r>
      <w:r w:rsidR="005B1828">
        <w:t>Rebate</w:t>
      </w:r>
      <w:r w:rsidRPr="00F4119B">
        <w:t xml:space="preserve"> from insurers. Therefore, to estimate the </w:t>
      </w:r>
      <w:r w:rsidR="005B1828">
        <w:t>Rebate</w:t>
      </w:r>
      <w:r w:rsidRPr="00F4119B">
        <w:t>s that Health pays, these amounts would also need to be added. </w:t>
      </w:r>
      <w:r w:rsidRPr="00F4119B">
        <w:rPr>
          <w:lang w:val="en-US"/>
        </w:rPr>
        <w:t> </w:t>
      </w:r>
    </w:p>
    <w:bookmarkEnd w:id="2"/>
    <w:p w14:paraId="3CD36BCE" w14:textId="0D162974" w:rsidR="000251A4" w:rsidRPr="004F31BD" w:rsidRDefault="000251A4" w:rsidP="58F703B5">
      <w:pPr>
        <w:spacing w:after="0" w:line="240" w:lineRule="auto"/>
        <w:rPr>
          <w:rFonts w:cs="Arial"/>
          <w:b/>
          <w:bCs/>
          <w:sz w:val="2"/>
          <w:szCs w:val="2"/>
        </w:rPr>
      </w:pPr>
    </w:p>
    <w:sectPr w:rsidR="000251A4" w:rsidRPr="004F31BD" w:rsidSect="00122673">
      <w:pgSz w:w="11906" w:h="16838"/>
      <w:pgMar w:top="1701" w:right="1134" w:bottom="1843" w:left="1134" w:header="99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1D130" w14:textId="77777777" w:rsidR="0086416D" w:rsidRDefault="0086416D">
      <w:pPr>
        <w:spacing w:after="0" w:line="240" w:lineRule="auto"/>
      </w:pPr>
      <w:r>
        <w:separator/>
      </w:r>
    </w:p>
  </w:endnote>
  <w:endnote w:type="continuationSeparator" w:id="0">
    <w:p w14:paraId="05855BC0" w14:textId="77777777" w:rsidR="0086416D" w:rsidRDefault="00864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A2BD" w14:textId="4C7C7825" w:rsidR="00B42112" w:rsidRDefault="00B42112">
    <w:pPr>
      <w:pStyle w:val="Footer"/>
    </w:pPr>
    <w:r>
      <w:rPr>
        <w:noProof/>
      </w:rPr>
      <mc:AlternateContent>
        <mc:Choice Requires="wps">
          <w:drawing>
            <wp:anchor distT="0" distB="0" distL="0" distR="0" simplePos="0" relativeHeight="251658241" behindDoc="0" locked="0" layoutInCell="1" allowOverlap="1" wp14:anchorId="5E1A09CB" wp14:editId="3132AD7E">
              <wp:simplePos x="635" y="635"/>
              <wp:positionH relativeFrom="page">
                <wp:align>center</wp:align>
              </wp:positionH>
              <wp:positionV relativeFrom="page">
                <wp:align>bottom</wp:align>
              </wp:positionV>
              <wp:extent cx="828675" cy="400050"/>
              <wp:effectExtent l="0" t="0" r="9525" b="0"/>
              <wp:wrapNone/>
              <wp:docPr id="1360982045" name="Text Box 5"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8675" cy="400050"/>
                      </a:xfrm>
                      <a:prstGeom prst="rect">
                        <a:avLst/>
                      </a:prstGeom>
                      <a:noFill/>
                      <a:ln>
                        <a:noFill/>
                      </a:ln>
                    </wps:spPr>
                    <wps:txbx>
                      <w:txbxContent>
                        <w:p w14:paraId="2BC50924" w14:textId="40FC7C20" w:rsidR="00B42112" w:rsidRPr="00B42112" w:rsidRDefault="00B42112" w:rsidP="00B42112">
                          <w:pPr>
                            <w:spacing w:after="0"/>
                            <w:rPr>
                              <w:rFonts w:ascii="Aptos" w:eastAsia="Aptos" w:hAnsi="Aptos" w:cs="Aptos"/>
                              <w:noProof/>
                              <w:color w:val="FF0000"/>
                              <w:sz w:val="24"/>
                              <w:szCs w:val="24"/>
                            </w:rPr>
                          </w:pPr>
                          <w:r w:rsidRPr="00B42112">
                            <w:rPr>
                              <w:rFonts w:ascii="Aptos" w:eastAsia="Aptos" w:hAnsi="Aptos" w:cs="Aptos"/>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1A09CB" id="_x0000_t202" coordsize="21600,21600" o:spt="202" path="m,l,21600r21600,l21600,xe">
              <v:stroke joinstyle="miter"/>
              <v:path gradientshapeok="t" o:connecttype="rect"/>
            </v:shapetype>
            <v:shape id="Text Box 5" o:spid="_x0000_s1027" type="#_x0000_t202" alt="PROTECTED" style="position:absolute;margin-left:0;margin-top:0;width:65.25pt;height:3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" filled="f" stroked="f">
              <v:textbox style="mso-fit-shape-to-text:t" inset="0,0,0,15pt">
                <w:txbxContent>
                  <w:p w14:paraId="2BC50924" w14:textId="40FC7C20" w:rsidR="00B42112" w:rsidRPr="00B42112" w:rsidRDefault="00B42112" w:rsidP="00B42112">
                    <w:pPr>
                      <w:spacing w:after="0"/>
                      <w:rPr>
                        <w:rFonts w:ascii="Aptos" w:eastAsia="Aptos" w:hAnsi="Aptos" w:cs="Aptos"/>
                        <w:noProof/>
                        <w:color w:val="FF0000"/>
                        <w:sz w:val="24"/>
                        <w:szCs w:val="24"/>
                      </w:rPr>
                    </w:pPr>
                    <w:r w:rsidRPr="00B42112">
                      <w:rPr>
                        <w:rFonts w:ascii="Aptos" w:eastAsia="Aptos" w:hAnsi="Aptos" w:cs="Aptos"/>
                        <w:noProof/>
                        <w:color w:val="FF0000"/>
                        <w:sz w:val="24"/>
                        <w:szCs w:val="24"/>
                      </w:rPr>
                      <w:t>PROTECTED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E343" w14:textId="33BBC718" w:rsidR="007C5869" w:rsidRDefault="007C5869">
    <w:pPr>
      <w:pStyle w:val="CLASSIFICATION"/>
    </w:pPr>
  </w:p>
  <w:p w14:paraId="618734F7" w14:textId="1D68BAC1" w:rsidR="007C5869" w:rsidRDefault="007C5869">
    <w:pPr>
      <w:pStyle w:val="Header"/>
      <w:rPr>
        <w:rFonts w:ascii="Segoe UI" w:hAnsi="Segoe UI" w:cs="Segoe UI"/>
        <w:color w:val="6E6E6E"/>
        <w:sz w:val="18"/>
      </w:rPr>
    </w:pPr>
    <w:r>
      <w:rPr>
        <w:color w:val="6E6E6E"/>
      </w:rPr>
      <w:ptab w:relativeTo="margin" w:alignment="right" w:leader="none"/>
    </w:r>
    <w:r>
      <w:rPr>
        <w:rFonts w:ascii="Segoe UI" w:hAnsi="Segoe UI" w:cs="Segoe UI"/>
        <w:color w:val="6E6E6E"/>
        <w:sz w:val="18"/>
      </w:rPr>
      <w:fldChar w:fldCharType="begin"/>
    </w:r>
    <w:r>
      <w:rPr>
        <w:rFonts w:ascii="Segoe UI" w:hAnsi="Segoe UI" w:cs="Segoe UI"/>
        <w:color w:val="6E6E6E"/>
        <w:sz w:val="18"/>
      </w:rPr>
      <w:instrText xml:space="preserve"> PAGE   \* MERGEFORMAT </w:instrText>
    </w:r>
    <w:r>
      <w:rPr>
        <w:rFonts w:ascii="Segoe UI" w:hAnsi="Segoe UI" w:cs="Segoe UI"/>
        <w:color w:val="6E6E6E"/>
        <w:sz w:val="18"/>
      </w:rPr>
      <w:fldChar w:fldCharType="separate"/>
    </w:r>
    <w:r w:rsidR="00F95E81">
      <w:rPr>
        <w:rFonts w:ascii="Segoe UI" w:hAnsi="Segoe UI" w:cs="Segoe UI"/>
        <w:noProof/>
        <w:color w:val="6E6E6E"/>
        <w:sz w:val="18"/>
      </w:rPr>
      <w:t>26</w:t>
    </w:r>
    <w:r>
      <w:rPr>
        <w:rFonts w:ascii="Segoe UI" w:hAnsi="Segoe UI" w:cs="Segoe UI"/>
        <w:noProof/>
        <w:color w:val="6E6E6E"/>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80F6" w14:textId="252B4232" w:rsidR="007C5869" w:rsidRDefault="007C5869">
    <w:pPr>
      <w:pStyle w:val="Header"/>
      <w:jc w:val="center"/>
    </w:pPr>
  </w:p>
  <w:p w14:paraId="0AF35B7A" w14:textId="436A4C04" w:rsidR="007C5869" w:rsidRDefault="007C5869">
    <w:pPr>
      <w:pStyle w:val="Header"/>
      <w:rPr>
        <w:rFonts w:ascii="Segoe UI" w:hAnsi="Segoe UI" w:cs="Segoe UI"/>
        <w:color w:val="6E6E6E"/>
        <w:sz w:val="18"/>
      </w:rPr>
    </w:pPr>
    <w:r>
      <w:rPr>
        <w:color w:val="6E6E6E"/>
        <w:sz w:val="18"/>
        <w:szCs w:val="18"/>
      </w:rPr>
      <w:t>Office of Impact Analysis | Department of Health</w:t>
    </w:r>
    <w:r w:rsidR="00C31D22">
      <w:rPr>
        <w:color w:val="6E6E6E"/>
        <w:sz w:val="18"/>
        <w:szCs w:val="18"/>
      </w:rPr>
      <w:t>, Disability and Ageing</w:t>
    </w:r>
    <w:r>
      <w:rPr>
        <w:color w:val="6E6E6E"/>
        <w:sz w:val="18"/>
        <w:szCs w:val="18"/>
      </w:rPr>
      <w:t xml:space="preserve"> | OIA</w:t>
    </w:r>
    <w:r w:rsidR="00C31D22">
      <w:rPr>
        <w:color w:val="6E6E6E"/>
        <w:sz w:val="18"/>
        <w:szCs w:val="18"/>
      </w:rPr>
      <w:t>26-11374</w:t>
    </w:r>
    <w:r>
      <w:rPr>
        <w:color w:val="6E6E6E"/>
      </w:rPr>
      <w:ptab w:relativeTo="margin" w:alignment="right" w:leader="none"/>
    </w:r>
    <w:r>
      <w:rPr>
        <w:rFonts w:ascii="Segoe UI" w:hAnsi="Segoe UI" w:cs="Segoe UI"/>
        <w:color w:val="6E6E6E"/>
        <w:sz w:val="18"/>
      </w:rPr>
      <w:fldChar w:fldCharType="begin"/>
    </w:r>
    <w:r>
      <w:rPr>
        <w:rFonts w:ascii="Segoe UI" w:hAnsi="Segoe UI" w:cs="Segoe UI"/>
        <w:color w:val="6E6E6E"/>
        <w:sz w:val="18"/>
      </w:rPr>
      <w:instrText xml:space="preserve"> PAGE   \* MERGEFORMAT </w:instrText>
    </w:r>
    <w:r>
      <w:rPr>
        <w:rFonts w:ascii="Segoe UI" w:hAnsi="Segoe UI" w:cs="Segoe UI"/>
        <w:color w:val="6E6E6E"/>
        <w:sz w:val="18"/>
      </w:rPr>
      <w:fldChar w:fldCharType="separate"/>
    </w:r>
    <w:r w:rsidR="00F95E81">
      <w:rPr>
        <w:rFonts w:ascii="Segoe UI" w:hAnsi="Segoe UI" w:cs="Segoe UI"/>
        <w:noProof/>
        <w:color w:val="6E6E6E"/>
        <w:sz w:val="18"/>
      </w:rPr>
      <w:t>1</w:t>
    </w:r>
    <w:r>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9CFD" w14:textId="77777777" w:rsidR="0086416D" w:rsidRDefault="0086416D">
      <w:pPr>
        <w:spacing w:after="0" w:line="240" w:lineRule="auto"/>
      </w:pPr>
      <w:r>
        <w:separator/>
      </w:r>
    </w:p>
  </w:footnote>
  <w:footnote w:type="continuationSeparator" w:id="0">
    <w:p w14:paraId="694C64AC" w14:textId="77777777" w:rsidR="0086416D" w:rsidRDefault="0086416D">
      <w:pPr>
        <w:spacing w:after="0" w:line="240" w:lineRule="auto"/>
      </w:pPr>
      <w:r>
        <w:continuationSeparator/>
      </w:r>
    </w:p>
  </w:footnote>
  <w:footnote w:id="1">
    <w:p w14:paraId="6D0F2170" w14:textId="5825AB07" w:rsidR="003F3931" w:rsidRDefault="003F3931">
      <w:pPr>
        <w:pStyle w:val="FootnoteText"/>
      </w:pPr>
      <w:r>
        <w:rPr>
          <w:rStyle w:val="FootnoteReference"/>
        </w:rPr>
        <w:footnoteRef/>
      </w:r>
      <w:r>
        <w:t xml:space="preserve"> </w:t>
      </w:r>
      <w:r w:rsidR="00800140">
        <w:t xml:space="preserve">Source: </w:t>
      </w:r>
      <w:r>
        <w:t xml:space="preserve">APRA </w:t>
      </w:r>
      <w:r w:rsidR="00800140">
        <w:t xml:space="preserve">Quarterly Private Health Insurance Statistics, </w:t>
      </w:r>
      <w:r>
        <w:t>December 2025 quarter</w:t>
      </w:r>
      <w:r w:rsidR="00800140">
        <w:t>. Note:</w:t>
      </w:r>
      <w:r w:rsidR="007D184F">
        <w:t xml:space="preserve"> this</w:t>
      </w:r>
      <w:r w:rsidR="00800140">
        <w:t xml:space="preserve"> </w:t>
      </w:r>
      <w:r>
        <w:t>includes all insured people, including dependants</w:t>
      </w:r>
      <w:r w:rsidR="00800140">
        <w:t xml:space="preserve">, while modelled participation in section </w:t>
      </w:r>
      <w:r w:rsidR="007D184F">
        <w:t>4 is for non-dep</w:t>
      </w:r>
      <w:r w:rsidR="00F05724">
        <w:t>en</w:t>
      </w:r>
      <w:r w:rsidR="007D184F">
        <w:t>dents aged 18+ years.</w:t>
      </w:r>
    </w:p>
  </w:footnote>
  <w:footnote w:id="2">
    <w:p w14:paraId="5CE5942F" w14:textId="555D6145" w:rsidR="00335615" w:rsidRDefault="00335615">
      <w:pPr>
        <w:pStyle w:val="FootnoteText"/>
      </w:pPr>
      <w:r>
        <w:rPr>
          <w:rStyle w:val="FootnoteReference"/>
        </w:rPr>
        <w:footnoteRef/>
      </w:r>
      <w:r>
        <w:t xml:space="preserve"> </w:t>
      </w:r>
      <w:r w:rsidR="00DC76E2">
        <w:t>www.</w:t>
      </w:r>
      <w:r w:rsidR="00DC76E2" w:rsidRPr="00DC76E2">
        <w:t>privatehealth.gov.au/health_insurance/surcharges_incentives/insurance_rebate.htm</w:t>
      </w:r>
    </w:p>
  </w:footnote>
  <w:footnote w:id="3">
    <w:p w14:paraId="70CC8F43" w14:textId="23157930" w:rsidR="00636631" w:rsidRDefault="00636631">
      <w:pPr>
        <w:pStyle w:val="FootnoteText"/>
      </w:pPr>
      <w:r>
        <w:rPr>
          <w:rStyle w:val="FootnoteReference"/>
        </w:rPr>
        <w:footnoteRef/>
      </w:r>
      <w:r>
        <w:t xml:space="preserve"> APRA, </w:t>
      </w:r>
      <w:hyperlink r:id="rId1" w:history="1">
        <w:r w:rsidRPr="005C6678">
          <w:rPr>
            <w:rStyle w:val="Hyperlink"/>
          </w:rPr>
          <w:t>Quarterly Private Health Insurance Statistics</w:t>
        </w:r>
      </w:hyperlink>
      <w:r>
        <w:t>, December 2025</w:t>
      </w:r>
      <w:r w:rsidR="005C6678">
        <w:t>, published 27 February 2026.</w:t>
      </w:r>
    </w:p>
  </w:footnote>
  <w:footnote w:id="4">
    <w:p w14:paraId="01E3DE32" w14:textId="4F6C1D95" w:rsidR="00492BD9" w:rsidRDefault="00492BD9">
      <w:pPr>
        <w:pStyle w:val="FootnoteText"/>
      </w:pPr>
      <w:r>
        <w:rPr>
          <w:rStyle w:val="FootnoteReference"/>
        </w:rPr>
        <w:footnoteRef/>
      </w:r>
      <w:r>
        <w:t xml:space="preserve"> Ibid.</w:t>
      </w:r>
      <w:r w:rsidR="00D232A3">
        <w:t>ca</w:t>
      </w:r>
    </w:p>
  </w:footnote>
  <w:footnote w:id="5">
    <w:p w14:paraId="17CB042C" w14:textId="6DB35844" w:rsidR="00A43E6F" w:rsidRDefault="00A43E6F">
      <w:pPr>
        <w:pStyle w:val="FootnoteText"/>
      </w:pPr>
      <w:r>
        <w:rPr>
          <w:rStyle w:val="FootnoteReference"/>
        </w:rPr>
        <w:footnoteRef/>
      </w:r>
      <w:r>
        <w:t xml:space="preserve"> www.</w:t>
      </w:r>
      <w:r w:rsidRPr="00A43E6F">
        <w:t>privatehealth.gov.au/health_insurance/surcharges_incentives/medicare_levy.htm</w:t>
      </w:r>
    </w:p>
  </w:footnote>
  <w:footnote w:id="6">
    <w:p w14:paraId="2BFD2EF9" w14:textId="638EFD46" w:rsidR="009E3339" w:rsidRDefault="009E3339">
      <w:pPr>
        <w:pStyle w:val="FootnoteText"/>
      </w:pPr>
      <w:hyperlink r:id="rId2" w:history="1">
        <w:r w:rsidRPr="0022572C">
          <w:rPr>
            <w:rStyle w:val="Hyperlink"/>
            <w:vertAlign w:val="superscript"/>
          </w:rPr>
          <w:footnoteRef/>
        </w:r>
        <w:r w:rsidRPr="0022572C">
          <w:rPr>
            <w:rStyle w:val="Hyperlink"/>
          </w:rPr>
          <w:t xml:space="preserve"> </w:t>
        </w:r>
        <w:r w:rsidR="009A27E6" w:rsidRPr="0022572C">
          <w:rPr>
            <w:rStyle w:val="Hyperlink"/>
          </w:rPr>
          <w:t>Review of MLS, PHI Rebate and LHC</w:t>
        </w:r>
        <w:r w:rsidR="00AC010E" w:rsidRPr="0022572C">
          <w:rPr>
            <w:rStyle w:val="Hyperlink"/>
          </w:rPr>
          <w:t>,</w:t>
        </w:r>
      </w:hyperlink>
      <w:r w:rsidR="00AC010E">
        <w:t xml:space="preserve"> </w:t>
      </w:r>
    </w:p>
  </w:footnote>
  <w:footnote w:id="7">
    <w:p w14:paraId="35A6E6D0" w14:textId="508AA192" w:rsidR="00D1192B" w:rsidRDefault="00D1192B">
      <w:pPr>
        <w:pStyle w:val="FootnoteText"/>
      </w:pPr>
      <w:r>
        <w:rPr>
          <w:rStyle w:val="FootnoteReference"/>
        </w:rPr>
        <w:footnoteRef/>
      </w:r>
      <w:r>
        <w:t xml:space="preserve"> </w:t>
      </w:r>
      <w:hyperlink r:id="rId3" w:history="1">
        <w:r w:rsidRPr="00D1192B">
          <w:rPr>
            <w:rStyle w:val="Hyperlink"/>
          </w:rPr>
          <w:t>Themes from Stakeholder Engagement</w:t>
        </w:r>
      </w:hyperlink>
    </w:p>
  </w:footnote>
  <w:footnote w:id="8">
    <w:p w14:paraId="12EDCE37" w14:textId="04FB954D" w:rsidR="00CB2EF8" w:rsidRDefault="00CB2EF8" w:rsidP="00CB2EF8">
      <w:pPr>
        <w:pStyle w:val="FootnoteText"/>
      </w:pPr>
      <w:r>
        <w:rPr>
          <w:rStyle w:val="FootnoteReference"/>
        </w:rPr>
        <w:footnoteRef/>
      </w:r>
      <w:r>
        <w:t xml:space="preserve"> </w:t>
      </w:r>
      <w:r w:rsidRPr="008E114D">
        <w:t>Liu, J., &amp; Zhang, Y. (2023). Elderly responses to private health insurance incentives: Evidence from Australia. Health Economics, 32(12), 2730–2744. </w:t>
      </w:r>
      <w:hyperlink r:id="rId4" w:history="1">
        <w:r w:rsidRPr="00662881">
          <w:rPr>
            <w:rStyle w:val="Hyperlink"/>
          </w:rPr>
          <w:t>https://doi.org/10.1002/hec.4751</w:t>
        </w:r>
      </w:hyperlink>
      <w:r>
        <w:t xml:space="preserve"> </w:t>
      </w:r>
    </w:p>
  </w:footnote>
  <w:footnote w:id="9">
    <w:p w14:paraId="43F01450" w14:textId="72483FD9" w:rsidR="00B670BA" w:rsidRDefault="00B670BA" w:rsidP="00B670BA">
      <w:pPr>
        <w:pStyle w:val="FootnoteText"/>
      </w:pPr>
      <w:r>
        <w:rPr>
          <w:rStyle w:val="FootnoteReference"/>
        </w:rPr>
        <w:footnoteRef/>
      </w:r>
      <w:r>
        <w:t xml:space="preserve"> </w:t>
      </w:r>
      <w:hyperlink r:id="rId5" w:history="1">
        <w:r w:rsidRPr="00B76533">
          <w:rPr>
            <w:rStyle w:val="Hyperlink"/>
          </w:rPr>
          <w:t>MLS and PHI Rebate Final Report</w:t>
        </w:r>
      </w:hyperlink>
      <w:r>
        <w:t>, 2023.</w:t>
      </w:r>
    </w:p>
  </w:footnote>
  <w:footnote w:id="10">
    <w:p w14:paraId="462F6582" w14:textId="77777777" w:rsidR="00B30C3D" w:rsidRDefault="00B30C3D" w:rsidP="00B30C3D">
      <w:pPr>
        <w:pStyle w:val="FootnoteText"/>
      </w:pPr>
      <w:r>
        <w:rPr>
          <w:rStyle w:val="FootnoteReference"/>
        </w:rPr>
        <w:footnoteRef/>
      </w:r>
      <w:r>
        <w:t xml:space="preserve"> </w:t>
      </w:r>
      <w:r w:rsidRPr="00BF2E5F">
        <w:rPr>
          <w:rFonts w:ascii="Segoe UI Symbol" w:hAnsi="Segoe UI Symbol"/>
        </w:rPr>
        <w:t xml:space="preserve">The Office of Impact Analysis, </w:t>
      </w:r>
      <w:hyperlink r:id="rId6">
        <w:r w:rsidRPr="00BF2E5F">
          <w:rPr>
            <w:rStyle w:val="Hyperlink"/>
            <w:rFonts w:ascii="Segoe UI Symbol" w:hAnsi="Segoe UI Symbol"/>
          </w:rPr>
          <w:t>Regulatory Burden Measurement Framework | The Office of Impact Analysis</w:t>
        </w:r>
      </w:hyperlink>
      <w:r w:rsidRPr="00BF2E5F">
        <w:rPr>
          <w:rFonts w:ascii="Segoe UI Symbol" w:hAnsi="Segoe UI Symbol"/>
        </w:rPr>
        <w:t>, 6 February 2024.</w:t>
      </w:r>
    </w:p>
  </w:footnote>
  <w:footnote w:id="11">
    <w:p w14:paraId="63D580F8" w14:textId="77777777" w:rsidR="008C16A3" w:rsidRDefault="008C16A3" w:rsidP="008C16A3">
      <w:pPr>
        <w:pStyle w:val="FootnoteText"/>
      </w:pPr>
      <w:r>
        <w:rPr>
          <w:rStyle w:val="FootnoteReference"/>
        </w:rPr>
        <w:footnoteRef/>
      </w:r>
      <w:r>
        <w:t xml:space="preserve"> </w:t>
      </w:r>
      <w:r w:rsidRPr="00F14DA6">
        <w:t>AIHW’s Admitted Patient Care, 2023-24</w:t>
      </w:r>
    </w:p>
  </w:footnote>
  <w:footnote w:id="12">
    <w:p w14:paraId="66EE0EEE" w14:textId="77C6230E" w:rsidR="00633532" w:rsidRDefault="00633532">
      <w:pPr>
        <w:pStyle w:val="FootnoteText"/>
      </w:pPr>
      <w:r>
        <w:rPr>
          <w:rStyle w:val="FootnoteReference"/>
        </w:rPr>
        <w:footnoteRef/>
      </w:r>
      <w:r>
        <w:t xml:space="preserve"> AIHW Admitted Patient Care, 2023-24.</w:t>
      </w:r>
    </w:p>
  </w:footnote>
  <w:footnote w:id="13">
    <w:p w14:paraId="69C24D01" w14:textId="79D5B99D" w:rsidR="003F381B" w:rsidRDefault="003F381B">
      <w:pPr>
        <w:pStyle w:val="FootnoteText"/>
      </w:pPr>
      <w:r>
        <w:rPr>
          <w:rStyle w:val="FootnoteReference"/>
        </w:rPr>
        <w:footnoteRef/>
      </w:r>
      <w:r>
        <w:t xml:space="preserve"> </w:t>
      </w:r>
      <w:r w:rsidR="00940EB7" w:rsidRPr="00940EB7">
        <w:t xml:space="preserve">Liu, J., &amp; Zhang, Y. (2023). Elderly responses to private health insurance incentives: Evidence from Australia. Health Economics, 32(12), 2730–2744. </w:t>
      </w:r>
      <w:hyperlink r:id="rId7" w:history="1">
        <w:r w:rsidR="00940EB7" w:rsidRPr="004A32C0">
          <w:rPr>
            <w:rStyle w:val="Hyperlink"/>
          </w:rPr>
          <w:t>https://doi.org/10.1002/hec.4751</w:t>
        </w:r>
      </w:hyperlink>
    </w:p>
  </w:footnote>
  <w:footnote w:id="14">
    <w:p w14:paraId="640D5CC5" w14:textId="6C23E28A" w:rsidR="00940EB7" w:rsidRDefault="00940EB7">
      <w:pPr>
        <w:pStyle w:val="FootnoteText"/>
      </w:pPr>
      <w:r>
        <w:rPr>
          <w:rStyle w:val="FootnoteReference"/>
        </w:rPr>
        <w:footnoteRef/>
      </w:r>
      <w:r>
        <w:t xml:space="preserve"> </w:t>
      </w:r>
      <w:r w:rsidR="004A32C0" w:rsidRPr="00940EB7">
        <w:t xml:space="preserve">Liu, J., &amp; Zhang, Y. (2023). Elderly responses to private health insurance incentives: Evidence from Australia. Health Economics, 32(12), 2730–2744. </w:t>
      </w:r>
      <w:hyperlink r:id="rId8" w:history="1">
        <w:r w:rsidR="004A32C0" w:rsidRPr="004A32C0">
          <w:rPr>
            <w:rStyle w:val="Hyperlink"/>
          </w:rPr>
          <w:t>https://doi.org/10.1002/hec.4751</w:t>
        </w:r>
      </w:hyperlink>
    </w:p>
  </w:footnote>
  <w:footnote w:id="15">
    <w:p w14:paraId="65EE2065" w14:textId="77563C8F" w:rsidR="006E30DC" w:rsidRDefault="006E30DC">
      <w:pPr>
        <w:pStyle w:val="FootnoteText"/>
      </w:pPr>
      <w:r>
        <w:rPr>
          <w:rStyle w:val="FootnoteReference"/>
        </w:rPr>
        <w:footnoteRef/>
      </w:r>
      <w:r>
        <w:t xml:space="preserve"> </w:t>
      </w:r>
      <w:r w:rsidR="004A32C0" w:rsidRPr="004A32C0">
        <w:t>MLS and PHI Rebate Final Report, 2023.</w:t>
      </w:r>
    </w:p>
  </w:footnote>
  <w:footnote w:id="16">
    <w:p w14:paraId="6C9C2F67" w14:textId="671183F4" w:rsidR="008A2043" w:rsidRDefault="008A2043">
      <w:pPr>
        <w:pStyle w:val="FootnoteText"/>
      </w:pPr>
      <w:r>
        <w:rPr>
          <w:rStyle w:val="FootnoteReference"/>
        </w:rPr>
        <w:footnoteRef/>
      </w:r>
      <w:r>
        <w:t xml:space="preserve"> </w:t>
      </w:r>
      <w:hyperlink r:id="rId9" w:history="1">
        <w:r w:rsidR="00B76533" w:rsidRPr="00B76533">
          <w:rPr>
            <w:rStyle w:val="Hyperlink"/>
          </w:rPr>
          <w:t>MLS and PHI Rebate Final Report</w:t>
        </w:r>
      </w:hyperlink>
      <w:r w:rsidR="00B76533">
        <w:t xml:space="preserve">, </w:t>
      </w:r>
      <w:r w:rsidR="00211630">
        <w:t>2023.</w:t>
      </w:r>
    </w:p>
  </w:footnote>
  <w:footnote w:id="17">
    <w:p w14:paraId="230E7127" w14:textId="76E6E765" w:rsidR="00732610" w:rsidRDefault="00732610">
      <w:pPr>
        <w:pStyle w:val="FootnoteText"/>
      </w:pPr>
      <w:r>
        <w:rPr>
          <w:rStyle w:val="FootnoteReference"/>
        </w:rPr>
        <w:footnoteRef/>
      </w:r>
      <w:r>
        <w:t xml:space="preserve"> Ibid, pages 30-33.</w:t>
      </w:r>
    </w:p>
  </w:footnote>
  <w:footnote w:id="18">
    <w:p w14:paraId="532A5717" w14:textId="53B4FBD4" w:rsidR="00A929CD" w:rsidRDefault="00A929CD">
      <w:pPr>
        <w:pStyle w:val="FootnoteText"/>
      </w:pPr>
      <w:r>
        <w:rPr>
          <w:rStyle w:val="FootnoteReference"/>
        </w:rPr>
        <w:footnoteRef/>
      </w:r>
      <w:r>
        <w:t xml:space="preserve"> </w:t>
      </w:r>
      <w:hyperlink r:id="rId10" w:history="1">
        <w:r w:rsidRPr="00D1192B">
          <w:rPr>
            <w:rStyle w:val="Hyperlink"/>
          </w:rPr>
          <w:t>Themes from Stakeholder Engagement</w:t>
        </w:r>
      </w:hyperlink>
    </w:p>
  </w:footnote>
  <w:footnote w:id="19">
    <w:p w14:paraId="7E0A1246" w14:textId="470FC0F2" w:rsidR="00C47808" w:rsidRDefault="00C47808">
      <w:pPr>
        <w:pStyle w:val="FootnoteText"/>
      </w:pPr>
      <w:r>
        <w:rPr>
          <w:rStyle w:val="FootnoteReference"/>
        </w:rPr>
        <w:footnoteRef/>
      </w:r>
      <w:r>
        <w:t xml:space="preserve"> </w:t>
      </w:r>
      <w:hyperlink r:id="rId11" w:history="1">
        <w:r w:rsidRPr="00C47808">
          <w:rPr>
            <w:rStyle w:val="Hyperlink"/>
          </w:rPr>
          <w:t>Consultation on the Private Health Insurance (PHI) Incentives and Hospital Default Benefits Studies - Australian Government Department of Health, Disability and Ageing - Citizen Space</w:t>
        </w:r>
      </w:hyperlink>
    </w:p>
  </w:footnote>
  <w:footnote w:id="20">
    <w:p w14:paraId="748937F8" w14:textId="39BA9DAA" w:rsidR="00C2336C" w:rsidRDefault="00C2336C">
      <w:pPr>
        <w:pStyle w:val="FootnoteText"/>
      </w:pPr>
      <w:r>
        <w:rPr>
          <w:rStyle w:val="FootnoteReference"/>
        </w:rPr>
        <w:footnoteRef/>
      </w:r>
      <w:r>
        <w:t xml:space="preserve"> </w:t>
      </w:r>
      <w:hyperlink r:id="rId12" w:history="1">
        <w:r w:rsidRPr="00B76533">
          <w:rPr>
            <w:rStyle w:val="Hyperlink"/>
          </w:rPr>
          <w:t>MLS and PHI Rebate Final Report</w:t>
        </w:r>
      </w:hyperlink>
      <w:r>
        <w:t>,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5BD2" w14:textId="7EE8FCBD" w:rsidR="00B42112" w:rsidRDefault="00B42112">
    <w:pPr>
      <w:pStyle w:val="Header"/>
    </w:pPr>
    <w:r>
      <w:rPr>
        <w:noProof/>
      </w:rPr>
      <mc:AlternateContent>
        <mc:Choice Requires="wps">
          <w:drawing>
            <wp:anchor distT="0" distB="0" distL="0" distR="0" simplePos="0" relativeHeight="251658240" behindDoc="0" locked="0" layoutInCell="1" allowOverlap="1" wp14:anchorId="4B34D5DF" wp14:editId="7EE00E32">
              <wp:simplePos x="635" y="635"/>
              <wp:positionH relativeFrom="page">
                <wp:align>center</wp:align>
              </wp:positionH>
              <wp:positionV relativeFrom="page">
                <wp:align>top</wp:align>
              </wp:positionV>
              <wp:extent cx="828675" cy="400050"/>
              <wp:effectExtent l="0" t="0" r="9525" b="0"/>
              <wp:wrapNone/>
              <wp:docPr id="1183327395"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675" cy="400050"/>
                      </a:xfrm>
                      <a:prstGeom prst="rect">
                        <a:avLst/>
                      </a:prstGeom>
                      <a:noFill/>
                      <a:ln>
                        <a:noFill/>
                      </a:ln>
                    </wps:spPr>
                    <wps:txbx>
                      <w:txbxContent>
                        <w:p w14:paraId="0AFA0F7B" w14:textId="3630880C" w:rsidR="00B42112" w:rsidRPr="00B42112" w:rsidRDefault="00B42112" w:rsidP="00B42112">
                          <w:pPr>
                            <w:spacing w:after="0"/>
                            <w:rPr>
                              <w:rFonts w:ascii="Aptos" w:eastAsia="Aptos" w:hAnsi="Aptos" w:cs="Aptos"/>
                              <w:noProof/>
                              <w:color w:val="FF0000"/>
                              <w:sz w:val="24"/>
                              <w:szCs w:val="24"/>
                            </w:rPr>
                          </w:pPr>
                          <w:r w:rsidRPr="00B42112">
                            <w:rPr>
                              <w:rFonts w:ascii="Aptos" w:eastAsia="Aptos" w:hAnsi="Aptos" w:cs="Aptos"/>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34D5DF" id="_x0000_t202" coordsize="21600,21600" o:spt="202" path="m,l,21600r21600,l21600,xe">
              <v:stroke joinstyle="miter"/>
              <v:path gradientshapeok="t" o:connecttype="rect"/>
            </v:shapetype>
            <v:shape id="Text Box 2" o:spid="_x0000_s1026" type="#_x0000_t202" alt="PROTECTED" style="position:absolute;margin-left:0;margin-top:0;width:65.25pt;height:3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" filled="f" stroked="f">
              <v:textbox style="mso-fit-shape-to-text:t" inset="0,15pt,0,0">
                <w:txbxContent>
                  <w:p w14:paraId="0AFA0F7B" w14:textId="3630880C" w:rsidR="00B42112" w:rsidRPr="00B42112" w:rsidRDefault="00B42112" w:rsidP="00B42112">
                    <w:pPr>
                      <w:spacing w:after="0"/>
                      <w:rPr>
                        <w:rFonts w:ascii="Aptos" w:eastAsia="Aptos" w:hAnsi="Aptos" w:cs="Aptos"/>
                        <w:noProof/>
                        <w:color w:val="FF0000"/>
                        <w:sz w:val="24"/>
                        <w:szCs w:val="24"/>
                      </w:rPr>
                    </w:pPr>
                    <w:r w:rsidRPr="00B42112">
                      <w:rPr>
                        <w:rFonts w:ascii="Aptos" w:eastAsia="Aptos" w:hAnsi="Aptos" w:cs="Aptos"/>
                        <w:noProof/>
                        <w:color w:val="FF0000"/>
                        <w:sz w:val="24"/>
                        <w:szCs w:val="24"/>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EDD6" w14:textId="3C245B54" w:rsidR="007C5869" w:rsidRDefault="007C586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3310" w14:textId="77777777" w:rsidR="007C5869" w:rsidRDefault="007C5869" w:rsidP="00B1078B">
    <w:pPr>
      <w:pStyle w:val="CLASSIFICATION"/>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7031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7F446F"/>
    <w:multiLevelType w:val="multilevel"/>
    <w:tmpl w:val="56D0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53695"/>
    <w:multiLevelType w:val="multilevel"/>
    <w:tmpl w:val="53AEB3F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0BF29E6"/>
    <w:multiLevelType w:val="hybridMultilevel"/>
    <w:tmpl w:val="D64E2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0A16E7"/>
    <w:multiLevelType w:val="multilevel"/>
    <w:tmpl w:val="246CB04E"/>
    <w:lvl w:ilvl="0">
      <w:start w:val="1"/>
      <w:numFmt w:val="decimal"/>
      <w:lvlText w:val="%1."/>
      <w:lvlJc w:val="left"/>
      <w:pPr>
        <w:ind w:left="840" w:hanging="480"/>
      </w:pPr>
      <w:rPr>
        <w:rFonts w:hint="default"/>
        <w:sz w:val="48"/>
        <w:szCs w:val="48"/>
      </w:rPr>
    </w:lvl>
    <w:lvl w:ilvl="1">
      <w:start w:val="2"/>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0D0A74"/>
    <w:multiLevelType w:val="multilevel"/>
    <w:tmpl w:val="7CF063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0" w15:restartNumberingAfterBreak="0">
    <w:nsid w:val="13D17228"/>
    <w:multiLevelType w:val="hybridMultilevel"/>
    <w:tmpl w:val="77D4A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011824"/>
    <w:multiLevelType w:val="multilevel"/>
    <w:tmpl w:val="C510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4C295A"/>
    <w:multiLevelType w:val="multilevel"/>
    <w:tmpl w:val="3D14AC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9CE1711"/>
    <w:multiLevelType w:val="hybridMultilevel"/>
    <w:tmpl w:val="49FCC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2836" w:hanging="567"/>
      </w:pPr>
      <w:rPr>
        <w:rFonts w:hint="default"/>
      </w:rPr>
    </w:lvl>
    <w:lvl w:ilvl="1" w:tplc="0C090019" w:tentative="1">
      <w:start w:val="1"/>
      <w:numFmt w:val="lowerLetter"/>
      <w:lvlText w:val="%2."/>
      <w:lvlJc w:val="left"/>
      <w:pPr>
        <w:ind w:left="3709" w:hanging="360"/>
      </w:pPr>
    </w:lvl>
    <w:lvl w:ilvl="2" w:tplc="0C09001B" w:tentative="1">
      <w:start w:val="1"/>
      <w:numFmt w:val="lowerRoman"/>
      <w:lvlText w:val="%3."/>
      <w:lvlJc w:val="right"/>
      <w:pPr>
        <w:ind w:left="4429" w:hanging="180"/>
      </w:pPr>
    </w:lvl>
    <w:lvl w:ilvl="3" w:tplc="0C09000F" w:tentative="1">
      <w:start w:val="1"/>
      <w:numFmt w:val="decimal"/>
      <w:lvlText w:val="%4."/>
      <w:lvlJc w:val="left"/>
      <w:pPr>
        <w:ind w:left="5149" w:hanging="360"/>
      </w:pPr>
    </w:lvl>
    <w:lvl w:ilvl="4" w:tplc="0C090019" w:tentative="1">
      <w:start w:val="1"/>
      <w:numFmt w:val="lowerLetter"/>
      <w:lvlText w:val="%5."/>
      <w:lvlJc w:val="left"/>
      <w:pPr>
        <w:ind w:left="5869" w:hanging="360"/>
      </w:pPr>
    </w:lvl>
    <w:lvl w:ilvl="5" w:tplc="0C09001B" w:tentative="1">
      <w:start w:val="1"/>
      <w:numFmt w:val="lowerRoman"/>
      <w:lvlText w:val="%6."/>
      <w:lvlJc w:val="right"/>
      <w:pPr>
        <w:ind w:left="6589" w:hanging="180"/>
      </w:pPr>
    </w:lvl>
    <w:lvl w:ilvl="6" w:tplc="0C09000F" w:tentative="1">
      <w:start w:val="1"/>
      <w:numFmt w:val="decimal"/>
      <w:lvlText w:val="%7."/>
      <w:lvlJc w:val="left"/>
      <w:pPr>
        <w:ind w:left="7309" w:hanging="360"/>
      </w:pPr>
    </w:lvl>
    <w:lvl w:ilvl="7" w:tplc="0C090019" w:tentative="1">
      <w:start w:val="1"/>
      <w:numFmt w:val="lowerLetter"/>
      <w:lvlText w:val="%8."/>
      <w:lvlJc w:val="left"/>
      <w:pPr>
        <w:ind w:left="8029" w:hanging="360"/>
      </w:pPr>
    </w:lvl>
    <w:lvl w:ilvl="8" w:tplc="0C09001B" w:tentative="1">
      <w:start w:val="1"/>
      <w:numFmt w:val="lowerRoman"/>
      <w:lvlText w:val="%9."/>
      <w:lvlJc w:val="right"/>
      <w:pPr>
        <w:ind w:left="8749" w:hanging="180"/>
      </w:pPr>
    </w:lvl>
  </w:abstractNum>
  <w:abstractNum w:abstractNumId="15" w15:restartNumberingAfterBreak="0">
    <w:nsid w:val="1A9B5D8F"/>
    <w:multiLevelType w:val="multilevel"/>
    <w:tmpl w:val="F3EA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8A5E0E"/>
    <w:multiLevelType w:val="hybridMultilevel"/>
    <w:tmpl w:val="15F00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A03147"/>
    <w:multiLevelType w:val="multilevel"/>
    <w:tmpl w:val="5598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F8574B"/>
    <w:multiLevelType w:val="multilevel"/>
    <w:tmpl w:val="3300E8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216F694D"/>
    <w:multiLevelType w:val="multilevel"/>
    <w:tmpl w:val="E7C0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0A1EE6"/>
    <w:multiLevelType w:val="hybridMultilevel"/>
    <w:tmpl w:val="15107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7E7042"/>
    <w:multiLevelType w:val="hybridMultilevel"/>
    <w:tmpl w:val="59A47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4614594"/>
    <w:multiLevelType w:val="multilevel"/>
    <w:tmpl w:val="0B88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1769A3"/>
    <w:multiLevelType w:val="hybridMultilevel"/>
    <w:tmpl w:val="B18A8D9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2C2710BC"/>
    <w:multiLevelType w:val="hybridMultilevel"/>
    <w:tmpl w:val="75F6CB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2C6C5440"/>
    <w:multiLevelType w:val="multilevel"/>
    <w:tmpl w:val="C3D2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1217170"/>
    <w:multiLevelType w:val="multilevel"/>
    <w:tmpl w:val="4C94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1C2B39" w:themeColor="text1"/>
      </w:rPr>
    </w:lvl>
    <w:lvl w:ilvl="2">
      <w:start w:val="1"/>
      <w:numFmt w:val="bullet"/>
      <w:lvlText w:val="⁚"/>
      <w:lvlJc w:val="left"/>
      <w:pPr>
        <w:ind w:left="1191" w:hanging="397"/>
      </w:pPr>
      <w:rPr>
        <w:rFonts w:ascii="Times New Roman" w:hAnsi="Times New Roman" w:cs="Times New Roman" w:hint="default"/>
        <w:color w:val="1C2B39"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0" w15:restartNumberingAfterBreak="0">
    <w:nsid w:val="375E53D8"/>
    <w:multiLevelType w:val="multilevel"/>
    <w:tmpl w:val="8ECC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2B43E0"/>
    <w:multiLevelType w:val="hybridMultilevel"/>
    <w:tmpl w:val="688AE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70E257B"/>
    <w:multiLevelType w:val="hybridMultilevel"/>
    <w:tmpl w:val="F790D1DA"/>
    <w:lvl w:ilvl="0" w:tplc="0C090001">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3"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34" w15:restartNumberingAfterBreak="0">
    <w:nsid w:val="4AAE4BE4"/>
    <w:multiLevelType w:val="hybridMultilevel"/>
    <w:tmpl w:val="CE926082"/>
    <w:lvl w:ilvl="0" w:tplc="012663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B435C22"/>
    <w:multiLevelType w:val="hybridMultilevel"/>
    <w:tmpl w:val="B94ACF96"/>
    <w:lvl w:ilvl="0" w:tplc="59B28F92">
      <w:start w:val="1"/>
      <w:numFmt w:val="lowerLetter"/>
      <w:lvlText w:val="%1)"/>
      <w:lvlJc w:val="left"/>
      <w:pPr>
        <w:ind w:left="757" w:hanging="360"/>
      </w:pPr>
    </w:lvl>
    <w:lvl w:ilvl="1" w:tplc="4E86E2FE">
      <w:start w:val="1"/>
      <w:numFmt w:val="lowerLetter"/>
      <w:lvlText w:val="%2."/>
      <w:lvlJc w:val="left"/>
      <w:pPr>
        <w:ind w:left="1477" w:hanging="360"/>
      </w:pPr>
    </w:lvl>
    <w:lvl w:ilvl="2" w:tplc="C8CE2C6E">
      <w:start w:val="1"/>
      <w:numFmt w:val="lowerRoman"/>
      <w:lvlText w:val="%3."/>
      <w:lvlJc w:val="right"/>
      <w:pPr>
        <w:ind w:left="2160" w:hanging="180"/>
      </w:pPr>
    </w:lvl>
    <w:lvl w:ilvl="3" w:tplc="C8FCE12A">
      <w:start w:val="1"/>
      <w:numFmt w:val="decimal"/>
      <w:lvlText w:val="%4."/>
      <w:lvlJc w:val="left"/>
      <w:pPr>
        <w:ind w:left="2880" w:hanging="360"/>
      </w:pPr>
    </w:lvl>
    <w:lvl w:ilvl="4" w:tplc="B3AAFA86">
      <w:start w:val="1"/>
      <w:numFmt w:val="lowerLetter"/>
      <w:lvlText w:val="%5."/>
      <w:lvlJc w:val="left"/>
      <w:pPr>
        <w:ind w:left="3600" w:hanging="360"/>
      </w:pPr>
    </w:lvl>
    <w:lvl w:ilvl="5" w:tplc="74B24358">
      <w:start w:val="1"/>
      <w:numFmt w:val="lowerRoman"/>
      <w:lvlText w:val="%6."/>
      <w:lvlJc w:val="right"/>
      <w:pPr>
        <w:ind w:left="4320" w:hanging="180"/>
      </w:pPr>
    </w:lvl>
    <w:lvl w:ilvl="6" w:tplc="1CFE9F6E">
      <w:start w:val="1"/>
      <w:numFmt w:val="decimal"/>
      <w:lvlText w:val="%7."/>
      <w:lvlJc w:val="left"/>
      <w:pPr>
        <w:ind w:left="5040" w:hanging="360"/>
      </w:pPr>
    </w:lvl>
    <w:lvl w:ilvl="7" w:tplc="BE3A58B8">
      <w:start w:val="1"/>
      <w:numFmt w:val="lowerLetter"/>
      <w:lvlText w:val="%8."/>
      <w:lvlJc w:val="left"/>
      <w:pPr>
        <w:ind w:left="5760" w:hanging="360"/>
      </w:pPr>
    </w:lvl>
    <w:lvl w:ilvl="8" w:tplc="170C8D5C">
      <w:start w:val="1"/>
      <w:numFmt w:val="lowerRoman"/>
      <w:lvlText w:val="%9."/>
      <w:lvlJc w:val="right"/>
      <w:pPr>
        <w:ind w:left="6480" w:hanging="180"/>
      </w:pPr>
    </w:lvl>
  </w:abstractNum>
  <w:abstractNum w:abstractNumId="36" w15:restartNumberingAfterBreak="0">
    <w:nsid w:val="4C813D7A"/>
    <w:multiLevelType w:val="multilevel"/>
    <w:tmpl w:val="7CF8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9227C5"/>
    <w:multiLevelType w:val="multilevel"/>
    <w:tmpl w:val="D188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DF03AF"/>
    <w:multiLevelType w:val="hybridMultilevel"/>
    <w:tmpl w:val="1DB06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2C6945"/>
    <w:multiLevelType w:val="multilevel"/>
    <w:tmpl w:val="7918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AE3A36"/>
    <w:multiLevelType w:val="hybridMultilevel"/>
    <w:tmpl w:val="D63EB82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1" w15:restartNumberingAfterBreak="0">
    <w:nsid w:val="618C09EF"/>
    <w:multiLevelType w:val="hybridMultilevel"/>
    <w:tmpl w:val="7F7A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2C77C2"/>
    <w:multiLevelType w:val="multilevel"/>
    <w:tmpl w:val="2196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B21037"/>
    <w:multiLevelType w:val="hybridMultilevel"/>
    <w:tmpl w:val="9FD2E31C"/>
    <w:lvl w:ilvl="0" w:tplc="04090017">
      <w:start w:val="1"/>
      <w:numFmt w:val="lowerLetter"/>
      <w:lvlText w:val="%1)"/>
      <w:lvlJc w:val="left"/>
      <w:pPr>
        <w:ind w:left="780" w:hanging="360"/>
      </w:pPr>
      <w:rPr>
        <w:rFonts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4" w15:restartNumberingAfterBreak="0">
    <w:nsid w:val="6A9940EF"/>
    <w:multiLevelType w:val="multilevel"/>
    <w:tmpl w:val="8DD8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0455D54"/>
    <w:multiLevelType w:val="hybridMultilevel"/>
    <w:tmpl w:val="B990557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7"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48" w15:restartNumberingAfterBreak="0">
    <w:nsid w:val="73DB77AD"/>
    <w:multiLevelType w:val="hybridMultilevel"/>
    <w:tmpl w:val="F8AED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55B06B2"/>
    <w:multiLevelType w:val="multilevel"/>
    <w:tmpl w:val="00CC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A596997"/>
    <w:multiLevelType w:val="hybridMultilevel"/>
    <w:tmpl w:val="1BEC7FA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52" w15:restartNumberingAfterBreak="0">
    <w:nsid w:val="7C772EEC"/>
    <w:multiLevelType w:val="hybridMultilevel"/>
    <w:tmpl w:val="A274D2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7DF034FF"/>
    <w:multiLevelType w:val="multilevel"/>
    <w:tmpl w:val="8DD0FC3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90036506">
    <w:abstractNumId w:val="35"/>
  </w:num>
  <w:num w:numId="2" w16cid:durableId="346637279">
    <w:abstractNumId w:val="4"/>
  </w:num>
  <w:num w:numId="3" w16cid:durableId="1367563224">
    <w:abstractNumId w:val="3"/>
  </w:num>
  <w:num w:numId="4" w16cid:durableId="73285274">
    <w:abstractNumId w:val="45"/>
  </w:num>
  <w:num w:numId="5" w16cid:durableId="2056080959">
    <w:abstractNumId w:val="25"/>
  </w:num>
  <w:num w:numId="6" w16cid:durableId="1633949166">
    <w:abstractNumId w:val="50"/>
  </w:num>
  <w:num w:numId="7" w16cid:durableId="1259948939">
    <w:abstractNumId w:val="14"/>
  </w:num>
  <w:num w:numId="8" w16cid:durableId="302278640">
    <w:abstractNumId w:val="33"/>
  </w:num>
  <w:num w:numId="9" w16cid:durableId="468589892">
    <w:abstractNumId w:val="9"/>
  </w:num>
  <w:num w:numId="10" w16cid:durableId="67924921">
    <w:abstractNumId w:val="19"/>
  </w:num>
  <w:num w:numId="11" w16cid:durableId="1701785981">
    <w:abstractNumId w:val="5"/>
  </w:num>
  <w:num w:numId="12" w16cid:durableId="1138650667">
    <w:abstractNumId w:val="47"/>
  </w:num>
  <w:num w:numId="13" w16cid:durableId="1340230677">
    <w:abstractNumId w:val="29"/>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4" w16cid:durableId="182981604">
    <w:abstractNumId w:val="0"/>
  </w:num>
  <w:num w:numId="15" w16cid:durableId="931861455">
    <w:abstractNumId w:val="7"/>
  </w:num>
  <w:num w:numId="16" w16cid:durableId="35545940">
    <w:abstractNumId w:val="21"/>
  </w:num>
  <w:num w:numId="17" w16cid:durableId="525992502">
    <w:abstractNumId w:val="30"/>
  </w:num>
  <w:num w:numId="18" w16cid:durableId="997542156">
    <w:abstractNumId w:val="49"/>
  </w:num>
  <w:num w:numId="19" w16cid:durableId="742144664">
    <w:abstractNumId w:val="20"/>
  </w:num>
  <w:num w:numId="20" w16cid:durableId="1007944301">
    <w:abstractNumId w:val="1"/>
  </w:num>
  <w:num w:numId="21" w16cid:durableId="431357980">
    <w:abstractNumId w:val="36"/>
  </w:num>
  <w:num w:numId="22" w16cid:durableId="859201470">
    <w:abstractNumId w:val="37"/>
  </w:num>
  <w:num w:numId="23" w16cid:durableId="1874464679">
    <w:abstractNumId w:val="39"/>
  </w:num>
  <w:num w:numId="24" w16cid:durableId="860509398">
    <w:abstractNumId w:val="28"/>
  </w:num>
  <w:num w:numId="25" w16cid:durableId="1835147913">
    <w:abstractNumId w:val="42"/>
  </w:num>
  <w:num w:numId="26" w16cid:durableId="253825859">
    <w:abstractNumId w:val="12"/>
  </w:num>
  <w:num w:numId="27" w16cid:durableId="745035331">
    <w:abstractNumId w:val="8"/>
  </w:num>
  <w:num w:numId="28" w16cid:durableId="817190737">
    <w:abstractNumId w:val="18"/>
  </w:num>
  <w:num w:numId="29" w16cid:durableId="792868697">
    <w:abstractNumId w:val="53"/>
  </w:num>
  <w:num w:numId="30" w16cid:durableId="1244216801">
    <w:abstractNumId w:val="2"/>
  </w:num>
  <w:num w:numId="31" w16cid:durableId="135992894">
    <w:abstractNumId w:val="17"/>
  </w:num>
  <w:num w:numId="32" w16cid:durableId="1814326967">
    <w:abstractNumId w:val="44"/>
  </w:num>
  <w:num w:numId="33" w16cid:durableId="867179111">
    <w:abstractNumId w:val="27"/>
  </w:num>
  <w:num w:numId="34" w16cid:durableId="852261029">
    <w:abstractNumId w:val="23"/>
  </w:num>
  <w:num w:numId="35" w16cid:durableId="691997366">
    <w:abstractNumId w:val="15"/>
  </w:num>
  <w:num w:numId="36" w16cid:durableId="1002273987">
    <w:abstractNumId w:val="11"/>
  </w:num>
  <w:num w:numId="37" w16cid:durableId="1966160073">
    <w:abstractNumId w:val="46"/>
  </w:num>
  <w:num w:numId="38" w16cid:durableId="614599991">
    <w:abstractNumId w:val="32"/>
  </w:num>
  <w:num w:numId="39" w16cid:durableId="289366990">
    <w:abstractNumId w:val="26"/>
  </w:num>
  <w:num w:numId="40" w16cid:durableId="1004166567">
    <w:abstractNumId w:val="24"/>
  </w:num>
  <w:num w:numId="41" w16cid:durableId="1231962077">
    <w:abstractNumId w:val="43"/>
  </w:num>
  <w:num w:numId="42" w16cid:durableId="1171872800">
    <w:abstractNumId w:val="34"/>
  </w:num>
  <w:num w:numId="43" w16cid:durableId="1538009055">
    <w:abstractNumId w:val="40"/>
  </w:num>
  <w:num w:numId="44" w16cid:durableId="1145321415">
    <w:abstractNumId w:val="6"/>
  </w:num>
  <w:num w:numId="45" w16cid:durableId="719406248">
    <w:abstractNumId w:val="22"/>
  </w:num>
  <w:num w:numId="46" w16cid:durableId="1559702973">
    <w:abstractNumId w:val="48"/>
  </w:num>
  <w:num w:numId="47" w16cid:durableId="2035419036">
    <w:abstractNumId w:val="10"/>
  </w:num>
  <w:num w:numId="48" w16cid:durableId="890577377">
    <w:abstractNumId w:val="41"/>
  </w:num>
  <w:num w:numId="49" w16cid:durableId="1544442711">
    <w:abstractNumId w:val="52"/>
  </w:num>
  <w:num w:numId="50" w16cid:durableId="330645888">
    <w:abstractNumId w:val="51"/>
  </w:num>
  <w:num w:numId="51" w16cid:durableId="865941769">
    <w:abstractNumId w:val="31"/>
  </w:num>
  <w:num w:numId="52" w16cid:durableId="1952274548">
    <w:abstractNumId w:val="16"/>
  </w:num>
  <w:num w:numId="53" w16cid:durableId="660081678">
    <w:abstractNumId w:val="13"/>
  </w:num>
  <w:num w:numId="54" w16cid:durableId="1879008374">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A4"/>
    <w:rsid w:val="0000018F"/>
    <w:rsid w:val="000006EE"/>
    <w:rsid w:val="00000787"/>
    <w:rsid w:val="000007BA"/>
    <w:rsid w:val="0000080B"/>
    <w:rsid w:val="000008B9"/>
    <w:rsid w:val="0000090C"/>
    <w:rsid w:val="00000BAF"/>
    <w:rsid w:val="00000CFD"/>
    <w:rsid w:val="00000E03"/>
    <w:rsid w:val="0000107F"/>
    <w:rsid w:val="00001081"/>
    <w:rsid w:val="00001692"/>
    <w:rsid w:val="00001696"/>
    <w:rsid w:val="00001813"/>
    <w:rsid w:val="00001A1E"/>
    <w:rsid w:val="00001DC2"/>
    <w:rsid w:val="00001F51"/>
    <w:rsid w:val="00002079"/>
    <w:rsid w:val="000022C2"/>
    <w:rsid w:val="000026ED"/>
    <w:rsid w:val="0000276C"/>
    <w:rsid w:val="00002998"/>
    <w:rsid w:val="00002A40"/>
    <w:rsid w:val="00002ACE"/>
    <w:rsid w:val="00002FFE"/>
    <w:rsid w:val="00003977"/>
    <w:rsid w:val="00003B4E"/>
    <w:rsid w:val="00003DC1"/>
    <w:rsid w:val="00003FAD"/>
    <w:rsid w:val="000040CA"/>
    <w:rsid w:val="000042B6"/>
    <w:rsid w:val="0000430B"/>
    <w:rsid w:val="000049F9"/>
    <w:rsid w:val="00004B43"/>
    <w:rsid w:val="00005167"/>
    <w:rsid w:val="0000565B"/>
    <w:rsid w:val="00005B3F"/>
    <w:rsid w:val="00005D26"/>
    <w:rsid w:val="00005F52"/>
    <w:rsid w:val="00006365"/>
    <w:rsid w:val="00006793"/>
    <w:rsid w:val="000067E6"/>
    <w:rsid w:val="00006A43"/>
    <w:rsid w:val="000071F1"/>
    <w:rsid w:val="000072E4"/>
    <w:rsid w:val="00007646"/>
    <w:rsid w:val="00007900"/>
    <w:rsid w:val="00007A47"/>
    <w:rsid w:val="00007AC4"/>
    <w:rsid w:val="00007D4E"/>
    <w:rsid w:val="0001019D"/>
    <w:rsid w:val="000103A5"/>
    <w:rsid w:val="00010956"/>
    <w:rsid w:val="00010ED6"/>
    <w:rsid w:val="0001102E"/>
    <w:rsid w:val="00011660"/>
    <w:rsid w:val="000117B4"/>
    <w:rsid w:val="00011801"/>
    <w:rsid w:val="00011BC2"/>
    <w:rsid w:val="00011C5A"/>
    <w:rsid w:val="00011D82"/>
    <w:rsid w:val="00012159"/>
    <w:rsid w:val="0001217C"/>
    <w:rsid w:val="0001233F"/>
    <w:rsid w:val="00012474"/>
    <w:rsid w:val="000128B5"/>
    <w:rsid w:val="0001297B"/>
    <w:rsid w:val="00012CFB"/>
    <w:rsid w:val="00012F72"/>
    <w:rsid w:val="00012F89"/>
    <w:rsid w:val="00013060"/>
    <w:rsid w:val="00013342"/>
    <w:rsid w:val="00013E32"/>
    <w:rsid w:val="000142C1"/>
    <w:rsid w:val="00014754"/>
    <w:rsid w:val="00014803"/>
    <w:rsid w:val="00014B3C"/>
    <w:rsid w:val="00014BE8"/>
    <w:rsid w:val="00014D26"/>
    <w:rsid w:val="000157D8"/>
    <w:rsid w:val="000157E6"/>
    <w:rsid w:val="00016078"/>
    <w:rsid w:val="00016107"/>
    <w:rsid w:val="00016503"/>
    <w:rsid w:val="00016637"/>
    <w:rsid w:val="00016B78"/>
    <w:rsid w:val="00016DED"/>
    <w:rsid w:val="00016FFA"/>
    <w:rsid w:val="000173C9"/>
    <w:rsid w:val="000173CD"/>
    <w:rsid w:val="000175EF"/>
    <w:rsid w:val="00017844"/>
    <w:rsid w:val="00017A45"/>
    <w:rsid w:val="00017A90"/>
    <w:rsid w:val="00017E4F"/>
    <w:rsid w:val="00017F17"/>
    <w:rsid w:val="0002048B"/>
    <w:rsid w:val="00020B69"/>
    <w:rsid w:val="00020B8D"/>
    <w:rsid w:val="00020D09"/>
    <w:rsid w:val="000214CA"/>
    <w:rsid w:val="0002168C"/>
    <w:rsid w:val="000216FD"/>
    <w:rsid w:val="0002198C"/>
    <w:rsid w:val="000219B7"/>
    <w:rsid w:val="00021AC2"/>
    <w:rsid w:val="00021B36"/>
    <w:rsid w:val="00021D10"/>
    <w:rsid w:val="00021DBF"/>
    <w:rsid w:val="000221A1"/>
    <w:rsid w:val="00022221"/>
    <w:rsid w:val="000224C3"/>
    <w:rsid w:val="000226BB"/>
    <w:rsid w:val="00022A7F"/>
    <w:rsid w:val="00023571"/>
    <w:rsid w:val="000235BA"/>
    <w:rsid w:val="00023768"/>
    <w:rsid w:val="000237CB"/>
    <w:rsid w:val="00023D65"/>
    <w:rsid w:val="00023E01"/>
    <w:rsid w:val="0002417B"/>
    <w:rsid w:val="000241CF"/>
    <w:rsid w:val="00024269"/>
    <w:rsid w:val="0002437D"/>
    <w:rsid w:val="000243F2"/>
    <w:rsid w:val="000246CE"/>
    <w:rsid w:val="00024C09"/>
    <w:rsid w:val="00024C24"/>
    <w:rsid w:val="00024EAE"/>
    <w:rsid w:val="00024EB2"/>
    <w:rsid w:val="0002508F"/>
    <w:rsid w:val="000251A4"/>
    <w:rsid w:val="000252AA"/>
    <w:rsid w:val="0002531F"/>
    <w:rsid w:val="00025573"/>
    <w:rsid w:val="000255FD"/>
    <w:rsid w:val="00025637"/>
    <w:rsid w:val="000258C7"/>
    <w:rsid w:val="00025ACD"/>
    <w:rsid w:val="00025C63"/>
    <w:rsid w:val="0002609D"/>
    <w:rsid w:val="0002617C"/>
    <w:rsid w:val="0002623F"/>
    <w:rsid w:val="00026441"/>
    <w:rsid w:val="00026678"/>
    <w:rsid w:val="00026778"/>
    <w:rsid w:val="000267C9"/>
    <w:rsid w:val="00026A64"/>
    <w:rsid w:val="00026D10"/>
    <w:rsid w:val="00027054"/>
    <w:rsid w:val="00027639"/>
    <w:rsid w:val="00027664"/>
    <w:rsid w:val="00027711"/>
    <w:rsid w:val="00027851"/>
    <w:rsid w:val="00027A72"/>
    <w:rsid w:val="00030061"/>
    <w:rsid w:val="0003033D"/>
    <w:rsid w:val="00030402"/>
    <w:rsid w:val="0003042C"/>
    <w:rsid w:val="00030542"/>
    <w:rsid w:val="000305DC"/>
    <w:rsid w:val="0003061E"/>
    <w:rsid w:val="0003081E"/>
    <w:rsid w:val="00030897"/>
    <w:rsid w:val="00031004"/>
    <w:rsid w:val="000311A3"/>
    <w:rsid w:val="00031856"/>
    <w:rsid w:val="00031D21"/>
    <w:rsid w:val="00031D75"/>
    <w:rsid w:val="000320BF"/>
    <w:rsid w:val="00032304"/>
    <w:rsid w:val="000324DB"/>
    <w:rsid w:val="00032A85"/>
    <w:rsid w:val="00032D69"/>
    <w:rsid w:val="00032EBF"/>
    <w:rsid w:val="00033111"/>
    <w:rsid w:val="00033209"/>
    <w:rsid w:val="00033551"/>
    <w:rsid w:val="000336CA"/>
    <w:rsid w:val="00033B08"/>
    <w:rsid w:val="00033B70"/>
    <w:rsid w:val="0003428E"/>
    <w:rsid w:val="000342E2"/>
    <w:rsid w:val="000345CA"/>
    <w:rsid w:val="0003460A"/>
    <w:rsid w:val="00034650"/>
    <w:rsid w:val="0003465C"/>
    <w:rsid w:val="000348D1"/>
    <w:rsid w:val="000348E5"/>
    <w:rsid w:val="00034AEB"/>
    <w:rsid w:val="00034B1F"/>
    <w:rsid w:val="00034C39"/>
    <w:rsid w:val="00035017"/>
    <w:rsid w:val="000350A9"/>
    <w:rsid w:val="000352E7"/>
    <w:rsid w:val="000357E0"/>
    <w:rsid w:val="00035A60"/>
    <w:rsid w:val="00035AB3"/>
    <w:rsid w:val="00035B46"/>
    <w:rsid w:val="00035C8B"/>
    <w:rsid w:val="00035D60"/>
    <w:rsid w:val="00035F4A"/>
    <w:rsid w:val="00036063"/>
    <w:rsid w:val="00036DDF"/>
    <w:rsid w:val="0003721B"/>
    <w:rsid w:val="0003753C"/>
    <w:rsid w:val="00037AA8"/>
    <w:rsid w:val="00037D69"/>
    <w:rsid w:val="0004022B"/>
    <w:rsid w:val="000408AD"/>
    <w:rsid w:val="00040A6A"/>
    <w:rsid w:val="00041049"/>
    <w:rsid w:val="00041106"/>
    <w:rsid w:val="0004163A"/>
    <w:rsid w:val="00041817"/>
    <w:rsid w:val="00041E93"/>
    <w:rsid w:val="00041F31"/>
    <w:rsid w:val="000420FF"/>
    <w:rsid w:val="000422FD"/>
    <w:rsid w:val="000423C1"/>
    <w:rsid w:val="00042CB5"/>
    <w:rsid w:val="0004317D"/>
    <w:rsid w:val="000433BC"/>
    <w:rsid w:val="000436BF"/>
    <w:rsid w:val="000436FB"/>
    <w:rsid w:val="00043704"/>
    <w:rsid w:val="0004376A"/>
    <w:rsid w:val="000439F2"/>
    <w:rsid w:val="00043F6C"/>
    <w:rsid w:val="000444BF"/>
    <w:rsid w:val="00044782"/>
    <w:rsid w:val="00044785"/>
    <w:rsid w:val="00044DEF"/>
    <w:rsid w:val="0004521A"/>
    <w:rsid w:val="000452F8"/>
    <w:rsid w:val="0004552D"/>
    <w:rsid w:val="000459C9"/>
    <w:rsid w:val="00045B8B"/>
    <w:rsid w:val="000461F4"/>
    <w:rsid w:val="00046208"/>
    <w:rsid w:val="0004621A"/>
    <w:rsid w:val="000462F2"/>
    <w:rsid w:val="00046634"/>
    <w:rsid w:val="000466D5"/>
    <w:rsid w:val="0004701A"/>
    <w:rsid w:val="00047272"/>
    <w:rsid w:val="000472BA"/>
    <w:rsid w:val="000479E4"/>
    <w:rsid w:val="00047D15"/>
    <w:rsid w:val="00047F8C"/>
    <w:rsid w:val="0005002C"/>
    <w:rsid w:val="00050175"/>
    <w:rsid w:val="000502E4"/>
    <w:rsid w:val="00050889"/>
    <w:rsid w:val="000509C7"/>
    <w:rsid w:val="00050A84"/>
    <w:rsid w:val="00050BE1"/>
    <w:rsid w:val="00050C1E"/>
    <w:rsid w:val="00050CD4"/>
    <w:rsid w:val="00050E0F"/>
    <w:rsid w:val="00050E3B"/>
    <w:rsid w:val="000513AE"/>
    <w:rsid w:val="00051952"/>
    <w:rsid w:val="00051E35"/>
    <w:rsid w:val="0005215C"/>
    <w:rsid w:val="0005233C"/>
    <w:rsid w:val="000523B4"/>
    <w:rsid w:val="000523C6"/>
    <w:rsid w:val="0005260C"/>
    <w:rsid w:val="00052615"/>
    <w:rsid w:val="00052619"/>
    <w:rsid w:val="0005385F"/>
    <w:rsid w:val="00053C22"/>
    <w:rsid w:val="00054594"/>
    <w:rsid w:val="000545D7"/>
    <w:rsid w:val="0005478A"/>
    <w:rsid w:val="000548B3"/>
    <w:rsid w:val="00054A58"/>
    <w:rsid w:val="00054B09"/>
    <w:rsid w:val="0005559D"/>
    <w:rsid w:val="000556B1"/>
    <w:rsid w:val="00055754"/>
    <w:rsid w:val="00055ADE"/>
    <w:rsid w:val="00055AF7"/>
    <w:rsid w:val="00055F93"/>
    <w:rsid w:val="00055FB7"/>
    <w:rsid w:val="00056088"/>
    <w:rsid w:val="000560BD"/>
    <w:rsid w:val="000561ED"/>
    <w:rsid w:val="00057682"/>
    <w:rsid w:val="00057F85"/>
    <w:rsid w:val="00060004"/>
    <w:rsid w:val="0006006C"/>
    <w:rsid w:val="00060BDD"/>
    <w:rsid w:val="00060C93"/>
    <w:rsid w:val="00060E12"/>
    <w:rsid w:val="00061104"/>
    <w:rsid w:val="00061625"/>
    <w:rsid w:val="000616FB"/>
    <w:rsid w:val="00061713"/>
    <w:rsid w:val="00061AB7"/>
    <w:rsid w:val="00061BFB"/>
    <w:rsid w:val="00061C36"/>
    <w:rsid w:val="00061D17"/>
    <w:rsid w:val="00061EB1"/>
    <w:rsid w:val="000624C7"/>
    <w:rsid w:val="000628A3"/>
    <w:rsid w:val="00062F65"/>
    <w:rsid w:val="00062FF3"/>
    <w:rsid w:val="00063386"/>
    <w:rsid w:val="0006365C"/>
    <w:rsid w:val="0006383D"/>
    <w:rsid w:val="00063928"/>
    <w:rsid w:val="00063D92"/>
    <w:rsid w:val="00063FD6"/>
    <w:rsid w:val="000640A3"/>
    <w:rsid w:val="000646D1"/>
    <w:rsid w:val="000646FC"/>
    <w:rsid w:val="00064DE6"/>
    <w:rsid w:val="00064FF7"/>
    <w:rsid w:val="00065065"/>
    <w:rsid w:val="0006548F"/>
    <w:rsid w:val="0006564A"/>
    <w:rsid w:val="00065674"/>
    <w:rsid w:val="00065D41"/>
    <w:rsid w:val="00065E67"/>
    <w:rsid w:val="000665CC"/>
    <w:rsid w:val="00066657"/>
    <w:rsid w:val="00066821"/>
    <w:rsid w:val="0006722D"/>
    <w:rsid w:val="000673BA"/>
    <w:rsid w:val="000676E5"/>
    <w:rsid w:val="000677EF"/>
    <w:rsid w:val="00067811"/>
    <w:rsid w:val="00067A00"/>
    <w:rsid w:val="0007054F"/>
    <w:rsid w:val="0007055A"/>
    <w:rsid w:val="0007064E"/>
    <w:rsid w:val="00070882"/>
    <w:rsid w:val="000708F2"/>
    <w:rsid w:val="000709D5"/>
    <w:rsid w:val="000715B6"/>
    <w:rsid w:val="000717EA"/>
    <w:rsid w:val="00071A88"/>
    <w:rsid w:val="00071E7D"/>
    <w:rsid w:val="00072181"/>
    <w:rsid w:val="000721B6"/>
    <w:rsid w:val="00072260"/>
    <w:rsid w:val="00072568"/>
    <w:rsid w:val="000725C7"/>
    <w:rsid w:val="00072C97"/>
    <w:rsid w:val="00072E32"/>
    <w:rsid w:val="00072F9E"/>
    <w:rsid w:val="0007346B"/>
    <w:rsid w:val="00073515"/>
    <w:rsid w:val="00073AF2"/>
    <w:rsid w:val="00073B26"/>
    <w:rsid w:val="00073BCA"/>
    <w:rsid w:val="00073FCA"/>
    <w:rsid w:val="000744DB"/>
    <w:rsid w:val="000745FC"/>
    <w:rsid w:val="00074AA2"/>
    <w:rsid w:val="00074C5D"/>
    <w:rsid w:val="00074D10"/>
    <w:rsid w:val="00074D9A"/>
    <w:rsid w:val="00075468"/>
    <w:rsid w:val="0007578B"/>
    <w:rsid w:val="00075981"/>
    <w:rsid w:val="00075A5E"/>
    <w:rsid w:val="00075D5D"/>
    <w:rsid w:val="00076459"/>
    <w:rsid w:val="000764B1"/>
    <w:rsid w:val="00076726"/>
    <w:rsid w:val="00076991"/>
    <w:rsid w:val="00076D54"/>
    <w:rsid w:val="0007769C"/>
    <w:rsid w:val="0007787B"/>
    <w:rsid w:val="00077BE7"/>
    <w:rsid w:val="00077CBD"/>
    <w:rsid w:val="00080190"/>
    <w:rsid w:val="000802F7"/>
    <w:rsid w:val="00080ADE"/>
    <w:rsid w:val="00080C0A"/>
    <w:rsid w:val="00080CD7"/>
    <w:rsid w:val="00081620"/>
    <w:rsid w:val="00081699"/>
    <w:rsid w:val="0008186A"/>
    <w:rsid w:val="00081C3B"/>
    <w:rsid w:val="00081FAE"/>
    <w:rsid w:val="000824FD"/>
    <w:rsid w:val="00082D0F"/>
    <w:rsid w:val="00082EBC"/>
    <w:rsid w:val="00083013"/>
    <w:rsid w:val="0008315A"/>
    <w:rsid w:val="00083424"/>
    <w:rsid w:val="0008359A"/>
    <w:rsid w:val="0008367C"/>
    <w:rsid w:val="000843B6"/>
    <w:rsid w:val="000843FD"/>
    <w:rsid w:val="000845AD"/>
    <w:rsid w:val="000846AB"/>
    <w:rsid w:val="000846C9"/>
    <w:rsid w:val="00084B61"/>
    <w:rsid w:val="00084FD1"/>
    <w:rsid w:val="000852F4"/>
    <w:rsid w:val="0008554C"/>
    <w:rsid w:val="0008588C"/>
    <w:rsid w:val="00085AD6"/>
    <w:rsid w:val="00085D56"/>
    <w:rsid w:val="00085FA8"/>
    <w:rsid w:val="0008619D"/>
    <w:rsid w:val="000861B0"/>
    <w:rsid w:val="0008631F"/>
    <w:rsid w:val="0008639E"/>
    <w:rsid w:val="00086590"/>
    <w:rsid w:val="0008665B"/>
    <w:rsid w:val="00086D21"/>
    <w:rsid w:val="00086E01"/>
    <w:rsid w:val="00086E38"/>
    <w:rsid w:val="00086FC0"/>
    <w:rsid w:val="000870D0"/>
    <w:rsid w:val="00087203"/>
    <w:rsid w:val="000872A6"/>
    <w:rsid w:val="00087380"/>
    <w:rsid w:val="000877B2"/>
    <w:rsid w:val="0008784F"/>
    <w:rsid w:val="00087C64"/>
    <w:rsid w:val="00087C97"/>
    <w:rsid w:val="0009001A"/>
    <w:rsid w:val="00090388"/>
    <w:rsid w:val="0009065C"/>
    <w:rsid w:val="0009070F"/>
    <w:rsid w:val="000907F6"/>
    <w:rsid w:val="000908D1"/>
    <w:rsid w:val="000909F4"/>
    <w:rsid w:val="00090E64"/>
    <w:rsid w:val="00091154"/>
    <w:rsid w:val="000914A3"/>
    <w:rsid w:val="00091624"/>
    <w:rsid w:val="000916C9"/>
    <w:rsid w:val="0009200B"/>
    <w:rsid w:val="00092054"/>
    <w:rsid w:val="00092683"/>
    <w:rsid w:val="00092703"/>
    <w:rsid w:val="00092778"/>
    <w:rsid w:val="000927AB"/>
    <w:rsid w:val="00092C89"/>
    <w:rsid w:val="00092D32"/>
    <w:rsid w:val="00092EDC"/>
    <w:rsid w:val="00092F30"/>
    <w:rsid w:val="00093600"/>
    <w:rsid w:val="000936C6"/>
    <w:rsid w:val="000936CF"/>
    <w:rsid w:val="000938EC"/>
    <w:rsid w:val="00093D32"/>
    <w:rsid w:val="000940EC"/>
    <w:rsid w:val="0009445F"/>
    <w:rsid w:val="0009471B"/>
    <w:rsid w:val="00094A60"/>
    <w:rsid w:val="00094B23"/>
    <w:rsid w:val="00094B29"/>
    <w:rsid w:val="00094BD8"/>
    <w:rsid w:val="00094BDE"/>
    <w:rsid w:val="00094C86"/>
    <w:rsid w:val="00094D21"/>
    <w:rsid w:val="000953B5"/>
    <w:rsid w:val="00095471"/>
    <w:rsid w:val="0009578F"/>
    <w:rsid w:val="00095915"/>
    <w:rsid w:val="00095D4E"/>
    <w:rsid w:val="00095DF4"/>
    <w:rsid w:val="0009624F"/>
    <w:rsid w:val="0009697D"/>
    <w:rsid w:val="00096B2E"/>
    <w:rsid w:val="0009703A"/>
    <w:rsid w:val="000970C9"/>
    <w:rsid w:val="000974C3"/>
    <w:rsid w:val="000977DB"/>
    <w:rsid w:val="000978ED"/>
    <w:rsid w:val="000979D2"/>
    <w:rsid w:val="00097A8F"/>
    <w:rsid w:val="00097B75"/>
    <w:rsid w:val="00097C03"/>
    <w:rsid w:val="000A00EE"/>
    <w:rsid w:val="000A0281"/>
    <w:rsid w:val="000A09F6"/>
    <w:rsid w:val="000A0BF3"/>
    <w:rsid w:val="000A12F3"/>
    <w:rsid w:val="000A19A6"/>
    <w:rsid w:val="000A1FE5"/>
    <w:rsid w:val="000A1FF7"/>
    <w:rsid w:val="000A2410"/>
    <w:rsid w:val="000A28A0"/>
    <w:rsid w:val="000A2A14"/>
    <w:rsid w:val="000A2F6E"/>
    <w:rsid w:val="000A303A"/>
    <w:rsid w:val="000A3082"/>
    <w:rsid w:val="000A30E4"/>
    <w:rsid w:val="000A3444"/>
    <w:rsid w:val="000A348C"/>
    <w:rsid w:val="000A34B7"/>
    <w:rsid w:val="000A35A4"/>
    <w:rsid w:val="000A35CC"/>
    <w:rsid w:val="000A36D8"/>
    <w:rsid w:val="000A3714"/>
    <w:rsid w:val="000A3859"/>
    <w:rsid w:val="000A38F2"/>
    <w:rsid w:val="000A3EC3"/>
    <w:rsid w:val="000A3ED0"/>
    <w:rsid w:val="000A3FC0"/>
    <w:rsid w:val="000A4485"/>
    <w:rsid w:val="000A44A4"/>
    <w:rsid w:val="000A4574"/>
    <w:rsid w:val="000A4E02"/>
    <w:rsid w:val="000A544A"/>
    <w:rsid w:val="000A5D24"/>
    <w:rsid w:val="000A5DC7"/>
    <w:rsid w:val="000A64C1"/>
    <w:rsid w:val="000A68A1"/>
    <w:rsid w:val="000A6A19"/>
    <w:rsid w:val="000A6B6D"/>
    <w:rsid w:val="000A6BAB"/>
    <w:rsid w:val="000A6D08"/>
    <w:rsid w:val="000A6E16"/>
    <w:rsid w:val="000A716D"/>
    <w:rsid w:val="000A7508"/>
    <w:rsid w:val="000A76B8"/>
    <w:rsid w:val="000A7BAE"/>
    <w:rsid w:val="000A7E5B"/>
    <w:rsid w:val="000A7F04"/>
    <w:rsid w:val="000A7F43"/>
    <w:rsid w:val="000B0068"/>
    <w:rsid w:val="000B012B"/>
    <w:rsid w:val="000B01FD"/>
    <w:rsid w:val="000B04DD"/>
    <w:rsid w:val="000B0582"/>
    <w:rsid w:val="000B05E2"/>
    <w:rsid w:val="000B076E"/>
    <w:rsid w:val="000B080D"/>
    <w:rsid w:val="000B0E0F"/>
    <w:rsid w:val="000B0FC1"/>
    <w:rsid w:val="000B11AA"/>
    <w:rsid w:val="000B12B7"/>
    <w:rsid w:val="000B17CB"/>
    <w:rsid w:val="000B1B60"/>
    <w:rsid w:val="000B1B73"/>
    <w:rsid w:val="000B1D48"/>
    <w:rsid w:val="000B1D92"/>
    <w:rsid w:val="000B26D2"/>
    <w:rsid w:val="000B2793"/>
    <w:rsid w:val="000B2ABB"/>
    <w:rsid w:val="000B2CF6"/>
    <w:rsid w:val="000B2E3C"/>
    <w:rsid w:val="000B2E3D"/>
    <w:rsid w:val="000B3063"/>
    <w:rsid w:val="000B312E"/>
    <w:rsid w:val="000B3189"/>
    <w:rsid w:val="000B324B"/>
    <w:rsid w:val="000B3307"/>
    <w:rsid w:val="000B3427"/>
    <w:rsid w:val="000B370B"/>
    <w:rsid w:val="000B39D5"/>
    <w:rsid w:val="000B3B14"/>
    <w:rsid w:val="000B3B64"/>
    <w:rsid w:val="000B3BD6"/>
    <w:rsid w:val="000B3BDE"/>
    <w:rsid w:val="000B3CBE"/>
    <w:rsid w:val="000B3D60"/>
    <w:rsid w:val="000B3E01"/>
    <w:rsid w:val="000B3EB9"/>
    <w:rsid w:val="000B3F21"/>
    <w:rsid w:val="000B3F29"/>
    <w:rsid w:val="000B41AC"/>
    <w:rsid w:val="000B4477"/>
    <w:rsid w:val="000B46E8"/>
    <w:rsid w:val="000B4B15"/>
    <w:rsid w:val="000B4E98"/>
    <w:rsid w:val="000B5157"/>
    <w:rsid w:val="000B5162"/>
    <w:rsid w:val="000B57BA"/>
    <w:rsid w:val="000B5982"/>
    <w:rsid w:val="000B59D8"/>
    <w:rsid w:val="000B5C50"/>
    <w:rsid w:val="000B5EC7"/>
    <w:rsid w:val="000B6193"/>
    <w:rsid w:val="000B6195"/>
    <w:rsid w:val="000B6A09"/>
    <w:rsid w:val="000B6BC3"/>
    <w:rsid w:val="000B6C27"/>
    <w:rsid w:val="000B7132"/>
    <w:rsid w:val="000B7417"/>
    <w:rsid w:val="000B7AB0"/>
    <w:rsid w:val="000B7DCC"/>
    <w:rsid w:val="000C0222"/>
    <w:rsid w:val="000C04CE"/>
    <w:rsid w:val="000C0810"/>
    <w:rsid w:val="000C0D5F"/>
    <w:rsid w:val="000C0E82"/>
    <w:rsid w:val="000C0E84"/>
    <w:rsid w:val="000C1503"/>
    <w:rsid w:val="000C157A"/>
    <w:rsid w:val="000C183B"/>
    <w:rsid w:val="000C1AD0"/>
    <w:rsid w:val="000C227D"/>
    <w:rsid w:val="000C23A7"/>
    <w:rsid w:val="000C24BC"/>
    <w:rsid w:val="000C2B6A"/>
    <w:rsid w:val="000C2BF4"/>
    <w:rsid w:val="000C2DF4"/>
    <w:rsid w:val="000C3170"/>
    <w:rsid w:val="000C321C"/>
    <w:rsid w:val="000C3473"/>
    <w:rsid w:val="000C3490"/>
    <w:rsid w:val="000C3557"/>
    <w:rsid w:val="000C3559"/>
    <w:rsid w:val="000C3741"/>
    <w:rsid w:val="000C37F0"/>
    <w:rsid w:val="000C3D19"/>
    <w:rsid w:val="000C4082"/>
    <w:rsid w:val="000C40AD"/>
    <w:rsid w:val="000C43C2"/>
    <w:rsid w:val="000C4807"/>
    <w:rsid w:val="000C4808"/>
    <w:rsid w:val="000C4BFA"/>
    <w:rsid w:val="000C4CED"/>
    <w:rsid w:val="000C4F6A"/>
    <w:rsid w:val="000C5158"/>
    <w:rsid w:val="000C5305"/>
    <w:rsid w:val="000C5382"/>
    <w:rsid w:val="000C57CF"/>
    <w:rsid w:val="000C5834"/>
    <w:rsid w:val="000C58CE"/>
    <w:rsid w:val="000C5CA3"/>
    <w:rsid w:val="000C5F02"/>
    <w:rsid w:val="000C62FC"/>
    <w:rsid w:val="000C657B"/>
    <w:rsid w:val="000C6BAD"/>
    <w:rsid w:val="000C714D"/>
    <w:rsid w:val="000C7192"/>
    <w:rsid w:val="000C7195"/>
    <w:rsid w:val="000C72CE"/>
    <w:rsid w:val="000C72EE"/>
    <w:rsid w:val="000C734C"/>
    <w:rsid w:val="000C774B"/>
    <w:rsid w:val="000C78EE"/>
    <w:rsid w:val="000C7BA8"/>
    <w:rsid w:val="000D00BF"/>
    <w:rsid w:val="000D0A03"/>
    <w:rsid w:val="000D111A"/>
    <w:rsid w:val="000D11B4"/>
    <w:rsid w:val="000D1427"/>
    <w:rsid w:val="000D14A2"/>
    <w:rsid w:val="000D15CE"/>
    <w:rsid w:val="000D17C7"/>
    <w:rsid w:val="000D1BD5"/>
    <w:rsid w:val="000D1C3B"/>
    <w:rsid w:val="000D1D29"/>
    <w:rsid w:val="000D1F0F"/>
    <w:rsid w:val="000D2216"/>
    <w:rsid w:val="000D28EC"/>
    <w:rsid w:val="000D2EE1"/>
    <w:rsid w:val="000D321E"/>
    <w:rsid w:val="000D32F6"/>
    <w:rsid w:val="000D3303"/>
    <w:rsid w:val="000D3493"/>
    <w:rsid w:val="000D3606"/>
    <w:rsid w:val="000D3908"/>
    <w:rsid w:val="000D3C25"/>
    <w:rsid w:val="000D3F12"/>
    <w:rsid w:val="000D403E"/>
    <w:rsid w:val="000D4088"/>
    <w:rsid w:val="000D44B8"/>
    <w:rsid w:val="000D44FE"/>
    <w:rsid w:val="000D45AB"/>
    <w:rsid w:val="000D4703"/>
    <w:rsid w:val="000D49F0"/>
    <w:rsid w:val="000D511C"/>
    <w:rsid w:val="000D565A"/>
    <w:rsid w:val="000D57BF"/>
    <w:rsid w:val="000D5A9D"/>
    <w:rsid w:val="000D5AA9"/>
    <w:rsid w:val="000D5B07"/>
    <w:rsid w:val="000D5F19"/>
    <w:rsid w:val="000D6175"/>
    <w:rsid w:val="000D6483"/>
    <w:rsid w:val="000D6924"/>
    <w:rsid w:val="000D6C6D"/>
    <w:rsid w:val="000D7431"/>
    <w:rsid w:val="000D7491"/>
    <w:rsid w:val="000D7514"/>
    <w:rsid w:val="000D7537"/>
    <w:rsid w:val="000D785E"/>
    <w:rsid w:val="000D7DD0"/>
    <w:rsid w:val="000E0201"/>
    <w:rsid w:val="000E0280"/>
    <w:rsid w:val="000E03DC"/>
    <w:rsid w:val="000E08B8"/>
    <w:rsid w:val="000E0C63"/>
    <w:rsid w:val="000E0CB6"/>
    <w:rsid w:val="000E0D95"/>
    <w:rsid w:val="000E1006"/>
    <w:rsid w:val="000E1267"/>
    <w:rsid w:val="000E156E"/>
    <w:rsid w:val="000E163E"/>
    <w:rsid w:val="000E1CA1"/>
    <w:rsid w:val="000E1CBB"/>
    <w:rsid w:val="000E2215"/>
    <w:rsid w:val="000E277D"/>
    <w:rsid w:val="000E283D"/>
    <w:rsid w:val="000E2BC2"/>
    <w:rsid w:val="000E2EEC"/>
    <w:rsid w:val="000E326F"/>
    <w:rsid w:val="000E33A6"/>
    <w:rsid w:val="000E3505"/>
    <w:rsid w:val="000E3BAF"/>
    <w:rsid w:val="000E4381"/>
    <w:rsid w:val="000E4862"/>
    <w:rsid w:val="000E4B1A"/>
    <w:rsid w:val="000E4E96"/>
    <w:rsid w:val="000E4EDF"/>
    <w:rsid w:val="000E500E"/>
    <w:rsid w:val="000E50E8"/>
    <w:rsid w:val="000E53B0"/>
    <w:rsid w:val="000E5466"/>
    <w:rsid w:val="000E55B0"/>
    <w:rsid w:val="000E575E"/>
    <w:rsid w:val="000E5819"/>
    <w:rsid w:val="000E5963"/>
    <w:rsid w:val="000E5C30"/>
    <w:rsid w:val="000E5CF0"/>
    <w:rsid w:val="000E5E85"/>
    <w:rsid w:val="000E60DC"/>
    <w:rsid w:val="000E6328"/>
    <w:rsid w:val="000E6450"/>
    <w:rsid w:val="000E64E4"/>
    <w:rsid w:val="000E64E7"/>
    <w:rsid w:val="000E669D"/>
    <w:rsid w:val="000E67DB"/>
    <w:rsid w:val="000E68CD"/>
    <w:rsid w:val="000E6B94"/>
    <w:rsid w:val="000E6D5A"/>
    <w:rsid w:val="000E6EE5"/>
    <w:rsid w:val="000E6F7A"/>
    <w:rsid w:val="000E6FBF"/>
    <w:rsid w:val="000E70C5"/>
    <w:rsid w:val="000E7E5F"/>
    <w:rsid w:val="000E7E8F"/>
    <w:rsid w:val="000E7F4A"/>
    <w:rsid w:val="000E7F73"/>
    <w:rsid w:val="000F007E"/>
    <w:rsid w:val="000F06CD"/>
    <w:rsid w:val="000F0765"/>
    <w:rsid w:val="000F0AFE"/>
    <w:rsid w:val="000F0C9D"/>
    <w:rsid w:val="000F0DF9"/>
    <w:rsid w:val="000F0F6F"/>
    <w:rsid w:val="000F0F98"/>
    <w:rsid w:val="000F133A"/>
    <w:rsid w:val="000F1596"/>
    <w:rsid w:val="000F17D5"/>
    <w:rsid w:val="000F1BDB"/>
    <w:rsid w:val="000F201D"/>
    <w:rsid w:val="000F3275"/>
    <w:rsid w:val="000F331D"/>
    <w:rsid w:val="000F3335"/>
    <w:rsid w:val="000F35D6"/>
    <w:rsid w:val="000F37FE"/>
    <w:rsid w:val="000F3865"/>
    <w:rsid w:val="000F390D"/>
    <w:rsid w:val="000F3C3F"/>
    <w:rsid w:val="000F3E39"/>
    <w:rsid w:val="000F4056"/>
    <w:rsid w:val="000F42DC"/>
    <w:rsid w:val="000F45F8"/>
    <w:rsid w:val="000F4871"/>
    <w:rsid w:val="000F4AAD"/>
    <w:rsid w:val="000F52BB"/>
    <w:rsid w:val="000F55FA"/>
    <w:rsid w:val="000F5773"/>
    <w:rsid w:val="000F57CA"/>
    <w:rsid w:val="000F5D2D"/>
    <w:rsid w:val="000F5FFE"/>
    <w:rsid w:val="000F6256"/>
    <w:rsid w:val="000F6480"/>
    <w:rsid w:val="000F6517"/>
    <w:rsid w:val="000F661C"/>
    <w:rsid w:val="000F6729"/>
    <w:rsid w:val="000F6CD6"/>
    <w:rsid w:val="000F6F53"/>
    <w:rsid w:val="000F6FE2"/>
    <w:rsid w:val="000F6FE8"/>
    <w:rsid w:val="000F7064"/>
    <w:rsid w:val="000F71FC"/>
    <w:rsid w:val="000F7294"/>
    <w:rsid w:val="000F76FA"/>
    <w:rsid w:val="000F7881"/>
    <w:rsid w:val="000F797C"/>
    <w:rsid w:val="001000DE"/>
    <w:rsid w:val="00100D8E"/>
    <w:rsid w:val="00100F19"/>
    <w:rsid w:val="00100F94"/>
    <w:rsid w:val="00101703"/>
    <w:rsid w:val="00101778"/>
    <w:rsid w:val="001017C5"/>
    <w:rsid w:val="00101C3F"/>
    <w:rsid w:val="00101DD7"/>
    <w:rsid w:val="001020A8"/>
    <w:rsid w:val="00102520"/>
    <w:rsid w:val="00102934"/>
    <w:rsid w:val="00102A8E"/>
    <w:rsid w:val="00102E62"/>
    <w:rsid w:val="00103265"/>
    <w:rsid w:val="00103355"/>
    <w:rsid w:val="0010355F"/>
    <w:rsid w:val="0010398F"/>
    <w:rsid w:val="00103997"/>
    <w:rsid w:val="00103B0D"/>
    <w:rsid w:val="00103C2D"/>
    <w:rsid w:val="00103D45"/>
    <w:rsid w:val="00103D4B"/>
    <w:rsid w:val="00104418"/>
    <w:rsid w:val="0010453E"/>
    <w:rsid w:val="00104776"/>
    <w:rsid w:val="00104CA3"/>
    <w:rsid w:val="00104EE8"/>
    <w:rsid w:val="00105045"/>
    <w:rsid w:val="0010534A"/>
    <w:rsid w:val="0010537F"/>
    <w:rsid w:val="001054FE"/>
    <w:rsid w:val="00105A1B"/>
    <w:rsid w:val="00105B99"/>
    <w:rsid w:val="00105C07"/>
    <w:rsid w:val="00105C24"/>
    <w:rsid w:val="00105CAE"/>
    <w:rsid w:val="00105CEC"/>
    <w:rsid w:val="00106261"/>
    <w:rsid w:val="0010656F"/>
    <w:rsid w:val="0010682F"/>
    <w:rsid w:val="00106A3B"/>
    <w:rsid w:val="00106A84"/>
    <w:rsid w:val="00106C7E"/>
    <w:rsid w:val="00106CAD"/>
    <w:rsid w:val="00106F33"/>
    <w:rsid w:val="00107651"/>
    <w:rsid w:val="001077D3"/>
    <w:rsid w:val="0010797B"/>
    <w:rsid w:val="00107B0C"/>
    <w:rsid w:val="00107FCB"/>
    <w:rsid w:val="00110219"/>
    <w:rsid w:val="0011040A"/>
    <w:rsid w:val="00110A06"/>
    <w:rsid w:val="00110DA1"/>
    <w:rsid w:val="0011151C"/>
    <w:rsid w:val="00111952"/>
    <w:rsid w:val="00111997"/>
    <w:rsid w:val="00111A31"/>
    <w:rsid w:val="00111E45"/>
    <w:rsid w:val="00111F79"/>
    <w:rsid w:val="00112803"/>
    <w:rsid w:val="00112810"/>
    <w:rsid w:val="00112837"/>
    <w:rsid w:val="0011288A"/>
    <w:rsid w:val="00112B28"/>
    <w:rsid w:val="00112FAB"/>
    <w:rsid w:val="00113063"/>
    <w:rsid w:val="00113490"/>
    <w:rsid w:val="001135B6"/>
    <w:rsid w:val="00113A8D"/>
    <w:rsid w:val="00113C6E"/>
    <w:rsid w:val="00113D13"/>
    <w:rsid w:val="00113F7F"/>
    <w:rsid w:val="001147CD"/>
    <w:rsid w:val="00114907"/>
    <w:rsid w:val="00114B35"/>
    <w:rsid w:val="00115505"/>
    <w:rsid w:val="00115677"/>
    <w:rsid w:val="0011574E"/>
    <w:rsid w:val="001159CF"/>
    <w:rsid w:val="00115CB1"/>
    <w:rsid w:val="00115D51"/>
    <w:rsid w:val="00115DF8"/>
    <w:rsid w:val="0011609B"/>
    <w:rsid w:val="001164B7"/>
    <w:rsid w:val="00116D11"/>
    <w:rsid w:val="0011703F"/>
    <w:rsid w:val="0011754C"/>
    <w:rsid w:val="00117C8D"/>
    <w:rsid w:val="00117D88"/>
    <w:rsid w:val="00117DEE"/>
    <w:rsid w:val="00117E14"/>
    <w:rsid w:val="00117EA3"/>
    <w:rsid w:val="00117EBA"/>
    <w:rsid w:val="00117EC5"/>
    <w:rsid w:val="0011EF4A"/>
    <w:rsid w:val="001201A8"/>
    <w:rsid w:val="001201AD"/>
    <w:rsid w:val="00120B9D"/>
    <w:rsid w:val="00120C20"/>
    <w:rsid w:val="00120E60"/>
    <w:rsid w:val="00120FE8"/>
    <w:rsid w:val="00121190"/>
    <w:rsid w:val="001214ED"/>
    <w:rsid w:val="001215D8"/>
    <w:rsid w:val="001217A2"/>
    <w:rsid w:val="001218EF"/>
    <w:rsid w:val="00121CA1"/>
    <w:rsid w:val="00121F77"/>
    <w:rsid w:val="001221E5"/>
    <w:rsid w:val="001224A5"/>
    <w:rsid w:val="00122673"/>
    <w:rsid w:val="001227C0"/>
    <w:rsid w:val="00122B0E"/>
    <w:rsid w:val="0012312C"/>
    <w:rsid w:val="00123265"/>
    <w:rsid w:val="001232EA"/>
    <w:rsid w:val="0012362E"/>
    <w:rsid w:val="00123645"/>
    <w:rsid w:val="00123A3F"/>
    <w:rsid w:val="00123AC2"/>
    <w:rsid w:val="00123F89"/>
    <w:rsid w:val="00124150"/>
    <w:rsid w:val="00124164"/>
    <w:rsid w:val="00124366"/>
    <w:rsid w:val="00124377"/>
    <w:rsid w:val="00124D04"/>
    <w:rsid w:val="00124D3C"/>
    <w:rsid w:val="00124DD7"/>
    <w:rsid w:val="00125078"/>
    <w:rsid w:val="0012513B"/>
    <w:rsid w:val="00125218"/>
    <w:rsid w:val="001253C0"/>
    <w:rsid w:val="0012587E"/>
    <w:rsid w:val="0012589A"/>
    <w:rsid w:val="00125A93"/>
    <w:rsid w:val="00125ADE"/>
    <w:rsid w:val="00125FC5"/>
    <w:rsid w:val="00125FDF"/>
    <w:rsid w:val="0012629E"/>
    <w:rsid w:val="00126568"/>
    <w:rsid w:val="00126646"/>
    <w:rsid w:val="001266B9"/>
    <w:rsid w:val="00126872"/>
    <w:rsid w:val="00126BDE"/>
    <w:rsid w:val="00126D56"/>
    <w:rsid w:val="0012754E"/>
    <w:rsid w:val="0012767D"/>
    <w:rsid w:val="00127F3E"/>
    <w:rsid w:val="00127FA6"/>
    <w:rsid w:val="00130160"/>
    <w:rsid w:val="001309FA"/>
    <w:rsid w:val="0013100B"/>
    <w:rsid w:val="0013128C"/>
    <w:rsid w:val="0013158B"/>
    <w:rsid w:val="001321C4"/>
    <w:rsid w:val="00132F62"/>
    <w:rsid w:val="00133397"/>
    <w:rsid w:val="001335CD"/>
    <w:rsid w:val="001338C2"/>
    <w:rsid w:val="00133BCE"/>
    <w:rsid w:val="00133C52"/>
    <w:rsid w:val="00133F90"/>
    <w:rsid w:val="001340A5"/>
    <w:rsid w:val="00134285"/>
    <w:rsid w:val="00134328"/>
    <w:rsid w:val="001344B3"/>
    <w:rsid w:val="001347BB"/>
    <w:rsid w:val="00134A68"/>
    <w:rsid w:val="00134E01"/>
    <w:rsid w:val="00135092"/>
    <w:rsid w:val="0013559A"/>
    <w:rsid w:val="0013585C"/>
    <w:rsid w:val="00135943"/>
    <w:rsid w:val="0013611F"/>
    <w:rsid w:val="0013625D"/>
    <w:rsid w:val="00136415"/>
    <w:rsid w:val="0013657B"/>
    <w:rsid w:val="00136629"/>
    <w:rsid w:val="00136737"/>
    <w:rsid w:val="001367DD"/>
    <w:rsid w:val="0013729C"/>
    <w:rsid w:val="001373D3"/>
    <w:rsid w:val="00137418"/>
    <w:rsid w:val="00137756"/>
    <w:rsid w:val="00137782"/>
    <w:rsid w:val="001378F8"/>
    <w:rsid w:val="00137A81"/>
    <w:rsid w:val="001401A3"/>
    <w:rsid w:val="00140274"/>
    <w:rsid w:val="001402B5"/>
    <w:rsid w:val="001402D3"/>
    <w:rsid w:val="0014079E"/>
    <w:rsid w:val="001407FE"/>
    <w:rsid w:val="0014093D"/>
    <w:rsid w:val="00140AB9"/>
    <w:rsid w:val="00140BEA"/>
    <w:rsid w:val="00140C2D"/>
    <w:rsid w:val="00140CA8"/>
    <w:rsid w:val="00141040"/>
    <w:rsid w:val="00141207"/>
    <w:rsid w:val="00141535"/>
    <w:rsid w:val="00141B2D"/>
    <w:rsid w:val="00141D83"/>
    <w:rsid w:val="00141ED2"/>
    <w:rsid w:val="00142032"/>
    <w:rsid w:val="00142701"/>
    <w:rsid w:val="001428CF"/>
    <w:rsid w:val="00142BDB"/>
    <w:rsid w:val="00143182"/>
    <w:rsid w:val="001431B5"/>
    <w:rsid w:val="0014352A"/>
    <w:rsid w:val="00143EC7"/>
    <w:rsid w:val="0014419D"/>
    <w:rsid w:val="001443D9"/>
    <w:rsid w:val="00144838"/>
    <w:rsid w:val="0014497B"/>
    <w:rsid w:val="00144DD2"/>
    <w:rsid w:val="001458CB"/>
    <w:rsid w:val="00145A9D"/>
    <w:rsid w:val="00145BA5"/>
    <w:rsid w:val="00145CAE"/>
    <w:rsid w:val="00145D6B"/>
    <w:rsid w:val="00146086"/>
    <w:rsid w:val="001464A2"/>
    <w:rsid w:val="00146882"/>
    <w:rsid w:val="00146A76"/>
    <w:rsid w:val="00146B0D"/>
    <w:rsid w:val="00146F75"/>
    <w:rsid w:val="001472DE"/>
    <w:rsid w:val="00147315"/>
    <w:rsid w:val="0014762A"/>
    <w:rsid w:val="00147A76"/>
    <w:rsid w:val="00147DFF"/>
    <w:rsid w:val="00147F76"/>
    <w:rsid w:val="001506D0"/>
    <w:rsid w:val="0015077D"/>
    <w:rsid w:val="001509C2"/>
    <w:rsid w:val="001509F0"/>
    <w:rsid w:val="00150E95"/>
    <w:rsid w:val="00151164"/>
    <w:rsid w:val="00151770"/>
    <w:rsid w:val="001517AB"/>
    <w:rsid w:val="0015193F"/>
    <w:rsid w:val="001519EA"/>
    <w:rsid w:val="00151A8E"/>
    <w:rsid w:val="00151AE8"/>
    <w:rsid w:val="00151D96"/>
    <w:rsid w:val="00151E86"/>
    <w:rsid w:val="001520D1"/>
    <w:rsid w:val="00152519"/>
    <w:rsid w:val="001526FD"/>
    <w:rsid w:val="00152B59"/>
    <w:rsid w:val="00153845"/>
    <w:rsid w:val="001546C5"/>
    <w:rsid w:val="00154737"/>
    <w:rsid w:val="001548ED"/>
    <w:rsid w:val="00154CCB"/>
    <w:rsid w:val="00154E6F"/>
    <w:rsid w:val="00154E9A"/>
    <w:rsid w:val="001554BA"/>
    <w:rsid w:val="00155A58"/>
    <w:rsid w:val="00155D25"/>
    <w:rsid w:val="00155FA9"/>
    <w:rsid w:val="00156196"/>
    <w:rsid w:val="00156271"/>
    <w:rsid w:val="0015642C"/>
    <w:rsid w:val="0015662F"/>
    <w:rsid w:val="00156652"/>
    <w:rsid w:val="0015685D"/>
    <w:rsid w:val="00156AA3"/>
    <w:rsid w:val="00156AE5"/>
    <w:rsid w:val="00156B47"/>
    <w:rsid w:val="00156E8D"/>
    <w:rsid w:val="00157576"/>
    <w:rsid w:val="001576C3"/>
    <w:rsid w:val="00157D47"/>
    <w:rsid w:val="00157FDE"/>
    <w:rsid w:val="001600BD"/>
    <w:rsid w:val="001605F3"/>
    <w:rsid w:val="00160729"/>
    <w:rsid w:val="00160C4A"/>
    <w:rsid w:val="00160E8A"/>
    <w:rsid w:val="0016141E"/>
    <w:rsid w:val="00161BB8"/>
    <w:rsid w:val="00161D0B"/>
    <w:rsid w:val="00161E63"/>
    <w:rsid w:val="00161FA2"/>
    <w:rsid w:val="0016204F"/>
    <w:rsid w:val="00162AE5"/>
    <w:rsid w:val="00162CD4"/>
    <w:rsid w:val="00162ED1"/>
    <w:rsid w:val="00163649"/>
    <w:rsid w:val="00163891"/>
    <w:rsid w:val="00163A82"/>
    <w:rsid w:val="00163C21"/>
    <w:rsid w:val="00164222"/>
    <w:rsid w:val="00164620"/>
    <w:rsid w:val="00164B53"/>
    <w:rsid w:val="00164D95"/>
    <w:rsid w:val="00164F44"/>
    <w:rsid w:val="00165051"/>
    <w:rsid w:val="001650DE"/>
    <w:rsid w:val="001651B6"/>
    <w:rsid w:val="001658B9"/>
    <w:rsid w:val="001659D4"/>
    <w:rsid w:val="00165A88"/>
    <w:rsid w:val="00166293"/>
    <w:rsid w:val="00166988"/>
    <w:rsid w:val="001670F2"/>
    <w:rsid w:val="001672A7"/>
    <w:rsid w:val="001678C1"/>
    <w:rsid w:val="00167A2D"/>
    <w:rsid w:val="00167ADB"/>
    <w:rsid w:val="00167AE3"/>
    <w:rsid w:val="00167B54"/>
    <w:rsid w:val="00167D47"/>
    <w:rsid w:val="00167F8F"/>
    <w:rsid w:val="001709BE"/>
    <w:rsid w:val="0017117E"/>
    <w:rsid w:val="00171BAA"/>
    <w:rsid w:val="00172456"/>
    <w:rsid w:val="001724B4"/>
    <w:rsid w:val="00172A34"/>
    <w:rsid w:val="00172CD2"/>
    <w:rsid w:val="00172F71"/>
    <w:rsid w:val="00173456"/>
    <w:rsid w:val="001735C4"/>
    <w:rsid w:val="00173884"/>
    <w:rsid w:val="00173944"/>
    <w:rsid w:val="00173A96"/>
    <w:rsid w:val="00173B8E"/>
    <w:rsid w:val="00173EAD"/>
    <w:rsid w:val="00174559"/>
    <w:rsid w:val="0017461C"/>
    <w:rsid w:val="0017489F"/>
    <w:rsid w:val="001749A4"/>
    <w:rsid w:val="00174A3B"/>
    <w:rsid w:val="00174E5C"/>
    <w:rsid w:val="00174F76"/>
    <w:rsid w:val="00175092"/>
    <w:rsid w:val="0017519C"/>
    <w:rsid w:val="001755EC"/>
    <w:rsid w:val="00175972"/>
    <w:rsid w:val="001761A0"/>
    <w:rsid w:val="0017658E"/>
    <w:rsid w:val="00176D13"/>
    <w:rsid w:val="00177005"/>
    <w:rsid w:val="00177190"/>
    <w:rsid w:val="001774E0"/>
    <w:rsid w:val="0017787D"/>
    <w:rsid w:val="001778DF"/>
    <w:rsid w:val="00177995"/>
    <w:rsid w:val="00177A21"/>
    <w:rsid w:val="00177A75"/>
    <w:rsid w:val="00177AAD"/>
    <w:rsid w:val="00177C52"/>
    <w:rsid w:val="00177DBF"/>
    <w:rsid w:val="00177F10"/>
    <w:rsid w:val="0018031F"/>
    <w:rsid w:val="0018044D"/>
    <w:rsid w:val="00180536"/>
    <w:rsid w:val="0018055A"/>
    <w:rsid w:val="0018064E"/>
    <w:rsid w:val="0018118B"/>
    <w:rsid w:val="001811D4"/>
    <w:rsid w:val="001815DF"/>
    <w:rsid w:val="001818DF"/>
    <w:rsid w:val="00181905"/>
    <w:rsid w:val="00181C53"/>
    <w:rsid w:val="00181CBD"/>
    <w:rsid w:val="00181DC1"/>
    <w:rsid w:val="00181DCC"/>
    <w:rsid w:val="001820ED"/>
    <w:rsid w:val="001827FB"/>
    <w:rsid w:val="00182895"/>
    <w:rsid w:val="00182D44"/>
    <w:rsid w:val="00182DA3"/>
    <w:rsid w:val="001830FD"/>
    <w:rsid w:val="001831BD"/>
    <w:rsid w:val="00183735"/>
    <w:rsid w:val="00183829"/>
    <w:rsid w:val="00184003"/>
    <w:rsid w:val="001840AF"/>
    <w:rsid w:val="00184384"/>
    <w:rsid w:val="001843CA"/>
    <w:rsid w:val="00184810"/>
    <w:rsid w:val="00184A70"/>
    <w:rsid w:val="00184BE8"/>
    <w:rsid w:val="00184C21"/>
    <w:rsid w:val="00184F7B"/>
    <w:rsid w:val="00184FED"/>
    <w:rsid w:val="0018522F"/>
    <w:rsid w:val="001852AD"/>
    <w:rsid w:val="00185636"/>
    <w:rsid w:val="00185696"/>
    <w:rsid w:val="001858E1"/>
    <w:rsid w:val="001858FB"/>
    <w:rsid w:val="00185AC4"/>
    <w:rsid w:val="00185BB4"/>
    <w:rsid w:val="00185CB0"/>
    <w:rsid w:val="00186281"/>
    <w:rsid w:val="00186478"/>
    <w:rsid w:val="00186C90"/>
    <w:rsid w:val="00186EBE"/>
    <w:rsid w:val="00187067"/>
    <w:rsid w:val="0018763D"/>
    <w:rsid w:val="00187704"/>
    <w:rsid w:val="001877F9"/>
    <w:rsid w:val="001879C5"/>
    <w:rsid w:val="00187FF6"/>
    <w:rsid w:val="0019004B"/>
    <w:rsid w:val="001900B7"/>
    <w:rsid w:val="00190360"/>
    <w:rsid w:val="001904D7"/>
    <w:rsid w:val="0019059E"/>
    <w:rsid w:val="00190699"/>
    <w:rsid w:val="00190A2A"/>
    <w:rsid w:val="00190A7A"/>
    <w:rsid w:val="00190A9E"/>
    <w:rsid w:val="00190D8C"/>
    <w:rsid w:val="00191177"/>
    <w:rsid w:val="0019162A"/>
    <w:rsid w:val="00191697"/>
    <w:rsid w:val="0019177B"/>
    <w:rsid w:val="00191796"/>
    <w:rsid w:val="00191862"/>
    <w:rsid w:val="001918D3"/>
    <w:rsid w:val="00191F0D"/>
    <w:rsid w:val="00191FB9"/>
    <w:rsid w:val="00192265"/>
    <w:rsid w:val="00192451"/>
    <w:rsid w:val="001928CE"/>
    <w:rsid w:val="00192982"/>
    <w:rsid w:val="00192A64"/>
    <w:rsid w:val="00192C84"/>
    <w:rsid w:val="00192DA4"/>
    <w:rsid w:val="00192F9C"/>
    <w:rsid w:val="001931F8"/>
    <w:rsid w:val="001933FB"/>
    <w:rsid w:val="0019348E"/>
    <w:rsid w:val="001934B2"/>
    <w:rsid w:val="0019377A"/>
    <w:rsid w:val="0019385A"/>
    <w:rsid w:val="00193BC0"/>
    <w:rsid w:val="00193DB3"/>
    <w:rsid w:val="00193F47"/>
    <w:rsid w:val="0019433E"/>
    <w:rsid w:val="001949EB"/>
    <w:rsid w:val="00194D4F"/>
    <w:rsid w:val="001956ED"/>
    <w:rsid w:val="001957A3"/>
    <w:rsid w:val="00196045"/>
    <w:rsid w:val="001971F4"/>
    <w:rsid w:val="0019744B"/>
    <w:rsid w:val="001974F0"/>
    <w:rsid w:val="0019760C"/>
    <w:rsid w:val="001979E4"/>
    <w:rsid w:val="001A02AF"/>
    <w:rsid w:val="001A0300"/>
    <w:rsid w:val="001A0312"/>
    <w:rsid w:val="001A038C"/>
    <w:rsid w:val="001A0A67"/>
    <w:rsid w:val="001A0D73"/>
    <w:rsid w:val="001A0F4A"/>
    <w:rsid w:val="001A100C"/>
    <w:rsid w:val="001A1033"/>
    <w:rsid w:val="001A1270"/>
    <w:rsid w:val="001A1F04"/>
    <w:rsid w:val="001A1FFF"/>
    <w:rsid w:val="001A2020"/>
    <w:rsid w:val="001A2151"/>
    <w:rsid w:val="001A21F3"/>
    <w:rsid w:val="001A2D79"/>
    <w:rsid w:val="001A2E32"/>
    <w:rsid w:val="001A2F6B"/>
    <w:rsid w:val="001A309E"/>
    <w:rsid w:val="001A3435"/>
    <w:rsid w:val="001A3457"/>
    <w:rsid w:val="001A38A2"/>
    <w:rsid w:val="001A3927"/>
    <w:rsid w:val="001A3983"/>
    <w:rsid w:val="001A41AD"/>
    <w:rsid w:val="001A4384"/>
    <w:rsid w:val="001A4404"/>
    <w:rsid w:val="001A44A7"/>
    <w:rsid w:val="001A4DE2"/>
    <w:rsid w:val="001A5079"/>
    <w:rsid w:val="001A512E"/>
    <w:rsid w:val="001A5295"/>
    <w:rsid w:val="001A56E7"/>
    <w:rsid w:val="001A59F7"/>
    <w:rsid w:val="001A5A04"/>
    <w:rsid w:val="001A5B38"/>
    <w:rsid w:val="001A63F3"/>
    <w:rsid w:val="001A663C"/>
    <w:rsid w:val="001A684C"/>
    <w:rsid w:val="001A6C16"/>
    <w:rsid w:val="001A70FE"/>
    <w:rsid w:val="001A74B4"/>
    <w:rsid w:val="001A76C9"/>
    <w:rsid w:val="001A76CE"/>
    <w:rsid w:val="001A795A"/>
    <w:rsid w:val="001A7E4E"/>
    <w:rsid w:val="001A7F56"/>
    <w:rsid w:val="001B05ED"/>
    <w:rsid w:val="001B0934"/>
    <w:rsid w:val="001B0DBC"/>
    <w:rsid w:val="001B11D6"/>
    <w:rsid w:val="001B121F"/>
    <w:rsid w:val="001B12EB"/>
    <w:rsid w:val="001B16AC"/>
    <w:rsid w:val="001B16BE"/>
    <w:rsid w:val="001B1D8C"/>
    <w:rsid w:val="001B216A"/>
    <w:rsid w:val="001B22B1"/>
    <w:rsid w:val="001B243E"/>
    <w:rsid w:val="001B24D8"/>
    <w:rsid w:val="001B2698"/>
    <w:rsid w:val="001B2955"/>
    <w:rsid w:val="001B29D1"/>
    <w:rsid w:val="001B30B4"/>
    <w:rsid w:val="001B3340"/>
    <w:rsid w:val="001B37C0"/>
    <w:rsid w:val="001B3974"/>
    <w:rsid w:val="001B43E6"/>
    <w:rsid w:val="001B45ED"/>
    <w:rsid w:val="001B4613"/>
    <w:rsid w:val="001B4959"/>
    <w:rsid w:val="001B49AC"/>
    <w:rsid w:val="001B4C9C"/>
    <w:rsid w:val="001B4ED3"/>
    <w:rsid w:val="001B502E"/>
    <w:rsid w:val="001B50AF"/>
    <w:rsid w:val="001B516C"/>
    <w:rsid w:val="001B5269"/>
    <w:rsid w:val="001B5AEC"/>
    <w:rsid w:val="001B5B9E"/>
    <w:rsid w:val="001B5DFB"/>
    <w:rsid w:val="001B5FBA"/>
    <w:rsid w:val="001B5FEF"/>
    <w:rsid w:val="001B6078"/>
    <w:rsid w:val="001B6091"/>
    <w:rsid w:val="001B6350"/>
    <w:rsid w:val="001B63B0"/>
    <w:rsid w:val="001B6460"/>
    <w:rsid w:val="001B64DF"/>
    <w:rsid w:val="001B6BEE"/>
    <w:rsid w:val="001B6EC1"/>
    <w:rsid w:val="001B6FC5"/>
    <w:rsid w:val="001B7026"/>
    <w:rsid w:val="001B70EC"/>
    <w:rsid w:val="001B7605"/>
    <w:rsid w:val="001C03E2"/>
    <w:rsid w:val="001C0A04"/>
    <w:rsid w:val="001C0FE4"/>
    <w:rsid w:val="001C14D2"/>
    <w:rsid w:val="001C1682"/>
    <w:rsid w:val="001C1AE2"/>
    <w:rsid w:val="001C1BB0"/>
    <w:rsid w:val="001C1E24"/>
    <w:rsid w:val="001C2031"/>
    <w:rsid w:val="001C21E7"/>
    <w:rsid w:val="001C22CE"/>
    <w:rsid w:val="001C2888"/>
    <w:rsid w:val="001C3086"/>
    <w:rsid w:val="001C3297"/>
    <w:rsid w:val="001C34D3"/>
    <w:rsid w:val="001C4023"/>
    <w:rsid w:val="001C4330"/>
    <w:rsid w:val="001C4514"/>
    <w:rsid w:val="001C49C8"/>
    <w:rsid w:val="001C4D8D"/>
    <w:rsid w:val="001C57E7"/>
    <w:rsid w:val="001C5805"/>
    <w:rsid w:val="001C5B7B"/>
    <w:rsid w:val="001C5B95"/>
    <w:rsid w:val="001C5DB2"/>
    <w:rsid w:val="001C6257"/>
    <w:rsid w:val="001C67F2"/>
    <w:rsid w:val="001C6C20"/>
    <w:rsid w:val="001C6F6A"/>
    <w:rsid w:val="001C6F88"/>
    <w:rsid w:val="001C71C9"/>
    <w:rsid w:val="001C7339"/>
    <w:rsid w:val="001C73EA"/>
    <w:rsid w:val="001C7449"/>
    <w:rsid w:val="001C75CA"/>
    <w:rsid w:val="001C7732"/>
    <w:rsid w:val="001C7947"/>
    <w:rsid w:val="001C7CAF"/>
    <w:rsid w:val="001C7CEC"/>
    <w:rsid w:val="001D01F1"/>
    <w:rsid w:val="001D0382"/>
    <w:rsid w:val="001D04D7"/>
    <w:rsid w:val="001D0639"/>
    <w:rsid w:val="001D078F"/>
    <w:rsid w:val="001D12D7"/>
    <w:rsid w:val="001D192F"/>
    <w:rsid w:val="001D1D44"/>
    <w:rsid w:val="001D2AC9"/>
    <w:rsid w:val="001D2AE3"/>
    <w:rsid w:val="001D2E4F"/>
    <w:rsid w:val="001D3180"/>
    <w:rsid w:val="001D31FD"/>
    <w:rsid w:val="001D335C"/>
    <w:rsid w:val="001D33B9"/>
    <w:rsid w:val="001D34D5"/>
    <w:rsid w:val="001D3E26"/>
    <w:rsid w:val="001D4660"/>
    <w:rsid w:val="001D4698"/>
    <w:rsid w:val="001D490C"/>
    <w:rsid w:val="001D4A0B"/>
    <w:rsid w:val="001D4D8D"/>
    <w:rsid w:val="001D4D9F"/>
    <w:rsid w:val="001D4DC2"/>
    <w:rsid w:val="001D4F62"/>
    <w:rsid w:val="001D515A"/>
    <w:rsid w:val="001D51C4"/>
    <w:rsid w:val="001D52CD"/>
    <w:rsid w:val="001D54B6"/>
    <w:rsid w:val="001D588A"/>
    <w:rsid w:val="001D5BCF"/>
    <w:rsid w:val="001D5CF7"/>
    <w:rsid w:val="001D5E4B"/>
    <w:rsid w:val="001D5FA8"/>
    <w:rsid w:val="001D6396"/>
    <w:rsid w:val="001D6711"/>
    <w:rsid w:val="001D6B8C"/>
    <w:rsid w:val="001D6F18"/>
    <w:rsid w:val="001D72D2"/>
    <w:rsid w:val="001D7437"/>
    <w:rsid w:val="001D78A5"/>
    <w:rsid w:val="001D7909"/>
    <w:rsid w:val="001D7D0A"/>
    <w:rsid w:val="001E0071"/>
    <w:rsid w:val="001E053D"/>
    <w:rsid w:val="001E0659"/>
    <w:rsid w:val="001E0E91"/>
    <w:rsid w:val="001E1005"/>
    <w:rsid w:val="001E11DD"/>
    <w:rsid w:val="001E14B5"/>
    <w:rsid w:val="001E1707"/>
    <w:rsid w:val="001E1784"/>
    <w:rsid w:val="001E1AE4"/>
    <w:rsid w:val="001E1BFA"/>
    <w:rsid w:val="001E1D79"/>
    <w:rsid w:val="001E1ED6"/>
    <w:rsid w:val="001E1F5B"/>
    <w:rsid w:val="001E2623"/>
    <w:rsid w:val="001E266B"/>
    <w:rsid w:val="001E298D"/>
    <w:rsid w:val="001E29B3"/>
    <w:rsid w:val="001E2B9B"/>
    <w:rsid w:val="001E34AA"/>
    <w:rsid w:val="001E366D"/>
    <w:rsid w:val="001E3A38"/>
    <w:rsid w:val="001E3AA4"/>
    <w:rsid w:val="001E3B85"/>
    <w:rsid w:val="001E3D9F"/>
    <w:rsid w:val="001E3DD2"/>
    <w:rsid w:val="001E3DFD"/>
    <w:rsid w:val="001E4019"/>
    <w:rsid w:val="001E460D"/>
    <w:rsid w:val="001E461C"/>
    <w:rsid w:val="001E46A0"/>
    <w:rsid w:val="001E488F"/>
    <w:rsid w:val="001E51BD"/>
    <w:rsid w:val="001E5369"/>
    <w:rsid w:val="001E54B8"/>
    <w:rsid w:val="001E5886"/>
    <w:rsid w:val="001E5B7F"/>
    <w:rsid w:val="001E5C3E"/>
    <w:rsid w:val="001E5CB1"/>
    <w:rsid w:val="001E5EFC"/>
    <w:rsid w:val="001E6053"/>
    <w:rsid w:val="001E62D5"/>
    <w:rsid w:val="001E640F"/>
    <w:rsid w:val="001E647E"/>
    <w:rsid w:val="001E6636"/>
    <w:rsid w:val="001E6CA4"/>
    <w:rsid w:val="001E6D2B"/>
    <w:rsid w:val="001E6FD7"/>
    <w:rsid w:val="001E70C8"/>
    <w:rsid w:val="001E7182"/>
    <w:rsid w:val="001E746E"/>
    <w:rsid w:val="001E74C8"/>
    <w:rsid w:val="001E76B6"/>
    <w:rsid w:val="001E78F7"/>
    <w:rsid w:val="001E7C79"/>
    <w:rsid w:val="001E7EB9"/>
    <w:rsid w:val="001E7F16"/>
    <w:rsid w:val="001F0A22"/>
    <w:rsid w:val="001F1328"/>
    <w:rsid w:val="001F1A3A"/>
    <w:rsid w:val="001F227B"/>
    <w:rsid w:val="001F28EF"/>
    <w:rsid w:val="001F295B"/>
    <w:rsid w:val="001F2B80"/>
    <w:rsid w:val="001F2DF7"/>
    <w:rsid w:val="001F30EE"/>
    <w:rsid w:val="001F339A"/>
    <w:rsid w:val="001F3B93"/>
    <w:rsid w:val="001F3BFD"/>
    <w:rsid w:val="001F3EAE"/>
    <w:rsid w:val="001F4B74"/>
    <w:rsid w:val="001F53F1"/>
    <w:rsid w:val="001F5439"/>
    <w:rsid w:val="001F5492"/>
    <w:rsid w:val="001F55A7"/>
    <w:rsid w:val="001F579C"/>
    <w:rsid w:val="001F58A0"/>
    <w:rsid w:val="001F5B6B"/>
    <w:rsid w:val="001F6568"/>
    <w:rsid w:val="001F65DF"/>
    <w:rsid w:val="001F6685"/>
    <w:rsid w:val="001F6CCE"/>
    <w:rsid w:val="001F74F7"/>
    <w:rsid w:val="001F76C7"/>
    <w:rsid w:val="001F7A2D"/>
    <w:rsid w:val="001F7B22"/>
    <w:rsid w:val="0020008A"/>
    <w:rsid w:val="002003BA"/>
    <w:rsid w:val="002004ED"/>
    <w:rsid w:val="002005C2"/>
    <w:rsid w:val="00200B49"/>
    <w:rsid w:val="00201147"/>
    <w:rsid w:val="00201915"/>
    <w:rsid w:val="00202235"/>
    <w:rsid w:val="0020238E"/>
    <w:rsid w:val="0020262A"/>
    <w:rsid w:val="00202801"/>
    <w:rsid w:val="0020297C"/>
    <w:rsid w:val="00202DDB"/>
    <w:rsid w:val="00202F0F"/>
    <w:rsid w:val="00202F11"/>
    <w:rsid w:val="00202F52"/>
    <w:rsid w:val="00203225"/>
    <w:rsid w:val="00203638"/>
    <w:rsid w:val="00203A00"/>
    <w:rsid w:val="00204195"/>
    <w:rsid w:val="002041A9"/>
    <w:rsid w:val="00204640"/>
    <w:rsid w:val="00204730"/>
    <w:rsid w:val="0020477B"/>
    <w:rsid w:val="002047F2"/>
    <w:rsid w:val="0020496D"/>
    <w:rsid w:val="00204A88"/>
    <w:rsid w:val="00204CFB"/>
    <w:rsid w:val="00204E2E"/>
    <w:rsid w:val="0020515C"/>
    <w:rsid w:val="00205605"/>
    <w:rsid w:val="00205A40"/>
    <w:rsid w:val="002062C8"/>
    <w:rsid w:val="00206438"/>
    <w:rsid w:val="0020686B"/>
    <w:rsid w:val="00206902"/>
    <w:rsid w:val="002069F5"/>
    <w:rsid w:val="00207306"/>
    <w:rsid w:val="00207584"/>
    <w:rsid w:val="00207720"/>
    <w:rsid w:val="00207AB6"/>
    <w:rsid w:val="00207E8A"/>
    <w:rsid w:val="00207EB8"/>
    <w:rsid w:val="002100AA"/>
    <w:rsid w:val="002105EE"/>
    <w:rsid w:val="002106A0"/>
    <w:rsid w:val="002107B3"/>
    <w:rsid w:val="00210CD3"/>
    <w:rsid w:val="002111DC"/>
    <w:rsid w:val="0021123E"/>
    <w:rsid w:val="00211572"/>
    <w:rsid w:val="00211630"/>
    <w:rsid w:val="002118F0"/>
    <w:rsid w:val="00211D9A"/>
    <w:rsid w:val="00211E07"/>
    <w:rsid w:val="00211FA3"/>
    <w:rsid w:val="002123F2"/>
    <w:rsid w:val="00212674"/>
    <w:rsid w:val="002129E6"/>
    <w:rsid w:val="00212B8A"/>
    <w:rsid w:val="002137F3"/>
    <w:rsid w:val="00214256"/>
    <w:rsid w:val="00214614"/>
    <w:rsid w:val="00214A09"/>
    <w:rsid w:val="00214BA6"/>
    <w:rsid w:val="00214EDD"/>
    <w:rsid w:val="0021528B"/>
    <w:rsid w:val="002157A0"/>
    <w:rsid w:val="00215844"/>
    <w:rsid w:val="00215C7A"/>
    <w:rsid w:val="00215FB7"/>
    <w:rsid w:val="002160EA"/>
    <w:rsid w:val="0021646C"/>
    <w:rsid w:val="00216507"/>
    <w:rsid w:val="0021657C"/>
    <w:rsid w:val="0021689A"/>
    <w:rsid w:val="0021691E"/>
    <w:rsid w:val="00216EDA"/>
    <w:rsid w:val="00216F63"/>
    <w:rsid w:val="00217452"/>
    <w:rsid w:val="00217479"/>
    <w:rsid w:val="00217C44"/>
    <w:rsid w:val="002200D1"/>
    <w:rsid w:val="0022018B"/>
    <w:rsid w:val="002204CD"/>
    <w:rsid w:val="00220770"/>
    <w:rsid w:val="00220C79"/>
    <w:rsid w:val="00220E14"/>
    <w:rsid w:val="00221138"/>
    <w:rsid w:val="00221235"/>
    <w:rsid w:val="0022123F"/>
    <w:rsid w:val="00221714"/>
    <w:rsid w:val="002219C6"/>
    <w:rsid w:val="002222E1"/>
    <w:rsid w:val="00222463"/>
    <w:rsid w:val="00222513"/>
    <w:rsid w:val="002229A3"/>
    <w:rsid w:val="00222F22"/>
    <w:rsid w:val="00223017"/>
    <w:rsid w:val="00223378"/>
    <w:rsid w:val="002234F9"/>
    <w:rsid w:val="00223536"/>
    <w:rsid w:val="00223B04"/>
    <w:rsid w:val="00223D59"/>
    <w:rsid w:val="00223DD6"/>
    <w:rsid w:val="00224372"/>
    <w:rsid w:val="00224681"/>
    <w:rsid w:val="00224B26"/>
    <w:rsid w:val="00224BEA"/>
    <w:rsid w:val="00224FF0"/>
    <w:rsid w:val="00225377"/>
    <w:rsid w:val="0022562A"/>
    <w:rsid w:val="002256A8"/>
    <w:rsid w:val="002256CB"/>
    <w:rsid w:val="0022572C"/>
    <w:rsid w:val="00225BB8"/>
    <w:rsid w:val="00225BBB"/>
    <w:rsid w:val="00225F25"/>
    <w:rsid w:val="00225F6E"/>
    <w:rsid w:val="00226415"/>
    <w:rsid w:val="00226815"/>
    <w:rsid w:val="00226A2E"/>
    <w:rsid w:val="00227265"/>
    <w:rsid w:val="00227576"/>
    <w:rsid w:val="002275C8"/>
    <w:rsid w:val="0022789B"/>
    <w:rsid w:val="002279AA"/>
    <w:rsid w:val="00227C41"/>
    <w:rsid w:val="00227C4F"/>
    <w:rsid w:val="00227EBA"/>
    <w:rsid w:val="002301BA"/>
    <w:rsid w:val="0023075F"/>
    <w:rsid w:val="002307B1"/>
    <w:rsid w:val="002308E3"/>
    <w:rsid w:val="002309EA"/>
    <w:rsid w:val="00230BEB"/>
    <w:rsid w:val="00230F9D"/>
    <w:rsid w:val="00230FEE"/>
    <w:rsid w:val="002313E7"/>
    <w:rsid w:val="0023145D"/>
    <w:rsid w:val="00231723"/>
    <w:rsid w:val="00231A27"/>
    <w:rsid w:val="00231B90"/>
    <w:rsid w:val="00231BC1"/>
    <w:rsid w:val="00231E70"/>
    <w:rsid w:val="00231ECE"/>
    <w:rsid w:val="0023259A"/>
    <w:rsid w:val="002326B6"/>
    <w:rsid w:val="0023317C"/>
    <w:rsid w:val="002331B1"/>
    <w:rsid w:val="002331D3"/>
    <w:rsid w:val="002332DF"/>
    <w:rsid w:val="002338B5"/>
    <w:rsid w:val="00233BF3"/>
    <w:rsid w:val="00233D03"/>
    <w:rsid w:val="002340C1"/>
    <w:rsid w:val="002341A4"/>
    <w:rsid w:val="00234C80"/>
    <w:rsid w:val="00234E34"/>
    <w:rsid w:val="00234FC0"/>
    <w:rsid w:val="0023506D"/>
    <w:rsid w:val="00235348"/>
    <w:rsid w:val="0023555F"/>
    <w:rsid w:val="0023583A"/>
    <w:rsid w:val="0023590B"/>
    <w:rsid w:val="00235975"/>
    <w:rsid w:val="0023648B"/>
    <w:rsid w:val="00236706"/>
    <w:rsid w:val="0023672C"/>
    <w:rsid w:val="002368E6"/>
    <w:rsid w:val="00236986"/>
    <w:rsid w:val="00236A75"/>
    <w:rsid w:val="00236B86"/>
    <w:rsid w:val="00236CC5"/>
    <w:rsid w:val="00236DD5"/>
    <w:rsid w:val="0023708F"/>
    <w:rsid w:val="002376D2"/>
    <w:rsid w:val="002378AD"/>
    <w:rsid w:val="00237BAC"/>
    <w:rsid w:val="00237BD9"/>
    <w:rsid w:val="00237D5F"/>
    <w:rsid w:val="00237F76"/>
    <w:rsid w:val="00237FFD"/>
    <w:rsid w:val="00240338"/>
    <w:rsid w:val="0024097C"/>
    <w:rsid w:val="00240BAD"/>
    <w:rsid w:val="00240DA1"/>
    <w:rsid w:val="00241095"/>
    <w:rsid w:val="00241132"/>
    <w:rsid w:val="0024153C"/>
    <w:rsid w:val="002416FF"/>
    <w:rsid w:val="00241C25"/>
    <w:rsid w:val="00241D13"/>
    <w:rsid w:val="00241E32"/>
    <w:rsid w:val="00241FA3"/>
    <w:rsid w:val="0024210B"/>
    <w:rsid w:val="00242538"/>
    <w:rsid w:val="0024296F"/>
    <w:rsid w:val="00242CD7"/>
    <w:rsid w:val="00242FE9"/>
    <w:rsid w:val="002432B6"/>
    <w:rsid w:val="002433C6"/>
    <w:rsid w:val="00243520"/>
    <w:rsid w:val="002436CA"/>
    <w:rsid w:val="002436D6"/>
    <w:rsid w:val="002436F9"/>
    <w:rsid w:val="00243A4D"/>
    <w:rsid w:val="00243D94"/>
    <w:rsid w:val="00244161"/>
    <w:rsid w:val="002445BF"/>
    <w:rsid w:val="00244DD8"/>
    <w:rsid w:val="00244E64"/>
    <w:rsid w:val="00244FCF"/>
    <w:rsid w:val="0024525F"/>
    <w:rsid w:val="00245513"/>
    <w:rsid w:val="00245858"/>
    <w:rsid w:val="00245F81"/>
    <w:rsid w:val="00246127"/>
    <w:rsid w:val="00246C7B"/>
    <w:rsid w:val="00246FCA"/>
    <w:rsid w:val="0024761E"/>
    <w:rsid w:val="00247763"/>
    <w:rsid w:val="002477D5"/>
    <w:rsid w:val="002478BF"/>
    <w:rsid w:val="00247952"/>
    <w:rsid w:val="00247BED"/>
    <w:rsid w:val="0025011C"/>
    <w:rsid w:val="00250224"/>
    <w:rsid w:val="002505A2"/>
    <w:rsid w:val="00250EA8"/>
    <w:rsid w:val="00250F11"/>
    <w:rsid w:val="0025132B"/>
    <w:rsid w:val="002516CE"/>
    <w:rsid w:val="0025175A"/>
    <w:rsid w:val="00251777"/>
    <w:rsid w:val="00251AFF"/>
    <w:rsid w:val="002524C9"/>
    <w:rsid w:val="00252538"/>
    <w:rsid w:val="00252850"/>
    <w:rsid w:val="00252C48"/>
    <w:rsid w:val="00252F59"/>
    <w:rsid w:val="00253099"/>
    <w:rsid w:val="002531A4"/>
    <w:rsid w:val="002538C5"/>
    <w:rsid w:val="00253C88"/>
    <w:rsid w:val="00253E09"/>
    <w:rsid w:val="00254128"/>
    <w:rsid w:val="0025417F"/>
    <w:rsid w:val="002545C3"/>
    <w:rsid w:val="00254700"/>
    <w:rsid w:val="00254705"/>
    <w:rsid w:val="002548B5"/>
    <w:rsid w:val="00254F31"/>
    <w:rsid w:val="002550EA"/>
    <w:rsid w:val="00255224"/>
    <w:rsid w:val="002555EC"/>
    <w:rsid w:val="002556C5"/>
    <w:rsid w:val="00255B19"/>
    <w:rsid w:val="002560C1"/>
    <w:rsid w:val="00256166"/>
    <w:rsid w:val="0025630E"/>
    <w:rsid w:val="00256460"/>
    <w:rsid w:val="0025649D"/>
    <w:rsid w:val="002564CA"/>
    <w:rsid w:val="00256E51"/>
    <w:rsid w:val="0025732E"/>
    <w:rsid w:val="00257472"/>
    <w:rsid w:val="00257552"/>
    <w:rsid w:val="00257631"/>
    <w:rsid w:val="002577AE"/>
    <w:rsid w:val="002577F7"/>
    <w:rsid w:val="00257BB9"/>
    <w:rsid w:val="002601C8"/>
    <w:rsid w:val="002606E2"/>
    <w:rsid w:val="00260823"/>
    <w:rsid w:val="00260C37"/>
    <w:rsid w:val="00260E11"/>
    <w:rsid w:val="002618EC"/>
    <w:rsid w:val="00261F0F"/>
    <w:rsid w:val="00262078"/>
    <w:rsid w:val="002621A3"/>
    <w:rsid w:val="002624AD"/>
    <w:rsid w:val="002627E9"/>
    <w:rsid w:val="00262F28"/>
    <w:rsid w:val="002630E4"/>
    <w:rsid w:val="002634B1"/>
    <w:rsid w:val="00263521"/>
    <w:rsid w:val="0026357D"/>
    <w:rsid w:val="0026397C"/>
    <w:rsid w:val="00263CCD"/>
    <w:rsid w:val="00263CDE"/>
    <w:rsid w:val="00264209"/>
    <w:rsid w:val="00264217"/>
    <w:rsid w:val="00264707"/>
    <w:rsid w:val="002648ED"/>
    <w:rsid w:val="00264BC2"/>
    <w:rsid w:val="00264F80"/>
    <w:rsid w:val="00265286"/>
    <w:rsid w:val="0026538D"/>
    <w:rsid w:val="00265396"/>
    <w:rsid w:val="002657C0"/>
    <w:rsid w:val="00265D9B"/>
    <w:rsid w:val="002660B3"/>
    <w:rsid w:val="002662EF"/>
    <w:rsid w:val="0026645A"/>
    <w:rsid w:val="00266468"/>
    <w:rsid w:val="0026675C"/>
    <w:rsid w:val="002667F1"/>
    <w:rsid w:val="002671D6"/>
    <w:rsid w:val="00267626"/>
    <w:rsid w:val="00267C31"/>
    <w:rsid w:val="00267E1D"/>
    <w:rsid w:val="00270171"/>
    <w:rsid w:val="002704D7"/>
    <w:rsid w:val="002706F1"/>
    <w:rsid w:val="00270A94"/>
    <w:rsid w:val="00270D50"/>
    <w:rsid w:val="00270D8A"/>
    <w:rsid w:val="00270D9E"/>
    <w:rsid w:val="00271407"/>
    <w:rsid w:val="00271544"/>
    <w:rsid w:val="00271739"/>
    <w:rsid w:val="00271825"/>
    <w:rsid w:val="00271AF4"/>
    <w:rsid w:val="00271C6A"/>
    <w:rsid w:val="00271D23"/>
    <w:rsid w:val="002720F6"/>
    <w:rsid w:val="00272370"/>
    <w:rsid w:val="002723F2"/>
    <w:rsid w:val="0027289A"/>
    <w:rsid w:val="002729A8"/>
    <w:rsid w:val="00272C00"/>
    <w:rsid w:val="00272E0A"/>
    <w:rsid w:val="00272EB4"/>
    <w:rsid w:val="00272FB5"/>
    <w:rsid w:val="002734AD"/>
    <w:rsid w:val="00273700"/>
    <w:rsid w:val="00273708"/>
    <w:rsid w:val="00273DDD"/>
    <w:rsid w:val="00274021"/>
    <w:rsid w:val="00274088"/>
    <w:rsid w:val="00274323"/>
    <w:rsid w:val="002744F1"/>
    <w:rsid w:val="002747FC"/>
    <w:rsid w:val="0027494A"/>
    <w:rsid w:val="00274A03"/>
    <w:rsid w:val="00274EB5"/>
    <w:rsid w:val="00274FE4"/>
    <w:rsid w:val="00274FFF"/>
    <w:rsid w:val="002751A6"/>
    <w:rsid w:val="0027586D"/>
    <w:rsid w:val="002759DC"/>
    <w:rsid w:val="00275B50"/>
    <w:rsid w:val="00275D50"/>
    <w:rsid w:val="002760EE"/>
    <w:rsid w:val="00276974"/>
    <w:rsid w:val="00276AC6"/>
    <w:rsid w:val="00276C79"/>
    <w:rsid w:val="00276CD4"/>
    <w:rsid w:val="002772A7"/>
    <w:rsid w:val="00277AB4"/>
    <w:rsid w:val="00277C37"/>
    <w:rsid w:val="00280044"/>
    <w:rsid w:val="002803E1"/>
    <w:rsid w:val="0028047A"/>
    <w:rsid w:val="002806D3"/>
    <w:rsid w:val="002808BE"/>
    <w:rsid w:val="00280994"/>
    <w:rsid w:val="00280DA6"/>
    <w:rsid w:val="0028163F"/>
    <w:rsid w:val="0028181D"/>
    <w:rsid w:val="00281896"/>
    <w:rsid w:val="00281CE8"/>
    <w:rsid w:val="00281D19"/>
    <w:rsid w:val="00281DB7"/>
    <w:rsid w:val="00281DE3"/>
    <w:rsid w:val="00281ED7"/>
    <w:rsid w:val="00281EDB"/>
    <w:rsid w:val="00282152"/>
    <w:rsid w:val="00282970"/>
    <w:rsid w:val="00282BC4"/>
    <w:rsid w:val="00283025"/>
    <w:rsid w:val="0028333F"/>
    <w:rsid w:val="00283501"/>
    <w:rsid w:val="00283607"/>
    <w:rsid w:val="00283612"/>
    <w:rsid w:val="00283AE6"/>
    <w:rsid w:val="00283B3F"/>
    <w:rsid w:val="00283D2D"/>
    <w:rsid w:val="00283E0B"/>
    <w:rsid w:val="00284303"/>
    <w:rsid w:val="002843A0"/>
    <w:rsid w:val="00284D9A"/>
    <w:rsid w:val="00284E0F"/>
    <w:rsid w:val="002858FE"/>
    <w:rsid w:val="00285A23"/>
    <w:rsid w:val="00285EB1"/>
    <w:rsid w:val="00285F5D"/>
    <w:rsid w:val="0028609D"/>
    <w:rsid w:val="00286441"/>
    <w:rsid w:val="0028652F"/>
    <w:rsid w:val="00286584"/>
    <w:rsid w:val="00286A90"/>
    <w:rsid w:val="00286DFB"/>
    <w:rsid w:val="00286E69"/>
    <w:rsid w:val="00286F5B"/>
    <w:rsid w:val="00287612"/>
    <w:rsid w:val="002876D1"/>
    <w:rsid w:val="002877F6"/>
    <w:rsid w:val="002879B7"/>
    <w:rsid w:val="00287E90"/>
    <w:rsid w:val="0029014C"/>
    <w:rsid w:val="002901AC"/>
    <w:rsid w:val="0029026F"/>
    <w:rsid w:val="002905B7"/>
    <w:rsid w:val="002906FB"/>
    <w:rsid w:val="00290762"/>
    <w:rsid w:val="00290C0A"/>
    <w:rsid w:val="00291259"/>
    <w:rsid w:val="00291316"/>
    <w:rsid w:val="002914E4"/>
    <w:rsid w:val="0029194E"/>
    <w:rsid w:val="00291A46"/>
    <w:rsid w:val="00291D7E"/>
    <w:rsid w:val="002922FC"/>
    <w:rsid w:val="002927C6"/>
    <w:rsid w:val="002927F3"/>
    <w:rsid w:val="00292A75"/>
    <w:rsid w:val="00292CB5"/>
    <w:rsid w:val="00292D17"/>
    <w:rsid w:val="00292D47"/>
    <w:rsid w:val="00292E8C"/>
    <w:rsid w:val="002932E4"/>
    <w:rsid w:val="00293531"/>
    <w:rsid w:val="00293553"/>
    <w:rsid w:val="0029371A"/>
    <w:rsid w:val="0029384A"/>
    <w:rsid w:val="0029384C"/>
    <w:rsid w:val="0029388B"/>
    <w:rsid w:val="00293D8A"/>
    <w:rsid w:val="00294152"/>
    <w:rsid w:val="002941FD"/>
    <w:rsid w:val="0029424F"/>
    <w:rsid w:val="002946E5"/>
    <w:rsid w:val="00294B37"/>
    <w:rsid w:val="00294D35"/>
    <w:rsid w:val="00294E90"/>
    <w:rsid w:val="002952EF"/>
    <w:rsid w:val="002953C7"/>
    <w:rsid w:val="0029553C"/>
    <w:rsid w:val="00295824"/>
    <w:rsid w:val="0029582B"/>
    <w:rsid w:val="00295985"/>
    <w:rsid w:val="00295B7D"/>
    <w:rsid w:val="00295E46"/>
    <w:rsid w:val="0029624C"/>
    <w:rsid w:val="00296396"/>
    <w:rsid w:val="0029650A"/>
    <w:rsid w:val="00296A1C"/>
    <w:rsid w:val="00296A86"/>
    <w:rsid w:val="00296B15"/>
    <w:rsid w:val="00296CAC"/>
    <w:rsid w:val="00296E95"/>
    <w:rsid w:val="00296FA5"/>
    <w:rsid w:val="00296FC1"/>
    <w:rsid w:val="00297355"/>
    <w:rsid w:val="002976D9"/>
    <w:rsid w:val="00297715"/>
    <w:rsid w:val="00297A60"/>
    <w:rsid w:val="00297F25"/>
    <w:rsid w:val="002A00A5"/>
    <w:rsid w:val="002A01F4"/>
    <w:rsid w:val="002A0227"/>
    <w:rsid w:val="002A02E4"/>
    <w:rsid w:val="002A03A4"/>
    <w:rsid w:val="002A048B"/>
    <w:rsid w:val="002A06CF"/>
    <w:rsid w:val="002A094C"/>
    <w:rsid w:val="002A0C6A"/>
    <w:rsid w:val="002A0D84"/>
    <w:rsid w:val="002A116C"/>
    <w:rsid w:val="002A174F"/>
    <w:rsid w:val="002A1991"/>
    <w:rsid w:val="002A1E63"/>
    <w:rsid w:val="002A1EC2"/>
    <w:rsid w:val="002A20B9"/>
    <w:rsid w:val="002A2622"/>
    <w:rsid w:val="002A26E3"/>
    <w:rsid w:val="002A2D71"/>
    <w:rsid w:val="002A2DA8"/>
    <w:rsid w:val="002A3244"/>
    <w:rsid w:val="002A35BC"/>
    <w:rsid w:val="002A3C3D"/>
    <w:rsid w:val="002A407C"/>
    <w:rsid w:val="002A43C6"/>
    <w:rsid w:val="002A45D4"/>
    <w:rsid w:val="002A4AD7"/>
    <w:rsid w:val="002A4CC7"/>
    <w:rsid w:val="002A56A7"/>
    <w:rsid w:val="002A573E"/>
    <w:rsid w:val="002A5983"/>
    <w:rsid w:val="002A5BB0"/>
    <w:rsid w:val="002A5C2D"/>
    <w:rsid w:val="002A5CA5"/>
    <w:rsid w:val="002A5CC9"/>
    <w:rsid w:val="002A626B"/>
    <w:rsid w:val="002A648D"/>
    <w:rsid w:val="002A66AA"/>
    <w:rsid w:val="002A66F7"/>
    <w:rsid w:val="002A67D6"/>
    <w:rsid w:val="002A6DF5"/>
    <w:rsid w:val="002A6E35"/>
    <w:rsid w:val="002A70E4"/>
    <w:rsid w:val="002A718C"/>
    <w:rsid w:val="002A71A1"/>
    <w:rsid w:val="002A7836"/>
    <w:rsid w:val="002A7C24"/>
    <w:rsid w:val="002A7E74"/>
    <w:rsid w:val="002A7F46"/>
    <w:rsid w:val="002B0144"/>
    <w:rsid w:val="002B018B"/>
    <w:rsid w:val="002B049E"/>
    <w:rsid w:val="002B07CC"/>
    <w:rsid w:val="002B08F7"/>
    <w:rsid w:val="002B0A5C"/>
    <w:rsid w:val="002B0B15"/>
    <w:rsid w:val="002B0B1E"/>
    <w:rsid w:val="002B0C54"/>
    <w:rsid w:val="002B1826"/>
    <w:rsid w:val="002B1889"/>
    <w:rsid w:val="002B18CD"/>
    <w:rsid w:val="002B1C84"/>
    <w:rsid w:val="002B1C87"/>
    <w:rsid w:val="002B2679"/>
    <w:rsid w:val="002B2D44"/>
    <w:rsid w:val="002B2D5A"/>
    <w:rsid w:val="002B2E28"/>
    <w:rsid w:val="002B3303"/>
    <w:rsid w:val="002B33A8"/>
    <w:rsid w:val="002B3448"/>
    <w:rsid w:val="002B3480"/>
    <w:rsid w:val="002B34CF"/>
    <w:rsid w:val="002B35FD"/>
    <w:rsid w:val="002B3919"/>
    <w:rsid w:val="002B3B9B"/>
    <w:rsid w:val="002B419C"/>
    <w:rsid w:val="002B4631"/>
    <w:rsid w:val="002B46BF"/>
    <w:rsid w:val="002B4D2B"/>
    <w:rsid w:val="002B5114"/>
    <w:rsid w:val="002B5443"/>
    <w:rsid w:val="002B5464"/>
    <w:rsid w:val="002B5971"/>
    <w:rsid w:val="002B5975"/>
    <w:rsid w:val="002B5BFA"/>
    <w:rsid w:val="002B5EDC"/>
    <w:rsid w:val="002B62B0"/>
    <w:rsid w:val="002B67AE"/>
    <w:rsid w:val="002B7030"/>
    <w:rsid w:val="002B71F0"/>
    <w:rsid w:val="002B720F"/>
    <w:rsid w:val="002B73CD"/>
    <w:rsid w:val="002B7430"/>
    <w:rsid w:val="002B78BE"/>
    <w:rsid w:val="002B7E30"/>
    <w:rsid w:val="002B7E54"/>
    <w:rsid w:val="002C019D"/>
    <w:rsid w:val="002C033C"/>
    <w:rsid w:val="002C085C"/>
    <w:rsid w:val="002C0934"/>
    <w:rsid w:val="002C0BB5"/>
    <w:rsid w:val="002C0CBA"/>
    <w:rsid w:val="002C0CD1"/>
    <w:rsid w:val="002C0D72"/>
    <w:rsid w:val="002C0E78"/>
    <w:rsid w:val="002C1436"/>
    <w:rsid w:val="002C1642"/>
    <w:rsid w:val="002C166E"/>
    <w:rsid w:val="002C18BD"/>
    <w:rsid w:val="002C1B63"/>
    <w:rsid w:val="002C1FF3"/>
    <w:rsid w:val="002C244D"/>
    <w:rsid w:val="002C24B4"/>
    <w:rsid w:val="002C28E2"/>
    <w:rsid w:val="002C2DDD"/>
    <w:rsid w:val="002C2DFE"/>
    <w:rsid w:val="002C2E05"/>
    <w:rsid w:val="002C2E86"/>
    <w:rsid w:val="002C2FA2"/>
    <w:rsid w:val="002C3022"/>
    <w:rsid w:val="002C3191"/>
    <w:rsid w:val="002C31FF"/>
    <w:rsid w:val="002C3682"/>
    <w:rsid w:val="002C37AD"/>
    <w:rsid w:val="002C3C67"/>
    <w:rsid w:val="002C3CAC"/>
    <w:rsid w:val="002C40A3"/>
    <w:rsid w:val="002C4B6E"/>
    <w:rsid w:val="002C5078"/>
    <w:rsid w:val="002C55C0"/>
    <w:rsid w:val="002C573F"/>
    <w:rsid w:val="002C58A8"/>
    <w:rsid w:val="002C590F"/>
    <w:rsid w:val="002C5C9A"/>
    <w:rsid w:val="002C5D2C"/>
    <w:rsid w:val="002C6121"/>
    <w:rsid w:val="002C61B5"/>
    <w:rsid w:val="002C6247"/>
    <w:rsid w:val="002C62A0"/>
    <w:rsid w:val="002C63CD"/>
    <w:rsid w:val="002C660A"/>
    <w:rsid w:val="002C67E1"/>
    <w:rsid w:val="002C6B80"/>
    <w:rsid w:val="002C6E44"/>
    <w:rsid w:val="002C72D0"/>
    <w:rsid w:val="002C7526"/>
    <w:rsid w:val="002C774B"/>
    <w:rsid w:val="002C7B3A"/>
    <w:rsid w:val="002C7DED"/>
    <w:rsid w:val="002C7EC5"/>
    <w:rsid w:val="002D023A"/>
    <w:rsid w:val="002D0247"/>
    <w:rsid w:val="002D0DD6"/>
    <w:rsid w:val="002D1036"/>
    <w:rsid w:val="002D1178"/>
    <w:rsid w:val="002D152D"/>
    <w:rsid w:val="002D1C4B"/>
    <w:rsid w:val="002D1EF9"/>
    <w:rsid w:val="002D2059"/>
    <w:rsid w:val="002D2485"/>
    <w:rsid w:val="002D24DC"/>
    <w:rsid w:val="002D2B51"/>
    <w:rsid w:val="002D2B6F"/>
    <w:rsid w:val="002D2DD3"/>
    <w:rsid w:val="002D2FD9"/>
    <w:rsid w:val="002D309D"/>
    <w:rsid w:val="002D3B37"/>
    <w:rsid w:val="002D4153"/>
    <w:rsid w:val="002D43C8"/>
    <w:rsid w:val="002D4468"/>
    <w:rsid w:val="002D45BD"/>
    <w:rsid w:val="002D466D"/>
    <w:rsid w:val="002D4BA2"/>
    <w:rsid w:val="002D5340"/>
    <w:rsid w:val="002D55D9"/>
    <w:rsid w:val="002D56F0"/>
    <w:rsid w:val="002D5898"/>
    <w:rsid w:val="002D5C14"/>
    <w:rsid w:val="002D5D0B"/>
    <w:rsid w:val="002D6074"/>
    <w:rsid w:val="002D6CA6"/>
    <w:rsid w:val="002D7835"/>
    <w:rsid w:val="002D79FD"/>
    <w:rsid w:val="002D7D81"/>
    <w:rsid w:val="002E0095"/>
    <w:rsid w:val="002E033C"/>
    <w:rsid w:val="002E080F"/>
    <w:rsid w:val="002E0964"/>
    <w:rsid w:val="002E1167"/>
    <w:rsid w:val="002E176A"/>
    <w:rsid w:val="002E1774"/>
    <w:rsid w:val="002E1CC5"/>
    <w:rsid w:val="002E1EAD"/>
    <w:rsid w:val="002E233E"/>
    <w:rsid w:val="002E2384"/>
    <w:rsid w:val="002E27D1"/>
    <w:rsid w:val="002E28A4"/>
    <w:rsid w:val="002E2C69"/>
    <w:rsid w:val="002E2ED9"/>
    <w:rsid w:val="002E3394"/>
    <w:rsid w:val="002E3451"/>
    <w:rsid w:val="002E34F5"/>
    <w:rsid w:val="002E355C"/>
    <w:rsid w:val="002E37C7"/>
    <w:rsid w:val="002E499C"/>
    <w:rsid w:val="002E4C12"/>
    <w:rsid w:val="002E4E34"/>
    <w:rsid w:val="002E4F02"/>
    <w:rsid w:val="002E52AC"/>
    <w:rsid w:val="002E52BE"/>
    <w:rsid w:val="002E544C"/>
    <w:rsid w:val="002E5569"/>
    <w:rsid w:val="002E5692"/>
    <w:rsid w:val="002E5B28"/>
    <w:rsid w:val="002E5FAC"/>
    <w:rsid w:val="002E6006"/>
    <w:rsid w:val="002E64F5"/>
    <w:rsid w:val="002E6777"/>
    <w:rsid w:val="002E68FB"/>
    <w:rsid w:val="002E6C73"/>
    <w:rsid w:val="002E6C93"/>
    <w:rsid w:val="002E6EE7"/>
    <w:rsid w:val="002E6FAF"/>
    <w:rsid w:val="002E71DD"/>
    <w:rsid w:val="002E767E"/>
    <w:rsid w:val="002E78A8"/>
    <w:rsid w:val="002E7DBA"/>
    <w:rsid w:val="002E7E8A"/>
    <w:rsid w:val="002F00CD"/>
    <w:rsid w:val="002F0175"/>
    <w:rsid w:val="002F0299"/>
    <w:rsid w:val="002F043A"/>
    <w:rsid w:val="002F06D1"/>
    <w:rsid w:val="002F08BA"/>
    <w:rsid w:val="002F09D6"/>
    <w:rsid w:val="002F0D06"/>
    <w:rsid w:val="002F0E01"/>
    <w:rsid w:val="002F0F5A"/>
    <w:rsid w:val="002F1125"/>
    <w:rsid w:val="002F11B4"/>
    <w:rsid w:val="002F127C"/>
    <w:rsid w:val="002F1790"/>
    <w:rsid w:val="002F2118"/>
    <w:rsid w:val="002F2290"/>
    <w:rsid w:val="002F22DC"/>
    <w:rsid w:val="002F27BA"/>
    <w:rsid w:val="002F28E9"/>
    <w:rsid w:val="002F29AC"/>
    <w:rsid w:val="002F2B30"/>
    <w:rsid w:val="002F2C11"/>
    <w:rsid w:val="002F32BD"/>
    <w:rsid w:val="002F3383"/>
    <w:rsid w:val="002F34D8"/>
    <w:rsid w:val="002F36AA"/>
    <w:rsid w:val="002F39D1"/>
    <w:rsid w:val="002F3A07"/>
    <w:rsid w:val="002F3E79"/>
    <w:rsid w:val="002F3F04"/>
    <w:rsid w:val="002F3F25"/>
    <w:rsid w:val="002F407E"/>
    <w:rsid w:val="002F43ED"/>
    <w:rsid w:val="002F4926"/>
    <w:rsid w:val="002F4A14"/>
    <w:rsid w:val="002F4D95"/>
    <w:rsid w:val="002F4E75"/>
    <w:rsid w:val="002F4EF0"/>
    <w:rsid w:val="002F5069"/>
    <w:rsid w:val="002F549C"/>
    <w:rsid w:val="002F5522"/>
    <w:rsid w:val="002F562D"/>
    <w:rsid w:val="002F564E"/>
    <w:rsid w:val="002F5699"/>
    <w:rsid w:val="002F58C1"/>
    <w:rsid w:val="002F5928"/>
    <w:rsid w:val="002F59E9"/>
    <w:rsid w:val="002F5AF4"/>
    <w:rsid w:val="002F5C1C"/>
    <w:rsid w:val="002F6243"/>
    <w:rsid w:val="002F6A91"/>
    <w:rsid w:val="002F6ABF"/>
    <w:rsid w:val="002F7298"/>
    <w:rsid w:val="002F7808"/>
    <w:rsid w:val="002F7866"/>
    <w:rsid w:val="002F78D0"/>
    <w:rsid w:val="002F7A0B"/>
    <w:rsid w:val="002F7A49"/>
    <w:rsid w:val="0030000B"/>
    <w:rsid w:val="00300326"/>
    <w:rsid w:val="00300439"/>
    <w:rsid w:val="0030050A"/>
    <w:rsid w:val="003007A6"/>
    <w:rsid w:val="003008F9"/>
    <w:rsid w:val="00300BC7"/>
    <w:rsid w:val="00300E4B"/>
    <w:rsid w:val="00300E77"/>
    <w:rsid w:val="00300F65"/>
    <w:rsid w:val="00301013"/>
    <w:rsid w:val="00301111"/>
    <w:rsid w:val="00301130"/>
    <w:rsid w:val="00301199"/>
    <w:rsid w:val="003012B6"/>
    <w:rsid w:val="003015A2"/>
    <w:rsid w:val="003016B8"/>
    <w:rsid w:val="003017AA"/>
    <w:rsid w:val="003017B3"/>
    <w:rsid w:val="0030197E"/>
    <w:rsid w:val="00301D2D"/>
    <w:rsid w:val="00301E24"/>
    <w:rsid w:val="0030255F"/>
    <w:rsid w:val="003025AB"/>
    <w:rsid w:val="0030273A"/>
    <w:rsid w:val="003028A2"/>
    <w:rsid w:val="00302E3E"/>
    <w:rsid w:val="00302E5E"/>
    <w:rsid w:val="00303013"/>
    <w:rsid w:val="003033CA"/>
    <w:rsid w:val="003035AF"/>
    <w:rsid w:val="00303678"/>
    <w:rsid w:val="00303742"/>
    <w:rsid w:val="003037F8"/>
    <w:rsid w:val="0030399D"/>
    <w:rsid w:val="00303C17"/>
    <w:rsid w:val="00303C5C"/>
    <w:rsid w:val="00303D67"/>
    <w:rsid w:val="00303E4B"/>
    <w:rsid w:val="00303E51"/>
    <w:rsid w:val="00304230"/>
    <w:rsid w:val="003044BA"/>
    <w:rsid w:val="0030451A"/>
    <w:rsid w:val="00304779"/>
    <w:rsid w:val="00304B81"/>
    <w:rsid w:val="00305300"/>
    <w:rsid w:val="003059F0"/>
    <w:rsid w:val="00305A18"/>
    <w:rsid w:val="00305C2E"/>
    <w:rsid w:val="00305F63"/>
    <w:rsid w:val="003064D1"/>
    <w:rsid w:val="0030665A"/>
    <w:rsid w:val="0030670A"/>
    <w:rsid w:val="00306926"/>
    <w:rsid w:val="00306BCC"/>
    <w:rsid w:val="00306DE5"/>
    <w:rsid w:val="003071F2"/>
    <w:rsid w:val="003071FE"/>
    <w:rsid w:val="003078D6"/>
    <w:rsid w:val="00307E57"/>
    <w:rsid w:val="003105F8"/>
    <w:rsid w:val="00310A22"/>
    <w:rsid w:val="00310A59"/>
    <w:rsid w:val="00310BCC"/>
    <w:rsid w:val="00310E55"/>
    <w:rsid w:val="00311079"/>
    <w:rsid w:val="003111D3"/>
    <w:rsid w:val="0031124E"/>
    <w:rsid w:val="00311F65"/>
    <w:rsid w:val="003120E6"/>
    <w:rsid w:val="003123C5"/>
    <w:rsid w:val="00312898"/>
    <w:rsid w:val="003135BD"/>
    <w:rsid w:val="00313AF1"/>
    <w:rsid w:val="00313B51"/>
    <w:rsid w:val="00313B90"/>
    <w:rsid w:val="00313BA1"/>
    <w:rsid w:val="00313BAF"/>
    <w:rsid w:val="00313EA9"/>
    <w:rsid w:val="003143E5"/>
    <w:rsid w:val="00315405"/>
    <w:rsid w:val="003154E0"/>
    <w:rsid w:val="00315BF1"/>
    <w:rsid w:val="00315D54"/>
    <w:rsid w:val="00316014"/>
    <w:rsid w:val="00316029"/>
    <w:rsid w:val="003160F8"/>
    <w:rsid w:val="0031614E"/>
    <w:rsid w:val="003161D5"/>
    <w:rsid w:val="003161F3"/>
    <w:rsid w:val="003165A1"/>
    <w:rsid w:val="0031663A"/>
    <w:rsid w:val="0031687B"/>
    <w:rsid w:val="00316CB5"/>
    <w:rsid w:val="003175E1"/>
    <w:rsid w:val="0031780C"/>
    <w:rsid w:val="00317A42"/>
    <w:rsid w:val="00317D53"/>
    <w:rsid w:val="00317E22"/>
    <w:rsid w:val="00317F9E"/>
    <w:rsid w:val="00320200"/>
    <w:rsid w:val="00320361"/>
    <w:rsid w:val="00320362"/>
    <w:rsid w:val="003204F6"/>
    <w:rsid w:val="00320631"/>
    <w:rsid w:val="00320C9D"/>
    <w:rsid w:val="00320CDB"/>
    <w:rsid w:val="0032115F"/>
    <w:rsid w:val="003212AE"/>
    <w:rsid w:val="003217FA"/>
    <w:rsid w:val="0032225D"/>
    <w:rsid w:val="0032235E"/>
    <w:rsid w:val="003228E8"/>
    <w:rsid w:val="003228F0"/>
    <w:rsid w:val="00322C60"/>
    <w:rsid w:val="00323056"/>
    <w:rsid w:val="003230C5"/>
    <w:rsid w:val="0032390D"/>
    <w:rsid w:val="0032395C"/>
    <w:rsid w:val="00323A46"/>
    <w:rsid w:val="00323A70"/>
    <w:rsid w:val="00323B85"/>
    <w:rsid w:val="003240BE"/>
    <w:rsid w:val="003249BB"/>
    <w:rsid w:val="003252C2"/>
    <w:rsid w:val="003253BB"/>
    <w:rsid w:val="00325800"/>
    <w:rsid w:val="00325D25"/>
    <w:rsid w:val="00325DF1"/>
    <w:rsid w:val="003262A4"/>
    <w:rsid w:val="0032677D"/>
    <w:rsid w:val="003267CD"/>
    <w:rsid w:val="00326A57"/>
    <w:rsid w:val="00326D24"/>
    <w:rsid w:val="00326DAB"/>
    <w:rsid w:val="00327090"/>
    <w:rsid w:val="003270E9"/>
    <w:rsid w:val="0032715B"/>
    <w:rsid w:val="00327270"/>
    <w:rsid w:val="0032773F"/>
    <w:rsid w:val="00327CAA"/>
    <w:rsid w:val="00327F89"/>
    <w:rsid w:val="0033002F"/>
    <w:rsid w:val="00330265"/>
    <w:rsid w:val="0033040C"/>
    <w:rsid w:val="00330791"/>
    <w:rsid w:val="00330932"/>
    <w:rsid w:val="00330C30"/>
    <w:rsid w:val="00330CF3"/>
    <w:rsid w:val="00330F00"/>
    <w:rsid w:val="00330F20"/>
    <w:rsid w:val="00331084"/>
    <w:rsid w:val="00331140"/>
    <w:rsid w:val="003312F3"/>
    <w:rsid w:val="0033170A"/>
    <w:rsid w:val="0033177A"/>
    <w:rsid w:val="00331B66"/>
    <w:rsid w:val="00331B74"/>
    <w:rsid w:val="00331CB7"/>
    <w:rsid w:val="00331D26"/>
    <w:rsid w:val="00331D38"/>
    <w:rsid w:val="00331FB0"/>
    <w:rsid w:val="00332015"/>
    <w:rsid w:val="00332364"/>
    <w:rsid w:val="00332373"/>
    <w:rsid w:val="0033266F"/>
    <w:rsid w:val="0033297F"/>
    <w:rsid w:val="0033299F"/>
    <w:rsid w:val="003329C7"/>
    <w:rsid w:val="00332FE9"/>
    <w:rsid w:val="003331B9"/>
    <w:rsid w:val="0033327F"/>
    <w:rsid w:val="003332F9"/>
    <w:rsid w:val="0033362B"/>
    <w:rsid w:val="00333664"/>
    <w:rsid w:val="00333CC5"/>
    <w:rsid w:val="0033468C"/>
    <w:rsid w:val="00334B50"/>
    <w:rsid w:val="00334F09"/>
    <w:rsid w:val="0033519A"/>
    <w:rsid w:val="003351D6"/>
    <w:rsid w:val="0033527C"/>
    <w:rsid w:val="00335389"/>
    <w:rsid w:val="00335615"/>
    <w:rsid w:val="00335847"/>
    <w:rsid w:val="0033628F"/>
    <w:rsid w:val="00336AF0"/>
    <w:rsid w:val="00336B5E"/>
    <w:rsid w:val="003374AA"/>
    <w:rsid w:val="00337672"/>
    <w:rsid w:val="00337CF3"/>
    <w:rsid w:val="00337E21"/>
    <w:rsid w:val="00337EB2"/>
    <w:rsid w:val="003402B4"/>
    <w:rsid w:val="00340405"/>
    <w:rsid w:val="00340411"/>
    <w:rsid w:val="003406B8"/>
    <w:rsid w:val="00340808"/>
    <w:rsid w:val="003408D5"/>
    <w:rsid w:val="00340AAA"/>
    <w:rsid w:val="00340E0E"/>
    <w:rsid w:val="00340EEB"/>
    <w:rsid w:val="00340F01"/>
    <w:rsid w:val="00340FE5"/>
    <w:rsid w:val="003410DC"/>
    <w:rsid w:val="003416F8"/>
    <w:rsid w:val="00342097"/>
    <w:rsid w:val="0034209F"/>
    <w:rsid w:val="00342125"/>
    <w:rsid w:val="00342251"/>
    <w:rsid w:val="00342661"/>
    <w:rsid w:val="003426E6"/>
    <w:rsid w:val="003434C3"/>
    <w:rsid w:val="00343540"/>
    <w:rsid w:val="0034359F"/>
    <w:rsid w:val="00343621"/>
    <w:rsid w:val="0034404B"/>
    <w:rsid w:val="00344D30"/>
    <w:rsid w:val="00344DFC"/>
    <w:rsid w:val="00344FB3"/>
    <w:rsid w:val="00345004"/>
    <w:rsid w:val="0034520E"/>
    <w:rsid w:val="00345233"/>
    <w:rsid w:val="0034523B"/>
    <w:rsid w:val="003458A0"/>
    <w:rsid w:val="00345C3F"/>
    <w:rsid w:val="00345FEB"/>
    <w:rsid w:val="003462D1"/>
    <w:rsid w:val="00346466"/>
    <w:rsid w:val="00346480"/>
    <w:rsid w:val="00346B6A"/>
    <w:rsid w:val="00346CC2"/>
    <w:rsid w:val="00346D88"/>
    <w:rsid w:val="00346DD3"/>
    <w:rsid w:val="00347742"/>
    <w:rsid w:val="00347D19"/>
    <w:rsid w:val="00347FDD"/>
    <w:rsid w:val="003503C1"/>
    <w:rsid w:val="003504B9"/>
    <w:rsid w:val="00350B4E"/>
    <w:rsid w:val="00350E42"/>
    <w:rsid w:val="003510EE"/>
    <w:rsid w:val="003515AA"/>
    <w:rsid w:val="003515BD"/>
    <w:rsid w:val="00351C5E"/>
    <w:rsid w:val="00351E5D"/>
    <w:rsid w:val="00351F22"/>
    <w:rsid w:val="003524D0"/>
    <w:rsid w:val="003525E1"/>
    <w:rsid w:val="00352C18"/>
    <w:rsid w:val="0035316F"/>
    <w:rsid w:val="00353181"/>
    <w:rsid w:val="00353188"/>
    <w:rsid w:val="003547CC"/>
    <w:rsid w:val="0035495D"/>
    <w:rsid w:val="00354AB2"/>
    <w:rsid w:val="00354B01"/>
    <w:rsid w:val="00354E78"/>
    <w:rsid w:val="00354F91"/>
    <w:rsid w:val="0035525E"/>
    <w:rsid w:val="00355290"/>
    <w:rsid w:val="00355338"/>
    <w:rsid w:val="0035544B"/>
    <w:rsid w:val="00355576"/>
    <w:rsid w:val="00355659"/>
    <w:rsid w:val="00355F04"/>
    <w:rsid w:val="00356566"/>
    <w:rsid w:val="003565EA"/>
    <w:rsid w:val="00356ED6"/>
    <w:rsid w:val="00357606"/>
    <w:rsid w:val="00357668"/>
    <w:rsid w:val="00357C10"/>
    <w:rsid w:val="00357F07"/>
    <w:rsid w:val="003604DA"/>
    <w:rsid w:val="003605D4"/>
    <w:rsid w:val="00360DDC"/>
    <w:rsid w:val="00360F8A"/>
    <w:rsid w:val="00361037"/>
    <w:rsid w:val="00361066"/>
    <w:rsid w:val="00361577"/>
    <w:rsid w:val="003616F4"/>
    <w:rsid w:val="00361B65"/>
    <w:rsid w:val="00361DC4"/>
    <w:rsid w:val="00361E4E"/>
    <w:rsid w:val="003621A9"/>
    <w:rsid w:val="00362261"/>
    <w:rsid w:val="0036238D"/>
    <w:rsid w:val="0036246E"/>
    <w:rsid w:val="00362687"/>
    <w:rsid w:val="0036268B"/>
    <w:rsid w:val="0036268C"/>
    <w:rsid w:val="00362718"/>
    <w:rsid w:val="00362B77"/>
    <w:rsid w:val="00362F08"/>
    <w:rsid w:val="00363D8A"/>
    <w:rsid w:val="003642CE"/>
    <w:rsid w:val="0036437B"/>
    <w:rsid w:val="003649B2"/>
    <w:rsid w:val="00364C02"/>
    <w:rsid w:val="00364D15"/>
    <w:rsid w:val="00364F59"/>
    <w:rsid w:val="00365146"/>
    <w:rsid w:val="003655AF"/>
    <w:rsid w:val="00365630"/>
    <w:rsid w:val="003659A7"/>
    <w:rsid w:val="00365FDE"/>
    <w:rsid w:val="003662D6"/>
    <w:rsid w:val="00366350"/>
    <w:rsid w:val="00366745"/>
    <w:rsid w:val="00366A97"/>
    <w:rsid w:val="00366BD4"/>
    <w:rsid w:val="00366DAE"/>
    <w:rsid w:val="0036725B"/>
    <w:rsid w:val="00367371"/>
    <w:rsid w:val="0036745E"/>
    <w:rsid w:val="003677A0"/>
    <w:rsid w:val="00367892"/>
    <w:rsid w:val="0036791C"/>
    <w:rsid w:val="003679A3"/>
    <w:rsid w:val="00367A45"/>
    <w:rsid w:val="00367CA3"/>
    <w:rsid w:val="00367FE0"/>
    <w:rsid w:val="00370267"/>
    <w:rsid w:val="003703FC"/>
    <w:rsid w:val="0037090C"/>
    <w:rsid w:val="003713EE"/>
    <w:rsid w:val="003714D3"/>
    <w:rsid w:val="003716D7"/>
    <w:rsid w:val="00371C0E"/>
    <w:rsid w:val="00372464"/>
    <w:rsid w:val="003724CF"/>
    <w:rsid w:val="003726F8"/>
    <w:rsid w:val="0037283A"/>
    <w:rsid w:val="00373313"/>
    <w:rsid w:val="00373489"/>
    <w:rsid w:val="003734A8"/>
    <w:rsid w:val="00373B73"/>
    <w:rsid w:val="00373EA5"/>
    <w:rsid w:val="00373F3A"/>
    <w:rsid w:val="0037408B"/>
    <w:rsid w:val="003741B5"/>
    <w:rsid w:val="00374241"/>
    <w:rsid w:val="003745F5"/>
    <w:rsid w:val="00374606"/>
    <w:rsid w:val="00374930"/>
    <w:rsid w:val="00374FFA"/>
    <w:rsid w:val="00375031"/>
    <w:rsid w:val="00375390"/>
    <w:rsid w:val="003753CF"/>
    <w:rsid w:val="003754FA"/>
    <w:rsid w:val="003759CD"/>
    <w:rsid w:val="00375A6D"/>
    <w:rsid w:val="00375B75"/>
    <w:rsid w:val="00375F7D"/>
    <w:rsid w:val="00376162"/>
    <w:rsid w:val="0037629D"/>
    <w:rsid w:val="0037644D"/>
    <w:rsid w:val="003764C5"/>
    <w:rsid w:val="00376651"/>
    <w:rsid w:val="003766E6"/>
    <w:rsid w:val="00376A33"/>
    <w:rsid w:val="00376B9D"/>
    <w:rsid w:val="00376C64"/>
    <w:rsid w:val="00376FE6"/>
    <w:rsid w:val="00377023"/>
    <w:rsid w:val="00377040"/>
    <w:rsid w:val="00377190"/>
    <w:rsid w:val="00377359"/>
    <w:rsid w:val="003773BD"/>
    <w:rsid w:val="00377410"/>
    <w:rsid w:val="00377431"/>
    <w:rsid w:val="00377754"/>
    <w:rsid w:val="00377C78"/>
    <w:rsid w:val="003801C2"/>
    <w:rsid w:val="00380461"/>
    <w:rsid w:val="00380552"/>
    <w:rsid w:val="00380583"/>
    <w:rsid w:val="00380890"/>
    <w:rsid w:val="00380D78"/>
    <w:rsid w:val="00380D8A"/>
    <w:rsid w:val="00380F06"/>
    <w:rsid w:val="0038108C"/>
    <w:rsid w:val="00381827"/>
    <w:rsid w:val="00381AA8"/>
    <w:rsid w:val="00381AAD"/>
    <w:rsid w:val="00381D4C"/>
    <w:rsid w:val="00381D5A"/>
    <w:rsid w:val="00381E5B"/>
    <w:rsid w:val="003821A3"/>
    <w:rsid w:val="0038234B"/>
    <w:rsid w:val="003823F8"/>
    <w:rsid w:val="003824E7"/>
    <w:rsid w:val="00382580"/>
    <w:rsid w:val="003826E4"/>
    <w:rsid w:val="0038284C"/>
    <w:rsid w:val="00382998"/>
    <w:rsid w:val="00382A15"/>
    <w:rsid w:val="00382D8D"/>
    <w:rsid w:val="00383086"/>
    <w:rsid w:val="00383136"/>
    <w:rsid w:val="00383475"/>
    <w:rsid w:val="0038367E"/>
    <w:rsid w:val="00383A7B"/>
    <w:rsid w:val="00383B53"/>
    <w:rsid w:val="00384859"/>
    <w:rsid w:val="003848B4"/>
    <w:rsid w:val="00384AE2"/>
    <w:rsid w:val="00384D05"/>
    <w:rsid w:val="00385009"/>
    <w:rsid w:val="003852D0"/>
    <w:rsid w:val="0038530C"/>
    <w:rsid w:val="003853FC"/>
    <w:rsid w:val="003856E9"/>
    <w:rsid w:val="0038586A"/>
    <w:rsid w:val="00385A07"/>
    <w:rsid w:val="00385BA8"/>
    <w:rsid w:val="00385CED"/>
    <w:rsid w:val="00385F30"/>
    <w:rsid w:val="00385FC8"/>
    <w:rsid w:val="00386E5E"/>
    <w:rsid w:val="00386F37"/>
    <w:rsid w:val="0038727C"/>
    <w:rsid w:val="0038774F"/>
    <w:rsid w:val="00387826"/>
    <w:rsid w:val="00387A8E"/>
    <w:rsid w:val="00387B06"/>
    <w:rsid w:val="00387B68"/>
    <w:rsid w:val="00387EFA"/>
    <w:rsid w:val="00390794"/>
    <w:rsid w:val="00390D3C"/>
    <w:rsid w:val="00391077"/>
    <w:rsid w:val="00391280"/>
    <w:rsid w:val="003918FA"/>
    <w:rsid w:val="00391913"/>
    <w:rsid w:val="00391A92"/>
    <w:rsid w:val="00392326"/>
    <w:rsid w:val="00392B85"/>
    <w:rsid w:val="0039329E"/>
    <w:rsid w:val="003938AC"/>
    <w:rsid w:val="00393CB8"/>
    <w:rsid w:val="00394229"/>
    <w:rsid w:val="003942D1"/>
    <w:rsid w:val="00394D74"/>
    <w:rsid w:val="00394F47"/>
    <w:rsid w:val="0039510E"/>
    <w:rsid w:val="003952BB"/>
    <w:rsid w:val="003953E4"/>
    <w:rsid w:val="003954B5"/>
    <w:rsid w:val="00395EAC"/>
    <w:rsid w:val="00395F51"/>
    <w:rsid w:val="003961BE"/>
    <w:rsid w:val="003962E2"/>
    <w:rsid w:val="0039653A"/>
    <w:rsid w:val="003967E8"/>
    <w:rsid w:val="0039695B"/>
    <w:rsid w:val="00396CFF"/>
    <w:rsid w:val="00397AFE"/>
    <w:rsid w:val="00397C02"/>
    <w:rsid w:val="00397F36"/>
    <w:rsid w:val="003A0343"/>
    <w:rsid w:val="003A0406"/>
    <w:rsid w:val="003A046E"/>
    <w:rsid w:val="003A0768"/>
    <w:rsid w:val="003A090E"/>
    <w:rsid w:val="003A0B63"/>
    <w:rsid w:val="003A0D05"/>
    <w:rsid w:val="003A0F4B"/>
    <w:rsid w:val="003A12EB"/>
    <w:rsid w:val="003A147A"/>
    <w:rsid w:val="003A19FE"/>
    <w:rsid w:val="003A1A3B"/>
    <w:rsid w:val="003A1A62"/>
    <w:rsid w:val="003A1A9D"/>
    <w:rsid w:val="003A1EDB"/>
    <w:rsid w:val="003A1F18"/>
    <w:rsid w:val="003A20B5"/>
    <w:rsid w:val="003A22E0"/>
    <w:rsid w:val="003A26AC"/>
    <w:rsid w:val="003A27A4"/>
    <w:rsid w:val="003A2D15"/>
    <w:rsid w:val="003A2D69"/>
    <w:rsid w:val="003A3266"/>
    <w:rsid w:val="003A32EE"/>
    <w:rsid w:val="003A3540"/>
    <w:rsid w:val="003A3748"/>
    <w:rsid w:val="003A3941"/>
    <w:rsid w:val="003A3B1F"/>
    <w:rsid w:val="003A3B54"/>
    <w:rsid w:val="003A3E7A"/>
    <w:rsid w:val="003A3E9D"/>
    <w:rsid w:val="003A3FCB"/>
    <w:rsid w:val="003A41CE"/>
    <w:rsid w:val="003A42B6"/>
    <w:rsid w:val="003A46DE"/>
    <w:rsid w:val="003A4F3A"/>
    <w:rsid w:val="003A4FD1"/>
    <w:rsid w:val="003A51A0"/>
    <w:rsid w:val="003A536D"/>
    <w:rsid w:val="003A554A"/>
    <w:rsid w:val="003A568D"/>
    <w:rsid w:val="003A56EC"/>
    <w:rsid w:val="003A5C2A"/>
    <w:rsid w:val="003A6091"/>
    <w:rsid w:val="003A621B"/>
    <w:rsid w:val="003A63C3"/>
    <w:rsid w:val="003A65E7"/>
    <w:rsid w:val="003A68CE"/>
    <w:rsid w:val="003A6D09"/>
    <w:rsid w:val="003A793D"/>
    <w:rsid w:val="003B01F5"/>
    <w:rsid w:val="003B049E"/>
    <w:rsid w:val="003B0A29"/>
    <w:rsid w:val="003B0B25"/>
    <w:rsid w:val="003B115C"/>
    <w:rsid w:val="003B1166"/>
    <w:rsid w:val="003B1239"/>
    <w:rsid w:val="003B1278"/>
    <w:rsid w:val="003B12D2"/>
    <w:rsid w:val="003B1375"/>
    <w:rsid w:val="003B184F"/>
    <w:rsid w:val="003B194C"/>
    <w:rsid w:val="003B1E2E"/>
    <w:rsid w:val="003B20C6"/>
    <w:rsid w:val="003B229B"/>
    <w:rsid w:val="003B2618"/>
    <w:rsid w:val="003B2F28"/>
    <w:rsid w:val="003B324F"/>
    <w:rsid w:val="003B3769"/>
    <w:rsid w:val="003B39F8"/>
    <w:rsid w:val="003B3E3D"/>
    <w:rsid w:val="003B42F6"/>
    <w:rsid w:val="003B4306"/>
    <w:rsid w:val="003B4800"/>
    <w:rsid w:val="003B5A72"/>
    <w:rsid w:val="003B5CC8"/>
    <w:rsid w:val="003B6033"/>
    <w:rsid w:val="003B63C8"/>
    <w:rsid w:val="003B63EB"/>
    <w:rsid w:val="003B650B"/>
    <w:rsid w:val="003B6760"/>
    <w:rsid w:val="003B6882"/>
    <w:rsid w:val="003B6B0D"/>
    <w:rsid w:val="003B6E0E"/>
    <w:rsid w:val="003B7461"/>
    <w:rsid w:val="003B7671"/>
    <w:rsid w:val="003B7892"/>
    <w:rsid w:val="003B78B3"/>
    <w:rsid w:val="003B790A"/>
    <w:rsid w:val="003B7E8C"/>
    <w:rsid w:val="003C0458"/>
    <w:rsid w:val="003C04FF"/>
    <w:rsid w:val="003C0816"/>
    <w:rsid w:val="003C093A"/>
    <w:rsid w:val="003C106D"/>
    <w:rsid w:val="003C1A0A"/>
    <w:rsid w:val="003C1E65"/>
    <w:rsid w:val="003C2006"/>
    <w:rsid w:val="003C2472"/>
    <w:rsid w:val="003C2B19"/>
    <w:rsid w:val="003C3003"/>
    <w:rsid w:val="003C3099"/>
    <w:rsid w:val="003C3236"/>
    <w:rsid w:val="003C32A9"/>
    <w:rsid w:val="003C36AD"/>
    <w:rsid w:val="003C3B01"/>
    <w:rsid w:val="003C3E32"/>
    <w:rsid w:val="003C416B"/>
    <w:rsid w:val="003C4229"/>
    <w:rsid w:val="003C44F7"/>
    <w:rsid w:val="003C4667"/>
    <w:rsid w:val="003C4799"/>
    <w:rsid w:val="003C494F"/>
    <w:rsid w:val="003C4A60"/>
    <w:rsid w:val="003C4E28"/>
    <w:rsid w:val="003C6222"/>
    <w:rsid w:val="003C62BB"/>
    <w:rsid w:val="003C6426"/>
    <w:rsid w:val="003C6821"/>
    <w:rsid w:val="003C72D1"/>
    <w:rsid w:val="003C7409"/>
    <w:rsid w:val="003C7622"/>
    <w:rsid w:val="003C768A"/>
    <w:rsid w:val="003C7EB8"/>
    <w:rsid w:val="003D03AE"/>
    <w:rsid w:val="003D040C"/>
    <w:rsid w:val="003D04B9"/>
    <w:rsid w:val="003D08E4"/>
    <w:rsid w:val="003D094F"/>
    <w:rsid w:val="003D0B74"/>
    <w:rsid w:val="003D0C2D"/>
    <w:rsid w:val="003D0C33"/>
    <w:rsid w:val="003D0CF0"/>
    <w:rsid w:val="003D0E75"/>
    <w:rsid w:val="003D0FA9"/>
    <w:rsid w:val="003D0FBF"/>
    <w:rsid w:val="003D10A0"/>
    <w:rsid w:val="003D17C8"/>
    <w:rsid w:val="003D17D6"/>
    <w:rsid w:val="003D180A"/>
    <w:rsid w:val="003D1A9A"/>
    <w:rsid w:val="003D1BED"/>
    <w:rsid w:val="003D1D93"/>
    <w:rsid w:val="003D1F25"/>
    <w:rsid w:val="003D1FA0"/>
    <w:rsid w:val="003D221D"/>
    <w:rsid w:val="003D227B"/>
    <w:rsid w:val="003D2382"/>
    <w:rsid w:val="003D27DD"/>
    <w:rsid w:val="003D28F6"/>
    <w:rsid w:val="003D2C99"/>
    <w:rsid w:val="003D2D5D"/>
    <w:rsid w:val="003D2E94"/>
    <w:rsid w:val="003D2F08"/>
    <w:rsid w:val="003D3020"/>
    <w:rsid w:val="003D3186"/>
    <w:rsid w:val="003D3402"/>
    <w:rsid w:val="003D3485"/>
    <w:rsid w:val="003D3512"/>
    <w:rsid w:val="003D3954"/>
    <w:rsid w:val="003D3973"/>
    <w:rsid w:val="003D4568"/>
    <w:rsid w:val="003D465A"/>
    <w:rsid w:val="003D46B3"/>
    <w:rsid w:val="003D4880"/>
    <w:rsid w:val="003D4CA2"/>
    <w:rsid w:val="003D4F1A"/>
    <w:rsid w:val="003D4F31"/>
    <w:rsid w:val="003D4F88"/>
    <w:rsid w:val="003D517F"/>
    <w:rsid w:val="003D5473"/>
    <w:rsid w:val="003D55C8"/>
    <w:rsid w:val="003D5695"/>
    <w:rsid w:val="003D576C"/>
    <w:rsid w:val="003D5B39"/>
    <w:rsid w:val="003D5B6A"/>
    <w:rsid w:val="003D5E55"/>
    <w:rsid w:val="003D617B"/>
    <w:rsid w:val="003D61D3"/>
    <w:rsid w:val="003D6279"/>
    <w:rsid w:val="003D6625"/>
    <w:rsid w:val="003D6715"/>
    <w:rsid w:val="003D67DB"/>
    <w:rsid w:val="003D6994"/>
    <w:rsid w:val="003D6C75"/>
    <w:rsid w:val="003D6E1C"/>
    <w:rsid w:val="003D6F67"/>
    <w:rsid w:val="003D6FE1"/>
    <w:rsid w:val="003D7CD3"/>
    <w:rsid w:val="003D7FA0"/>
    <w:rsid w:val="003E02E1"/>
    <w:rsid w:val="003E0390"/>
    <w:rsid w:val="003E060D"/>
    <w:rsid w:val="003E0BF3"/>
    <w:rsid w:val="003E0C34"/>
    <w:rsid w:val="003E0DE2"/>
    <w:rsid w:val="003E130D"/>
    <w:rsid w:val="003E15BD"/>
    <w:rsid w:val="003E15EE"/>
    <w:rsid w:val="003E1C7E"/>
    <w:rsid w:val="003E1DB2"/>
    <w:rsid w:val="003E1DF4"/>
    <w:rsid w:val="003E1FA9"/>
    <w:rsid w:val="003E1FD7"/>
    <w:rsid w:val="003E21DF"/>
    <w:rsid w:val="003E2277"/>
    <w:rsid w:val="003E2398"/>
    <w:rsid w:val="003E2BC4"/>
    <w:rsid w:val="003E2C16"/>
    <w:rsid w:val="003E2C78"/>
    <w:rsid w:val="003E2E8C"/>
    <w:rsid w:val="003E2FCB"/>
    <w:rsid w:val="003E408C"/>
    <w:rsid w:val="003E4202"/>
    <w:rsid w:val="003E425A"/>
    <w:rsid w:val="003E443E"/>
    <w:rsid w:val="003E477F"/>
    <w:rsid w:val="003E5062"/>
    <w:rsid w:val="003E56B7"/>
    <w:rsid w:val="003E5744"/>
    <w:rsid w:val="003E576E"/>
    <w:rsid w:val="003E5CD0"/>
    <w:rsid w:val="003E5E2F"/>
    <w:rsid w:val="003E5ED0"/>
    <w:rsid w:val="003E600E"/>
    <w:rsid w:val="003E69CD"/>
    <w:rsid w:val="003E6D49"/>
    <w:rsid w:val="003E6E4B"/>
    <w:rsid w:val="003E6FF5"/>
    <w:rsid w:val="003E7038"/>
    <w:rsid w:val="003E7193"/>
    <w:rsid w:val="003E744F"/>
    <w:rsid w:val="003E7AA3"/>
    <w:rsid w:val="003E7BB2"/>
    <w:rsid w:val="003E7D8D"/>
    <w:rsid w:val="003E7EEE"/>
    <w:rsid w:val="003E7FB4"/>
    <w:rsid w:val="003F075A"/>
    <w:rsid w:val="003F0992"/>
    <w:rsid w:val="003F0ED7"/>
    <w:rsid w:val="003F1159"/>
    <w:rsid w:val="003F1248"/>
    <w:rsid w:val="003F148D"/>
    <w:rsid w:val="003F15C5"/>
    <w:rsid w:val="003F1B9C"/>
    <w:rsid w:val="003F1F90"/>
    <w:rsid w:val="003F223A"/>
    <w:rsid w:val="003F22A2"/>
    <w:rsid w:val="003F22FF"/>
    <w:rsid w:val="003F2A79"/>
    <w:rsid w:val="003F2ACC"/>
    <w:rsid w:val="003F2C34"/>
    <w:rsid w:val="003F2E0A"/>
    <w:rsid w:val="003F3063"/>
    <w:rsid w:val="003F30DA"/>
    <w:rsid w:val="003F333C"/>
    <w:rsid w:val="003F381B"/>
    <w:rsid w:val="003F3931"/>
    <w:rsid w:val="003F3A38"/>
    <w:rsid w:val="003F3DF4"/>
    <w:rsid w:val="003F5117"/>
    <w:rsid w:val="003F562E"/>
    <w:rsid w:val="003F588C"/>
    <w:rsid w:val="003F5991"/>
    <w:rsid w:val="003F5D5F"/>
    <w:rsid w:val="003F5E8B"/>
    <w:rsid w:val="003F657D"/>
    <w:rsid w:val="003F65B5"/>
    <w:rsid w:val="003F6A12"/>
    <w:rsid w:val="003F6B34"/>
    <w:rsid w:val="003F6E4C"/>
    <w:rsid w:val="003F76FD"/>
    <w:rsid w:val="003F779F"/>
    <w:rsid w:val="003F7897"/>
    <w:rsid w:val="003F7B09"/>
    <w:rsid w:val="004001F8"/>
    <w:rsid w:val="00400347"/>
    <w:rsid w:val="0040065C"/>
    <w:rsid w:val="00400764"/>
    <w:rsid w:val="00400889"/>
    <w:rsid w:val="00400936"/>
    <w:rsid w:val="00400BBD"/>
    <w:rsid w:val="00400CFD"/>
    <w:rsid w:val="004010DE"/>
    <w:rsid w:val="00401264"/>
    <w:rsid w:val="00401408"/>
    <w:rsid w:val="00401742"/>
    <w:rsid w:val="0040198B"/>
    <w:rsid w:val="004019C2"/>
    <w:rsid w:val="00401F72"/>
    <w:rsid w:val="00402099"/>
    <w:rsid w:val="00402608"/>
    <w:rsid w:val="004027CE"/>
    <w:rsid w:val="00402914"/>
    <w:rsid w:val="00402E4C"/>
    <w:rsid w:val="00403236"/>
    <w:rsid w:val="00403436"/>
    <w:rsid w:val="00403649"/>
    <w:rsid w:val="0040385B"/>
    <w:rsid w:val="0040397B"/>
    <w:rsid w:val="00403F4F"/>
    <w:rsid w:val="0040402D"/>
    <w:rsid w:val="00404039"/>
    <w:rsid w:val="00404495"/>
    <w:rsid w:val="00404757"/>
    <w:rsid w:val="004048D8"/>
    <w:rsid w:val="00404DC5"/>
    <w:rsid w:val="004050D9"/>
    <w:rsid w:val="004051AD"/>
    <w:rsid w:val="004053CC"/>
    <w:rsid w:val="004055C1"/>
    <w:rsid w:val="004063E3"/>
    <w:rsid w:val="0040652B"/>
    <w:rsid w:val="0040677F"/>
    <w:rsid w:val="00406AE4"/>
    <w:rsid w:val="0040704F"/>
    <w:rsid w:val="00407261"/>
    <w:rsid w:val="00407741"/>
    <w:rsid w:val="00407983"/>
    <w:rsid w:val="00407C1C"/>
    <w:rsid w:val="00407E5A"/>
    <w:rsid w:val="004100F8"/>
    <w:rsid w:val="00410302"/>
    <w:rsid w:val="004104B3"/>
    <w:rsid w:val="00410847"/>
    <w:rsid w:val="004108E5"/>
    <w:rsid w:val="00410BCD"/>
    <w:rsid w:val="00410DCB"/>
    <w:rsid w:val="00410DFF"/>
    <w:rsid w:val="00411278"/>
    <w:rsid w:val="004112DE"/>
    <w:rsid w:val="00411500"/>
    <w:rsid w:val="00411568"/>
    <w:rsid w:val="0041170D"/>
    <w:rsid w:val="004117E2"/>
    <w:rsid w:val="0041188E"/>
    <w:rsid w:val="00411B46"/>
    <w:rsid w:val="00411B8D"/>
    <w:rsid w:val="00411D6A"/>
    <w:rsid w:val="00412169"/>
    <w:rsid w:val="00412273"/>
    <w:rsid w:val="00412924"/>
    <w:rsid w:val="00412946"/>
    <w:rsid w:val="00412F1A"/>
    <w:rsid w:val="004131AC"/>
    <w:rsid w:val="00413568"/>
    <w:rsid w:val="0041373E"/>
    <w:rsid w:val="00413C74"/>
    <w:rsid w:val="00413C82"/>
    <w:rsid w:val="00413F6F"/>
    <w:rsid w:val="004143CA"/>
    <w:rsid w:val="00414417"/>
    <w:rsid w:val="00414785"/>
    <w:rsid w:val="004149AB"/>
    <w:rsid w:val="0041515B"/>
    <w:rsid w:val="0041521A"/>
    <w:rsid w:val="004152E8"/>
    <w:rsid w:val="004154E2"/>
    <w:rsid w:val="004155F7"/>
    <w:rsid w:val="00415FC4"/>
    <w:rsid w:val="00416183"/>
    <w:rsid w:val="004163B2"/>
    <w:rsid w:val="0041667A"/>
    <w:rsid w:val="00416A36"/>
    <w:rsid w:val="00417638"/>
    <w:rsid w:val="004176EC"/>
    <w:rsid w:val="00417D65"/>
    <w:rsid w:val="004200D2"/>
    <w:rsid w:val="0042011D"/>
    <w:rsid w:val="00420722"/>
    <w:rsid w:val="00420F63"/>
    <w:rsid w:val="00421950"/>
    <w:rsid w:val="004223C0"/>
    <w:rsid w:val="00422462"/>
    <w:rsid w:val="004224BB"/>
    <w:rsid w:val="00422B0B"/>
    <w:rsid w:val="00422BAC"/>
    <w:rsid w:val="00422DDC"/>
    <w:rsid w:val="00423016"/>
    <w:rsid w:val="0042317D"/>
    <w:rsid w:val="004231E9"/>
    <w:rsid w:val="00423250"/>
    <w:rsid w:val="00423319"/>
    <w:rsid w:val="004237D0"/>
    <w:rsid w:val="004239D8"/>
    <w:rsid w:val="00423EE2"/>
    <w:rsid w:val="004242ED"/>
    <w:rsid w:val="00424731"/>
    <w:rsid w:val="004249E8"/>
    <w:rsid w:val="00424B18"/>
    <w:rsid w:val="00424B67"/>
    <w:rsid w:val="00424EBE"/>
    <w:rsid w:val="004258B2"/>
    <w:rsid w:val="004258FA"/>
    <w:rsid w:val="00425BF8"/>
    <w:rsid w:val="00425E7B"/>
    <w:rsid w:val="00425E93"/>
    <w:rsid w:val="00425F7C"/>
    <w:rsid w:val="00426354"/>
    <w:rsid w:val="0042679D"/>
    <w:rsid w:val="0042679F"/>
    <w:rsid w:val="004267D9"/>
    <w:rsid w:val="00426C22"/>
    <w:rsid w:val="00426F18"/>
    <w:rsid w:val="004277AE"/>
    <w:rsid w:val="004278D3"/>
    <w:rsid w:val="00427B55"/>
    <w:rsid w:val="00427BB5"/>
    <w:rsid w:val="00427F92"/>
    <w:rsid w:val="00430193"/>
    <w:rsid w:val="0043053F"/>
    <w:rsid w:val="0043063D"/>
    <w:rsid w:val="00430829"/>
    <w:rsid w:val="00430C39"/>
    <w:rsid w:val="00430C98"/>
    <w:rsid w:val="00431094"/>
    <w:rsid w:val="0043162C"/>
    <w:rsid w:val="004319EC"/>
    <w:rsid w:val="00431A7B"/>
    <w:rsid w:val="00431A90"/>
    <w:rsid w:val="00431B77"/>
    <w:rsid w:val="00431CAA"/>
    <w:rsid w:val="00431F45"/>
    <w:rsid w:val="004328D0"/>
    <w:rsid w:val="00432FA1"/>
    <w:rsid w:val="004331EA"/>
    <w:rsid w:val="00433259"/>
    <w:rsid w:val="0043333D"/>
    <w:rsid w:val="00433862"/>
    <w:rsid w:val="00433937"/>
    <w:rsid w:val="00433C83"/>
    <w:rsid w:val="00433F2B"/>
    <w:rsid w:val="004343CD"/>
    <w:rsid w:val="004348A7"/>
    <w:rsid w:val="00434B1B"/>
    <w:rsid w:val="00434BA1"/>
    <w:rsid w:val="00435132"/>
    <w:rsid w:val="00435497"/>
    <w:rsid w:val="004354EF"/>
    <w:rsid w:val="00435540"/>
    <w:rsid w:val="004355A4"/>
    <w:rsid w:val="00435778"/>
    <w:rsid w:val="00435841"/>
    <w:rsid w:val="004358BB"/>
    <w:rsid w:val="004359FE"/>
    <w:rsid w:val="00435B5C"/>
    <w:rsid w:val="00435B7A"/>
    <w:rsid w:val="00435CB2"/>
    <w:rsid w:val="004360F4"/>
    <w:rsid w:val="00436230"/>
    <w:rsid w:val="00436D73"/>
    <w:rsid w:val="00436F00"/>
    <w:rsid w:val="00437267"/>
    <w:rsid w:val="00437BC4"/>
    <w:rsid w:val="00437C47"/>
    <w:rsid w:val="00440225"/>
    <w:rsid w:val="004407BA"/>
    <w:rsid w:val="00440863"/>
    <w:rsid w:val="00440887"/>
    <w:rsid w:val="0044097A"/>
    <w:rsid w:val="00440EA1"/>
    <w:rsid w:val="00440F61"/>
    <w:rsid w:val="00440FD8"/>
    <w:rsid w:val="00441005"/>
    <w:rsid w:val="00441074"/>
    <w:rsid w:val="00441117"/>
    <w:rsid w:val="00441135"/>
    <w:rsid w:val="004411D3"/>
    <w:rsid w:val="004413AB"/>
    <w:rsid w:val="00441660"/>
    <w:rsid w:val="00441A44"/>
    <w:rsid w:val="00441B9F"/>
    <w:rsid w:val="00441D0C"/>
    <w:rsid w:val="00441ED4"/>
    <w:rsid w:val="00442243"/>
    <w:rsid w:val="004423BF"/>
    <w:rsid w:val="004426D1"/>
    <w:rsid w:val="00442C0F"/>
    <w:rsid w:val="00443580"/>
    <w:rsid w:val="00443A0B"/>
    <w:rsid w:val="00443D6F"/>
    <w:rsid w:val="00443ED1"/>
    <w:rsid w:val="0044473F"/>
    <w:rsid w:val="00444771"/>
    <w:rsid w:val="004448DC"/>
    <w:rsid w:val="00444944"/>
    <w:rsid w:val="00444B07"/>
    <w:rsid w:val="00444B68"/>
    <w:rsid w:val="00444DD1"/>
    <w:rsid w:val="00444F71"/>
    <w:rsid w:val="00445475"/>
    <w:rsid w:val="00445494"/>
    <w:rsid w:val="00445669"/>
    <w:rsid w:val="0044572D"/>
    <w:rsid w:val="00445B2A"/>
    <w:rsid w:val="00445D1C"/>
    <w:rsid w:val="00445D6B"/>
    <w:rsid w:val="00446276"/>
    <w:rsid w:val="0044657C"/>
    <w:rsid w:val="0044669D"/>
    <w:rsid w:val="004466A0"/>
    <w:rsid w:val="00446AD4"/>
    <w:rsid w:val="00446E6A"/>
    <w:rsid w:val="004472F2"/>
    <w:rsid w:val="00447433"/>
    <w:rsid w:val="00447626"/>
    <w:rsid w:val="00447C82"/>
    <w:rsid w:val="00447CEE"/>
    <w:rsid w:val="00447D69"/>
    <w:rsid w:val="0045000E"/>
    <w:rsid w:val="00450154"/>
    <w:rsid w:val="0045021C"/>
    <w:rsid w:val="004503F1"/>
    <w:rsid w:val="00450466"/>
    <w:rsid w:val="0045055D"/>
    <w:rsid w:val="004506F0"/>
    <w:rsid w:val="0045081F"/>
    <w:rsid w:val="00450953"/>
    <w:rsid w:val="00450B3F"/>
    <w:rsid w:val="00450C03"/>
    <w:rsid w:val="00450DFE"/>
    <w:rsid w:val="00451638"/>
    <w:rsid w:val="004516A0"/>
    <w:rsid w:val="0045194C"/>
    <w:rsid w:val="004519D2"/>
    <w:rsid w:val="004519F1"/>
    <w:rsid w:val="00451FB8"/>
    <w:rsid w:val="0045221A"/>
    <w:rsid w:val="0045287C"/>
    <w:rsid w:val="00452939"/>
    <w:rsid w:val="00452F2E"/>
    <w:rsid w:val="00453135"/>
    <w:rsid w:val="00453231"/>
    <w:rsid w:val="00453349"/>
    <w:rsid w:val="00453BE6"/>
    <w:rsid w:val="00453E31"/>
    <w:rsid w:val="00454033"/>
    <w:rsid w:val="004542D4"/>
    <w:rsid w:val="00454761"/>
    <w:rsid w:val="004548C5"/>
    <w:rsid w:val="00454A60"/>
    <w:rsid w:val="004550DC"/>
    <w:rsid w:val="004553A7"/>
    <w:rsid w:val="00455829"/>
    <w:rsid w:val="00455C17"/>
    <w:rsid w:val="00455C22"/>
    <w:rsid w:val="00455C5C"/>
    <w:rsid w:val="00455F2D"/>
    <w:rsid w:val="0045608B"/>
    <w:rsid w:val="00456185"/>
    <w:rsid w:val="004561CC"/>
    <w:rsid w:val="00456210"/>
    <w:rsid w:val="00456269"/>
    <w:rsid w:val="004564F7"/>
    <w:rsid w:val="0045695E"/>
    <w:rsid w:val="00456A14"/>
    <w:rsid w:val="00456A19"/>
    <w:rsid w:val="00456A2C"/>
    <w:rsid w:val="00456CBA"/>
    <w:rsid w:val="00457128"/>
    <w:rsid w:val="0045725A"/>
    <w:rsid w:val="00457469"/>
    <w:rsid w:val="0045791A"/>
    <w:rsid w:val="004603BF"/>
    <w:rsid w:val="0046057D"/>
    <w:rsid w:val="004606A0"/>
    <w:rsid w:val="00460E9C"/>
    <w:rsid w:val="0046109B"/>
    <w:rsid w:val="004611CC"/>
    <w:rsid w:val="00461306"/>
    <w:rsid w:val="00461366"/>
    <w:rsid w:val="0046193C"/>
    <w:rsid w:val="00461977"/>
    <w:rsid w:val="00461BA1"/>
    <w:rsid w:val="00461DDB"/>
    <w:rsid w:val="004620FA"/>
    <w:rsid w:val="0046245B"/>
    <w:rsid w:val="00462860"/>
    <w:rsid w:val="004629E9"/>
    <w:rsid w:val="00462C77"/>
    <w:rsid w:val="00462C78"/>
    <w:rsid w:val="00462CE2"/>
    <w:rsid w:val="00462D72"/>
    <w:rsid w:val="00462D78"/>
    <w:rsid w:val="004631D3"/>
    <w:rsid w:val="00463396"/>
    <w:rsid w:val="004635D9"/>
    <w:rsid w:val="004636E9"/>
    <w:rsid w:val="004636F0"/>
    <w:rsid w:val="0046384B"/>
    <w:rsid w:val="00463AC3"/>
    <w:rsid w:val="00463BE5"/>
    <w:rsid w:val="00463EE0"/>
    <w:rsid w:val="004645C9"/>
    <w:rsid w:val="0046472A"/>
    <w:rsid w:val="0046491C"/>
    <w:rsid w:val="00464CB0"/>
    <w:rsid w:val="004650BB"/>
    <w:rsid w:val="0046511F"/>
    <w:rsid w:val="0046554C"/>
    <w:rsid w:val="00465709"/>
    <w:rsid w:val="00465735"/>
    <w:rsid w:val="004659EA"/>
    <w:rsid w:val="00465AA0"/>
    <w:rsid w:val="00465DDA"/>
    <w:rsid w:val="00466775"/>
    <w:rsid w:val="004669E0"/>
    <w:rsid w:val="004669E5"/>
    <w:rsid w:val="00466AD8"/>
    <w:rsid w:val="00466B7F"/>
    <w:rsid w:val="00466C46"/>
    <w:rsid w:val="00466E8A"/>
    <w:rsid w:val="0046729F"/>
    <w:rsid w:val="004673E4"/>
    <w:rsid w:val="00467938"/>
    <w:rsid w:val="00467F84"/>
    <w:rsid w:val="004705EA"/>
    <w:rsid w:val="00470712"/>
    <w:rsid w:val="00470DC2"/>
    <w:rsid w:val="00470E7A"/>
    <w:rsid w:val="00470F46"/>
    <w:rsid w:val="00471388"/>
    <w:rsid w:val="004714C7"/>
    <w:rsid w:val="004715C7"/>
    <w:rsid w:val="00471B40"/>
    <w:rsid w:val="00471D2F"/>
    <w:rsid w:val="00471FE3"/>
    <w:rsid w:val="00472014"/>
    <w:rsid w:val="004720C5"/>
    <w:rsid w:val="004725BE"/>
    <w:rsid w:val="0047297E"/>
    <w:rsid w:val="00472C90"/>
    <w:rsid w:val="00472F82"/>
    <w:rsid w:val="00473492"/>
    <w:rsid w:val="0047374A"/>
    <w:rsid w:val="00473913"/>
    <w:rsid w:val="0047441B"/>
    <w:rsid w:val="0047442A"/>
    <w:rsid w:val="00474608"/>
    <w:rsid w:val="004748E9"/>
    <w:rsid w:val="00474A79"/>
    <w:rsid w:val="0047500E"/>
    <w:rsid w:val="00475059"/>
    <w:rsid w:val="0047593B"/>
    <w:rsid w:val="004759DC"/>
    <w:rsid w:val="004761D6"/>
    <w:rsid w:val="004765E7"/>
    <w:rsid w:val="00476A7B"/>
    <w:rsid w:val="00476E70"/>
    <w:rsid w:val="00477814"/>
    <w:rsid w:val="00477BF0"/>
    <w:rsid w:val="00477BF7"/>
    <w:rsid w:val="00477FB1"/>
    <w:rsid w:val="004803BB"/>
    <w:rsid w:val="004808EB"/>
    <w:rsid w:val="00480D55"/>
    <w:rsid w:val="00481025"/>
    <w:rsid w:val="004810DB"/>
    <w:rsid w:val="0048118B"/>
    <w:rsid w:val="004817CB"/>
    <w:rsid w:val="00481944"/>
    <w:rsid w:val="004819C1"/>
    <w:rsid w:val="00481BC1"/>
    <w:rsid w:val="00481E66"/>
    <w:rsid w:val="00482BB1"/>
    <w:rsid w:val="00482DC4"/>
    <w:rsid w:val="00482ECF"/>
    <w:rsid w:val="00483130"/>
    <w:rsid w:val="00483723"/>
    <w:rsid w:val="0048375A"/>
    <w:rsid w:val="0048379E"/>
    <w:rsid w:val="00484111"/>
    <w:rsid w:val="004841BD"/>
    <w:rsid w:val="004844F0"/>
    <w:rsid w:val="00484559"/>
    <w:rsid w:val="0048482B"/>
    <w:rsid w:val="004848A4"/>
    <w:rsid w:val="004849D7"/>
    <w:rsid w:val="00485214"/>
    <w:rsid w:val="0048542A"/>
    <w:rsid w:val="0048568A"/>
    <w:rsid w:val="004856E2"/>
    <w:rsid w:val="00485A91"/>
    <w:rsid w:val="00485ACB"/>
    <w:rsid w:val="004860BC"/>
    <w:rsid w:val="004860E3"/>
    <w:rsid w:val="0048628D"/>
    <w:rsid w:val="00486327"/>
    <w:rsid w:val="00486880"/>
    <w:rsid w:val="004869C8"/>
    <w:rsid w:val="00486C8F"/>
    <w:rsid w:val="00486F64"/>
    <w:rsid w:val="0048715E"/>
    <w:rsid w:val="004872F7"/>
    <w:rsid w:val="00487378"/>
    <w:rsid w:val="00487849"/>
    <w:rsid w:val="00487A11"/>
    <w:rsid w:val="00487A73"/>
    <w:rsid w:val="00487B9F"/>
    <w:rsid w:val="00487ECA"/>
    <w:rsid w:val="00490008"/>
    <w:rsid w:val="004901BC"/>
    <w:rsid w:val="00490289"/>
    <w:rsid w:val="00490332"/>
    <w:rsid w:val="0049038D"/>
    <w:rsid w:val="00490821"/>
    <w:rsid w:val="00490BF1"/>
    <w:rsid w:val="004914D9"/>
    <w:rsid w:val="00491551"/>
    <w:rsid w:val="004916C1"/>
    <w:rsid w:val="00491A25"/>
    <w:rsid w:val="00491D60"/>
    <w:rsid w:val="00491DEC"/>
    <w:rsid w:val="004921DD"/>
    <w:rsid w:val="004921F4"/>
    <w:rsid w:val="004924D1"/>
    <w:rsid w:val="00492678"/>
    <w:rsid w:val="004927E0"/>
    <w:rsid w:val="00492923"/>
    <w:rsid w:val="00492988"/>
    <w:rsid w:val="00492BD9"/>
    <w:rsid w:val="00493138"/>
    <w:rsid w:val="004931DD"/>
    <w:rsid w:val="004932FB"/>
    <w:rsid w:val="00493308"/>
    <w:rsid w:val="004936CA"/>
    <w:rsid w:val="004936DF"/>
    <w:rsid w:val="00493B67"/>
    <w:rsid w:val="00493D13"/>
    <w:rsid w:val="00493DC4"/>
    <w:rsid w:val="00493FD1"/>
    <w:rsid w:val="00494AE7"/>
    <w:rsid w:val="0049501E"/>
    <w:rsid w:val="004952C8"/>
    <w:rsid w:val="00495542"/>
    <w:rsid w:val="00495645"/>
    <w:rsid w:val="00495B87"/>
    <w:rsid w:val="00495BDB"/>
    <w:rsid w:val="00495FC7"/>
    <w:rsid w:val="0049646C"/>
    <w:rsid w:val="004964EB"/>
    <w:rsid w:val="00496592"/>
    <w:rsid w:val="0049663F"/>
    <w:rsid w:val="0049665B"/>
    <w:rsid w:val="00496718"/>
    <w:rsid w:val="00496749"/>
    <w:rsid w:val="004968BD"/>
    <w:rsid w:val="00496AF0"/>
    <w:rsid w:val="00496BF3"/>
    <w:rsid w:val="0049720E"/>
    <w:rsid w:val="0049763D"/>
    <w:rsid w:val="0049769A"/>
    <w:rsid w:val="00497CF1"/>
    <w:rsid w:val="00497D6E"/>
    <w:rsid w:val="00497DD0"/>
    <w:rsid w:val="00497E44"/>
    <w:rsid w:val="00497E84"/>
    <w:rsid w:val="00497F8C"/>
    <w:rsid w:val="004A0264"/>
    <w:rsid w:val="004A051C"/>
    <w:rsid w:val="004A06FF"/>
    <w:rsid w:val="004A09B0"/>
    <w:rsid w:val="004A0B20"/>
    <w:rsid w:val="004A0B68"/>
    <w:rsid w:val="004A0B95"/>
    <w:rsid w:val="004A0CD3"/>
    <w:rsid w:val="004A0F48"/>
    <w:rsid w:val="004A0FFE"/>
    <w:rsid w:val="004A1340"/>
    <w:rsid w:val="004A1AEF"/>
    <w:rsid w:val="004A1BF8"/>
    <w:rsid w:val="004A1F77"/>
    <w:rsid w:val="004A205D"/>
    <w:rsid w:val="004A26CA"/>
    <w:rsid w:val="004A2839"/>
    <w:rsid w:val="004A3232"/>
    <w:rsid w:val="004A32C0"/>
    <w:rsid w:val="004A351B"/>
    <w:rsid w:val="004A3C62"/>
    <w:rsid w:val="004A3E18"/>
    <w:rsid w:val="004A407C"/>
    <w:rsid w:val="004A41AA"/>
    <w:rsid w:val="004A460F"/>
    <w:rsid w:val="004A46DC"/>
    <w:rsid w:val="004A486A"/>
    <w:rsid w:val="004A4A31"/>
    <w:rsid w:val="004A4CCA"/>
    <w:rsid w:val="004A4D62"/>
    <w:rsid w:val="004A5095"/>
    <w:rsid w:val="004A533F"/>
    <w:rsid w:val="004A59C5"/>
    <w:rsid w:val="004A5DCB"/>
    <w:rsid w:val="004A6192"/>
    <w:rsid w:val="004A65AF"/>
    <w:rsid w:val="004A669F"/>
    <w:rsid w:val="004A6947"/>
    <w:rsid w:val="004A6C36"/>
    <w:rsid w:val="004A6D15"/>
    <w:rsid w:val="004A6D5B"/>
    <w:rsid w:val="004A730A"/>
    <w:rsid w:val="004A74E6"/>
    <w:rsid w:val="004A75DC"/>
    <w:rsid w:val="004A7759"/>
    <w:rsid w:val="004A78D7"/>
    <w:rsid w:val="004A78F9"/>
    <w:rsid w:val="004A7D4E"/>
    <w:rsid w:val="004A7EF4"/>
    <w:rsid w:val="004B0599"/>
    <w:rsid w:val="004B0622"/>
    <w:rsid w:val="004B071E"/>
    <w:rsid w:val="004B088F"/>
    <w:rsid w:val="004B0A9B"/>
    <w:rsid w:val="004B1032"/>
    <w:rsid w:val="004B109A"/>
    <w:rsid w:val="004B1620"/>
    <w:rsid w:val="004B1ACA"/>
    <w:rsid w:val="004B1DD1"/>
    <w:rsid w:val="004B1E69"/>
    <w:rsid w:val="004B263D"/>
    <w:rsid w:val="004B28B1"/>
    <w:rsid w:val="004B2A14"/>
    <w:rsid w:val="004B2B82"/>
    <w:rsid w:val="004B2C43"/>
    <w:rsid w:val="004B2EAE"/>
    <w:rsid w:val="004B3035"/>
    <w:rsid w:val="004B3097"/>
    <w:rsid w:val="004B309B"/>
    <w:rsid w:val="004B31B3"/>
    <w:rsid w:val="004B327E"/>
    <w:rsid w:val="004B32A3"/>
    <w:rsid w:val="004B32B0"/>
    <w:rsid w:val="004B34D0"/>
    <w:rsid w:val="004B362C"/>
    <w:rsid w:val="004B3652"/>
    <w:rsid w:val="004B37AA"/>
    <w:rsid w:val="004B38FB"/>
    <w:rsid w:val="004B3C1E"/>
    <w:rsid w:val="004B4B21"/>
    <w:rsid w:val="004B4CF0"/>
    <w:rsid w:val="004B4EFA"/>
    <w:rsid w:val="004B4FBA"/>
    <w:rsid w:val="004B508B"/>
    <w:rsid w:val="004B514A"/>
    <w:rsid w:val="004B532B"/>
    <w:rsid w:val="004B538F"/>
    <w:rsid w:val="004B5935"/>
    <w:rsid w:val="004B5ACB"/>
    <w:rsid w:val="004B5C0F"/>
    <w:rsid w:val="004B5CFE"/>
    <w:rsid w:val="004B5DD9"/>
    <w:rsid w:val="004B6150"/>
    <w:rsid w:val="004B62B3"/>
    <w:rsid w:val="004B6334"/>
    <w:rsid w:val="004B6B5B"/>
    <w:rsid w:val="004B6F97"/>
    <w:rsid w:val="004B6FD1"/>
    <w:rsid w:val="004B7006"/>
    <w:rsid w:val="004B71A9"/>
    <w:rsid w:val="004B74C4"/>
    <w:rsid w:val="004B7541"/>
    <w:rsid w:val="004B7690"/>
    <w:rsid w:val="004B76F2"/>
    <w:rsid w:val="004B787B"/>
    <w:rsid w:val="004B7882"/>
    <w:rsid w:val="004B7A23"/>
    <w:rsid w:val="004B7A9E"/>
    <w:rsid w:val="004B7CA7"/>
    <w:rsid w:val="004B7DD4"/>
    <w:rsid w:val="004B7E71"/>
    <w:rsid w:val="004C0021"/>
    <w:rsid w:val="004C0454"/>
    <w:rsid w:val="004C0457"/>
    <w:rsid w:val="004C0C30"/>
    <w:rsid w:val="004C0DF8"/>
    <w:rsid w:val="004C0FE5"/>
    <w:rsid w:val="004C13CF"/>
    <w:rsid w:val="004C1445"/>
    <w:rsid w:val="004C1580"/>
    <w:rsid w:val="004C1800"/>
    <w:rsid w:val="004C181B"/>
    <w:rsid w:val="004C183D"/>
    <w:rsid w:val="004C189B"/>
    <w:rsid w:val="004C2134"/>
    <w:rsid w:val="004C220C"/>
    <w:rsid w:val="004C2672"/>
    <w:rsid w:val="004C326A"/>
    <w:rsid w:val="004C3BCE"/>
    <w:rsid w:val="004C459D"/>
    <w:rsid w:val="004C4864"/>
    <w:rsid w:val="004C4B8C"/>
    <w:rsid w:val="004C520E"/>
    <w:rsid w:val="004C540D"/>
    <w:rsid w:val="004C542E"/>
    <w:rsid w:val="004C5656"/>
    <w:rsid w:val="004C566B"/>
    <w:rsid w:val="004C57CD"/>
    <w:rsid w:val="004C58F2"/>
    <w:rsid w:val="004C6389"/>
    <w:rsid w:val="004C63F4"/>
    <w:rsid w:val="004C64FE"/>
    <w:rsid w:val="004C65EB"/>
    <w:rsid w:val="004C66F7"/>
    <w:rsid w:val="004C695A"/>
    <w:rsid w:val="004C6BB9"/>
    <w:rsid w:val="004C6FC5"/>
    <w:rsid w:val="004C6FF9"/>
    <w:rsid w:val="004C73DA"/>
    <w:rsid w:val="004C7692"/>
    <w:rsid w:val="004C7736"/>
    <w:rsid w:val="004C7844"/>
    <w:rsid w:val="004C798D"/>
    <w:rsid w:val="004C7A55"/>
    <w:rsid w:val="004C7A80"/>
    <w:rsid w:val="004D02B4"/>
    <w:rsid w:val="004D02C5"/>
    <w:rsid w:val="004D039A"/>
    <w:rsid w:val="004D03E5"/>
    <w:rsid w:val="004D04FF"/>
    <w:rsid w:val="004D08DB"/>
    <w:rsid w:val="004D0B55"/>
    <w:rsid w:val="004D0C0D"/>
    <w:rsid w:val="004D111F"/>
    <w:rsid w:val="004D136A"/>
    <w:rsid w:val="004D1564"/>
    <w:rsid w:val="004D16BA"/>
    <w:rsid w:val="004D19B3"/>
    <w:rsid w:val="004D1ADD"/>
    <w:rsid w:val="004D2449"/>
    <w:rsid w:val="004D276D"/>
    <w:rsid w:val="004D28BA"/>
    <w:rsid w:val="004D2A41"/>
    <w:rsid w:val="004D365B"/>
    <w:rsid w:val="004D38F7"/>
    <w:rsid w:val="004D3A14"/>
    <w:rsid w:val="004D3C00"/>
    <w:rsid w:val="004D3E01"/>
    <w:rsid w:val="004D3EFB"/>
    <w:rsid w:val="004D4140"/>
    <w:rsid w:val="004D441D"/>
    <w:rsid w:val="004D44CB"/>
    <w:rsid w:val="004D47F7"/>
    <w:rsid w:val="004D48D6"/>
    <w:rsid w:val="004D49D0"/>
    <w:rsid w:val="004D5140"/>
    <w:rsid w:val="004D524A"/>
    <w:rsid w:val="004D536C"/>
    <w:rsid w:val="004D5419"/>
    <w:rsid w:val="004D5447"/>
    <w:rsid w:val="004D5E6D"/>
    <w:rsid w:val="004D5EBA"/>
    <w:rsid w:val="004D642E"/>
    <w:rsid w:val="004D681B"/>
    <w:rsid w:val="004D6934"/>
    <w:rsid w:val="004D6AE5"/>
    <w:rsid w:val="004D6F16"/>
    <w:rsid w:val="004D6FF1"/>
    <w:rsid w:val="004D7339"/>
    <w:rsid w:val="004D7789"/>
    <w:rsid w:val="004D782B"/>
    <w:rsid w:val="004D78FC"/>
    <w:rsid w:val="004D7E65"/>
    <w:rsid w:val="004D7F25"/>
    <w:rsid w:val="004E028D"/>
    <w:rsid w:val="004E0C7E"/>
    <w:rsid w:val="004E0F16"/>
    <w:rsid w:val="004E1015"/>
    <w:rsid w:val="004E1019"/>
    <w:rsid w:val="004E1387"/>
    <w:rsid w:val="004E13D7"/>
    <w:rsid w:val="004E1533"/>
    <w:rsid w:val="004E16C4"/>
    <w:rsid w:val="004E1829"/>
    <w:rsid w:val="004E1C30"/>
    <w:rsid w:val="004E1CB0"/>
    <w:rsid w:val="004E1CE5"/>
    <w:rsid w:val="004E1E74"/>
    <w:rsid w:val="004E1FFF"/>
    <w:rsid w:val="004E25DD"/>
    <w:rsid w:val="004E27D9"/>
    <w:rsid w:val="004E3122"/>
    <w:rsid w:val="004E32A5"/>
    <w:rsid w:val="004E3360"/>
    <w:rsid w:val="004E3620"/>
    <w:rsid w:val="004E38BE"/>
    <w:rsid w:val="004E3CA8"/>
    <w:rsid w:val="004E3EEC"/>
    <w:rsid w:val="004E3FBC"/>
    <w:rsid w:val="004E4128"/>
    <w:rsid w:val="004E43F5"/>
    <w:rsid w:val="004E44A6"/>
    <w:rsid w:val="004E48F2"/>
    <w:rsid w:val="004E4AAD"/>
    <w:rsid w:val="004E4B13"/>
    <w:rsid w:val="004E4D85"/>
    <w:rsid w:val="004E4F18"/>
    <w:rsid w:val="004E510E"/>
    <w:rsid w:val="004E53BF"/>
    <w:rsid w:val="004E54A3"/>
    <w:rsid w:val="004E57CF"/>
    <w:rsid w:val="004E584B"/>
    <w:rsid w:val="004E590E"/>
    <w:rsid w:val="004E5962"/>
    <w:rsid w:val="004E5AAC"/>
    <w:rsid w:val="004E5E5F"/>
    <w:rsid w:val="004E6358"/>
    <w:rsid w:val="004E6A9A"/>
    <w:rsid w:val="004E6C5B"/>
    <w:rsid w:val="004E6CAC"/>
    <w:rsid w:val="004E6CCA"/>
    <w:rsid w:val="004E6FC7"/>
    <w:rsid w:val="004E70BF"/>
    <w:rsid w:val="004E71CC"/>
    <w:rsid w:val="004E74AC"/>
    <w:rsid w:val="004E79A4"/>
    <w:rsid w:val="004E79F1"/>
    <w:rsid w:val="004E7A2D"/>
    <w:rsid w:val="004E7ADA"/>
    <w:rsid w:val="004F0196"/>
    <w:rsid w:val="004F0251"/>
    <w:rsid w:val="004F0431"/>
    <w:rsid w:val="004F04DF"/>
    <w:rsid w:val="004F06FD"/>
    <w:rsid w:val="004F071D"/>
    <w:rsid w:val="004F0E7F"/>
    <w:rsid w:val="004F10DE"/>
    <w:rsid w:val="004F1301"/>
    <w:rsid w:val="004F14AE"/>
    <w:rsid w:val="004F1582"/>
    <w:rsid w:val="004F16E4"/>
    <w:rsid w:val="004F1809"/>
    <w:rsid w:val="004F18C1"/>
    <w:rsid w:val="004F1EC9"/>
    <w:rsid w:val="004F214F"/>
    <w:rsid w:val="004F21E3"/>
    <w:rsid w:val="004F2357"/>
    <w:rsid w:val="004F23B5"/>
    <w:rsid w:val="004F2803"/>
    <w:rsid w:val="004F292B"/>
    <w:rsid w:val="004F2D8A"/>
    <w:rsid w:val="004F2EE8"/>
    <w:rsid w:val="004F31BD"/>
    <w:rsid w:val="004F39C3"/>
    <w:rsid w:val="004F3CC8"/>
    <w:rsid w:val="004F3CD7"/>
    <w:rsid w:val="004F41A6"/>
    <w:rsid w:val="004F4287"/>
    <w:rsid w:val="004F42B3"/>
    <w:rsid w:val="004F4371"/>
    <w:rsid w:val="004F437D"/>
    <w:rsid w:val="004F44B1"/>
    <w:rsid w:val="004F4914"/>
    <w:rsid w:val="004F4D00"/>
    <w:rsid w:val="004F4D17"/>
    <w:rsid w:val="004F4E5B"/>
    <w:rsid w:val="004F5290"/>
    <w:rsid w:val="004F52CA"/>
    <w:rsid w:val="004F52E8"/>
    <w:rsid w:val="004F52FA"/>
    <w:rsid w:val="004F542D"/>
    <w:rsid w:val="004F554C"/>
    <w:rsid w:val="004F57D6"/>
    <w:rsid w:val="004F5BDD"/>
    <w:rsid w:val="004F5C5C"/>
    <w:rsid w:val="004F6098"/>
    <w:rsid w:val="004F65B8"/>
    <w:rsid w:val="004F67CC"/>
    <w:rsid w:val="004F67F0"/>
    <w:rsid w:val="004F6E89"/>
    <w:rsid w:val="004F72F3"/>
    <w:rsid w:val="004F7469"/>
    <w:rsid w:val="004F77B4"/>
    <w:rsid w:val="004F7A4B"/>
    <w:rsid w:val="004F7D20"/>
    <w:rsid w:val="004F7E78"/>
    <w:rsid w:val="005000E3"/>
    <w:rsid w:val="0050032D"/>
    <w:rsid w:val="005007FC"/>
    <w:rsid w:val="005009A7"/>
    <w:rsid w:val="00500ACF"/>
    <w:rsid w:val="00500B51"/>
    <w:rsid w:val="00500BB8"/>
    <w:rsid w:val="00500D39"/>
    <w:rsid w:val="00500EA2"/>
    <w:rsid w:val="00500FD4"/>
    <w:rsid w:val="0050147D"/>
    <w:rsid w:val="0050147F"/>
    <w:rsid w:val="00501A4B"/>
    <w:rsid w:val="00501C93"/>
    <w:rsid w:val="00501C98"/>
    <w:rsid w:val="00501D18"/>
    <w:rsid w:val="00501F63"/>
    <w:rsid w:val="00502074"/>
    <w:rsid w:val="005021D3"/>
    <w:rsid w:val="00502524"/>
    <w:rsid w:val="00502691"/>
    <w:rsid w:val="005026A9"/>
    <w:rsid w:val="00502946"/>
    <w:rsid w:val="00502C92"/>
    <w:rsid w:val="00503467"/>
    <w:rsid w:val="00503C3B"/>
    <w:rsid w:val="00503C42"/>
    <w:rsid w:val="00503F37"/>
    <w:rsid w:val="00504550"/>
    <w:rsid w:val="0050471F"/>
    <w:rsid w:val="005047BF"/>
    <w:rsid w:val="00504B99"/>
    <w:rsid w:val="00504C85"/>
    <w:rsid w:val="00504D9D"/>
    <w:rsid w:val="00505051"/>
    <w:rsid w:val="0050506B"/>
    <w:rsid w:val="0050506E"/>
    <w:rsid w:val="0050506F"/>
    <w:rsid w:val="00505184"/>
    <w:rsid w:val="005052C3"/>
    <w:rsid w:val="0050535D"/>
    <w:rsid w:val="00505431"/>
    <w:rsid w:val="00505511"/>
    <w:rsid w:val="00505522"/>
    <w:rsid w:val="00505C0D"/>
    <w:rsid w:val="00505FEA"/>
    <w:rsid w:val="0050611C"/>
    <w:rsid w:val="00506191"/>
    <w:rsid w:val="005061E3"/>
    <w:rsid w:val="0050625B"/>
    <w:rsid w:val="00506265"/>
    <w:rsid w:val="0050627F"/>
    <w:rsid w:val="005062DC"/>
    <w:rsid w:val="005062F1"/>
    <w:rsid w:val="00506B18"/>
    <w:rsid w:val="00506E0D"/>
    <w:rsid w:val="00506FED"/>
    <w:rsid w:val="00507604"/>
    <w:rsid w:val="00507625"/>
    <w:rsid w:val="00507636"/>
    <w:rsid w:val="0050773F"/>
    <w:rsid w:val="005077C8"/>
    <w:rsid w:val="005102F4"/>
    <w:rsid w:val="00510348"/>
    <w:rsid w:val="005105DC"/>
    <w:rsid w:val="00510A07"/>
    <w:rsid w:val="005116FB"/>
    <w:rsid w:val="005117C7"/>
    <w:rsid w:val="005117EC"/>
    <w:rsid w:val="00511886"/>
    <w:rsid w:val="00511B90"/>
    <w:rsid w:val="00511FE0"/>
    <w:rsid w:val="0051219E"/>
    <w:rsid w:val="005121F6"/>
    <w:rsid w:val="005124A2"/>
    <w:rsid w:val="00512BEC"/>
    <w:rsid w:val="00512C2F"/>
    <w:rsid w:val="00512D36"/>
    <w:rsid w:val="0051330F"/>
    <w:rsid w:val="005133BD"/>
    <w:rsid w:val="00513556"/>
    <w:rsid w:val="00513604"/>
    <w:rsid w:val="00514152"/>
    <w:rsid w:val="00514495"/>
    <w:rsid w:val="00514546"/>
    <w:rsid w:val="0051470B"/>
    <w:rsid w:val="00514AA9"/>
    <w:rsid w:val="00514D70"/>
    <w:rsid w:val="005151AC"/>
    <w:rsid w:val="00515A4C"/>
    <w:rsid w:val="00515C0C"/>
    <w:rsid w:val="00516132"/>
    <w:rsid w:val="005162CB"/>
    <w:rsid w:val="005163F0"/>
    <w:rsid w:val="005164C6"/>
    <w:rsid w:val="00516740"/>
    <w:rsid w:val="005168C3"/>
    <w:rsid w:val="00516A9A"/>
    <w:rsid w:val="00517702"/>
    <w:rsid w:val="005178D2"/>
    <w:rsid w:val="00517DD0"/>
    <w:rsid w:val="005202FB"/>
    <w:rsid w:val="005207EB"/>
    <w:rsid w:val="005208E5"/>
    <w:rsid w:val="00520955"/>
    <w:rsid w:val="00521067"/>
    <w:rsid w:val="0052139D"/>
    <w:rsid w:val="005213A8"/>
    <w:rsid w:val="005219CB"/>
    <w:rsid w:val="00521BBE"/>
    <w:rsid w:val="00521C02"/>
    <w:rsid w:val="00521E3F"/>
    <w:rsid w:val="0052201D"/>
    <w:rsid w:val="00522043"/>
    <w:rsid w:val="0052254B"/>
    <w:rsid w:val="005226CE"/>
    <w:rsid w:val="0052271B"/>
    <w:rsid w:val="00522937"/>
    <w:rsid w:val="0052315D"/>
    <w:rsid w:val="0052323F"/>
    <w:rsid w:val="005234EC"/>
    <w:rsid w:val="00523C7F"/>
    <w:rsid w:val="00523D44"/>
    <w:rsid w:val="00523DC7"/>
    <w:rsid w:val="00523FB4"/>
    <w:rsid w:val="00523FDC"/>
    <w:rsid w:val="00524172"/>
    <w:rsid w:val="005242F5"/>
    <w:rsid w:val="00524344"/>
    <w:rsid w:val="00524D8C"/>
    <w:rsid w:val="00524DB1"/>
    <w:rsid w:val="00524E78"/>
    <w:rsid w:val="00524EE5"/>
    <w:rsid w:val="005257E7"/>
    <w:rsid w:val="005258DF"/>
    <w:rsid w:val="00525B99"/>
    <w:rsid w:val="00525D66"/>
    <w:rsid w:val="00525F55"/>
    <w:rsid w:val="00526245"/>
    <w:rsid w:val="005269B3"/>
    <w:rsid w:val="00526A5B"/>
    <w:rsid w:val="00526A8C"/>
    <w:rsid w:val="00526B0C"/>
    <w:rsid w:val="00526BAB"/>
    <w:rsid w:val="00526C13"/>
    <w:rsid w:val="005274F9"/>
    <w:rsid w:val="005275F8"/>
    <w:rsid w:val="00527789"/>
    <w:rsid w:val="0052790A"/>
    <w:rsid w:val="00527B0B"/>
    <w:rsid w:val="00530261"/>
    <w:rsid w:val="005302D5"/>
    <w:rsid w:val="00530321"/>
    <w:rsid w:val="005303A6"/>
    <w:rsid w:val="0053052E"/>
    <w:rsid w:val="005306A2"/>
    <w:rsid w:val="0053075E"/>
    <w:rsid w:val="00530879"/>
    <w:rsid w:val="00530A9F"/>
    <w:rsid w:val="00530AA4"/>
    <w:rsid w:val="00530F5C"/>
    <w:rsid w:val="00531014"/>
    <w:rsid w:val="00531112"/>
    <w:rsid w:val="005313EC"/>
    <w:rsid w:val="005314F0"/>
    <w:rsid w:val="005315B2"/>
    <w:rsid w:val="00531914"/>
    <w:rsid w:val="005319FD"/>
    <w:rsid w:val="00531ADA"/>
    <w:rsid w:val="00531D06"/>
    <w:rsid w:val="00531D7B"/>
    <w:rsid w:val="00532440"/>
    <w:rsid w:val="00532608"/>
    <w:rsid w:val="00532772"/>
    <w:rsid w:val="005328E7"/>
    <w:rsid w:val="00532E33"/>
    <w:rsid w:val="00533315"/>
    <w:rsid w:val="0053334B"/>
    <w:rsid w:val="0053336C"/>
    <w:rsid w:val="00533389"/>
    <w:rsid w:val="00533489"/>
    <w:rsid w:val="00533794"/>
    <w:rsid w:val="00533887"/>
    <w:rsid w:val="005343CD"/>
    <w:rsid w:val="0053444C"/>
    <w:rsid w:val="005345CF"/>
    <w:rsid w:val="00534A1B"/>
    <w:rsid w:val="00534B49"/>
    <w:rsid w:val="00534BAB"/>
    <w:rsid w:val="00534C0E"/>
    <w:rsid w:val="005351F0"/>
    <w:rsid w:val="0053530A"/>
    <w:rsid w:val="00535856"/>
    <w:rsid w:val="00535904"/>
    <w:rsid w:val="00535918"/>
    <w:rsid w:val="00535975"/>
    <w:rsid w:val="0053598A"/>
    <w:rsid w:val="00535B98"/>
    <w:rsid w:val="00535F57"/>
    <w:rsid w:val="005361A7"/>
    <w:rsid w:val="0053627F"/>
    <w:rsid w:val="0053642E"/>
    <w:rsid w:val="005366C4"/>
    <w:rsid w:val="00536800"/>
    <w:rsid w:val="00536874"/>
    <w:rsid w:val="00536A2E"/>
    <w:rsid w:val="00536BB7"/>
    <w:rsid w:val="00536C32"/>
    <w:rsid w:val="00536CBF"/>
    <w:rsid w:val="00536FDA"/>
    <w:rsid w:val="00537206"/>
    <w:rsid w:val="0053742A"/>
    <w:rsid w:val="005374B5"/>
    <w:rsid w:val="00537AC8"/>
    <w:rsid w:val="00537CE9"/>
    <w:rsid w:val="00537D73"/>
    <w:rsid w:val="00537E16"/>
    <w:rsid w:val="0054008F"/>
    <w:rsid w:val="005405C3"/>
    <w:rsid w:val="00540A21"/>
    <w:rsid w:val="00540B36"/>
    <w:rsid w:val="00540E6A"/>
    <w:rsid w:val="00541209"/>
    <w:rsid w:val="0054128B"/>
    <w:rsid w:val="00541360"/>
    <w:rsid w:val="005418D7"/>
    <w:rsid w:val="00541B86"/>
    <w:rsid w:val="00541E7F"/>
    <w:rsid w:val="00542154"/>
    <w:rsid w:val="00542C7B"/>
    <w:rsid w:val="00542CE4"/>
    <w:rsid w:val="0054305F"/>
    <w:rsid w:val="0054315A"/>
    <w:rsid w:val="00543331"/>
    <w:rsid w:val="0054346B"/>
    <w:rsid w:val="00543479"/>
    <w:rsid w:val="00543576"/>
    <w:rsid w:val="0054396A"/>
    <w:rsid w:val="00543973"/>
    <w:rsid w:val="00544415"/>
    <w:rsid w:val="00544EB7"/>
    <w:rsid w:val="00544EBB"/>
    <w:rsid w:val="00545165"/>
    <w:rsid w:val="00545316"/>
    <w:rsid w:val="005453CD"/>
    <w:rsid w:val="00545B10"/>
    <w:rsid w:val="00545DBF"/>
    <w:rsid w:val="00545DF2"/>
    <w:rsid w:val="00545E7D"/>
    <w:rsid w:val="00545F3E"/>
    <w:rsid w:val="005461CC"/>
    <w:rsid w:val="00546217"/>
    <w:rsid w:val="005463A2"/>
    <w:rsid w:val="005463BE"/>
    <w:rsid w:val="00546917"/>
    <w:rsid w:val="00547037"/>
    <w:rsid w:val="0054776C"/>
    <w:rsid w:val="005478B3"/>
    <w:rsid w:val="00547EFD"/>
    <w:rsid w:val="0055029F"/>
    <w:rsid w:val="005509C1"/>
    <w:rsid w:val="00550AA7"/>
    <w:rsid w:val="00550AD0"/>
    <w:rsid w:val="00550BA1"/>
    <w:rsid w:val="00550BF7"/>
    <w:rsid w:val="00550D3C"/>
    <w:rsid w:val="00550DA9"/>
    <w:rsid w:val="00551100"/>
    <w:rsid w:val="00551169"/>
    <w:rsid w:val="00551400"/>
    <w:rsid w:val="005515FE"/>
    <w:rsid w:val="00552577"/>
    <w:rsid w:val="0055264E"/>
    <w:rsid w:val="0055266B"/>
    <w:rsid w:val="005529C3"/>
    <w:rsid w:val="00552B00"/>
    <w:rsid w:val="00553075"/>
    <w:rsid w:val="00553390"/>
    <w:rsid w:val="005533D5"/>
    <w:rsid w:val="00553444"/>
    <w:rsid w:val="00553A1F"/>
    <w:rsid w:val="00553B8A"/>
    <w:rsid w:val="00553BA4"/>
    <w:rsid w:val="00553CEF"/>
    <w:rsid w:val="00553FDA"/>
    <w:rsid w:val="0055409A"/>
    <w:rsid w:val="00554538"/>
    <w:rsid w:val="0055465A"/>
    <w:rsid w:val="005547EE"/>
    <w:rsid w:val="0055485C"/>
    <w:rsid w:val="00554969"/>
    <w:rsid w:val="00554C54"/>
    <w:rsid w:val="00554D45"/>
    <w:rsid w:val="00554DB5"/>
    <w:rsid w:val="00555370"/>
    <w:rsid w:val="005554A4"/>
    <w:rsid w:val="00555520"/>
    <w:rsid w:val="00555655"/>
    <w:rsid w:val="00555760"/>
    <w:rsid w:val="00555944"/>
    <w:rsid w:val="00555ABD"/>
    <w:rsid w:val="00555D6B"/>
    <w:rsid w:val="00555F11"/>
    <w:rsid w:val="00556009"/>
    <w:rsid w:val="00556075"/>
    <w:rsid w:val="00556204"/>
    <w:rsid w:val="005566E1"/>
    <w:rsid w:val="005573A5"/>
    <w:rsid w:val="005573E2"/>
    <w:rsid w:val="00557A7D"/>
    <w:rsid w:val="00557DD5"/>
    <w:rsid w:val="00557EA5"/>
    <w:rsid w:val="0056004E"/>
    <w:rsid w:val="00560486"/>
    <w:rsid w:val="005605E3"/>
    <w:rsid w:val="005606CE"/>
    <w:rsid w:val="00560954"/>
    <w:rsid w:val="00560D1C"/>
    <w:rsid w:val="00560D52"/>
    <w:rsid w:val="00560E68"/>
    <w:rsid w:val="005613D2"/>
    <w:rsid w:val="0056147C"/>
    <w:rsid w:val="005617C2"/>
    <w:rsid w:val="0056187C"/>
    <w:rsid w:val="00562235"/>
    <w:rsid w:val="005623C0"/>
    <w:rsid w:val="005627A6"/>
    <w:rsid w:val="00562960"/>
    <w:rsid w:val="00562973"/>
    <w:rsid w:val="00562AB1"/>
    <w:rsid w:val="00562D2E"/>
    <w:rsid w:val="00562D53"/>
    <w:rsid w:val="00562F8E"/>
    <w:rsid w:val="00562FC4"/>
    <w:rsid w:val="0056315B"/>
    <w:rsid w:val="00563687"/>
    <w:rsid w:val="00563F8E"/>
    <w:rsid w:val="0056407B"/>
    <w:rsid w:val="005644DC"/>
    <w:rsid w:val="005645FD"/>
    <w:rsid w:val="00564959"/>
    <w:rsid w:val="00564C0C"/>
    <w:rsid w:val="0056570D"/>
    <w:rsid w:val="005658E4"/>
    <w:rsid w:val="0056595A"/>
    <w:rsid w:val="00565B9B"/>
    <w:rsid w:val="00565D8D"/>
    <w:rsid w:val="00565DBA"/>
    <w:rsid w:val="00565DD3"/>
    <w:rsid w:val="0056625D"/>
    <w:rsid w:val="005664FE"/>
    <w:rsid w:val="00566508"/>
    <w:rsid w:val="0056668A"/>
    <w:rsid w:val="005667F2"/>
    <w:rsid w:val="005668DE"/>
    <w:rsid w:val="00566926"/>
    <w:rsid w:val="00566D91"/>
    <w:rsid w:val="00566ECB"/>
    <w:rsid w:val="00567534"/>
    <w:rsid w:val="00567615"/>
    <w:rsid w:val="00567622"/>
    <w:rsid w:val="005679E6"/>
    <w:rsid w:val="00567AEE"/>
    <w:rsid w:val="00567B6B"/>
    <w:rsid w:val="00570071"/>
    <w:rsid w:val="0057028E"/>
    <w:rsid w:val="00570316"/>
    <w:rsid w:val="005704DA"/>
    <w:rsid w:val="00570655"/>
    <w:rsid w:val="0057080F"/>
    <w:rsid w:val="005708CF"/>
    <w:rsid w:val="0057093D"/>
    <w:rsid w:val="005709FB"/>
    <w:rsid w:val="00571243"/>
    <w:rsid w:val="005712A3"/>
    <w:rsid w:val="005714D1"/>
    <w:rsid w:val="00571541"/>
    <w:rsid w:val="00571795"/>
    <w:rsid w:val="00571894"/>
    <w:rsid w:val="00571B1A"/>
    <w:rsid w:val="00571CBB"/>
    <w:rsid w:val="00571DC6"/>
    <w:rsid w:val="0057210E"/>
    <w:rsid w:val="0057235D"/>
    <w:rsid w:val="00572444"/>
    <w:rsid w:val="00572493"/>
    <w:rsid w:val="00572596"/>
    <w:rsid w:val="00572755"/>
    <w:rsid w:val="005728B1"/>
    <w:rsid w:val="00572C44"/>
    <w:rsid w:val="00572EBF"/>
    <w:rsid w:val="00572F30"/>
    <w:rsid w:val="005733EE"/>
    <w:rsid w:val="005734A1"/>
    <w:rsid w:val="00573648"/>
    <w:rsid w:val="00573A31"/>
    <w:rsid w:val="00573BE1"/>
    <w:rsid w:val="00573C72"/>
    <w:rsid w:val="00573CD2"/>
    <w:rsid w:val="00573FD7"/>
    <w:rsid w:val="00574054"/>
    <w:rsid w:val="005740F4"/>
    <w:rsid w:val="0057425E"/>
    <w:rsid w:val="0057460D"/>
    <w:rsid w:val="00574843"/>
    <w:rsid w:val="00575160"/>
    <w:rsid w:val="0057530F"/>
    <w:rsid w:val="0057545C"/>
    <w:rsid w:val="00575571"/>
    <w:rsid w:val="00575598"/>
    <w:rsid w:val="0057590C"/>
    <w:rsid w:val="00575B17"/>
    <w:rsid w:val="005763F8"/>
    <w:rsid w:val="00576752"/>
    <w:rsid w:val="00576870"/>
    <w:rsid w:val="00576C56"/>
    <w:rsid w:val="00576E07"/>
    <w:rsid w:val="00576FFB"/>
    <w:rsid w:val="0057734B"/>
    <w:rsid w:val="0057749D"/>
    <w:rsid w:val="005778E6"/>
    <w:rsid w:val="00577A6F"/>
    <w:rsid w:val="00577AF2"/>
    <w:rsid w:val="00577B0B"/>
    <w:rsid w:val="00577DC8"/>
    <w:rsid w:val="00580B35"/>
    <w:rsid w:val="00580CC2"/>
    <w:rsid w:val="00580D1B"/>
    <w:rsid w:val="00580DD2"/>
    <w:rsid w:val="00580E40"/>
    <w:rsid w:val="005810E4"/>
    <w:rsid w:val="005811D9"/>
    <w:rsid w:val="00581AE4"/>
    <w:rsid w:val="00581B32"/>
    <w:rsid w:val="00581B91"/>
    <w:rsid w:val="005821CD"/>
    <w:rsid w:val="005821E7"/>
    <w:rsid w:val="0058245A"/>
    <w:rsid w:val="00582571"/>
    <w:rsid w:val="0058269A"/>
    <w:rsid w:val="00582BC5"/>
    <w:rsid w:val="00582D2F"/>
    <w:rsid w:val="00583080"/>
    <w:rsid w:val="005830E0"/>
    <w:rsid w:val="00583226"/>
    <w:rsid w:val="00583265"/>
    <w:rsid w:val="005837CE"/>
    <w:rsid w:val="00583C2E"/>
    <w:rsid w:val="00583F8A"/>
    <w:rsid w:val="005843E3"/>
    <w:rsid w:val="005843F0"/>
    <w:rsid w:val="005843F8"/>
    <w:rsid w:val="0058452C"/>
    <w:rsid w:val="005846EC"/>
    <w:rsid w:val="00584BED"/>
    <w:rsid w:val="005850CF"/>
    <w:rsid w:val="00585887"/>
    <w:rsid w:val="00585E8A"/>
    <w:rsid w:val="00585F40"/>
    <w:rsid w:val="0058606C"/>
    <w:rsid w:val="0058610E"/>
    <w:rsid w:val="00586161"/>
    <w:rsid w:val="005861C3"/>
    <w:rsid w:val="0058622E"/>
    <w:rsid w:val="005866A3"/>
    <w:rsid w:val="00586890"/>
    <w:rsid w:val="00586B6D"/>
    <w:rsid w:val="00586C70"/>
    <w:rsid w:val="0058708E"/>
    <w:rsid w:val="00587198"/>
    <w:rsid w:val="005873DA"/>
    <w:rsid w:val="0058785A"/>
    <w:rsid w:val="005879C3"/>
    <w:rsid w:val="005879C7"/>
    <w:rsid w:val="00587CD1"/>
    <w:rsid w:val="00587E59"/>
    <w:rsid w:val="005907B6"/>
    <w:rsid w:val="00590AE9"/>
    <w:rsid w:val="0059149F"/>
    <w:rsid w:val="0059160E"/>
    <w:rsid w:val="00591653"/>
    <w:rsid w:val="005921C6"/>
    <w:rsid w:val="005923C8"/>
    <w:rsid w:val="005925C5"/>
    <w:rsid w:val="005926DF"/>
    <w:rsid w:val="00592B95"/>
    <w:rsid w:val="00592C7D"/>
    <w:rsid w:val="00592CE2"/>
    <w:rsid w:val="00592EFD"/>
    <w:rsid w:val="0059369E"/>
    <w:rsid w:val="0059380B"/>
    <w:rsid w:val="0059384C"/>
    <w:rsid w:val="005939B0"/>
    <w:rsid w:val="00593BB1"/>
    <w:rsid w:val="005944B4"/>
    <w:rsid w:val="0059478F"/>
    <w:rsid w:val="00594847"/>
    <w:rsid w:val="00594C16"/>
    <w:rsid w:val="00594C22"/>
    <w:rsid w:val="00594ED0"/>
    <w:rsid w:val="00594FB7"/>
    <w:rsid w:val="005955BC"/>
    <w:rsid w:val="00595641"/>
    <w:rsid w:val="005956AE"/>
    <w:rsid w:val="00595E90"/>
    <w:rsid w:val="00595E95"/>
    <w:rsid w:val="00595F9E"/>
    <w:rsid w:val="0059660E"/>
    <w:rsid w:val="005967E9"/>
    <w:rsid w:val="00596E39"/>
    <w:rsid w:val="00596E67"/>
    <w:rsid w:val="005970D4"/>
    <w:rsid w:val="0059718B"/>
    <w:rsid w:val="005972F8"/>
    <w:rsid w:val="00597B1C"/>
    <w:rsid w:val="00597B58"/>
    <w:rsid w:val="00597E4A"/>
    <w:rsid w:val="005A0065"/>
    <w:rsid w:val="005A0D2E"/>
    <w:rsid w:val="005A0EEE"/>
    <w:rsid w:val="005A0F18"/>
    <w:rsid w:val="005A151E"/>
    <w:rsid w:val="005A1692"/>
    <w:rsid w:val="005A1896"/>
    <w:rsid w:val="005A1D44"/>
    <w:rsid w:val="005A1E3C"/>
    <w:rsid w:val="005A2412"/>
    <w:rsid w:val="005A2574"/>
    <w:rsid w:val="005A286B"/>
    <w:rsid w:val="005A2BF1"/>
    <w:rsid w:val="005A2EA3"/>
    <w:rsid w:val="005A3004"/>
    <w:rsid w:val="005A30AC"/>
    <w:rsid w:val="005A3125"/>
    <w:rsid w:val="005A3223"/>
    <w:rsid w:val="005A361E"/>
    <w:rsid w:val="005A39D1"/>
    <w:rsid w:val="005A3C4A"/>
    <w:rsid w:val="005A3C70"/>
    <w:rsid w:val="005A3C94"/>
    <w:rsid w:val="005A3D5B"/>
    <w:rsid w:val="005A3F2F"/>
    <w:rsid w:val="005A4775"/>
    <w:rsid w:val="005A507E"/>
    <w:rsid w:val="005A5294"/>
    <w:rsid w:val="005A562F"/>
    <w:rsid w:val="005A57BC"/>
    <w:rsid w:val="005A589B"/>
    <w:rsid w:val="005A5A71"/>
    <w:rsid w:val="005A5D75"/>
    <w:rsid w:val="005A5F43"/>
    <w:rsid w:val="005A5FD1"/>
    <w:rsid w:val="005A6065"/>
    <w:rsid w:val="005A63A8"/>
    <w:rsid w:val="005A65FB"/>
    <w:rsid w:val="005A671D"/>
    <w:rsid w:val="005A6757"/>
    <w:rsid w:val="005A68AB"/>
    <w:rsid w:val="005A6C7F"/>
    <w:rsid w:val="005A6D48"/>
    <w:rsid w:val="005A6F14"/>
    <w:rsid w:val="005A6F74"/>
    <w:rsid w:val="005A7383"/>
    <w:rsid w:val="005A7449"/>
    <w:rsid w:val="005A76AC"/>
    <w:rsid w:val="005A7763"/>
    <w:rsid w:val="005A77D3"/>
    <w:rsid w:val="005A79AC"/>
    <w:rsid w:val="005A7C83"/>
    <w:rsid w:val="005A7CC9"/>
    <w:rsid w:val="005B0533"/>
    <w:rsid w:val="005B0688"/>
    <w:rsid w:val="005B080C"/>
    <w:rsid w:val="005B0870"/>
    <w:rsid w:val="005B0991"/>
    <w:rsid w:val="005B0A9D"/>
    <w:rsid w:val="005B0B9B"/>
    <w:rsid w:val="005B0CD5"/>
    <w:rsid w:val="005B1424"/>
    <w:rsid w:val="005B16D7"/>
    <w:rsid w:val="005B16DB"/>
    <w:rsid w:val="005B1828"/>
    <w:rsid w:val="005B18E9"/>
    <w:rsid w:val="005B19F8"/>
    <w:rsid w:val="005B1C54"/>
    <w:rsid w:val="005B1C55"/>
    <w:rsid w:val="005B1E47"/>
    <w:rsid w:val="005B1E7F"/>
    <w:rsid w:val="005B2040"/>
    <w:rsid w:val="005B20D3"/>
    <w:rsid w:val="005B27D5"/>
    <w:rsid w:val="005B29D5"/>
    <w:rsid w:val="005B2DC0"/>
    <w:rsid w:val="005B2E93"/>
    <w:rsid w:val="005B322C"/>
    <w:rsid w:val="005B345D"/>
    <w:rsid w:val="005B3AD3"/>
    <w:rsid w:val="005B3C3D"/>
    <w:rsid w:val="005B3DC9"/>
    <w:rsid w:val="005B400A"/>
    <w:rsid w:val="005B417B"/>
    <w:rsid w:val="005B450F"/>
    <w:rsid w:val="005B48E1"/>
    <w:rsid w:val="005B4EA2"/>
    <w:rsid w:val="005B4F11"/>
    <w:rsid w:val="005B543A"/>
    <w:rsid w:val="005B5486"/>
    <w:rsid w:val="005B595C"/>
    <w:rsid w:val="005B5FE1"/>
    <w:rsid w:val="005B668E"/>
    <w:rsid w:val="005B69FC"/>
    <w:rsid w:val="005B6B39"/>
    <w:rsid w:val="005B6CEF"/>
    <w:rsid w:val="005B7F5F"/>
    <w:rsid w:val="005C0CCA"/>
    <w:rsid w:val="005C1564"/>
    <w:rsid w:val="005C1713"/>
    <w:rsid w:val="005C1B98"/>
    <w:rsid w:val="005C1E9F"/>
    <w:rsid w:val="005C1FF8"/>
    <w:rsid w:val="005C2379"/>
    <w:rsid w:val="005C2557"/>
    <w:rsid w:val="005C2BF6"/>
    <w:rsid w:val="005C2C0C"/>
    <w:rsid w:val="005C2FCB"/>
    <w:rsid w:val="005C34F1"/>
    <w:rsid w:val="005C3598"/>
    <w:rsid w:val="005C3A7A"/>
    <w:rsid w:val="005C3BEA"/>
    <w:rsid w:val="005C3C72"/>
    <w:rsid w:val="005C3F00"/>
    <w:rsid w:val="005C4377"/>
    <w:rsid w:val="005C4625"/>
    <w:rsid w:val="005C4A4B"/>
    <w:rsid w:val="005C4D2C"/>
    <w:rsid w:val="005C56FB"/>
    <w:rsid w:val="005C5AD5"/>
    <w:rsid w:val="005C64B8"/>
    <w:rsid w:val="005C6621"/>
    <w:rsid w:val="005C6678"/>
    <w:rsid w:val="005C6AFB"/>
    <w:rsid w:val="005C6B89"/>
    <w:rsid w:val="005C6EDA"/>
    <w:rsid w:val="005C7DF1"/>
    <w:rsid w:val="005C7EBE"/>
    <w:rsid w:val="005D04CB"/>
    <w:rsid w:val="005D0844"/>
    <w:rsid w:val="005D103D"/>
    <w:rsid w:val="005D128B"/>
    <w:rsid w:val="005D13B3"/>
    <w:rsid w:val="005D14A6"/>
    <w:rsid w:val="005D1631"/>
    <w:rsid w:val="005D1679"/>
    <w:rsid w:val="005D17B5"/>
    <w:rsid w:val="005D1A1A"/>
    <w:rsid w:val="005D1D5C"/>
    <w:rsid w:val="005D1DD2"/>
    <w:rsid w:val="005D2010"/>
    <w:rsid w:val="005D215F"/>
    <w:rsid w:val="005D2A39"/>
    <w:rsid w:val="005D2B5A"/>
    <w:rsid w:val="005D2C9F"/>
    <w:rsid w:val="005D2D2A"/>
    <w:rsid w:val="005D2FC9"/>
    <w:rsid w:val="005D2FED"/>
    <w:rsid w:val="005D34AA"/>
    <w:rsid w:val="005D35FD"/>
    <w:rsid w:val="005D36E2"/>
    <w:rsid w:val="005D3C22"/>
    <w:rsid w:val="005D3D00"/>
    <w:rsid w:val="005D47B0"/>
    <w:rsid w:val="005D4ED2"/>
    <w:rsid w:val="005D523C"/>
    <w:rsid w:val="005D5608"/>
    <w:rsid w:val="005D57CE"/>
    <w:rsid w:val="005D5E7B"/>
    <w:rsid w:val="005D6230"/>
    <w:rsid w:val="005D6280"/>
    <w:rsid w:val="005D6409"/>
    <w:rsid w:val="005D68EB"/>
    <w:rsid w:val="005D6E45"/>
    <w:rsid w:val="005D6E48"/>
    <w:rsid w:val="005D7405"/>
    <w:rsid w:val="005D74D1"/>
    <w:rsid w:val="005D75A1"/>
    <w:rsid w:val="005D779C"/>
    <w:rsid w:val="005D7BB3"/>
    <w:rsid w:val="005D7F45"/>
    <w:rsid w:val="005D7FCF"/>
    <w:rsid w:val="005E010D"/>
    <w:rsid w:val="005E0569"/>
    <w:rsid w:val="005E0A52"/>
    <w:rsid w:val="005E1092"/>
    <w:rsid w:val="005E1115"/>
    <w:rsid w:val="005E1382"/>
    <w:rsid w:val="005E1679"/>
    <w:rsid w:val="005E16F2"/>
    <w:rsid w:val="005E17B7"/>
    <w:rsid w:val="005E1B3B"/>
    <w:rsid w:val="005E1B77"/>
    <w:rsid w:val="005E2461"/>
    <w:rsid w:val="005E246D"/>
    <w:rsid w:val="005E2632"/>
    <w:rsid w:val="005E29AE"/>
    <w:rsid w:val="005E29E5"/>
    <w:rsid w:val="005E2AB5"/>
    <w:rsid w:val="005E312D"/>
    <w:rsid w:val="005E31CD"/>
    <w:rsid w:val="005E37C8"/>
    <w:rsid w:val="005E3812"/>
    <w:rsid w:val="005E44CF"/>
    <w:rsid w:val="005E4A34"/>
    <w:rsid w:val="005E4D27"/>
    <w:rsid w:val="005E534A"/>
    <w:rsid w:val="005E56FA"/>
    <w:rsid w:val="005E570C"/>
    <w:rsid w:val="005E5F55"/>
    <w:rsid w:val="005E65AB"/>
    <w:rsid w:val="005E72B4"/>
    <w:rsid w:val="005E7390"/>
    <w:rsid w:val="005E747B"/>
    <w:rsid w:val="005E758D"/>
    <w:rsid w:val="005E7EE6"/>
    <w:rsid w:val="005F01CD"/>
    <w:rsid w:val="005F051C"/>
    <w:rsid w:val="005F05F6"/>
    <w:rsid w:val="005F084C"/>
    <w:rsid w:val="005F0A8D"/>
    <w:rsid w:val="005F0D06"/>
    <w:rsid w:val="005F0D77"/>
    <w:rsid w:val="005F14C0"/>
    <w:rsid w:val="005F1638"/>
    <w:rsid w:val="005F16CB"/>
    <w:rsid w:val="005F1948"/>
    <w:rsid w:val="005F19E3"/>
    <w:rsid w:val="005F27A0"/>
    <w:rsid w:val="005F2A6C"/>
    <w:rsid w:val="005F2C3C"/>
    <w:rsid w:val="005F2CF9"/>
    <w:rsid w:val="005F30F3"/>
    <w:rsid w:val="005F316B"/>
    <w:rsid w:val="005F3357"/>
    <w:rsid w:val="005F38A5"/>
    <w:rsid w:val="005F3F15"/>
    <w:rsid w:val="005F414A"/>
    <w:rsid w:val="005F4999"/>
    <w:rsid w:val="005F4A28"/>
    <w:rsid w:val="005F4A71"/>
    <w:rsid w:val="005F4AFF"/>
    <w:rsid w:val="005F4B51"/>
    <w:rsid w:val="005F4B7F"/>
    <w:rsid w:val="005F4D65"/>
    <w:rsid w:val="005F4E27"/>
    <w:rsid w:val="005F50EF"/>
    <w:rsid w:val="005F5869"/>
    <w:rsid w:val="005F5CD0"/>
    <w:rsid w:val="005F5D24"/>
    <w:rsid w:val="005F6519"/>
    <w:rsid w:val="005F6676"/>
    <w:rsid w:val="005F679E"/>
    <w:rsid w:val="005F6A21"/>
    <w:rsid w:val="005F6A5F"/>
    <w:rsid w:val="005F6D1A"/>
    <w:rsid w:val="005F6F37"/>
    <w:rsid w:val="005F71B6"/>
    <w:rsid w:val="005F7374"/>
    <w:rsid w:val="005F76F7"/>
    <w:rsid w:val="005F7824"/>
    <w:rsid w:val="005F7BA2"/>
    <w:rsid w:val="005F7BE4"/>
    <w:rsid w:val="005F7C02"/>
    <w:rsid w:val="006001D5"/>
    <w:rsid w:val="006002BE"/>
    <w:rsid w:val="006003A9"/>
    <w:rsid w:val="00600568"/>
    <w:rsid w:val="0060081D"/>
    <w:rsid w:val="00600ADB"/>
    <w:rsid w:val="00600E49"/>
    <w:rsid w:val="00600E74"/>
    <w:rsid w:val="00600E9F"/>
    <w:rsid w:val="00600F88"/>
    <w:rsid w:val="0060180D"/>
    <w:rsid w:val="00601A56"/>
    <w:rsid w:val="00601BFB"/>
    <w:rsid w:val="0060239C"/>
    <w:rsid w:val="00602764"/>
    <w:rsid w:val="00602B95"/>
    <w:rsid w:val="00602C6D"/>
    <w:rsid w:val="00602E2F"/>
    <w:rsid w:val="00602F4D"/>
    <w:rsid w:val="006033A4"/>
    <w:rsid w:val="00603AB7"/>
    <w:rsid w:val="00604646"/>
    <w:rsid w:val="00604A28"/>
    <w:rsid w:val="00604B60"/>
    <w:rsid w:val="00604B8C"/>
    <w:rsid w:val="00604EFD"/>
    <w:rsid w:val="00605111"/>
    <w:rsid w:val="0060579C"/>
    <w:rsid w:val="00605C38"/>
    <w:rsid w:val="00605CE1"/>
    <w:rsid w:val="00605DF3"/>
    <w:rsid w:val="00606384"/>
    <w:rsid w:val="0060666D"/>
    <w:rsid w:val="0060669A"/>
    <w:rsid w:val="00606955"/>
    <w:rsid w:val="00606AD4"/>
    <w:rsid w:val="0060730E"/>
    <w:rsid w:val="0060752B"/>
    <w:rsid w:val="00607736"/>
    <w:rsid w:val="0060781A"/>
    <w:rsid w:val="00607A98"/>
    <w:rsid w:val="00607C27"/>
    <w:rsid w:val="00607E94"/>
    <w:rsid w:val="00607EBA"/>
    <w:rsid w:val="00607EDD"/>
    <w:rsid w:val="00610037"/>
    <w:rsid w:val="00610405"/>
    <w:rsid w:val="00610898"/>
    <w:rsid w:val="00610AFB"/>
    <w:rsid w:val="00610B89"/>
    <w:rsid w:val="00610E98"/>
    <w:rsid w:val="00611280"/>
    <w:rsid w:val="00611A2D"/>
    <w:rsid w:val="0061253B"/>
    <w:rsid w:val="00612571"/>
    <w:rsid w:val="006128DF"/>
    <w:rsid w:val="00612B26"/>
    <w:rsid w:val="00612DAE"/>
    <w:rsid w:val="00612FAA"/>
    <w:rsid w:val="006135C9"/>
    <w:rsid w:val="0061373B"/>
    <w:rsid w:val="0061392A"/>
    <w:rsid w:val="006139C1"/>
    <w:rsid w:val="00613EFB"/>
    <w:rsid w:val="00613F3D"/>
    <w:rsid w:val="00613F47"/>
    <w:rsid w:val="006140A6"/>
    <w:rsid w:val="0061410D"/>
    <w:rsid w:val="00614225"/>
    <w:rsid w:val="006142CB"/>
    <w:rsid w:val="00614397"/>
    <w:rsid w:val="0061443B"/>
    <w:rsid w:val="006144B6"/>
    <w:rsid w:val="006145DC"/>
    <w:rsid w:val="00614B7F"/>
    <w:rsid w:val="00614C36"/>
    <w:rsid w:val="00614DE4"/>
    <w:rsid w:val="00614FE4"/>
    <w:rsid w:val="006151A0"/>
    <w:rsid w:val="00615306"/>
    <w:rsid w:val="00615580"/>
    <w:rsid w:val="006155E9"/>
    <w:rsid w:val="00615622"/>
    <w:rsid w:val="00615802"/>
    <w:rsid w:val="006158CF"/>
    <w:rsid w:val="00615A9B"/>
    <w:rsid w:val="00615C57"/>
    <w:rsid w:val="00615DA5"/>
    <w:rsid w:val="00615E54"/>
    <w:rsid w:val="00615FDA"/>
    <w:rsid w:val="00616217"/>
    <w:rsid w:val="006162E0"/>
    <w:rsid w:val="0061634C"/>
    <w:rsid w:val="00616741"/>
    <w:rsid w:val="006169AD"/>
    <w:rsid w:val="00616BDD"/>
    <w:rsid w:val="0061732B"/>
    <w:rsid w:val="006175F8"/>
    <w:rsid w:val="0061782F"/>
    <w:rsid w:val="00617A67"/>
    <w:rsid w:val="00617A9F"/>
    <w:rsid w:val="00617BE0"/>
    <w:rsid w:val="00617ED1"/>
    <w:rsid w:val="00617FC7"/>
    <w:rsid w:val="00620019"/>
    <w:rsid w:val="00620370"/>
    <w:rsid w:val="006207EE"/>
    <w:rsid w:val="00620C1C"/>
    <w:rsid w:val="00620CD7"/>
    <w:rsid w:val="00620EF0"/>
    <w:rsid w:val="00620F1E"/>
    <w:rsid w:val="00620F52"/>
    <w:rsid w:val="006213A3"/>
    <w:rsid w:val="0062162D"/>
    <w:rsid w:val="006217C3"/>
    <w:rsid w:val="0062219F"/>
    <w:rsid w:val="006221E7"/>
    <w:rsid w:val="0062235B"/>
    <w:rsid w:val="006224C5"/>
    <w:rsid w:val="006225A0"/>
    <w:rsid w:val="006228DE"/>
    <w:rsid w:val="00623235"/>
    <w:rsid w:val="006234D7"/>
    <w:rsid w:val="006234E4"/>
    <w:rsid w:val="00623653"/>
    <w:rsid w:val="00623771"/>
    <w:rsid w:val="0062398E"/>
    <w:rsid w:val="00623B40"/>
    <w:rsid w:val="00623DC3"/>
    <w:rsid w:val="00623DCA"/>
    <w:rsid w:val="00623FF3"/>
    <w:rsid w:val="00624162"/>
    <w:rsid w:val="006242ED"/>
    <w:rsid w:val="0062442A"/>
    <w:rsid w:val="0062465B"/>
    <w:rsid w:val="006248F7"/>
    <w:rsid w:val="00624A63"/>
    <w:rsid w:val="00624D1E"/>
    <w:rsid w:val="006256EA"/>
    <w:rsid w:val="00625F84"/>
    <w:rsid w:val="00625FBD"/>
    <w:rsid w:val="00626011"/>
    <w:rsid w:val="006260AB"/>
    <w:rsid w:val="006272A0"/>
    <w:rsid w:val="006274BD"/>
    <w:rsid w:val="0062770A"/>
    <w:rsid w:val="006277D4"/>
    <w:rsid w:val="00627E56"/>
    <w:rsid w:val="00627FF3"/>
    <w:rsid w:val="0063017F"/>
    <w:rsid w:val="0063068E"/>
    <w:rsid w:val="00630BC3"/>
    <w:rsid w:val="006313E5"/>
    <w:rsid w:val="0063180B"/>
    <w:rsid w:val="00631C71"/>
    <w:rsid w:val="006324C5"/>
    <w:rsid w:val="00632645"/>
    <w:rsid w:val="006327CC"/>
    <w:rsid w:val="00632AD9"/>
    <w:rsid w:val="00632BC2"/>
    <w:rsid w:val="00632CF0"/>
    <w:rsid w:val="0063348F"/>
    <w:rsid w:val="00633493"/>
    <w:rsid w:val="00633532"/>
    <w:rsid w:val="006336CE"/>
    <w:rsid w:val="006339BE"/>
    <w:rsid w:val="00633A00"/>
    <w:rsid w:val="00633BFD"/>
    <w:rsid w:val="00633C6C"/>
    <w:rsid w:val="00633D3F"/>
    <w:rsid w:val="00633E21"/>
    <w:rsid w:val="00634163"/>
    <w:rsid w:val="00634195"/>
    <w:rsid w:val="006341C0"/>
    <w:rsid w:val="00634508"/>
    <w:rsid w:val="00634A47"/>
    <w:rsid w:val="00634DA7"/>
    <w:rsid w:val="00635104"/>
    <w:rsid w:val="006352B5"/>
    <w:rsid w:val="0063531B"/>
    <w:rsid w:val="0063552C"/>
    <w:rsid w:val="0063561D"/>
    <w:rsid w:val="00635A1D"/>
    <w:rsid w:val="00635C80"/>
    <w:rsid w:val="00636062"/>
    <w:rsid w:val="00636137"/>
    <w:rsid w:val="006361A5"/>
    <w:rsid w:val="00636200"/>
    <w:rsid w:val="0063630E"/>
    <w:rsid w:val="00636631"/>
    <w:rsid w:val="00636643"/>
    <w:rsid w:val="00636808"/>
    <w:rsid w:val="006368D1"/>
    <w:rsid w:val="00636E35"/>
    <w:rsid w:val="00636E48"/>
    <w:rsid w:val="00636EC7"/>
    <w:rsid w:val="006370CD"/>
    <w:rsid w:val="00637276"/>
    <w:rsid w:val="00637794"/>
    <w:rsid w:val="00637899"/>
    <w:rsid w:val="00637A08"/>
    <w:rsid w:val="00637CCC"/>
    <w:rsid w:val="00640145"/>
    <w:rsid w:val="006401ED"/>
    <w:rsid w:val="00640431"/>
    <w:rsid w:val="00640684"/>
    <w:rsid w:val="00640AC9"/>
    <w:rsid w:val="00640D2A"/>
    <w:rsid w:val="00640FE8"/>
    <w:rsid w:val="006410DF"/>
    <w:rsid w:val="0064146C"/>
    <w:rsid w:val="00641D6D"/>
    <w:rsid w:val="00642272"/>
    <w:rsid w:val="006422E0"/>
    <w:rsid w:val="006423F9"/>
    <w:rsid w:val="006424E0"/>
    <w:rsid w:val="0064275D"/>
    <w:rsid w:val="00642979"/>
    <w:rsid w:val="00642B03"/>
    <w:rsid w:val="00642B67"/>
    <w:rsid w:val="00642FF4"/>
    <w:rsid w:val="006430E9"/>
    <w:rsid w:val="00643352"/>
    <w:rsid w:val="006433D8"/>
    <w:rsid w:val="006435E4"/>
    <w:rsid w:val="00643A14"/>
    <w:rsid w:val="00643E66"/>
    <w:rsid w:val="00643F86"/>
    <w:rsid w:val="00643FF7"/>
    <w:rsid w:val="0064444E"/>
    <w:rsid w:val="00644794"/>
    <w:rsid w:val="00644AF4"/>
    <w:rsid w:val="00644C18"/>
    <w:rsid w:val="00644C3C"/>
    <w:rsid w:val="00644E07"/>
    <w:rsid w:val="00645A86"/>
    <w:rsid w:val="006462CE"/>
    <w:rsid w:val="0064632E"/>
    <w:rsid w:val="00646350"/>
    <w:rsid w:val="006463B3"/>
    <w:rsid w:val="00646585"/>
    <w:rsid w:val="00646815"/>
    <w:rsid w:val="0064692D"/>
    <w:rsid w:val="00646AC9"/>
    <w:rsid w:val="00646B65"/>
    <w:rsid w:val="00646B94"/>
    <w:rsid w:val="00646F43"/>
    <w:rsid w:val="0064712E"/>
    <w:rsid w:val="006478F2"/>
    <w:rsid w:val="00647987"/>
    <w:rsid w:val="00647BA3"/>
    <w:rsid w:val="00647E6A"/>
    <w:rsid w:val="00650242"/>
    <w:rsid w:val="0065048D"/>
    <w:rsid w:val="006504F8"/>
    <w:rsid w:val="006504FC"/>
    <w:rsid w:val="006507AC"/>
    <w:rsid w:val="00650DF4"/>
    <w:rsid w:val="006510EC"/>
    <w:rsid w:val="00651187"/>
    <w:rsid w:val="006511CF"/>
    <w:rsid w:val="00651480"/>
    <w:rsid w:val="0065149F"/>
    <w:rsid w:val="006514A6"/>
    <w:rsid w:val="006515C8"/>
    <w:rsid w:val="006517F8"/>
    <w:rsid w:val="00651906"/>
    <w:rsid w:val="00651A32"/>
    <w:rsid w:val="00651D02"/>
    <w:rsid w:val="006520D1"/>
    <w:rsid w:val="006521A3"/>
    <w:rsid w:val="006523A8"/>
    <w:rsid w:val="00652424"/>
    <w:rsid w:val="0065246C"/>
    <w:rsid w:val="006526D5"/>
    <w:rsid w:val="00652B06"/>
    <w:rsid w:val="00652C2D"/>
    <w:rsid w:val="00652C6E"/>
    <w:rsid w:val="006535D4"/>
    <w:rsid w:val="006536CE"/>
    <w:rsid w:val="00653A5A"/>
    <w:rsid w:val="00653D5C"/>
    <w:rsid w:val="00653F1B"/>
    <w:rsid w:val="00654052"/>
    <w:rsid w:val="00654252"/>
    <w:rsid w:val="0065434F"/>
    <w:rsid w:val="00654591"/>
    <w:rsid w:val="006545EC"/>
    <w:rsid w:val="00654A0A"/>
    <w:rsid w:val="00654CB9"/>
    <w:rsid w:val="00654E0E"/>
    <w:rsid w:val="006551CD"/>
    <w:rsid w:val="00655ADC"/>
    <w:rsid w:val="00655D7F"/>
    <w:rsid w:val="0065629D"/>
    <w:rsid w:val="00656534"/>
    <w:rsid w:val="006565E6"/>
    <w:rsid w:val="0065677B"/>
    <w:rsid w:val="0065680B"/>
    <w:rsid w:val="0065684A"/>
    <w:rsid w:val="006568C5"/>
    <w:rsid w:val="00656B65"/>
    <w:rsid w:val="00656B87"/>
    <w:rsid w:val="00656E54"/>
    <w:rsid w:val="00656EFF"/>
    <w:rsid w:val="00657124"/>
    <w:rsid w:val="00657303"/>
    <w:rsid w:val="006573B6"/>
    <w:rsid w:val="00657495"/>
    <w:rsid w:val="006574FF"/>
    <w:rsid w:val="006577FF"/>
    <w:rsid w:val="00657BCE"/>
    <w:rsid w:val="0066006F"/>
    <w:rsid w:val="00660709"/>
    <w:rsid w:val="0066076C"/>
    <w:rsid w:val="00660A1A"/>
    <w:rsid w:val="00660A67"/>
    <w:rsid w:val="00660E41"/>
    <w:rsid w:val="00660FBE"/>
    <w:rsid w:val="006611FE"/>
    <w:rsid w:val="0066133F"/>
    <w:rsid w:val="006615B0"/>
    <w:rsid w:val="00661655"/>
    <w:rsid w:val="006618A0"/>
    <w:rsid w:val="00661C62"/>
    <w:rsid w:val="0066206B"/>
    <w:rsid w:val="006620C7"/>
    <w:rsid w:val="0066212D"/>
    <w:rsid w:val="006623D5"/>
    <w:rsid w:val="006626A0"/>
    <w:rsid w:val="00662881"/>
    <w:rsid w:val="00662EDE"/>
    <w:rsid w:val="0066309A"/>
    <w:rsid w:val="0066348F"/>
    <w:rsid w:val="006635A6"/>
    <w:rsid w:val="0066385A"/>
    <w:rsid w:val="00663927"/>
    <w:rsid w:val="00663B88"/>
    <w:rsid w:val="00663D94"/>
    <w:rsid w:val="00663E19"/>
    <w:rsid w:val="00663E94"/>
    <w:rsid w:val="00664126"/>
    <w:rsid w:val="0066465C"/>
    <w:rsid w:val="0066478A"/>
    <w:rsid w:val="00664845"/>
    <w:rsid w:val="00664889"/>
    <w:rsid w:val="00664AA9"/>
    <w:rsid w:val="00664BE2"/>
    <w:rsid w:val="00665240"/>
    <w:rsid w:val="00665477"/>
    <w:rsid w:val="00665548"/>
    <w:rsid w:val="0066587E"/>
    <w:rsid w:val="00665962"/>
    <w:rsid w:val="00665E7B"/>
    <w:rsid w:val="00666066"/>
    <w:rsid w:val="00666186"/>
    <w:rsid w:val="00666511"/>
    <w:rsid w:val="006667AC"/>
    <w:rsid w:val="006667CA"/>
    <w:rsid w:val="0066693F"/>
    <w:rsid w:val="00666D8E"/>
    <w:rsid w:val="00666EAC"/>
    <w:rsid w:val="006671C6"/>
    <w:rsid w:val="0066741D"/>
    <w:rsid w:val="00667562"/>
    <w:rsid w:val="006675F2"/>
    <w:rsid w:val="00667728"/>
    <w:rsid w:val="00667768"/>
    <w:rsid w:val="006677EB"/>
    <w:rsid w:val="00667AA6"/>
    <w:rsid w:val="00667E31"/>
    <w:rsid w:val="00670096"/>
    <w:rsid w:val="0067021B"/>
    <w:rsid w:val="00670289"/>
    <w:rsid w:val="006703E7"/>
    <w:rsid w:val="006709DC"/>
    <w:rsid w:val="00670D85"/>
    <w:rsid w:val="00670E25"/>
    <w:rsid w:val="00671141"/>
    <w:rsid w:val="006712CD"/>
    <w:rsid w:val="006713CD"/>
    <w:rsid w:val="00671965"/>
    <w:rsid w:val="00671B8F"/>
    <w:rsid w:val="00671CF9"/>
    <w:rsid w:val="00671DCB"/>
    <w:rsid w:val="00671E71"/>
    <w:rsid w:val="006720ED"/>
    <w:rsid w:val="006720F2"/>
    <w:rsid w:val="00672385"/>
    <w:rsid w:val="00672451"/>
    <w:rsid w:val="00672579"/>
    <w:rsid w:val="006726E6"/>
    <w:rsid w:val="00672BD0"/>
    <w:rsid w:val="00672CA1"/>
    <w:rsid w:val="00672E80"/>
    <w:rsid w:val="0067304A"/>
    <w:rsid w:val="006733A0"/>
    <w:rsid w:val="0067366E"/>
    <w:rsid w:val="006740BB"/>
    <w:rsid w:val="00674333"/>
    <w:rsid w:val="00674354"/>
    <w:rsid w:val="0067460E"/>
    <w:rsid w:val="00675367"/>
    <w:rsid w:val="0067538D"/>
    <w:rsid w:val="006753F9"/>
    <w:rsid w:val="00675477"/>
    <w:rsid w:val="006754C2"/>
    <w:rsid w:val="00675B76"/>
    <w:rsid w:val="00675BD0"/>
    <w:rsid w:val="00675E11"/>
    <w:rsid w:val="00675EA5"/>
    <w:rsid w:val="006761AA"/>
    <w:rsid w:val="006761E9"/>
    <w:rsid w:val="006765A1"/>
    <w:rsid w:val="00676A4E"/>
    <w:rsid w:val="0067719C"/>
    <w:rsid w:val="00677420"/>
    <w:rsid w:val="0067745A"/>
    <w:rsid w:val="0067762A"/>
    <w:rsid w:val="00677851"/>
    <w:rsid w:val="00677C06"/>
    <w:rsid w:val="00677D94"/>
    <w:rsid w:val="00677E6C"/>
    <w:rsid w:val="006809E5"/>
    <w:rsid w:val="00680AA2"/>
    <w:rsid w:val="00680C1C"/>
    <w:rsid w:val="00680E0F"/>
    <w:rsid w:val="00680FEA"/>
    <w:rsid w:val="006811A9"/>
    <w:rsid w:val="006816EC"/>
    <w:rsid w:val="00681832"/>
    <w:rsid w:val="00681D5C"/>
    <w:rsid w:val="00681EE8"/>
    <w:rsid w:val="00681FC6"/>
    <w:rsid w:val="00682337"/>
    <w:rsid w:val="00682C40"/>
    <w:rsid w:val="00682DC9"/>
    <w:rsid w:val="00682E8B"/>
    <w:rsid w:val="00683004"/>
    <w:rsid w:val="0068302F"/>
    <w:rsid w:val="006830B6"/>
    <w:rsid w:val="006830F3"/>
    <w:rsid w:val="006835C5"/>
    <w:rsid w:val="00683781"/>
    <w:rsid w:val="006838F4"/>
    <w:rsid w:val="00683AAD"/>
    <w:rsid w:val="00683E14"/>
    <w:rsid w:val="00684451"/>
    <w:rsid w:val="006847F5"/>
    <w:rsid w:val="00684830"/>
    <w:rsid w:val="00684841"/>
    <w:rsid w:val="00685048"/>
    <w:rsid w:val="006855BE"/>
    <w:rsid w:val="0068561A"/>
    <w:rsid w:val="0068580C"/>
    <w:rsid w:val="006858D2"/>
    <w:rsid w:val="00685A5F"/>
    <w:rsid w:val="00685CED"/>
    <w:rsid w:val="00685F11"/>
    <w:rsid w:val="006860E4"/>
    <w:rsid w:val="006861DF"/>
    <w:rsid w:val="006862CC"/>
    <w:rsid w:val="00686379"/>
    <w:rsid w:val="00686643"/>
    <w:rsid w:val="00686818"/>
    <w:rsid w:val="00686D97"/>
    <w:rsid w:val="00686EF3"/>
    <w:rsid w:val="00686FD8"/>
    <w:rsid w:val="00687778"/>
    <w:rsid w:val="00687873"/>
    <w:rsid w:val="00687A12"/>
    <w:rsid w:val="00687D67"/>
    <w:rsid w:val="006900AB"/>
    <w:rsid w:val="006901E0"/>
    <w:rsid w:val="00690746"/>
    <w:rsid w:val="006909F9"/>
    <w:rsid w:val="006911BC"/>
    <w:rsid w:val="006911C5"/>
    <w:rsid w:val="006915ED"/>
    <w:rsid w:val="0069162B"/>
    <w:rsid w:val="00691698"/>
    <w:rsid w:val="00691A76"/>
    <w:rsid w:val="00691B56"/>
    <w:rsid w:val="00691B64"/>
    <w:rsid w:val="00691E1B"/>
    <w:rsid w:val="00691F89"/>
    <w:rsid w:val="006926B4"/>
    <w:rsid w:val="006926BB"/>
    <w:rsid w:val="006928AF"/>
    <w:rsid w:val="00692CCA"/>
    <w:rsid w:val="00692D75"/>
    <w:rsid w:val="00692DDF"/>
    <w:rsid w:val="00692E77"/>
    <w:rsid w:val="00692F47"/>
    <w:rsid w:val="00692FCA"/>
    <w:rsid w:val="00693163"/>
    <w:rsid w:val="0069319B"/>
    <w:rsid w:val="00693288"/>
    <w:rsid w:val="00693294"/>
    <w:rsid w:val="00693757"/>
    <w:rsid w:val="006938F3"/>
    <w:rsid w:val="006939AD"/>
    <w:rsid w:val="00693A86"/>
    <w:rsid w:val="00693BDE"/>
    <w:rsid w:val="00693DD2"/>
    <w:rsid w:val="0069467D"/>
    <w:rsid w:val="006948E3"/>
    <w:rsid w:val="00694928"/>
    <w:rsid w:val="00694D07"/>
    <w:rsid w:val="00695170"/>
    <w:rsid w:val="00695245"/>
    <w:rsid w:val="00695338"/>
    <w:rsid w:val="0069535B"/>
    <w:rsid w:val="00695777"/>
    <w:rsid w:val="00695FFF"/>
    <w:rsid w:val="006965A2"/>
    <w:rsid w:val="00696C3E"/>
    <w:rsid w:val="00697270"/>
    <w:rsid w:val="00697950"/>
    <w:rsid w:val="00697D5F"/>
    <w:rsid w:val="006A027F"/>
    <w:rsid w:val="006A02DC"/>
    <w:rsid w:val="006A0579"/>
    <w:rsid w:val="006A05AA"/>
    <w:rsid w:val="006A07D1"/>
    <w:rsid w:val="006A081D"/>
    <w:rsid w:val="006A0AFF"/>
    <w:rsid w:val="006A0C33"/>
    <w:rsid w:val="006A0DEE"/>
    <w:rsid w:val="006A185D"/>
    <w:rsid w:val="006A1888"/>
    <w:rsid w:val="006A18A9"/>
    <w:rsid w:val="006A1AE6"/>
    <w:rsid w:val="006A1B64"/>
    <w:rsid w:val="006A1F8A"/>
    <w:rsid w:val="006A241F"/>
    <w:rsid w:val="006A24B2"/>
    <w:rsid w:val="006A2C3A"/>
    <w:rsid w:val="006A2D0C"/>
    <w:rsid w:val="006A2D59"/>
    <w:rsid w:val="006A2D82"/>
    <w:rsid w:val="006A2E03"/>
    <w:rsid w:val="006A3055"/>
    <w:rsid w:val="006A30EB"/>
    <w:rsid w:val="006A3210"/>
    <w:rsid w:val="006A3211"/>
    <w:rsid w:val="006A4345"/>
    <w:rsid w:val="006A4380"/>
    <w:rsid w:val="006A481B"/>
    <w:rsid w:val="006A4C69"/>
    <w:rsid w:val="006A4DF0"/>
    <w:rsid w:val="006A4FD8"/>
    <w:rsid w:val="006A50F8"/>
    <w:rsid w:val="006A5259"/>
    <w:rsid w:val="006A5426"/>
    <w:rsid w:val="006A5600"/>
    <w:rsid w:val="006A5812"/>
    <w:rsid w:val="006A5A5E"/>
    <w:rsid w:val="006A5D51"/>
    <w:rsid w:val="006A5D7D"/>
    <w:rsid w:val="006A5E82"/>
    <w:rsid w:val="006A5FCB"/>
    <w:rsid w:val="006A630E"/>
    <w:rsid w:val="006A67EE"/>
    <w:rsid w:val="006A6ACA"/>
    <w:rsid w:val="006A6B6E"/>
    <w:rsid w:val="006A6C5C"/>
    <w:rsid w:val="006A6DAC"/>
    <w:rsid w:val="006A775E"/>
    <w:rsid w:val="006A7A7A"/>
    <w:rsid w:val="006A7CDD"/>
    <w:rsid w:val="006A7E4E"/>
    <w:rsid w:val="006A7E7D"/>
    <w:rsid w:val="006A7EF8"/>
    <w:rsid w:val="006A7F5B"/>
    <w:rsid w:val="006B00A0"/>
    <w:rsid w:val="006B0183"/>
    <w:rsid w:val="006B036C"/>
    <w:rsid w:val="006B078F"/>
    <w:rsid w:val="006B0984"/>
    <w:rsid w:val="006B0D45"/>
    <w:rsid w:val="006B0FFA"/>
    <w:rsid w:val="006B12E7"/>
    <w:rsid w:val="006B13B6"/>
    <w:rsid w:val="006B1E76"/>
    <w:rsid w:val="006B1EF7"/>
    <w:rsid w:val="006B1FBD"/>
    <w:rsid w:val="006B2C85"/>
    <w:rsid w:val="006B2FF2"/>
    <w:rsid w:val="006B32F2"/>
    <w:rsid w:val="006B3C0B"/>
    <w:rsid w:val="006B3C4C"/>
    <w:rsid w:val="006B4219"/>
    <w:rsid w:val="006B44BC"/>
    <w:rsid w:val="006B454B"/>
    <w:rsid w:val="006B46B5"/>
    <w:rsid w:val="006B4C05"/>
    <w:rsid w:val="006B500D"/>
    <w:rsid w:val="006B505A"/>
    <w:rsid w:val="006B5382"/>
    <w:rsid w:val="006B5432"/>
    <w:rsid w:val="006B5796"/>
    <w:rsid w:val="006B5BD8"/>
    <w:rsid w:val="006B6470"/>
    <w:rsid w:val="006B66AD"/>
    <w:rsid w:val="006B69D7"/>
    <w:rsid w:val="006B6FEE"/>
    <w:rsid w:val="006B721F"/>
    <w:rsid w:val="006B7287"/>
    <w:rsid w:val="006B7408"/>
    <w:rsid w:val="006B7541"/>
    <w:rsid w:val="006B76AA"/>
    <w:rsid w:val="006B76CC"/>
    <w:rsid w:val="006B786A"/>
    <w:rsid w:val="006B79A1"/>
    <w:rsid w:val="006B7A5D"/>
    <w:rsid w:val="006B7B07"/>
    <w:rsid w:val="006B7E5F"/>
    <w:rsid w:val="006C0719"/>
    <w:rsid w:val="006C082D"/>
    <w:rsid w:val="006C0D07"/>
    <w:rsid w:val="006C0D21"/>
    <w:rsid w:val="006C0DAD"/>
    <w:rsid w:val="006C1385"/>
    <w:rsid w:val="006C1587"/>
    <w:rsid w:val="006C1D6E"/>
    <w:rsid w:val="006C1DD1"/>
    <w:rsid w:val="006C22C8"/>
    <w:rsid w:val="006C2B08"/>
    <w:rsid w:val="006C30D4"/>
    <w:rsid w:val="006C3318"/>
    <w:rsid w:val="006C33E0"/>
    <w:rsid w:val="006C3451"/>
    <w:rsid w:val="006C3BB7"/>
    <w:rsid w:val="006C3BE5"/>
    <w:rsid w:val="006C3E26"/>
    <w:rsid w:val="006C3F0F"/>
    <w:rsid w:val="006C408B"/>
    <w:rsid w:val="006C41CD"/>
    <w:rsid w:val="006C46C1"/>
    <w:rsid w:val="006C48A4"/>
    <w:rsid w:val="006C4CE2"/>
    <w:rsid w:val="006C4F7B"/>
    <w:rsid w:val="006C4FF2"/>
    <w:rsid w:val="006C506D"/>
    <w:rsid w:val="006C5805"/>
    <w:rsid w:val="006C646E"/>
    <w:rsid w:val="006C6E5D"/>
    <w:rsid w:val="006C70EB"/>
    <w:rsid w:val="006C76CA"/>
    <w:rsid w:val="006C76EC"/>
    <w:rsid w:val="006C773D"/>
    <w:rsid w:val="006C7794"/>
    <w:rsid w:val="006C795D"/>
    <w:rsid w:val="006D0445"/>
    <w:rsid w:val="006D067B"/>
    <w:rsid w:val="006D0BEF"/>
    <w:rsid w:val="006D1093"/>
    <w:rsid w:val="006D118D"/>
    <w:rsid w:val="006D1550"/>
    <w:rsid w:val="006D16A9"/>
    <w:rsid w:val="006D16C1"/>
    <w:rsid w:val="006D1700"/>
    <w:rsid w:val="006D18B2"/>
    <w:rsid w:val="006D216E"/>
    <w:rsid w:val="006D2535"/>
    <w:rsid w:val="006D2757"/>
    <w:rsid w:val="006D28BC"/>
    <w:rsid w:val="006D2D45"/>
    <w:rsid w:val="006D2D69"/>
    <w:rsid w:val="006D34A9"/>
    <w:rsid w:val="006D3D17"/>
    <w:rsid w:val="006D3FF3"/>
    <w:rsid w:val="006D4126"/>
    <w:rsid w:val="006D41E9"/>
    <w:rsid w:val="006D42F2"/>
    <w:rsid w:val="006D4578"/>
    <w:rsid w:val="006D4B26"/>
    <w:rsid w:val="006D4EBB"/>
    <w:rsid w:val="006D5007"/>
    <w:rsid w:val="006D5134"/>
    <w:rsid w:val="006D5225"/>
    <w:rsid w:val="006D56C8"/>
    <w:rsid w:val="006D59DC"/>
    <w:rsid w:val="006D5A50"/>
    <w:rsid w:val="006D5A87"/>
    <w:rsid w:val="006D5B33"/>
    <w:rsid w:val="006D5D32"/>
    <w:rsid w:val="006D63A3"/>
    <w:rsid w:val="006D6467"/>
    <w:rsid w:val="006D64B6"/>
    <w:rsid w:val="006D678E"/>
    <w:rsid w:val="006D688F"/>
    <w:rsid w:val="006D6953"/>
    <w:rsid w:val="006D6BCF"/>
    <w:rsid w:val="006D6FC1"/>
    <w:rsid w:val="006D70E3"/>
    <w:rsid w:val="006D72D8"/>
    <w:rsid w:val="006D786B"/>
    <w:rsid w:val="006D7AA9"/>
    <w:rsid w:val="006D7FB5"/>
    <w:rsid w:val="006E001A"/>
    <w:rsid w:val="006E0065"/>
    <w:rsid w:val="006E0283"/>
    <w:rsid w:val="006E0642"/>
    <w:rsid w:val="006E0AF2"/>
    <w:rsid w:val="006E0DBF"/>
    <w:rsid w:val="006E11C4"/>
    <w:rsid w:val="006E128C"/>
    <w:rsid w:val="006E178B"/>
    <w:rsid w:val="006E2151"/>
    <w:rsid w:val="006E2378"/>
    <w:rsid w:val="006E30DC"/>
    <w:rsid w:val="006E3117"/>
    <w:rsid w:val="006E36F1"/>
    <w:rsid w:val="006E3756"/>
    <w:rsid w:val="006E396B"/>
    <w:rsid w:val="006E3C9F"/>
    <w:rsid w:val="006E3F23"/>
    <w:rsid w:val="006E4507"/>
    <w:rsid w:val="006E4800"/>
    <w:rsid w:val="006E4F87"/>
    <w:rsid w:val="006E5451"/>
    <w:rsid w:val="006E5486"/>
    <w:rsid w:val="006E5488"/>
    <w:rsid w:val="006E579A"/>
    <w:rsid w:val="006E57D8"/>
    <w:rsid w:val="006E586A"/>
    <w:rsid w:val="006E590A"/>
    <w:rsid w:val="006E62C7"/>
    <w:rsid w:val="006E65BA"/>
    <w:rsid w:val="006E67ED"/>
    <w:rsid w:val="006E682C"/>
    <w:rsid w:val="006E69D7"/>
    <w:rsid w:val="006E6A71"/>
    <w:rsid w:val="006E6DF3"/>
    <w:rsid w:val="006E6DFA"/>
    <w:rsid w:val="006E6E8F"/>
    <w:rsid w:val="006E6EE9"/>
    <w:rsid w:val="006E6FCA"/>
    <w:rsid w:val="006E7007"/>
    <w:rsid w:val="006E7227"/>
    <w:rsid w:val="006E7299"/>
    <w:rsid w:val="006E75D3"/>
    <w:rsid w:val="006E7A5C"/>
    <w:rsid w:val="006E7CDD"/>
    <w:rsid w:val="006E7FA1"/>
    <w:rsid w:val="006F0161"/>
    <w:rsid w:val="006F02AC"/>
    <w:rsid w:val="006F02E1"/>
    <w:rsid w:val="006F033B"/>
    <w:rsid w:val="006F05CD"/>
    <w:rsid w:val="006F0744"/>
    <w:rsid w:val="006F0D07"/>
    <w:rsid w:val="006F12F8"/>
    <w:rsid w:val="006F148C"/>
    <w:rsid w:val="006F176F"/>
    <w:rsid w:val="006F1C68"/>
    <w:rsid w:val="006F1DA3"/>
    <w:rsid w:val="006F1E6B"/>
    <w:rsid w:val="006F1F8F"/>
    <w:rsid w:val="006F223C"/>
    <w:rsid w:val="006F228D"/>
    <w:rsid w:val="006F2310"/>
    <w:rsid w:val="006F232A"/>
    <w:rsid w:val="006F242A"/>
    <w:rsid w:val="006F278D"/>
    <w:rsid w:val="006F2A4D"/>
    <w:rsid w:val="006F2BB5"/>
    <w:rsid w:val="006F329F"/>
    <w:rsid w:val="006F3467"/>
    <w:rsid w:val="006F3489"/>
    <w:rsid w:val="006F350D"/>
    <w:rsid w:val="006F3E2D"/>
    <w:rsid w:val="006F476C"/>
    <w:rsid w:val="006F4821"/>
    <w:rsid w:val="006F4CB2"/>
    <w:rsid w:val="006F4D10"/>
    <w:rsid w:val="006F4DA2"/>
    <w:rsid w:val="006F4F50"/>
    <w:rsid w:val="006F52F7"/>
    <w:rsid w:val="006F5355"/>
    <w:rsid w:val="006F5560"/>
    <w:rsid w:val="006F59BD"/>
    <w:rsid w:val="006F5AD5"/>
    <w:rsid w:val="006F5CA8"/>
    <w:rsid w:val="006F6144"/>
    <w:rsid w:val="006F629B"/>
    <w:rsid w:val="006F63BC"/>
    <w:rsid w:val="006F64E3"/>
    <w:rsid w:val="006F6C71"/>
    <w:rsid w:val="006F6EA7"/>
    <w:rsid w:val="006F6EAB"/>
    <w:rsid w:val="006F70E3"/>
    <w:rsid w:val="006F7473"/>
    <w:rsid w:val="006F7656"/>
    <w:rsid w:val="006F7728"/>
    <w:rsid w:val="006F77D0"/>
    <w:rsid w:val="006F7AF7"/>
    <w:rsid w:val="006F7DCD"/>
    <w:rsid w:val="006F7DFC"/>
    <w:rsid w:val="006F7F8B"/>
    <w:rsid w:val="0070038E"/>
    <w:rsid w:val="00700399"/>
    <w:rsid w:val="0070058B"/>
    <w:rsid w:val="00700600"/>
    <w:rsid w:val="0070076A"/>
    <w:rsid w:val="007009B9"/>
    <w:rsid w:val="00700B9F"/>
    <w:rsid w:val="00700DAF"/>
    <w:rsid w:val="00700E34"/>
    <w:rsid w:val="00700E96"/>
    <w:rsid w:val="007010B1"/>
    <w:rsid w:val="007018C3"/>
    <w:rsid w:val="007018FA"/>
    <w:rsid w:val="007019F9"/>
    <w:rsid w:val="00701B5B"/>
    <w:rsid w:val="00701EBD"/>
    <w:rsid w:val="00702159"/>
    <w:rsid w:val="0070223A"/>
    <w:rsid w:val="00702283"/>
    <w:rsid w:val="00702567"/>
    <w:rsid w:val="00702721"/>
    <w:rsid w:val="0070294D"/>
    <w:rsid w:val="00702D43"/>
    <w:rsid w:val="00702D79"/>
    <w:rsid w:val="00702E2C"/>
    <w:rsid w:val="00703851"/>
    <w:rsid w:val="00703CC9"/>
    <w:rsid w:val="00703EBF"/>
    <w:rsid w:val="00703EEB"/>
    <w:rsid w:val="00703F36"/>
    <w:rsid w:val="00703FED"/>
    <w:rsid w:val="00704256"/>
    <w:rsid w:val="00704494"/>
    <w:rsid w:val="0070455A"/>
    <w:rsid w:val="007047EB"/>
    <w:rsid w:val="00704EC0"/>
    <w:rsid w:val="00705518"/>
    <w:rsid w:val="0070555A"/>
    <w:rsid w:val="00705AD8"/>
    <w:rsid w:val="00705CEB"/>
    <w:rsid w:val="00705DC9"/>
    <w:rsid w:val="00706965"/>
    <w:rsid w:val="00706DF6"/>
    <w:rsid w:val="007072D9"/>
    <w:rsid w:val="00707379"/>
    <w:rsid w:val="007073D4"/>
    <w:rsid w:val="007073E0"/>
    <w:rsid w:val="0070761E"/>
    <w:rsid w:val="00710166"/>
    <w:rsid w:val="007102E4"/>
    <w:rsid w:val="00710670"/>
    <w:rsid w:val="007108BF"/>
    <w:rsid w:val="00710B4F"/>
    <w:rsid w:val="00710CC0"/>
    <w:rsid w:val="00710CCC"/>
    <w:rsid w:val="00710D13"/>
    <w:rsid w:val="00710EB4"/>
    <w:rsid w:val="0071119A"/>
    <w:rsid w:val="00711505"/>
    <w:rsid w:val="00712556"/>
    <w:rsid w:val="0071257D"/>
    <w:rsid w:val="007126F7"/>
    <w:rsid w:val="00712978"/>
    <w:rsid w:val="00712C9D"/>
    <w:rsid w:val="00712E96"/>
    <w:rsid w:val="00712ED9"/>
    <w:rsid w:val="00713098"/>
    <w:rsid w:val="007132BA"/>
    <w:rsid w:val="0071355B"/>
    <w:rsid w:val="00713A4E"/>
    <w:rsid w:val="00713DA5"/>
    <w:rsid w:val="00713DC5"/>
    <w:rsid w:val="0071437D"/>
    <w:rsid w:val="007146C0"/>
    <w:rsid w:val="0071474A"/>
    <w:rsid w:val="00714767"/>
    <w:rsid w:val="00714C25"/>
    <w:rsid w:val="00714DD8"/>
    <w:rsid w:val="00714EB4"/>
    <w:rsid w:val="007152B2"/>
    <w:rsid w:val="0071561B"/>
    <w:rsid w:val="0071589E"/>
    <w:rsid w:val="00715A17"/>
    <w:rsid w:val="00715B20"/>
    <w:rsid w:val="007164B3"/>
    <w:rsid w:val="007166ED"/>
    <w:rsid w:val="007168C9"/>
    <w:rsid w:val="00716EEC"/>
    <w:rsid w:val="007171F7"/>
    <w:rsid w:val="00717236"/>
    <w:rsid w:val="00717360"/>
    <w:rsid w:val="00717529"/>
    <w:rsid w:val="00717538"/>
    <w:rsid w:val="00717704"/>
    <w:rsid w:val="007179A8"/>
    <w:rsid w:val="007179BA"/>
    <w:rsid w:val="007201C3"/>
    <w:rsid w:val="007203B0"/>
    <w:rsid w:val="007208F6"/>
    <w:rsid w:val="00720B11"/>
    <w:rsid w:val="00720B7A"/>
    <w:rsid w:val="00720F4C"/>
    <w:rsid w:val="0072101B"/>
    <w:rsid w:val="00721287"/>
    <w:rsid w:val="007212F7"/>
    <w:rsid w:val="00721599"/>
    <w:rsid w:val="00721723"/>
    <w:rsid w:val="007217AD"/>
    <w:rsid w:val="00721BBD"/>
    <w:rsid w:val="00721C13"/>
    <w:rsid w:val="00721D07"/>
    <w:rsid w:val="00721E8E"/>
    <w:rsid w:val="00721F51"/>
    <w:rsid w:val="00721FB5"/>
    <w:rsid w:val="00722007"/>
    <w:rsid w:val="0072203A"/>
    <w:rsid w:val="00722522"/>
    <w:rsid w:val="0072288F"/>
    <w:rsid w:val="00722A25"/>
    <w:rsid w:val="00722A48"/>
    <w:rsid w:val="00722EEE"/>
    <w:rsid w:val="00722F0D"/>
    <w:rsid w:val="00723585"/>
    <w:rsid w:val="00723773"/>
    <w:rsid w:val="00723823"/>
    <w:rsid w:val="007238E3"/>
    <w:rsid w:val="00723A31"/>
    <w:rsid w:val="00723AEC"/>
    <w:rsid w:val="00723C2E"/>
    <w:rsid w:val="00723C76"/>
    <w:rsid w:val="00724456"/>
    <w:rsid w:val="0072474E"/>
    <w:rsid w:val="00724921"/>
    <w:rsid w:val="00724EAA"/>
    <w:rsid w:val="00725352"/>
    <w:rsid w:val="007255C3"/>
    <w:rsid w:val="0072566A"/>
    <w:rsid w:val="00725715"/>
    <w:rsid w:val="00725A85"/>
    <w:rsid w:val="007262B9"/>
    <w:rsid w:val="00726361"/>
    <w:rsid w:val="0072675E"/>
    <w:rsid w:val="007267CD"/>
    <w:rsid w:val="0072683F"/>
    <w:rsid w:val="0072689A"/>
    <w:rsid w:val="007268F9"/>
    <w:rsid w:val="00726B54"/>
    <w:rsid w:val="00726E3D"/>
    <w:rsid w:val="00726F4E"/>
    <w:rsid w:val="00727004"/>
    <w:rsid w:val="00727215"/>
    <w:rsid w:val="007273F3"/>
    <w:rsid w:val="0072756A"/>
    <w:rsid w:val="00727637"/>
    <w:rsid w:val="007279B3"/>
    <w:rsid w:val="00727E54"/>
    <w:rsid w:val="00727EF8"/>
    <w:rsid w:val="00727F34"/>
    <w:rsid w:val="007300E8"/>
    <w:rsid w:val="007301BB"/>
    <w:rsid w:val="0073043F"/>
    <w:rsid w:val="00730564"/>
    <w:rsid w:val="007306C5"/>
    <w:rsid w:val="007306C8"/>
    <w:rsid w:val="00730829"/>
    <w:rsid w:val="007312E9"/>
    <w:rsid w:val="00731631"/>
    <w:rsid w:val="007318A7"/>
    <w:rsid w:val="00731A69"/>
    <w:rsid w:val="00731A8C"/>
    <w:rsid w:val="00731EC5"/>
    <w:rsid w:val="00731FA1"/>
    <w:rsid w:val="0073236E"/>
    <w:rsid w:val="00732559"/>
    <w:rsid w:val="00732610"/>
    <w:rsid w:val="00732858"/>
    <w:rsid w:val="00732D15"/>
    <w:rsid w:val="00732E57"/>
    <w:rsid w:val="00732F56"/>
    <w:rsid w:val="007334E9"/>
    <w:rsid w:val="007335D9"/>
    <w:rsid w:val="0073363A"/>
    <w:rsid w:val="0073382F"/>
    <w:rsid w:val="00733844"/>
    <w:rsid w:val="00734378"/>
    <w:rsid w:val="00734819"/>
    <w:rsid w:val="00734DA9"/>
    <w:rsid w:val="00734DD2"/>
    <w:rsid w:val="00734F87"/>
    <w:rsid w:val="00735066"/>
    <w:rsid w:val="00735819"/>
    <w:rsid w:val="00735B50"/>
    <w:rsid w:val="00735C09"/>
    <w:rsid w:val="00735E34"/>
    <w:rsid w:val="0073625D"/>
    <w:rsid w:val="00736344"/>
    <w:rsid w:val="007367EC"/>
    <w:rsid w:val="007367F0"/>
    <w:rsid w:val="00736956"/>
    <w:rsid w:val="00736BFA"/>
    <w:rsid w:val="00736CE0"/>
    <w:rsid w:val="0073778A"/>
    <w:rsid w:val="00737E18"/>
    <w:rsid w:val="007403E2"/>
    <w:rsid w:val="007404A7"/>
    <w:rsid w:val="0074061C"/>
    <w:rsid w:val="00740914"/>
    <w:rsid w:val="00740AAA"/>
    <w:rsid w:val="00740AC1"/>
    <w:rsid w:val="00740CB4"/>
    <w:rsid w:val="0074116B"/>
    <w:rsid w:val="007412DF"/>
    <w:rsid w:val="007413AE"/>
    <w:rsid w:val="00741854"/>
    <w:rsid w:val="00741B0A"/>
    <w:rsid w:val="00741E94"/>
    <w:rsid w:val="007420E4"/>
    <w:rsid w:val="00742123"/>
    <w:rsid w:val="0074259F"/>
    <w:rsid w:val="0074278C"/>
    <w:rsid w:val="00742814"/>
    <w:rsid w:val="00742B55"/>
    <w:rsid w:val="00742B56"/>
    <w:rsid w:val="00742C89"/>
    <w:rsid w:val="00742EE6"/>
    <w:rsid w:val="00743469"/>
    <w:rsid w:val="00743777"/>
    <w:rsid w:val="007438DA"/>
    <w:rsid w:val="007438F6"/>
    <w:rsid w:val="00743EF7"/>
    <w:rsid w:val="00743FF2"/>
    <w:rsid w:val="00744391"/>
    <w:rsid w:val="00744F20"/>
    <w:rsid w:val="00744F27"/>
    <w:rsid w:val="00745105"/>
    <w:rsid w:val="00745806"/>
    <w:rsid w:val="007458C7"/>
    <w:rsid w:val="007459C2"/>
    <w:rsid w:val="0074605E"/>
    <w:rsid w:val="00746FBA"/>
    <w:rsid w:val="007474EE"/>
    <w:rsid w:val="00747506"/>
    <w:rsid w:val="007475A1"/>
    <w:rsid w:val="007475AD"/>
    <w:rsid w:val="0074798C"/>
    <w:rsid w:val="00747B09"/>
    <w:rsid w:val="00747F43"/>
    <w:rsid w:val="00750147"/>
    <w:rsid w:val="007502D3"/>
    <w:rsid w:val="007504F9"/>
    <w:rsid w:val="0075170B"/>
    <w:rsid w:val="007518A4"/>
    <w:rsid w:val="00752440"/>
    <w:rsid w:val="00752466"/>
    <w:rsid w:val="007525DC"/>
    <w:rsid w:val="0075262D"/>
    <w:rsid w:val="00752827"/>
    <w:rsid w:val="00752A64"/>
    <w:rsid w:val="00752D35"/>
    <w:rsid w:val="00753469"/>
    <w:rsid w:val="0075347D"/>
    <w:rsid w:val="00753A34"/>
    <w:rsid w:val="00753C20"/>
    <w:rsid w:val="00753CE5"/>
    <w:rsid w:val="00753D77"/>
    <w:rsid w:val="00753E5D"/>
    <w:rsid w:val="00753EC5"/>
    <w:rsid w:val="00754143"/>
    <w:rsid w:val="007541B7"/>
    <w:rsid w:val="0075432C"/>
    <w:rsid w:val="0075457E"/>
    <w:rsid w:val="00754682"/>
    <w:rsid w:val="00754B67"/>
    <w:rsid w:val="00754C4F"/>
    <w:rsid w:val="00755353"/>
    <w:rsid w:val="00755483"/>
    <w:rsid w:val="007556A2"/>
    <w:rsid w:val="00755AC8"/>
    <w:rsid w:val="00755C84"/>
    <w:rsid w:val="0075601C"/>
    <w:rsid w:val="007561C9"/>
    <w:rsid w:val="00756229"/>
    <w:rsid w:val="0075693E"/>
    <w:rsid w:val="00756F17"/>
    <w:rsid w:val="00757099"/>
    <w:rsid w:val="007574A8"/>
    <w:rsid w:val="00757CBB"/>
    <w:rsid w:val="00757D53"/>
    <w:rsid w:val="0076039F"/>
    <w:rsid w:val="007608D4"/>
    <w:rsid w:val="007610E6"/>
    <w:rsid w:val="007612EE"/>
    <w:rsid w:val="00761396"/>
    <w:rsid w:val="00761447"/>
    <w:rsid w:val="0076161C"/>
    <w:rsid w:val="00761970"/>
    <w:rsid w:val="00761AD8"/>
    <w:rsid w:val="00761C28"/>
    <w:rsid w:val="00761E03"/>
    <w:rsid w:val="00761F9E"/>
    <w:rsid w:val="007621AF"/>
    <w:rsid w:val="007622C5"/>
    <w:rsid w:val="00762405"/>
    <w:rsid w:val="0076292A"/>
    <w:rsid w:val="00762CAB"/>
    <w:rsid w:val="00762F9A"/>
    <w:rsid w:val="00762FE3"/>
    <w:rsid w:val="00763356"/>
    <w:rsid w:val="007636BB"/>
    <w:rsid w:val="0076370E"/>
    <w:rsid w:val="00763764"/>
    <w:rsid w:val="007637B7"/>
    <w:rsid w:val="007639A7"/>
    <w:rsid w:val="00763C83"/>
    <w:rsid w:val="00763CEF"/>
    <w:rsid w:val="0076457C"/>
    <w:rsid w:val="007645FA"/>
    <w:rsid w:val="007646D4"/>
    <w:rsid w:val="00764A71"/>
    <w:rsid w:val="00764AB1"/>
    <w:rsid w:val="00764BA7"/>
    <w:rsid w:val="00764BFC"/>
    <w:rsid w:val="00764C68"/>
    <w:rsid w:val="00764CD5"/>
    <w:rsid w:val="00764D04"/>
    <w:rsid w:val="0076506F"/>
    <w:rsid w:val="00765925"/>
    <w:rsid w:val="00765B74"/>
    <w:rsid w:val="0076604E"/>
    <w:rsid w:val="00766281"/>
    <w:rsid w:val="007664B7"/>
    <w:rsid w:val="007665D4"/>
    <w:rsid w:val="00766B86"/>
    <w:rsid w:val="00766FF3"/>
    <w:rsid w:val="00767005"/>
    <w:rsid w:val="007674B7"/>
    <w:rsid w:val="007676F3"/>
    <w:rsid w:val="00767B6B"/>
    <w:rsid w:val="00770253"/>
    <w:rsid w:val="0077043E"/>
    <w:rsid w:val="00770462"/>
    <w:rsid w:val="0077082B"/>
    <w:rsid w:val="007709C0"/>
    <w:rsid w:val="00770BF9"/>
    <w:rsid w:val="00770BFB"/>
    <w:rsid w:val="00770D51"/>
    <w:rsid w:val="00770E7A"/>
    <w:rsid w:val="00770E90"/>
    <w:rsid w:val="00771095"/>
    <w:rsid w:val="007716ED"/>
    <w:rsid w:val="007717D8"/>
    <w:rsid w:val="00771A81"/>
    <w:rsid w:val="007722C1"/>
    <w:rsid w:val="007726B2"/>
    <w:rsid w:val="007726F7"/>
    <w:rsid w:val="00772970"/>
    <w:rsid w:val="00772AD4"/>
    <w:rsid w:val="00772F53"/>
    <w:rsid w:val="00772F90"/>
    <w:rsid w:val="0077324C"/>
    <w:rsid w:val="007734E2"/>
    <w:rsid w:val="0077373C"/>
    <w:rsid w:val="007738CF"/>
    <w:rsid w:val="007738DC"/>
    <w:rsid w:val="00773DDF"/>
    <w:rsid w:val="0077411E"/>
    <w:rsid w:val="00774154"/>
    <w:rsid w:val="007743EF"/>
    <w:rsid w:val="0077444F"/>
    <w:rsid w:val="00774735"/>
    <w:rsid w:val="00774842"/>
    <w:rsid w:val="00774A96"/>
    <w:rsid w:val="00774F52"/>
    <w:rsid w:val="0077516D"/>
    <w:rsid w:val="00775C61"/>
    <w:rsid w:val="00775F14"/>
    <w:rsid w:val="0077631F"/>
    <w:rsid w:val="00776338"/>
    <w:rsid w:val="007766A6"/>
    <w:rsid w:val="00776966"/>
    <w:rsid w:val="00776A83"/>
    <w:rsid w:val="00776BFC"/>
    <w:rsid w:val="00776EE8"/>
    <w:rsid w:val="007770F3"/>
    <w:rsid w:val="007771F6"/>
    <w:rsid w:val="007774C6"/>
    <w:rsid w:val="00777559"/>
    <w:rsid w:val="00777748"/>
    <w:rsid w:val="007777E0"/>
    <w:rsid w:val="00777899"/>
    <w:rsid w:val="00777953"/>
    <w:rsid w:val="00777B2F"/>
    <w:rsid w:val="00777BB4"/>
    <w:rsid w:val="00777EAB"/>
    <w:rsid w:val="007804A0"/>
    <w:rsid w:val="007804C2"/>
    <w:rsid w:val="0078051E"/>
    <w:rsid w:val="007806AD"/>
    <w:rsid w:val="00780CE1"/>
    <w:rsid w:val="00780EC5"/>
    <w:rsid w:val="00781BC9"/>
    <w:rsid w:val="00781C67"/>
    <w:rsid w:val="00781D89"/>
    <w:rsid w:val="00781E3B"/>
    <w:rsid w:val="00782047"/>
    <w:rsid w:val="007823DB"/>
    <w:rsid w:val="00782426"/>
    <w:rsid w:val="007828D8"/>
    <w:rsid w:val="00782AFB"/>
    <w:rsid w:val="00782D85"/>
    <w:rsid w:val="00782DC0"/>
    <w:rsid w:val="00782EFC"/>
    <w:rsid w:val="00783344"/>
    <w:rsid w:val="00783BC5"/>
    <w:rsid w:val="00783D0E"/>
    <w:rsid w:val="00783E96"/>
    <w:rsid w:val="00783FF8"/>
    <w:rsid w:val="007842CA"/>
    <w:rsid w:val="00784B92"/>
    <w:rsid w:val="00784E3A"/>
    <w:rsid w:val="00784EAA"/>
    <w:rsid w:val="00784FB1"/>
    <w:rsid w:val="0078591B"/>
    <w:rsid w:val="00785AB8"/>
    <w:rsid w:val="0078616B"/>
    <w:rsid w:val="007862AF"/>
    <w:rsid w:val="007866AF"/>
    <w:rsid w:val="00786715"/>
    <w:rsid w:val="00786845"/>
    <w:rsid w:val="00786B1D"/>
    <w:rsid w:val="00786C95"/>
    <w:rsid w:val="0078702A"/>
    <w:rsid w:val="00787128"/>
    <w:rsid w:val="00787205"/>
    <w:rsid w:val="00787293"/>
    <w:rsid w:val="00787431"/>
    <w:rsid w:val="007879A5"/>
    <w:rsid w:val="00787B9E"/>
    <w:rsid w:val="00787D4F"/>
    <w:rsid w:val="00787ECC"/>
    <w:rsid w:val="007902D6"/>
    <w:rsid w:val="00790851"/>
    <w:rsid w:val="0079097D"/>
    <w:rsid w:val="00790D73"/>
    <w:rsid w:val="00790E58"/>
    <w:rsid w:val="00791324"/>
    <w:rsid w:val="0079158F"/>
    <w:rsid w:val="00791991"/>
    <w:rsid w:val="00791C34"/>
    <w:rsid w:val="00791DE5"/>
    <w:rsid w:val="00791F57"/>
    <w:rsid w:val="0079201E"/>
    <w:rsid w:val="00792630"/>
    <w:rsid w:val="007926DD"/>
    <w:rsid w:val="00792813"/>
    <w:rsid w:val="00792B4D"/>
    <w:rsid w:val="00792BFC"/>
    <w:rsid w:val="00792E9C"/>
    <w:rsid w:val="007930DE"/>
    <w:rsid w:val="00793529"/>
    <w:rsid w:val="00793642"/>
    <w:rsid w:val="00793767"/>
    <w:rsid w:val="0079379E"/>
    <w:rsid w:val="00793DC9"/>
    <w:rsid w:val="007940B8"/>
    <w:rsid w:val="00794B1D"/>
    <w:rsid w:val="00794C6F"/>
    <w:rsid w:val="00794D5B"/>
    <w:rsid w:val="00794D74"/>
    <w:rsid w:val="00795341"/>
    <w:rsid w:val="00795632"/>
    <w:rsid w:val="00795804"/>
    <w:rsid w:val="007959B9"/>
    <w:rsid w:val="00795BD2"/>
    <w:rsid w:val="00795D20"/>
    <w:rsid w:val="00795D5C"/>
    <w:rsid w:val="0079616D"/>
    <w:rsid w:val="007965E4"/>
    <w:rsid w:val="00796659"/>
    <w:rsid w:val="0079666C"/>
    <w:rsid w:val="007967DE"/>
    <w:rsid w:val="0079696C"/>
    <w:rsid w:val="00796B40"/>
    <w:rsid w:val="00796DC8"/>
    <w:rsid w:val="00796E4D"/>
    <w:rsid w:val="00797073"/>
    <w:rsid w:val="007975C1"/>
    <w:rsid w:val="00797865"/>
    <w:rsid w:val="0079786D"/>
    <w:rsid w:val="00797A18"/>
    <w:rsid w:val="00797A78"/>
    <w:rsid w:val="00797ADB"/>
    <w:rsid w:val="00797C1E"/>
    <w:rsid w:val="00797C97"/>
    <w:rsid w:val="00797E92"/>
    <w:rsid w:val="007A07DC"/>
    <w:rsid w:val="007A0EB6"/>
    <w:rsid w:val="007A100C"/>
    <w:rsid w:val="007A1068"/>
    <w:rsid w:val="007A10C3"/>
    <w:rsid w:val="007A1298"/>
    <w:rsid w:val="007A1573"/>
    <w:rsid w:val="007A16CE"/>
    <w:rsid w:val="007A1726"/>
    <w:rsid w:val="007A1DDE"/>
    <w:rsid w:val="007A25BF"/>
    <w:rsid w:val="007A268C"/>
    <w:rsid w:val="007A2BF3"/>
    <w:rsid w:val="007A2CD0"/>
    <w:rsid w:val="007A340C"/>
    <w:rsid w:val="007A349E"/>
    <w:rsid w:val="007A3506"/>
    <w:rsid w:val="007A356E"/>
    <w:rsid w:val="007A3CFB"/>
    <w:rsid w:val="007A3F4A"/>
    <w:rsid w:val="007A4064"/>
    <w:rsid w:val="007A41EB"/>
    <w:rsid w:val="007A4249"/>
    <w:rsid w:val="007A4355"/>
    <w:rsid w:val="007A4AA9"/>
    <w:rsid w:val="007A4B70"/>
    <w:rsid w:val="007A503A"/>
    <w:rsid w:val="007A5840"/>
    <w:rsid w:val="007A5A4F"/>
    <w:rsid w:val="007A5A61"/>
    <w:rsid w:val="007A640F"/>
    <w:rsid w:val="007A6629"/>
    <w:rsid w:val="007A6651"/>
    <w:rsid w:val="007A6806"/>
    <w:rsid w:val="007A6866"/>
    <w:rsid w:val="007A6BCE"/>
    <w:rsid w:val="007A6CF0"/>
    <w:rsid w:val="007A6D9E"/>
    <w:rsid w:val="007A6F63"/>
    <w:rsid w:val="007A72D1"/>
    <w:rsid w:val="007A74BE"/>
    <w:rsid w:val="007A7DCA"/>
    <w:rsid w:val="007B009F"/>
    <w:rsid w:val="007B0289"/>
    <w:rsid w:val="007B0470"/>
    <w:rsid w:val="007B0A5F"/>
    <w:rsid w:val="007B0B00"/>
    <w:rsid w:val="007B11B2"/>
    <w:rsid w:val="007B12DA"/>
    <w:rsid w:val="007B14A6"/>
    <w:rsid w:val="007B14B0"/>
    <w:rsid w:val="007B162C"/>
    <w:rsid w:val="007B166F"/>
    <w:rsid w:val="007B1880"/>
    <w:rsid w:val="007B1A9E"/>
    <w:rsid w:val="007B1F7E"/>
    <w:rsid w:val="007B1F93"/>
    <w:rsid w:val="007B3000"/>
    <w:rsid w:val="007B3134"/>
    <w:rsid w:val="007B33B1"/>
    <w:rsid w:val="007B3598"/>
    <w:rsid w:val="007B361A"/>
    <w:rsid w:val="007B37F3"/>
    <w:rsid w:val="007B3821"/>
    <w:rsid w:val="007B3F9D"/>
    <w:rsid w:val="007B427D"/>
    <w:rsid w:val="007B429D"/>
    <w:rsid w:val="007B433F"/>
    <w:rsid w:val="007B461D"/>
    <w:rsid w:val="007B4865"/>
    <w:rsid w:val="007B4E9C"/>
    <w:rsid w:val="007B5036"/>
    <w:rsid w:val="007B536B"/>
    <w:rsid w:val="007B5435"/>
    <w:rsid w:val="007B56A1"/>
    <w:rsid w:val="007B5BE8"/>
    <w:rsid w:val="007B61B6"/>
    <w:rsid w:val="007B63F4"/>
    <w:rsid w:val="007B643B"/>
    <w:rsid w:val="007B64E4"/>
    <w:rsid w:val="007B655F"/>
    <w:rsid w:val="007B6AE3"/>
    <w:rsid w:val="007B6B4C"/>
    <w:rsid w:val="007B6C96"/>
    <w:rsid w:val="007B6E4D"/>
    <w:rsid w:val="007B6FF8"/>
    <w:rsid w:val="007B7549"/>
    <w:rsid w:val="007B77CF"/>
    <w:rsid w:val="007B7B9E"/>
    <w:rsid w:val="007C01E4"/>
    <w:rsid w:val="007C0C82"/>
    <w:rsid w:val="007C0ED4"/>
    <w:rsid w:val="007C15E0"/>
    <w:rsid w:val="007C1C20"/>
    <w:rsid w:val="007C1CCB"/>
    <w:rsid w:val="007C1E97"/>
    <w:rsid w:val="007C1F32"/>
    <w:rsid w:val="007C254F"/>
    <w:rsid w:val="007C283C"/>
    <w:rsid w:val="007C28D8"/>
    <w:rsid w:val="007C28F1"/>
    <w:rsid w:val="007C2E9E"/>
    <w:rsid w:val="007C30FC"/>
    <w:rsid w:val="007C33C7"/>
    <w:rsid w:val="007C3609"/>
    <w:rsid w:val="007C3706"/>
    <w:rsid w:val="007C375C"/>
    <w:rsid w:val="007C3860"/>
    <w:rsid w:val="007C399B"/>
    <w:rsid w:val="007C3A44"/>
    <w:rsid w:val="007C3B02"/>
    <w:rsid w:val="007C3C7C"/>
    <w:rsid w:val="007C3D06"/>
    <w:rsid w:val="007C3E28"/>
    <w:rsid w:val="007C3EEF"/>
    <w:rsid w:val="007C3FA4"/>
    <w:rsid w:val="007C413D"/>
    <w:rsid w:val="007C4451"/>
    <w:rsid w:val="007C47D9"/>
    <w:rsid w:val="007C4C10"/>
    <w:rsid w:val="007C4CA7"/>
    <w:rsid w:val="007C4D2F"/>
    <w:rsid w:val="007C4F20"/>
    <w:rsid w:val="007C4FC9"/>
    <w:rsid w:val="007C53DF"/>
    <w:rsid w:val="007C551B"/>
    <w:rsid w:val="007C5869"/>
    <w:rsid w:val="007C5CED"/>
    <w:rsid w:val="007C5D54"/>
    <w:rsid w:val="007C60F2"/>
    <w:rsid w:val="007C623A"/>
    <w:rsid w:val="007C6859"/>
    <w:rsid w:val="007C69F5"/>
    <w:rsid w:val="007C7160"/>
    <w:rsid w:val="007C7772"/>
    <w:rsid w:val="007C795A"/>
    <w:rsid w:val="007C7995"/>
    <w:rsid w:val="007C7C6B"/>
    <w:rsid w:val="007D05A5"/>
    <w:rsid w:val="007D0845"/>
    <w:rsid w:val="007D0BE9"/>
    <w:rsid w:val="007D0DA3"/>
    <w:rsid w:val="007D0E36"/>
    <w:rsid w:val="007D0F2D"/>
    <w:rsid w:val="007D1063"/>
    <w:rsid w:val="007D140C"/>
    <w:rsid w:val="007D1776"/>
    <w:rsid w:val="007D184F"/>
    <w:rsid w:val="007D18EB"/>
    <w:rsid w:val="007D1A59"/>
    <w:rsid w:val="007D1DEF"/>
    <w:rsid w:val="007D1E70"/>
    <w:rsid w:val="007D1F57"/>
    <w:rsid w:val="007D26CD"/>
    <w:rsid w:val="007D2891"/>
    <w:rsid w:val="007D293F"/>
    <w:rsid w:val="007D3008"/>
    <w:rsid w:val="007D3311"/>
    <w:rsid w:val="007D33EC"/>
    <w:rsid w:val="007D3CCE"/>
    <w:rsid w:val="007D3D59"/>
    <w:rsid w:val="007D420B"/>
    <w:rsid w:val="007D470E"/>
    <w:rsid w:val="007D4D4D"/>
    <w:rsid w:val="007D4D53"/>
    <w:rsid w:val="007D5313"/>
    <w:rsid w:val="007D5499"/>
    <w:rsid w:val="007D5B7E"/>
    <w:rsid w:val="007D6325"/>
    <w:rsid w:val="007D6399"/>
    <w:rsid w:val="007D670F"/>
    <w:rsid w:val="007D685B"/>
    <w:rsid w:val="007D6881"/>
    <w:rsid w:val="007D690C"/>
    <w:rsid w:val="007D6941"/>
    <w:rsid w:val="007D6A1A"/>
    <w:rsid w:val="007D6D30"/>
    <w:rsid w:val="007D73EF"/>
    <w:rsid w:val="007D74D9"/>
    <w:rsid w:val="007D74E6"/>
    <w:rsid w:val="007D7B44"/>
    <w:rsid w:val="007D7F3F"/>
    <w:rsid w:val="007E04E5"/>
    <w:rsid w:val="007E067A"/>
    <w:rsid w:val="007E1330"/>
    <w:rsid w:val="007E151F"/>
    <w:rsid w:val="007E15CA"/>
    <w:rsid w:val="007E1745"/>
    <w:rsid w:val="007E1ADC"/>
    <w:rsid w:val="007E1B5B"/>
    <w:rsid w:val="007E1B68"/>
    <w:rsid w:val="007E211F"/>
    <w:rsid w:val="007E2228"/>
    <w:rsid w:val="007E2556"/>
    <w:rsid w:val="007E256C"/>
    <w:rsid w:val="007E2609"/>
    <w:rsid w:val="007E26B1"/>
    <w:rsid w:val="007E27F5"/>
    <w:rsid w:val="007E2BA5"/>
    <w:rsid w:val="007E2E5B"/>
    <w:rsid w:val="007E2E8B"/>
    <w:rsid w:val="007E2EAD"/>
    <w:rsid w:val="007E307F"/>
    <w:rsid w:val="007E30E0"/>
    <w:rsid w:val="007E31C3"/>
    <w:rsid w:val="007E31F6"/>
    <w:rsid w:val="007E33B6"/>
    <w:rsid w:val="007E3431"/>
    <w:rsid w:val="007E34C5"/>
    <w:rsid w:val="007E37B2"/>
    <w:rsid w:val="007E39A9"/>
    <w:rsid w:val="007E3B16"/>
    <w:rsid w:val="007E3F01"/>
    <w:rsid w:val="007E4094"/>
    <w:rsid w:val="007E44E7"/>
    <w:rsid w:val="007E4560"/>
    <w:rsid w:val="007E4746"/>
    <w:rsid w:val="007E4852"/>
    <w:rsid w:val="007E48C5"/>
    <w:rsid w:val="007E4B8C"/>
    <w:rsid w:val="007E4C08"/>
    <w:rsid w:val="007E4E03"/>
    <w:rsid w:val="007E4E31"/>
    <w:rsid w:val="007E4EF3"/>
    <w:rsid w:val="007E4FB6"/>
    <w:rsid w:val="007E529F"/>
    <w:rsid w:val="007E5664"/>
    <w:rsid w:val="007E5B25"/>
    <w:rsid w:val="007E5EAD"/>
    <w:rsid w:val="007E5F13"/>
    <w:rsid w:val="007E5F62"/>
    <w:rsid w:val="007E5F9A"/>
    <w:rsid w:val="007E6433"/>
    <w:rsid w:val="007E6641"/>
    <w:rsid w:val="007E691F"/>
    <w:rsid w:val="007E6EBB"/>
    <w:rsid w:val="007E71A6"/>
    <w:rsid w:val="007E7C16"/>
    <w:rsid w:val="007E7DF1"/>
    <w:rsid w:val="007F01F2"/>
    <w:rsid w:val="007F051F"/>
    <w:rsid w:val="007F062E"/>
    <w:rsid w:val="007F0686"/>
    <w:rsid w:val="007F0764"/>
    <w:rsid w:val="007F0CDE"/>
    <w:rsid w:val="007F0DBE"/>
    <w:rsid w:val="007F0F16"/>
    <w:rsid w:val="007F14B1"/>
    <w:rsid w:val="007F18BA"/>
    <w:rsid w:val="007F197A"/>
    <w:rsid w:val="007F1A56"/>
    <w:rsid w:val="007F2456"/>
    <w:rsid w:val="007F25CC"/>
    <w:rsid w:val="007F26EB"/>
    <w:rsid w:val="007F274A"/>
    <w:rsid w:val="007F285E"/>
    <w:rsid w:val="007F2BE9"/>
    <w:rsid w:val="007F2C7F"/>
    <w:rsid w:val="007F318D"/>
    <w:rsid w:val="007F32F6"/>
    <w:rsid w:val="007F37FF"/>
    <w:rsid w:val="007F3B9A"/>
    <w:rsid w:val="007F3CC1"/>
    <w:rsid w:val="007F40ED"/>
    <w:rsid w:val="007F4226"/>
    <w:rsid w:val="007F44B3"/>
    <w:rsid w:val="007F4DEB"/>
    <w:rsid w:val="007F4E67"/>
    <w:rsid w:val="007F5454"/>
    <w:rsid w:val="007F5495"/>
    <w:rsid w:val="007F559B"/>
    <w:rsid w:val="007F56E1"/>
    <w:rsid w:val="007F5765"/>
    <w:rsid w:val="007F594D"/>
    <w:rsid w:val="007F5E92"/>
    <w:rsid w:val="007F62B0"/>
    <w:rsid w:val="007F6311"/>
    <w:rsid w:val="007F6448"/>
    <w:rsid w:val="007F6494"/>
    <w:rsid w:val="007F677D"/>
    <w:rsid w:val="007F6898"/>
    <w:rsid w:val="007F68D4"/>
    <w:rsid w:val="007F6902"/>
    <w:rsid w:val="007F6963"/>
    <w:rsid w:val="007F6A88"/>
    <w:rsid w:val="007F7296"/>
    <w:rsid w:val="007F7347"/>
    <w:rsid w:val="007F73F3"/>
    <w:rsid w:val="007F74E3"/>
    <w:rsid w:val="007F7927"/>
    <w:rsid w:val="007F7A33"/>
    <w:rsid w:val="007F7CEA"/>
    <w:rsid w:val="00800140"/>
    <w:rsid w:val="00800745"/>
    <w:rsid w:val="00800C51"/>
    <w:rsid w:val="00800F86"/>
    <w:rsid w:val="008012E6"/>
    <w:rsid w:val="0080153A"/>
    <w:rsid w:val="00801546"/>
    <w:rsid w:val="008018BF"/>
    <w:rsid w:val="008019E7"/>
    <w:rsid w:val="00801BB4"/>
    <w:rsid w:val="00801E00"/>
    <w:rsid w:val="00802056"/>
    <w:rsid w:val="0080205E"/>
    <w:rsid w:val="0080225F"/>
    <w:rsid w:val="0080247B"/>
    <w:rsid w:val="00802926"/>
    <w:rsid w:val="0080299C"/>
    <w:rsid w:val="00802A38"/>
    <w:rsid w:val="00802AA7"/>
    <w:rsid w:val="00802B44"/>
    <w:rsid w:val="00802BA6"/>
    <w:rsid w:val="00802BC7"/>
    <w:rsid w:val="00802BE8"/>
    <w:rsid w:val="00802DFE"/>
    <w:rsid w:val="00802F20"/>
    <w:rsid w:val="008032C8"/>
    <w:rsid w:val="008034C9"/>
    <w:rsid w:val="00803ABA"/>
    <w:rsid w:val="0080403F"/>
    <w:rsid w:val="00804114"/>
    <w:rsid w:val="0080446C"/>
    <w:rsid w:val="00804A67"/>
    <w:rsid w:val="00805355"/>
    <w:rsid w:val="00805697"/>
    <w:rsid w:val="00805A8E"/>
    <w:rsid w:val="00805E0E"/>
    <w:rsid w:val="00805EE8"/>
    <w:rsid w:val="0080606A"/>
    <w:rsid w:val="00806741"/>
    <w:rsid w:val="008068BC"/>
    <w:rsid w:val="00806964"/>
    <w:rsid w:val="00806A19"/>
    <w:rsid w:val="00806CA5"/>
    <w:rsid w:val="00806F42"/>
    <w:rsid w:val="0080707B"/>
    <w:rsid w:val="0080720B"/>
    <w:rsid w:val="00807236"/>
    <w:rsid w:val="0080729E"/>
    <w:rsid w:val="008072CD"/>
    <w:rsid w:val="008078B0"/>
    <w:rsid w:val="008101B8"/>
    <w:rsid w:val="008104CC"/>
    <w:rsid w:val="008108E3"/>
    <w:rsid w:val="00810B08"/>
    <w:rsid w:val="00810DCF"/>
    <w:rsid w:val="00810E01"/>
    <w:rsid w:val="00810EB5"/>
    <w:rsid w:val="00810F49"/>
    <w:rsid w:val="0081123B"/>
    <w:rsid w:val="00811700"/>
    <w:rsid w:val="00811825"/>
    <w:rsid w:val="00811988"/>
    <w:rsid w:val="00811DC9"/>
    <w:rsid w:val="00811E8A"/>
    <w:rsid w:val="008129EA"/>
    <w:rsid w:val="00812BBE"/>
    <w:rsid w:val="0081311A"/>
    <w:rsid w:val="00813273"/>
    <w:rsid w:val="0081344E"/>
    <w:rsid w:val="008136CD"/>
    <w:rsid w:val="00813979"/>
    <w:rsid w:val="0081399B"/>
    <w:rsid w:val="008139A7"/>
    <w:rsid w:val="008139DA"/>
    <w:rsid w:val="00813E32"/>
    <w:rsid w:val="00813EBE"/>
    <w:rsid w:val="00814395"/>
    <w:rsid w:val="008146CA"/>
    <w:rsid w:val="008149B4"/>
    <w:rsid w:val="00814AF8"/>
    <w:rsid w:val="00814B03"/>
    <w:rsid w:val="00814D29"/>
    <w:rsid w:val="00814EC8"/>
    <w:rsid w:val="00814EFA"/>
    <w:rsid w:val="00815720"/>
    <w:rsid w:val="00815733"/>
    <w:rsid w:val="008158ED"/>
    <w:rsid w:val="00815940"/>
    <w:rsid w:val="00815B96"/>
    <w:rsid w:val="00816151"/>
    <w:rsid w:val="0081616B"/>
    <w:rsid w:val="00816181"/>
    <w:rsid w:val="0081618F"/>
    <w:rsid w:val="00816775"/>
    <w:rsid w:val="00816BCC"/>
    <w:rsid w:val="00816EA7"/>
    <w:rsid w:val="008174A7"/>
    <w:rsid w:val="00817984"/>
    <w:rsid w:val="00817C2F"/>
    <w:rsid w:val="00817CEC"/>
    <w:rsid w:val="0082018B"/>
    <w:rsid w:val="00820213"/>
    <w:rsid w:val="0082090A"/>
    <w:rsid w:val="00820A9D"/>
    <w:rsid w:val="00820C60"/>
    <w:rsid w:val="00821054"/>
    <w:rsid w:val="0082112F"/>
    <w:rsid w:val="008213A1"/>
    <w:rsid w:val="008216ED"/>
    <w:rsid w:val="00821EB1"/>
    <w:rsid w:val="00821FDE"/>
    <w:rsid w:val="0082239E"/>
    <w:rsid w:val="00822730"/>
    <w:rsid w:val="00822FAD"/>
    <w:rsid w:val="00822FB4"/>
    <w:rsid w:val="00823190"/>
    <w:rsid w:val="00823250"/>
    <w:rsid w:val="00823AC5"/>
    <w:rsid w:val="00823B0F"/>
    <w:rsid w:val="00823BA1"/>
    <w:rsid w:val="00823DC8"/>
    <w:rsid w:val="008240CE"/>
    <w:rsid w:val="008240FA"/>
    <w:rsid w:val="008245E5"/>
    <w:rsid w:val="0082493F"/>
    <w:rsid w:val="00824ACB"/>
    <w:rsid w:val="00824C6E"/>
    <w:rsid w:val="00824D3A"/>
    <w:rsid w:val="00824F7A"/>
    <w:rsid w:val="00825043"/>
    <w:rsid w:val="00825268"/>
    <w:rsid w:val="00825621"/>
    <w:rsid w:val="0082583E"/>
    <w:rsid w:val="00825A32"/>
    <w:rsid w:val="00825C3A"/>
    <w:rsid w:val="00825C4C"/>
    <w:rsid w:val="00825E22"/>
    <w:rsid w:val="008261A4"/>
    <w:rsid w:val="00826201"/>
    <w:rsid w:val="0082664D"/>
    <w:rsid w:val="00826A29"/>
    <w:rsid w:val="00826B03"/>
    <w:rsid w:val="00826B0F"/>
    <w:rsid w:val="00826BFA"/>
    <w:rsid w:val="00826C27"/>
    <w:rsid w:val="00826E23"/>
    <w:rsid w:val="00826FAE"/>
    <w:rsid w:val="0082736C"/>
    <w:rsid w:val="008275A4"/>
    <w:rsid w:val="00827DAA"/>
    <w:rsid w:val="00830493"/>
    <w:rsid w:val="008305F7"/>
    <w:rsid w:val="00830EF2"/>
    <w:rsid w:val="00831423"/>
    <w:rsid w:val="00831688"/>
    <w:rsid w:val="0083168D"/>
    <w:rsid w:val="0083185A"/>
    <w:rsid w:val="008318E3"/>
    <w:rsid w:val="0083192A"/>
    <w:rsid w:val="00831DD0"/>
    <w:rsid w:val="00831E06"/>
    <w:rsid w:val="00831F35"/>
    <w:rsid w:val="0083215D"/>
    <w:rsid w:val="00832503"/>
    <w:rsid w:val="00832552"/>
    <w:rsid w:val="0083263C"/>
    <w:rsid w:val="00832F30"/>
    <w:rsid w:val="008330EB"/>
    <w:rsid w:val="008332B7"/>
    <w:rsid w:val="008333A5"/>
    <w:rsid w:val="00833420"/>
    <w:rsid w:val="00833481"/>
    <w:rsid w:val="00833807"/>
    <w:rsid w:val="00833898"/>
    <w:rsid w:val="00833A8A"/>
    <w:rsid w:val="00833AF6"/>
    <w:rsid w:val="00833C26"/>
    <w:rsid w:val="00833FFA"/>
    <w:rsid w:val="00834120"/>
    <w:rsid w:val="00834152"/>
    <w:rsid w:val="008343E1"/>
    <w:rsid w:val="00834580"/>
    <w:rsid w:val="00834A65"/>
    <w:rsid w:val="00834C5F"/>
    <w:rsid w:val="00834E39"/>
    <w:rsid w:val="00835122"/>
    <w:rsid w:val="00835132"/>
    <w:rsid w:val="008353ED"/>
    <w:rsid w:val="008355BA"/>
    <w:rsid w:val="008356A3"/>
    <w:rsid w:val="008356F2"/>
    <w:rsid w:val="00835749"/>
    <w:rsid w:val="008359C4"/>
    <w:rsid w:val="00835D95"/>
    <w:rsid w:val="00835FD3"/>
    <w:rsid w:val="008360A0"/>
    <w:rsid w:val="00836A13"/>
    <w:rsid w:val="00836A7D"/>
    <w:rsid w:val="00836BFA"/>
    <w:rsid w:val="00836BFB"/>
    <w:rsid w:val="00836DE9"/>
    <w:rsid w:val="008376BD"/>
    <w:rsid w:val="008378F4"/>
    <w:rsid w:val="00837C0D"/>
    <w:rsid w:val="00837EF5"/>
    <w:rsid w:val="00837FB8"/>
    <w:rsid w:val="00840061"/>
    <w:rsid w:val="008404DF"/>
    <w:rsid w:val="00840704"/>
    <w:rsid w:val="0084071A"/>
    <w:rsid w:val="008411AC"/>
    <w:rsid w:val="00841ABC"/>
    <w:rsid w:val="00841D13"/>
    <w:rsid w:val="008421B0"/>
    <w:rsid w:val="00842662"/>
    <w:rsid w:val="008427AC"/>
    <w:rsid w:val="008427E0"/>
    <w:rsid w:val="00842F2B"/>
    <w:rsid w:val="00842FC7"/>
    <w:rsid w:val="00843169"/>
    <w:rsid w:val="008431FF"/>
    <w:rsid w:val="0084385C"/>
    <w:rsid w:val="0084389B"/>
    <w:rsid w:val="00843C0F"/>
    <w:rsid w:val="00843D21"/>
    <w:rsid w:val="00843E91"/>
    <w:rsid w:val="00843E9D"/>
    <w:rsid w:val="0084416A"/>
    <w:rsid w:val="00844374"/>
    <w:rsid w:val="00844638"/>
    <w:rsid w:val="0084473D"/>
    <w:rsid w:val="00844893"/>
    <w:rsid w:val="00844A66"/>
    <w:rsid w:val="00844B4F"/>
    <w:rsid w:val="00844D53"/>
    <w:rsid w:val="00844F03"/>
    <w:rsid w:val="00845153"/>
    <w:rsid w:val="00845454"/>
    <w:rsid w:val="008454B9"/>
    <w:rsid w:val="00845A17"/>
    <w:rsid w:val="00845A7E"/>
    <w:rsid w:val="00845CA4"/>
    <w:rsid w:val="00845D5A"/>
    <w:rsid w:val="00845E37"/>
    <w:rsid w:val="00845E3F"/>
    <w:rsid w:val="00846029"/>
    <w:rsid w:val="008460C4"/>
    <w:rsid w:val="00846134"/>
    <w:rsid w:val="008464B8"/>
    <w:rsid w:val="00846502"/>
    <w:rsid w:val="00846628"/>
    <w:rsid w:val="00846836"/>
    <w:rsid w:val="008468A5"/>
    <w:rsid w:val="008469BA"/>
    <w:rsid w:val="00846B24"/>
    <w:rsid w:val="00846B48"/>
    <w:rsid w:val="00847171"/>
    <w:rsid w:val="00847368"/>
    <w:rsid w:val="00847ACF"/>
    <w:rsid w:val="00847B33"/>
    <w:rsid w:val="00847E9A"/>
    <w:rsid w:val="008500B6"/>
    <w:rsid w:val="008502D3"/>
    <w:rsid w:val="00850749"/>
    <w:rsid w:val="008508C5"/>
    <w:rsid w:val="0085094D"/>
    <w:rsid w:val="00850CB9"/>
    <w:rsid w:val="00850FF8"/>
    <w:rsid w:val="0085101E"/>
    <w:rsid w:val="008515C4"/>
    <w:rsid w:val="00851819"/>
    <w:rsid w:val="00851922"/>
    <w:rsid w:val="0085194D"/>
    <w:rsid w:val="00851F21"/>
    <w:rsid w:val="00852160"/>
    <w:rsid w:val="0085232D"/>
    <w:rsid w:val="00852470"/>
    <w:rsid w:val="0085247D"/>
    <w:rsid w:val="008526D8"/>
    <w:rsid w:val="008528FF"/>
    <w:rsid w:val="00852999"/>
    <w:rsid w:val="00852C5A"/>
    <w:rsid w:val="008530B4"/>
    <w:rsid w:val="008539CF"/>
    <w:rsid w:val="008539DA"/>
    <w:rsid w:val="00853B28"/>
    <w:rsid w:val="00853D27"/>
    <w:rsid w:val="008541D6"/>
    <w:rsid w:val="00854492"/>
    <w:rsid w:val="008548CA"/>
    <w:rsid w:val="00854B6B"/>
    <w:rsid w:val="00854C81"/>
    <w:rsid w:val="00854F4E"/>
    <w:rsid w:val="0085504D"/>
    <w:rsid w:val="00855425"/>
    <w:rsid w:val="008556E7"/>
    <w:rsid w:val="00855774"/>
    <w:rsid w:val="0085586B"/>
    <w:rsid w:val="00855977"/>
    <w:rsid w:val="00855A1D"/>
    <w:rsid w:val="00855B9D"/>
    <w:rsid w:val="00855E15"/>
    <w:rsid w:val="008560CC"/>
    <w:rsid w:val="00856140"/>
    <w:rsid w:val="00856159"/>
    <w:rsid w:val="008561AF"/>
    <w:rsid w:val="00856289"/>
    <w:rsid w:val="0085667F"/>
    <w:rsid w:val="008567B6"/>
    <w:rsid w:val="00856876"/>
    <w:rsid w:val="0085693E"/>
    <w:rsid w:val="00856968"/>
    <w:rsid w:val="008573E9"/>
    <w:rsid w:val="00857594"/>
    <w:rsid w:val="00857AA6"/>
    <w:rsid w:val="00857D8E"/>
    <w:rsid w:val="0086011F"/>
    <w:rsid w:val="0086023F"/>
    <w:rsid w:val="00860405"/>
    <w:rsid w:val="00860406"/>
    <w:rsid w:val="008604FC"/>
    <w:rsid w:val="008605FA"/>
    <w:rsid w:val="0086088E"/>
    <w:rsid w:val="00860E4D"/>
    <w:rsid w:val="008610FF"/>
    <w:rsid w:val="0086112E"/>
    <w:rsid w:val="00861766"/>
    <w:rsid w:val="008618A1"/>
    <w:rsid w:val="008618C1"/>
    <w:rsid w:val="00861B9A"/>
    <w:rsid w:val="00861BCF"/>
    <w:rsid w:val="00861CD6"/>
    <w:rsid w:val="00861D6A"/>
    <w:rsid w:val="00861D79"/>
    <w:rsid w:val="00861E0D"/>
    <w:rsid w:val="00861FA7"/>
    <w:rsid w:val="00862061"/>
    <w:rsid w:val="00862384"/>
    <w:rsid w:val="00862825"/>
    <w:rsid w:val="00862A5E"/>
    <w:rsid w:val="00862B7A"/>
    <w:rsid w:val="00863075"/>
    <w:rsid w:val="00863196"/>
    <w:rsid w:val="0086378D"/>
    <w:rsid w:val="00863A8B"/>
    <w:rsid w:val="00863ACB"/>
    <w:rsid w:val="00863AEB"/>
    <w:rsid w:val="00863BFC"/>
    <w:rsid w:val="0086416D"/>
    <w:rsid w:val="0086431B"/>
    <w:rsid w:val="00864637"/>
    <w:rsid w:val="00864AC1"/>
    <w:rsid w:val="00864C70"/>
    <w:rsid w:val="00864D36"/>
    <w:rsid w:val="00864F12"/>
    <w:rsid w:val="008650AA"/>
    <w:rsid w:val="008653DC"/>
    <w:rsid w:val="0086571A"/>
    <w:rsid w:val="0086575A"/>
    <w:rsid w:val="00865E39"/>
    <w:rsid w:val="00865FC9"/>
    <w:rsid w:val="00866403"/>
    <w:rsid w:val="00866566"/>
    <w:rsid w:val="008666AA"/>
    <w:rsid w:val="00866AED"/>
    <w:rsid w:val="00866D71"/>
    <w:rsid w:val="00866E04"/>
    <w:rsid w:val="00866F1D"/>
    <w:rsid w:val="00867573"/>
    <w:rsid w:val="00867AF4"/>
    <w:rsid w:val="00867CF2"/>
    <w:rsid w:val="00867F88"/>
    <w:rsid w:val="00870162"/>
    <w:rsid w:val="0087098E"/>
    <w:rsid w:val="00870EAD"/>
    <w:rsid w:val="00871157"/>
    <w:rsid w:val="00871221"/>
    <w:rsid w:val="00871575"/>
    <w:rsid w:val="00871649"/>
    <w:rsid w:val="00871748"/>
    <w:rsid w:val="00871AE4"/>
    <w:rsid w:val="00872088"/>
    <w:rsid w:val="008720B9"/>
    <w:rsid w:val="008724A9"/>
    <w:rsid w:val="0087269F"/>
    <w:rsid w:val="00872961"/>
    <w:rsid w:val="00872F71"/>
    <w:rsid w:val="008733D0"/>
    <w:rsid w:val="008734B9"/>
    <w:rsid w:val="008735E0"/>
    <w:rsid w:val="00873DE0"/>
    <w:rsid w:val="00873EA0"/>
    <w:rsid w:val="00873ECA"/>
    <w:rsid w:val="00873F0B"/>
    <w:rsid w:val="00873FD3"/>
    <w:rsid w:val="00874009"/>
    <w:rsid w:val="00874288"/>
    <w:rsid w:val="00874309"/>
    <w:rsid w:val="0087498A"/>
    <w:rsid w:val="00874A2B"/>
    <w:rsid w:val="00874B3B"/>
    <w:rsid w:val="00875543"/>
    <w:rsid w:val="00875A32"/>
    <w:rsid w:val="00875F0C"/>
    <w:rsid w:val="00876093"/>
    <w:rsid w:val="00876183"/>
    <w:rsid w:val="008764AC"/>
    <w:rsid w:val="0087669F"/>
    <w:rsid w:val="00876989"/>
    <w:rsid w:val="00876F0C"/>
    <w:rsid w:val="0087707C"/>
    <w:rsid w:val="008774AE"/>
    <w:rsid w:val="00877551"/>
    <w:rsid w:val="008777C3"/>
    <w:rsid w:val="00877A02"/>
    <w:rsid w:val="00877D45"/>
    <w:rsid w:val="00877DE8"/>
    <w:rsid w:val="00880016"/>
    <w:rsid w:val="008802D4"/>
    <w:rsid w:val="008806BE"/>
    <w:rsid w:val="0088083E"/>
    <w:rsid w:val="00880DE0"/>
    <w:rsid w:val="00880EB4"/>
    <w:rsid w:val="00880FF1"/>
    <w:rsid w:val="00881295"/>
    <w:rsid w:val="00881568"/>
    <w:rsid w:val="00881898"/>
    <w:rsid w:val="00881C9F"/>
    <w:rsid w:val="008821DA"/>
    <w:rsid w:val="0088225B"/>
    <w:rsid w:val="00882ACE"/>
    <w:rsid w:val="00882BDA"/>
    <w:rsid w:val="00882E09"/>
    <w:rsid w:val="00882E73"/>
    <w:rsid w:val="008830B7"/>
    <w:rsid w:val="008833BD"/>
    <w:rsid w:val="008839D0"/>
    <w:rsid w:val="00883F74"/>
    <w:rsid w:val="00883F75"/>
    <w:rsid w:val="008841F8"/>
    <w:rsid w:val="0088446E"/>
    <w:rsid w:val="0088459F"/>
    <w:rsid w:val="00884A1C"/>
    <w:rsid w:val="00884E77"/>
    <w:rsid w:val="00884F17"/>
    <w:rsid w:val="008852D4"/>
    <w:rsid w:val="00885C39"/>
    <w:rsid w:val="00885CB8"/>
    <w:rsid w:val="00885EB0"/>
    <w:rsid w:val="0088631D"/>
    <w:rsid w:val="008863F1"/>
    <w:rsid w:val="008865CD"/>
    <w:rsid w:val="0088697B"/>
    <w:rsid w:val="00886A34"/>
    <w:rsid w:val="00886B0C"/>
    <w:rsid w:val="00886B72"/>
    <w:rsid w:val="00886F2B"/>
    <w:rsid w:val="008870FA"/>
    <w:rsid w:val="00887353"/>
    <w:rsid w:val="0088755D"/>
    <w:rsid w:val="00887C65"/>
    <w:rsid w:val="00887DFA"/>
    <w:rsid w:val="00890215"/>
    <w:rsid w:val="00890640"/>
    <w:rsid w:val="008908C2"/>
    <w:rsid w:val="00890A41"/>
    <w:rsid w:val="00890BD5"/>
    <w:rsid w:val="00890C32"/>
    <w:rsid w:val="00890E48"/>
    <w:rsid w:val="00891027"/>
    <w:rsid w:val="008915B5"/>
    <w:rsid w:val="008918D0"/>
    <w:rsid w:val="0089190E"/>
    <w:rsid w:val="00891921"/>
    <w:rsid w:val="0089196E"/>
    <w:rsid w:val="00891C79"/>
    <w:rsid w:val="00891C80"/>
    <w:rsid w:val="00892097"/>
    <w:rsid w:val="008920C8"/>
    <w:rsid w:val="008921F2"/>
    <w:rsid w:val="008922F3"/>
    <w:rsid w:val="0089237C"/>
    <w:rsid w:val="00892936"/>
    <w:rsid w:val="00892A81"/>
    <w:rsid w:val="00892FF1"/>
    <w:rsid w:val="008933AF"/>
    <w:rsid w:val="0089367C"/>
    <w:rsid w:val="008936BC"/>
    <w:rsid w:val="00893E34"/>
    <w:rsid w:val="00894094"/>
    <w:rsid w:val="00894166"/>
    <w:rsid w:val="0089428A"/>
    <w:rsid w:val="00894293"/>
    <w:rsid w:val="008945DE"/>
    <w:rsid w:val="0089560F"/>
    <w:rsid w:val="00895C85"/>
    <w:rsid w:val="0089630A"/>
    <w:rsid w:val="00896626"/>
    <w:rsid w:val="00896669"/>
    <w:rsid w:val="00896A29"/>
    <w:rsid w:val="00896BE0"/>
    <w:rsid w:val="00896C99"/>
    <w:rsid w:val="008974F4"/>
    <w:rsid w:val="00897D9B"/>
    <w:rsid w:val="00897F8F"/>
    <w:rsid w:val="008A000E"/>
    <w:rsid w:val="008A0047"/>
    <w:rsid w:val="008A02C8"/>
    <w:rsid w:val="008A0338"/>
    <w:rsid w:val="008A06E0"/>
    <w:rsid w:val="008A0738"/>
    <w:rsid w:val="008A0B53"/>
    <w:rsid w:val="008A0C5A"/>
    <w:rsid w:val="008A1520"/>
    <w:rsid w:val="008A16C0"/>
    <w:rsid w:val="008A1B82"/>
    <w:rsid w:val="008A2043"/>
    <w:rsid w:val="008A235E"/>
    <w:rsid w:val="008A23DE"/>
    <w:rsid w:val="008A2BA4"/>
    <w:rsid w:val="008A3402"/>
    <w:rsid w:val="008A34A0"/>
    <w:rsid w:val="008A35AF"/>
    <w:rsid w:val="008A35F2"/>
    <w:rsid w:val="008A3686"/>
    <w:rsid w:val="008A3845"/>
    <w:rsid w:val="008A39A2"/>
    <w:rsid w:val="008A4713"/>
    <w:rsid w:val="008A4BBF"/>
    <w:rsid w:val="008A4C51"/>
    <w:rsid w:val="008A4CB5"/>
    <w:rsid w:val="008A4F60"/>
    <w:rsid w:val="008A50CB"/>
    <w:rsid w:val="008A566B"/>
    <w:rsid w:val="008A5909"/>
    <w:rsid w:val="008A5C88"/>
    <w:rsid w:val="008A5C94"/>
    <w:rsid w:val="008A5CB3"/>
    <w:rsid w:val="008A5E96"/>
    <w:rsid w:val="008A5FB1"/>
    <w:rsid w:val="008A6E99"/>
    <w:rsid w:val="008A7129"/>
    <w:rsid w:val="008A7633"/>
    <w:rsid w:val="008A7738"/>
    <w:rsid w:val="008A7B88"/>
    <w:rsid w:val="008A7D5A"/>
    <w:rsid w:val="008A7DE9"/>
    <w:rsid w:val="008A7DFB"/>
    <w:rsid w:val="008A7DFC"/>
    <w:rsid w:val="008B01D6"/>
    <w:rsid w:val="008B0288"/>
    <w:rsid w:val="008B0558"/>
    <w:rsid w:val="008B05AA"/>
    <w:rsid w:val="008B0767"/>
    <w:rsid w:val="008B082D"/>
    <w:rsid w:val="008B1168"/>
    <w:rsid w:val="008B190A"/>
    <w:rsid w:val="008B1BE3"/>
    <w:rsid w:val="008B1D70"/>
    <w:rsid w:val="008B25E7"/>
    <w:rsid w:val="008B2BD4"/>
    <w:rsid w:val="008B2C41"/>
    <w:rsid w:val="008B35DB"/>
    <w:rsid w:val="008B39A5"/>
    <w:rsid w:val="008B41E0"/>
    <w:rsid w:val="008B43C8"/>
    <w:rsid w:val="008B46AA"/>
    <w:rsid w:val="008B49F0"/>
    <w:rsid w:val="008B4CC6"/>
    <w:rsid w:val="008B5E48"/>
    <w:rsid w:val="008B6146"/>
    <w:rsid w:val="008B679E"/>
    <w:rsid w:val="008B6D06"/>
    <w:rsid w:val="008B6DA9"/>
    <w:rsid w:val="008B6DC0"/>
    <w:rsid w:val="008B75B9"/>
    <w:rsid w:val="008B790F"/>
    <w:rsid w:val="008B7C25"/>
    <w:rsid w:val="008B7CBB"/>
    <w:rsid w:val="008C0084"/>
    <w:rsid w:val="008C00ED"/>
    <w:rsid w:val="008C051A"/>
    <w:rsid w:val="008C058A"/>
    <w:rsid w:val="008C0727"/>
    <w:rsid w:val="008C08CA"/>
    <w:rsid w:val="008C095A"/>
    <w:rsid w:val="008C1109"/>
    <w:rsid w:val="008C14A1"/>
    <w:rsid w:val="008C156A"/>
    <w:rsid w:val="008C158B"/>
    <w:rsid w:val="008C16A3"/>
    <w:rsid w:val="008C16A7"/>
    <w:rsid w:val="008C1B91"/>
    <w:rsid w:val="008C1C7F"/>
    <w:rsid w:val="008C26A0"/>
    <w:rsid w:val="008C276A"/>
    <w:rsid w:val="008C29A9"/>
    <w:rsid w:val="008C29F5"/>
    <w:rsid w:val="008C2E27"/>
    <w:rsid w:val="008C31E0"/>
    <w:rsid w:val="008C3223"/>
    <w:rsid w:val="008C34D3"/>
    <w:rsid w:val="008C39D1"/>
    <w:rsid w:val="008C4257"/>
    <w:rsid w:val="008C44A8"/>
    <w:rsid w:val="008C44DA"/>
    <w:rsid w:val="008C4A5F"/>
    <w:rsid w:val="008C4B90"/>
    <w:rsid w:val="008C4E3A"/>
    <w:rsid w:val="008C50E7"/>
    <w:rsid w:val="008C5584"/>
    <w:rsid w:val="008C5617"/>
    <w:rsid w:val="008C5B51"/>
    <w:rsid w:val="008C5B83"/>
    <w:rsid w:val="008C5B97"/>
    <w:rsid w:val="008C5D6C"/>
    <w:rsid w:val="008C6572"/>
    <w:rsid w:val="008C657A"/>
    <w:rsid w:val="008C6A28"/>
    <w:rsid w:val="008C6E05"/>
    <w:rsid w:val="008C718E"/>
    <w:rsid w:val="008C72B7"/>
    <w:rsid w:val="008C796D"/>
    <w:rsid w:val="008C7A2E"/>
    <w:rsid w:val="008D0953"/>
    <w:rsid w:val="008D0F81"/>
    <w:rsid w:val="008D1172"/>
    <w:rsid w:val="008D13D7"/>
    <w:rsid w:val="008D145C"/>
    <w:rsid w:val="008D1924"/>
    <w:rsid w:val="008D1BEF"/>
    <w:rsid w:val="008D217D"/>
    <w:rsid w:val="008D2226"/>
    <w:rsid w:val="008D2263"/>
    <w:rsid w:val="008D2718"/>
    <w:rsid w:val="008D28A7"/>
    <w:rsid w:val="008D2AAD"/>
    <w:rsid w:val="008D2BCB"/>
    <w:rsid w:val="008D2C1C"/>
    <w:rsid w:val="008D2DDB"/>
    <w:rsid w:val="008D30AC"/>
    <w:rsid w:val="008D39D7"/>
    <w:rsid w:val="008D3B26"/>
    <w:rsid w:val="008D3C2B"/>
    <w:rsid w:val="008D3CA5"/>
    <w:rsid w:val="008D3FA1"/>
    <w:rsid w:val="008D4043"/>
    <w:rsid w:val="008D420F"/>
    <w:rsid w:val="008D422E"/>
    <w:rsid w:val="008D49AB"/>
    <w:rsid w:val="008D4CD6"/>
    <w:rsid w:val="008D4D03"/>
    <w:rsid w:val="008D4E8C"/>
    <w:rsid w:val="008D4EBF"/>
    <w:rsid w:val="008D4F08"/>
    <w:rsid w:val="008D4F81"/>
    <w:rsid w:val="008D5919"/>
    <w:rsid w:val="008D59CF"/>
    <w:rsid w:val="008D59EB"/>
    <w:rsid w:val="008D5C3A"/>
    <w:rsid w:val="008D629C"/>
    <w:rsid w:val="008D6521"/>
    <w:rsid w:val="008D67C0"/>
    <w:rsid w:val="008D68BF"/>
    <w:rsid w:val="008D6D9A"/>
    <w:rsid w:val="008D6EE7"/>
    <w:rsid w:val="008D6F30"/>
    <w:rsid w:val="008D6F6C"/>
    <w:rsid w:val="008D6F6F"/>
    <w:rsid w:val="008D7E73"/>
    <w:rsid w:val="008E00BC"/>
    <w:rsid w:val="008E0150"/>
    <w:rsid w:val="008E02F6"/>
    <w:rsid w:val="008E030A"/>
    <w:rsid w:val="008E03FD"/>
    <w:rsid w:val="008E07E6"/>
    <w:rsid w:val="008E113C"/>
    <w:rsid w:val="008E114D"/>
    <w:rsid w:val="008E11AE"/>
    <w:rsid w:val="008E1262"/>
    <w:rsid w:val="008E1282"/>
    <w:rsid w:val="008E1414"/>
    <w:rsid w:val="008E1850"/>
    <w:rsid w:val="008E18E1"/>
    <w:rsid w:val="008E1BFE"/>
    <w:rsid w:val="008E1C06"/>
    <w:rsid w:val="008E1F59"/>
    <w:rsid w:val="008E2798"/>
    <w:rsid w:val="008E27FB"/>
    <w:rsid w:val="008E2897"/>
    <w:rsid w:val="008E2A41"/>
    <w:rsid w:val="008E2D5C"/>
    <w:rsid w:val="008E2E55"/>
    <w:rsid w:val="008E2EE0"/>
    <w:rsid w:val="008E2F75"/>
    <w:rsid w:val="008E2F88"/>
    <w:rsid w:val="008E3313"/>
    <w:rsid w:val="008E331A"/>
    <w:rsid w:val="008E4BD8"/>
    <w:rsid w:val="008E4D0A"/>
    <w:rsid w:val="008E56EE"/>
    <w:rsid w:val="008E58D9"/>
    <w:rsid w:val="008E61CC"/>
    <w:rsid w:val="008E671A"/>
    <w:rsid w:val="008E68D1"/>
    <w:rsid w:val="008E6D07"/>
    <w:rsid w:val="008E6EC7"/>
    <w:rsid w:val="008E71FB"/>
    <w:rsid w:val="008E727F"/>
    <w:rsid w:val="008E75B3"/>
    <w:rsid w:val="008E768C"/>
    <w:rsid w:val="008E78AA"/>
    <w:rsid w:val="008E7B80"/>
    <w:rsid w:val="008E7DB1"/>
    <w:rsid w:val="008E7E89"/>
    <w:rsid w:val="008F04A0"/>
    <w:rsid w:val="008F0FAC"/>
    <w:rsid w:val="008F1049"/>
    <w:rsid w:val="008F1178"/>
    <w:rsid w:val="008F11D0"/>
    <w:rsid w:val="008F18E7"/>
    <w:rsid w:val="008F1E53"/>
    <w:rsid w:val="008F1E9A"/>
    <w:rsid w:val="008F1EEF"/>
    <w:rsid w:val="008F208E"/>
    <w:rsid w:val="008F23CF"/>
    <w:rsid w:val="008F24E5"/>
    <w:rsid w:val="008F2525"/>
    <w:rsid w:val="008F28E7"/>
    <w:rsid w:val="008F303D"/>
    <w:rsid w:val="008F307B"/>
    <w:rsid w:val="008F35EC"/>
    <w:rsid w:val="008F3F98"/>
    <w:rsid w:val="008F42C8"/>
    <w:rsid w:val="008F4552"/>
    <w:rsid w:val="008F4C02"/>
    <w:rsid w:val="008F50AC"/>
    <w:rsid w:val="008F52A4"/>
    <w:rsid w:val="008F5556"/>
    <w:rsid w:val="008F58EB"/>
    <w:rsid w:val="008F59BF"/>
    <w:rsid w:val="008F5A58"/>
    <w:rsid w:val="008F5BDE"/>
    <w:rsid w:val="008F5FE8"/>
    <w:rsid w:val="008F6580"/>
    <w:rsid w:val="008F6617"/>
    <w:rsid w:val="008F688A"/>
    <w:rsid w:val="008F69E5"/>
    <w:rsid w:val="008F709E"/>
    <w:rsid w:val="008F7139"/>
    <w:rsid w:val="008F7220"/>
    <w:rsid w:val="008F73F4"/>
    <w:rsid w:val="008F742A"/>
    <w:rsid w:val="008F7435"/>
    <w:rsid w:val="008F74B0"/>
    <w:rsid w:val="008F779D"/>
    <w:rsid w:val="008F7CB5"/>
    <w:rsid w:val="008F7F94"/>
    <w:rsid w:val="008F7F9B"/>
    <w:rsid w:val="008F7FE2"/>
    <w:rsid w:val="0090005C"/>
    <w:rsid w:val="009000ED"/>
    <w:rsid w:val="0090084A"/>
    <w:rsid w:val="00900AA6"/>
    <w:rsid w:val="00900B64"/>
    <w:rsid w:val="00900F10"/>
    <w:rsid w:val="0090122A"/>
    <w:rsid w:val="0090126C"/>
    <w:rsid w:val="0090130B"/>
    <w:rsid w:val="009014F4"/>
    <w:rsid w:val="00901753"/>
    <w:rsid w:val="0090182B"/>
    <w:rsid w:val="00901A2F"/>
    <w:rsid w:val="00901AAA"/>
    <w:rsid w:val="00901C27"/>
    <w:rsid w:val="0090220C"/>
    <w:rsid w:val="009024CE"/>
    <w:rsid w:val="009024CF"/>
    <w:rsid w:val="00902691"/>
    <w:rsid w:val="0090275A"/>
    <w:rsid w:val="00902A13"/>
    <w:rsid w:val="009034E4"/>
    <w:rsid w:val="00903654"/>
    <w:rsid w:val="00903666"/>
    <w:rsid w:val="009036E6"/>
    <w:rsid w:val="00903742"/>
    <w:rsid w:val="00903E97"/>
    <w:rsid w:val="009043AF"/>
    <w:rsid w:val="0090466C"/>
    <w:rsid w:val="0090475C"/>
    <w:rsid w:val="00904979"/>
    <w:rsid w:val="0090498E"/>
    <w:rsid w:val="00904B8F"/>
    <w:rsid w:val="00904F28"/>
    <w:rsid w:val="00904F7E"/>
    <w:rsid w:val="00904FEB"/>
    <w:rsid w:val="00905006"/>
    <w:rsid w:val="00905339"/>
    <w:rsid w:val="009054A3"/>
    <w:rsid w:val="0090582C"/>
    <w:rsid w:val="00905B3E"/>
    <w:rsid w:val="00905B6E"/>
    <w:rsid w:val="00905C96"/>
    <w:rsid w:val="00905D28"/>
    <w:rsid w:val="00905F81"/>
    <w:rsid w:val="0090607E"/>
    <w:rsid w:val="009063C2"/>
    <w:rsid w:val="0090676A"/>
    <w:rsid w:val="009067B0"/>
    <w:rsid w:val="00906ADD"/>
    <w:rsid w:val="00906E6E"/>
    <w:rsid w:val="00906E95"/>
    <w:rsid w:val="00906E97"/>
    <w:rsid w:val="00906F43"/>
    <w:rsid w:val="00907129"/>
    <w:rsid w:val="0090745C"/>
    <w:rsid w:val="00907882"/>
    <w:rsid w:val="00907FCA"/>
    <w:rsid w:val="00910106"/>
    <w:rsid w:val="009104FC"/>
    <w:rsid w:val="009105B9"/>
    <w:rsid w:val="009107DF"/>
    <w:rsid w:val="0091084E"/>
    <w:rsid w:val="00910D09"/>
    <w:rsid w:val="00910D7A"/>
    <w:rsid w:val="0091122F"/>
    <w:rsid w:val="0091154F"/>
    <w:rsid w:val="00912164"/>
    <w:rsid w:val="0091225D"/>
    <w:rsid w:val="009125D5"/>
    <w:rsid w:val="009126DF"/>
    <w:rsid w:val="00912841"/>
    <w:rsid w:val="00912C31"/>
    <w:rsid w:val="00912E88"/>
    <w:rsid w:val="0091319D"/>
    <w:rsid w:val="009139B3"/>
    <w:rsid w:val="00913BD6"/>
    <w:rsid w:val="00914047"/>
    <w:rsid w:val="009148D4"/>
    <w:rsid w:val="00914A4D"/>
    <w:rsid w:val="00914B6E"/>
    <w:rsid w:val="00914BF9"/>
    <w:rsid w:val="00914CC0"/>
    <w:rsid w:val="00914DBC"/>
    <w:rsid w:val="00915448"/>
    <w:rsid w:val="009154FB"/>
    <w:rsid w:val="00915749"/>
    <w:rsid w:val="00915814"/>
    <w:rsid w:val="00915846"/>
    <w:rsid w:val="009159F3"/>
    <w:rsid w:val="00915AA0"/>
    <w:rsid w:val="00915CD3"/>
    <w:rsid w:val="00915E9E"/>
    <w:rsid w:val="00915FC8"/>
    <w:rsid w:val="009161DF"/>
    <w:rsid w:val="009161FE"/>
    <w:rsid w:val="009168A0"/>
    <w:rsid w:val="009168CB"/>
    <w:rsid w:val="00916A05"/>
    <w:rsid w:val="00916CEB"/>
    <w:rsid w:val="00916D8A"/>
    <w:rsid w:val="00917140"/>
    <w:rsid w:val="009173A9"/>
    <w:rsid w:val="009178AA"/>
    <w:rsid w:val="00917AB4"/>
    <w:rsid w:val="00917C7F"/>
    <w:rsid w:val="00917CC9"/>
    <w:rsid w:val="00917F09"/>
    <w:rsid w:val="009200CA"/>
    <w:rsid w:val="00920291"/>
    <w:rsid w:val="00920763"/>
    <w:rsid w:val="009207F0"/>
    <w:rsid w:val="009208CA"/>
    <w:rsid w:val="00920C3D"/>
    <w:rsid w:val="0092110E"/>
    <w:rsid w:val="00921253"/>
    <w:rsid w:val="00921471"/>
    <w:rsid w:val="009214D7"/>
    <w:rsid w:val="0092155A"/>
    <w:rsid w:val="009215ED"/>
    <w:rsid w:val="009216C2"/>
    <w:rsid w:val="00921B34"/>
    <w:rsid w:val="00921BF5"/>
    <w:rsid w:val="00921DC0"/>
    <w:rsid w:val="00922063"/>
    <w:rsid w:val="0092289E"/>
    <w:rsid w:val="00922999"/>
    <w:rsid w:val="00922DD0"/>
    <w:rsid w:val="00922DDB"/>
    <w:rsid w:val="00923114"/>
    <w:rsid w:val="009231C9"/>
    <w:rsid w:val="00923573"/>
    <w:rsid w:val="0092366D"/>
    <w:rsid w:val="00923BBB"/>
    <w:rsid w:val="00923D79"/>
    <w:rsid w:val="00923FE1"/>
    <w:rsid w:val="00924019"/>
    <w:rsid w:val="009243E8"/>
    <w:rsid w:val="0092471D"/>
    <w:rsid w:val="009249C4"/>
    <w:rsid w:val="009249DA"/>
    <w:rsid w:val="00924FA8"/>
    <w:rsid w:val="00924FCD"/>
    <w:rsid w:val="009256EB"/>
    <w:rsid w:val="00926251"/>
    <w:rsid w:val="009262AE"/>
    <w:rsid w:val="00926468"/>
    <w:rsid w:val="009265A7"/>
    <w:rsid w:val="0092667C"/>
    <w:rsid w:val="009267A2"/>
    <w:rsid w:val="0092692B"/>
    <w:rsid w:val="00926D51"/>
    <w:rsid w:val="00927E16"/>
    <w:rsid w:val="00927EAD"/>
    <w:rsid w:val="00930403"/>
    <w:rsid w:val="009307AA"/>
    <w:rsid w:val="0093091D"/>
    <w:rsid w:val="00930C35"/>
    <w:rsid w:val="00930C3B"/>
    <w:rsid w:val="009315D4"/>
    <w:rsid w:val="009316FC"/>
    <w:rsid w:val="00931BC4"/>
    <w:rsid w:val="00931E8B"/>
    <w:rsid w:val="009320C9"/>
    <w:rsid w:val="009322E8"/>
    <w:rsid w:val="0093266F"/>
    <w:rsid w:val="009327ED"/>
    <w:rsid w:val="00932902"/>
    <w:rsid w:val="00932CAC"/>
    <w:rsid w:val="00932D8B"/>
    <w:rsid w:val="00932DCB"/>
    <w:rsid w:val="009330A0"/>
    <w:rsid w:val="009331F1"/>
    <w:rsid w:val="00933B23"/>
    <w:rsid w:val="00933BAE"/>
    <w:rsid w:val="00933EA2"/>
    <w:rsid w:val="00933F57"/>
    <w:rsid w:val="00934138"/>
    <w:rsid w:val="00934274"/>
    <w:rsid w:val="009344B8"/>
    <w:rsid w:val="00934AEA"/>
    <w:rsid w:val="00934B11"/>
    <w:rsid w:val="00934D1B"/>
    <w:rsid w:val="00934D27"/>
    <w:rsid w:val="00934EF4"/>
    <w:rsid w:val="009354E3"/>
    <w:rsid w:val="00935733"/>
    <w:rsid w:val="009359B2"/>
    <w:rsid w:val="009359C8"/>
    <w:rsid w:val="00935BC3"/>
    <w:rsid w:val="00935D05"/>
    <w:rsid w:val="009360A1"/>
    <w:rsid w:val="009362BC"/>
    <w:rsid w:val="009362C3"/>
    <w:rsid w:val="009368CE"/>
    <w:rsid w:val="00936AA7"/>
    <w:rsid w:val="009371BB"/>
    <w:rsid w:val="009373E7"/>
    <w:rsid w:val="0093760D"/>
    <w:rsid w:val="00937662"/>
    <w:rsid w:val="0093788B"/>
    <w:rsid w:val="00940510"/>
    <w:rsid w:val="00940B23"/>
    <w:rsid w:val="00940C8A"/>
    <w:rsid w:val="00940CE9"/>
    <w:rsid w:val="00940DF7"/>
    <w:rsid w:val="00940EB7"/>
    <w:rsid w:val="00940FA4"/>
    <w:rsid w:val="0094103D"/>
    <w:rsid w:val="00941780"/>
    <w:rsid w:val="00941AAE"/>
    <w:rsid w:val="00941D26"/>
    <w:rsid w:val="009425D7"/>
    <w:rsid w:val="00942921"/>
    <w:rsid w:val="0094305A"/>
    <w:rsid w:val="00943171"/>
    <w:rsid w:val="00943175"/>
    <w:rsid w:val="00943186"/>
    <w:rsid w:val="009432E8"/>
    <w:rsid w:val="00943A1A"/>
    <w:rsid w:val="00943D16"/>
    <w:rsid w:val="00943FDC"/>
    <w:rsid w:val="009440AE"/>
    <w:rsid w:val="0094412F"/>
    <w:rsid w:val="009441E8"/>
    <w:rsid w:val="00944277"/>
    <w:rsid w:val="009442C4"/>
    <w:rsid w:val="0094444F"/>
    <w:rsid w:val="0094478C"/>
    <w:rsid w:val="00944E0D"/>
    <w:rsid w:val="009455FF"/>
    <w:rsid w:val="00945672"/>
    <w:rsid w:val="00945751"/>
    <w:rsid w:val="00945865"/>
    <w:rsid w:val="00945951"/>
    <w:rsid w:val="00946460"/>
    <w:rsid w:val="00946C80"/>
    <w:rsid w:val="00946CBE"/>
    <w:rsid w:val="00946CF8"/>
    <w:rsid w:val="00946DD4"/>
    <w:rsid w:val="00946EB7"/>
    <w:rsid w:val="009470CD"/>
    <w:rsid w:val="009470E6"/>
    <w:rsid w:val="0094728D"/>
    <w:rsid w:val="009473CD"/>
    <w:rsid w:val="0094753B"/>
    <w:rsid w:val="00947C0E"/>
    <w:rsid w:val="009504C1"/>
    <w:rsid w:val="00950547"/>
    <w:rsid w:val="00950D6D"/>
    <w:rsid w:val="00950D84"/>
    <w:rsid w:val="0095136E"/>
    <w:rsid w:val="009514AF"/>
    <w:rsid w:val="00951962"/>
    <w:rsid w:val="009519AB"/>
    <w:rsid w:val="009519C9"/>
    <w:rsid w:val="00951AAA"/>
    <w:rsid w:val="00951F82"/>
    <w:rsid w:val="009520BC"/>
    <w:rsid w:val="009523CD"/>
    <w:rsid w:val="009526AE"/>
    <w:rsid w:val="009526B8"/>
    <w:rsid w:val="00952741"/>
    <w:rsid w:val="009527A8"/>
    <w:rsid w:val="0095318C"/>
    <w:rsid w:val="0095324A"/>
    <w:rsid w:val="00953279"/>
    <w:rsid w:val="009533A4"/>
    <w:rsid w:val="0095354E"/>
    <w:rsid w:val="009538FA"/>
    <w:rsid w:val="00953979"/>
    <w:rsid w:val="00953F35"/>
    <w:rsid w:val="009546C5"/>
    <w:rsid w:val="0095494B"/>
    <w:rsid w:val="00954ECF"/>
    <w:rsid w:val="0095533F"/>
    <w:rsid w:val="009553AF"/>
    <w:rsid w:val="00955518"/>
    <w:rsid w:val="00955613"/>
    <w:rsid w:val="00955615"/>
    <w:rsid w:val="009556F4"/>
    <w:rsid w:val="0095588D"/>
    <w:rsid w:val="00955A78"/>
    <w:rsid w:val="0095640C"/>
    <w:rsid w:val="009565F7"/>
    <w:rsid w:val="00956628"/>
    <w:rsid w:val="00956756"/>
    <w:rsid w:val="009568D8"/>
    <w:rsid w:val="00956BBC"/>
    <w:rsid w:val="00956D8D"/>
    <w:rsid w:val="00956DE8"/>
    <w:rsid w:val="00957115"/>
    <w:rsid w:val="00957164"/>
    <w:rsid w:val="00957246"/>
    <w:rsid w:val="009572E7"/>
    <w:rsid w:val="0095757B"/>
    <w:rsid w:val="009575ED"/>
    <w:rsid w:val="0095770E"/>
    <w:rsid w:val="0095786E"/>
    <w:rsid w:val="009578CC"/>
    <w:rsid w:val="00957973"/>
    <w:rsid w:val="00957E23"/>
    <w:rsid w:val="00957FD8"/>
    <w:rsid w:val="00960414"/>
    <w:rsid w:val="009604F1"/>
    <w:rsid w:val="00960C91"/>
    <w:rsid w:val="00960D7A"/>
    <w:rsid w:val="0096116A"/>
    <w:rsid w:val="00961403"/>
    <w:rsid w:val="0096158E"/>
    <w:rsid w:val="009615B8"/>
    <w:rsid w:val="00961999"/>
    <w:rsid w:val="00961A38"/>
    <w:rsid w:val="009621C2"/>
    <w:rsid w:val="00962570"/>
    <w:rsid w:val="0096293E"/>
    <w:rsid w:val="00962A48"/>
    <w:rsid w:val="00962BAC"/>
    <w:rsid w:val="00962FD0"/>
    <w:rsid w:val="0096307F"/>
    <w:rsid w:val="009638BA"/>
    <w:rsid w:val="009638FF"/>
    <w:rsid w:val="00963949"/>
    <w:rsid w:val="00963A82"/>
    <w:rsid w:val="00963B34"/>
    <w:rsid w:val="00963C32"/>
    <w:rsid w:val="00963CB5"/>
    <w:rsid w:val="00963FB2"/>
    <w:rsid w:val="009640ED"/>
    <w:rsid w:val="009645E5"/>
    <w:rsid w:val="0096467A"/>
    <w:rsid w:val="009646B0"/>
    <w:rsid w:val="00964D14"/>
    <w:rsid w:val="0096546A"/>
    <w:rsid w:val="009655A7"/>
    <w:rsid w:val="00965628"/>
    <w:rsid w:val="0096583C"/>
    <w:rsid w:val="0096588F"/>
    <w:rsid w:val="00965965"/>
    <w:rsid w:val="00966383"/>
    <w:rsid w:val="00966548"/>
    <w:rsid w:val="00966621"/>
    <w:rsid w:val="00966878"/>
    <w:rsid w:val="0096772E"/>
    <w:rsid w:val="00967832"/>
    <w:rsid w:val="009678FA"/>
    <w:rsid w:val="00967933"/>
    <w:rsid w:val="00967D4A"/>
    <w:rsid w:val="009701DC"/>
    <w:rsid w:val="0097026E"/>
    <w:rsid w:val="00970287"/>
    <w:rsid w:val="009704D9"/>
    <w:rsid w:val="00970562"/>
    <w:rsid w:val="0097070E"/>
    <w:rsid w:val="00970D46"/>
    <w:rsid w:val="00971302"/>
    <w:rsid w:val="009715C7"/>
    <w:rsid w:val="00971B5D"/>
    <w:rsid w:val="00971B74"/>
    <w:rsid w:val="00971BC8"/>
    <w:rsid w:val="00971C13"/>
    <w:rsid w:val="00971CB2"/>
    <w:rsid w:val="00972055"/>
    <w:rsid w:val="009721C1"/>
    <w:rsid w:val="0097261D"/>
    <w:rsid w:val="00972658"/>
    <w:rsid w:val="009728A0"/>
    <w:rsid w:val="0097292C"/>
    <w:rsid w:val="00972A88"/>
    <w:rsid w:val="00972DA6"/>
    <w:rsid w:val="00972DD0"/>
    <w:rsid w:val="00972EB0"/>
    <w:rsid w:val="009733C4"/>
    <w:rsid w:val="00973471"/>
    <w:rsid w:val="0097368F"/>
    <w:rsid w:val="00973AF5"/>
    <w:rsid w:val="00973B4A"/>
    <w:rsid w:val="00973B6D"/>
    <w:rsid w:val="00973C53"/>
    <w:rsid w:val="00973E57"/>
    <w:rsid w:val="00973FED"/>
    <w:rsid w:val="00974114"/>
    <w:rsid w:val="00974279"/>
    <w:rsid w:val="009742EC"/>
    <w:rsid w:val="009748D8"/>
    <w:rsid w:val="00974981"/>
    <w:rsid w:val="00974BDA"/>
    <w:rsid w:val="00974E76"/>
    <w:rsid w:val="00974F24"/>
    <w:rsid w:val="00975025"/>
    <w:rsid w:val="00975324"/>
    <w:rsid w:val="0097545F"/>
    <w:rsid w:val="00975A07"/>
    <w:rsid w:val="009760FC"/>
    <w:rsid w:val="009762BE"/>
    <w:rsid w:val="009766A4"/>
    <w:rsid w:val="00976913"/>
    <w:rsid w:val="00976DD9"/>
    <w:rsid w:val="00976E94"/>
    <w:rsid w:val="00977018"/>
    <w:rsid w:val="0097728B"/>
    <w:rsid w:val="00977527"/>
    <w:rsid w:val="00977761"/>
    <w:rsid w:val="00977E2D"/>
    <w:rsid w:val="00977F59"/>
    <w:rsid w:val="00980244"/>
    <w:rsid w:val="009803A7"/>
    <w:rsid w:val="009804EC"/>
    <w:rsid w:val="0098063D"/>
    <w:rsid w:val="00980674"/>
    <w:rsid w:val="00981506"/>
    <w:rsid w:val="00981652"/>
    <w:rsid w:val="009818EB"/>
    <w:rsid w:val="00981A87"/>
    <w:rsid w:val="00981E01"/>
    <w:rsid w:val="00981FBB"/>
    <w:rsid w:val="00982171"/>
    <w:rsid w:val="00982172"/>
    <w:rsid w:val="009822BB"/>
    <w:rsid w:val="009824A2"/>
    <w:rsid w:val="00982756"/>
    <w:rsid w:val="009827D8"/>
    <w:rsid w:val="00982898"/>
    <w:rsid w:val="00982BC6"/>
    <w:rsid w:val="00982D6C"/>
    <w:rsid w:val="0098348B"/>
    <w:rsid w:val="009837D6"/>
    <w:rsid w:val="00983891"/>
    <w:rsid w:val="009838EA"/>
    <w:rsid w:val="00983ABD"/>
    <w:rsid w:val="00983BA4"/>
    <w:rsid w:val="00983CC8"/>
    <w:rsid w:val="00983E46"/>
    <w:rsid w:val="009840BD"/>
    <w:rsid w:val="009843E3"/>
    <w:rsid w:val="0098473C"/>
    <w:rsid w:val="00984BEE"/>
    <w:rsid w:val="00984C25"/>
    <w:rsid w:val="00984ED2"/>
    <w:rsid w:val="00985350"/>
    <w:rsid w:val="00985583"/>
    <w:rsid w:val="00985688"/>
    <w:rsid w:val="009856EE"/>
    <w:rsid w:val="0098583E"/>
    <w:rsid w:val="00985B0D"/>
    <w:rsid w:val="009860B0"/>
    <w:rsid w:val="0098616D"/>
    <w:rsid w:val="0098620C"/>
    <w:rsid w:val="009863B3"/>
    <w:rsid w:val="009864F4"/>
    <w:rsid w:val="0098678D"/>
    <w:rsid w:val="00986791"/>
    <w:rsid w:val="00986804"/>
    <w:rsid w:val="0098687A"/>
    <w:rsid w:val="009868E5"/>
    <w:rsid w:val="00986B96"/>
    <w:rsid w:val="00986E77"/>
    <w:rsid w:val="00986FF5"/>
    <w:rsid w:val="0098710D"/>
    <w:rsid w:val="00987376"/>
    <w:rsid w:val="009873C0"/>
    <w:rsid w:val="00987732"/>
    <w:rsid w:val="009879C1"/>
    <w:rsid w:val="00987A54"/>
    <w:rsid w:val="00987BEF"/>
    <w:rsid w:val="00987C8D"/>
    <w:rsid w:val="00987C9E"/>
    <w:rsid w:val="00987D3E"/>
    <w:rsid w:val="00987DD3"/>
    <w:rsid w:val="00987F42"/>
    <w:rsid w:val="00990029"/>
    <w:rsid w:val="009908C8"/>
    <w:rsid w:val="00990A83"/>
    <w:rsid w:val="009912B1"/>
    <w:rsid w:val="00991472"/>
    <w:rsid w:val="009917B2"/>
    <w:rsid w:val="00991AAB"/>
    <w:rsid w:val="00991BD0"/>
    <w:rsid w:val="00991C96"/>
    <w:rsid w:val="00991DDB"/>
    <w:rsid w:val="00991E2E"/>
    <w:rsid w:val="00991F65"/>
    <w:rsid w:val="009922ED"/>
    <w:rsid w:val="009922FD"/>
    <w:rsid w:val="00992408"/>
    <w:rsid w:val="00992515"/>
    <w:rsid w:val="00992644"/>
    <w:rsid w:val="00992DB3"/>
    <w:rsid w:val="00992DDC"/>
    <w:rsid w:val="00992FF0"/>
    <w:rsid w:val="0099310B"/>
    <w:rsid w:val="009933C2"/>
    <w:rsid w:val="009935BE"/>
    <w:rsid w:val="009936F7"/>
    <w:rsid w:val="00993929"/>
    <w:rsid w:val="00993ADA"/>
    <w:rsid w:val="00993C35"/>
    <w:rsid w:val="00993DA1"/>
    <w:rsid w:val="00993DF7"/>
    <w:rsid w:val="00993EA0"/>
    <w:rsid w:val="0099436B"/>
    <w:rsid w:val="00994A7A"/>
    <w:rsid w:val="00994C56"/>
    <w:rsid w:val="00994D0E"/>
    <w:rsid w:val="00994F05"/>
    <w:rsid w:val="009953A3"/>
    <w:rsid w:val="00995722"/>
    <w:rsid w:val="009958E5"/>
    <w:rsid w:val="00995C57"/>
    <w:rsid w:val="00995D5A"/>
    <w:rsid w:val="00996472"/>
    <w:rsid w:val="009964BD"/>
    <w:rsid w:val="0099653F"/>
    <w:rsid w:val="009968D1"/>
    <w:rsid w:val="00996A73"/>
    <w:rsid w:val="00996BC4"/>
    <w:rsid w:val="00996D9E"/>
    <w:rsid w:val="00996F55"/>
    <w:rsid w:val="00996F66"/>
    <w:rsid w:val="00997267"/>
    <w:rsid w:val="0099782E"/>
    <w:rsid w:val="00997966"/>
    <w:rsid w:val="00997997"/>
    <w:rsid w:val="009A05A8"/>
    <w:rsid w:val="009A0E90"/>
    <w:rsid w:val="009A152A"/>
    <w:rsid w:val="009A1538"/>
    <w:rsid w:val="009A1559"/>
    <w:rsid w:val="009A167D"/>
    <w:rsid w:val="009A16E3"/>
    <w:rsid w:val="009A16ED"/>
    <w:rsid w:val="009A18A9"/>
    <w:rsid w:val="009A1B39"/>
    <w:rsid w:val="009A1BB6"/>
    <w:rsid w:val="009A1C40"/>
    <w:rsid w:val="009A1D5C"/>
    <w:rsid w:val="009A217B"/>
    <w:rsid w:val="009A24E0"/>
    <w:rsid w:val="009A24FF"/>
    <w:rsid w:val="009A2608"/>
    <w:rsid w:val="009A27E6"/>
    <w:rsid w:val="009A2AAE"/>
    <w:rsid w:val="009A2ABC"/>
    <w:rsid w:val="009A3595"/>
    <w:rsid w:val="009A35C7"/>
    <w:rsid w:val="009A377D"/>
    <w:rsid w:val="009A3E46"/>
    <w:rsid w:val="009A47E8"/>
    <w:rsid w:val="009A481B"/>
    <w:rsid w:val="009A4831"/>
    <w:rsid w:val="009A49D9"/>
    <w:rsid w:val="009A4D40"/>
    <w:rsid w:val="009A5051"/>
    <w:rsid w:val="009A5342"/>
    <w:rsid w:val="009A53FC"/>
    <w:rsid w:val="009A5531"/>
    <w:rsid w:val="009A588B"/>
    <w:rsid w:val="009A631F"/>
    <w:rsid w:val="009A640C"/>
    <w:rsid w:val="009A6883"/>
    <w:rsid w:val="009A689A"/>
    <w:rsid w:val="009A6911"/>
    <w:rsid w:val="009A6D6A"/>
    <w:rsid w:val="009A6E74"/>
    <w:rsid w:val="009A7124"/>
    <w:rsid w:val="009A7128"/>
    <w:rsid w:val="009A7467"/>
    <w:rsid w:val="009A7731"/>
    <w:rsid w:val="009A7905"/>
    <w:rsid w:val="009A7A10"/>
    <w:rsid w:val="009A7B3A"/>
    <w:rsid w:val="009A7D9D"/>
    <w:rsid w:val="009B04DD"/>
    <w:rsid w:val="009B057E"/>
    <w:rsid w:val="009B0921"/>
    <w:rsid w:val="009B0952"/>
    <w:rsid w:val="009B1122"/>
    <w:rsid w:val="009B1163"/>
    <w:rsid w:val="009B1364"/>
    <w:rsid w:val="009B1534"/>
    <w:rsid w:val="009B159F"/>
    <w:rsid w:val="009B1799"/>
    <w:rsid w:val="009B1888"/>
    <w:rsid w:val="009B1946"/>
    <w:rsid w:val="009B1BC3"/>
    <w:rsid w:val="009B1F97"/>
    <w:rsid w:val="009B1FCA"/>
    <w:rsid w:val="009B1FE3"/>
    <w:rsid w:val="009B2504"/>
    <w:rsid w:val="009B2B47"/>
    <w:rsid w:val="009B2E50"/>
    <w:rsid w:val="009B2F20"/>
    <w:rsid w:val="009B3042"/>
    <w:rsid w:val="009B35EA"/>
    <w:rsid w:val="009B3621"/>
    <w:rsid w:val="009B37B2"/>
    <w:rsid w:val="009B3921"/>
    <w:rsid w:val="009B39BA"/>
    <w:rsid w:val="009B3A3D"/>
    <w:rsid w:val="009B3A9D"/>
    <w:rsid w:val="009B3D7B"/>
    <w:rsid w:val="009B3EC4"/>
    <w:rsid w:val="009B3F71"/>
    <w:rsid w:val="009B4259"/>
    <w:rsid w:val="009B429A"/>
    <w:rsid w:val="009B455C"/>
    <w:rsid w:val="009B45F1"/>
    <w:rsid w:val="009B4693"/>
    <w:rsid w:val="009B4A2B"/>
    <w:rsid w:val="009B4B1E"/>
    <w:rsid w:val="009B4BCB"/>
    <w:rsid w:val="009B4C01"/>
    <w:rsid w:val="009B4D88"/>
    <w:rsid w:val="009B4D9F"/>
    <w:rsid w:val="009B4F14"/>
    <w:rsid w:val="009B51E2"/>
    <w:rsid w:val="009B52C8"/>
    <w:rsid w:val="009B56DD"/>
    <w:rsid w:val="009B5777"/>
    <w:rsid w:val="009B5C36"/>
    <w:rsid w:val="009B5F09"/>
    <w:rsid w:val="009B60D3"/>
    <w:rsid w:val="009B62F5"/>
    <w:rsid w:val="009B630E"/>
    <w:rsid w:val="009B6332"/>
    <w:rsid w:val="009B6628"/>
    <w:rsid w:val="009B67EE"/>
    <w:rsid w:val="009B6D84"/>
    <w:rsid w:val="009B6E85"/>
    <w:rsid w:val="009B7087"/>
    <w:rsid w:val="009B73A2"/>
    <w:rsid w:val="009B73BF"/>
    <w:rsid w:val="009B7FBC"/>
    <w:rsid w:val="009C008E"/>
    <w:rsid w:val="009C01CD"/>
    <w:rsid w:val="009C06B7"/>
    <w:rsid w:val="009C0C8B"/>
    <w:rsid w:val="009C12ED"/>
    <w:rsid w:val="009C13D1"/>
    <w:rsid w:val="009C13F0"/>
    <w:rsid w:val="009C144B"/>
    <w:rsid w:val="009C1505"/>
    <w:rsid w:val="009C1527"/>
    <w:rsid w:val="009C1657"/>
    <w:rsid w:val="009C165F"/>
    <w:rsid w:val="009C17B5"/>
    <w:rsid w:val="009C18CB"/>
    <w:rsid w:val="009C1A26"/>
    <w:rsid w:val="009C22CB"/>
    <w:rsid w:val="009C2864"/>
    <w:rsid w:val="009C2953"/>
    <w:rsid w:val="009C2AD1"/>
    <w:rsid w:val="009C2C7D"/>
    <w:rsid w:val="009C3E01"/>
    <w:rsid w:val="009C47CB"/>
    <w:rsid w:val="009C4809"/>
    <w:rsid w:val="009C4C53"/>
    <w:rsid w:val="009C4D1B"/>
    <w:rsid w:val="009C5678"/>
    <w:rsid w:val="009C56AD"/>
    <w:rsid w:val="009C5889"/>
    <w:rsid w:val="009C5EF9"/>
    <w:rsid w:val="009C6643"/>
    <w:rsid w:val="009C679B"/>
    <w:rsid w:val="009C69F8"/>
    <w:rsid w:val="009C6BBC"/>
    <w:rsid w:val="009C6C57"/>
    <w:rsid w:val="009C6CDB"/>
    <w:rsid w:val="009C7183"/>
    <w:rsid w:val="009C72B9"/>
    <w:rsid w:val="009C7626"/>
    <w:rsid w:val="009C7729"/>
    <w:rsid w:val="009C772D"/>
    <w:rsid w:val="009C790C"/>
    <w:rsid w:val="009C7C80"/>
    <w:rsid w:val="009C7C97"/>
    <w:rsid w:val="009C7D11"/>
    <w:rsid w:val="009C7D24"/>
    <w:rsid w:val="009D015A"/>
    <w:rsid w:val="009D01B8"/>
    <w:rsid w:val="009D0879"/>
    <w:rsid w:val="009D09E8"/>
    <w:rsid w:val="009D1006"/>
    <w:rsid w:val="009D10E2"/>
    <w:rsid w:val="009D10EC"/>
    <w:rsid w:val="009D13FB"/>
    <w:rsid w:val="009D14C1"/>
    <w:rsid w:val="009D2085"/>
    <w:rsid w:val="009D2843"/>
    <w:rsid w:val="009D318A"/>
    <w:rsid w:val="009D336C"/>
    <w:rsid w:val="009D38A6"/>
    <w:rsid w:val="009D38B8"/>
    <w:rsid w:val="009D4019"/>
    <w:rsid w:val="009D405F"/>
    <w:rsid w:val="009D4282"/>
    <w:rsid w:val="009D4828"/>
    <w:rsid w:val="009D4B1E"/>
    <w:rsid w:val="009D4BB7"/>
    <w:rsid w:val="009D4FFE"/>
    <w:rsid w:val="009D5200"/>
    <w:rsid w:val="009D54EF"/>
    <w:rsid w:val="009D553F"/>
    <w:rsid w:val="009D55B6"/>
    <w:rsid w:val="009D5E5B"/>
    <w:rsid w:val="009D608B"/>
    <w:rsid w:val="009D634B"/>
    <w:rsid w:val="009D64F0"/>
    <w:rsid w:val="009D688D"/>
    <w:rsid w:val="009D6DE4"/>
    <w:rsid w:val="009D7450"/>
    <w:rsid w:val="009D74B1"/>
    <w:rsid w:val="009D76E2"/>
    <w:rsid w:val="009D7B9C"/>
    <w:rsid w:val="009D7DD4"/>
    <w:rsid w:val="009D7EA0"/>
    <w:rsid w:val="009D7F30"/>
    <w:rsid w:val="009E00A6"/>
    <w:rsid w:val="009E0287"/>
    <w:rsid w:val="009E02D0"/>
    <w:rsid w:val="009E02FC"/>
    <w:rsid w:val="009E047B"/>
    <w:rsid w:val="009E0663"/>
    <w:rsid w:val="009E0717"/>
    <w:rsid w:val="009E075D"/>
    <w:rsid w:val="009E0B47"/>
    <w:rsid w:val="009E0BFE"/>
    <w:rsid w:val="009E0C1A"/>
    <w:rsid w:val="009E0C4D"/>
    <w:rsid w:val="009E0F94"/>
    <w:rsid w:val="009E14ED"/>
    <w:rsid w:val="009E179E"/>
    <w:rsid w:val="009E1817"/>
    <w:rsid w:val="009E1E11"/>
    <w:rsid w:val="009E1F31"/>
    <w:rsid w:val="009E2223"/>
    <w:rsid w:val="009E228B"/>
    <w:rsid w:val="009E22D7"/>
    <w:rsid w:val="009E255F"/>
    <w:rsid w:val="009E2B5A"/>
    <w:rsid w:val="009E2D55"/>
    <w:rsid w:val="009E2F58"/>
    <w:rsid w:val="009E3339"/>
    <w:rsid w:val="009E334C"/>
    <w:rsid w:val="009E3459"/>
    <w:rsid w:val="009E3737"/>
    <w:rsid w:val="009E38BD"/>
    <w:rsid w:val="009E3967"/>
    <w:rsid w:val="009E3B85"/>
    <w:rsid w:val="009E3D48"/>
    <w:rsid w:val="009E406B"/>
    <w:rsid w:val="009E4155"/>
    <w:rsid w:val="009E4477"/>
    <w:rsid w:val="009E48F0"/>
    <w:rsid w:val="009E4963"/>
    <w:rsid w:val="009E497A"/>
    <w:rsid w:val="009E49BE"/>
    <w:rsid w:val="009E4B85"/>
    <w:rsid w:val="009E4CF4"/>
    <w:rsid w:val="009E4D4B"/>
    <w:rsid w:val="009E4E8D"/>
    <w:rsid w:val="009E4EFF"/>
    <w:rsid w:val="009E4F46"/>
    <w:rsid w:val="009E4F9A"/>
    <w:rsid w:val="009E5171"/>
    <w:rsid w:val="009E5533"/>
    <w:rsid w:val="009E56BE"/>
    <w:rsid w:val="009E5B45"/>
    <w:rsid w:val="009E5C26"/>
    <w:rsid w:val="009E5C8A"/>
    <w:rsid w:val="009E5CFF"/>
    <w:rsid w:val="009E5D17"/>
    <w:rsid w:val="009E5ED2"/>
    <w:rsid w:val="009E625B"/>
    <w:rsid w:val="009E6306"/>
    <w:rsid w:val="009E6846"/>
    <w:rsid w:val="009E69C1"/>
    <w:rsid w:val="009E6A29"/>
    <w:rsid w:val="009E749D"/>
    <w:rsid w:val="009E7761"/>
    <w:rsid w:val="009E7766"/>
    <w:rsid w:val="009E7B2D"/>
    <w:rsid w:val="009E7CFC"/>
    <w:rsid w:val="009E7E70"/>
    <w:rsid w:val="009E7F83"/>
    <w:rsid w:val="009E7FD2"/>
    <w:rsid w:val="009F0405"/>
    <w:rsid w:val="009F065B"/>
    <w:rsid w:val="009F06E3"/>
    <w:rsid w:val="009F08A9"/>
    <w:rsid w:val="009F0A82"/>
    <w:rsid w:val="009F0CFF"/>
    <w:rsid w:val="009F0EE2"/>
    <w:rsid w:val="009F1398"/>
    <w:rsid w:val="009F17EA"/>
    <w:rsid w:val="009F1CCA"/>
    <w:rsid w:val="009F1E06"/>
    <w:rsid w:val="009F220F"/>
    <w:rsid w:val="009F230C"/>
    <w:rsid w:val="009F2458"/>
    <w:rsid w:val="009F2477"/>
    <w:rsid w:val="009F2A8F"/>
    <w:rsid w:val="009F2C9D"/>
    <w:rsid w:val="009F313D"/>
    <w:rsid w:val="009F3A26"/>
    <w:rsid w:val="009F3C69"/>
    <w:rsid w:val="009F3C99"/>
    <w:rsid w:val="009F3FFF"/>
    <w:rsid w:val="009F47E8"/>
    <w:rsid w:val="009F4914"/>
    <w:rsid w:val="009F4A58"/>
    <w:rsid w:val="009F4B50"/>
    <w:rsid w:val="009F4BB5"/>
    <w:rsid w:val="009F527B"/>
    <w:rsid w:val="009F54A9"/>
    <w:rsid w:val="009F54D5"/>
    <w:rsid w:val="009F55ED"/>
    <w:rsid w:val="009F5609"/>
    <w:rsid w:val="009F5A7B"/>
    <w:rsid w:val="009F5B7D"/>
    <w:rsid w:val="009F5E15"/>
    <w:rsid w:val="009F5E91"/>
    <w:rsid w:val="009F631D"/>
    <w:rsid w:val="009F650B"/>
    <w:rsid w:val="009F699E"/>
    <w:rsid w:val="009F7241"/>
    <w:rsid w:val="009F73A7"/>
    <w:rsid w:val="009F7559"/>
    <w:rsid w:val="009F76C0"/>
    <w:rsid w:val="009F78C4"/>
    <w:rsid w:val="009F7ED7"/>
    <w:rsid w:val="00A00069"/>
    <w:rsid w:val="00A00096"/>
    <w:rsid w:val="00A0015D"/>
    <w:rsid w:val="00A00209"/>
    <w:rsid w:val="00A00357"/>
    <w:rsid w:val="00A0048A"/>
    <w:rsid w:val="00A00746"/>
    <w:rsid w:val="00A00873"/>
    <w:rsid w:val="00A00E7E"/>
    <w:rsid w:val="00A011E3"/>
    <w:rsid w:val="00A01479"/>
    <w:rsid w:val="00A018EF"/>
    <w:rsid w:val="00A01983"/>
    <w:rsid w:val="00A01A6B"/>
    <w:rsid w:val="00A01C09"/>
    <w:rsid w:val="00A01C4C"/>
    <w:rsid w:val="00A0213E"/>
    <w:rsid w:val="00A0243B"/>
    <w:rsid w:val="00A026E4"/>
    <w:rsid w:val="00A0271F"/>
    <w:rsid w:val="00A02BA1"/>
    <w:rsid w:val="00A02DAB"/>
    <w:rsid w:val="00A0328B"/>
    <w:rsid w:val="00A0344B"/>
    <w:rsid w:val="00A036A6"/>
    <w:rsid w:val="00A03A4D"/>
    <w:rsid w:val="00A03DFB"/>
    <w:rsid w:val="00A04026"/>
    <w:rsid w:val="00A04290"/>
    <w:rsid w:val="00A043F9"/>
    <w:rsid w:val="00A04635"/>
    <w:rsid w:val="00A047A4"/>
    <w:rsid w:val="00A047F0"/>
    <w:rsid w:val="00A04C64"/>
    <w:rsid w:val="00A04D9B"/>
    <w:rsid w:val="00A04E1A"/>
    <w:rsid w:val="00A051A2"/>
    <w:rsid w:val="00A051E6"/>
    <w:rsid w:val="00A05312"/>
    <w:rsid w:val="00A05316"/>
    <w:rsid w:val="00A056FD"/>
    <w:rsid w:val="00A05702"/>
    <w:rsid w:val="00A057EA"/>
    <w:rsid w:val="00A05C3A"/>
    <w:rsid w:val="00A05F2F"/>
    <w:rsid w:val="00A05FB1"/>
    <w:rsid w:val="00A060E3"/>
    <w:rsid w:val="00A061D2"/>
    <w:rsid w:val="00A0657F"/>
    <w:rsid w:val="00A0669A"/>
    <w:rsid w:val="00A06CA4"/>
    <w:rsid w:val="00A06E12"/>
    <w:rsid w:val="00A07242"/>
    <w:rsid w:val="00A076B1"/>
    <w:rsid w:val="00A07749"/>
    <w:rsid w:val="00A07997"/>
    <w:rsid w:val="00A07C1A"/>
    <w:rsid w:val="00A08B61"/>
    <w:rsid w:val="00A10368"/>
    <w:rsid w:val="00A1038F"/>
    <w:rsid w:val="00A10415"/>
    <w:rsid w:val="00A10434"/>
    <w:rsid w:val="00A104A3"/>
    <w:rsid w:val="00A104ED"/>
    <w:rsid w:val="00A10582"/>
    <w:rsid w:val="00A10811"/>
    <w:rsid w:val="00A109A4"/>
    <w:rsid w:val="00A10B1F"/>
    <w:rsid w:val="00A10C5B"/>
    <w:rsid w:val="00A10DB8"/>
    <w:rsid w:val="00A10F2F"/>
    <w:rsid w:val="00A110B4"/>
    <w:rsid w:val="00A11384"/>
    <w:rsid w:val="00A113DC"/>
    <w:rsid w:val="00A116EA"/>
    <w:rsid w:val="00A11793"/>
    <w:rsid w:val="00A12093"/>
    <w:rsid w:val="00A12457"/>
    <w:rsid w:val="00A1255B"/>
    <w:rsid w:val="00A12642"/>
    <w:rsid w:val="00A1280F"/>
    <w:rsid w:val="00A12823"/>
    <w:rsid w:val="00A12C8D"/>
    <w:rsid w:val="00A13555"/>
    <w:rsid w:val="00A13B45"/>
    <w:rsid w:val="00A13BF2"/>
    <w:rsid w:val="00A13FCF"/>
    <w:rsid w:val="00A1407B"/>
    <w:rsid w:val="00A141E5"/>
    <w:rsid w:val="00A145BC"/>
    <w:rsid w:val="00A14BDE"/>
    <w:rsid w:val="00A14C46"/>
    <w:rsid w:val="00A14FFD"/>
    <w:rsid w:val="00A15227"/>
    <w:rsid w:val="00A15846"/>
    <w:rsid w:val="00A15870"/>
    <w:rsid w:val="00A15C38"/>
    <w:rsid w:val="00A15C6E"/>
    <w:rsid w:val="00A15FE4"/>
    <w:rsid w:val="00A16203"/>
    <w:rsid w:val="00A163FE"/>
    <w:rsid w:val="00A1674A"/>
    <w:rsid w:val="00A1675B"/>
    <w:rsid w:val="00A16C2C"/>
    <w:rsid w:val="00A17513"/>
    <w:rsid w:val="00A17CCF"/>
    <w:rsid w:val="00A17DE9"/>
    <w:rsid w:val="00A17FBE"/>
    <w:rsid w:val="00A20318"/>
    <w:rsid w:val="00A20407"/>
    <w:rsid w:val="00A20416"/>
    <w:rsid w:val="00A20590"/>
    <w:rsid w:val="00A20808"/>
    <w:rsid w:val="00A209BD"/>
    <w:rsid w:val="00A20FF7"/>
    <w:rsid w:val="00A210F5"/>
    <w:rsid w:val="00A213DF"/>
    <w:rsid w:val="00A213EB"/>
    <w:rsid w:val="00A2150C"/>
    <w:rsid w:val="00A21510"/>
    <w:rsid w:val="00A215C6"/>
    <w:rsid w:val="00A21683"/>
    <w:rsid w:val="00A21B47"/>
    <w:rsid w:val="00A22297"/>
    <w:rsid w:val="00A22517"/>
    <w:rsid w:val="00A225AB"/>
    <w:rsid w:val="00A2267E"/>
    <w:rsid w:val="00A229FE"/>
    <w:rsid w:val="00A22A6A"/>
    <w:rsid w:val="00A22E49"/>
    <w:rsid w:val="00A22FC6"/>
    <w:rsid w:val="00A23247"/>
    <w:rsid w:val="00A23528"/>
    <w:rsid w:val="00A23668"/>
    <w:rsid w:val="00A2393C"/>
    <w:rsid w:val="00A242EA"/>
    <w:rsid w:val="00A2438D"/>
    <w:rsid w:val="00A24427"/>
    <w:rsid w:val="00A24595"/>
    <w:rsid w:val="00A245E4"/>
    <w:rsid w:val="00A24789"/>
    <w:rsid w:val="00A24863"/>
    <w:rsid w:val="00A24D19"/>
    <w:rsid w:val="00A24F3F"/>
    <w:rsid w:val="00A2508F"/>
    <w:rsid w:val="00A252A1"/>
    <w:rsid w:val="00A253A8"/>
    <w:rsid w:val="00A254CA"/>
    <w:rsid w:val="00A255BE"/>
    <w:rsid w:val="00A25B1A"/>
    <w:rsid w:val="00A25C17"/>
    <w:rsid w:val="00A260E3"/>
    <w:rsid w:val="00A264D7"/>
    <w:rsid w:val="00A26775"/>
    <w:rsid w:val="00A26898"/>
    <w:rsid w:val="00A26DBB"/>
    <w:rsid w:val="00A2703C"/>
    <w:rsid w:val="00A27120"/>
    <w:rsid w:val="00A271F5"/>
    <w:rsid w:val="00A27226"/>
    <w:rsid w:val="00A272C9"/>
    <w:rsid w:val="00A2762F"/>
    <w:rsid w:val="00A2767C"/>
    <w:rsid w:val="00A27B16"/>
    <w:rsid w:val="00A305C3"/>
    <w:rsid w:val="00A307D2"/>
    <w:rsid w:val="00A30955"/>
    <w:rsid w:val="00A30B26"/>
    <w:rsid w:val="00A30F19"/>
    <w:rsid w:val="00A30F7B"/>
    <w:rsid w:val="00A31026"/>
    <w:rsid w:val="00A310BE"/>
    <w:rsid w:val="00A31251"/>
    <w:rsid w:val="00A3125B"/>
    <w:rsid w:val="00A31684"/>
    <w:rsid w:val="00A31717"/>
    <w:rsid w:val="00A31A4F"/>
    <w:rsid w:val="00A31D69"/>
    <w:rsid w:val="00A3295F"/>
    <w:rsid w:val="00A32AD5"/>
    <w:rsid w:val="00A32FC6"/>
    <w:rsid w:val="00A33035"/>
    <w:rsid w:val="00A331FC"/>
    <w:rsid w:val="00A332DD"/>
    <w:rsid w:val="00A3367E"/>
    <w:rsid w:val="00A33880"/>
    <w:rsid w:val="00A33A28"/>
    <w:rsid w:val="00A33B11"/>
    <w:rsid w:val="00A33C56"/>
    <w:rsid w:val="00A33D9E"/>
    <w:rsid w:val="00A33E73"/>
    <w:rsid w:val="00A343E1"/>
    <w:rsid w:val="00A346ED"/>
    <w:rsid w:val="00A3487A"/>
    <w:rsid w:val="00A348BC"/>
    <w:rsid w:val="00A34CC3"/>
    <w:rsid w:val="00A34CCF"/>
    <w:rsid w:val="00A35449"/>
    <w:rsid w:val="00A354C5"/>
    <w:rsid w:val="00A354CF"/>
    <w:rsid w:val="00A35561"/>
    <w:rsid w:val="00A35671"/>
    <w:rsid w:val="00A35686"/>
    <w:rsid w:val="00A358E8"/>
    <w:rsid w:val="00A35E67"/>
    <w:rsid w:val="00A362BB"/>
    <w:rsid w:val="00A3666A"/>
    <w:rsid w:val="00A367E9"/>
    <w:rsid w:val="00A36944"/>
    <w:rsid w:val="00A36960"/>
    <w:rsid w:val="00A3696B"/>
    <w:rsid w:val="00A36BC3"/>
    <w:rsid w:val="00A36F36"/>
    <w:rsid w:val="00A371B1"/>
    <w:rsid w:val="00A374C4"/>
    <w:rsid w:val="00A37668"/>
    <w:rsid w:val="00A376FB"/>
    <w:rsid w:val="00A37C28"/>
    <w:rsid w:val="00A37EF3"/>
    <w:rsid w:val="00A4055E"/>
    <w:rsid w:val="00A4080F"/>
    <w:rsid w:val="00A40E07"/>
    <w:rsid w:val="00A40EB4"/>
    <w:rsid w:val="00A41299"/>
    <w:rsid w:val="00A4137E"/>
    <w:rsid w:val="00A41400"/>
    <w:rsid w:val="00A41546"/>
    <w:rsid w:val="00A41629"/>
    <w:rsid w:val="00A41760"/>
    <w:rsid w:val="00A417FE"/>
    <w:rsid w:val="00A4183A"/>
    <w:rsid w:val="00A419B4"/>
    <w:rsid w:val="00A419DA"/>
    <w:rsid w:val="00A41A16"/>
    <w:rsid w:val="00A41A8B"/>
    <w:rsid w:val="00A41AA2"/>
    <w:rsid w:val="00A41B27"/>
    <w:rsid w:val="00A41C4A"/>
    <w:rsid w:val="00A41EE6"/>
    <w:rsid w:val="00A41FA0"/>
    <w:rsid w:val="00A421BC"/>
    <w:rsid w:val="00A4229E"/>
    <w:rsid w:val="00A42B3D"/>
    <w:rsid w:val="00A42BB3"/>
    <w:rsid w:val="00A42F16"/>
    <w:rsid w:val="00A43114"/>
    <w:rsid w:val="00A43181"/>
    <w:rsid w:val="00A434A6"/>
    <w:rsid w:val="00A43BFE"/>
    <w:rsid w:val="00A43DFA"/>
    <w:rsid w:val="00A43E6F"/>
    <w:rsid w:val="00A43F95"/>
    <w:rsid w:val="00A43FC8"/>
    <w:rsid w:val="00A44604"/>
    <w:rsid w:val="00A44A29"/>
    <w:rsid w:val="00A44CBF"/>
    <w:rsid w:val="00A4526E"/>
    <w:rsid w:val="00A4540B"/>
    <w:rsid w:val="00A45AA0"/>
    <w:rsid w:val="00A45C4C"/>
    <w:rsid w:val="00A45EDD"/>
    <w:rsid w:val="00A465C2"/>
    <w:rsid w:val="00A46D36"/>
    <w:rsid w:val="00A47720"/>
    <w:rsid w:val="00A47762"/>
    <w:rsid w:val="00A478DF"/>
    <w:rsid w:val="00A47974"/>
    <w:rsid w:val="00A47C28"/>
    <w:rsid w:val="00A47CD0"/>
    <w:rsid w:val="00A503BB"/>
    <w:rsid w:val="00A50440"/>
    <w:rsid w:val="00A504B7"/>
    <w:rsid w:val="00A504BA"/>
    <w:rsid w:val="00A50A96"/>
    <w:rsid w:val="00A50D93"/>
    <w:rsid w:val="00A51199"/>
    <w:rsid w:val="00A514EE"/>
    <w:rsid w:val="00A51C97"/>
    <w:rsid w:val="00A51FB4"/>
    <w:rsid w:val="00A522B7"/>
    <w:rsid w:val="00A5258D"/>
    <w:rsid w:val="00A52626"/>
    <w:rsid w:val="00A527D9"/>
    <w:rsid w:val="00A528D0"/>
    <w:rsid w:val="00A52933"/>
    <w:rsid w:val="00A52B39"/>
    <w:rsid w:val="00A52B41"/>
    <w:rsid w:val="00A52E1C"/>
    <w:rsid w:val="00A53400"/>
    <w:rsid w:val="00A535FB"/>
    <w:rsid w:val="00A53AC2"/>
    <w:rsid w:val="00A54083"/>
    <w:rsid w:val="00A54091"/>
    <w:rsid w:val="00A54247"/>
    <w:rsid w:val="00A54459"/>
    <w:rsid w:val="00A546B9"/>
    <w:rsid w:val="00A54BBC"/>
    <w:rsid w:val="00A54C6C"/>
    <w:rsid w:val="00A54E30"/>
    <w:rsid w:val="00A55152"/>
    <w:rsid w:val="00A5541C"/>
    <w:rsid w:val="00A558E9"/>
    <w:rsid w:val="00A559AE"/>
    <w:rsid w:val="00A56185"/>
    <w:rsid w:val="00A56EFC"/>
    <w:rsid w:val="00A57398"/>
    <w:rsid w:val="00A57423"/>
    <w:rsid w:val="00A57495"/>
    <w:rsid w:val="00A574B7"/>
    <w:rsid w:val="00A575E4"/>
    <w:rsid w:val="00A5792B"/>
    <w:rsid w:val="00A57BB1"/>
    <w:rsid w:val="00A57C40"/>
    <w:rsid w:val="00A60000"/>
    <w:rsid w:val="00A6031E"/>
    <w:rsid w:val="00A6033A"/>
    <w:rsid w:val="00A604EF"/>
    <w:rsid w:val="00A60959"/>
    <w:rsid w:val="00A6110F"/>
    <w:rsid w:val="00A61249"/>
    <w:rsid w:val="00A614E6"/>
    <w:rsid w:val="00A6155D"/>
    <w:rsid w:val="00A617C1"/>
    <w:rsid w:val="00A61970"/>
    <w:rsid w:val="00A61AFA"/>
    <w:rsid w:val="00A61D2C"/>
    <w:rsid w:val="00A61E77"/>
    <w:rsid w:val="00A61FE7"/>
    <w:rsid w:val="00A626EA"/>
    <w:rsid w:val="00A62B5F"/>
    <w:rsid w:val="00A62B98"/>
    <w:rsid w:val="00A62C42"/>
    <w:rsid w:val="00A62FB2"/>
    <w:rsid w:val="00A63090"/>
    <w:rsid w:val="00A63895"/>
    <w:rsid w:val="00A639CC"/>
    <w:rsid w:val="00A63BC8"/>
    <w:rsid w:val="00A63E2E"/>
    <w:rsid w:val="00A64424"/>
    <w:rsid w:val="00A64435"/>
    <w:rsid w:val="00A64972"/>
    <w:rsid w:val="00A649E5"/>
    <w:rsid w:val="00A64D09"/>
    <w:rsid w:val="00A651BB"/>
    <w:rsid w:val="00A651E6"/>
    <w:rsid w:val="00A656FA"/>
    <w:rsid w:val="00A658C0"/>
    <w:rsid w:val="00A65D1B"/>
    <w:rsid w:val="00A65E4B"/>
    <w:rsid w:val="00A65E95"/>
    <w:rsid w:val="00A66090"/>
    <w:rsid w:val="00A66455"/>
    <w:rsid w:val="00A667F6"/>
    <w:rsid w:val="00A66C14"/>
    <w:rsid w:val="00A66E71"/>
    <w:rsid w:val="00A66ED2"/>
    <w:rsid w:val="00A670A9"/>
    <w:rsid w:val="00A6756E"/>
    <w:rsid w:val="00A67665"/>
    <w:rsid w:val="00A6790A"/>
    <w:rsid w:val="00A67AC1"/>
    <w:rsid w:val="00A67CE9"/>
    <w:rsid w:val="00A67E6E"/>
    <w:rsid w:val="00A67FE6"/>
    <w:rsid w:val="00A704FB"/>
    <w:rsid w:val="00A7069E"/>
    <w:rsid w:val="00A707C1"/>
    <w:rsid w:val="00A708D7"/>
    <w:rsid w:val="00A709A0"/>
    <w:rsid w:val="00A709F1"/>
    <w:rsid w:val="00A70B7E"/>
    <w:rsid w:val="00A70BF2"/>
    <w:rsid w:val="00A70F07"/>
    <w:rsid w:val="00A712E5"/>
    <w:rsid w:val="00A7136C"/>
    <w:rsid w:val="00A71DED"/>
    <w:rsid w:val="00A71F8D"/>
    <w:rsid w:val="00A720B3"/>
    <w:rsid w:val="00A72348"/>
    <w:rsid w:val="00A72691"/>
    <w:rsid w:val="00A726C0"/>
    <w:rsid w:val="00A726F6"/>
    <w:rsid w:val="00A72844"/>
    <w:rsid w:val="00A72C5D"/>
    <w:rsid w:val="00A72E74"/>
    <w:rsid w:val="00A73538"/>
    <w:rsid w:val="00A73667"/>
    <w:rsid w:val="00A736AB"/>
    <w:rsid w:val="00A73B1C"/>
    <w:rsid w:val="00A73E2B"/>
    <w:rsid w:val="00A73E44"/>
    <w:rsid w:val="00A73EC7"/>
    <w:rsid w:val="00A74087"/>
    <w:rsid w:val="00A7493D"/>
    <w:rsid w:val="00A750D2"/>
    <w:rsid w:val="00A750E4"/>
    <w:rsid w:val="00A75604"/>
    <w:rsid w:val="00A756DA"/>
    <w:rsid w:val="00A75707"/>
    <w:rsid w:val="00A75871"/>
    <w:rsid w:val="00A75917"/>
    <w:rsid w:val="00A75E78"/>
    <w:rsid w:val="00A76138"/>
    <w:rsid w:val="00A7653B"/>
    <w:rsid w:val="00A76585"/>
    <w:rsid w:val="00A7658D"/>
    <w:rsid w:val="00A768E9"/>
    <w:rsid w:val="00A7690F"/>
    <w:rsid w:val="00A76B02"/>
    <w:rsid w:val="00A77167"/>
    <w:rsid w:val="00A7728B"/>
    <w:rsid w:val="00A7793D"/>
    <w:rsid w:val="00A77DF7"/>
    <w:rsid w:val="00A80015"/>
    <w:rsid w:val="00A80447"/>
    <w:rsid w:val="00A80524"/>
    <w:rsid w:val="00A80A35"/>
    <w:rsid w:val="00A80B6F"/>
    <w:rsid w:val="00A80C9F"/>
    <w:rsid w:val="00A80D64"/>
    <w:rsid w:val="00A81459"/>
    <w:rsid w:val="00A8173F"/>
    <w:rsid w:val="00A81A25"/>
    <w:rsid w:val="00A81D8E"/>
    <w:rsid w:val="00A81F6E"/>
    <w:rsid w:val="00A81FB7"/>
    <w:rsid w:val="00A820FF"/>
    <w:rsid w:val="00A82134"/>
    <w:rsid w:val="00A82374"/>
    <w:rsid w:val="00A82694"/>
    <w:rsid w:val="00A82A66"/>
    <w:rsid w:val="00A82ABE"/>
    <w:rsid w:val="00A82EA6"/>
    <w:rsid w:val="00A83052"/>
    <w:rsid w:val="00A830CB"/>
    <w:rsid w:val="00A832E8"/>
    <w:rsid w:val="00A83379"/>
    <w:rsid w:val="00A834B3"/>
    <w:rsid w:val="00A8358A"/>
    <w:rsid w:val="00A83BB7"/>
    <w:rsid w:val="00A84328"/>
    <w:rsid w:val="00A84B14"/>
    <w:rsid w:val="00A84CB6"/>
    <w:rsid w:val="00A84EB3"/>
    <w:rsid w:val="00A84EE3"/>
    <w:rsid w:val="00A85223"/>
    <w:rsid w:val="00A853C3"/>
    <w:rsid w:val="00A8595F"/>
    <w:rsid w:val="00A85FA6"/>
    <w:rsid w:val="00A860C3"/>
    <w:rsid w:val="00A8617F"/>
    <w:rsid w:val="00A86216"/>
    <w:rsid w:val="00A86C57"/>
    <w:rsid w:val="00A871C6"/>
    <w:rsid w:val="00A871FB"/>
    <w:rsid w:val="00A8745D"/>
    <w:rsid w:val="00A87945"/>
    <w:rsid w:val="00A87988"/>
    <w:rsid w:val="00A901EE"/>
    <w:rsid w:val="00A9035D"/>
    <w:rsid w:val="00A90794"/>
    <w:rsid w:val="00A90E8D"/>
    <w:rsid w:val="00A91126"/>
    <w:rsid w:val="00A91BA5"/>
    <w:rsid w:val="00A92278"/>
    <w:rsid w:val="00A927DB"/>
    <w:rsid w:val="00A928F4"/>
    <w:rsid w:val="00A9293C"/>
    <w:rsid w:val="00A929CD"/>
    <w:rsid w:val="00A92A41"/>
    <w:rsid w:val="00A92C17"/>
    <w:rsid w:val="00A92FFE"/>
    <w:rsid w:val="00A93049"/>
    <w:rsid w:val="00A939DE"/>
    <w:rsid w:val="00A93B8F"/>
    <w:rsid w:val="00A93E5E"/>
    <w:rsid w:val="00A94072"/>
    <w:rsid w:val="00A9431E"/>
    <w:rsid w:val="00A944AF"/>
    <w:rsid w:val="00A94502"/>
    <w:rsid w:val="00A9450F"/>
    <w:rsid w:val="00A9473B"/>
    <w:rsid w:val="00A94A11"/>
    <w:rsid w:val="00A94EE0"/>
    <w:rsid w:val="00A95017"/>
    <w:rsid w:val="00A953C1"/>
    <w:rsid w:val="00A956D7"/>
    <w:rsid w:val="00A95953"/>
    <w:rsid w:val="00A95A3C"/>
    <w:rsid w:val="00A95C73"/>
    <w:rsid w:val="00A96584"/>
    <w:rsid w:val="00A9658B"/>
    <w:rsid w:val="00A96677"/>
    <w:rsid w:val="00A96A6D"/>
    <w:rsid w:val="00A96EB2"/>
    <w:rsid w:val="00A96F78"/>
    <w:rsid w:val="00A9700B"/>
    <w:rsid w:val="00A9714F"/>
    <w:rsid w:val="00A975C0"/>
    <w:rsid w:val="00A975DD"/>
    <w:rsid w:val="00A9789C"/>
    <w:rsid w:val="00A97B9A"/>
    <w:rsid w:val="00A97E72"/>
    <w:rsid w:val="00AA002B"/>
    <w:rsid w:val="00AA02AA"/>
    <w:rsid w:val="00AA0368"/>
    <w:rsid w:val="00AA0525"/>
    <w:rsid w:val="00AA08F5"/>
    <w:rsid w:val="00AA0D62"/>
    <w:rsid w:val="00AA11CE"/>
    <w:rsid w:val="00AA13F6"/>
    <w:rsid w:val="00AA15E6"/>
    <w:rsid w:val="00AA1926"/>
    <w:rsid w:val="00AA1BEB"/>
    <w:rsid w:val="00AA1CE3"/>
    <w:rsid w:val="00AA1D87"/>
    <w:rsid w:val="00AA2663"/>
    <w:rsid w:val="00AA26F6"/>
    <w:rsid w:val="00AA2A69"/>
    <w:rsid w:val="00AA2A84"/>
    <w:rsid w:val="00AA2BAA"/>
    <w:rsid w:val="00AA2BC1"/>
    <w:rsid w:val="00AA2BE4"/>
    <w:rsid w:val="00AA2C81"/>
    <w:rsid w:val="00AA2CA7"/>
    <w:rsid w:val="00AA304C"/>
    <w:rsid w:val="00AA30CD"/>
    <w:rsid w:val="00AA3232"/>
    <w:rsid w:val="00AA32ED"/>
    <w:rsid w:val="00AA3A85"/>
    <w:rsid w:val="00AA3B72"/>
    <w:rsid w:val="00AA3E83"/>
    <w:rsid w:val="00AA4106"/>
    <w:rsid w:val="00AA4149"/>
    <w:rsid w:val="00AA4630"/>
    <w:rsid w:val="00AA47B0"/>
    <w:rsid w:val="00AA480A"/>
    <w:rsid w:val="00AA4B05"/>
    <w:rsid w:val="00AA4C06"/>
    <w:rsid w:val="00AA4C2A"/>
    <w:rsid w:val="00AA4F9F"/>
    <w:rsid w:val="00AA56FE"/>
    <w:rsid w:val="00AA57F5"/>
    <w:rsid w:val="00AA5B03"/>
    <w:rsid w:val="00AA5C16"/>
    <w:rsid w:val="00AA5D51"/>
    <w:rsid w:val="00AA631E"/>
    <w:rsid w:val="00AA67E6"/>
    <w:rsid w:val="00AA6D15"/>
    <w:rsid w:val="00AA6DFD"/>
    <w:rsid w:val="00AA6F32"/>
    <w:rsid w:val="00AA7F69"/>
    <w:rsid w:val="00AB0060"/>
    <w:rsid w:val="00AB02A5"/>
    <w:rsid w:val="00AB0368"/>
    <w:rsid w:val="00AB0576"/>
    <w:rsid w:val="00AB0889"/>
    <w:rsid w:val="00AB0D69"/>
    <w:rsid w:val="00AB11FC"/>
    <w:rsid w:val="00AB1219"/>
    <w:rsid w:val="00AB150F"/>
    <w:rsid w:val="00AB1528"/>
    <w:rsid w:val="00AB15E5"/>
    <w:rsid w:val="00AB1642"/>
    <w:rsid w:val="00AB1788"/>
    <w:rsid w:val="00AB1CC3"/>
    <w:rsid w:val="00AB1D91"/>
    <w:rsid w:val="00AB1F65"/>
    <w:rsid w:val="00AB20AD"/>
    <w:rsid w:val="00AB22E7"/>
    <w:rsid w:val="00AB2328"/>
    <w:rsid w:val="00AB2405"/>
    <w:rsid w:val="00AB299F"/>
    <w:rsid w:val="00AB2F15"/>
    <w:rsid w:val="00AB35F0"/>
    <w:rsid w:val="00AB37D2"/>
    <w:rsid w:val="00AB3801"/>
    <w:rsid w:val="00AB3869"/>
    <w:rsid w:val="00AB38CB"/>
    <w:rsid w:val="00AB391C"/>
    <w:rsid w:val="00AB3DDF"/>
    <w:rsid w:val="00AB3E1F"/>
    <w:rsid w:val="00AB3F76"/>
    <w:rsid w:val="00AB40EB"/>
    <w:rsid w:val="00AB414C"/>
    <w:rsid w:val="00AB485B"/>
    <w:rsid w:val="00AB4BF8"/>
    <w:rsid w:val="00AB4EAB"/>
    <w:rsid w:val="00AB537B"/>
    <w:rsid w:val="00AB54FF"/>
    <w:rsid w:val="00AB5751"/>
    <w:rsid w:val="00AB5818"/>
    <w:rsid w:val="00AB58F7"/>
    <w:rsid w:val="00AB5925"/>
    <w:rsid w:val="00AB5F51"/>
    <w:rsid w:val="00AB6392"/>
    <w:rsid w:val="00AB63CC"/>
    <w:rsid w:val="00AB6496"/>
    <w:rsid w:val="00AB6614"/>
    <w:rsid w:val="00AB6651"/>
    <w:rsid w:val="00AB66A9"/>
    <w:rsid w:val="00AB6813"/>
    <w:rsid w:val="00AB6E8A"/>
    <w:rsid w:val="00AB72DB"/>
    <w:rsid w:val="00AB7AC0"/>
    <w:rsid w:val="00AB7AE7"/>
    <w:rsid w:val="00AB7AFB"/>
    <w:rsid w:val="00AB7D25"/>
    <w:rsid w:val="00AC010E"/>
    <w:rsid w:val="00AC0143"/>
    <w:rsid w:val="00AC01BF"/>
    <w:rsid w:val="00AC01D7"/>
    <w:rsid w:val="00AC01FC"/>
    <w:rsid w:val="00AC024A"/>
    <w:rsid w:val="00AC0514"/>
    <w:rsid w:val="00AC059C"/>
    <w:rsid w:val="00AC0682"/>
    <w:rsid w:val="00AC0A84"/>
    <w:rsid w:val="00AC1025"/>
    <w:rsid w:val="00AC13ED"/>
    <w:rsid w:val="00AC1F30"/>
    <w:rsid w:val="00AC1F73"/>
    <w:rsid w:val="00AC2213"/>
    <w:rsid w:val="00AC244D"/>
    <w:rsid w:val="00AC25D0"/>
    <w:rsid w:val="00AC2945"/>
    <w:rsid w:val="00AC29E2"/>
    <w:rsid w:val="00AC34DB"/>
    <w:rsid w:val="00AC36FC"/>
    <w:rsid w:val="00AC37F8"/>
    <w:rsid w:val="00AC38CD"/>
    <w:rsid w:val="00AC3B8E"/>
    <w:rsid w:val="00AC3D6B"/>
    <w:rsid w:val="00AC3E98"/>
    <w:rsid w:val="00AC4055"/>
    <w:rsid w:val="00AC4321"/>
    <w:rsid w:val="00AC48D0"/>
    <w:rsid w:val="00AC4A5C"/>
    <w:rsid w:val="00AC4C6C"/>
    <w:rsid w:val="00AC4C75"/>
    <w:rsid w:val="00AC4E4F"/>
    <w:rsid w:val="00AC4E68"/>
    <w:rsid w:val="00AC511F"/>
    <w:rsid w:val="00AC525A"/>
    <w:rsid w:val="00AC571F"/>
    <w:rsid w:val="00AC5BF6"/>
    <w:rsid w:val="00AC5EA9"/>
    <w:rsid w:val="00AC60F7"/>
    <w:rsid w:val="00AC637F"/>
    <w:rsid w:val="00AC63EE"/>
    <w:rsid w:val="00AC6A62"/>
    <w:rsid w:val="00AC6B1F"/>
    <w:rsid w:val="00AC6B43"/>
    <w:rsid w:val="00AC6C42"/>
    <w:rsid w:val="00AC6EDB"/>
    <w:rsid w:val="00AC7382"/>
    <w:rsid w:val="00AC7412"/>
    <w:rsid w:val="00AC763F"/>
    <w:rsid w:val="00AC78D2"/>
    <w:rsid w:val="00AC7BD9"/>
    <w:rsid w:val="00AD018F"/>
    <w:rsid w:val="00AD03B0"/>
    <w:rsid w:val="00AD03D6"/>
    <w:rsid w:val="00AD05F6"/>
    <w:rsid w:val="00AD06A7"/>
    <w:rsid w:val="00AD0A45"/>
    <w:rsid w:val="00AD0D62"/>
    <w:rsid w:val="00AD1002"/>
    <w:rsid w:val="00AD1330"/>
    <w:rsid w:val="00AD1CDC"/>
    <w:rsid w:val="00AD2203"/>
    <w:rsid w:val="00AD2347"/>
    <w:rsid w:val="00AD24C9"/>
    <w:rsid w:val="00AD253E"/>
    <w:rsid w:val="00AD2A21"/>
    <w:rsid w:val="00AD2D48"/>
    <w:rsid w:val="00AD2E85"/>
    <w:rsid w:val="00AD2EFF"/>
    <w:rsid w:val="00AD33BC"/>
    <w:rsid w:val="00AD370E"/>
    <w:rsid w:val="00AD37F5"/>
    <w:rsid w:val="00AD3818"/>
    <w:rsid w:val="00AD3828"/>
    <w:rsid w:val="00AD3A31"/>
    <w:rsid w:val="00AD3D89"/>
    <w:rsid w:val="00AD420B"/>
    <w:rsid w:val="00AD46C1"/>
    <w:rsid w:val="00AD47AD"/>
    <w:rsid w:val="00AD4A33"/>
    <w:rsid w:val="00AD4F27"/>
    <w:rsid w:val="00AD569C"/>
    <w:rsid w:val="00AD5725"/>
    <w:rsid w:val="00AD592A"/>
    <w:rsid w:val="00AD5BB5"/>
    <w:rsid w:val="00AD5BE3"/>
    <w:rsid w:val="00AD6073"/>
    <w:rsid w:val="00AD64CA"/>
    <w:rsid w:val="00AD6745"/>
    <w:rsid w:val="00AD6D27"/>
    <w:rsid w:val="00AD6DD8"/>
    <w:rsid w:val="00AD72CA"/>
    <w:rsid w:val="00AD7405"/>
    <w:rsid w:val="00AD7468"/>
    <w:rsid w:val="00AD7D7F"/>
    <w:rsid w:val="00AD7E63"/>
    <w:rsid w:val="00AD7E78"/>
    <w:rsid w:val="00AD7FBB"/>
    <w:rsid w:val="00AE0940"/>
    <w:rsid w:val="00AE09E1"/>
    <w:rsid w:val="00AE09FA"/>
    <w:rsid w:val="00AE0BCB"/>
    <w:rsid w:val="00AE0CDC"/>
    <w:rsid w:val="00AE0FC6"/>
    <w:rsid w:val="00AE1BAB"/>
    <w:rsid w:val="00AE1BAD"/>
    <w:rsid w:val="00AE1BD2"/>
    <w:rsid w:val="00AE2209"/>
    <w:rsid w:val="00AE22C0"/>
    <w:rsid w:val="00AE2326"/>
    <w:rsid w:val="00AE2DF0"/>
    <w:rsid w:val="00AE3171"/>
    <w:rsid w:val="00AE32E0"/>
    <w:rsid w:val="00AE3771"/>
    <w:rsid w:val="00AE3B14"/>
    <w:rsid w:val="00AE3B15"/>
    <w:rsid w:val="00AE3ED8"/>
    <w:rsid w:val="00AE42B9"/>
    <w:rsid w:val="00AE454A"/>
    <w:rsid w:val="00AE4551"/>
    <w:rsid w:val="00AE4553"/>
    <w:rsid w:val="00AE479F"/>
    <w:rsid w:val="00AE498E"/>
    <w:rsid w:val="00AE4CDD"/>
    <w:rsid w:val="00AE4EC9"/>
    <w:rsid w:val="00AE542D"/>
    <w:rsid w:val="00AE5C36"/>
    <w:rsid w:val="00AE5E92"/>
    <w:rsid w:val="00AE67BA"/>
    <w:rsid w:val="00AE67BC"/>
    <w:rsid w:val="00AE68D7"/>
    <w:rsid w:val="00AE69EB"/>
    <w:rsid w:val="00AE6AAF"/>
    <w:rsid w:val="00AE724C"/>
    <w:rsid w:val="00AE72B3"/>
    <w:rsid w:val="00AE739B"/>
    <w:rsid w:val="00AE73A9"/>
    <w:rsid w:val="00AE75F4"/>
    <w:rsid w:val="00AE7793"/>
    <w:rsid w:val="00AE7CE4"/>
    <w:rsid w:val="00AF00E5"/>
    <w:rsid w:val="00AF01C0"/>
    <w:rsid w:val="00AF02C5"/>
    <w:rsid w:val="00AF0815"/>
    <w:rsid w:val="00AF0AD4"/>
    <w:rsid w:val="00AF0CF9"/>
    <w:rsid w:val="00AF0E70"/>
    <w:rsid w:val="00AF1223"/>
    <w:rsid w:val="00AF1AAF"/>
    <w:rsid w:val="00AF2034"/>
    <w:rsid w:val="00AF2177"/>
    <w:rsid w:val="00AF2A5E"/>
    <w:rsid w:val="00AF2BE9"/>
    <w:rsid w:val="00AF2C73"/>
    <w:rsid w:val="00AF2CF3"/>
    <w:rsid w:val="00AF2E17"/>
    <w:rsid w:val="00AF33E4"/>
    <w:rsid w:val="00AF33EF"/>
    <w:rsid w:val="00AF34CD"/>
    <w:rsid w:val="00AF3526"/>
    <w:rsid w:val="00AF3595"/>
    <w:rsid w:val="00AF3835"/>
    <w:rsid w:val="00AF3B29"/>
    <w:rsid w:val="00AF3B72"/>
    <w:rsid w:val="00AF4517"/>
    <w:rsid w:val="00AF4646"/>
    <w:rsid w:val="00AF494B"/>
    <w:rsid w:val="00AF4985"/>
    <w:rsid w:val="00AF4C17"/>
    <w:rsid w:val="00AF4EE3"/>
    <w:rsid w:val="00AF5278"/>
    <w:rsid w:val="00AF55FB"/>
    <w:rsid w:val="00AF5A2F"/>
    <w:rsid w:val="00AF5AC0"/>
    <w:rsid w:val="00AF5C69"/>
    <w:rsid w:val="00AF5E31"/>
    <w:rsid w:val="00AF5F26"/>
    <w:rsid w:val="00AF6698"/>
    <w:rsid w:val="00AF6705"/>
    <w:rsid w:val="00AF6A46"/>
    <w:rsid w:val="00AF6A62"/>
    <w:rsid w:val="00AF74CE"/>
    <w:rsid w:val="00AF79F4"/>
    <w:rsid w:val="00AF7F76"/>
    <w:rsid w:val="00B00126"/>
    <w:rsid w:val="00B00190"/>
    <w:rsid w:val="00B0027D"/>
    <w:rsid w:val="00B003AC"/>
    <w:rsid w:val="00B004FC"/>
    <w:rsid w:val="00B00574"/>
    <w:rsid w:val="00B00587"/>
    <w:rsid w:val="00B00DCC"/>
    <w:rsid w:val="00B01435"/>
    <w:rsid w:val="00B0187D"/>
    <w:rsid w:val="00B01CA4"/>
    <w:rsid w:val="00B01DBC"/>
    <w:rsid w:val="00B0216F"/>
    <w:rsid w:val="00B025D7"/>
    <w:rsid w:val="00B0264A"/>
    <w:rsid w:val="00B02E97"/>
    <w:rsid w:val="00B02FED"/>
    <w:rsid w:val="00B030AE"/>
    <w:rsid w:val="00B030BC"/>
    <w:rsid w:val="00B031A6"/>
    <w:rsid w:val="00B0346F"/>
    <w:rsid w:val="00B03579"/>
    <w:rsid w:val="00B0380D"/>
    <w:rsid w:val="00B03ABC"/>
    <w:rsid w:val="00B03FB3"/>
    <w:rsid w:val="00B0400E"/>
    <w:rsid w:val="00B04194"/>
    <w:rsid w:val="00B04665"/>
    <w:rsid w:val="00B048C4"/>
    <w:rsid w:val="00B04B0E"/>
    <w:rsid w:val="00B04F33"/>
    <w:rsid w:val="00B0515D"/>
    <w:rsid w:val="00B051BB"/>
    <w:rsid w:val="00B05309"/>
    <w:rsid w:val="00B0539E"/>
    <w:rsid w:val="00B060AD"/>
    <w:rsid w:val="00B06132"/>
    <w:rsid w:val="00B061A3"/>
    <w:rsid w:val="00B0699B"/>
    <w:rsid w:val="00B069D1"/>
    <w:rsid w:val="00B06A2A"/>
    <w:rsid w:val="00B06A53"/>
    <w:rsid w:val="00B06C54"/>
    <w:rsid w:val="00B070FD"/>
    <w:rsid w:val="00B0770B"/>
    <w:rsid w:val="00B078E3"/>
    <w:rsid w:val="00B07C97"/>
    <w:rsid w:val="00B07D5F"/>
    <w:rsid w:val="00B07F00"/>
    <w:rsid w:val="00B103F1"/>
    <w:rsid w:val="00B10752"/>
    <w:rsid w:val="00B1078B"/>
    <w:rsid w:val="00B10A49"/>
    <w:rsid w:val="00B10BFE"/>
    <w:rsid w:val="00B10D2B"/>
    <w:rsid w:val="00B10E32"/>
    <w:rsid w:val="00B11454"/>
    <w:rsid w:val="00B114FF"/>
    <w:rsid w:val="00B1157E"/>
    <w:rsid w:val="00B11F53"/>
    <w:rsid w:val="00B12115"/>
    <w:rsid w:val="00B12269"/>
    <w:rsid w:val="00B12723"/>
    <w:rsid w:val="00B12AB4"/>
    <w:rsid w:val="00B12F1C"/>
    <w:rsid w:val="00B13271"/>
    <w:rsid w:val="00B135BE"/>
    <w:rsid w:val="00B13942"/>
    <w:rsid w:val="00B13B33"/>
    <w:rsid w:val="00B14177"/>
    <w:rsid w:val="00B1419C"/>
    <w:rsid w:val="00B14456"/>
    <w:rsid w:val="00B1450A"/>
    <w:rsid w:val="00B1466A"/>
    <w:rsid w:val="00B148CB"/>
    <w:rsid w:val="00B1496B"/>
    <w:rsid w:val="00B14BA8"/>
    <w:rsid w:val="00B14DBF"/>
    <w:rsid w:val="00B15774"/>
    <w:rsid w:val="00B158F7"/>
    <w:rsid w:val="00B15A64"/>
    <w:rsid w:val="00B15AD4"/>
    <w:rsid w:val="00B160FC"/>
    <w:rsid w:val="00B16438"/>
    <w:rsid w:val="00B1667E"/>
    <w:rsid w:val="00B16F51"/>
    <w:rsid w:val="00B16FFF"/>
    <w:rsid w:val="00B172D1"/>
    <w:rsid w:val="00B17367"/>
    <w:rsid w:val="00B174DC"/>
    <w:rsid w:val="00B17868"/>
    <w:rsid w:val="00B1787B"/>
    <w:rsid w:val="00B17DF5"/>
    <w:rsid w:val="00B17E7A"/>
    <w:rsid w:val="00B20222"/>
    <w:rsid w:val="00B2046C"/>
    <w:rsid w:val="00B204CD"/>
    <w:rsid w:val="00B204F8"/>
    <w:rsid w:val="00B20666"/>
    <w:rsid w:val="00B206AA"/>
    <w:rsid w:val="00B206CD"/>
    <w:rsid w:val="00B20747"/>
    <w:rsid w:val="00B20A8E"/>
    <w:rsid w:val="00B20B75"/>
    <w:rsid w:val="00B21970"/>
    <w:rsid w:val="00B21EA6"/>
    <w:rsid w:val="00B22318"/>
    <w:rsid w:val="00B22B1E"/>
    <w:rsid w:val="00B22DC6"/>
    <w:rsid w:val="00B23079"/>
    <w:rsid w:val="00B23565"/>
    <w:rsid w:val="00B23977"/>
    <w:rsid w:val="00B239B9"/>
    <w:rsid w:val="00B23C21"/>
    <w:rsid w:val="00B24038"/>
    <w:rsid w:val="00B240D2"/>
    <w:rsid w:val="00B2412D"/>
    <w:rsid w:val="00B24AED"/>
    <w:rsid w:val="00B24B2A"/>
    <w:rsid w:val="00B24C47"/>
    <w:rsid w:val="00B24E2C"/>
    <w:rsid w:val="00B24F04"/>
    <w:rsid w:val="00B25231"/>
    <w:rsid w:val="00B253D6"/>
    <w:rsid w:val="00B25445"/>
    <w:rsid w:val="00B254AB"/>
    <w:rsid w:val="00B258C0"/>
    <w:rsid w:val="00B26160"/>
    <w:rsid w:val="00B261C5"/>
    <w:rsid w:val="00B26232"/>
    <w:rsid w:val="00B26244"/>
    <w:rsid w:val="00B264F9"/>
    <w:rsid w:val="00B2661A"/>
    <w:rsid w:val="00B26919"/>
    <w:rsid w:val="00B27A16"/>
    <w:rsid w:val="00B27C01"/>
    <w:rsid w:val="00B27F46"/>
    <w:rsid w:val="00B3002D"/>
    <w:rsid w:val="00B303C7"/>
    <w:rsid w:val="00B30421"/>
    <w:rsid w:val="00B30514"/>
    <w:rsid w:val="00B30790"/>
    <w:rsid w:val="00B30C3D"/>
    <w:rsid w:val="00B3106E"/>
    <w:rsid w:val="00B310F0"/>
    <w:rsid w:val="00B31463"/>
    <w:rsid w:val="00B31975"/>
    <w:rsid w:val="00B319FD"/>
    <w:rsid w:val="00B31EB9"/>
    <w:rsid w:val="00B31F05"/>
    <w:rsid w:val="00B3213D"/>
    <w:rsid w:val="00B322F3"/>
    <w:rsid w:val="00B32361"/>
    <w:rsid w:val="00B3250D"/>
    <w:rsid w:val="00B325FC"/>
    <w:rsid w:val="00B325FD"/>
    <w:rsid w:val="00B32693"/>
    <w:rsid w:val="00B32C65"/>
    <w:rsid w:val="00B32F35"/>
    <w:rsid w:val="00B331F2"/>
    <w:rsid w:val="00B33511"/>
    <w:rsid w:val="00B3358D"/>
    <w:rsid w:val="00B33600"/>
    <w:rsid w:val="00B338C7"/>
    <w:rsid w:val="00B33A35"/>
    <w:rsid w:val="00B33A4D"/>
    <w:rsid w:val="00B33E76"/>
    <w:rsid w:val="00B342F6"/>
    <w:rsid w:val="00B3447B"/>
    <w:rsid w:val="00B3469B"/>
    <w:rsid w:val="00B348EC"/>
    <w:rsid w:val="00B349AB"/>
    <w:rsid w:val="00B34CEE"/>
    <w:rsid w:val="00B34DC3"/>
    <w:rsid w:val="00B34E36"/>
    <w:rsid w:val="00B353A6"/>
    <w:rsid w:val="00B35BDC"/>
    <w:rsid w:val="00B35D4E"/>
    <w:rsid w:val="00B35DE6"/>
    <w:rsid w:val="00B35E3D"/>
    <w:rsid w:val="00B35EAF"/>
    <w:rsid w:val="00B35F2D"/>
    <w:rsid w:val="00B35FAD"/>
    <w:rsid w:val="00B3661D"/>
    <w:rsid w:val="00B3667B"/>
    <w:rsid w:val="00B368B8"/>
    <w:rsid w:val="00B36AF9"/>
    <w:rsid w:val="00B36F62"/>
    <w:rsid w:val="00B372D3"/>
    <w:rsid w:val="00B3736C"/>
    <w:rsid w:val="00B37405"/>
    <w:rsid w:val="00B37616"/>
    <w:rsid w:val="00B3765F"/>
    <w:rsid w:val="00B377AB"/>
    <w:rsid w:val="00B37B5D"/>
    <w:rsid w:val="00B37C37"/>
    <w:rsid w:val="00B37C45"/>
    <w:rsid w:val="00B37DFA"/>
    <w:rsid w:val="00B40028"/>
    <w:rsid w:val="00B40B7C"/>
    <w:rsid w:val="00B40BEC"/>
    <w:rsid w:val="00B40D8B"/>
    <w:rsid w:val="00B40FFC"/>
    <w:rsid w:val="00B41051"/>
    <w:rsid w:val="00B4155A"/>
    <w:rsid w:val="00B42112"/>
    <w:rsid w:val="00B42337"/>
    <w:rsid w:val="00B4240E"/>
    <w:rsid w:val="00B424C1"/>
    <w:rsid w:val="00B424CC"/>
    <w:rsid w:val="00B42828"/>
    <w:rsid w:val="00B428A6"/>
    <w:rsid w:val="00B42DDA"/>
    <w:rsid w:val="00B43034"/>
    <w:rsid w:val="00B435A0"/>
    <w:rsid w:val="00B437D8"/>
    <w:rsid w:val="00B43850"/>
    <w:rsid w:val="00B438C1"/>
    <w:rsid w:val="00B4393A"/>
    <w:rsid w:val="00B43DF8"/>
    <w:rsid w:val="00B43FE1"/>
    <w:rsid w:val="00B44063"/>
    <w:rsid w:val="00B4447E"/>
    <w:rsid w:val="00B44501"/>
    <w:rsid w:val="00B44690"/>
    <w:rsid w:val="00B446EA"/>
    <w:rsid w:val="00B44982"/>
    <w:rsid w:val="00B4499B"/>
    <w:rsid w:val="00B44C8D"/>
    <w:rsid w:val="00B44DFF"/>
    <w:rsid w:val="00B451EB"/>
    <w:rsid w:val="00B451F3"/>
    <w:rsid w:val="00B451FD"/>
    <w:rsid w:val="00B45CC6"/>
    <w:rsid w:val="00B45E4B"/>
    <w:rsid w:val="00B46015"/>
    <w:rsid w:val="00B46554"/>
    <w:rsid w:val="00B4673A"/>
    <w:rsid w:val="00B46D5C"/>
    <w:rsid w:val="00B47137"/>
    <w:rsid w:val="00B471B6"/>
    <w:rsid w:val="00B478D9"/>
    <w:rsid w:val="00B47CCC"/>
    <w:rsid w:val="00B47F50"/>
    <w:rsid w:val="00B47F5B"/>
    <w:rsid w:val="00B5079A"/>
    <w:rsid w:val="00B50C81"/>
    <w:rsid w:val="00B50E40"/>
    <w:rsid w:val="00B510C1"/>
    <w:rsid w:val="00B5138C"/>
    <w:rsid w:val="00B51819"/>
    <w:rsid w:val="00B51E4C"/>
    <w:rsid w:val="00B51F8A"/>
    <w:rsid w:val="00B5210E"/>
    <w:rsid w:val="00B523E9"/>
    <w:rsid w:val="00B52695"/>
    <w:rsid w:val="00B52B23"/>
    <w:rsid w:val="00B52C1E"/>
    <w:rsid w:val="00B52C43"/>
    <w:rsid w:val="00B52DA6"/>
    <w:rsid w:val="00B53056"/>
    <w:rsid w:val="00B53497"/>
    <w:rsid w:val="00B535A8"/>
    <w:rsid w:val="00B53725"/>
    <w:rsid w:val="00B53D01"/>
    <w:rsid w:val="00B53D56"/>
    <w:rsid w:val="00B5443B"/>
    <w:rsid w:val="00B544FE"/>
    <w:rsid w:val="00B54690"/>
    <w:rsid w:val="00B549F5"/>
    <w:rsid w:val="00B5522C"/>
    <w:rsid w:val="00B55309"/>
    <w:rsid w:val="00B557C4"/>
    <w:rsid w:val="00B55A7F"/>
    <w:rsid w:val="00B55C3E"/>
    <w:rsid w:val="00B55CC4"/>
    <w:rsid w:val="00B55F36"/>
    <w:rsid w:val="00B55FDC"/>
    <w:rsid w:val="00B561A2"/>
    <w:rsid w:val="00B56683"/>
    <w:rsid w:val="00B56741"/>
    <w:rsid w:val="00B56A7F"/>
    <w:rsid w:val="00B56AE9"/>
    <w:rsid w:val="00B56EFE"/>
    <w:rsid w:val="00B570ED"/>
    <w:rsid w:val="00B5722C"/>
    <w:rsid w:val="00B5786D"/>
    <w:rsid w:val="00B57A62"/>
    <w:rsid w:val="00B57E71"/>
    <w:rsid w:val="00B57F5C"/>
    <w:rsid w:val="00B604E1"/>
    <w:rsid w:val="00B605BF"/>
    <w:rsid w:val="00B60DC8"/>
    <w:rsid w:val="00B613D6"/>
    <w:rsid w:val="00B618CF"/>
    <w:rsid w:val="00B61900"/>
    <w:rsid w:val="00B61AC7"/>
    <w:rsid w:val="00B61CC1"/>
    <w:rsid w:val="00B62BA1"/>
    <w:rsid w:val="00B633C3"/>
    <w:rsid w:val="00B634BF"/>
    <w:rsid w:val="00B63598"/>
    <w:rsid w:val="00B63A4A"/>
    <w:rsid w:val="00B63A5A"/>
    <w:rsid w:val="00B63AC2"/>
    <w:rsid w:val="00B63BD5"/>
    <w:rsid w:val="00B63C3C"/>
    <w:rsid w:val="00B63DC1"/>
    <w:rsid w:val="00B63EE3"/>
    <w:rsid w:val="00B63F25"/>
    <w:rsid w:val="00B64002"/>
    <w:rsid w:val="00B64276"/>
    <w:rsid w:val="00B64513"/>
    <w:rsid w:val="00B648A8"/>
    <w:rsid w:val="00B64C20"/>
    <w:rsid w:val="00B65053"/>
    <w:rsid w:val="00B651A3"/>
    <w:rsid w:val="00B6543A"/>
    <w:rsid w:val="00B655CE"/>
    <w:rsid w:val="00B657D2"/>
    <w:rsid w:val="00B65886"/>
    <w:rsid w:val="00B65F09"/>
    <w:rsid w:val="00B66650"/>
    <w:rsid w:val="00B66676"/>
    <w:rsid w:val="00B66A51"/>
    <w:rsid w:val="00B66E73"/>
    <w:rsid w:val="00B66EFE"/>
    <w:rsid w:val="00B670BA"/>
    <w:rsid w:val="00B670F9"/>
    <w:rsid w:val="00B67353"/>
    <w:rsid w:val="00B6747F"/>
    <w:rsid w:val="00B67502"/>
    <w:rsid w:val="00B67C03"/>
    <w:rsid w:val="00B67D71"/>
    <w:rsid w:val="00B7036A"/>
    <w:rsid w:val="00B703A1"/>
    <w:rsid w:val="00B705AF"/>
    <w:rsid w:val="00B705B1"/>
    <w:rsid w:val="00B7062C"/>
    <w:rsid w:val="00B706E2"/>
    <w:rsid w:val="00B70A21"/>
    <w:rsid w:val="00B70D83"/>
    <w:rsid w:val="00B70F49"/>
    <w:rsid w:val="00B71094"/>
    <w:rsid w:val="00B71290"/>
    <w:rsid w:val="00B71761"/>
    <w:rsid w:val="00B717CD"/>
    <w:rsid w:val="00B71B7A"/>
    <w:rsid w:val="00B71D36"/>
    <w:rsid w:val="00B71D5A"/>
    <w:rsid w:val="00B71EC5"/>
    <w:rsid w:val="00B71F3D"/>
    <w:rsid w:val="00B723DB"/>
    <w:rsid w:val="00B7254A"/>
    <w:rsid w:val="00B7254C"/>
    <w:rsid w:val="00B72DA7"/>
    <w:rsid w:val="00B72DCC"/>
    <w:rsid w:val="00B72DE1"/>
    <w:rsid w:val="00B73120"/>
    <w:rsid w:val="00B7398C"/>
    <w:rsid w:val="00B73D0E"/>
    <w:rsid w:val="00B73E76"/>
    <w:rsid w:val="00B74246"/>
    <w:rsid w:val="00B7435E"/>
    <w:rsid w:val="00B74497"/>
    <w:rsid w:val="00B748BC"/>
    <w:rsid w:val="00B74B48"/>
    <w:rsid w:val="00B74C07"/>
    <w:rsid w:val="00B751A0"/>
    <w:rsid w:val="00B75883"/>
    <w:rsid w:val="00B75AA0"/>
    <w:rsid w:val="00B75BA3"/>
    <w:rsid w:val="00B75E24"/>
    <w:rsid w:val="00B75FCB"/>
    <w:rsid w:val="00B7633B"/>
    <w:rsid w:val="00B7633F"/>
    <w:rsid w:val="00B764A0"/>
    <w:rsid w:val="00B76533"/>
    <w:rsid w:val="00B76742"/>
    <w:rsid w:val="00B76754"/>
    <w:rsid w:val="00B76800"/>
    <w:rsid w:val="00B76937"/>
    <w:rsid w:val="00B7698C"/>
    <w:rsid w:val="00B76A14"/>
    <w:rsid w:val="00B76B93"/>
    <w:rsid w:val="00B76CA7"/>
    <w:rsid w:val="00B776A3"/>
    <w:rsid w:val="00B77AB2"/>
    <w:rsid w:val="00B77CD3"/>
    <w:rsid w:val="00B77DA3"/>
    <w:rsid w:val="00B77E3C"/>
    <w:rsid w:val="00B801F3"/>
    <w:rsid w:val="00B8029C"/>
    <w:rsid w:val="00B8042A"/>
    <w:rsid w:val="00B8043B"/>
    <w:rsid w:val="00B80882"/>
    <w:rsid w:val="00B8099D"/>
    <w:rsid w:val="00B81242"/>
    <w:rsid w:val="00B812C1"/>
    <w:rsid w:val="00B81481"/>
    <w:rsid w:val="00B81F56"/>
    <w:rsid w:val="00B81FAB"/>
    <w:rsid w:val="00B820FC"/>
    <w:rsid w:val="00B82E99"/>
    <w:rsid w:val="00B82EBA"/>
    <w:rsid w:val="00B831C9"/>
    <w:rsid w:val="00B8333B"/>
    <w:rsid w:val="00B83F48"/>
    <w:rsid w:val="00B84100"/>
    <w:rsid w:val="00B8432B"/>
    <w:rsid w:val="00B84697"/>
    <w:rsid w:val="00B84897"/>
    <w:rsid w:val="00B849C3"/>
    <w:rsid w:val="00B85472"/>
    <w:rsid w:val="00B8577E"/>
    <w:rsid w:val="00B858A0"/>
    <w:rsid w:val="00B85E9B"/>
    <w:rsid w:val="00B86139"/>
    <w:rsid w:val="00B86727"/>
    <w:rsid w:val="00B86760"/>
    <w:rsid w:val="00B86810"/>
    <w:rsid w:val="00B86A3A"/>
    <w:rsid w:val="00B86A6C"/>
    <w:rsid w:val="00B86BB0"/>
    <w:rsid w:val="00B86DA8"/>
    <w:rsid w:val="00B870A0"/>
    <w:rsid w:val="00B874BE"/>
    <w:rsid w:val="00B87807"/>
    <w:rsid w:val="00B87B32"/>
    <w:rsid w:val="00B902DA"/>
    <w:rsid w:val="00B903AA"/>
    <w:rsid w:val="00B90524"/>
    <w:rsid w:val="00B9092E"/>
    <w:rsid w:val="00B9099F"/>
    <w:rsid w:val="00B90A52"/>
    <w:rsid w:val="00B91289"/>
    <w:rsid w:val="00B91375"/>
    <w:rsid w:val="00B917F5"/>
    <w:rsid w:val="00B91983"/>
    <w:rsid w:val="00B91FB2"/>
    <w:rsid w:val="00B921CA"/>
    <w:rsid w:val="00B926A0"/>
    <w:rsid w:val="00B927BA"/>
    <w:rsid w:val="00B929CA"/>
    <w:rsid w:val="00B92C3E"/>
    <w:rsid w:val="00B92F64"/>
    <w:rsid w:val="00B9305E"/>
    <w:rsid w:val="00B9325E"/>
    <w:rsid w:val="00B93374"/>
    <w:rsid w:val="00B9358D"/>
    <w:rsid w:val="00B93661"/>
    <w:rsid w:val="00B93705"/>
    <w:rsid w:val="00B93712"/>
    <w:rsid w:val="00B939E0"/>
    <w:rsid w:val="00B93EF3"/>
    <w:rsid w:val="00B944BA"/>
    <w:rsid w:val="00B945B0"/>
    <w:rsid w:val="00B94D8D"/>
    <w:rsid w:val="00B94E5D"/>
    <w:rsid w:val="00B950DC"/>
    <w:rsid w:val="00B95151"/>
    <w:rsid w:val="00B95325"/>
    <w:rsid w:val="00B95483"/>
    <w:rsid w:val="00B95506"/>
    <w:rsid w:val="00B95569"/>
    <w:rsid w:val="00B95575"/>
    <w:rsid w:val="00B9568F"/>
    <w:rsid w:val="00B95946"/>
    <w:rsid w:val="00B95F51"/>
    <w:rsid w:val="00B95F93"/>
    <w:rsid w:val="00B96158"/>
    <w:rsid w:val="00B961F8"/>
    <w:rsid w:val="00B963FC"/>
    <w:rsid w:val="00B9650F"/>
    <w:rsid w:val="00B96A44"/>
    <w:rsid w:val="00B96C09"/>
    <w:rsid w:val="00B96D0A"/>
    <w:rsid w:val="00B96D72"/>
    <w:rsid w:val="00B96D78"/>
    <w:rsid w:val="00B96EA1"/>
    <w:rsid w:val="00B97359"/>
    <w:rsid w:val="00B976F4"/>
    <w:rsid w:val="00B97964"/>
    <w:rsid w:val="00BA005D"/>
    <w:rsid w:val="00BA007C"/>
    <w:rsid w:val="00BA067B"/>
    <w:rsid w:val="00BA081F"/>
    <w:rsid w:val="00BA0AE7"/>
    <w:rsid w:val="00BA0DAD"/>
    <w:rsid w:val="00BA0FBE"/>
    <w:rsid w:val="00BA1096"/>
    <w:rsid w:val="00BA14C7"/>
    <w:rsid w:val="00BA1870"/>
    <w:rsid w:val="00BA19B2"/>
    <w:rsid w:val="00BA2251"/>
    <w:rsid w:val="00BA22D1"/>
    <w:rsid w:val="00BA285C"/>
    <w:rsid w:val="00BA292F"/>
    <w:rsid w:val="00BA29DC"/>
    <w:rsid w:val="00BA2B3E"/>
    <w:rsid w:val="00BA2E3A"/>
    <w:rsid w:val="00BA3001"/>
    <w:rsid w:val="00BA3399"/>
    <w:rsid w:val="00BA3622"/>
    <w:rsid w:val="00BA38C9"/>
    <w:rsid w:val="00BA3959"/>
    <w:rsid w:val="00BA3CDA"/>
    <w:rsid w:val="00BA3FE2"/>
    <w:rsid w:val="00BA42EE"/>
    <w:rsid w:val="00BA4545"/>
    <w:rsid w:val="00BA4A66"/>
    <w:rsid w:val="00BA4DDA"/>
    <w:rsid w:val="00BA5025"/>
    <w:rsid w:val="00BA5106"/>
    <w:rsid w:val="00BA58F6"/>
    <w:rsid w:val="00BA59C6"/>
    <w:rsid w:val="00BA5C7E"/>
    <w:rsid w:val="00BA5D82"/>
    <w:rsid w:val="00BA5F0C"/>
    <w:rsid w:val="00BA5FB7"/>
    <w:rsid w:val="00BA6583"/>
    <w:rsid w:val="00BA6723"/>
    <w:rsid w:val="00BA68CC"/>
    <w:rsid w:val="00BA68ED"/>
    <w:rsid w:val="00BA69A0"/>
    <w:rsid w:val="00BA6DEF"/>
    <w:rsid w:val="00BA6DFB"/>
    <w:rsid w:val="00BA6F22"/>
    <w:rsid w:val="00BA7169"/>
    <w:rsid w:val="00BA7190"/>
    <w:rsid w:val="00BA72EC"/>
    <w:rsid w:val="00BA757E"/>
    <w:rsid w:val="00BA759A"/>
    <w:rsid w:val="00BA776B"/>
    <w:rsid w:val="00BA7835"/>
    <w:rsid w:val="00BA7ADD"/>
    <w:rsid w:val="00BB087B"/>
    <w:rsid w:val="00BB09E8"/>
    <w:rsid w:val="00BB1222"/>
    <w:rsid w:val="00BB137B"/>
    <w:rsid w:val="00BB1E0C"/>
    <w:rsid w:val="00BB1F21"/>
    <w:rsid w:val="00BB2154"/>
    <w:rsid w:val="00BB2627"/>
    <w:rsid w:val="00BB2D05"/>
    <w:rsid w:val="00BB2E02"/>
    <w:rsid w:val="00BB2E3E"/>
    <w:rsid w:val="00BB2EDF"/>
    <w:rsid w:val="00BB349B"/>
    <w:rsid w:val="00BB37FB"/>
    <w:rsid w:val="00BB3A18"/>
    <w:rsid w:val="00BB3C47"/>
    <w:rsid w:val="00BB3C85"/>
    <w:rsid w:val="00BB3CB0"/>
    <w:rsid w:val="00BB411A"/>
    <w:rsid w:val="00BB4522"/>
    <w:rsid w:val="00BB459F"/>
    <w:rsid w:val="00BB46A2"/>
    <w:rsid w:val="00BB4943"/>
    <w:rsid w:val="00BB49F1"/>
    <w:rsid w:val="00BB4C78"/>
    <w:rsid w:val="00BB4D9C"/>
    <w:rsid w:val="00BB57EB"/>
    <w:rsid w:val="00BB5A04"/>
    <w:rsid w:val="00BB5DF5"/>
    <w:rsid w:val="00BB5F95"/>
    <w:rsid w:val="00BB5F98"/>
    <w:rsid w:val="00BB606E"/>
    <w:rsid w:val="00BB6DC9"/>
    <w:rsid w:val="00BB720C"/>
    <w:rsid w:val="00BB7CCF"/>
    <w:rsid w:val="00BC0407"/>
    <w:rsid w:val="00BC0863"/>
    <w:rsid w:val="00BC08BC"/>
    <w:rsid w:val="00BC0AD3"/>
    <w:rsid w:val="00BC0D06"/>
    <w:rsid w:val="00BC0D3D"/>
    <w:rsid w:val="00BC0EB6"/>
    <w:rsid w:val="00BC1117"/>
    <w:rsid w:val="00BC12CA"/>
    <w:rsid w:val="00BC1767"/>
    <w:rsid w:val="00BC1E7E"/>
    <w:rsid w:val="00BC225B"/>
    <w:rsid w:val="00BC22B4"/>
    <w:rsid w:val="00BC298F"/>
    <w:rsid w:val="00BC2F67"/>
    <w:rsid w:val="00BC31B0"/>
    <w:rsid w:val="00BC3213"/>
    <w:rsid w:val="00BC3347"/>
    <w:rsid w:val="00BC3BAC"/>
    <w:rsid w:val="00BC3CA8"/>
    <w:rsid w:val="00BC427C"/>
    <w:rsid w:val="00BC4691"/>
    <w:rsid w:val="00BC48C1"/>
    <w:rsid w:val="00BC58E3"/>
    <w:rsid w:val="00BC5BDF"/>
    <w:rsid w:val="00BC5FB6"/>
    <w:rsid w:val="00BC649B"/>
    <w:rsid w:val="00BC64C3"/>
    <w:rsid w:val="00BC6819"/>
    <w:rsid w:val="00BC6ED8"/>
    <w:rsid w:val="00BC6FD8"/>
    <w:rsid w:val="00BC74F0"/>
    <w:rsid w:val="00BC7B64"/>
    <w:rsid w:val="00BC7BC5"/>
    <w:rsid w:val="00BC7F4F"/>
    <w:rsid w:val="00BD00D0"/>
    <w:rsid w:val="00BD0197"/>
    <w:rsid w:val="00BD01DA"/>
    <w:rsid w:val="00BD0203"/>
    <w:rsid w:val="00BD0234"/>
    <w:rsid w:val="00BD04D0"/>
    <w:rsid w:val="00BD0AD4"/>
    <w:rsid w:val="00BD0B01"/>
    <w:rsid w:val="00BD0C28"/>
    <w:rsid w:val="00BD0F1F"/>
    <w:rsid w:val="00BD132A"/>
    <w:rsid w:val="00BD1344"/>
    <w:rsid w:val="00BD1454"/>
    <w:rsid w:val="00BD1520"/>
    <w:rsid w:val="00BD15EC"/>
    <w:rsid w:val="00BD18BE"/>
    <w:rsid w:val="00BD212A"/>
    <w:rsid w:val="00BD285D"/>
    <w:rsid w:val="00BD28DC"/>
    <w:rsid w:val="00BD3512"/>
    <w:rsid w:val="00BD376A"/>
    <w:rsid w:val="00BD3B20"/>
    <w:rsid w:val="00BD3C03"/>
    <w:rsid w:val="00BD3DA3"/>
    <w:rsid w:val="00BD4189"/>
    <w:rsid w:val="00BD423A"/>
    <w:rsid w:val="00BD42F3"/>
    <w:rsid w:val="00BD47E4"/>
    <w:rsid w:val="00BD4A4A"/>
    <w:rsid w:val="00BD4B12"/>
    <w:rsid w:val="00BD4B46"/>
    <w:rsid w:val="00BD4BF7"/>
    <w:rsid w:val="00BD4CE9"/>
    <w:rsid w:val="00BD520C"/>
    <w:rsid w:val="00BD53EB"/>
    <w:rsid w:val="00BD5878"/>
    <w:rsid w:val="00BD5BBB"/>
    <w:rsid w:val="00BD5C77"/>
    <w:rsid w:val="00BD5D98"/>
    <w:rsid w:val="00BD5E2A"/>
    <w:rsid w:val="00BD608E"/>
    <w:rsid w:val="00BD60E8"/>
    <w:rsid w:val="00BD6208"/>
    <w:rsid w:val="00BD666D"/>
    <w:rsid w:val="00BD68D5"/>
    <w:rsid w:val="00BD69BE"/>
    <w:rsid w:val="00BD6C79"/>
    <w:rsid w:val="00BD6CB1"/>
    <w:rsid w:val="00BD6CFC"/>
    <w:rsid w:val="00BD7069"/>
    <w:rsid w:val="00BD71B6"/>
    <w:rsid w:val="00BD71F6"/>
    <w:rsid w:val="00BD7406"/>
    <w:rsid w:val="00BD75EB"/>
    <w:rsid w:val="00BD77A8"/>
    <w:rsid w:val="00BD78C0"/>
    <w:rsid w:val="00BD79F5"/>
    <w:rsid w:val="00BD7ABA"/>
    <w:rsid w:val="00BD7BF5"/>
    <w:rsid w:val="00BD7CC5"/>
    <w:rsid w:val="00BE0AF2"/>
    <w:rsid w:val="00BE0C73"/>
    <w:rsid w:val="00BE102C"/>
    <w:rsid w:val="00BE10D7"/>
    <w:rsid w:val="00BE16F0"/>
    <w:rsid w:val="00BE18C3"/>
    <w:rsid w:val="00BE1A0B"/>
    <w:rsid w:val="00BE1C0E"/>
    <w:rsid w:val="00BE20D0"/>
    <w:rsid w:val="00BE2222"/>
    <w:rsid w:val="00BE22B1"/>
    <w:rsid w:val="00BE24F2"/>
    <w:rsid w:val="00BE25B2"/>
    <w:rsid w:val="00BE3213"/>
    <w:rsid w:val="00BE34A7"/>
    <w:rsid w:val="00BE359F"/>
    <w:rsid w:val="00BE37F0"/>
    <w:rsid w:val="00BE3C2C"/>
    <w:rsid w:val="00BE3EED"/>
    <w:rsid w:val="00BE4363"/>
    <w:rsid w:val="00BE44DF"/>
    <w:rsid w:val="00BE467D"/>
    <w:rsid w:val="00BE4C82"/>
    <w:rsid w:val="00BE4F3D"/>
    <w:rsid w:val="00BE527E"/>
    <w:rsid w:val="00BE5628"/>
    <w:rsid w:val="00BE5646"/>
    <w:rsid w:val="00BE5A54"/>
    <w:rsid w:val="00BE5B75"/>
    <w:rsid w:val="00BE5CFE"/>
    <w:rsid w:val="00BE5D9D"/>
    <w:rsid w:val="00BE5E51"/>
    <w:rsid w:val="00BE5E6B"/>
    <w:rsid w:val="00BE6349"/>
    <w:rsid w:val="00BE63DF"/>
    <w:rsid w:val="00BE64D1"/>
    <w:rsid w:val="00BE65B6"/>
    <w:rsid w:val="00BE65FD"/>
    <w:rsid w:val="00BE6BAF"/>
    <w:rsid w:val="00BE6CE9"/>
    <w:rsid w:val="00BE6F3C"/>
    <w:rsid w:val="00BE6F70"/>
    <w:rsid w:val="00BE73E9"/>
    <w:rsid w:val="00BE754C"/>
    <w:rsid w:val="00BE7595"/>
    <w:rsid w:val="00BE76E1"/>
    <w:rsid w:val="00BE7833"/>
    <w:rsid w:val="00BE78CB"/>
    <w:rsid w:val="00BE790C"/>
    <w:rsid w:val="00BE790E"/>
    <w:rsid w:val="00BE79E9"/>
    <w:rsid w:val="00BE7CBD"/>
    <w:rsid w:val="00BF00F9"/>
    <w:rsid w:val="00BF01D7"/>
    <w:rsid w:val="00BF032B"/>
    <w:rsid w:val="00BF042B"/>
    <w:rsid w:val="00BF0805"/>
    <w:rsid w:val="00BF0828"/>
    <w:rsid w:val="00BF0F58"/>
    <w:rsid w:val="00BF0F7D"/>
    <w:rsid w:val="00BF0F96"/>
    <w:rsid w:val="00BF1368"/>
    <w:rsid w:val="00BF1418"/>
    <w:rsid w:val="00BF16C7"/>
    <w:rsid w:val="00BF178D"/>
    <w:rsid w:val="00BF1C60"/>
    <w:rsid w:val="00BF1D06"/>
    <w:rsid w:val="00BF1EC2"/>
    <w:rsid w:val="00BF1ECA"/>
    <w:rsid w:val="00BF2392"/>
    <w:rsid w:val="00BF26AB"/>
    <w:rsid w:val="00BF270A"/>
    <w:rsid w:val="00BF29A9"/>
    <w:rsid w:val="00BF3008"/>
    <w:rsid w:val="00BF304D"/>
    <w:rsid w:val="00BF3550"/>
    <w:rsid w:val="00BF36F8"/>
    <w:rsid w:val="00BF3888"/>
    <w:rsid w:val="00BF3B04"/>
    <w:rsid w:val="00BF3B37"/>
    <w:rsid w:val="00BF3C58"/>
    <w:rsid w:val="00BF3FF4"/>
    <w:rsid w:val="00BF40AB"/>
    <w:rsid w:val="00BF4175"/>
    <w:rsid w:val="00BF4180"/>
    <w:rsid w:val="00BF41C1"/>
    <w:rsid w:val="00BF423A"/>
    <w:rsid w:val="00BF44FA"/>
    <w:rsid w:val="00BF47C3"/>
    <w:rsid w:val="00BF4934"/>
    <w:rsid w:val="00BF4E82"/>
    <w:rsid w:val="00BF540A"/>
    <w:rsid w:val="00BF5B1F"/>
    <w:rsid w:val="00BF5C1E"/>
    <w:rsid w:val="00BF5D27"/>
    <w:rsid w:val="00BF5D48"/>
    <w:rsid w:val="00BF5E3E"/>
    <w:rsid w:val="00BF62BB"/>
    <w:rsid w:val="00BF6961"/>
    <w:rsid w:val="00BF6A96"/>
    <w:rsid w:val="00BF6BD8"/>
    <w:rsid w:val="00BF7041"/>
    <w:rsid w:val="00BF7210"/>
    <w:rsid w:val="00BF7224"/>
    <w:rsid w:val="00BF7429"/>
    <w:rsid w:val="00BF75C8"/>
    <w:rsid w:val="00BF7A6F"/>
    <w:rsid w:val="00BF7F1C"/>
    <w:rsid w:val="00BF7F58"/>
    <w:rsid w:val="00C0034D"/>
    <w:rsid w:val="00C00987"/>
    <w:rsid w:val="00C00B14"/>
    <w:rsid w:val="00C00C95"/>
    <w:rsid w:val="00C00DF6"/>
    <w:rsid w:val="00C00F5E"/>
    <w:rsid w:val="00C0127C"/>
    <w:rsid w:val="00C012EC"/>
    <w:rsid w:val="00C0143A"/>
    <w:rsid w:val="00C01548"/>
    <w:rsid w:val="00C01571"/>
    <w:rsid w:val="00C01804"/>
    <w:rsid w:val="00C0207E"/>
    <w:rsid w:val="00C020CB"/>
    <w:rsid w:val="00C023D5"/>
    <w:rsid w:val="00C028D6"/>
    <w:rsid w:val="00C0291A"/>
    <w:rsid w:val="00C02D56"/>
    <w:rsid w:val="00C02EB4"/>
    <w:rsid w:val="00C03CF5"/>
    <w:rsid w:val="00C03FE6"/>
    <w:rsid w:val="00C040F5"/>
    <w:rsid w:val="00C040FA"/>
    <w:rsid w:val="00C043E7"/>
    <w:rsid w:val="00C04801"/>
    <w:rsid w:val="00C04860"/>
    <w:rsid w:val="00C04CFB"/>
    <w:rsid w:val="00C04E1D"/>
    <w:rsid w:val="00C05210"/>
    <w:rsid w:val="00C0544D"/>
    <w:rsid w:val="00C0561A"/>
    <w:rsid w:val="00C05F10"/>
    <w:rsid w:val="00C06023"/>
    <w:rsid w:val="00C0624D"/>
    <w:rsid w:val="00C06465"/>
    <w:rsid w:val="00C064AB"/>
    <w:rsid w:val="00C0653E"/>
    <w:rsid w:val="00C069B3"/>
    <w:rsid w:val="00C06E60"/>
    <w:rsid w:val="00C071A1"/>
    <w:rsid w:val="00C07283"/>
    <w:rsid w:val="00C07623"/>
    <w:rsid w:val="00C077E2"/>
    <w:rsid w:val="00C07C20"/>
    <w:rsid w:val="00C07CCF"/>
    <w:rsid w:val="00C07E16"/>
    <w:rsid w:val="00C10A3E"/>
    <w:rsid w:val="00C1164D"/>
    <w:rsid w:val="00C11865"/>
    <w:rsid w:val="00C11868"/>
    <w:rsid w:val="00C11C16"/>
    <w:rsid w:val="00C11CFF"/>
    <w:rsid w:val="00C11D6F"/>
    <w:rsid w:val="00C11DF6"/>
    <w:rsid w:val="00C120AD"/>
    <w:rsid w:val="00C12500"/>
    <w:rsid w:val="00C12B10"/>
    <w:rsid w:val="00C12BF6"/>
    <w:rsid w:val="00C13348"/>
    <w:rsid w:val="00C13982"/>
    <w:rsid w:val="00C13A02"/>
    <w:rsid w:val="00C13DAF"/>
    <w:rsid w:val="00C13FCB"/>
    <w:rsid w:val="00C14592"/>
    <w:rsid w:val="00C14C8E"/>
    <w:rsid w:val="00C14E17"/>
    <w:rsid w:val="00C14E5E"/>
    <w:rsid w:val="00C14E80"/>
    <w:rsid w:val="00C156D8"/>
    <w:rsid w:val="00C1574C"/>
    <w:rsid w:val="00C15759"/>
    <w:rsid w:val="00C1580C"/>
    <w:rsid w:val="00C15BBF"/>
    <w:rsid w:val="00C15CF4"/>
    <w:rsid w:val="00C163ED"/>
    <w:rsid w:val="00C1648A"/>
    <w:rsid w:val="00C16775"/>
    <w:rsid w:val="00C16AC3"/>
    <w:rsid w:val="00C16EAD"/>
    <w:rsid w:val="00C17037"/>
    <w:rsid w:val="00C17161"/>
    <w:rsid w:val="00C1726C"/>
    <w:rsid w:val="00C177EA"/>
    <w:rsid w:val="00C179CA"/>
    <w:rsid w:val="00C17D3F"/>
    <w:rsid w:val="00C17D9A"/>
    <w:rsid w:val="00C2044F"/>
    <w:rsid w:val="00C2056B"/>
    <w:rsid w:val="00C20789"/>
    <w:rsid w:val="00C209A5"/>
    <w:rsid w:val="00C20A53"/>
    <w:rsid w:val="00C20DF4"/>
    <w:rsid w:val="00C20FCF"/>
    <w:rsid w:val="00C20FE1"/>
    <w:rsid w:val="00C21078"/>
    <w:rsid w:val="00C218D2"/>
    <w:rsid w:val="00C21C3A"/>
    <w:rsid w:val="00C21E96"/>
    <w:rsid w:val="00C22553"/>
    <w:rsid w:val="00C2258A"/>
    <w:rsid w:val="00C22886"/>
    <w:rsid w:val="00C2290E"/>
    <w:rsid w:val="00C22C7B"/>
    <w:rsid w:val="00C22F05"/>
    <w:rsid w:val="00C2336C"/>
    <w:rsid w:val="00C23772"/>
    <w:rsid w:val="00C24050"/>
    <w:rsid w:val="00C245C6"/>
    <w:rsid w:val="00C24754"/>
    <w:rsid w:val="00C24CF7"/>
    <w:rsid w:val="00C2516A"/>
    <w:rsid w:val="00C2540A"/>
    <w:rsid w:val="00C257F2"/>
    <w:rsid w:val="00C25A02"/>
    <w:rsid w:val="00C25EF4"/>
    <w:rsid w:val="00C25F4F"/>
    <w:rsid w:val="00C2600B"/>
    <w:rsid w:val="00C26699"/>
    <w:rsid w:val="00C26978"/>
    <w:rsid w:val="00C26DA9"/>
    <w:rsid w:val="00C26DB0"/>
    <w:rsid w:val="00C26DD4"/>
    <w:rsid w:val="00C27493"/>
    <w:rsid w:val="00C276B1"/>
    <w:rsid w:val="00C276B4"/>
    <w:rsid w:val="00C27A0A"/>
    <w:rsid w:val="00C27A2C"/>
    <w:rsid w:val="00C27AF5"/>
    <w:rsid w:val="00C27BFF"/>
    <w:rsid w:val="00C3000D"/>
    <w:rsid w:val="00C30130"/>
    <w:rsid w:val="00C301D8"/>
    <w:rsid w:val="00C3026A"/>
    <w:rsid w:val="00C308BC"/>
    <w:rsid w:val="00C31809"/>
    <w:rsid w:val="00C31B20"/>
    <w:rsid w:val="00C31D22"/>
    <w:rsid w:val="00C322C3"/>
    <w:rsid w:val="00C32561"/>
    <w:rsid w:val="00C32C55"/>
    <w:rsid w:val="00C33317"/>
    <w:rsid w:val="00C33351"/>
    <w:rsid w:val="00C33629"/>
    <w:rsid w:val="00C3402F"/>
    <w:rsid w:val="00C34130"/>
    <w:rsid w:val="00C341A2"/>
    <w:rsid w:val="00C3427B"/>
    <w:rsid w:val="00C34565"/>
    <w:rsid w:val="00C34C24"/>
    <w:rsid w:val="00C351CA"/>
    <w:rsid w:val="00C35266"/>
    <w:rsid w:val="00C35395"/>
    <w:rsid w:val="00C35539"/>
    <w:rsid w:val="00C35657"/>
    <w:rsid w:val="00C35983"/>
    <w:rsid w:val="00C3634F"/>
    <w:rsid w:val="00C3639D"/>
    <w:rsid w:val="00C363C7"/>
    <w:rsid w:val="00C364E6"/>
    <w:rsid w:val="00C36518"/>
    <w:rsid w:val="00C36BE5"/>
    <w:rsid w:val="00C3712E"/>
    <w:rsid w:val="00C3752D"/>
    <w:rsid w:val="00C37CEA"/>
    <w:rsid w:val="00C4012D"/>
    <w:rsid w:val="00C401AB"/>
    <w:rsid w:val="00C405F6"/>
    <w:rsid w:val="00C40725"/>
    <w:rsid w:val="00C40734"/>
    <w:rsid w:val="00C409B3"/>
    <w:rsid w:val="00C40D0B"/>
    <w:rsid w:val="00C412B9"/>
    <w:rsid w:val="00C412D9"/>
    <w:rsid w:val="00C41812"/>
    <w:rsid w:val="00C418BE"/>
    <w:rsid w:val="00C418FC"/>
    <w:rsid w:val="00C41AE0"/>
    <w:rsid w:val="00C41B50"/>
    <w:rsid w:val="00C41F37"/>
    <w:rsid w:val="00C42228"/>
    <w:rsid w:val="00C425F1"/>
    <w:rsid w:val="00C42863"/>
    <w:rsid w:val="00C42977"/>
    <w:rsid w:val="00C429BA"/>
    <w:rsid w:val="00C42E3C"/>
    <w:rsid w:val="00C430D7"/>
    <w:rsid w:val="00C439B9"/>
    <w:rsid w:val="00C441CB"/>
    <w:rsid w:val="00C441DD"/>
    <w:rsid w:val="00C445C2"/>
    <w:rsid w:val="00C44B02"/>
    <w:rsid w:val="00C44E28"/>
    <w:rsid w:val="00C44F48"/>
    <w:rsid w:val="00C45190"/>
    <w:rsid w:val="00C4522B"/>
    <w:rsid w:val="00C45437"/>
    <w:rsid w:val="00C45625"/>
    <w:rsid w:val="00C4578A"/>
    <w:rsid w:val="00C4586D"/>
    <w:rsid w:val="00C45D4F"/>
    <w:rsid w:val="00C45E94"/>
    <w:rsid w:val="00C45ECE"/>
    <w:rsid w:val="00C4637B"/>
    <w:rsid w:val="00C463BA"/>
    <w:rsid w:val="00C466C8"/>
    <w:rsid w:val="00C46921"/>
    <w:rsid w:val="00C46997"/>
    <w:rsid w:val="00C46DF2"/>
    <w:rsid w:val="00C46EF9"/>
    <w:rsid w:val="00C46F5A"/>
    <w:rsid w:val="00C47248"/>
    <w:rsid w:val="00C47325"/>
    <w:rsid w:val="00C47808"/>
    <w:rsid w:val="00C47968"/>
    <w:rsid w:val="00C47A99"/>
    <w:rsid w:val="00C47CDE"/>
    <w:rsid w:val="00C47EE6"/>
    <w:rsid w:val="00C5023A"/>
    <w:rsid w:val="00C5028B"/>
    <w:rsid w:val="00C504A4"/>
    <w:rsid w:val="00C508CF"/>
    <w:rsid w:val="00C50C28"/>
    <w:rsid w:val="00C51462"/>
    <w:rsid w:val="00C51834"/>
    <w:rsid w:val="00C51848"/>
    <w:rsid w:val="00C5192B"/>
    <w:rsid w:val="00C519F8"/>
    <w:rsid w:val="00C51C80"/>
    <w:rsid w:val="00C51CA5"/>
    <w:rsid w:val="00C520B3"/>
    <w:rsid w:val="00C52169"/>
    <w:rsid w:val="00C52175"/>
    <w:rsid w:val="00C52198"/>
    <w:rsid w:val="00C5236D"/>
    <w:rsid w:val="00C523A0"/>
    <w:rsid w:val="00C526D1"/>
    <w:rsid w:val="00C52B92"/>
    <w:rsid w:val="00C52FE3"/>
    <w:rsid w:val="00C53037"/>
    <w:rsid w:val="00C53317"/>
    <w:rsid w:val="00C535BF"/>
    <w:rsid w:val="00C5360B"/>
    <w:rsid w:val="00C5378F"/>
    <w:rsid w:val="00C53AE4"/>
    <w:rsid w:val="00C53CE4"/>
    <w:rsid w:val="00C53D2D"/>
    <w:rsid w:val="00C5438F"/>
    <w:rsid w:val="00C54722"/>
    <w:rsid w:val="00C5476B"/>
    <w:rsid w:val="00C54AC5"/>
    <w:rsid w:val="00C54BF5"/>
    <w:rsid w:val="00C5501F"/>
    <w:rsid w:val="00C55178"/>
    <w:rsid w:val="00C55245"/>
    <w:rsid w:val="00C55265"/>
    <w:rsid w:val="00C557D8"/>
    <w:rsid w:val="00C55897"/>
    <w:rsid w:val="00C5589B"/>
    <w:rsid w:val="00C559C4"/>
    <w:rsid w:val="00C55BC7"/>
    <w:rsid w:val="00C55ECB"/>
    <w:rsid w:val="00C55FC6"/>
    <w:rsid w:val="00C560CF"/>
    <w:rsid w:val="00C565F7"/>
    <w:rsid w:val="00C56679"/>
    <w:rsid w:val="00C56BC4"/>
    <w:rsid w:val="00C56F03"/>
    <w:rsid w:val="00C56F31"/>
    <w:rsid w:val="00C57126"/>
    <w:rsid w:val="00C571AF"/>
    <w:rsid w:val="00C57241"/>
    <w:rsid w:val="00C57244"/>
    <w:rsid w:val="00C57514"/>
    <w:rsid w:val="00C57562"/>
    <w:rsid w:val="00C5768A"/>
    <w:rsid w:val="00C57718"/>
    <w:rsid w:val="00C57A7D"/>
    <w:rsid w:val="00C57C14"/>
    <w:rsid w:val="00C60140"/>
    <w:rsid w:val="00C603E3"/>
    <w:rsid w:val="00C60EEE"/>
    <w:rsid w:val="00C6110A"/>
    <w:rsid w:val="00C612DE"/>
    <w:rsid w:val="00C614B9"/>
    <w:rsid w:val="00C6151B"/>
    <w:rsid w:val="00C616F6"/>
    <w:rsid w:val="00C6184E"/>
    <w:rsid w:val="00C6187F"/>
    <w:rsid w:val="00C619FE"/>
    <w:rsid w:val="00C61AEE"/>
    <w:rsid w:val="00C61D20"/>
    <w:rsid w:val="00C6239F"/>
    <w:rsid w:val="00C62723"/>
    <w:rsid w:val="00C62756"/>
    <w:rsid w:val="00C62A15"/>
    <w:rsid w:val="00C62BD3"/>
    <w:rsid w:val="00C62D44"/>
    <w:rsid w:val="00C62E38"/>
    <w:rsid w:val="00C62F1D"/>
    <w:rsid w:val="00C630BD"/>
    <w:rsid w:val="00C6359E"/>
    <w:rsid w:val="00C63E26"/>
    <w:rsid w:val="00C63ED6"/>
    <w:rsid w:val="00C63F11"/>
    <w:rsid w:val="00C64089"/>
    <w:rsid w:val="00C64124"/>
    <w:rsid w:val="00C64421"/>
    <w:rsid w:val="00C64514"/>
    <w:rsid w:val="00C64C7D"/>
    <w:rsid w:val="00C64D87"/>
    <w:rsid w:val="00C64E79"/>
    <w:rsid w:val="00C64F0D"/>
    <w:rsid w:val="00C652AF"/>
    <w:rsid w:val="00C65592"/>
    <w:rsid w:val="00C6592E"/>
    <w:rsid w:val="00C65976"/>
    <w:rsid w:val="00C65B4A"/>
    <w:rsid w:val="00C65D82"/>
    <w:rsid w:val="00C6614C"/>
    <w:rsid w:val="00C661EE"/>
    <w:rsid w:val="00C663A9"/>
    <w:rsid w:val="00C66736"/>
    <w:rsid w:val="00C669E7"/>
    <w:rsid w:val="00C66D19"/>
    <w:rsid w:val="00C66D42"/>
    <w:rsid w:val="00C66DB7"/>
    <w:rsid w:val="00C66F5E"/>
    <w:rsid w:val="00C67352"/>
    <w:rsid w:val="00C6771A"/>
    <w:rsid w:val="00C677A1"/>
    <w:rsid w:val="00C701F9"/>
    <w:rsid w:val="00C70251"/>
    <w:rsid w:val="00C7044B"/>
    <w:rsid w:val="00C7086E"/>
    <w:rsid w:val="00C70B9C"/>
    <w:rsid w:val="00C70FB2"/>
    <w:rsid w:val="00C710EC"/>
    <w:rsid w:val="00C713EA"/>
    <w:rsid w:val="00C71C0A"/>
    <w:rsid w:val="00C71D80"/>
    <w:rsid w:val="00C71E21"/>
    <w:rsid w:val="00C721F0"/>
    <w:rsid w:val="00C7229B"/>
    <w:rsid w:val="00C726E8"/>
    <w:rsid w:val="00C72715"/>
    <w:rsid w:val="00C729F7"/>
    <w:rsid w:val="00C72A93"/>
    <w:rsid w:val="00C730D8"/>
    <w:rsid w:val="00C732C3"/>
    <w:rsid w:val="00C7342C"/>
    <w:rsid w:val="00C7351E"/>
    <w:rsid w:val="00C73749"/>
    <w:rsid w:val="00C73801"/>
    <w:rsid w:val="00C73CEE"/>
    <w:rsid w:val="00C73E73"/>
    <w:rsid w:val="00C73F89"/>
    <w:rsid w:val="00C742F0"/>
    <w:rsid w:val="00C74380"/>
    <w:rsid w:val="00C7459C"/>
    <w:rsid w:val="00C74663"/>
    <w:rsid w:val="00C74961"/>
    <w:rsid w:val="00C74C95"/>
    <w:rsid w:val="00C74CE3"/>
    <w:rsid w:val="00C74D35"/>
    <w:rsid w:val="00C74D8D"/>
    <w:rsid w:val="00C75450"/>
    <w:rsid w:val="00C75533"/>
    <w:rsid w:val="00C75556"/>
    <w:rsid w:val="00C758BB"/>
    <w:rsid w:val="00C76406"/>
    <w:rsid w:val="00C764E8"/>
    <w:rsid w:val="00C76662"/>
    <w:rsid w:val="00C76885"/>
    <w:rsid w:val="00C768AE"/>
    <w:rsid w:val="00C76AFC"/>
    <w:rsid w:val="00C76EF6"/>
    <w:rsid w:val="00C77082"/>
    <w:rsid w:val="00C77112"/>
    <w:rsid w:val="00C7721F"/>
    <w:rsid w:val="00C77464"/>
    <w:rsid w:val="00C778A9"/>
    <w:rsid w:val="00C77C1A"/>
    <w:rsid w:val="00C77C4B"/>
    <w:rsid w:val="00C800AE"/>
    <w:rsid w:val="00C80F6F"/>
    <w:rsid w:val="00C80FB0"/>
    <w:rsid w:val="00C811DB"/>
    <w:rsid w:val="00C813E0"/>
    <w:rsid w:val="00C8192C"/>
    <w:rsid w:val="00C819CD"/>
    <w:rsid w:val="00C81E24"/>
    <w:rsid w:val="00C8326D"/>
    <w:rsid w:val="00C835CD"/>
    <w:rsid w:val="00C835EC"/>
    <w:rsid w:val="00C839F2"/>
    <w:rsid w:val="00C83E51"/>
    <w:rsid w:val="00C8414D"/>
    <w:rsid w:val="00C842D7"/>
    <w:rsid w:val="00C84429"/>
    <w:rsid w:val="00C8457E"/>
    <w:rsid w:val="00C8461C"/>
    <w:rsid w:val="00C847C1"/>
    <w:rsid w:val="00C854CC"/>
    <w:rsid w:val="00C855C3"/>
    <w:rsid w:val="00C85823"/>
    <w:rsid w:val="00C858C9"/>
    <w:rsid w:val="00C85944"/>
    <w:rsid w:val="00C85A0A"/>
    <w:rsid w:val="00C85B66"/>
    <w:rsid w:val="00C86058"/>
    <w:rsid w:val="00C86085"/>
    <w:rsid w:val="00C860D1"/>
    <w:rsid w:val="00C86409"/>
    <w:rsid w:val="00C86F47"/>
    <w:rsid w:val="00C86F76"/>
    <w:rsid w:val="00C875CD"/>
    <w:rsid w:val="00C87732"/>
    <w:rsid w:val="00C87900"/>
    <w:rsid w:val="00C87B12"/>
    <w:rsid w:val="00C87BA9"/>
    <w:rsid w:val="00C87C9B"/>
    <w:rsid w:val="00C90163"/>
    <w:rsid w:val="00C901FF"/>
    <w:rsid w:val="00C902FB"/>
    <w:rsid w:val="00C90654"/>
    <w:rsid w:val="00C90914"/>
    <w:rsid w:val="00C90AD0"/>
    <w:rsid w:val="00C90E1D"/>
    <w:rsid w:val="00C91038"/>
    <w:rsid w:val="00C917BC"/>
    <w:rsid w:val="00C91A18"/>
    <w:rsid w:val="00C91B0D"/>
    <w:rsid w:val="00C91B8C"/>
    <w:rsid w:val="00C91E7A"/>
    <w:rsid w:val="00C92049"/>
    <w:rsid w:val="00C92234"/>
    <w:rsid w:val="00C924B0"/>
    <w:rsid w:val="00C9258B"/>
    <w:rsid w:val="00C925A5"/>
    <w:rsid w:val="00C927BB"/>
    <w:rsid w:val="00C927F1"/>
    <w:rsid w:val="00C92B11"/>
    <w:rsid w:val="00C92D8A"/>
    <w:rsid w:val="00C92D8E"/>
    <w:rsid w:val="00C92F0B"/>
    <w:rsid w:val="00C93023"/>
    <w:rsid w:val="00C9346C"/>
    <w:rsid w:val="00C93651"/>
    <w:rsid w:val="00C937A9"/>
    <w:rsid w:val="00C93920"/>
    <w:rsid w:val="00C93AA9"/>
    <w:rsid w:val="00C93C64"/>
    <w:rsid w:val="00C93D79"/>
    <w:rsid w:val="00C93DA8"/>
    <w:rsid w:val="00C9404D"/>
    <w:rsid w:val="00C940D2"/>
    <w:rsid w:val="00C942E8"/>
    <w:rsid w:val="00C943DA"/>
    <w:rsid w:val="00C945FC"/>
    <w:rsid w:val="00C949C0"/>
    <w:rsid w:val="00C9506B"/>
    <w:rsid w:val="00C9534C"/>
    <w:rsid w:val="00C95527"/>
    <w:rsid w:val="00C95530"/>
    <w:rsid w:val="00C95572"/>
    <w:rsid w:val="00C955AA"/>
    <w:rsid w:val="00C95778"/>
    <w:rsid w:val="00C95900"/>
    <w:rsid w:val="00C964CF"/>
    <w:rsid w:val="00C969A0"/>
    <w:rsid w:val="00C969AB"/>
    <w:rsid w:val="00C979D1"/>
    <w:rsid w:val="00C97B46"/>
    <w:rsid w:val="00C97C71"/>
    <w:rsid w:val="00C97E56"/>
    <w:rsid w:val="00CA001D"/>
    <w:rsid w:val="00CA0276"/>
    <w:rsid w:val="00CA049A"/>
    <w:rsid w:val="00CA094C"/>
    <w:rsid w:val="00CA0971"/>
    <w:rsid w:val="00CA0A77"/>
    <w:rsid w:val="00CA13CD"/>
    <w:rsid w:val="00CA1531"/>
    <w:rsid w:val="00CA18A4"/>
    <w:rsid w:val="00CA1B59"/>
    <w:rsid w:val="00CA1D39"/>
    <w:rsid w:val="00CA2282"/>
    <w:rsid w:val="00CA27F1"/>
    <w:rsid w:val="00CA28BC"/>
    <w:rsid w:val="00CA29D3"/>
    <w:rsid w:val="00CA2BA2"/>
    <w:rsid w:val="00CA2C52"/>
    <w:rsid w:val="00CA2CF5"/>
    <w:rsid w:val="00CA3426"/>
    <w:rsid w:val="00CA3517"/>
    <w:rsid w:val="00CA3763"/>
    <w:rsid w:val="00CA41AC"/>
    <w:rsid w:val="00CA440A"/>
    <w:rsid w:val="00CA4938"/>
    <w:rsid w:val="00CA4A4D"/>
    <w:rsid w:val="00CA4A7F"/>
    <w:rsid w:val="00CA5553"/>
    <w:rsid w:val="00CA565C"/>
    <w:rsid w:val="00CA56DD"/>
    <w:rsid w:val="00CA5785"/>
    <w:rsid w:val="00CA5991"/>
    <w:rsid w:val="00CA5E67"/>
    <w:rsid w:val="00CA617C"/>
    <w:rsid w:val="00CA68C0"/>
    <w:rsid w:val="00CA6A68"/>
    <w:rsid w:val="00CA6ECC"/>
    <w:rsid w:val="00CA7072"/>
    <w:rsid w:val="00CA72B4"/>
    <w:rsid w:val="00CA750F"/>
    <w:rsid w:val="00CA7A0A"/>
    <w:rsid w:val="00CA7B17"/>
    <w:rsid w:val="00CA7BDB"/>
    <w:rsid w:val="00CA7D3E"/>
    <w:rsid w:val="00CB0162"/>
    <w:rsid w:val="00CB04AE"/>
    <w:rsid w:val="00CB04CB"/>
    <w:rsid w:val="00CB07DF"/>
    <w:rsid w:val="00CB07FB"/>
    <w:rsid w:val="00CB0859"/>
    <w:rsid w:val="00CB11F8"/>
    <w:rsid w:val="00CB124D"/>
    <w:rsid w:val="00CB13AD"/>
    <w:rsid w:val="00CB1B1E"/>
    <w:rsid w:val="00CB1C03"/>
    <w:rsid w:val="00CB1CED"/>
    <w:rsid w:val="00CB1D3D"/>
    <w:rsid w:val="00CB2053"/>
    <w:rsid w:val="00CB24D2"/>
    <w:rsid w:val="00CB2D5D"/>
    <w:rsid w:val="00CB2EF5"/>
    <w:rsid w:val="00CB2EF8"/>
    <w:rsid w:val="00CB2FA2"/>
    <w:rsid w:val="00CB315D"/>
    <w:rsid w:val="00CB36F2"/>
    <w:rsid w:val="00CB3710"/>
    <w:rsid w:val="00CB3831"/>
    <w:rsid w:val="00CB3B1F"/>
    <w:rsid w:val="00CB3CD0"/>
    <w:rsid w:val="00CB3E39"/>
    <w:rsid w:val="00CB4301"/>
    <w:rsid w:val="00CB47C2"/>
    <w:rsid w:val="00CB48F8"/>
    <w:rsid w:val="00CB4D4A"/>
    <w:rsid w:val="00CB4DE3"/>
    <w:rsid w:val="00CB5055"/>
    <w:rsid w:val="00CB511D"/>
    <w:rsid w:val="00CB517F"/>
    <w:rsid w:val="00CB534F"/>
    <w:rsid w:val="00CB53F1"/>
    <w:rsid w:val="00CB53F4"/>
    <w:rsid w:val="00CB557A"/>
    <w:rsid w:val="00CB56D6"/>
    <w:rsid w:val="00CB58C0"/>
    <w:rsid w:val="00CB5DA4"/>
    <w:rsid w:val="00CB5DBE"/>
    <w:rsid w:val="00CB5EF1"/>
    <w:rsid w:val="00CB6144"/>
    <w:rsid w:val="00CB621F"/>
    <w:rsid w:val="00CB6283"/>
    <w:rsid w:val="00CB62CE"/>
    <w:rsid w:val="00CB64E3"/>
    <w:rsid w:val="00CB66BC"/>
    <w:rsid w:val="00CB67CB"/>
    <w:rsid w:val="00CB6841"/>
    <w:rsid w:val="00CB6B96"/>
    <w:rsid w:val="00CB6DC6"/>
    <w:rsid w:val="00CB707B"/>
    <w:rsid w:val="00CB7176"/>
    <w:rsid w:val="00CB727F"/>
    <w:rsid w:val="00CB77DA"/>
    <w:rsid w:val="00CB78B5"/>
    <w:rsid w:val="00CB7E8E"/>
    <w:rsid w:val="00CB7F5E"/>
    <w:rsid w:val="00CC03DC"/>
    <w:rsid w:val="00CC0434"/>
    <w:rsid w:val="00CC0A5C"/>
    <w:rsid w:val="00CC0B9B"/>
    <w:rsid w:val="00CC0C89"/>
    <w:rsid w:val="00CC0CBA"/>
    <w:rsid w:val="00CC1490"/>
    <w:rsid w:val="00CC1557"/>
    <w:rsid w:val="00CC1732"/>
    <w:rsid w:val="00CC1C00"/>
    <w:rsid w:val="00CC1EF0"/>
    <w:rsid w:val="00CC1FDC"/>
    <w:rsid w:val="00CC211E"/>
    <w:rsid w:val="00CC270D"/>
    <w:rsid w:val="00CC3007"/>
    <w:rsid w:val="00CC32DB"/>
    <w:rsid w:val="00CC3390"/>
    <w:rsid w:val="00CC38F2"/>
    <w:rsid w:val="00CC3A92"/>
    <w:rsid w:val="00CC3AD7"/>
    <w:rsid w:val="00CC3D55"/>
    <w:rsid w:val="00CC3DD8"/>
    <w:rsid w:val="00CC3E47"/>
    <w:rsid w:val="00CC3FBD"/>
    <w:rsid w:val="00CC4046"/>
    <w:rsid w:val="00CC42A4"/>
    <w:rsid w:val="00CC42AC"/>
    <w:rsid w:val="00CC43BB"/>
    <w:rsid w:val="00CC462D"/>
    <w:rsid w:val="00CC4915"/>
    <w:rsid w:val="00CC4971"/>
    <w:rsid w:val="00CC4A7A"/>
    <w:rsid w:val="00CC4C9F"/>
    <w:rsid w:val="00CC5211"/>
    <w:rsid w:val="00CC535F"/>
    <w:rsid w:val="00CC53FE"/>
    <w:rsid w:val="00CC5D3D"/>
    <w:rsid w:val="00CC5D4A"/>
    <w:rsid w:val="00CC5D4F"/>
    <w:rsid w:val="00CC6197"/>
    <w:rsid w:val="00CC61E1"/>
    <w:rsid w:val="00CC65F5"/>
    <w:rsid w:val="00CC67FD"/>
    <w:rsid w:val="00CC6D67"/>
    <w:rsid w:val="00CC709D"/>
    <w:rsid w:val="00CC72A7"/>
    <w:rsid w:val="00CC73BC"/>
    <w:rsid w:val="00CC7711"/>
    <w:rsid w:val="00CC77E0"/>
    <w:rsid w:val="00CC788D"/>
    <w:rsid w:val="00CC7896"/>
    <w:rsid w:val="00CC79B1"/>
    <w:rsid w:val="00CC7A45"/>
    <w:rsid w:val="00CD0742"/>
    <w:rsid w:val="00CD07B0"/>
    <w:rsid w:val="00CD0D9A"/>
    <w:rsid w:val="00CD1130"/>
    <w:rsid w:val="00CD1251"/>
    <w:rsid w:val="00CD1464"/>
    <w:rsid w:val="00CD14C6"/>
    <w:rsid w:val="00CD182C"/>
    <w:rsid w:val="00CD1D81"/>
    <w:rsid w:val="00CD2064"/>
    <w:rsid w:val="00CD21BD"/>
    <w:rsid w:val="00CD2891"/>
    <w:rsid w:val="00CD2989"/>
    <w:rsid w:val="00CD2A7F"/>
    <w:rsid w:val="00CD2BB0"/>
    <w:rsid w:val="00CD2D04"/>
    <w:rsid w:val="00CD2DE7"/>
    <w:rsid w:val="00CD31CD"/>
    <w:rsid w:val="00CD31E7"/>
    <w:rsid w:val="00CD32D7"/>
    <w:rsid w:val="00CD334F"/>
    <w:rsid w:val="00CD34AA"/>
    <w:rsid w:val="00CD3500"/>
    <w:rsid w:val="00CD3930"/>
    <w:rsid w:val="00CD3D98"/>
    <w:rsid w:val="00CD3EA5"/>
    <w:rsid w:val="00CD3F62"/>
    <w:rsid w:val="00CD3FC9"/>
    <w:rsid w:val="00CD40EF"/>
    <w:rsid w:val="00CD5166"/>
    <w:rsid w:val="00CD51FB"/>
    <w:rsid w:val="00CD52E7"/>
    <w:rsid w:val="00CD548E"/>
    <w:rsid w:val="00CD54EB"/>
    <w:rsid w:val="00CD5666"/>
    <w:rsid w:val="00CD569B"/>
    <w:rsid w:val="00CD582A"/>
    <w:rsid w:val="00CD62B9"/>
    <w:rsid w:val="00CD62BC"/>
    <w:rsid w:val="00CD6373"/>
    <w:rsid w:val="00CD6BBC"/>
    <w:rsid w:val="00CD79E5"/>
    <w:rsid w:val="00CD7E8C"/>
    <w:rsid w:val="00CE04F3"/>
    <w:rsid w:val="00CE0596"/>
    <w:rsid w:val="00CE07DB"/>
    <w:rsid w:val="00CE08AB"/>
    <w:rsid w:val="00CE0D53"/>
    <w:rsid w:val="00CE0E43"/>
    <w:rsid w:val="00CE0F28"/>
    <w:rsid w:val="00CE12CE"/>
    <w:rsid w:val="00CE1514"/>
    <w:rsid w:val="00CE15E6"/>
    <w:rsid w:val="00CE15E7"/>
    <w:rsid w:val="00CE176C"/>
    <w:rsid w:val="00CE1E48"/>
    <w:rsid w:val="00CE1F3A"/>
    <w:rsid w:val="00CE1F6C"/>
    <w:rsid w:val="00CE1FE9"/>
    <w:rsid w:val="00CE2490"/>
    <w:rsid w:val="00CE25B7"/>
    <w:rsid w:val="00CE336B"/>
    <w:rsid w:val="00CE37FE"/>
    <w:rsid w:val="00CE399F"/>
    <w:rsid w:val="00CE3C28"/>
    <w:rsid w:val="00CE3D66"/>
    <w:rsid w:val="00CE3FE1"/>
    <w:rsid w:val="00CE4514"/>
    <w:rsid w:val="00CE463D"/>
    <w:rsid w:val="00CE4869"/>
    <w:rsid w:val="00CE4BCC"/>
    <w:rsid w:val="00CE4BFF"/>
    <w:rsid w:val="00CE4D83"/>
    <w:rsid w:val="00CE4F20"/>
    <w:rsid w:val="00CE5807"/>
    <w:rsid w:val="00CE59DB"/>
    <w:rsid w:val="00CE5A6A"/>
    <w:rsid w:val="00CE5A9F"/>
    <w:rsid w:val="00CE5D3E"/>
    <w:rsid w:val="00CE5D74"/>
    <w:rsid w:val="00CE6405"/>
    <w:rsid w:val="00CE671F"/>
    <w:rsid w:val="00CE67EE"/>
    <w:rsid w:val="00CE68C7"/>
    <w:rsid w:val="00CE710D"/>
    <w:rsid w:val="00CE7366"/>
    <w:rsid w:val="00CE7564"/>
    <w:rsid w:val="00CE76CB"/>
    <w:rsid w:val="00CE77B0"/>
    <w:rsid w:val="00CE7AA7"/>
    <w:rsid w:val="00CE7B3A"/>
    <w:rsid w:val="00CE7BCB"/>
    <w:rsid w:val="00CE7E43"/>
    <w:rsid w:val="00CE7E81"/>
    <w:rsid w:val="00CF054D"/>
    <w:rsid w:val="00CF0580"/>
    <w:rsid w:val="00CF0654"/>
    <w:rsid w:val="00CF0739"/>
    <w:rsid w:val="00CF075B"/>
    <w:rsid w:val="00CF089C"/>
    <w:rsid w:val="00CF1073"/>
    <w:rsid w:val="00CF1347"/>
    <w:rsid w:val="00CF139F"/>
    <w:rsid w:val="00CF19E5"/>
    <w:rsid w:val="00CF1A88"/>
    <w:rsid w:val="00CF1CCD"/>
    <w:rsid w:val="00CF2138"/>
    <w:rsid w:val="00CF2514"/>
    <w:rsid w:val="00CF25A7"/>
    <w:rsid w:val="00CF2792"/>
    <w:rsid w:val="00CF2876"/>
    <w:rsid w:val="00CF2D63"/>
    <w:rsid w:val="00CF2FE2"/>
    <w:rsid w:val="00CF32C2"/>
    <w:rsid w:val="00CF3313"/>
    <w:rsid w:val="00CF3557"/>
    <w:rsid w:val="00CF3672"/>
    <w:rsid w:val="00CF3D5F"/>
    <w:rsid w:val="00CF4361"/>
    <w:rsid w:val="00CF44BE"/>
    <w:rsid w:val="00CF480C"/>
    <w:rsid w:val="00CF4A53"/>
    <w:rsid w:val="00CF4C58"/>
    <w:rsid w:val="00CF4D80"/>
    <w:rsid w:val="00CF4E2D"/>
    <w:rsid w:val="00CF4EB8"/>
    <w:rsid w:val="00CF5694"/>
    <w:rsid w:val="00CF63EF"/>
    <w:rsid w:val="00CF651A"/>
    <w:rsid w:val="00CF6586"/>
    <w:rsid w:val="00CF67FD"/>
    <w:rsid w:val="00CF6CD6"/>
    <w:rsid w:val="00CF6DD9"/>
    <w:rsid w:val="00CF71B7"/>
    <w:rsid w:val="00CF7224"/>
    <w:rsid w:val="00CF73D8"/>
    <w:rsid w:val="00CF7407"/>
    <w:rsid w:val="00CF7720"/>
    <w:rsid w:val="00CF7844"/>
    <w:rsid w:val="00CF7F7F"/>
    <w:rsid w:val="00D00C50"/>
    <w:rsid w:val="00D00C65"/>
    <w:rsid w:val="00D00F02"/>
    <w:rsid w:val="00D013DB"/>
    <w:rsid w:val="00D01AB0"/>
    <w:rsid w:val="00D02521"/>
    <w:rsid w:val="00D026BF"/>
    <w:rsid w:val="00D02850"/>
    <w:rsid w:val="00D02F6C"/>
    <w:rsid w:val="00D03093"/>
    <w:rsid w:val="00D0320E"/>
    <w:rsid w:val="00D03251"/>
    <w:rsid w:val="00D03690"/>
    <w:rsid w:val="00D036E4"/>
    <w:rsid w:val="00D03B10"/>
    <w:rsid w:val="00D03B46"/>
    <w:rsid w:val="00D03BC7"/>
    <w:rsid w:val="00D03C07"/>
    <w:rsid w:val="00D03C0F"/>
    <w:rsid w:val="00D04028"/>
    <w:rsid w:val="00D04459"/>
    <w:rsid w:val="00D048E6"/>
    <w:rsid w:val="00D04BF8"/>
    <w:rsid w:val="00D04C2F"/>
    <w:rsid w:val="00D04FCA"/>
    <w:rsid w:val="00D052E0"/>
    <w:rsid w:val="00D054F0"/>
    <w:rsid w:val="00D05588"/>
    <w:rsid w:val="00D05AEF"/>
    <w:rsid w:val="00D05CAD"/>
    <w:rsid w:val="00D05EA2"/>
    <w:rsid w:val="00D062E6"/>
    <w:rsid w:val="00D0696C"/>
    <w:rsid w:val="00D06973"/>
    <w:rsid w:val="00D069C3"/>
    <w:rsid w:val="00D06BAA"/>
    <w:rsid w:val="00D06EDA"/>
    <w:rsid w:val="00D070E0"/>
    <w:rsid w:val="00D077C4"/>
    <w:rsid w:val="00D078BD"/>
    <w:rsid w:val="00D07A29"/>
    <w:rsid w:val="00D07C67"/>
    <w:rsid w:val="00D1004E"/>
    <w:rsid w:val="00D1023E"/>
    <w:rsid w:val="00D102E2"/>
    <w:rsid w:val="00D10328"/>
    <w:rsid w:val="00D10393"/>
    <w:rsid w:val="00D10581"/>
    <w:rsid w:val="00D109C3"/>
    <w:rsid w:val="00D109E8"/>
    <w:rsid w:val="00D112C6"/>
    <w:rsid w:val="00D11590"/>
    <w:rsid w:val="00D11788"/>
    <w:rsid w:val="00D1192B"/>
    <w:rsid w:val="00D11A2E"/>
    <w:rsid w:val="00D11D9D"/>
    <w:rsid w:val="00D1211C"/>
    <w:rsid w:val="00D125B3"/>
    <w:rsid w:val="00D12829"/>
    <w:rsid w:val="00D12F4D"/>
    <w:rsid w:val="00D133A8"/>
    <w:rsid w:val="00D1343A"/>
    <w:rsid w:val="00D1383E"/>
    <w:rsid w:val="00D1388D"/>
    <w:rsid w:val="00D13B02"/>
    <w:rsid w:val="00D141FC"/>
    <w:rsid w:val="00D1429F"/>
    <w:rsid w:val="00D1458B"/>
    <w:rsid w:val="00D14C75"/>
    <w:rsid w:val="00D14FB2"/>
    <w:rsid w:val="00D150E8"/>
    <w:rsid w:val="00D152EA"/>
    <w:rsid w:val="00D1538D"/>
    <w:rsid w:val="00D158EC"/>
    <w:rsid w:val="00D15A60"/>
    <w:rsid w:val="00D15AEF"/>
    <w:rsid w:val="00D15C68"/>
    <w:rsid w:val="00D15D3B"/>
    <w:rsid w:val="00D160E7"/>
    <w:rsid w:val="00D1627C"/>
    <w:rsid w:val="00D1681C"/>
    <w:rsid w:val="00D16911"/>
    <w:rsid w:val="00D169C3"/>
    <w:rsid w:val="00D16B5A"/>
    <w:rsid w:val="00D16EF2"/>
    <w:rsid w:val="00D170AB"/>
    <w:rsid w:val="00D1713C"/>
    <w:rsid w:val="00D17532"/>
    <w:rsid w:val="00D17AE8"/>
    <w:rsid w:val="00D200C5"/>
    <w:rsid w:val="00D202C9"/>
    <w:rsid w:val="00D20696"/>
    <w:rsid w:val="00D20D16"/>
    <w:rsid w:val="00D20FFF"/>
    <w:rsid w:val="00D2146C"/>
    <w:rsid w:val="00D21CF0"/>
    <w:rsid w:val="00D21F82"/>
    <w:rsid w:val="00D22522"/>
    <w:rsid w:val="00D2297E"/>
    <w:rsid w:val="00D22C1C"/>
    <w:rsid w:val="00D22F6D"/>
    <w:rsid w:val="00D232A3"/>
    <w:rsid w:val="00D233F4"/>
    <w:rsid w:val="00D235FC"/>
    <w:rsid w:val="00D23635"/>
    <w:rsid w:val="00D23911"/>
    <w:rsid w:val="00D23EF6"/>
    <w:rsid w:val="00D23F8F"/>
    <w:rsid w:val="00D24354"/>
    <w:rsid w:val="00D248AE"/>
    <w:rsid w:val="00D24A53"/>
    <w:rsid w:val="00D24D5F"/>
    <w:rsid w:val="00D24E02"/>
    <w:rsid w:val="00D25226"/>
    <w:rsid w:val="00D252AE"/>
    <w:rsid w:val="00D253D1"/>
    <w:rsid w:val="00D255D2"/>
    <w:rsid w:val="00D25B5A"/>
    <w:rsid w:val="00D25EE6"/>
    <w:rsid w:val="00D2613F"/>
    <w:rsid w:val="00D263A9"/>
    <w:rsid w:val="00D26753"/>
    <w:rsid w:val="00D269E8"/>
    <w:rsid w:val="00D270EB"/>
    <w:rsid w:val="00D277C7"/>
    <w:rsid w:val="00D2792A"/>
    <w:rsid w:val="00D300CA"/>
    <w:rsid w:val="00D301A6"/>
    <w:rsid w:val="00D30266"/>
    <w:rsid w:val="00D30388"/>
    <w:rsid w:val="00D3048E"/>
    <w:rsid w:val="00D3064E"/>
    <w:rsid w:val="00D30779"/>
    <w:rsid w:val="00D30837"/>
    <w:rsid w:val="00D30AD6"/>
    <w:rsid w:val="00D30AD9"/>
    <w:rsid w:val="00D31269"/>
    <w:rsid w:val="00D3134F"/>
    <w:rsid w:val="00D313E0"/>
    <w:rsid w:val="00D31565"/>
    <w:rsid w:val="00D3189C"/>
    <w:rsid w:val="00D318C0"/>
    <w:rsid w:val="00D31D0F"/>
    <w:rsid w:val="00D324FC"/>
    <w:rsid w:val="00D328EB"/>
    <w:rsid w:val="00D3297C"/>
    <w:rsid w:val="00D329E8"/>
    <w:rsid w:val="00D32CF2"/>
    <w:rsid w:val="00D32EED"/>
    <w:rsid w:val="00D334A3"/>
    <w:rsid w:val="00D335CE"/>
    <w:rsid w:val="00D33610"/>
    <w:rsid w:val="00D33974"/>
    <w:rsid w:val="00D33D0A"/>
    <w:rsid w:val="00D33DF7"/>
    <w:rsid w:val="00D341BC"/>
    <w:rsid w:val="00D34953"/>
    <w:rsid w:val="00D34978"/>
    <w:rsid w:val="00D34D28"/>
    <w:rsid w:val="00D34F16"/>
    <w:rsid w:val="00D35707"/>
    <w:rsid w:val="00D357BA"/>
    <w:rsid w:val="00D35C62"/>
    <w:rsid w:val="00D35EFA"/>
    <w:rsid w:val="00D360EF"/>
    <w:rsid w:val="00D362BC"/>
    <w:rsid w:val="00D36409"/>
    <w:rsid w:val="00D36551"/>
    <w:rsid w:val="00D365D0"/>
    <w:rsid w:val="00D36794"/>
    <w:rsid w:val="00D368BE"/>
    <w:rsid w:val="00D36D36"/>
    <w:rsid w:val="00D36DA3"/>
    <w:rsid w:val="00D36E11"/>
    <w:rsid w:val="00D371CC"/>
    <w:rsid w:val="00D37723"/>
    <w:rsid w:val="00D378F3"/>
    <w:rsid w:val="00D379C7"/>
    <w:rsid w:val="00D37EFF"/>
    <w:rsid w:val="00D4064A"/>
    <w:rsid w:val="00D40B17"/>
    <w:rsid w:val="00D40BE2"/>
    <w:rsid w:val="00D40EE5"/>
    <w:rsid w:val="00D4161F"/>
    <w:rsid w:val="00D41A1F"/>
    <w:rsid w:val="00D423A2"/>
    <w:rsid w:val="00D42FB5"/>
    <w:rsid w:val="00D431FF"/>
    <w:rsid w:val="00D434C3"/>
    <w:rsid w:val="00D43AA6"/>
    <w:rsid w:val="00D43F14"/>
    <w:rsid w:val="00D44387"/>
    <w:rsid w:val="00D449CB"/>
    <w:rsid w:val="00D44CC4"/>
    <w:rsid w:val="00D44CF8"/>
    <w:rsid w:val="00D44F43"/>
    <w:rsid w:val="00D44F97"/>
    <w:rsid w:val="00D44FD0"/>
    <w:rsid w:val="00D457CD"/>
    <w:rsid w:val="00D4581F"/>
    <w:rsid w:val="00D458AB"/>
    <w:rsid w:val="00D45B8B"/>
    <w:rsid w:val="00D4629D"/>
    <w:rsid w:val="00D465CF"/>
    <w:rsid w:val="00D46675"/>
    <w:rsid w:val="00D46AE1"/>
    <w:rsid w:val="00D46B4F"/>
    <w:rsid w:val="00D46C97"/>
    <w:rsid w:val="00D46E3B"/>
    <w:rsid w:val="00D46F16"/>
    <w:rsid w:val="00D4717D"/>
    <w:rsid w:val="00D47257"/>
    <w:rsid w:val="00D474DD"/>
    <w:rsid w:val="00D4792B"/>
    <w:rsid w:val="00D47C32"/>
    <w:rsid w:val="00D50056"/>
    <w:rsid w:val="00D5023C"/>
    <w:rsid w:val="00D502D3"/>
    <w:rsid w:val="00D50624"/>
    <w:rsid w:val="00D506DC"/>
    <w:rsid w:val="00D50D4C"/>
    <w:rsid w:val="00D50D63"/>
    <w:rsid w:val="00D50DC8"/>
    <w:rsid w:val="00D50E64"/>
    <w:rsid w:val="00D50E9D"/>
    <w:rsid w:val="00D512E6"/>
    <w:rsid w:val="00D513F4"/>
    <w:rsid w:val="00D51410"/>
    <w:rsid w:val="00D516B9"/>
    <w:rsid w:val="00D51883"/>
    <w:rsid w:val="00D51C85"/>
    <w:rsid w:val="00D51D13"/>
    <w:rsid w:val="00D5218C"/>
    <w:rsid w:val="00D52603"/>
    <w:rsid w:val="00D5299C"/>
    <w:rsid w:val="00D52E20"/>
    <w:rsid w:val="00D52E8B"/>
    <w:rsid w:val="00D52E9C"/>
    <w:rsid w:val="00D52ED3"/>
    <w:rsid w:val="00D53118"/>
    <w:rsid w:val="00D533DE"/>
    <w:rsid w:val="00D53507"/>
    <w:rsid w:val="00D53BE1"/>
    <w:rsid w:val="00D53CE6"/>
    <w:rsid w:val="00D54441"/>
    <w:rsid w:val="00D545E1"/>
    <w:rsid w:val="00D546D6"/>
    <w:rsid w:val="00D54CB3"/>
    <w:rsid w:val="00D54CFB"/>
    <w:rsid w:val="00D54E78"/>
    <w:rsid w:val="00D55045"/>
    <w:rsid w:val="00D5526F"/>
    <w:rsid w:val="00D55321"/>
    <w:rsid w:val="00D555A1"/>
    <w:rsid w:val="00D55769"/>
    <w:rsid w:val="00D557E4"/>
    <w:rsid w:val="00D557FB"/>
    <w:rsid w:val="00D55864"/>
    <w:rsid w:val="00D55D60"/>
    <w:rsid w:val="00D55E8E"/>
    <w:rsid w:val="00D55EA1"/>
    <w:rsid w:val="00D5613E"/>
    <w:rsid w:val="00D56187"/>
    <w:rsid w:val="00D563B8"/>
    <w:rsid w:val="00D564E8"/>
    <w:rsid w:val="00D5660E"/>
    <w:rsid w:val="00D56AA9"/>
    <w:rsid w:val="00D56B5C"/>
    <w:rsid w:val="00D56BA2"/>
    <w:rsid w:val="00D56D62"/>
    <w:rsid w:val="00D5711F"/>
    <w:rsid w:val="00D573BA"/>
    <w:rsid w:val="00D57555"/>
    <w:rsid w:val="00D57CD0"/>
    <w:rsid w:val="00D602B4"/>
    <w:rsid w:val="00D60378"/>
    <w:rsid w:val="00D603FE"/>
    <w:rsid w:val="00D60527"/>
    <w:rsid w:val="00D60848"/>
    <w:rsid w:val="00D6133E"/>
    <w:rsid w:val="00D61C71"/>
    <w:rsid w:val="00D6296E"/>
    <w:rsid w:val="00D62DD2"/>
    <w:rsid w:val="00D62F90"/>
    <w:rsid w:val="00D631D3"/>
    <w:rsid w:val="00D6341A"/>
    <w:rsid w:val="00D6358F"/>
    <w:rsid w:val="00D63639"/>
    <w:rsid w:val="00D637EC"/>
    <w:rsid w:val="00D6389F"/>
    <w:rsid w:val="00D63C69"/>
    <w:rsid w:val="00D63D35"/>
    <w:rsid w:val="00D63DB4"/>
    <w:rsid w:val="00D63DC3"/>
    <w:rsid w:val="00D63DD4"/>
    <w:rsid w:val="00D64096"/>
    <w:rsid w:val="00D6417B"/>
    <w:rsid w:val="00D648FC"/>
    <w:rsid w:val="00D6493B"/>
    <w:rsid w:val="00D655FA"/>
    <w:rsid w:val="00D65646"/>
    <w:rsid w:val="00D65A03"/>
    <w:rsid w:val="00D65C2E"/>
    <w:rsid w:val="00D65D9F"/>
    <w:rsid w:val="00D65DB8"/>
    <w:rsid w:val="00D660DD"/>
    <w:rsid w:val="00D6648D"/>
    <w:rsid w:val="00D6664D"/>
    <w:rsid w:val="00D66840"/>
    <w:rsid w:val="00D66B98"/>
    <w:rsid w:val="00D66BDA"/>
    <w:rsid w:val="00D66E4D"/>
    <w:rsid w:val="00D66F4C"/>
    <w:rsid w:val="00D67384"/>
    <w:rsid w:val="00D6755C"/>
    <w:rsid w:val="00D6772F"/>
    <w:rsid w:val="00D677E1"/>
    <w:rsid w:val="00D678E7"/>
    <w:rsid w:val="00D67B43"/>
    <w:rsid w:val="00D67CE7"/>
    <w:rsid w:val="00D67D2F"/>
    <w:rsid w:val="00D67D38"/>
    <w:rsid w:val="00D67EF2"/>
    <w:rsid w:val="00D70273"/>
    <w:rsid w:val="00D70495"/>
    <w:rsid w:val="00D7052E"/>
    <w:rsid w:val="00D70830"/>
    <w:rsid w:val="00D7085D"/>
    <w:rsid w:val="00D709A7"/>
    <w:rsid w:val="00D709EA"/>
    <w:rsid w:val="00D70BF7"/>
    <w:rsid w:val="00D70D35"/>
    <w:rsid w:val="00D714B6"/>
    <w:rsid w:val="00D716CC"/>
    <w:rsid w:val="00D719BA"/>
    <w:rsid w:val="00D71D5D"/>
    <w:rsid w:val="00D71F3F"/>
    <w:rsid w:val="00D7209B"/>
    <w:rsid w:val="00D720EB"/>
    <w:rsid w:val="00D72190"/>
    <w:rsid w:val="00D721FA"/>
    <w:rsid w:val="00D7237D"/>
    <w:rsid w:val="00D72509"/>
    <w:rsid w:val="00D72552"/>
    <w:rsid w:val="00D72CDD"/>
    <w:rsid w:val="00D72D78"/>
    <w:rsid w:val="00D72DAE"/>
    <w:rsid w:val="00D72F6E"/>
    <w:rsid w:val="00D73197"/>
    <w:rsid w:val="00D739EB"/>
    <w:rsid w:val="00D73CB9"/>
    <w:rsid w:val="00D7403A"/>
    <w:rsid w:val="00D741E2"/>
    <w:rsid w:val="00D741E3"/>
    <w:rsid w:val="00D74339"/>
    <w:rsid w:val="00D74835"/>
    <w:rsid w:val="00D7495C"/>
    <w:rsid w:val="00D74A3E"/>
    <w:rsid w:val="00D74B3C"/>
    <w:rsid w:val="00D74EF8"/>
    <w:rsid w:val="00D74FE6"/>
    <w:rsid w:val="00D75127"/>
    <w:rsid w:val="00D752A8"/>
    <w:rsid w:val="00D759BC"/>
    <w:rsid w:val="00D75C1A"/>
    <w:rsid w:val="00D762AA"/>
    <w:rsid w:val="00D76392"/>
    <w:rsid w:val="00D76A4A"/>
    <w:rsid w:val="00D76C27"/>
    <w:rsid w:val="00D76E0D"/>
    <w:rsid w:val="00D77145"/>
    <w:rsid w:val="00D77769"/>
    <w:rsid w:val="00D77FE3"/>
    <w:rsid w:val="00D800A1"/>
    <w:rsid w:val="00D803EE"/>
    <w:rsid w:val="00D80825"/>
    <w:rsid w:val="00D80EBA"/>
    <w:rsid w:val="00D813A3"/>
    <w:rsid w:val="00D81407"/>
    <w:rsid w:val="00D819C6"/>
    <w:rsid w:val="00D81BF6"/>
    <w:rsid w:val="00D81CEA"/>
    <w:rsid w:val="00D81E2B"/>
    <w:rsid w:val="00D81F5C"/>
    <w:rsid w:val="00D81FB7"/>
    <w:rsid w:val="00D822FE"/>
    <w:rsid w:val="00D8244F"/>
    <w:rsid w:val="00D824B1"/>
    <w:rsid w:val="00D82A3B"/>
    <w:rsid w:val="00D82C7D"/>
    <w:rsid w:val="00D82CFC"/>
    <w:rsid w:val="00D82EC4"/>
    <w:rsid w:val="00D8338D"/>
    <w:rsid w:val="00D83900"/>
    <w:rsid w:val="00D83A1D"/>
    <w:rsid w:val="00D83C3F"/>
    <w:rsid w:val="00D83EC3"/>
    <w:rsid w:val="00D84113"/>
    <w:rsid w:val="00D84AC8"/>
    <w:rsid w:val="00D84AC9"/>
    <w:rsid w:val="00D84AEE"/>
    <w:rsid w:val="00D84B93"/>
    <w:rsid w:val="00D84C99"/>
    <w:rsid w:val="00D84E1F"/>
    <w:rsid w:val="00D84FDC"/>
    <w:rsid w:val="00D8500F"/>
    <w:rsid w:val="00D851BB"/>
    <w:rsid w:val="00D85218"/>
    <w:rsid w:val="00D85305"/>
    <w:rsid w:val="00D854EA"/>
    <w:rsid w:val="00D85561"/>
    <w:rsid w:val="00D856F1"/>
    <w:rsid w:val="00D856F2"/>
    <w:rsid w:val="00D8586B"/>
    <w:rsid w:val="00D85DA8"/>
    <w:rsid w:val="00D86051"/>
    <w:rsid w:val="00D86236"/>
    <w:rsid w:val="00D8642B"/>
    <w:rsid w:val="00D86D4F"/>
    <w:rsid w:val="00D8715C"/>
    <w:rsid w:val="00D87169"/>
    <w:rsid w:val="00D87390"/>
    <w:rsid w:val="00D8757B"/>
    <w:rsid w:val="00D879F5"/>
    <w:rsid w:val="00D87C8B"/>
    <w:rsid w:val="00D87E35"/>
    <w:rsid w:val="00D90129"/>
    <w:rsid w:val="00D9029A"/>
    <w:rsid w:val="00D90D37"/>
    <w:rsid w:val="00D911FC"/>
    <w:rsid w:val="00D91225"/>
    <w:rsid w:val="00D9130C"/>
    <w:rsid w:val="00D91355"/>
    <w:rsid w:val="00D91550"/>
    <w:rsid w:val="00D91612"/>
    <w:rsid w:val="00D91801"/>
    <w:rsid w:val="00D91A58"/>
    <w:rsid w:val="00D91D18"/>
    <w:rsid w:val="00D92BFA"/>
    <w:rsid w:val="00D92BFC"/>
    <w:rsid w:val="00D92C5E"/>
    <w:rsid w:val="00D92E52"/>
    <w:rsid w:val="00D92E7D"/>
    <w:rsid w:val="00D93265"/>
    <w:rsid w:val="00D9333D"/>
    <w:rsid w:val="00D938A7"/>
    <w:rsid w:val="00D93D56"/>
    <w:rsid w:val="00D94254"/>
    <w:rsid w:val="00D942D2"/>
    <w:rsid w:val="00D9464F"/>
    <w:rsid w:val="00D946B5"/>
    <w:rsid w:val="00D947D6"/>
    <w:rsid w:val="00D94944"/>
    <w:rsid w:val="00D94B70"/>
    <w:rsid w:val="00D9547E"/>
    <w:rsid w:val="00D954AE"/>
    <w:rsid w:val="00D95557"/>
    <w:rsid w:val="00D95A5E"/>
    <w:rsid w:val="00D95BEA"/>
    <w:rsid w:val="00D9607D"/>
    <w:rsid w:val="00D9687D"/>
    <w:rsid w:val="00D968E5"/>
    <w:rsid w:val="00D96E7A"/>
    <w:rsid w:val="00D9718A"/>
    <w:rsid w:val="00D9724F"/>
    <w:rsid w:val="00D9727F"/>
    <w:rsid w:val="00D972AC"/>
    <w:rsid w:val="00D97805"/>
    <w:rsid w:val="00D9785F"/>
    <w:rsid w:val="00D978FF"/>
    <w:rsid w:val="00D97A2E"/>
    <w:rsid w:val="00D97BDB"/>
    <w:rsid w:val="00D97D04"/>
    <w:rsid w:val="00DA002B"/>
    <w:rsid w:val="00DA0274"/>
    <w:rsid w:val="00DA02A6"/>
    <w:rsid w:val="00DA0563"/>
    <w:rsid w:val="00DA057A"/>
    <w:rsid w:val="00DA0699"/>
    <w:rsid w:val="00DA06B6"/>
    <w:rsid w:val="00DA1186"/>
    <w:rsid w:val="00DA1900"/>
    <w:rsid w:val="00DA191F"/>
    <w:rsid w:val="00DA1BF0"/>
    <w:rsid w:val="00DA1DC7"/>
    <w:rsid w:val="00DA23B1"/>
    <w:rsid w:val="00DA2736"/>
    <w:rsid w:val="00DA2B08"/>
    <w:rsid w:val="00DA2E2F"/>
    <w:rsid w:val="00DA2EAD"/>
    <w:rsid w:val="00DA38AA"/>
    <w:rsid w:val="00DA392A"/>
    <w:rsid w:val="00DA420A"/>
    <w:rsid w:val="00DA46AB"/>
    <w:rsid w:val="00DA4A6D"/>
    <w:rsid w:val="00DA4B07"/>
    <w:rsid w:val="00DA5036"/>
    <w:rsid w:val="00DA50FC"/>
    <w:rsid w:val="00DA532E"/>
    <w:rsid w:val="00DA5510"/>
    <w:rsid w:val="00DA5949"/>
    <w:rsid w:val="00DA60D6"/>
    <w:rsid w:val="00DA62AF"/>
    <w:rsid w:val="00DA6A4E"/>
    <w:rsid w:val="00DA6D2B"/>
    <w:rsid w:val="00DA6DC6"/>
    <w:rsid w:val="00DA725E"/>
    <w:rsid w:val="00DA74AB"/>
    <w:rsid w:val="00DA793B"/>
    <w:rsid w:val="00DA7C21"/>
    <w:rsid w:val="00DB040C"/>
    <w:rsid w:val="00DB041C"/>
    <w:rsid w:val="00DB05CB"/>
    <w:rsid w:val="00DB066B"/>
    <w:rsid w:val="00DB066C"/>
    <w:rsid w:val="00DB0F63"/>
    <w:rsid w:val="00DB1474"/>
    <w:rsid w:val="00DB1A3A"/>
    <w:rsid w:val="00DB1DB3"/>
    <w:rsid w:val="00DB1FB5"/>
    <w:rsid w:val="00DB1FFF"/>
    <w:rsid w:val="00DB2116"/>
    <w:rsid w:val="00DB21E3"/>
    <w:rsid w:val="00DB2263"/>
    <w:rsid w:val="00DB27E9"/>
    <w:rsid w:val="00DB2B33"/>
    <w:rsid w:val="00DB2B6D"/>
    <w:rsid w:val="00DB2C20"/>
    <w:rsid w:val="00DB2E7F"/>
    <w:rsid w:val="00DB2F80"/>
    <w:rsid w:val="00DB3383"/>
    <w:rsid w:val="00DB3443"/>
    <w:rsid w:val="00DB34C7"/>
    <w:rsid w:val="00DB35C9"/>
    <w:rsid w:val="00DB3933"/>
    <w:rsid w:val="00DB3B71"/>
    <w:rsid w:val="00DB4358"/>
    <w:rsid w:val="00DB46FF"/>
    <w:rsid w:val="00DB4769"/>
    <w:rsid w:val="00DB47C6"/>
    <w:rsid w:val="00DB47D7"/>
    <w:rsid w:val="00DB4E89"/>
    <w:rsid w:val="00DB4EC1"/>
    <w:rsid w:val="00DB4FE0"/>
    <w:rsid w:val="00DB4FEE"/>
    <w:rsid w:val="00DB53B9"/>
    <w:rsid w:val="00DB5467"/>
    <w:rsid w:val="00DB593D"/>
    <w:rsid w:val="00DB5CAE"/>
    <w:rsid w:val="00DB60E5"/>
    <w:rsid w:val="00DB614E"/>
    <w:rsid w:val="00DB65A5"/>
    <w:rsid w:val="00DB6983"/>
    <w:rsid w:val="00DB698C"/>
    <w:rsid w:val="00DB6D1D"/>
    <w:rsid w:val="00DB73FE"/>
    <w:rsid w:val="00DB75FF"/>
    <w:rsid w:val="00DB797B"/>
    <w:rsid w:val="00DB7A1F"/>
    <w:rsid w:val="00DB7D0F"/>
    <w:rsid w:val="00DB7E0A"/>
    <w:rsid w:val="00DC0BDF"/>
    <w:rsid w:val="00DC0F96"/>
    <w:rsid w:val="00DC11A9"/>
    <w:rsid w:val="00DC168C"/>
    <w:rsid w:val="00DC221F"/>
    <w:rsid w:val="00DC22A7"/>
    <w:rsid w:val="00DC26FC"/>
    <w:rsid w:val="00DC2717"/>
    <w:rsid w:val="00DC28F8"/>
    <w:rsid w:val="00DC2C0C"/>
    <w:rsid w:val="00DC2EBA"/>
    <w:rsid w:val="00DC315F"/>
    <w:rsid w:val="00DC31BC"/>
    <w:rsid w:val="00DC326C"/>
    <w:rsid w:val="00DC32DF"/>
    <w:rsid w:val="00DC335E"/>
    <w:rsid w:val="00DC35F3"/>
    <w:rsid w:val="00DC395F"/>
    <w:rsid w:val="00DC3F43"/>
    <w:rsid w:val="00DC4175"/>
    <w:rsid w:val="00DC4220"/>
    <w:rsid w:val="00DC453B"/>
    <w:rsid w:val="00DC50B7"/>
    <w:rsid w:val="00DC5266"/>
    <w:rsid w:val="00DC5291"/>
    <w:rsid w:val="00DC5991"/>
    <w:rsid w:val="00DC5CC8"/>
    <w:rsid w:val="00DC5D04"/>
    <w:rsid w:val="00DC5D19"/>
    <w:rsid w:val="00DC5E3F"/>
    <w:rsid w:val="00DC5F4E"/>
    <w:rsid w:val="00DC62A3"/>
    <w:rsid w:val="00DC6B1C"/>
    <w:rsid w:val="00DC6E5E"/>
    <w:rsid w:val="00DC6F60"/>
    <w:rsid w:val="00DC6F87"/>
    <w:rsid w:val="00DC736C"/>
    <w:rsid w:val="00DC74C6"/>
    <w:rsid w:val="00DC76E2"/>
    <w:rsid w:val="00DC7867"/>
    <w:rsid w:val="00DC78C5"/>
    <w:rsid w:val="00DC78FB"/>
    <w:rsid w:val="00DC7D7E"/>
    <w:rsid w:val="00DD0131"/>
    <w:rsid w:val="00DD0242"/>
    <w:rsid w:val="00DD077C"/>
    <w:rsid w:val="00DD087F"/>
    <w:rsid w:val="00DD0AE7"/>
    <w:rsid w:val="00DD1236"/>
    <w:rsid w:val="00DD140B"/>
    <w:rsid w:val="00DD18E0"/>
    <w:rsid w:val="00DD18E6"/>
    <w:rsid w:val="00DD1A1D"/>
    <w:rsid w:val="00DD1C53"/>
    <w:rsid w:val="00DD1D66"/>
    <w:rsid w:val="00DD1DCF"/>
    <w:rsid w:val="00DD20C8"/>
    <w:rsid w:val="00DD22B3"/>
    <w:rsid w:val="00DD2455"/>
    <w:rsid w:val="00DD2812"/>
    <w:rsid w:val="00DD291E"/>
    <w:rsid w:val="00DD2B62"/>
    <w:rsid w:val="00DD2BFE"/>
    <w:rsid w:val="00DD2E5E"/>
    <w:rsid w:val="00DD332C"/>
    <w:rsid w:val="00DD3991"/>
    <w:rsid w:val="00DD3AFA"/>
    <w:rsid w:val="00DD3B9F"/>
    <w:rsid w:val="00DD3C46"/>
    <w:rsid w:val="00DD3D29"/>
    <w:rsid w:val="00DD3D58"/>
    <w:rsid w:val="00DD3DF0"/>
    <w:rsid w:val="00DD3E8D"/>
    <w:rsid w:val="00DD4157"/>
    <w:rsid w:val="00DD440D"/>
    <w:rsid w:val="00DD45FE"/>
    <w:rsid w:val="00DD472F"/>
    <w:rsid w:val="00DD4D9E"/>
    <w:rsid w:val="00DD4E06"/>
    <w:rsid w:val="00DD50E2"/>
    <w:rsid w:val="00DD55A8"/>
    <w:rsid w:val="00DD5721"/>
    <w:rsid w:val="00DD5EAF"/>
    <w:rsid w:val="00DD5F71"/>
    <w:rsid w:val="00DD5FE7"/>
    <w:rsid w:val="00DD61DB"/>
    <w:rsid w:val="00DD6260"/>
    <w:rsid w:val="00DD6629"/>
    <w:rsid w:val="00DD6844"/>
    <w:rsid w:val="00DD68AB"/>
    <w:rsid w:val="00DD6D37"/>
    <w:rsid w:val="00DD6FC6"/>
    <w:rsid w:val="00DD710E"/>
    <w:rsid w:val="00DD74BD"/>
    <w:rsid w:val="00DD76B1"/>
    <w:rsid w:val="00DE0131"/>
    <w:rsid w:val="00DE017A"/>
    <w:rsid w:val="00DE029F"/>
    <w:rsid w:val="00DE078A"/>
    <w:rsid w:val="00DE0ED3"/>
    <w:rsid w:val="00DE0FF9"/>
    <w:rsid w:val="00DE1344"/>
    <w:rsid w:val="00DE14E4"/>
    <w:rsid w:val="00DE1A46"/>
    <w:rsid w:val="00DE1CCF"/>
    <w:rsid w:val="00DE1FF3"/>
    <w:rsid w:val="00DE20B8"/>
    <w:rsid w:val="00DE223A"/>
    <w:rsid w:val="00DE2440"/>
    <w:rsid w:val="00DE2868"/>
    <w:rsid w:val="00DE2E78"/>
    <w:rsid w:val="00DE2F37"/>
    <w:rsid w:val="00DE3083"/>
    <w:rsid w:val="00DE316B"/>
    <w:rsid w:val="00DE3AC6"/>
    <w:rsid w:val="00DE3BDC"/>
    <w:rsid w:val="00DE3D96"/>
    <w:rsid w:val="00DE4A48"/>
    <w:rsid w:val="00DE4A7F"/>
    <w:rsid w:val="00DE4ABC"/>
    <w:rsid w:val="00DE4F1F"/>
    <w:rsid w:val="00DE52C0"/>
    <w:rsid w:val="00DE57A0"/>
    <w:rsid w:val="00DE57E8"/>
    <w:rsid w:val="00DE594A"/>
    <w:rsid w:val="00DE614B"/>
    <w:rsid w:val="00DE6457"/>
    <w:rsid w:val="00DE65A6"/>
    <w:rsid w:val="00DE6821"/>
    <w:rsid w:val="00DE6BD8"/>
    <w:rsid w:val="00DE6CBA"/>
    <w:rsid w:val="00DE6D0B"/>
    <w:rsid w:val="00DE6D81"/>
    <w:rsid w:val="00DE6DE6"/>
    <w:rsid w:val="00DE7242"/>
    <w:rsid w:val="00DE775B"/>
    <w:rsid w:val="00DE7B14"/>
    <w:rsid w:val="00DF00EF"/>
    <w:rsid w:val="00DF0192"/>
    <w:rsid w:val="00DF02AB"/>
    <w:rsid w:val="00DF0363"/>
    <w:rsid w:val="00DF036B"/>
    <w:rsid w:val="00DF0605"/>
    <w:rsid w:val="00DF06D2"/>
    <w:rsid w:val="00DF2809"/>
    <w:rsid w:val="00DF296D"/>
    <w:rsid w:val="00DF3A5A"/>
    <w:rsid w:val="00DF3BC9"/>
    <w:rsid w:val="00DF3F3C"/>
    <w:rsid w:val="00DF4145"/>
    <w:rsid w:val="00DF4A9A"/>
    <w:rsid w:val="00DF4B01"/>
    <w:rsid w:val="00DF4B53"/>
    <w:rsid w:val="00DF4B64"/>
    <w:rsid w:val="00DF5152"/>
    <w:rsid w:val="00DF527C"/>
    <w:rsid w:val="00DF54F6"/>
    <w:rsid w:val="00DF578B"/>
    <w:rsid w:val="00DF596A"/>
    <w:rsid w:val="00DF59BF"/>
    <w:rsid w:val="00DF5D87"/>
    <w:rsid w:val="00DF5DD6"/>
    <w:rsid w:val="00DF62E6"/>
    <w:rsid w:val="00DF686D"/>
    <w:rsid w:val="00DF68C1"/>
    <w:rsid w:val="00DF6A2C"/>
    <w:rsid w:val="00DF6D80"/>
    <w:rsid w:val="00DF6D9B"/>
    <w:rsid w:val="00DF7114"/>
    <w:rsid w:val="00DF71EE"/>
    <w:rsid w:val="00DF7330"/>
    <w:rsid w:val="00DF760E"/>
    <w:rsid w:val="00DF7E0C"/>
    <w:rsid w:val="00DF7F0A"/>
    <w:rsid w:val="00E00115"/>
    <w:rsid w:val="00E0044E"/>
    <w:rsid w:val="00E00844"/>
    <w:rsid w:val="00E00B77"/>
    <w:rsid w:val="00E01890"/>
    <w:rsid w:val="00E01D60"/>
    <w:rsid w:val="00E01F31"/>
    <w:rsid w:val="00E021AD"/>
    <w:rsid w:val="00E0227A"/>
    <w:rsid w:val="00E02615"/>
    <w:rsid w:val="00E02BE3"/>
    <w:rsid w:val="00E02D82"/>
    <w:rsid w:val="00E02EF8"/>
    <w:rsid w:val="00E03184"/>
    <w:rsid w:val="00E03664"/>
    <w:rsid w:val="00E03EEB"/>
    <w:rsid w:val="00E040F7"/>
    <w:rsid w:val="00E04141"/>
    <w:rsid w:val="00E045C9"/>
    <w:rsid w:val="00E046BC"/>
    <w:rsid w:val="00E04EB5"/>
    <w:rsid w:val="00E04EC9"/>
    <w:rsid w:val="00E05089"/>
    <w:rsid w:val="00E05106"/>
    <w:rsid w:val="00E0597B"/>
    <w:rsid w:val="00E05EE2"/>
    <w:rsid w:val="00E05EE3"/>
    <w:rsid w:val="00E0605F"/>
    <w:rsid w:val="00E06103"/>
    <w:rsid w:val="00E06257"/>
    <w:rsid w:val="00E06721"/>
    <w:rsid w:val="00E069BD"/>
    <w:rsid w:val="00E06ADB"/>
    <w:rsid w:val="00E06D17"/>
    <w:rsid w:val="00E06EBA"/>
    <w:rsid w:val="00E06F92"/>
    <w:rsid w:val="00E06FFD"/>
    <w:rsid w:val="00E070A0"/>
    <w:rsid w:val="00E07574"/>
    <w:rsid w:val="00E075A0"/>
    <w:rsid w:val="00E0769C"/>
    <w:rsid w:val="00E0780F"/>
    <w:rsid w:val="00E0788A"/>
    <w:rsid w:val="00E07D55"/>
    <w:rsid w:val="00E07DF4"/>
    <w:rsid w:val="00E1003C"/>
    <w:rsid w:val="00E1018B"/>
    <w:rsid w:val="00E106B1"/>
    <w:rsid w:val="00E1092F"/>
    <w:rsid w:val="00E109D0"/>
    <w:rsid w:val="00E10CE5"/>
    <w:rsid w:val="00E11105"/>
    <w:rsid w:val="00E112CB"/>
    <w:rsid w:val="00E1145D"/>
    <w:rsid w:val="00E11553"/>
    <w:rsid w:val="00E11A90"/>
    <w:rsid w:val="00E11E53"/>
    <w:rsid w:val="00E11F8B"/>
    <w:rsid w:val="00E122AB"/>
    <w:rsid w:val="00E131DD"/>
    <w:rsid w:val="00E13298"/>
    <w:rsid w:val="00E132FC"/>
    <w:rsid w:val="00E134FD"/>
    <w:rsid w:val="00E135EC"/>
    <w:rsid w:val="00E13695"/>
    <w:rsid w:val="00E13853"/>
    <w:rsid w:val="00E13973"/>
    <w:rsid w:val="00E1487E"/>
    <w:rsid w:val="00E14AC1"/>
    <w:rsid w:val="00E14B50"/>
    <w:rsid w:val="00E14D76"/>
    <w:rsid w:val="00E15057"/>
    <w:rsid w:val="00E15216"/>
    <w:rsid w:val="00E15358"/>
    <w:rsid w:val="00E155B6"/>
    <w:rsid w:val="00E15D30"/>
    <w:rsid w:val="00E16027"/>
    <w:rsid w:val="00E16242"/>
    <w:rsid w:val="00E16592"/>
    <w:rsid w:val="00E16676"/>
    <w:rsid w:val="00E16860"/>
    <w:rsid w:val="00E16BA1"/>
    <w:rsid w:val="00E16C34"/>
    <w:rsid w:val="00E16D89"/>
    <w:rsid w:val="00E16E54"/>
    <w:rsid w:val="00E1740B"/>
    <w:rsid w:val="00E175D7"/>
    <w:rsid w:val="00E17723"/>
    <w:rsid w:val="00E177B8"/>
    <w:rsid w:val="00E17942"/>
    <w:rsid w:val="00E17E1D"/>
    <w:rsid w:val="00E17F6A"/>
    <w:rsid w:val="00E20108"/>
    <w:rsid w:val="00E20646"/>
    <w:rsid w:val="00E20AAA"/>
    <w:rsid w:val="00E20C91"/>
    <w:rsid w:val="00E21326"/>
    <w:rsid w:val="00E213CA"/>
    <w:rsid w:val="00E2187D"/>
    <w:rsid w:val="00E21A25"/>
    <w:rsid w:val="00E21FCC"/>
    <w:rsid w:val="00E2231B"/>
    <w:rsid w:val="00E224B8"/>
    <w:rsid w:val="00E22F65"/>
    <w:rsid w:val="00E232A9"/>
    <w:rsid w:val="00E23B21"/>
    <w:rsid w:val="00E2439D"/>
    <w:rsid w:val="00E24692"/>
    <w:rsid w:val="00E2470B"/>
    <w:rsid w:val="00E24D5A"/>
    <w:rsid w:val="00E2510C"/>
    <w:rsid w:val="00E2514C"/>
    <w:rsid w:val="00E252A3"/>
    <w:rsid w:val="00E253B2"/>
    <w:rsid w:val="00E2558D"/>
    <w:rsid w:val="00E255A6"/>
    <w:rsid w:val="00E25614"/>
    <w:rsid w:val="00E25666"/>
    <w:rsid w:val="00E257A8"/>
    <w:rsid w:val="00E25850"/>
    <w:rsid w:val="00E25B1A"/>
    <w:rsid w:val="00E25D5C"/>
    <w:rsid w:val="00E26071"/>
    <w:rsid w:val="00E26337"/>
    <w:rsid w:val="00E263E5"/>
    <w:rsid w:val="00E266A7"/>
    <w:rsid w:val="00E2687D"/>
    <w:rsid w:val="00E271BB"/>
    <w:rsid w:val="00E2744C"/>
    <w:rsid w:val="00E274E1"/>
    <w:rsid w:val="00E275CB"/>
    <w:rsid w:val="00E27705"/>
    <w:rsid w:val="00E277D7"/>
    <w:rsid w:val="00E2797A"/>
    <w:rsid w:val="00E30091"/>
    <w:rsid w:val="00E300D8"/>
    <w:rsid w:val="00E30284"/>
    <w:rsid w:val="00E305AD"/>
    <w:rsid w:val="00E309DF"/>
    <w:rsid w:val="00E30A59"/>
    <w:rsid w:val="00E30CEF"/>
    <w:rsid w:val="00E30D21"/>
    <w:rsid w:val="00E3131B"/>
    <w:rsid w:val="00E3172D"/>
    <w:rsid w:val="00E31AE0"/>
    <w:rsid w:val="00E31FAE"/>
    <w:rsid w:val="00E326C2"/>
    <w:rsid w:val="00E326ED"/>
    <w:rsid w:val="00E32789"/>
    <w:rsid w:val="00E32869"/>
    <w:rsid w:val="00E33658"/>
    <w:rsid w:val="00E33705"/>
    <w:rsid w:val="00E33934"/>
    <w:rsid w:val="00E33AC7"/>
    <w:rsid w:val="00E33BC1"/>
    <w:rsid w:val="00E33D24"/>
    <w:rsid w:val="00E33DE0"/>
    <w:rsid w:val="00E344F9"/>
    <w:rsid w:val="00E34774"/>
    <w:rsid w:val="00E348CB"/>
    <w:rsid w:val="00E34953"/>
    <w:rsid w:val="00E34AD2"/>
    <w:rsid w:val="00E34CBE"/>
    <w:rsid w:val="00E34CCF"/>
    <w:rsid w:val="00E34F03"/>
    <w:rsid w:val="00E35149"/>
    <w:rsid w:val="00E35263"/>
    <w:rsid w:val="00E35277"/>
    <w:rsid w:val="00E352A4"/>
    <w:rsid w:val="00E352CA"/>
    <w:rsid w:val="00E35366"/>
    <w:rsid w:val="00E3572F"/>
    <w:rsid w:val="00E35895"/>
    <w:rsid w:val="00E35C01"/>
    <w:rsid w:val="00E35FE2"/>
    <w:rsid w:val="00E36864"/>
    <w:rsid w:val="00E36A00"/>
    <w:rsid w:val="00E36ED8"/>
    <w:rsid w:val="00E36FDA"/>
    <w:rsid w:val="00E371CD"/>
    <w:rsid w:val="00E3745B"/>
    <w:rsid w:val="00E37BFB"/>
    <w:rsid w:val="00E40046"/>
    <w:rsid w:val="00E40184"/>
    <w:rsid w:val="00E40458"/>
    <w:rsid w:val="00E40580"/>
    <w:rsid w:val="00E40678"/>
    <w:rsid w:val="00E40B5E"/>
    <w:rsid w:val="00E40E50"/>
    <w:rsid w:val="00E40F25"/>
    <w:rsid w:val="00E41675"/>
    <w:rsid w:val="00E41A5F"/>
    <w:rsid w:val="00E41F04"/>
    <w:rsid w:val="00E429BE"/>
    <w:rsid w:val="00E42B7A"/>
    <w:rsid w:val="00E42CA1"/>
    <w:rsid w:val="00E42E5A"/>
    <w:rsid w:val="00E42F20"/>
    <w:rsid w:val="00E42F6D"/>
    <w:rsid w:val="00E4324A"/>
    <w:rsid w:val="00E432F6"/>
    <w:rsid w:val="00E43D76"/>
    <w:rsid w:val="00E43E32"/>
    <w:rsid w:val="00E43EE6"/>
    <w:rsid w:val="00E445CA"/>
    <w:rsid w:val="00E4463D"/>
    <w:rsid w:val="00E447FB"/>
    <w:rsid w:val="00E448A1"/>
    <w:rsid w:val="00E44912"/>
    <w:rsid w:val="00E44F91"/>
    <w:rsid w:val="00E45442"/>
    <w:rsid w:val="00E45618"/>
    <w:rsid w:val="00E457B3"/>
    <w:rsid w:val="00E45A78"/>
    <w:rsid w:val="00E45C64"/>
    <w:rsid w:val="00E45F1B"/>
    <w:rsid w:val="00E45F45"/>
    <w:rsid w:val="00E4688E"/>
    <w:rsid w:val="00E46CD8"/>
    <w:rsid w:val="00E46D13"/>
    <w:rsid w:val="00E46DEC"/>
    <w:rsid w:val="00E46F2B"/>
    <w:rsid w:val="00E471BE"/>
    <w:rsid w:val="00E47473"/>
    <w:rsid w:val="00E476E5"/>
    <w:rsid w:val="00E4787E"/>
    <w:rsid w:val="00E47DD8"/>
    <w:rsid w:val="00E47F50"/>
    <w:rsid w:val="00E5028D"/>
    <w:rsid w:val="00E50478"/>
    <w:rsid w:val="00E506E5"/>
    <w:rsid w:val="00E50A16"/>
    <w:rsid w:val="00E50AA6"/>
    <w:rsid w:val="00E50D2F"/>
    <w:rsid w:val="00E50D63"/>
    <w:rsid w:val="00E50E07"/>
    <w:rsid w:val="00E510E7"/>
    <w:rsid w:val="00E5127A"/>
    <w:rsid w:val="00E51421"/>
    <w:rsid w:val="00E514C4"/>
    <w:rsid w:val="00E51D20"/>
    <w:rsid w:val="00E522B5"/>
    <w:rsid w:val="00E52614"/>
    <w:rsid w:val="00E5284E"/>
    <w:rsid w:val="00E528B1"/>
    <w:rsid w:val="00E52D85"/>
    <w:rsid w:val="00E52E96"/>
    <w:rsid w:val="00E52F1D"/>
    <w:rsid w:val="00E52F26"/>
    <w:rsid w:val="00E53142"/>
    <w:rsid w:val="00E5387B"/>
    <w:rsid w:val="00E5387F"/>
    <w:rsid w:val="00E53AF3"/>
    <w:rsid w:val="00E53DDD"/>
    <w:rsid w:val="00E53E7B"/>
    <w:rsid w:val="00E5432F"/>
    <w:rsid w:val="00E5442C"/>
    <w:rsid w:val="00E54500"/>
    <w:rsid w:val="00E545A5"/>
    <w:rsid w:val="00E5485D"/>
    <w:rsid w:val="00E54A01"/>
    <w:rsid w:val="00E5506C"/>
    <w:rsid w:val="00E550C8"/>
    <w:rsid w:val="00E55344"/>
    <w:rsid w:val="00E55644"/>
    <w:rsid w:val="00E55F2C"/>
    <w:rsid w:val="00E56284"/>
    <w:rsid w:val="00E5647F"/>
    <w:rsid w:val="00E56586"/>
    <w:rsid w:val="00E56667"/>
    <w:rsid w:val="00E566E0"/>
    <w:rsid w:val="00E56987"/>
    <w:rsid w:val="00E56B52"/>
    <w:rsid w:val="00E56C3A"/>
    <w:rsid w:val="00E572CF"/>
    <w:rsid w:val="00E572D3"/>
    <w:rsid w:val="00E5739A"/>
    <w:rsid w:val="00E578F4"/>
    <w:rsid w:val="00E57B33"/>
    <w:rsid w:val="00E57BE5"/>
    <w:rsid w:val="00E57F10"/>
    <w:rsid w:val="00E57F9C"/>
    <w:rsid w:val="00E600B6"/>
    <w:rsid w:val="00E602D8"/>
    <w:rsid w:val="00E60604"/>
    <w:rsid w:val="00E60ECB"/>
    <w:rsid w:val="00E616D3"/>
    <w:rsid w:val="00E61F31"/>
    <w:rsid w:val="00E6207D"/>
    <w:rsid w:val="00E624FC"/>
    <w:rsid w:val="00E62894"/>
    <w:rsid w:val="00E62BC0"/>
    <w:rsid w:val="00E62C6C"/>
    <w:rsid w:val="00E63F54"/>
    <w:rsid w:val="00E63FF9"/>
    <w:rsid w:val="00E64558"/>
    <w:rsid w:val="00E64C65"/>
    <w:rsid w:val="00E64E0B"/>
    <w:rsid w:val="00E64F22"/>
    <w:rsid w:val="00E65192"/>
    <w:rsid w:val="00E65279"/>
    <w:rsid w:val="00E654A5"/>
    <w:rsid w:val="00E656AA"/>
    <w:rsid w:val="00E65930"/>
    <w:rsid w:val="00E65E78"/>
    <w:rsid w:val="00E6601E"/>
    <w:rsid w:val="00E66085"/>
    <w:rsid w:val="00E66387"/>
    <w:rsid w:val="00E66961"/>
    <w:rsid w:val="00E6701C"/>
    <w:rsid w:val="00E6711A"/>
    <w:rsid w:val="00E67292"/>
    <w:rsid w:val="00E673EC"/>
    <w:rsid w:val="00E67933"/>
    <w:rsid w:val="00E67D95"/>
    <w:rsid w:val="00E67F06"/>
    <w:rsid w:val="00E709B1"/>
    <w:rsid w:val="00E70D38"/>
    <w:rsid w:val="00E70F63"/>
    <w:rsid w:val="00E71013"/>
    <w:rsid w:val="00E71158"/>
    <w:rsid w:val="00E71442"/>
    <w:rsid w:val="00E71661"/>
    <w:rsid w:val="00E717A4"/>
    <w:rsid w:val="00E71889"/>
    <w:rsid w:val="00E71E79"/>
    <w:rsid w:val="00E72044"/>
    <w:rsid w:val="00E72103"/>
    <w:rsid w:val="00E72491"/>
    <w:rsid w:val="00E726C9"/>
    <w:rsid w:val="00E72829"/>
    <w:rsid w:val="00E72B04"/>
    <w:rsid w:val="00E72BD7"/>
    <w:rsid w:val="00E72C48"/>
    <w:rsid w:val="00E72DA8"/>
    <w:rsid w:val="00E73505"/>
    <w:rsid w:val="00E73536"/>
    <w:rsid w:val="00E739FC"/>
    <w:rsid w:val="00E73CDE"/>
    <w:rsid w:val="00E741B5"/>
    <w:rsid w:val="00E741BF"/>
    <w:rsid w:val="00E746E5"/>
    <w:rsid w:val="00E74E81"/>
    <w:rsid w:val="00E74F80"/>
    <w:rsid w:val="00E7525C"/>
    <w:rsid w:val="00E75798"/>
    <w:rsid w:val="00E75F9A"/>
    <w:rsid w:val="00E76B62"/>
    <w:rsid w:val="00E76C9F"/>
    <w:rsid w:val="00E76D6B"/>
    <w:rsid w:val="00E76EB3"/>
    <w:rsid w:val="00E771A6"/>
    <w:rsid w:val="00E7738D"/>
    <w:rsid w:val="00E7796B"/>
    <w:rsid w:val="00E77A49"/>
    <w:rsid w:val="00E8003B"/>
    <w:rsid w:val="00E80432"/>
    <w:rsid w:val="00E808E5"/>
    <w:rsid w:val="00E81846"/>
    <w:rsid w:val="00E819BE"/>
    <w:rsid w:val="00E81D25"/>
    <w:rsid w:val="00E81F93"/>
    <w:rsid w:val="00E8245E"/>
    <w:rsid w:val="00E824A1"/>
    <w:rsid w:val="00E82B6B"/>
    <w:rsid w:val="00E82C9C"/>
    <w:rsid w:val="00E82DB6"/>
    <w:rsid w:val="00E84627"/>
    <w:rsid w:val="00E84876"/>
    <w:rsid w:val="00E84A59"/>
    <w:rsid w:val="00E84CAA"/>
    <w:rsid w:val="00E84E0D"/>
    <w:rsid w:val="00E8538F"/>
    <w:rsid w:val="00E8550F"/>
    <w:rsid w:val="00E85D46"/>
    <w:rsid w:val="00E86271"/>
    <w:rsid w:val="00E865CC"/>
    <w:rsid w:val="00E86BC4"/>
    <w:rsid w:val="00E87BBF"/>
    <w:rsid w:val="00E87D72"/>
    <w:rsid w:val="00E87EF5"/>
    <w:rsid w:val="00E90974"/>
    <w:rsid w:val="00E90C0C"/>
    <w:rsid w:val="00E90E61"/>
    <w:rsid w:val="00E90ECD"/>
    <w:rsid w:val="00E910F9"/>
    <w:rsid w:val="00E91842"/>
    <w:rsid w:val="00E919E3"/>
    <w:rsid w:val="00E91BD9"/>
    <w:rsid w:val="00E92045"/>
    <w:rsid w:val="00E921D4"/>
    <w:rsid w:val="00E92B61"/>
    <w:rsid w:val="00E92B91"/>
    <w:rsid w:val="00E92C46"/>
    <w:rsid w:val="00E92C47"/>
    <w:rsid w:val="00E92DC5"/>
    <w:rsid w:val="00E92E66"/>
    <w:rsid w:val="00E93C6C"/>
    <w:rsid w:val="00E93DA0"/>
    <w:rsid w:val="00E942A7"/>
    <w:rsid w:val="00E94313"/>
    <w:rsid w:val="00E943E2"/>
    <w:rsid w:val="00E94428"/>
    <w:rsid w:val="00E94871"/>
    <w:rsid w:val="00E94E8A"/>
    <w:rsid w:val="00E95606"/>
    <w:rsid w:val="00E95628"/>
    <w:rsid w:val="00E95834"/>
    <w:rsid w:val="00E95998"/>
    <w:rsid w:val="00E95F55"/>
    <w:rsid w:val="00E96063"/>
    <w:rsid w:val="00E96086"/>
    <w:rsid w:val="00E960C9"/>
    <w:rsid w:val="00E96166"/>
    <w:rsid w:val="00E96480"/>
    <w:rsid w:val="00E967C8"/>
    <w:rsid w:val="00E968BF"/>
    <w:rsid w:val="00E96E8D"/>
    <w:rsid w:val="00E9701B"/>
    <w:rsid w:val="00E97334"/>
    <w:rsid w:val="00E974B5"/>
    <w:rsid w:val="00E9781B"/>
    <w:rsid w:val="00E9785E"/>
    <w:rsid w:val="00E97D59"/>
    <w:rsid w:val="00EA03DA"/>
    <w:rsid w:val="00EA0B27"/>
    <w:rsid w:val="00EA0C21"/>
    <w:rsid w:val="00EA10C6"/>
    <w:rsid w:val="00EA17C7"/>
    <w:rsid w:val="00EA196C"/>
    <w:rsid w:val="00EA1BDA"/>
    <w:rsid w:val="00EA2CAE"/>
    <w:rsid w:val="00EA2F81"/>
    <w:rsid w:val="00EA30AF"/>
    <w:rsid w:val="00EA310A"/>
    <w:rsid w:val="00EA316B"/>
    <w:rsid w:val="00EA31D9"/>
    <w:rsid w:val="00EA39DC"/>
    <w:rsid w:val="00EA3BF5"/>
    <w:rsid w:val="00EA3D75"/>
    <w:rsid w:val="00EA3D90"/>
    <w:rsid w:val="00EA3FC0"/>
    <w:rsid w:val="00EA4458"/>
    <w:rsid w:val="00EA4470"/>
    <w:rsid w:val="00EA4583"/>
    <w:rsid w:val="00EA4932"/>
    <w:rsid w:val="00EA49E3"/>
    <w:rsid w:val="00EA4B6B"/>
    <w:rsid w:val="00EA5063"/>
    <w:rsid w:val="00EA51D1"/>
    <w:rsid w:val="00EA525B"/>
    <w:rsid w:val="00EA5B46"/>
    <w:rsid w:val="00EA5EF0"/>
    <w:rsid w:val="00EA6159"/>
    <w:rsid w:val="00EA632A"/>
    <w:rsid w:val="00EA681C"/>
    <w:rsid w:val="00EA6B3A"/>
    <w:rsid w:val="00EA71C5"/>
    <w:rsid w:val="00EA72D7"/>
    <w:rsid w:val="00EA734F"/>
    <w:rsid w:val="00EA74F7"/>
    <w:rsid w:val="00EB0277"/>
    <w:rsid w:val="00EB0298"/>
    <w:rsid w:val="00EB05C4"/>
    <w:rsid w:val="00EB05E5"/>
    <w:rsid w:val="00EB0657"/>
    <w:rsid w:val="00EB06DA"/>
    <w:rsid w:val="00EB07EF"/>
    <w:rsid w:val="00EB08E7"/>
    <w:rsid w:val="00EB09CF"/>
    <w:rsid w:val="00EB0BFA"/>
    <w:rsid w:val="00EB0D79"/>
    <w:rsid w:val="00EB0EE6"/>
    <w:rsid w:val="00EB13EA"/>
    <w:rsid w:val="00EB152C"/>
    <w:rsid w:val="00EB1684"/>
    <w:rsid w:val="00EB17CF"/>
    <w:rsid w:val="00EB1A05"/>
    <w:rsid w:val="00EB1A93"/>
    <w:rsid w:val="00EB1BBB"/>
    <w:rsid w:val="00EB1DDD"/>
    <w:rsid w:val="00EB2174"/>
    <w:rsid w:val="00EB228C"/>
    <w:rsid w:val="00EB2359"/>
    <w:rsid w:val="00EB25EC"/>
    <w:rsid w:val="00EB2906"/>
    <w:rsid w:val="00EB2993"/>
    <w:rsid w:val="00EB2F8C"/>
    <w:rsid w:val="00EB31D0"/>
    <w:rsid w:val="00EB326A"/>
    <w:rsid w:val="00EB3484"/>
    <w:rsid w:val="00EB3BB1"/>
    <w:rsid w:val="00EB40F1"/>
    <w:rsid w:val="00EB4385"/>
    <w:rsid w:val="00EB43C8"/>
    <w:rsid w:val="00EB45C7"/>
    <w:rsid w:val="00EB49DA"/>
    <w:rsid w:val="00EB4DEC"/>
    <w:rsid w:val="00EB553A"/>
    <w:rsid w:val="00EB556F"/>
    <w:rsid w:val="00EB56FA"/>
    <w:rsid w:val="00EB5701"/>
    <w:rsid w:val="00EB58DF"/>
    <w:rsid w:val="00EB5A95"/>
    <w:rsid w:val="00EB5B43"/>
    <w:rsid w:val="00EB6594"/>
    <w:rsid w:val="00EB6C5F"/>
    <w:rsid w:val="00EB7230"/>
    <w:rsid w:val="00EB7881"/>
    <w:rsid w:val="00EB7997"/>
    <w:rsid w:val="00EB7A6A"/>
    <w:rsid w:val="00EB7BE2"/>
    <w:rsid w:val="00EB7F20"/>
    <w:rsid w:val="00EC0327"/>
    <w:rsid w:val="00EC0390"/>
    <w:rsid w:val="00EC04C0"/>
    <w:rsid w:val="00EC064C"/>
    <w:rsid w:val="00EC0953"/>
    <w:rsid w:val="00EC0D8B"/>
    <w:rsid w:val="00EC1062"/>
    <w:rsid w:val="00EC1095"/>
    <w:rsid w:val="00EC1176"/>
    <w:rsid w:val="00EC1F72"/>
    <w:rsid w:val="00EC2067"/>
    <w:rsid w:val="00EC20F6"/>
    <w:rsid w:val="00EC21D5"/>
    <w:rsid w:val="00EC22B4"/>
    <w:rsid w:val="00EC2C47"/>
    <w:rsid w:val="00EC2E4F"/>
    <w:rsid w:val="00EC3643"/>
    <w:rsid w:val="00EC390A"/>
    <w:rsid w:val="00EC392F"/>
    <w:rsid w:val="00EC3A07"/>
    <w:rsid w:val="00EC3D32"/>
    <w:rsid w:val="00EC3E84"/>
    <w:rsid w:val="00EC4116"/>
    <w:rsid w:val="00EC43BB"/>
    <w:rsid w:val="00EC467E"/>
    <w:rsid w:val="00EC51CD"/>
    <w:rsid w:val="00EC5246"/>
    <w:rsid w:val="00EC52E3"/>
    <w:rsid w:val="00EC54E9"/>
    <w:rsid w:val="00EC5519"/>
    <w:rsid w:val="00EC570F"/>
    <w:rsid w:val="00EC591B"/>
    <w:rsid w:val="00EC5D3F"/>
    <w:rsid w:val="00EC6213"/>
    <w:rsid w:val="00EC643E"/>
    <w:rsid w:val="00EC6702"/>
    <w:rsid w:val="00EC69DE"/>
    <w:rsid w:val="00EC6D81"/>
    <w:rsid w:val="00EC743A"/>
    <w:rsid w:val="00EC7487"/>
    <w:rsid w:val="00EC776C"/>
    <w:rsid w:val="00EC79DF"/>
    <w:rsid w:val="00EC7ED4"/>
    <w:rsid w:val="00ED017B"/>
    <w:rsid w:val="00ED038D"/>
    <w:rsid w:val="00ED04C3"/>
    <w:rsid w:val="00ED07FB"/>
    <w:rsid w:val="00ED0A2D"/>
    <w:rsid w:val="00ED0B48"/>
    <w:rsid w:val="00ED0E77"/>
    <w:rsid w:val="00ED0ED9"/>
    <w:rsid w:val="00ED0F16"/>
    <w:rsid w:val="00ED0F28"/>
    <w:rsid w:val="00ED124D"/>
    <w:rsid w:val="00ED1EDB"/>
    <w:rsid w:val="00ED26D1"/>
    <w:rsid w:val="00ED2A50"/>
    <w:rsid w:val="00ED2D8F"/>
    <w:rsid w:val="00ED2F3A"/>
    <w:rsid w:val="00ED2F67"/>
    <w:rsid w:val="00ED31F9"/>
    <w:rsid w:val="00ED34CA"/>
    <w:rsid w:val="00ED3532"/>
    <w:rsid w:val="00ED3849"/>
    <w:rsid w:val="00ED38A6"/>
    <w:rsid w:val="00ED3927"/>
    <w:rsid w:val="00ED3D79"/>
    <w:rsid w:val="00ED404A"/>
    <w:rsid w:val="00ED4141"/>
    <w:rsid w:val="00ED46FA"/>
    <w:rsid w:val="00ED4878"/>
    <w:rsid w:val="00ED4AEB"/>
    <w:rsid w:val="00ED4F34"/>
    <w:rsid w:val="00ED50A1"/>
    <w:rsid w:val="00ED5567"/>
    <w:rsid w:val="00ED5598"/>
    <w:rsid w:val="00ED58FC"/>
    <w:rsid w:val="00ED5A5E"/>
    <w:rsid w:val="00ED5B1E"/>
    <w:rsid w:val="00ED5B88"/>
    <w:rsid w:val="00ED5CF5"/>
    <w:rsid w:val="00ED5D6D"/>
    <w:rsid w:val="00ED616C"/>
    <w:rsid w:val="00ED668B"/>
    <w:rsid w:val="00ED6786"/>
    <w:rsid w:val="00ED73DF"/>
    <w:rsid w:val="00ED752B"/>
    <w:rsid w:val="00ED7978"/>
    <w:rsid w:val="00ED7EAF"/>
    <w:rsid w:val="00ED7EF4"/>
    <w:rsid w:val="00EE062F"/>
    <w:rsid w:val="00EE0A40"/>
    <w:rsid w:val="00EE0D73"/>
    <w:rsid w:val="00EE0DAB"/>
    <w:rsid w:val="00EE0E3A"/>
    <w:rsid w:val="00EE0ED0"/>
    <w:rsid w:val="00EE16CA"/>
    <w:rsid w:val="00EE171F"/>
    <w:rsid w:val="00EE1828"/>
    <w:rsid w:val="00EE1992"/>
    <w:rsid w:val="00EE1A9C"/>
    <w:rsid w:val="00EE2260"/>
    <w:rsid w:val="00EE23EC"/>
    <w:rsid w:val="00EE24CD"/>
    <w:rsid w:val="00EE2502"/>
    <w:rsid w:val="00EE2588"/>
    <w:rsid w:val="00EE2817"/>
    <w:rsid w:val="00EE2DF4"/>
    <w:rsid w:val="00EE2E1F"/>
    <w:rsid w:val="00EE303E"/>
    <w:rsid w:val="00EE31A7"/>
    <w:rsid w:val="00EE31EA"/>
    <w:rsid w:val="00EE327C"/>
    <w:rsid w:val="00EE3338"/>
    <w:rsid w:val="00EE34D5"/>
    <w:rsid w:val="00EE3666"/>
    <w:rsid w:val="00EE382F"/>
    <w:rsid w:val="00EE3C5D"/>
    <w:rsid w:val="00EE3ED1"/>
    <w:rsid w:val="00EE4382"/>
    <w:rsid w:val="00EE472A"/>
    <w:rsid w:val="00EE4A54"/>
    <w:rsid w:val="00EE4B35"/>
    <w:rsid w:val="00EE4B98"/>
    <w:rsid w:val="00EE4E59"/>
    <w:rsid w:val="00EE500C"/>
    <w:rsid w:val="00EE547A"/>
    <w:rsid w:val="00EE5581"/>
    <w:rsid w:val="00EE5727"/>
    <w:rsid w:val="00EE57EE"/>
    <w:rsid w:val="00EE5919"/>
    <w:rsid w:val="00EE5A2D"/>
    <w:rsid w:val="00EE5A34"/>
    <w:rsid w:val="00EE5A63"/>
    <w:rsid w:val="00EE5BE8"/>
    <w:rsid w:val="00EE5D0C"/>
    <w:rsid w:val="00EE5DFE"/>
    <w:rsid w:val="00EE6013"/>
    <w:rsid w:val="00EE6190"/>
    <w:rsid w:val="00EE641C"/>
    <w:rsid w:val="00EE647F"/>
    <w:rsid w:val="00EE667E"/>
    <w:rsid w:val="00EE67FD"/>
    <w:rsid w:val="00EE6AC0"/>
    <w:rsid w:val="00EE7423"/>
    <w:rsid w:val="00EE787E"/>
    <w:rsid w:val="00EE795F"/>
    <w:rsid w:val="00EE7CCC"/>
    <w:rsid w:val="00EF02D7"/>
    <w:rsid w:val="00EF099B"/>
    <w:rsid w:val="00EF1228"/>
    <w:rsid w:val="00EF12D6"/>
    <w:rsid w:val="00EF134F"/>
    <w:rsid w:val="00EF1747"/>
    <w:rsid w:val="00EF17C0"/>
    <w:rsid w:val="00EF1F30"/>
    <w:rsid w:val="00EF2124"/>
    <w:rsid w:val="00EF293D"/>
    <w:rsid w:val="00EF2DB8"/>
    <w:rsid w:val="00EF2F38"/>
    <w:rsid w:val="00EF3272"/>
    <w:rsid w:val="00EF33EA"/>
    <w:rsid w:val="00EF3588"/>
    <w:rsid w:val="00EF3638"/>
    <w:rsid w:val="00EF3937"/>
    <w:rsid w:val="00EF402E"/>
    <w:rsid w:val="00EF4197"/>
    <w:rsid w:val="00EF424B"/>
    <w:rsid w:val="00EF4723"/>
    <w:rsid w:val="00EF485E"/>
    <w:rsid w:val="00EF4AD8"/>
    <w:rsid w:val="00EF4C69"/>
    <w:rsid w:val="00EF4C92"/>
    <w:rsid w:val="00EF506D"/>
    <w:rsid w:val="00EF5272"/>
    <w:rsid w:val="00EF589E"/>
    <w:rsid w:val="00EF59EF"/>
    <w:rsid w:val="00EF5B28"/>
    <w:rsid w:val="00EF5D11"/>
    <w:rsid w:val="00EF5DD4"/>
    <w:rsid w:val="00EF60D7"/>
    <w:rsid w:val="00EF60FF"/>
    <w:rsid w:val="00EF6BCE"/>
    <w:rsid w:val="00EF7237"/>
    <w:rsid w:val="00EF76FD"/>
    <w:rsid w:val="00EF7D7F"/>
    <w:rsid w:val="00F001AC"/>
    <w:rsid w:val="00F00288"/>
    <w:rsid w:val="00F005CE"/>
    <w:rsid w:val="00F008BA"/>
    <w:rsid w:val="00F00F5E"/>
    <w:rsid w:val="00F01568"/>
    <w:rsid w:val="00F018FB"/>
    <w:rsid w:val="00F01D38"/>
    <w:rsid w:val="00F01DE1"/>
    <w:rsid w:val="00F01E25"/>
    <w:rsid w:val="00F02966"/>
    <w:rsid w:val="00F02D16"/>
    <w:rsid w:val="00F02D18"/>
    <w:rsid w:val="00F03396"/>
    <w:rsid w:val="00F03761"/>
    <w:rsid w:val="00F038FD"/>
    <w:rsid w:val="00F04448"/>
    <w:rsid w:val="00F044AD"/>
    <w:rsid w:val="00F04672"/>
    <w:rsid w:val="00F04EE9"/>
    <w:rsid w:val="00F052A9"/>
    <w:rsid w:val="00F0557A"/>
    <w:rsid w:val="00F056BE"/>
    <w:rsid w:val="00F05724"/>
    <w:rsid w:val="00F059F1"/>
    <w:rsid w:val="00F05DB8"/>
    <w:rsid w:val="00F05F04"/>
    <w:rsid w:val="00F060C5"/>
    <w:rsid w:val="00F06183"/>
    <w:rsid w:val="00F063F1"/>
    <w:rsid w:val="00F0658D"/>
    <w:rsid w:val="00F066D9"/>
    <w:rsid w:val="00F068A4"/>
    <w:rsid w:val="00F068BD"/>
    <w:rsid w:val="00F06A71"/>
    <w:rsid w:val="00F06A8F"/>
    <w:rsid w:val="00F06D0F"/>
    <w:rsid w:val="00F070F0"/>
    <w:rsid w:val="00F07186"/>
    <w:rsid w:val="00F07663"/>
    <w:rsid w:val="00F076BD"/>
    <w:rsid w:val="00F0798A"/>
    <w:rsid w:val="00F07A34"/>
    <w:rsid w:val="00F07A95"/>
    <w:rsid w:val="00F07CBC"/>
    <w:rsid w:val="00F1033D"/>
    <w:rsid w:val="00F105BA"/>
    <w:rsid w:val="00F1096F"/>
    <w:rsid w:val="00F109F1"/>
    <w:rsid w:val="00F10E00"/>
    <w:rsid w:val="00F11055"/>
    <w:rsid w:val="00F11134"/>
    <w:rsid w:val="00F1136F"/>
    <w:rsid w:val="00F11572"/>
    <w:rsid w:val="00F1157B"/>
    <w:rsid w:val="00F115C6"/>
    <w:rsid w:val="00F118D4"/>
    <w:rsid w:val="00F11AE7"/>
    <w:rsid w:val="00F11B17"/>
    <w:rsid w:val="00F11B58"/>
    <w:rsid w:val="00F11BD6"/>
    <w:rsid w:val="00F11C8F"/>
    <w:rsid w:val="00F1243A"/>
    <w:rsid w:val="00F1250F"/>
    <w:rsid w:val="00F12854"/>
    <w:rsid w:val="00F129CD"/>
    <w:rsid w:val="00F129D2"/>
    <w:rsid w:val="00F12EEC"/>
    <w:rsid w:val="00F12F83"/>
    <w:rsid w:val="00F1324D"/>
    <w:rsid w:val="00F138BC"/>
    <w:rsid w:val="00F13A32"/>
    <w:rsid w:val="00F13B9C"/>
    <w:rsid w:val="00F13C30"/>
    <w:rsid w:val="00F13D70"/>
    <w:rsid w:val="00F1423A"/>
    <w:rsid w:val="00F146B2"/>
    <w:rsid w:val="00F14DA6"/>
    <w:rsid w:val="00F15062"/>
    <w:rsid w:val="00F15436"/>
    <w:rsid w:val="00F1586F"/>
    <w:rsid w:val="00F15979"/>
    <w:rsid w:val="00F159AC"/>
    <w:rsid w:val="00F15EED"/>
    <w:rsid w:val="00F16159"/>
    <w:rsid w:val="00F161CD"/>
    <w:rsid w:val="00F16257"/>
    <w:rsid w:val="00F168D0"/>
    <w:rsid w:val="00F16B89"/>
    <w:rsid w:val="00F16F7E"/>
    <w:rsid w:val="00F17040"/>
    <w:rsid w:val="00F1736E"/>
    <w:rsid w:val="00F17394"/>
    <w:rsid w:val="00F17888"/>
    <w:rsid w:val="00F17973"/>
    <w:rsid w:val="00F201EA"/>
    <w:rsid w:val="00F2050E"/>
    <w:rsid w:val="00F206EF"/>
    <w:rsid w:val="00F20D05"/>
    <w:rsid w:val="00F21281"/>
    <w:rsid w:val="00F21565"/>
    <w:rsid w:val="00F215D1"/>
    <w:rsid w:val="00F2182A"/>
    <w:rsid w:val="00F2189F"/>
    <w:rsid w:val="00F218B3"/>
    <w:rsid w:val="00F21C7E"/>
    <w:rsid w:val="00F21D18"/>
    <w:rsid w:val="00F22246"/>
    <w:rsid w:val="00F225E9"/>
    <w:rsid w:val="00F22845"/>
    <w:rsid w:val="00F22869"/>
    <w:rsid w:val="00F22C92"/>
    <w:rsid w:val="00F230CD"/>
    <w:rsid w:val="00F236DC"/>
    <w:rsid w:val="00F23758"/>
    <w:rsid w:val="00F23FAA"/>
    <w:rsid w:val="00F2403B"/>
    <w:rsid w:val="00F247BC"/>
    <w:rsid w:val="00F24B3C"/>
    <w:rsid w:val="00F25683"/>
    <w:rsid w:val="00F259F4"/>
    <w:rsid w:val="00F25D6F"/>
    <w:rsid w:val="00F2628D"/>
    <w:rsid w:val="00F265BC"/>
    <w:rsid w:val="00F265C8"/>
    <w:rsid w:val="00F26782"/>
    <w:rsid w:val="00F26962"/>
    <w:rsid w:val="00F269FC"/>
    <w:rsid w:val="00F26B32"/>
    <w:rsid w:val="00F26DE6"/>
    <w:rsid w:val="00F27094"/>
    <w:rsid w:val="00F271CD"/>
    <w:rsid w:val="00F2726D"/>
    <w:rsid w:val="00F2732B"/>
    <w:rsid w:val="00F27560"/>
    <w:rsid w:val="00F27599"/>
    <w:rsid w:val="00F27759"/>
    <w:rsid w:val="00F27863"/>
    <w:rsid w:val="00F27AEF"/>
    <w:rsid w:val="00F27FD3"/>
    <w:rsid w:val="00F30077"/>
    <w:rsid w:val="00F3015B"/>
    <w:rsid w:val="00F3055C"/>
    <w:rsid w:val="00F305E9"/>
    <w:rsid w:val="00F30A05"/>
    <w:rsid w:val="00F30FFF"/>
    <w:rsid w:val="00F31173"/>
    <w:rsid w:val="00F31219"/>
    <w:rsid w:val="00F3178B"/>
    <w:rsid w:val="00F31D6C"/>
    <w:rsid w:val="00F31E6A"/>
    <w:rsid w:val="00F32644"/>
    <w:rsid w:val="00F32672"/>
    <w:rsid w:val="00F326C8"/>
    <w:rsid w:val="00F32F9B"/>
    <w:rsid w:val="00F330FB"/>
    <w:rsid w:val="00F3328B"/>
    <w:rsid w:val="00F3333A"/>
    <w:rsid w:val="00F33A02"/>
    <w:rsid w:val="00F33E46"/>
    <w:rsid w:val="00F34030"/>
    <w:rsid w:val="00F34240"/>
    <w:rsid w:val="00F34F91"/>
    <w:rsid w:val="00F353E3"/>
    <w:rsid w:val="00F354D6"/>
    <w:rsid w:val="00F35529"/>
    <w:rsid w:val="00F358A5"/>
    <w:rsid w:val="00F36671"/>
    <w:rsid w:val="00F36B1D"/>
    <w:rsid w:val="00F36C97"/>
    <w:rsid w:val="00F37525"/>
    <w:rsid w:val="00F37557"/>
    <w:rsid w:val="00F375C2"/>
    <w:rsid w:val="00F376FD"/>
    <w:rsid w:val="00F3772F"/>
    <w:rsid w:val="00F37CE7"/>
    <w:rsid w:val="00F40200"/>
    <w:rsid w:val="00F40242"/>
    <w:rsid w:val="00F402DE"/>
    <w:rsid w:val="00F406C8"/>
    <w:rsid w:val="00F40A49"/>
    <w:rsid w:val="00F41079"/>
    <w:rsid w:val="00F4119B"/>
    <w:rsid w:val="00F413AC"/>
    <w:rsid w:val="00F413B2"/>
    <w:rsid w:val="00F417A7"/>
    <w:rsid w:val="00F41A2A"/>
    <w:rsid w:val="00F42034"/>
    <w:rsid w:val="00F426C5"/>
    <w:rsid w:val="00F426EE"/>
    <w:rsid w:val="00F4272C"/>
    <w:rsid w:val="00F42B12"/>
    <w:rsid w:val="00F430CA"/>
    <w:rsid w:val="00F4326C"/>
    <w:rsid w:val="00F43769"/>
    <w:rsid w:val="00F43BB6"/>
    <w:rsid w:val="00F43C27"/>
    <w:rsid w:val="00F43DDE"/>
    <w:rsid w:val="00F4422E"/>
    <w:rsid w:val="00F445F0"/>
    <w:rsid w:val="00F448AE"/>
    <w:rsid w:val="00F44A53"/>
    <w:rsid w:val="00F44B0B"/>
    <w:rsid w:val="00F44B16"/>
    <w:rsid w:val="00F44BF0"/>
    <w:rsid w:val="00F45117"/>
    <w:rsid w:val="00F451F1"/>
    <w:rsid w:val="00F45203"/>
    <w:rsid w:val="00F453E6"/>
    <w:rsid w:val="00F454AD"/>
    <w:rsid w:val="00F45C92"/>
    <w:rsid w:val="00F46096"/>
    <w:rsid w:val="00F46369"/>
    <w:rsid w:val="00F463D3"/>
    <w:rsid w:val="00F466B6"/>
    <w:rsid w:val="00F466FB"/>
    <w:rsid w:val="00F46B72"/>
    <w:rsid w:val="00F4737D"/>
    <w:rsid w:val="00F4769E"/>
    <w:rsid w:val="00F479E5"/>
    <w:rsid w:val="00F47AE2"/>
    <w:rsid w:val="00F47AF8"/>
    <w:rsid w:val="00F47FA7"/>
    <w:rsid w:val="00F50157"/>
    <w:rsid w:val="00F502D6"/>
    <w:rsid w:val="00F5033E"/>
    <w:rsid w:val="00F506D2"/>
    <w:rsid w:val="00F50D15"/>
    <w:rsid w:val="00F50E6A"/>
    <w:rsid w:val="00F513C6"/>
    <w:rsid w:val="00F51786"/>
    <w:rsid w:val="00F51BA8"/>
    <w:rsid w:val="00F52070"/>
    <w:rsid w:val="00F52185"/>
    <w:rsid w:val="00F52280"/>
    <w:rsid w:val="00F525A2"/>
    <w:rsid w:val="00F525D4"/>
    <w:rsid w:val="00F52603"/>
    <w:rsid w:val="00F527CE"/>
    <w:rsid w:val="00F52D8D"/>
    <w:rsid w:val="00F52F47"/>
    <w:rsid w:val="00F531CB"/>
    <w:rsid w:val="00F531D0"/>
    <w:rsid w:val="00F535D3"/>
    <w:rsid w:val="00F536F3"/>
    <w:rsid w:val="00F53876"/>
    <w:rsid w:val="00F53B8E"/>
    <w:rsid w:val="00F54040"/>
    <w:rsid w:val="00F54051"/>
    <w:rsid w:val="00F54586"/>
    <w:rsid w:val="00F5459D"/>
    <w:rsid w:val="00F54ABA"/>
    <w:rsid w:val="00F54B39"/>
    <w:rsid w:val="00F54C2C"/>
    <w:rsid w:val="00F54EB0"/>
    <w:rsid w:val="00F5504B"/>
    <w:rsid w:val="00F55420"/>
    <w:rsid w:val="00F5543B"/>
    <w:rsid w:val="00F55593"/>
    <w:rsid w:val="00F5573F"/>
    <w:rsid w:val="00F55A92"/>
    <w:rsid w:val="00F55B74"/>
    <w:rsid w:val="00F55E9B"/>
    <w:rsid w:val="00F55EE6"/>
    <w:rsid w:val="00F55F50"/>
    <w:rsid w:val="00F55F88"/>
    <w:rsid w:val="00F55FD7"/>
    <w:rsid w:val="00F563F7"/>
    <w:rsid w:val="00F56443"/>
    <w:rsid w:val="00F565C0"/>
    <w:rsid w:val="00F567BA"/>
    <w:rsid w:val="00F568D5"/>
    <w:rsid w:val="00F56AE8"/>
    <w:rsid w:val="00F56D57"/>
    <w:rsid w:val="00F56D7E"/>
    <w:rsid w:val="00F5716A"/>
    <w:rsid w:val="00F57178"/>
    <w:rsid w:val="00F571AB"/>
    <w:rsid w:val="00F57513"/>
    <w:rsid w:val="00F575E0"/>
    <w:rsid w:val="00F576F2"/>
    <w:rsid w:val="00F57776"/>
    <w:rsid w:val="00F57AD7"/>
    <w:rsid w:val="00F57B1D"/>
    <w:rsid w:val="00F6095F"/>
    <w:rsid w:val="00F60984"/>
    <w:rsid w:val="00F60B20"/>
    <w:rsid w:val="00F60B28"/>
    <w:rsid w:val="00F60CBF"/>
    <w:rsid w:val="00F60DD3"/>
    <w:rsid w:val="00F60EA1"/>
    <w:rsid w:val="00F6104A"/>
    <w:rsid w:val="00F610C0"/>
    <w:rsid w:val="00F6112D"/>
    <w:rsid w:val="00F619BD"/>
    <w:rsid w:val="00F61C54"/>
    <w:rsid w:val="00F61E2D"/>
    <w:rsid w:val="00F627FD"/>
    <w:rsid w:val="00F62BA0"/>
    <w:rsid w:val="00F631C3"/>
    <w:rsid w:val="00F6321A"/>
    <w:rsid w:val="00F6324C"/>
    <w:rsid w:val="00F636D0"/>
    <w:rsid w:val="00F63723"/>
    <w:rsid w:val="00F639E5"/>
    <w:rsid w:val="00F63CCF"/>
    <w:rsid w:val="00F63DFE"/>
    <w:rsid w:val="00F64461"/>
    <w:rsid w:val="00F64760"/>
    <w:rsid w:val="00F64AB6"/>
    <w:rsid w:val="00F64D6E"/>
    <w:rsid w:val="00F64F31"/>
    <w:rsid w:val="00F64FB6"/>
    <w:rsid w:val="00F65091"/>
    <w:rsid w:val="00F6517A"/>
    <w:rsid w:val="00F65216"/>
    <w:rsid w:val="00F65412"/>
    <w:rsid w:val="00F6552A"/>
    <w:rsid w:val="00F65589"/>
    <w:rsid w:val="00F655B9"/>
    <w:rsid w:val="00F65651"/>
    <w:rsid w:val="00F65888"/>
    <w:rsid w:val="00F659FA"/>
    <w:rsid w:val="00F65C30"/>
    <w:rsid w:val="00F65D56"/>
    <w:rsid w:val="00F65D99"/>
    <w:rsid w:val="00F668ED"/>
    <w:rsid w:val="00F67293"/>
    <w:rsid w:val="00F67498"/>
    <w:rsid w:val="00F676C1"/>
    <w:rsid w:val="00F67710"/>
    <w:rsid w:val="00F67A44"/>
    <w:rsid w:val="00F67C36"/>
    <w:rsid w:val="00F67FEF"/>
    <w:rsid w:val="00F7022E"/>
    <w:rsid w:val="00F702B3"/>
    <w:rsid w:val="00F70464"/>
    <w:rsid w:val="00F70593"/>
    <w:rsid w:val="00F70737"/>
    <w:rsid w:val="00F707F4"/>
    <w:rsid w:val="00F709C3"/>
    <w:rsid w:val="00F70BC0"/>
    <w:rsid w:val="00F70C72"/>
    <w:rsid w:val="00F70C7F"/>
    <w:rsid w:val="00F7129C"/>
    <w:rsid w:val="00F714D7"/>
    <w:rsid w:val="00F719E0"/>
    <w:rsid w:val="00F71E74"/>
    <w:rsid w:val="00F7282A"/>
    <w:rsid w:val="00F72985"/>
    <w:rsid w:val="00F73135"/>
    <w:rsid w:val="00F73192"/>
    <w:rsid w:val="00F7367E"/>
    <w:rsid w:val="00F736EE"/>
    <w:rsid w:val="00F73906"/>
    <w:rsid w:val="00F73927"/>
    <w:rsid w:val="00F73C41"/>
    <w:rsid w:val="00F73D50"/>
    <w:rsid w:val="00F74065"/>
    <w:rsid w:val="00F7407D"/>
    <w:rsid w:val="00F7430F"/>
    <w:rsid w:val="00F7469E"/>
    <w:rsid w:val="00F7492E"/>
    <w:rsid w:val="00F74AAB"/>
    <w:rsid w:val="00F74D82"/>
    <w:rsid w:val="00F750CD"/>
    <w:rsid w:val="00F75B45"/>
    <w:rsid w:val="00F75DA4"/>
    <w:rsid w:val="00F7693C"/>
    <w:rsid w:val="00F76D2B"/>
    <w:rsid w:val="00F76EB3"/>
    <w:rsid w:val="00F77056"/>
    <w:rsid w:val="00F770C1"/>
    <w:rsid w:val="00F772C4"/>
    <w:rsid w:val="00F77369"/>
    <w:rsid w:val="00F800A6"/>
    <w:rsid w:val="00F8064B"/>
    <w:rsid w:val="00F807EF"/>
    <w:rsid w:val="00F80DA1"/>
    <w:rsid w:val="00F80E36"/>
    <w:rsid w:val="00F81023"/>
    <w:rsid w:val="00F8110A"/>
    <w:rsid w:val="00F81903"/>
    <w:rsid w:val="00F81C1D"/>
    <w:rsid w:val="00F81C73"/>
    <w:rsid w:val="00F81E20"/>
    <w:rsid w:val="00F81EC1"/>
    <w:rsid w:val="00F81EF8"/>
    <w:rsid w:val="00F82326"/>
    <w:rsid w:val="00F82EB9"/>
    <w:rsid w:val="00F8326A"/>
    <w:rsid w:val="00F8338A"/>
    <w:rsid w:val="00F83817"/>
    <w:rsid w:val="00F83AE5"/>
    <w:rsid w:val="00F842AB"/>
    <w:rsid w:val="00F846EC"/>
    <w:rsid w:val="00F8490E"/>
    <w:rsid w:val="00F84D04"/>
    <w:rsid w:val="00F855D7"/>
    <w:rsid w:val="00F85747"/>
    <w:rsid w:val="00F858F9"/>
    <w:rsid w:val="00F85A3C"/>
    <w:rsid w:val="00F85AD4"/>
    <w:rsid w:val="00F85B96"/>
    <w:rsid w:val="00F85B9A"/>
    <w:rsid w:val="00F85DA2"/>
    <w:rsid w:val="00F85EA6"/>
    <w:rsid w:val="00F86261"/>
    <w:rsid w:val="00F862D0"/>
    <w:rsid w:val="00F863F5"/>
    <w:rsid w:val="00F86A46"/>
    <w:rsid w:val="00F86EB1"/>
    <w:rsid w:val="00F87093"/>
    <w:rsid w:val="00F87A1F"/>
    <w:rsid w:val="00F87D23"/>
    <w:rsid w:val="00F90D41"/>
    <w:rsid w:val="00F90D5C"/>
    <w:rsid w:val="00F91323"/>
    <w:rsid w:val="00F915BF"/>
    <w:rsid w:val="00F91611"/>
    <w:rsid w:val="00F916AC"/>
    <w:rsid w:val="00F91796"/>
    <w:rsid w:val="00F91A43"/>
    <w:rsid w:val="00F91BC9"/>
    <w:rsid w:val="00F9200F"/>
    <w:rsid w:val="00F92123"/>
    <w:rsid w:val="00F921E5"/>
    <w:rsid w:val="00F927EA"/>
    <w:rsid w:val="00F932AE"/>
    <w:rsid w:val="00F93AE7"/>
    <w:rsid w:val="00F94718"/>
    <w:rsid w:val="00F948E0"/>
    <w:rsid w:val="00F94B8A"/>
    <w:rsid w:val="00F94C6B"/>
    <w:rsid w:val="00F95061"/>
    <w:rsid w:val="00F958CC"/>
    <w:rsid w:val="00F95902"/>
    <w:rsid w:val="00F95C21"/>
    <w:rsid w:val="00F95CF8"/>
    <w:rsid w:val="00F95D01"/>
    <w:rsid w:val="00F95D42"/>
    <w:rsid w:val="00F95D76"/>
    <w:rsid w:val="00F95E81"/>
    <w:rsid w:val="00F95F3D"/>
    <w:rsid w:val="00F96245"/>
    <w:rsid w:val="00F9626E"/>
    <w:rsid w:val="00F96415"/>
    <w:rsid w:val="00F964AC"/>
    <w:rsid w:val="00F964C0"/>
    <w:rsid w:val="00F964C5"/>
    <w:rsid w:val="00F9655C"/>
    <w:rsid w:val="00F96858"/>
    <w:rsid w:val="00F96AE5"/>
    <w:rsid w:val="00F96FB7"/>
    <w:rsid w:val="00F973B1"/>
    <w:rsid w:val="00F97913"/>
    <w:rsid w:val="00FA0213"/>
    <w:rsid w:val="00FA0336"/>
    <w:rsid w:val="00FA0DB8"/>
    <w:rsid w:val="00FA11ED"/>
    <w:rsid w:val="00FA163D"/>
    <w:rsid w:val="00FA1718"/>
    <w:rsid w:val="00FA1EC9"/>
    <w:rsid w:val="00FA235A"/>
    <w:rsid w:val="00FA23AD"/>
    <w:rsid w:val="00FA23DB"/>
    <w:rsid w:val="00FA26E2"/>
    <w:rsid w:val="00FA2721"/>
    <w:rsid w:val="00FA2C1C"/>
    <w:rsid w:val="00FA2D55"/>
    <w:rsid w:val="00FA2D93"/>
    <w:rsid w:val="00FA311A"/>
    <w:rsid w:val="00FA367A"/>
    <w:rsid w:val="00FA3702"/>
    <w:rsid w:val="00FA395A"/>
    <w:rsid w:val="00FA3DBC"/>
    <w:rsid w:val="00FA3DCB"/>
    <w:rsid w:val="00FA3E63"/>
    <w:rsid w:val="00FA4496"/>
    <w:rsid w:val="00FA4605"/>
    <w:rsid w:val="00FA4769"/>
    <w:rsid w:val="00FA48B6"/>
    <w:rsid w:val="00FA49A7"/>
    <w:rsid w:val="00FA4C51"/>
    <w:rsid w:val="00FA4F31"/>
    <w:rsid w:val="00FA5B6F"/>
    <w:rsid w:val="00FA5C6C"/>
    <w:rsid w:val="00FA5DA1"/>
    <w:rsid w:val="00FA6183"/>
    <w:rsid w:val="00FA695E"/>
    <w:rsid w:val="00FA6C92"/>
    <w:rsid w:val="00FA6D03"/>
    <w:rsid w:val="00FA6EAD"/>
    <w:rsid w:val="00FA700C"/>
    <w:rsid w:val="00FA75A1"/>
    <w:rsid w:val="00FA7676"/>
    <w:rsid w:val="00FA78C9"/>
    <w:rsid w:val="00FA7990"/>
    <w:rsid w:val="00FA79C2"/>
    <w:rsid w:val="00FA7FA1"/>
    <w:rsid w:val="00FB014F"/>
    <w:rsid w:val="00FB06DD"/>
    <w:rsid w:val="00FB0CE9"/>
    <w:rsid w:val="00FB14D6"/>
    <w:rsid w:val="00FB1F35"/>
    <w:rsid w:val="00FB207A"/>
    <w:rsid w:val="00FB23A3"/>
    <w:rsid w:val="00FB25CD"/>
    <w:rsid w:val="00FB29F9"/>
    <w:rsid w:val="00FB2AF9"/>
    <w:rsid w:val="00FB2F19"/>
    <w:rsid w:val="00FB350B"/>
    <w:rsid w:val="00FB38B1"/>
    <w:rsid w:val="00FB4216"/>
    <w:rsid w:val="00FB46D0"/>
    <w:rsid w:val="00FB49A6"/>
    <w:rsid w:val="00FB4BF3"/>
    <w:rsid w:val="00FB4F91"/>
    <w:rsid w:val="00FB5110"/>
    <w:rsid w:val="00FB511B"/>
    <w:rsid w:val="00FB5230"/>
    <w:rsid w:val="00FB57F2"/>
    <w:rsid w:val="00FB591F"/>
    <w:rsid w:val="00FB5E6E"/>
    <w:rsid w:val="00FB6333"/>
    <w:rsid w:val="00FB689D"/>
    <w:rsid w:val="00FB6AEC"/>
    <w:rsid w:val="00FB6F3C"/>
    <w:rsid w:val="00FB6F6A"/>
    <w:rsid w:val="00FB6FE4"/>
    <w:rsid w:val="00FB761F"/>
    <w:rsid w:val="00FB77B0"/>
    <w:rsid w:val="00FB784B"/>
    <w:rsid w:val="00FB78FC"/>
    <w:rsid w:val="00FB797E"/>
    <w:rsid w:val="00FB7B40"/>
    <w:rsid w:val="00FB7B95"/>
    <w:rsid w:val="00FC00AB"/>
    <w:rsid w:val="00FC02FD"/>
    <w:rsid w:val="00FC0491"/>
    <w:rsid w:val="00FC06CA"/>
    <w:rsid w:val="00FC1047"/>
    <w:rsid w:val="00FC1302"/>
    <w:rsid w:val="00FC133F"/>
    <w:rsid w:val="00FC1433"/>
    <w:rsid w:val="00FC1591"/>
    <w:rsid w:val="00FC1592"/>
    <w:rsid w:val="00FC1738"/>
    <w:rsid w:val="00FC1790"/>
    <w:rsid w:val="00FC1868"/>
    <w:rsid w:val="00FC1FFE"/>
    <w:rsid w:val="00FC2416"/>
    <w:rsid w:val="00FC2582"/>
    <w:rsid w:val="00FC2A66"/>
    <w:rsid w:val="00FC3031"/>
    <w:rsid w:val="00FC3187"/>
    <w:rsid w:val="00FC3327"/>
    <w:rsid w:val="00FC35FE"/>
    <w:rsid w:val="00FC3A6F"/>
    <w:rsid w:val="00FC3A78"/>
    <w:rsid w:val="00FC42F2"/>
    <w:rsid w:val="00FC4567"/>
    <w:rsid w:val="00FC4885"/>
    <w:rsid w:val="00FC499C"/>
    <w:rsid w:val="00FC4B49"/>
    <w:rsid w:val="00FC4F3A"/>
    <w:rsid w:val="00FC5724"/>
    <w:rsid w:val="00FC5BAF"/>
    <w:rsid w:val="00FC5C44"/>
    <w:rsid w:val="00FC5F95"/>
    <w:rsid w:val="00FC61B9"/>
    <w:rsid w:val="00FC6490"/>
    <w:rsid w:val="00FC66E9"/>
    <w:rsid w:val="00FC681A"/>
    <w:rsid w:val="00FC6912"/>
    <w:rsid w:val="00FC6A7C"/>
    <w:rsid w:val="00FC6F97"/>
    <w:rsid w:val="00FC7217"/>
    <w:rsid w:val="00FC7317"/>
    <w:rsid w:val="00FC763A"/>
    <w:rsid w:val="00FC7AAF"/>
    <w:rsid w:val="00FC7C5F"/>
    <w:rsid w:val="00FD00B7"/>
    <w:rsid w:val="00FD0255"/>
    <w:rsid w:val="00FD0484"/>
    <w:rsid w:val="00FD072D"/>
    <w:rsid w:val="00FD0B95"/>
    <w:rsid w:val="00FD1003"/>
    <w:rsid w:val="00FD17F5"/>
    <w:rsid w:val="00FD1841"/>
    <w:rsid w:val="00FD18B5"/>
    <w:rsid w:val="00FD1B1C"/>
    <w:rsid w:val="00FD1C89"/>
    <w:rsid w:val="00FD1F42"/>
    <w:rsid w:val="00FD23B8"/>
    <w:rsid w:val="00FD279A"/>
    <w:rsid w:val="00FD28D0"/>
    <w:rsid w:val="00FD2A91"/>
    <w:rsid w:val="00FD3240"/>
    <w:rsid w:val="00FD3549"/>
    <w:rsid w:val="00FD3613"/>
    <w:rsid w:val="00FD3C1D"/>
    <w:rsid w:val="00FD3D29"/>
    <w:rsid w:val="00FD3E40"/>
    <w:rsid w:val="00FD446F"/>
    <w:rsid w:val="00FD47A8"/>
    <w:rsid w:val="00FD4ADB"/>
    <w:rsid w:val="00FD4B02"/>
    <w:rsid w:val="00FD4B6E"/>
    <w:rsid w:val="00FD4E32"/>
    <w:rsid w:val="00FD4EAA"/>
    <w:rsid w:val="00FD552A"/>
    <w:rsid w:val="00FD5826"/>
    <w:rsid w:val="00FD5AAF"/>
    <w:rsid w:val="00FD5EAC"/>
    <w:rsid w:val="00FD679E"/>
    <w:rsid w:val="00FD68C4"/>
    <w:rsid w:val="00FD6BCC"/>
    <w:rsid w:val="00FD70AD"/>
    <w:rsid w:val="00FD73A0"/>
    <w:rsid w:val="00FD742B"/>
    <w:rsid w:val="00FD7561"/>
    <w:rsid w:val="00FD7706"/>
    <w:rsid w:val="00FD7BF6"/>
    <w:rsid w:val="00FD7DA6"/>
    <w:rsid w:val="00FD7E05"/>
    <w:rsid w:val="00FD7F5E"/>
    <w:rsid w:val="00FE02F7"/>
    <w:rsid w:val="00FE066C"/>
    <w:rsid w:val="00FE0A2A"/>
    <w:rsid w:val="00FE0E9D"/>
    <w:rsid w:val="00FE0F51"/>
    <w:rsid w:val="00FE109C"/>
    <w:rsid w:val="00FE1576"/>
    <w:rsid w:val="00FE178C"/>
    <w:rsid w:val="00FE1BCA"/>
    <w:rsid w:val="00FE1E4E"/>
    <w:rsid w:val="00FE1F5A"/>
    <w:rsid w:val="00FE2670"/>
    <w:rsid w:val="00FE27A8"/>
    <w:rsid w:val="00FE2A6C"/>
    <w:rsid w:val="00FE2D61"/>
    <w:rsid w:val="00FE2E35"/>
    <w:rsid w:val="00FE2FEC"/>
    <w:rsid w:val="00FE307F"/>
    <w:rsid w:val="00FE3573"/>
    <w:rsid w:val="00FE3AE0"/>
    <w:rsid w:val="00FE4553"/>
    <w:rsid w:val="00FE48C2"/>
    <w:rsid w:val="00FE4A85"/>
    <w:rsid w:val="00FE4F37"/>
    <w:rsid w:val="00FE5105"/>
    <w:rsid w:val="00FE5361"/>
    <w:rsid w:val="00FE5808"/>
    <w:rsid w:val="00FE5B8B"/>
    <w:rsid w:val="00FE5E03"/>
    <w:rsid w:val="00FE6176"/>
    <w:rsid w:val="00FE6179"/>
    <w:rsid w:val="00FE632D"/>
    <w:rsid w:val="00FE6585"/>
    <w:rsid w:val="00FE6927"/>
    <w:rsid w:val="00FE69BF"/>
    <w:rsid w:val="00FE6BF4"/>
    <w:rsid w:val="00FE6C83"/>
    <w:rsid w:val="00FE6DA2"/>
    <w:rsid w:val="00FE6EF0"/>
    <w:rsid w:val="00FE6F59"/>
    <w:rsid w:val="00FE7031"/>
    <w:rsid w:val="00FE71BE"/>
    <w:rsid w:val="00FE7221"/>
    <w:rsid w:val="00FE723C"/>
    <w:rsid w:val="00FE7AE6"/>
    <w:rsid w:val="00FE7C02"/>
    <w:rsid w:val="00FE7F0A"/>
    <w:rsid w:val="00FF00EF"/>
    <w:rsid w:val="00FF0293"/>
    <w:rsid w:val="00FF0553"/>
    <w:rsid w:val="00FF058F"/>
    <w:rsid w:val="00FF0626"/>
    <w:rsid w:val="00FF096A"/>
    <w:rsid w:val="00FF12C4"/>
    <w:rsid w:val="00FF1415"/>
    <w:rsid w:val="00FF1535"/>
    <w:rsid w:val="00FF184C"/>
    <w:rsid w:val="00FF19F0"/>
    <w:rsid w:val="00FF1D83"/>
    <w:rsid w:val="00FF1EE0"/>
    <w:rsid w:val="00FF20B6"/>
    <w:rsid w:val="00FF2547"/>
    <w:rsid w:val="00FF26FE"/>
    <w:rsid w:val="00FF271D"/>
    <w:rsid w:val="00FF283A"/>
    <w:rsid w:val="00FF2CC0"/>
    <w:rsid w:val="00FF2DCF"/>
    <w:rsid w:val="00FF36E6"/>
    <w:rsid w:val="00FF39C9"/>
    <w:rsid w:val="00FF3A5A"/>
    <w:rsid w:val="00FF3FBC"/>
    <w:rsid w:val="00FF4082"/>
    <w:rsid w:val="00FF4523"/>
    <w:rsid w:val="00FF46AE"/>
    <w:rsid w:val="00FF49CA"/>
    <w:rsid w:val="00FF4BA4"/>
    <w:rsid w:val="00FF4CC4"/>
    <w:rsid w:val="00FF5180"/>
    <w:rsid w:val="00FF53CE"/>
    <w:rsid w:val="00FF569F"/>
    <w:rsid w:val="00FF57D3"/>
    <w:rsid w:val="00FF593D"/>
    <w:rsid w:val="00FF59CC"/>
    <w:rsid w:val="00FF5A75"/>
    <w:rsid w:val="00FF626A"/>
    <w:rsid w:val="00FF62F8"/>
    <w:rsid w:val="00FF69EB"/>
    <w:rsid w:val="00FF6FB4"/>
    <w:rsid w:val="00FF706D"/>
    <w:rsid w:val="00FF72C2"/>
    <w:rsid w:val="00FF7592"/>
    <w:rsid w:val="00FF766D"/>
    <w:rsid w:val="00FF7D4D"/>
    <w:rsid w:val="01988DFC"/>
    <w:rsid w:val="02C52BE4"/>
    <w:rsid w:val="02D606E3"/>
    <w:rsid w:val="02E95E30"/>
    <w:rsid w:val="03206BD5"/>
    <w:rsid w:val="0442A10F"/>
    <w:rsid w:val="049E5F0F"/>
    <w:rsid w:val="04D57396"/>
    <w:rsid w:val="04EE13E3"/>
    <w:rsid w:val="0549C4D9"/>
    <w:rsid w:val="0565EE18"/>
    <w:rsid w:val="05F40DA8"/>
    <w:rsid w:val="0654B8C5"/>
    <w:rsid w:val="06697617"/>
    <w:rsid w:val="06E8AB7E"/>
    <w:rsid w:val="08171D1E"/>
    <w:rsid w:val="0874FD87"/>
    <w:rsid w:val="0911AC2F"/>
    <w:rsid w:val="09ED13D5"/>
    <w:rsid w:val="0A3627E5"/>
    <w:rsid w:val="0A4BEA56"/>
    <w:rsid w:val="0C230913"/>
    <w:rsid w:val="0C43E87A"/>
    <w:rsid w:val="0C91B753"/>
    <w:rsid w:val="0CE38114"/>
    <w:rsid w:val="0D340F56"/>
    <w:rsid w:val="0DDD0C2B"/>
    <w:rsid w:val="0DE46DC1"/>
    <w:rsid w:val="0E9FE4A3"/>
    <w:rsid w:val="0ECC6127"/>
    <w:rsid w:val="0F636111"/>
    <w:rsid w:val="10BEF03C"/>
    <w:rsid w:val="10BFAF56"/>
    <w:rsid w:val="10E29695"/>
    <w:rsid w:val="117A31B3"/>
    <w:rsid w:val="117AC28C"/>
    <w:rsid w:val="1197FFEF"/>
    <w:rsid w:val="11ECBBE4"/>
    <w:rsid w:val="11FD9737"/>
    <w:rsid w:val="12597CEA"/>
    <w:rsid w:val="12832566"/>
    <w:rsid w:val="13A81D74"/>
    <w:rsid w:val="13B1F691"/>
    <w:rsid w:val="140B0C7B"/>
    <w:rsid w:val="1430FE18"/>
    <w:rsid w:val="143C9D6F"/>
    <w:rsid w:val="145B1EA2"/>
    <w:rsid w:val="14C534AC"/>
    <w:rsid w:val="15F6873C"/>
    <w:rsid w:val="15FB86AE"/>
    <w:rsid w:val="167CA05C"/>
    <w:rsid w:val="16BCF294"/>
    <w:rsid w:val="17689C93"/>
    <w:rsid w:val="17B5D023"/>
    <w:rsid w:val="17F269E1"/>
    <w:rsid w:val="180A46AA"/>
    <w:rsid w:val="18CC6FEB"/>
    <w:rsid w:val="18DBF6D3"/>
    <w:rsid w:val="18DC1661"/>
    <w:rsid w:val="18F6C2FF"/>
    <w:rsid w:val="191A47F2"/>
    <w:rsid w:val="19379D10"/>
    <w:rsid w:val="1AD50977"/>
    <w:rsid w:val="1AE41D33"/>
    <w:rsid w:val="1B016114"/>
    <w:rsid w:val="1BDDFD43"/>
    <w:rsid w:val="1C15AF1B"/>
    <w:rsid w:val="1C909F4E"/>
    <w:rsid w:val="1DCBCB69"/>
    <w:rsid w:val="1E76E5F5"/>
    <w:rsid w:val="1E9AB2A0"/>
    <w:rsid w:val="1EB3F4BC"/>
    <w:rsid w:val="1F43482E"/>
    <w:rsid w:val="1FC83C4C"/>
    <w:rsid w:val="200E4CC7"/>
    <w:rsid w:val="20A4ABED"/>
    <w:rsid w:val="215741DA"/>
    <w:rsid w:val="21F4D745"/>
    <w:rsid w:val="227867A5"/>
    <w:rsid w:val="231AFAE6"/>
    <w:rsid w:val="233FD82E"/>
    <w:rsid w:val="237AC9C3"/>
    <w:rsid w:val="23D5EB95"/>
    <w:rsid w:val="2473E9A3"/>
    <w:rsid w:val="24A773E4"/>
    <w:rsid w:val="258C87F5"/>
    <w:rsid w:val="2615F145"/>
    <w:rsid w:val="26C172DE"/>
    <w:rsid w:val="2714AB94"/>
    <w:rsid w:val="287545DB"/>
    <w:rsid w:val="28938AFD"/>
    <w:rsid w:val="28EDD795"/>
    <w:rsid w:val="29A6B13C"/>
    <w:rsid w:val="29FA5972"/>
    <w:rsid w:val="2A00428C"/>
    <w:rsid w:val="2AC2EB53"/>
    <w:rsid w:val="2AF732E7"/>
    <w:rsid w:val="2B805B18"/>
    <w:rsid w:val="2BF33FFD"/>
    <w:rsid w:val="2C084C3E"/>
    <w:rsid w:val="2C4A17BC"/>
    <w:rsid w:val="2D1F6FAE"/>
    <w:rsid w:val="2D3D1AC6"/>
    <w:rsid w:val="2EB2AB86"/>
    <w:rsid w:val="2EFB13E0"/>
    <w:rsid w:val="2F7E8684"/>
    <w:rsid w:val="2FCA4B9A"/>
    <w:rsid w:val="2FE32035"/>
    <w:rsid w:val="3045B339"/>
    <w:rsid w:val="30A7B565"/>
    <w:rsid w:val="31672ABC"/>
    <w:rsid w:val="3197FA25"/>
    <w:rsid w:val="319B3C11"/>
    <w:rsid w:val="31CFB370"/>
    <w:rsid w:val="3283F347"/>
    <w:rsid w:val="329F84C2"/>
    <w:rsid w:val="33D592AB"/>
    <w:rsid w:val="34008EDF"/>
    <w:rsid w:val="35C4C0B0"/>
    <w:rsid w:val="35D7C137"/>
    <w:rsid w:val="36ACC400"/>
    <w:rsid w:val="370531F1"/>
    <w:rsid w:val="3770D3E0"/>
    <w:rsid w:val="37D520F6"/>
    <w:rsid w:val="382BFB87"/>
    <w:rsid w:val="3864B592"/>
    <w:rsid w:val="38990599"/>
    <w:rsid w:val="3970EACE"/>
    <w:rsid w:val="398150F5"/>
    <w:rsid w:val="39AA692C"/>
    <w:rsid w:val="39C392DB"/>
    <w:rsid w:val="3AB82730"/>
    <w:rsid w:val="3B1FA5C8"/>
    <w:rsid w:val="3B3699D5"/>
    <w:rsid w:val="3B805BF7"/>
    <w:rsid w:val="3BCC0C5A"/>
    <w:rsid w:val="3D34CBF3"/>
    <w:rsid w:val="3F2968A8"/>
    <w:rsid w:val="3F30EA76"/>
    <w:rsid w:val="3F4748F3"/>
    <w:rsid w:val="3FF45A18"/>
    <w:rsid w:val="40073980"/>
    <w:rsid w:val="402DF38F"/>
    <w:rsid w:val="409B994B"/>
    <w:rsid w:val="416C7C5A"/>
    <w:rsid w:val="4183F478"/>
    <w:rsid w:val="42F8234B"/>
    <w:rsid w:val="43480004"/>
    <w:rsid w:val="4374A1A9"/>
    <w:rsid w:val="43F8428F"/>
    <w:rsid w:val="44350883"/>
    <w:rsid w:val="443D19A1"/>
    <w:rsid w:val="44414685"/>
    <w:rsid w:val="45E92675"/>
    <w:rsid w:val="46B73480"/>
    <w:rsid w:val="46C64733"/>
    <w:rsid w:val="470D9B5D"/>
    <w:rsid w:val="4811E4DB"/>
    <w:rsid w:val="483A0E34"/>
    <w:rsid w:val="4875F442"/>
    <w:rsid w:val="48BD47B3"/>
    <w:rsid w:val="494636E3"/>
    <w:rsid w:val="49E5E8DE"/>
    <w:rsid w:val="49EADAB8"/>
    <w:rsid w:val="4A735218"/>
    <w:rsid w:val="4B078110"/>
    <w:rsid w:val="4B1B9857"/>
    <w:rsid w:val="4B3A9613"/>
    <w:rsid w:val="4C56F6BD"/>
    <w:rsid w:val="4CAE9597"/>
    <w:rsid w:val="4E821CED"/>
    <w:rsid w:val="4EF08A47"/>
    <w:rsid w:val="50864559"/>
    <w:rsid w:val="5087203C"/>
    <w:rsid w:val="50E421E7"/>
    <w:rsid w:val="513DD8B8"/>
    <w:rsid w:val="514571BD"/>
    <w:rsid w:val="51CCA8F2"/>
    <w:rsid w:val="51DC7E4E"/>
    <w:rsid w:val="523941BD"/>
    <w:rsid w:val="52A7AB4C"/>
    <w:rsid w:val="5305DCFC"/>
    <w:rsid w:val="532F54D5"/>
    <w:rsid w:val="5371E87D"/>
    <w:rsid w:val="537C3DAD"/>
    <w:rsid w:val="53F15D1D"/>
    <w:rsid w:val="53FE8E2E"/>
    <w:rsid w:val="54ADD977"/>
    <w:rsid w:val="54E23453"/>
    <w:rsid w:val="5507016A"/>
    <w:rsid w:val="55B9E6E5"/>
    <w:rsid w:val="565EFB48"/>
    <w:rsid w:val="566E8A88"/>
    <w:rsid w:val="56808452"/>
    <w:rsid w:val="56E8A318"/>
    <w:rsid w:val="57667C13"/>
    <w:rsid w:val="57726092"/>
    <w:rsid w:val="57F588C9"/>
    <w:rsid w:val="581E03D3"/>
    <w:rsid w:val="5824AC8C"/>
    <w:rsid w:val="5847D512"/>
    <w:rsid w:val="584FE3E1"/>
    <w:rsid w:val="5884BBAE"/>
    <w:rsid w:val="58F703B5"/>
    <w:rsid w:val="5909DF9F"/>
    <w:rsid w:val="596B60F0"/>
    <w:rsid w:val="59D80787"/>
    <w:rsid w:val="5A05F416"/>
    <w:rsid w:val="5A7C1671"/>
    <w:rsid w:val="5ACC5FDD"/>
    <w:rsid w:val="5AD65A98"/>
    <w:rsid w:val="5B3D7F2B"/>
    <w:rsid w:val="5B605F73"/>
    <w:rsid w:val="5C109F67"/>
    <w:rsid w:val="5C2320A7"/>
    <w:rsid w:val="5CE5C598"/>
    <w:rsid w:val="5CF55A44"/>
    <w:rsid w:val="5CFB9807"/>
    <w:rsid w:val="5DD8FE69"/>
    <w:rsid w:val="5EE68DD0"/>
    <w:rsid w:val="601F5520"/>
    <w:rsid w:val="6154B27E"/>
    <w:rsid w:val="616C9C52"/>
    <w:rsid w:val="61735CBF"/>
    <w:rsid w:val="617C86A3"/>
    <w:rsid w:val="61B3C356"/>
    <w:rsid w:val="61CCE394"/>
    <w:rsid w:val="61CE9825"/>
    <w:rsid w:val="61E107D6"/>
    <w:rsid w:val="62F20951"/>
    <w:rsid w:val="631DF47B"/>
    <w:rsid w:val="63343AFF"/>
    <w:rsid w:val="63344CC2"/>
    <w:rsid w:val="63596342"/>
    <w:rsid w:val="63A1718E"/>
    <w:rsid w:val="63A94AC2"/>
    <w:rsid w:val="6462B211"/>
    <w:rsid w:val="64906987"/>
    <w:rsid w:val="649BE4EE"/>
    <w:rsid w:val="64F9BF07"/>
    <w:rsid w:val="65229E43"/>
    <w:rsid w:val="6558E030"/>
    <w:rsid w:val="655ABA72"/>
    <w:rsid w:val="6570569C"/>
    <w:rsid w:val="657EF6F5"/>
    <w:rsid w:val="662FE32A"/>
    <w:rsid w:val="66E45470"/>
    <w:rsid w:val="67746AAC"/>
    <w:rsid w:val="67849591"/>
    <w:rsid w:val="67D43475"/>
    <w:rsid w:val="6874AB60"/>
    <w:rsid w:val="6997CA72"/>
    <w:rsid w:val="6A157D07"/>
    <w:rsid w:val="6A74BB9D"/>
    <w:rsid w:val="6A968358"/>
    <w:rsid w:val="6AC2A8D5"/>
    <w:rsid w:val="6B2FA492"/>
    <w:rsid w:val="6B6E9A54"/>
    <w:rsid w:val="6BA9F5CB"/>
    <w:rsid w:val="6C673CC5"/>
    <w:rsid w:val="6CA5F162"/>
    <w:rsid w:val="6CACFCC9"/>
    <w:rsid w:val="6CBBE95E"/>
    <w:rsid w:val="6CBCE44D"/>
    <w:rsid w:val="6D1613C4"/>
    <w:rsid w:val="6D262DB5"/>
    <w:rsid w:val="6D41BD0B"/>
    <w:rsid w:val="6DDA8F63"/>
    <w:rsid w:val="6E52989D"/>
    <w:rsid w:val="6E58F8FC"/>
    <w:rsid w:val="6F55434C"/>
    <w:rsid w:val="6FD14972"/>
    <w:rsid w:val="6FE592BF"/>
    <w:rsid w:val="6FFD0105"/>
    <w:rsid w:val="722DD54D"/>
    <w:rsid w:val="72FD8AB1"/>
    <w:rsid w:val="733EA325"/>
    <w:rsid w:val="73A4A6BD"/>
    <w:rsid w:val="746EB7DB"/>
    <w:rsid w:val="748F9646"/>
    <w:rsid w:val="7512F30D"/>
    <w:rsid w:val="753AA864"/>
    <w:rsid w:val="75F918CF"/>
    <w:rsid w:val="76B27E54"/>
    <w:rsid w:val="76E51A4F"/>
    <w:rsid w:val="772CE181"/>
    <w:rsid w:val="7733BEDD"/>
    <w:rsid w:val="7A46F1FE"/>
    <w:rsid w:val="7B093EE4"/>
    <w:rsid w:val="7B79E1C6"/>
    <w:rsid w:val="7B9C85B7"/>
    <w:rsid w:val="7C343EB1"/>
    <w:rsid w:val="7D26A284"/>
    <w:rsid w:val="7D462391"/>
    <w:rsid w:val="7D597A49"/>
    <w:rsid w:val="7DA65384"/>
    <w:rsid w:val="7DDC7DE2"/>
    <w:rsid w:val="7E548FD7"/>
    <w:rsid w:val="7EEB8D22"/>
    <w:rsid w:val="7F5B195D"/>
    <w:rsid w:val="7FA335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5D2B0"/>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64" w:lineRule="auto"/>
    </w:pPr>
    <w:rPr>
      <w:sz w:val="22"/>
    </w:rPr>
  </w:style>
  <w:style w:type="paragraph" w:styleId="Heading1">
    <w:name w:val="heading 1"/>
    <w:basedOn w:val="Normal"/>
    <w:next w:val="Normal"/>
    <w:link w:val="Heading1Char"/>
    <w:uiPriority w:val="2"/>
    <w:qFormat/>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pPr>
      <w:outlineLvl w:val="2"/>
    </w:pPr>
    <w:rPr>
      <w:color w:val="1C2B39" w:themeColor="accent1"/>
      <w:sz w:val="24"/>
      <w:szCs w:val="24"/>
    </w:rPr>
  </w:style>
  <w:style w:type="paragraph" w:styleId="Heading4">
    <w:name w:val="heading 4"/>
    <w:basedOn w:val="Normal"/>
    <w:next w:val="Normal"/>
    <w:link w:val="Heading4Char"/>
    <w:uiPriority w:val="2"/>
    <w:qFormat/>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Pr>
      <w:rFonts w:asciiTheme="majorHAnsi" w:eastAsiaTheme="majorEastAsia" w:hAnsiTheme="majorHAnsi" w:cstheme="majorBidi"/>
      <w:color w:val="1C2B39" w:themeColor="accent1"/>
      <w:sz w:val="48"/>
      <w:szCs w:val="40"/>
    </w:rPr>
  </w:style>
  <w:style w:type="character" w:customStyle="1" w:styleId="Heading2Char">
    <w:name w:val="Heading 2 Char"/>
    <w:basedOn w:val="DefaultParagraphFont"/>
    <w:link w:val="Heading2"/>
    <w:uiPriority w:val="2"/>
    <w:rPr>
      <w:rFonts w:asciiTheme="majorHAnsi" w:eastAsiaTheme="majorEastAsia" w:hAnsiTheme="majorHAnsi" w:cstheme="majorBidi"/>
      <w:color w:val="1C2B39" w:themeColor="accent1"/>
      <w:sz w:val="36"/>
      <w:szCs w:val="28"/>
    </w:rPr>
  </w:style>
  <w:style w:type="character" w:customStyle="1" w:styleId="Heading4Char">
    <w:name w:val="Heading 4 Char"/>
    <w:basedOn w:val="DefaultParagraphFont"/>
    <w:link w:val="Heading4"/>
    <w:uiPriority w:val="2"/>
    <w:rPr>
      <w:rFonts w:asciiTheme="majorHAnsi" w:eastAsiaTheme="majorEastAsia" w:hAnsiTheme="majorHAnsi" w:cstheme="minorHAnsi"/>
      <w:color w:val="004261" w:themeColor="text2"/>
      <w:sz w:val="22"/>
      <w:szCs w:val="22"/>
    </w:rPr>
  </w:style>
  <w:style w:type="character" w:customStyle="1" w:styleId="Heading3Char">
    <w:name w:val="Heading 3 Char"/>
    <w:basedOn w:val="DefaultParagraphFont"/>
    <w:link w:val="Heading3"/>
    <w:uiPriority w:val="2"/>
    <w:rPr>
      <w:rFonts w:eastAsiaTheme="majorEastAsia" w:cstheme="minorHAnsi"/>
      <w:b/>
      <w:color w:val="1C2B39" w:themeColor="accent1"/>
      <w:sz w:val="24"/>
      <w:szCs w:val="24"/>
    </w:rPr>
  </w:style>
  <w:style w:type="character" w:customStyle="1" w:styleId="Heading5Char">
    <w:name w:val="Heading 5 Char"/>
    <w:basedOn w:val="DefaultParagraphFont"/>
    <w:link w:val="Heading5"/>
    <w:uiPriority w:val="2"/>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Pr>
      <w:rFonts w:asciiTheme="majorHAnsi" w:eastAsiaTheme="majorEastAsia" w:hAnsiTheme="majorHAnsi" w:cstheme="majorBidi"/>
      <w:i/>
      <w:iCs/>
      <w:color w:val="004261" w:themeColor="text2"/>
      <w:sz w:val="20"/>
      <w:szCs w:val="20"/>
    </w:rPr>
  </w:style>
  <w:style w:type="paragraph" w:styleId="Title">
    <w:name w:val="Title"/>
    <w:basedOn w:val="Normal"/>
    <w:next w:val="Normal"/>
    <w:link w:val="TitleChar"/>
    <w:uiPriority w:val="18"/>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Pr>
      <w:rFonts w:asciiTheme="majorHAnsi" w:eastAsiaTheme="majorEastAsia" w:hAnsiTheme="majorHAnsi" w:cstheme="majorBidi"/>
      <w:noProof/>
      <w:spacing w:val="-15"/>
      <w:sz w:val="56"/>
      <w:szCs w:val="96"/>
    </w:rPr>
  </w:style>
  <w:style w:type="paragraph" w:styleId="Subtitle">
    <w:name w:val="Subtitle"/>
    <w:basedOn w:val="Normal"/>
    <w:next w:val="Normal"/>
    <w:link w:val="SubtitleChar"/>
    <w:uiPriority w:val="19"/>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Pr>
      <w:rFonts w:eastAsiaTheme="majorEastAsia" w:cstheme="minorHAnsi"/>
      <w:noProof/>
      <w:sz w:val="28"/>
      <w:szCs w:val="30"/>
    </w:rPr>
  </w:style>
  <w:style w:type="paragraph" w:styleId="NoSpacing">
    <w:name w:val="No Spacing"/>
    <w:link w:val="NoSpacingChar"/>
    <w:uiPriority w:val="1"/>
    <w:unhideWhenUsed/>
    <w:qFormat/>
    <w:pPr>
      <w:spacing w:after="0" w:line="240" w:lineRule="auto"/>
    </w:pPr>
  </w:style>
  <w:style w:type="character" w:customStyle="1" w:styleId="NoSpacingChar">
    <w:name w:val="No Spacing Char"/>
    <w:basedOn w:val="DefaultParagraphFont"/>
    <w:link w:val="NoSpacing"/>
    <w:uiPriority w:val="1"/>
  </w:style>
  <w:style w:type="paragraph" w:styleId="Caption">
    <w:name w:val="caption"/>
    <w:basedOn w:val="Normal"/>
    <w:next w:val="Normal"/>
    <w:uiPriority w:val="35"/>
    <w:unhideWhenUsed/>
    <w:qFormat/>
    <w:pPr>
      <w:spacing w:line="240" w:lineRule="auto"/>
    </w:pPr>
    <w:rPr>
      <w:b/>
      <w:bCs/>
      <w:smallCaps/>
      <w:color w:val="4D759C" w:themeColor="text1" w:themeTint="A6"/>
    </w:rPr>
  </w:style>
  <w:style w:type="character" w:styleId="Strong">
    <w:name w:val="Strong"/>
    <w:basedOn w:val="DefaultParagraphFont"/>
    <w:uiPriority w:val="22"/>
    <w:unhideWhenUsed/>
    <w:rPr>
      <w:b/>
      <w:bCs/>
    </w:rPr>
  </w:style>
  <w:style w:type="character" w:styleId="Emphasis">
    <w:name w:val="Emphasis"/>
    <w:basedOn w:val="DefaultParagraphFont"/>
    <w:uiPriority w:val="20"/>
    <w:unhideWhenUsed/>
    <w:qFormat/>
    <w:rPr>
      <w:i/>
      <w:iCs/>
      <w:color w:val="auto"/>
    </w:rPr>
  </w:style>
  <w:style w:type="paragraph" w:styleId="Quote">
    <w:name w:val="Quote"/>
    <w:basedOn w:val="Normal"/>
    <w:next w:val="Normal"/>
    <w:link w:val="QuoteChar"/>
    <w:uiPriority w:val="16"/>
    <w:qFormat/>
    <w:pPr>
      <w:spacing w:before="240"/>
      <w:ind w:left="720" w:right="720"/>
    </w:pPr>
    <w:rPr>
      <w:i/>
      <w:iCs/>
      <w:color w:val="004261" w:themeColor="text2"/>
    </w:rPr>
  </w:style>
  <w:style w:type="character" w:customStyle="1" w:styleId="QuoteChar">
    <w:name w:val="Quote Char"/>
    <w:basedOn w:val="DefaultParagraphFont"/>
    <w:link w:val="Quote"/>
    <w:uiPriority w:val="16"/>
    <w:rPr>
      <w:i/>
      <w:iCs/>
      <w:color w:val="004261" w:themeColor="text2"/>
      <w:sz w:val="22"/>
    </w:rPr>
  </w:style>
  <w:style w:type="paragraph" w:styleId="IntenseQuote">
    <w:name w:val="Intense Quote"/>
    <w:basedOn w:val="Normal"/>
    <w:next w:val="Normal"/>
    <w:link w:val="IntenseQuoteChar"/>
    <w:uiPriority w:val="17"/>
    <w:qFormat/>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Pr>
      <w:i/>
      <w:iCs/>
    </w:rPr>
  </w:style>
  <w:style w:type="character" w:styleId="IntenseEmphasis">
    <w:name w:val="Intense Emphasis"/>
    <w:basedOn w:val="DefaultParagraphFont"/>
    <w:uiPriority w:val="21"/>
    <w:unhideWhenUsed/>
    <w:rPr>
      <w:b/>
      <w:bCs/>
      <w:i/>
      <w:iCs/>
    </w:rPr>
  </w:style>
  <w:style w:type="character" w:styleId="SubtleReference">
    <w:name w:val="Subtle Reference"/>
    <w:basedOn w:val="DefaultParagraphFont"/>
    <w:uiPriority w:val="31"/>
    <w:unhideWhenUsed/>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pPr>
      <w:outlineLvl w:val="9"/>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CLASSIFICATION">
    <w:name w:val="CLASSIFICATION"/>
    <w:basedOn w:val="Normal"/>
    <w:link w:val="CLASSIFICATIONChar"/>
    <w:autoRedefine/>
    <w:uiPriority w:val="99"/>
    <w:unhideWhenUsed/>
    <w:pPr>
      <w:jc w:val="center"/>
    </w:pPr>
    <w:rPr>
      <w:rFonts w:ascii="Segoe UI" w:hAnsi="Segoe UI"/>
      <w:caps/>
      <w:color w:val="BD3432" w:themeColor="accent6"/>
      <w:sz w:val="18"/>
    </w:rPr>
  </w:style>
  <w:style w:type="character" w:customStyle="1" w:styleId="CLASSIFICATIONChar">
    <w:name w:val="CLASSIFICATION Char"/>
    <w:basedOn w:val="DefaultParagraphFont"/>
    <w:link w:val="CLASSIFICATION"/>
    <w:uiPriority w:val="99"/>
    <w:rPr>
      <w:rFonts w:ascii="Segoe UI" w:hAnsi="Segoe UI"/>
      <w:caps/>
      <w:color w:val="BD3432" w:themeColor="accent6"/>
      <w:sz w:val="18"/>
    </w:rPr>
  </w:style>
  <w:style w:type="paragraph" w:customStyle="1" w:styleId="BOXHeading2">
    <w:name w:val="BOX Heading 2"/>
    <w:basedOn w:val="Heading2"/>
    <w:next w:val="BOXText"/>
    <w:uiPriority w:val="6"/>
    <w:qFormat/>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BOXText">
    <w:name w:val="BOX Text"/>
    <w:basedOn w:val="Normal"/>
    <w:uiPriority w:val="4"/>
    <w:qFormat/>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pPr>
      <w:numPr>
        <w:numId w:val="2"/>
      </w:numPr>
      <w:ind w:left="511"/>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pPr>
      <w:numPr>
        <w:numId w:val="7"/>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pPr>
      <w:spacing w:after="0" w:line="240" w:lineRule="auto"/>
    </w:pPr>
    <w:rPr>
      <w:rFonts w:ascii="Segoe UI" w:hAnsi="Segoe UI" w:cs="Segoe UI"/>
      <w:color w:val="FFFFFF" w:themeColor="background1"/>
    </w:rPr>
  </w:style>
  <w:style w:type="paragraph" w:customStyle="1" w:styleId="TBLText">
    <w:name w:val="TBL Text"/>
    <w:basedOn w:val="Normal"/>
    <w:uiPriority w:val="9"/>
    <w:qFormat/>
    <w:pPr>
      <w:spacing w:after="0" w:line="240" w:lineRule="auto"/>
    </w:pPr>
    <w:rPr>
      <w:sz w:val="18"/>
      <w:szCs w:val="18"/>
    </w:rPr>
  </w:style>
  <w:style w:type="paragraph" w:customStyle="1" w:styleId="TBLBulletedList">
    <w:name w:val="TBL Bulleted List"/>
    <w:basedOn w:val="TBLText"/>
    <w:uiPriority w:val="10"/>
    <w:qFormat/>
    <w:pPr>
      <w:numPr>
        <w:numId w:val="3"/>
      </w:numPr>
      <w:ind w:left="206" w:hanging="206"/>
    </w:pPr>
  </w:style>
  <w:style w:type="paragraph" w:customStyle="1" w:styleId="TBLNumberedList">
    <w:name w:val="TBL Numbered List"/>
    <w:basedOn w:val="TBLText"/>
    <w:uiPriority w:val="10"/>
    <w:qFormat/>
    <w:pPr>
      <w:numPr>
        <w:numId w:val="4"/>
      </w:numPr>
      <w:ind w:left="270" w:hanging="270"/>
    </w:pPr>
  </w:style>
  <w:style w:type="paragraph" w:customStyle="1" w:styleId="BOXHeading3">
    <w:name w:val="BOX Heading 3"/>
    <w:basedOn w:val="BOXHeading2"/>
    <w:next w:val="BOXText"/>
    <w:uiPriority w:val="6"/>
    <w:qFormat/>
    <w:pPr>
      <w:outlineLvl w:val="2"/>
    </w:pPr>
    <w:rPr>
      <w:rFonts w:cstheme="minorHAnsi"/>
      <w:sz w:val="24"/>
      <w:szCs w:val="2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unhideWhenUsed/>
    <w:qFormat/>
    <w:pPr>
      <w:ind w:left="720"/>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Pr>
      <w:sz w:val="22"/>
    </w:rPr>
  </w:style>
  <w:style w:type="paragraph" w:customStyle="1" w:styleId="BulletedList-Level1">
    <w:name w:val="Bulleted List - Level 1"/>
    <w:basedOn w:val="ListParagraph"/>
    <w:uiPriority w:val="1"/>
    <w:qFormat/>
    <w:pPr>
      <w:numPr>
        <w:numId w:val="5"/>
      </w:numPr>
      <w:ind w:left="568" w:hanging="284"/>
    </w:pPr>
  </w:style>
  <w:style w:type="paragraph" w:customStyle="1" w:styleId="BulletedList-Level2">
    <w:name w:val="Bulleted List - Level 2"/>
    <w:basedOn w:val="BulletedList-Level1"/>
    <w:uiPriority w:val="1"/>
    <w:qFormat/>
    <w:pPr>
      <w:numPr>
        <w:numId w:val="10"/>
      </w:numPr>
    </w:pPr>
  </w:style>
  <w:style w:type="paragraph" w:customStyle="1" w:styleId="BulletedList-Level3">
    <w:name w:val="Bulleted List - Level 3"/>
    <w:basedOn w:val="ListParagraph"/>
    <w:uiPriority w:val="1"/>
    <w:qFormat/>
    <w:pPr>
      <w:numPr>
        <w:numId w:val="11"/>
      </w:numPr>
      <w:ind w:left="1135" w:hanging="284"/>
    </w:pPr>
  </w:style>
  <w:style w:type="paragraph" w:customStyle="1" w:styleId="NumberedList-Level1">
    <w:name w:val="Numbered List - Level 1"/>
    <w:basedOn w:val="ListParagraph"/>
    <w:uiPriority w:val="1"/>
    <w:qFormat/>
    <w:pPr>
      <w:numPr>
        <w:numId w:val="6"/>
      </w:numPr>
      <w:ind w:left="568" w:hanging="284"/>
    </w:pPr>
  </w:style>
  <w:style w:type="paragraph" w:customStyle="1" w:styleId="NumberedList-level2">
    <w:name w:val="Numbered List - level 2"/>
    <w:basedOn w:val="ListParagraph"/>
    <w:uiPriority w:val="1"/>
    <w:qFormat/>
    <w:pPr>
      <w:numPr>
        <w:ilvl w:val="1"/>
        <w:numId w:val="6"/>
      </w:numPr>
    </w:pPr>
  </w:style>
  <w:style w:type="paragraph" w:customStyle="1" w:styleId="NumberedList-Level3">
    <w:name w:val="Numbered List - Level 3"/>
    <w:basedOn w:val="ListParagraph"/>
    <w:uiPriority w:val="1"/>
    <w:qFormat/>
    <w:pPr>
      <w:numPr>
        <w:ilvl w:val="2"/>
        <w:numId w:val="6"/>
      </w:numPr>
    </w:pPr>
  </w:style>
  <w:style w:type="paragraph" w:customStyle="1" w:styleId="BoxDark-HeadingLevel1">
    <w:name w:val="Box Dark - Heading Level 1"/>
    <w:basedOn w:val="BOXHeading2"/>
    <w:uiPriority w:val="9"/>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5E1919" w:themeColor="accent6" w:themeShade="80"/>
      <w:u w:val="single"/>
    </w:rPr>
  </w:style>
  <w:style w:type="paragraph" w:customStyle="1" w:styleId="BoxDark-HeadingLevel3">
    <w:name w:val="Box Dark - Heading Level 3"/>
    <w:basedOn w:val="BOXHeading3"/>
    <w:uiPriority w:val="9"/>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pPr>
      <w:numPr>
        <w:numId w:val="8"/>
      </w:numPr>
      <w:ind w:left="584" w:hanging="357"/>
    </w:pPr>
  </w:style>
  <w:style w:type="paragraph" w:customStyle="1" w:styleId="BoxDark-NumberedList">
    <w:name w:val="Box Dark - Numbered List"/>
    <w:basedOn w:val="BOXNumberedList"/>
    <w:uiPriority w:val="8"/>
    <w:pPr>
      <w:numPr>
        <w:numId w:val="9"/>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ind w:left="584" w:hanging="357"/>
    </w:pPr>
  </w:style>
  <w:style w:type="table" w:customStyle="1" w:styleId="Custom1">
    <w:name w:val="Custom 1"/>
    <w:basedOn w:val="TableNormal"/>
    <w:uiPriority w:val="99"/>
    <w:pPr>
      <w:spacing w:after="0" w:line="240" w:lineRule="auto"/>
    </w:pPr>
    <w:rPr>
      <w:sz w:val="18"/>
    </w:rPr>
    <w:tblPr>
      <w:tblStyleRowBandSize w:val="1"/>
      <w:tblBorders>
        <w:top w:val="single" w:sz="4" w:space="0" w:color="1C2B39" w:themeColor="accent1"/>
        <w:bottom w:val="single" w:sz="12" w:space="0" w:color="1C2B39" w:themeColor="accent1"/>
        <w:insideH w:val="single" w:sz="4" w:space="0" w:color="1C2B39" w:themeColor="accent1"/>
      </w:tblBorders>
      <w:tblCellMar>
        <w:top w:w="57" w:type="dxa"/>
        <w:bottom w:w="57" w:type="dxa"/>
      </w:tblCellMar>
    </w:tblPr>
    <w:tblStylePr w:type="firstRow">
      <w:rPr>
        <w:rFonts w:asciiTheme="minorHAnsi" w:hAnsiTheme="minorHAnsi"/>
        <w:b/>
        <w:sz w:val="18"/>
      </w:rPr>
      <w:tblPr/>
      <w:tcPr>
        <w:shd w:val="clear" w:color="auto" w:fill="1C2B39" w:themeFill="accent1"/>
      </w:tcPr>
    </w:tblStylePr>
    <w:tblStylePr w:type="band1Horz">
      <w:tblPr/>
      <w:tcPr>
        <w:shd w:val="clear" w:color="auto" w:fill="FFFFFF" w:themeFill="background2"/>
      </w:tcPr>
    </w:tblStylePr>
  </w:style>
  <w:style w:type="table" w:customStyle="1" w:styleId="Style1">
    <w:name w:val="Style1"/>
    <w:basedOn w:val="Custom1"/>
    <w:uiPriority w:val="99"/>
    <w:tblPr>
      <w:tblBorders>
        <w:top w:val="none" w:sz="0" w:space="0" w:color="auto"/>
        <w:left w:val="single" w:sz="4" w:space="0" w:color="1C2B39" w:themeColor="accent1"/>
        <w:bottom w:val="single" w:sz="4" w:space="0" w:color="1C2B39" w:themeColor="accent1"/>
        <w:right w:val="single" w:sz="4" w:space="0" w:color="1C2B39" w:themeColor="accent1"/>
        <w:insideH w:val="none" w:sz="0" w:space="0" w:color="auto"/>
        <w:insideV w:val="single" w:sz="4" w:space="0" w:color="1C2B39" w:themeColor="accent1"/>
      </w:tblBorders>
    </w:tblPr>
    <w:tblStylePr w:type="firstRow">
      <w:rPr>
        <w:rFonts w:asciiTheme="minorHAnsi" w:hAnsiTheme="minorHAnsi"/>
        <w:b/>
        <w:sz w:val="18"/>
      </w:rPr>
      <w:tblPr/>
      <w:tcPr>
        <w:shd w:val="clear" w:color="auto" w:fill="1C2B39" w:themeFill="accent1"/>
      </w:tcPr>
    </w:tblStylePr>
    <w:tblStylePr w:type="firstCol">
      <w:rPr>
        <w:b/>
      </w:rPr>
      <w:tblPr/>
      <w:tcPr>
        <w:shd w:val="clear" w:color="auto" w:fill="1C2B39" w:themeFill="accent1"/>
      </w:tcPr>
    </w:tblStylePr>
    <w:tblStylePr w:type="band1Horz">
      <w:tblPr/>
      <w:tcPr>
        <w:shd w:val="clear" w:color="auto" w:fill="FFFFFF" w:themeFill="background2"/>
      </w:tcPr>
    </w:tblStylePr>
  </w:style>
  <w:style w:type="paragraph" w:customStyle="1" w:styleId="EmphasisPanelBullet">
    <w:name w:val="Emphasis Panel Bullet"/>
    <w:uiPriority w:val="11"/>
    <w:qFormat/>
    <w:pPr>
      <w:keepLines/>
      <w:numPr>
        <w:numId w:val="12"/>
      </w:numPr>
      <w:pBdr>
        <w:top w:val="single" w:sz="4" w:space="8" w:color="FFFFFF" w:themeColor="background2"/>
        <w:left w:val="single" w:sz="4" w:space="8" w:color="FFFFFF" w:themeColor="background2"/>
        <w:bottom w:val="single" w:sz="4" w:space="8" w:color="FFFFFF" w:themeColor="background2"/>
        <w:right w:val="single" w:sz="4" w:space="8" w:color="FFFFFF" w:themeColor="background2"/>
      </w:pBdr>
      <w:shd w:val="clear" w:color="auto" w:fill="FFFFFF" w:themeFill="background2"/>
      <w:spacing w:before="120" w:after="120" w:line="264" w:lineRule="auto"/>
      <w:ind w:right="215"/>
    </w:pPr>
    <w:rPr>
      <w:rFonts w:eastAsia="Times New Roman" w:cstheme="minorHAnsi"/>
      <w:color w:val="314A63" w:themeColor="text1" w:themeTint="D9"/>
      <w:sz w:val="20"/>
      <w:szCs w:val="22"/>
      <w:lang w:val="en-US"/>
    </w:rPr>
  </w:style>
  <w:style w:type="paragraph" w:customStyle="1" w:styleId="TableNumbering">
    <w:name w:val="Table Numbering"/>
    <w:uiPriority w:val="11"/>
    <w:qFormat/>
    <w:pPr>
      <w:numPr>
        <w:numId w:val="13"/>
      </w:numPr>
      <w:spacing w:before="40" w:after="40" w:line="264" w:lineRule="auto"/>
    </w:pPr>
    <w:rPr>
      <w:rFonts w:eastAsiaTheme="minorHAnsi"/>
      <w:color w:val="1C2B39" w:themeColor="text1"/>
      <w:sz w:val="18"/>
      <w:szCs w:val="20"/>
    </w:rPr>
  </w:style>
  <w:style w:type="character" w:styleId="FollowedHyperlink">
    <w:name w:val="FollowedHyperlink"/>
    <w:basedOn w:val="DefaultParagraphFont"/>
    <w:uiPriority w:val="99"/>
    <w:semiHidden/>
    <w:unhideWhenUsed/>
    <w:rPr>
      <w:color w:val="DE761C" w:themeColor="followedHyperlink"/>
      <w:u w:val="single"/>
    </w:rPr>
  </w:style>
  <w:style w:type="paragraph" w:styleId="ListBullet">
    <w:name w:val="List Bullet"/>
    <w:basedOn w:val="Normal"/>
    <w:uiPriority w:val="99"/>
    <w:unhideWhenUsed/>
    <w:pPr>
      <w:numPr>
        <w:numId w:val="14"/>
      </w:numPr>
      <w:contextualSpacing/>
    </w:pPr>
  </w:style>
  <w:style w:type="paragraph" w:customStyle="1" w:styleId="CAB-TableHeading">
    <w:name w:val="CAB - Table Heading"/>
    <w:basedOn w:val="Normal"/>
    <w:uiPriority w:val="7"/>
    <w:pPr>
      <w:spacing w:before="50" w:after="50" w:line="240" w:lineRule="auto"/>
    </w:pPr>
    <w:rPr>
      <w:rFonts w:ascii="Arial" w:eastAsiaTheme="minorHAnsi" w:hAnsi="Arial"/>
      <w:b/>
      <w:sz w:val="20"/>
      <w:szCs w:val="20"/>
    </w:rPr>
  </w:style>
  <w:style w:type="paragraph" w:customStyle="1" w:styleId="CABNETParagraph">
    <w:name w:val="CABNET Paragraph."/>
    <w:basedOn w:val="Normal"/>
    <w:link w:val="CABNETParagraphChar"/>
    <w:uiPriority w:val="98"/>
    <w:qFormat/>
    <w:pPr>
      <w:spacing w:before="120" w:after="120" w:line="240" w:lineRule="auto"/>
    </w:pPr>
    <w:rPr>
      <w:rFonts w:ascii="Arial" w:eastAsiaTheme="minorHAnsi" w:hAnsi="Arial" w:cstheme="minorHAnsi"/>
      <w:szCs w:val="22"/>
    </w:rPr>
  </w:style>
  <w:style w:type="character" w:customStyle="1" w:styleId="CABNETParagraphChar">
    <w:name w:val="CABNET Paragraph. Char"/>
    <w:basedOn w:val="DefaultParagraphFont"/>
    <w:link w:val="CABNETParagraph"/>
    <w:uiPriority w:val="98"/>
    <w:rPr>
      <w:rFonts w:ascii="Arial" w:eastAsiaTheme="minorHAnsi" w:hAnsi="Arial" w:cstheme="minorHAnsi"/>
      <w:sz w:val="22"/>
      <w:szCs w:val="22"/>
    </w:rPr>
  </w:style>
  <w:style w:type="paragraph" w:customStyle="1" w:styleId="CABParagraph">
    <w:name w:val="CAB Paragraph"/>
    <w:basedOn w:val="BodyText"/>
    <w:link w:val="CABParagraphChar"/>
    <w:uiPriority w:val="98"/>
    <w:qFormat/>
    <w:pPr>
      <w:spacing w:before="120" w:after="0" w:line="240" w:lineRule="auto"/>
    </w:pPr>
    <w:rPr>
      <w:rFonts w:ascii="Arial" w:eastAsiaTheme="minorHAnsi" w:hAnsi="Arial"/>
      <w:szCs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sz w:val="22"/>
    </w:rPr>
  </w:style>
  <w:style w:type="character" w:customStyle="1" w:styleId="CABParagraphChar">
    <w:name w:val="CAB Paragraph Char"/>
    <w:basedOn w:val="DefaultParagraphFont"/>
    <w:link w:val="CABParagraph"/>
    <w:uiPriority w:val="98"/>
    <w:rPr>
      <w:rFonts w:ascii="Arial" w:eastAsiaTheme="minorHAnsi" w:hAnsi="Arial"/>
      <w:sz w:val="22"/>
      <w:szCs w:val="22"/>
    </w:rPr>
  </w:style>
  <w:style w:type="paragraph" w:customStyle="1" w:styleId="Default">
    <w:name w:val="Default"/>
    <w:pPr>
      <w:autoSpaceDE w:val="0"/>
      <w:autoSpaceDN w:val="0"/>
      <w:adjustRightInd w:val="0"/>
      <w:spacing w:after="0" w:line="240" w:lineRule="auto"/>
    </w:pPr>
    <w:rPr>
      <w:rFonts w:ascii="Georgia" w:hAnsi="Georgia" w:cs="Georgia"/>
      <w:color w:val="000000"/>
      <w:sz w:val="24"/>
      <w:szCs w:val="24"/>
    </w:rPr>
  </w:style>
  <w:style w:type="paragraph" w:customStyle="1" w:styleId="CAB-NumberedParagraph">
    <w:name w:val="CAB - Numbered Paragraph"/>
    <w:basedOn w:val="Normal"/>
    <w:uiPriority w:val="98"/>
    <w:pPr>
      <w:spacing w:before="120" w:after="120" w:line="240" w:lineRule="auto"/>
      <w:ind w:left="567" w:hanging="567"/>
    </w:pPr>
    <w:rPr>
      <w:rFonts w:ascii="Arial" w:eastAsiaTheme="minorHAnsi" w:hAnsi="Arial"/>
      <w:szCs w:val="22"/>
    </w:rPr>
  </w:style>
  <w:style w:type="paragraph" w:customStyle="1" w:styleId="TableHeader-LChar">
    <w:name w:val="TableHeader-L Char"/>
    <w:basedOn w:val="Normal"/>
    <w:link w:val="TableHeader-LCharChar"/>
    <w:pPr>
      <w:autoSpaceDE w:val="0"/>
      <w:autoSpaceDN w:val="0"/>
      <w:adjustRightInd w:val="0"/>
      <w:spacing w:after="0" w:line="240" w:lineRule="auto"/>
    </w:pPr>
    <w:rPr>
      <w:rFonts w:ascii="Times New Roman" w:eastAsia="Times New Roman" w:hAnsi="Times New Roman" w:cs="Times New Roman"/>
      <w:b/>
      <w:color w:val="000000"/>
      <w:sz w:val="20"/>
      <w:szCs w:val="26"/>
      <w:lang w:eastAsia="en-AU"/>
    </w:rPr>
  </w:style>
  <w:style w:type="character" w:customStyle="1" w:styleId="TableHeader-LCharChar">
    <w:name w:val="TableHeader-L Char Char"/>
    <w:basedOn w:val="DefaultParagraphFont"/>
    <w:link w:val="TableHeader-LChar"/>
    <w:rPr>
      <w:rFonts w:ascii="Times New Roman" w:eastAsia="Times New Roman" w:hAnsi="Times New Roman" w:cs="Times New Roman"/>
      <w:b/>
      <w:color w:val="000000"/>
      <w:sz w:val="20"/>
      <w:szCs w:val="26"/>
      <w:lang w:eastAsia="en-AU"/>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CABHeading2">
    <w:name w:val="CAB Heading 2."/>
    <w:basedOn w:val="Normal"/>
    <w:link w:val="CABHeading2Char"/>
    <w:uiPriority w:val="98"/>
    <w:qFormat/>
    <w:rsid w:val="58F703B5"/>
    <w:pPr>
      <w:keepNext/>
      <w:keepLines/>
      <w:tabs>
        <w:tab w:val="left" w:pos="567"/>
      </w:tabs>
      <w:spacing w:before="200" w:after="0"/>
      <w:outlineLvl w:val="0"/>
    </w:pPr>
    <w:rPr>
      <w:rFonts w:eastAsiaTheme="majorEastAsia" w:cstheme="majorBidi"/>
      <w:b/>
      <w:bCs/>
      <w:color w:val="003865"/>
      <w:sz w:val="24"/>
      <w:szCs w:val="24"/>
    </w:rPr>
  </w:style>
  <w:style w:type="character" w:customStyle="1" w:styleId="CABHeading2Char">
    <w:name w:val="CAB Heading 2. Char"/>
    <w:basedOn w:val="DefaultParagraphFont"/>
    <w:link w:val="CABHeading2"/>
    <w:uiPriority w:val="98"/>
    <w:rsid w:val="58F703B5"/>
    <w:rPr>
      <w:rFonts w:eastAsiaTheme="majorEastAsia" w:cstheme="majorBidi"/>
      <w:b/>
      <w:bCs/>
      <w:color w:val="003865"/>
      <w:sz w:val="24"/>
      <w:szCs w:val="24"/>
    </w:rPr>
  </w:style>
  <w:style w:type="paragraph" w:customStyle="1" w:styleId="paragraph">
    <w:name w:val="paragraph"/>
    <w:basedOn w:val="Normal"/>
    <w:rsid w:val="001250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25078"/>
  </w:style>
  <w:style w:type="character" w:customStyle="1" w:styleId="eop">
    <w:name w:val="eop"/>
    <w:basedOn w:val="DefaultParagraphFont"/>
    <w:rsid w:val="00125078"/>
  </w:style>
  <w:style w:type="paragraph" w:styleId="Revision">
    <w:name w:val="Revision"/>
    <w:hidden/>
    <w:uiPriority w:val="99"/>
    <w:semiHidden/>
    <w:rsid w:val="00C301D8"/>
    <w:pPr>
      <w:spacing w:after="0" w:line="240" w:lineRule="auto"/>
    </w:pPr>
    <w:rPr>
      <w:sz w:val="22"/>
    </w:rPr>
  </w:style>
  <w:style w:type="paragraph" w:styleId="NormalWeb">
    <w:name w:val="Normal (Web)"/>
    <w:basedOn w:val="Normal"/>
    <w:uiPriority w:val="99"/>
    <w:semiHidden/>
    <w:unhideWhenUsed/>
    <w:rsid w:val="00FE1B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C86409"/>
    <w:rPr>
      <w:color w:val="2B579A"/>
      <w:shd w:val="clear" w:color="auto" w:fill="E1DFDD"/>
    </w:rPr>
  </w:style>
  <w:style w:type="paragraph" w:customStyle="1" w:styleId="msonormal0">
    <w:name w:val="msonormal"/>
    <w:basedOn w:val="Normal"/>
    <w:rsid w:val="00FE69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FE69BF"/>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FE69BF"/>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9">
    <w:name w:val="xl69"/>
    <w:basedOn w:val="Normal"/>
    <w:rsid w:val="00FE69BF"/>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Normal"/>
    <w:rsid w:val="00FE69BF"/>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rsid w:val="00FE69BF"/>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FE69BF"/>
    <w:pPr>
      <w:pBdr>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3">
    <w:name w:val="xl73"/>
    <w:basedOn w:val="Normal"/>
    <w:rsid w:val="00FE69BF"/>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4">
    <w:name w:val="xl74"/>
    <w:basedOn w:val="Normal"/>
    <w:rsid w:val="00FE69BF"/>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5">
    <w:name w:val="xl75"/>
    <w:basedOn w:val="Normal"/>
    <w:rsid w:val="00FE69BF"/>
    <w:pPr>
      <w:pBdr>
        <w:bottom w:val="single" w:sz="8" w:space="0" w:color="auto"/>
        <w:right w:val="dotted"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6">
    <w:name w:val="xl76"/>
    <w:basedOn w:val="Normal"/>
    <w:rsid w:val="00FE69BF"/>
    <w:pPr>
      <w:pBdr>
        <w:top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FE69BF"/>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FE69B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9">
    <w:name w:val="xl79"/>
    <w:basedOn w:val="Normal"/>
    <w:rsid w:val="00FE69BF"/>
    <w:pPr>
      <w:pBdr>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0">
    <w:name w:val="xl80"/>
    <w:basedOn w:val="Normal"/>
    <w:rsid w:val="00FE69BF"/>
    <w:pPr>
      <w:pBdr>
        <w:top w:val="single" w:sz="8" w:space="0" w:color="auto"/>
        <w:bottom w:val="double" w:sz="6"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FE69BF"/>
    <w:pPr>
      <w:shd w:val="clear" w:color="000000" w:fill="FFFFFF"/>
      <w:spacing w:before="100" w:beforeAutospacing="1" w:after="100" w:afterAutospacing="1" w:line="240" w:lineRule="auto"/>
    </w:pPr>
    <w:rPr>
      <w:rFonts w:ascii="Wingdings" w:eastAsia="Times New Roman" w:hAnsi="Wingdings" w:cs="Times New Roman"/>
      <w:sz w:val="24"/>
      <w:szCs w:val="24"/>
      <w:lang w:val="en-US"/>
    </w:rPr>
  </w:style>
  <w:style w:type="paragraph" w:customStyle="1" w:styleId="xl82">
    <w:name w:val="xl82"/>
    <w:basedOn w:val="Normal"/>
    <w:rsid w:val="00FE69BF"/>
    <w:pPr>
      <w:pBdr>
        <w:top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3">
    <w:name w:val="xl83"/>
    <w:basedOn w:val="Normal"/>
    <w:rsid w:val="00FE69BF"/>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4">
    <w:name w:val="xl84"/>
    <w:basedOn w:val="Normal"/>
    <w:rsid w:val="00FE69BF"/>
    <w:pPr>
      <w:pBdr>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FE69BF"/>
    <w:pPr>
      <w:shd w:val="clear" w:color="000000" w:fill="FFFFFF"/>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86">
    <w:name w:val="xl86"/>
    <w:basedOn w:val="Normal"/>
    <w:rsid w:val="00FE69BF"/>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7">
    <w:name w:val="xl87"/>
    <w:basedOn w:val="Normal"/>
    <w:rsid w:val="00FE69BF"/>
    <w:pPr>
      <w:pBdr>
        <w:top w:val="single" w:sz="8" w:space="0" w:color="auto"/>
        <w:right w:val="dotted"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8">
    <w:name w:val="xl88"/>
    <w:basedOn w:val="Normal"/>
    <w:rsid w:val="00FE69BF"/>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FE69BF"/>
    <w:pPr>
      <w:pBdr>
        <w:right w:val="dotted"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0">
    <w:name w:val="xl90"/>
    <w:basedOn w:val="Normal"/>
    <w:rsid w:val="00FE69BF"/>
    <w:pPr>
      <w:pBdr>
        <w:top w:val="single" w:sz="8" w:space="0" w:color="auto"/>
        <w:bottom w:val="double" w:sz="6"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1">
    <w:name w:val="xl91"/>
    <w:basedOn w:val="Normal"/>
    <w:rsid w:val="00FE69BF"/>
    <w:pPr>
      <w:pBdr>
        <w:top w:val="single" w:sz="8" w:space="0" w:color="auto"/>
        <w:bottom w:val="double" w:sz="6" w:space="0" w:color="auto"/>
        <w:right w:val="dotted"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2">
    <w:name w:val="xl92"/>
    <w:basedOn w:val="Normal"/>
    <w:rsid w:val="00FE69BF"/>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3">
    <w:name w:val="xl93"/>
    <w:basedOn w:val="Normal"/>
    <w:rsid w:val="00FE69BF"/>
    <w:pPr>
      <w:pBdr>
        <w:bottom w:val="single" w:sz="8" w:space="0" w:color="auto"/>
        <w:right w:val="dotted"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4">
    <w:name w:val="xl94"/>
    <w:basedOn w:val="Normal"/>
    <w:rsid w:val="00FE69BF"/>
    <w:pP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FE69BF"/>
    <w:pPr>
      <w:pBdr>
        <w:top w:val="single" w:sz="8" w:space="0" w:color="auto"/>
        <w:right w:val="dotted"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6">
    <w:name w:val="xl96"/>
    <w:basedOn w:val="Normal"/>
    <w:rsid w:val="00FE69BF"/>
    <w:pP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7">
    <w:name w:val="xl97"/>
    <w:basedOn w:val="Normal"/>
    <w:rsid w:val="00FE69BF"/>
    <w:pPr>
      <w:pBdr>
        <w:right w:val="dotted"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8">
    <w:name w:val="xl98"/>
    <w:basedOn w:val="Normal"/>
    <w:rsid w:val="00FE69BF"/>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9">
    <w:name w:val="xl99"/>
    <w:basedOn w:val="Normal"/>
    <w:rsid w:val="00FE69BF"/>
    <w:pPr>
      <w:pBdr>
        <w:top w:val="single" w:sz="4" w:space="0" w:color="auto"/>
        <w:bottom w:val="single" w:sz="4" w:space="0" w:color="auto"/>
        <w:right w:val="dotted"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FB0CE9"/>
    <w:rPr>
      <w:color w:val="605E5C"/>
      <w:shd w:val="clear" w:color="auto" w:fill="E1DFDD"/>
    </w:rPr>
  </w:style>
  <w:style w:type="paragraph" w:styleId="EndnoteText">
    <w:name w:val="endnote text"/>
    <w:basedOn w:val="Normal"/>
    <w:link w:val="EndnoteTextChar"/>
    <w:uiPriority w:val="99"/>
    <w:semiHidden/>
    <w:unhideWhenUsed/>
    <w:rsid w:val="00AA4F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4F9F"/>
    <w:rPr>
      <w:sz w:val="20"/>
      <w:szCs w:val="20"/>
    </w:rPr>
  </w:style>
  <w:style w:type="character" w:styleId="EndnoteReference">
    <w:name w:val="endnote reference"/>
    <w:basedOn w:val="DefaultParagraphFont"/>
    <w:uiPriority w:val="99"/>
    <w:semiHidden/>
    <w:unhideWhenUsed/>
    <w:rsid w:val="00AA4F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9087">
      <w:bodyDiv w:val="1"/>
      <w:marLeft w:val="0"/>
      <w:marRight w:val="0"/>
      <w:marTop w:val="0"/>
      <w:marBottom w:val="0"/>
      <w:divBdr>
        <w:top w:val="none" w:sz="0" w:space="0" w:color="auto"/>
        <w:left w:val="none" w:sz="0" w:space="0" w:color="auto"/>
        <w:bottom w:val="none" w:sz="0" w:space="0" w:color="auto"/>
        <w:right w:val="none" w:sz="0" w:space="0" w:color="auto"/>
      </w:divBdr>
    </w:div>
    <w:div w:id="156263160">
      <w:bodyDiv w:val="1"/>
      <w:marLeft w:val="0"/>
      <w:marRight w:val="0"/>
      <w:marTop w:val="0"/>
      <w:marBottom w:val="0"/>
      <w:divBdr>
        <w:top w:val="none" w:sz="0" w:space="0" w:color="auto"/>
        <w:left w:val="none" w:sz="0" w:space="0" w:color="auto"/>
        <w:bottom w:val="none" w:sz="0" w:space="0" w:color="auto"/>
        <w:right w:val="none" w:sz="0" w:space="0" w:color="auto"/>
      </w:divBdr>
    </w:div>
    <w:div w:id="181746524">
      <w:bodyDiv w:val="1"/>
      <w:marLeft w:val="0"/>
      <w:marRight w:val="0"/>
      <w:marTop w:val="0"/>
      <w:marBottom w:val="0"/>
      <w:divBdr>
        <w:top w:val="none" w:sz="0" w:space="0" w:color="auto"/>
        <w:left w:val="none" w:sz="0" w:space="0" w:color="auto"/>
        <w:bottom w:val="none" w:sz="0" w:space="0" w:color="auto"/>
        <w:right w:val="none" w:sz="0" w:space="0" w:color="auto"/>
      </w:divBdr>
    </w:div>
    <w:div w:id="341588715">
      <w:bodyDiv w:val="1"/>
      <w:marLeft w:val="0"/>
      <w:marRight w:val="0"/>
      <w:marTop w:val="0"/>
      <w:marBottom w:val="0"/>
      <w:divBdr>
        <w:top w:val="none" w:sz="0" w:space="0" w:color="auto"/>
        <w:left w:val="none" w:sz="0" w:space="0" w:color="auto"/>
        <w:bottom w:val="none" w:sz="0" w:space="0" w:color="auto"/>
        <w:right w:val="none" w:sz="0" w:space="0" w:color="auto"/>
      </w:divBdr>
    </w:div>
    <w:div w:id="364792800">
      <w:bodyDiv w:val="1"/>
      <w:marLeft w:val="0"/>
      <w:marRight w:val="0"/>
      <w:marTop w:val="0"/>
      <w:marBottom w:val="0"/>
      <w:divBdr>
        <w:top w:val="none" w:sz="0" w:space="0" w:color="auto"/>
        <w:left w:val="none" w:sz="0" w:space="0" w:color="auto"/>
        <w:bottom w:val="none" w:sz="0" w:space="0" w:color="auto"/>
        <w:right w:val="none" w:sz="0" w:space="0" w:color="auto"/>
      </w:divBdr>
    </w:div>
    <w:div w:id="426733619">
      <w:bodyDiv w:val="1"/>
      <w:marLeft w:val="0"/>
      <w:marRight w:val="0"/>
      <w:marTop w:val="0"/>
      <w:marBottom w:val="0"/>
      <w:divBdr>
        <w:top w:val="none" w:sz="0" w:space="0" w:color="auto"/>
        <w:left w:val="none" w:sz="0" w:space="0" w:color="auto"/>
        <w:bottom w:val="none" w:sz="0" w:space="0" w:color="auto"/>
        <w:right w:val="none" w:sz="0" w:space="0" w:color="auto"/>
      </w:divBdr>
    </w:div>
    <w:div w:id="428935759">
      <w:bodyDiv w:val="1"/>
      <w:marLeft w:val="0"/>
      <w:marRight w:val="0"/>
      <w:marTop w:val="0"/>
      <w:marBottom w:val="0"/>
      <w:divBdr>
        <w:top w:val="none" w:sz="0" w:space="0" w:color="auto"/>
        <w:left w:val="none" w:sz="0" w:space="0" w:color="auto"/>
        <w:bottom w:val="none" w:sz="0" w:space="0" w:color="auto"/>
        <w:right w:val="none" w:sz="0" w:space="0" w:color="auto"/>
      </w:divBdr>
    </w:div>
    <w:div w:id="603540211">
      <w:bodyDiv w:val="1"/>
      <w:marLeft w:val="0"/>
      <w:marRight w:val="0"/>
      <w:marTop w:val="0"/>
      <w:marBottom w:val="0"/>
      <w:divBdr>
        <w:top w:val="none" w:sz="0" w:space="0" w:color="auto"/>
        <w:left w:val="none" w:sz="0" w:space="0" w:color="auto"/>
        <w:bottom w:val="none" w:sz="0" w:space="0" w:color="auto"/>
        <w:right w:val="none" w:sz="0" w:space="0" w:color="auto"/>
      </w:divBdr>
    </w:div>
    <w:div w:id="615674419">
      <w:bodyDiv w:val="1"/>
      <w:marLeft w:val="0"/>
      <w:marRight w:val="0"/>
      <w:marTop w:val="0"/>
      <w:marBottom w:val="0"/>
      <w:divBdr>
        <w:top w:val="none" w:sz="0" w:space="0" w:color="auto"/>
        <w:left w:val="none" w:sz="0" w:space="0" w:color="auto"/>
        <w:bottom w:val="none" w:sz="0" w:space="0" w:color="auto"/>
        <w:right w:val="none" w:sz="0" w:space="0" w:color="auto"/>
      </w:divBdr>
    </w:div>
    <w:div w:id="745761922">
      <w:bodyDiv w:val="1"/>
      <w:marLeft w:val="0"/>
      <w:marRight w:val="0"/>
      <w:marTop w:val="0"/>
      <w:marBottom w:val="0"/>
      <w:divBdr>
        <w:top w:val="none" w:sz="0" w:space="0" w:color="auto"/>
        <w:left w:val="none" w:sz="0" w:space="0" w:color="auto"/>
        <w:bottom w:val="none" w:sz="0" w:space="0" w:color="auto"/>
        <w:right w:val="none" w:sz="0" w:space="0" w:color="auto"/>
      </w:divBdr>
    </w:div>
    <w:div w:id="811797719">
      <w:bodyDiv w:val="1"/>
      <w:marLeft w:val="0"/>
      <w:marRight w:val="0"/>
      <w:marTop w:val="0"/>
      <w:marBottom w:val="0"/>
      <w:divBdr>
        <w:top w:val="none" w:sz="0" w:space="0" w:color="auto"/>
        <w:left w:val="none" w:sz="0" w:space="0" w:color="auto"/>
        <w:bottom w:val="none" w:sz="0" w:space="0" w:color="auto"/>
        <w:right w:val="none" w:sz="0" w:space="0" w:color="auto"/>
      </w:divBdr>
    </w:div>
    <w:div w:id="839269400">
      <w:bodyDiv w:val="1"/>
      <w:marLeft w:val="0"/>
      <w:marRight w:val="0"/>
      <w:marTop w:val="0"/>
      <w:marBottom w:val="0"/>
      <w:divBdr>
        <w:top w:val="none" w:sz="0" w:space="0" w:color="auto"/>
        <w:left w:val="none" w:sz="0" w:space="0" w:color="auto"/>
        <w:bottom w:val="none" w:sz="0" w:space="0" w:color="auto"/>
        <w:right w:val="none" w:sz="0" w:space="0" w:color="auto"/>
      </w:divBdr>
    </w:div>
    <w:div w:id="952976917">
      <w:bodyDiv w:val="1"/>
      <w:marLeft w:val="0"/>
      <w:marRight w:val="0"/>
      <w:marTop w:val="0"/>
      <w:marBottom w:val="0"/>
      <w:divBdr>
        <w:top w:val="none" w:sz="0" w:space="0" w:color="auto"/>
        <w:left w:val="none" w:sz="0" w:space="0" w:color="auto"/>
        <w:bottom w:val="none" w:sz="0" w:space="0" w:color="auto"/>
        <w:right w:val="none" w:sz="0" w:space="0" w:color="auto"/>
      </w:divBdr>
    </w:div>
    <w:div w:id="1016888678">
      <w:bodyDiv w:val="1"/>
      <w:marLeft w:val="0"/>
      <w:marRight w:val="0"/>
      <w:marTop w:val="0"/>
      <w:marBottom w:val="0"/>
      <w:divBdr>
        <w:top w:val="none" w:sz="0" w:space="0" w:color="auto"/>
        <w:left w:val="none" w:sz="0" w:space="0" w:color="auto"/>
        <w:bottom w:val="none" w:sz="0" w:space="0" w:color="auto"/>
        <w:right w:val="none" w:sz="0" w:space="0" w:color="auto"/>
      </w:divBdr>
    </w:div>
    <w:div w:id="1019239377">
      <w:bodyDiv w:val="1"/>
      <w:marLeft w:val="0"/>
      <w:marRight w:val="0"/>
      <w:marTop w:val="0"/>
      <w:marBottom w:val="0"/>
      <w:divBdr>
        <w:top w:val="none" w:sz="0" w:space="0" w:color="auto"/>
        <w:left w:val="none" w:sz="0" w:space="0" w:color="auto"/>
        <w:bottom w:val="none" w:sz="0" w:space="0" w:color="auto"/>
        <w:right w:val="none" w:sz="0" w:space="0" w:color="auto"/>
      </w:divBdr>
    </w:div>
    <w:div w:id="1027559984">
      <w:bodyDiv w:val="1"/>
      <w:marLeft w:val="0"/>
      <w:marRight w:val="0"/>
      <w:marTop w:val="0"/>
      <w:marBottom w:val="0"/>
      <w:divBdr>
        <w:top w:val="none" w:sz="0" w:space="0" w:color="auto"/>
        <w:left w:val="none" w:sz="0" w:space="0" w:color="auto"/>
        <w:bottom w:val="none" w:sz="0" w:space="0" w:color="auto"/>
        <w:right w:val="none" w:sz="0" w:space="0" w:color="auto"/>
      </w:divBdr>
    </w:div>
    <w:div w:id="1128745371">
      <w:bodyDiv w:val="1"/>
      <w:marLeft w:val="0"/>
      <w:marRight w:val="0"/>
      <w:marTop w:val="0"/>
      <w:marBottom w:val="0"/>
      <w:divBdr>
        <w:top w:val="none" w:sz="0" w:space="0" w:color="auto"/>
        <w:left w:val="none" w:sz="0" w:space="0" w:color="auto"/>
        <w:bottom w:val="none" w:sz="0" w:space="0" w:color="auto"/>
        <w:right w:val="none" w:sz="0" w:space="0" w:color="auto"/>
      </w:divBdr>
    </w:div>
    <w:div w:id="1564484243">
      <w:bodyDiv w:val="1"/>
      <w:marLeft w:val="0"/>
      <w:marRight w:val="0"/>
      <w:marTop w:val="0"/>
      <w:marBottom w:val="0"/>
      <w:divBdr>
        <w:top w:val="none" w:sz="0" w:space="0" w:color="auto"/>
        <w:left w:val="none" w:sz="0" w:space="0" w:color="auto"/>
        <w:bottom w:val="none" w:sz="0" w:space="0" w:color="auto"/>
        <w:right w:val="none" w:sz="0" w:space="0" w:color="auto"/>
      </w:divBdr>
    </w:div>
    <w:div w:id="1580478510">
      <w:bodyDiv w:val="1"/>
      <w:marLeft w:val="0"/>
      <w:marRight w:val="0"/>
      <w:marTop w:val="0"/>
      <w:marBottom w:val="0"/>
      <w:divBdr>
        <w:top w:val="none" w:sz="0" w:space="0" w:color="auto"/>
        <w:left w:val="none" w:sz="0" w:space="0" w:color="auto"/>
        <w:bottom w:val="none" w:sz="0" w:space="0" w:color="auto"/>
        <w:right w:val="none" w:sz="0" w:space="0" w:color="auto"/>
      </w:divBdr>
    </w:div>
    <w:div w:id="1612316844">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78877106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1982076328">
      <w:bodyDiv w:val="1"/>
      <w:marLeft w:val="0"/>
      <w:marRight w:val="0"/>
      <w:marTop w:val="0"/>
      <w:marBottom w:val="0"/>
      <w:divBdr>
        <w:top w:val="none" w:sz="0" w:space="0" w:color="auto"/>
        <w:left w:val="none" w:sz="0" w:space="0" w:color="auto"/>
        <w:bottom w:val="none" w:sz="0" w:space="0" w:color="auto"/>
        <w:right w:val="none" w:sz="0" w:space="0" w:color="auto"/>
      </w:divBdr>
    </w:div>
    <w:div w:id="1988438808">
      <w:bodyDiv w:val="1"/>
      <w:marLeft w:val="0"/>
      <w:marRight w:val="0"/>
      <w:marTop w:val="0"/>
      <w:marBottom w:val="0"/>
      <w:divBdr>
        <w:top w:val="none" w:sz="0" w:space="0" w:color="auto"/>
        <w:left w:val="none" w:sz="0" w:space="0" w:color="auto"/>
        <w:bottom w:val="none" w:sz="0" w:space="0" w:color="auto"/>
        <w:right w:val="none" w:sz="0" w:space="0" w:color="auto"/>
      </w:divBdr>
    </w:div>
    <w:div w:id="2135437451">
      <w:bodyDiv w:val="1"/>
      <w:marLeft w:val="0"/>
      <w:marRight w:val="0"/>
      <w:marTop w:val="0"/>
      <w:marBottom w:val="0"/>
      <w:divBdr>
        <w:top w:val="none" w:sz="0" w:space="0" w:color="auto"/>
        <w:left w:val="none" w:sz="0" w:space="0" w:color="auto"/>
        <w:bottom w:val="none" w:sz="0" w:space="0" w:color="auto"/>
        <w:right w:val="none" w:sz="0" w:space="0" w:color="auto"/>
      </w:divBdr>
    </w:div>
    <w:div w:id="214106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health.gov.au/resources/publications/private-hospital-financial-viability-health-check-summary?language=en"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02/hec.4751" TargetMode="External"/><Relationship Id="rId3" Type="http://schemas.openxmlformats.org/officeDocument/2006/relationships/hyperlink" Target="https://consultations.health.gov.au/medical-benefits-division/ongoing-consultation-phi-mls-rebate/supporting_documents/Paper%203%20%20Themes%20from%20Stakeholder%20Engagement%20pack%20%20Feb%202022.pdf" TargetMode="External"/><Relationship Id="rId7" Type="http://schemas.openxmlformats.org/officeDocument/2006/relationships/hyperlink" Target="https://doi.org/10.1002/hec.4751" TargetMode="External"/><Relationship Id="rId12" Type="http://schemas.openxmlformats.org/officeDocument/2006/relationships/hyperlink" Target="https://consultations.health.gov.au/medical-benefits-division/consultation-on-phi-studies/supporting_documents/Finity%20Consulting%20MLS%20and%20PHI%20Rebate%20Final%20Report.pdf" TargetMode="External"/><Relationship Id="rId2" Type="http://schemas.openxmlformats.org/officeDocument/2006/relationships/hyperlink" Target="https://consultations.health.gov.au/medical-benefits-division/consultation-on-phi-studies/supporting_documents/Finity%20Consulting%20MLS%20and%20PHI%20Rebate%20Final%20Report.pdf" TargetMode="External"/><Relationship Id="rId1" Type="http://schemas.openxmlformats.org/officeDocument/2006/relationships/hyperlink" Target="https://www.apra.gov.au/quarterly-private-health-insurance-statistics" TargetMode="External"/><Relationship Id="rId6" Type="http://schemas.openxmlformats.org/officeDocument/2006/relationships/hyperlink" Target="https://oia.pmc.gov.au/resources/guidance-assessing-impacts/regulatory-burden-measurement-framework" TargetMode="External"/><Relationship Id="rId11" Type="http://schemas.openxmlformats.org/officeDocument/2006/relationships/hyperlink" Target="https://consultations.health.gov.au/medical-benefits-division/consultation-on-phi-studies/" TargetMode="External"/><Relationship Id="rId5" Type="http://schemas.openxmlformats.org/officeDocument/2006/relationships/hyperlink" Target="https://consultations.health.gov.au/medical-benefits-division/consultation-on-phi-studies/supporting_documents/Finity%20Consulting%20MLS%20and%20PHI%20Rebate%20Final%20Report.pdf" TargetMode="External"/><Relationship Id="rId10" Type="http://schemas.openxmlformats.org/officeDocument/2006/relationships/hyperlink" Target="https://consultations.health.gov.au/medical-benefits-division/ongoing-consultation-phi-mls-rebate/supporting_documents/Paper%203%20%20Themes%20from%20Stakeholder%20Engagement%20pack%20%20Feb%202022.pdf" TargetMode="External"/><Relationship Id="rId4" Type="http://schemas.openxmlformats.org/officeDocument/2006/relationships/hyperlink" Target="https://doi.org/10.1002/hec.4751" TargetMode="External"/><Relationship Id="rId9" Type="http://schemas.openxmlformats.org/officeDocument/2006/relationships/hyperlink" Target="https://consultations.health.gov.au/medical-benefits-division/consultation-on-phi-studies/supporting_documents/Finity%20Consulting%20MLS%20and%20PHI%20Rebate%20Final%20Report.pdf" TargetMode="External"/></Relationships>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9B10C-4885-4F8E-913F-86FC937F37CE}">
  <ds:schemaRefs>
    <ds:schemaRef ds:uri="http://schemas.openxmlformats.org/officeDocument/2006/bibliography"/>
  </ds:schemaRefs>
</ds:datastoreItem>
</file>

<file path=docMetadata/LabelInfo.xml><?xml version="1.0" encoding="utf-8"?>
<clbl:labelList xmlns:clbl="http://schemas.microsoft.com/office/2020/mipLabelMetadata">
  <clbl:label id="{1662b56b-7551-4282-85fb-f249a1bf4391}"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Template>
  <TotalTime>0</TotalTime>
  <Pages>50</Pages>
  <Words>13893</Words>
  <Characters>74469</Characters>
  <Application>Microsoft Office Word</Application>
  <DocSecurity>0</DocSecurity>
  <Lines>1432</Lines>
  <Paragraphs>755</Paragraphs>
  <ScaleCrop>false</ScaleCrop>
  <Manager/>
  <Company/>
  <LinksUpToDate>false</LinksUpToDate>
  <CharactersWithSpaces>87607</CharactersWithSpaces>
  <SharedDoc>false</SharedDoc>
  <HLinks>
    <vt:vector size="78" baseType="variant">
      <vt:variant>
        <vt:i4>2424930</vt:i4>
      </vt:variant>
      <vt:variant>
        <vt:i4>0</vt:i4>
      </vt:variant>
      <vt:variant>
        <vt:i4>0</vt:i4>
      </vt:variant>
      <vt:variant>
        <vt:i4>5</vt:i4>
      </vt:variant>
      <vt:variant>
        <vt:lpwstr>https://www.health.gov.au/resources/publications/private-hospital-financial-viability-health-check-summary?language=en</vt:lpwstr>
      </vt:variant>
      <vt:variant>
        <vt:lpwstr/>
      </vt:variant>
      <vt:variant>
        <vt:i4>852067</vt:i4>
      </vt:variant>
      <vt:variant>
        <vt:i4>33</vt:i4>
      </vt:variant>
      <vt:variant>
        <vt:i4>0</vt:i4>
      </vt:variant>
      <vt:variant>
        <vt:i4>5</vt:i4>
      </vt:variant>
      <vt:variant>
        <vt:lpwstr>https://consultations.health.gov.au/medical-benefits-division/consultation-on-phi-studies/supporting_documents/Finity Consulting MLS and PHI Rebate Final Report.pdf</vt:lpwstr>
      </vt:variant>
      <vt:variant>
        <vt:lpwstr/>
      </vt:variant>
      <vt:variant>
        <vt:i4>2555936</vt:i4>
      </vt:variant>
      <vt:variant>
        <vt:i4>30</vt:i4>
      </vt:variant>
      <vt:variant>
        <vt:i4>0</vt:i4>
      </vt:variant>
      <vt:variant>
        <vt:i4>5</vt:i4>
      </vt:variant>
      <vt:variant>
        <vt:lpwstr>https://consultations.health.gov.au/medical-benefits-division/consultation-on-phi-studies/</vt:lpwstr>
      </vt:variant>
      <vt:variant>
        <vt:lpwstr/>
      </vt:variant>
      <vt:variant>
        <vt:i4>1835071</vt:i4>
      </vt:variant>
      <vt:variant>
        <vt:i4>27</vt:i4>
      </vt:variant>
      <vt:variant>
        <vt:i4>0</vt:i4>
      </vt:variant>
      <vt:variant>
        <vt:i4>5</vt:i4>
      </vt:variant>
      <vt:variant>
        <vt:lpwstr>https://consultations.health.gov.au/medical-benefits-division/ongoing-consultation-phi-mls-rebate/supporting_documents/Paper 3  Themes from Stakeholder Engagement pack  Feb 2022.pdf</vt:lpwstr>
      </vt:variant>
      <vt:variant>
        <vt:lpwstr/>
      </vt:variant>
      <vt:variant>
        <vt:i4>852067</vt:i4>
      </vt:variant>
      <vt:variant>
        <vt:i4>24</vt:i4>
      </vt:variant>
      <vt:variant>
        <vt:i4>0</vt:i4>
      </vt:variant>
      <vt:variant>
        <vt:i4>5</vt:i4>
      </vt:variant>
      <vt:variant>
        <vt:lpwstr>https://consultations.health.gov.au/medical-benefits-division/consultation-on-phi-studies/supporting_documents/Finity Consulting MLS and PHI Rebate Final Report.pdf</vt:lpwstr>
      </vt:variant>
      <vt:variant>
        <vt:lpwstr/>
      </vt:variant>
      <vt:variant>
        <vt:i4>6160466</vt:i4>
      </vt:variant>
      <vt:variant>
        <vt:i4>21</vt:i4>
      </vt:variant>
      <vt:variant>
        <vt:i4>0</vt:i4>
      </vt:variant>
      <vt:variant>
        <vt:i4>5</vt:i4>
      </vt:variant>
      <vt:variant>
        <vt:lpwstr>https://doi.org/10.1002/hec.4751</vt:lpwstr>
      </vt:variant>
      <vt:variant>
        <vt:lpwstr/>
      </vt:variant>
      <vt:variant>
        <vt:i4>6160466</vt:i4>
      </vt:variant>
      <vt:variant>
        <vt:i4>18</vt:i4>
      </vt:variant>
      <vt:variant>
        <vt:i4>0</vt:i4>
      </vt:variant>
      <vt:variant>
        <vt:i4>5</vt:i4>
      </vt:variant>
      <vt:variant>
        <vt:lpwstr>https://doi.org/10.1002/hec.4751</vt:lpwstr>
      </vt:variant>
      <vt:variant>
        <vt:lpwstr/>
      </vt:variant>
      <vt:variant>
        <vt:i4>7995489</vt:i4>
      </vt:variant>
      <vt:variant>
        <vt:i4>15</vt:i4>
      </vt:variant>
      <vt:variant>
        <vt:i4>0</vt:i4>
      </vt:variant>
      <vt:variant>
        <vt:i4>5</vt:i4>
      </vt:variant>
      <vt:variant>
        <vt:lpwstr>https://oia.pmc.gov.au/resources/guidance-assessing-impacts/regulatory-burden-measurement-framework</vt:lpwstr>
      </vt:variant>
      <vt:variant>
        <vt:lpwstr/>
      </vt:variant>
      <vt:variant>
        <vt:i4>852067</vt:i4>
      </vt:variant>
      <vt:variant>
        <vt:i4>12</vt:i4>
      </vt:variant>
      <vt:variant>
        <vt:i4>0</vt:i4>
      </vt:variant>
      <vt:variant>
        <vt:i4>5</vt:i4>
      </vt:variant>
      <vt:variant>
        <vt:lpwstr>https://consultations.health.gov.au/medical-benefits-division/consultation-on-phi-studies/supporting_documents/Finity Consulting MLS and PHI Rebate Final Report.pdf</vt:lpwstr>
      </vt:variant>
      <vt:variant>
        <vt:lpwstr/>
      </vt:variant>
      <vt:variant>
        <vt:i4>6160466</vt:i4>
      </vt:variant>
      <vt:variant>
        <vt:i4>9</vt:i4>
      </vt:variant>
      <vt:variant>
        <vt:i4>0</vt:i4>
      </vt:variant>
      <vt:variant>
        <vt:i4>5</vt:i4>
      </vt:variant>
      <vt:variant>
        <vt:lpwstr>https://doi.org/10.1002/hec.4751</vt:lpwstr>
      </vt:variant>
      <vt:variant>
        <vt:lpwstr/>
      </vt:variant>
      <vt:variant>
        <vt:i4>1835071</vt:i4>
      </vt:variant>
      <vt:variant>
        <vt:i4>6</vt:i4>
      </vt:variant>
      <vt:variant>
        <vt:i4>0</vt:i4>
      </vt:variant>
      <vt:variant>
        <vt:i4>5</vt:i4>
      </vt:variant>
      <vt:variant>
        <vt:lpwstr>https://consultations.health.gov.au/medical-benefits-division/ongoing-consultation-phi-mls-rebate/supporting_documents/Paper 3  Themes from Stakeholder Engagement pack  Feb 2022.pdf</vt:lpwstr>
      </vt:variant>
      <vt:variant>
        <vt:lpwstr/>
      </vt:variant>
      <vt:variant>
        <vt:i4>852067</vt:i4>
      </vt:variant>
      <vt:variant>
        <vt:i4>3</vt:i4>
      </vt:variant>
      <vt:variant>
        <vt:i4>0</vt:i4>
      </vt:variant>
      <vt:variant>
        <vt:i4>5</vt:i4>
      </vt:variant>
      <vt:variant>
        <vt:lpwstr>https://consultations.health.gov.au/medical-benefits-division/consultation-on-phi-studies/supporting_documents/Finity Consulting MLS and PHI Rebate Final Report.pdf</vt:lpwstr>
      </vt:variant>
      <vt:variant>
        <vt:lpwstr/>
      </vt:variant>
      <vt:variant>
        <vt:i4>1441861</vt:i4>
      </vt:variant>
      <vt:variant>
        <vt:i4>0</vt:i4>
      </vt:variant>
      <vt:variant>
        <vt:i4>0</vt:i4>
      </vt:variant>
      <vt:variant>
        <vt:i4>5</vt:i4>
      </vt:variant>
      <vt:variant>
        <vt:lpwstr>https://www.apra.gov.au/quarterly-private-health-insurance-statistics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2026-05-12T23:27:00Z</dcterms:created>
  <dcterms:modified xsi:type="dcterms:W3CDTF">2026-05-12T23:27:00Z</dcterms:modified>
  <cp:category/>
</cp:coreProperties>
</file>