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127B" w14:textId="24B4DA00" w:rsidR="00A62EF3" w:rsidRPr="00FC5955" w:rsidRDefault="00B022AA" w:rsidP="006D71DA">
      <w:pPr>
        <w:pStyle w:val="Title"/>
        <w:spacing w:after="120"/>
        <w:rPr>
          <w:rFonts w:ascii="Calibri" w:hAnsi="Calibri" w:cs="Calibri"/>
          <w:sz w:val="52"/>
        </w:rPr>
      </w:pPr>
      <w:bookmarkStart w:id="0" w:name="_Toc96326909"/>
      <w:bookmarkStart w:id="1" w:name="_Hlk208479464"/>
      <w:r w:rsidRPr="00D75A8B">
        <w:rPr>
          <w:color w:val="auto"/>
          <w:sz w:val="36"/>
          <w:szCs w:val="36"/>
        </w:rPr>
        <w:t>Ongoing Funding for the Medicare Urgent Care Clinics Program - 2025 Impact Analysis</w:t>
      </w:r>
      <w:bookmarkEnd w:id="1"/>
    </w:p>
    <w:p w14:paraId="3CE5127C" w14:textId="75250F0C" w:rsidR="00A62EF3" w:rsidRPr="008059CB" w:rsidRDefault="00B022AA" w:rsidP="00A62EF3">
      <w:pPr>
        <w:pStyle w:val="Subtitle"/>
        <w:rPr>
          <w:rFonts w:cs="Calibri Light"/>
        </w:rPr>
      </w:pPr>
      <w:r w:rsidRPr="00B022AA">
        <w:rPr>
          <w:rFonts w:cs="Calibri Light"/>
        </w:rPr>
        <w:t>Department of Health, Disability and Aged Care</w:t>
      </w:r>
    </w:p>
    <w:p w14:paraId="3CE5127D" w14:textId="77777777" w:rsidR="00A62EF3" w:rsidRDefault="00000000" w:rsidP="00C13310">
      <w:pPr>
        <w:pStyle w:val="BOXHeading2"/>
        <w:ind w:firstLine="493"/>
        <w:rPr>
          <w:noProof/>
        </w:rPr>
      </w:pPr>
      <w:r>
        <w:rPr>
          <w:noProof/>
        </w:rPr>
        <w:pict w14:anchorId="3CE51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0;margin-top:76.95pt;width:38.65pt;height:38.65pt;z-index:251658752;mso-position-horizontal-relative:margin;mso-position-vertical-relative:margin">
            <v:imagedata r:id="rId8" o:title="Icons28"/>
            <w10:wrap anchorx="margin" anchory="margin"/>
          </v:shape>
        </w:pict>
      </w:r>
      <w:r w:rsidR="00E63FC4">
        <w:rPr>
          <w:noProof/>
        </w:rPr>
        <w:t xml:space="preserve">  </w:t>
      </w:r>
      <w:r w:rsidR="00BE0F4D">
        <w:rPr>
          <w:noProof/>
        </w:rPr>
        <w:t>T</w:t>
      </w:r>
      <w:r w:rsidR="00E13082">
        <w:rPr>
          <w:noProof/>
        </w:rPr>
        <w:t>he</w:t>
      </w:r>
      <w:r w:rsidR="00D13C0A">
        <w:rPr>
          <w:noProof/>
        </w:rPr>
        <w:t xml:space="preserve"> </w:t>
      </w:r>
      <w:r w:rsidR="00E13082">
        <w:rPr>
          <w:noProof/>
        </w:rPr>
        <w:t>policy p</w:t>
      </w:r>
      <w:r w:rsidR="006A2BCA">
        <w:rPr>
          <w:noProof/>
        </w:rPr>
        <w:t>roblem</w:t>
      </w:r>
      <w:bookmarkEnd w:id="0"/>
      <w:r w:rsidR="00BE0F4D">
        <w:rPr>
          <w:noProof/>
        </w:rPr>
        <w:t xml:space="preserve"> and p</w:t>
      </w:r>
      <w:r w:rsidR="00490E25">
        <w:rPr>
          <w:noProof/>
        </w:rPr>
        <w:t>r</w:t>
      </w:r>
      <w:r w:rsidR="00B05108">
        <w:rPr>
          <w:noProof/>
        </w:rPr>
        <w:t>eferred</w:t>
      </w:r>
      <w:r w:rsidR="00BE0F4D">
        <w:rPr>
          <w:noProof/>
        </w:rPr>
        <w:t xml:space="preserve"> </w:t>
      </w:r>
      <w:r w:rsidR="00B05108">
        <w:rPr>
          <w:noProof/>
        </w:rPr>
        <w:t xml:space="preserve">policy </w:t>
      </w:r>
      <w:r w:rsidR="00BE0F4D">
        <w:rPr>
          <w:noProof/>
        </w:rPr>
        <w:t>appro</w:t>
      </w:r>
      <w:r w:rsidR="00E12AB4">
        <w:rPr>
          <w:noProof/>
        </w:rPr>
        <w:t>a</w:t>
      </w:r>
      <w:r w:rsidR="00BE0F4D">
        <w:rPr>
          <w:noProof/>
        </w:rPr>
        <w:t>ch</w:t>
      </w:r>
    </w:p>
    <w:p w14:paraId="4FE27621" w14:textId="77777777" w:rsidR="009E40B2" w:rsidRPr="009E40B2" w:rsidRDefault="009E40B2" w:rsidP="009E40B2">
      <w:pPr>
        <w:pStyle w:val="BOXBulletedList"/>
        <w:numPr>
          <w:ilvl w:val="0"/>
          <w:numId w:val="42"/>
        </w:numPr>
        <w:pBdr>
          <w:bottom w:val="single" w:sz="48" w:space="0" w:color="F2F2F2" w:themeColor="background1" w:themeShade="F2"/>
        </w:pBdr>
        <w:spacing w:after="0"/>
        <w:ind w:left="511" w:hanging="284"/>
      </w:pPr>
      <w:r w:rsidRPr="009E40B2">
        <w:t xml:space="preserve">Public hospital emergency departments (EDs) across Australia are facing growing pressure due to an increase in presentations. This surge has led to longer wait times in some regions, particularly for patients with semi-urgent and non-urgent presentations at </w:t>
      </w:r>
      <w:proofErr w:type="spellStart"/>
      <w:r w:rsidRPr="009E40B2">
        <w:t>EDs.</w:t>
      </w:r>
      <w:proofErr w:type="spellEnd"/>
      <w:r w:rsidRPr="009E40B2">
        <w:t xml:space="preserve"> </w:t>
      </w:r>
    </w:p>
    <w:p w14:paraId="3DDAB837" w14:textId="4E6FD2BA" w:rsidR="009E40B2" w:rsidRPr="009E40B2" w:rsidRDefault="006E2CC2" w:rsidP="009E40B2">
      <w:pPr>
        <w:pStyle w:val="BOXBulletedList"/>
        <w:numPr>
          <w:ilvl w:val="0"/>
          <w:numId w:val="42"/>
        </w:numPr>
        <w:pBdr>
          <w:bottom w:val="single" w:sz="48" w:space="0" w:color="F2F2F2" w:themeColor="background1" w:themeShade="F2"/>
        </w:pBdr>
        <w:spacing w:after="0"/>
        <w:ind w:left="511" w:hanging="284"/>
      </w:pPr>
      <w:r>
        <w:t>R</w:t>
      </w:r>
      <w:r w:rsidR="009E40B2" w:rsidRPr="009E40B2">
        <w:t>ecent declines in GP bulk billing rates and GP services have made it more difficult for many patients to access affordable, timely, face-to-face GP care in the community. In some areas, this has caused patients to visit EDs for affordable access to non-urgent care.</w:t>
      </w:r>
    </w:p>
    <w:p w14:paraId="0AD9E2DC" w14:textId="053AA387" w:rsidR="009E40B2" w:rsidRPr="009E40B2" w:rsidRDefault="009E40B2" w:rsidP="009E40B2">
      <w:pPr>
        <w:pStyle w:val="BOXBulletedList"/>
        <w:numPr>
          <w:ilvl w:val="0"/>
          <w:numId w:val="42"/>
        </w:numPr>
        <w:pBdr>
          <w:bottom w:val="single" w:sz="48" w:space="0" w:color="F2F2F2" w:themeColor="background1" w:themeShade="F2"/>
        </w:pBdr>
        <w:spacing w:after="0"/>
        <w:ind w:left="511" w:hanging="284"/>
      </w:pPr>
      <w:r w:rsidRPr="009E40B2">
        <w:t xml:space="preserve">Medicare Urgent Care Clinics (UCCs) opened from June 2023 to improve local access to urgent care and reduce low-acuity presentations in public hospital EDs, allowing EDs to focus on life-threatening cases. </w:t>
      </w:r>
    </w:p>
    <w:p w14:paraId="63E0D355" w14:textId="77777777" w:rsidR="009E40B2" w:rsidRPr="009E40B2" w:rsidRDefault="009E40B2" w:rsidP="009E40B2">
      <w:pPr>
        <w:pStyle w:val="BOXBulletedList"/>
        <w:numPr>
          <w:ilvl w:val="0"/>
          <w:numId w:val="42"/>
        </w:numPr>
        <w:pBdr>
          <w:bottom w:val="single" w:sz="48" w:space="0" w:color="F2F2F2" w:themeColor="background1" w:themeShade="F2"/>
        </w:pBdr>
        <w:spacing w:after="0"/>
        <w:ind w:left="511" w:hanging="284"/>
      </w:pPr>
      <w:r w:rsidRPr="009E40B2">
        <w:t>Current funding arrangements for 84 existing Medicare Urgent Care Clinics (UCCs) are due to expire from 30 June 2026. Funding for 3 existing clinics and 50 new clinics to be established in 2025-26 expire on 30 June 2028.</w:t>
      </w:r>
      <w:r w:rsidRPr="002353DF">
        <w:t xml:space="preserve"> </w:t>
      </w:r>
    </w:p>
    <w:p w14:paraId="431853AC" w14:textId="1D590282" w:rsidR="009E40B2" w:rsidRPr="009E40B2" w:rsidRDefault="009E40B2" w:rsidP="009E40B2">
      <w:pPr>
        <w:pStyle w:val="BOXBulletedList"/>
        <w:numPr>
          <w:ilvl w:val="0"/>
          <w:numId w:val="42"/>
        </w:numPr>
        <w:pBdr>
          <w:bottom w:val="single" w:sz="48" w:space="0" w:color="F2F2F2" w:themeColor="background1" w:themeShade="F2"/>
        </w:pBdr>
        <w:spacing w:after="0"/>
        <w:ind w:left="511" w:hanging="284"/>
      </w:pPr>
      <w:r w:rsidRPr="00AB6810">
        <w:t>Option 2</w:t>
      </w:r>
      <w:r w:rsidR="004E086D">
        <w:t xml:space="preserve"> is considered</w:t>
      </w:r>
      <w:r w:rsidR="005B282D">
        <w:t xml:space="preserve"> the most effective solution</w:t>
      </w:r>
      <w:r w:rsidR="00ED1542">
        <w:t xml:space="preserve"> </w:t>
      </w:r>
      <w:r w:rsidR="00D92803">
        <w:t>by providing o</w:t>
      </w:r>
      <w:r w:rsidR="00D92803" w:rsidRPr="009E40B2">
        <w:t>ngoing funding for Medicare UCCs</w:t>
      </w:r>
      <w:r w:rsidR="00AF64D8">
        <w:t>,</w:t>
      </w:r>
      <w:r w:rsidR="00970188" w:rsidRPr="00970188">
        <w:t xml:space="preserve"> eas</w:t>
      </w:r>
      <w:r w:rsidR="00AF64D8">
        <w:t>ing</w:t>
      </w:r>
      <w:r w:rsidR="00970188" w:rsidRPr="00970188">
        <w:t xml:space="preserve"> the pressure on our hospitals and giv</w:t>
      </w:r>
      <w:r w:rsidR="00AF64D8">
        <w:t>ing</w:t>
      </w:r>
      <w:r w:rsidR="00970188" w:rsidRPr="00970188">
        <w:t xml:space="preserve"> families more options to see a health care professional when they have an urgent, but not life threatening, need for care.</w:t>
      </w:r>
    </w:p>
    <w:p w14:paraId="3CE51282" w14:textId="77777777" w:rsidR="005505E3" w:rsidRPr="00D859BB" w:rsidRDefault="00000000" w:rsidP="003C1C2C">
      <w:pPr>
        <w:pStyle w:val="BOXHeading2"/>
        <w:spacing w:before="120"/>
        <w:ind w:firstLine="493"/>
      </w:pPr>
      <w:r>
        <w:rPr>
          <w:noProof/>
        </w:rPr>
        <w:pict w14:anchorId="3CE512A7">
          <v:shape id="_x0000_s2052" type="#_x0000_t75" style="position:absolute;left:0;text-align:left;margin-left:0;margin-top:309.3pt;width:38pt;height:38pt;z-index:251657728;mso-position-horizontal-relative:margin;mso-position-vertical-relative:margin;mso-width-relative:page;mso-height-relative:page">
            <v:imagedata r:id="rId9" o:title="Icons16"/>
            <w10:wrap anchorx="margin" anchory="margin"/>
          </v:shape>
        </w:pict>
      </w:r>
      <w:r w:rsidR="00A57585">
        <w:t xml:space="preserve">  </w:t>
      </w:r>
      <w:r w:rsidR="002002ED">
        <w:t>Impact Analysis</w:t>
      </w:r>
    </w:p>
    <w:tbl>
      <w:tblPr>
        <w:tblStyle w:val="Custom11"/>
        <w:tblW w:w="5002" w:type="pct"/>
        <w:tblLook w:val="0420" w:firstRow="1" w:lastRow="0" w:firstColumn="0" w:lastColumn="0" w:noHBand="0" w:noVBand="1"/>
        <w:tblCaption w:val="Table with horizontal lines"/>
        <w:tblDescription w:val="This is an example of alt text."/>
      </w:tblPr>
      <w:tblGrid>
        <w:gridCol w:w="10776"/>
      </w:tblGrid>
      <w:tr w:rsidR="00152412" w:rsidRPr="005505E3" w14:paraId="3CE51284" w14:textId="77777777" w:rsidTr="00F46DB7">
        <w:trPr>
          <w:cnfStyle w:val="100000000000" w:firstRow="1" w:lastRow="0" w:firstColumn="0" w:lastColumn="0" w:oddVBand="0" w:evenVBand="0" w:oddHBand="0" w:evenHBand="0" w:firstRowFirstColumn="0" w:firstRowLastColumn="0" w:lastRowFirstColumn="0" w:lastRowLastColumn="0"/>
          <w:cantSplit/>
          <w:trHeight w:val="340"/>
          <w:tblHeader/>
        </w:trPr>
        <w:tc>
          <w:tcPr>
            <w:tcW w:w="5000" w:type="pct"/>
            <w:tcBorders>
              <w:top w:val="single" w:sz="2" w:space="0" w:color="FFFFFF" w:themeColor="background1"/>
              <w:bottom w:val="single" w:sz="4" w:space="0" w:color="778E61" w:themeColor="accent2"/>
            </w:tcBorders>
            <w:shd w:val="clear" w:color="auto" w:fill="1C2B39"/>
          </w:tcPr>
          <w:p w14:paraId="3CE51283" w14:textId="77777777" w:rsidR="00152412" w:rsidRPr="00152412" w:rsidRDefault="00BE0F4D" w:rsidP="005505E3">
            <w:pPr>
              <w:spacing w:after="0" w:line="240" w:lineRule="auto"/>
              <w:rPr>
                <w:rFonts w:ascii="Calibri" w:hAnsi="Calibri" w:cs="Calibri"/>
                <w:b w:val="0"/>
                <w:color w:val="FFFFFF" w:themeColor="background1"/>
                <w:sz w:val="24"/>
                <w:szCs w:val="18"/>
              </w:rPr>
            </w:pPr>
            <w:r>
              <w:rPr>
                <w:rFonts w:ascii="Calibri" w:hAnsi="Calibri" w:cs="Calibri"/>
                <w:color w:val="FFFFFF" w:themeColor="background1"/>
                <w:sz w:val="24"/>
                <w:szCs w:val="18"/>
              </w:rPr>
              <w:t>Impacts</w:t>
            </w:r>
          </w:p>
        </w:tc>
      </w:tr>
      <w:tr w:rsidR="0044397A" w:rsidRPr="005505E3" w14:paraId="3CE5128D" w14:textId="77777777" w:rsidTr="005C66F5">
        <w:trPr>
          <w:cnfStyle w:val="000000100000" w:firstRow="0" w:lastRow="0" w:firstColumn="0" w:lastColumn="0" w:oddVBand="0" w:evenVBand="0" w:oddHBand="1" w:evenHBand="0" w:firstRowFirstColumn="0" w:firstRowLastColumn="0" w:lastRowFirstColumn="0" w:lastRowLastColumn="0"/>
          <w:trHeight w:val="2301"/>
        </w:trPr>
        <w:tc>
          <w:tcPr>
            <w:tcW w:w="5000" w:type="pct"/>
            <w:tcBorders>
              <w:top w:val="single" w:sz="4" w:space="0" w:color="778E61" w:themeColor="accent2"/>
            </w:tcBorders>
            <w:shd w:val="clear" w:color="auto" w:fill="D8E2EC"/>
          </w:tcPr>
          <w:p w14:paraId="088F8D36" w14:textId="06658104" w:rsidR="00BB55C6" w:rsidRPr="00BB55C6" w:rsidRDefault="00BB55C6" w:rsidP="00BB55C6">
            <w:pPr>
              <w:pStyle w:val="ListParagraph"/>
              <w:numPr>
                <w:ilvl w:val="0"/>
                <w:numId w:val="43"/>
              </w:numPr>
              <w:spacing w:after="0" w:line="240" w:lineRule="auto"/>
              <w:rPr>
                <w:rFonts w:ascii="Calibri" w:hAnsi="Calibri" w:cs="Calibri"/>
                <w:szCs w:val="18"/>
              </w:rPr>
            </w:pPr>
            <w:r>
              <w:t xml:space="preserve">The </w:t>
            </w:r>
            <w:hyperlink r:id="rId10" w:history="1">
              <w:r w:rsidRPr="001D307C">
                <w:rPr>
                  <w:rStyle w:val="Hyperlink"/>
                </w:rPr>
                <w:t>Medicare Urgent Care Clinics Program Evaluation: First Interim Report</w:t>
              </w:r>
            </w:hyperlink>
            <w:r w:rsidRPr="00020577">
              <w:t xml:space="preserve"> </w:t>
            </w:r>
            <w:r>
              <w:t>(Interim Evaluation Report) found</w:t>
            </w:r>
            <w:r w:rsidRPr="00020577">
              <w:t xml:space="preserve"> a median</w:t>
            </w:r>
            <w:r>
              <w:t xml:space="preserve"> patient</w:t>
            </w:r>
            <w:r w:rsidRPr="00020577">
              <w:t xml:space="preserve"> wait time </w:t>
            </w:r>
            <w:r>
              <w:t xml:space="preserve">at Medicare UCCs </w:t>
            </w:r>
            <w:r w:rsidRPr="00020577">
              <w:t>of 14.5 minutes</w:t>
            </w:r>
            <w:r>
              <w:t xml:space="preserve"> (</w:t>
            </w:r>
            <w:r w:rsidR="009E40B2">
              <w:t>from</w:t>
            </w:r>
            <w:r>
              <w:t xml:space="preserve"> 30 June 2023 to 30 September 2024)</w:t>
            </w:r>
            <w:r w:rsidRPr="00020577">
              <w:t>.</w:t>
            </w:r>
            <w:r w:rsidRPr="00FC43BA">
              <w:t xml:space="preserve"> This was shorter than the median waiting times at EDs for triage categories </w:t>
            </w:r>
            <w:r>
              <w:t>4 (semi-urgent)</w:t>
            </w:r>
            <w:r w:rsidRPr="00FC43BA">
              <w:t xml:space="preserve"> which is 31 minutes</w:t>
            </w:r>
            <w:r>
              <w:t>,</w:t>
            </w:r>
            <w:r w:rsidRPr="00FC43BA">
              <w:t xml:space="preserve"> and category </w:t>
            </w:r>
            <w:r>
              <w:t>5 (non-urgent)</w:t>
            </w:r>
            <w:r w:rsidRPr="00FC43BA">
              <w:t xml:space="preserve"> which is 24 minutes, noting that these waiting times are not directly comparable.</w:t>
            </w:r>
            <w:r>
              <w:rPr>
                <w:rStyle w:val="FootnoteReference"/>
              </w:rPr>
              <w:footnoteReference w:id="1"/>
            </w:r>
          </w:p>
          <w:p w14:paraId="2A4FF566" w14:textId="3F5CDB28" w:rsidR="00BB55C6" w:rsidRPr="00BB55C6" w:rsidRDefault="00BB55C6" w:rsidP="00BB55C6">
            <w:pPr>
              <w:pStyle w:val="ListParagraph"/>
              <w:numPr>
                <w:ilvl w:val="0"/>
                <w:numId w:val="43"/>
              </w:numPr>
              <w:spacing w:after="0" w:line="240" w:lineRule="auto"/>
              <w:rPr>
                <w:rFonts w:ascii="Calibri" w:hAnsi="Calibri" w:cs="Calibri"/>
                <w:szCs w:val="18"/>
              </w:rPr>
            </w:pPr>
            <w:r>
              <w:t xml:space="preserve">Ongoing funding for Medicare UCCs </w:t>
            </w:r>
            <w:r w:rsidR="006B0B5F">
              <w:t>will</w:t>
            </w:r>
            <w:r>
              <w:t xml:space="preserve"> help ensure a consistent predictable model of urgent care regardless of jurisdiction</w:t>
            </w:r>
            <w:r w:rsidR="006B0B5F">
              <w:t>.</w:t>
            </w:r>
            <w:r>
              <w:t xml:space="preserve"> </w:t>
            </w:r>
          </w:p>
          <w:p w14:paraId="61E31AB4" w14:textId="77777777" w:rsidR="00BB55C6" w:rsidRPr="00BB55C6" w:rsidRDefault="00BB55C6" w:rsidP="00BB55C6">
            <w:pPr>
              <w:pStyle w:val="ListParagraph"/>
              <w:numPr>
                <w:ilvl w:val="0"/>
                <w:numId w:val="43"/>
              </w:numPr>
              <w:spacing w:after="0" w:line="240" w:lineRule="auto"/>
            </w:pPr>
            <w:r w:rsidRPr="00BB55C6">
              <w:t>Existing Medicare UCC providers will benefit from more predictable funding for participation in the program. The surrounding community will benefit from local infrastructure and maintaining job opportunities.</w:t>
            </w:r>
          </w:p>
          <w:p w14:paraId="3CE5128C" w14:textId="6A7BA52B" w:rsidR="0044397A" w:rsidRPr="00BB55C6" w:rsidRDefault="00BB55C6" w:rsidP="00BB55C6">
            <w:pPr>
              <w:pStyle w:val="ListParagraph"/>
              <w:numPr>
                <w:ilvl w:val="0"/>
                <w:numId w:val="43"/>
              </w:numPr>
              <w:spacing w:after="0" w:line="240" w:lineRule="auto"/>
            </w:pPr>
            <w:r w:rsidRPr="00E36FEE">
              <w:rPr>
                <w:bCs/>
              </w:rPr>
              <w:t>The Interim Evaluation Report, estimated a</w:t>
            </w:r>
            <w:r w:rsidRPr="00E36FEE">
              <w:t xml:space="preserve">s </w:t>
            </w:r>
            <w:proofErr w:type="gramStart"/>
            <w:r w:rsidRPr="00E36FEE">
              <w:t>at</w:t>
            </w:r>
            <w:proofErr w:type="gramEnd"/>
            <w:r w:rsidRPr="00E36FEE">
              <w:t xml:space="preserve"> 30 September </w:t>
            </w:r>
            <w:r w:rsidRPr="00A5309F">
              <w:t>2024, 334,000 presentations to partner hospital EDs would have been avoided annually due to the availability of Medicare UCCs. Medicare UCC presentation</w:t>
            </w:r>
            <w:r w:rsidR="00DB32D8">
              <w:t>s</w:t>
            </w:r>
            <w:r w:rsidRPr="00A5309F">
              <w:t xml:space="preserve"> that otherwise would have gone to the ED cost $248</w:t>
            </w:r>
            <w:r w:rsidR="00295BE1">
              <w:t>,</w:t>
            </w:r>
            <w:r w:rsidRPr="00A5309F">
              <w:t xml:space="preserve"> compared to the cost of an ED visit of around $616.</w:t>
            </w:r>
            <w:r w:rsidR="00DB32D8">
              <w:rPr>
                <w:rStyle w:val="FootnoteReference"/>
              </w:rPr>
              <w:footnoteReference w:id="2"/>
            </w:r>
            <w:r w:rsidRPr="00A5309F">
              <w:t xml:space="preserve"> This equates to over </w:t>
            </w:r>
            <w:r w:rsidRPr="00D75A8B">
              <w:rPr>
                <w:b/>
                <w:bCs/>
              </w:rPr>
              <w:t>$122 million</w:t>
            </w:r>
            <w:r w:rsidRPr="00A5309F">
              <w:t xml:space="preserve"> savings annually.</w:t>
            </w:r>
            <w:r w:rsidR="00DB32D8">
              <w:rPr>
                <w:rStyle w:val="FootnoteReference"/>
              </w:rPr>
              <w:footnoteReference w:id="3"/>
            </w:r>
          </w:p>
        </w:tc>
      </w:tr>
    </w:tbl>
    <w:p w14:paraId="3CE512A5" w14:textId="14089AD7" w:rsidR="002D37AE" w:rsidRPr="005C66F5" w:rsidRDefault="005C66F5" w:rsidP="005C66F5">
      <w:pPr>
        <w:pBdr>
          <w:top w:val="single" w:sz="8" w:space="1" w:color="auto"/>
          <w:left w:val="single" w:sz="8" w:space="4" w:color="auto"/>
          <w:bottom w:val="single" w:sz="8" w:space="1" w:color="auto"/>
          <w:right w:val="single" w:sz="8" w:space="4" w:color="auto"/>
        </w:pBdr>
        <w:shd w:val="clear" w:color="auto" w:fill="1C2B39"/>
        <w:spacing w:before="240" w:after="0"/>
        <w:ind w:left="113" w:right="108"/>
        <w:outlineLvl w:val="2"/>
        <w:rPr>
          <w:rFonts w:ascii="Calibri" w:hAnsi="Calibri" w:cs="Calibri"/>
          <w:b/>
          <w:color w:val="FFFFFF" w:themeColor="background1"/>
          <w:sz w:val="24"/>
        </w:rPr>
      </w:pPr>
      <w:r w:rsidRPr="005C66F5">
        <w:rPr>
          <w:rFonts w:ascii="Calibri" w:hAnsi="Calibri" w:cs="Calibri"/>
          <w:b/>
          <w:color w:val="FFFFFF" w:themeColor="background1"/>
          <w:sz w:val="24"/>
        </w:rPr>
        <w:t>Who is impacted</w:t>
      </w:r>
    </w:p>
    <w:tbl>
      <w:tblPr>
        <w:tblStyle w:val="Custom11"/>
        <w:tblW w:w="5002" w:type="pct"/>
        <w:tblLook w:val="0420" w:firstRow="1" w:lastRow="0" w:firstColumn="0" w:lastColumn="0" w:noHBand="0" w:noVBand="1"/>
      </w:tblPr>
      <w:tblGrid>
        <w:gridCol w:w="3592"/>
        <w:gridCol w:w="3593"/>
        <w:gridCol w:w="3591"/>
      </w:tblGrid>
      <w:tr w:rsidR="005C66F5" w14:paraId="189C75F0" w14:textId="77777777" w:rsidTr="00F46DB7">
        <w:trPr>
          <w:cnfStyle w:val="100000000000" w:firstRow="1" w:lastRow="0" w:firstColumn="0" w:lastColumn="0" w:oddVBand="0" w:evenVBand="0" w:oddHBand="0" w:evenHBand="0" w:firstRowFirstColumn="0" w:firstRowLastColumn="0" w:lastRowFirstColumn="0" w:lastRowLastColumn="0"/>
          <w:cantSplit/>
          <w:trHeight w:val="221"/>
          <w:tblHeader/>
        </w:trPr>
        <w:tc>
          <w:tcPr>
            <w:tcW w:w="1667" w:type="pct"/>
            <w:tcBorders>
              <w:top w:val="single" w:sz="4" w:space="0" w:color="778E61" w:themeColor="accent2"/>
            </w:tcBorders>
            <w:shd w:val="clear" w:color="auto" w:fill="1C2B39"/>
          </w:tcPr>
          <w:p w14:paraId="69BE6F48" w14:textId="77777777" w:rsidR="005C66F5" w:rsidRDefault="005C66F5" w:rsidP="00506155">
            <w:pPr>
              <w:spacing w:after="0" w:line="240" w:lineRule="auto"/>
              <w:rPr>
                <w:rFonts w:ascii="Calibri" w:hAnsi="Calibri" w:cs="Calibri"/>
                <w:b w:val="0"/>
                <w:color w:val="FFFFFF" w:themeColor="background1"/>
                <w:sz w:val="24"/>
                <w:szCs w:val="22"/>
              </w:rPr>
            </w:pPr>
            <w:r w:rsidRPr="002B53AF">
              <w:rPr>
                <w:rFonts w:ascii="Calibri" w:hAnsi="Calibri" w:cs="Calibri"/>
                <w:color w:val="FFFFFF" w:themeColor="background1"/>
                <w:sz w:val="24"/>
                <w:szCs w:val="22"/>
              </w:rPr>
              <w:t>Individuals</w:t>
            </w:r>
          </w:p>
        </w:tc>
        <w:tc>
          <w:tcPr>
            <w:tcW w:w="1667" w:type="pct"/>
            <w:tcBorders>
              <w:top w:val="single" w:sz="4" w:space="0" w:color="778E61" w:themeColor="accent2"/>
            </w:tcBorders>
            <w:shd w:val="clear" w:color="auto" w:fill="1C2B39"/>
          </w:tcPr>
          <w:p w14:paraId="49BFF9D8" w14:textId="77777777" w:rsidR="005C66F5" w:rsidRDefault="005C66F5" w:rsidP="00506155">
            <w:pPr>
              <w:spacing w:after="0" w:line="240" w:lineRule="auto"/>
              <w:rPr>
                <w:rFonts w:ascii="Calibri" w:hAnsi="Calibri" w:cs="Calibri"/>
                <w:b w:val="0"/>
                <w:color w:val="FFFFFF" w:themeColor="background1"/>
                <w:sz w:val="24"/>
                <w:szCs w:val="22"/>
              </w:rPr>
            </w:pPr>
            <w:r w:rsidRPr="002B53AF">
              <w:rPr>
                <w:rFonts w:ascii="Calibri" w:hAnsi="Calibri" w:cs="Calibri"/>
                <w:color w:val="FFFFFF" w:themeColor="background1"/>
                <w:sz w:val="24"/>
                <w:szCs w:val="22"/>
              </w:rPr>
              <w:t>Businesses</w:t>
            </w:r>
          </w:p>
        </w:tc>
        <w:tc>
          <w:tcPr>
            <w:tcW w:w="1666" w:type="pct"/>
            <w:tcBorders>
              <w:top w:val="single" w:sz="4" w:space="0" w:color="778E61" w:themeColor="accent2"/>
            </w:tcBorders>
            <w:shd w:val="clear" w:color="auto" w:fill="1C2B39"/>
          </w:tcPr>
          <w:p w14:paraId="64E0A164" w14:textId="77777777" w:rsidR="005C66F5" w:rsidRDefault="005C66F5" w:rsidP="00506155">
            <w:pPr>
              <w:spacing w:after="0" w:line="240" w:lineRule="auto"/>
              <w:rPr>
                <w:rFonts w:ascii="Calibri" w:hAnsi="Calibri" w:cs="Calibri"/>
                <w:b w:val="0"/>
                <w:color w:val="FFFFFF" w:themeColor="background1"/>
                <w:sz w:val="24"/>
                <w:szCs w:val="22"/>
              </w:rPr>
            </w:pPr>
            <w:r w:rsidRPr="002B53AF">
              <w:rPr>
                <w:rFonts w:ascii="Calibri" w:hAnsi="Calibri" w:cs="Calibri"/>
                <w:color w:val="FFFFFF" w:themeColor="background1"/>
                <w:sz w:val="24"/>
                <w:szCs w:val="22"/>
              </w:rPr>
              <w:t>Community organisations</w:t>
            </w:r>
          </w:p>
        </w:tc>
      </w:tr>
      <w:tr w:rsidR="005C66F5" w:rsidRPr="00402E24" w14:paraId="0EF0ECA2" w14:textId="77777777" w:rsidTr="009C17B5">
        <w:trPr>
          <w:cnfStyle w:val="000000100000" w:firstRow="0" w:lastRow="0" w:firstColumn="0" w:lastColumn="0" w:oddVBand="0" w:evenVBand="0" w:oddHBand="1" w:evenHBand="0" w:firstRowFirstColumn="0" w:firstRowLastColumn="0" w:lastRowFirstColumn="0" w:lastRowLastColumn="0"/>
          <w:trHeight w:val="1224"/>
        </w:trPr>
        <w:tc>
          <w:tcPr>
            <w:tcW w:w="0" w:type="pct"/>
            <w:tcBorders>
              <w:top w:val="single" w:sz="2" w:space="0" w:color="FFFFFF" w:themeColor="background1"/>
              <w:bottom w:val="single" w:sz="2" w:space="0" w:color="FFFFFF" w:themeColor="background1"/>
            </w:tcBorders>
            <w:shd w:val="clear" w:color="auto" w:fill="D8E2EC"/>
          </w:tcPr>
          <w:p w14:paraId="25A03EFC" w14:textId="071C42AD" w:rsidR="005C66F5" w:rsidRPr="00402E24" w:rsidRDefault="009A40A7" w:rsidP="00506155">
            <w:pPr>
              <w:spacing w:after="0" w:line="240" w:lineRule="auto"/>
              <w:rPr>
                <w:rFonts w:ascii="Calibri" w:hAnsi="Calibri" w:cs="Calibri"/>
                <w:b/>
                <w:szCs w:val="18"/>
              </w:rPr>
            </w:pPr>
            <w:r>
              <w:rPr>
                <w:rFonts w:ascii="Calibri" w:hAnsi="Calibri" w:cs="Calibri"/>
                <w:szCs w:val="18"/>
              </w:rPr>
              <w:t>There are no regulatory impacts on individuals.</w:t>
            </w:r>
          </w:p>
        </w:tc>
        <w:tc>
          <w:tcPr>
            <w:tcW w:w="0" w:type="pct"/>
            <w:tcBorders>
              <w:top w:val="single" w:sz="2" w:space="0" w:color="FFFFFF" w:themeColor="background1"/>
              <w:bottom w:val="single" w:sz="2" w:space="0" w:color="FFFFFF" w:themeColor="background1"/>
            </w:tcBorders>
            <w:shd w:val="clear" w:color="auto" w:fill="D8E2EC"/>
          </w:tcPr>
          <w:p w14:paraId="0F9D1B26" w14:textId="6B84AD99" w:rsidR="005C66F5" w:rsidRPr="00402E24" w:rsidRDefault="00A20F1C" w:rsidP="00506155">
            <w:pPr>
              <w:spacing w:after="0" w:line="240" w:lineRule="auto"/>
              <w:rPr>
                <w:rFonts w:ascii="Calibri" w:hAnsi="Calibri" w:cs="Calibri"/>
                <w:b/>
                <w:szCs w:val="18"/>
              </w:rPr>
            </w:pPr>
            <w:r>
              <w:rPr>
                <w:rFonts w:ascii="Calibri" w:hAnsi="Calibri" w:cs="Calibri"/>
                <w:szCs w:val="18"/>
              </w:rPr>
              <w:t xml:space="preserve">The </w:t>
            </w:r>
            <w:r w:rsidRPr="00A20F1C">
              <w:rPr>
                <w:rFonts w:ascii="Calibri" w:hAnsi="Calibri" w:cs="Calibri"/>
                <w:szCs w:val="18"/>
              </w:rPr>
              <w:t>average regulatory cost</w:t>
            </w:r>
            <w:r w:rsidR="00D26073">
              <w:rPr>
                <w:rFonts w:ascii="Calibri" w:hAnsi="Calibri" w:cs="Calibri"/>
                <w:szCs w:val="18"/>
              </w:rPr>
              <w:t>s associated with funding agreements with PHNs and State and Territory Governments</w:t>
            </w:r>
            <w:r w:rsidRPr="00A20F1C">
              <w:rPr>
                <w:rFonts w:ascii="Calibri" w:hAnsi="Calibri" w:cs="Calibri"/>
                <w:szCs w:val="18"/>
              </w:rPr>
              <w:t xml:space="preserve"> per year </w:t>
            </w:r>
            <w:r w:rsidR="00EC516E">
              <w:rPr>
                <w:rFonts w:ascii="Calibri" w:hAnsi="Calibri" w:cs="Calibri"/>
                <w:szCs w:val="18"/>
              </w:rPr>
              <w:t xml:space="preserve">is </w:t>
            </w:r>
            <w:r w:rsidRPr="009C17B5">
              <w:rPr>
                <w:rFonts w:ascii="Calibri" w:hAnsi="Calibri" w:cs="Calibri"/>
                <w:b/>
                <w:bCs/>
                <w:szCs w:val="18"/>
              </w:rPr>
              <w:t>$661,592</w:t>
            </w:r>
            <w:r w:rsidRPr="00A20F1C">
              <w:rPr>
                <w:rFonts w:ascii="Calibri" w:hAnsi="Calibri" w:cs="Calibri"/>
                <w:szCs w:val="18"/>
              </w:rPr>
              <w:t xml:space="preserve"> per yea</w:t>
            </w:r>
            <w:r w:rsidR="00EC516E">
              <w:rPr>
                <w:rFonts w:ascii="Calibri" w:hAnsi="Calibri" w:cs="Calibri"/>
                <w:szCs w:val="18"/>
              </w:rPr>
              <w:t>r (in total across all</w:t>
            </w:r>
            <w:r w:rsidR="00980557">
              <w:rPr>
                <w:rFonts w:ascii="Calibri" w:hAnsi="Calibri" w:cs="Calibri"/>
                <w:szCs w:val="18"/>
              </w:rPr>
              <w:t xml:space="preserve"> Medicare UCC Commissioners)</w:t>
            </w:r>
            <w:r w:rsidRPr="00A20F1C">
              <w:rPr>
                <w:rFonts w:ascii="Calibri" w:hAnsi="Calibri" w:cs="Calibri"/>
                <w:szCs w:val="18"/>
              </w:rPr>
              <w:t>.</w:t>
            </w:r>
            <w:r w:rsidRPr="00A20F1C" w:rsidDel="00D37020">
              <w:rPr>
                <w:rFonts w:ascii="Calibri" w:hAnsi="Calibri" w:cs="Calibri"/>
                <w:szCs w:val="18"/>
              </w:rPr>
              <w:t xml:space="preserve"> </w:t>
            </w:r>
          </w:p>
        </w:tc>
        <w:tc>
          <w:tcPr>
            <w:tcW w:w="0" w:type="pct"/>
            <w:tcBorders>
              <w:top w:val="single" w:sz="2" w:space="0" w:color="FFFFFF" w:themeColor="background1"/>
              <w:bottom w:val="single" w:sz="2" w:space="0" w:color="FFFFFF" w:themeColor="background1"/>
            </w:tcBorders>
            <w:shd w:val="clear" w:color="auto" w:fill="D8E2EC"/>
          </w:tcPr>
          <w:p w14:paraId="19272CDD" w14:textId="0B789CE4" w:rsidR="005C66F5" w:rsidRPr="00402E24" w:rsidRDefault="00427275" w:rsidP="00506155">
            <w:pPr>
              <w:spacing w:after="0" w:line="240" w:lineRule="auto"/>
              <w:rPr>
                <w:rFonts w:ascii="Calibri" w:hAnsi="Calibri" w:cs="Calibri"/>
                <w:b/>
                <w:szCs w:val="18"/>
              </w:rPr>
            </w:pPr>
            <w:r>
              <w:rPr>
                <w:rFonts w:ascii="Calibri" w:hAnsi="Calibri" w:cs="Calibri"/>
                <w:szCs w:val="18"/>
              </w:rPr>
              <w:t xml:space="preserve">There are no </w:t>
            </w:r>
            <w:r w:rsidR="000F0E98">
              <w:rPr>
                <w:rFonts w:ascii="Calibri" w:hAnsi="Calibri" w:cs="Calibri"/>
                <w:szCs w:val="18"/>
              </w:rPr>
              <w:t>regulatory impacts on community organisations</w:t>
            </w:r>
            <w:r w:rsidR="002C1B57">
              <w:rPr>
                <w:rFonts w:ascii="Calibri" w:hAnsi="Calibri" w:cs="Calibri"/>
                <w:szCs w:val="18"/>
              </w:rPr>
              <w:t>.</w:t>
            </w:r>
          </w:p>
        </w:tc>
      </w:tr>
    </w:tbl>
    <w:p w14:paraId="25C3B3D9" w14:textId="4FEE6A92" w:rsidR="005C66F5" w:rsidRPr="005C66F5" w:rsidRDefault="005C66F5" w:rsidP="005C66F5">
      <w:pPr>
        <w:rPr>
          <w:sz w:val="2"/>
        </w:rPr>
      </w:pPr>
    </w:p>
    <w:p w14:paraId="03BE01CA" w14:textId="2B76D9C2" w:rsidR="005C66F5" w:rsidRPr="00E2196D" w:rsidRDefault="00D75A8B" w:rsidP="005C66F5">
      <w:pPr>
        <w:pStyle w:val="BOXHeading2"/>
        <w:ind w:firstLine="493"/>
        <w:rPr>
          <w:noProof/>
        </w:rPr>
      </w:pPr>
      <w:r>
        <w:rPr>
          <w:noProof/>
          <w:lang w:eastAsia="en-AU"/>
        </w:rPr>
        <w:lastRenderedPageBreak/>
        <w:drawing>
          <wp:anchor distT="0" distB="0" distL="114300" distR="114300" simplePos="0" relativeHeight="251656704" behindDoc="0" locked="0" layoutInCell="1" allowOverlap="1" wp14:anchorId="29119E4E" wp14:editId="098CB87A">
            <wp:simplePos x="0" y="0"/>
            <wp:positionH relativeFrom="margin">
              <wp:align>left</wp:align>
            </wp:positionH>
            <wp:positionV relativeFrom="margin">
              <wp:posOffset>-53975</wp:posOffset>
            </wp:positionV>
            <wp:extent cx="497205" cy="497205"/>
            <wp:effectExtent l="0" t="0" r="0" b="0"/>
            <wp:wrapNone/>
            <wp:docPr id="2" name="Picture 2" descr="Icon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7205" cy="497205"/>
                    </a:xfrm>
                    <a:prstGeom prst="rect">
                      <a:avLst/>
                    </a:prstGeom>
                    <a:noFill/>
                  </pic:spPr>
                </pic:pic>
              </a:graphicData>
            </a:graphic>
            <wp14:sizeRelH relativeFrom="page">
              <wp14:pctWidth>0</wp14:pctWidth>
            </wp14:sizeRelH>
            <wp14:sizeRelV relativeFrom="page">
              <wp14:pctHeight>0</wp14:pctHeight>
            </wp14:sizeRelV>
          </wp:anchor>
        </w:drawing>
      </w:r>
      <w:r w:rsidR="005C66F5">
        <w:rPr>
          <w:noProof/>
        </w:rPr>
        <w:t xml:space="preserve">  Other</w:t>
      </w:r>
      <w:r w:rsidR="005C66F5" w:rsidRPr="00E2196D">
        <w:rPr>
          <w:noProof/>
        </w:rPr>
        <w:t xml:space="preserve"> </w:t>
      </w:r>
      <w:r w:rsidR="005C66F5">
        <w:rPr>
          <w:noProof/>
        </w:rPr>
        <w:t>considerations and i</w:t>
      </w:r>
      <w:r w:rsidR="005C66F5" w:rsidRPr="00534819">
        <w:rPr>
          <w:noProof/>
        </w:rPr>
        <w:t>mplementation</w:t>
      </w:r>
    </w:p>
    <w:p w14:paraId="211F0828" w14:textId="19715281" w:rsidR="004A38EB" w:rsidRDefault="00405E81" w:rsidP="009C17B5">
      <w:pPr>
        <w:pStyle w:val="BOXBulletedList"/>
        <w:pBdr>
          <w:bottom w:val="single" w:sz="48" w:space="0" w:color="F2F2F2" w:themeColor="background1" w:themeShade="F2"/>
        </w:pBdr>
        <w:spacing w:after="0"/>
      </w:pPr>
      <w:r w:rsidRPr="00405E81">
        <w:t>The other policy option considered w</w:t>
      </w:r>
      <w:r>
        <w:t>as</w:t>
      </w:r>
      <w:r w:rsidRPr="00405E81">
        <w:t xml:space="preserve"> to keep the status quo</w:t>
      </w:r>
      <w:r w:rsidR="005A3F42">
        <w:t xml:space="preserve">, which would </w:t>
      </w:r>
      <w:r w:rsidR="00967ACD">
        <w:t xml:space="preserve">result </w:t>
      </w:r>
      <w:r w:rsidR="00361873">
        <w:t xml:space="preserve">in </w:t>
      </w:r>
      <w:r w:rsidR="00361873" w:rsidRPr="00361873">
        <w:t xml:space="preserve">existing clinics </w:t>
      </w:r>
      <w:r w:rsidR="00361873">
        <w:t>to</w:t>
      </w:r>
      <w:r w:rsidR="00361873" w:rsidRPr="00361873">
        <w:t xml:space="preserve"> close or commence charging patients out-of-pocket costs, also creating uncertainty for the sector and jeopardising access to urgent and timely care for all Australians.</w:t>
      </w:r>
      <w:r w:rsidR="008C7682">
        <w:t xml:space="preserve"> This option </w:t>
      </w:r>
      <w:r w:rsidR="000336F2" w:rsidRPr="000336F2">
        <w:t>fails to address the current problems of increased ED presentation</w:t>
      </w:r>
      <w:r w:rsidR="000336F2">
        <w:t>s</w:t>
      </w:r>
      <w:r w:rsidR="00AB4459">
        <w:t xml:space="preserve"> which provides much lower</w:t>
      </w:r>
      <w:r w:rsidRPr="00405E81">
        <w:t xml:space="preserve"> net benefit than the preferred policy response. </w:t>
      </w:r>
    </w:p>
    <w:p w14:paraId="4E3F173D" w14:textId="7C276DED" w:rsidR="005C66F5" w:rsidRPr="004A38EB" w:rsidRDefault="004A38EB" w:rsidP="009C17B5">
      <w:pPr>
        <w:pStyle w:val="BOXBulletedList"/>
        <w:pBdr>
          <w:bottom w:val="single" w:sz="48" w:space="0" w:color="F2F2F2" w:themeColor="background1" w:themeShade="F2"/>
        </w:pBdr>
        <w:spacing w:after="0"/>
        <w:rPr>
          <w:bCs/>
        </w:rPr>
      </w:pPr>
      <w:r w:rsidRPr="009C17B5">
        <w:rPr>
          <w:bCs/>
        </w:rPr>
        <w:t xml:space="preserve">The preferred policy will be implemented </w:t>
      </w:r>
      <w:r w:rsidR="00D75A8B">
        <w:rPr>
          <w:bCs/>
        </w:rPr>
        <w:t>following a Government decision,</w:t>
      </w:r>
      <w:r w:rsidRPr="009C17B5">
        <w:rPr>
          <w:bCs/>
        </w:rPr>
        <w:t xml:space="preserve"> by the Department of Health, Disability and Ageing with ongoing engagement with sector stakeholders.</w:t>
      </w:r>
    </w:p>
    <w:sectPr w:rsidR="005C66F5" w:rsidRPr="004A38EB" w:rsidSect="005C66F5">
      <w:headerReference w:type="even" r:id="rId12"/>
      <w:footerReference w:type="even" r:id="rId13"/>
      <w:footerReference w:type="default" r:id="rId14"/>
      <w:headerReference w:type="first" r:id="rId15"/>
      <w:footerReference w:type="first" r:id="rId16"/>
      <w:pgSz w:w="11906" w:h="16838"/>
      <w:pgMar w:top="1701" w:right="567" w:bottom="1276" w:left="567"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6A8C" w14:textId="77777777" w:rsidR="00B4571B" w:rsidRDefault="00B4571B" w:rsidP="00F957C6">
      <w:pPr>
        <w:spacing w:after="0" w:line="240" w:lineRule="auto"/>
      </w:pPr>
      <w:r>
        <w:separator/>
      </w:r>
    </w:p>
  </w:endnote>
  <w:endnote w:type="continuationSeparator" w:id="0">
    <w:p w14:paraId="00147B13" w14:textId="77777777" w:rsidR="00B4571B" w:rsidRDefault="00B4571B"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227D" w14:textId="6271F710" w:rsidR="00B022AA" w:rsidRDefault="00FE5F8F">
    <w:pPr>
      <w:pStyle w:val="Footer"/>
    </w:pPr>
    <w:r>
      <w:rPr>
        <w:noProof/>
      </w:rPr>
      <mc:AlternateContent>
        <mc:Choice Requires="wps">
          <w:drawing>
            <wp:anchor distT="0" distB="0" distL="0" distR="0" simplePos="0" relativeHeight="251691008" behindDoc="0" locked="0" layoutInCell="1" allowOverlap="1" wp14:anchorId="492018B3" wp14:editId="7270AB50">
              <wp:simplePos x="635" y="635"/>
              <wp:positionH relativeFrom="page">
                <wp:align>center</wp:align>
              </wp:positionH>
              <wp:positionV relativeFrom="page">
                <wp:align>bottom</wp:align>
              </wp:positionV>
              <wp:extent cx="622300" cy="394970"/>
              <wp:effectExtent l="0" t="0" r="6350" b="0"/>
              <wp:wrapNone/>
              <wp:docPr id="222892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DE28326" w14:textId="55CE3A52" w:rsidR="00FE5F8F" w:rsidRPr="00FE5F8F" w:rsidRDefault="00FE5F8F" w:rsidP="00FE5F8F">
                          <w:pPr>
                            <w:spacing w:after="0"/>
                            <w:rPr>
                              <w:rFonts w:ascii="Aptos" w:eastAsia="Aptos" w:hAnsi="Aptos" w:cs="Aptos"/>
                              <w:noProof/>
                              <w:color w:val="FF0000"/>
                              <w:sz w:val="24"/>
                              <w:szCs w:val="24"/>
                            </w:rPr>
                          </w:pPr>
                          <w:r w:rsidRPr="00FE5F8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018B3" id="_x0000_t202" coordsize="21600,21600" o:spt="202" path="m,l,21600r21600,l21600,xe">
              <v:stroke joinstyle="miter"/>
              <v:path gradientshapeok="t" o:connecttype="rect"/>
            </v:shapetype>
            <v:shape id="Text Box 5" o:spid="_x0000_s1027" type="#_x0000_t202" alt="OFFICIAL" style="position:absolute;margin-left:0;margin-top:0;width:49pt;height:31.1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filled="f" stroked="f">
              <v:textbox style="mso-fit-shape-to-text:t" inset="0,0,0,15pt">
                <w:txbxContent>
                  <w:p w14:paraId="5DE28326" w14:textId="55CE3A52" w:rsidR="00FE5F8F" w:rsidRPr="00FE5F8F" w:rsidRDefault="00FE5F8F" w:rsidP="00FE5F8F">
                    <w:pPr>
                      <w:spacing w:after="0"/>
                      <w:rPr>
                        <w:rFonts w:ascii="Aptos" w:eastAsia="Aptos" w:hAnsi="Aptos" w:cs="Aptos"/>
                        <w:noProof/>
                        <w:color w:val="FF0000"/>
                        <w:sz w:val="24"/>
                        <w:szCs w:val="24"/>
                      </w:rPr>
                    </w:pPr>
                    <w:r w:rsidRPr="00FE5F8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12B2" w14:textId="52473C90" w:rsidR="00037513" w:rsidRPr="00852F35" w:rsidRDefault="005A3632" w:rsidP="00D10635">
    <w:pPr>
      <w:pStyle w:val="Header"/>
      <w:rPr>
        <w:rFonts w:ascii="Segoe UI" w:hAnsi="Segoe UI" w:cs="Segoe UI"/>
        <w:color w:val="6E6E6E"/>
        <w:sz w:val="18"/>
      </w:rPr>
    </w:pPr>
    <w:r>
      <w:rPr>
        <w:color w:val="6E6E6E"/>
        <w:sz w:val="18"/>
        <w:szCs w:val="18"/>
      </w:rPr>
      <w:t xml:space="preserve">Australian Government </w:t>
    </w:r>
    <w:r w:rsidR="00037513" w:rsidRPr="00852F35">
      <w:rPr>
        <w:color w:val="6E6E6E"/>
        <w:sz w:val="18"/>
        <w:szCs w:val="18"/>
      </w:rPr>
      <w:t xml:space="preserve">| </w:t>
    </w:r>
    <w:r w:rsidR="00B022AA">
      <w:rPr>
        <w:color w:val="6E6E6E"/>
        <w:sz w:val="18"/>
        <w:szCs w:val="18"/>
      </w:rPr>
      <w:t>Ongoing Funding for the Medicare Urgent Care Clinics Program - 2025 Impact Analysis</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C66F5">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12B4" w14:textId="0A927FC8" w:rsidR="00464D89" w:rsidRPr="00BB1526" w:rsidRDefault="005A3632" w:rsidP="00BB1526">
    <w:pPr>
      <w:pStyle w:val="Header"/>
      <w:rPr>
        <w:rFonts w:ascii="Segoe UI" w:hAnsi="Segoe UI" w:cs="Segoe UI"/>
        <w:color w:val="6E6E6E"/>
        <w:sz w:val="18"/>
      </w:rPr>
    </w:pPr>
    <w:r>
      <w:rPr>
        <w:color w:val="6E6E6E"/>
        <w:sz w:val="18"/>
        <w:szCs w:val="18"/>
      </w:rPr>
      <w:t xml:space="preserve">Australian Government </w:t>
    </w:r>
    <w:r w:rsidRPr="00852F35">
      <w:rPr>
        <w:color w:val="6E6E6E"/>
        <w:sz w:val="18"/>
        <w:szCs w:val="18"/>
      </w:rPr>
      <w:t>|</w:t>
    </w:r>
    <w:r w:rsidR="00BB1526" w:rsidRPr="00852F35">
      <w:rPr>
        <w:color w:val="6E6E6E"/>
        <w:sz w:val="18"/>
        <w:szCs w:val="18"/>
      </w:rPr>
      <w:t xml:space="preserve"> </w:t>
    </w:r>
    <w:r w:rsidR="00B022AA">
      <w:rPr>
        <w:color w:val="6E6E6E"/>
        <w:sz w:val="18"/>
        <w:szCs w:val="18"/>
      </w:rPr>
      <w:t>Ongoing Funding for the Medicare Urgent Care Clinics Program - 2025 Impact Analysis</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F46DB7">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7157" w14:textId="77777777" w:rsidR="00B4571B" w:rsidRDefault="00B4571B" w:rsidP="00F957C6">
      <w:pPr>
        <w:spacing w:after="0" w:line="240" w:lineRule="auto"/>
      </w:pPr>
      <w:r>
        <w:separator/>
      </w:r>
    </w:p>
  </w:footnote>
  <w:footnote w:type="continuationSeparator" w:id="0">
    <w:p w14:paraId="6DC8A633" w14:textId="77777777" w:rsidR="00B4571B" w:rsidRDefault="00B4571B" w:rsidP="00F957C6">
      <w:pPr>
        <w:spacing w:after="0" w:line="240" w:lineRule="auto"/>
      </w:pPr>
      <w:r>
        <w:continuationSeparator/>
      </w:r>
    </w:p>
  </w:footnote>
  <w:footnote w:id="1">
    <w:p w14:paraId="60A1555A" w14:textId="77777777" w:rsidR="00BB55C6" w:rsidRPr="00D75A8B" w:rsidRDefault="00BB55C6" w:rsidP="00BB55C6">
      <w:pPr>
        <w:pStyle w:val="FootnoteText"/>
        <w:rPr>
          <w:sz w:val="12"/>
          <w:szCs w:val="12"/>
        </w:rPr>
      </w:pPr>
      <w:r w:rsidRPr="00D75A8B">
        <w:rPr>
          <w:rStyle w:val="FootnoteReference"/>
          <w:sz w:val="12"/>
          <w:szCs w:val="12"/>
        </w:rPr>
        <w:footnoteRef/>
      </w:r>
      <w:r w:rsidRPr="00D75A8B">
        <w:rPr>
          <w:sz w:val="12"/>
          <w:szCs w:val="12"/>
        </w:rPr>
        <w:t xml:space="preserve"> </w:t>
      </w:r>
      <w:hyperlink r:id="rId1" w:history="1">
        <w:r w:rsidRPr="00D75A8B">
          <w:rPr>
            <w:rStyle w:val="Hyperlink"/>
            <w:sz w:val="12"/>
            <w:szCs w:val="12"/>
          </w:rPr>
          <w:t>Medicare Urgent Care Clinics Program Evaluation</w:t>
        </w:r>
      </w:hyperlink>
      <w:r w:rsidRPr="00D75A8B">
        <w:rPr>
          <w:sz w:val="12"/>
          <w:szCs w:val="12"/>
        </w:rPr>
        <w:t>: First Interim Report. (2025). In </w:t>
      </w:r>
      <w:r w:rsidRPr="00D75A8B">
        <w:rPr>
          <w:i/>
          <w:iCs/>
          <w:sz w:val="12"/>
          <w:szCs w:val="12"/>
        </w:rPr>
        <w:t>Department of Health, Disability and Ageing</w:t>
      </w:r>
      <w:r w:rsidRPr="00D75A8B">
        <w:rPr>
          <w:sz w:val="12"/>
          <w:szCs w:val="12"/>
        </w:rPr>
        <w:t>. Retrieved September 12, 2025</w:t>
      </w:r>
      <w:r w:rsidRPr="00D75A8B">
        <w:rPr>
          <w:rStyle w:val="Hyperlink"/>
          <w:sz w:val="12"/>
          <w:szCs w:val="12"/>
        </w:rPr>
        <w:t>.</w:t>
      </w:r>
    </w:p>
  </w:footnote>
  <w:footnote w:id="2">
    <w:p w14:paraId="13CC65C9" w14:textId="730752F7" w:rsidR="00DB32D8" w:rsidRPr="00D75A8B" w:rsidRDefault="00DB32D8">
      <w:pPr>
        <w:pStyle w:val="FootnoteText"/>
        <w:rPr>
          <w:sz w:val="12"/>
          <w:szCs w:val="12"/>
        </w:rPr>
      </w:pPr>
      <w:r w:rsidRPr="00D75A8B">
        <w:rPr>
          <w:rStyle w:val="FootnoteReference"/>
          <w:sz w:val="12"/>
          <w:szCs w:val="12"/>
        </w:rPr>
        <w:footnoteRef/>
      </w:r>
      <w:r w:rsidRPr="00D75A8B">
        <w:rPr>
          <w:sz w:val="12"/>
          <w:szCs w:val="12"/>
        </w:rPr>
        <w:t xml:space="preserve"> </w:t>
      </w:r>
      <w:hyperlink r:id="rId2" w:history="1">
        <w:r w:rsidRPr="00D75A8B">
          <w:rPr>
            <w:rStyle w:val="Hyperlink"/>
            <w:sz w:val="12"/>
            <w:szCs w:val="12"/>
          </w:rPr>
          <w:t>Medicare Urgent Care Clinics Program Evaluation</w:t>
        </w:r>
      </w:hyperlink>
      <w:r w:rsidRPr="00D75A8B">
        <w:rPr>
          <w:sz w:val="12"/>
          <w:szCs w:val="12"/>
        </w:rPr>
        <w:t>: First Interim Report. (2025). In </w:t>
      </w:r>
      <w:r w:rsidRPr="00D75A8B">
        <w:rPr>
          <w:i/>
          <w:iCs/>
          <w:sz w:val="12"/>
          <w:szCs w:val="12"/>
        </w:rPr>
        <w:t>Department of Health, Disability and Ageing</w:t>
      </w:r>
      <w:r w:rsidRPr="00D75A8B">
        <w:rPr>
          <w:sz w:val="12"/>
          <w:szCs w:val="12"/>
        </w:rPr>
        <w:t>. Retrieved September 12, 2025</w:t>
      </w:r>
      <w:r w:rsidRPr="00D75A8B">
        <w:rPr>
          <w:rStyle w:val="Hyperlink"/>
          <w:sz w:val="12"/>
          <w:szCs w:val="12"/>
        </w:rPr>
        <w:t>.</w:t>
      </w:r>
    </w:p>
  </w:footnote>
  <w:footnote w:id="3">
    <w:p w14:paraId="5CA3192F" w14:textId="5F21C8E1" w:rsidR="00DB32D8" w:rsidRDefault="00DB32D8">
      <w:pPr>
        <w:pStyle w:val="FootnoteText"/>
      </w:pPr>
      <w:r w:rsidRPr="00D75A8B">
        <w:rPr>
          <w:rStyle w:val="FootnoteReference"/>
          <w:sz w:val="12"/>
          <w:szCs w:val="12"/>
        </w:rPr>
        <w:footnoteRef/>
      </w:r>
      <w:r w:rsidRPr="00D75A8B">
        <w:rPr>
          <w:sz w:val="12"/>
          <w:szCs w:val="12"/>
        </w:rPr>
        <w:t xml:space="preserve"> </w:t>
      </w:r>
      <w:hyperlink r:id="rId3" w:history="1">
        <w:r w:rsidRPr="00D75A8B">
          <w:rPr>
            <w:rStyle w:val="Hyperlink"/>
            <w:sz w:val="12"/>
            <w:szCs w:val="12"/>
          </w:rPr>
          <w:t>Medicare Urgent Care Clinics Program Evaluation</w:t>
        </w:r>
      </w:hyperlink>
      <w:r w:rsidRPr="00D75A8B">
        <w:rPr>
          <w:sz w:val="12"/>
          <w:szCs w:val="12"/>
        </w:rPr>
        <w:t>: First Interim Report. (2025). In </w:t>
      </w:r>
      <w:r w:rsidRPr="00D75A8B">
        <w:rPr>
          <w:i/>
          <w:iCs/>
          <w:sz w:val="12"/>
          <w:szCs w:val="12"/>
        </w:rPr>
        <w:t>Department of Health, Disability and Ageing</w:t>
      </w:r>
      <w:r w:rsidRPr="00D75A8B">
        <w:rPr>
          <w:sz w:val="12"/>
          <w:szCs w:val="12"/>
        </w:rPr>
        <w:t>. Retrieved September 12, 2025</w:t>
      </w:r>
      <w:r w:rsidRPr="00D75A8B">
        <w:rPr>
          <w:rStyle w:val="Hyperlink"/>
          <w:sz w:val="12"/>
          <w:szCs w:val="1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6DC9" w14:textId="71E15A4E" w:rsidR="00B022AA" w:rsidRDefault="00FE5F8F">
    <w:pPr>
      <w:pStyle w:val="Header"/>
    </w:pPr>
    <w:r>
      <w:rPr>
        <w:noProof/>
      </w:rPr>
      <mc:AlternateContent>
        <mc:Choice Requires="wps">
          <w:drawing>
            <wp:anchor distT="0" distB="0" distL="0" distR="0" simplePos="0" relativeHeight="251687936" behindDoc="0" locked="0" layoutInCell="1" allowOverlap="1" wp14:anchorId="6D52672E" wp14:editId="69F07A41">
              <wp:simplePos x="635" y="635"/>
              <wp:positionH relativeFrom="page">
                <wp:align>center</wp:align>
              </wp:positionH>
              <wp:positionV relativeFrom="page">
                <wp:align>top</wp:align>
              </wp:positionV>
              <wp:extent cx="622300" cy="394970"/>
              <wp:effectExtent l="0" t="0" r="6350" b="5080"/>
              <wp:wrapNone/>
              <wp:docPr id="8054056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A4A5264" w14:textId="4047AEA1" w:rsidR="00FE5F8F" w:rsidRPr="00FE5F8F" w:rsidRDefault="00FE5F8F" w:rsidP="00FE5F8F">
                          <w:pPr>
                            <w:spacing w:after="0"/>
                            <w:rPr>
                              <w:rFonts w:ascii="Aptos" w:eastAsia="Aptos" w:hAnsi="Aptos" w:cs="Aptos"/>
                              <w:noProof/>
                              <w:color w:val="FF0000"/>
                              <w:sz w:val="24"/>
                              <w:szCs w:val="24"/>
                            </w:rPr>
                          </w:pPr>
                          <w:r w:rsidRPr="00FE5F8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52672E" id="_x0000_t202" coordsize="21600,21600" o:spt="202" path="m,l,21600r21600,l21600,xe">
              <v:stroke joinstyle="miter"/>
              <v:path gradientshapeok="t" o:connecttype="rect"/>
            </v:shapetype>
            <v:shape id="Text Box 2" o:spid="_x0000_s1026" type="#_x0000_t202" alt="OFFICIAL" style="position:absolute;margin-left:0;margin-top:0;width:49pt;height:31.1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6A4A5264" w14:textId="4047AEA1" w:rsidR="00FE5F8F" w:rsidRPr="00FE5F8F" w:rsidRDefault="00FE5F8F" w:rsidP="00FE5F8F">
                    <w:pPr>
                      <w:spacing w:after="0"/>
                      <w:rPr>
                        <w:rFonts w:ascii="Aptos" w:eastAsia="Aptos" w:hAnsi="Aptos" w:cs="Aptos"/>
                        <w:noProof/>
                        <w:color w:val="FF0000"/>
                        <w:sz w:val="24"/>
                        <w:szCs w:val="24"/>
                      </w:rPr>
                    </w:pPr>
                    <w:r w:rsidRPr="00FE5F8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12B3" w14:textId="1C21C5EC" w:rsidR="00037513" w:rsidRDefault="005A3632" w:rsidP="00D75A12">
    <w:pPr>
      <w:pStyle w:val="Header"/>
      <w:jc w:val="center"/>
    </w:pPr>
    <w:r>
      <w:rPr>
        <w:rStyle w:val="CLASSIFICATIONChar"/>
        <w:noProof/>
        <w:lang w:eastAsia="en-AU"/>
      </w:rPr>
      <w:drawing>
        <wp:anchor distT="0" distB="0" distL="114300" distR="114300" simplePos="0" relativeHeight="251680768" behindDoc="1" locked="0" layoutInCell="1" allowOverlap="1" wp14:anchorId="3CE512B5" wp14:editId="56B2AC79">
          <wp:simplePos x="0" y="0"/>
          <wp:positionH relativeFrom="column">
            <wp:posOffset>-48895</wp:posOffset>
          </wp:positionH>
          <wp:positionV relativeFrom="paragraph">
            <wp:posOffset>-305435</wp:posOffset>
          </wp:positionV>
          <wp:extent cx="2120900" cy="567622"/>
          <wp:effectExtent l="0" t="0" r="0" b="4445"/>
          <wp:wrapNone/>
          <wp:docPr id="4" name="Picture 4"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0" cy="56762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lvlText w:val=""/>
      <w:lvlJc w:val="left"/>
      <w:pPr>
        <w:ind w:left="7655"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0303D14"/>
    <w:multiLevelType w:val="hybridMultilevel"/>
    <w:tmpl w:val="1CF0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5"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22B06EA9"/>
    <w:multiLevelType w:val="hybridMultilevel"/>
    <w:tmpl w:val="96BA0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317A4C0A"/>
    <w:multiLevelType w:val="hybridMultilevel"/>
    <w:tmpl w:val="C1C2D7D8"/>
    <w:lvl w:ilvl="0" w:tplc="200829A6">
      <w:start w:val="1"/>
      <w:numFmt w:val="bullet"/>
      <w:lvlText w:val="•"/>
      <w:lvlJc w:val="left"/>
      <w:pPr>
        <w:tabs>
          <w:tab w:val="num" w:pos="720"/>
        </w:tabs>
        <w:ind w:left="720" w:hanging="360"/>
      </w:pPr>
      <w:rPr>
        <w:rFonts w:ascii="Arial" w:hAnsi="Arial" w:hint="default"/>
      </w:rPr>
    </w:lvl>
    <w:lvl w:ilvl="1" w:tplc="25ACB6BC" w:tentative="1">
      <w:start w:val="1"/>
      <w:numFmt w:val="bullet"/>
      <w:lvlText w:val="•"/>
      <w:lvlJc w:val="left"/>
      <w:pPr>
        <w:tabs>
          <w:tab w:val="num" w:pos="1440"/>
        </w:tabs>
        <w:ind w:left="1440" w:hanging="360"/>
      </w:pPr>
      <w:rPr>
        <w:rFonts w:ascii="Arial" w:hAnsi="Arial" w:hint="default"/>
      </w:rPr>
    </w:lvl>
    <w:lvl w:ilvl="2" w:tplc="F0360BE6" w:tentative="1">
      <w:start w:val="1"/>
      <w:numFmt w:val="bullet"/>
      <w:lvlText w:val="•"/>
      <w:lvlJc w:val="left"/>
      <w:pPr>
        <w:tabs>
          <w:tab w:val="num" w:pos="2160"/>
        </w:tabs>
        <w:ind w:left="2160" w:hanging="360"/>
      </w:pPr>
      <w:rPr>
        <w:rFonts w:ascii="Arial" w:hAnsi="Arial" w:hint="default"/>
      </w:rPr>
    </w:lvl>
    <w:lvl w:ilvl="3" w:tplc="ED6E52A2" w:tentative="1">
      <w:start w:val="1"/>
      <w:numFmt w:val="bullet"/>
      <w:lvlText w:val="•"/>
      <w:lvlJc w:val="left"/>
      <w:pPr>
        <w:tabs>
          <w:tab w:val="num" w:pos="2880"/>
        </w:tabs>
        <w:ind w:left="2880" w:hanging="360"/>
      </w:pPr>
      <w:rPr>
        <w:rFonts w:ascii="Arial" w:hAnsi="Arial" w:hint="default"/>
      </w:rPr>
    </w:lvl>
    <w:lvl w:ilvl="4" w:tplc="871494B0" w:tentative="1">
      <w:start w:val="1"/>
      <w:numFmt w:val="bullet"/>
      <w:lvlText w:val="•"/>
      <w:lvlJc w:val="left"/>
      <w:pPr>
        <w:tabs>
          <w:tab w:val="num" w:pos="3600"/>
        </w:tabs>
        <w:ind w:left="3600" w:hanging="360"/>
      </w:pPr>
      <w:rPr>
        <w:rFonts w:ascii="Arial" w:hAnsi="Arial" w:hint="default"/>
      </w:rPr>
    </w:lvl>
    <w:lvl w:ilvl="5" w:tplc="934C6314" w:tentative="1">
      <w:start w:val="1"/>
      <w:numFmt w:val="bullet"/>
      <w:lvlText w:val="•"/>
      <w:lvlJc w:val="left"/>
      <w:pPr>
        <w:tabs>
          <w:tab w:val="num" w:pos="4320"/>
        </w:tabs>
        <w:ind w:left="4320" w:hanging="360"/>
      </w:pPr>
      <w:rPr>
        <w:rFonts w:ascii="Arial" w:hAnsi="Arial" w:hint="default"/>
      </w:rPr>
    </w:lvl>
    <w:lvl w:ilvl="6" w:tplc="926CA3E2" w:tentative="1">
      <w:start w:val="1"/>
      <w:numFmt w:val="bullet"/>
      <w:lvlText w:val="•"/>
      <w:lvlJc w:val="left"/>
      <w:pPr>
        <w:tabs>
          <w:tab w:val="num" w:pos="5040"/>
        </w:tabs>
        <w:ind w:left="5040" w:hanging="360"/>
      </w:pPr>
      <w:rPr>
        <w:rFonts w:ascii="Arial" w:hAnsi="Arial" w:hint="default"/>
      </w:rPr>
    </w:lvl>
    <w:lvl w:ilvl="7" w:tplc="AB64C6C2" w:tentative="1">
      <w:start w:val="1"/>
      <w:numFmt w:val="bullet"/>
      <w:lvlText w:val="•"/>
      <w:lvlJc w:val="left"/>
      <w:pPr>
        <w:tabs>
          <w:tab w:val="num" w:pos="5760"/>
        </w:tabs>
        <w:ind w:left="5760" w:hanging="360"/>
      </w:pPr>
      <w:rPr>
        <w:rFonts w:ascii="Arial" w:hAnsi="Arial" w:hint="default"/>
      </w:rPr>
    </w:lvl>
    <w:lvl w:ilvl="8" w:tplc="BE4AC13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C21BDF"/>
    <w:multiLevelType w:val="hybridMultilevel"/>
    <w:tmpl w:val="CD140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E37CDA"/>
    <w:multiLevelType w:val="hybridMultilevel"/>
    <w:tmpl w:val="108E5D92"/>
    <w:lvl w:ilvl="0" w:tplc="3962CD16">
      <w:start w:val="1"/>
      <w:numFmt w:val="bullet"/>
      <w:lvlText w:val="•"/>
      <w:lvlJc w:val="left"/>
      <w:pPr>
        <w:tabs>
          <w:tab w:val="num" w:pos="720"/>
        </w:tabs>
        <w:ind w:left="720" w:hanging="360"/>
      </w:pPr>
      <w:rPr>
        <w:rFonts w:ascii="Arial" w:hAnsi="Arial" w:hint="default"/>
      </w:rPr>
    </w:lvl>
    <w:lvl w:ilvl="1" w:tplc="4C689522" w:tentative="1">
      <w:start w:val="1"/>
      <w:numFmt w:val="bullet"/>
      <w:lvlText w:val="•"/>
      <w:lvlJc w:val="left"/>
      <w:pPr>
        <w:tabs>
          <w:tab w:val="num" w:pos="1440"/>
        </w:tabs>
        <w:ind w:left="1440" w:hanging="360"/>
      </w:pPr>
      <w:rPr>
        <w:rFonts w:ascii="Arial" w:hAnsi="Arial" w:hint="default"/>
      </w:rPr>
    </w:lvl>
    <w:lvl w:ilvl="2" w:tplc="ADA4DC22" w:tentative="1">
      <w:start w:val="1"/>
      <w:numFmt w:val="bullet"/>
      <w:lvlText w:val="•"/>
      <w:lvlJc w:val="left"/>
      <w:pPr>
        <w:tabs>
          <w:tab w:val="num" w:pos="2160"/>
        </w:tabs>
        <w:ind w:left="2160" w:hanging="360"/>
      </w:pPr>
      <w:rPr>
        <w:rFonts w:ascii="Arial" w:hAnsi="Arial" w:hint="default"/>
      </w:rPr>
    </w:lvl>
    <w:lvl w:ilvl="3" w:tplc="AF420E2C" w:tentative="1">
      <w:start w:val="1"/>
      <w:numFmt w:val="bullet"/>
      <w:lvlText w:val="•"/>
      <w:lvlJc w:val="left"/>
      <w:pPr>
        <w:tabs>
          <w:tab w:val="num" w:pos="2880"/>
        </w:tabs>
        <w:ind w:left="2880" w:hanging="360"/>
      </w:pPr>
      <w:rPr>
        <w:rFonts w:ascii="Arial" w:hAnsi="Arial" w:hint="default"/>
      </w:rPr>
    </w:lvl>
    <w:lvl w:ilvl="4" w:tplc="2CCA8F14" w:tentative="1">
      <w:start w:val="1"/>
      <w:numFmt w:val="bullet"/>
      <w:lvlText w:val="•"/>
      <w:lvlJc w:val="left"/>
      <w:pPr>
        <w:tabs>
          <w:tab w:val="num" w:pos="3600"/>
        </w:tabs>
        <w:ind w:left="3600" w:hanging="360"/>
      </w:pPr>
      <w:rPr>
        <w:rFonts w:ascii="Arial" w:hAnsi="Arial" w:hint="default"/>
      </w:rPr>
    </w:lvl>
    <w:lvl w:ilvl="5" w:tplc="55FC1A62" w:tentative="1">
      <w:start w:val="1"/>
      <w:numFmt w:val="bullet"/>
      <w:lvlText w:val="•"/>
      <w:lvlJc w:val="left"/>
      <w:pPr>
        <w:tabs>
          <w:tab w:val="num" w:pos="4320"/>
        </w:tabs>
        <w:ind w:left="4320" w:hanging="360"/>
      </w:pPr>
      <w:rPr>
        <w:rFonts w:ascii="Arial" w:hAnsi="Arial" w:hint="default"/>
      </w:rPr>
    </w:lvl>
    <w:lvl w:ilvl="6" w:tplc="7B90AA3A" w:tentative="1">
      <w:start w:val="1"/>
      <w:numFmt w:val="bullet"/>
      <w:lvlText w:val="•"/>
      <w:lvlJc w:val="left"/>
      <w:pPr>
        <w:tabs>
          <w:tab w:val="num" w:pos="5040"/>
        </w:tabs>
        <w:ind w:left="5040" w:hanging="360"/>
      </w:pPr>
      <w:rPr>
        <w:rFonts w:ascii="Arial" w:hAnsi="Arial" w:hint="default"/>
      </w:rPr>
    </w:lvl>
    <w:lvl w:ilvl="7" w:tplc="0E88D8C4" w:tentative="1">
      <w:start w:val="1"/>
      <w:numFmt w:val="bullet"/>
      <w:lvlText w:val="•"/>
      <w:lvlJc w:val="left"/>
      <w:pPr>
        <w:tabs>
          <w:tab w:val="num" w:pos="5760"/>
        </w:tabs>
        <w:ind w:left="5760" w:hanging="360"/>
      </w:pPr>
      <w:rPr>
        <w:rFonts w:ascii="Arial" w:hAnsi="Arial" w:hint="default"/>
      </w:rPr>
    </w:lvl>
    <w:lvl w:ilvl="8" w:tplc="7CA683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3"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A761DA0"/>
    <w:multiLevelType w:val="hybridMultilevel"/>
    <w:tmpl w:val="5CEAEDEC"/>
    <w:lvl w:ilvl="0" w:tplc="1D5258A6">
      <w:start w:val="1"/>
      <w:numFmt w:val="bullet"/>
      <w:lvlText w:val="•"/>
      <w:lvlJc w:val="left"/>
      <w:pPr>
        <w:tabs>
          <w:tab w:val="num" w:pos="720"/>
        </w:tabs>
        <w:ind w:left="720" w:hanging="360"/>
      </w:pPr>
      <w:rPr>
        <w:rFonts w:ascii="Arial" w:hAnsi="Arial" w:hint="default"/>
      </w:rPr>
    </w:lvl>
    <w:lvl w:ilvl="1" w:tplc="4CC8F2EA" w:tentative="1">
      <w:start w:val="1"/>
      <w:numFmt w:val="bullet"/>
      <w:lvlText w:val="•"/>
      <w:lvlJc w:val="left"/>
      <w:pPr>
        <w:tabs>
          <w:tab w:val="num" w:pos="1440"/>
        </w:tabs>
        <w:ind w:left="1440" w:hanging="360"/>
      </w:pPr>
      <w:rPr>
        <w:rFonts w:ascii="Arial" w:hAnsi="Arial" w:hint="default"/>
      </w:rPr>
    </w:lvl>
    <w:lvl w:ilvl="2" w:tplc="7CE4BCE0" w:tentative="1">
      <w:start w:val="1"/>
      <w:numFmt w:val="bullet"/>
      <w:lvlText w:val="•"/>
      <w:lvlJc w:val="left"/>
      <w:pPr>
        <w:tabs>
          <w:tab w:val="num" w:pos="2160"/>
        </w:tabs>
        <w:ind w:left="2160" w:hanging="360"/>
      </w:pPr>
      <w:rPr>
        <w:rFonts w:ascii="Arial" w:hAnsi="Arial" w:hint="default"/>
      </w:rPr>
    </w:lvl>
    <w:lvl w:ilvl="3" w:tplc="62DC2562" w:tentative="1">
      <w:start w:val="1"/>
      <w:numFmt w:val="bullet"/>
      <w:lvlText w:val="•"/>
      <w:lvlJc w:val="left"/>
      <w:pPr>
        <w:tabs>
          <w:tab w:val="num" w:pos="2880"/>
        </w:tabs>
        <w:ind w:left="2880" w:hanging="360"/>
      </w:pPr>
      <w:rPr>
        <w:rFonts w:ascii="Arial" w:hAnsi="Arial" w:hint="default"/>
      </w:rPr>
    </w:lvl>
    <w:lvl w:ilvl="4" w:tplc="9404D3F4" w:tentative="1">
      <w:start w:val="1"/>
      <w:numFmt w:val="bullet"/>
      <w:lvlText w:val="•"/>
      <w:lvlJc w:val="left"/>
      <w:pPr>
        <w:tabs>
          <w:tab w:val="num" w:pos="3600"/>
        </w:tabs>
        <w:ind w:left="3600" w:hanging="360"/>
      </w:pPr>
      <w:rPr>
        <w:rFonts w:ascii="Arial" w:hAnsi="Arial" w:hint="default"/>
      </w:rPr>
    </w:lvl>
    <w:lvl w:ilvl="5" w:tplc="DB46CA44" w:tentative="1">
      <w:start w:val="1"/>
      <w:numFmt w:val="bullet"/>
      <w:lvlText w:val="•"/>
      <w:lvlJc w:val="left"/>
      <w:pPr>
        <w:tabs>
          <w:tab w:val="num" w:pos="4320"/>
        </w:tabs>
        <w:ind w:left="4320" w:hanging="360"/>
      </w:pPr>
      <w:rPr>
        <w:rFonts w:ascii="Arial" w:hAnsi="Arial" w:hint="default"/>
      </w:rPr>
    </w:lvl>
    <w:lvl w:ilvl="6" w:tplc="4D868B80" w:tentative="1">
      <w:start w:val="1"/>
      <w:numFmt w:val="bullet"/>
      <w:lvlText w:val="•"/>
      <w:lvlJc w:val="left"/>
      <w:pPr>
        <w:tabs>
          <w:tab w:val="num" w:pos="5040"/>
        </w:tabs>
        <w:ind w:left="5040" w:hanging="360"/>
      </w:pPr>
      <w:rPr>
        <w:rFonts w:ascii="Arial" w:hAnsi="Arial" w:hint="default"/>
      </w:rPr>
    </w:lvl>
    <w:lvl w:ilvl="7" w:tplc="3376BCD8" w:tentative="1">
      <w:start w:val="1"/>
      <w:numFmt w:val="bullet"/>
      <w:lvlText w:val="•"/>
      <w:lvlJc w:val="left"/>
      <w:pPr>
        <w:tabs>
          <w:tab w:val="num" w:pos="5760"/>
        </w:tabs>
        <w:ind w:left="5760" w:hanging="360"/>
      </w:pPr>
      <w:rPr>
        <w:rFonts w:ascii="Arial" w:hAnsi="Arial" w:hint="default"/>
      </w:rPr>
    </w:lvl>
    <w:lvl w:ilvl="8" w:tplc="60A29E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1780341">
    <w:abstractNumId w:val="11"/>
  </w:num>
  <w:num w:numId="2" w16cid:durableId="454563773">
    <w:abstractNumId w:val="9"/>
  </w:num>
  <w:num w:numId="3" w16cid:durableId="1246379826">
    <w:abstractNumId w:val="7"/>
  </w:num>
  <w:num w:numId="4" w16cid:durableId="21979379">
    <w:abstractNumId w:val="6"/>
  </w:num>
  <w:num w:numId="5" w16cid:durableId="1650477238">
    <w:abstractNumId w:val="5"/>
  </w:num>
  <w:num w:numId="6" w16cid:durableId="2132740694">
    <w:abstractNumId w:val="4"/>
  </w:num>
  <w:num w:numId="7" w16cid:durableId="305552712">
    <w:abstractNumId w:val="8"/>
  </w:num>
  <w:num w:numId="8" w16cid:durableId="943877734">
    <w:abstractNumId w:val="3"/>
  </w:num>
  <w:num w:numId="9" w16cid:durableId="639194516">
    <w:abstractNumId w:val="2"/>
  </w:num>
  <w:num w:numId="10" w16cid:durableId="805052792">
    <w:abstractNumId w:val="1"/>
  </w:num>
  <w:num w:numId="11" w16cid:durableId="776371259">
    <w:abstractNumId w:val="0"/>
  </w:num>
  <w:num w:numId="12" w16cid:durableId="2013334023">
    <w:abstractNumId w:val="10"/>
  </w:num>
  <w:num w:numId="13" w16cid:durableId="194975138">
    <w:abstractNumId w:val="26"/>
  </w:num>
  <w:num w:numId="14" w16cid:durableId="1318798338">
    <w:abstractNumId w:val="18"/>
  </w:num>
  <w:num w:numId="15" w16cid:durableId="302202786">
    <w:abstractNumId w:val="18"/>
    <w:lvlOverride w:ilvl="0">
      <w:startOverride w:val="1"/>
    </w:lvlOverride>
  </w:num>
  <w:num w:numId="16" w16cid:durableId="1197935200">
    <w:abstractNumId w:val="18"/>
    <w:lvlOverride w:ilvl="0">
      <w:startOverride w:val="1"/>
    </w:lvlOverride>
  </w:num>
  <w:num w:numId="17" w16cid:durableId="1963264334">
    <w:abstractNumId w:val="18"/>
    <w:lvlOverride w:ilvl="0">
      <w:startOverride w:val="1"/>
    </w:lvlOverride>
  </w:num>
  <w:num w:numId="18" w16cid:durableId="1890801170">
    <w:abstractNumId w:val="18"/>
    <w:lvlOverride w:ilvl="0">
      <w:startOverride w:val="1"/>
    </w:lvlOverride>
  </w:num>
  <w:num w:numId="19" w16cid:durableId="1460416051">
    <w:abstractNumId w:val="23"/>
  </w:num>
  <w:num w:numId="20" w16cid:durableId="1232959619">
    <w:abstractNumId w:val="23"/>
    <w:lvlOverride w:ilvl="0">
      <w:startOverride w:val="1"/>
    </w:lvlOverride>
  </w:num>
  <w:num w:numId="21" w16cid:durableId="1879194811">
    <w:abstractNumId w:val="27"/>
  </w:num>
  <w:num w:numId="22" w16cid:durableId="713509000">
    <w:abstractNumId w:val="25"/>
  </w:num>
  <w:num w:numId="23" w16cid:durableId="306983222">
    <w:abstractNumId w:val="11"/>
    <w:lvlOverride w:ilvl="0">
      <w:startOverride w:val="1"/>
    </w:lvlOverride>
  </w:num>
  <w:num w:numId="24" w16cid:durableId="1747267044">
    <w:abstractNumId w:val="27"/>
    <w:lvlOverride w:ilvl="0">
      <w:startOverride w:val="1"/>
    </w:lvlOverride>
  </w:num>
  <w:num w:numId="25" w16cid:durableId="869798348">
    <w:abstractNumId w:val="25"/>
    <w:lvlOverride w:ilvl="0">
      <w:startOverride w:val="1"/>
    </w:lvlOverride>
  </w:num>
  <w:num w:numId="26" w16cid:durableId="2054185693">
    <w:abstractNumId w:val="25"/>
    <w:lvlOverride w:ilvl="0">
      <w:startOverride w:val="1"/>
    </w:lvlOverride>
  </w:num>
  <w:num w:numId="27" w16cid:durableId="935210468">
    <w:abstractNumId w:val="15"/>
  </w:num>
  <w:num w:numId="28" w16cid:durableId="354157130">
    <w:abstractNumId w:val="22"/>
  </w:num>
  <w:num w:numId="29" w16cid:durableId="198125305">
    <w:abstractNumId w:val="14"/>
  </w:num>
  <w:num w:numId="30" w16cid:durableId="200096186">
    <w:abstractNumId w:val="16"/>
  </w:num>
  <w:num w:numId="31" w16cid:durableId="903681941">
    <w:abstractNumId w:val="12"/>
  </w:num>
  <w:num w:numId="32" w16cid:durableId="959840698">
    <w:abstractNumId w:val="27"/>
    <w:lvlOverride w:ilvl="0">
      <w:startOverride w:val="1"/>
    </w:lvlOverride>
  </w:num>
  <w:num w:numId="33" w16cid:durableId="1805270760">
    <w:abstractNumId w:val="27"/>
    <w:lvlOverride w:ilvl="0">
      <w:startOverride w:val="1"/>
    </w:lvlOverride>
  </w:num>
  <w:num w:numId="34" w16cid:durableId="2046560619">
    <w:abstractNumId w:val="27"/>
    <w:lvlOverride w:ilvl="0">
      <w:startOverride w:val="1"/>
    </w:lvlOverride>
  </w:num>
  <w:num w:numId="35" w16cid:durableId="963002771">
    <w:abstractNumId w:val="26"/>
    <w:lvlOverride w:ilvl="0">
      <w:startOverride w:val="1"/>
    </w:lvlOverride>
  </w:num>
  <w:num w:numId="36" w16cid:durableId="69548313">
    <w:abstractNumId w:val="26"/>
    <w:lvlOverride w:ilvl="0">
      <w:startOverride w:val="1"/>
    </w:lvlOverride>
  </w:num>
  <w:num w:numId="37" w16cid:durableId="2127504497">
    <w:abstractNumId w:val="26"/>
    <w:lvlOverride w:ilvl="0">
      <w:startOverride w:val="1"/>
    </w:lvlOverride>
  </w:num>
  <w:num w:numId="38" w16cid:durableId="935282382">
    <w:abstractNumId w:val="24"/>
  </w:num>
  <w:num w:numId="39" w16cid:durableId="2078553034">
    <w:abstractNumId w:val="21"/>
  </w:num>
  <w:num w:numId="40" w16cid:durableId="1753893685">
    <w:abstractNumId w:val="19"/>
  </w:num>
  <w:num w:numId="41" w16cid:durableId="1512178456">
    <w:abstractNumId w:val="20"/>
  </w:num>
  <w:num w:numId="42" w16cid:durableId="1358123156">
    <w:abstractNumId w:val="13"/>
  </w:num>
  <w:num w:numId="43" w16cid:durableId="14442288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F3"/>
    <w:rsid w:val="00003AF2"/>
    <w:rsid w:val="00026699"/>
    <w:rsid w:val="00027038"/>
    <w:rsid w:val="0003154E"/>
    <w:rsid w:val="00032139"/>
    <w:rsid w:val="000336F2"/>
    <w:rsid w:val="00037478"/>
    <w:rsid w:val="00037513"/>
    <w:rsid w:val="0006501B"/>
    <w:rsid w:val="0006627F"/>
    <w:rsid w:val="000668BB"/>
    <w:rsid w:val="000770FA"/>
    <w:rsid w:val="00080B17"/>
    <w:rsid w:val="000B3417"/>
    <w:rsid w:val="000B6A28"/>
    <w:rsid w:val="000D749D"/>
    <w:rsid w:val="000E700E"/>
    <w:rsid w:val="000F0E98"/>
    <w:rsid w:val="001055CA"/>
    <w:rsid w:val="00115264"/>
    <w:rsid w:val="00117A77"/>
    <w:rsid w:val="00125770"/>
    <w:rsid w:val="00132068"/>
    <w:rsid w:val="00132887"/>
    <w:rsid w:val="00147E4C"/>
    <w:rsid w:val="00152412"/>
    <w:rsid w:val="001611BF"/>
    <w:rsid w:val="0017436A"/>
    <w:rsid w:val="00175841"/>
    <w:rsid w:val="001778D0"/>
    <w:rsid w:val="00181005"/>
    <w:rsid w:val="00182329"/>
    <w:rsid w:val="001954B4"/>
    <w:rsid w:val="001B2134"/>
    <w:rsid w:val="001B2D56"/>
    <w:rsid w:val="001C5831"/>
    <w:rsid w:val="001D16C5"/>
    <w:rsid w:val="001F6E20"/>
    <w:rsid w:val="002002ED"/>
    <w:rsid w:val="00202E07"/>
    <w:rsid w:val="0020355A"/>
    <w:rsid w:val="00212443"/>
    <w:rsid w:val="00220DDA"/>
    <w:rsid w:val="00227DB5"/>
    <w:rsid w:val="002336DD"/>
    <w:rsid w:val="0025218A"/>
    <w:rsid w:val="00255046"/>
    <w:rsid w:val="00266CCC"/>
    <w:rsid w:val="00274D42"/>
    <w:rsid w:val="00285CAF"/>
    <w:rsid w:val="00295BE1"/>
    <w:rsid w:val="002A137E"/>
    <w:rsid w:val="002B53AF"/>
    <w:rsid w:val="002B661A"/>
    <w:rsid w:val="002C1B57"/>
    <w:rsid w:val="002C7A05"/>
    <w:rsid w:val="002D37AE"/>
    <w:rsid w:val="002D6B3D"/>
    <w:rsid w:val="002E5916"/>
    <w:rsid w:val="002E61BD"/>
    <w:rsid w:val="002F382A"/>
    <w:rsid w:val="00303C55"/>
    <w:rsid w:val="00304D47"/>
    <w:rsid w:val="00311C2D"/>
    <w:rsid w:val="00312DB3"/>
    <w:rsid w:val="00316AF7"/>
    <w:rsid w:val="00317030"/>
    <w:rsid w:val="00330A33"/>
    <w:rsid w:val="00346D39"/>
    <w:rsid w:val="00353E5E"/>
    <w:rsid w:val="0035655B"/>
    <w:rsid w:val="00361020"/>
    <w:rsid w:val="00361427"/>
    <w:rsid w:val="00361873"/>
    <w:rsid w:val="00374D2A"/>
    <w:rsid w:val="00376FE6"/>
    <w:rsid w:val="00385BD5"/>
    <w:rsid w:val="00397D1D"/>
    <w:rsid w:val="003A54A7"/>
    <w:rsid w:val="003B05DC"/>
    <w:rsid w:val="003C181D"/>
    <w:rsid w:val="003C1C2C"/>
    <w:rsid w:val="003C1F2E"/>
    <w:rsid w:val="003D51B5"/>
    <w:rsid w:val="003D676D"/>
    <w:rsid w:val="003F23E9"/>
    <w:rsid w:val="00402E24"/>
    <w:rsid w:val="00405E81"/>
    <w:rsid w:val="004073E7"/>
    <w:rsid w:val="00413312"/>
    <w:rsid w:val="00423FDF"/>
    <w:rsid w:val="00427275"/>
    <w:rsid w:val="0044397A"/>
    <w:rsid w:val="00443F97"/>
    <w:rsid w:val="00454582"/>
    <w:rsid w:val="00464B4A"/>
    <w:rsid w:val="00464D89"/>
    <w:rsid w:val="00476A0E"/>
    <w:rsid w:val="00490B90"/>
    <w:rsid w:val="00490E25"/>
    <w:rsid w:val="00493360"/>
    <w:rsid w:val="004A38EB"/>
    <w:rsid w:val="004B088C"/>
    <w:rsid w:val="004B2C90"/>
    <w:rsid w:val="004C17DE"/>
    <w:rsid w:val="004C58F3"/>
    <w:rsid w:val="004D2BF9"/>
    <w:rsid w:val="004E086D"/>
    <w:rsid w:val="004F4C4F"/>
    <w:rsid w:val="004F6CF1"/>
    <w:rsid w:val="00500883"/>
    <w:rsid w:val="00516260"/>
    <w:rsid w:val="005226B9"/>
    <w:rsid w:val="00522D9C"/>
    <w:rsid w:val="005272E6"/>
    <w:rsid w:val="0052777A"/>
    <w:rsid w:val="00527EBB"/>
    <w:rsid w:val="00534819"/>
    <w:rsid w:val="005505E3"/>
    <w:rsid w:val="00551CB9"/>
    <w:rsid w:val="0055713D"/>
    <w:rsid w:val="00561FB9"/>
    <w:rsid w:val="00576BCD"/>
    <w:rsid w:val="00591288"/>
    <w:rsid w:val="005917FD"/>
    <w:rsid w:val="005A3632"/>
    <w:rsid w:val="005A3F42"/>
    <w:rsid w:val="005A4AA1"/>
    <w:rsid w:val="005B282D"/>
    <w:rsid w:val="005B3358"/>
    <w:rsid w:val="005C0F15"/>
    <w:rsid w:val="005C3C13"/>
    <w:rsid w:val="005C5269"/>
    <w:rsid w:val="005C66F5"/>
    <w:rsid w:val="005D22F0"/>
    <w:rsid w:val="005D4706"/>
    <w:rsid w:val="005E0DC7"/>
    <w:rsid w:val="005E6E22"/>
    <w:rsid w:val="00610C0F"/>
    <w:rsid w:val="006147EB"/>
    <w:rsid w:val="006200EB"/>
    <w:rsid w:val="00621EA3"/>
    <w:rsid w:val="006324E0"/>
    <w:rsid w:val="00640234"/>
    <w:rsid w:val="0064343A"/>
    <w:rsid w:val="00665FB6"/>
    <w:rsid w:val="00667B5E"/>
    <w:rsid w:val="006773E9"/>
    <w:rsid w:val="006949AF"/>
    <w:rsid w:val="006A008F"/>
    <w:rsid w:val="006A2ABA"/>
    <w:rsid w:val="006A2BCA"/>
    <w:rsid w:val="006A5AA6"/>
    <w:rsid w:val="006B0B5F"/>
    <w:rsid w:val="006B349C"/>
    <w:rsid w:val="006D71DA"/>
    <w:rsid w:val="006E170D"/>
    <w:rsid w:val="006E2CC2"/>
    <w:rsid w:val="006E698B"/>
    <w:rsid w:val="006F25A1"/>
    <w:rsid w:val="006F7BEB"/>
    <w:rsid w:val="0071548B"/>
    <w:rsid w:val="00715A4A"/>
    <w:rsid w:val="007203E4"/>
    <w:rsid w:val="007204A9"/>
    <w:rsid w:val="0072538D"/>
    <w:rsid w:val="00736008"/>
    <w:rsid w:val="00740E77"/>
    <w:rsid w:val="00747F4B"/>
    <w:rsid w:val="0075249A"/>
    <w:rsid w:val="00756929"/>
    <w:rsid w:val="00767DBB"/>
    <w:rsid w:val="00771DC8"/>
    <w:rsid w:val="00774646"/>
    <w:rsid w:val="00780840"/>
    <w:rsid w:val="00781695"/>
    <w:rsid w:val="00783EC4"/>
    <w:rsid w:val="007851BE"/>
    <w:rsid w:val="007A02A7"/>
    <w:rsid w:val="007A038F"/>
    <w:rsid w:val="007A3AD4"/>
    <w:rsid w:val="007B1434"/>
    <w:rsid w:val="007C0935"/>
    <w:rsid w:val="007D43C0"/>
    <w:rsid w:val="007E1C98"/>
    <w:rsid w:val="007E74EE"/>
    <w:rsid w:val="007F4E93"/>
    <w:rsid w:val="007F6CC4"/>
    <w:rsid w:val="008046D4"/>
    <w:rsid w:val="008059CB"/>
    <w:rsid w:val="008173BC"/>
    <w:rsid w:val="008204E7"/>
    <w:rsid w:val="008250D8"/>
    <w:rsid w:val="00833792"/>
    <w:rsid w:val="00835B4D"/>
    <w:rsid w:val="00837A21"/>
    <w:rsid w:val="008467D9"/>
    <w:rsid w:val="00852F35"/>
    <w:rsid w:val="00857363"/>
    <w:rsid w:val="0086394C"/>
    <w:rsid w:val="00874998"/>
    <w:rsid w:val="00876109"/>
    <w:rsid w:val="00880485"/>
    <w:rsid w:val="00883248"/>
    <w:rsid w:val="00887245"/>
    <w:rsid w:val="008A0614"/>
    <w:rsid w:val="008B44F5"/>
    <w:rsid w:val="008C0558"/>
    <w:rsid w:val="008C47A1"/>
    <w:rsid w:val="008C738F"/>
    <w:rsid w:val="008C7682"/>
    <w:rsid w:val="008D6B9E"/>
    <w:rsid w:val="008E1024"/>
    <w:rsid w:val="008F2BB2"/>
    <w:rsid w:val="008F491B"/>
    <w:rsid w:val="009111F2"/>
    <w:rsid w:val="00913ED0"/>
    <w:rsid w:val="00927650"/>
    <w:rsid w:val="0093222B"/>
    <w:rsid w:val="009429FD"/>
    <w:rsid w:val="00942CB6"/>
    <w:rsid w:val="00942CE9"/>
    <w:rsid w:val="0095328E"/>
    <w:rsid w:val="00954FF2"/>
    <w:rsid w:val="009615D2"/>
    <w:rsid w:val="00962EE8"/>
    <w:rsid w:val="00967ACD"/>
    <w:rsid w:val="00970188"/>
    <w:rsid w:val="00976EE9"/>
    <w:rsid w:val="00980557"/>
    <w:rsid w:val="009821BE"/>
    <w:rsid w:val="0098267F"/>
    <w:rsid w:val="00984376"/>
    <w:rsid w:val="00984714"/>
    <w:rsid w:val="009A350B"/>
    <w:rsid w:val="009A40A7"/>
    <w:rsid w:val="009A6D9C"/>
    <w:rsid w:val="009C14AA"/>
    <w:rsid w:val="009C17B5"/>
    <w:rsid w:val="009C60F6"/>
    <w:rsid w:val="009D494C"/>
    <w:rsid w:val="009E350A"/>
    <w:rsid w:val="009E40B2"/>
    <w:rsid w:val="009F0889"/>
    <w:rsid w:val="009F16DE"/>
    <w:rsid w:val="009F62F4"/>
    <w:rsid w:val="009F6A0F"/>
    <w:rsid w:val="00A008E6"/>
    <w:rsid w:val="00A06DF8"/>
    <w:rsid w:val="00A12C83"/>
    <w:rsid w:val="00A12F96"/>
    <w:rsid w:val="00A20F1C"/>
    <w:rsid w:val="00A42517"/>
    <w:rsid w:val="00A57585"/>
    <w:rsid w:val="00A57FF6"/>
    <w:rsid w:val="00A62EF3"/>
    <w:rsid w:val="00A704F3"/>
    <w:rsid w:val="00A7236A"/>
    <w:rsid w:val="00A82A58"/>
    <w:rsid w:val="00A82A94"/>
    <w:rsid w:val="00A918A7"/>
    <w:rsid w:val="00AA1C38"/>
    <w:rsid w:val="00AA705F"/>
    <w:rsid w:val="00AB4459"/>
    <w:rsid w:val="00AB6810"/>
    <w:rsid w:val="00AC2CDC"/>
    <w:rsid w:val="00AD358D"/>
    <w:rsid w:val="00AD5CA7"/>
    <w:rsid w:val="00AD7805"/>
    <w:rsid w:val="00AE2B22"/>
    <w:rsid w:val="00AE47C8"/>
    <w:rsid w:val="00AF64D8"/>
    <w:rsid w:val="00B022AA"/>
    <w:rsid w:val="00B04A95"/>
    <w:rsid w:val="00B05108"/>
    <w:rsid w:val="00B23B3E"/>
    <w:rsid w:val="00B4571B"/>
    <w:rsid w:val="00B56736"/>
    <w:rsid w:val="00B6596F"/>
    <w:rsid w:val="00B73343"/>
    <w:rsid w:val="00B81D3E"/>
    <w:rsid w:val="00B92E61"/>
    <w:rsid w:val="00B97D3A"/>
    <w:rsid w:val="00BA7071"/>
    <w:rsid w:val="00BB1265"/>
    <w:rsid w:val="00BB1526"/>
    <w:rsid w:val="00BB55C6"/>
    <w:rsid w:val="00BC05A5"/>
    <w:rsid w:val="00BC75F1"/>
    <w:rsid w:val="00BC75F3"/>
    <w:rsid w:val="00BD171D"/>
    <w:rsid w:val="00BD57F5"/>
    <w:rsid w:val="00BE0F4D"/>
    <w:rsid w:val="00BE48A4"/>
    <w:rsid w:val="00BE56F0"/>
    <w:rsid w:val="00C034D3"/>
    <w:rsid w:val="00C03CD2"/>
    <w:rsid w:val="00C12D35"/>
    <w:rsid w:val="00C13310"/>
    <w:rsid w:val="00C17F81"/>
    <w:rsid w:val="00C32E9F"/>
    <w:rsid w:val="00C47620"/>
    <w:rsid w:val="00C70947"/>
    <w:rsid w:val="00C909FF"/>
    <w:rsid w:val="00CC42EA"/>
    <w:rsid w:val="00CC6110"/>
    <w:rsid w:val="00CD0193"/>
    <w:rsid w:val="00CF55DD"/>
    <w:rsid w:val="00D03799"/>
    <w:rsid w:val="00D04E61"/>
    <w:rsid w:val="00D10635"/>
    <w:rsid w:val="00D11157"/>
    <w:rsid w:val="00D13C0A"/>
    <w:rsid w:val="00D26073"/>
    <w:rsid w:val="00D37020"/>
    <w:rsid w:val="00D500C1"/>
    <w:rsid w:val="00D525B8"/>
    <w:rsid w:val="00D626DC"/>
    <w:rsid w:val="00D75A12"/>
    <w:rsid w:val="00D75A8B"/>
    <w:rsid w:val="00D8019E"/>
    <w:rsid w:val="00D859BB"/>
    <w:rsid w:val="00D92803"/>
    <w:rsid w:val="00D9417E"/>
    <w:rsid w:val="00D95437"/>
    <w:rsid w:val="00DA18A2"/>
    <w:rsid w:val="00DB32D8"/>
    <w:rsid w:val="00DB61AC"/>
    <w:rsid w:val="00DE5379"/>
    <w:rsid w:val="00DF2F8D"/>
    <w:rsid w:val="00E05FA4"/>
    <w:rsid w:val="00E12AB4"/>
    <w:rsid w:val="00E13082"/>
    <w:rsid w:val="00E13A9B"/>
    <w:rsid w:val="00E155C1"/>
    <w:rsid w:val="00E2196D"/>
    <w:rsid w:val="00E224F4"/>
    <w:rsid w:val="00E2753F"/>
    <w:rsid w:val="00E27786"/>
    <w:rsid w:val="00E27CA0"/>
    <w:rsid w:val="00E36FEE"/>
    <w:rsid w:val="00E43127"/>
    <w:rsid w:val="00E63FC4"/>
    <w:rsid w:val="00E84F06"/>
    <w:rsid w:val="00E86296"/>
    <w:rsid w:val="00E92551"/>
    <w:rsid w:val="00EB6AA9"/>
    <w:rsid w:val="00EC4A85"/>
    <w:rsid w:val="00EC516E"/>
    <w:rsid w:val="00EC68BE"/>
    <w:rsid w:val="00ED0697"/>
    <w:rsid w:val="00ED1542"/>
    <w:rsid w:val="00F03073"/>
    <w:rsid w:val="00F049AA"/>
    <w:rsid w:val="00F135EF"/>
    <w:rsid w:val="00F262A6"/>
    <w:rsid w:val="00F41216"/>
    <w:rsid w:val="00F46A3A"/>
    <w:rsid w:val="00F46DB7"/>
    <w:rsid w:val="00F620FD"/>
    <w:rsid w:val="00F64736"/>
    <w:rsid w:val="00F66078"/>
    <w:rsid w:val="00F736AF"/>
    <w:rsid w:val="00F83A8A"/>
    <w:rsid w:val="00F862FA"/>
    <w:rsid w:val="00F86700"/>
    <w:rsid w:val="00F87586"/>
    <w:rsid w:val="00F957C6"/>
    <w:rsid w:val="00FA55FA"/>
    <w:rsid w:val="00FA6219"/>
    <w:rsid w:val="00FB3AF5"/>
    <w:rsid w:val="00FB7CAD"/>
    <w:rsid w:val="00FC5955"/>
    <w:rsid w:val="00FD20A5"/>
    <w:rsid w:val="00FD2C22"/>
    <w:rsid w:val="00FE2C7F"/>
    <w:rsid w:val="00FE5F8F"/>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CE5127B"/>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C"/>
    <w:pPr>
      <w:spacing w:after="160" w:line="264" w:lineRule="auto"/>
    </w:pPr>
    <w:rPr>
      <w:rFonts w:ascii="Calibri Light" w:hAnsi="Calibri Light"/>
      <w:color w:val="1C2B39"/>
      <w:sz w:val="20"/>
    </w:rPr>
  </w:style>
  <w:style w:type="paragraph" w:styleId="Heading1">
    <w:name w:val="heading 1"/>
    <w:basedOn w:val="Normal"/>
    <w:next w:val="Normal"/>
    <w:link w:val="Heading1Char"/>
    <w:uiPriority w:val="2"/>
    <w:qFormat/>
    <w:rsid w:val="002F382A"/>
    <w:pPr>
      <w:keepNext/>
      <w:keepLines/>
      <w:pBdr>
        <w:top w:val="single" w:sz="48" w:space="1" w:color="007279"/>
        <w:left w:val="single" w:sz="48" w:space="4" w:color="007279"/>
        <w:bottom w:val="single" w:sz="48" w:space="1" w:color="007279"/>
        <w:right w:val="single" w:sz="48" w:space="4" w:color="007279"/>
      </w:pBdr>
      <w:shd w:val="clear" w:color="auto" w:fill="007279"/>
      <w:spacing w:before="360" w:line="240" w:lineRule="auto"/>
      <w:outlineLvl w:val="0"/>
    </w:pPr>
    <w:rPr>
      <w:rFonts w:ascii="Calibri" w:eastAsiaTheme="majorEastAsia" w:hAnsi="Calibri" w:cstheme="majorBidi"/>
      <w:color w:val="FFFFFF" w:themeColor="background1"/>
      <w:sz w:val="48"/>
      <w:szCs w:val="40"/>
    </w:rPr>
  </w:style>
  <w:style w:type="paragraph" w:styleId="Heading2">
    <w:name w:val="heading 2"/>
    <w:basedOn w:val="Normal"/>
    <w:next w:val="Normal"/>
    <w:link w:val="Heading2Char"/>
    <w:uiPriority w:val="2"/>
    <w:qFormat/>
    <w:rsid w:val="008059CB"/>
    <w:pPr>
      <w:keepNext/>
      <w:keepLines/>
      <w:spacing w:before="240" w:line="240" w:lineRule="auto"/>
      <w:outlineLvl w:val="1"/>
    </w:pPr>
    <w:rPr>
      <w:rFonts w:ascii="Calibri" w:eastAsiaTheme="majorEastAsia" w:hAnsi="Calibri" w:cstheme="majorBidi"/>
      <w:sz w:val="36"/>
      <w:szCs w:val="28"/>
    </w:rPr>
  </w:style>
  <w:style w:type="paragraph" w:styleId="Heading3">
    <w:name w:val="heading 3"/>
    <w:basedOn w:val="Heading4"/>
    <w:next w:val="Normal"/>
    <w:link w:val="Heading3Char"/>
    <w:uiPriority w:val="2"/>
    <w:qFormat/>
    <w:rsid w:val="00E86296"/>
    <w:pPr>
      <w:outlineLvl w:val="2"/>
    </w:pPr>
    <w:rPr>
      <w:color w:val="1C2B39"/>
      <w:sz w:val="24"/>
      <w:szCs w:val="24"/>
    </w:rPr>
  </w:style>
  <w:style w:type="paragraph" w:styleId="Heading4">
    <w:name w:val="heading 4"/>
    <w:basedOn w:val="Normal"/>
    <w:next w:val="Normal"/>
    <w:link w:val="Heading4Char"/>
    <w:uiPriority w:val="2"/>
    <w:qFormat/>
    <w:rsid w:val="00E86296"/>
    <w:pPr>
      <w:keepNext/>
      <w:keepLines/>
      <w:spacing w:before="240"/>
      <w:outlineLvl w:val="3"/>
    </w:pPr>
    <w:rPr>
      <w:rFonts w:eastAsiaTheme="majorEastAsia" w:cstheme="minorHAnsi"/>
      <w:b/>
      <w:color w:val="007279"/>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F382A"/>
    <w:rPr>
      <w:rFonts w:ascii="Calibri" w:eastAsiaTheme="majorEastAsia" w:hAnsi="Calibri" w:cstheme="majorBidi"/>
      <w:color w:val="FFFFFF" w:themeColor="background1"/>
      <w:sz w:val="48"/>
      <w:szCs w:val="40"/>
      <w:shd w:val="clear" w:color="auto" w:fill="007279"/>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8059CB"/>
    <w:rPr>
      <w:rFonts w:ascii="Calibri" w:eastAsiaTheme="majorEastAsia" w:hAnsi="Calibri" w:cstheme="majorBidi"/>
      <w:color w:val="1C2B39"/>
      <w:sz w:val="36"/>
      <w:szCs w:val="28"/>
    </w:rPr>
  </w:style>
  <w:style w:type="character" w:customStyle="1" w:styleId="Heading3Char">
    <w:name w:val="Heading 3 Char"/>
    <w:basedOn w:val="DefaultParagraphFont"/>
    <w:link w:val="Heading3"/>
    <w:uiPriority w:val="2"/>
    <w:rsid w:val="00E86296"/>
    <w:rPr>
      <w:rFonts w:eastAsiaTheme="majorEastAsia" w:cstheme="minorHAnsi"/>
      <w:b/>
      <w:color w:val="1C2B39"/>
      <w:sz w:val="24"/>
      <w:szCs w:val="24"/>
    </w:rPr>
  </w:style>
  <w:style w:type="character" w:customStyle="1" w:styleId="Heading4Char">
    <w:name w:val="Heading 4 Char"/>
    <w:basedOn w:val="DefaultParagraphFont"/>
    <w:link w:val="Heading4"/>
    <w:uiPriority w:val="2"/>
    <w:rsid w:val="00E86296"/>
    <w:rPr>
      <w:rFonts w:eastAsiaTheme="majorEastAsia" w:cstheme="minorHAnsi"/>
      <w:b/>
      <w:color w:val="007279"/>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1"/>
    <w:next w:val="BOXText"/>
    <w:uiPriority w:val="6"/>
    <w:qFormat/>
    <w:rsid w:val="006949AF"/>
    <w:pPr>
      <w:spacing w:before="240" w:after="0"/>
      <w:ind w:left="227" w:right="227"/>
    </w:pPr>
    <w:rPr>
      <w:sz w:val="36"/>
    </w:r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D71DA"/>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tabs>
        <w:tab w:val="left" w:pos="3300"/>
      </w:tabs>
      <w:ind w:left="227" w:right="227"/>
    </w:pPr>
  </w:style>
  <w:style w:type="paragraph" w:customStyle="1" w:styleId="BOXBulletedList">
    <w:name w:val="BOX Bulleted List"/>
    <w:basedOn w:val="BOXText"/>
    <w:uiPriority w:val="5"/>
    <w:qFormat/>
    <w:rsid w:val="00BD171D"/>
    <w:pPr>
      <w:ind w:left="0"/>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8059CB"/>
    <w:pPr>
      <w:numPr>
        <w:numId w:val="27"/>
      </w:numPr>
      <w:spacing w:before="240"/>
    </w:pPr>
    <w:rPr>
      <w:rFonts w:cs="Segoe UI"/>
      <w:color w:val="007279"/>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8059CB"/>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D500C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paragraph" w:styleId="NormalWeb">
    <w:name w:val="Normal (Web)"/>
    <w:basedOn w:val="Normal"/>
    <w:uiPriority w:val="99"/>
    <w:semiHidden/>
    <w:unhideWhenUsed/>
    <w:rsid w:val="005505E3"/>
    <w:pPr>
      <w:spacing w:before="100" w:beforeAutospacing="1" w:after="100" w:afterAutospacing="1" w:line="240" w:lineRule="auto"/>
    </w:pPr>
    <w:rPr>
      <w:rFonts w:ascii="Times New Roman" w:hAnsi="Times New Roman" w:cs="Times New Roman"/>
      <w:sz w:val="24"/>
      <w:szCs w:val="24"/>
      <w:lang w:eastAsia="en-AU"/>
    </w:rPr>
  </w:style>
  <w:style w:type="table" w:customStyle="1" w:styleId="Custom11">
    <w:name w:val="Custom 11"/>
    <w:basedOn w:val="TableNormal"/>
    <w:uiPriority w:val="99"/>
    <w:rsid w:val="005505E3"/>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character" w:styleId="CommentReference">
    <w:name w:val="annotation reference"/>
    <w:basedOn w:val="DefaultParagraphFont"/>
    <w:uiPriority w:val="99"/>
    <w:semiHidden/>
    <w:unhideWhenUsed/>
    <w:rsid w:val="00576BCD"/>
    <w:rPr>
      <w:sz w:val="16"/>
      <w:szCs w:val="16"/>
    </w:rPr>
  </w:style>
  <w:style w:type="paragraph" w:styleId="CommentText">
    <w:name w:val="annotation text"/>
    <w:basedOn w:val="Normal"/>
    <w:link w:val="CommentTextChar"/>
    <w:uiPriority w:val="99"/>
    <w:unhideWhenUsed/>
    <w:rsid w:val="00576BCD"/>
    <w:pPr>
      <w:spacing w:after="200" w:line="276" w:lineRule="auto"/>
    </w:pPr>
    <w:rPr>
      <w:rFonts w:ascii="Arial" w:eastAsiaTheme="minorHAnsi" w:hAnsi="Arial"/>
      <w:color w:val="auto"/>
      <w:szCs w:val="20"/>
    </w:rPr>
  </w:style>
  <w:style w:type="character" w:customStyle="1" w:styleId="CommentTextChar">
    <w:name w:val="Comment Text Char"/>
    <w:basedOn w:val="DefaultParagraphFont"/>
    <w:link w:val="CommentText"/>
    <w:uiPriority w:val="99"/>
    <w:rsid w:val="00576BCD"/>
    <w:rPr>
      <w:rFonts w:ascii="Arial" w:eastAsiaTheme="minorHAnsi" w:hAnsi="Arial"/>
      <w:sz w:val="20"/>
      <w:szCs w:val="20"/>
    </w:rPr>
  </w:style>
  <w:style w:type="paragraph" w:styleId="FootnoteText">
    <w:name w:val="footnote text"/>
    <w:link w:val="FootnoteTextChar"/>
    <w:rsid w:val="00BB55C6"/>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BB55C6"/>
    <w:rPr>
      <w:rFonts w:ascii="Arial" w:eastAsia="Times New Roman" w:hAnsi="Arial" w:cs="Times New Roman"/>
      <w:sz w:val="20"/>
      <w:szCs w:val="20"/>
    </w:rPr>
  </w:style>
  <w:style w:type="character" w:styleId="FootnoteReference">
    <w:name w:val="footnote reference"/>
    <w:basedOn w:val="DefaultParagraphFont"/>
    <w:semiHidden/>
    <w:unhideWhenUsed/>
    <w:rsid w:val="00BB55C6"/>
    <w:rPr>
      <w:vertAlign w:val="superscript"/>
    </w:rPr>
  </w:style>
  <w:style w:type="paragraph" w:styleId="Revision">
    <w:name w:val="Revision"/>
    <w:hidden/>
    <w:uiPriority w:val="99"/>
    <w:semiHidden/>
    <w:rsid w:val="005B282D"/>
    <w:pPr>
      <w:spacing w:after="0" w:line="240" w:lineRule="auto"/>
    </w:pPr>
    <w:rPr>
      <w:rFonts w:ascii="Calibri Light" w:hAnsi="Calibri Light"/>
      <w:color w:val="1C2B3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292">
      <w:bodyDiv w:val="1"/>
      <w:marLeft w:val="0"/>
      <w:marRight w:val="0"/>
      <w:marTop w:val="0"/>
      <w:marBottom w:val="0"/>
      <w:divBdr>
        <w:top w:val="none" w:sz="0" w:space="0" w:color="auto"/>
        <w:left w:val="none" w:sz="0" w:space="0" w:color="auto"/>
        <w:bottom w:val="none" w:sz="0" w:space="0" w:color="auto"/>
        <w:right w:val="none" w:sz="0" w:space="0" w:color="auto"/>
      </w:divBdr>
    </w:div>
    <w:div w:id="150567987">
      <w:bodyDiv w:val="1"/>
      <w:marLeft w:val="0"/>
      <w:marRight w:val="0"/>
      <w:marTop w:val="0"/>
      <w:marBottom w:val="0"/>
      <w:divBdr>
        <w:top w:val="none" w:sz="0" w:space="0" w:color="auto"/>
        <w:left w:val="none" w:sz="0" w:space="0" w:color="auto"/>
        <w:bottom w:val="none" w:sz="0" w:space="0" w:color="auto"/>
        <w:right w:val="none" w:sz="0" w:space="0" w:color="auto"/>
      </w:divBdr>
      <w:divsChild>
        <w:div w:id="783230401">
          <w:marLeft w:val="274"/>
          <w:marRight w:val="0"/>
          <w:marTop w:val="0"/>
          <w:marBottom w:val="0"/>
          <w:divBdr>
            <w:top w:val="none" w:sz="0" w:space="0" w:color="auto"/>
            <w:left w:val="none" w:sz="0" w:space="0" w:color="auto"/>
            <w:bottom w:val="none" w:sz="0" w:space="0" w:color="auto"/>
            <w:right w:val="none" w:sz="0" w:space="0" w:color="auto"/>
          </w:divBdr>
        </w:div>
        <w:div w:id="816074381">
          <w:marLeft w:val="274"/>
          <w:marRight w:val="0"/>
          <w:marTop w:val="0"/>
          <w:marBottom w:val="0"/>
          <w:divBdr>
            <w:top w:val="none" w:sz="0" w:space="0" w:color="auto"/>
            <w:left w:val="none" w:sz="0" w:space="0" w:color="auto"/>
            <w:bottom w:val="none" w:sz="0" w:space="0" w:color="auto"/>
            <w:right w:val="none" w:sz="0" w:space="0" w:color="auto"/>
          </w:divBdr>
        </w:div>
        <w:div w:id="18437900">
          <w:marLeft w:val="274"/>
          <w:marRight w:val="0"/>
          <w:marTop w:val="0"/>
          <w:marBottom w:val="0"/>
          <w:divBdr>
            <w:top w:val="none" w:sz="0" w:space="0" w:color="auto"/>
            <w:left w:val="none" w:sz="0" w:space="0" w:color="auto"/>
            <w:bottom w:val="none" w:sz="0" w:space="0" w:color="auto"/>
            <w:right w:val="none" w:sz="0" w:space="0" w:color="auto"/>
          </w:divBdr>
        </w:div>
      </w:divsChild>
    </w:div>
    <w:div w:id="441608297">
      <w:bodyDiv w:val="1"/>
      <w:marLeft w:val="0"/>
      <w:marRight w:val="0"/>
      <w:marTop w:val="0"/>
      <w:marBottom w:val="0"/>
      <w:divBdr>
        <w:top w:val="none" w:sz="0" w:space="0" w:color="auto"/>
        <w:left w:val="none" w:sz="0" w:space="0" w:color="auto"/>
        <w:bottom w:val="none" w:sz="0" w:space="0" w:color="auto"/>
        <w:right w:val="none" w:sz="0" w:space="0" w:color="auto"/>
      </w:divBdr>
    </w:div>
    <w:div w:id="917054767">
      <w:bodyDiv w:val="1"/>
      <w:marLeft w:val="0"/>
      <w:marRight w:val="0"/>
      <w:marTop w:val="0"/>
      <w:marBottom w:val="0"/>
      <w:divBdr>
        <w:top w:val="none" w:sz="0" w:space="0" w:color="auto"/>
        <w:left w:val="none" w:sz="0" w:space="0" w:color="auto"/>
        <w:bottom w:val="none" w:sz="0" w:space="0" w:color="auto"/>
        <w:right w:val="none" w:sz="0" w:space="0" w:color="auto"/>
      </w:divBdr>
    </w:div>
    <w:div w:id="1405909050">
      <w:bodyDiv w:val="1"/>
      <w:marLeft w:val="0"/>
      <w:marRight w:val="0"/>
      <w:marTop w:val="0"/>
      <w:marBottom w:val="0"/>
      <w:divBdr>
        <w:top w:val="none" w:sz="0" w:space="0" w:color="auto"/>
        <w:left w:val="none" w:sz="0" w:space="0" w:color="auto"/>
        <w:bottom w:val="none" w:sz="0" w:space="0" w:color="auto"/>
        <w:right w:val="none" w:sz="0" w:space="0" w:color="auto"/>
      </w:divBdr>
      <w:divsChild>
        <w:div w:id="352000906">
          <w:marLeft w:val="274"/>
          <w:marRight w:val="0"/>
          <w:marTop w:val="0"/>
          <w:marBottom w:val="0"/>
          <w:divBdr>
            <w:top w:val="none" w:sz="0" w:space="0" w:color="auto"/>
            <w:left w:val="none" w:sz="0" w:space="0" w:color="auto"/>
            <w:bottom w:val="none" w:sz="0" w:space="0" w:color="auto"/>
            <w:right w:val="none" w:sz="0" w:space="0" w:color="auto"/>
          </w:divBdr>
        </w:div>
        <w:div w:id="1153835643">
          <w:marLeft w:val="274"/>
          <w:marRight w:val="0"/>
          <w:marTop w:val="0"/>
          <w:marBottom w:val="0"/>
          <w:divBdr>
            <w:top w:val="none" w:sz="0" w:space="0" w:color="auto"/>
            <w:left w:val="none" w:sz="0" w:space="0" w:color="auto"/>
            <w:bottom w:val="none" w:sz="0" w:space="0" w:color="auto"/>
            <w:right w:val="none" w:sz="0" w:space="0" w:color="auto"/>
          </w:divBdr>
        </w:div>
      </w:divsChild>
    </w:div>
    <w:div w:id="1611088431">
      <w:bodyDiv w:val="1"/>
      <w:marLeft w:val="0"/>
      <w:marRight w:val="0"/>
      <w:marTop w:val="0"/>
      <w:marBottom w:val="0"/>
      <w:divBdr>
        <w:top w:val="none" w:sz="0" w:space="0" w:color="auto"/>
        <w:left w:val="none" w:sz="0" w:space="0" w:color="auto"/>
        <w:bottom w:val="none" w:sz="0" w:space="0" w:color="auto"/>
        <w:right w:val="none" w:sz="0" w:space="0" w:color="auto"/>
      </w:divBdr>
      <w:divsChild>
        <w:div w:id="1800764290">
          <w:marLeft w:val="274"/>
          <w:marRight w:val="0"/>
          <w:marTop w:val="0"/>
          <w:marBottom w:val="0"/>
          <w:divBdr>
            <w:top w:val="none" w:sz="0" w:space="0" w:color="auto"/>
            <w:left w:val="none" w:sz="0" w:space="0" w:color="auto"/>
            <w:bottom w:val="none" w:sz="0" w:space="0" w:color="auto"/>
            <w:right w:val="none" w:sz="0" w:space="0" w:color="auto"/>
          </w:divBdr>
        </w:div>
        <w:div w:id="1867476915">
          <w:marLeft w:val="274"/>
          <w:marRight w:val="0"/>
          <w:marTop w:val="0"/>
          <w:marBottom w:val="0"/>
          <w:divBdr>
            <w:top w:val="none" w:sz="0" w:space="0" w:color="auto"/>
            <w:left w:val="none" w:sz="0" w:space="0" w:color="auto"/>
            <w:bottom w:val="none" w:sz="0" w:space="0" w:color="auto"/>
            <w:right w:val="none" w:sz="0" w:space="0" w:color="auto"/>
          </w:divBdr>
        </w:div>
      </w:divsChild>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7900609">
      <w:bodyDiv w:val="1"/>
      <w:marLeft w:val="0"/>
      <w:marRight w:val="0"/>
      <w:marTop w:val="0"/>
      <w:marBottom w:val="0"/>
      <w:divBdr>
        <w:top w:val="none" w:sz="0" w:space="0" w:color="auto"/>
        <w:left w:val="none" w:sz="0" w:space="0" w:color="auto"/>
        <w:bottom w:val="none" w:sz="0" w:space="0" w:color="auto"/>
        <w:right w:val="none" w:sz="0" w:space="0" w:color="auto"/>
      </w:divBdr>
    </w:div>
    <w:div w:id="1725524707">
      <w:bodyDiv w:val="1"/>
      <w:marLeft w:val="0"/>
      <w:marRight w:val="0"/>
      <w:marTop w:val="0"/>
      <w:marBottom w:val="0"/>
      <w:divBdr>
        <w:top w:val="none" w:sz="0" w:space="0" w:color="auto"/>
        <w:left w:val="none" w:sz="0" w:space="0" w:color="auto"/>
        <w:bottom w:val="none" w:sz="0" w:space="0" w:color="auto"/>
        <w:right w:val="none" w:sz="0" w:space="0" w:color="auto"/>
      </w:divBdr>
      <w:divsChild>
        <w:div w:id="295721208">
          <w:marLeft w:val="274"/>
          <w:marRight w:val="0"/>
          <w:marTop w:val="0"/>
          <w:marBottom w:val="0"/>
          <w:divBdr>
            <w:top w:val="none" w:sz="0" w:space="0" w:color="auto"/>
            <w:left w:val="none" w:sz="0" w:space="0" w:color="auto"/>
            <w:bottom w:val="none" w:sz="0" w:space="0" w:color="auto"/>
            <w:right w:val="none" w:sz="0" w:space="0" w:color="auto"/>
          </w:divBdr>
        </w:div>
        <w:div w:id="292172045">
          <w:marLeft w:val="274"/>
          <w:marRight w:val="0"/>
          <w:marTop w:val="0"/>
          <w:marBottom w:val="0"/>
          <w:divBdr>
            <w:top w:val="none" w:sz="0" w:space="0" w:color="auto"/>
            <w:left w:val="none" w:sz="0" w:space="0" w:color="auto"/>
            <w:bottom w:val="none" w:sz="0" w:space="0" w:color="auto"/>
            <w:right w:val="none" w:sz="0" w:space="0" w:color="auto"/>
          </w:divBdr>
        </w:div>
      </w:divsChild>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35019430">
      <w:bodyDiv w:val="1"/>
      <w:marLeft w:val="0"/>
      <w:marRight w:val="0"/>
      <w:marTop w:val="0"/>
      <w:marBottom w:val="0"/>
      <w:divBdr>
        <w:top w:val="none" w:sz="0" w:space="0" w:color="auto"/>
        <w:left w:val="none" w:sz="0" w:space="0" w:color="auto"/>
        <w:bottom w:val="none" w:sz="0" w:space="0" w:color="auto"/>
        <w:right w:val="none" w:sz="0" w:space="0" w:color="auto"/>
      </w:divBdr>
    </w:div>
    <w:div w:id="19558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health.gov.au/resources/publications/medicare-urgent-care-clinics-program-evaluation-first-interim-report?language=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resources/publications/medicare-urgent-care-clinics-program-evaluation-first-interim-report?language=en" TargetMode="External"/><Relationship Id="rId2" Type="http://schemas.openxmlformats.org/officeDocument/2006/relationships/hyperlink" Target="https://www.health.gov.au/resources/publications/medicare-urgent-care-clinics-program-evaluation-first-interim-report?language=en" TargetMode="External"/><Relationship Id="rId1" Type="http://schemas.openxmlformats.org/officeDocument/2006/relationships/hyperlink" Target="https://www.health.gov.au/resources/publications/medicare-urgent-care-clinics-program-evaluation-first-interim-report?language=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D94D-FDE2-4103-AF67-7F0B1A58AC9C}">
  <ds:schemaRefs>
    <ds:schemaRef ds:uri="http://schemas.openxmlformats.org/officeDocument/2006/bibliography"/>
  </ds:schemaRefs>
</ds:datastoreItem>
</file>

<file path=docMetadata/LabelInfo.xml><?xml version="1.0" encoding="utf-8"?>
<clbl:labelList xmlns:clbl="http://schemas.microsoft.com/office/2020/mipLabelMetadata">
  <clbl:label id="{540cdab9-3592-4269-8944-10949a3bf55a}" enabled="1" method="Privileged" siteId="{311f614e-2687-4905-bb5c-f592370e0d41}"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3177</Characters>
  <Application>Microsoft Office Word</Application>
  <DocSecurity>0</DocSecurity>
  <Lines>59</Lines>
  <Paragraphs>23</Paragraphs>
  <ScaleCrop>false</ScaleCrop>
  <Manager/>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2026-05-08T04:48:00Z</dcterms:created>
  <dcterms:modified xsi:type="dcterms:W3CDTF">2026-05-08T04:48:00Z</dcterms:modified>
  <cp:category/>
</cp:coreProperties>
</file>