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EC10D" w14:textId="29B4ECF0" w:rsidR="00A62EF3" w:rsidRDefault="0063233D" w:rsidP="00AA12EC">
      <w:pPr>
        <w:pStyle w:val="Title"/>
        <w:tabs>
          <w:tab w:val="left" w:pos="7938"/>
        </w:tabs>
      </w:pPr>
      <w:bookmarkStart w:id="0" w:name="_Hlk208479464"/>
      <w:bookmarkStart w:id="1" w:name="_Toc96326909"/>
      <w:r>
        <w:t>Ongoing Funding for</w:t>
      </w:r>
      <w:r w:rsidR="00142D95">
        <w:t xml:space="preserve"> the</w:t>
      </w:r>
      <w:r>
        <w:t xml:space="preserve"> Medicare Urgent Care Clinics</w:t>
      </w:r>
      <w:r w:rsidR="00142D95">
        <w:t xml:space="preserve"> Program</w:t>
      </w:r>
      <w:r w:rsidR="00DD02CA">
        <w:t xml:space="preserve"> - 2025 Impact Analysis</w:t>
      </w:r>
    </w:p>
    <w:bookmarkEnd w:id="0"/>
    <w:p w14:paraId="54B69014" w14:textId="05433380" w:rsidR="00784C0E" w:rsidRDefault="00EA1483" w:rsidP="00A62EF3">
      <w:pPr>
        <w:pStyle w:val="Subtitle"/>
      </w:pPr>
      <w:r>
        <w:t>(</w:t>
      </w:r>
      <w:r w:rsidR="006B100C">
        <w:t>October</w:t>
      </w:r>
      <w:r>
        <w:t xml:space="preserve"> 2025)</w:t>
      </w:r>
    </w:p>
    <w:p w14:paraId="6B50F121" w14:textId="7A59433A" w:rsidR="00A62EF3" w:rsidRDefault="00784C0E" w:rsidP="00A62EF3">
      <w:pPr>
        <w:pStyle w:val="Subtitle"/>
      </w:pPr>
      <w:r>
        <w:t>Office of Impact Analysis ref</w:t>
      </w:r>
      <w:r w:rsidR="4A7DD1B7">
        <w:t>e</w:t>
      </w:r>
      <w:r>
        <w:t xml:space="preserve">rence: </w:t>
      </w:r>
      <w:r w:rsidR="00337108" w:rsidRPr="00337108">
        <w:t>OBPR22-02778</w:t>
      </w:r>
    </w:p>
    <w:p w14:paraId="51174F6B" w14:textId="7674FB99" w:rsidR="00C76B32" w:rsidRDefault="009D3710" w:rsidP="00C76B32">
      <w:pPr>
        <w:rPr>
          <w:iCs/>
        </w:rPr>
      </w:pPr>
      <w:r>
        <w:rPr>
          <w:rStyle w:val="Emphasis"/>
          <w:i w:val="0"/>
        </w:rPr>
        <w:t xml:space="preserve">Prepared by </w:t>
      </w:r>
      <w:r w:rsidR="0063233D">
        <w:rPr>
          <w:rStyle w:val="Emphasis"/>
          <w:i w:val="0"/>
        </w:rPr>
        <w:t>Department of Health, Disability and Ageing</w:t>
      </w:r>
    </w:p>
    <w:p w14:paraId="6C0BB87C" w14:textId="6FCFD858" w:rsidR="00005BA4" w:rsidRDefault="003C5A9E" w:rsidP="00C76B32">
      <w:pPr>
        <w:rPr>
          <w:iCs/>
        </w:rPr>
      </w:pPr>
      <w:r>
        <w:rPr>
          <w:noProof/>
        </w:rPr>
        <w:drawing>
          <wp:inline distT="0" distB="0" distL="0" distR="0" wp14:anchorId="5342976E" wp14:editId="49A0E930">
            <wp:extent cx="6105525" cy="3819525"/>
            <wp:effectExtent l="0" t="0" r="0" b="9525"/>
            <wp:docPr id="10" name="Picture 9" descr="A person and child walking in front of a Medicare Urgent Care Clinic.">
              <a:extLst xmlns:a="http://schemas.openxmlformats.org/drawingml/2006/main">
                <a:ext uri="{FF2B5EF4-FFF2-40B4-BE49-F238E27FC236}">
                  <a16:creationId xmlns:a16="http://schemas.microsoft.com/office/drawing/2014/main" id="{FC6D12A8-0722-155C-53CD-29348BC4AB7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descr="A person and child walking in front of a Medicare Urgent Care Clinic.">
                      <a:extLst>
                        <a:ext uri="{FF2B5EF4-FFF2-40B4-BE49-F238E27FC236}">
                          <a16:creationId xmlns:a16="http://schemas.microsoft.com/office/drawing/2014/main" id="{FC6D12A8-0722-155C-53CD-29348BC4AB73}"/>
                        </a:ext>
                      </a:extLst>
                    </pic:cNvPr>
                    <pic:cNvPicPr>
                      <a:picLocks noChangeAspect="1"/>
                    </pic:cNvPicPr>
                  </pic:nvPicPr>
                  <pic:blipFill rotWithShape="1">
                    <a:blip r:embed="rId8" cstate="print">
                      <a:extLst>
                        <a:ext uri="{28A0092B-C50C-407E-A947-70E740481C1C}">
                          <a14:useLocalDpi xmlns:a14="http://schemas.microsoft.com/office/drawing/2010/main" val="0"/>
                        </a:ext>
                      </a:extLst>
                    </a:blip>
                    <a:srcRect l="-313" t="-2821"/>
                    <a:stretch>
                      <a:fillRect/>
                    </a:stretch>
                  </pic:blipFill>
                  <pic:spPr bwMode="auto">
                    <a:xfrm>
                      <a:off x="0" y="0"/>
                      <a:ext cx="6106421" cy="3820086"/>
                    </a:xfrm>
                    <a:prstGeom prst="rect">
                      <a:avLst/>
                    </a:prstGeom>
                    <a:ln>
                      <a:noFill/>
                    </a:ln>
                    <a:extLst>
                      <a:ext uri="{53640926-AAD7-44D8-BBD7-CCE9431645EC}">
                        <a14:shadowObscured xmlns:a14="http://schemas.microsoft.com/office/drawing/2010/main"/>
                      </a:ext>
                    </a:extLst>
                  </pic:spPr>
                </pic:pic>
              </a:graphicData>
            </a:graphic>
          </wp:inline>
        </w:drawing>
      </w:r>
    </w:p>
    <w:p w14:paraId="44B1F0BC" w14:textId="7FC7B035" w:rsidR="00D50C44" w:rsidRPr="00C76B32" w:rsidRDefault="00D50C44" w:rsidP="00C76B32">
      <w:pPr>
        <w:rPr>
          <w:iCs/>
        </w:rPr>
      </w:pPr>
    </w:p>
    <w:p w14:paraId="55FCF8B3" w14:textId="029CDCEC" w:rsidR="00E0447D" w:rsidRDefault="00C76B32" w:rsidP="00374DE3">
      <w:pPr>
        <w:spacing w:after="200" w:line="288" w:lineRule="auto"/>
        <w:rPr>
          <w:noProof/>
        </w:rPr>
        <w:sectPr w:rsidR="00E0447D" w:rsidSect="00D83264">
          <w:headerReference w:type="even" r:id="rId9"/>
          <w:headerReference w:type="default" r:id="rId10"/>
          <w:footerReference w:type="even" r:id="rId11"/>
          <w:footerReference w:type="default" r:id="rId12"/>
          <w:headerReference w:type="first" r:id="rId13"/>
          <w:footerReference w:type="first" r:id="rId14"/>
          <w:pgSz w:w="11906" w:h="16838"/>
          <w:pgMar w:top="1701" w:right="1134" w:bottom="1843" w:left="1134" w:header="993" w:footer="709" w:gutter="0"/>
          <w:pgNumType w:start="1"/>
          <w:cols w:space="708"/>
          <w:titlePg/>
          <w:docGrid w:linePitch="360"/>
        </w:sectPr>
      </w:pPr>
      <w:r>
        <w:rPr>
          <w:iCs/>
        </w:rPr>
        <w:br w:type="page"/>
      </w:r>
      <w:bookmarkEnd w:id="1"/>
    </w:p>
    <w:sdt>
      <w:sdtPr>
        <w:rPr>
          <w:rFonts w:asciiTheme="minorHAnsi" w:eastAsiaTheme="minorEastAsia" w:hAnsiTheme="minorHAnsi" w:cstheme="minorBidi"/>
          <w:color w:val="auto"/>
          <w:sz w:val="22"/>
          <w:szCs w:val="22"/>
        </w:rPr>
        <w:id w:val="520832174"/>
        <w:docPartObj>
          <w:docPartGallery w:val="Table of Contents"/>
          <w:docPartUnique/>
        </w:docPartObj>
      </w:sdtPr>
      <w:sdtEndPr>
        <w:rPr>
          <w:b/>
          <w:bCs/>
        </w:rPr>
      </w:sdtEndPr>
      <w:sdtContent>
        <w:p w14:paraId="588C37B2" w14:textId="3C04643B" w:rsidR="00E0447D" w:rsidRDefault="00E0447D">
          <w:pPr>
            <w:pStyle w:val="TOCHeading"/>
          </w:pPr>
          <w:r>
            <w:t>Contents</w:t>
          </w:r>
        </w:p>
        <w:p w14:paraId="56C5D7A7" w14:textId="050B8432" w:rsidR="001634C6" w:rsidRDefault="00E0447D">
          <w:pPr>
            <w:pStyle w:val="TOC1"/>
            <w:tabs>
              <w:tab w:val="right" w:leader="dot" w:pos="9628"/>
            </w:tabs>
            <w:rPr>
              <w:noProof/>
              <w:kern w:val="2"/>
              <w:sz w:val="24"/>
              <w:szCs w:val="24"/>
              <w:lang w:val="en-US"/>
              <w14:ligatures w14:val="standardContextual"/>
            </w:rPr>
          </w:pPr>
          <w:r>
            <w:fldChar w:fldCharType="begin"/>
          </w:r>
          <w:r>
            <w:instrText xml:space="preserve"> TOC \o "1-3" \h \z \u </w:instrText>
          </w:r>
          <w:r>
            <w:fldChar w:fldCharType="separate"/>
          </w:r>
          <w:hyperlink w:anchor="_Toc212110348" w:history="1">
            <w:r w:rsidR="001634C6" w:rsidRPr="00410F67">
              <w:rPr>
                <w:rStyle w:val="Hyperlink"/>
                <w:noProof/>
              </w:rPr>
              <w:t>About this Impact Analysis</w:t>
            </w:r>
            <w:r w:rsidR="001634C6">
              <w:rPr>
                <w:noProof/>
                <w:webHidden/>
              </w:rPr>
              <w:tab/>
            </w:r>
            <w:r w:rsidR="001634C6">
              <w:rPr>
                <w:noProof/>
                <w:webHidden/>
              </w:rPr>
              <w:fldChar w:fldCharType="begin"/>
            </w:r>
            <w:r w:rsidR="001634C6">
              <w:rPr>
                <w:noProof/>
                <w:webHidden/>
              </w:rPr>
              <w:instrText xml:space="preserve"> PAGEREF _Toc212110348 \h </w:instrText>
            </w:r>
            <w:r w:rsidR="001634C6">
              <w:rPr>
                <w:noProof/>
                <w:webHidden/>
              </w:rPr>
            </w:r>
            <w:r w:rsidR="001634C6">
              <w:rPr>
                <w:noProof/>
                <w:webHidden/>
              </w:rPr>
              <w:fldChar w:fldCharType="separate"/>
            </w:r>
            <w:r w:rsidR="00513987">
              <w:rPr>
                <w:noProof/>
                <w:webHidden/>
              </w:rPr>
              <w:t>1</w:t>
            </w:r>
            <w:r w:rsidR="001634C6">
              <w:rPr>
                <w:noProof/>
                <w:webHidden/>
              </w:rPr>
              <w:fldChar w:fldCharType="end"/>
            </w:r>
          </w:hyperlink>
        </w:p>
        <w:p w14:paraId="7EEEFBBA" w14:textId="42593E05" w:rsidR="001634C6" w:rsidRDefault="001634C6">
          <w:pPr>
            <w:pStyle w:val="TOC1"/>
            <w:tabs>
              <w:tab w:val="right" w:leader="dot" w:pos="9628"/>
            </w:tabs>
            <w:rPr>
              <w:noProof/>
              <w:kern w:val="2"/>
              <w:sz w:val="24"/>
              <w:szCs w:val="24"/>
              <w:lang w:val="en-US"/>
              <w14:ligatures w14:val="standardContextual"/>
            </w:rPr>
          </w:pPr>
          <w:hyperlink w:anchor="_Toc212110349" w:history="1">
            <w:r w:rsidRPr="00410F67">
              <w:rPr>
                <w:rStyle w:val="Hyperlink"/>
                <w:noProof/>
              </w:rPr>
              <w:t>Executive Summary</w:t>
            </w:r>
            <w:r>
              <w:rPr>
                <w:noProof/>
                <w:webHidden/>
              </w:rPr>
              <w:tab/>
            </w:r>
            <w:r>
              <w:rPr>
                <w:noProof/>
                <w:webHidden/>
              </w:rPr>
              <w:fldChar w:fldCharType="begin"/>
            </w:r>
            <w:r>
              <w:rPr>
                <w:noProof/>
                <w:webHidden/>
              </w:rPr>
              <w:instrText xml:space="preserve"> PAGEREF _Toc212110349 \h </w:instrText>
            </w:r>
            <w:r>
              <w:rPr>
                <w:noProof/>
                <w:webHidden/>
              </w:rPr>
            </w:r>
            <w:r>
              <w:rPr>
                <w:noProof/>
                <w:webHidden/>
              </w:rPr>
              <w:fldChar w:fldCharType="separate"/>
            </w:r>
            <w:r w:rsidR="00513987">
              <w:rPr>
                <w:noProof/>
                <w:webHidden/>
              </w:rPr>
              <w:t>1</w:t>
            </w:r>
            <w:r>
              <w:rPr>
                <w:noProof/>
                <w:webHidden/>
              </w:rPr>
              <w:fldChar w:fldCharType="end"/>
            </w:r>
          </w:hyperlink>
        </w:p>
        <w:p w14:paraId="313C1B83" w14:textId="2E3D1D61" w:rsidR="001634C6" w:rsidRDefault="001634C6">
          <w:pPr>
            <w:pStyle w:val="TOC2"/>
            <w:tabs>
              <w:tab w:val="right" w:leader="dot" w:pos="9628"/>
            </w:tabs>
            <w:rPr>
              <w:noProof/>
              <w:kern w:val="2"/>
              <w:sz w:val="24"/>
              <w:szCs w:val="24"/>
              <w:lang w:val="en-US"/>
              <w14:ligatures w14:val="standardContextual"/>
            </w:rPr>
          </w:pPr>
          <w:hyperlink w:anchor="_Toc212110350" w:history="1">
            <w:r w:rsidRPr="00410F67">
              <w:rPr>
                <w:rStyle w:val="Hyperlink"/>
                <w:noProof/>
              </w:rPr>
              <w:t>Medicare Urgent Care Clinics (Medicare UCCs)</w:t>
            </w:r>
            <w:r>
              <w:rPr>
                <w:noProof/>
                <w:webHidden/>
              </w:rPr>
              <w:tab/>
            </w:r>
            <w:r>
              <w:rPr>
                <w:noProof/>
                <w:webHidden/>
              </w:rPr>
              <w:fldChar w:fldCharType="begin"/>
            </w:r>
            <w:r>
              <w:rPr>
                <w:noProof/>
                <w:webHidden/>
              </w:rPr>
              <w:instrText xml:space="preserve"> PAGEREF _Toc212110350 \h </w:instrText>
            </w:r>
            <w:r>
              <w:rPr>
                <w:noProof/>
                <w:webHidden/>
              </w:rPr>
            </w:r>
            <w:r>
              <w:rPr>
                <w:noProof/>
                <w:webHidden/>
              </w:rPr>
              <w:fldChar w:fldCharType="separate"/>
            </w:r>
            <w:r w:rsidR="00513987">
              <w:rPr>
                <w:noProof/>
                <w:webHidden/>
              </w:rPr>
              <w:t>1</w:t>
            </w:r>
            <w:r>
              <w:rPr>
                <w:noProof/>
                <w:webHidden/>
              </w:rPr>
              <w:fldChar w:fldCharType="end"/>
            </w:r>
          </w:hyperlink>
        </w:p>
        <w:p w14:paraId="69F83DB0" w14:textId="13F70E7E" w:rsidR="001634C6" w:rsidRDefault="001634C6">
          <w:pPr>
            <w:pStyle w:val="TOC2"/>
            <w:tabs>
              <w:tab w:val="right" w:leader="dot" w:pos="9628"/>
            </w:tabs>
            <w:rPr>
              <w:noProof/>
              <w:kern w:val="2"/>
              <w:sz w:val="24"/>
              <w:szCs w:val="24"/>
              <w:lang w:val="en-US"/>
              <w14:ligatures w14:val="standardContextual"/>
            </w:rPr>
          </w:pPr>
          <w:hyperlink w:anchor="_Toc212110351" w:history="1">
            <w:r w:rsidRPr="00410F67">
              <w:rPr>
                <w:rStyle w:val="Hyperlink"/>
                <w:noProof/>
              </w:rPr>
              <w:t>The policy problem</w:t>
            </w:r>
            <w:r>
              <w:rPr>
                <w:noProof/>
                <w:webHidden/>
              </w:rPr>
              <w:tab/>
            </w:r>
            <w:r>
              <w:rPr>
                <w:noProof/>
                <w:webHidden/>
              </w:rPr>
              <w:fldChar w:fldCharType="begin"/>
            </w:r>
            <w:r>
              <w:rPr>
                <w:noProof/>
                <w:webHidden/>
              </w:rPr>
              <w:instrText xml:space="preserve"> PAGEREF _Toc212110351 \h </w:instrText>
            </w:r>
            <w:r>
              <w:rPr>
                <w:noProof/>
                <w:webHidden/>
              </w:rPr>
            </w:r>
            <w:r>
              <w:rPr>
                <w:noProof/>
                <w:webHidden/>
              </w:rPr>
              <w:fldChar w:fldCharType="separate"/>
            </w:r>
            <w:r w:rsidR="00513987">
              <w:rPr>
                <w:noProof/>
                <w:webHidden/>
              </w:rPr>
              <w:t>1</w:t>
            </w:r>
            <w:r>
              <w:rPr>
                <w:noProof/>
                <w:webHidden/>
              </w:rPr>
              <w:fldChar w:fldCharType="end"/>
            </w:r>
          </w:hyperlink>
        </w:p>
        <w:p w14:paraId="7363859E" w14:textId="2B9B754D" w:rsidR="001634C6" w:rsidRDefault="001634C6">
          <w:pPr>
            <w:pStyle w:val="TOC2"/>
            <w:tabs>
              <w:tab w:val="right" w:leader="dot" w:pos="9628"/>
            </w:tabs>
            <w:rPr>
              <w:noProof/>
              <w:kern w:val="2"/>
              <w:sz w:val="24"/>
              <w:szCs w:val="24"/>
              <w:lang w:val="en-US"/>
              <w14:ligatures w14:val="standardContextual"/>
            </w:rPr>
          </w:pPr>
          <w:hyperlink w:anchor="_Toc212110352" w:history="1">
            <w:r w:rsidRPr="00410F67">
              <w:rPr>
                <w:rStyle w:val="Hyperlink"/>
                <w:noProof/>
              </w:rPr>
              <w:t>The policy response</w:t>
            </w:r>
            <w:r>
              <w:rPr>
                <w:noProof/>
                <w:webHidden/>
              </w:rPr>
              <w:tab/>
            </w:r>
            <w:r>
              <w:rPr>
                <w:noProof/>
                <w:webHidden/>
              </w:rPr>
              <w:fldChar w:fldCharType="begin"/>
            </w:r>
            <w:r>
              <w:rPr>
                <w:noProof/>
                <w:webHidden/>
              </w:rPr>
              <w:instrText xml:space="preserve"> PAGEREF _Toc212110352 \h </w:instrText>
            </w:r>
            <w:r>
              <w:rPr>
                <w:noProof/>
                <w:webHidden/>
              </w:rPr>
            </w:r>
            <w:r>
              <w:rPr>
                <w:noProof/>
                <w:webHidden/>
              </w:rPr>
              <w:fldChar w:fldCharType="separate"/>
            </w:r>
            <w:r w:rsidR="00513987">
              <w:rPr>
                <w:noProof/>
                <w:webHidden/>
              </w:rPr>
              <w:t>2</w:t>
            </w:r>
            <w:r>
              <w:rPr>
                <w:noProof/>
                <w:webHidden/>
              </w:rPr>
              <w:fldChar w:fldCharType="end"/>
            </w:r>
          </w:hyperlink>
        </w:p>
        <w:p w14:paraId="4C09E1D4" w14:textId="5C66B10C" w:rsidR="001634C6" w:rsidRDefault="001634C6">
          <w:pPr>
            <w:pStyle w:val="TOC2"/>
            <w:tabs>
              <w:tab w:val="right" w:leader="dot" w:pos="9628"/>
            </w:tabs>
            <w:rPr>
              <w:noProof/>
              <w:kern w:val="2"/>
              <w:sz w:val="24"/>
              <w:szCs w:val="24"/>
              <w:lang w:val="en-US"/>
              <w14:ligatures w14:val="standardContextual"/>
            </w:rPr>
          </w:pPr>
          <w:hyperlink w:anchor="_Toc212110353" w:history="1">
            <w:r w:rsidRPr="00410F67">
              <w:rPr>
                <w:rStyle w:val="Hyperlink"/>
                <w:noProof/>
              </w:rPr>
              <w:t>Selecting the preferred policy option</w:t>
            </w:r>
            <w:r>
              <w:rPr>
                <w:noProof/>
                <w:webHidden/>
              </w:rPr>
              <w:tab/>
            </w:r>
            <w:r>
              <w:rPr>
                <w:noProof/>
                <w:webHidden/>
              </w:rPr>
              <w:fldChar w:fldCharType="begin"/>
            </w:r>
            <w:r>
              <w:rPr>
                <w:noProof/>
                <w:webHidden/>
              </w:rPr>
              <w:instrText xml:space="preserve"> PAGEREF _Toc212110353 \h </w:instrText>
            </w:r>
            <w:r>
              <w:rPr>
                <w:noProof/>
                <w:webHidden/>
              </w:rPr>
            </w:r>
            <w:r>
              <w:rPr>
                <w:noProof/>
                <w:webHidden/>
              </w:rPr>
              <w:fldChar w:fldCharType="separate"/>
            </w:r>
            <w:r w:rsidR="00513987">
              <w:rPr>
                <w:noProof/>
                <w:webHidden/>
              </w:rPr>
              <w:t>2</w:t>
            </w:r>
            <w:r>
              <w:rPr>
                <w:noProof/>
                <w:webHidden/>
              </w:rPr>
              <w:fldChar w:fldCharType="end"/>
            </w:r>
          </w:hyperlink>
        </w:p>
        <w:p w14:paraId="32295D5B" w14:textId="0ABA21C9" w:rsidR="001634C6" w:rsidRDefault="001634C6">
          <w:pPr>
            <w:pStyle w:val="TOC1"/>
            <w:tabs>
              <w:tab w:val="right" w:leader="dot" w:pos="9628"/>
            </w:tabs>
            <w:rPr>
              <w:noProof/>
              <w:kern w:val="2"/>
              <w:sz w:val="24"/>
              <w:szCs w:val="24"/>
              <w:lang w:val="en-US"/>
              <w14:ligatures w14:val="standardContextual"/>
            </w:rPr>
          </w:pPr>
          <w:hyperlink w:anchor="_Toc212110354" w:history="1">
            <w:r w:rsidRPr="00410F67">
              <w:rPr>
                <w:rStyle w:val="Hyperlink"/>
                <w:noProof/>
              </w:rPr>
              <w:t>Background</w:t>
            </w:r>
            <w:r>
              <w:rPr>
                <w:noProof/>
                <w:webHidden/>
              </w:rPr>
              <w:tab/>
            </w:r>
            <w:r>
              <w:rPr>
                <w:noProof/>
                <w:webHidden/>
              </w:rPr>
              <w:fldChar w:fldCharType="begin"/>
            </w:r>
            <w:r>
              <w:rPr>
                <w:noProof/>
                <w:webHidden/>
              </w:rPr>
              <w:instrText xml:space="preserve"> PAGEREF _Toc212110354 \h </w:instrText>
            </w:r>
            <w:r>
              <w:rPr>
                <w:noProof/>
                <w:webHidden/>
              </w:rPr>
            </w:r>
            <w:r>
              <w:rPr>
                <w:noProof/>
                <w:webHidden/>
              </w:rPr>
              <w:fldChar w:fldCharType="separate"/>
            </w:r>
            <w:r w:rsidR="00513987">
              <w:rPr>
                <w:noProof/>
                <w:webHidden/>
              </w:rPr>
              <w:t>4</w:t>
            </w:r>
            <w:r>
              <w:rPr>
                <w:noProof/>
                <w:webHidden/>
              </w:rPr>
              <w:fldChar w:fldCharType="end"/>
            </w:r>
          </w:hyperlink>
        </w:p>
        <w:p w14:paraId="77EF2FA4" w14:textId="4B973E95" w:rsidR="001634C6" w:rsidRDefault="001634C6">
          <w:pPr>
            <w:pStyle w:val="TOC2"/>
            <w:tabs>
              <w:tab w:val="right" w:leader="dot" w:pos="9628"/>
            </w:tabs>
            <w:rPr>
              <w:noProof/>
              <w:kern w:val="2"/>
              <w:sz w:val="24"/>
              <w:szCs w:val="24"/>
              <w:lang w:val="en-US"/>
              <w14:ligatures w14:val="standardContextual"/>
            </w:rPr>
          </w:pPr>
          <w:hyperlink w:anchor="_Toc212110355" w:history="1">
            <w:r w:rsidRPr="00410F67">
              <w:rPr>
                <w:rStyle w:val="Hyperlink"/>
                <w:noProof/>
              </w:rPr>
              <w:t>Medicare Urgent Care Clinics</w:t>
            </w:r>
            <w:r>
              <w:rPr>
                <w:noProof/>
                <w:webHidden/>
              </w:rPr>
              <w:tab/>
            </w:r>
            <w:r>
              <w:rPr>
                <w:noProof/>
                <w:webHidden/>
              </w:rPr>
              <w:fldChar w:fldCharType="begin"/>
            </w:r>
            <w:r>
              <w:rPr>
                <w:noProof/>
                <w:webHidden/>
              </w:rPr>
              <w:instrText xml:space="preserve"> PAGEREF _Toc212110355 \h </w:instrText>
            </w:r>
            <w:r>
              <w:rPr>
                <w:noProof/>
                <w:webHidden/>
              </w:rPr>
            </w:r>
            <w:r>
              <w:rPr>
                <w:noProof/>
                <w:webHidden/>
              </w:rPr>
              <w:fldChar w:fldCharType="separate"/>
            </w:r>
            <w:r w:rsidR="00513987">
              <w:rPr>
                <w:noProof/>
                <w:webHidden/>
              </w:rPr>
              <w:t>4</w:t>
            </w:r>
            <w:r>
              <w:rPr>
                <w:noProof/>
                <w:webHidden/>
              </w:rPr>
              <w:fldChar w:fldCharType="end"/>
            </w:r>
          </w:hyperlink>
        </w:p>
        <w:p w14:paraId="2E03A0A3" w14:textId="7529F762" w:rsidR="001634C6" w:rsidRDefault="001634C6">
          <w:pPr>
            <w:pStyle w:val="TOC1"/>
            <w:tabs>
              <w:tab w:val="right" w:leader="dot" w:pos="9628"/>
            </w:tabs>
            <w:rPr>
              <w:noProof/>
              <w:kern w:val="2"/>
              <w:sz w:val="24"/>
              <w:szCs w:val="24"/>
              <w:lang w:val="en-US"/>
              <w14:ligatures w14:val="standardContextual"/>
            </w:rPr>
          </w:pPr>
          <w:hyperlink w:anchor="_Toc212110356" w:history="1">
            <w:r w:rsidRPr="00410F67">
              <w:rPr>
                <w:rStyle w:val="Hyperlink"/>
                <w:noProof/>
              </w:rPr>
              <w:t>1. What is the policy problem you are trying to solve and what data is available?</w:t>
            </w:r>
            <w:r>
              <w:rPr>
                <w:noProof/>
                <w:webHidden/>
              </w:rPr>
              <w:tab/>
            </w:r>
            <w:r>
              <w:rPr>
                <w:noProof/>
                <w:webHidden/>
              </w:rPr>
              <w:fldChar w:fldCharType="begin"/>
            </w:r>
            <w:r>
              <w:rPr>
                <w:noProof/>
                <w:webHidden/>
              </w:rPr>
              <w:instrText xml:space="preserve"> PAGEREF _Toc212110356 \h </w:instrText>
            </w:r>
            <w:r>
              <w:rPr>
                <w:noProof/>
                <w:webHidden/>
              </w:rPr>
            </w:r>
            <w:r>
              <w:rPr>
                <w:noProof/>
                <w:webHidden/>
              </w:rPr>
              <w:fldChar w:fldCharType="separate"/>
            </w:r>
            <w:r w:rsidR="00513987">
              <w:rPr>
                <w:noProof/>
                <w:webHidden/>
              </w:rPr>
              <w:t>5</w:t>
            </w:r>
            <w:r>
              <w:rPr>
                <w:noProof/>
                <w:webHidden/>
              </w:rPr>
              <w:fldChar w:fldCharType="end"/>
            </w:r>
          </w:hyperlink>
        </w:p>
        <w:p w14:paraId="5C366302" w14:textId="4FD6115D" w:rsidR="001634C6" w:rsidRDefault="001634C6">
          <w:pPr>
            <w:pStyle w:val="TOC2"/>
            <w:tabs>
              <w:tab w:val="right" w:leader="dot" w:pos="9628"/>
            </w:tabs>
            <w:rPr>
              <w:noProof/>
              <w:kern w:val="2"/>
              <w:sz w:val="24"/>
              <w:szCs w:val="24"/>
              <w:lang w:val="en-US"/>
              <w14:ligatures w14:val="standardContextual"/>
            </w:rPr>
          </w:pPr>
          <w:hyperlink w:anchor="_Toc212110357" w:history="1">
            <w:r w:rsidRPr="00410F67">
              <w:rPr>
                <w:rStyle w:val="Hyperlink"/>
                <w:noProof/>
              </w:rPr>
              <w:t>1.1 Underlying causes of the problem</w:t>
            </w:r>
            <w:r>
              <w:rPr>
                <w:noProof/>
                <w:webHidden/>
              </w:rPr>
              <w:tab/>
            </w:r>
            <w:r>
              <w:rPr>
                <w:noProof/>
                <w:webHidden/>
              </w:rPr>
              <w:fldChar w:fldCharType="begin"/>
            </w:r>
            <w:r>
              <w:rPr>
                <w:noProof/>
                <w:webHidden/>
              </w:rPr>
              <w:instrText xml:space="preserve"> PAGEREF _Toc212110357 \h </w:instrText>
            </w:r>
            <w:r>
              <w:rPr>
                <w:noProof/>
                <w:webHidden/>
              </w:rPr>
            </w:r>
            <w:r>
              <w:rPr>
                <w:noProof/>
                <w:webHidden/>
              </w:rPr>
              <w:fldChar w:fldCharType="separate"/>
            </w:r>
            <w:r w:rsidR="00513987">
              <w:rPr>
                <w:noProof/>
                <w:webHidden/>
              </w:rPr>
              <w:t>6</w:t>
            </w:r>
            <w:r>
              <w:rPr>
                <w:noProof/>
                <w:webHidden/>
              </w:rPr>
              <w:fldChar w:fldCharType="end"/>
            </w:r>
          </w:hyperlink>
        </w:p>
        <w:p w14:paraId="2D811CBE" w14:textId="54D21B41" w:rsidR="001634C6" w:rsidRDefault="001634C6">
          <w:pPr>
            <w:pStyle w:val="TOC3"/>
            <w:tabs>
              <w:tab w:val="right" w:leader="dot" w:pos="9628"/>
            </w:tabs>
            <w:rPr>
              <w:noProof/>
              <w:kern w:val="2"/>
              <w:sz w:val="24"/>
              <w:szCs w:val="24"/>
              <w:lang w:val="en-US"/>
              <w14:ligatures w14:val="standardContextual"/>
            </w:rPr>
          </w:pPr>
          <w:hyperlink w:anchor="_Toc212110358" w:history="1">
            <w:r w:rsidRPr="00410F67">
              <w:rPr>
                <w:rStyle w:val="Hyperlink"/>
                <w:noProof/>
              </w:rPr>
              <w:t>Affordable access to healthcare</w:t>
            </w:r>
            <w:r>
              <w:rPr>
                <w:noProof/>
                <w:webHidden/>
              </w:rPr>
              <w:tab/>
            </w:r>
            <w:r>
              <w:rPr>
                <w:noProof/>
                <w:webHidden/>
              </w:rPr>
              <w:fldChar w:fldCharType="begin"/>
            </w:r>
            <w:r>
              <w:rPr>
                <w:noProof/>
                <w:webHidden/>
              </w:rPr>
              <w:instrText xml:space="preserve"> PAGEREF _Toc212110358 \h </w:instrText>
            </w:r>
            <w:r>
              <w:rPr>
                <w:noProof/>
                <w:webHidden/>
              </w:rPr>
            </w:r>
            <w:r>
              <w:rPr>
                <w:noProof/>
                <w:webHidden/>
              </w:rPr>
              <w:fldChar w:fldCharType="separate"/>
            </w:r>
            <w:r w:rsidR="00513987">
              <w:rPr>
                <w:noProof/>
                <w:webHidden/>
              </w:rPr>
              <w:t>6</w:t>
            </w:r>
            <w:r>
              <w:rPr>
                <w:noProof/>
                <w:webHidden/>
              </w:rPr>
              <w:fldChar w:fldCharType="end"/>
            </w:r>
          </w:hyperlink>
        </w:p>
        <w:p w14:paraId="4D3876C5" w14:textId="2B74C15A" w:rsidR="001634C6" w:rsidRDefault="001634C6">
          <w:pPr>
            <w:pStyle w:val="TOC3"/>
            <w:tabs>
              <w:tab w:val="right" w:leader="dot" w:pos="9628"/>
            </w:tabs>
            <w:rPr>
              <w:noProof/>
              <w:kern w:val="2"/>
              <w:sz w:val="24"/>
              <w:szCs w:val="24"/>
              <w:lang w:val="en-US"/>
              <w14:ligatures w14:val="standardContextual"/>
            </w:rPr>
          </w:pPr>
          <w:hyperlink w:anchor="_Toc212110359" w:history="1">
            <w:r w:rsidRPr="00410F67">
              <w:rPr>
                <w:rStyle w:val="Hyperlink"/>
                <w:noProof/>
              </w:rPr>
              <w:t>Primary care access</w:t>
            </w:r>
            <w:r>
              <w:rPr>
                <w:noProof/>
                <w:webHidden/>
              </w:rPr>
              <w:tab/>
            </w:r>
            <w:r>
              <w:rPr>
                <w:noProof/>
                <w:webHidden/>
              </w:rPr>
              <w:fldChar w:fldCharType="begin"/>
            </w:r>
            <w:r>
              <w:rPr>
                <w:noProof/>
                <w:webHidden/>
              </w:rPr>
              <w:instrText xml:space="preserve"> PAGEREF _Toc212110359 \h </w:instrText>
            </w:r>
            <w:r>
              <w:rPr>
                <w:noProof/>
                <w:webHidden/>
              </w:rPr>
            </w:r>
            <w:r>
              <w:rPr>
                <w:noProof/>
                <w:webHidden/>
              </w:rPr>
              <w:fldChar w:fldCharType="separate"/>
            </w:r>
            <w:r w:rsidR="00513987">
              <w:rPr>
                <w:noProof/>
                <w:webHidden/>
              </w:rPr>
              <w:t>7</w:t>
            </w:r>
            <w:r>
              <w:rPr>
                <w:noProof/>
                <w:webHidden/>
              </w:rPr>
              <w:fldChar w:fldCharType="end"/>
            </w:r>
          </w:hyperlink>
        </w:p>
        <w:p w14:paraId="0A3143EE" w14:textId="2CC47EC3" w:rsidR="001634C6" w:rsidRDefault="001634C6">
          <w:pPr>
            <w:pStyle w:val="TOC3"/>
            <w:tabs>
              <w:tab w:val="right" w:leader="dot" w:pos="9628"/>
            </w:tabs>
            <w:rPr>
              <w:noProof/>
              <w:kern w:val="2"/>
              <w:sz w:val="24"/>
              <w:szCs w:val="24"/>
              <w:lang w:val="en-US"/>
              <w14:ligatures w14:val="standardContextual"/>
            </w:rPr>
          </w:pPr>
          <w:hyperlink w:anchor="_Toc212110360" w:history="1">
            <w:r w:rsidRPr="00410F67">
              <w:rPr>
                <w:rStyle w:val="Hyperlink"/>
                <w:noProof/>
              </w:rPr>
              <w:t>System integration and patient information</w:t>
            </w:r>
            <w:r>
              <w:rPr>
                <w:noProof/>
                <w:webHidden/>
              </w:rPr>
              <w:tab/>
            </w:r>
            <w:r>
              <w:rPr>
                <w:noProof/>
                <w:webHidden/>
              </w:rPr>
              <w:fldChar w:fldCharType="begin"/>
            </w:r>
            <w:r>
              <w:rPr>
                <w:noProof/>
                <w:webHidden/>
              </w:rPr>
              <w:instrText xml:space="preserve"> PAGEREF _Toc212110360 \h </w:instrText>
            </w:r>
            <w:r>
              <w:rPr>
                <w:noProof/>
                <w:webHidden/>
              </w:rPr>
            </w:r>
            <w:r>
              <w:rPr>
                <w:noProof/>
                <w:webHidden/>
              </w:rPr>
              <w:fldChar w:fldCharType="separate"/>
            </w:r>
            <w:r w:rsidR="00513987">
              <w:rPr>
                <w:noProof/>
                <w:webHidden/>
              </w:rPr>
              <w:t>7</w:t>
            </w:r>
            <w:r>
              <w:rPr>
                <w:noProof/>
                <w:webHidden/>
              </w:rPr>
              <w:fldChar w:fldCharType="end"/>
            </w:r>
          </w:hyperlink>
        </w:p>
        <w:p w14:paraId="1F07A534" w14:textId="6F0F97E9" w:rsidR="001634C6" w:rsidRDefault="001634C6">
          <w:pPr>
            <w:pStyle w:val="TOC3"/>
            <w:tabs>
              <w:tab w:val="right" w:leader="dot" w:pos="9628"/>
            </w:tabs>
            <w:rPr>
              <w:noProof/>
              <w:kern w:val="2"/>
              <w:sz w:val="24"/>
              <w:szCs w:val="24"/>
              <w:lang w:val="en-US"/>
              <w14:ligatures w14:val="standardContextual"/>
            </w:rPr>
          </w:pPr>
          <w:hyperlink w:anchor="_Toc212110361" w:history="1">
            <w:r w:rsidRPr="00410F67">
              <w:rPr>
                <w:rStyle w:val="Hyperlink"/>
                <w:noProof/>
              </w:rPr>
              <w:t>Patient flows</w:t>
            </w:r>
            <w:r>
              <w:rPr>
                <w:noProof/>
                <w:webHidden/>
              </w:rPr>
              <w:tab/>
            </w:r>
            <w:r>
              <w:rPr>
                <w:noProof/>
                <w:webHidden/>
              </w:rPr>
              <w:fldChar w:fldCharType="begin"/>
            </w:r>
            <w:r>
              <w:rPr>
                <w:noProof/>
                <w:webHidden/>
              </w:rPr>
              <w:instrText xml:space="preserve"> PAGEREF _Toc212110361 \h </w:instrText>
            </w:r>
            <w:r>
              <w:rPr>
                <w:noProof/>
                <w:webHidden/>
              </w:rPr>
            </w:r>
            <w:r>
              <w:rPr>
                <w:noProof/>
                <w:webHidden/>
              </w:rPr>
              <w:fldChar w:fldCharType="separate"/>
            </w:r>
            <w:r w:rsidR="00513987">
              <w:rPr>
                <w:noProof/>
                <w:webHidden/>
              </w:rPr>
              <w:t>8</w:t>
            </w:r>
            <w:r>
              <w:rPr>
                <w:noProof/>
                <w:webHidden/>
              </w:rPr>
              <w:fldChar w:fldCharType="end"/>
            </w:r>
          </w:hyperlink>
        </w:p>
        <w:p w14:paraId="03598806" w14:textId="73D0EC9E" w:rsidR="001634C6" w:rsidRDefault="001634C6">
          <w:pPr>
            <w:pStyle w:val="TOC2"/>
            <w:tabs>
              <w:tab w:val="right" w:leader="dot" w:pos="9628"/>
            </w:tabs>
            <w:rPr>
              <w:noProof/>
              <w:kern w:val="2"/>
              <w:sz w:val="24"/>
              <w:szCs w:val="24"/>
              <w:lang w:val="en-US"/>
              <w14:ligatures w14:val="standardContextual"/>
            </w:rPr>
          </w:pPr>
          <w:hyperlink w:anchor="_Toc212110362" w:history="1">
            <w:r w:rsidRPr="00410F67">
              <w:rPr>
                <w:rStyle w:val="Hyperlink"/>
                <w:noProof/>
              </w:rPr>
              <w:t>1.2 Who is affected and how?</w:t>
            </w:r>
            <w:r>
              <w:rPr>
                <w:noProof/>
                <w:webHidden/>
              </w:rPr>
              <w:tab/>
            </w:r>
            <w:r>
              <w:rPr>
                <w:noProof/>
                <w:webHidden/>
              </w:rPr>
              <w:fldChar w:fldCharType="begin"/>
            </w:r>
            <w:r>
              <w:rPr>
                <w:noProof/>
                <w:webHidden/>
              </w:rPr>
              <w:instrText xml:space="preserve"> PAGEREF _Toc212110362 \h </w:instrText>
            </w:r>
            <w:r>
              <w:rPr>
                <w:noProof/>
                <w:webHidden/>
              </w:rPr>
            </w:r>
            <w:r>
              <w:rPr>
                <w:noProof/>
                <w:webHidden/>
              </w:rPr>
              <w:fldChar w:fldCharType="separate"/>
            </w:r>
            <w:r w:rsidR="00513987">
              <w:rPr>
                <w:noProof/>
                <w:webHidden/>
              </w:rPr>
              <w:t>8</w:t>
            </w:r>
            <w:r>
              <w:rPr>
                <w:noProof/>
                <w:webHidden/>
              </w:rPr>
              <w:fldChar w:fldCharType="end"/>
            </w:r>
          </w:hyperlink>
        </w:p>
        <w:p w14:paraId="1CC3F046" w14:textId="295EB6CC" w:rsidR="001634C6" w:rsidRDefault="001634C6">
          <w:pPr>
            <w:pStyle w:val="TOC3"/>
            <w:tabs>
              <w:tab w:val="right" w:leader="dot" w:pos="9628"/>
            </w:tabs>
            <w:rPr>
              <w:noProof/>
              <w:kern w:val="2"/>
              <w:sz w:val="24"/>
              <w:szCs w:val="24"/>
              <w:lang w:val="en-US"/>
              <w14:ligatures w14:val="standardContextual"/>
            </w:rPr>
          </w:pPr>
          <w:hyperlink w:anchor="_Toc212110363" w:history="1">
            <w:r w:rsidRPr="00410F67">
              <w:rPr>
                <w:rStyle w:val="Hyperlink"/>
                <w:noProof/>
              </w:rPr>
              <w:t>Patients</w:t>
            </w:r>
            <w:r>
              <w:rPr>
                <w:noProof/>
                <w:webHidden/>
              </w:rPr>
              <w:tab/>
            </w:r>
            <w:r>
              <w:rPr>
                <w:noProof/>
                <w:webHidden/>
              </w:rPr>
              <w:fldChar w:fldCharType="begin"/>
            </w:r>
            <w:r>
              <w:rPr>
                <w:noProof/>
                <w:webHidden/>
              </w:rPr>
              <w:instrText xml:space="preserve"> PAGEREF _Toc212110363 \h </w:instrText>
            </w:r>
            <w:r>
              <w:rPr>
                <w:noProof/>
                <w:webHidden/>
              </w:rPr>
            </w:r>
            <w:r>
              <w:rPr>
                <w:noProof/>
                <w:webHidden/>
              </w:rPr>
              <w:fldChar w:fldCharType="separate"/>
            </w:r>
            <w:r w:rsidR="00513987">
              <w:rPr>
                <w:noProof/>
                <w:webHidden/>
              </w:rPr>
              <w:t>8</w:t>
            </w:r>
            <w:r>
              <w:rPr>
                <w:noProof/>
                <w:webHidden/>
              </w:rPr>
              <w:fldChar w:fldCharType="end"/>
            </w:r>
          </w:hyperlink>
        </w:p>
        <w:p w14:paraId="23E579B5" w14:textId="19CB4C89" w:rsidR="001634C6" w:rsidRDefault="001634C6">
          <w:pPr>
            <w:pStyle w:val="TOC3"/>
            <w:tabs>
              <w:tab w:val="right" w:leader="dot" w:pos="9628"/>
            </w:tabs>
            <w:rPr>
              <w:noProof/>
              <w:kern w:val="2"/>
              <w:sz w:val="24"/>
              <w:szCs w:val="24"/>
              <w:lang w:val="en-US"/>
              <w14:ligatures w14:val="standardContextual"/>
            </w:rPr>
          </w:pPr>
          <w:hyperlink w:anchor="_Toc212110364" w:history="1">
            <w:r w:rsidRPr="00410F67">
              <w:rPr>
                <w:rStyle w:val="Hyperlink"/>
                <w:noProof/>
              </w:rPr>
              <w:t>Staff at EDs</w:t>
            </w:r>
            <w:r>
              <w:rPr>
                <w:noProof/>
                <w:webHidden/>
              </w:rPr>
              <w:tab/>
            </w:r>
            <w:r>
              <w:rPr>
                <w:noProof/>
                <w:webHidden/>
              </w:rPr>
              <w:fldChar w:fldCharType="begin"/>
            </w:r>
            <w:r>
              <w:rPr>
                <w:noProof/>
                <w:webHidden/>
              </w:rPr>
              <w:instrText xml:space="preserve"> PAGEREF _Toc212110364 \h </w:instrText>
            </w:r>
            <w:r>
              <w:rPr>
                <w:noProof/>
                <w:webHidden/>
              </w:rPr>
            </w:r>
            <w:r>
              <w:rPr>
                <w:noProof/>
                <w:webHidden/>
              </w:rPr>
              <w:fldChar w:fldCharType="separate"/>
            </w:r>
            <w:r w:rsidR="00513987">
              <w:rPr>
                <w:noProof/>
                <w:webHidden/>
              </w:rPr>
              <w:t>8</w:t>
            </w:r>
            <w:r>
              <w:rPr>
                <w:noProof/>
                <w:webHidden/>
              </w:rPr>
              <w:fldChar w:fldCharType="end"/>
            </w:r>
          </w:hyperlink>
        </w:p>
        <w:p w14:paraId="357AEB26" w14:textId="71BC3103" w:rsidR="001634C6" w:rsidRDefault="001634C6">
          <w:pPr>
            <w:pStyle w:val="TOC3"/>
            <w:tabs>
              <w:tab w:val="right" w:leader="dot" w:pos="9628"/>
            </w:tabs>
            <w:rPr>
              <w:noProof/>
              <w:kern w:val="2"/>
              <w:sz w:val="24"/>
              <w:szCs w:val="24"/>
              <w:lang w:val="en-US"/>
              <w14:ligatures w14:val="standardContextual"/>
            </w:rPr>
          </w:pPr>
          <w:hyperlink w:anchor="_Toc212110365" w:history="1">
            <w:r w:rsidRPr="00410F67">
              <w:rPr>
                <w:rStyle w:val="Hyperlink"/>
                <w:noProof/>
              </w:rPr>
              <w:t>Governments</w:t>
            </w:r>
            <w:r>
              <w:rPr>
                <w:noProof/>
                <w:webHidden/>
              </w:rPr>
              <w:tab/>
            </w:r>
            <w:r>
              <w:rPr>
                <w:noProof/>
                <w:webHidden/>
              </w:rPr>
              <w:fldChar w:fldCharType="begin"/>
            </w:r>
            <w:r>
              <w:rPr>
                <w:noProof/>
                <w:webHidden/>
              </w:rPr>
              <w:instrText xml:space="preserve"> PAGEREF _Toc212110365 \h </w:instrText>
            </w:r>
            <w:r>
              <w:rPr>
                <w:noProof/>
                <w:webHidden/>
              </w:rPr>
            </w:r>
            <w:r>
              <w:rPr>
                <w:noProof/>
                <w:webHidden/>
              </w:rPr>
              <w:fldChar w:fldCharType="separate"/>
            </w:r>
            <w:r w:rsidR="00513987">
              <w:rPr>
                <w:noProof/>
                <w:webHidden/>
              </w:rPr>
              <w:t>9</w:t>
            </w:r>
            <w:r>
              <w:rPr>
                <w:noProof/>
                <w:webHidden/>
              </w:rPr>
              <w:fldChar w:fldCharType="end"/>
            </w:r>
          </w:hyperlink>
        </w:p>
        <w:p w14:paraId="479BD4D7" w14:textId="37810BA6" w:rsidR="001634C6" w:rsidRDefault="001634C6">
          <w:pPr>
            <w:pStyle w:val="TOC2"/>
            <w:tabs>
              <w:tab w:val="right" w:leader="dot" w:pos="9628"/>
            </w:tabs>
            <w:rPr>
              <w:noProof/>
              <w:kern w:val="2"/>
              <w:sz w:val="24"/>
              <w:szCs w:val="24"/>
              <w:lang w:val="en-US"/>
              <w14:ligatures w14:val="standardContextual"/>
            </w:rPr>
          </w:pPr>
          <w:hyperlink w:anchor="_Toc212110366" w:history="1">
            <w:r w:rsidRPr="00410F67">
              <w:rPr>
                <w:rStyle w:val="Hyperlink"/>
                <w:noProof/>
              </w:rPr>
              <w:t>1.3 What is currently being done?</w:t>
            </w:r>
            <w:r>
              <w:rPr>
                <w:noProof/>
                <w:webHidden/>
              </w:rPr>
              <w:tab/>
            </w:r>
            <w:r>
              <w:rPr>
                <w:noProof/>
                <w:webHidden/>
              </w:rPr>
              <w:fldChar w:fldCharType="begin"/>
            </w:r>
            <w:r>
              <w:rPr>
                <w:noProof/>
                <w:webHidden/>
              </w:rPr>
              <w:instrText xml:space="preserve"> PAGEREF _Toc212110366 \h </w:instrText>
            </w:r>
            <w:r>
              <w:rPr>
                <w:noProof/>
                <w:webHidden/>
              </w:rPr>
            </w:r>
            <w:r>
              <w:rPr>
                <w:noProof/>
                <w:webHidden/>
              </w:rPr>
              <w:fldChar w:fldCharType="separate"/>
            </w:r>
            <w:r w:rsidR="00513987">
              <w:rPr>
                <w:noProof/>
                <w:webHidden/>
              </w:rPr>
              <w:t>10</w:t>
            </w:r>
            <w:r>
              <w:rPr>
                <w:noProof/>
                <w:webHidden/>
              </w:rPr>
              <w:fldChar w:fldCharType="end"/>
            </w:r>
          </w:hyperlink>
        </w:p>
        <w:p w14:paraId="4041133F" w14:textId="205AAC0A" w:rsidR="001634C6" w:rsidRDefault="001634C6">
          <w:pPr>
            <w:pStyle w:val="TOC3"/>
            <w:tabs>
              <w:tab w:val="right" w:leader="dot" w:pos="9628"/>
            </w:tabs>
            <w:rPr>
              <w:noProof/>
              <w:kern w:val="2"/>
              <w:sz w:val="24"/>
              <w:szCs w:val="24"/>
              <w:lang w:val="en-US"/>
              <w14:ligatures w14:val="standardContextual"/>
            </w:rPr>
          </w:pPr>
          <w:hyperlink w:anchor="_Toc212110367" w:history="1">
            <w:r w:rsidRPr="00410F67">
              <w:rPr>
                <w:rStyle w:val="Hyperlink"/>
                <w:noProof/>
              </w:rPr>
              <w:t>Existing urgent care models</w:t>
            </w:r>
            <w:r>
              <w:rPr>
                <w:noProof/>
                <w:webHidden/>
              </w:rPr>
              <w:tab/>
            </w:r>
            <w:r>
              <w:rPr>
                <w:noProof/>
                <w:webHidden/>
              </w:rPr>
              <w:fldChar w:fldCharType="begin"/>
            </w:r>
            <w:r>
              <w:rPr>
                <w:noProof/>
                <w:webHidden/>
              </w:rPr>
              <w:instrText xml:space="preserve"> PAGEREF _Toc212110367 \h </w:instrText>
            </w:r>
            <w:r>
              <w:rPr>
                <w:noProof/>
                <w:webHidden/>
              </w:rPr>
            </w:r>
            <w:r>
              <w:rPr>
                <w:noProof/>
                <w:webHidden/>
              </w:rPr>
              <w:fldChar w:fldCharType="separate"/>
            </w:r>
            <w:r w:rsidR="00513987">
              <w:rPr>
                <w:noProof/>
                <w:webHidden/>
              </w:rPr>
              <w:t>10</w:t>
            </w:r>
            <w:r>
              <w:rPr>
                <w:noProof/>
                <w:webHidden/>
              </w:rPr>
              <w:fldChar w:fldCharType="end"/>
            </w:r>
          </w:hyperlink>
        </w:p>
        <w:p w14:paraId="1B8C3B3F" w14:textId="36A25AB9" w:rsidR="001634C6" w:rsidRDefault="001634C6">
          <w:pPr>
            <w:pStyle w:val="TOC3"/>
            <w:tabs>
              <w:tab w:val="right" w:leader="dot" w:pos="9628"/>
            </w:tabs>
            <w:rPr>
              <w:noProof/>
              <w:kern w:val="2"/>
              <w:sz w:val="24"/>
              <w:szCs w:val="24"/>
              <w:lang w:val="en-US"/>
              <w14:ligatures w14:val="standardContextual"/>
            </w:rPr>
          </w:pPr>
          <w:hyperlink w:anchor="_Toc212110368" w:history="1">
            <w:r w:rsidRPr="00410F67">
              <w:rPr>
                <w:rStyle w:val="Hyperlink"/>
                <w:noProof/>
              </w:rPr>
              <w:t>Emergency department diversion programs</w:t>
            </w:r>
            <w:r>
              <w:rPr>
                <w:noProof/>
                <w:webHidden/>
              </w:rPr>
              <w:tab/>
            </w:r>
            <w:r>
              <w:rPr>
                <w:noProof/>
                <w:webHidden/>
              </w:rPr>
              <w:fldChar w:fldCharType="begin"/>
            </w:r>
            <w:r>
              <w:rPr>
                <w:noProof/>
                <w:webHidden/>
              </w:rPr>
              <w:instrText xml:space="preserve"> PAGEREF _Toc212110368 \h </w:instrText>
            </w:r>
            <w:r>
              <w:rPr>
                <w:noProof/>
                <w:webHidden/>
              </w:rPr>
            </w:r>
            <w:r>
              <w:rPr>
                <w:noProof/>
                <w:webHidden/>
              </w:rPr>
              <w:fldChar w:fldCharType="separate"/>
            </w:r>
            <w:r w:rsidR="00513987">
              <w:rPr>
                <w:noProof/>
                <w:webHidden/>
              </w:rPr>
              <w:t>11</w:t>
            </w:r>
            <w:r>
              <w:rPr>
                <w:noProof/>
                <w:webHidden/>
              </w:rPr>
              <w:fldChar w:fldCharType="end"/>
            </w:r>
          </w:hyperlink>
        </w:p>
        <w:p w14:paraId="6DC98DD1" w14:textId="67BF2110" w:rsidR="001634C6" w:rsidRDefault="001634C6">
          <w:pPr>
            <w:pStyle w:val="TOC3"/>
            <w:tabs>
              <w:tab w:val="right" w:leader="dot" w:pos="9628"/>
            </w:tabs>
            <w:rPr>
              <w:noProof/>
              <w:kern w:val="2"/>
              <w:sz w:val="24"/>
              <w:szCs w:val="24"/>
              <w:lang w:val="en-US"/>
              <w14:ligatures w14:val="standardContextual"/>
            </w:rPr>
          </w:pPr>
          <w:hyperlink w:anchor="_Toc212110369" w:history="1">
            <w:r w:rsidRPr="00410F67">
              <w:rPr>
                <w:rStyle w:val="Hyperlink"/>
                <w:noProof/>
              </w:rPr>
              <w:t>Bulk Billing reforms</w:t>
            </w:r>
            <w:r>
              <w:rPr>
                <w:noProof/>
                <w:webHidden/>
              </w:rPr>
              <w:tab/>
            </w:r>
            <w:r>
              <w:rPr>
                <w:noProof/>
                <w:webHidden/>
              </w:rPr>
              <w:fldChar w:fldCharType="begin"/>
            </w:r>
            <w:r>
              <w:rPr>
                <w:noProof/>
                <w:webHidden/>
              </w:rPr>
              <w:instrText xml:space="preserve"> PAGEREF _Toc212110369 \h </w:instrText>
            </w:r>
            <w:r>
              <w:rPr>
                <w:noProof/>
                <w:webHidden/>
              </w:rPr>
            </w:r>
            <w:r>
              <w:rPr>
                <w:noProof/>
                <w:webHidden/>
              </w:rPr>
              <w:fldChar w:fldCharType="separate"/>
            </w:r>
            <w:r w:rsidR="00513987">
              <w:rPr>
                <w:noProof/>
                <w:webHidden/>
              </w:rPr>
              <w:t>12</w:t>
            </w:r>
            <w:r>
              <w:rPr>
                <w:noProof/>
                <w:webHidden/>
              </w:rPr>
              <w:fldChar w:fldCharType="end"/>
            </w:r>
          </w:hyperlink>
        </w:p>
        <w:p w14:paraId="68527206" w14:textId="64B0CABB" w:rsidR="001634C6" w:rsidRDefault="001634C6">
          <w:pPr>
            <w:pStyle w:val="TOC3"/>
            <w:tabs>
              <w:tab w:val="right" w:leader="dot" w:pos="9628"/>
            </w:tabs>
            <w:rPr>
              <w:noProof/>
              <w:kern w:val="2"/>
              <w:sz w:val="24"/>
              <w:szCs w:val="24"/>
              <w:lang w:val="en-US"/>
              <w14:ligatures w14:val="standardContextual"/>
            </w:rPr>
          </w:pPr>
          <w:hyperlink w:anchor="_Toc212110370" w:history="1">
            <w:r w:rsidRPr="00410F67">
              <w:rPr>
                <w:rStyle w:val="Hyperlink"/>
                <w:noProof/>
              </w:rPr>
              <w:t>1800MEDICARE</w:t>
            </w:r>
            <w:r>
              <w:rPr>
                <w:noProof/>
                <w:webHidden/>
              </w:rPr>
              <w:tab/>
            </w:r>
            <w:r>
              <w:rPr>
                <w:noProof/>
                <w:webHidden/>
              </w:rPr>
              <w:fldChar w:fldCharType="begin"/>
            </w:r>
            <w:r>
              <w:rPr>
                <w:noProof/>
                <w:webHidden/>
              </w:rPr>
              <w:instrText xml:space="preserve"> PAGEREF _Toc212110370 \h </w:instrText>
            </w:r>
            <w:r>
              <w:rPr>
                <w:noProof/>
                <w:webHidden/>
              </w:rPr>
            </w:r>
            <w:r>
              <w:rPr>
                <w:noProof/>
                <w:webHidden/>
              </w:rPr>
              <w:fldChar w:fldCharType="separate"/>
            </w:r>
            <w:r w:rsidR="00513987">
              <w:rPr>
                <w:noProof/>
                <w:webHidden/>
              </w:rPr>
              <w:t>12</w:t>
            </w:r>
            <w:r>
              <w:rPr>
                <w:noProof/>
                <w:webHidden/>
              </w:rPr>
              <w:fldChar w:fldCharType="end"/>
            </w:r>
          </w:hyperlink>
        </w:p>
        <w:p w14:paraId="3DED4DFC" w14:textId="582FEB02" w:rsidR="001634C6" w:rsidRDefault="001634C6">
          <w:pPr>
            <w:pStyle w:val="TOC2"/>
            <w:tabs>
              <w:tab w:val="right" w:leader="dot" w:pos="9628"/>
            </w:tabs>
            <w:rPr>
              <w:noProof/>
              <w:kern w:val="2"/>
              <w:sz w:val="24"/>
              <w:szCs w:val="24"/>
              <w:lang w:val="en-US"/>
              <w14:ligatures w14:val="standardContextual"/>
            </w:rPr>
          </w:pPr>
          <w:hyperlink w:anchor="_Toc212110371" w:history="1">
            <w:r w:rsidRPr="00410F67">
              <w:rPr>
                <w:rStyle w:val="Hyperlink"/>
                <w:noProof/>
              </w:rPr>
              <w:t>1.4 Why isn’t it working?</w:t>
            </w:r>
            <w:r>
              <w:rPr>
                <w:noProof/>
                <w:webHidden/>
              </w:rPr>
              <w:tab/>
            </w:r>
            <w:r>
              <w:rPr>
                <w:noProof/>
                <w:webHidden/>
              </w:rPr>
              <w:fldChar w:fldCharType="begin"/>
            </w:r>
            <w:r>
              <w:rPr>
                <w:noProof/>
                <w:webHidden/>
              </w:rPr>
              <w:instrText xml:space="preserve"> PAGEREF _Toc212110371 \h </w:instrText>
            </w:r>
            <w:r>
              <w:rPr>
                <w:noProof/>
                <w:webHidden/>
              </w:rPr>
            </w:r>
            <w:r>
              <w:rPr>
                <w:noProof/>
                <w:webHidden/>
              </w:rPr>
              <w:fldChar w:fldCharType="separate"/>
            </w:r>
            <w:r w:rsidR="00513987">
              <w:rPr>
                <w:noProof/>
                <w:webHidden/>
              </w:rPr>
              <w:t>12</w:t>
            </w:r>
            <w:r>
              <w:rPr>
                <w:noProof/>
                <w:webHidden/>
              </w:rPr>
              <w:fldChar w:fldCharType="end"/>
            </w:r>
          </w:hyperlink>
        </w:p>
        <w:p w14:paraId="53D59569" w14:textId="58523ED3" w:rsidR="001634C6" w:rsidRDefault="001634C6">
          <w:pPr>
            <w:pStyle w:val="TOC1"/>
            <w:tabs>
              <w:tab w:val="right" w:leader="dot" w:pos="9628"/>
            </w:tabs>
            <w:rPr>
              <w:noProof/>
              <w:kern w:val="2"/>
              <w:sz w:val="24"/>
              <w:szCs w:val="24"/>
              <w:lang w:val="en-US"/>
              <w14:ligatures w14:val="standardContextual"/>
            </w:rPr>
          </w:pPr>
          <w:hyperlink w:anchor="_Toc212110372" w:history="1">
            <w:r w:rsidRPr="00410F67">
              <w:rPr>
                <w:rStyle w:val="Hyperlink"/>
                <w:noProof/>
              </w:rPr>
              <w:t>2. What are the objectives, why is government intervention needed to achieve them, and how will success be measured?</w:t>
            </w:r>
            <w:r>
              <w:rPr>
                <w:noProof/>
                <w:webHidden/>
              </w:rPr>
              <w:tab/>
            </w:r>
            <w:r>
              <w:rPr>
                <w:noProof/>
                <w:webHidden/>
              </w:rPr>
              <w:fldChar w:fldCharType="begin"/>
            </w:r>
            <w:r>
              <w:rPr>
                <w:noProof/>
                <w:webHidden/>
              </w:rPr>
              <w:instrText xml:space="preserve"> PAGEREF _Toc212110372 \h </w:instrText>
            </w:r>
            <w:r>
              <w:rPr>
                <w:noProof/>
                <w:webHidden/>
              </w:rPr>
            </w:r>
            <w:r>
              <w:rPr>
                <w:noProof/>
                <w:webHidden/>
              </w:rPr>
              <w:fldChar w:fldCharType="separate"/>
            </w:r>
            <w:r w:rsidR="00513987">
              <w:rPr>
                <w:noProof/>
                <w:webHidden/>
              </w:rPr>
              <w:t>14</w:t>
            </w:r>
            <w:r>
              <w:rPr>
                <w:noProof/>
                <w:webHidden/>
              </w:rPr>
              <w:fldChar w:fldCharType="end"/>
            </w:r>
          </w:hyperlink>
        </w:p>
        <w:p w14:paraId="43D1C751" w14:textId="6A190F48" w:rsidR="001634C6" w:rsidRDefault="001634C6">
          <w:pPr>
            <w:pStyle w:val="TOC1"/>
            <w:tabs>
              <w:tab w:val="right" w:leader="dot" w:pos="9628"/>
            </w:tabs>
            <w:rPr>
              <w:noProof/>
              <w:kern w:val="2"/>
              <w:sz w:val="24"/>
              <w:szCs w:val="24"/>
              <w:lang w:val="en-US"/>
              <w14:ligatures w14:val="standardContextual"/>
            </w:rPr>
          </w:pPr>
          <w:hyperlink w:anchor="_Toc212110373" w:history="1">
            <w:r w:rsidRPr="00410F67">
              <w:rPr>
                <w:rStyle w:val="Hyperlink"/>
                <w:noProof/>
              </w:rPr>
              <w:t>3. What policy options are you considering?</w:t>
            </w:r>
            <w:r>
              <w:rPr>
                <w:noProof/>
                <w:webHidden/>
              </w:rPr>
              <w:tab/>
            </w:r>
            <w:r>
              <w:rPr>
                <w:noProof/>
                <w:webHidden/>
              </w:rPr>
              <w:fldChar w:fldCharType="begin"/>
            </w:r>
            <w:r>
              <w:rPr>
                <w:noProof/>
                <w:webHidden/>
              </w:rPr>
              <w:instrText xml:space="preserve"> PAGEREF _Toc212110373 \h </w:instrText>
            </w:r>
            <w:r>
              <w:rPr>
                <w:noProof/>
                <w:webHidden/>
              </w:rPr>
            </w:r>
            <w:r>
              <w:rPr>
                <w:noProof/>
                <w:webHidden/>
              </w:rPr>
              <w:fldChar w:fldCharType="separate"/>
            </w:r>
            <w:r w:rsidR="00513987">
              <w:rPr>
                <w:noProof/>
                <w:webHidden/>
              </w:rPr>
              <w:t>17</w:t>
            </w:r>
            <w:r>
              <w:rPr>
                <w:noProof/>
                <w:webHidden/>
              </w:rPr>
              <w:fldChar w:fldCharType="end"/>
            </w:r>
          </w:hyperlink>
        </w:p>
        <w:p w14:paraId="61D85706" w14:textId="794CC629" w:rsidR="001634C6" w:rsidRDefault="001634C6">
          <w:pPr>
            <w:pStyle w:val="TOC2"/>
            <w:tabs>
              <w:tab w:val="right" w:leader="dot" w:pos="9628"/>
            </w:tabs>
            <w:rPr>
              <w:noProof/>
              <w:kern w:val="2"/>
              <w:sz w:val="24"/>
              <w:szCs w:val="24"/>
              <w:lang w:val="en-US"/>
              <w14:ligatures w14:val="standardContextual"/>
            </w:rPr>
          </w:pPr>
          <w:hyperlink w:anchor="_Toc212110374" w:history="1">
            <w:r w:rsidRPr="00410F67">
              <w:rPr>
                <w:rStyle w:val="Hyperlink"/>
                <w:noProof/>
              </w:rPr>
              <w:t>3.1 Option 1 – Maintain the status quo</w:t>
            </w:r>
            <w:r>
              <w:rPr>
                <w:noProof/>
                <w:webHidden/>
              </w:rPr>
              <w:tab/>
            </w:r>
            <w:r>
              <w:rPr>
                <w:noProof/>
                <w:webHidden/>
              </w:rPr>
              <w:fldChar w:fldCharType="begin"/>
            </w:r>
            <w:r>
              <w:rPr>
                <w:noProof/>
                <w:webHidden/>
              </w:rPr>
              <w:instrText xml:space="preserve"> PAGEREF _Toc212110374 \h </w:instrText>
            </w:r>
            <w:r>
              <w:rPr>
                <w:noProof/>
                <w:webHidden/>
              </w:rPr>
            </w:r>
            <w:r>
              <w:rPr>
                <w:noProof/>
                <w:webHidden/>
              </w:rPr>
              <w:fldChar w:fldCharType="separate"/>
            </w:r>
            <w:r w:rsidR="00513987">
              <w:rPr>
                <w:noProof/>
                <w:webHidden/>
              </w:rPr>
              <w:t>17</w:t>
            </w:r>
            <w:r>
              <w:rPr>
                <w:noProof/>
                <w:webHidden/>
              </w:rPr>
              <w:fldChar w:fldCharType="end"/>
            </w:r>
          </w:hyperlink>
        </w:p>
        <w:p w14:paraId="438F70E6" w14:textId="6C494B3A" w:rsidR="001634C6" w:rsidRDefault="001634C6">
          <w:pPr>
            <w:pStyle w:val="TOC3"/>
            <w:tabs>
              <w:tab w:val="right" w:leader="dot" w:pos="9628"/>
            </w:tabs>
            <w:rPr>
              <w:noProof/>
              <w:kern w:val="2"/>
              <w:sz w:val="24"/>
              <w:szCs w:val="24"/>
              <w:lang w:val="en-US"/>
              <w14:ligatures w14:val="standardContextual"/>
            </w:rPr>
          </w:pPr>
          <w:hyperlink w:anchor="_Toc212110375" w:history="1">
            <w:r w:rsidRPr="00410F67">
              <w:rPr>
                <w:rStyle w:val="Hyperlink"/>
                <w:noProof/>
              </w:rPr>
              <w:t>Impact on the community</w:t>
            </w:r>
            <w:r>
              <w:rPr>
                <w:noProof/>
                <w:webHidden/>
              </w:rPr>
              <w:tab/>
            </w:r>
            <w:r>
              <w:rPr>
                <w:noProof/>
                <w:webHidden/>
              </w:rPr>
              <w:fldChar w:fldCharType="begin"/>
            </w:r>
            <w:r>
              <w:rPr>
                <w:noProof/>
                <w:webHidden/>
              </w:rPr>
              <w:instrText xml:space="preserve"> PAGEREF _Toc212110375 \h </w:instrText>
            </w:r>
            <w:r>
              <w:rPr>
                <w:noProof/>
                <w:webHidden/>
              </w:rPr>
            </w:r>
            <w:r>
              <w:rPr>
                <w:noProof/>
                <w:webHidden/>
              </w:rPr>
              <w:fldChar w:fldCharType="separate"/>
            </w:r>
            <w:r w:rsidR="00513987">
              <w:rPr>
                <w:noProof/>
                <w:webHidden/>
              </w:rPr>
              <w:t>17</w:t>
            </w:r>
            <w:r>
              <w:rPr>
                <w:noProof/>
                <w:webHidden/>
              </w:rPr>
              <w:fldChar w:fldCharType="end"/>
            </w:r>
          </w:hyperlink>
        </w:p>
        <w:p w14:paraId="70EAFAB9" w14:textId="3D0A8E91" w:rsidR="001634C6" w:rsidRDefault="001634C6">
          <w:pPr>
            <w:pStyle w:val="TOC3"/>
            <w:tabs>
              <w:tab w:val="right" w:leader="dot" w:pos="9628"/>
            </w:tabs>
            <w:rPr>
              <w:noProof/>
              <w:kern w:val="2"/>
              <w:sz w:val="24"/>
              <w:szCs w:val="24"/>
              <w:lang w:val="en-US"/>
              <w14:ligatures w14:val="standardContextual"/>
            </w:rPr>
          </w:pPr>
          <w:hyperlink w:anchor="_Toc212110376" w:history="1">
            <w:r w:rsidRPr="00410F67">
              <w:rPr>
                <w:rStyle w:val="Hyperlink"/>
                <w:noProof/>
              </w:rPr>
              <w:t>Impact on healthcare providers</w:t>
            </w:r>
            <w:r>
              <w:rPr>
                <w:noProof/>
                <w:webHidden/>
              </w:rPr>
              <w:tab/>
            </w:r>
            <w:r>
              <w:rPr>
                <w:noProof/>
                <w:webHidden/>
              </w:rPr>
              <w:fldChar w:fldCharType="begin"/>
            </w:r>
            <w:r>
              <w:rPr>
                <w:noProof/>
                <w:webHidden/>
              </w:rPr>
              <w:instrText xml:space="preserve"> PAGEREF _Toc212110376 \h </w:instrText>
            </w:r>
            <w:r>
              <w:rPr>
                <w:noProof/>
                <w:webHidden/>
              </w:rPr>
            </w:r>
            <w:r>
              <w:rPr>
                <w:noProof/>
                <w:webHidden/>
              </w:rPr>
              <w:fldChar w:fldCharType="separate"/>
            </w:r>
            <w:r w:rsidR="00513987">
              <w:rPr>
                <w:noProof/>
                <w:webHidden/>
              </w:rPr>
              <w:t>18</w:t>
            </w:r>
            <w:r>
              <w:rPr>
                <w:noProof/>
                <w:webHidden/>
              </w:rPr>
              <w:fldChar w:fldCharType="end"/>
            </w:r>
          </w:hyperlink>
        </w:p>
        <w:p w14:paraId="01A17CE1" w14:textId="3F66A28D" w:rsidR="001634C6" w:rsidRDefault="001634C6">
          <w:pPr>
            <w:pStyle w:val="TOC3"/>
            <w:tabs>
              <w:tab w:val="right" w:leader="dot" w:pos="9628"/>
            </w:tabs>
            <w:rPr>
              <w:noProof/>
              <w:kern w:val="2"/>
              <w:sz w:val="24"/>
              <w:szCs w:val="24"/>
              <w:lang w:val="en-US"/>
              <w14:ligatures w14:val="standardContextual"/>
            </w:rPr>
          </w:pPr>
          <w:hyperlink w:anchor="_Toc212110377" w:history="1">
            <w:r w:rsidRPr="00410F67">
              <w:rPr>
                <w:rStyle w:val="Hyperlink"/>
                <w:noProof/>
              </w:rPr>
              <w:t>Impact on Government</w:t>
            </w:r>
            <w:r>
              <w:rPr>
                <w:noProof/>
                <w:webHidden/>
              </w:rPr>
              <w:tab/>
            </w:r>
            <w:r>
              <w:rPr>
                <w:noProof/>
                <w:webHidden/>
              </w:rPr>
              <w:fldChar w:fldCharType="begin"/>
            </w:r>
            <w:r>
              <w:rPr>
                <w:noProof/>
                <w:webHidden/>
              </w:rPr>
              <w:instrText xml:space="preserve"> PAGEREF _Toc212110377 \h </w:instrText>
            </w:r>
            <w:r>
              <w:rPr>
                <w:noProof/>
                <w:webHidden/>
              </w:rPr>
            </w:r>
            <w:r>
              <w:rPr>
                <w:noProof/>
                <w:webHidden/>
              </w:rPr>
              <w:fldChar w:fldCharType="separate"/>
            </w:r>
            <w:r w:rsidR="00513987">
              <w:rPr>
                <w:noProof/>
                <w:webHidden/>
              </w:rPr>
              <w:t>18</w:t>
            </w:r>
            <w:r>
              <w:rPr>
                <w:noProof/>
                <w:webHidden/>
              </w:rPr>
              <w:fldChar w:fldCharType="end"/>
            </w:r>
          </w:hyperlink>
        </w:p>
        <w:p w14:paraId="2B4065FB" w14:textId="6EB2E325" w:rsidR="001634C6" w:rsidRDefault="001634C6">
          <w:pPr>
            <w:pStyle w:val="TOC2"/>
            <w:tabs>
              <w:tab w:val="right" w:leader="dot" w:pos="9628"/>
            </w:tabs>
            <w:rPr>
              <w:noProof/>
              <w:kern w:val="2"/>
              <w:sz w:val="24"/>
              <w:szCs w:val="24"/>
              <w:lang w:val="en-US"/>
              <w14:ligatures w14:val="standardContextual"/>
            </w:rPr>
          </w:pPr>
          <w:hyperlink w:anchor="_Toc212110378" w:history="1">
            <w:r w:rsidRPr="00410F67">
              <w:rPr>
                <w:rStyle w:val="Hyperlink"/>
                <w:noProof/>
              </w:rPr>
              <w:t>3.2 Option 2 – Ongoing funding for Medicare UCCs</w:t>
            </w:r>
            <w:r>
              <w:rPr>
                <w:noProof/>
                <w:webHidden/>
              </w:rPr>
              <w:tab/>
            </w:r>
            <w:r>
              <w:rPr>
                <w:noProof/>
                <w:webHidden/>
              </w:rPr>
              <w:fldChar w:fldCharType="begin"/>
            </w:r>
            <w:r>
              <w:rPr>
                <w:noProof/>
                <w:webHidden/>
              </w:rPr>
              <w:instrText xml:space="preserve"> PAGEREF _Toc212110378 \h </w:instrText>
            </w:r>
            <w:r>
              <w:rPr>
                <w:noProof/>
                <w:webHidden/>
              </w:rPr>
            </w:r>
            <w:r>
              <w:rPr>
                <w:noProof/>
                <w:webHidden/>
              </w:rPr>
              <w:fldChar w:fldCharType="separate"/>
            </w:r>
            <w:r w:rsidR="00513987">
              <w:rPr>
                <w:noProof/>
                <w:webHidden/>
              </w:rPr>
              <w:t>18</w:t>
            </w:r>
            <w:r>
              <w:rPr>
                <w:noProof/>
                <w:webHidden/>
              </w:rPr>
              <w:fldChar w:fldCharType="end"/>
            </w:r>
          </w:hyperlink>
        </w:p>
        <w:p w14:paraId="60952866" w14:textId="06539686" w:rsidR="001634C6" w:rsidRDefault="001634C6">
          <w:pPr>
            <w:pStyle w:val="TOC3"/>
            <w:tabs>
              <w:tab w:val="right" w:leader="dot" w:pos="9628"/>
            </w:tabs>
            <w:rPr>
              <w:noProof/>
              <w:kern w:val="2"/>
              <w:sz w:val="24"/>
              <w:szCs w:val="24"/>
              <w:lang w:val="en-US"/>
              <w14:ligatures w14:val="standardContextual"/>
            </w:rPr>
          </w:pPr>
          <w:hyperlink w:anchor="_Toc212110379" w:history="1">
            <w:r w:rsidRPr="00410F67">
              <w:rPr>
                <w:rStyle w:val="Hyperlink"/>
                <w:noProof/>
              </w:rPr>
              <w:t>Impact on the community</w:t>
            </w:r>
            <w:r>
              <w:rPr>
                <w:noProof/>
                <w:webHidden/>
              </w:rPr>
              <w:tab/>
            </w:r>
            <w:r>
              <w:rPr>
                <w:noProof/>
                <w:webHidden/>
              </w:rPr>
              <w:fldChar w:fldCharType="begin"/>
            </w:r>
            <w:r>
              <w:rPr>
                <w:noProof/>
                <w:webHidden/>
              </w:rPr>
              <w:instrText xml:space="preserve"> PAGEREF _Toc212110379 \h </w:instrText>
            </w:r>
            <w:r>
              <w:rPr>
                <w:noProof/>
                <w:webHidden/>
              </w:rPr>
            </w:r>
            <w:r>
              <w:rPr>
                <w:noProof/>
                <w:webHidden/>
              </w:rPr>
              <w:fldChar w:fldCharType="separate"/>
            </w:r>
            <w:r w:rsidR="00513987">
              <w:rPr>
                <w:noProof/>
                <w:webHidden/>
              </w:rPr>
              <w:t>19</w:t>
            </w:r>
            <w:r>
              <w:rPr>
                <w:noProof/>
                <w:webHidden/>
              </w:rPr>
              <w:fldChar w:fldCharType="end"/>
            </w:r>
          </w:hyperlink>
        </w:p>
        <w:p w14:paraId="553BAAB5" w14:textId="6A2CE829" w:rsidR="001634C6" w:rsidRDefault="001634C6">
          <w:pPr>
            <w:pStyle w:val="TOC3"/>
            <w:tabs>
              <w:tab w:val="right" w:leader="dot" w:pos="9628"/>
            </w:tabs>
            <w:rPr>
              <w:noProof/>
              <w:kern w:val="2"/>
              <w:sz w:val="24"/>
              <w:szCs w:val="24"/>
              <w:lang w:val="en-US"/>
              <w14:ligatures w14:val="standardContextual"/>
            </w:rPr>
          </w:pPr>
          <w:hyperlink w:anchor="_Toc212110380" w:history="1">
            <w:r w:rsidRPr="00410F67">
              <w:rPr>
                <w:rStyle w:val="Hyperlink"/>
                <w:noProof/>
              </w:rPr>
              <w:t>Impact on healthcare providers</w:t>
            </w:r>
            <w:r>
              <w:rPr>
                <w:noProof/>
                <w:webHidden/>
              </w:rPr>
              <w:tab/>
            </w:r>
            <w:r>
              <w:rPr>
                <w:noProof/>
                <w:webHidden/>
              </w:rPr>
              <w:fldChar w:fldCharType="begin"/>
            </w:r>
            <w:r>
              <w:rPr>
                <w:noProof/>
                <w:webHidden/>
              </w:rPr>
              <w:instrText xml:space="preserve"> PAGEREF _Toc212110380 \h </w:instrText>
            </w:r>
            <w:r>
              <w:rPr>
                <w:noProof/>
                <w:webHidden/>
              </w:rPr>
            </w:r>
            <w:r>
              <w:rPr>
                <w:noProof/>
                <w:webHidden/>
              </w:rPr>
              <w:fldChar w:fldCharType="separate"/>
            </w:r>
            <w:r w:rsidR="00513987">
              <w:rPr>
                <w:noProof/>
                <w:webHidden/>
              </w:rPr>
              <w:t>19</w:t>
            </w:r>
            <w:r>
              <w:rPr>
                <w:noProof/>
                <w:webHidden/>
              </w:rPr>
              <w:fldChar w:fldCharType="end"/>
            </w:r>
          </w:hyperlink>
        </w:p>
        <w:p w14:paraId="6D10B539" w14:textId="60CBBAC4" w:rsidR="001634C6" w:rsidRDefault="001634C6">
          <w:pPr>
            <w:pStyle w:val="TOC3"/>
            <w:tabs>
              <w:tab w:val="right" w:leader="dot" w:pos="9628"/>
            </w:tabs>
            <w:rPr>
              <w:noProof/>
              <w:kern w:val="2"/>
              <w:sz w:val="24"/>
              <w:szCs w:val="24"/>
              <w:lang w:val="en-US"/>
              <w14:ligatures w14:val="standardContextual"/>
            </w:rPr>
          </w:pPr>
          <w:hyperlink w:anchor="_Toc212110381" w:history="1">
            <w:r w:rsidRPr="00410F67">
              <w:rPr>
                <w:rStyle w:val="Hyperlink"/>
                <w:noProof/>
              </w:rPr>
              <w:t>Impact on government</w:t>
            </w:r>
            <w:r>
              <w:rPr>
                <w:noProof/>
                <w:webHidden/>
              </w:rPr>
              <w:tab/>
            </w:r>
            <w:r>
              <w:rPr>
                <w:noProof/>
                <w:webHidden/>
              </w:rPr>
              <w:fldChar w:fldCharType="begin"/>
            </w:r>
            <w:r>
              <w:rPr>
                <w:noProof/>
                <w:webHidden/>
              </w:rPr>
              <w:instrText xml:space="preserve"> PAGEREF _Toc212110381 \h </w:instrText>
            </w:r>
            <w:r>
              <w:rPr>
                <w:noProof/>
                <w:webHidden/>
              </w:rPr>
            </w:r>
            <w:r>
              <w:rPr>
                <w:noProof/>
                <w:webHidden/>
              </w:rPr>
              <w:fldChar w:fldCharType="separate"/>
            </w:r>
            <w:r w:rsidR="00513987">
              <w:rPr>
                <w:noProof/>
                <w:webHidden/>
              </w:rPr>
              <w:t>19</w:t>
            </w:r>
            <w:r>
              <w:rPr>
                <w:noProof/>
                <w:webHidden/>
              </w:rPr>
              <w:fldChar w:fldCharType="end"/>
            </w:r>
          </w:hyperlink>
        </w:p>
        <w:p w14:paraId="350532E2" w14:textId="702A283D" w:rsidR="001634C6" w:rsidRDefault="001634C6">
          <w:pPr>
            <w:pStyle w:val="TOC1"/>
            <w:tabs>
              <w:tab w:val="right" w:leader="dot" w:pos="9628"/>
            </w:tabs>
            <w:rPr>
              <w:noProof/>
              <w:kern w:val="2"/>
              <w:sz w:val="24"/>
              <w:szCs w:val="24"/>
              <w:lang w:val="en-US"/>
              <w14:ligatures w14:val="standardContextual"/>
            </w:rPr>
          </w:pPr>
          <w:hyperlink w:anchor="_Toc212110382" w:history="1">
            <w:r w:rsidRPr="00410F67">
              <w:rPr>
                <w:rStyle w:val="Hyperlink"/>
                <w:noProof/>
              </w:rPr>
              <w:t>4. What is the likely net benefit of each option?</w:t>
            </w:r>
            <w:r>
              <w:rPr>
                <w:noProof/>
                <w:webHidden/>
              </w:rPr>
              <w:tab/>
            </w:r>
            <w:r>
              <w:rPr>
                <w:noProof/>
                <w:webHidden/>
              </w:rPr>
              <w:fldChar w:fldCharType="begin"/>
            </w:r>
            <w:r>
              <w:rPr>
                <w:noProof/>
                <w:webHidden/>
              </w:rPr>
              <w:instrText xml:space="preserve"> PAGEREF _Toc212110382 \h </w:instrText>
            </w:r>
            <w:r>
              <w:rPr>
                <w:noProof/>
                <w:webHidden/>
              </w:rPr>
            </w:r>
            <w:r>
              <w:rPr>
                <w:noProof/>
                <w:webHidden/>
              </w:rPr>
              <w:fldChar w:fldCharType="separate"/>
            </w:r>
            <w:r w:rsidR="00513987">
              <w:rPr>
                <w:noProof/>
                <w:webHidden/>
              </w:rPr>
              <w:t>20</w:t>
            </w:r>
            <w:r>
              <w:rPr>
                <w:noProof/>
                <w:webHidden/>
              </w:rPr>
              <w:fldChar w:fldCharType="end"/>
            </w:r>
          </w:hyperlink>
        </w:p>
        <w:p w14:paraId="237DE697" w14:textId="40CF5AB0" w:rsidR="001634C6" w:rsidRDefault="001634C6">
          <w:pPr>
            <w:pStyle w:val="TOC2"/>
            <w:tabs>
              <w:tab w:val="right" w:leader="dot" w:pos="9628"/>
            </w:tabs>
            <w:rPr>
              <w:noProof/>
              <w:kern w:val="2"/>
              <w:sz w:val="24"/>
              <w:szCs w:val="24"/>
              <w:lang w:val="en-US"/>
              <w14:ligatures w14:val="standardContextual"/>
            </w:rPr>
          </w:pPr>
          <w:hyperlink w:anchor="_Toc212110383" w:history="1">
            <w:r w:rsidRPr="00410F67">
              <w:rPr>
                <w:rStyle w:val="Hyperlink"/>
                <w:noProof/>
                <w:lang w:val="en-US"/>
              </w:rPr>
              <w:t>4</w:t>
            </w:r>
            <w:r w:rsidRPr="00410F67">
              <w:rPr>
                <w:rStyle w:val="Hyperlink"/>
                <w:noProof/>
              </w:rPr>
              <w:t>.1 Option 1 – Maintaining the status quo</w:t>
            </w:r>
            <w:r>
              <w:rPr>
                <w:noProof/>
                <w:webHidden/>
              </w:rPr>
              <w:tab/>
            </w:r>
            <w:r>
              <w:rPr>
                <w:noProof/>
                <w:webHidden/>
              </w:rPr>
              <w:fldChar w:fldCharType="begin"/>
            </w:r>
            <w:r>
              <w:rPr>
                <w:noProof/>
                <w:webHidden/>
              </w:rPr>
              <w:instrText xml:space="preserve"> PAGEREF _Toc212110383 \h </w:instrText>
            </w:r>
            <w:r>
              <w:rPr>
                <w:noProof/>
                <w:webHidden/>
              </w:rPr>
            </w:r>
            <w:r>
              <w:rPr>
                <w:noProof/>
                <w:webHidden/>
              </w:rPr>
              <w:fldChar w:fldCharType="separate"/>
            </w:r>
            <w:r w:rsidR="00513987">
              <w:rPr>
                <w:noProof/>
                <w:webHidden/>
              </w:rPr>
              <w:t>20</w:t>
            </w:r>
            <w:r>
              <w:rPr>
                <w:noProof/>
                <w:webHidden/>
              </w:rPr>
              <w:fldChar w:fldCharType="end"/>
            </w:r>
          </w:hyperlink>
        </w:p>
        <w:p w14:paraId="3003E435" w14:textId="66F53BEC" w:rsidR="001634C6" w:rsidRDefault="001634C6">
          <w:pPr>
            <w:pStyle w:val="TOC3"/>
            <w:tabs>
              <w:tab w:val="right" w:leader="dot" w:pos="9628"/>
            </w:tabs>
            <w:rPr>
              <w:noProof/>
              <w:kern w:val="2"/>
              <w:sz w:val="24"/>
              <w:szCs w:val="24"/>
              <w:lang w:val="en-US"/>
              <w14:ligatures w14:val="standardContextual"/>
            </w:rPr>
          </w:pPr>
          <w:hyperlink w:anchor="_Toc212110384" w:history="1">
            <w:r w:rsidRPr="00410F67">
              <w:rPr>
                <w:rStyle w:val="Hyperlink"/>
                <w:noProof/>
              </w:rPr>
              <w:t>Individuals</w:t>
            </w:r>
            <w:r>
              <w:rPr>
                <w:noProof/>
                <w:webHidden/>
              </w:rPr>
              <w:tab/>
            </w:r>
            <w:r>
              <w:rPr>
                <w:noProof/>
                <w:webHidden/>
              </w:rPr>
              <w:fldChar w:fldCharType="begin"/>
            </w:r>
            <w:r>
              <w:rPr>
                <w:noProof/>
                <w:webHidden/>
              </w:rPr>
              <w:instrText xml:space="preserve"> PAGEREF _Toc212110384 \h </w:instrText>
            </w:r>
            <w:r>
              <w:rPr>
                <w:noProof/>
                <w:webHidden/>
              </w:rPr>
            </w:r>
            <w:r>
              <w:rPr>
                <w:noProof/>
                <w:webHidden/>
              </w:rPr>
              <w:fldChar w:fldCharType="separate"/>
            </w:r>
            <w:r w:rsidR="00513987">
              <w:rPr>
                <w:noProof/>
                <w:webHidden/>
              </w:rPr>
              <w:t>20</w:t>
            </w:r>
            <w:r>
              <w:rPr>
                <w:noProof/>
                <w:webHidden/>
              </w:rPr>
              <w:fldChar w:fldCharType="end"/>
            </w:r>
          </w:hyperlink>
        </w:p>
        <w:p w14:paraId="20568552" w14:textId="1012B73A" w:rsidR="001634C6" w:rsidRDefault="001634C6">
          <w:pPr>
            <w:pStyle w:val="TOC3"/>
            <w:tabs>
              <w:tab w:val="right" w:leader="dot" w:pos="9628"/>
            </w:tabs>
            <w:rPr>
              <w:noProof/>
              <w:kern w:val="2"/>
              <w:sz w:val="24"/>
              <w:szCs w:val="24"/>
              <w:lang w:val="en-US"/>
              <w14:ligatures w14:val="standardContextual"/>
            </w:rPr>
          </w:pPr>
          <w:hyperlink w:anchor="_Toc212110385" w:history="1">
            <w:r w:rsidRPr="00410F67">
              <w:rPr>
                <w:rStyle w:val="Hyperlink"/>
                <w:noProof/>
              </w:rPr>
              <w:t>Businesses and communities</w:t>
            </w:r>
            <w:r>
              <w:rPr>
                <w:noProof/>
                <w:webHidden/>
              </w:rPr>
              <w:tab/>
            </w:r>
            <w:r>
              <w:rPr>
                <w:noProof/>
                <w:webHidden/>
              </w:rPr>
              <w:fldChar w:fldCharType="begin"/>
            </w:r>
            <w:r>
              <w:rPr>
                <w:noProof/>
                <w:webHidden/>
              </w:rPr>
              <w:instrText xml:space="preserve"> PAGEREF _Toc212110385 \h </w:instrText>
            </w:r>
            <w:r>
              <w:rPr>
                <w:noProof/>
                <w:webHidden/>
              </w:rPr>
            </w:r>
            <w:r>
              <w:rPr>
                <w:noProof/>
                <w:webHidden/>
              </w:rPr>
              <w:fldChar w:fldCharType="separate"/>
            </w:r>
            <w:r w:rsidR="00513987">
              <w:rPr>
                <w:noProof/>
                <w:webHidden/>
              </w:rPr>
              <w:t>20</w:t>
            </w:r>
            <w:r>
              <w:rPr>
                <w:noProof/>
                <w:webHidden/>
              </w:rPr>
              <w:fldChar w:fldCharType="end"/>
            </w:r>
          </w:hyperlink>
        </w:p>
        <w:p w14:paraId="324559E1" w14:textId="18F03F7F" w:rsidR="001634C6" w:rsidRDefault="001634C6">
          <w:pPr>
            <w:pStyle w:val="TOC3"/>
            <w:tabs>
              <w:tab w:val="right" w:leader="dot" w:pos="9628"/>
            </w:tabs>
            <w:rPr>
              <w:noProof/>
              <w:kern w:val="2"/>
              <w:sz w:val="24"/>
              <w:szCs w:val="24"/>
              <w:lang w:val="en-US"/>
              <w14:ligatures w14:val="standardContextual"/>
            </w:rPr>
          </w:pPr>
          <w:hyperlink w:anchor="_Toc212110386" w:history="1">
            <w:r w:rsidRPr="00410F67">
              <w:rPr>
                <w:rStyle w:val="Hyperlink"/>
                <w:noProof/>
              </w:rPr>
              <w:t>Government</w:t>
            </w:r>
            <w:r>
              <w:rPr>
                <w:noProof/>
                <w:webHidden/>
              </w:rPr>
              <w:tab/>
            </w:r>
            <w:r>
              <w:rPr>
                <w:noProof/>
                <w:webHidden/>
              </w:rPr>
              <w:fldChar w:fldCharType="begin"/>
            </w:r>
            <w:r>
              <w:rPr>
                <w:noProof/>
                <w:webHidden/>
              </w:rPr>
              <w:instrText xml:space="preserve"> PAGEREF _Toc212110386 \h </w:instrText>
            </w:r>
            <w:r>
              <w:rPr>
                <w:noProof/>
                <w:webHidden/>
              </w:rPr>
            </w:r>
            <w:r>
              <w:rPr>
                <w:noProof/>
                <w:webHidden/>
              </w:rPr>
              <w:fldChar w:fldCharType="separate"/>
            </w:r>
            <w:r w:rsidR="00513987">
              <w:rPr>
                <w:noProof/>
                <w:webHidden/>
              </w:rPr>
              <w:t>21</w:t>
            </w:r>
            <w:r>
              <w:rPr>
                <w:noProof/>
                <w:webHidden/>
              </w:rPr>
              <w:fldChar w:fldCharType="end"/>
            </w:r>
          </w:hyperlink>
        </w:p>
        <w:p w14:paraId="2995E455" w14:textId="2368D27B" w:rsidR="001634C6" w:rsidRDefault="001634C6">
          <w:pPr>
            <w:pStyle w:val="TOC2"/>
            <w:tabs>
              <w:tab w:val="right" w:leader="dot" w:pos="9628"/>
            </w:tabs>
            <w:rPr>
              <w:noProof/>
              <w:kern w:val="2"/>
              <w:sz w:val="24"/>
              <w:szCs w:val="24"/>
              <w:lang w:val="en-US"/>
              <w14:ligatures w14:val="standardContextual"/>
            </w:rPr>
          </w:pPr>
          <w:hyperlink w:anchor="_Toc212110387" w:history="1">
            <w:r w:rsidRPr="00410F67">
              <w:rPr>
                <w:rStyle w:val="Hyperlink"/>
                <w:noProof/>
              </w:rPr>
              <w:t>4.2 Option 2: Ongoing funding for Medicare UCCs</w:t>
            </w:r>
            <w:r>
              <w:rPr>
                <w:noProof/>
                <w:webHidden/>
              </w:rPr>
              <w:tab/>
            </w:r>
            <w:r>
              <w:rPr>
                <w:noProof/>
                <w:webHidden/>
              </w:rPr>
              <w:fldChar w:fldCharType="begin"/>
            </w:r>
            <w:r>
              <w:rPr>
                <w:noProof/>
                <w:webHidden/>
              </w:rPr>
              <w:instrText xml:space="preserve"> PAGEREF _Toc212110387 \h </w:instrText>
            </w:r>
            <w:r>
              <w:rPr>
                <w:noProof/>
                <w:webHidden/>
              </w:rPr>
            </w:r>
            <w:r>
              <w:rPr>
                <w:noProof/>
                <w:webHidden/>
              </w:rPr>
              <w:fldChar w:fldCharType="separate"/>
            </w:r>
            <w:r w:rsidR="00513987">
              <w:rPr>
                <w:noProof/>
                <w:webHidden/>
              </w:rPr>
              <w:t>22</w:t>
            </w:r>
            <w:r>
              <w:rPr>
                <w:noProof/>
                <w:webHidden/>
              </w:rPr>
              <w:fldChar w:fldCharType="end"/>
            </w:r>
          </w:hyperlink>
        </w:p>
        <w:p w14:paraId="76655150" w14:textId="74352203" w:rsidR="001634C6" w:rsidRDefault="001634C6">
          <w:pPr>
            <w:pStyle w:val="TOC3"/>
            <w:tabs>
              <w:tab w:val="right" w:leader="dot" w:pos="9628"/>
            </w:tabs>
            <w:rPr>
              <w:noProof/>
              <w:kern w:val="2"/>
              <w:sz w:val="24"/>
              <w:szCs w:val="24"/>
              <w:lang w:val="en-US"/>
              <w14:ligatures w14:val="standardContextual"/>
            </w:rPr>
          </w:pPr>
          <w:hyperlink w:anchor="_Toc212110388" w:history="1">
            <w:r w:rsidRPr="00410F67">
              <w:rPr>
                <w:rStyle w:val="Hyperlink"/>
                <w:noProof/>
              </w:rPr>
              <w:t>Individuals</w:t>
            </w:r>
            <w:r>
              <w:rPr>
                <w:noProof/>
                <w:webHidden/>
              </w:rPr>
              <w:tab/>
            </w:r>
            <w:r>
              <w:rPr>
                <w:noProof/>
                <w:webHidden/>
              </w:rPr>
              <w:fldChar w:fldCharType="begin"/>
            </w:r>
            <w:r>
              <w:rPr>
                <w:noProof/>
                <w:webHidden/>
              </w:rPr>
              <w:instrText xml:space="preserve"> PAGEREF _Toc212110388 \h </w:instrText>
            </w:r>
            <w:r>
              <w:rPr>
                <w:noProof/>
                <w:webHidden/>
              </w:rPr>
            </w:r>
            <w:r>
              <w:rPr>
                <w:noProof/>
                <w:webHidden/>
              </w:rPr>
              <w:fldChar w:fldCharType="separate"/>
            </w:r>
            <w:r w:rsidR="00513987">
              <w:rPr>
                <w:noProof/>
                <w:webHidden/>
              </w:rPr>
              <w:t>22</w:t>
            </w:r>
            <w:r>
              <w:rPr>
                <w:noProof/>
                <w:webHidden/>
              </w:rPr>
              <w:fldChar w:fldCharType="end"/>
            </w:r>
          </w:hyperlink>
        </w:p>
        <w:p w14:paraId="27ED725C" w14:textId="3F7D7A6E" w:rsidR="001634C6" w:rsidRDefault="001634C6">
          <w:pPr>
            <w:pStyle w:val="TOC3"/>
            <w:tabs>
              <w:tab w:val="right" w:leader="dot" w:pos="9628"/>
            </w:tabs>
            <w:rPr>
              <w:noProof/>
              <w:kern w:val="2"/>
              <w:sz w:val="24"/>
              <w:szCs w:val="24"/>
              <w:lang w:val="en-US"/>
              <w14:ligatures w14:val="standardContextual"/>
            </w:rPr>
          </w:pPr>
          <w:hyperlink w:anchor="_Toc212110389" w:history="1">
            <w:r w:rsidRPr="00410F67">
              <w:rPr>
                <w:rStyle w:val="Hyperlink"/>
                <w:noProof/>
              </w:rPr>
              <w:t>Businesses and communities</w:t>
            </w:r>
            <w:r>
              <w:rPr>
                <w:noProof/>
                <w:webHidden/>
              </w:rPr>
              <w:tab/>
            </w:r>
            <w:r>
              <w:rPr>
                <w:noProof/>
                <w:webHidden/>
              </w:rPr>
              <w:fldChar w:fldCharType="begin"/>
            </w:r>
            <w:r>
              <w:rPr>
                <w:noProof/>
                <w:webHidden/>
              </w:rPr>
              <w:instrText xml:space="preserve"> PAGEREF _Toc212110389 \h </w:instrText>
            </w:r>
            <w:r>
              <w:rPr>
                <w:noProof/>
                <w:webHidden/>
              </w:rPr>
            </w:r>
            <w:r>
              <w:rPr>
                <w:noProof/>
                <w:webHidden/>
              </w:rPr>
              <w:fldChar w:fldCharType="separate"/>
            </w:r>
            <w:r w:rsidR="00513987">
              <w:rPr>
                <w:noProof/>
                <w:webHidden/>
              </w:rPr>
              <w:t>24</w:t>
            </w:r>
            <w:r>
              <w:rPr>
                <w:noProof/>
                <w:webHidden/>
              </w:rPr>
              <w:fldChar w:fldCharType="end"/>
            </w:r>
          </w:hyperlink>
        </w:p>
        <w:p w14:paraId="5B48F67B" w14:textId="526710E0" w:rsidR="001634C6" w:rsidRDefault="001634C6">
          <w:pPr>
            <w:pStyle w:val="TOC3"/>
            <w:tabs>
              <w:tab w:val="right" w:leader="dot" w:pos="9628"/>
            </w:tabs>
            <w:rPr>
              <w:noProof/>
              <w:kern w:val="2"/>
              <w:sz w:val="24"/>
              <w:szCs w:val="24"/>
              <w:lang w:val="en-US"/>
              <w14:ligatures w14:val="standardContextual"/>
            </w:rPr>
          </w:pPr>
          <w:hyperlink w:anchor="_Toc212110390" w:history="1">
            <w:r w:rsidRPr="00410F67">
              <w:rPr>
                <w:rStyle w:val="Hyperlink"/>
                <w:noProof/>
              </w:rPr>
              <w:t>Broader health system</w:t>
            </w:r>
            <w:r>
              <w:rPr>
                <w:noProof/>
                <w:webHidden/>
              </w:rPr>
              <w:tab/>
            </w:r>
            <w:r>
              <w:rPr>
                <w:noProof/>
                <w:webHidden/>
              </w:rPr>
              <w:fldChar w:fldCharType="begin"/>
            </w:r>
            <w:r>
              <w:rPr>
                <w:noProof/>
                <w:webHidden/>
              </w:rPr>
              <w:instrText xml:space="preserve"> PAGEREF _Toc212110390 \h </w:instrText>
            </w:r>
            <w:r>
              <w:rPr>
                <w:noProof/>
                <w:webHidden/>
              </w:rPr>
            </w:r>
            <w:r>
              <w:rPr>
                <w:noProof/>
                <w:webHidden/>
              </w:rPr>
              <w:fldChar w:fldCharType="separate"/>
            </w:r>
            <w:r w:rsidR="00513987">
              <w:rPr>
                <w:noProof/>
                <w:webHidden/>
              </w:rPr>
              <w:t>25</w:t>
            </w:r>
            <w:r>
              <w:rPr>
                <w:noProof/>
                <w:webHidden/>
              </w:rPr>
              <w:fldChar w:fldCharType="end"/>
            </w:r>
          </w:hyperlink>
        </w:p>
        <w:p w14:paraId="1924BC54" w14:textId="1B1C014C" w:rsidR="001634C6" w:rsidRDefault="001634C6">
          <w:pPr>
            <w:pStyle w:val="TOC3"/>
            <w:tabs>
              <w:tab w:val="right" w:leader="dot" w:pos="9628"/>
            </w:tabs>
            <w:rPr>
              <w:noProof/>
              <w:kern w:val="2"/>
              <w:sz w:val="24"/>
              <w:szCs w:val="24"/>
              <w:lang w:val="en-US"/>
              <w14:ligatures w14:val="standardContextual"/>
            </w:rPr>
          </w:pPr>
          <w:hyperlink w:anchor="_Toc212110391" w:history="1">
            <w:r w:rsidRPr="00410F67">
              <w:rPr>
                <w:rStyle w:val="Hyperlink"/>
                <w:noProof/>
              </w:rPr>
              <w:t>Government</w:t>
            </w:r>
            <w:r>
              <w:rPr>
                <w:noProof/>
                <w:webHidden/>
              </w:rPr>
              <w:tab/>
            </w:r>
            <w:r>
              <w:rPr>
                <w:noProof/>
                <w:webHidden/>
              </w:rPr>
              <w:fldChar w:fldCharType="begin"/>
            </w:r>
            <w:r>
              <w:rPr>
                <w:noProof/>
                <w:webHidden/>
              </w:rPr>
              <w:instrText xml:space="preserve"> PAGEREF _Toc212110391 \h </w:instrText>
            </w:r>
            <w:r>
              <w:rPr>
                <w:noProof/>
                <w:webHidden/>
              </w:rPr>
            </w:r>
            <w:r>
              <w:rPr>
                <w:noProof/>
                <w:webHidden/>
              </w:rPr>
              <w:fldChar w:fldCharType="separate"/>
            </w:r>
            <w:r w:rsidR="00513987">
              <w:rPr>
                <w:noProof/>
                <w:webHidden/>
              </w:rPr>
              <w:t>26</w:t>
            </w:r>
            <w:r>
              <w:rPr>
                <w:noProof/>
                <w:webHidden/>
              </w:rPr>
              <w:fldChar w:fldCharType="end"/>
            </w:r>
          </w:hyperlink>
        </w:p>
        <w:p w14:paraId="3159AEB8" w14:textId="3E6C79B4" w:rsidR="001634C6" w:rsidRDefault="001634C6">
          <w:pPr>
            <w:pStyle w:val="TOC3"/>
            <w:tabs>
              <w:tab w:val="right" w:leader="dot" w:pos="9628"/>
            </w:tabs>
            <w:rPr>
              <w:noProof/>
              <w:kern w:val="2"/>
              <w:sz w:val="24"/>
              <w:szCs w:val="24"/>
              <w:lang w:val="en-US"/>
              <w14:ligatures w14:val="standardContextual"/>
            </w:rPr>
          </w:pPr>
          <w:hyperlink w:anchor="_Toc212110392" w:history="1">
            <w:r w:rsidRPr="00410F67">
              <w:rPr>
                <w:rStyle w:val="Hyperlink"/>
                <w:noProof/>
              </w:rPr>
              <w:t>RBE Estimates Table</w:t>
            </w:r>
            <w:r>
              <w:rPr>
                <w:noProof/>
                <w:webHidden/>
              </w:rPr>
              <w:tab/>
            </w:r>
            <w:r>
              <w:rPr>
                <w:noProof/>
                <w:webHidden/>
              </w:rPr>
              <w:fldChar w:fldCharType="begin"/>
            </w:r>
            <w:r>
              <w:rPr>
                <w:noProof/>
                <w:webHidden/>
              </w:rPr>
              <w:instrText xml:space="preserve"> PAGEREF _Toc212110392 \h </w:instrText>
            </w:r>
            <w:r>
              <w:rPr>
                <w:noProof/>
                <w:webHidden/>
              </w:rPr>
            </w:r>
            <w:r>
              <w:rPr>
                <w:noProof/>
                <w:webHidden/>
              </w:rPr>
              <w:fldChar w:fldCharType="separate"/>
            </w:r>
            <w:r w:rsidR="00513987">
              <w:rPr>
                <w:noProof/>
                <w:webHidden/>
              </w:rPr>
              <w:t>27</w:t>
            </w:r>
            <w:r>
              <w:rPr>
                <w:noProof/>
                <w:webHidden/>
              </w:rPr>
              <w:fldChar w:fldCharType="end"/>
            </w:r>
          </w:hyperlink>
        </w:p>
        <w:p w14:paraId="58909844" w14:textId="40317EAF" w:rsidR="001634C6" w:rsidRDefault="001634C6">
          <w:pPr>
            <w:pStyle w:val="TOC1"/>
            <w:tabs>
              <w:tab w:val="right" w:leader="dot" w:pos="9628"/>
            </w:tabs>
            <w:rPr>
              <w:noProof/>
              <w:kern w:val="2"/>
              <w:sz w:val="24"/>
              <w:szCs w:val="24"/>
              <w:lang w:val="en-US"/>
              <w14:ligatures w14:val="standardContextual"/>
            </w:rPr>
          </w:pPr>
          <w:hyperlink w:anchor="_Toc212110393" w:history="1">
            <w:r w:rsidRPr="00410F67">
              <w:rPr>
                <w:rStyle w:val="Hyperlink"/>
                <w:noProof/>
              </w:rPr>
              <w:t>5. Who did you consult and how did you incorporate their feedback?</w:t>
            </w:r>
            <w:r>
              <w:rPr>
                <w:noProof/>
                <w:webHidden/>
              </w:rPr>
              <w:tab/>
            </w:r>
            <w:r>
              <w:rPr>
                <w:noProof/>
                <w:webHidden/>
              </w:rPr>
              <w:fldChar w:fldCharType="begin"/>
            </w:r>
            <w:r>
              <w:rPr>
                <w:noProof/>
                <w:webHidden/>
              </w:rPr>
              <w:instrText xml:space="preserve"> PAGEREF _Toc212110393 \h </w:instrText>
            </w:r>
            <w:r>
              <w:rPr>
                <w:noProof/>
                <w:webHidden/>
              </w:rPr>
            </w:r>
            <w:r>
              <w:rPr>
                <w:noProof/>
                <w:webHidden/>
              </w:rPr>
              <w:fldChar w:fldCharType="separate"/>
            </w:r>
            <w:r w:rsidR="00513987">
              <w:rPr>
                <w:noProof/>
                <w:webHidden/>
              </w:rPr>
              <w:t>28</w:t>
            </w:r>
            <w:r>
              <w:rPr>
                <w:noProof/>
                <w:webHidden/>
              </w:rPr>
              <w:fldChar w:fldCharType="end"/>
            </w:r>
          </w:hyperlink>
        </w:p>
        <w:p w14:paraId="3E2E5739" w14:textId="398C5776" w:rsidR="001634C6" w:rsidRDefault="001634C6">
          <w:pPr>
            <w:pStyle w:val="TOC3"/>
            <w:tabs>
              <w:tab w:val="right" w:leader="dot" w:pos="9628"/>
            </w:tabs>
            <w:rPr>
              <w:noProof/>
              <w:kern w:val="2"/>
              <w:sz w:val="24"/>
              <w:szCs w:val="24"/>
              <w:lang w:val="en-US"/>
              <w14:ligatures w14:val="standardContextual"/>
            </w:rPr>
          </w:pPr>
          <w:hyperlink w:anchor="_Toc212110394" w:history="1">
            <w:r w:rsidRPr="00410F67">
              <w:rPr>
                <w:rStyle w:val="Hyperlink"/>
                <w:noProof/>
              </w:rPr>
              <w:t>Principle views of stakeholders</w:t>
            </w:r>
            <w:r>
              <w:rPr>
                <w:noProof/>
                <w:webHidden/>
              </w:rPr>
              <w:tab/>
            </w:r>
            <w:r>
              <w:rPr>
                <w:noProof/>
                <w:webHidden/>
              </w:rPr>
              <w:fldChar w:fldCharType="begin"/>
            </w:r>
            <w:r>
              <w:rPr>
                <w:noProof/>
                <w:webHidden/>
              </w:rPr>
              <w:instrText xml:space="preserve"> PAGEREF _Toc212110394 \h </w:instrText>
            </w:r>
            <w:r>
              <w:rPr>
                <w:noProof/>
                <w:webHidden/>
              </w:rPr>
            </w:r>
            <w:r>
              <w:rPr>
                <w:noProof/>
                <w:webHidden/>
              </w:rPr>
              <w:fldChar w:fldCharType="separate"/>
            </w:r>
            <w:r w:rsidR="00513987">
              <w:rPr>
                <w:noProof/>
                <w:webHidden/>
              </w:rPr>
              <w:t>29</w:t>
            </w:r>
            <w:r>
              <w:rPr>
                <w:noProof/>
                <w:webHidden/>
              </w:rPr>
              <w:fldChar w:fldCharType="end"/>
            </w:r>
          </w:hyperlink>
        </w:p>
        <w:p w14:paraId="12D4FC7A" w14:textId="336A3673" w:rsidR="001634C6" w:rsidRDefault="001634C6">
          <w:pPr>
            <w:pStyle w:val="TOC1"/>
            <w:tabs>
              <w:tab w:val="right" w:leader="dot" w:pos="9628"/>
            </w:tabs>
            <w:rPr>
              <w:noProof/>
              <w:kern w:val="2"/>
              <w:sz w:val="24"/>
              <w:szCs w:val="24"/>
              <w:lang w:val="en-US"/>
              <w14:ligatures w14:val="standardContextual"/>
            </w:rPr>
          </w:pPr>
          <w:hyperlink w:anchor="_Toc212110395" w:history="1">
            <w:r w:rsidRPr="00410F67">
              <w:rPr>
                <w:rStyle w:val="Hyperlink"/>
                <w:noProof/>
              </w:rPr>
              <w:t>6. What is the best option from those you have considered and how will it be implemented?</w:t>
            </w:r>
            <w:r>
              <w:rPr>
                <w:noProof/>
                <w:webHidden/>
              </w:rPr>
              <w:tab/>
            </w:r>
            <w:r>
              <w:rPr>
                <w:noProof/>
                <w:webHidden/>
              </w:rPr>
              <w:fldChar w:fldCharType="begin"/>
            </w:r>
            <w:r>
              <w:rPr>
                <w:noProof/>
                <w:webHidden/>
              </w:rPr>
              <w:instrText xml:space="preserve"> PAGEREF _Toc212110395 \h </w:instrText>
            </w:r>
            <w:r>
              <w:rPr>
                <w:noProof/>
                <w:webHidden/>
              </w:rPr>
            </w:r>
            <w:r>
              <w:rPr>
                <w:noProof/>
                <w:webHidden/>
              </w:rPr>
              <w:fldChar w:fldCharType="separate"/>
            </w:r>
            <w:r w:rsidR="00513987">
              <w:rPr>
                <w:noProof/>
                <w:webHidden/>
              </w:rPr>
              <w:t>33</w:t>
            </w:r>
            <w:r>
              <w:rPr>
                <w:noProof/>
                <w:webHidden/>
              </w:rPr>
              <w:fldChar w:fldCharType="end"/>
            </w:r>
          </w:hyperlink>
        </w:p>
        <w:p w14:paraId="0FE694D6" w14:textId="7EC5E251" w:rsidR="001634C6" w:rsidRDefault="001634C6">
          <w:pPr>
            <w:pStyle w:val="TOC2"/>
            <w:tabs>
              <w:tab w:val="right" w:leader="dot" w:pos="9628"/>
            </w:tabs>
            <w:rPr>
              <w:noProof/>
              <w:kern w:val="2"/>
              <w:sz w:val="24"/>
              <w:szCs w:val="24"/>
              <w:lang w:val="en-US"/>
              <w14:ligatures w14:val="standardContextual"/>
            </w:rPr>
          </w:pPr>
          <w:hyperlink w:anchor="_Toc212110396" w:history="1">
            <w:r w:rsidRPr="00410F67">
              <w:rPr>
                <w:rStyle w:val="Hyperlink"/>
                <w:noProof/>
              </w:rPr>
              <w:t>Identifying the preferred option</w:t>
            </w:r>
            <w:r>
              <w:rPr>
                <w:noProof/>
                <w:webHidden/>
              </w:rPr>
              <w:tab/>
            </w:r>
            <w:r>
              <w:rPr>
                <w:noProof/>
                <w:webHidden/>
              </w:rPr>
              <w:fldChar w:fldCharType="begin"/>
            </w:r>
            <w:r>
              <w:rPr>
                <w:noProof/>
                <w:webHidden/>
              </w:rPr>
              <w:instrText xml:space="preserve"> PAGEREF _Toc212110396 \h </w:instrText>
            </w:r>
            <w:r>
              <w:rPr>
                <w:noProof/>
                <w:webHidden/>
              </w:rPr>
            </w:r>
            <w:r>
              <w:rPr>
                <w:noProof/>
                <w:webHidden/>
              </w:rPr>
              <w:fldChar w:fldCharType="separate"/>
            </w:r>
            <w:r w:rsidR="00513987">
              <w:rPr>
                <w:noProof/>
                <w:webHidden/>
              </w:rPr>
              <w:t>33</w:t>
            </w:r>
            <w:r>
              <w:rPr>
                <w:noProof/>
                <w:webHidden/>
              </w:rPr>
              <w:fldChar w:fldCharType="end"/>
            </w:r>
          </w:hyperlink>
        </w:p>
        <w:p w14:paraId="1BE89848" w14:textId="6CF643B7" w:rsidR="001634C6" w:rsidRDefault="001634C6">
          <w:pPr>
            <w:pStyle w:val="TOC2"/>
            <w:tabs>
              <w:tab w:val="right" w:leader="dot" w:pos="9628"/>
            </w:tabs>
            <w:rPr>
              <w:noProof/>
              <w:kern w:val="2"/>
              <w:sz w:val="24"/>
              <w:szCs w:val="24"/>
              <w:lang w:val="en-US"/>
              <w14:ligatures w14:val="standardContextual"/>
            </w:rPr>
          </w:pPr>
          <w:hyperlink w:anchor="_Toc212110397" w:history="1">
            <w:r w:rsidRPr="00410F67">
              <w:rPr>
                <w:rStyle w:val="Hyperlink"/>
                <w:noProof/>
              </w:rPr>
              <w:t>Best option and benefits</w:t>
            </w:r>
            <w:r>
              <w:rPr>
                <w:noProof/>
                <w:webHidden/>
              </w:rPr>
              <w:tab/>
            </w:r>
            <w:r>
              <w:rPr>
                <w:noProof/>
                <w:webHidden/>
              </w:rPr>
              <w:fldChar w:fldCharType="begin"/>
            </w:r>
            <w:r>
              <w:rPr>
                <w:noProof/>
                <w:webHidden/>
              </w:rPr>
              <w:instrText xml:space="preserve"> PAGEREF _Toc212110397 \h </w:instrText>
            </w:r>
            <w:r>
              <w:rPr>
                <w:noProof/>
                <w:webHidden/>
              </w:rPr>
            </w:r>
            <w:r>
              <w:rPr>
                <w:noProof/>
                <w:webHidden/>
              </w:rPr>
              <w:fldChar w:fldCharType="separate"/>
            </w:r>
            <w:r w:rsidR="00513987">
              <w:rPr>
                <w:noProof/>
                <w:webHidden/>
              </w:rPr>
              <w:t>33</w:t>
            </w:r>
            <w:r>
              <w:rPr>
                <w:noProof/>
                <w:webHidden/>
              </w:rPr>
              <w:fldChar w:fldCharType="end"/>
            </w:r>
          </w:hyperlink>
        </w:p>
        <w:p w14:paraId="4526C105" w14:textId="4EDBAE7F" w:rsidR="001634C6" w:rsidRDefault="001634C6">
          <w:pPr>
            <w:pStyle w:val="TOC2"/>
            <w:tabs>
              <w:tab w:val="right" w:leader="dot" w:pos="9628"/>
            </w:tabs>
            <w:rPr>
              <w:noProof/>
              <w:kern w:val="2"/>
              <w:sz w:val="24"/>
              <w:szCs w:val="24"/>
              <w:lang w:val="en-US"/>
              <w14:ligatures w14:val="standardContextual"/>
            </w:rPr>
          </w:pPr>
          <w:hyperlink w:anchor="_Toc212110398" w:history="1">
            <w:r w:rsidRPr="00410F67">
              <w:rPr>
                <w:rStyle w:val="Hyperlink"/>
                <w:noProof/>
              </w:rPr>
              <w:t>Implementation and timing</w:t>
            </w:r>
            <w:r>
              <w:rPr>
                <w:noProof/>
                <w:webHidden/>
              </w:rPr>
              <w:tab/>
            </w:r>
            <w:r>
              <w:rPr>
                <w:noProof/>
                <w:webHidden/>
              </w:rPr>
              <w:fldChar w:fldCharType="begin"/>
            </w:r>
            <w:r>
              <w:rPr>
                <w:noProof/>
                <w:webHidden/>
              </w:rPr>
              <w:instrText xml:space="preserve"> PAGEREF _Toc212110398 \h </w:instrText>
            </w:r>
            <w:r>
              <w:rPr>
                <w:noProof/>
                <w:webHidden/>
              </w:rPr>
            </w:r>
            <w:r>
              <w:rPr>
                <w:noProof/>
                <w:webHidden/>
              </w:rPr>
              <w:fldChar w:fldCharType="separate"/>
            </w:r>
            <w:r w:rsidR="00513987">
              <w:rPr>
                <w:noProof/>
                <w:webHidden/>
              </w:rPr>
              <w:t>35</w:t>
            </w:r>
            <w:r>
              <w:rPr>
                <w:noProof/>
                <w:webHidden/>
              </w:rPr>
              <w:fldChar w:fldCharType="end"/>
            </w:r>
          </w:hyperlink>
        </w:p>
        <w:p w14:paraId="7AC7C5DD" w14:textId="1D04C4A9" w:rsidR="001634C6" w:rsidRDefault="001634C6">
          <w:pPr>
            <w:pStyle w:val="TOC2"/>
            <w:tabs>
              <w:tab w:val="right" w:leader="dot" w:pos="9628"/>
            </w:tabs>
            <w:rPr>
              <w:noProof/>
              <w:kern w:val="2"/>
              <w:sz w:val="24"/>
              <w:szCs w:val="24"/>
              <w:lang w:val="en-US"/>
              <w14:ligatures w14:val="standardContextual"/>
            </w:rPr>
          </w:pPr>
          <w:hyperlink w:anchor="_Toc212110399" w:history="1">
            <w:r w:rsidRPr="00410F67">
              <w:rPr>
                <w:rStyle w:val="Hyperlink"/>
                <w:noProof/>
              </w:rPr>
              <w:t>Implementation issues and risks</w:t>
            </w:r>
            <w:r>
              <w:rPr>
                <w:noProof/>
                <w:webHidden/>
              </w:rPr>
              <w:tab/>
            </w:r>
            <w:r>
              <w:rPr>
                <w:noProof/>
                <w:webHidden/>
              </w:rPr>
              <w:fldChar w:fldCharType="begin"/>
            </w:r>
            <w:r>
              <w:rPr>
                <w:noProof/>
                <w:webHidden/>
              </w:rPr>
              <w:instrText xml:space="preserve"> PAGEREF _Toc212110399 \h </w:instrText>
            </w:r>
            <w:r>
              <w:rPr>
                <w:noProof/>
                <w:webHidden/>
              </w:rPr>
            </w:r>
            <w:r>
              <w:rPr>
                <w:noProof/>
                <w:webHidden/>
              </w:rPr>
              <w:fldChar w:fldCharType="separate"/>
            </w:r>
            <w:r w:rsidR="00513987">
              <w:rPr>
                <w:noProof/>
                <w:webHidden/>
              </w:rPr>
              <w:t>36</w:t>
            </w:r>
            <w:r>
              <w:rPr>
                <w:noProof/>
                <w:webHidden/>
              </w:rPr>
              <w:fldChar w:fldCharType="end"/>
            </w:r>
          </w:hyperlink>
        </w:p>
        <w:p w14:paraId="5CFEA273" w14:textId="261231A9" w:rsidR="001634C6" w:rsidRDefault="001634C6">
          <w:pPr>
            <w:pStyle w:val="TOC1"/>
            <w:tabs>
              <w:tab w:val="right" w:leader="dot" w:pos="9628"/>
            </w:tabs>
            <w:rPr>
              <w:noProof/>
              <w:kern w:val="2"/>
              <w:sz w:val="24"/>
              <w:szCs w:val="24"/>
              <w:lang w:val="en-US"/>
              <w14:ligatures w14:val="standardContextual"/>
            </w:rPr>
          </w:pPr>
          <w:hyperlink w:anchor="_Toc212110400" w:history="1">
            <w:r w:rsidRPr="00410F67">
              <w:rPr>
                <w:rStyle w:val="Hyperlink"/>
                <w:noProof/>
              </w:rPr>
              <w:t>7. How will you evaluate your chosen option against the success metrics?</w:t>
            </w:r>
            <w:r>
              <w:rPr>
                <w:noProof/>
                <w:webHidden/>
              </w:rPr>
              <w:tab/>
            </w:r>
            <w:r>
              <w:rPr>
                <w:noProof/>
                <w:webHidden/>
              </w:rPr>
              <w:fldChar w:fldCharType="begin"/>
            </w:r>
            <w:r>
              <w:rPr>
                <w:noProof/>
                <w:webHidden/>
              </w:rPr>
              <w:instrText xml:space="preserve"> PAGEREF _Toc212110400 \h </w:instrText>
            </w:r>
            <w:r>
              <w:rPr>
                <w:noProof/>
                <w:webHidden/>
              </w:rPr>
            </w:r>
            <w:r>
              <w:rPr>
                <w:noProof/>
                <w:webHidden/>
              </w:rPr>
              <w:fldChar w:fldCharType="separate"/>
            </w:r>
            <w:r w:rsidR="00513987">
              <w:rPr>
                <w:noProof/>
                <w:webHidden/>
              </w:rPr>
              <w:t>38</w:t>
            </w:r>
            <w:r>
              <w:rPr>
                <w:noProof/>
                <w:webHidden/>
              </w:rPr>
              <w:fldChar w:fldCharType="end"/>
            </w:r>
          </w:hyperlink>
        </w:p>
        <w:p w14:paraId="2FAAF6A9" w14:textId="00FB654C" w:rsidR="001634C6" w:rsidRDefault="001634C6">
          <w:pPr>
            <w:pStyle w:val="TOC2"/>
            <w:tabs>
              <w:tab w:val="right" w:leader="dot" w:pos="9628"/>
            </w:tabs>
            <w:rPr>
              <w:noProof/>
              <w:kern w:val="2"/>
              <w:sz w:val="24"/>
              <w:szCs w:val="24"/>
              <w:lang w:val="en-US"/>
              <w14:ligatures w14:val="standardContextual"/>
            </w:rPr>
          </w:pPr>
          <w:hyperlink w:anchor="_Toc212110401" w:history="1">
            <w:r w:rsidRPr="00410F67">
              <w:rPr>
                <w:rStyle w:val="Hyperlink"/>
                <w:noProof/>
              </w:rPr>
              <w:t>Ongoing monitoring and evaluation</w:t>
            </w:r>
            <w:r>
              <w:rPr>
                <w:noProof/>
                <w:webHidden/>
              </w:rPr>
              <w:tab/>
            </w:r>
            <w:r>
              <w:rPr>
                <w:noProof/>
                <w:webHidden/>
              </w:rPr>
              <w:fldChar w:fldCharType="begin"/>
            </w:r>
            <w:r>
              <w:rPr>
                <w:noProof/>
                <w:webHidden/>
              </w:rPr>
              <w:instrText xml:space="preserve"> PAGEREF _Toc212110401 \h </w:instrText>
            </w:r>
            <w:r>
              <w:rPr>
                <w:noProof/>
                <w:webHidden/>
              </w:rPr>
            </w:r>
            <w:r>
              <w:rPr>
                <w:noProof/>
                <w:webHidden/>
              </w:rPr>
              <w:fldChar w:fldCharType="separate"/>
            </w:r>
            <w:r w:rsidR="00513987">
              <w:rPr>
                <w:noProof/>
                <w:webHidden/>
              </w:rPr>
              <w:t>38</w:t>
            </w:r>
            <w:r>
              <w:rPr>
                <w:noProof/>
                <w:webHidden/>
              </w:rPr>
              <w:fldChar w:fldCharType="end"/>
            </w:r>
          </w:hyperlink>
        </w:p>
        <w:p w14:paraId="4CC585EA" w14:textId="3EB5369B" w:rsidR="001634C6" w:rsidRDefault="001634C6">
          <w:pPr>
            <w:pStyle w:val="TOC1"/>
            <w:tabs>
              <w:tab w:val="right" w:leader="dot" w:pos="9628"/>
            </w:tabs>
            <w:rPr>
              <w:noProof/>
              <w:kern w:val="2"/>
              <w:sz w:val="24"/>
              <w:szCs w:val="24"/>
              <w:lang w:val="en-US"/>
              <w14:ligatures w14:val="standardContextual"/>
            </w:rPr>
          </w:pPr>
          <w:hyperlink w:anchor="_Toc212110402" w:history="1">
            <w:r w:rsidRPr="00410F67">
              <w:rPr>
                <w:rStyle w:val="Hyperlink"/>
                <w:noProof/>
              </w:rPr>
              <w:t>Appendix 1: Status of Policy Impact Analysis at each major decision point</w:t>
            </w:r>
            <w:r>
              <w:rPr>
                <w:noProof/>
                <w:webHidden/>
              </w:rPr>
              <w:tab/>
            </w:r>
            <w:r>
              <w:rPr>
                <w:noProof/>
                <w:webHidden/>
              </w:rPr>
              <w:fldChar w:fldCharType="begin"/>
            </w:r>
            <w:r>
              <w:rPr>
                <w:noProof/>
                <w:webHidden/>
              </w:rPr>
              <w:instrText xml:space="preserve"> PAGEREF _Toc212110402 \h </w:instrText>
            </w:r>
            <w:r>
              <w:rPr>
                <w:noProof/>
                <w:webHidden/>
              </w:rPr>
            </w:r>
            <w:r>
              <w:rPr>
                <w:noProof/>
                <w:webHidden/>
              </w:rPr>
              <w:fldChar w:fldCharType="separate"/>
            </w:r>
            <w:r w:rsidR="00513987">
              <w:rPr>
                <w:noProof/>
                <w:webHidden/>
              </w:rPr>
              <w:t>40</w:t>
            </w:r>
            <w:r>
              <w:rPr>
                <w:noProof/>
                <w:webHidden/>
              </w:rPr>
              <w:fldChar w:fldCharType="end"/>
            </w:r>
          </w:hyperlink>
        </w:p>
        <w:p w14:paraId="26652704" w14:textId="50AF37A6" w:rsidR="00E0447D" w:rsidRDefault="00E0447D" w:rsidP="006D63EA">
          <w:pPr>
            <w:rPr>
              <w:noProof/>
            </w:rPr>
            <w:sectPr w:rsidR="00E0447D" w:rsidSect="00C01526">
              <w:pgSz w:w="11906" w:h="16838"/>
              <w:pgMar w:top="1701" w:right="1134" w:bottom="1843" w:left="1134" w:header="993" w:footer="709" w:gutter="0"/>
              <w:pgNumType w:start="1"/>
              <w:cols w:space="708"/>
              <w:docGrid w:linePitch="360"/>
            </w:sectPr>
          </w:pPr>
          <w:r>
            <w:rPr>
              <w:b/>
              <w:bCs/>
              <w:noProof/>
            </w:rPr>
            <w:fldChar w:fldCharType="end"/>
          </w:r>
        </w:p>
      </w:sdtContent>
    </w:sdt>
    <w:p w14:paraId="5B916E69" w14:textId="56B1B225" w:rsidR="0014151F" w:rsidRPr="0014151F" w:rsidRDefault="000265AE" w:rsidP="0014151F">
      <w:pPr>
        <w:pStyle w:val="Heading1"/>
      </w:pPr>
      <w:bookmarkStart w:id="2" w:name="_Toc212110348"/>
      <w:r>
        <w:lastRenderedPageBreak/>
        <w:t xml:space="preserve">About this </w:t>
      </w:r>
      <w:r w:rsidR="0014151F" w:rsidRPr="0014151F">
        <w:t>I</w:t>
      </w:r>
      <w:r w:rsidR="00C923A5">
        <w:t>mpact Analysis</w:t>
      </w:r>
      <w:bookmarkEnd w:id="2"/>
      <w:r w:rsidR="0014151F" w:rsidRPr="0014151F">
        <w:t xml:space="preserve"> </w:t>
      </w:r>
    </w:p>
    <w:p w14:paraId="4B70EAD4" w14:textId="1AE57ECA" w:rsidR="008B204B" w:rsidRPr="00360F1A" w:rsidRDefault="008B204B" w:rsidP="0014151F">
      <w:r w:rsidRPr="008B204B">
        <w:t xml:space="preserve">This Policy Impact Analysis considers options to ensure Australians can access affordable urgent care across extended hours and ease the pressure on </w:t>
      </w:r>
      <w:r w:rsidR="00191B90">
        <w:t>e</w:t>
      </w:r>
      <w:r>
        <w:t xml:space="preserve">mergency </w:t>
      </w:r>
      <w:r w:rsidR="00191B90">
        <w:t>d</w:t>
      </w:r>
      <w:r>
        <w:t xml:space="preserve">epartments (EDs). </w:t>
      </w:r>
    </w:p>
    <w:p w14:paraId="3F73CB5E" w14:textId="2A192155" w:rsidR="002D2273" w:rsidRPr="0014151F" w:rsidRDefault="002D2273" w:rsidP="0014151F">
      <w:r w:rsidRPr="00360F1A">
        <w:t>For an overview of the issue, the executive summary and initial chapters provide a concise foundation. For a more detailed exploration, readers can focus on the sections covering the seven key questions for an in-depth discussion.</w:t>
      </w:r>
    </w:p>
    <w:p w14:paraId="5A44CC8E" w14:textId="1C6847B1" w:rsidR="00C923A5" w:rsidRDefault="00C923A5" w:rsidP="00C923A5">
      <w:pPr>
        <w:pStyle w:val="Heading1"/>
      </w:pPr>
      <w:bookmarkStart w:id="3" w:name="_Toc212110349"/>
      <w:r>
        <w:t>Executive Summary</w:t>
      </w:r>
      <w:bookmarkEnd w:id="3"/>
    </w:p>
    <w:p w14:paraId="580277C4" w14:textId="6E35F87E" w:rsidR="00F346FF" w:rsidRPr="00797744" w:rsidRDefault="00F346FF" w:rsidP="00E0447D">
      <w:pPr>
        <w:pStyle w:val="Heading2"/>
        <w:rPr>
          <w:noProof/>
        </w:rPr>
      </w:pPr>
      <w:bookmarkStart w:id="4" w:name="_Toc212110350"/>
      <w:r w:rsidRPr="00797744">
        <w:rPr>
          <w:noProof/>
        </w:rPr>
        <w:t>Medicare U</w:t>
      </w:r>
      <w:r w:rsidR="00191B90">
        <w:rPr>
          <w:noProof/>
        </w:rPr>
        <w:t xml:space="preserve">rgent </w:t>
      </w:r>
      <w:r w:rsidRPr="00797744">
        <w:rPr>
          <w:noProof/>
        </w:rPr>
        <w:t>C</w:t>
      </w:r>
      <w:r w:rsidR="00191B90">
        <w:rPr>
          <w:noProof/>
        </w:rPr>
        <w:t xml:space="preserve">are </w:t>
      </w:r>
      <w:r w:rsidRPr="00797744">
        <w:rPr>
          <w:noProof/>
        </w:rPr>
        <w:t>C</w:t>
      </w:r>
      <w:r w:rsidR="00191B90">
        <w:rPr>
          <w:noProof/>
        </w:rPr>
        <w:t>linic</w:t>
      </w:r>
      <w:r w:rsidRPr="00797744">
        <w:rPr>
          <w:noProof/>
        </w:rPr>
        <w:t>s</w:t>
      </w:r>
      <w:r w:rsidR="00191B90">
        <w:rPr>
          <w:noProof/>
        </w:rPr>
        <w:t xml:space="preserve"> (Medicare UCCs)</w:t>
      </w:r>
      <w:bookmarkEnd w:id="4"/>
    </w:p>
    <w:p w14:paraId="71B973E4" w14:textId="12B816BA" w:rsidR="00F346FF" w:rsidRDefault="00F346FF" w:rsidP="00F346FF">
      <w:pPr>
        <w:rPr>
          <w:rFonts w:cs="Arial"/>
        </w:rPr>
      </w:pPr>
      <w:r w:rsidRPr="00F92D4F">
        <w:rPr>
          <w:rFonts w:cs="Arial"/>
        </w:rPr>
        <w:t>Medicare UCCs were</w:t>
      </w:r>
      <w:r>
        <w:rPr>
          <w:rFonts w:cs="Arial"/>
        </w:rPr>
        <w:t xml:space="preserve"> first</w:t>
      </w:r>
      <w:r w:rsidRPr="00F92D4F">
        <w:rPr>
          <w:rFonts w:cs="Arial"/>
        </w:rPr>
        <w:t xml:space="preserve"> established across Australia</w:t>
      </w:r>
      <w:r>
        <w:rPr>
          <w:rFonts w:cs="Arial"/>
        </w:rPr>
        <w:t xml:space="preserve"> as a pilot program in 202</w:t>
      </w:r>
      <w:r w:rsidR="00750AAF">
        <w:rPr>
          <w:rFonts w:cs="Arial"/>
        </w:rPr>
        <w:t>3</w:t>
      </w:r>
      <w:r w:rsidRPr="00F92D4F">
        <w:rPr>
          <w:rFonts w:cs="Arial"/>
        </w:rPr>
        <w:t xml:space="preserve"> to improve local access to urgent care</w:t>
      </w:r>
      <w:r>
        <w:rPr>
          <w:rFonts w:cs="Arial"/>
        </w:rPr>
        <w:t xml:space="preserve"> and</w:t>
      </w:r>
      <w:r w:rsidRPr="00F92D4F">
        <w:rPr>
          <w:rFonts w:cs="Arial"/>
        </w:rPr>
        <w:t xml:space="preserve"> reduce low-acuity </w:t>
      </w:r>
      <w:r>
        <w:rPr>
          <w:rFonts w:cs="Arial"/>
        </w:rPr>
        <w:t>presentations</w:t>
      </w:r>
      <w:r w:rsidRPr="00F92D4F">
        <w:rPr>
          <w:rFonts w:cs="Arial"/>
        </w:rPr>
        <w:t xml:space="preserve"> </w:t>
      </w:r>
      <w:r w:rsidR="00DB4ADE">
        <w:rPr>
          <w:rFonts w:cs="Arial"/>
        </w:rPr>
        <w:t xml:space="preserve">in </w:t>
      </w:r>
      <w:r w:rsidRPr="00F92D4F">
        <w:rPr>
          <w:rFonts w:cs="Arial"/>
        </w:rPr>
        <w:t>public hospital EDs, allowing EDs to focus on life-threatening cases.</w:t>
      </w:r>
      <w:r>
        <w:rPr>
          <w:rFonts w:cs="Arial"/>
        </w:rPr>
        <w:t xml:space="preserve"> Since then, Medicare UCCs have started to become a</w:t>
      </w:r>
      <w:r w:rsidR="00236691">
        <w:rPr>
          <w:rFonts w:cs="Arial"/>
        </w:rPr>
        <w:t>n</w:t>
      </w:r>
      <w:r>
        <w:rPr>
          <w:rFonts w:cs="Arial"/>
        </w:rPr>
        <w:t xml:space="preserve"> embedded feature of the health system and have already delivered significant benefits for Australians. </w:t>
      </w:r>
    </w:p>
    <w:p w14:paraId="79C4F4BA" w14:textId="77777777" w:rsidR="00F346FF" w:rsidRPr="002D7368" w:rsidRDefault="00F346FF" w:rsidP="00E0447D">
      <w:pPr>
        <w:pStyle w:val="Heading2"/>
        <w:rPr>
          <w:noProof/>
        </w:rPr>
      </w:pPr>
      <w:bookmarkStart w:id="5" w:name="_Toc212110351"/>
      <w:r w:rsidRPr="00C43666">
        <w:rPr>
          <w:noProof/>
        </w:rPr>
        <w:t xml:space="preserve">The policy </w:t>
      </w:r>
      <w:r>
        <w:rPr>
          <w:noProof/>
        </w:rPr>
        <w:t>problem</w:t>
      </w:r>
      <w:bookmarkEnd w:id="5"/>
    </w:p>
    <w:p w14:paraId="13ED777D" w14:textId="67722EF5" w:rsidR="00F346FF" w:rsidRDefault="00F346FF" w:rsidP="00F346FF">
      <w:pPr>
        <w:rPr>
          <w:rFonts w:cs="Arial"/>
        </w:rPr>
      </w:pPr>
      <w:r>
        <w:rPr>
          <w:rFonts w:cs="Arial"/>
        </w:rPr>
        <w:t>Public hospital EDs across Australia are facing growing pressure due to an increase in presentations. This surge has led to longer wait times</w:t>
      </w:r>
      <w:r w:rsidR="00236691">
        <w:rPr>
          <w:rFonts w:cs="Arial"/>
        </w:rPr>
        <w:t xml:space="preserve"> in some regions</w:t>
      </w:r>
      <w:r>
        <w:rPr>
          <w:rFonts w:cs="Arial"/>
        </w:rPr>
        <w:t>, particularly for patients with semi-urgent and non-urgent presentations at EDs. These cases are generally more appropriate for management within the primary care sector, and their presence in emergency departments contributes to avoidable strain and increased costs across the broader health system.</w:t>
      </w:r>
      <w:r w:rsidR="003B2635">
        <w:rPr>
          <w:rFonts w:cs="Arial"/>
        </w:rPr>
        <w:t xml:space="preserve"> </w:t>
      </w:r>
      <w:r w:rsidR="003B2635" w:rsidRPr="003B2635">
        <w:rPr>
          <w:rFonts w:cs="Arial"/>
        </w:rPr>
        <w:t xml:space="preserve">As at 30 September 2024, the </w:t>
      </w:r>
      <w:hyperlink r:id="rId15" w:history="1">
        <w:r w:rsidR="003B2635" w:rsidRPr="003B2635">
          <w:rPr>
            <w:rStyle w:val="Hyperlink"/>
            <w:rFonts w:cs="Arial"/>
          </w:rPr>
          <w:t>Medicare UCC First Interim Evaluation</w:t>
        </w:r>
      </w:hyperlink>
      <w:r w:rsidR="003B2635">
        <w:rPr>
          <w:rFonts w:cs="Arial"/>
        </w:rPr>
        <w:t xml:space="preserve"> report</w:t>
      </w:r>
      <w:r w:rsidR="0073405B">
        <w:rPr>
          <w:rFonts w:cs="Arial"/>
        </w:rPr>
        <w:t xml:space="preserve"> (Interim Evaluation Report)</w:t>
      </w:r>
      <w:r w:rsidR="003B2635" w:rsidRPr="003B2635">
        <w:rPr>
          <w:rFonts w:cs="Arial"/>
        </w:rPr>
        <w:t xml:space="preserve"> estimates that 334,000 presentations to partner hospital EDs would have been avoided annually due to the availability of Medicare UCCs.</w:t>
      </w:r>
      <w:r w:rsidR="006D4BFA">
        <w:rPr>
          <w:rFonts w:cs="Arial"/>
        </w:rPr>
        <w:t xml:space="preserve"> As </w:t>
      </w:r>
      <w:proofErr w:type="gramStart"/>
      <w:r w:rsidR="006D4BFA">
        <w:rPr>
          <w:rFonts w:cs="Arial"/>
        </w:rPr>
        <w:t>at</w:t>
      </w:r>
      <w:proofErr w:type="gramEnd"/>
      <w:r w:rsidR="006D4BFA">
        <w:rPr>
          <w:rFonts w:cs="Arial"/>
        </w:rPr>
        <w:t xml:space="preserve"> October 2025, there </w:t>
      </w:r>
      <w:r w:rsidR="00C24ECA">
        <w:rPr>
          <w:rFonts w:cs="Arial"/>
        </w:rPr>
        <w:t>have been over 2 million presentations to Medicare UCCs</w:t>
      </w:r>
      <w:r w:rsidR="0088319A">
        <w:rPr>
          <w:rFonts w:cs="Arial"/>
        </w:rPr>
        <w:t>.</w:t>
      </w:r>
    </w:p>
    <w:p w14:paraId="180DA9E3" w14:textId="279A30C8" w:rsidR="00F346FF" w:rsidRDefault="00F346FF" w:rsidP="00F346FF">
      <w:pPr>
        <w:rPr>
          <w:rFonts w:cs="Arial"/>
        </w:rPr>
      </w:pPr>
      <w:r>
        <w:rPr>
          <w:rFonts w:cs="Arial"/>
        </w:rPr>
        <w:t xml:space="preserve">At the same time, </w:t>
      </w:r>
      <w:r w:rsidR="00EF4103">
        <w:rPr>
          <w:rFonts w:cs="Arial"/>
        </w:rPr>
        <w:t>recent declines in GP bulk billing rates and GP services have made it more difficult for many patients to access affordable, timely, face-to-face GP care in the community.</w:t>
      </w:r>
      <w:r w:rsidR="007E7F21">
        <w:rPr>
          <w:rFonts w:cs="Arial"/>
        </w:rPr>
        <w:t xml:space="preserve"> </w:t>
      </w:r>
      <w:r w:rsidR="00236691">
        <w:rPr>
          <w:rFonts w:cs="Arial"/>
        </w:rPr>
        <w:t>In some areas</w:t>
      </w:r>
      <w:r w:rsidR="00AE60A6">
        <w:rPr>
          <w:rFonts w:cs="Arial"/>
        </w:rPr>
        <w:t>,</w:t>
      </w:r>
      <w:r>
        <w:rPr>
          <w:rFonts w:cs="Arial"/>
        </w:rPr>
        <w:t xml:space="preserve"> </w:t>
      </w:r>
      <w:r w:rsidR="002A5D6C">
        <w:rPr>
          <w:rFonts w:cs="Arial"/>
        </w:rPr>
        <w:t xml:space="preserve">this has caused </w:t>
      </w:r>
      <w:r>
        <w:rPr>
          <w:rFonts w:cs="Arial"/>
        </w:rPr>
        <w:t>patients</w:t>
      </w:r>
      <w:r w:rsidR="00FD7F7C">
        <w:rPr>
          <w:rFonts w:cs="Arial"/>
        </w:rPr>
        <w:t xml:space="preserve"> </w:t>
      </w:r>
      <w:r>
        <w:rPr>
          <w:rFonts w:cs="Arial"/>
        </w:rPr>
        <w:t>to</w:t>
      </w:r>
      <w:r w:rsidR="002A5D6C">
        <w:rPr>
          <w:rFonts w:cs="Arial"/>
        </w:rPr>
        <w:t xml:space="preserve"> visit</w:t>
      </w:r>
      <w:r>
        <w:rPr>
          <w:rFonts w:cs="Arial"/>
        </w:rPr>
        <w:t xml:space="preserve"> E</w:t>
      </w:r>
      <w:r w:rsidR="002D1625">
        <w:rPr>
          <w:rFonts w:cs="Arial"/>
        </w:rPr>
        <w:t>D</w:t>
      </w:r>
      <w:r>
        <w:rPr>
          <w:rFonts w:cs="Arial"/>
        </w:rPr>
        <w:t>s for</w:t>
      </w:r>
      <w:r w:rsidR="008D2EF8">
        <w:rPr>
          <w:rFonts w:cs="Arial"/>
        </w:rPr>
        <w:t xml:space="preserve"> affordable access to</w:t>
      </w:r>
      <w:r>
        <w:rPr>
          <w:rFonts w:cs="Arial"/>
        </w:rPr>
        <w:t xml:space="preserve"> non-urgent care.</w:t>
      </w:r>
    </w:p>
    <w:p w14:paraId="7E58871A" w14:textId="5345E3DB" w:rsidR="00F346FF" w:rsidRDefault="00F346FF" w:rsidP="00F346FF">
      <w:pPr>
        <w:rPr>
          <w:rFonts w:cs="Arial"/>
        </w:rPr>
      </w:pPr>
      <w:r w:rsidRPr="002D7368">
        <w:rPr>
          <w:rFonts w:cs="Arial"/>
        </w:rPr>
        <w:t>Current funding arrangements for the</w:t>
      </w:r>
      <w:r w:rsidR="0086674D">
        <w:rPr>
          <w:rFonts w:cs="Arial"/>
        </w:rPr>
        <w:t xml:space="preserve"> </w:t>
      </w:r>
      <w:r w:rsidR="008E1D42">
        <w:rPr>
          <w:rFonts w:cs="Arial"/>
        </w:rPr>
        <w:t>8</w:t>
      </w:r>
      <w:r w:rsidR="001809DD">
        <w:rPr>
          <w:rFonts w:cs="Arial"/>
        </w:rPr>
        <w:t>4</w:t>
      </w:r>
      <w:r w:rsidR="008E1D42">
        <w:rPr>
          <w:rFonts w:cs="Arial"/>
        </w:rPr>
        <w:t xml:space="preserve"> </w:t>
      </w:r>
      <w:r w:rsidRPr="002D7368">
        <w:rPr>
          <w:rFonts w:cs="Arial"/>
        </w:rPr>
        <w:t>existing Medicare UCCs are due to expire from 30 June 2026</w:t>
      </w:r>
      <w:r w:rsidR="00236691">
        <w:rPr>
          <w:rFonts w:cs="Arial"/>
        </w:rPr>
        <w:t>.</w:t>
      </w:r>
      <w:r w:rsidRPr="002D7368">
        <w:rPr>
          <w:rFonts w:cs="Arial"/>
        </w:rPr>
        <w:t xml:space="preserve"> </w:t>
      </w:r>
      <w:r w:rsidR="00236691">
        <w:rPr>
          <w:rFonts w:cs="Arial"/>
        </w:rPr>
        <w:t xml:space="preserve">Funding for </w:t>
      </w:r>
      <w:r w:rsidR="002E2E8F">
        <w:rPr>
          <w:rFonts w:cs="Arial"/>
        </w:rPr>
        <w:t>3</w:t>
      </w:r>
      <w:r w:rsidRPr="002D7368">
        <w:rPr>
          <w:rFonts w:cs="Arial"/>
        </w:rPr>
        <w:t xml:space="preserve"> </w:t>
      </w:r>
      <w:r w:rsidR="008E1D42">
        <w:rPr>
          <w:rFonts w:cs="Arial"/>
        </w:rPr>
        <w:t xml:space="preserve">existing </w:t>
      </w:r>
      <w:r w:rsidRPr="002D7368">
        <w:rPr>
          <w:rFonts w:cs="Arial"/>
        </w:rPr>
        <w:t>clinics</w:t>
      </w:r>
      <w:r w:rsidR="008E1D42">
        <w:rPr>
          <w:rFonts w:cs="Arial"/>
        </w:rPr>
        <w:t xml:space="preserve"> and 5</w:t>
      </w:r>
      <w:r w:rsidR="002E2E8F">
        <w:rPr>
          <w:rFonts w:cs="Arial"/>
        </w:rPr>
        <w:t>0</w:t>
      </w:r>
      <w:r w:rsidR="008E1D42">
        <w:rPr>
          <w:rFonts w:cs="Arial"/>
        </w:rPr>
        <w:t xml:space="preserve"> new clinics to be established in 2025-26</w:t>
      </w:r>
      <w:r w:rsidR="00236691">
        <w:rPr>
          <w:rFonts w:cs="Arial"/>
        </w:rPr>
        <w:t xml:space="preserve"> expire</w:t>
      </w:r>
      <w:r w:rsidR="00A56CB1">
        <w:rPr>
          <w:rFonts w:cs="Arial"/>
        </w:rPr>
        <w:t xml:space="preserve"> on</w:t>
      </w:r>
      <w:r w:rsidR="00236691">
        <w:rPr>
          <w:rFonts w:cs="Arial"/>
        </w:rPr>
        <w:t xml:space="preserve"> </w:t>
      </w:r>
      <w:r w:rsidR="00236691" w:rsidRPr="002D7368">
        <w:rPr>
          <w:rFonts w:cs="Arial"/>
        </w:rPr>
        <w:t>30 June 2028</w:t>
      </w:r>
      <w:r w:rsidRPr="002D7368">
        <w:rPr>
          <w:rFonts w:cs="Arial"/>
        </w:rPr>
        <w:t>.</w:t>
      </w:r>
      <w:r w:rsidR="002353DF" w:rsidRPr="002353DF">
        <w:t xml:space="preserve"> </w:t>
      </w:r>
    </w:p>
    <w:p w14:paraId="2543E509" w14:textId="77777777" w:rsidR="00F346FF" w:rsidRPr="002D7368" w:rsidRDefault="00F346FF" w:rsidP="00E0447D">
      <w:pPr>
        <w:pStyle w:val="Heading2"/>
        <w:rPr>
          <w:noProof/>
        </w:rPr>
      </w:pPr>
      <w:bookmarkStart w:id="6" w:name="_Toc212110352"/>
      <w:r w:rsidRPr="00797744">
        <w:rPr>
          <w:noProof/>
        </w:rPr>
        <w:lastRenderedPageBreak/>
        <w:t>The policy response</w:t>
      </w:r>
      <w:bookmarkEnd w:id="6"/>
    </w:p>
    <w:p w14:paraId="38B65606" w14:textId="682AAE70" w:rsidR="00F346FF" w:rsidRDefault="00F346FF" w:rsidP="00F346FF">
      <w:pPr>
        <w:rPr>
          <w:rFonts w:cs="Arial"/>
        </w:rPr>
      </w:pPr>
      <w:r>
        <w:rPr>
          <w:rFonts w:cs="Arial"/>
        </w:rPr>
        <w:t>This Policy Impact Analysis considers options</w:t>
      </w:r>
      <w:r w:rsidR="006E0D36">
        <w:rPr>
          <w:rFonts w:cs="Arial"/>
        </w:rPr>
        <w:t xml:space="preserve"> to ensure </w:t>
      </w:r>
      <w:r w:rsidR="00B45307">
        <w:rPr>
          <w:rFonts w:cs="Arial"/>
        </w:rPr>
        <w:t>Australians</w:t>
      </w:r>
      <w:r w:rsidR="008B204B">
        <w:rPr>
          <w:rFonts w:cs="Arial"/>
        </w:rPr>
        <w:t xml:space="preserve"> can access</w:t>
      </w:r>
      <w:r w:rsidR="00A40130">
        <w:rPr>
          <w:rFonts w:cs="Arial"/>
        </w:rPr>
        <w:t xml:space="preserve"> </w:t>
      </w:r>
      <w:r>
        <w:rPr>
          <w:rFonts w:cs="Arial"/>
        </w:rPr>
        <w:t>affordable urgent care across extended hours and ease the pressure on EDs, allowing them to focus on life-threatening conditions.</w:t>
      </w:r>
      <w:r w:rsidR="00553CAC">
        <w:rPr>
          <w:rFonts w:cs="Arial"/>
        </w:rPr>
        <w:t xml:space="preserve"> </w:t>
      </w:r>
      <w:r>
        <w:rPr>
          <w:rFonts w:cs="Arial"/>
        </w:rPr>
        <w:t>This Impact Analysis considers the following two options to achieve this objective:</w:t>
      </w:r>
    </w:p>
    <w:p w14:paraId="460EF028" w14:textId="6E1FEB62" w:rsidR="00F346FF" w:rsidRDefault="00F346FF" w:rsidP="00F346FF">
      <w:pPr>
        <w:rPr>
          <w:rFonts w:cs="Arial"/>
        </w:rPr>
      </w:pPr>
      <w:r w:rsidRPr="00E53521">
        <w:rPr>
          <w:rFonts w:cs="Arial"/>
          <w:b/>
          <w:bCs/>
        </w:rPr>
        <w:t>Option 1:</w:t>
      </w:r>
      <w:r>
        <w:rPr>
          <w:rFonts w:cs="Arial"/>
        </w:rPr>
        <w:t xml:space="preserve"> Maintain the status quo</w:t>
      </w:r>
      <w:r w:rsidR="00F9280B">
        <w:rPr>
          <w:rFonts w:cs="Arial"/>
        </w:rPr>
        <w:t xml:space="preserve"> – no further funding provided and the program would cease at the end of existing arrangements.</w:t>
      </w:r>
    </w:p>
    <w:p w14:paraId="46200F6A" w14:textId="77777777" w:rsidR="00F346FF" w:rsidRDefault="00F346FF" w:rsidP="00F346FF">
      <w:pPr>
        <w:rPr>
          <w:rFonts w:cs="Arial"/>
        </w:rPr>
      </w:pPr>
      <w:r w:rsidRPr="00E53521">
        <w:rPr>
          <w:rFonts w:cs="Arial"/>
          <w:b/>
          <w:bCs/>
        </w:rPr>
        <w:t>Option 2:</w:t>
      </w:r>
      <w:r>
        <w:rPr>
          <w:rFonts w:cs="Arial"/>
        </w:rPr>
        <w:t xml:space="preserve"> </w:t>
      </w:r>
      <w:r w:rsidRPr="008A449D">
        <w:rPr>
          <w:rFonts w:cs="Arial"/>
        </w:rPr>
        <w:t>Ongoing funding for Medicare UCCs</w:t>
      </w:r>
      <w:r w:rsidR="00DB04E1">
        <w:rPr>
          <w:rFonts w:cs="Arial"/>
        </w:rPr>
        <w:t>.</w:t>
      </w:r>
    </w:p>
    <w:p w14:paraId="56FC2A07" w14:textId="77777777" w:rsidR="00F346FF" w:rsidRDefault="00F346FF" w:rsidP="00F346FF">
      <w:pPr>
        <w:rPr>
          <w:rFonts w:cs="Arial"/>
        </w:rPr>
      </w:pPr>
      <w:r w:rsidRPr="008A449D">
        <w:rPr>
          <w:rFonts w:cs="Arial"/>
        </w:rPr>
        <w:t>Focusing on two options represents the most beneficial approach to address this policy problem as it provides the opportunity for a clear comparison for evaluation. This approach also acknowledges</w:t>
      </w:r>
      <w:r>
        <w:rPr>
          <w:rFonts w:cs="Arial"/>
        </w:rPr>
        <w:t xml:space="preserve"> other </w:t>
      </w:r>
      <w:r w:rsidRPr="008A449D">
        <w:rPr>
          <w:rFonts w:cs="Arial"/>
        </w:rPr>
        <w:t>urgent care models currently operating in Australia which are attempting to reduce ED presentations</w:t>
      </w:r>
      <w:r>
        <w:rPr>
          <w:rFonts w:cs="Arial"/>
        </w:rPr>
        <w:t xml:space="preserve"> but have</w:t>
      </w:r>
      <w:r w:rsidRPr="008A449D">
        <w:rPr>
          <w:rFonts w:cs="Arial"/>
        </w:rPr>
        <w:t xml:space="preserve"> not achieved the significant and consistent outcomes required.</w:t>
      </w:r>
    </w:p>
    <w:p w14:paraId="22E52430" w14:textId="77777777" w:rsidR="00F346FF" w:rsidRDefault="00F346FF" w:rsidP="00E0447D">
      <w:pPr>
        <w:pStyle w:val="Heading2"/>
        <w:rPr>
          <w:noProof/>
        </w:rPr>
      </w:pPr>
      <w:bookmarkStart w:id="7" w:name="_Toc212110353"/>
      <w:r>
        <w:rPr>
          <w:noProof/>
        </w:rPr>
        <w:t>Selecting the preferred policy option</w:t>
      </w:r>
      <w:bookmarkEnd w:id="7"/>
    </w:p>
    <w:p w14:paraId="4BAA1084" w14:textId="32B27F17" w:rsidR="00F346FF" w:rsidRDefault="00F346FF" w:rsidP="00F346FF">
      <w:r w:rsidRPr="008A449D">
        <w:t xml:space="preserve">Selection of the preferred option was established through consideration of comprehensive stakeholder feedback, regulatory impacts, and cost and benefit analysis for </w:t>
      </w:r>
      <w:r>
        <w:t>patients</w:t>
      </w:r>
      <w:r w:rsidRPr="008A449D">
        <w:t xml:space="preserve">, healthcare providers, and all Australian </w:t>
      </w:r>
      <w:r w:rsidR="004F7899">
        <w:t>G</w:t>
      </w:r>
      <w:r w:rsidRPr="008A449D">
        <w:t>overnments.</w:t>
      </w:r>
    </w:p>
    <w:p w14:paraId="564871F1" w14:textId="77777777" w:rsidR="00F346FF" w:rsidRDefault="00F346FF" w:rsidP="00F346FF">
      <w:r w:rsidRPr="001207D4">
        <w:rPr>
          <w:b/>
          <w:bCs/>
        </w:rPr>
        <w:t>Option 1</w:t>
      </w:r>
      <w:r>
        <w:t xml:space="preserve"> </w:t>
      </w:r>
      <w:r w:rsidRPr="001207D4">
        <w:t>fails to address the current problems of increased ED presentations. This will put further strain on the healthcare system and workforce within hospitals.</w:t>
      </w:r>
    </w:p>
    <w:p w14:paraId="781ACC80" w14:textId="24242633" w:rsidR="0013224A" w:rsidRDefault="00F346FF" w:rsidP="009855A3">
      <w:pPr>
        <w:rPr>
          <w:rFonts w:cs="Arial"/>
        </w:rPr>
      </w:pPr>
      <w:r w:rsidRPr="001207D4">
        <w:rPr>
          <w:b/>
          <w:bCs/>
        </w:rPr>
        <w:t>Option 2</w:t>
      </w:r>
      <w:r>
        <w:t xml:space="preserve"> </w:t>
      </w:r>
      <w:r w:rsidRPr="001207D4">
        <w:t>provides the most effective solution, address</w:t>
      </w:r>
      <w:r>
        <w:t>ing</w:t>
      </w:r>
      <w:r w:rsidRPr="001207D4">
        <w:t xml:space="preserve"> the key objectives</w:t>
      </w:r>
      <w:r>
        <w:t xml:space="preserve"> </w:t>
      </w:r>
      <w:r w:rsidRPr="001207D4">
        <w:t>to ease the pressure on our hospitals and give families more options to see a health care professional when they have an urgent, but not life threatening, need for care.</w:t>
      </w:r>
      <w:r w:rsidR="00145224">
        <w:t xml:space="preserve"> </w:t>
      </w:r>
      <w:r w:rsidR="009855A3" w:rsidRPr="002353DF">
        <w:rPr>
          <w:rFonts w:cs="Arial"/>
        </w:rPr>
        <w:t xml:space="preserve">Ongoing funding for all Medicare UCCs will </w:t>
      </w:r>
      <w:r w:rsidR="009855A3">
        <w:rPr>
          <w:rFonts w:cs="Arial"/>
        </w:rPr>
        <w:t>support</w:t>
      </w:r>
      <w:r w:rsidR="009855A3" w:rsidRPr="002353DF">
        <w:rPr>
          <w:rFonts w:cs="Arial"/>
        </w:rPr>
        <w:t xml:space="preserve"> continued accessibility of bulk-billed urgent care services for all Australians and further increase public adoption of these services as a permanent feature of the health landscape. In addition, it will </w:t>
      </w:r>
      <w:r w:rsidR="009855A3">
        <w:rPr>
          <w:rFonts w:cs="Arial"/>
        </w:rPr>
        <w:t>give</w:t>
      </w:r>
      <w:r w:rsidR="009855A3" w:rsidRPr="002353DF">
        <w:rPr>
          <w:rFonts w:cs="Arial"/>
        </w:rPr>
        <w:t xml:space="preserve"> longer term funding security to Medicare UCC providers. This will support workforce </w:t>
      </w:r>
      <w:r w:rsidR="00236691" w:rsidRPr="002353DF">
        <w:rPr>
          <w:rFonts w:cs="Arial"/>
        </w:rPr>
        <w:t>ret</w:t>
      </w:r>
      <w:r w:rsidR="00236691">
        <w:rPr>
          <w:rFonts w:cs="Arial"/>
        </w:rPr>
        <w:t>ention</w:t>
      </w:r>
      <w:r w:rsidR="00236691" w:rsidRPr="002353DF">
        <w:rPr>
          <w:rFonts w:cs="Arial"/>
        </w:rPr>
        <w:t xml:space="preserve"> </w:t>
      </w:r>
      <w:r w:rsidR="009855A3" w:rsidRPr="002353DF">
        <w:rPr>
          <w:rFonts w:cs="Arial"/>
        </w:rPr>
        <w:t>allowing clinics to stabilise their service delivery; and invest further to build upon their integration within the local health system.</w:t>
      </w:r>
      <w:r w:rsidR="0013224A">
        <w:rPr>
          <w:rFonts w:cs="Arial"/>
        </w:rPr>
        <w:t xml:space="preserve"> </w:t>
      </w:r>
    </w:p>
    <w:p w14:paraId="14C6C68B" w14:textId="6BF1C6EA" w:rsidR="00C612E8" w:rsidRDefault="00C612E8" w:rsidP="009855A3">
      <w:pPr>
        <w:rPr>
          <w:rFonts w:cs="Arial"/>
        </w:rPr>
      </w:pPr>
      <w:r>
        <w:rPr>
          <w:rFonts w:cs="Arial"/>
        </w:rPr>
        <w:t xml:space="preserve">Further, </w:t>
      </w:r>
      <w:r w:rsidRPr="00C612E8">
        <w:rPr>
          <w:rFonts w:cs="Arial"/>
          <w:b/>
          <w:bCs/>
        </w:rPr>
        <w:t>Option 2</w:t>
      </w:r>
      <w:r>
        <w:rPr>
          <w:rFonts w:cs="Arial"/>
        </w:rPr>
        <w:t xml:space="preserve"> supports ongoing funding for Medicare UCCs lead</w:t>
      </w:r>
      <w:r w:rsidR="00DF5E12">
        <w:rPr>
          <w:rFonts w:cs="Arial"/>
        </w:rPr>
        <w:t>ing</w:t>
      </w:r>
      <w:r>
        <w:rPr>
          <w:rFonts w:cs="Arial"/>
        </w:rPr>
        <w:t xml:space="preserve"> to better health outcomes for Australians, as well as significant cost savings for </w:t>
      </w:r>
      <w:r w:rsidR="006572F2">
        <w:rPr>
          <w:rFonts w:cs="Arial"/>
        </w:rPr>
        <w:t>g</w:t>
      </w:r>
      <w:r>
        <w:rPr>
          <w:rFonts w:cs="Arial"/>
        </w:rPr>
        <w:t>overnment</w:t>
      </w:r>
      <w:r w:rsidR="00785CCC">
        <w:rPr>
          <w:rFonts w:cs="Arial"/>
        </w:rPr>
        <w:t>.</w:t>
      </w:r>
      <w:r>
        <w:rPr>
          <w:rFonts w:cs="Arial"/>
        </w:rPr>
        <w:t xml:space="preserve"> Early findings from the Interim Evaluation Report shows that each avoided ED visit saves the </w:t>
      </w:r>
      <w:r w:rsidR="006572F2">
        <w:rPr>
          <w:rFonts w:cs="Arial"/>
        </w:rPr>
        <w:t>g</w:t>
      </w:r>
      <w:r>
        <w:rPr>
          <w:rFonts w:cs="Arial"/>
        </w:rPr>
        <w:t xml:space="preserve">overnment approximately $368 per presentation, factoring in reduced ED costs and the cost of clinic visits. </w:t>
      </w:r>
      <w:r w:rsidRPr="00C612E8">
        <w:rPr>
          <w:rFonts w:cs="Arial"/>
        </w:rPr>
        <w:t xml:space="preserve">In 2024-25, the department estimates around </w:t>
      </w:r>
      <w:r w:rsidR="00FC1EDB" w:rsidRPr="00552BD9">
        <w:rPr>
          <w:rFonts w:cs="Arial"/>
        </w:rPr>
        <w:t>372,900</w:t>
      </w:r>
      <w:r w:rsidR="00FC1EDB" w:rsidRPr="00FC1EDB">
        <w:rPr>
          <w:rFonts w:cs="Arial"/>
          <w:b/>
          <w:bCs/>
        </w:rPr>
        <w:t xml:space="preserve"> </w:t>
      </w:r>
      <w:r w:rsidRPr="00C612E8">
        <w:rPr>
          <w:rFonts w:cs="Arial"/>
        </w:rPr>
        <w:t>presentations to EDs were avoided by people visiting a Medicare UCC instead.</w:t>
      </w:r>
    </w:p>
    <w:p w14:paraId="005BFDF7" w14:textId="6D132794" w:rsidR="007527D6" w:rsidRDefault="00F346FF" w:rsidP="00F346FF">
      <w:r w:rsidRPr="001207D4">
        <w:t>This Policy Impact Analysis has been developed by the Department of Health</w:t>
      </w:r>
      <w:r>
        <w:t>, Disability and Ageing</w:t>
      </w:r>
      <w:r w:rsidRPr="001207D4">
        <w:t xml:space="preserve"> (the department) in accordance with The Australian Government Guide to Policy Impact Analysis </w:t>
      </w:r>
      <w:r w:rsidRPr="001207D4">
        <w:lastRenderedPageBreak/>
        <w:t xml:space="preserve">and in consultation with the Office of Impact Analysis. It will be used to inform the Australian </w:t>
      </w:r>
      <w:r w:rsidR="00FD0849">
        <w:t>g</w:t>
      </w:r>
      <w:r w:rsidRPr="001207D4">
        <w:t xml:space="preserve">overnment regarding the decision to </w:t>
      </w:r>
      <w:r>
        <w:t>provide ongoing funding to Medicare UCCs</w:t>
      </w:r>
      <w:r w:rsidRPr="001207D4">
        <w:t>.</w:t>
      </w:r>
    </w:p>
    <w:p w14:paraId="399DE28D" w14:textId="77777777" w:rsidR="00B92955" w:rsidRDefault="00B92955" w:rsidP="00B92955">
      <w:pPr>
        <w:pStyle w:val="Heading1"/>
        <w:pageBreakBefore/>
      </w:pPr>
      <w:bookmarkStart w:id="8" w:name="_Toc212110354"/>
      <w:r>
        <w:lastRenderedPageBreak/>
        <w:t>Background</w:t>
      </w:r>
      <w:bookmarkEnd w:id="8"/>
      <w:r>
        <w:t xml:space="preserve"> </w:t>
      </w:r>
    </w:p>
    <w:p w14:paraId="7909082C" w14:textId="77777777" w:rsidR="00B92955" w:rsidRDefault="00B92955" w:rsidP="00B92955">
      <w:pPr>
        <w:pStyle w:val="Heading2"/>
        <w:rPr>
          <w:noProof/>
        </w:rPr>
      </w:pPr>
      <w:bookmarkStart w:id="9" w:name="_Toc212110355"/>
      <w:r w:rsidRPr="000E2F3B">
        <w:rPr>
          <w:noProof/>
        </w:rPr>
        <w:t>Medicare U</w:t>
      </w:r>
      <w:r>
        <w:rPr>
          <w:noProof/>
        </w:rPr>
        <w:t xml:space="preserve">rgent </w:t>
      </w:r>
      <w:r w:rsidRPr="000E2F3B">
        <w:rPr>
          <w:noProof/>
        </w:rPr>
        <w:t>C</w:t>
      </w:r>
      <w:r>
        <w:rPr>
          <w:noProof/>
        </w:rPr>
        <w:t xml:space="preserve">are </w:t>
      </w:r>
      <w:r w:rsidRPr="000E2F3B">
        <w:rPr>
          <w:noProof/>
        </w:rPr>
        <w:t>C</w:t>
      </w:r>
      <w:r>
        <w:rPr>
          <w:noProof/>
        </w:rPr>
        <w:t>linic</w:t>
      </w:r>
      <w:r w:rsidRPr="000E2F3B">
        <w:rPr>
          <w:noProof/>
        </w:rPr>
        <w:t>s</w:t>
      </w:r>
      <w:bookmarkEnd w:id="9"/>
    </w:p>
    <w:p w14:paraId="6A8B6EBA" w14:textId="30A37295" w:rsidR="00B92955" w:rsidRDefault="00B92955" w:rsidP="00B92955">
      <w:r w:rsidRPr="00BB265E">
        <w:t xml:space="preserve">The </w:t>
      </w:r>
      <w:r>
        <w:t xml:space="preserve">establishment and trial of </w:t>
      </w:r>
      <w:r w:rsidRPr="00BB265E">
        <w:t>Medicare UCCs</w:t>
      </w:r>
      <w:r>
        <w:t xml:space="preserve"> </w:t>
      </w:r>
      <w:r w:rsidRPr="00BB265E">
        <w:t xml:space="preserve">formed part of the </w:t>
      </w:r>
      <w:r>
        <w:t xml:space="preserve">Australian </w:t>
      </w:r>
      <w:r w:rsidRPr="00BB265E">
        <w:t>Labor Party’s election commitments in 202</w:t>
      </w:r>
      <w:r>
        <w:t>2</w:t>
      </w:r>
      <w:r w:rsidRPr="00BB265E">
        <w:t>.</w:t>
      </w:r>
      <w:r>
        <w:rPr>
          <w:rStyle w:val="FootnoteReference"/>
        </w:rPr>
        <w:footnoteReference w:id="1"/>
      </w:r>
      <w:r>
        <w:t xml:space="preserve"> Since then, t</w:t>
      </w:r>
      <w:r w:rsidRPr="002C61AD">
        <w:t xml:space="preserve">he Australian Government </w:t>
      </w:r>
      <w:r>
        <w:t>has committed</w:t>
      </w:r>
      <w:r w:rsidRPr="002C61AD">
        <w:t xml:space="preserve"> $1.4 billion over seven years from 2022-23 to establish 137 Medicare UCCs across Australia. Medicare UCCs aim to ease the pressure on our hospitals and give families more options to see a health care professional when they have an urgent, but not life threatening, need for care.</w:t>
      </w:r>
      <w:r w:rsidRPr="00CD56F0">
        <w:t xml:space="preserve"> </w:t>
      </w:r>
      <w:r>
        <w:t xml:space="preserve">The establishment of Medicare UCCs complements the </w:t>
      </w:r>
      <w:r w:rsidR="007F7A17">
        <w:t>g</w:t>
      </w:r>
      <w:r>
        <w:t xml:space="preserve">overnment’s broader response to recommendations of the </w:t>
      </w:r>
      <w:hyperlink r:id="rId16" w:history="1">
        <w:r w:rsidRPr="008C65B9">
          <w:rPr>
            <w:rStyle w:val="Hyperlink"/>
          </w:rPr>
          <w:t>Strengthening Medicare Taskforce Report.</w:t>
        </w:r>
      </w:hyperlink>
    </w:p>
    <w:p w14:paraId="0223C165" w14:textId="77777777" w:rsidR="00B92955" w:rsidRDefault="00B92955" w:rsidP="00B92955">
      <w:r>
        <w:t>As at October 2025, 90 Medicare UCCs have been implemented. When the further 47 clinics are implemented in 2025-26, it is estimated that four in five Australians will live within a 20-minute drive of a Medicare UCC.</w:t>
      </w:r>
    </w:p>
    <w:p w14:paraId="30BF01C8" w14:textId="77777777" w:rsidR="00B92955" w:rsidRDefault="00B92955" w:rsidP="00B92955">
      <w:r>
        <w:t xml:space="preserve">Medicare UCCs are generally: </w:t>
      </w:r>
    </w:p>
    <w:p w14:paraId="2AB41114" w14:textId="77777777" w:rsidR="00B92955" w:rsidRDefault="00B92955" w:rsidP="00B92955">
      <w:pPr>
        <w:pStyle w:val="ListParagraph"/>
        <w:numPr>
          <w:ilvl w:val="0"/>
          <w:numId w:val="25"/>
        </w:numPr>
      </w:pPr>
      <w:r>
        <w:t>Based in existing GP clinics, community health centres and Aboriginal Community Controlled Health Services, and provide free services for patients;</w:t>
      </w:r>
    </w:p>
    <w:p w14:paraId="58FFF851" w14:textId="77777777" w:rsidR="00B92955" w:rsidRDefault="00B92955" w:rsidP="00B92955">
      <w:pPr>
        <w:pStyle w:val="ListParagraph"/>
        <w:numPr>
          <w:ilvl w:val="0"/>
          <w:numId w:val="25"/>
        </w:numPr>
      </w:pPr>
      <w:r>
        <w:t>Open extended hours and accept walk-in patients;</w:t>
      </w:r>
    </w:p>
    <w:p w14:paraId="6EE62346" w14:textId="77777777" w:rsidR="00B92955" w:rsidRDefault="00B92955" w:rsidP="00B92955">
      <w:pPr>
        <w:pStyle w:val="ListParagraph"/>
        <w:numPr>
          <w:ilvl w:val="0"/>
          <w:numId w:val="25"/>
        </w:numPr>
      </w:pPr>
      <w:r>
        <w:t>Responsive to the needs of the local community; and</w:t>
      </w:r>
    </w:p>
    <w:p w14:paraId="0DE42B32" w14:textId="77777777" w:rsidR="00B92955" w:rsidRDefault="00B92955" w:rsidP="00B92955">
      <w:pPr>
        <w:pStyle w:val="ListParagraph"/>
        <w:numPr>
          <w:ilvl w:val="0"/>
          <w:numId w:val="25"/>
        </w:numPr>
      </w:pPr>
      <w:r>
        <w:t>Accessible to all people, including vulnerable people and young people.</w:t>
      </w:r>
    </w:p>
    <w:p w14:paraId="0559CCE6" w14:textId="77777777" w:rsidR="00B92955" w:rsidRDefault="00B92955" w:rsidP="00B92955">
      <w:r>
        <w:t xml:space="preserve">While Medicare UCCs are predominantly GP led, a flexible approach has been adopted in considering alternative operating models to deliver services to local communities, where </w:t>
      </w:r>
      <w:proofErr w:type="gramStart"/>
      <w:r>
        <w:t>very unique</w:t>
      </w:r>
      <w:proofErr w:type="gramEnd"/>
      <w:r>
        <w:t xml:space="preserve"> local context applies (for example, workforce availability in remote Northern Territory) while ensuring the program intent continues to be delivered.</w:t>
      </w:r>
    </w:p>
    <w:p w14:paraId="61163BB7" w14:textId="32918943" w:rsidR="00B92955" w:rsidRDefault="00B92955" w:rsidP="00B92955">
      <w:r>
        <w:t>People can attend a Medicare UCC for non-life threatening acute episodic care for minor injuries and illnesses. This includes closed fractures, simple eye injuries, minor burns, urinary tract infection</w:t>
      </w:r>
      <w:r w:rsidR="00FE6B2F">
        <w:t>,</w:t>
      </w:r>
      <w:r>
        <w:t xml:space="preserve"> or an ear infection. Medicare UCCs are not intended to treat people with life threatening or non-urgent conditions. This includes chronic disease management or preventive health procedures such as cervical screening tests.</w:t>
      </w:r>
    </w:p>
    <w:p w14:paraId="4389F8B7" w14:textId="3D739C30" w:rsidR="00B92955" w:rsidRDefault="00B92955" w:rsidP="00F346FF">
      <w:r w:rsidRPr="00011F38" w:rsidDel="00F44FB5">
        <w:rPr>
          <w:bCs/>
        </w:rPr>
        <w:t>Since the first clinic opened in 2023,</w:t>
      </w:r>
      <w:r>
        <w:rPr>
          <w:bCs/>
        </w:rPr>
        <w:t xml:space="preserve"> as </w:t>
      </w:r>
      <w:proofErr w:type="gramStart"/>
      <w:r>
        <w:rPr>
          <w:bCs/>
        </w:rPr>
        <w:t>at</w:t>
      </w:r>
      <w:proofErr w:type="gramEnd"/>
      <w:r>
        <w:rPr>
          <w:bCs/>
        </w:rPr>
        <w:t xml:space="preserve"> September 2025,</w:t>
      </w:r>
      <w:r w:rsidRPr="00011F38" w:rsidDel="00F44FB5">
        <w:rPr>
          <w:bCs/>
        </w:rPr>
        <w:t xml:space="preserve"> Medicare UCCs have serviced over </w:t>
      </w:r>
      <w:r>
        <w:rPr>
          <w:bCs/>
        </w:rPr>
        <w:t>2</w:t>
      </w:r>
      <w:r w:rsidRPr="00011F38" w:rsidDel="00F44FB5">
        <w:rPr>
          <w:bCs/>
        </w:rPr>
        <w:t xml:space="preserve"> million presentations, establishing themselves as a k</w:t>
      </w:r>
      <w:r w:rsidDel="00F44FB5">
        <w:rPr>
          <w:bCs/>
        </w:rPr>
        <w:t>e</w:t>
      </w:r>
      <w:r w:rsidRPr="00011F38" w:rsidDel="00F44FB5">
        <w:rPr>
          <w:bCs/>
        </w:rPr>
        <w:t>y feature of Australia’s Health system.</w:t>
      </w:r>
      <w:r w:rsidRPr="00527F85">
        <w:rPr>
          <w:rFonts w:cs="Arial"/>
        </w:rPr>
        <w:t xml:space="preserve"> </w:t>
      </w:r>
      <w:r w:rsidRPr="00D43570">
        <w:rPr>
          <w:rFonts w:cs="Arial"/>
        </w:rPr>
        <w:t>The largest proportion of Medicare UCC patients have been children, with over 1 in 4 (30</w:t>
      </w:r>
      <w:r w:rsidRPr="001E3932">
        <w:t xml:space="preserve"> </w:t>
      </w:r>
      <w:r>
        <w:t>per cent</w:t>
      </w:r>
      <w:r w:rsidRPr="00D43570">
        <w:rPr>
          <w:rFonts w:cs="Arial"/>
        </w:rPr>
        <w:t>) visits from individuals aged under 15 years old.</w:t>
      </w:r>
      <w:r>
        <w:rPr>
          <w:rFonts w:cs="Arial"/>
        </w:rPr>
        <w:t xml:space="preserve"> </w:t>
      </w:r>
    </w:p>
    <w:p w14:paraId="5F925CC5" w14:textId="77777777" w:rsidR="0014151F" w:rsidRDefault="0014151F" w:rsidP="00BB4B8C">
      <w:pPr>
        <w:pStyle w:val="Heading1"/>
        <w:pageBreakBefore/>
        <w:numPr>
          <w:ilvl w:val="0"/>
          <w:numId w:val="13"/>
        </w:numPr>
        <w:ind w:left="714" w:hanging="357"/>
      </w:pPr>
      <w:bookmarkStart w:id="10" w:name="_Toc212110356"/>
      <w:r>
        <w:lastRenderedPageBreak/>
        <w:t>What is the policy problem you are trying to solve and what data is available?</w:t>
      </w:r>
      <w:bookmarkEnd w:id="10"/>
    </w:p>
    <w:p w14:paraId="3B536A65" w14:textId="324F8E8B" w:rsidR="0033467E" w:rsidRDefault="00CC646D" w:rsidP="00CC646D">
      <w:pPr>
        <w:tabs>
          <w:tab w:val="num" w:pos="720"/>
        </w:tabs>
        <w:rPr>
          <w:rFonts w:eastAsia="Arial"/>
        </w:rPr>
      </w:pPr>
      <w:r w:rsidRPr="009A0292">
        <w:rPr>
          <w:rFonts w:eastAsia="Arial"/>
        </w:rPr>
        <w:t xml:space="preserve">There is increasing pressure on </w:t>
      </w:r>
      <w:r>
        <w:rPr>
          <w:rFonts w:eastAsia="Arial"/>
        </w:rPr>
        <w:t>public hospital</w:t>
      </w:r>
      <w:r w:rsidRPr="009A0292">
        <w:rPr>
          <w:rFonts w:eastAsia="Arial"/>
        </w:rPr>
        <w:t xml:space="preserve"> </w:t>
      </w:r>
      <w:r>
        <w:rPr>
          <w:rFonts w:eastAsia="Arial"/>
        </w:rPr>
        <w:t>EDs</w:t>
      </w:r>
      <w:r w:rsidR="00E72F80">
        <w:rPr>
          <w:rFonts w:eastAsia="Arial"/>
        </w:rPr>
        <w:t xml:space="preserve">. </w:t>
      </w:r>
      <w:r w:rsidR="00E72F80" w:rsidRPr="00E72F80">
        <w:rPr>
          <w:rFonts w:eastAsia="Arial"/>
        </w:rPr>
        <w:t xml:space="preserve">In 2023–24, </w:t>
      </w:r>
      <w:r w:rsidR="00805678">
        <w:rPr>
          <w:rFonts w:eastAsia="Arial"/>
        </w:rPr>
        <w:t xml:space="preserve">public hospital </w:t>
      </w:r>
      <w:r w:rsidR="000B6C22">
        <w:rPr>
          <w:rFonts w:eastAsia="Arial"/>
        </w:rPr>
        <w:t>E</w:t>
      </w:r>
      <w:r w:rsidR="00866419">
        <w:rPr>
          <w:rFonts w:eastAsia="Arial"/>
        </w:rPr>
        <w:t>D</w:t>
      </w:r>
      <w:r w:rsidR="000B6C22">
        <w:rPr>
          <w:rFonts w:eastAsia="Arial"/>
        </w:rPr>
        <w:t xml:space="preserve">s across Australia recorded </w:t>
      </w:r>
      <w:r w:rsidR="00E72F80" w:rsidRPr="00E72F80">
        <w:rPr>
          <w:rFonts w:eastAsia="Arial"/>
        </w:rPr>
        <w:t>9 million presentations</w:t>
      </w:r>
      <w:r w:rsidR="000B6C22">
        <w:rPr>
          <w:rFonts w:eastAsia="Arial"/>
        </w:rPr>
        <w:t xml:space="preserve">, equating </w:t>
      </w:r>
      <w:r w:rsidR="00866419">
        <w:rPr>
          <w:rFonts w:eastAsia="Arial"/>
        </w:rPr>
        <w:t xml:space="preserve">to </w:t>
      </w:r>
      <w:r w:rsidR="00E72F80" w:rsidRPr="00E72F80">
        <w:rPr>
          <w:rFonts w:eastAsia="Arial"/>
        </w:rPr>
        <w:t>a rate of 333 presentations per 1,000 p</w:t>
      </w:r>
      <w:r w:rsidR="00866419">
        <w:rPr>
          <w:rFonts w:eastAsia="Arial"/>
        </w:rPr>
        <w:t>eople</w:t>
      </w:r>
      <w:r w:rsidR="00E72F80" w:rsidRPr="00E72F80">
        <w:rPr>
          <w:rFonts w:eastAsia="Arial"/>
        </w:rPr>
        <w:t>.</w:t>
      </w:r>
      <w:r w:rsidR="00D4624C">
        <w:rPr>
          <w:rStyle w:val="FootnoteReference"/>
          <w:rFonts w:eastAsia="Arial"/>
        </w:rPr>
        <w:footnoteReference w:id="2"/>
      </w:r>
    </w:p>
    <w:p w14:paraId="3FB85929" w14:textId="0A08B21F" w:rsidR="00CC646D" w:rsidRDefault="00836EAD" w:rsidP="00CC646D">
      <w:pPr>
        <w:tabs>
          <w:tab w:val="num" w:pos="720"/>
        </w:tabs>
        <w:rPr>
          <w:rFonts w:eastAsia="Arial"/>
        </w:rPr>
      </w:pPr>
      <w:r w:rsidRPr="00836EAD">
        <w:rPr>
          <w:rFonts w:eastAsia="Arial"/>
        </w:rPr>
        <w:t xml:space="preserve">Presentation rates per 1,000 population have </w:t>
      </w:r>
      <w:r w:rsidR="00132B19">
        <w:rPr>
          <w:rFonts w:eastAsia="Arial"/>
        </w:rPr>
        <w:t>seen a slight increase</w:t>
      </w:r>
      <w:r w:rsidRPr="00836EAD">
        <w:rPr>
          <w:rFonts w:eastAsia="Arial"/>
        </w:rPr>
        <w:t xml:space="preserve"> in this period from 329 presentations per 1,000 people in 2018-19 to 333 presentations in 2023-24.</w:t>
      </w:r>
      <w:r w:rsidR="00B65D9F">
        <w:rPr>
          <w:rFonts w:eastAsia="Arial"/>
        </w:rPr>
        <w:t xml:space="preserve"> </w:t>
      </w:r>
      <w:r w:rsidR="00CC646D">
        <w:rPr>
          <w:rFonts w:eastAsia="Arial"/>
        </w:rPr>
        <w:t xml:space="preserve">This </w:t>
      </w:r>
      <w:r w:rsidR="00132B19">
        <w:rPr>
          <w:rFonts w:eastAsia="Arial"/>
        </w:rPr>
        <w:t>continued rate of ED</w:t>
      </w:r>
      <w:r w:rsidR="00CC646D">
        <w:rPr>
          <w:rFonts w:eastAsia="Arial"/>
        </w:rPr>
        <w:t xml:space="preserve"> presentations has had an associated increase in workforce and resourcing pressures for EDs and emergency services. </w:t>
      </w:r>
    </w:p>
    <w:p w14:paraId="7F36BA9E" w14:textId="25BB85E4" w:rsidR="00F80199" w:rsidRDefault="007B4D70" w:rsidP="00CC646D">
      <w:pPr>
        <w:tabs>
          <w:tab w:val="num" w:pos="720"/>
        </w:tabs>
        <w:rPr>
          <w:rFonts w:eastAsia="Arial"/>
          <w:lang w:val="en-US"/>
        </w:rPr>
      </w:pPr>
      <w:r>
        <w:rPr>
          <w:rFonts w:eastAsia="Arial"/>
          <w:lang w:val="en-US"/>
        </w:rPr>
        <w:t xml:space="preserve">The </w:t>
      </w:r>
      <w:r w:rsidR="00333215">
        <w:rPr>
          <w:rFonts w:eastAsia="Arial"/>
          <w:lang w:val="en-US"/>
        </w:rPr>
        <w:t>rise</w:t>
      </w:r>
      <w:r>
        <w:rPr>
          <w:rFonts w:eastAsia="Arial"/>
          <w:lang w:val="en-US"/>
        </w:rPr>
        <w:t xml:space="preserve"> in ED presentations </w:t>
      </w:r>
      <w:r w:rsidR="00CC646D">
        <w:rPr>
          <w:rFonts w:eastAsia="Arial"/>
          <w:lang w:val="en-US"/>
        </w:rPr>
        <w:t>ha</w:t>
      </w:r>
      <w:r w:rsidR="00143D4A">
        <w:rPr>
          <w:rFonts w:eastAsia="Arial"/>
          <w:lang w:val="en-US"/>
        </w:rPr>
        <w:t>s</w:t>
      </w:r>
      <w:r w:rsidR="00CC646D">
        <w:rPr>
          <w:rFonts w:eastAsia="Arial"/>
          <w:lang w:val="en-US"/>
        </w:rPr>
        <w:t xml:space="preserve"> </w:t>
      </w:r>
      <w:r w:rsidR="005077C1">
        <w:rPr>
          <w:rFonts w:eastAsia="Arial"/>
          <w:lang w:val="en-US"/>
        </w:rPr>
        <w:t>resulted in</w:t>
      </w:r>
      <w:r w:rsidR="00CC646D">
        <w:rPr>
          <w:rFonts w:eastAsia="Arial"/>
          <w:lang w:val="en-US"/>
        </w:rPr>
        <w:t xml:space="preserve"> </w:t>
      </w:r>
      <w:r w:rsidR="005077C1">
        <w:rPr>
          <w:rFonts w:eastAsia="Arial"/>
          <w:lang w:val="en-US"/>
        </w:rPr>
        <w:t>longer wait</w:t>
      </w:r>
      <w:r w:rsidR="00CC646D">
        <w:rPr>
          <w:rFonts w:eastAsia="Arial"/>
          <w:lang w:val="en-US"/>
        </w:rPr>
        <w:t xml:space="preserve"> times for </w:t>
      </w:r>
      <w:r w:rsidR="005077C1">
        <w:rPr>
          <w:rFonts w:eastAsia="Arial"/>
          <w:lang w:val="en-US"/>
        </w:rPr>
        <w:t>patients</w:t>
      </w:r>
      <w:r w:rsidR="00CC646D">
        <w:rPr>
          <w:rFonts w:eastAsia="Arial"/>
          <w:lang w:val="en-US"/>
        </w:rPr>
        <w:t xml:space="preserve"> in triage categories 4 and 5. </w:t>
      </w:r>
      <w:r w:rsidR="00C977C5">
        <w:rPr>
          <w:rFonts w:eastAsia="Arial"/>
          <w:lang w:val="en-US"/>
        </w:rPr>
        <w:t xml:space="preserve">In 2020-21, </w:t>
      </w:r>
      <w:r w:rsidR="0077464A">
        <w:rPr>
          <w:rFonts w:eastAsia="Arial"/>
          <w:lang w:val="en-US"/>
        </w:rPr>
        <w:t>93</w:t>
      </w:r>
      <w:r w:rsidR="00CC646D">
        <w:rPr>
          <w:rFonts w:eastAsia="Arial"/>
          <w:lang w:val="en-US"/>
        </w:rPr>
        <w:t xml:space="preserve">% of category </w:t>
      </w:r>
      <w:r w:rsidR="001A7504">
        <w:rPr>
          <w:rFonts w:eastAsia="Arial"/>
          <w:lang w:val="en-US"/>
        </w:rPr>
        <w:t>5</w:t>
      </w:r>
      <w:r w:rsidR="00CC646D">
        <w:rPr>
          <w:rFonts w:eastAsia="Arial"/>
          <w:lang w:val="en-US"/>
        </w:rPr>
        <w:t xml:space="preserve"> patients</w:t>
      </w:r>
      <w:r w:rsidR="00031D23">
        <w:rPr>
          <w:rFonts w:eastAsia="Arial"/>
          <w:lang w:val="en-US"/>
        </w:rPr>
        <w:t xml:space="preserve"> </w:t>
      </w:r>
      <w:r w:rsidR="001E5D29">
        <w:rPr>
          <w:rFonts w:eastAsia="Arial"/>
          <w:lang w:val="en-US"/>
        </w:rPr>
        <w:t>were seen within 4 hours</w:t>
      </w:r>
      <w:r w:rsidR="00555F60">
        <w:rPr>
          <w:rFonts w:eastAsia="Arial"/>
          <w:lang w:val="en-US"/>
        </w:rPr>
        <w:t xml:space="preserve">, compared to </w:t>
      </w:r>
      <w:r w:rsidR="00AB5C5C">
        <w:rPr>
          <w:rFonts w:eastAsia="Arial"/>
          <w:lang w:val="en-US"/>
        </w:rPr>
        <w:t xml:space="preserve">85% </w:t>
      </w:r>
      <w:r w:rsidR="00156242">
        <w:rPr>
          <w:rFonts w:eastAsia="Arial"/>
          <w:lang w:val="en-US"/>
        </w:rPr>
        <w:t xml:space="preserve">in </w:t>
      </w:r>
      <w:r w:rsidR="00114FA0">
        <w:rPr>
          <w:rFonts w:eastAsia="Arial"/>
          <w:lang w:val="en-US"/>
        </w:rPr>
        <w:t>2023-24</w:t>
      </w:r>
      <w:r w:rsidR="00CE4AC4">
        <w:rPr>
          <w:rFonts w:eastAsia="Arial"/>
          <w:lang w:val="en-US"/>
        </w:rPr>
        <w:t xml:space="preserve"> – well above recommended response times</w:t>
      </w:r>
      <w:r w:rsidR="00451770">
        <w:rPr>
          <w:rFonts w:eastAsia="Arial"/>
          <w:lang w:val="en-US"/>
        </w:rPr>
        <w:t>.</w:t>
      </w:r>
      <w:r w:rsidR="00CC646D">
        <w:rPr>
          <w:rStyle w:val="FootnoteReference"/>
          <w:rFonts w:eastAsia="Arial"/>
          <w:lang w:val="en-US"/>
        </w:rPr>
        <w:footnoteReference w:id="3"/>
      </w:r>
      <w:r w:rsidR="00CC646D">
        <w:rPr>
          <w:rFonts w:eastAsia="Arial"/>
          <w:lang w:val="en-US"/>
        </w:rPr>
        <w:t xml:space="preserve"> </w:t>
      </w:r>
      <w:r w:rsidR="00B60902">
        <w:rPr>
          <w:rFonts w:eastAsia="Arial"/>
          <w:lang w:val="en-US"/>
        </w:rPr>
        <w:t>Further information on ED triage categories is described below.</w:t>
      </w:r>
    </w:p>
    <w:p w14:paraId="6766BE21" w14:textId="5BA4EF02" w:rsidR="00B60902" w:rsidRDefault="00B60902" w:rsidP="00B60902">
      <w:pPr>
        <w:pStyle w:val="Caption"/>
        <w:keepNext/>
      </w:pPr>
      <w:r>
        <w:t xml:space="preserve">Table </w:t>
      </w:r>
      <w:r>
        <w:fldChar w:fldCharType="begin"/>
      </w:r>
      <w:r>
        <w:instrText xml:space="preserve"> SEQ Table \* ARABIC </w:instrText>
      </w:r>
      <w:r>
        <w:fldChar w:fldCharType="separate"/>
      </w:r>
      <w:r w:rsidR="00513987">
        <w:rPr>
          <w:noProof/>
        </w:rPr>
        <w:t>1</w:t>
      </w:r>
      <w:r>
        <w:fldChar w:fldCharType="end"/>
      </w:r>
      <w:r>
        <w:t>: Description of Triage Categories</w:t>
      </w:r>
    </w:p>
    <w:tbl>
      <w:tblPr>
        <w:tblStyle w:val="TableGrid"/>
        <w:tblW w:w="0" w:type="auto"/>
        <w:tblLook w:val="04A0" w:firstRow="1" w:lastRow="0" w:firstColumn="1" w:lastColumn="0" w:noHBand="0" w:noVBand="1"/>
      </w:tblPr>
      <w:tblGrid>
        <w:gridCol w:w="1838"/>
        <w:gridCol w:w="7790"/>
      </w:tblGrid>
      <w:tr w:rsidR="00F80199" w14:paraId="03749107" w14:textId="77777777" w:rsidTr="00B60902">
        <w:tc>
          <w:tcPr>
            <w:tcW w:w="1838" w:type="dxa"/>
          </w:tcPr>
          <w:p w14:paraId="03188661" w14:textId="34502358" w:rsidR="00F80199" w:rsidRPr="00552BD9" w:rsidRDefault="00F80199" w:rsidP="00CC646D">
            <w:pPr>
              <w:tabs>
                <w:tab w:val="num" w:pos="720"/>
              </w:tabs>
              <w:rPr>
                <w:rFonts w:eastAsia="Arial"/>
                <w:b/>
                <w:bCs/>
                <w:lang w:val="en-US"/>
              </w:rPr>
            </w:pPr>
            <w:r w:rsidRPr="00552BD9">
              <w:rPr>
                <w:rFonts w:eastAsia="Arial"/>
                <w:b/>
                <w:bCs/>
                <w:lang w:val="en-US"/>
              </w:rPr>
              <w:t>Triage category</w:t>
            </w:r>
          </w:p>
        </w:tc>
        <w:tc>
          <w:tcPr>
            <w:tcW w:w="7790" w:type="dxa"/>
          </w:tcPr>
          <w:p w14:paraId="5EE7F37B" w14:textId="70FC34A5" w:rsidR="00F80199" w:rsidRPr="00552BD9" w:rsidRDefault="00F80199" w:rsidP="00CC646D">
            <w:pPr>
              <w:tabs>
                <w:tab w:val="num" w:pos="720"/>
              </w:tabs>
              <w:rPr>
                <w:rFonts w:eastAsia="Arial"/>
                <w:b/>
                <w:bCs/>
                <w:lang w:val="en-US"/>
              </w:rPr>
            </w:pPr>
            <w:r w:rsidRPr="00552BD9">
              <w:rPr>
                <w:rFonts w:eastAsia="Arial"/>
                <w:b/>
                <w:bCs/>
                <w:lang w:val="en-US"/>
              </w:rPr>
              <w:t>Description</w:t>
            </w:r>
          </w:p>
        </w:tc>
      </w:tr>
      <w:tr w:rsidR="00F80199" w14:paraId="0B6DF9B6" w14:textId="77777777" w:rsidTr="00552BD9">
        <w:trPr>
          <w:trHeight w:val="787"/>
        </w:trPr>
        <w:tc>
          <w:tcPr>
            <w:tcW w:w="1838" w:type="dxa"/>
          </w:tcPr>
          <w:p w14:paraId="29EC6DC5" w14:textId="69F726FD" w:rsidR="00F80199" w:rsidRDefault="00F80199" w:rsidP="00CC646D">
            <w:pPr>
              <w:tabs>
                <w:tab w:val="num" w:pos="720"/>
              </w:tabs>
              <w:rPr>
                <w:rFonts w:eastAsia="Arial"/>
                <w:lang w:val="en-US"/>
              </w:rPr>
            </w:pPr>
            <w:r>
              <w:rPr>
                <w:rFonts w:eastAsia="Arial"/>
                <w:lang w:val="en-US"/>
              </w:rPr>
              <w:t>4 – Semi-urgent</w:t>
            </w:r>
          </w:p>
        </w:tc>
        <w:tc>
          <w:tcPr>
            <w:tcW w:w="7790" w:type="dxa"/>
          </w:tcPr>
          <w:p w14:paraId="6E3BE931" w14:textId="4BA233A5" w:rsidR="00F80199" w:rsidRDefault="00364B38" w:rsidP="00CC646D">
            <w:pPr>
              <w:tabs>
                <w:tab w:val="num" w:pos="720"/>
              </w:tabs>
              <w:rPr>
                <w:rFonts w:eastAsia="Arial"/>
                <w:lang w:val="en-US"/>
              </w:rPr>
            </w:pPr>
            <w:r>
              <w:rPr>
                <w:rFonts w:eastAsia="Arial"/>
                <w:lang w:val="en-US"/>
              </w:rPr>
              <w:t>C</w:t>
            </w:r>
            <w:r w:rsidRPr="00364B38">
              <w:rPr>
                <w:rFonts w:eastAsia="Arial"/>
                <w:lang w:val="en-US"/>
              </w:rPr>
              <w:t>onditions including broken arms or legs. Patients in this category should be seen within 60 minutes of presenting to the emergency department.</w:t>
            </w:r>
          </w:p>
        </w:tc>
      </w:tr>
      <w:tr w:rsidR="00F80199" w14:paraId="6DF79596" w14:textId="77777777" w:rsidTr="00552BD9">
        <w:trPr>
          <w:trHeight w:val="1110"/>
        </w:trPr>
        <w:tc>
          <w:tcPr>
            <w:tcW w:w="1838" w:type="dxa"/>
          </w:tcPr>
          <w:p w14:paraId="151166CE" w14:textId="4A1D0B77" w:rsidR="00F80199" w:rsidRDefault="00F80199" w:rsidP="00CC646D">
            <w:pPr>
              <w:tabs>
                <w:tab w:val="num" w:pos="720"/>
              </w:tabs>
              <w:rPr>
                <w:rFonts w:eastAsia="Arial"/>
                <w:lang w:val="en-US"/>
              </w:rPr>
            </w:pPr>
            <w:r>
              <w:rPr>
                <w:rFonts w:eastAsia="Arial"/>
                <w:lang w:val="en-US"/>
              </w:rPr>
              <w:t>5 -Non-urgent</w:t>
            </w:r>
          </w:p>
        </w:tc>
        <w:tc>
          <w:tcPr>
            <w:tcW w:w="7790" w:type="dxa"/>
          </w:tcPr>
          <w:p w14:paraId="57A19C57" w14:textId="19146BFD" w:rsidR="00F80199" w:rsidRDefault="008B3320" w:rsidP="00CC646D">
            <w:pPr>
              <w:tabs>
                <w:tab w:val="num" w:pos="720"/>
              </w:tabs>
              <w:rPr>
                <w:rFonts w:eastAsia="Arial"/>
                <w:lang w:val="en-US"/>
              </w:rPr>
            </w:pPr>
            <w:r>
              <w:rPr>
                <w:rFonts w:eastAsia="Arial"/>
                <w:lang w:val="en-US"/>
              </w:rPr>
              <w:t>F</w:t>
            </w:r>
            <w:r w:rsidRPr="008B3320">
              <w:rPr>
                <w:rFonts w:eastAsia="Arial"/>
                <w:lang w:val="en-US"/>
              </w:rPr>
              <w:t>or problems or illnesses such as cough or cold. Patients in this category should be seen within 120 minutes of presenting to the emergency department.</w:t>
            </w:r>
          </w:p>
        </w:tc>
      </w:tr>
    </w:tbl>
    <w:p w14:paraId="4AF97617" w14:textId="1D0B8805" w:rsidR="00F80199" w:rsidRPr="00B60902" w:rsidRDefault="00B60902" w:rsidP="00CC646D">
      <w:pPr>
        <w:tabs>
          <w:tab w:val="num" w:pos="720"/>
        </w:tabs>
        <w:rPr>
          <w:rFonts w:eastAsia="Arial"/>
          <w:i/>
          <w:iCs/>
          <w:sz w:val="14"/>
          <w:szCs w:val="14"/>
          <w:lang w:val="en-US"/>
        </w:rPr>
      </w:pPr>
      <w:r w:rsidRPr="00B60902">
        <w:rPr>
          <w:rFonts w:eastAsia="Arial"/>
          <w:i/>
          <w:iCs/>
          <w:sz w:val="14"/>
          <w:szCs w:val="14"/>
          <w:lang w:val="en-US"/>
        </w:rPr>
        <w:t>Source</w:t>
      </w:r>
      <w:r w:rsidR="005426C8">
        <w:rPr>
          <w:rFonts w:eastAsia="Arial"/>
          <w:i/>
          <w:iCs/>
          <w:sz w:val="14"/>
          <w:szCs w:val="14"/>
          <w:lang w:val="en-US"/>
        </w:rPr>
        <w:t>:</w:t>
      </w:r>
      <w:r w:rsidRPr="00B60902">
        <w:rPr>
          <w:rFonts w:eastAsia="Arial"/>
          <w:i/>
          <w:iCs/>
          <w:sz w:val="14"/>
          <w:szCs w:val="14"/>
          <w:lang w:val="en-US"/>
        </w:rPr>
        <w:t xml:space="preserve"> </w:t>
      </w:r>
      <w:r w:rsidR="00DE1C38" w:rsidRPr="00DE1C38">
        <w:rPr>
          <w:rFonts w:eastAsia="Arial"/>
          <w:i/>
          <w:iCs/>
          <w:sz w:val="14"/>
          <w:szCs w:val="14"/>
          <w:lang w:val="en-US"/>
        </w:rPr>
        <w:t>Use of emergency departments for lower urgency care 2020–21 and 2021–22</w:t>
      </w:r>
      <w:r w:rsidR="00DE1C38">
        <w:rPr>
          <w:rFonts w:eastAsia="Arial"/>
          <w:i/>
          <w:iCs/>
          <w:sz w:val="14"/>
          <w:szCs w:val="14"/>
          <w:lang w:val="en-US"/>
        </w:rPr>
        <w:t xml:space="preserve">. (2024). </w:t>
      </w:r>
      <w:r w:rsidR="00B221F9">
        <w:rPr>
          <w:rFonts w:eastAsia="Arial"/>
          <w:i/>
          <w:iCs/>
          <w:sz w:val="14"/>
          <w:szCs w:val="14"/>
          <w:lang w:val="en-US"/>
        </w:rPr>
        <w:t xml:space="preserve">Australian </w:t>
      </w:r>
      <w:r w:rsidR="00F05C3A">
        <w:rPr>
          <w:rFonts w:eastAsia="Arial"/>
          <w:i/>
          <w:iCs/>
          <w:sz w:val="14"/>
          <w:szCs w:val="14"/>
          <w:lang w:val="en-US"/>
        </w:rPr>
        <w:t>Institute</w:t>
      </w:r>
      <w:r w:rsidR="00B221F9">
        <w:rPr>
          <w:rFonts w:eastAsia="Arial"/>
          <w:i/>
          <w:iCs/>
          <w:sz w:val="14"/>
          <w:szCs w:val="14"/>
          <w:lang w:val="en-US"/>
        </w:rPr>
        <w:t xml:space="preserve"> of Health and Welfare. </w:t>
      </w:r>
      <w:r w:rsidR="00F05C3A">
        <w:rPr>
          <w:rFonts w:eastAsia="Arial"/>
          <w:i/>
          <w:iCs/>
          <w:sz w:val="14"/>
          <w:szCs w:val="14"/>
          <w:lang w:val="en-US"/>
        </w:rPr>
        <w:t xml:space="preserve">Retrieved October 10, 2025. From: </w:t>
      </w:r>
      <w:r w:rsidR="00C43AD1" w:rsidRPr="00C43AD1">
        <w:rPr>
          <w:rFonts w:eastAsia="Arial"/>
          <w:i/>
          <w:iCs/>
          <w:sz w:val="14"/>
          <w:szCs w:val="14"/>
          <w:lang w:val="en-US"/>
        </w:rPr>
        <w:t>www.aihw.gov.au/reports/primary-health-care/use-eds-lower-urgency-care-2020-21-and-2021-22/contents/glossary</w:t>
      </w:r>
    </w:p>
    <w:p w14:paraId="1E415263" w14:textId="033CB77E" w:rsidR="00CC646D" w:rsidRDefault="00CC646D" w:rsidP="00CC646D">
      <w:pPr>
        <w:tabs>
          <w:tab w:val="num" w:pos="720"/>
        </w:tabs>
        <w:rPr>
          <w:rFonts w:eastAsia="Arial"/>
          <w:lang w:val="en-US"/>
        </w:rPr>
      </w:pPr>
      <w:r>
        <w:rPr>
          <w:rFonts w:eastAsia="Arial"/>
          <w:lang w:val="en-US"/>
        </w:rPr>
        <w:t>The triage categories</w:t>
      </w:r>
      <w:r w:rsidR="00B60902">
        <w:rPr>
          <w:rFonts w:eastAsia="Arial"/>
          <w:lang w:val="en-US"/>
        </w:rPr>
        <w:t xml:space="preserve"> described above</w:t>
      </w:r>
      <w:r>
        <w:rPr>
          <w:rFonts w:eastAsia="Arial"/>
          <w:lang w:val="en-US"/>
        </w:rPr>
        <w:t xml:space="preserve"> are </w:t>
      </w:r>
      <w:r w:rsidR="0050753E">
        <w:rPr>
          <w:rFonts w:eastAsia="Arial"/>
          <w:lang w:val="en-US"/>
        </w:rPr>
        <w:t>generally suitable for management</w:t>
      </w:r>
      <w:r>
        <w:rPr>
          <w:rFonts w:eastAsia="Arial"/>
          <w:lang w:val="en-US"/>
        </w:rPr>
        <w:t xml:space="preserve"> </w:t>
      </w:r>
      <w:r w:rsidR="00E1703F">
        <w:rPr>
          <w:rFonts w:eastAsia="Arial"/>
          <w:lang w:val="en-US"/>
        </w:rPr>
        <w:t>with</w:t>
      </w:r>
      <w:r>
        <w:rPr>
          <w:rFonts w:eastAsia="Arial"/>
          <w:lang w:val="en-US"/>
        </w:rPr>
        <w:t xml:space="preserve">in the primary care sector and </w:t>
      </w:r>
      <w:r w:rsidR="00E1703F">
        <w:rPr>
          <w:rFonts w:eastAsia="Arial"/>
          <w:lang w:val="en-US"/>
        </w:rPr>
        <w:t>contribute to the avoidable strain and cost</w:t>
      </w:r>
      <w:r>
        <w:rPr>
          <w:rFonts w:eastAsia="Arial"/>
          <w:lang w:val="en-US"/>
        </w:rPr>
        <w:t xml:space="preserve"> on the</w:t>
      </w:r>
      <w:r w:rsidR="00251DD3">
        <w:rPr>
          <w:rFonts w:eastAsia="Arial"/>
          <w:lang w:val="en-US"/>
        </w:rPr>
        <w:t xml:space="preserve"> broader</w:t>
      </w:r>
      <w:r>
        <w:rPr>
          <w:rFonts w:eastAsia="Arial"/>
          <w:lang w:val="en-US"/>
        </w:rPr>
        <w:t xml:space="preserve"> health system. Note</w:t>
      </w:r>
      <w:r w:rsidR="00774D37">
        <w:rPr>
          <w:rFonts w:eastAsia="Arial"/>
          <w:lang w:val="en-US"/>
        </w:rPr>
        <w:t>,</w:t>
      </w:r>
      <w:r>
        <w:rPr>
          <w:rFonts w:eastAsia="Arial"/>
          <w:lang w:val="en-US"/>
        </w:rPr>
        <w:t xml:space="preserve"> this data does not include patients who did not wait to receive </w:t>
      </w:r>
      <w:r w:rsidR="00482F2A">
        <w:rPr>
          <w:rFonts w:eastAsia="Arial"/>
          <w:lang w:val="en-US"/>
        </w:rPr>
        <w:t>care or</w:t>
      </w:r>
      <w:r>
        <w:rPr>
          <w:rFonts w:eastAsia="Arial"/>
          <w:lang w:val="en-US"/>
        </w:rPr>
        <w:t xml:space="preserve"> left at their own risk. </w:t>
      </w:r>
    </w:p>
    <w:p w14:paraId="73A00E59" w14:textId="7D69659B" w:rsidR="00CC646D" w:rsidRPr="002464EA" w:rsidRDefault="00876C05" w:rsidP="00CC646D">
      <w:pPr>
        <w:pStyle w:val="Heading2"/>
      </w:pPr>
      <w:bookmarkStart w:id="11" w:name="_Toc114582189"/>
      <w:bookmarkStart w:id="12" w:name="_Toc212110357"/>
      <w:r>
        <w:lastRenderedPageBreak/>
        <w:t xml:space="preserve">1.1 </w:t>
      </w:r>
      <w:r w:rsidR="00CC646D" w:rsidRPr="002464EA">
        <w:t>Underlying causes of the problem</w:t>
      </w:r>
      <w:bookmarkEnd w:id="11"/>
      <w:bookmarkEnd w:id="12"/>
    </w:p>
    <w:p w14:paraId="5E535442" w14:textId="77777777" w:rsidR="00CC646D" w:rsidRPr="002464EA" w:rsidRDefault="00CC646D" w:rsidP="00CC646D">
      <w:pPr>
        <w:pStyle w:val="Heading3"/>
      </w:pPr>
      <w:bookmarkStart w:id="13" w:name="_Toc114582190"/>
      <w:bookmarkStart w:id="14" w:name="_Toc212110358"/>
      <w:r w:rsidRPr="002464EA">
        <w:t>Affordable access to healthcare</w:t>
      </w:r>
      <w:bookmarkEnd w:id="13"/>
      <w:bookmarkEnd w:id="14"/>
      <w:r w:rsidRPr="002464EA">
        <w:t xml:space="preserve"> </w:t>
      </w:r>
    </w:p>
    <w:p w14:paraId="6AFD7833" w14:textId="0EB60DF7" w:rsidR="005B2306" w:rsidRDefault="00CC646D" w:rsidP="00CF0917">
      <w:pPr>
        <w:tabs>
          <w:tab w:val="num" w:pos="720"/>
        </w:tabs>
        <w:rPr>
          <w:rFonts w:eastAsia="Arial"/>
        </w:rPr>
      </w:pPr>
      <w:r>
        <w:rPr>
          <w:rFonts w:eastAsia="Arial"/>
        </w:rPr>
        <w:t xml:space="preserve">Australians are finding it </w:t>
      </w:r>
      <w:r w:rsidRPr="009A0292">
        <w:rPr>
          <w:rFonts w:eastAsia="Arial"/>
        </w:rPr>
        <w:t>harder in many locations to access face to face urgent care from their usual GP or any GP.</w:t>
      </w:r>
      <w:r w:rsidR="00B31A58">
        <w:rPr>
          <w:rStyle w:val="FootnoteReference"/>
          <w:rFonts w:eastAsia="Arial"/>
        </w:rPr>
        <w:footnoteReference w:id="4"/>
      </w:r>
      <w:r w:rsidRPr="009A0292">
        <w:rPr>
          <w:rFonts w:eastAsia="Arial"/>
        </w:rPr>
        <w:t xml:space="preserve"> </w:t>
      </w:r>
      <w:r w:rsidR="00BF36CC">
        <w:rPr>
          <w:rFonts w:eastAsia="Arial"/>
        </w:rPr>
        <w:t xml:space="preserve">Over the past five years there has been a </w:t>
      </w:r>
      <w:r>
        <w:rPr>
          <w:rFonts w:eastAsia="Arial"/>
        </w:rPr>
        <w:t>decline</w:t>
      </w:r>
      <w:r w:rsidRPr="009A0292">
        <w:rPr>
          <w:rFonts w:eastAsia="Arial"/>
        </w:rPr>
        <w:t xml:space="preserve"> in</w:t>
      </w:r>
      <w:r>
        <w:rPr>
          <w:rFonts w:eastAsia="Arial"/>
        </w:rPr>
        <w:t xml:space="preserve"> bulk-billing</w:t>
      </w:r>
      <w:r w:rsidRPr="009A0292">
        <w:rPr>
          <w:rFonts w:eastAsia="Arial"/>
        </w:rPr>
        <w:t xml:space="preserve"> practices </w:t>
      </w:r>
      <w:r>
        <w:rPr>
          <w:rFonts w:eastAsia="Arial"/>
        </w:rPr>
        <w:t>(where the patient is not charged a co-payment)</w:t>
      </w:r>
      <w:r w:rsidRPr="009A0292">
        <w:rPr>
          <w:rFonts w:eastAsia="Arial"/>
        </w:rPr>
        <w:t xml:space="preserve"> </w:t>
      </w:r>
      <w:r w:rsidR="00813D98">
        <w:rPr>
          <w:rFonts w:eastAsia="Arial"/>
        </w:rPr>
        <w:t xml:space="preserve">which has resulted in </w:t>
      </w:r>
      <w:r w:rsidR="00482F2A">
        <w:rPr>
          <w:rFonts w:eastAsia="Arial"/>
        </w:rPr>
        <w:t>out-of-pocket</w:t>
      </w:r>
      <w:r w:rsidR="00813D98">
        <w:rPr>
          <w:rFonts w:eastAsia="Arial"/>
        </w:rPr>
        <w:t xml:space="preserve"> costs for</w:t>
      </w:r>
      <w:r w:rsidRPr="009A0292">
        <w:rPr>
          <w:rFonts w:eastAsia="Arial"/>
        </w:rPr>
        <w:t xml:space="preserve"> </w:t>
      </w:r>
      <w:r w:rsidR="00BF36CC">
        <w:rPr>
          <w:rFonts w:eastAsia="Arial"/>
        </w:rPr>
        <w:t>some</w:t>
      </w:r>
      <w:r>
        <w:rPr>
          <w:rFonts w:eastAsia="Arial"/>
        </w:rPr>
        <w:t xml:space="preserve"> Australians. The Royal Australian College of General Practitioners’ (RACGP) </w:t>
      </w:r>
      <w:r w:rsidRPr="007D0007">
        <w:rPr>
          <w:rFonts w:eastAsia="Arial"/>
          <w:i/>
        </w:rPr>
        <w:t>‘</w:t>
      </w:r>
      <w:r>
        <w:rPr>
          <w:rFonts w:eastAsia="Arial"/>
          <w:i/>
        </w:rPr>
        <w:t xml:space="preserve">General Practice: </w:t>
      </w:r>
      <w:r w:rsidRPr="007D0007">
        <w:rPr>
          <w:rFonts w:eastAsia="Arial"/>
          <w:i/>
        </w:rPr>
        <w:t>Health of the Nation Report’</w:t>
      </w:r>
      <w:r>
        <w:rPr>
          <w:rFonts w:eastAsia="Arial"/>
        </w:rPr>
        <w:t xml:space="preserve"> indicates that the median percentage of patients who had all of their GP services bulk billed in 2018-19 was 64%</w:t>
      </w:r>
      <w:r w:rsidR="007759BA">
        <w:rPr>
          <w:rFonts w:eastAsia="Arial"/>
        </w:rPr>
        <w:t>.</w:t>
      </w:r>
      <w:r>
        <w:rPr>
          <w:rStyle w:val="FootnoteReference"/>
          <w:rFonts w:eastAsia="Arial"/>
        </w:rPr>
        <w:footnoteReference w:id="5"/>
      </w:r>
      <w:r>
        <w:rPr>
          <w:rFonts w:eastAsia="Arial"/>
        </w:rPr>
        <w:t xml:space="preserve"> </w:t>
      </w:r>
      <w:r w:rsidR="009F6DCE">
        <w:rPr>
          <w:rFonts w:eastAsia="Arial"/>
        </w:rPr>
        <w:t>The</w:t>
      </w:r>
      <w:r w:rsidR="001A3D77">
        <w:rPr>
          <w:rFonts w:eastAsia="Arial"/>
        </w:rPr>
        <w:t xml:space="preserve"> bulk</w:t>
      </w:r>
      <w:r w:rsidR="00B4463A">
        <w:rPr>
          <w:rFonts w:eastAsia="Arial"/>
        </w:rPr>
        <w:t xml:space="preserve"> billing rate</w:t>
      </w:r>
      <w:r w:rsidR="009F6DCE">
        <w:rPr>
          <w:rFonts w:eastAsia="Arial"/>
        </w:rPr>
        <w:t xml:space="preserve"> peaked</w:t>
      </w:r>
      <w:r w:rsidR="00EF5A17">
        <w:rPr>
          <w:rFonts w:eastAsia="Arial"/>
        </w:rPr>
        <w:t xml:space="preserve"> in 2020</w:t>
      </w:r>
      <w:r w:rsidR="00143143">
        <w:rPr>
          <w:rFonts w:eastAsia="Arial"/>
        </w:rPr>
        <w:t xml:space="preserve"> at the start of the COVID-19 pandemic</w:t>
      </w:r>
      <w:r w:rsidR="00F37314">
        <w:rPr>
          <w:rFonts w:eastAsia="Arial"/>
        </w:rPr>
        <w:t xml:space="preserve"> due to the impacts of mandated requirements to bulk bill certain services</w:t>
      </w:r>
      <w:r w:rsidR="009F6DCE">
        <w:rPr>
          <w:rFonts w:eastAsia="Arial"/>
        </w:rPr>
        <w:t xml:space="preserve"> </w:t>
      </w:r>
      <w:r w:rsidR="00EF5A17">
        <w:rPr>
          <w:rFonts w:eastAsia="Arial"/>
        </w:rPr>
        <w:t xml:space="preserve">for all age groups: </w:t>
      </w:r>
      <w:r w:rsidR="00747135">
        <w:rPr>
          <w:rFonts w:eastAsia="Arial"/>
        </w:rPr>
        <w:t>94%</w:t>
      </w:r>
      <w:r w:rsidR="00F3647A">
        <w:rPr>
          <w:rFonts w:eastAsia="Arial"/>
        </w:rPr>
        <w:t xml:space="preserve"> for the 0-15 age group, 87% for the 16-64 group and </w:t>
      </w:r>
      <w:r w:rsidR="00531029">
        <w:rPr>
          <w:rFonts w:eastAsia="Arial"/>
        </w:rPr>
        <w:t>93% for the 65+age group</w:t>
      </w:r>
      <w:r w:rsidR="00507749">
        <w:rPr>
          <w:rFonts w:eastAsia="Arial"/>
        </w:rPr>
        <w:t>.</w:t>
      </w:r>
      <w:r w:rsidR="009F6DCE">
        <w:rPr>
          <w:rStyle w:val="FootnoteReference"/>
          <w:rFonts w:eastAsia="Arial"/>
        </w:rPr>
        <w:footnoteReference w:id="6"/>
      </w:r>
      <w:r w:rsidR="00507749">
        <w:rPr>
          <w:rFonts w:eastAsia="Arial"/>
        </w:rPr>
        <w:t xml:space="preserve"> </w:t>
      </w:r>
      <w:r w:rsidR="00495ECD">
        <w:rPr>
          <w:rFonts w:eastAsia="Arial"/>
        </w:rPr>
        <w:t xml:space="preserve">Since </w:t>
      </w:r>
      <w:r w:rsidR="00C95C2A" w:rsidRPr="00C95C2A">
        <w:rPr>
          <w:rFonts w:eastAsia="Arial"/>
        </w:rPr>
        <w:t>then, it decreased to 77% in 2023 before increasing slightly to 78% in the first 10 months of 2024.</w:t>
      </w:r>
      <w:r w:rsidR="00EB1133">
        <w:rPr>
          <w:rStyle w:val="FootnoteReference"/>
          <w:rFonts w:eastAsia="Arial"/>
        </w:rPr>
        <w:footnoteReference w:id="7"/>
      </w:r>
      <w:r w:rsidR="00C70981">
        <w:rPr>
          <w:rFonts w:eastAsia="Arial"/>
        </w:rPr>
        <w:t xml:space="preserve"> Th</w:t>
      </w:r>
      <w:r w:rsidR="00DF063B">
        <w:rPr>
          <w:rFonts w:eastAsia="Arial"/>
        </w:rPr>
        <w:t>is</w:t>
      </w:r>
      <w:r w:rsidR="00386225">
        <w:rPr>
          <w:rFonts w:eastAsia="Arial"/>
        </w:rPr>
        <w:t xml:space="preserve"> </w:t>
      </w:r>
      <w:r w:rsidR="00BF36CC">
        <w:rPr>
          <w:rFonts w:eastAsia="Arial"/>
        </w:rPr>
        <w:t xml:space="preserve">occurred after the </w:t>
      </w:r>
      <w:r w:rsidR="007F7A17">
        <w:rPr>
          <w:rFonts w:eastAsia="Arial"/>
        </w:rPr>
        <w:t>g</w:t>
      </w:r>
      <w:r w:rsidR="00992B6B" w:rsidRPr="00992B6B">
        <w:rPr>
          <w:rFonts w:eastAsia="Arial"/>
        </w:rPr>
        <w:t>overnment</w:t>
      </w:r>
      <w:r w:rsidR="00386225">
        <w:rPr>
          <w:rFonts w:eastAsia="Arial"/>
        </w:rPr>
        <w:t>’s</w:t>
      </w:r>
      <w:r w:rsidR="00847C25">
        <w:rPr>
          <w:rFonts w:eastAsia="Arial"/>
        </w:rPr>
        <w:t xml:space="preserve"> </w:t>
      </w:r>
      <w:r w:rsidR="00992B6B" w:rsidRPr="00992B6B">
        <w:rPr>
          <w:rFonts w:eastAsia="Arial"/>
        </w:rPr>
        <w:t>invest</w:t>
      </w:r>
      <w:r w:rsidR="00386225">
        <w:rPr>
          <w:rFonts w:eastAsia="Arial"/>
        </w:rPr>
        <w:t>ment of</w:t>
      </w:r>
      <w:r w:rsidR="00992B6B" w:rsidRPr="00992B6B">
        <w:rPr>
          <w:rFonts w:eastAsia="Arial"/>
        </w:rPr>
        <w:t xml:space="preserve"> $3.5 billion</w:t>
      </w:r>
      <w:r w:rsidR="00386225">
        <w:rPr>
          <w:rFonts w:eastAsia="Arial"/>
        </w:rPr>
        <w:t xml:space="preserve"> in 2023-24</w:t>
      </w:r>
      <w:r w:rsidR="00992B6B" w:rsidRPr="00992B6B">
        <w:rPr>
          <w:rFonts w:eastAsia="Arial"/>
        </w:rPr>
        <w:t xml:space="preserve"> to triple the bulk billing incentive</w:t>
      </w:r>
      <w:r w:rsidR="00992B6B">
        <w:rPr>
          <w:rFonts w:eastAsia="Arial"/>
        </w:rPr>
        <w:t>s</w:t>
      </w:r>
      <w:r w:rsidR="00A8391E">
        <w:rPr>
          <w:rFonts w:eastAsia="Arial"/>
        </w:rPr>
        <w:t xml:space="preserve"> </w:t>
      </w:r>
      <w:r w:rsidR="00852D25">
        <w:rPr>
          <w:rFonts w:eastAsia="Arial"/>
        </w:rPr>
        <w:t>for GPs</w:t>
      </w:r>
      <w:r w:rsidR="00992B6B">
        <w:rPr>
          <w:rFonts w:eastAsia="Arial"/>
        </w:rPr>
        <w:t xml:space="preserve"> as part of the Strengthening Medicare reforms</w:t>
      </w:r>
      <w:r w:rsidR="00B61943">
        <w:rPr>
          <w:rFonts w:eastAsia="Arial"/>
        </w:rPr>
        <w:t>.</w:t>
      </w:r>
      <w:r w:rsidR="00D20ED3">
        <w:rPr>
          <w:rStyle w:val="FootnoteReference"/>
          <w:rFonts w:eastAsia="Arial"/>
        </w:rPr>
        <w:footnoteReference w:id="8"/>
      </w:r>
      <w:r w:rsidR="00801514">
        <w:rPr>
          <w:rFonts w:eastAsia="Arial"/>
        </w:rPr>
        <w:t xml:space="preserve"> </w:t>
      </w:r>
    </w:p>
    <w:p w14:paraId="2A11D4D1" w14:textId="52AC2D77" w:rsidR="006E498B" w:rsidRDefault="00B61A59" w:rsidP="00992B6B">
      <w:pPr>
        <w:tabs>
          <w:tab w:val="num" w:pos="720"/>
        </w:tabs>
        <w:rPr>
          <w:rFonts w:eastAsia="Arial"/>
        </w:rPr>
      </w:pPr>
      <w:r>
        <w:t>The average out of pocket costs for GP attendances varies across states and territories.</w:t>
      </w:r>
      <w:r>
        <w:rPr>
          <w:rStyle w:val="FootnoteReference"/>
        </w:rPr>
        <w:footnoteReference w:id="9"/>
      </w:r>
      <w:r>
        <w:t xml:space="preserve"> P</w:t>
      </w:r>
      <w:r w:rsidRPr="00B24B2D">
        <w:t>eople in the Australian Capital Territory (ACT) pa</w:t>
      </w:r>
      <w:r>
        <w:t>id</w:t>
      </w:r>
      <w:r w:rsidRPr="00B24B2D">
        <w:t xml:space="preserve"> the highest annual average out-of-pocket cost of $50 during 2023</w:t>
      </w:r>
      <w:r>
        <w:t xml:space="preserve">, compared to people in </w:t>
      </w:r>
      <w:r w:rsidRPr="00B24B2D">
        <w:t>South Australia pa</w:t>
      </w:r>
      <w:r>
        <w:t xml:space="preserve">ying an average annual </w:t>
      </w:r>
      <w:r w:rsidRPr="00B24B2D">
        <w:t xml:space="preserve">out-of-pocket cost of $36 </w:t>
      </w:r>
      <w:r>
        <w:t>in the same period.</w:t>
      </w:r>
      <w:r>
        <w:rPr>
          <w:rStyle w:val="FootnoteReference"/>
        </w:rPr>
        <w:footnoteReference w:id="10"/>
      </w:r>
      <w:r w:rsidR="006F305E">
        <w:t xml:space="preserve"> </w:t>
      </w:r>
    </w:p>
    <w:p w14:paraId="1291C4BD" w14:textId="7E802B5C" w:rsidR="00CC646D" w:rsidRPr="003B3DCF" w:rsidRDefault="00CC646D" w:rsidP="00CC646D">
      <w:pPr>
        <w:tabs>
          <w:tab w:val="num" w:pos="720"/>
        </w:tabs>
        <w:rPr>
          <w:rFonts w:eastAsia="Arial"/>
        </w:rPr>
      </w:pPr>
      <w:r>
        <w:rPr>
          <w:rFonts w:eastAsia="Arial"/>
        </w:rPr>
        <w:t xml:space="preserve">The impact of co-payments on accessing affordable primary care can be seen in the demographic make-up of those attending EDs. </w:t>
      </w:r>
      <w:r w:rsidR="00005EC9">
        <w:rPr>
          <w:rFonts w:eastAsia="Arial"/>
        </w:rPr>
        <w:t>According to the</w:t>
      </w:r>
      <w:r>
        <w:rPr>
          <w:rFonts w:eastAsia="Arial"/>
          <w:lang w:val="en-US"/>
        </w:rPr>
        <w:t xml:space="preserve"> </w:t>
      </w:r>
      <w:r w:rsidR="004A068D">
        <w:rPr>
          <w:rFonts w:eastAsia="Arial"/>
          <w:lang w:val="en-US"/>
        </w:rPr>
        <w:t>Au</w:t>
      </w:r>
      <w:r w:rsidR="00A15659">
        <w:rPr>
          <w:rFonts w:eastAsia="Arial"/>
          <w:lang w:val="en-US"/>
        </w:rPr>
        <w:t>stralian Institute of Health and Welfare (</w:t>
      </w:r>
      <w:r>
        <w:rPr>
          <w:rFonts w:eastAsia="Arial"/>
          <w:lang w:val="en-US"/>
        </w:rPr>
        <w:t>AIHW</w:t>
      </w:r>
      <w:r w:rsidR="00A15659">
        <w:rPr>
          <w:rFonts w:eastAsia="Arial"/>
          <w:lang w:val="en-US"/>
        </w:rPr>
        <w:t>)</w:t>
      </w:r>
      <w:r w:rsidR="00005EC9">
        <w:rPr>
          <w:rFonts w:eastAsia="Arial"/>
          <w:lang w:val="en-US"/>
        </w:rPr>
        <w:t>,</w:t>
      </w:r>
      <w:r>
        <w:rPr>
          <w:rFonts w:eastAsia="Arial"/>
          <w:lang w:val="en-US"/>
        </w:rPr>
        <w:t xml:space="preserve"> 46% of semi-urgent and 45% of non-urgent </w:t>
      </w:r>
      <w:r w:rsidR="00005EC9">
        <w:rPr>
          <w:rFonts w:eastAsia="Arial"/>
          <w:lang w:val="en-US"/>
        </w:rPr>
        <w:t xml:space="preserve">ED </w:t>
      </w:r>
      <w:r>
        <w:rPr>
          <w:rFonts w:eastAsia="Arial"/>
          <w:lang w:val="en-US"/>
        </w:rPr>
        <w:t xml:space="preserve">presentations </w:t>
      </w:r>
      <w:r w:rsidR="00005EC9">
        <w:rPr>
          <w:rFonts w:eastAsia="Arial"/>
          <w:lang w:val="en-US"/>
        </w:rPr>
        <w:t>were from</w:t>
      </w:r>
      <w:r>
        <w:rPr>
          <w:rFonts w:eastAsia="Arial"/>
          <w:lang w:val="en-US"/>
        </w:rPr>
        <w:t xml:space="preserve"> individuals</w:t>
      </w:r>
      <w:r w:rsidR="00674330">
        <w:rPr>
          <w:rFonts w:eastAsia="Arial"/>
          <w:lang w:val="en-US"/>
        </w:rPr>
        <w:t xml:space="preserve"> residing in areas classified</w:t>
      </w:r>
      <w:r>
        <w:rPr>
          <w:rFonts w:eastAsia="Arial"/>
          <w:lang w:val="en-US"/>
        </w:rPr>
        <w:t xml:space="preserve"> in the two lowest</w:t>
      </w:r>
      <w:r w:rsidR="00674330">
        <w:rPr>
          <w:rFonts w:eastAsia="Arial"/>
          <w:lang w:val="en-US"/>
        </w:rPr>
        <w:t xml:space="preserve"> socioeconomic status</w:t>
      </w:r>
      <w:r>
        <w:rPr>
          <w:rFonts w:eastAsia="Arial"/>
          <w:lang w:val="en-US"/>
        </w:rPr>
        <w:t xml:space="preserve"> categories</w:t>
      </w:r>
      <w:r w:rsidR="00674330">
        <w:rPr>
          <w:rFonts w:eastAsia="Arial"/>
          <w:lang w:val="en-US"/>
        </w:rPr>
        <w:t>.</w:t>
      </w:r>
      <w:r>
        <w:rPr>
          <w:rStyle w:val="FootnoteReference"/>
          <w:rFonts w:eastAsia="Arial"/>
          <w:lang w:val="en-US"/>
        </w:rPr>
        <w:footnoteReference w:id="11"/>
      </w:r>
      <w:r>
        <w:rPr>
          <w:rFonts w:eastAsia="Arial"/>
          <w:lang w:val="en-US"/>
        </w:rPr>
        <w:t xml:space="preserve"> This </w:t>
      </w:r>
      <w:r w:rsidR="00670DA1">
        <w:rPr>
          <w:rFonts w:eastAsia="Arial"/>
          <w:lang w:val="en-US"/>
        </w:rPr>
        <w:t>disproportionate</w:t>
      </w:r>
      <w:r>
        <w:rPr>
          <w:rFonts w:eastAsia="Arial"/>
          <w:lang w:val="en-US"/>
        </w:rPr>
        <w:t xml:space="preserve"> representation of</w:t>
      </w:r>
      <w:r w:rsidR="00880D3D">
        <w:rPr>
          <w:rFonts w:eastAsia="Arial"/>
          <w:lang w:val="en-US"/>
        </w:rPr>
        <w:t xml:space="preserve"> individuals from</w:t>
      </w:r>
      <w:r>
        <w:rPr>
          <w:rFonts w:eastAsia="Arial"/>
          <w:lang w:val="en-US"/>
        </w:rPr>
        <w:t xml:space="preserve"> lower </w:t>
      </w:r>
      <w:r w:rsidR="00880D3D">
        <w:rPr>
          <w:rFonts w:eastAsia="Arial"/>
          <w:lang w:val="en-US"/>
        </w:rPr>
        <w:t>socioeco</w:t>
      </w:r>
      <w:r w:rsidR="009B6168">
        <w:rPr>
          <w:rFonts w:eastAsia="Arial"/>
          <w:lang w:val="en-US"/>
        </w:rPr>
        <w:t>nomic backgrounds highlights how limited access to primary healthcare may lead some patients</w:t>
      </w:r>
      <w:r w:rsidR="000B161C">
        <w:rPr>
          <w:rFonts w:eastAsia="Arial"/>
          <w:lang w:val="en-US"/>
        </w:rPr>
        <w:t xml:space="preserve"> to view the ED as their only viable option for recei</w:t>
      </w:r>
      <w:r w:rsidR="006074B1">
        <w:rPr>
          <w:rFonts w:eastAsia="Arial"/>
          <w:lang w:val="en-US"/>
        </w:rPr>
        <w:t>ving treatment and care</w:t>
      </w:r>
      <w:r w:rsidRPr="009A0292">
        <w:rPr>
          <w:rFonts w:eastAsia="Arial"/>
        </w:rPr>
        <w:t>.</w:t>
      </w:r>
      <w:r w:rsidR="008402B3">
        <w:rPr>
          <w:rFonts w:eastAsia="Arial"/>
        </w:rPr>
        <w:t xml:space="preserve"> In addition, </w:t>
      </w:r>
      <w:r w:rsidR="00B5481D">
        <w:rPr>
          <w:rFonts w:eastAsia="Arial"/>
        </w:rPr>
        <w:t xml:space="preserve">this </w:t>
      </w:r>
      <w:r w:rsidR="008402B3">
        <w:rPr>
          <w:rFonts w:eastAsia="Arial"/>
        </w:rPr>
        <w:t>could also result in patients deferring care, potentially resulting in poorer health outcomes, worsening of initial urgent health concerns</w:t>
      </w:r>
      <w:r w:rsidR="00FF6F62">
        <w:rPr>
          <w:rFonts w:eastAsia="Arial"/>
        </w:rPr>
        <w:t>,</w:t>
      </w:r>
      <w:r w:rsidR="008402B3">
        <w:rPr>
          <w:rFonts w:eastAsia="Arial"/>
        </w:rPr>
        <w:t xml:space="preserve"> or resulting in higher cost treatment options.</w:t>
      </w:r>
      <w:r>
        <w:rPr>
          <w:rFonts w:eastAsia="Arial"/>
        </w:rPr>
        <w:t xml:space="preserve"> First Nations people and Culturally and Linguistically Diverse Communities are also impacted by this limited access to primary care. With </w:t>
      </w:r>
      <w:r>
        <w:rPr>
          <w:rFonts w:eastAsia="Arial"/>
        </w:rPr>
        <w:lastRenderedPageBreak/>
        <w:t>significant needs for culturally safe and appropriate care</w:t>
      </w:r>
      <w:r w:rsidR="0080675C">
        <w:rPr>
          <w:rFonts w:eastAsia="Arial"/>
        </w:rPr>
        <w:t>,</w:t>
      </w:r>
      <w:r>
        <w:rPr>
          <w:rFonts w:eastAsia="Arial"/>
        </w:rPr>
        <w:t xml:space="preserve"> these groups can face greater challenges when navigating the health care system</w:t>
      </w:r>
      <w:r w:rsidR="008276BD">
        <w:rPr>
          <w:rFonts w:eastAsia="Arial"/>
        </w:rPr>
        <w:t>.</w:t>
      </w:r>
      <w:r>
        <w:rPr>
          <w:rStyle w:val="FootnoteReference"/>
          <w:rFonts w:eastAsia="Arial"/>
        </w:rPr>
        <w:footnoteReference w:id="12"/>
      </w:r>
      <w:r w:rsidR="008276BD">
        <w:rPr>
          <w:rFonts w:eastAsia="Arial"/>
        </w:rPr>
        <w:t xml:space="preserve"> </w:t>
      </w:r>
      <w:r>
        <w:rPr>
          <w:rStyle w:val="FootnoteReference"/>
          <w:rFonts w:eastAsia="Arial"/>
        </w:rPr>
        <w:footnoteReference w:id="13"/>
      </w:r>
      <w:r>
        <w:rPr>
          <w:rFonts w:eastAsia="Arial"/>
        </w:rPr>
        <w:t xml:space="preserve">  </w:t>
      </w:r>
    </w:p>
    <w:p w14:paraId="7D354A78" w14:textId="77777777" w:rsidR="00CC646D" w:rsidRPr="005C1884" w:rsidRDefault="00CC646D" w:rsidP="00CC646D">
      <w:pPr>
        <w:pStyle w:val="Heading3"/>
      </w:pPr>
      <w:bookmarkStart w:id="15" w:name="_Toc114582191"/>
      <w:bookmarkStart w:id="16" w:name="_Toc212110359"/>
      <w:r w:rsidRPr="005C1884">
        <w:t>Primary care access</w:t>
      </w:r>
      <w:bookmarkEnd w:id="15"/>
      <w:bookmarkEnd w:id="16"/>
    </w:p>
    <w:p w14:paraId="0076C633" w14:textId="1F1B3D76" w:rsidR="00CC646D" w:rsidRDefault="0007501B" w:rsidP="00CC646D">
      <w:pPr>
        <w:tabs>
          <w:tab w:val="num" w:pos="720"/>
        </w:tabs>
        <w:rPr>
          <w:rFonts w:eastAsia="Arial"/>
        </w:rPr>
      </w:pPr>
      <w:r>
        <w:rPr>
          <w:rFonts w:eastAsia="Arial"/>
        </w:rPr>
        <w:t>As mentioned above, one of the</w:t>
      </w:r>
      <w:r w:rsidR="00CC646D">
        <w:rPr>
          <w:rFonts w:eastAsia="Arial"/>
        </w:rPr>
        <w:t xml:space="preserve"> underlying cause</w:t>
      </w:r>
      <w:r>
        <w:rPr>
          <w:rFonts w:eastAsia="Arial"/>
        </w:rPr>
        <w:t>s</w:t>
      </w:r>
      <w:r w:rsidR="00CC646D">
        <w:rPr>
          <w:rFonts w:eastAsia="Arial"/>
        </w:rPr>
        <w:t xml:space="preserve"> for increasing presentations to EDs is</w:t>
      </w:r>
      <w:r>
        <w:rPr>
          <w:rFonts w:eastAsia="Arial"/>
        </w:rPr>
        <w:t xml:space="preserve"> due to</w:t>
      </w:r>
      <w:r w:rsidR="00CC646D">
        <w:rPr>
          <w:rFonts w:eastAsia="Arial"/>
        </w:rPr>
        <w:t xml:space="preserve"> patients </w:t>
      </w:r>
      <w:r>
        <w:rPr>
          <w:rFonts w:eastAsia="Arial"/>
        </w:rPr>
        <w:t>not being</w:t>
      </w:r>
      <w:r w:rsidR="00CC646D">
        <w:rPr>
          <w:rFonts w:eastAsia="Arial"/>
        </w:rPr>
        <w:t xml:space="preserve"> unable to access same day care from a GP. </w:t>
      </w:r>
      <w:r w:rsidR="00CC646D" w:rsidRPr="00D152E8">
        <w:rPr>
          <w:rFonts w:eastAsia="Arial"/>
        </w:rPr>
        <w:t>The proportion of people who waited for 24 hours or more to see a GP for urgent medical care has increased</w:t>
      </w:r>
      <w:r w:rsidR="00EA45F2">
        <w:rPr>
          <w:rFonts w:eastAsia="Arial"/>
        </w:rPr>
        <w:t xml:space="preserve"> since </w:t>
      </w:r>
      <w:r w:rsidR="00A725BD">
        <w:rPr>
          <w:rFonts w:eastAsia="Arial"/>
        </w:rPr>
        <w:t>202</w:t>
      </w:r>
      <w:r w:rsidR="00D859EC">
        <w:rPr>
          <w:rFonts w:eastAsia="Arial"/>
        </w:rPr>
        <w:t>0-21 (</w:t>
      </w:r>
      <w:r w:rsidR="00D716E0">
        <w:rPr>
          <w:rFonts w:eastAsia="Arial"/>
        </w:rPr>
        <w:t>33.9%) b</w:t>
      </w:r>
      <w:r w:rsidR="00B73293">
        <w:rPr>
          <w:rFonts w:eastAsia="Arial"/>
        </w:rPr>
        <w:t xml:space="preserve">ut </w:t>
      </w:r>
      <w:r w:rsidR="00651176">
        <w:rPr>
          <w:rFonts w:eastAsia="Arial"/>
        </w:rPr>
        <w:t xml:space="preserve">remained </w:t>
      </w:r>
      <w:r w:rsidR="006322B3">
        <w:rPr>
          <w:rFonts w:eastAsia="Arial"/>
        </w:rPr>
        <w:t>similar between</w:t>
      </w:r>
      <w:r w:rsidR="00B73293">
        <w:rPr>
          <w:rFonts w:eastAsia="Arial"/>
        </w:rPr>
        <w:t xml:space="preserve"> 2022-23 (45.6%) and</w:t>
      </w:r>
      <w:r w:rsidR="006322B3">
        <w:rPr>
          <w:rFonts w:eastAsia="Arial"/>
        </w:rPr>
        <w:t xml:space="preserve"> 2023-24</w:t>
      </w:r>
      <w:r w:rsidR="0053682A">
        <w:rPr>
          <w:rFonts w:eastAsia="Arial"/>
        </w:rPr>
        <w:t xml:space="preserve"> (46%)</w:t>
      </w:r>
      <w:r w:rsidR="008C34FB">
        <w:rPr>
          <w:rFonts w:eastAsia="Arial"/>
        </w:rPr>
        <w:t>.</w:t>
      </w:r>
      <w:r w:rsidR="00CC646D" w:rsidRPr="00D152E8">
        <w:rPr>
          <w:rStyle w:val="FootnoteReference"/>
          <w:rFonts w:eastAsia="Arial"/>
        </w:rPr>
        <w:footnoteReference w:id="14"/>
      </w:r>
      <w:r w:rsidR="00880269">
        <w:rPr>
          <w:rStyle w:val="FootnoteReference"/>
          <w:rFonts w:eastAsia="Arial"/>
        </w:rPr>
        <w:footnoteReference w:id="15"/>
      </w:r>
      <w:r w:rsidR="00CC646D" w:rsidRPr="00D152E8">
        <w:rPr>
          <w:rFonts w:eastAsia="Arial"/>
        </w:rPr>
        <w:t xml:space="preserve"> </w:t>
      </w:r>
      <w:r w:rsidR="00893014">
        <w:rPr>
          <w:rFonts w:eastAsia="Arial"/>
        </w:rPr>
        <w:t>Longer</w:t>
      </w:r>
      <w:r w:rsidR="00CC646D">
        <w:rPr>
          <w:rFonts w:eastAsia="Arial"/>
        </w:rPr>
        <w:t xml:space="preserve"> wait time</w:t>
      </w:r>
      <w:r w:rsidR="00893014">
        <w:rPr>
          <w:rFonts w:eastAsia="Arial"/>
        </w:rPr>
        <w:t>s</w:t>
      </w:r>
      <w:r w:rsidR="00CC646D">
        <w:rPr>
          <w:rFonts w:eastAsia="Arial"/>
        </w:rPr>
        <w:t xml:space="preserve"> for urgent primary care are </w:t>
      </w:r>
      <w:r w:rsidR="00893014">
        <w:rPr>
          <w:rFonts w:eastAsia="Arial"/>
        </w:rPr>
        <w:t>particularly significant</w:t>
      </w:r>
      <w:r w:rsidR="008D7E88">
        <w:rPr>
          <w:rFonts w:eastAsia="Arial"/>
        </w:rPr>
        <w:t xml:space="preserve"> when viewed alongside </w:t>
      </w:r>
      <w:r w:rsidR="00CC646D">
        <w:rPr>
          <w:rFonts w:eastAsia="Arial"/>
        </w:rPr>
        <w:t xml:space="preserve">the </w:t>
      </w:r>
      <w:r w:rsidR="008D7E88">
        <w:rPr>
          <w:rFonts w:eastAsia="Arial"/>
        </w:rPr>
        <w:t xml:space="preserve">rise </w:t>
      </w:r>
      <w:r w:rsidR="0059370F">
        <w:rPr>
          <w:rFonts w:eastAsia="Arial"/>
        </w:rPr>
        <w:t>in lower triage category</w:t>
      </w:r>
      <w:r w:rsidR="00CC646D">
        <w:rPr>
          <w:rFonts w:eastAsia="Arial"/>
        </w:rPr>
        <w:t xml:space="preserve"> ED presentations </w:t>
      </w:r>
      <w:r w:rsidR="00963D22">
        <w:rPr>
          <w:rFonts w:eastAsia="Arial"/>
        </w:rPr>
        <w:t>during</w:t>
      </w:r>
      <w:r w:rsidR="00CC646D">
        <w:rPr>
          <w:rFonts w:eastAsia="Arial"/>
        </w:rPr>
        <w:t xml:space="preserve"> the same time period</w:t>
      </w:r>
      <w:r w:rsidR="00963D22">
        <w:rPr>
          <w:rFonts w:eastAsia="Arial"/>
        </w:rPr>
        <w:t>,</w:t>
      </w:r>
      <w:r w:rsidR="00CC646D">
        <w:rPr>
          <w:rFonts w:eastAsia="Arial"/>
        </w:rPr>
        <w:t xml:space="preserve"> </w:t>
      </w:r>
      <w:r w:rsidR="00963D22">
        <w:rPr>
          <w:rFonts w:eastAsia="Arial"/>
        </w:rPr>
        <w:t>suggesting that more</w:t>
      </w:r>
      <w:r w:rsidR="00CC646D">
        <w:rPr>
          <w:rFonts w:eastAsia="Arial"/>
        </w:rPr>
        <w:t xml:space="preserve"> patients </w:t>
      </w:r>
      <w:r w:rsidR="00963D22">
        <w:rPr>
          <w:rFonts w:eastAsia="Arial"/>
        </w:rPr>
        <w:t>are turning to</w:t>
      </w:r>
      <w:r w:rsidR="00CC646D">
        <w:rPr>
          <w:rFonts w:eastAsia="Arial"/>
        </w:rPr>
        <w:t xml:space="preserve"> EDs </w:t>
      </w:r>
      <w:r w:rsidR="00963D22">
        <w:rPr>
          <w:rFonts w:eastAsia="Arial"/>
        </w:rPr>
        <w:t>in search of</w:t>
      </w:r>
      <w:r w:rsidR="00CC646D">
        <w:rPr>
          <w:rFonts w:eastAsia="Arial"/>
        </w:rPr>
        <w:t xml:space="preserve"> timely care. </w:t>
      </w:r>
    </w:p>
    <w:p w14:paraId="679E3584" w14:textId="3E383F3A" w:rsidR="00CC646D" w:rsidRDefault="00FA4008" w:rsidP="00CC646D">
      <w:pPr>
        <w:tabs>
          <w:tab w:val="num" w:pos="720"/>
        </w:tabs>
        <w:rPr>
          <w:rFonts w:eastAsia="Arial"/>
        </w:rPr>
      </w:pPr>
      <w:r>
        <w:rPr>
          <w:rFonts w:eastAsia="Arial"/>
        </w:rPr>
        <w:t>The</w:t>
      </w:r>
      <w:r w:rsidR="00CC646D">
        <w:rPr>
          <w:rFonts w:eastAsia="Arial"/>
        </w:rPr>
        <w:t xml:space="preserve"> number of junior doctors applying for general practice declined from 2,301 places in 2015 to 1,329 places in 2020</w:t>
      </w:r>
      <w:r w:rsidR="0091401F">
        <w:rPr>
          <w:rFonts w:eastAsia="Arial"/>
        </w:rPr>
        <w:t>.</w:t>
      </w:r>
      <w:r w:rsidR="00CC646D">
        <w:rPr>
          <w:rStyle w:val="FootnoteReference"/>
          <w:rFonts w:eastAsia="Arial"/>
        </w:rPr>
        <w:footnoteReference w:id="16"/>
      </w:r>
      <w:r w:rsidR="00CC646D">
        <w:rPr>
          <w:rFonts w:eastAsia="Arial"/>
        </w:rPr>
        <w:t xml:space="preserve"> </w:t>
      </w:r>
      <w:r w:rsidR="00997A9E">
        <w:rPr>
          <w:rFonts w:eastAsia="Arial"/>
        </w:rPr>
        <w:t xml:space="preserve">Although this downward trend has been evident in recent years, </w:t>
      </w:r>
      <w:r>
        <w:rPr>
          <w:rFonts w:eastAsia="Arial"/>
        </w:rPr>
        <w:t>the Royal Australian Colleague of General Practitioners (RACGP) has</w:t>
      </w:r>
      <w:r w:rsidR="00997A9E">
        <w:rPr>
          <w:rFonts w:eastAsia="Arial"/>
        </w:rPr>
        <w:t xml:space="preserve"> reported</w:t>
      </w:r>
      <w:r>
        <w:rPr>
          <w:rFonts w:eastAsia="Arial"/>
        </w:rPr>
        <w:t xml:space="preserve"> a</w:t>
      </w:r>
      <w:r w:rsidR="00997A9E">
        <w:rPr>
          <w:rFonts w:eastAsia="Arial"/>
        </w:rPr>
        <w:t xml:space="preserve"> positive shift for</w:t>
      </w:r>
      <w:r>
        <w:rPr>
          <w:rFonts w:eastAsia="Arial"/>
        </w:rPr>
        <w:t xml:space="preserve"> </w:t>
      </w:r>
      <w:r w:rsidR="00997A9E">
        <w:rPr>
          <w:rFonts w:eastAsia="Arial"/>
        </w:rPr>
        <w:t xml:space="preserve">the </w:t>
      </w:r>
      <w:r>
        <w:rPr>
          <w:rFonts w:eastAsia="Arial"/>
        </w:rPr>
        <w:t>2025</w:t>
      </w:r>
      <w:r w:rsidR="00997A9E">
        <w:rPr>
          <w:rFonts w:eastAsia="Arial"/>
        </w:rPr>
        <w:t xml:space="preserve"> </w:t>
      </w:r>
      <w:r w:rsidR="00997A9E" w:rsidRPr="00997A9E">
        <w:rPr>
          <w:rFonts w:eastAsia="Arial"/>
        </w:rPr>
        <w:t>Australian General Practice Training (AGPT) Program</w:t>
      </w:r>
      <w:r w:rsidR="00997A9E">
        <w:rPr>
          <w:rFonts w:eastAsia="Arial"/>
        </w:rPr>
        <w:t xml:space="preserve"> intake</w:t>
      </w:r>
      <w:r>
        <w:rPr>
          <w:rFonts w:eastAsia="Arial"/>
        </w:rPr>
        <w:t xml:space="preserve">, </w:t>
      </w:r>
      <w:r w:rsidR="00997A9E">
        <w:rPr>
          <w:rFonts w:eastAsia="Arial"/>
        </w:rPr>
        <w:t>with</w:t>
      </w:r>
      <w:r>
        <w:rPr>
          <w:rFonts w:eastAsia="Arial"/>
        </w:rPr>
        <w:t xml:space="preserve"> a</w:t>
      </w:r>
      <w:r w:rsidR="00997A9E">
        <w:rPr>
          <w:rFonts w:eastAsia="Arial"/>
        </w:rPr>
        <w:t xml:space="preserve"> nearly</w:t>
      </w:r>
      <w:r>
        <w:rPr>
          <w:rFonts w:eastAsia="Arial"/>
        </w:rPr>
        <w:t xml:space="preserve"> 20% increase</w:t>
      </w:r>
      <w:r w:rsidR="00997A9E">
        <w:rPr>
          <w:rFonts w:eastAsia="Arial"/>
        </w:rPr>
        <w:t xml:space="preserve"> in uptake compared to </w:t>
      </w:r>
      <w:r>
        <w:rPr>
          <w:rFonts w:eastAsia="Arial"/>
        </w:rPr>
        <w:t>the previous year.</w:t>
      </w:r>
      <w:r>
        <w:rPr>
          <w:rStyle w:val="FootnoteReference"/>
          <w:rFonts w:eastAsia="Arial"/>
        </w:rPr>
        <w:footnoteReference w:id="17"/>
      </w:r>
      <w:r w:rsidR="00997A9E">
        <w:rPr>
          <w:rFonts w:eastAsia="Arial"/>
        </w:rPr>
        <w:t xml:space="preserve"> </w:t>
      </w:r>
      <w:r w:rsidR="00CC646D">
        <w:rPr>
          <w:rFonts w:eastAsia="Arial"/>
        </w:rPr>
        <w:t>While t</w:t>
      </w:r>
      <w:r w:rsidR="0007501B">
        <w:rPr>
          <w:rFonts w:eastAsia="Arial"/>
        </w:rPr>
        <w:t>his is a positive shift</w:t>
      </w:r>
      <w:r w:rsidR="0074673B">
        <w:rPr>
          <w:rFonts w:eastAsia="Arial"/>
        </w:rPr>
        <w:t xml:space="preserve">, </w:t>
      </w:r>
      <w:r w:rsidR="00CC646D">
        <w:rPr>
          <w:rFonts w:eastAsia="Arial"/>
        </w:rPr>
        <w:t xml:space="preserve">the demand for general practitioners continues to be a health system challenge. This places a significant burden on primary care and increases pressures on the healthcare system. </w:t>
      </w:r>
    </w:p>
    <w:p w14:paraId="3B78027D" w14:textId="5ED52C26" w:rsidR="00CC646D" w:rsidRPr="002464EA" w:rsidRDefault="00CC646D" w:rsidP="00CC646D">
      <w:pPr>
        <w:pStyle w:val="Heading3"/>
      </w:pPr>
      <w:bookmarkStart w:id="17" w:name="_Toc114582192"/>
      <w:bookmarkStart w:id="18" w:name="_Toc212110360"/>
      <w:r w:rsidRPr="005C1884">
        <w:t>System integration and patient information</w:t>
      </w:r>
      <w:bookmarkEnd w:id="17"/>
      <w:bookmarkEnd w:id="18"/>
    </w:p>
    <w:p w14:paraId="192DD1E3" w14:textId="4A5445BC" w:rsidR="0002498E" w:rsidRDefault="00D36495" w:rsidP="0002498E">
      <w:pPr>
        <w:tabs>
          <w:tab w:val="num" w:pos="720"/>
        </w:tabs>
        <w:rPr>
          <w:rFonts w:eastAsia="Arial"/>
        </w:rPr>
      </w:pPr>
      <w:r>
        <w:rPr>
          <w:rFonts w:eastAsia="Arial"/>
        </w:rPr>
        <w:t>Prior to the commencement of the Medicare UCCs t</w:t>
      </w:r>
      <w:r w:rsidR="00CC646D">
        <w:rPr>
          <w:rFonts w:eastAsia="Arial"/>
        </w:rPr>
        <w:t xml:space="preserve">here </w:t>
      </w:r>
      <w:r>
        <w:rPr>
          <w:rFonts w:eastAsia="Arial"/>
        </w:rPr>
        <w:t xml:space="preserve">was </w:t>
      </w:r>
      <w:r w:rsidR="00CC646D">
        <w:rPr>
          <w:rFonts w:eastAsia="Arial"/>
        </w:rPr>
        <w:t>a variety of disparate and unconnected service types in the urgent care ecosystem. These include afterhours GPs, telehealth triage lines, medical advice lines, state run urgent care and ED diversion</w:t>
      </w:r>
      <w:r w:rsidR="00113148">
        <w:rPr>
          <w:rFonts w:eastAsia="Arial"/>
        </w:rPr>
        <w:t xml:space="preserve"> initiatives</w:t>
      </w:r>
      <w:r w:rsidR="00CC646D">
        <w:rPr>
          <w:rFonts w:eastAsia="Arial"/>
        </w:rPr>
        <w:t xml:space="preserve"> and home visits. Each of these provides a bespoke service offering which can introduce a lack of clarity to consumers about where they should go for advice or treatment for urgent primary care. These patients identify EDs as “one stop shops” and a known entity for treatment and thus inappropriately present to EDs despite their health needs being semi- or non-urgent. </w:t>
      </w:r>
      <w:r w:rsidR="0002498E" w:rsidRPr="00374DE3">
        <w:rPr>
          <w:rFonts w:eastAsia="Arial"/>
        </w:rPr>
        <w:t xml:space="preserve">Medicare UCCs are increasingly becoming a critical feature of the health system and </w:t>
      </w:r>
      <w:r w:rsidR="00CF2184">
        <w:rPr>
          <w:rFonts w:eastAsia="Arial"/>
        </w:rPr>
        <w:t xml:space="preserve">help to address this fragmentation through a national delivery model, and </w:t>
      </w:r>
      <w:r w:rsidR="0002498E" w:rsidRPr="00374DE3">
        <w:rPr>
          <w:rFonts w:eastAsia="Arial"/>
        </w:rPr>
        <w:t xml:space="preserve">have already delivered significant benefits for Australians, servicing </w:t>
      </w:r>
      <w:r w:rsidR="00113148">
        <w:rPr>
          <w:rFonts w:eastAsia="Arial"/>
        </w:rPr>
        <w:t xml:space="preserve">over </w:t>
      </w:r>
      <w:r w:rsidR="006B3524">
        <w:rPr>
          <w:rFonts w:eastAsia="Arial"/>
        </w:rPr>
        <w:t>2</w:t>
      </w:r>
      <w:r w:rsidR="0002498E" w:rsidRPr="00374DE3">
        <w:rPr>
          <w:rFonts w:eastAsia="Arial"/>
        </w:rPr>
        <w:t xml:space="preserve"> million patients since June 2023.</w:t>
      </w:r>
      <w:r w:rsidR="0002498E">
        <w:rPr>
          <w:rFonts w:eastAsia="Arial"/>
        </w:rPr>
        <w:t xml:space="preserve"> </w:t>
      </w:r>
    </w:p>
    <w:p w14:paraId="4AD1ABF0" w14:textId="5A480A0A" w:rsidR="002F66CE" w:rsidRPr="002F66CE" w:rsidRDefault="00CC646D" w:rsidP="00374DE3">
      <w:r>
        <w:t xml:space="preserve">There is also a lack of information to help guide these patients to more appropriate services. A South Australian study on patient journey to the ED found 60.2% were self-referred to the ED with </w:t>
      </w:r>
      <w:r>
        <w:lastRenderedPageBreak/>
        <w:t>the patient seeking no advice from other health services</w:t>
      </w:r>
      <w:r w:rsidR="00916815">
        <w:t>.</w:t>
      </w:r>
      <w:r>
        <w:rPr>
          <w:rStyle w:val="FootnoteReference"/>
          <w:rFonts w:eastAsia="Arial"/>
        </w:rPr>
        <w:footnoteReference w:id="18"/>
      </w:r>
      <w:r>
        <w:t xml:space="preserve"> This gap in information is a barrier to patients seeking and receiving care appropriate for their needs and results in unnecessary presentations to EDs. The perception of ED as a “one stop shop” for treatment contributes to it being an easier choice for patients who can avoid the uncertainty of incorrectly self-triaging or navigating other health services</w:t>
      </w:r>
      <w:r>
        <w:rPr>
          <w:rStyle w:val="FootnoteReference"/>
          <w:rFonts w:eastAsia="Arial"/>
        </w:rPr>
        <w:footnoteReference w:id="19"/>
      </w:r>
      <w:r>
        <w:t xml:space="preserve">. </w:t>
      </w:r>
    </w:p>
    <w:p w14:paraId="7532109B" w14:textId="77777777" w:rsidR="00CC646D" w:rsidRPr="005C1884" w:rsidRDefault="00CC646D" w:rsidP="005C1884">
      <w:pPr>
        <w:pStyle w:val="Heading3"/>
      </w:pPr>
      <w:bookmarkStart w:id="19" w:name="_Toc212110361"/>
      <w:r w:rsidRPr="005C1884">
        <w:t>Patient flows</w:t>
      </w:r>
      <w:bookmarkEnd w:id="19"/>
    </w:p>
    <w:p w14:paraId="1CB3EF8A" w14:textId="7ECD4357" w:rsidR="00CC646D" w:rsidRPr="00F11F52" w:rsidRDefault="00CC646D" w:rsidP="00CC646D">
      <w:pPr>
        <w:tabs>
          <w:tab w:val="num" w:pos="720"/>
        </w:tabs>
        <w:rPr>
          <w:rFonts w:eastAsia="Arial"/>
        </w:rPr>
      </w:pPr>
      <w:r w:rsidRPr="00F11F52">
        <w:rPr>
          <w:rFonts w:eastAsia="Arial"/>
        </w:rPr>
        <w:t xml:space="preserve">There are other </w:t>
      </w:r>
      <w:r>
        <w:rPr>
          <w:rFonts w:eastAsia="Arial"/>
        </w:rPr>
        <w:t xml:space="preserve">contributing factors to ED pressure which this policy initiative does not propose to </w:t>
      </w:r>
      <w:r w:rsidR="00482F2A">
        <w:rPr>
          <w:rFonts w:eastAsia="Arial"/>
        </w:rPr>
        <w:t>address but</w:t>
      </w:r>
      <w:r>
        <w:rPr>
          <w:rFonts w:eastAsia="Arial"/>
        </w:rPr>
        <w:t xml:space="preserve"> need</w:t>
      </w:r>
      <w:r w:rsidR="0022441F">
        <w:rPr>
          <w:rFonts w:eastAsia="Arial"/>
        </w:rPr>
        <w:t>s</w:t>
      </w:r>
      <w:r>
        <w:rPr>
          <w:rFonts w:eastAsia="Arial"/>
        </w:rPr>
        <w:t xml:space="preserve"> to be considered in the broader context of ED pressure. Of </w:t>
      </w:r>
      <w:proofErr w:type="gramStart"/>
      <w:r>
        <w:rPr>
          <w:rFonts w:eastAsia="Arial"/>
        </w:rPr>
        <w:t>particular note</w:t>
      </w:r>
      <w:proofErr w:type="gramEnd"/>
      <w:r>
        <w:rPr>
          <w:rFonts w:eastAsia="Arial"/>
        </w:rPr>
        <w:t xml:space="preserve"> is the impact of poor patient flows throughout the rest of the hospital and bed block and ambulance ramping (further information</w:t>
      </w:r>
      <w:r w:rsidR="00737F19">
        <w:rPr>
          <w:rFonts w:eastAsia="Arial"/>
        </w:rPr>
        <w:t xml:space="preserve"> on this</w:t>
      </w:r>
      <w:r>
        <w:rPr>
          <w:rFonts w:eastAsia="Arial"/>
        </w:rPr>
        <w:t xml:space="preserve"> below).</w:t>
      </w:r>
    </w:p>
    <w:p w14:paraId="2BE7F450" w14:textId="25E41904" w:rsidR="00CC646D" w:rsidRPr="005C1884" w:rsidRDefault="00876C05" w:rsidP="00CC646D">
      <w:pPr>
        <w:pStyle w:val="Heading2"/>
        <w:rPr>
          <w:noProof/>
        </w:rPr>
      </w:pPr>
      <w:bookmarkStart w:id="20" w:name="_Toc114582193"/>
      <w:bookmarkStart w:id="21" w:name="_Toc212110362"/>
      <w:r>
        <w:rPr>
          <w:noProof/>
        </w:rPr>
        <w:t xml:space="preserve">1.2 </w:t>
      </w:r>
      <w:r w:rsidR="00CC646D" w:rsidRPr="005C1884">
        <w:rPr>
          <w:noProof/>
        </w:rPr>
        <w:t>Who is affected and how?</w:t>
      </w:r>
      <w:bookmarkEnd w:id="20"/>
      <w:bookmarkEnd w:id="21"/>
    </w:p>
    <w:p w14:paraId="7C945FA0" w14:textId="77777777" w:rsidR="00CC646D" w:rsidRPr="005C1884" w:rsidRDefault="00CC646D" w:rsidP="00CC646D">
      <w:pPr>
        <w:pStyle w:val="Heading3"/>
      </w:pPr>
      <w:bookmarkStart w:id="22" w:name="_Toc114582194"/>
      <w:bookmarkStart w:id="23" w:name="_Toc212110363"/>
      <w:r w:rsidRPr="005C1884">
        <w:t>Patients</w:t>
      </w:r>
      <w:bookmarkEnd w:id="22"/>
      <w:bookmarkEnd w:id="23"/>
      <w:r w:rsidRPr="005C1884">
        <w:t xml:space="preserve"> </w:t>
      </w:r>
    </w:p>
    <w:p w14:paraId="632570AA" w14:textId="15F451BD" w:rsidR="00CC646D" w:rsidRPr="008E4210" w:rsidRDefault="00CC646D" w:rsidP="00CC646D">
      <w:pPr>
        <w:tabs>
          <w:tab w:val="num" w:pos="720"/>
        </w:tabs>
        <w:rPr>
          <w:rFonts w:eastAsia="Arial"/>
        </w:rPr>
      </w:pPr>
      <w:r>
        <w:rPr>
          <w:rFonts w:eastAsia="Arial"/>
          <w:lang w:val="en-US"/>
        </w:rPr>
        <w:t xml:space="preserve">The harm involved with extended wait times is substantial as patients could decide to leave an ED without being seen by a doctor or health professional. </w:t>
      </w:r>
      <w:r w:rsidR="003C0235">
        <w:rPr>
          <w:rFonts w:eastAsia="Arial"/>
          <w:lang w:val="en-US"/>
        </w:rPr>
        <w:t>11</w:t>
      </w:r>
      <w:r>
        <w:rPr>
          <w:rFonts w:eastAsia="Arial"/>
          <w:lang w:val="en-US"/>
        </w:rPr>
        <w:t xml:space="preserve">% of non-urgent and </w:t>
      </w:r>
      <w:r w:rsidR="003C0235">
        <w:rPr>
          <w:rFonts w:eastAsia="Arial"/>
          <w:lang w:val="en-US"/>
        </w:rPr>
        <w:t>7</w:t>
      </w:r>
      <w:r>
        <w:rPr>
          <w:rFonts w:eastAsia="Arial"/>
          <w:lang w:val="en-US"/>
        </w:rPr>
        <w:t xml:space="preserve">% of semi-urgent categories did not wait to be seen in the ED by a health practitioner in </w:t>
      </w:r>
      <w:r w:rsidR="003C0235">
        <w:rPr>
          <w:rFonts w:eastAsia="Arial"/>
          <w:lang w:val="en-US"/>
        </w:rPr>
        <w:t>2023-24</w:t>
      </w:r>
      <w:r w:rsidR="00464281">
        <w:rPr>
          <w:rFonts w:eastAsia="Arial"/>
          <w:lang w:val="en-US"/>
        </w:rPr>
        <w:t>.</w:t>
      </w:r>
      <w:r>
        <w:rPr>
          <w:rStyle w:val="FootnoteReference"/>
          <w:rFonts w:eastAsia="Arial"/>
          <w:lang w:val="en-US"/>
        </w:rPr>
        <w:footnoteReference w:id="20"/>
      </w:r>
      <w:r>
        <w:rPr>
          <w:rFonts w:eastAsia="Arial"/>
          <w:lang w:val="en-US"/>
        </w:rPr>
        <w:t xml:space="preserve"> </w:t>
      </w:r>
      <w:r w:rsidR="002C4621">
        <w:rPr>
          <w:rFonts w:eastAsia="Arial"/>
          <w:lang w:val="en-US"/>
        </w:rPr>
        <w:t xml:space="preserve">In </w:t>
      </w:r>
      <w:r w:rsidR="00660B2A">
        <w:rPr>
          <w:rFonts w:eastAsia="Arial"/>
          <w:lang w:val="en-US"/>
        </w:rPr>
        <w:t>2023-24</w:t>
      </w:r>
      <w:r w:rsidR="002C4621">
        <w:rPr>
          <w:rFonts w:eastAsia="Arial"/>
          <w:lang w:val="en-US"/>
        </w:rPr>
        <w:t>, t</w:t>
      </w:r>
      <w:r>
        <w:rPr>
          <w:rFonts w:eastAsia="Arial"/>
          <w:lang w:val="en-US"/>
        </w:rPr>
        <w:t xml:space="preserve">riage category 4 represented </w:t>
      </w:r>
      <w:r w:rsidR="00114709">
        <w:rPr>
          <w:rFonts w:eastAsia="Arial"/>
          <w:lang w:val="en-US"/>
        </w:rPr>
        <w:t>51</w:t>
      </w:r>
      <w:r>
        <w:rPr>
          <w:rFonts w:eastAsia="Arial"/>
          <w:lang w:val="en-US"/>
        </w:rPr>
        <w:t>% of the total number of people who did not wait to receive care</w:t>
      </w:r>
      <w:r w:rsidR="00464281">
        <w:rPr>
          <w:rFonts w:eastAsia="Arial"/>
          <w:lang w:val="en-US"/>
        </w:rPr>
        <w:t>.</w:t>
      </w:r>
      <w:r>
        <w:rPr>
          <w:rStyle w:val="FootnoteReference"/>
          <w:rFonts w:eastAsia="Arial"/>
          <w:lang w:val="en-US"/>
        </w:rPr>
        <w:footnoteReference w:id="21"/>
      </w:r>
      <w:r>
        <w:rPr>
          <w:rFonts w:eastAsia="Arial"/>
          <w:lang w:val="en-US"/>
        </w:rPr>
        <w:t xml:space="preserve"> Note, the data does not capture individuals who may delay presentation at EDs to avoid lengthy wait times. This could lead to poorer patient outcomes or experiences. </w:t>
      </w:r>
    </w:p>
    <w:p w14:paraId="2E600732" w14:textId="77777777" w:rsidR="00CC646D" w:rsidRDefault="00CC646D" w:rsidP="00CC646D">
      <w:pPr>
        <w:rPr>
          <w:rFonts w:eastAsia="Arial"/>
        </w:rPr>
      </w:pPr>
      <w:r w:rsidRPr="00F11F52">
        <w:rPr>
          <w:rFonts w:eastAsia="Arial"/>
        </w:rPr>
        <w:t xml:space="preserve">These extended wait times can also impact on </w:t>
      </w:r>
      <w:r>
        <w:rPr>
          <w:rFonts w:eastAsia="Arial"/>
        </w:rPr>
        <w:t xml:space="preserve">carers and families as it can contribute to further distress and uncertainty. This is particularly true for parents of children who are too young to explain their symptoms or advocate for themselves. </w:t>
      </w:r>
    </w:p>
    <w:p w14:paraId="29F500A2" w14:textId="239D65C1" w:rsidR="00545B88" w:rsidRPr="000938E1" w:rsidRDefault="00545B88" w:rsidP="00CC646D">
      <w:pPr>
        <w:rPr>
          <w:rFonts w:eastAsia="Arial"/>
        </w:rPr>
      </w:pPr>
      <w:r w:rsidRPr="00545B88">
        <w:rPr>
          <w:rFonts w:eastAsia="Arial"/>
        </w:rPr>
        <w:t>The</w:t>
      </w:r>
      <w:r>
        <w:rPr>
          <w:rFonts w:eastAsia="Arial"/>
        </w:rPr>
        <w:t xml:space="preserve"> Productivity Commission</w:t>
      </w:r>
      <w:r w:rsidRPr="00545B88">
        <w:rPr>
          <w:rFonts w:eastAsia="Arial"/>
        </w:rPr>
        <w:t xml:space="preserve"> </w:t>
      </w:r>
      <w:r w:rsidRPr="003D199D">
        <w:rPr>
          <w:rFonts w:eastAsia="Arial"/>
          <w:i/>
          <w:iCs/>
        </w:rPr>
        <w:t>Interim report on Delivering Quality Care More Efficiently</w:t>
      </w:r>
      <w:r w:rsidRPr="00545B88">
        <w:rPr>
          <w:rFonts w:eastAsia="Arial"/>
        </w:rPr>
        <w:t xml:space="preserve"> </w:t>
      </w:r>
      <w:r w:rsidR="00A14CB7">
        <w:rPr>
          <w:rFonts w:eastAsia="Arial"/>
        </w:rPr>
        <w:t>highlights the importance of</w:t>
      </w:r>
      <w:r w:rsidRPr="00545B88">
        <w:rPr>
          <w:rFonts w:eastAsia="Arial"/>
        </w:rPr>
        <w:t xml:space="preserve"> high-quality care services—including urgent care—</w:t>
      </w:r>
      <w:r w:rsidR="00A14CB7">
        <w:rPr>
          <w:rFonts w:eastAsia="Arial"/>
        </w:rPr>
        <w:t xml:space="preserve">to </w:t>
      </w:r>
      <w:r w:rsidRPr="00545B88">
        <w:rPr>
          <w:rFonts w:eastAsia="Arial"/>
        </w:rPr>
        <w:t xml:space="preserve">enable people to live independently and participate more fully in the economy. </w:t>
      </w:r>
      <w:r w:rsidR="00A71D9E">
        <w:rPr>
          <w:rFonts w:eastAsia="Arial"/>
        </w:rPr>
        <w:t>C</w:t>
      </w:r>
      <w:r>
        <w:rPr>
          <w:rFonts w:eastAsia="Arial"/>
        </w:rPr>
        <w:t>are services such as health care have many benefits, including improved physical and mental health and enabling greater participation in the community and the economy.</w:t>
      </w:r>
      <w:r>
        <w:rPr>
          <w:rStyle w:val="FootnoteReference"/>
          <w:rFonts w:eastAsia="Arial"/>
        </w:rPr>
        <w:footnoteReference w:id="22"/>
      </w:r>
    </w:p>
    <w:p w14:paraId="3500D00C" w14:textId="23EF4308" w:rsidR="00CC646D" w:rsidRPr="005C1884" w:rsidRDefault="00CC646D" w:rsidP="00CC646D">
      <w:pPr>
        <w:pStyle w:val="Heading3"/>
      </w:pPr>
      <w:bookmarkStart w:id="24" w:name="_Toc114582195"/>
      <w:bookmarkStart w:id="25" w:name="_Toc212110364"/>
      <w:r w:rsidRPr="005C1884">
        <w:t>Staff at EDs</w:t>
      </w:r>
      <w:bookmarkEnd w:id="24"/>
      <w:bookmarkEnd w:id="25"/>
    </w:p>
    <w:p w14:paraId="7B3A2FC0" w14:textId="04C9A6FD" w:rsidR="00CC646D" w:rsidRPr="00A04731" w:rsidRDefault="00CC646D" w:rsidP="00CC646D">
      <w:pPr>
        <w:tabs>
          <w:tab w:val="num" w:pos="720"/>
        </w:tabs>
        <w:rPr>
          <w:rFonts w:eastAsia="Arial"/>
          <w:lang w:val="en-US"/>
        </w:rPr>
      </w:pPr>
      <w:r w:rsidRPr="00A04731">
        <w:rPr>
          <w:rFonts w:eastAsia="Arial"/>
          <w:lang w:val="en-US"/>
        </w:rPr>
        <w:t xml:space="preserve">The health workforce has been impacted by ED </w:t>
      </w:r>
      <w:r>
        <w:rPr>
          <w:rFonts w:eastAsia="Arial"/>
          <w:lang w:val="en-US"/>
        </w:rPr>
        <w:t>pressures</w:t>
      </w:r>
      <w:r w:rsidRPr="00A04731">
        <w:rPr>
          <w:rFonts w:eastAsia="Arial"/>
          <w:lang w:val="en-US"/>
        </w:rPr>
        <w:t xml:space="preserve"> as hospitals </w:t>
      </w:r>
      <w:r>
        <w:rPr>
          <w:rFonts w:eastAsia="Arial"/>
          <w:lang w:val="en-US"/>
        </w:rPr>
        <w:t xml:space="preserve">attempt to secure </w:t>
      </w:r>
      <w:r w:rsidRPr="00A04731">
        <w:rPr>
          <w:rFonts w:eastAsia="Arial"/>
          <w:lang w:val="en-US"/>
        </w:rPr>
        <w:t xml:space="preserve">workers </w:t>
      </w:r>
      <w:r>
        <w:rPr>
          <w:rFonts w:eastAsia="Arial"/>
          <w:lang w:val="en-US"/>
        </w:rPr>
        <w:t xml:space="preserve">and manage increased rates of furloughing in the context of the </w:t>
      </w:r>
      <w:r w:rsidRPr="00A04731">
        <w:rPr>
          <w:rFonts w:eastAsia="Arial"/>
          <w:lang w:val="en-US"/>
        </w:rPr>
        <w:t>pandemic</w:t>
      </w:r>
      <w:r>
        <w:rPr>
          <w:rFonts w:eastAsia="Arial"/>
          <w:lang w:val="en-US"/>
        </w:rPr>
        <w:t xml:space="preserve"> which has led to</w:t>
      </w:r>
      <w:r w:rsidRPr="00A04731">
        <w:rPr>
          <w:rFonts w:eastAsia="Arial"/>
          <w:lang w:val="en-US"/>
        </w:rPr>
        <w:t xml:space="preserve"> </w:t>
      </w:r>
      <w:r w:rsidRPr="00A04731">
        <w:rPr>
          <w:rFonts w:eastAsia="Arial"/>
          <w:lang w:val="en-US"/>
        </w:rPr>
        <w:lastRenderedPageBreak/>
        <w:t xml:space="preserve">increased </w:t>
      </w:r>
      <w:r>
        <w:rPr>
          <w:rFonts w:eastAsia="Arial"/>
          <w:lang w:val="en-US"/>
        </w:rPr>
        <w:t xml:space="preserve">individual </w:t>
      </w:r>
      <w:r w:rsidRPr="00A04731">
        <w:rPr>
          <w:rFonts w:eastAsia="Arial"/>
          <w:lang w:val="en-US"/>
        </w:rPr>
        <w:t>workload</w:t>
      </w:r>
      <w:r>
        <w:rPr>
          <w:rFonts w:eastAsia="Arial"/>
          <w:lang w:val="en-US"/>
        </w:rPr>
        <w:t>s</w:t>
      </w:r>
      <w:r w:rsidR="002F32F4">
        <w:rPr>
          <w:rFonts w:eastAsia="Arial"/>
          <w:lang w:val="en-US"/>
        </w:rPr>
        <w:t>.</w:t>
      </w:r>
      <w:r w:rsidRPr="00A04731">
        <w:rPr>
          <w:rStyle w:val="FootnoteReference"/>
          <w:rFonts w:eastAsia="Arial"/>
          <w:lang w:val="en-US"/>
        </w:rPr>
        <w:footnoteReference w:id="23"/>
      </w:r>
      <w:r>
        <w:rPr>
          <w:rFonts w:eastAsia="Arial"/>
          <w:lang w:val="en-US"/>
        </w:rPr>
        <w:t xml:space="preserve"> COVID-19 has also</w:t>
      </w:r>
      <w:r w:rsidRPr="00A04731">
        <w:rPr>
          <w:rFonts w:eastAsia="Arial"/>
          <w:lang w:val="en-US"/>
        </w:rPr>
        <w:t xml:space="preserve"> led to increased mental health</w:t>
      </w:r>
      <w:r>
        <w:rPr>
          <w:rFonts w:eastAsia="Arial"/>
          <w:lang w:val="en-US"/>
        </w:rPr>
        <w:t xml:space="preserve"> issues for health care workers, with higher predominance of pandemic-related stress, increased post-traumatic stress disorder (PTSD), anxiety and depression being observed in healthcare workers</w:t>
      </w:r>
      <w:r w:rsidR="00292370">
        <w:rPr>
          <w:rFonts w:eastAsia="Arial"/>
          <w:lang w:val="en-US"/>
        </w:rPr>
        <w:t>.</w:t>
      </w:r>
      <w:r>
        <w:rPr>
          <w:rStyle w:val="FootnoteReference"/>
          <w:rFonts w:eastAsia="Arial"/>
          <w:lang w:val="en-US"/>
        </w:rPr>
        <w:footnoteReference w:id="24"/>
      </w:r>
      <w:r>
        <w:rPr>
          <w:rFonts w:eastAsia="Arial"/>
          <w:lang w:val="en-US"/>
        </w:rPr>
        <w:t xml:space="preserve"> Increasing ED presentations continues to put pressure on staff who’ve been under significant stress since 2020. </w:t>
      </w:r>
    </w:p>
    <w:p w14:paraId="13E0A606" w14:textId="58F0747C" w:rsidR="00C44C7E" w:rsidRDefault="00CC646D" w:rsidP="00C44C7E">
      <w:pPr>
        <w:tabs>
          <w:tab w:val="num" w:pos="720"/>
        </w:tabs>
        <w:rPr>
          <w:rFonts w:eastAsia="Arial"/>
          <w:lang w:val="en-US"/>
        </w:rPr>
      </w:pPr>
      <w:r>
        <w:rPr>
          <w:rFonts w:eastAsia="Arial"/>
          <w:lang w:val="en-US"/>
        </w:rPr>
        <w:t>Paramedics have also come under increasing pressure as episodes of ramping in most major cities become more frequent</w:t>
      </w:r>
      <w:r w:rsidR="006A712F">
        <w:rPr>
          <w:rFonts w:eastAsia="Arial"/>
          <w:lang w:val="en-US"/>
        </w:rPr>
        <w:t xml:space="preserve">, due to </w:t>
      </w:r>
      <w:r w:rsidR="002D6933">
        <w:rPr>
          <w:rFonts w:eastAsia="Arial"/>
          <w:lang w:val="en-US"/>
        </w:rPr>
        <w:t>EDs being at capacity.</w:t>
      </w:r>
      <w:r>
        <w:rPr>
          <w:rStyle w:val="FootnoteReference"/>
          <w:rFonts w:eastAsia="Arial"/>
          <w:lang w:val="en-US"/>
        </w:rPr>
        <w:footnoteReference w:id="25"/>
      </w:r>
      <w:r w:rsidR="00C44C7E">
        <w:rPr>
          <w:rFonts w:eastAsia="Arial"/>
          <w:lang w:val="en-US"/>
        </w:rPr>
        <w:t xml:space="preserve"> Some states are increasingly using paramedic workforce to prevent ED presentations and keep people at home to avoid adding on to ED pressure. </w:t>
      </w:r>
    </w:p>
    <w:p w14:paraId="0246DF53" w14:textId="3D2D5D4E" w:rsidR="00CC646D" w:rsidRDefault="00077D21" w:rsidP="00CC646D">
      <w:pPr>
        <w:tabs>
          <w:tab w:val="num" w:pos="720"/>
        </w:tabs>
        <w:rPr>
          <w:rFonts w:eastAsia="Arial"/>
          <w:lang w:val="en-US"/>
        </w:rPr>
      </w:pPr>
      <w:r w:rsidRPr="001025A3">
        <w:rPr>
          <w:rStyle w:val="Hyperlink"/>
          <w:rFonts w:eastAsia="Arial"/>
          <w:color w:val="auto"/>
          <w:u w:val="none"/>
          <w:lang w:val="en-US"/>
        </w:rPr>
        <w:t xml:space="preserve">While </w:t>
      </w:r>
      <w:r w:rsidR="00125FCA" w:rsidRPr="001025A3">
        <w:rPr>
          <w:rStyle w:val="Hyperlink"/>
          <w:rFonts w:eastAsia="Arial"/>
          <w:color w:val="auto"/>
          <w:u w:val="none"/>
          <w:lang w:val="en-US"/>
        </w:rPr>
        <w:t>“</w:t>
      </w:r>
      <w:r w:rsidR="008C72DA" w:rsidRPr="001025A3">
        <w:rPr>
          <w:rStyle w:val="Hyperlink"/>
          <w:rFonts w:eastAsia="Arial"/>
          <w:color w:val="auto"/>
          <w:u w:val="none"/>
          <w:lang w:val="en-US"/>
        </w:rPr>
        <w:t>ambulance ramping</w:t>
      </w:r>
      <w:r w:rsidR="00125FCA" w:rsidRPr="001025A3">
        <w:rPr>
          <w:rStyle w:val="Hyperlink"/>
          <w:rFonts w:eastAsia="Arial"/>
          <w:color w:val="auto"/>
          <w:u w:val="none"/>
          <w:lang w:val="en-US"/>
        </w:rPr>
        <w:t xml:space="preserve">” </w:t>
      </w:r>
      <w:r w:rsidR="00CE4389" w:rsidRPr="001025A3">
        <w:rPr>
          <w:rStyle w:val="Hyperlink"/>
          <w:rFonts w:eastAsia="Arial"/>
          <w:color w:val="auto"/>
          <w:u w:val="none"/>
          <w:lang w:val="en-US"/>
        </w:rPr>
        <w:t xml:space="preserve">continues to increase, </w:t>
      </w:r>
      <w:r w:rsidR="00CE4389">
        <w:rPr>
          <w:rFonts w:eastAsia="Arial"/>
          <w:lang w:val="en-US"/>
        </w:rPr>
        <w:t>m</w:t>
      </w:r>
      <w:r w:rsidR="00CC646D">
        <w:rPr>
          <w:rFonts w:eastAsia="Arial"/>
          <w:lang w:val="en-US"/>
        </w:rPr>
        <w:t xml:space="preserve">ost jurisdictions have seen </w:t>
      </w:r>
      <w:r w:rsidR="000E1F08">
        <w:rPr>
          <w:rFonts w:eastAsia="Arial"/>
          <w:lang w:val="en-US"/>
        </w:rPr>
        <w:t>a small improvement</w:t>
      </w:r>
      <w:r w:rsidR="00CC646D">
        <w:rPr>
          <w:rFonts w:eastAsia="Arial"/>
          <w:lang w:val="en-US"/>
        </w:rPr>
        <w:t xml:space="preserve"> in the amount of time taken for ambulances to transfer patients to the ED. For instance, </w:t>
      </w:r>
      <w:r w:rsidR="00EE3715">
        <w:rPr>
          <w:rFonts w:eastAsia="Arial"/>
          <w:lang w:val="en-US"/>
        </w:rPr>
        <w:t>New South Wales</w:t>
      </w:r>
      <w:r w:rsidR="00CC646D">
        <w:rPr>
          <w:rFonts w:eastAsia="Arial"/>
          <w:lang w:val="en-US"/>
        </w:rPr>
        <w:t xml:space="preserve"> </w:t>
      </w:r>
      <w:r w:rsidR="00A96180">
        <w:rPr>
          <w:rFonts w:eastAsia="Arial"/>
          <w:lang w:val="en-US"/>
        </w:rPr>
        <w:t xml:space="preserve">reported a </w:t>
      </w:r>
      <w:r w:rsidR="00400775">
        <w:rPr>
          <w:rFonts w:eastAsia="Arial"/>
          <w:lang w:val="en-US"/>
        </w:rPr>
        <w:t>1% increase</w:t>
      </w:r>
      <w:r w:rsidR="00BD2B69">
        <w:rPr>
          <w:rFonts w:eastAsia="Arial"/>
          <w:lang w:val="en-US"/>
        </w:rPr>
        <w:t xml:space="preserve"> in performance</w:t>
      </w:r>
      <w:r w:rsidR="00573DCC">
        <w:rPr>
          <w:rFonts w:eastAsia="Arial"/>
          <w:lang w:val="en-US"/>
        </w:rPr>
        <w:t xml:space="preserve"> in 2023-24,</w:t>
      </w:r>
      <w:r w:rsidR="00BD2B69">
        <w:rPr>
          <w:rFonts w:eastAsia="Arial"/>
          <w:lang w:val="en-US"/>
        </w:rPr>
        <w:t xml:space="preserve"> with 78</w:t>
      </w:r>
      <w:r w:rsidR="00CA5CF4">
        <w:rPr>
          <w:rFonts w:eastAsia="Arial"/>
          <w:lang w:val="en-US"/>
        </w:rPr>
        <w:t xml:space="preserve"> per cent of patients being transfer</w:t>
      </w:r>
      <w:r w:rsidR="00863985">
        <w:rPr>
          <w:rFonts w:eastAsia="Arial"/>
          <w:lang w:val="en-US"/>
        </w:rPr>
        <w:t>red within 30 minutes</w:t>
      </w:r>
      <w:r w:rsidR="00AD3B90">
        <w:rPr>
          <w:rFonts w:eastAsia="Arial"/>
          <w:lang w:val="en-US"/>
        </w:rPr>
        <w:t>.</w:t>
      </w:r>
      <w:r w:rsidR="00D84990">
        <w:rPr>
          <w:rStyle w:val="FootnoteReference"/>
          <w:rFonts w:eastAsia="Arial"/>
          <w:lang w:val="en-US"/>
        </w:rPr>
        <w:footnoteReference w:id="26"/>
      </w:r>
    </w:p>
    <w:p w14:paraId="2D0E312A" w14:textId="77777777" w:rsidR="00CC646D" w:rsidRPr="005C1884" w:rsidRDefault="00CC646D" w:rsidP="00CC646D">
      <w:pPr>
        <w:pStyle w:val="Heading3"/>
      </w:pPr>
      <w:bookmarkStart w:id="26" w:name="_Toc212110365"/>
      <w:bookmarkStart w:id="27" w:name="_Toc114582196"/>
      <w:r w:rsidRPr="005C1884">
        <w:t>Governments</w:t>
      </w:r>
      <w:bookmarkEnd w:id="26"/>
      <w:r w:rsidRPr="005C1884">
        <w:t xml:space="preserve"> </w:t>
      </w:r>
      <w:bookmarkEnd w:id="27"/>
    </w:p>
    <w:p w14:paraId="1480D0AF" w14:textId="6D0A64C8" w:rsidR="00CC646D" w:rsidRDefault="00CC646D" w:rsidP="00CC646D">
      <w:pPr>
        <w:rPr>
          <w:rFonts w:eastAsia="Arial"/>
        </w:rPr>
      </w:pPr>
      <w:r>
        <w:rPr>
          <w:rFonts w:eastAsia="Arial"/>
        </w:rPr>
        <w:t>In conjunction with funding from the Commonwealth, State and Territory governments are the administrators of the public hospital system. States and Territories have oversight as system managers of public hospitals and are responsible for determining the mix of services and functions delivered in their jurisdiction</w:t>
      </w:r>
      <w:r w:rsidR="005E33E5">
        <w:rPr>
          <w:rFonts w:eastAsia="Arial"/>
        </w:rPr>
        <w:t>.</w:t>
      </w:r>
      <w:r>
        <w:rPr>
          <w:rStyle w:val="FootnoteReference"/>
          <w:rFonts w:eastAsia="Arial"/>
        </w:rPr>
        <w:footnoteReference w:id="27"/>
      </w:r>
      <w:r>
        <w:rPr>
          <w:rFonts w:eastAsia="Arial"/>
        </w:rPr>
        <w:t xml:space="preserve"> The Commonwealth funds primary care through the </w:t>
      </w:r>
      <w:r w:rsidR="00A14CB7">
        <w:rPr>
          <w:rFonts w:eastAsia="Arial"/>
        </w:rPr>
        <w:t>MBS and</w:t>
      </w:r>
      <w:r>
        <w:rPr>
          <w:rFonts w:eastAsia="Arial"/>
        </w:rPr>
        <w:t xml:space="preserve"> Primary Health Networks (PHNs) </w:t>
      </w:r>
      <w:r w:rsidR="0076083D">
        <w:rPr>
          <w:rFonts w:eastAsia="Arial"/>
        </w:rPr>
        <w:t>to</w:t>
      </w:r>
      <w:r w:rsidR="00EB4B2B">
        <w:rPr>
          <w:rFonts w:eastAsia="Arial"/>
        </w:rPr>
        <w:t xml:space="preserve"> commission</w:t>
      </w:r>
      <w:r w:rsidR="0076083D">
        <w:rPr>
          <w:rFonts w:eastAsia="Arial"/>
        </w:rPr>
        <w:t xml:space="preserve"> the</w:t>
      </w:r>
      <w:r>
        <w:rPr>
          <w:rFonts w:eastAsia="Arial"/>
        </w:rPr>
        <w:t xml:space="preserve"> deliver</w:t>
      </w:r>
      <w:r w:rsidR="0076083D">
        <w:rPr>
          <w:rFonts w:eastAsia="Arial"/>
        </w:rPr>
        <w:t>y of</w:t>
      </w:r>
      <w:r>
        <w:rPr>
          <w:rFonts w:eastAsia="Arial"/>
        </w:rPr>
        <w:t xml:space="preserve"> </w:t>
      </w:r>
      <w:r w:rsidR="00892DC6">
        <w:rPr>
          <w:rFonts w:eastAsia="Arial"/>
        </w:rPr>
        <w:t xml:space="preserve">health care </w:t>
      </w:r>
      <w:r>
        <w:rPr>
          <w:rFonts w:eastAsia="Arial"/>
        </w:rPr>
        <w:t xml:space="preserve">services. </w:t>
      </w:r>
      <w:r w:rsidR="001025A3">
        <w:rPr>
          <w:rFonts w:eastAsia="Arial"/>
        </w:rPr>
        <w:t xml:space="preserve">Medicare </w:t>
      </w:r>
      <w:r>
        <w:rPr>
          <w:rFonts w:eastAsia="Arial"/>
        </w:rPr>
        <w:t xml:space="preserve">UCCs operate in both primary care and </w:t>
      </w:r>
      <w:r w:rsidR="001025A3">
        <w:rPr>
          <w:rFonts w:eastAsia="Arial"/>
        </w:rPr>
        <w:t xml:space="preserve">the </w:t>
      </w:r>
      <w:r>
        <w:rPr>
          <w:rFonts w:eastAsia="Arial"/>
        </w:rPr>
        <w:t xml:space="preserve">ED </w:t>
      </w:r>
      <w:r w:rsidR="001025A3">
        <w:rPr>
          <w:rFonts w:eastAsia="Arial"/>
        </w:rPr>
        <w:t>landscape</w:t>
      </w:r>
      <w:r>
        <w:rPr>
          <w:rFonts w:eastAsia="Arial"/>
        </w:rPr>
        <w:t xml:space="preserve"> and therefore require a close partnership between the Commonwealth and jurisdictions to </w:t>
      </w:r>
      <w:r w:rsidR="00B40DDF" w:rsidRPr="00440529">
        <w:rPr>
          <w:rFonts w:eastAsia="Arial"/>
        </w:rPr>
        <w:t>ensure better</w:t>
      </w:r>
      <w:r w:rsidR="00892DC6" w:rsidRPr="00440529">
        <w:rPr>
          <w:rFonts w:eastAsia="Arial"/>
        </w:rPr>
        <w:t xml:space="preserve"> integration</w:t>
      </w:r>
      <w:r w:rsidRPr="00440529">
        <w:rPr>
          <w:rFonts w:eastAsia="Arial"/>
        </w:rPr>
        <w:t xml:space="preserve"> </w:t>
      </w:r>
      <w:r w:rsidR="00892DC6" w:rsidRPr="00DE782E">
        <w:rPr>
          <w:rFonts w:eastAsia="Arial"/>
        </w:rPr>
        <w:t>of hospital services with primary care</w:t>
      </w:r>
      <w:r w:rsidR="00C01709" w:rsidRPr="00DE782E">
        <w:rPr>
          <w:rFonts w:eastAsia="Arial"/>
        </w:rPr>
        <w:t>.</w:t>
      </w:r>
    </w:p>
    <w:p w14:paraId="2CD2746F" w14:textId="13337944" w:rsidR="00CC646D" w:rsidRDefault="00AF224C" w:rsidP="00CC646D">
      <w:pPr>
        <w:rPr>
          <w:rFonts w:eastAsia="Arial"/>
        </w:rPr>
      </w:pPr>
      <w:r>
        <w:rPr>
          <w:rFonts w:eastAsia="Arial"/>
        </w:rPr>
        <w:t>Rising</w:t>
      </w:r>
      <w:r w:rsidR="00CC646D">
        <w:rPr>
          <w:rFonts w:eastAsia="Arial"/>
        </w:rPr>
        <w:t xml:space="preserve"> ED presentations</w:t>
      </w:r>
      <w:r w:rsidR="00FA55A2">
        <w:rPr>
          <w:rFonts w:eastAsia="Arial"/>
        </w:rPr>
        <w:t xml:space="preserve"> lead to greater </w:t>
      </w:r>
      <w:r w:rsidR="00CC646D">
        <w:rPr>
          <w:rFonts w:eastAsia="Arial"/>
        </w:rPr>
        <w:t>impacts</w:t>
      </w:r>
      <w:r w:rsidR="00354514">
        <w:rPr>
          <w:rFonts w:eastAsia="Arial"/>
        </w:rPr>
        <w:t xml:space="preserve"> on</w:t>
      </w:r>
      <w:r w:rsidR="00CC646D">
        <w:rPr>
          <w:rFonts w:eastAsia="Arial"/>
        </w:rPr>
        <w:t xml:space="preserve"> government</w:t>
      </w:r>
      <w:r w:rsidR="00FA55A2">
        <w:rPr>
          <w:rFonts w:eastAsia="Arial"/>
        </w:rPr>
        <w:t xml:space="preserve"> </w:t>
      </w:r>
      <w:r w:rsidR="009B4BCE">
        <w:rPr>
          <w:rFonts w:eastAsia="Arial"/>
        </w:rPr>
        <w:t>services and funding</w:t>
      </w:r>
      <w:r w:rsidR="00CC646D">
        <w:rPr>
          <w:rFonts w:eastAsia="Arial"/>
        </w:rPr>
        <w:t xml:space="preserve">. Patient presentations to EDs have significantly higher associated costs to governments than in the primary care system. </w:t>
      </w:r>
      <w:r w:rsidR="00DE782E">
        <w:rPr>
          <w:rFonts w:eastAsia="Arial"/>
        </w:rPr>
        <w:t>For example, a</w:t>
      </w:r>
      <w:r w:rsidR="00DE782E" w:rsidRPr="00DE782E">
        <w:rPr>
          <w:rFonts w:eastAsia="Arial"/>
        </w:rPr>
        <w:t>s at 30 September 2024, it is estimated that around 334,000 ED visits per year, each costing around $616, were avoided by people attending a Medicare UCC instead</w:t>
      </w:r>
      <w:r w:rsidR="00DE782E">
        <w:rPr>
          <w:rFonts w:eastAsia="Arial"/>
        </w:rPr>
        <w:t xml:space="preserve"> (approximately $248 per presentation)</w:t>
      </w:r>
      <w:r w:rsidR="00DE782E" w:rsidRPr="00DE782E">
        <w:rPr>
          <w:rFonts w:eastAsia="Arial"/>
        </w:rPr>
        <w:t>.</w:t>
      </w:r>
      <w:r w:rsidR="00A1661B">
        <w:rPr>
          <w:rStyle w:val="FootnoteReference"/>
          <w:rFonts w:eastAsia="Arial"/>
        </w:rPr>
        <w:footnoteReference w:id="28"/>
      </w:r>
      <w:r w:rsidR="00DE782E">
        <w:rPr>
          <w:rFonts w:eastAsia="Arial"/>
        </w:rPr>
        <w:t xml:space="preserve"> </w:t>
      </w:r>
      <w:r w:rsidR="00CC646D">
        <w:rPr>
          <w:rFonts w:eastAsia="Arial"/>
        </w:rPr>
        <w:t xml:space="preserve">This is largely attributable to the workforce profile (patients may see a nurse, doctor, radiologist or specialists) difference but also the larger reliance on diagnostic imaging and pathology conducted. The Independent </w:t>
      </w:r>
      <w:r w:rsidR="00782664">
        <w:rPr>
          <w:rFonts w:eastAsia="Arial"/>
        </w:rPr>
        <w:t xml:space="preserve">Health and Aged Care </w:t>
      </w:r>
      <w:r w:rsidR="00CC646D">
        <w:rPr>
          <w:rFonts w:eastAsia="Arial"/>
        </w:rPr>
        <w:t xml:space="preserve">Pricing </w:t>
      </w:r>
      <w:r w:rsidR="00A14CB7">
        <w:rPr>
          <w:rFonts w:eastAsia="Arial"/>
        </w:rPr>
        <w:t xml:space="preserve">Authority’s </w:t>
      </w:r>
      <w:r w:rsidR="00A14CB7" w:rsidRPr="009E7455">
        <w:rPr>
          <w:rFonts w:eastAsia="Arial"/>
          <w:i/>
          <w:iCs/>
        </w:rPr>
        <w:t>Australian</w:t>
      </w:r>
      <w:r w:rsidR="00CC646D" w:rsidRPr="00614C42">
        <w:rPr>
          <w:rFonts w:eastAsia="Arial"/>
          <w:i/>
          <w:iCs/>
        </w:rPr>
        <w:t xml:space="preserve"> Hospital Patient Costing Standards </w:t>
      </w:r>
      <w:r w:rsidR="00CC646D">
        <w:rPr>
          <w:rFonts w:eastAsia="Arial"/>
        </w:rPr>
        <w:t>indicate</w:t>
      </w:r>
      <w:r w:rsidR="00D257AF">
        <w:rPr>
          <w:rFonts w:eastAsia="Arial"/>
        </w:rPr>
        <w:t>s</w:t>
      </w:r>
      <w:r w:rsidR="00CC646D">
        <w:rPr>
          <w:rFonts w:eastAsia="Arial"/>
        </w:rPr>
        <w:t xml:space="preserve"> that ED costs comprise of approximately 70% of staff costs</w:t>
      </w:r>
      <w:r w:rsidR="00614C42">
        <w:rPr>
          <w:rFonts w:eastAsia="Arial"/>
        </w:rPr>
        <w:t>.</w:t>
      </w:r>
      <w:r w:rsidR="00CC646D">
        <w:rPr>
          <w:rStyle w:val="FootnoteReference"/>
          <w:rFonts w:eastAsia="Arial"/>
        </w:rPr>
        <w:footnoteReference w:id="29"/>
      </w:r>
      <w:r w:rsidR="00CC646D">
        <w:rPr>
          <w:rFonts w:eastAsia="Arial"/>
        </w:rPr>
        <w:t xml:space="preserve"> Comparing with primary care environments where patients will </w:t>
      </w:r>
      <w:r w:rsidR="00CC646D">
        <w:rPr>
          <w:rFonts w:eastAsia="Arial"/>
        </w:rPr>
        <w:lastRenderedPageBreak/>
        <w:t xml:space="preserve">typically interact with only their GP or a nurse, there would be significant cost savings if patients </w:t>
      </w:r>
      <w:r w:rsidR="00DF7D76">
        <w:rPr>
          <w:rFonts w:eastAsia="Arial"/>
        </w:rPr>
        <w:t xml:space="preserve">with </w:t>
      </w:r>
      <w:r w:rsidR="003D04E6">
        <w:rPr>
          <w:rFonts w:eastAsia="Arial"/>
        </w:rPr>
        <w:t xml:space="preserve">urgent but not life threatening conditions </w:t>
      </w:r>
      <w:r w:rsidR="00CC646D">
        <w:rPr>
          <w:rFonts w:eastAsia="Arial"/>
        </w:rPr>
        <w:t xml:space="preserve">presented to primary care settings rather than EDs. </w:t>
      </w:r>
    </w:p>
    <w:p w14:paraId="20C99C45" w14:textId="7943B1A7" w:rsidR="00CC646D" w:rsidRPr="005C1884" w:rsidRDefault="00876C05" w:rsidP="00CC646D">
      <w:pPr>
        <w:pStyle w:val="Heading2"/>
        <w:rPr>
          <w:noProof/>
        </w:rPr>
      </w:pPr>
      <w:bookmarkStart w:id="28" w:name="_Toc114582197"/>
      <w:bookmarkStart w:id="29" w:name="_Toc212110366"/>
      <w:r>
        <w:rPr>
          <w:noProof/>
        </w:rPr>
        <w:t xml:space="preserve">1.3 </w:t>
      </w:r>
      <w:r w:rsidR="00CC646D" w:rsidRPr="005C1884">
        <w:rPr>
          <w:noProof/>
        </w:rPr>
        <w:t>What is currently being done?</w:t>
      </w:r>
      <w:bookmarkEnd w:id="28"/>
      <w:bookmarkEnd w:id="29"/>
    </w:p>
    <w:p w14:paraId="717CC3A7" w14:textId="77777777" w:rsidR="00CC646D" w:rsidRPr="005C1884" w:rsidRDefault="00CC646D" w:rsidP="00CC646D">
      <w:pPr>
        <w:pStyle w:val="Heading3"/>
      </w:pPr>
      <w:bookmarkStart w:id="30" w:name="_Toc114582198"/>
      <w:bookmarkStart w:id="31" w:name="_Toc212110367"/>
      <w:r w:rsidRPr="005C1884">
        <w:t>Existing urgent care models</w:t>
      </w:r>
      <w:bookmarkEnd w:id="30"/>
      <w:bookmarkEnd w:id="31"/>
    </w:p>
    <w:p w14:paraId="4B463D7E" w14:textId="3674FF3F" w:rsidR="00D64BDC" w:rsidRDefault="00D64BDC" w:rsidP="00CC646D">
      <w:r w:rsidRPr="00D64BDC">
        <w:t xml:space="preserve">The </w:t>
      </w:r>
      <w:r>
        <w:t xml:space="preserve">Medicare UCC </w:t>
      </w:r>
      <w:r w:rsidRPr="00D64BDC">
        <w:t xml:space="preserve">Program operates amongst a variety of urgent care services delivered through GPs, hospitals, after-hours services and other state, territory and PHN programs. Some Medicare UCCs transitioned from pre-existing programs, including NSW Urgent Care Services, Victorian Priority Primary Care Centres, ACT Walk-in Centres and NT Primary Care Pilots (PCPs). Other Medicare UCCs </w:t>
      </w:r>
      <w:proofErr w:type="gramStart"/>
      <w:r w:rsidRPr="00D64BDC">
        <w:t>were</w:t>
      </w:r>
      <w:proofErr w:type="gramEnd"/>
      <w:r w:rsidRPr="00D64BDC">
        <w:t xml:space="preserve"> newly established to address the needs of communities across Australia. Urgent care services operating separate to the</w:t>
      </w:r>
      <w:r>
        <w:t xml:space="preserve"> Medicare UCC</w:t>
      </w:r>
      <w:r w:rsidRPr="00D64BDC">
        <w:t xml:space="preserve"> Program have different jurisdictional funding arrangements, operational requirements and in some instances, different eligibility criteria. </w:t>
      </w:r>
      <w:r w:rsidR="00C756A5">
        <w:t xml:space="preserve">Beyond the Medicare UCC program, </w:t>
      </w:r>
      <w:r w:rsidR="003D32F2">
        <w:t>t</w:t>
      </w:r>
      <w:r w:rsidRPr="00D64BDC">
        <w:t xml:space="preserve">here is </w:t>
      </w:r>
      <w:r w:rsidR="00F94631" w:rsidRPr="00D64BDC">
        <w:t xml:space="preserve">currently </w:t>
      </w:r>
      <w:r w:rsidR="00F94631">
        <w:t>no</w:t>
      </w:r>
      <w:r w:rsidRPr="00D64BDC">
        <w:t xml:space="preserve"> universal approach to delivering urgent care (outside of the ED) across Australia.</w:t>
      </w:r>
    </w:p>
    <w:p w14:paraId="5A6ACD89" w14:textId="2139ACB4" w:rsidR="00CC646D" w:rsidRDefault="00CC646D" w:rsidP="00CC646D">
      <w:r>
        <w:t>The</w:t>
      </w:r>
      <w:r w:rsidR="003F78D7">
        <w:t xml:space="preserve"> following</w:t>
      </w:r>
      <w:r>
        <w:t xml:space="preserve"> table </w:t>
      </w:r>
      <w:r w:rsidR="003F78D7">
        <w:t>provides an overview of</w:t>
      </w:r>
      <w:r>
        <w:t xml:space="preserve"> some of the urgent care models</w:t>
      </w:r>
      <w:r w:rsidR="003F78D7">
        <w:t xml:space="preserve"> currently</w:t>
      </w:r>
      <w:r>
        <w:t xml:space="preserve"> funded by states and territories. </w:t>
      </w:r>
    </w:p>
    <w:p w14:paraId="3C202146" w14:textId="35C59A96" w:rsidR="003F78D7" w:rsidRDefault="003F78D7" w:rsidP="003F78D7">
      <w:pPr>
        <w:pStyle w:val="Caption"/>
        <w:keepNext/>
      </w:pPr>
      <w:r>
        <w:t xml:space="preserve">Table </w:t>
      </w:r>
      <w:r>
        <w:fldChar w:fldCharType="begin"/>
      </w:r>
      <w:r>
        <w:instrText xml:space="preserve"> SEQ Table \* ARABIC </w:instrText>
      </w:r>
      <w:r>
        <w:fldChar w:fldCharType="separate"/>
      </w:r>
      <w:r w:rsidR="00513987">
        <w:rPr>
          <w:noProof/>
        </w:rPr>
        <w:t>2</w:t>
      </w:r>
      <w:r>
        <w:fldChar w:fldCharType="end"/>
      </w:r>
      <w:r>
        <w:t>: Existing state-funded models</w:t>
      </w:r>
    </w:p>
    <w:tbl>
      <w:tblPr>
        <w:tblStyle w:val="TableGrid1"/>
        <w:tblW w:w="10060" w:type="dxa"/>
        <w:tblLook w:val="04A0" w:firstRow="1" w:lastRow="0" w:firstColumn="1" w:lastColumn="0" w:noHBand="0" w:noVBand="1"/>
      </w:tblPr>
      <w:tblGrid>
        <w:gridCol w:w="2547"/>
        <w:gridCol w:w="7513"/>
      </w:tblGrid>
      <w:tr w:rsidR="003F78D7" w:rsidRPr="003F78D7" w14:paraId="65828851" w14:textId="77777777" w:rsidTr="00A14CB7">
        <w:tc>
          <w:tcPr>
            <w:tcW w:w="2547" w:type="dxa"/>
            <w:shd w:val="clear" w:color="auto" w:fill="E1E9F0" w:themeFill="text1" w:themeFillTint="1A"/>
          </w:tcPr>
          <w:p w14:paraId="7B56D8AF" w14:textId="77777777" w:rsidR="003F78D7" w:rsidRPr="003F78D7" w:rsidRDefault="003F78D7" w:rsidP="003F78D7">
            <w:pPr>
              <w:widowControl w:val="0"/>
              <w:spacing w:after="0" w:line="276" w:lineRule="auto"/>
              <w:ind w:right="-284"/>
              <w:rPr>
                <w:rFonts w:asciiTheme="minorHAnsi" w:eastAsiaTheme="minorEastAsia" w:hAnsiTheme="minorHAnsi" w:cstheme="minorBidi"/>
                <w:b/>
                <w:bCs/>
                <w:szCs w:val="21"/>
                <w:lang w:eastAsia="en-US"/>
              </w:rPr>
            </w:pPr>
            <w:r w:rsidRPr="003F78D7">
              <w:rPr>
                <w:rFonts w:asciiTheme="minorHAnsi" w:eastAsiaTheme="minorEastAsia" w:hAnsiTheme="minorHAnsi" w:cstheme="minorBidi"/>
                <w:b/>
                <w:bCs/>
                <w:szCs w:val="21"/>
                <w:lang w:eastAsia="en-US"/>
              </w:rPr>
              <w:t>Service</w:t>
            </w:r>
          </w:p>
        </w:tc>
        <w:tc>
          <w:tcPr>
            <w:tcW w:w="7513" w:type="dxa"/>
            <w:shd w:val="clear" w:color="auto" w:fill="E1E9F0" w:themeFill="text1" w:themeFillTint="1A"/>
          </w:tcPr>
          <w:p w14:paraId="4DC3A44A" w14:textId="77777777" w:rsidR="003F78D7" w:rsidRPr="003F78D7" w:rsidRDefault="003F78D7" w:rsidP="003F78D7">
            <w:pPr>
              <w:widowControl w:val="0"/>
              <w:spacing w:after="0" w:line="276" w:lineRule="auto"/>
              <w:ind w:right="-284"/>
              <w:rPr>
                <w:rFonts w:asciiTheme="minorHAnsi" w:eastAsiaTheme="minorEastAsia" w:hAnsiTheme="minorHAnsi" w:cstheme="minorBidi"/>
                <w:b/>
                <w:bCs/>
                <w:szCs w:val="21"/>
                <w:lang w:eastAsia="en-US"/>
              </w:rPr>
            </w:pPr>
            <w:r w:rsidRPr="003F78D7">
              <w:rPr>
                <w:rFonts w:asciiTheme="minorHAnsi" w:eastAsiaTheme="minorEastAsia" w:hAnsiTheme="minorHAnsi" w:cstheme="minorBidi"/>
                <w:b/>
                <w:bCs/>
                <w:szCs w:val="21"/>
                <w:lang w:eastAsia="en-US"/>
              </w:rPr>
              <w:t>Model</w:t>
            </w:r>
          </w:p>
        </w:tc>
      </w:tr>
      <w:tr w:rsidR="003F78D7" w:rsidRPr="003F78D7" w14:paraId="739933E7" w14:textId="77777777" w:rsidTr="00031C98">
        <w:tc>
          <w:tcPr>
            <w:tcW w:w="2547" w:type="dxa"/>
          </w:tcPr>
          <w:p w14:paraId="5BB478AB" w14:textId="2B8673E3" w:rsidR="003F78D7" w:rsidRPr="003F78D7" w:rsidRDefault="003F78D7" w:rsidP="003F78D7">
            <w:pPr>
              <w:widowControl w:val="0"/>
              <w:spacing w:after="0" w:line="276" w:lineRule="auto"/>
              <w:ind w:right="179"/>
              <w:rPr>
                <w:rFonts w:asciiTheme="minorHAnsi" w:eastAsiaTheme="minorEastAsia" w:hAnsiTheme="minorHAnsi" w:cstheme="minorBidi"/>
                <w:szCs w:val="21"/>
                <w:lang w:eastAsia="en-US"/>
              </w:rPr>
            </w:pPr>
            <w:r w:rsidRPr="003F78D7">
              <w:rPr>
                <w:rFonts w:asciiTheme="minorHAnsi" w:eastAsiaTheme="minorEastAsia" w:hAnsiTheme="minorHAnsi" w:cstheme="minorBidi"/>
                <w:szCs w:val="21"/>
                <w:lang w:eastAsia="en-US"/>
              </w:rPr>
              <w:t xml:space="preserve">Urgent Care Services </w:t>
            </w:r>
            <w:r w:rsidR="00C01709">
              <w:rPr>
                <w:rFonts w:asciiTheme="minorHAnsi" w:eastAsiaTheme="minorEastAsia" w:hAnsiTheme="minorHAnsi" w:cstheme="minorBidi"/>
                <w:szCs w:val="21"/>
                <w:lang w:eastAsia="en-US"/>
              </w:rPr>
              <w:t>(UCS</w:t>
            </w:r>
            <w:r w:rsidR="007D5EDE">
              <w:rPr>
                <w:rFonts w:asciiTheme="minorHAnsi" w:eastAsiaTheme="minorEastAsia" w:hAnsiTheme="minorHAnsi" w:cstheme="minorBidi"/>
                <w:szCs w:val="21"/>
                <w:lang w:eastAsia="en-US"/>
              </w:rPr>
              <w:t>s</w:t>
            </w:r>
            <w:r w:rsidR="00C01709">
              <w:rPr>
                <w:rFonts w:asciiTheme="minorHAnsi" w:eastAsiaTheme="minorEastAsia" w:hAnsiTheme="minorHAnsi" w:cstheme="minorBidi"/>
                <w:szCs w:val="21"/>
                <w:lang w:eastAsia="en-US"/>
              </w:rPr>
              <w:t>)</w:t>
            </w:r>
            <w:r w:rsidR="007D5EDE">
              <w:rPr>
                <w:rFonts w:asciiTheme="minorHAnsi" w:eastAsiaTheme="minorEastAsia" w:hAnsiTheme="minorHAnsi" w:cstheme="minorBidi"/>
                <w:szCs w:val="21"/>
                <w:lang w:eastAsia="en-US"/>
              </w:rPr>
              <w:t xml:space="preserve"> </w:t>
            </w:r>
            <w:r w:rsidRPr="003F78D7">
              <w:rPr>
                <w:rFonts w:asciiTheme="minorHAnsi" w:eastAsiaTheme="minorEastAsia" w:hAnsiTheme="minorHAnsi" w:cstheme="minorBidi"/>
                <w:szCs w:val="21"/>
                <w:lang w:eastAsia="en-US"/>
              </w:rPr>
              <w:t xml:space="preserve">(NSW) </w:t>
            </w:r>
          </w:p>
        </w:tc>
        <w:tc>
          <w:tcPr>
            <w:tcW w:w="7513" w:type="dxa"/>
          </w:tcPr>
          <w:p w14:paraId="358631E1" w14:textId="77777777" w:rsidR="003F78D7" w:rsidRPr="003F78D7" w:rsidRDefault="003F78D7" w:rsidP="003F78D7">
            <w:pPr>
              <w:widowControl w:val="0"/>
              <w:numPr>
                <w:ilvl w:val="0"/>
                <w:numId w:val="23"/>
              </w:numPr>
              <w:spacing w:after="0" w:line="276" w:lineRule="auto"/>
              <w:ind w:right="31"/>
              <w:contextualSpacing/>
              <w:rPr>
                <w:rFonts w:asciiTheme="minorHAnsi" w:eastAsiaTheme="minorEastAsia" w:hAnsiTheme="minorHAnsi" w:cstheme="minorBidi"/>
                <w:szCs w:val="21"/>
                <w:lang w:eastAsia="en-US"/>
              </w:rPr>
            </w:pPr>
            <w:r w:rsidRPr="003F78D7">
              <w:rPr>
                <w:rFonts w:asciiTheme="minorHAnsi" w:eastAsiaTheme="minorEastAsia" w:hAnsiTheme="minorHAnsi" w:cstheme="minorBidi"/>
                <w:szCs w:val="21"/>
                <w:lang w:eastAsia="en-US"/>
              </w:rPr>
              <w:t xml:space="preserve">Five models: </w:t>
            </w:r>
          </w:p>
          <w:p w14:paraId="783464F1" w14:textId="77777777" w:rsidR="003F78D7" w:rsidRPr="003F78D7" w:rsidRDefault="003F78D7" w:rsidP="003F78D7">
            <w:pPr>
              <w:widowControl w:val="0"/>
              <w:numPr>
                <w:ilvl w:val="1"/>
                <w:numId w:val="23"/>
              </w:numPr>
              <w:spacing w:after="0" w:line="276" w:lineRule="auto"/>
              <w:ind w:right="31"/>
              <w:contextualSpacing/>
              <w:rPr>
                <w:rFonts w:asciiTheme="minorHAnsi" w:eastAsiaTheme="minorEastAsia" w:hAnsiTheme="minorHAnsi" w:cstheme="minorBidi"/>
                <w:szCs w:val="21"/>
                <w:lang w:eastAsia="en-US"/>
              </w:rPr>
            </w:pPr>
            <w:r w:rsidRPr="003F78D7">
              <w:rPr>
                <w:rFonts w:asciiTheme="minorHAnsi" w:eastAsiaTheme="minorEastAsia" w:hAnsiTheme="minorHAnsi" w:cstheme="minorBidi"/>
                <w:szCs w:val="21"/>
                <w:lang w:eastAsia="en-US"/>
              </w:rPr>
              <w:t>Urgent Care Clinics – face-to-face, predominantly located in general practice</w:t>
            </w:r>
          </w:p>
          <w:p w14:paraId="0D117A73" w14:textId="77777777" w:rsidR="003F78D7" w:rsidRPr="003F78D7" w:rsidRDefault="003F78D7" w:rsidP="003F78D7">
            <w:pPr>
              <w:widowControl w:val="0"/>
              <w:numPr>
                <w:ilvl w:val="1"/>
                <w:numId w:val="23"/>
              </w:numPr>
              <w:spacing w:after="0" w:line="276" w:lineRule="auto"/>
              <w:ind w:right="31"/>
              <w:contextualSpacing/>
              <w:rPr>
                <w:rFonts w:asciiTheme="minorHAnsi" w:eastAsiaTheme="minorEastAsia" w:hAnsiTheme="minorHAnsi" w:cstheme="minorBidi"/>
                <w:szCs w:val="21"/>
                <w:lang w:eastAsia="en-US"/>
              </w:rPr>
            </w:pPr>
            <w:r w:rsidRPr="003F78D7">
              <w:rPr>
                <w:rFonts w:asciiTheme="minorHAnsi" w:eastAsiaTheme="minorEastAsia" w:hAnsiTheme="minorHAnsi" w:cstheme="minorBidi"/>
                <w:szCs w:val="21"/>
                <w:lang w:eastAsia="en-US"/>
              </w:rPr>
              <w:t xml:space="preserve">Urgent care access line – such as Healthdirect </w:t>
            </w:r>
          </w:p>
          <w:p w14:paraId="72933BDB" w14:textId="77777777" w:rsidR="003F78D7" w:rsidRPr="003F78D7" w:rsidRDefault="003F78D7" w:rsidP="003F78D7">
            <w:pPr>
              <w:widowControl w:val="0"/>
              <w:numPr>
                <w:ilvl w:val="1"/>
                <w:numId w:val="23"/>
              </w:numPr>
              <w:spacing w:after="0" w:line="276" w:lineRule="auto"/>
              <w:ind w:right="31"/>
              <w:contextualSpacing/>
              <w:rPr>
                <w:rFonts w:asciiTheme="minorHAnsi" w:eastAsiaTheme="minorEastAsia" w:hAnsiTheme="minorHAnsi" w:cstheme="minorBidi"/>
                <w:szCs w:val="21"/>
                <w:lang w:eastAsia="en-US"/>
              </w:rPr>
            </w:pPr>
            <w:r w:rsidRPr="003F78D7">
              <w:rPr>
                <w:rFonts w:asciiTheme="minorHAnsi" w:eastAsiaTheme="minorEastAsia" w:hAnsiTheme="minorHAnsi" w:cstheme="minorBidi"/>
                <w:szCs w:val="21"/>
                <w:lang w:eastAsia="en-US"/>
              </w:rPr>
              <w:t>Rapid response hospital team – health professionals delivering outreach care</w:t>
            </w:r>
          </w:p>
          <w:p w14:paraId="156C3599" w14:textId="77777777" w:rsidR="003F78D7" w:rsidRPr="003F78D7" w:rsidRDefault="003F78D7" w:rsidP="003F78D7">
            <w:pPr>
              <w:widowControl w:val="0"/>
              <w:numPr>
                <w:ilvl w:val="1"/>
                <w:numId w:val="23"/>
              </w:numPr>
              <w:spacing w:after="0" w:line="276" w:lineRule="auto"/>
              <w:ind w:right="31"/>
              <w:contextualSpacing/>
              <w:rPr>
                <w:rFonts w:asciiTheme="minorHAnsi" w:eastAsiaTheme="minorEastAsia" w:hAnsiTheme="minorHAnsi" w:cstheme="minorBidi"/>
                <w:szCs w:val="21"/>
                <w:lang w:eastAsia="en-US"/>
              </w:rPr>
            </w:pPr>
            <w:r w:rsidRPr="003F78D7">
              <w:rPr>
                <w:rFonts w:asciiTheme="minorHAnsi" w:eastAsiaTheme="minorEastAsia" w:hAnsiTheme="minorHAnsi" w:cstheme="minorBidi"/>
                <w:szCs w:val="21"/>
                <w:lang w:eastAsia="en-US"/>
              </w:rPr>
              <w:t xml:space="preserve">In-home urgent care service – community-based specialist care </w:t>
            </w:r>
          </w:p>
          <w:p w14:paraId="7350FDEE" w14:textId="77777777" w:rsidR="003F78D7" w:rsidRPr="003F78D7" w:rsidRDefault="003F78D7" w:rsidP="003F78D7">
            <w:pPr>
              <w:widowControl w:val="0"/>
              <w:numPr>
                <w:ilvl w:val="1"/>
                <w:numId w:val="23"/>
              </w:numPr>
              <w:spacing w:after="0" w:line="276" w:lineRule="auto"/>
              <w:ind w:right="31"/>
              <w:contextualSpacing/>
              <w:rPr>
                <w:rFonts w:asciiTheme="minorHAnsi" w:eastAsiaTheme="minorEastAsia" w:hAnsiTheme="minorHAnsi" w:cstheme="minorBidi"/>
                <w:szCs w:val="21"/>
                <w:lang w:eastAsia="en-US"/>
              </w:rPr>
            </w:pPr>
            <w:r w:rsidRPr="003F78D7">
              <w:rPr>
                <w:rFonts w:asciiTheme="minorHAnsi" w:eastAsiaTheme="minorEastAsia" w:hAnsiTheme="minorHAnsi" w:cstheme="minorBidi"/>
                <w:szCs w:val="21"/>
                <w:lang w:eastAsia="en-US"/>
              </w:rPr>
              <w:t>Virtual urgent care service – delivered via phone or video conference</w:t>
            </w:r>
          </w:p>
          <w:p w14:paraId="052A7B04" w14:textId="0BE2044D" w:rsidR="003F78D7" w:rsidRPr="003F78D7" w:rsidRDefault="003F78D7" w:rsidP="003F78D7">
            <w:pPr>
              <w:widowControl w:val="0"/>
              <w:numPr>
                <w:ilvl w:val="0"/>
                <w:numId w:val="23"/>
              </w:numPr>
              <w:spacing w:after="0" w:line="276" w:lineRule="auto"/>
              <w:ind w:right="31"/>
              <w:contextualSpacing/>
              <w:rPr>
                <w:rFonts w:asciiTheme="minorHAnsi" w:eastAsiaTheme="minorEastAsia" w:hAnsiTheme="minorHAnsi" w:cstheme="minorBidi"/>
                <w:szCs w:val="21"/>
                <w:lang w:eastAsia="en-US"/>
              </w:rPr>
            </w:pPr>
            <w:r w:rsidRPr="003F78D7">
              <w:rPr>
                <w:rFonts w:asciiTheme="minorHAnsi" w:eastAsiaTheme="minorEastAsia" w:hAnsiTheme="minorHAnsi" w:cstheme="minorBidi"/>
                <w:szCs w:val="21"/>
                <w:lang w:eastAsia="en-US"/>
              </w:rPr>
              <w:t xml:space="preserve">Some UCSs have been granted </w:t>
            </w:r>
            <w:hyperlink r:id="rId17" w:history="1">
              <w:r w:rsidRPr="008402B3">
                <w:rPr>
                  <w:rStyle w:val="Hyperlink"/>
                  <w:rFonts w:asciiTheme="minorHAnsi" w:eastAsiaTheme="minorEastAsia" w:hAnsiTheme="minorHAnsi" w:cstheme="minorBidi"/>
                  <w:szCs w:val="21"/>
                  <w:lang w:eastAsia="en-US"/>
                </w:rPr>
                <w:t>ss19(2) Direction</w:t>
              </w:r>
            </w:hyperlink>
            <w:r w:rsidRPr="003F78D7">
              <w:rPr>
                <w:rFonts w:asciiTheme="minorHAnsi" w:eastAsiaTheme="minorEastAsia" w:hAnsiTheme="minorHAnsi" w:cstheme="minorBidi"/>
                <w:szCs w:val="21"/>
                <w:lang w:eastAsia="en-US"/>
              </w:rPr>
              <w:t xml:space="preserve"> under the Commonwealth Program and must adhere to Medicare UCC Operational Guidance. </w:t>
            </w:r>
          </w:p>
          <w:p w14:paraId="49BDFD21" w14:textId="77777777" w:rsidR="003F78D7" w:rsidRPr="003F78D7" w:rsidRDefault="003F78D7" w:rsidP="003F78D7">
            <w:pPr>
              <w:widowControl w:val="0"/>
              <w:numPr>
                <w:ilvl w:val="0"/>
                <w:numId w:val="23"/>
              </w:numPr>
              <w:spacing w:after="0" w:line="276" w:lineRule="auto"/>
              <w:ind w:right="31"/>
              <w:contextualSpacing/>
              <w:rPr>
                <w:rFonts w:asciiTheme="minorHAnsi" w:eastAsiaTheme="minorEastAsia" w:hAnsiTheme="minorHAnsi" w:cstheme="minorBidi"/>
                <w:szCs w:val="21"/>
                <w:lang w:eastAsia="en-US"/>
              </w:rPr>
            </w:pPr>
            <w:r w:rsidRPr="003F78D7">
              <w:rPr>
                <w:rFonts w:asciiTheme="minorHAnsi" w:eastAsiaTheme="minorEastAsia" w:hAnsiTheme="minorHAnsi" w:cstheme="minorBidi"/>
                <w:szCs w:val="21"/>
                <w:lang w:eastAsia="en-US"/>
              </w:rPr>
              <w:t xml:space="preserve">Preferred entry via referral from Healthdirect, though walk-ins accommodated (but not advertised). </w:t>
            </w:r>
          </w:p>
          <w:p w14:paraId="18A4A911" w14:textId="77777777" w:rsidR="003F78D7" w:rsidRPr="003F78D7" w:rsidRDefault="003F78D7" w:rsidP="003F78D7">
            <w:pPr>
              <w:widowControl w:val="0"/>
              <w:numPr>
                <w:ilvl w:val="0"/>
                <w:numId w:val="23"/>
              </w:numPr>
              <w:spacing w:after="0" w:line="276" w:lineRule="auto"/>
              <w:ind w:right="31"/>
              <w:contextualSpacing/>
              <w:rPr>
                <w:rFonts w:asciiTheme="minorHAnsi" w:eastAsiaTheme="minorEastAsia" w:hAnsiTheme="minorHAnsi" w:cstheme="minorBidi"/>
                <w:szCs w:val="21"/>
                <w:lang w:eastAsia="en-US"/>
              </w:rPr>
            </w:pPr>
            <w:r w:rsidRPr="003F78D7">
              <w:rPr>
                <w:rFonts w:asciiTheme="minorHAnsi" w:eastAsiaTheme="minorEastAsia" w:hAnsiTheme="minorHAnsi" w:cstheme="minorBidi"/>
                <w:szCs w:val="21"/>
                <w:lang w:eastAsia="en-US"/>
              </w:rPr>
              <w:t xml:space="preserve">Free for Medicare eligible patients and community-based asylum seekers. </w:t>
            </w:r>
          </w:p>
          <w:p w14:paraId="7FF6AEFD" w14:textId="77777777" w:rsidR="003F78D7" w:rsidRPr="003F78D7" w:rsidRDefault="003F78D7" w:rsidP="003F78D7">
            <w:pPr>
              <w:widowControl w:val="0"/>
              <w:numPr>
                <w:ilvl w:val="0"/>
                <w:numId w:val="23"/>
              </w:numPr>
              <w:spacing w:after="0" w:line="276" w:lineRule="auto"/>
              <w:ind w:right="31"/>
              <w:contextualSpacing/>
              <w:rPr>
                <w:rFonts w:asciiTheme="minorHAnsi" w:eastAsiaTheme="minorEastAsia" w:hAnsiTheme="minorHAnsi" w:cstheme="minorBidi"/>
                <w:szCs w:val="21"/>
                <w:lang w:eastAsia="en-US"/>
              </w:rPr>
            </w:pPr>
            <w:r w:rsidRPr="003F78D7">
              <w:rPr>
                <w:rFonts w:asciiTheme="minorHAnsi" w:eastAsiaTheme="minorEastAsia" w:hAnsiTheme="minorHAnsi" w:cstheme="minorBidi"/>
                <w:szCs w:val="21"/>
                <w:lang w:eastAsia="en-US"/>
              </w:rPr>
              <w:t xml:space="preserve">Open 8am-8pm, 7 days. </w:t>
            </w:r>
          </w:p>
          <w:p w14:paraId="35A41A7E" w14:textId="77777777" w:rsidR="003F78D7" w:rsidRPr="003F78D7" w:rsidRDefault="003F78D7" w:rsidP="003F78D7">
            <w:pPr>
              <w:widowControl w:val="0"/>
              <w:numPr>
                <w:ilvl w:val="0"/>
                <w:numId w:val="23"/>
              </w:numPr>
              <w:spacing w:after="0" w:line="276" w:lineRule="auto"/>
              <w:ind w:right="31"/>
              <w:contextualSpacing/>
              <w:rPr>
                <w:rFonts w:asciiTheme="minorHAnsi" w:eastAsiaTheme="minorEastAsia" w:hAnsiTheme="minorHAnsi" w:cstheme="minorBidi"/>
                <w:szCs w:val="21"/>
                <w:lang w:eastAsia="en-US"/>
              </w:rPr>
            </w:pPr>
            <w:r w:rsidRPr="003F78D7">
              <w:rPr>
                <w:rFonts w:asciiTheme="minorHAnsi" w:eastAsiaTheme="minorEastAsia" w:hAnsiTheme="minorHAnsi" w:cstheme="minorBidi"/>
                <w:szCs w:val="21"/>
                <w:lang w:eastAsia="en-US"/>
              </w:rPr>
              <w:t>Commissioned through PHNs.</w:t>
            </w:r>
          </w:p>
        </w:tc>
      </w:tr>
      <w:tr w:rsidR="003F78D7" w:rsidRPr="003F78D7" w14:paraId="1E88C9EF" w14:textId="77777777" w:rsidTr="00031C98">
        <w:tc>
          <w:tcPr>
            <w:tcW w:w="2547" w:type="dxa"/>
          </w:tcPr>
          <w:p w14:paraId="576926D8" w14:textId="77777777" w:rsidR="003F78D7" w:rsidRPr="003F78D7" w:rsidRDefault="003F78D7" w:rsidP="003F78D7">
            <w:pPr>
              <w:widowControl w:val="0"/>
              <w:spacing w:after="0" w:line="276" w:lineRule="auto"/>
              <w:ind w:right="179"/>
              <w:rPr>
                <w:rFonts w:asciiTheme="minorHAnsi" w:eastAsiaTheme="minorEastAsia" w:hAnsiTheme="minorHAnsi" w:cstheme="minorBidi"/>
                <w:szCs w:val="21"/>
                <w:lang w:eastAsia="en-US"/>
              </w:rPr>
            </w:pPr>
            <w:r w:rsidRPr="003F78D7">
              <w:rPr>
                <w:rFonts w:asciiTheme="minorHAnsi" w:eastAsiaTheme="minorEastAsia" w:hAnsiTheme="minorHAnsi" w:cstheme="minorBidi"/>
                <w:szCs w:val="21"/>
                <w:lang w:eastAsia="en-US"/>
              </w:rPr>
              <w:lastRenderedPageBreak/>
              <w:t xml:space="preserve">Victorian Urgent Care Clinics [previously Priority Primary Care Centres] (Vic) </w:t>
            </w:r>
          </w:p>
        </w:tc>
        <w:tc>
          <w:tcPr>
            <w:tcW w:w="7513" w:type="dxa"/>
          </w:tcPr>
          <w:p w14:paraId="7804051B" w14:textId="77777777" w:rsidR="003F78D7" w:rsidRPr="003F78D7" w:rsidRDefault="003F78D7" w:rsidP="003F78D7">
            <w:pPr>
              <w:widowControl w:val="0"/>
              <w:numPr>
                <w:ilvl w:val="0"/>
                <w:numId w:val="23"/>
              </w:numPr>
              <w:spacing w:after="0" w:line="276" w:lineRule="auto"/>
              <w:ind w:right="31"/>
              <w:contextualSpacing/>
              <w:rPr>
                <w:rFonts w:asciiTheme="minorHAnsi" w:eastAsiaTheme="minorEastAsia" w:hAnsiTheme="minorHAnsi" w:cstheme="minorBidi"/>
                <w:szCs w:val="21"/>
                <w:lang w:eastAsia="en-US"/>
              </w:rPr>
            </w:pPr>
            <w:r w:rsidRPr="003F78D7">
              <w:rPr>
                <w:rFonts w:asciiTheme="minorHAnsi" w:eastAsiaTheme="minorEastAsia" w:hAnsiTheme="minorHAnsi" w:cstheme="minorBidi"/>
                <w:szCs w:val="21"/>
                <w:lang w:eastAsia="en-US"/>
              </w:rPr>
              <w:t xml:space="preserve">GP-led. </w:t>
            </w:r>
          </w:p>
          <w:p w14:paraId="4D44D871" w14:textId="77777777" w:rsidR="003F78D7" w:rsidRPr="003F78D7" w:rsidRDefault="003F78D7" w:rsidP="003F78D7">
            <w:pPr>
              <w:widowControl w:val="0"/>
              <w:numPr>
                <w:ilvl w:val="0"/>
                <w:numId w:val="23"/>
              </w:numPr>
              <w:spacing w:after="0" w:line="276" w:lineRule="auto"/>
              <w:ind w:right="31"/>
              <w:contextualSpacing/>
              <w:rPr>
                <w:rFonts w:asciiTheme="minorHAnsi" w:eastAsiaTheme="minorEastAsia" w:hAnsiTheme="minorHAnsi" w:cstheme="minorBidi"/>
                <w:szCs w:val="21"/>
                <w:lang w:eastAsia="en-US"/>
              </w:rPr>
            </w:pPr>
            <w:r w:rsidRPr="003F78D7">
              <w:rPr>
                <w:rFonts w:asciiTheme="minorHAnsi" w:eastAsiaTheme="minorEastAsia" w:hAnsiTheme="minorHAnsi" w:cstheme="minorBidi"/>
                <w:szCs w:val="21"/>
                <w:lang w:eastAsia="en-US"/>
              </w:rPr>
              <w:t xml:space="preserve">Open extended hours (14-16 hours per day), 7 days. </w:t>
            </w:r>
          </w:p>
          <w:p w14:paraId="653035CC" w14:textId="77777777" w:rsidR="003F78D7" w:rsidRPr="003F78D7" w:rsidRDefault="003F78D7" w:rsidP="003F78D7">
            <w:pPr>
              <w:widowControl w:val="0"/>
              <w:numPr>
                <w:ilvl w:val="0"/>
                <w:numId w:val="23"/>
              </w:numPr>
              <w:spacing w:after="0" w:line="276" w:lineRule="auto"/>
              <w:ind w:right="31"/>
              <w:contextualSpacing/>
              <w:rPr>
                <w:rFonts w:asciiTheme="minorHAnsi" w:eastAsiaTheme="minorEastAsia" w:hAnsiTheme="minorHAnsi" w:cstheme="minorBidi"/>
                <w:szCs w:val="21"/>
                <w:lang w:eastAsia="en-US"/>
              </w:rPr>
            </w:pPr>
            <w:r w:rsidRPr="003F78D7">
              <w:rPr>
                <w:rFonts w:asciiTheme="minorHAnsi" w:eastAsiaTheme="minorEastAsia" w:hAnsiTheme="minorHAnsi" w:cstheme="minorBidi"/>
                <w:szCs w:val="21"/>
                <w:lang w:eastAsia="en-US"/>
              </w:rPr>
              <w:t xml:space="preserve">See people with low acuity conditions, such as fractures, burns and mild infections. </w:t>
            </w:r>
          </w:p>
          <w:p w14:paraId="058CCFA5" w14:textId="77777777" w:rsidR="003F78D7" w:rsidRPr="003F78D7" w:rsidRDefault="003F78D7" w:rsidP="003F78D7">
            <w:pPr>
              <w:widowControl w:val="0"/>
              <w:numPr>
                <w:ilvl w:val="0"/>
                <w:numId w:val="23"/>
              </w:numPr>
              <w:spacing w:after="0" w:line="276" w:lineRule="auto"/>
              <w:ind w:right="31"/>
              <w:contextualSpacing/>
              <w:rPr>
                <w:rFonts w:asciiTheme="minorHAnsi" w:eastAsiaTheme="minorEastAsia" w:hAnsiTheme="minorHAnsi" w:cstheme="minorBidi"/>
                <w:szCs w:val="21"/>
                <w:lang w:eastAsia="en-US"/>
              </w:rPr>
            </w:pPr>
            <w:r w:rsidRPr="003F78D7">
              <w:rPr>
                <w:rFonts w:asciiTheme="minorHAnsi" w:eastAsiaTheme="minorEastAsia" w:hAnsiTheme="minorHAnsi" w:cstheme="minorBidi"/>
                <w:szCs w:val="21"/>
                <w:lang w:eastAsia="en-US"/>
              </w:rPr>
              <w:t xml:space="preserve">Subject to ss19(2) under the Commonwealth Program and must adhere to Medicare UCC Operational Guidance. </w:t>
            </w:r>
          </w:p>
          <w:p w14:paraId="06069C13" w14:textId="77777777" w:rsidR="003F78D7" w:rsidRPr="003F78D7" w:rsidRDefault="003F78D7" w:rsidP="003F78D7">
            <w:pPr>
              <w:widowControl w:val="0"/>
              <w:numPr>
                <w:ilvl w:val="0"/>
                <w:numId w:val="23"/>
              </w:numPr>
              <w:spacing w:after="0" w:line="276" w:lineRule="auto"/>
              <w:ind w:right="31"/>
              <w:contextualSpacing/>
              <w:rPr>
                <w:rFonts w:asciiTheme="minorHAnsi" w:eastAsiaTheme="minorEastAsia" w:hAnsiTheme="minorHAnsi" w:cstheme="minorBidi"/>
                <w:szCs w:val="21"/>
                <w:lang w:eastAsia="en-US"/>
              </w:rPr>
            </w:pPr>
            <w:r w:rsidRPr="003F78D7">
              <w:rPr>
                <w:rFonts w:asciiTheme="minorHAnsi" w:eastAsiaTheme="minorEastAsia" w:hAnsiTheme="minorHAnsi" w:cstheme="minorBidi"/>
                <w:szCs w:val="21"/>
                <w:lang w:eastAsia="en-US"/>
              </w:rPr>
              <w:t xml:space="preserve">Walk-in services. </w:t>
            </w:r>
          </w:p>
          <w:p w14:paraId="469E420B" w14:textId="77777777" w:rsidR="003F78D7" w:rsidRPr="003F78D7" w:rsidRDefault="003F78D7" w:rsidP="003F78D7">
            <w:pPr>
              <w:widowControl w:val="0"/>
              <w:numPr>
                <w:ilvl w:val="0"/>
                <w:numId w:val="23"/>
              </w:numPr>
              <w:spacing w:after="0" w:line="276" w:lineRule="auto"/>
              <w:ind w:right="31"/>
              <w:contextualSpacing/>
              <w:rPr>
                <w:rFonts w:asciiTheme="minorHAnsi" w:eastAsiaTheme="minorEastAsia" w:hAnsiTheme="minorHAnsi" w:cstheme="minorBidi"/>
                <w:szCs w:val="21"/>
                <w:lang w:eastAsia="en-US"/>
              </w:rPr>
            </w:pPr>
            <w:r w:rsidRPr="003F78D7">
              <w:rPr>
                <w:rFonts w:asciiTheme="minorHAnsi" w:eastAsiaTheme="minorEastAsia" w:hAnsiTheme="minorHAnsi" w:cstheme="minorBidi"/>
                <w:szCs w:val="21"/>
                <w:lang w:eastAsia="en-US"/>
              </w:rPr>
              <w:t xml:space="preserve">Free regardless of Medicare eligibility. </w:t>
            </w:r>
          </w:p>
          <w:p w14:paraId="4058823A" w14:textId="77777777" w:rsidR="003F78D7" w:rsidRPr="003F78D7" w:rsidRDefault="003F78D7" w:rsidP="003F78D7">
            <w:pPr>
              <w:widowControl w:val="0"/>
              <w:numPr>
                <w:ilvl w:val="0"/>
                <w:numId w:val="23"/>
              </w:numPr>
              <w:spacing w:after="0" w:line="276" w:lineRule="auto"/>
              <w:ind w:right="31"/>
              <w:contextualSpacing/>
              <w:rPr>
                <w:rFonts w:asciiTheme="minorHAnsi" w:eastAsiaTheme="minorEastAsia" w:hAnsiTheme="minorHAnsi" w:cstheme="minorBidi"/>
                <w:szCs w:val="21"/>
                <w:lang w:eastAsia="en-US"/>
              </w:rPr>
            </w:pPr>
            <w:r w:rsidRPr="003F78D7">
              <w:rPr>
                <w:rFonts w:asciiTheme="minorHAnsi" w:eastAsiaTheme="minorEastAsia" w:hAnsiTheme="minorHAnsi" w:cstheme="minorBidi"/>
                <w:szCs w:val="21"/>
                <w:lang w:eastAsia="en-US"/>
              </w:rPr>
              <w:t xml:space="preserve">Commissioned through PHNs. </w:t>
            </w:r>
          </w:p>
        </w:tc>
      </w:tr>
      <w:tr w:rsidR="003F78D7" w:rsidRPr="003F78D7" w14:paraId="4C4F5274" w14:textId="77777777" w:rsidTr="00031C98">
        <w:trPr>
          <w:trHeight w:val="300"/>
        </w:trPr>
        <w:tc>
          <w:tcPr>
            <w:tcW w:w="2547" w:type="dxa"/>
          </w:tcPr>
          <w:p w14:paraId="00B787A8" w14:textId="77777777" w:rsidR="003F78D7" w:rsidRPr="003F78D7" w:rsidRDefault="003F78D7" w:rsidP="003F78D7">
            <w:pPr>
              <w:spacing w:after="0" w:line="276" w:lineRule="auto"/>
              <w:rPr>
                <w:rFonts w:asciiTheme="minorHAnsi" w:eastAsiaTheme="minorEastAsia" w:hAnsiTheme="minorHAnsi" w:cstheme="minorBidi"/>
                <w:szCs w:val="21"/>
                <w:lang w:eastAsia="en-US"/>
              </w:rPr>
            </w:pPr>
            <w:r w:rsidRPr="003F78D7">
              <w:rPr>
                <w:rFonts w:asciiTheme="minorHAnsi" w:eastAsiaTheme="minorEastAsia" w:hAnsiTheme="minorHAnsi" w:cstheme="minorBidi"/>
                <w:szCs w:val="21"/>
                <w:lang w:eastAsia="en-US"/>
              </w:rPr>
              <w:t>Satellite Hospitals (</w:t>
            </w:r>
            <w:proofErr w:type="gramStart"/>
            <w:r w:rsidRPr="003F78D7">
              <w:rPr>
                <w:rFonts w:asciiTheme="minorHAnsi" w:eastAsiaTheme="minorEastAsia" w:hAnsiTheme="minorHAnsi" w:cstheme="minorBidi"/>
                <w:szCs w:val="21"/>
                <w:lang w:eastAsia="en-US"/>
              </w:rPr>
              <w:t>South East</w:t>
            </w:r>
            <w:proofErr w:type="gramEnd"/>
            <w:r w:rsidRPr="003F78D7">
              <w:rPr>
                <w:rFonts w:asciiTheme="minorHAnsi" w:eastAsiaTheme="minorEastAsia" w:hAnsiTheme="minorHAnsi" w:cstheme="minorBidi"/>
                <w:szCs w:val="21"/>
                <w:lang w:eastAsia="en-US"/>
              </w:rPr>
              <w:t xml:space="preserve"> Qld)</w:t>
            </w:r>
          </w:p>
        </w:tc>
        <w:tc>
          <w:tcPr>
            <w:tcW w:w="7513" w:type="dxa"/>
          </w:tcPr>
          <w:p w14:paraId="1BDBE37E" w14:textId="77777777" w:rsidR="003F78D7" w:rsidRPr="003F78D7" w:rsidRDefault="003F78D7" w:rsidP="003F78D7">
            <w:pPr>
              <w:numPr>
                <w:ilvl w:val="0"/>
                <w:numId w:val="23"/>
              </w:numPr>
              <w:spacing w:after="0" w:line="276" w:lineRule="auto"/>
              <w:contextualSpacing/>
              <w:rPr>
                <w:rFonts w:asciiTheme="minorHAnsi" w:eastAsiaTheme="minorEastAsia" w:hAnsiTheme="minorHAnsi" w:cstheme="minorBidi"/>
                <w:szCs w:val="21"/>
                <w:lang w:eastAsia="en-US"/>
              </w:rPr>
            </w:pPr>
            <w:r w:rsidRPr="003F78D7">
              <w:rPr>
                <w:rFonts w:asciiTheme="minorHAnsi" w:eastAsiaTheme="minorEastAsia" w:hAnsiTheme="minorHAnsi" w:cstheme="minorBidi"/>
                <w:szCs w:val="21"/>
                <w:lang w:eastAsia="en-US"/>
              </w:rPr>
              <w:t xml:space="preserve">Minor injury and illness clinics </w:t>
            </w:r>
          </w:p>
          <w:p w14:paraId="5DB319BC" w14:textId="77777777" w:rsidR="003F78D7" w:rsidRPr="003F78D7" w:rsidRDefault="003F78D7" w:rsidP="003F78D7">
            <w:pPr>
              <w:numPr>
                <w:ilvl w:val="0"/>
                <w:numId w:val="23"/>
              </w:numPr>
              <w:spacing w:after="0" w:line="276" w:lineRule="auto"/>
              <w:contextualSpacing/>
              <w:rPr>
                <w:rFonts w:asciiTheme="minorHAnsi" w:eastAsiaTheme="minorEastAsia" w:hAnsiTheme="minorHAnsi" w:cstheme="minorBidi"/>
                <w:szCs w:val="21"/>
                <w:lang w:eastAsia="en-US"/>
              </w:rPr>
            </w:pPr>
            <w:r w:rsidRPr="003F78D7">
              <w:rPr>
                <w:rFonts w:asciiTheme="minorHAnsi" w:eastAsiaTheme="minorEastAsia" w:hAnsiTheme="minorHAnsi" w:cstheme="minorBidi"/>
                <w:szCs w:val="21"/>
                <w:lang w:eastAsia="en-US"/>
              </w:rPr>
              <w:t>Walk in, urgent care services</w:t>
            </w:r>
          </w:p>
          <w:p w14:paraId="3AEF3925" w14:textId="77777777" w:rsidR="003F78D7" w:rsidRPr="003F78D7" w:rsidRDefault="003F78D7" w:rsidP="003F78D7">
            <w:pPr>
              <w:numPr>
                <w:ilvl w:val="0"/>
                <w:numId w:val="23"/>
              </w:numPr>
              <w:spacing w:after="0" w:line="276" w:lineRule="auto"/>
              <w:contextualSpacing/>
              <w:rPr>
                <w:rFonts w:asciiTheme="minorHAnsi" w:eastAsiaTheme="minorEastAsia" w:hAnsiTheme="minorHAnsi" w:cstheme="minorBidi"/>
                <w:szCs w:val="21"/>
                <w:lang w:eastAsia="en-US"/>
              </w:rPr>
            </w:pPr>
            <w:r w:rsidRPr="003F78D7">
              <w:rPr>
                <w:rFonts w:asciiTheme="minorHAnsi" w:eastAsiaTheme="minorEastAsia" w:hAnsiTheme="minorHAnsi" w:cstheme="minorBidi"/>
                <w:szCs w:val="21"/>
                <w:lang w:eastAsia="en-US"/>
              </w:rPr>
              <w:t>Open 8am until 10pm, seven days a week, with health staff working until 11:30pm</w:t>
            </w:r>
          </w:p>
          <w:p w14:paraId="06701B8F" w14:textId="77777777" w:rsidR="003F78D7" w:rsidRPr="003F78D7" w:rsidRDefault="003F78D7" w:rsidP="003F78D7">
            <w:pPr>
              <w:numPr>
                <w:ilvl w:val="0"/>
                <w:numId w:val="23"/>
              </w:numPr>
              <w:spacing w:after="0" w:line="276" w:lineRule="auto"/>
              <w:contextualSpacing/>
              <w:rPr>
                <w:rFonts w:asciiTheme="minorHAnsi" w:eastAsiaTheme="minorEastAsia" w:hAnsiTheme="minorHAnsi" w:cstheme="minorBidi"/>
                <w:szCs w:val="21"/>
                <w:lang w:eastAsia="en-US"/>
              </w:rPr>
            </w:pPr>
            <w:r w:rsidRPr="003F78D7">
              <w:rPr>
                <w:rFonts w:asciiTheme="minorHAnsi" w:eastAsiaTheme="minorEastAsia" w:hAnsiTheme="minorHAnsi" w:cstheme="minorBidi"/>
                <w:szCs w:val="21"/>
                <w:lang w:eastAsia="en-US"/>
              </w:rPr>
              <w:t>Medical imaging and diagnostic services</w:t>
            </w:r>
          </w:p>
          <w:p w14:paraId="15DDEBA2" w14:textId="77777777" w:rsidR="003F78D7" w:rsidRPr="003F78D7" w:rsidRDefault="003F78D7" w:rsidP="003F78D7">
            <w:pPr>
              <w:numPr>
                <w:ilvl w:val="0"/>
                <w:numId w:val="23"/>
              </w:numPr>
              <w:spacing w:after="0" w:line="276" w:lineRule="auto"/>
              <w:contextualSpacing/>
              <w:rPr>
                <w:rFonts w:asciiTheme="minorHAnsi" w:eastAsiaTheme="minorEastAsia" w:hAnsiTheme="minorHAnsi" w:cstheme="minorBidi"/>
                <w:szCs w:val="21"/>
                <w:lang w:eastAsia="en-US"/>
              </w:rPr>
            </w:pPr>
            <w:r w:rsidRPr="003F78D7">
              <w:rPr>
                <w:rFonts w:asciiTheme="minorHAnsi" w:eastAsiaTheme="minorEastAsia" w:hAnsiTheme="minorHAnsi" w:cstheme="minorBidi"/>
                <w:szCs w:val="21"/>
                <w:lang w:eastAsia="en-US"/>
              </w:rPr>
              <w:t>Additional referral-based outpatient services offered e.g. mental health support, kidney dialysis, medical and allied health specialty clinics</w:t>
            </w:r>
          </w:p>
          <w:p w14:paraId="7DA55F8B" w14:textId="77777777" w:rsidR="003F78D7" w:rsidRPr="003F78D7" w:rsidRDefault="003F78D7" w:rsidP="003F78D7">
            <w:pPr>
              <w:numPr>
                <w:ilvl w:val="0"/>
                <w:numId w:val="23"/>
              </w:numPr>
              <w:spacing w:after="0" w:line="276" w:lineRule="auto"/>
              <w:contextualSpacing/>
              <w:rPr>
                <w:rFonts w:asciiTheme="minorHAnsi" w:eastAsiaTheme="minorEastAsia" w:hAnsiTheme="minorHAnsi" w:cstheme="minorBidi"/>
                <w:szCs w:val="21"/>
                <w:lang w:eastAsia="en-US"/>
              </w:rPr>
            </w:pPr>
            <w:r w:rsidRPr="003F78D7">
              <w:rPr>
                <w:rFonts w:asciiTheme="minorHAnsi" w:eastAsiaTheme="minorEastAsia" w:hAnsiTheme="minorHAnsi" w:cstheme="minorBidi"/>
                <w:szCs w:val="21"/>
                <w:lang w:eastAsia="en-US"/>
              </w:rPr>
              <w:t>7 locations, supporting Metro North, Metro South, West Moreton and Gold Coast hospital and health services</w:t>
            </w:r>
          </w:p>
        </w:tc>
      </w:tr>
      <w:tr w:rsidR="003F78D7" w:rsidRPr="003F78D7" w14:paraId="29D3CB26" w14:textId="77777777" w:rsidTr="00031C98">
        <w:tc>
          <w:tcPr>
            <w:tcW w:w="2547" w:type="dxa"/>
          </w:tcPr>
          <w:p w14:paraId="1A1B08D4" w14:textId="77777777" w:rsidR="003F78D7" w:rsidRPr="003F78D7" w:rsidRDefault="003F78D7" w:rsidP="003F78D7">
            <w:pPr>
              <w:widowControl w:val="0"/>
              <w:spacing w:after="0" w:line="276" w:lineRule="auto"/>
              <w:ind w:right="179"/>
              <w:rPr>
                <w:rFonts w:asciiTheme="minorHAnsi" w:eastAsiaTheme="minorEastAsia" w:hAnsiTheme="minorHAnsi" w:cstheme="minorBidi"/>
                <w:szCs w:val="21"/>
                <w:lang w:eastAsia="en-US"/>
              </w:rPr>
            </w:pPr>
            <w:r w:rsidRPr="003F78D7">
              <w:rPr>
                <w:rFonts w:asciiTheme="minorHAnsi" w:eastAsiaTheme="minorEastAsia" w:hAnsiTheme="minorHAnsi" w:cstheme="minorBidi"/>
                <w:szCs w:val="21"/>
                <w:lang w:eastAsia="en-US"/>
              </w:rPr>
              <w:t>Priority Care Centres (SA)</w:t>
            </w:r>
          </w:p>
        </w:tc>
        <w:tc>
          <w:tcPr>
            <w:tcW w:w="7513" w:type="dxa"/>
          </w:tcPr>
          <w:p w14:paraId="1A2E7AF2" w14:textId="77777777" w:rsidR="003F78D7" w:rsidRPr="003F78D7" w:rsidRDefault="003F78D7" w:rsidP="003F78D7">
            <w:pPr>
              <w:widowControl w:val="0"/>
              <w:numPr>
                <w:ilvl w:val="0"/>
                <w:numId w:val="23"/>
              </w:numPr>
              <w:spacing w:after="0" w:line="276" w:lineRule="auto"/>
              <w:ind w:right="31"/>
              <w:contextualSpacing/>
              <w:rPr>
                <w:rFonts w:asciiTheme="minorHAnsi" w:eastAsiaTheme="minorEastAsia" w:hAnsiTheme="minorHAnsi" w:cstheme="minorBidi"/>
                <w:szCs w:val="21"/>
                <w:lang w:eastAsia="en-US"/>
              </w:rPr>
            </w:pPr>
            <w:r w:rsidRPr="003F78D7">
              <w:rPr>
                <w:rFonts w:asciiTheme="minorHAnsi" w:eastAsiaTheme="minorEastAsia" w:hAnsiTheme="minorHAnsi" w:cstheme="minorBidi"/>
                <w:szCs w:val="21"/>
                <w:lang w:eastAsia="en-US"/>
              </w:rPr>
              <w:t xml:space="preserve">GP-led with support from nurses. </w:t>
            </w:r>
          </w:p>
          <w:p w14:paraId="042F45CC" w14:textId="77777777" w:rsidR="003F78D7" w:rsidRPr="003F78D7" w:rsidRDefault="003F78D7" w:rsidP="003F78D7">
            <w:pPr>
              <w:widowControl w:val="0"/>
              <w:numPr>
                <w:ilvl w:val="0"/>
                <w:numId w:val="23"/>
              </w:numPr>
              <w:spacing w:after="0" w:line="276" w:lineRule="auto"/>
              <w:ind w:right="31"/>
              <w:contextualSpacing/>
              <w:rPr>
                <w:rFonts w:asciiTheme="minorHAnsi" w:eastAsiaTheme="minorEastAsia" w:hAnsiTheme="minorHAnsi" w:cstheme="minorBidi"/>
                <w:szCs w:val="21"/>
                <w:lang w:eastAsia="en-US"/>
              </w:rPr>
            </w:pPr>
            <w:r w:rsidRPr="003F78D7">
              <w:rPr>
                <w:rFonts w:asciiTheme="minorHAnsi" w:eastAsiaTheme="minorEastAsia" w:hAnsiTheme="minorHAnsi" w:cstheme="minorBidi"/>
                <w:szCs w:val="21"/>
                <w:lang w:eastAsia="en-US"/>
              </w:rPr>
              <w:t>Community-based health care for urgent but non-</w:t>
            </w:r>
            <w:proofErr w:type="gramStart"/>
            <w:r w:rsidRPr="003F78D7">
              <w:rPr>
                <w:rFonts w:asciiTheme="minorHAnsi" w:eastAsiaTheme="minorEastAsia" w:hAnsiTheme="minorHAnsi" w:cstheme="minorBidi"/>
                <w:szCs w:val="21"/>
                <w:lang w:eastAsia="en-US"/>
              </w:rPr>
              <w:t>life threatening</w:t>
            </w:r>
            <w:proofErr w:type="gramEnd"/>
            <w:r w:rsidRPr="003F78D7">
              <w:rPr>
                <w:rFonts w:asciiTheme="minorHAnsi" w:eastAsiaTheme="minorEastAsia" w:hAnsiTheme="minorHAnsi" w:cstheme="minorBidi"/>
                <w:szCs w:val="21"/>
                <w:lang w:eastAsia="en-US"/>
              </w:rPr>
              <w:t xml:space="preserve"> conditions. </w:t>
            </w:r>
          </w:p>
          <w:p w14:paraId="24955936" w14:textId="77777777" w:rsidR="003F78D7" w:rsidRPr="003F78D7" w:rsidRDefault="003F78D7" w:rsidP="003F78D7">
            <w:pPr>
              <w:widowControl w:val="0"/>
              <w:numPr>
                <w:ilvl w:val="0"/>
                <w:numId w:val="23"/>
              </w:numPr>
              <w:spacing w:after="0" w:line="276" w:lineRule="auto"/>
              <w:ind w:right="31"/>
              <w:contextualSpacing/>
              <w:rPr>
                <w:rFonts w:asciiTheme="minorHAnsi" w:eastAsiaTheme="minorEastAsia" w:hAnsiTheme="minorHAnsi" w:cstheme="minorBidi"/>
                <w:szCs w:val="21"/>
                <w:lang w:eastAsia="en-US"/>
              </w:rPr>
            </w:pPr>
            <w:r w:rsidRPr="003F78D7">
              <w:rPr>
                <w:rFonts w:asciiTheme="minorHAnsi" w:eastAsiaTheme="minorEastAsia" w:hAnsiTheme="minorHAnsi" w:cstheme="minorBidi"/>
                <w:szCs w:val="21"/>
                <w:lang w:eastAsia="en-US"/>
              </w:rPr>
              <w:t xml:space="preserve">Referrals only, no walk-ins. </w:t>
            </w:r>
          </w:p>
          <w:p w14:paraId="108C25A4" w14:textId="77777777" w:rsidR="003F78D7" w:rsidRPr="003F78D7" w:rsidRDefault="003F78D7" w:rsidP="003F78D7">
            <w:pPr>
              <w:widowControl w:val="0"/>
              <w:numPr>
                <w:ilvl w:val="0"/>
                <w:numId w:val="23"/>
              </w:numPr>
              <w:spacing w:after="0" w:line="276" w:lineRule="auto"/>
              <w:ind w:right="31"/>
              <w:contextualSpacing/>
              <w:rPr>
                <w:rFonts w:asciiTheme="minorHAnsi" w:eastAsiaTheme="minorEastAsia" w:hAnsiTheme="minorHAnsi" w:cstheme="minorBidi"/>
                <w:szCs w:val="21"/>
                <w:lang w:eastAsia="en-US"/>
              </w:rPr>
            </w:pPr>
            <w:r w:rsidRPr="003F78D7">
              <w:rPr>
                <w:rFonts w:asciiTheme="minorHAnsi" w:eastAsiaTheme="minorEastAsia" w:hAnsiTheme="minorHAnsi" w:cstheme="minorBidi"/>
                <w:szCs w:val="21"/>
                <w:lang w:eastAsia="en-US"/>
              </w:rPr>
              <w:t xml:space="preserve">Free for Medicare card holders. </w:t>
            </w:r>
          </w:p>
          <w:p w14:paraId="6B8CC0D1" w14:textId="77777777" w:rsidR="003F78D7" w:rsidRPr="003F78D7" w:rsidRDefault="003F78D7" w:rsidP="003F78D7">
            <w:pPr>
              <w:widowControl w:val="0"/>
              <w:numPr>
                <w:ilvl w:val="0"/>
                <w:numId w:val="23"/>
              </w:numPr>
              <w:spacing w:after="0" w:line="276" w:lineRule="auto"/>
              <w:ind w:right="31"/>
              <w:contextualSpacing/>
              <w:rPr>
                <w:rFonts w:asciiTheme="minorHAnsi" w:eastAsiaTheme="minorEastAsia" w:hAnsiTheme="minorHAnsi" w:cstheme="minorBidi"/>
                <w:szCs w:val="21"/>
                <w:lang w:eastAsia="en-US"/>
              </w:rPr>
            </w:pPr>
            <w:r w:rsidRPr="003F78D7">
              <w:rPr>
                <w:rFonts w:asciiTheme="minorHAnsi" w:eastAsiaTheme="minorEastAsia" w:hAnsiTheme="minorHAnsi" w:cstheme="minorBidi"/>
                <w:szCs w:val="21"/>
                <w:lang w:eastAsia="en-US"/>
              </w:rPr>
              <w:t>Co-located with Elizabeth Medicare UCC, Marion Medicare UCC and Para Hills Medicare UCC.</w:t>
            </w:r>
          </w:p>
          <w:p w14:paraId="11CE13A1" w14:textId="77777777" w:rsidR="003F78D7" w:rsidRPr="003F78D7" w:rsidRDefault="003F78D7" w:rsidP="003F78D7">
            <w:pPr>
              <w:keepNext/>
              <w:widowControl w:val="0"/>
              <w:numPr>
                <w:ilvl w:val="0"/>
                <w:numId w:val="23"/>
              </w:numPr>
              <w:spacing w:after="0" w:line="276" w:lineRule="auto"/>
              <w:ind w:right="31"/>
              <w:contextualSpacing/>
              <w:rPr>
                <w:rFonts w:asciiTheme="minorHAnsi" w:eastAsiaTheme="minorEastAsia" w:hAnsiTheme="minorHAnsi" w:cstheme="minorBidi"/>
                <w:szCs w:val="21"/>
                <w:lang w:eastAsia="en-US"/>
              </w:rPr>
            </w:pPr>
            <w:r w:rsidRPr="003F78D7">
              <w:rPr>
                <w:rFonts w:asciiTheme="minorHAnsi" w:eastAsiaTheme="minorEastAsia" w:hAnsiTheme="minorHAnsi" w:cstheme="minorBidi"/>
                <w:szCs w:val="21"/>
                <w:lang w:eastAsia="en-US"/>
              </w:rPr>
              <w:t>Commissioned through Adelaide PHN.</w:t>
            </w:r>
          </w:p>
        </w:tc>
      </w:tr>
    </w:tbl>
    <w:p w14:paraId="35F817AC" w14:textId="77777777" w:rsidR="00CC646D" w:rsidRPr="005C1884" w:rsidRDefault="00CC646D" w:rsidP="00CC646D">
      <w:pPr>
        <w:pStyle w:val="Heading3"/>
      </w:pPr>
      <w:bookmarkStart w:id="32" w:name="_Toc114582199"/>
      <w:bookmarkStart w:id="33" w:name="_Toc212110368"/>
      <w:r w:rsidRPr="005C1884">
        <w:t>Emergency department diversion programs</w:t>
      </w:r>
      <w:bookmarkEnd w:id="32"/>
      <w:bookmarkEnd w:id="33"/>
      <w:r w:rsidRPr="005C1884">
        <w:t xml:space="preserve"> </w:t>
      </w:r>
    </w:p>
    <w:p w14:paraId="09B0E6A6" w14:textId="4E9DD18D" w:rsidR="00CC646D" w:rsidRPr="000D2287" w:rsidRDefault="00CC646D" w:rsidP="00CC646D">
      <w:pPr>
        <w:rPr>
          <w:rFonts w:eastAsia="Arial"/>
        </w:rPr>
      </w:pPr>
      <w:r>
        <w:rPr>
          <w:rFonts w:eastAsia="Arial"/>
        </w:rPr>
        <w:t>Jurisdictions have implemented diversion programs to reduce ED presentations. These programs make up the urgent care ecosystem and include afterhours GPs co-located at hospitals, nurse advice lines, and increasingly a shift to virtual care at home. Other programs like the increas</w:t>
      </w:r>
      <w:r w:rsidR="00C01709">
        <w:rPr>
          <w:rFonts w:eastAsia="Arial"/>
        </w:rPr>
        <w:t>ed</w:t>
      </w:r>
      <w:r>
        <w:rPr>
          <w:rFonts w:eastAsia="Arial"/>
        </w:rPr>
        <w:t xml:space="preserve"> use of paramedic practitioners in some jurisdictions are also examples of attempts to reduce the number of people seeking treatment from ED, particularly in the semi-</w:t>
      </w:r>
      <w:r w:rsidR="00EB5652">
        <w:rPr>
          <w:rFonts w:eastAsia="Arial"/>
        </w:rPr>
        <w:t>urgent</w:t>
      </w:r>
      <w:r>
        <w:rPr>
          <w:rFonts w:eastAsia="Arial"/>
        </w:rPr>
        <w:t xml:space="preserve"> and non-urgent triage categories.   </w:t>
      </w:r>
    </w:p>
    <w:p w14:paraId="742E6403" w14:textId="614D8CBC" w:rsidR="0073098D" w:rsidRPr="0056402A" w:rsidRDefault="0073098D" w:rsidP="0056402A">
      <w:pPr>
        <w:pStyle w:val="Heading3"/>
      </w:pPr>
      <w:bookmarkStart w:id="34" w:name="_Toc212110369"/>
      <w:r w:rsidRPr="0056402A">
        <w:lastRenderedPageBreak/>
        <w:t>Bulk</w:t>
      </w:r>
      <w:r w:rsidR="00300CF9">
        <w:t xml:space="preserve"> </w:t>
      </w:r>
      <w:r w:rsidRPr="0056402A">
        <w:t>Billing</w:t>
      </w:r>
      <w:r w:rsidR="00534339" w:rsidRPr="0056402A">
        <w:t xml:space="preserve"> reforms</w:t>
      </w:r>
      <w:bookmarkEnd w:id="34"/>
    </w:p>
    <w:p w14:paraId="75A21A77" w14:textId="7BC7009D" w:rsidR="00534339" w:rsidRDefault="007D3D42" w:rsidP="00CC646D">
      <w:pPr>
        <w:rPr>
          <w:rFonts w:eastAsia="Arial"/>
        </w:rPr>
      </w:pPr>
      <w:r>
        <w:rPr>
          <w:rFonts w:eastAsia="Arial"/>
        </w:rPr>
        <w:t>As part of</w:t>
      </w:r>
      <w:r w:rsidR="007B3894">
        <w:rPr>
          <w:rFonts w:eastAsia="Arial"/>
        </w:rPr>
        <w:t xml:space="preserve"> the 2025-26 Budget</w:t>
      </w:r>
      <w:r w:rsidR="009F5A79">
        <w:rPr>
          <w:rFonts w:eastAsia="Arial"/>
        </w:rPr>
        <w:t>, the</w:t>
      </w:r>
      <w:r w:rsidR="007B3894">
        <w:rPr>
          <w:rFonts w:eastAsia="Arial"/>
        </w:rPr>
        <w:t xml:space="preserve"> Australian</w:t>
      </w:r>
      <w:r w:rsidR="009F5A79">
        <w:rPr>
          <w:rFonts w:eastAsia="Arial"/>
        </w:rPr>
        <w:t xml:space="preserve"> Government announced </w:t>
      </w:r>
      <w:r w:rsidR="00D227F7">
        <w:rPr>
          <w:rFonts w:eastAsia="Arial"/>
        </w:rPr>
        <w:t xml:space="preserve">a $7.9 </w:t>
      </w:r>
      <w:r w:rsidR="007B3894">
        <w:rPr>
          <w:rFonts w:eastAsia="Arial"/>
        </w:rPr>
        <w:t>b</w:t>
      </w:r>
      <w:r w:rsidR="00D227F7">
        <w:rPr>
          <w:rFonts w:eastAsia="Arial"/>
        </w:rPr>
        <w:t xml:space="preserve">illion investment to support </w:t>
      </w:r>
      <w:r w:rsidR="00201018">
        <w:rPr>
          <w:rFonts w:eastAsia="Arial"/>
        </w:rPr>
        <w:t>GPs to bulk bill more patients</w:t>
      </w:r>
      <w:r w:rsidR="00770E45">
        <w:rPr>
          <w:rFonts w:eastAsia="Arial"/>
        </w:rPr>
        <w:t>.</w:t>
      </w:r>
      <w:r w:rsidR="000136FA">
        <w:rPr>
          <w:rStyle w:val="FootnoteReference"/>
          <w:rFonts w:eastAsia="Arial"/>
        </w:rPr>
        <w:footnoteReference w:id="30"/>
      </w:r>
      <w:r w:rsidR="00770E45">
        <w:rPr>
          <w:rFonts w:eastAsia="Arial"/>
        </w:rPr>
        <w:t xml:space="preserve"> </w:t>
      </w:r>
      <w:r w:rsidR="006B6C2F" w:rsidRPr="006B6C2F">
        <w:rPr>
          <w:rFonts w:eastAsia="Arial"/>
        </w:rPr>
        <w:t xml:space="preserve">The investment will expand eligibility for Medicare Benefit Schedule (MBS) bulk billing incentive items to all Australians and introduce a new Bulk Billing Practice Incentive Program for general practices who commit to bulk billing every patient. This measure aims to significantly increase the GP bulk billing rate and reduce cost as a barrier to receiving GP care.  </w:t>
      </w:r>
    </w:p>
    <w:p w14:paraId="448AF8A3" w14:textId="3066E9D0" w:rsidR="003A5976" w:rsidRDefault="003A5976" w:rsidP="00CC646D">
      <w:pPr>
        <w:rPr>
          <w:rFonts w:eastAsia="Arial"/>
        </w:rPr>
      </w:pPr>
      <w:r>
        <w:rPr>
          <w:rFonts w:eastAsia="Arial"/>
        </w:rPr>
        <w:t xml:space="preserve">To support this goal, Medicare UCCs must be co-located with, or partnered alongside, </w:t>
      </w:r>
      <w:r w:rsidR="00350E21">
        <w:rPr>
          <w:rFonts w:eastAsia="Arial"/>
        </w:rPr>
        <w:t>General Practices that offer full bulk</w:t>
      </w:r>
      <w:r w:rsidR="00D50412">
        <w:rPr>
          <w:rFonts w:eastAsia="Arial"/>
        </w:rPr>
        <w:t xml:space="preserve"> </w:t>
      </w:r>
      <w:r w:rsidR="00350E21">
        <w:rPr>
          <w:rFonts w:eastAsia="Arial"/>
        </w:rPr>
        <w:t>billing</w:t>
      </w:r>
      <w:r w:rsidR="00B577D9">
        <w:rPr>
          <w:rFonts w:eastAsia="Arial"/>
        </w:rPr>
        <w:t xml:space="preserve"> where local circumstances allow</w:t>
      </w:r>
      <w:r w:rsidR="00C17213">
        <w:rPr>
          <w:rFonts w:eastAsia="Arial"/>
        </w:rPr>
        <w:t>.</w:t>
      </w:r>
    </w:p>
    <w:p w14:paraId="71236274" w14:textId="68999C48" w:rsidR="006B21F6" w:rsidRDefault="006B21F6" w:rsidP="00CC646D">
      <w:pPr>
        <w:rPr>
          <w:rFonts w:eastAsia="Arial"/>
        </w:rPr>
      </w:pPr>
      <w:r>
        <w:rPr>
          <w:rFonts w:eastAsia="Arial"/>
        </w:rPr>
        <w:t>Bulk billing reforms will increase affordable access to GP care in the community. They have not been designed to provide urgent care – including on-site diagnostic imaging and pathology – or to increase access to after-hours GP services. This limits its effectiveness in solving the policy program of reducing pressure on EDs.</w:t>
      </w:r>
    </w:p>
    <w:p w14:paraId="3C580795" w14:textId="046D7FB6" w:rsidR="0073405B" w:rsidRPr="0073405B" w:rsidRDefault="0073405B" w:rsidP="0073405B">
      <w:pPr>
        <w:pStyle w:val="Heading3"/>
      </w:pPr>
      <w:bookmarkStart w:id="35" w:name="_Toc212110370"/>
      <w:r>
        <w:t>1800MEDICARE</w:t>
      </w:r>
      <w:bookmarkEnd w:id="35"/>
    </w:p>
    <w:p w14:paraId="4DB1F2A9" w14:textId="77777777" w:rsidR="00545100" w:rsidRDefault="00545100" w:rsidP="00545100">
      <w:r w:rsidRPr="00D91315">
        <w:rPr>
          <w:lang w:val="en-US"/>
        </w:rPr>
        <w:t xml:space="preserve">From 1 January 2026, 1800MEDICARE, a free, nationwide 24/7 health advice line and after-hours GP telehealth service, will provide a safety net for all people living in Australia. It is designed to complement and support local care, not replace it. Callers to 1800MEDICARE will be assessed by registered nurses who will </w:t>
      </w:r>
      <w:proofErr w:type="gramStart"/>
      <w:r w:rsidRPr="00D91315">
        <w:rPr>
          <w:lang w:val="en-US"/>
        </w:rPr>
        <w:t>triage</w:t>
      </w:r>
      <w:proofErr w:type="gramEnd"/>
      <w:r w:rsidRPr="00D91315">
        <w:rPr>
          <w:lang w:val="en-US"/>
        </w:rPr>
        <w:t xml:space="preserve"> and refer consumers to the most appropriate care based on their needs and </w:t>
      </w:r>
      <w:proofErr w:type="gramStart"/>
      <w:r w:rsidRPr="00D91315">
        <w:rPr>
          <w:lang w:val="en-US"/>
        </w:rPr>
        <w:t>the time</w:t>
      </w:r>
      <w:proofErr w:type="gramEnd"/>
      <w:r w:rsidRPr="00D91315">
        <w:rPr>
          <w:lang w:val="en-US"/>
        </w:rPr>
        <w:t xml:space="preserve"> of day. This may include the after-hours GP helpline, local GPs, Medicare Urgent Care Clinics, hospital emergency departments, or self-care options.</w:t>
      </w:r>
    </w:p>
    <w:p w14:paraId="628D1484" w14:textId="4F4669DF" w:rsidR="00CC646D" w:rsidRDefault="00876C05" w:rsidP="00CC646D">
      <w:pPr>
        <w:pStyle w:val="Heading2"/>
        <w:rPr>
          <w:noProof/>
        </w:rPr>
      </w:pPr>
      <w:bookmarkStart w:id="36" w:name="_Toc114582200"/>
      <w:bookmarkStart w:id="37" w:name="_Toc212110371"/>
      <w:r>
        <w:rPr>
          <w:noProof/>
        </w:rPr>
        <w:t xml:space="preserve">1.4 </w:t>
      </w:r>
      <w:r w:rsidR="00CC646D" w:rsidRPr="005C1884">
        <w:rPr>
          <w:noProof/>
        </w:rPr>
        <w:t>Why isn’t it working?</w:t>
      </w:r>
      <w:bookmarkEnd w:id="36"/>
      <w:bookmarkEnd w:id="37"/>
    </w:p>
    <w:p w14:paraId="413044B9" w14:textId="2FA1462B" w:rsidR="00D93025" w:rsidRDefault="00CC646D" w:rsidP="00CC646D">
      <w:r>
        <w:t xml:space="preserve">As discussed in Section 1, there are currently a wide variety of urgent care options available to patients and </w:t>
      </w:r>
      <w:r w:rsidR="00C01709">
        <w:t>limited</w:t>
      </w:r>
      <w:r>
        <w:t xml:space="preserve"> consistent messaging on service offering or price signals. There is also no consistency across urgent care model opening hours. Some are open extended afterhours, some 24/7 and some solely during normal business hours. There is also limited consistency on the type of support patients will receive, some employ GPs while others are nurse-led. Likewise, the services provided can often be unclear and confusing to patients who may have low</w:t>
      </w:r>
      <w:r w:rsidR="00C01709">
        <w:t>er</w:t>
      </w:r>
      <w:r>
        <w:t xml:space="preserve"> health literacy levels and be unfamiliar with how to self-triage to seek appropriate care. </w:t>
      </w:r>
    </w:p>
    <w:p w14:paraId="461D8442" w14:textId="7575BF13" w:rsidR="00CC646D" w:rsidRDefault="00CC646D" w:rsidP="00CC646D">
      <w:r>
        <w:t xml:space="preserve">Finally, there is an inconsistency with clinics about whether appointments are offered on a walk-in or referred basis. All this culminates confusion in the urgent care market making patients less likely to attend these services and instead present at an ED where service offering, no-cost and easy access is assured. </w:t>
      </w:r>
    </w:p>
    <w:p w14:paraId="25EF72AB" w14:textId="7DC2B010" w:rsidR="00CC646D" w:rsidRDefault="00CC646D" w:rsidP="00CC646D">
      <w:r>
        <w:t xml:space="preserve">Lastly these clinics are often set up in isolation with poor systematic integration into existing health care services and supports. This is especially true for private businesses, which often do not have </w:t>
      </w:r>
      <w:r>
        <w:lastRenderedPageBreak/>
        <w:t xml:space="preserve">the same level of integration that a clinic co-located in a hospital might. Integration is necessary to ensure effective patient pathways for escalation and back to usual GP care as well as facilitating appropriate referrals to related health services like fracture clinics or mental health providers. Without this integration poor patient outcomes are more likely as is their eventual presentation to the ED. </w:t>
      </w:r>
    </w:p>
    <w:p w14:paraId="3364EF71" w14:textId="77777777" w:rsidR="002D2A8C" w:rsidRDefault="002D2A8C">
      <w:pPr>
        <w:spacing w:after="200" w:line="288" w:lineRule="auto"/>
        <w:rPr>
          <w:rFonts w:asciiTheme="majorHAnsi" w:eastAsiaTheme="majorEastAsia" w:hAnsiTheme="majorHAnsi" w:cstheme="majorBidi"/>
          <w:color w:val="1C2B39" w:themeColor="accent1"/>
          <w:sz w:val="48"/>
          <w:szCs w:val="40"/>
        </w:rPr>
      </w:pPr>
      <w:bookmarkStart w:id="38" w:name="_Toc96326922"/>
      <w:r>
        <w:br w:type="page"/>
      </w:r>
    </w:p>
    <w:p w14:paraId="0EF51184" w14:textId="31A8CA48" w:rsidR="00F40CFA" w:rsidRDefault="00F40CFA" w:rsidP="00BB4B8C">
      <w:pPr>
        <w:pStyle w:val="Heading1"/>
        <w:numPr>
          <w:ilvl w:val="0"/>
          <w:numId w:val="13"/>
        </w:numPr>
      </w:pPr>
      <w:bookmarkStart w:id="39" w:name="_Toc212110372"/>
      <w:r>
        <w:lastRenderedPageBreak/>
        <w:t>What are the objectives, why is government intervention needed to achieve them, and how will success be measured?</w:t>
      </w:r>
      <w:bookmarkEnd w:id="39"/>
    </w:p>
    <w:p w14:paraId="51B2C480" w14:textId="784EEBC4" w:rsidR="00CC646D" w:rsidRDefault="00CC646D" w:rsidP="00CC646D">
      <w:pPr>
        <w:tabs>
          <w:tab w:val="num" w:pos="720"/>
        </w:tabs>
        <w:spacing w:line="240" w:lineRule="auto"/>
        <w:rPr>
          <w:rFonts w:eastAsia="Arial"/>
        </w:rPr>
      </w:pPr>
      <w:bookmarkStart w:id="40" w:name="_Hlk207782140"/>
      <w:r>
        <w:t>With</w:t>
      </w:r>
      <w:r w:rsidR="001B5E29">
        <w:t xml:space="preserve"> the increasing</w:t>
      </w:r>
      <w:r>
        <w:t xml:space="preserve"> pressure on ED</w:t>
      </w:r>
      <w:r w:rsidR="0022085F">
        <w:t>s</w:t>
      </w:r>
      <w:r>
        <w:t>, including limited accessibility of primary care, less hospitals will be able to manage the increasing workload and patient outcomes are expected to decrease.</w:t>
      </w:r>
      <w:r w:rsidRPr="000968B8">
        <w:rPr>
          <w:rFonts w:eastAsia="Arial"/>
          <w:lang w:val="en-US"/>
        </w:rPr>
        <w:t xml:space="preserve"> </w:t>
      </w:r>
      <w:bookmarkEnd w:id="40"/>
      <w:r w:rsidRPr="000968B8">
        <w:rPr>
          <w:rFonts w:eastAsia="Arial"/>
        </w:rPr>
        <w:t>Successful (and clinically appropriate) diversion of non-</w:t>
      </w:r>
      <w:r w:rsidR="002710C7">
        <w:rPr>
          <w:rFonts w:eastAsia="Arial"/>
        </w:rPr>
        <w:t>urgent</w:t>
      </w:r>
      <w:r w:rsidRPr="000968B8">
        <w:rPr>
          <w:rFonts w:eastAsia="Arial"/>
        </w:rPr>
        <w:t xml:space="preserve"> or semi-urgent patients would allow hospital resources to be focused on higher urgency</w:t>
      </w:r>
      <w:r w:rsidR="0003666E">
        <w:rPr>
          <w:rFonts w:eastAsia="Arial"/>
        </w:rPr>
        <w:t xml:space="preserve"> and</w:t>
      </w:r>
      <w:r w:rsidRPr="000968B8">
        <w:rPr>
          <w:rFonts w:eastAsia="Arial"/>
        </w:rPr>
        <w:t xml:space="preserve"> life-threatening conditions.</w:t>
      </w:r>
      <w:r w:rsidRPr="009A0292">
        <w:rPr>
          <w:rFonts w:eastAsia="Arial"/>
        </w:rPr>
        <w:t xml:space="preserve"> </w:t>
      </w:r>
    </w:p>
    <w:p w14:paraId="51AEC8DA" w14:textId="77777777" w:rsidR="001B5E29" w:rsidRDefault="00CC646D" w:rsidP="00CC646D">
      <w:pPr>
        <w:tabs>
          <w:tab w:val="num" w:pos="720"/>
        </w:tabs>
        <w:spacing w:line="240" w:lineRule="auto"/>
        <w:rPr>
          <w:rFonts w:eastAsia="Arial"/>
        </w:rPr>
      </w:pPr>
      <w:r>
        <w:rPr>
          <w:rFonts w:eastAsia="Arial"/>
        </w:rPr>
        <w:t>Taking pressure off emergency departments, overworked staff</w:t>
      </w:r>
      <w:r w:rsidR="002710C7">
        <w:rPr>
          <w:rFonts w:eastAsia="Arial"/>
        </w:rPr>
        <w:t>,</w:t>
      </w:r>
      <w:r>
        <w:rPr>
          <w:rFonts w:eastAsia="Arial"/>
        </w:rPr>
        <w:t xml:space="preserve"> and saving hospital resources is a clear objective for all levels of government. In December 2023, National Cabinet agreed to a $1.2 billion package of Strengthening Medicare measures to take pressure off hospitals, support and grow the health workforce, while reducing unnecessary presentations to emergency departments.</w:t>
      </w:r>
      <w:r>
        <w:rPr>
          <w:rStyle w:val="FootnoteReference"/>
          <w:rFonts w:eastAsia="Arial"/>
        </w:rPr>
        <w:footnoteReference w:id="31"/>
      </w:r>
      <w:r>
        <w:rPr>
          <w:rFonts w:eastAsia="Arial"/>
        </w:rPr>
        <w:t xml:space="preserve"> </w:t>
      </w:r>
    </w:p>
    <w:p w14:paraId="5229531E" w14:textId="7266A86D" w:rsidR="00CC646D" w:rsidRDefault="00CC646D" w:rsidP="00CC646D">
      <w:pPr>
        <w:tabs>
          <w:tab w:val="num" w:pos="720"/>
        </w:tabs>
        <w:spacing w:line="240" w:lineRule="auto"/>
        <w:rPr>
          <w:rFonts w:eastAsia="Arial"/>
        </w:rPr>
      </w:pPr>
      <w:r>
        <w:rPr>
          <w:rFonts w:eastAsia="Arial"/>
        </w:rPr>
        <w:t>Less patients arriving at ED</w:t>
      </w:r>
      <w:r w:rsidR="00114986">
        <w:rPr>
          <w:rFonts w:eastAsia="Arial"/>
        </w:rPr>
        <w:t xml:space="preserve"> for categories 4 &amp; 5</w:t>
      </w:r>
      <w:r>
        <w:rPr>
          <w:rFonts w:eastAsia="Arial"/>
        </w:rPr>
        <w:t xml:space="preserve">, including by ambulance, police, and helicopter or through referral and walk in, will allow additional time and resources for other patients. This diversion of patients presenting in ED is expected to reduce wait times for categories 3 and up in ED, providing improved and efficient health care for patients.  </w:t>
      </w:r>
    </w:p>
    <w:p w14:paraId="1347AD14" w14:textId="1F5DD7E6" w:rsidR="003C708F" w:rsidRDefault="003C708F" w:rsidP="00CC646D">
      <w:r>
        <w:t xml:space="preserve">High out-of-pocket costs </w:t>
      </w:r>
      <w:r w:rsidRPr="003C708F">
        <w:t>are a significant barrier to people accessing certain health care services in Australia</w:t>
      </w:r>
      <w:r w:rsidR="00D95F34">
        <w:t>, and in particular, for people living in low</w:t>
      </w:r>
      <w:r w:rsidR="00DD7214">
        <w:t>er</w:t>
      </w:r>
      <w:r w:rsidR="00D95F34">
        <w:t xml:space="preserve"> income </w:t>
      </w:r>
      <w:r w:rsidR="00DD7214">
        <w:t>socioeconomic areas.</w:t>
      </w:r>
      <w:r w:rsidR="00D95F34">
        <w:rPr>
          <w:rStyle w:val="FootnoteReference"/>
        </w:rPr>
        <w:footnoteReference w:id="32"/>
      </w:r>
      <w:r w:rsidR="00D95F34">
        <w:t xml:space="preserve"> </w:t>
      </w:r>
      <w:r w:rsidR="0050754B">
        <w:t>T</w:t>
      </w:r>
      <w:r w:rsidR="00DD7214" w:rsidRPr="00DD7214">
        <w:t>he average out-of-pocket cost</w:t>
      </w:r>
      <w:r w:rsidR="00D60EE2">
        <w:t xml:space="preserve"> for GP attendances</w:t>
      </w:r>
      <w:r w:rsidR="00DD7214" w:rsidRPr="00DD7214">
        <w:t xml:space="preserve"> has increased over time since the start of Medicare in 1984</w:t>
      </w:r>
      <w:r w:rsidR="00DD7214">
        <w:t>.</w:t>
      </w:r>
      <w:r w:rsidR="00DD7214">
        <w:rPr>
          <w:rStyle w:val="FootnoteReference"/>
        </w:rPr>
        <w:footnoteReference w:id="33"/>
      </w:r>
      <w:r w:rsidR="00DD7214" w:rsidRPr="00DD7214">
        <w:t xml:space="preserve"> In 2023, Australians paid an average out-of-pocket cost of $43 for a non-bulk billed GP attendance.</w:t>
      </w:r>
      <w:r w:rsidR="00DD7214">
        <w:rPr>
          <w:rStyle w:val="FootnoteReference"/>
        </w:rPr>
        <w:footnoteReference w:id="34"/>
      </w:r>
      <w:r w:rsidR="00DD7214">
        <w:t xml:space="preserve"> </w:t>
      </w:r>
      <w:r w:rsidR="00D60EE2">
        <w:t>Rising healthcare expenses, combined with broader cost of living pressures</w:t>
      </w:r>
      <w:r w:rsidR="00B4076E">
        <w:t xml:space="preserve"> and limited </w:t>
      </w:r>
      <w:r w:rsidR="00B4076E" w:rsidRPr="00B4076E">
        <w:t>access</w:t>
      </w:r>
      <w:r w:rsidR="00B4076E">
        <w:t xml:space="preserve"> to</w:t>
      </w:r>
      <w:r w:rsidR="00B4076E" w:rsidRPr="00B4076E">
        <w:t xml:space="preserve"> same</w:t>
      </w:r>
      <w:r w:rsidR="00B4076E">
        <w:t>-</w:t>
      </w:r>
      <w:r w:rsidR="00B4076E" w:rsidRPr="00B4076E">
        <w:t>day GP</w:t>
      </w:r>
      <w:r w:rsidR="00B4076E">
        <w:t xml:space="preserve"> appointments,</w:t>
      </w:r>
      <w:r w:rsidR="00D60EE2">
        <w:t xml:space="preserve"> ha</w:t>
      </w:r>
      <w:r w:rsidR="00B4076E">
        <w:t>ve</w:t>
      </w:r>
      <w:r w:rsidR="00D60EE2">
        <w:t xml:space="preserve"> like</w:t>
      </w:r>
      <w:r w:rsidR="00B4076E">
        <w:t>ly</w:t>
      </w:r>
      <w:r w:rsidR="00D60EE2">
        <w:t xml:space="preserve"> </w:t>
      </w:r>
      <w:r w:rsidR="00B4076E">
        <w:t>driven</w:t>
      </w:r>
      <w:r w:rsidR="00D60EE2">
        <w:t xml:space="preserve"> more people</w:t>
      </w:r>
      <w:r w:rsidR="00B4076E">
        <w:t xml:space="preserve"> to</w:t>
      </w:r>
      <w:r w:rsidR="00D60EE2">
        <w:t xml:space="preserve"> seek care at</w:t>
      </w:r>
      <w:r w:rsidR="00DD7214">
        <w:t xml:space="preserve"> E</w:t>
      </w:r>
      <w:r w:rsidR="00D60EE2">
        <w:t>Ds, where</w:t>
      </w:r>
      <w:r w:rsidR="00DD7214">
        <w:t xml:space="preserve"> service</w:t>
      </w:r>
      <w:r w:rsidR="00D60EE2">
        <w:t>s</w:t>
      </w:r>
      <w:r w:rsidR="00DD7214">
        <w:t xml:space="preserve"> </w:t>
      </w:r>
      <w:r w:rsidR="00D60EE2">
        <w:t>are</w:t>
      </w:r>
      <w:r w:rsidR="00DD7214">
        <w:t xml:space="preserve"> bulk-billed.</w:t>
      </w:r>
    </w:p>
    <w:p w14:paraId="16667FF7" w14:textId="0909953B" w:rsidR="00CC646D" w:rsidRDefault="00CC646D" w:rsidP="00CC646D">
      <w:r>
        <w:t xml:space="preserve">The </w:t>
      </w:r>
      <w:r w:rsidR="00410E7E">
        <w:t>g</w:t>
      </w:r>
      <w:r>
        <w:t>overnment is working to improve affordable equitable access to healthcare through initiatives to strengthen Medicare, including expansion of Medicare bulk billing incentives</w:t>
      </w:r>
      <w:r w:rsidR="00DF598A">
        <w:t xml:space="preserve"> announced in the 2025-26 Budget</w:t>
      </w:r>
      <w:r>
        <w:t>.</w:t>
      </w:r>
      <w:r>
        <w:rPr>
          <w:rStyle w:val="FootnoteReference"/>
        </w:rPr>
        <w:footnoteReference w:id="35"/>
      </w:r>
      <w:r>
        <w:t xml:space="preserve"> A critical element of addressing access issues and</w:t>
      </w:r>
      <w:r w:rsidR="00DF598A">
        <w:t xml:space="preserve"> further</w:t>
      </w:r>
      <w:r>
        <w:t xml:space="preserve"> reducing pressure on</w:t>
      </w:r>
      <w:r w:rsidR="00B71D18">
        <w:t xml:space="preserve"> EDs</w:t>
      </w:r>
      <w:r>
        <w:t xml:space="preserve"> include</w:t>
      </w:r>
      <w:r w:rsidR="00DF598A">
        <w:t>s</w:t>
      </w:r>
      <w:r>
        <w:t xml:space="preserve"> providing more options to families for accessing affordable care at short notice particularly outside ordinary business hours</w:t>
      </w:r>
      <w:r w:rsidR="00360F1A">
        <w:t>.</w:t>
      </w:r>
    </w:p>
    <w:p w14:paraId="7547E6F1" w14:textId="6DF7AE19" w:rsidR="00CC646D" w:rsidRDefault="00CC646D" w:rsidP="00CC646D">
      <w:r>
        <w:lastRenderedPageBreak/>
        <w:t xml:space="preserve">As </w:t>
      </w:r>
      <w:r w:rsidR="00B4076E">
        <w:t>mentioned</w:t>
      </w:r>
      <w:r>
        <w:t xml:space="preserve"> above</w:t>
      </w:r>
      <w:r w:rsidR="00B4076E">
        <w:t>,</w:t>
      </w:r>
      <w:r>
        <w:t xml:space="preserve"> there is limited consistency in service offering</w:t>
      </w:r>
      <w:r w:rsidR="00DF598A">
        <w:t>s</w:t>
      </w:r>
      <w:r w:rsidR="00CC39CE">
        <w:t xml:space="preserve"> across jurisdictions</w:t>
      </w:r>
      <w:r>
        <w:t xml:space="preserve"> for patients seeking urgent care outside of an ED. This lack of consistency can be confusing for </w:t>
      </w:r>
      <w:r w:rsidR="00482F2A">
        <w:t>patients,</w:t>
      </w:r>
      <w:r>
        <w:t xml:space="preserve"> and most will present at an ED for ease of use. To ensure clear communication and community awareness of care options, the </w:t>
      </w:r>
      <w:r w:rsidR="00410E7E">
        <w:t>g</w:t>
      </w:r>
      <w:r>
        <w:t xml:space="preserve">overnment has the responsibility to ensure close </w:t>
      </w:r>
      <w:r w:rsidR="00482F2A">
        <w:t>collaboration and</w:t>
      </w:r>
      <w:r>
        <w:t xml:space="preserve"> integrate with existing healthcare systems and services</w:t>
      </w:r>
      <w:r w:rsidR="00360F1A">
        <w:t>.</w:t>
      </w:r>
      <w:r>
        <w:t xml:space="preserve"> This collaboration will inform integration with existing diversion pathways to avoid creating processes. Health care services should not be duplicating </w:t>
      </w:r>
      <w:r w:rsidRPr="00F81E96">
        <w:rPr>
          <w:rFonts w:cs="Arial"/>
          <w:bCs/>
          <w:lang w:val="en-US"/>
        </w:rPr>
        <w:t>state and territory initiatives aimed at reducing non-urgent presentations to emergency departments.</w:t>
      </w:r>
    </w:p>
    <w:p w14:paraId="62739EF0" w14:textId="383D409D" w:rsidR="00CC646D" w:rsidRPr="006702BB" w:rsidRDefault="00CC646D" w:rsidP="006702BB">
      <w:r>
        <w:t xml:space="preserve">The </w:t>
      </w:r>
      <w:r w:rsidR="00410E7E">
        <w:t>g</w:t>
      </w:r>
      <w:r>
        <w:t xml:space="preserve">overnment </w:t>
      </w:r>
      <w:r w:rsidR="006702BB">
        <w:t xml:space="preserve">plays an important role in </w:t>
      </w:r>
      <w:r>
        <w:t>ensur</w:t>
      </w:r>
      <w:r w:rsidR="008764A5">
        <w:t>ing all Australians have access to affordable, hig</w:t>
      </w:r>
      <w:r w:rsidR="006702BB">
        <w:t>h-</w:t>
      </w:r>
      <w:r>
        <w:t xml:space="preserve">quality </w:t>
      </w:r>
      <w:r w:rsidR="006702BB">
        <w:t>health</w:t>
      </w:r>
      <w:r>
        <w:t>care</w:t>
      </w:r>
      <w:r w:rsidR="006702BB">
        <w:t xml:space="preserve"> </w:t>
      </w:r>
      <w:r w:rsidR="006702BB" w:rsidRPr="006702BB">
        <w:t>when and where they need it</w:t>
      </w:r>
      <w:r w:rsidR="00430114">
        <w:t>.</w:t>
      </w:r>
      <w:r>
        <w:t xml:space="preserve"> </w:t>
      </w:r>
      <w:r w:rsidR="006702BB">
        <w:t>This</w:t>
      </w:r>
      <w:r>
        <w:t xml:space="preserve"> can be achieved through stringent </w:t>
      </w:r>
      <w:r w:rsidR="006702BB">
        <w:t xml:space="preserve">Medicare UCC </w:t>
      </w:r>
      <w:hyperlink r:id="rId18" w:history="1">
        <w:r w:rsidR="006702BB">
          <w:rPr>
            <w:rStyle w:val="Hyperlink"/>
          </w:rPr>
          <w:t>Operational Guidance</w:t>
        </w:r>
      </w:hyperlink>
      <w:r w:rsidR="006702BB">
        <w:t xml:space="preserve"> that sets the minimum requirements for Medicare UCCs including activities, infrastructure and staffing while allowing sufficient flexibility for services to adapt to local conditions and needs</w:t>
      </w:r>
      <w:r>
        <w:t xml:space="preserve">. This ensures governance and compliance measures are upheld and supports increased for patient protection. </w:t>
      </w:r>
    </w:p>
    <w:p w14:paraId="08A552E7" w14:textId="21147C8A" w:rsidR="00CC646D" w:rsidRDefault="00CC646D" w:rsidP="00CC646D">
      <w:pPr>
        <w:rPr>
          <w:rFonts w:cs="Arial"/>
          <w:bCs/>
          <w:lang w:val="en-US"/>
        </w:rPr>
      </w:pPr>
      <w:r>
        <w:t>Stakeholder views and existing health services need to be considered carefully in the implementation of this initiative, particularly in the private sector.</w:t>
      </w:r>
      <w:r>
        <w:rPr>
          <w:rFonts w:cs="Arial"/>
          <w:bCs/>
          <w:lang w:val="en-US"/>
        </w:rPr>
        <w:t xml:space="preserve"> Any urgent care services should not be replacing usual general practice services. These two considerations and boundaries in scope of care will be strictly adhered to and success in this </w:t>
      </w:r>
      <w:r w:rsidR="00224B0D">
        <w:rPr>
          <w:rFonts w:cs="Arial"/>
          <w:bCs/>
          <w:lang w:val="en-US"/>
        </w:rPr>
        <w:t>is</w:t>
      </w:r>
      <w:r>
        <w:rPr>
          <w:rFonts w:cs="Arial"/>
          <w:bCs/>
          <w:lang w:val="en-US"/>
        </w:rPr>
        <w:t xml:space="preserve"> facilitated by extensive stakeholder consultation and clear operational guidance. </w:t>
      </w:r>
    </w:p>
    <w:p w14:paraId="578B8EF4" w14:textId="36BE2C0C" w:rsidR="0000229D" w:rsidRDefault="00132B19" w:rsidP="00CC646D">
      <w:pPr>
        <w:rPr>
          <w:rFonts w:cs="Arial"/>
          <w:bCs/>
          <w:lang w:val="en-US"/>
        </w:rPr>
      </w:pPr>
      <w:r w:rsidRPr="00132B19">
        <w:rPr>
          <w:rFonts w:cs="Arial"/>
          <w:bCs/>
          <w:lang w:val="en-US"/>
        </w:rPr>
        <w:t>Ongoing funding for Medicare UCCs may provide an opportunity for clinics to more strategically plan resource allocation to better manage workforce risk. Extending contracts</w:t>
      </w:r>
      <w:r w:rsidR="00387A6E">
        <w:rPr>
          <w:rFonts w:cs="Arial"/>
          <w:bCs/>
          <w:lang w:val="en-US"/>
        </w:rPr>
        <w:t xml:space="preserve"> for existing Medicare UCC</w:t>
      </w:r>
      <w:r w:rsidR="002107D6">
        <w:rPr>
          <w:rFonts w:cs="Arial"/>
          <w:bCs/>
          <w:lang w:val="en-US"/>
        </w:rPr>
        <w:t xml:space="preserve"> providers</w:t>
      </w:r>
      <w:r w:rsidRPr="00132B19">
        <w:rPr>
          <w:rFonts w:cs="Arial"/>
          <w:bCs/>
          <w:lang w:val="en-US"/>
        </w:rPr>
        <w:t xml:space="preserve"> w</w:t>
      </w:r>
      <w:r w:rsidR="00E8214C">
        <w:rPr>
          <w:rFonts w:cs="Arial"/>
          <w:bCs/>
          <w:lang w:val="en-US"/>
        </w:rPr>
        <w:t>ill enable them</w:t>
      </w:r>
      <w:r w:rsidRPr="00132B19">
        <w:rPr>
          <w:rFonts w:cs="Arial"/>
          <w:bCs/>
          <w:lang w:val="en-US"/>
        </w:rPr>
        <w:t xml:space="preserve"> to streamline workforce planning and allocate resources more efficiently, as they can manage staffing and support needs across a larger stable network</w:t>
      </w:r>
      <w:r w:rsidR="0000229D">
        <w:rPr>
          <w:rFonts w:cs="Arial"/>
          <w:bCs/>
          <w:lang w:val="en-US"/>
        </w:rPr>
        <w:t>.</w:t>
      </w:r>
    </w:p>
    <w:p w14:paraId="76AE3D93" w14:textId="22827F9B" w:rsidR="001F2D75" w:rsidRDefault="001F2D75" w:rsidP="00CC646D">
      <w:pPr>
        <w:rPr>
          <w:rFonts w:cs="Arial"/>
          <w:bCs/>
          <w:lang w:val="en-US"/>
        </w:rPr>
      </w:pPr>
      <w:r>
        <w:rPr>
          <w:rFonts w:cs="Arial"/>
          <w:bCs/>
          <w:lang w:val="en-US"/>
        </w:rPr>
        <w:t>When the Medicare UCC program was launched as a pilot program in 202</w:t>
      </w:r>
      <w:r w:rsidR="0051326C">
        <w:rPr>
          <w:rFonts w:cs="Arial"/>
          <w:bCs/>
          <w:lang w:val="en-US"/>
        </w:rPr>
        <w:t>3</w:t>
      </w:r>
      <w:r>
        <w:rPr>
          <w:rFonts w:cs="Arial"/>
          <w:bCs/>
          <w:lang w:val="en-US"/>
        </w:rPr>
        <w:t xml:space="preserve">, the Commonwealth, states and territories </w:t>
      </w:r>
      <w:r w:rsidR="008032AE">
        <w:rPr>
          <w:rFonts w:cs="Arial"/>
          <w:bCs/>
          <w:lang w:val="en-US"/>
        </w:rPr>
        <w:t>agree</w:t>
      </w:r>
      <w:r w:rsidR="0004716E">
        <w:rPr>
          <w:rFonts w:cs="Arial"/>
          <w:bCs/>
          <w:lang w:val="en-US"/>
        </w:rPr>
        <w:t>d</w:t>
      </w:r>
      <w:r w:rsidR="008032AE">
        <w:rPr>
          <w:rFonts w:cs="Arial"/>
          <w:bCs/>
          <w:lang w:val="en-US"/>
        </w:rPr>
        <w:t xml:space="preserve"> to nine </w:t>
      </w:r>
      <w:r w:rsidR="002375BA">
        <w:rPr>
          <w:rFonts w:cs="Arial"/>
          <w:bCs/>
          <w:lang w:val="en-US"/>
        </w:rPr>
        <w:t>M</w:t>
      </w:r>
      <w:r w:rsidR="008032AE">
        <w:rPr>
          <w:rFonts w:cs="Arial"/>
          <w:bCs/>
          <w:lang w:val="en-US"/>
        </w:rPr>
        <w:t xml:space="preserve">easures of </w:t>
      </w:r>
      <w:r w:rsidR="002375BA">
        <w:rPr>
          <w:rFonts w:cs="Arial"/>
          <w:bCs/>
          <w:lang w:val="en-US"/>
        </w:rPr>
        <w:t>S</w:t>
      </w:r>
      <w:r w:rsidR="008032AE">
        <w:rPr>
          <w:rFonts w:cs="Arial"/>
          <w:bCs/>
          <w:lang w:val="en-US"/>
        </w:rPr>
        <w:t>uccess for the program</w:t>
      </w:r>
      <w:r w:rsidR="0004716E">
        <w:rPr>
          <w:rFonts w:cs="Arial"/>
          <w:bCs/>
          <w:lang w:val="en-US"/>
        </w:rPr>
        <w:t>. These include</w:t>
      </w:r>
      <w:r w:rsidR="008032AE">
        <w:rPr>
          <w:rFonts w:cs="Arial"/>
          <w:bCs/>
          <w:lang w:val="en-US"/>
        </w:rPr>
        <w:t>:</w:t>
      </w:r>
    </w:p>
    <w:p w14:paraId="50ED9EE9" w14:textId="2DDFB607" w:rsidR="0004716E" w:rsidRDefault="0004716E" w:rsidP="0004716E">
      <w:pPr>
        <w:pStyle w:val="ListParagraph"/>
        <w:numPr>
          <w:ilvl w:val="0"/>
          <w:numId w:val="40"/>
        </w:numPr>
        <w:rPr>
          <w:rFonts w:cs="Arial"/>
          <w:bCs/>
          <w:lang w:val="en-US"/>
        </w:rPr>
      </w:pPr>
      <w:r w:rsidRPr="0004716E">
        <w:rPr>
          <w:rFonts w:cs="Arial"/>
          <w:bCs/>
          <w:lang w:val="en-US"/>
        </w:rPr>
        <w:t>Patients receive timely treatment for urgent non-life-threatening conditions in Medicare UCCs</w:t>
      </w:r>
      <w:r>
        <w:rPr>
          <w:rFonts w:cs="Arial"/>
          <w:bCs/>
          <w:lang w:val="en-US"/>
        </w:rPr>
        <w:t>.</w:t>
      </w:r>
    </w:p>
    <w:p w14:paraId="75532C29" w14:textId="73364376" w:rsidR="0004716E" w:rsidRDefault="0004716E" w:rsidP="0004716E">
      <w:pPr>
        <w:pStyle w:val="ListParagraph"/>
        <w:numPr>
          <w:ilvl w:val="0"/>
          <w:numId w:val="40"/>
        </w:numPr>
        <w:rPr>
          <w:rFonts w:cs="Arial"/>
          <w:bCs/>
          <w:lang w:val="en-US"/>
        </w:rPr>
      </w:pPr>
      <w:r w:rsidRPr="0004716E">
        <w:rPr>
          <w:rFonts w:cs="Arial"/>
          <w:bCs/>
          <w:lang w:val="en-US"/>
        </w:rPr>
        <w:t>Medicare UCCs provide safe and quality treatment to patients</w:t>
      </w:r>
      <w:r>
        <w:rPr>
          <w:rFonts w:cs="Arial"/>
          <w:bCs/>
          <w:lang w:val="en-US"/>
        </w:rPr>
        <w:t>.</w:t>
      </w:r>
    </w:p>
    <w:p w14:paraId="02D6AE05" w14:textId="16EF4817" w:rsidR="0004716E" w:rsidRDefault="0004716E" w:rsidP="0004716E">
      <w:pPr>
        <w:pStyle w:val="ListParagraph"/>
        <w:numPr>
          <w:ilvl w:val="0"/>
          <w:numId w:val="40"/>
        </w:numPr>
        <w:rPr>
          <w:rFonts w:cs="Arial"/>
          <w:bCs/>
          <w:lang w:val="en-US"/>
        </w:rPr>
      </w:pPr>
      <w:r w:rsidRPr="0004716E">
        <w:rPr>
          <w:rFonts w:cs="Arial"/>
          <w:bCs/>
          <w:lang w:val="en-US"/>
        </w:rPr>
        <w:t>Medicare UCCs deliver coordinated care for their patients</w:t>
      </w:r>
      <w:r>
        <w:rPr>
          <w:rFonts w:cs="Arial"/>
          <w:bCs/>
          <w:lang w:val="en-US"/>
        </w:rPr>
        <w:t>.</w:t>
      </w:r>
    </w:p>
    <w:p w14:paraId="3A2D77EB" w14:textId="528CDA8E" w:rsidR="0004716E" w:rsidRDefault="0004716E" w:rsidP="0004716E">
      <w:pPr>
        <w:pStyle w:val="ListParagraph"/>
        <w:numPr>
          <w:ilvl w:val="0"/>
          <w:numId w:val="40"/>
        </w:numPr>
        <w:rPr>
          <w:rFonts w:cs="Arial"/>
          <w:bCs/>
          <w:lang w:val="en-US"/>
        </w:rPr>
      </w:pPr>
      <w:r w:rsidRPr="0004716E">
        <w:rPr>
          <w:rFonts w:cs="Arial"/>
          <w:bCs/>
          <w:lang w:val="en-US"/>
        </w:rPr>
        <w:t>Medicare UCCs provide a positive experience for patient/carer</w:t>
      </w:r>
      <w:r>
        <w:rPr>
          <w:rFonts w:cs="Arial"/>
          <w:bCs/>
          <w:lang w:val="en-US"/>
        </w:rPr>
        <w:t>.</w:t>
      </w:r>
    </w:p>
    <w:p w14:paraId="7B9626E5" w14:textId="27CD45D6" w:rsidR="0004716E" w:rsidRDefault="0004716E" w:rsidP="0004716E">
      <w:pPr>
        <w:pStyle w:val="ListParagraph"/>
        <w:numPr>
          <w:ilvl w:val="0"/>
          <w:numId w:val="40"/>
        </w:numPr>
        <w:rPr>
          <w:rFonts w:cs="Arial"/>
          <w:bCs/>
          <w:lang w:val="en-US"/>
        </w:rPr>
      </w:pPr>
      <w:r w:rsidRPr="0004716E">
        <w:rPr>
          <w:rFonts w:cs="Arial"/>
          <w:bCs/>
          <w:lang w:val="en-US"/>
        </w:rPr>
        <w:t>Medicare UCCs provide a positive experience for providers at Medicare UCCs, in partner hospital EDs, and in local GP practices</w:t>
      </w:r>
      <w:r>
        <w:rPr>
          <w:rFonts w:cs="Arial"/>
          <w:bCs/>
          <w:lang w:val="en-US"/>
        </w:rPr>
        <w:t>.</w:t>
      </w:r>
    </w:p>
    <w:p w14:paraId="681763FA" w14:textId="01D0687D" w:rsidR="0004716E" w:rsidRDefault="0004716E" w:rsidP="0004716E">
      <w:pPr>
        <w:pStyle w:val="ListParagraph"/>
        <w:numPr>
          <w:ilvl w:val="0"/>
          <w:numId w:val="40"/>
        </w:numPr>
        <w:rPr>
          <w:rFonts w:cs="Arial"/>
          <w:bCs/>
          <w:lang w:val="en-US"/>
        </w:rPr>
      </w:pPr>
      <w:r w:rsidRPr="0004716E">
        <w:rPr>
          <w:rFonts w:cs="Arial"/>
          <w:bCs/>
          <w:lang w:val="en-US"/>
        </w:rPr>
        <w:t>Medicare UCCs reduce pressure on hospital ED presentations at partner hospitals</w:t>
      </w:r>
      <w:r>
        <w:rPr>
          <w:rFonts w:cs="Arial"/>
          <w:bCs/>
          <w:lang w:val="en-US"/>
        </w:rPr>
        <w:t>.</w:t>
      </w:r>
    </w:p>
    <w:p w14:paraId="7F800958" w14:textId="73A4E615" w:rsidR="0004716E" w:rsidRDefault="0004716E" w:rsidP="0004716E">
      <w:pPr>
        <w:pStyle w:val="ListParagraph"/>
        <w:numPr>
          <w:ilvl w:val="0"/>
          <w:numId w:val="40"/>
        </w:numPr>
        <w:rPr>
          <w:rFonts w:cs="Arial"/>
          <w:bCs/>
          <w:lang w:val="en-US"/>
        </w:rPr>
      </w:pPr>
      <w:r w:rsidRPr="0004716E">
        <w:rPr>
          <w:rFonts w:cs="Arial"/>
          <w:bCs/>
          <w:lang w:val="en-US"/>
        </w:rPr>
        <w:t>There is a change in consumer behaviour over time to use Medicare UCCs where available instead of EDs for urgent non-life-threatening conditions</w:t>
      </w:r>
      <w:r>
        <w:rPr>
          <w:rFonts w:cs="Arial"/>
          <w:bCs/>
          <w:lang w:val="en-US"/>
        </w:rPr>
        <w:t>.</w:t>
      </w:r>
    </w:p>
    <w:p w14:paraId="76E6458B" w14:textId="22C1E8EC" w:rsidR="0004716E" w:rsidRDefault="0004716E" w:rsidP="0004716E">
      <w:pPr>
        <w:pStyle w:val="ListParagraph"/>
        <w:numPr>
          <w:ilvl w:val="0"/>
          <w:numId w:val="40"/>
        </w:numPr>
        <w:rPr>
          <w:rFonts w:cs="Arial"/>
          <w:bCs/>
          <w:lang w:val="en-US"/>
        </w:rPr>
      </w:pPr>
      <w:r w:rsidRPr="0004716E">
        <w:rPr>
          <w:rFonts w:cs="Arial"/>
          <w:bCs/>
          <w:lang w:val="en-US"/>
        </w:rPr>
        <w:t>Medicare UCCs, PHNS, healthdirect, jurisdictions and the health ecosystem have established an effective coordinated care option for people with urgent non-life-threatening conditions</w:t>
      </w:r>
      <w:r>
        <w:rPr>
          <w:rFonts w:cs="Arial"/>
          <w:bCs/>
          <w:lang w:val="en-US"/>
        </w:rPr>
        <w:t>.</w:t>
      </w:r>
    </w:p>
    <w:p w14:paraId="2CFF0B98" w14:textId="01F01E77" w:rsidR="0004716E" w:rsidRDefault="0004716E" w:rsidP="0004716E">
      <w:pPr>
        <w:pStyle w:val="ListParagraph"/>
        <w:numPr>
          <w:ilvl w:val="0"/>
          <w:numId w:val="40"/>
        </w:numPr>
        <w:rPr>
          <w:rFonts w:cs="Arial"/>
          <w:bCs/>
          <w:lang w:val="en-US"/>
        </w:rPr>
      </w:pPr>
      <w:r w:rsidRPr="0004716E">
        <w:rPr>
          <w:rFonts w:cs="Arial"/>
          <w:bCs/>
          <w:lang w:val="en-US"/>
        </w:rPr>
        <w:t>Medicare UCCs are cost-effective</w:t>
      </w:r>
      <w:r>
        <w:rPr>
          <w:rFonts w:cs="Arial"/>
          <w:bCs/>
          <w:lang w:val="en-US"/>
        </w:rPr>
        <w:t>.</w:t>
      </w:r>
    </w:p>
    <w:p w14:paraId="3F81967D" w14:textId="244C58A6" w:rsidR="008B01F1" w:rsidRPr="008B01F1" w:rsidRDefault="007C710E" w:rsidP="00FA1B9D">
      <w:pPr>
        <w:rPr>
          <w:rFonts w:cs="Arial"/>
          <w:bCs/>
          <w:lang w:val="en-US"/>
        </w:rPr>
      </w:pPr>
      <w:r w:rsidRPr="007C710E">
        <w:rPr>
          <w:rFonts w:cs="Arial"/>
          <w:bCs/>
          <w:lang w:val="en-US"/>
        </w:rPr>
        <w:lastRenderedPageBreak/>
        <w:t>The Measures of Success were designed to assess the quality of care, accessibility of services and cost-efficiency in Medicare UCCs, as well as their impact on consumer behaviour and the alleviation of demand pressures on partner hospital EDs.</w:t>
      </w:r>
      <w:r w:rsidR="008C2CCE">
        <w:rPr>
          <w:rFonts w:cs="Arial"/>
          <w:bCs/>
          <w:lang w:val="en-US"/>
        </w:rPr>
        <w:t xml:space="preserve"> </w:t>
      </w:r>
      <w:r w:rsidR="008C2CCE" w:rsidRPr="008C2CCE">
        <w:rPr>
          <w:rFonts w:cs="Arial"/>
          <w:bCs/>
          <w:lang w:val="en-US"/>
        </w:rPr>
        <w:t>The measures acknowledge the necessity for Medicare UCCs to be effectively integrated into the broader health ecosystem. This includes seamless connections with local GPs and other primary care services, and partner EDs, ensuring a comprehensive and coordinated approach to patient care.</w:t>
      </w:r>
      <w:r w:rsidR="00501DD1">
        <w:rPr>
          <w:rFonts w:cs="Arial"/>
          <w:bCs/>
          <w:lang w:val="en-US"/>
        </w:rPr>
        <w:t xml:space="preserve"> The </w:t>
      </w:r>
      <w:r w:rsidR="00BE7196" w:rsidRPr="000A0D21">
        <w:t>Interim Evaluation Report</w:t>
      </w:r>
      <w:r w:rsidR="00021A9F">
        <w:rPr>
          <w:rFonts w:cs="Arial"/>
          <w:bCs/>
          <w:lang w:val="en-US"/>
        </w:rPr>
        <w:t xml:space="preserve"> </w:t>
      </w:r>
      <w:r w:rsidR="00321AC0">
        <w:rPr>
          <w:rFonts w:cs="Arial"/>
          <w:bCs/>
          <w:lang w:val="en-US"/>
        </w:rPr>
        <w:t xml:space="preserve">provides some initial insights </w:t>
      </w:r>
      <w:r w:rsidR="00FA1B9D" w:rsidRPr="00FA1B9D">
        <w:rPr>
          <w:rFonts w:cs="Arial"/>
          <w:bCs/>
          <w:lang w:val="en-US"/>
        </w:rPr>
        <w:t>into the nine Measures of Success for the period 30 June 2023 to 30 September 2024, to inform program improvement.</w:t>
      </w:r>
      <w:r w:rsidR="00FA1B9D">
        <w:rPr>
          <w:rFonts w:cs="Arial"/>
          <w:bCs/>
          <w:lang w:val="en-US"/>
        </w:rPr>
        <w:t xml:space="preserve"> </w:t>
      </w:r>
    </w:p>
    <w:p w14:paraId="67EED0DA" w14:textId="0340C9F1" w:rsidR="001B5E29" w:rsidRPr="007527D6" w:rsidRDefault="00A14CB7" w:rsidP="00FD49F5">
      <w:r>
        <w:t>Successful implementation and ongoing support for the Medicare UCCs will ensure t</w:t>
      </w:r>
      <w:r w:rsidR="00021B8B">
        <w:t>he</w:t>
      </w:r>
      <w:r w:rsidR="00FD49F5">
        <w:t>se</w:t>
      </w:r>
      <w:r w:rsidR="00021B8B">
        <w:t xml:space="preserve"> objectives of the Medicare UCC</w:t>
      </w:r>
      <w:r w:rsidR="001B5E29">
        <w:t xml:space="preserve"> Program</w:t>
      </w:r>
      <w:r w:rsidR="003550C6">
        <w:t>.</w:t>
      </w:r>
      <w:r w:rsidR="001B5E29">
        <w:t xml:space="preserve"> </w:t>
      </w:r>
    </w:p>
    <w:p w14:paraId="246B8F71" w14:textId="77777777" w:rsidR="00405232" w:rsidRDefault="00405232">
      <w:pPr>
        <w:spacing w:after="200" w:line="288" w:lineRule="auto"/>
      </w:pPr>
      <w:r>
        <w:br w:type="page"/>
      </w:r>
    </w:p>
    <w:p w14:paraId="45D2D77E" w14:textId="36FF025A" w:rsidR="00B2494F" w:rsidRDefault="00405232" w:rsidP="00B2494F">
      <w:pPr>
        <w:pStyle w:val="Heading1"/>
        <w:numPr>
          <w:ilvl w:val="0"/>
          <w:numId w:val="13"/>
        </w:numPr>
      </w:pPr>
      <w:bookmarkStart w:id="41" w:name="_Toc212110373"/>
      <w:bookmarkStart w:id="42" w:name="_Toc96326924"/>
      <w:bookmarkEnd w:id="38"/>
      <w:r>
        <w:lastRenderedPageBreak/>
        <w:t>What policy options are you considering?</w:t>
      </w:r>
      <w:bookmarkEnd w:id="41"/>
    </w:p>
    <w:p w14:paraId="3F625457" w14:textId="6A43CB15" w:rsidR="00B2494F" w:rsidRDefault="00B2494F" w:rsidP="00B2494F">
      <w:r>
        <w:t>This Policy Impact Analysis covers two policy options to address the policy problem:</w:t>
      </w:r>
    </w:p>
    <w:p w14:paraId="1CC9887D" w14:textId="4DDE1FE2" w:rsidR="009B5FF8" w:rsidRDefault="009B5FF8" w:rsidP="00A76771">
      <w:pPr>
        <w:pStyle w:val="ListParagraph"/>
        <w:numPr>
          <w:ilvl w:val="0"/>
          <w:numId w:val="44"/>
        </w:numPr>
      </w:pPr>
      <w:r w:rsidRPr="00E55334">
        <w:rPr>
          <w:b/>
          <w:bCs/>
        </w:rPr>
        <w:t>Option 1</w:t>
      </w:r>
      <w:r>
        <w:t>: Maintain the status quo – no further funding provided and the program would cease at the end of existing arrangements.</w:t>
      </w:r>
    </w:p>
    <w:p w14:paraId="3E33D92B" w14:textId="7B591677" w:rsidR="009B5FF8" w:rsidRDefault="009B5FF8" w:rsidP="009B5FF8">
      <w:pPr>
        <w:pStyle w:val="ListParagraph"/>
        <w:numPr>
          <w:ilvl w:val="0"/>
          <w:numId w:val="44"/>
        </w:numPr>
      </w:pPr>
      <w:r w:rsidRPr="00E55334">
        <w:rPr>
          <w:b/>
          <w:bCs/>
        </w:rPr>
        <w:t>Option 2</w:t>
      </w:r>
      <w:r w:rsidR="00757AD2">
        <w:t xml:space="preserve"> (</w:t>
      </w:r>
      <w:r w:rsidR="00757AD2" w:rsidRPr="00E55334">
        <w:rPr>
          <w:b/>
          <w:bCs/>
        </w:rPr>
        <w:t>preferred</w:t>
      </w:r>
      <w:r w:rsidR="00757AD2">
        <w:t>)</w:t>
      </w:r>
      <w:r>
        <w:t>: Ongoing funding for Medicare UCCs.</w:t>
      </w:r>
    </w:p>
    <w:p w14:paraId="20FED93A" w14:textId="661F0B1B" w:rsidR="00B2494F" w:rsidRDefault="009B5FF8" w:rsidP="009B5FF8">
      <w:r>
        <w:t>Focusing on two options represents the most beneficial approach to address this policy problem as it provides the opportunity for a clear comparison for evaluation. This approach also acknowledges other urgent care models currently operating in Australia which are attempting to reduce ED presentations but have not achieved the significant and consistent outcomes required.</w:t>
      </w:r>
    </w:p>
    <w:p w14:paraId="3B599E53" w14:textId="72F80D91" w:rsidR="00E26E7F" w:rsidRDefault="00405232" w:rsidP="00E26E7F">
      <w:pPr>
        <w:pStyle w:val="Heading2"/>
        <w:rPr>
          <w:noProof/>
        </w:rPr>
      </w:pPr>
      <w:bookmarkStart w:id="43" w:name="_Toc212110374"/>
      <w:r w:rsidRPr="00405232">
        <w:rPr>
          <w:noProof/>
        </w:rPr>
        <w:t xml:space="preserve">3.1 </w:t>
      </w:r>
      <w:bookmarkStart w:id="44" w:name="_Toc114582203"/>
      <w:r w:rsidR="00E26E7F">
        <w:rPr>
          <w:noProof/>
        </w:rPr>
        <w:t xml:space="preserve">Option 1 – </w:t>
      </w:r>
      <w:r w:rsidR="003068DD">
        <w:rPr>
          <w:noProof/>
        </w:rPr>
        <w:t>Maintain the s</w:t>
      </w:r>
      <w:r w:rsidR="00E26E7F">
        <w:rPr>
          <w:noProof/>
        </w:rPr>
        <w:t>tatus quo</w:t>
      </w:r>
      <w:bookmarkEnd w:id="43"/>
      <w:bookmarkEnd w:id="44"/>
    </w:p>
    <w:p w14:paraId="781BA8A5" w14:textId="6E871986" w:rsidR="00E26E7F" w:rsidRDefault="00E26E7F" w:rsidP="00E26E7F">
      <w:r>
        <w:t xml:space="preserve">Under this option, existing </w:t>
      </w:r>
      <w:r w:rsidR="00FD49F5">
        <w:t xml:space="preserve">Medicare </w:t>
      </w:r>
      <w:r>
        <w:t xml:space="preserve">UCCs will cease operation. </w:t>
      </w:r>
    </w:p>
    <w:p w14:paraId="5821C19E" w14:textId="7B0D4613" w:rsidR="00E26E7F" w:rsidRDefault="00E26E7F" w:rsidP="00E26E7F">
      <w:r>
        <w:t xml:space="preserve">Current funding arrangements for the existing </w:t>
      </w:r>
      <w:r w:rsidR="00402920">
        <w:t xml:space="preserve">Medicare </w:t>
      </w:r>
      <w:r>
        <w:t>UCCs are due to expire from 30 June 2026 for 8</w:t>
      </w:r>
      <w:r w:rsidR="00D36757">
        <w:t>4</w:t>
      </w:r>
      <w:r>
        <w:t xml:space="preserve"> clinics and from 30 June 2028 for 5</w:t>
      </w:r>
      <w:r w:rsidR="00D36757">
        <w:t>3</w:t>
      </w:r>
      <w:r>
        <w:t xml:space="preserve"> clinics. </w:t>
      </w:r>
      <w:r w:rsidR="00C07F01">
        <w:t>Withou</w:t>
      </w:r>
      <w:r w:rsidR="00907CA4">
        <w:t xml:space="preserve">t </w:t>
      </w:r>
      <w:r>
        <w:t>ongoing</w:t>
      </w:r>
      <w:r w:rsidR="00583EBD">
        <w:t xml:space="preserve"> funding</w:t>
      </w:r>
      <w:r w:rsidR="00771448">
        <w:t>,</w:t>
      </w:r>
      <w:r w:rsidR="00583EBD">
        <w:t xml:space="preserve"> </w:t>
      </w:r>
      <w:r>
        <w:t xml:space="preserve">existing clinics </w:t>
      </w:r>
      <w:r w:rsidR="00DF598A">
        <w:t>will</w:t>
      </w:r>
      <w:r w:rsidR="009C6600">
        <w:t xml:space="preserve"> close or c</w:t>
      </w:r>
      <w:r w:rsidR="00641D7F">
        <w:t>ommence charging patients out-of-pocket costs</w:t>
      </w:r>
      <w:r>
        <w:t xml:space="preserve">, </w:t>
      </w:r>
      <w:r w:rsidR="00641D7F">
        <w:t xml:space="preserve">also </w:t>
      </w:r>
      <w:r w:rsidR="00763146">
        <w:t xml:space="preserve">creating uncertainty for the sector and jeopardising access to urgent and </w:t>
      </w:r>
      <w:r w:rsidR="00583EBD">
        <w:t>timely</w:t>
      </w:r>
      <w:r w:rsidR="00763146">
        <w:t xml:space="preserve"> care for all Australians</w:t>
      </w:r>
      <w:r w:rsidRPr="007B512A">
        <w:t>.</w:t>
      </w:r>
      <w:r w:rsidR="00672D97">
        <w:t xml:space="preserve"> </w:t>
      </w:r>
    </w:p>
    <w:p w14:paraId="220DB805" w14:textId="77777777" w:rsidR="00E26E7F" w:rsidRPr="005C1884" w:rsidRDefault="00E26E7F" w:rsidP="005C1884">
      <w:pPr>
        <w:pStyle w:val="Heading3"/>
      </w:pPr>
      <w:bookmarkStart w:id="45" w:name="_Toc212110375"/>
      <w:r w:rsidRPr="005C1884">
        <w:t>Impact on the community</w:t>
      </w:r>
      <w:bookmarkEnd w:id="45"/>
    </w:p>
    <w:p w14:paraId="035967B2" w14:textId="77777777" w:rsidR="00E26E7F" w:rsidRDefault="00E26E7F" w:rsidP="00E26E7F">
      <w:r w:rsidRPr="008B44BE">
        <w:t>This option</w:t>
      </w:r>
      <w:r>
        <w:t xml:space="preserve"> would limit </w:t>
      </w:r>
      <w:bookmarkStart w:id="46" w:name="_Hlk207619206"/>
      <w:r>
        <w:t>people’s ability to access same-day healthcare</w:t>
      </w:r>
      <w:r w:rsidRPr="00062834">
        <w:t xml:space="preserve"> resulting in patients presenting to the ED for urgent but non-</w:t>
      </w:r>
      <w:proofErr w:type="gramStart"/>
      <w:r w:rsidRPr="00062834">
        <w:t>life threatening</w:t>
      </w:r>
      <w:proofErr w:type="gramEnd"/>
      <w:r w:rsidRPr="00062834">
        <w:t xml:space="preserve"> conditions</w:t>
      </w:r>
      <w:r>
        <w:t>,</w:t>
      </w:r>
      <w:r w:rsidRPr="00062834">
        <w:t xml:space="preserve"> which could be appropriately managed within the community.</w:t>
      </w:r>
      <w:r>
        <w:t xml:space="preserve"> </w:t>
      </w:r>
      <w:bookmarkEnd w:id="46"/>
      <w:r w:rsidRPr="00C21AE3">
        <w:t>This will likely impact on the quality of care provided to patients resulting in longer wait times and potentially worse outcomes.</w:t>
      </w:r>
    </w:p>
    <w:p w14:paraId="1BED980F" w14:textId="77777777" w:rsidR="007733C3" w:rsidRDefault="00E26E7F" w:rsidP="00E26E7F">
      <w:r w:rsidRPr="00062834">
        <w:t>Prior to the establishment of Medicare UCCs, there ha</w:t>
      </w:r>
      <w:r w:rsidR="00021B8B">
        <w:t>s</w:t>
      </w:r>
      <w:r w:rsidRPr="00062834">
        <w:t xml:space="preserve"> been inconsistent service offerings for patients seeking urgent care outside of an ED. </w:t>
      </w:r>
      <w:r w:rsidR="00316173" w:rsidRPr="00316173">
        <w:t xml:space="preserve">In some </w:t>
      </w:r>
      <w:r w:rsidR="002315C2">
        <w:t>regions</w:t>
      </w:r>
      <w:r w:rsidR="00316173" w:rsidRPr="00316173">
        <w:t>, the</w:t>
      </w:r>
      <w:r w:rsidR="002315C2">
        <w:t xml:space="preserve"> absence</w:t>
      </w:r>
      <w:r w:rsidR="00316173" w:rsidRPr="00316173">
        <w:t xml:space="preserve"> of alternate </w:t>
      </w:r>
      <w:r w:rsidR="002315C2">
        <w:t xml:space="preserve">care </w:t>
      </w:r>
      <w:r w:rsidR="00316173" w:rsidRPr="00316173">
        <w:t>options</w:t>
      </w:r>
      <w:r w:rsidR="002315C2">
        <w:t xml:space="preserve"> is likely to</w:t>
      </w:r>
      <w:r w:rsidR="00316173" w:rsidRPr="00316173">
        <w:t xml:space="preserve"> </w:t>
      </w:r>
      <w:r w:rsidR="002315C2">
        <w:t>lead</w:t>
      </w:r>
      <w:r w:rsidR="00316173" w:rsidRPr="00316173">
        <w:t xml:space="preserve"> patients</w:t>
      </w:r>
      <w:r w:rsidR="002315C2">
        <w:t xml:space="preserve"> to seek treatment at </w:t>
      </w:r>
      <w:r w:rsidR="00316173" w:rsidRPr="00316173">
        <w:t>ED</w:t>
      </w:r>
      <w:r w:rsidR="002315C2">
        <w:t>s</w:t>
      </w:r>
      <w:r w:rsidR="00316173" w:rsidRPr="00316173">
        <w:t xml:space="preserve"> for </w:t>
      </w:r>
      <w:r w:rsidR="002315C2">
        <w:t xml:space="preserve">urgent but </w:t>
      </w:r>
      <w:r w:rsidR="00316173" w:rsidRPr="00316173">
        <w:t>non-</w:t>
      </w:r>
      <w:proofErr w:type="gramStart"/>
      <w:r w:rsidR="00316173" w:rsidRPr="00316173">
        <w:t>life threatening</w:t>
      </w:r>
      <w:proofErr w:type="gramEnd"/>
      <w:r w:rsidR="00316173" w:rsidRPr="00316173">
        <w:t xml:space="preserve"> conditions</w:t>
      </w:r>
      <w:r w:rsidR="002315C2">
        <w:t xml:space="preserve"> that</w:t>
      </w:r>
      <w:r w:rsidR="00316173" w:rsidRPr="00316173">
        <w:t xml:space="preserve"> could be </w:t>
      </w:r>
      <w:r w:rsidR="002315C2">
        <w:t>effectively</w:t>
      </w:r>
      <w:r w:rsidR="00316173" w:rsidRPr="00316173">
        <w:t xml:space="preserve"> managed within community</w:t>
      </w:r>
      <w:r w:rsidR="002315C2">
        <w:t>-based services</w:t>
      </w:r>
      <w:r w:rsidR="00316173">
        <w:t xml:space="preserve">. </w:t>
      </w:r>
    </w:p>
    <w:p w14:paraId="17EBBCE8" w14:textId="3166FF5E" w:rsidR="00E26E7F" w:rsidRDefault="009F350A" w:rsidP="00E26E7F">
      <w:r>
        <w:t>During the pilot period of the Medicare UCC program (between 30 June 2023 and 30  September 2024), the clinics recorded a total of 784,071 presentations</w:t>
      </w:r>
      <w:r w:rsidR="007733C3">
        <w:t>, with children under the age of 15 accounting for 28 per cent of all presentations</w:t>
      </w:r>
      <w:r>
        <w:t>.</w:t>
      </w:r>
      <w:r>
        <w:rPr>
          <w:rStyle w:val="FootnoteReference"/>
        </w:rPr>
        <w:footnoteReference w:id="36"/>
      </w:r>
    </w:p>
    <w:p w14:paraId="49BACE52" w14:textId="77777777" w:rsidR="00E26E7F" w:rsidRPr="005C1884" w:rsidRDefault="00E26E7F" w:rsidP="005C1884">
      <w:pPr>
        <w:pStyle w:val="Heading3"/>
      </w:pPr>
      <w:bookmarkStart w:id="47" w:name="_Toc212110376"/>
      <w:bookmarkStart w:id="48" w:name="_Hlk210804222"/>
      <w:r w:rsidRPr="005C1884">
        <w:lastRenderedPageBreak/>
        <w:t>Impact on healthcare providers</w:t>
      </w:r>
      <w:bookmarkEnd w:id="47"/>
    </w:p>
    <w:bookmarkEnd w:id="48"/>
    <w:p w14:paraId="1E8A08EA" w14:textId="28E361D3" w:rsidR="00E26E7F" w:rsidRDefault="00C21EA3" w:rsidP="00E26E7F">
      <w:r>
        <w:t xml:space="preserve">In this option, </w:t>
      </w:r>
      <w:r w:rsidR="00A55EDF">
        <w:t>g</w:t>
      </w:r>
      <w:r w:rsidR="00A24EB6">
        <w:t>eneral</w:t>
      </w:r>
      <w:r w:rsidR="00E26E7F">
        <w:t xml:space="preserve"> practices </w:t>
      </w:r>
      <w:r w:rsidR="00A24EB6">
        <w:t xml:space="preserve">currently </w:t>
      </w:r>
      <w:r w:rsidR="00E26E7F">
        <w:t>operating</w:t>
      </w:r>
      <w:r w:rsidR="00316173">
        <w:t xml:space="preserve"> as</w:t>
      </w:r>
      <w:r w:rsidR="00E26E7F">
        <w:t xml:space="preserve"> </w:t>
      </w:r>
      <w:r w:rsidR="00F81DF2">
        <w:t xml:space="preserve">Medicare </w:t>
      </w:r>
      <w:r w:rsidR="00E26E7F">
        <w:t>UCCs</w:t>
      </w:r>
      <w:r w:rsidR="00A55EDF">
        <w:t xml:space="preserve"> will </w:t>
      </w:r>
      <w:r w:rsidR="004A7FD9">
        <w:t xml:space="preserve">lose access to </w:t>
      </w:r>
      <w:r w:rsidR="005C184E">
        <w:t>Commonwealth funding</w:t>
      </w:r>
      <w:r w:rsidR="00A24EB6">
        <w:t xml:space="preserve"> to </w:t>
      </w:r>
      <w:r w:rsidR="00601B7F">
        <w:t>support</w:t>
      </w:r>
      <w:r w:rsidR="00182492">
        <w:t xml:space="preserve"> U</w:t>
      </w:r>
      <w:r w:rsidR="00945769">
        <w:t xml:space="preserve">rgent </w:t>
      </w:r>
      <w:r w:rsidR="00182492">
        <w:t>C</w:t>
      </w:r>
      <w:r w:rsidR="00945769">
        <w:t>are</w:t>
      </w:r>
      <w:r w:rsidR="00A24EB6">
        <w:t xml:space="preserve"> services</w:t>
      </w:r>
      <w:r w:rsidR="00182492">
        <w:t>.</w:t>
      </w:r>
      <w:r w:rsidR="00182492" w:rsidRPr="00182492">
        <w:t xml:space="preserve"> </w:t>
      </w:r>
      <w:r w:rsidR="00A71AD3">
        <w:t>This may</w:t>
      </w:r>
      <w:r w:rsidR="00182492" w:rsidRPr="00182492">
        <w:t xml:space="preserve"> result </w:t>
      </w:r>
      <w:r w:rsidR="00A71AD3">
        <w:t>in</w:t>
      </w:r>
      <w:r w:rsidR="00182492" w:rsidRPr="00182492">
        <w:t xml:space="preserve"> patients seeking alternate access to car</w:t>
      </w:r>
      <w:r w:rsidR="000F6D60">
        <w:t>e for</w:t>
      </w:r>
      <w:r w:rsidR="00182492" w:rsidRPr="00182492">
        <w:t xml:space="preserve"> providers who are not </w:t>
      </w:r>
      <w:r w:rsidR="000F6D60">
        <w:t>currently operating as a Medicare UCC</w:t>
      </w:r>
      <w:r w:rsidR="003E5F63">
        <w:t xml:space="preserve"> which may</w:t>
      </w:r>
      <w:r w:rsidR="00182492" w:rsidRPr="00182492">
        <w:t xml:space="preserve"> increase demand on </w:t>
      </w:r>
      <w:r w:rsidR="003E5F63">
        <w:t>other primary care clinics.</w:t>
      </w:r>
      <w:r w:rsidR="00E26E7F">
        <w:t xml:space="preserve"> </w:t>
      </w:r>
      <w:r w:rsidR="00672D97" w:rsidRPr="00672D97">
        <w:t>It is anticipated this will</w:t>
      </w:r>
      <w:r w:rsidR="005F0A19">
        <w:t xml:space="preserve"> also</w:t>
      </w:r>
      <w:r w:rsidR="00672D97" w:rsidRPr="00672D97">
        <w:t xml:space="preserve"> increase non-urgent and semi-urgent presentations to EDs and </w:t>
      </w:r>
      <w:r w:rsidR="003D199D">
        <w:t xml:space="preserve">put </w:t>
      </w:r>
      <w:r w:rsidR="00672D97" w:rsidRPr="00672D97">
        <w:t>pressure on surrounding GP practices, and likely disproportionately impact those from disadvantaged backgrounds where cost is a barrier to seeking treatment via alternate care options.</w:t>
      </w:r>
      <w:r w:rsidR="003D199D">
        <w:t xml:space="preserve"> </w:t>
      </w:r>
    </w:p>
    <w:p w14:paraId="268466DA" w14:textId="7712C513" w:rsidR="007E5716" w:rsidRPr="00062834" w:rsidRDefault="007E5716" w:rsidP="00E26E7F">
      <w:pPr>
        <w:rPr>
          <w:b/>
          <w:bCs/>
        </w:rPr>
      </w:pPr>
      <w:r>
        <w:t>In addition, significant Commonwealth investment has already been made to establish, promote</w:t>
      </w:r>
      <w:r w:rsidR="004348CB">
        <w:t xml:space="preserve">, </w:t>
      </w:r>
      <w:r>
        <w:t xml:space="preserve">and position Medicare UCCs as a trusted and accessible model of care within local communities. This includes expenditure on capital works, clinical infrastructure, and national advertising campaigns to raise public awareness. Discontinuing the model would risk undermining the value of </w:t>
      </w:r>
      <w:r w:rsidR="000D4724">
        <w:t>such</w:t>
      </w:r>
      <w:r>
        <w:t xml:space="preserve"> investment</w:t>
      </w:r>
      <w:r w:rsidR="000D4724">
        <w:t>s</w:t>
      </w:r>
      <w:r>
        <w:t xml:space="preserve"> and could</w:t>
      </w:r>
      <w:r w:rsidR="004348CB">
        <w:t xml:space="preserve"> reduce community confidence in Commonwealth-supported primary care services, particularly in areas which have come to rely on Medicare UCCs as a visible and trusted point of care. </w:t>
      </w:r>
    </w:p>
    <w:p w14:paraId="3084CCC7" w14:textId="77777777" w:rsidR="00E26E7F" w:rsidRPr="005C1884" w:rsidRDefault="00E26E7F" w:rsidP="005C1884">
      <w:pPr>
        <w:pStyle w:val="Heading3"/>
      </w:pPr>
      <w:bookmarkStart w:id="49" w:name="_Toc212110377"/>
      <w:r w:rsidRPr="005C1884">
        <w:t>Impact on Government</w:t>
      </w:r>
      <w:bookmarkEnd w:id="49"/>
    </w:p>
    <w:p w14:paraId="2619D440" w14:textId="10A2A197" w:rsidR="00053852" w:rsidRDefault="00E26E7F" w:rsidP="00E26E7F">
      <w:r>
        <w:t xml:space="preserve">The </w:t>
      </w:r>
      <w:r w:rsidR="004E705D">
        <w:t>g</w:t>
      </w:r>
      <w:r>
        <w:t xml:space="preserve">overnment will continue to pay into the National Health Reform Agreement (NHRA) and other existing funding arrangements supporting hospitals and primary care. </w:t>
      </w:r>
      <w:r w:rsidR="006B7986">
        <w:t xml:space="preserve">If </w:t>
      </w:r>
      <w:r w:rsidR="00CF7399">
        <w:t xml:space="preserve">funding to </w:t>
      </w:r>
      <w:r w:rsidR="00191B90">
        <w:t xml:space="preserve">Medicare </w:t>
      </w:r>
      <w:r w:rsidR="00CF7399">
        <w:t>UCCs ceased, t</w:t>
      </w:r>
      <w:r w:rsidR="003E5A5A">
        <w:t>he d</w:t>
      </w:r>
      <w:r w:rsidR="00AE0D3B">
        <w:t xml:space="preserve">emand on </w:t>
      </w:r>
      <w:r w:rsidR="00F95F51">
        <w:t>hospitals</w:t>
      </w:r>
      <w:r w:rsidR="00634103">
        <w:t xml:space="preserve"> </w:t>
      </w:r>
      <w:r w:rsidR="00CF7399">
        <w:t>may increase</w:t>
      </w:r>
      <w:r w:rsidR="003E5A5A">
        <w:t xml:space="preserve"> </w:t>
      </w:r>
      <w:r w:rsidR="00CF7399">
        <w:t xml:space="preserve">which could </w:t>
      </w:r>
      <w:r w:rsidR="00F95F51">
        <w:t>result in</w:t>
      </w:r>
      <w:r w:rsidR="0075212E">
        <w:t xml:space="preserve"> increased funding requirements</w:t>
      </w:r>
      <w:r w:rsidR="00AB177D">
        <w:t xml:space="preserve"> to maintain </w:t>
      </w:r>
      <w:r w:rsidR="00326B90">
        <w:t>services</w:t>
      </w:r>
      <w:r w:rsidR="00A25F2B">
        <w:t xml:space="preserve">. </w:t>
      </w:r>
    </w:p>
    <w:p w14:paraId="71B0CAFA" w14:textId="5B688F39" w:rsidR="00E26E7F" w:rsidRPr="00062834" w:rsidRDefault="00E77A14" w:rsidP="00E26E7F">
      <w:pPr>
        <w:rPr>
          <w:b/>
          <w:bCs/>
        </w:rPr>
      </w:pPr>
      <w:r>
        <w:t>W</w:t>
      </w:r>
      <w:r w:rsidR="00E26E7F">
        <w:t>orkforce availability and support care in regional and remote locations</w:t>
      </w:r>
      <w:r>
        <w:t xml:space="preserve"> will continue to be a priority of </w:t>
      </w:r>
      <w:r w:rsidR="004E705D">
        <w:t>g</w:t>
      </w:r>
      <w:r>
        <w:t>overnment</w:t>
      </w:r>
      <w:r w:rsidR="00E26E7F">
        <w:t>. Jurisdictions and private practices will continue to supply their existing, diverse urgent care models.</w:t>
      </w:r>
    </w:p>
    <w:p w14:paraId="494D9C16" w14:textId="310E2B60" w:rsidR="00E26E7F" w:rsidRDefault="00405232" w:rsidP="00E26E7F">
      <w:pPr>
        <w:pStyle w:val="Heading2"/>
        <w:rPr>
          <w:noProof/>
        </w:rPr>
      </w:pPr>
      <w:bookmarkStart w:id="50" w:name="_Toc212110378"/>
      <w:r w:rsidRPr="00405232">
        <w:rPr>
          <w:noProof/>
        </w:rPr>
        <w:t xml:space="preserve">3.2 Option 2 – </w:t>
      </w:r>
      <w:r w:rsidR="00D51C24" w:rsidRPr="00D51C24">
        <w:rPr>
          <w:noProof/>
        </w:rPr>
        <w:t>Ongoing funding for Medicare UCCs</w:t>
      </w:r>
      <w:bookmarkEnd w:id="50"/>
    </w:p>
    <w:p w14:paraId="22396119" w14:textId="541A2A9C" w:rsidR="00312275" w:rsidRDefault="00312275" w:rsidP="00C82526">
      <w:r>
        <w:t xml:space="preserve">Under this option, </w:t>
      </w:r>
      <w:r w:rsidR="002D6FEE" w:rsidRPr="002D6FEE">
        <w:t>ongoing funding for Medicare UCCs will ensure Australians in 137 locations can continue to access affordable urgent care across extended hours</w:t>
      </w:r>
      <w:r w:rsidR="002D6FEE">
        <w:t>.</w:t>
      </w:r>
      <w:r w:rsidR="002D6FEE" w:rsidRPr="002D6FEE">
        <w:t> </w:t>
      </w:r>
    </w:p>
    <w:p w14:paraId="5DE5D0C0" w14:textId="0725BB03" w:rsidR="002D6FEE" w:rsidRDefault="00FA1065" w:rsidP="00C82526">
      <w:r>
        <w:t>Commonwealth f</w:t>
      </w:r>
      <w:r w:rsidR="00E26E7F" w:rsidRPr="00370209">
        <w:t xml:space="preserve">unding </w:t>
      </w:r>
      <w:r>
        <w:t>will continue to be</w:t>
      </w:r>
      <w:r w:rsidR="00E26E7F" w:rsidRPr="00370209">
        <w:t xml:space="preserve"> provided to PHNs </w:t>
      </w:r>
      <w:r w:rsidR="00122382">
        <w:t>and the Northern Territory</w:t>
      </w:r>
      <w:r w:rsidR="00C04D44">
        <w:t xml:space="preserve"> and </w:t>
      </w:r>
      <w:r w:rsidR="00EB7416">
        <w:t>A</w:t>
      </w:r>
      <w:r w:rsidR="00553B38">
        <w:t>ustralian Cap</w:t>
      </w:r>
      <w:r w:rsidR="006C1693">
        <w:t>ital Territory</w:t>
      </w:r>
      <w:r w:rsidR="00122382">
        <w:t xml:space="preserve"> government</w:t>
      </w:r>
      <w:r w:rsidR="00D4134C">
        <w:t>s</w:t>
      </w:r>
      <w:r w:rsidR="00122382">
        <w:t xml:space="preserve"> to </w:t>
      </w:r>
      <w:r w:rsidR="00E26E7F" w:rsidRPr="00370209">
        <w:t>commission practices and/or community centres through an open competitive grants process</w:t>
      </w:r>
      <w:r w:rsidR="006D5B88">
        <w:t>, or</w:t>
      </w:r>
      <w:r w:rsidR="00CB0DF5">
        <w:t xml:space="preserve"> via</w:t>
      </w:r>
      <w:r w:rsidR="009E465A">
        <w:t xml:space="preserve"> Federated Funding</w:t>
      </w:r>
      <w:r w:rsidR="00A21A23">
        <w:t xml:space="preserve"> Agreements</w:t>
      </w:r>
      <w:r w:rsidR="00E26E7F" w:rsidRPr="00370209">
        <w:t xml:space="preserve">. </w:t>
      </w:r>
      <w:r w:rsidR="002D6FEE" w:rsidRPr="002D6FEE">
        <w:t>Medicare UCC commissioners would continue to be responsible for managing the contract with providers and monitoring the operations and performance of clinics in their regions.</w:t>
      </w:r>
    </w:p>
    <w:p w14:paraId="3349B964" w14:textId="65F57088" w:rsidR="002D6FEE" w:rsidRDefault="00D53AF4" w:rsidP="00C82526">
      <w:r w:rsidRPr="00D53AF4">
        <w:t>O</w:t>
      </w:r>
      <w:r w:rsidR="00CD55CF" w:rsidRPr="00D53AF4">
        <w:t xml:space="preserve">ngoing funding under this option will allow </w:t>
      </w:r>
      <w:r w:rsidR="002D6FEE" w:rsidRPr="00D53AF4">
        <w:t xml:space="preserve">all existing Medicare UCC commissioners </w:t>
      </w:r>
      <w:r w:rsidR="00CD55CF" w:rsidRPr="00D53AF4">
        <w:t>to</w:t>
      </w:r>
      <w:r w:rsidR="002D6FEE" w:rsidRPr="00D53AF4">
        <w:t xml:space="preserve"> </w:t>
      </w:r>
      <w:r w:rsidRPr="00D53AF4">
        <w:t>rec-contract</w:t>
      </w:r>
      <w:r>
        <w:t xml:space="preserve"> the</w:t>
      </w:r>
      <w:r w:rsidR="00FC5A02" w:rsidRPr="00D53AF4">
        <w:t xml:space="preserve"> existing</w:t>
      </w:r>
      <w:r w:rsidR="002D6FEE" w:rsidRPr="00D53AF4">
        <w:t xml:space="preserve"> 8</w:t>
      </w:r>
      <w:r w:rsidR="00B40DDF" w:rsidRPr="00D53AF4">
        <w:t>4</w:t>
      </w:r>
      <w:r w:rsidR="002D6FEE" w:rsidRPr="00D53AF4">
        <w:t xml:space="preserve"> Medicare UCCs (from 1 July 2026)</w:t>
      </w:r>
      <w:r w:rsidR="006A59FF">
        <w:t>,</w:t>
      </w:r>
      <w:r w:rsidR="002D6FEE" w:rsidRPr="00D53AF4">
        <w:t xml:space="preserve"> or 137 Medicare UCCs (from 1 July 2028)</w:t>
      </w:r>
      <w:r w:rsidR="00060446">
        <w:t>.</w:t>
      </w:r>
    </w:p>
    <w:p w14:paraId="46E90FAE" w14:textId="77777777" w:rsidR="00360F1A" w:rsidRPr="00C33AED" w:rsidRDefault="00360F1A" w:rsidP="00C33AED">
      <w:pPr>
        <w:pStyle w:val="Heading3"/>
      </w:pPr>
      <w:bookmarkStart w:id="51" w:name="_Toc212110379"/>
      <w:r w:rsidRPr="00C33AED">
        <w:lastRenderedPageBreak/>
        <w:t>Impact on the community</w:t>
      </w:r>
      <w:bookmarkEnd w:id="51"/>
    </w:p>
    <w:p w14:paraId="2911B4F6" w14:textId="36FEAAED" w:rsidR="00CD55CF" w:rsidRDefault="00CD55CF" w:rsidP="00360F1A">
      <w:r w:rsidRPr="00CD55CF">
        <w:t xml:space="preserve">This option </w:t>
      </w:r>
      <w:r w:rsidR="00C940FD" w:rsidRPr="00C940FD">
        <w:t>e</w:t>
      </w:r>
      <w:r w:rsidR="00C940FD">
        <w:t>nsure</w:t>
      </w:r>
      <w:r w:rsidR="00FC5A02">
        <w:t>s</w:t>
      </w:r>
      <w:r w:rsidR="00C940FD">
        <w:t xml:space="preserve"> that</w:t>
      </w:r>
      <w:r w:rsidR="00C940FD" w:rsidRPr="00C940FD">
        <w:t xml:space="preserve"> Australians </w:t>
      </w:r>
      <w:r w:rsidR="00C940FD">
        <w:t>can</w:t>
      </w:r>
      <w:r w:rsidR="00C940FD" w:rsidRPr="00C940FD">
        <w:t xml:space="preserve"> continue to access affordable urgent care across extended hours </w:t>
      </w:r>
      <w:r w:rsidR="00C940FD">
        <w:t>for non-life threatening acute episodic care for minor injuries and illnesses.</w:t>
      </w:r>
      <w:r w:rsidR="00FC5A02">
        <w:t xml:space="preserve"> </w:t>
      </w:r>
      <w:r w:rsidR="008402B3">
        <w:t xml:space="preserve">When all 137 Medicare UCCs are operational in 2025-26, around </w:t>
      </w:r>
      <w:r w:rsidR="00CA7B12">
        <w:t>four</w:t>
      </w:r>
      <w:r w:rsidR="008402B3">
        <w:t xml:space="preserve"> in </w:t>
      </w:r>
      <w:r w:rsidR="00CA7B12">
        <w:t>five</w:t>
      </w:r>
      <w:r w:rsidR="008402B3">
        <w:t xml:space="preserve"> Australians will live within a </w:t>
      </w:r>
      <w:proofErr w:type="gramStart"/>
      <w:r w:rsidR="008402B3">
        <w:t>20 minute</w:t>
      </w:r>
      <w:proofErr w:type="gramEnd"/>
      <w:r w:rsidR="008402B3">
        <w:t xml:space="preserve"> drive of a Medicare UCC. This includes some Australians living in some regional, rural and remote locations</w:t>
      </w:r>
      <w:r w:rsidR="00872E86">
        <w:t xml:space="preserve">, </w:t>
      </w:r>
      <w:r w:rsidR="00FC5A02" w:rsidRPr="00FC5A02">
        <w:t>providing more options for families to see a health professional and access</w:t>
      </w:r>
      <w:r w:rsidR="00FC5A02">
        <w:t xml:space="preserve"> to</w:t>
      </w:r>
      <w:r w:rsidR="00FC5A02" w:rsidRPr="00FC5A02">
        <w:t xml:space="preserve"> bulk billed care when they have an urgent</w:t>
      </w:r>
      <w:r w:rsidR="00601CAB">
        <w:t>,</w:t>
      </w:r>
      <w:r w:rsidR="00FC5A02" w:rsidRPr="00FC5A02">
        <w:t xml:space="preserve"> but not life threatening, need for care.</w:t>
      </w:r>
      <w:r w:rsidR="008E7417">
        <w:t xml:space="preserve"> Promoting the Medicare UCCs as a permanent fixture in the health system</w:t>
      </w:r>
      <w:r w:rsidR="00CB44AA">
        <w:t xml:space="preserve"> can help the community identify </w:t>
      </w:r>
      <w:r w:rsidR="008161C5">
        <w:t xml:space="preserve">them </w:t>
      </w:r>
      <w:r w:rsidR="00CB44AA">
        <w:t xml:space="preserve">over time, </w:t>
      </w:r>
      <w:r w:rsidR="008161C5">
        <w:t xml:space="preserve">as </w:t>
      </w:r>
      <w:r w:rsidR="00CB44AA">
        <w:t>a reliable consistent</w:t>
      </w:r>
      <w:r w:rsidR="008161C5">
        <w:t xml:space="preserve"> go-to </w:t>
      </w:r>
      <w:r w:rsidR="001432F5">
        <w:t>place for urgent but non-</w:t>
      </w:r>
      <w:proofErr w:type="gramStart"/>
      <w:r w:rsidR="001432F5">
        <w:t>life threatening</w:t>
      </w:r>
      <w:proofErr w:type="gramEnd"/>
      <w:r w:rsidR="001432F5">
        <w:t xml:space="preserve"> conditions, in the same way people currently </w:t>
      </w:r>
      <w:r w:rsidR="008A12FD">
        <w:t>see EDs.</w:t>
      </w:r>
      <w:r w:rsidR="00CB44AA">
        <w:t xml:space="preserve"> </w:t>
      </w:r>
    </w:p>
    <w:p w14:paraId="24A8E090" w14:textId="77777777" w:rsidR="00360F1A" w:rsidRPr="00C33AED" w:rsidRDefault="00360F1A" w:rsidP="00C33AED">
      <w:pPr>
        <w:pStyle w:val="Heading3"/>
      </w:pPr>
      <w:bookmarkStart w:id="52" w:name="_Toc212110380"/>
      <w:r w:rsidRPr="00C33AED">
        <w:t>Impact on healthcare providers</w:t>
      </w:r>
      <w:bookmarkEnd w:id="52"/>
    </w:p>
    <w:p w14:paraId="4C7ABC2F" w14:textId="0F725A86" w:rsidR="00CD55CF" w:rsidRDefault="00CD55CF" w:rsidP="00CD55CF">
      <w:pPr>
        <w:pStyle w:val="CABParagraph"/>
        <w:spacing w:after="120"/>
        <w:rPr>
          <w:rFonts w:asciiTheme="minorHAnsi" w:eastAsiaTheme="minorEastAsia" w:hAnsiTheme="minorHAnsi"/>
          <w:szCs w:val="21"/>
        </w:rPr>
      </w:pPr>
      <w:r w:rsidRPr="00C82526">
        <w:rPr>
          <w:rFonts w:asciiTheme="minorHAnsi" w:eastAsiaTheme="minorEastAsia" w:hAnsiTheme="minorHAnsi"/>
          <w:szCs w:val="21"/>
        </w:rPr>
        <w:t>This option will provide long term funding security to Medicare UCC providers and enable Medicare UCCs to stabilise their service delivery with reduced disruptions. This also supports Medicare UCCs to continue building upon integration and referral pathways, plan and make investments in future improvements, and attract and retain workforce.</w:t>
      </w:r>
    </w:p>
    <w:p w14:paraId="02DA9942" w14:textId="3DC020AE" w:rsidR="00601CAB" w:rsidRPr="00C82526" w:rsidRDefault="00601CAB" w:rsidP="00601CAB">
      <w:pPr>
        <w:pStyle w:val="CABParagraph"/>
        <w:spacing w:after="120"/>
        <w:rPr>
          <w:rFonts w:asciiTheme="minorHAnsi" w:eastAsiaTheme="minorEastAsia" w:hAnsiTheme="minorHAnsi"/>
          <w:szCs w:val="21"/>
        </w:rPr>
      </w:pPr>
      <w:r w:rsidRPr="00D53AF4">
        <w:rPr>
          <w:rFonts w:asciiTheme="minorHAnsi" w:eastAsiaTheme="minorEastAsia" w:hAnsiTheme="minorHAnsi"/>
          <w:szCs w:val="21"/>
        </w:rPr>
        <w:t xml:space="preserve">Under this option, Medicare UCC commissioners would </w:t>
      </w:r>
      <w:r w:rsidR="00D53AF4">
        <w:rPr>
          <w:rFonts w:asciiTheme="minorHAnsi" w:eastAsiaTheme="minorEastAsia" w:hAnsiTheme="minorHAnsi"/>
          <w:szCs w:val="21"/>
        </w:rPr>
        <w:t>re-contract existing clinic</w:t>
      </w:r>
      <w:r w:rsidR="00F07669">
        <w:rPr>
          <w:rFonts w:asciiTheme="minorHAnsi" w:eastAsiaTheme="minorEastAsia" w:hAnsiTheme="minorHAnsi"/>
          <w:szCs w:val="21"/>
        </w:rPr>
        <w:t>s</w:t>
      </w:r>
      <w:r w:rsidR="00D53AF4">
        <w:rPr>
          <w:rFonts w:asciiTheme="minorHAnsi" w:eastAsiaTheme="minorEastAsia" w:hAnsiTheme="minorHAnsi"/>
          <w:szCs w:val="21"/>
        </w:rPr>
        <w:t>, which will support workforce retainment allowing clinics</w:t>
      </w:r>
      <w:r w:rsidR="00871247">
        <w:rPr>
          <w:rFonts w:asciiTheme="minorHAnsi" w:eastAsiaTheme="minorEastAsia" w:hAnsiTheme="minorHAnsi"/>
          <w:szCs w:val="21"/>
        </w:rPr>
        <w:t xml:space="preserve"> to</w:t>
      </w:r>
      <w:r w:rsidR="00D53AF4">
        <w:rPr>
          <w:rFonts w:asciiTheme="minorHAnsi" w:eastAsiaTheme="minorEastAsia" w:hAnsiTheme="minorHAnsi"/>
          <w:szCs w:val="21"/>
        </w:rPr>
        <w:t xml:space="preserve"> </w:t>
      </w:r>
      <w:r w:rsidR="00D53AF4" w:rsidRPr="00D53AF4">
        <w:rPr>
          <w:rFonts w:asciiTheme="minorHAnsi" w:eastAsiaTheme="minorEastAsia" w:hAnsiTheme="minorHAnsi"/>
          <w:szCs w:val="21"/>
        </w:rPr>
        <w:t>stabilise their service delivery; and invest further to build upon their integration within the local health system.</w:t>
      </w:r>
    </w:p>
    <w:p w14:paraId="128E1D8D" w14:textId="77D8EAEC" w:rsidR="00360F1A" w:rsidRPr="00711C0E" w:rsidRDefault="00360F1A" w:rsidP="00711C0E">
      <w:pPr>
        <w:pStyle w:val="Heading3"/>
      </w:pPr>
      <w:bookmarkStart w:id="53" w:name="_Toc212110381"/>
      <w:r w:rsidRPr="00711C0E">
        <w:t xml:space="preserve">Impact on </w:t>
      </w:r>
      <w:r w:rsidR="00901145">
        <w:t>g</w:t>
      </w:r>
      <w:r w:rsidRPr="00711C0E">
        <w:t>overnment</w:t>
      </w:r>
      <w:bookmarkEnd w:id="53"/>
    </w:p>
    <w:p w14:paraId="7A5E7B2B" w14:textId="0D817D4B" w:rsidR="00C82526" w:rsidRPr="00C82526" w:rsidRDefault="00601CAB" w:rsidP="00360F1A">
      <w:r w:rsidRPr="00601CAB">
        <w:t xml:space="preserve">Affordable and </w:t>
      </w:r>
      <w:r w:rsidR="00484F2B" w:rsidRPr="00601CAB">
        <w:t>a</w:t>
      </w:r>
      <w:r w:rsidR="00484F2B">
        <w:t>ccessible</w:t>
      </w:r>
      <w:r w:rsidR="00484F2B" w:rsidRPr="00601CAB">
        <w:t xml:space="preserve"> </w:t>
      </w:r>
      <w:r w:rsidRPr="00601CAB">
        <w:t xml:space="preserve">access to healthcare is a priority for </w:t>
      </w:r>
      <w:r w:rsidR="004E705D">
        <w:t>g</w:t>
      </w:r>
      <w:r w:rsidRPr="00601CAB">
        <w:t>overnment and contributes to national health and social wellbeing.</w:t>
      </w:r>
      <w:r>
        <w:t xml:space="preserve"> </w:t>
      </w:r>
      <w:r w:rsidR="00C82526">
        <w:t>Ongoing investment for</w:t>
      </w:r>
      <w:r w:rsidR="00C82526" w:rsidRPr="00C82526">
        <w:t xml:space="preserve"> Medicare UCCs </w:t>
      </w:r>
      <w:r w:rsidR="00C82526">
        <w:t>supports</w:t>
      </w:r>
      <w:r>
        <w:t xml:space="preserve"> the</w:t>
      </w:r>
      <w:r w:rsidR="00C82526" w:rsidRPr="00C82526">
        <w:t xml:space="preserve"> </w:t>
      </w:r>
      <w:r w:rsidR="004E705D">
        <w:t>g</w:t>
      </w:r>
      <w:r w:rsidR="00C82526" w:rsidRPr="00C82526">
        <w:t xml:space="preserve">overnment’s commitment to improving access to urgent bulk-billed health care, and to the Medicare UCC model and its continued role in the provision of </w:t>
      </w:r>
      <w:r w:rsidR="008402B3">
        <w:t xml:space="preserve">cost-effective </w:t>
      </w:r>
      <w:r w:rsidR="00C82526" w:rsidRPr="00C82526">
        <w:t>healthcare services alongside ED</w:t>
      </w:r>
      <w:r w:rsidR="00C82526">
        <w:t>s</w:t>
      </w:r>
      <w:r w:rsidR="00C82526" w:rsidRPr="00C82526">
        <w:t xml:space="preserve"> and GPs. </w:t>
      </w:r>
    </w:p>
    <w:p w14:paraId="63BB7F72" w14:textId="77777777" w:rsidR="00405232" w:rsidRDefault="00405232">
      <w:pPr>
        <w:spacing w:after="200" w:line="288" w:lineRule="auto"/>
        <w:rPr>
          <w:lang w:val="en-US"/>
        </w:rPr>
      </w:pPr>
      <w:r>
        <w:rPr>
          <w:lang w:val="en-US"/>
        </w:rPr>
        <w:br w:type="page"/>
      </w:r>
    </w:p>
    <w:p w14:paraId="62059F64" w14:textId="6329587B" w:rsidR="002044C9" w:rsidRDefault="00405232" w:rsidP="002044C9">
      <w:pPr>
        <w:pStyle w:val="Heading1"/>
        <w:numPr>
          <w:ilvl w:val="0"/>
          <w:numId w:val="13"/>
        </w:numPr>
      </w:pPr>
      <w:bookmarkStart w:id="54" w:name="_Toc212110382"/>
      <w:r>
        <w:lastRenderedPageBreak/>
        <w:t>What is the likely net benefit of each option?</w:t>
      </w:r>
      <w:bookmarkEnd w:id="54"/>
    </w:p>
    <w:p w14:paraId="183AE897" w14:textId="13878089" w:rsidR="002044C9" w:rsidRPr="002044C9" w:rsidRDefault="007E1E49" w:rsidP="002044C9">
      <w:r>
        <w:t>This section</w:t>
      </w:r>
      <w:r w:rsidR="008B09BC">
        <w:t xml:space="preserve"> outlines the primary benefits and costs for each of the two policy options proposed in this Policy Impact Analysis.</w:t>
      </w:r>
      <w:r w:rsidR="00D05BAE">
        <w:t xml:space="preserve"> The preferred policy option</w:t>
      </w:r>
      <w:r w:rsidR="002C4530">
        <w:t xml:space="preserve">, </w:t>
      </w:r>
      <w:r w:rsidR="002C4530" w:rsidRPr="00B71D87">
        <w:rPr>
          <w:b/>
          <w:bCs/>
        </w:rPr>
        <w:t>Option 2</w:t>
      </w:r>
      <w:r w:rsidR="00B71D87">
        <w:t>,</w:t>
      </w:r>
      <w:r w:rsidR="00ED3896">
        <w:t xml:space="preserve"> has been selected </w:t>
      </w:r>
      <w:r w:rsidR="00F573D4">
        <w:t xml:space="preserve">based </w:t>
      </w:r>
      <w:r w:rsidR="00871247">
        <w:t>on balances</w:t>
      </w:r>
      <w:r w:rsidR="00F573D4">
        <w:t xml:space="preserve"> when comparing </w:t>
      </w:r>
      <w:r w:rsidR="00C21B67">
        <w:t xml:space="preserve">the </w:t>
      </w:r>
      <w:r w:rsidR="00F573D4">
        <w:t xml:space="preserve">extent </w:t>
      </w:r>
      <w:r w:rsidR="00C21B67">
        <w:t xml:space="preserve">each option </w:t>
      </w:r>
      <w:r w:rsidR="009E6628">
        <w:t>meets the policy objectives, the regulatory burden and associated costs</w:t>
      </w:r>
      <w:r w:rsidR="008B441A">
        <w:t xml:space="preserve"> and the overall net benefit. </w:t>
      </w:r>
      <w:r>
        <w:t xml:space="preserve"> </w:t>
      </w:r>
    </w:p>
    <w:p w14:paraId="5FE9FE39" w14:textId="04C703D5" w:rsidR="00405232" w:rsidRDefault="00995541" w:rsidP="00995541">
      <w:pPr>
        <w:pStyle w:val="Heading2"/>
        <w:rPr>
          <w:lang w:val="en-US"/>
        </w:rPr>
      </w:pPr>
      <w:bookmarkStart w:id="55" w:name="_Toc212110383"/>
      <w:r w:rsidRPr="00995541">
        <w:rPr>
          <w:lang w:val="en-US"/>
        </w:rPr>
        <w:t>4</w:t>
      </w:r>
      <w:r w:rsidRPr="00711C0E">
        <w:rPr>
          <w:noProof/>
        </w:rPr>
        <w:t xml:space="preserve">.1 Option 1 – </w:t>
      </w:r>
      <w:r w:rsidR="006A2AB0">
        <w:rPr>
          <w:noProof/>
        </w:rPr>
        <w:t>Maintaining the s</w:t>
      </w:r>
      <w:r w:rsidRPr="00711C0E">
        <w:rPr>
          <w:noProof/>
        </w:rPr>
        <w:t xml:space="preserve">tatus </w:t>
      </w:r>
      <w:r w:rsidR="00294E86">
        <w:rPr>
          <w:noProof/>
        </w:rPr>
        <w:t>q</w:t>
      </w:r>
      <w:r w:rsidRPr="00711C0E">
        <w:rPr>
          <w:noProof/>
        </w:rPr>
        <w:t>uo</w:t>
      </w:r>
      <w:bookmarkEnd w:id="55"/>
    </w:p>
    <w:p w14:paraId="47CC6B31" w14:textId="1DE28141" w:rsidR="00CC0E54" w:rsidRPr="00CC0E54" w:rsidRDefault="00CC0E54" w:rsidP="004D1E00">
      <w:r>
        <w:t xml:space="preserve">The net benefit of maintaining the status quo </w:t>
      </w:r>
      <w:r w:rsidR="002D5D46">
        <w:t>is marginal, wit</w:t>
      </w:r>
      <w:r w:rsidR="00BD725C">
        <w:t>h</w:t>
      </w:r>
      <w:r w:rsidR="002D5D46">
        <w:t xml:space="preserve"> cost savings to government likely to </w:t>
      </w:r>
      <w:r w:rsidR="00BD725C">
        <w:t>be superseded by increase costs to government</w:t>
      </w:r>
      <w:r w:rsidR="004D1E00">
        <w:t xml:space="preserve"> and strain on</w:t>
      </w:r>
      <w:r w:rsidR="00B33D4A">
        <w:t xml:space="preserve"> other parts of the health system</w:t>
      </w:r>
      <w:r w:rsidR="002007A1">
        <w:t>,</w:t>
      </w:r>
      <w:r w:rsidR="00D63F3E">
        <w:t xml:space="preserve"> and</w:t>
      </w:r>
      <w:r w:rsidR="002007A1">
        <w:t xml:space="preserve"> negative</w:t>
      </w:r>
      <w:r w:rsidR="00D63F3E">
        <w:t xml:space="preserve"> impact</w:t>
      </w:r>
      <w:r w:rsidR="002007A1">
        <w:t>s</w:t>
      </w:r>
      <w:r w:rsidR="00D63F3E">
        <w:t xml:space="preserve"> on </w:t>
      </w:r>
      <w:r w:rsidR="002007A1">
        <w:t>individuals, businesses and communities</w:t>
      </w:r>
      <w:r w:rsidR="004D1E00">
        <w:t>.</w:t>
      </w:r>
    </w:p>
    <w:p w14:paraId="1E7F9AB1" w14:textId="0B7FFAFD" w:rsidR="00160FC1" w:rsidRDefault="00160FC1" w:rsidP="00711C0E">
      <w:pPr>
        <w:pStyle w:val="Heading3"/>
      </w:pPr>
      <w:bookmarkStart w:id="56" w:name="_Toc212110384"/>
      <w:r w:rsidRPr="00711C0E">
        <w:t>Individuals</w:t>
      </w:r>
      <w:bookmarkEnd w:id="56"/>
      <w:r w:rsidRPr="00711C0E">
        <w:t xml:space="preserve"> </w:t>
      </w:r>
    </w:p>
    <w:p w14:paraId="3161FE7F" w14:textId="5849B3B2" w:rsidR="00995541" w:rsidRPr="00711C0E" w:rsidRDefault="00E26E7F" w:rsidP="00D033CD">
      <w:pPr>
        <w:pStyle w:val="Heading4"/>
      </w:pPr>
      <w:r w:rsidRPr="00711C0E">
        <w:t>Benefits</w:t>
      </w:r>
    </w:p>
    <w:p w14:paraId="282E8542" w14:textId="2737B557" w:rsidR="00E26E7F" w:rsidRPr="00C40000" w:rsidRDefault="00C650EB" w:rsidP="00E26E7F">
      <w:r>
        <w:t xml:space="preserve">Without further funding, Medicare UCCs </w:t>
      </w:r>
      <w:r w:rsidR="00906DFF">
        <w:t>will</w:t>
      </w:r>
      <w:r>
        <w:t xml:space="preserve"> cease operation</w:t>
      </w:r>
      <w:r w:rsidR="004E3E99">
        <w:t>. This</w:t>
      </w:r>
      <w:r w:rsidR="00EF7779">
        <w:t xml:space="preserve"> could result</w:t>
      </w:r>
      <w:r w:rsidR="00EA70B1">
        <w:t xml:space="preserve"> </w:t>
      </w:r>
      <w:r w:rsidR="00EF7779">
        <w:t>in</w:t>
      </w:r>
      <w:r w:rsidR="00EA70B1">
        <w:t xml:space="preserve"> </w:t>
      </w:r>
      <w:r w:rsidR="00F11BF6">
        <w:t xml:space="preserve">more people returning to general </w:t>
      </w:r>
      <w:r w:rsidR="00482F2A">
        <w:t>practice or</w:t>
      </w:r>
      <w:r w:rsidR="00906DFF">
        <w:t xml:space="preserve"> seeking care at EDs</w:t>
      </w:r>
      <w:r w:rsidR="00F11BF6">
        <w:t xml:space="preserve"> for urgent care needs</w:t>
      </w:r>
      <w:r w:rsidR="00790F3D">
        <w:t>. P</w:t>
      </w:r>
      <w:r w:rsidR="00EA70B1">
        <w:t xml:space="preserve">atients </w:t>
      </w:r>
      <w:r w:rsidR="006E3469">
        <w:t>seeking care through</w:t>
      </w:r>
      <w:r w:rsidR="00EF7779">
        <w:t xml:space="preserve"> their </w:t>
      </w:r>
      <w:r w:rsidR="0041253D">
        <w:t>regular</w:t>
      </w:r>
      <w:r w:rsidR="00ED2E8D">
        <w:t xml:space="preserve"> GP</w:t>
      </w:r>
      <w:r w:rsidR="00EF7779">
        <w:t>,</w:t>
      </w:r>
      <w:r w:rsidR="0041253D">
        <w:t xml:space="preserve"> </w:t>
      </w:r>
      <w:r w:rsidR="00FC098D">
        <w:t>may lead to compr</w:t>
      </w:r>
      <w:r w:rsidR="00050D08">
        <w:t>ehensive</w:t>
      </w:r>
      <w:r w:rsidR="00EF7779">
        <w:t xml:space="preserve"> ongoing </w:t>
      </w:r>
      <w:r w:rsidR="00D429EC">
        <w:t>care</w:t>
      </w:r>
      <w:r w:rsidR="00454DC8">
        <w:t xml:space="preserve"> </w:t>
      </w:r>
      <w:r w:rsidR="00AB33AF">
        <w:t>that supports</w:t>
      </w:r>
      <w:r w:rsidR="00454DC8">
        <w:t xml:space="preserve"> </w:t>
      </w:r>
      <w:r w:rsidR="008C1549">
        <w:t>improved health outcomes</w:t>
      </w:r>
      <w:r w:rsidR="00487863">
        <w:t xml:space="preserve"> </w:t>
      </w:r>
    </w:p>
    <w:p w14:paraId="426C8BC0" w14:textId="7930E16E" w:rsidR="00E26E7F" w:rsidRPr="00711C0E" w:rsidRDefault="00E26E7F" w:rsidP="00D033CD">
      <w:pPr>
        <w:pStyle w:val="Heading4"/>
      </w:pPr>
      <w:r w:rsidRPr="00711C0E">
        <w:t>Costs</w:t>
      </w:r>
    </w:p>
    <w:p w14:paraId="4587612C" w14:textId="5EBF2277" w:rsidR="00FE491C" w:rsidRDefault="00FE491C" w:rsidP="00976D0D">
      <w:r>
        <w:t xml:space="preserve">People seeking care </w:t>
      </w:r>
      <w:r w:rsidR="00B523ED">
        <w:t xml:space="preserve">via </w:t>
      </w:r>
      <w:r w:rsidR="00CF1B6B">
        <w:t>general practice</w:t>
      </w:r>
      <w:r w:rsidR="00825AB2">
        <w:t xml:space="preserve"> or ED</w:t>
      </w:r>
      <w:r w:rsidR="00B817A9">
        <w:t>s</w:t>
      </w:r>
      <w:r w:rsidR="00825AB2">
        <w:t xml:space="preserve"> for urgent care needs </w:t>
      </w:r>
      <w:proofErr w:type="gramStart"/>
      <w:r w:rsidR="00825AB2">
        <w:t>as a result of</w:t>
      </w:r>
      <w:proofErr w:type="gramEnd"/>
      <w:r w:rsidR="00825AB2">
        <w:t xml:space="preserve"> Medicare UCC closures</w:t>
      </w:r>
      <w:r w:rsidR="00CF1B6B">
        <w:t xml:space="preserve"> may </w:t>
      </w:r>
      <w:r w:rsidR="00210FFC">
        <w:t>face out-of-pocket costs related to a general practice consult and cost of any ancillary services</w:t>
      </w:r>
      <w:r w:rsidR="003A4BFD">
        <w:t>,</w:t>
      </w:r>
      <w:r w:rsidR="00825AB2">
        <w:t xml:space="preserve"> </w:t>
      </w:r>
      <w:r w:rsidR="003A4BFD">
        <w:t xml:space="preserve">including </w:t>
      </w:r>
      <w:r w:rsidR="00825AB2">
        <w:t xml:space="preserve">increased wait times </w:t>
      </w:r>
      <w:r w:rsidR="002668E7">
        <w:t xml:space="preserve">to access </w:t>
      </w:r>
      <w:proofErr w:type="gramStart"/>
      <w:r w:rsidR="002668E7">
        <w:t>care free</w:t>
      </w:r>
      <w:proofErr w:type="gramEnd"/>
      <w:r w:rsidR="002668E7">
        <w:t>-of-charge.</w:t>
      </w:r>
    </w:p>
    <w:p w14:paraId="21155DB9" w14:textId="57BE1E5D" w:rsidR="00E26E7F" w:rsidRDefault="00FF4A47" w:rsidP="00E26E7F">
      <w:bookmarkStart w:id="57" w:name="_Hlk207884560"/>
      <w:r>
        <w:t>T</w:t>
      </w:r>
      <w:r w:rsidR="00B85F32">
        <w:t>his</w:t>
      </w:r>
      <w:r w:rsidR="00997D60">
        <w:t xml:space="preserve"> will result in </w:t>
      </w:r>
      <w:r w:rsidR="00AD442F">
        <w:t>increased cost to governments to</w:t>
      </w:r>
      <w:r w:rsidR="00025335">
        <w:t xml:space="preserve"> fund increase in demand to E</w:t>
      </w:r>
      <w:r w:rsidR="00435DC4">
        <w:t>Ds</w:t>
      </w:r>
      <w:r w:rsidR="00C479A0">
        <w:t xml:space="preserve"> </w:t>
      </w:r>
      <w:r w:rsidR="00E26E7F">
        <w:t xml:space="preserve">put further strain on the healthcare system and workforce within hospitals. This </w:t>
      </w:r>
      <w:r w:rsidR="00906DFF">
        <w:t>may</w:t>
      </w:r>
      <w:r w:rsidR="00E26E7F">
        <w:t xml:space="preserve"> impact on the quality of care provided to patients resulting in longer wait times and potentially worse outcomes. </w:t>
      </w:r>
      <w:bookmarkEnd w:id="57"/>
    </w:p>
    <w:p w14:paraId="2578FE5B" w14:textId="77777777" w:rsidR="00D033CD" w:rsidRDefault="00D033CD" w:rsidP="00D033CD">
      <w:pPr>
        <w:pStyle w:val="Heading3"/>
      </w:pPr>
      <w:bookmarkStart w:id="58" w:name="_Toc212110385"/>
      <w:r>
        <w:t>Businesses and communities</w:t>
      </w:r>
      <w:bookmarkEnd w:id="58"/>
    </w:p>
    <w:p w14:paraId="01783640" w14:textId="124FAA30" w:rsidR="00D033CD" w:rsidRDefault="00D033CD" w:rsidP="00D033CD">
      <w:pPr>
        <w:pStyle w:val="Heading4"/>
      </w:pPr>
      <w:r>
        <w:t xml:space="preserve">Benefits </w:t>
      </w:r>
    </w:p>
    <w:p w14:paraId="32A94666" w14:textId="09EA4A1D" w:rsidR="00D033CD" w:rsidRDefault="00986F1F" w:rsidP="00D033CD">
      <w:r>
        <w:t xml:space="preserve">Without </w:t>
      </w:r>
      <w:r w:rsidR="00F5241D">
        <w:t xml:space="preserve">ongoing funding, existing Medicare UCCs may cease operations, which may increase demand for other health services in the local area, such as </w:t>
      </w:r>
      <w:r w:rsidR="00057802">
        <w:t xml:space="preserve">neighbouring general practices and </w:t>
      </w:r>
      <w:r w:rsidR="00871247">
        <w:t>after-hours</w:t>
      </w:r>
      <w:r w:rsidR="00057802">
        <w:t xml:space="preserve"> services</w:t>
      </w:r>
      <w:r w:rsidR="00F5241D">
        <w:t xml:space="preserve">. </w:t>
      </w:r>
      <w:r w:rsidR="00485D6C">
        <w:t>From a workforce perspective, healthcare providers currently working in Medicare UCCs may be freed up to work in other parts of the health system</w:t>
      </w:r>
      <w:r w:rsidR="00487863">
        <w:t>.</w:t>
      </w:r>
    </w:p>
    <w:p w14:paraId="22894E55" w14:textId="5ACB0E0F" w:rsidR="00C04C64" w:rsidRPr="00DB5088" w:rsidRDefault="00C04C64" w:rsidP="00C04C64">
      <w:r>
        <w:lastRenderedPageBreak/>
        <w:t xml:space="preserve">There will be no regulatory burdens associated for either private clinics or community health organisations as neither will have to change their methods of data collection, evaluation or training requirements. </w:t>
      </w:r>
    </w:p>
    <w:p w14:paraId="4A20369F" w14:textId="3A13080B" w:rsidR="00D033CD" w:rsidRDefault="00D033CD" w:rsidP="00D033CD">
      <w:pPr>
        <w:pStyle w:val="Heading4"/>
      </w:pPr>
      <w:r>
        <w:t xml:space="preserve">Costs </w:t>
      </w:r>
    </w:p>
    <w:p w14:paraId="080BB52D" w14:textId="3D682B32" w:rsidR="00D033CD" w:rsidRDefault="00783856" w:rsidP="00D033CD">
      <w:r>
        <w:t xml:space="preserve">Maintaining the status quo would see a return and/or further exacerbation of current problems of increased ED </w:t>
      </w:r>
      <w:r w:rsidR="00482F2A">
        <w:t>presentations,</w:t>
      </w:r>
      <w:r>
        <w:t xml:space="preserve"> which on average costs more per presentation to manage when compared to a Medicare UCC. </w:t>
      </w:r>
      <w:r w:rsidR="00485D6C">
        <w:t xml:space="preserve">Increasing demand on neighbouring health services may </w:t>
      </w:r>
      <w:r w:rsidR="008A0F48">
        <w:t xml:space="preserve">not be </w:t>
      </w:r>
      <w:r w:rsidR="009A1D0A">
        <w:t xml:space="preserve">met by remaining health services, </w:t>
      </w:r>
      <w:r w:rsidR="00485D6C">
        <w:t>exacerbat</w:t>
      </w:r>
      <w:r w:rsidR="009A1D0A">
        <w:t>ing current strain</w:t>
      </w:r>
      <w:r w:rsidR="00C04C64">
        <w:t xml:space="preserve"> on the broader health system</w:t>
      </w:r>
      <w:r w:rsidR="009A1D0A">
        <w:t>.</w:t>
      </w:r>
      <w:r w:rsidR="00485D6C">
        <w:t xml:space="preserve"> </w:t>
      </w:r>
      <w:r w:rsidR="00487863">
        <w:t xml:space="preserve"> </w:t>
      </w:r>
    </w:p>
    <w:p w14:paraId="2E05866A" w14:textId="43514BB9" w:rsidR="00790F3D" w:rsidRDefault="00790F3D" w:rsidP="00790F3D">
      <w:r>
        <w:t>Increase</w:t>
      </w:r>
      <w:r w:rsidR="00906DFF">
        <w:t>d</w:t>
      </w:r>
      <w:r>
        <w:t xml:space="preserve"> demand on other health services may also place additional pressure on general practices, potentially causing unnecessary stress and increasing demand on already stretched resources.</w:t>
      </w:r>
    </w:p>
    <w:p w14:paraId="58FDDD7A" w14:textId="0D4AE450" w:rsidR="00790F3D" w:rsidRPr="00D033CD" w:rsidRDefault="006E3A57" w:rsidP="00D033CD">
      <w:r>
        <w:t>There is a risk</w:t>
      </w:r>
      <w:r w:rsidR="00790F3D">
        <w:t xml:space="preserve"> that current trends will continue and worsen without intervention. For instance, without intervention the limited access to primary care will continue to send more patients to ED who are seeking affordable and timely urgent care. </w:t>
      </w:r>
    </w:p>
    <w:p w14:paraId="1E685DE8" w14:textId="744F9AAE" w:rsidR="00D033CD" w:rsidRDefault="00D033CD" w:rsidP="00711C0E">
      <w:pPr>
        <w:pStyle w:val="Heading3"/>
      </w:pPr>
      <w:bookmarkStart w:id="59" w:name="_Toc212110386"/>
      <w:r>
        <w:t>Government</w:t>
      </w:r>
      <w:bookmarkEnd w:id="59"/>
      <w:r>
        <w:t xml:space="preserve"> </w:t>
      </w:r>
    </w:p>
    <w:p w14:paraId="356B33AB" w14:textId="77777777" w:rsidR="00D033CD" w:rsidRDefault="00D033CD" w:rsidP="00D033CD">
      <w:pPr>
        <w:pStyle w:val="Heading4"/>
      </w:pPr>
      <w:r>
        <w:t xml:space="preserve">Benefits </w:t>
      </w:r>
    </w:p>
    <w:p w14:paraId="6CA9E529" w14:textId="6FB26F18" w:rsidR="00D033CD" w:rsidRDefault="002A0087" w:rsidP="00D033CD">
      <w:r>
        <w:t xml:space="preserve">There would be limited benefits if </w:t>
      </w:r>
      <w:r w:rsidR="006E3A57">
        <w:t>the</w:t>
      </w:r>
      <w:r w:rsidR="00B11F46">
        <w:t xml:space="preserve"> existing</w:t>
      </w:r>
      <w:r>
        <w:t xml:space="preserve"> Medicare UCC</w:t>
      </w:r>
      <w:r w:rsidR="00B11F46">
        <w:t xml:space="preserve"> </w:t>
      </w:r>
      <w:r w:rsidR="00976D0D">
        <w:t>program</w:t>
      </w:r>
      <w:r w:rsidR="00B11F46">
        <w:t xml:space="preserve"> </w:t>
      </w:r>
      <w:r>
        <w:t xml:space="preserve">were </w:t>
      </w:r>
      <w:r w:rsidR="00B11F46">
        <w:t>to expire</w:t>
      </w:r>
      <w:r>
        <w:t xml:space="preserve">. </w:t>
      </w:r>
      <w:r w:rsidR="00B11F46">
        <w:t xml:space="preserve"> </w:t>
      </w:r>
      <w:r w:rsidRPr="002A0087">
        <w:t>Cessation of the program would</w:t>
      </w:r>
      <w:r>
        <w:t xml:space="preserve"> likely</w:t>
      </w:r>
      <w:r w:rsidRPr="002A0087">
        <w:t xml:space="preserve"> result in savings for </w:t>
      </w:r>
      <w:r w:rsidR="00C04C64" w:rsidRPr="00C04C64">
        <w:t xml:space="preserve">government as future funding would not be required to </w:t>
      </w:r>
      <w:r>
        <w:t xml:space="preserve">provide ongoing </w:t>
      </w:r>
      <w:r w:rsidR="00C04C64" w:rsidRPr="00C04C64">
        <w:t xml:space="preserve">support </w:t>
      </w:r>
      <w:r>
        <w:t xml:space="preserve">for </w:t>
      </w:r>
      <w:r w:rsidR="00C04C64" w:rsidRPr="00C04C64">
        <w:t>the program</w:t>
      </w:r>
      <w:r>
        <w:t>. This will likely</w:t>
      </w:r>
      <w:r w:rsidR="003F54E3">
        <w:t xml:space="preserve"> divert</w:t>
      </w:r>
      <w:r>
        <w:t xml:space="preserve"> people back</w:t>
      </w:r>
      <w:r w:rsidR="003F54E3">
        <w:t xml:space="preserve"> to other health services</w:t>
      </w:r>
      <w:r>
        <w:t xml:space="preserve"> such as general practices and EDs</w:t>
      </w:r>
      <w:r w:rsidR="003F54E3">
        <w:t>.</w:t>
      </w:r>
      <w:r w:rsidR="00B11F46">
        <w:t xml:space="preserve"> </w:t>
      </w:r>
    </w:p>
    <w:p w14:paraId="4CC93F05" w14:textId="77777777" w:rsidR="00D033CD" w:rsidRDefault="00D033CD" w:rsidP="00D033CD">
      <w:pPr>
        <w:pStyle w:val="Heading4"/>
      </w:pPr>
      <w:r>
        <w:t xml:space="preserve">Costs </w:t>
      </w:r>
    </w:p>
    <w:p w14:paraId="5EEAF7CE" w14:textId="6DF1E551" w:rsidR="00D033CD" w:rsidRDefault="00783856" w:rsidP="00D033CD">
      <w:r>
        <w:t>Increased presentations to E</w:t>
      </w:r>
      <w:r w:rsidR="00E00B68">
        <w:t xml:space="preserve">Ds will cost government </w:t>
      </w:r>
      <w:r w:rsidR="00D91C8C">
        <w:t>more, with average costs</w:t>
      </w:r>
      <w:r w:rsidR="006E3A57">
        <w:t xml:space="preserve"> per</w:t>
      </w:r>
      <w:r w:rsidR="00D91C8C">
        <w:t xml:space="preserve"> presentation</w:t>
      </w:r>
      <w:r w:rsidR="003A4BFD">
        <w:t xml:space="preserve"> ($616) </w:t>
      </w:r>
      <w:r w:rsidR="00825AB2">
        <w:t>higher than compared to a Medicare UCC</w:t>
      </w:r>
      <w:r w:rsidR="003A4BFD">
        <w:t xml:space="preserve"> ($248)</w:t>
      </w:r>
      <w:r w:rsidR="00825AB2">
        <w:t>.</w:t>
      </w:r>
      <w:r w:rsidR="003A4BFD">
        <w:rPr>
          <w:rStyle w:val="FootnoteReference"/>
        </w:rPr>
        <w:footnoteReference w:id="37"/>
      </w:r>
      <w:r w:rsidR="00825AB2">
        <w:t xml:space="preserve"> </w:t>
      </w:r>
    </w:p>
    <w:p w14:paraId="45EF4D6F" w14:textId="35370433" w:rsidR="003F54E3" w:rsidRPr="00D033CD" w:rsidRDefault="00820824" w:rsidP="00D033CD">
      <w:r>
        <w:t>While this option will likely increase the availability of GPs to work in general practice, the i</w:t>
      </w:r>
      <w:r w:rsidR="003F54E3">
        <w:t>ncrease</w:t>
      </w:r>
      <w:r w:rsidR="006E3A57">
        <w:t>d</w:t>
      </w:r>
      <w:r w:rsidR="003F54E3">
        <w:t xml:space="preserve"> demand on </w:t>
      </w:r>
      <w:r>
        <w:t>the sector</w:t>
      </w:r>
      <w:r w:rsidR="003F54E3">
        <w:t xml:space="preserve"> </w:t>
      </w:r>
      <w:r w:rsidR="00754297">
        <w:t>may</w:t>
      </w:r>
      <w:r w:rsidR="003F54E3">
        <w:t xml:space="preserve"> put further pressure on government to solve workforce challenges</w:t>
      </w:r>
      <w:r w:rsidR="00754297">
        <w:t xml:space="preserve"> and provide additional funding to general practice.</w:t>
      </w:r>
      <w:r w:rsidR="003F54E3">
        <w:t xml:space="preserve"> </w:t>
      </w:r>
    </w:p>
    <w:p w14:paraId="646120DC" w14:textId="4BD5F084" w:rsidR="00A66B58" w:rsidRPr="000304CF" w:rsidRDefault="00A66B58" w:rsidP="00A66B58">
      <w:r w:rsidRPr="000304CF">
        <w:t xml:space="preserve">Table </w:t>
      </w:r>
      <w:r w:rsidR="00B2147F">
        <w:t>3</w:t>
      </w:r>
      <w:r w:rsidRPr="000304CF">
        <w:t>: Regulatory burden estimate (RBE) table</w:t>
      </w:r>
    </w:p>
    <w:p w14:paraId="7D369533" w14:textId="77777777" w:rsidR="00A66B58" w:rsidRPr="000304CF" w:rsidRDefault="00A66B58" w:rsidP="00A66B58">
      <w:r w:rsidRPr="000304CF">
        <w:t>Average annual regulatory costs (from business as usual)</w:t>
      </w:r>
    </w:p>
    <w:tbl>
      <w:tblPr>
        <w:tblW w:w="0" w:type="auto"/>
        <w:tblLook w:val="04A0" w:firstRow="1" w:lastRow="0" w:firstColumn="1" w:lastColumn="0" w:noHBand="0" w:noVBand="1"/>
      </w:tblPr>
      <w:tblGrid>
        <w:gridCol w:w="1925"/>
        <w:gridCol w:w="1925"/>
        <w:gridCol w:w="1926"/>
        <w:gridCol w:w="1926"/>
        <w:gridCol w:w="1926"/>
      </w:tblGrid>
      <w:tr w:rsidR="00A66B58" w:rsidRPr="000304CF" w14:paraId="10D974B8" w14:textId="77777777" w:rsidTr="00B6207E">
        <w:trPr>
          <w:tblHeader/>
        </w:trPr>
        <w:tc>
          <w:tcPr>
            <w:tcW w:w="1925" w:type="dxa"/>
            <w:tcBorders>
              <w:top w:val="single" w:sz="4" w:space="0" w:color="1C2B39" w:themeColor="accent1"/>
              <w:left w:val="nil"/>
              <w:bottom w:val="single" w:sz="4" w:space="0" w:color="1C2B39" w:themeColor="accent1"/>
              <w:right w:val="nil"/>
            </w:tcBorders>
            <w:hideMark/>
          </w:tcPr>
          <w:p w14:paraId="3206BA57" w14:textId="77777777" w:rsidR="00A66B58" w:rsidRPr="000304CF" w:rsidRDefault="00A66B58" w:rsidP="00B6207E">
            <w:pPr>
              <w:rPr>
                <w:b/>
              </w:rPr>
            </w:pPr>
            <w:r w:rsidRPr="000304CF">
              <w:rPr>
                <w:b/>
              </w:rPr>
              <w:t>Change in costs ($ million)</w:t>
            </w:r>
          </w:p>
        </w:tc>
        <w:tc>
          <w:tcPr>
            <w:tcW w:w="1925" w:type="dxa"/>
            <w:tcBorders>
              <w:top w:val="single" w:sz="4" w:space="0" w:color="1C2B39" w:themeColor="accent1"/>
              <w:left w:val="nil"/>
              <w:bottom w:val="single" w:sz="4" w:space="0" w:color="1C2B39" w:themeColor="accent1"/>
              <w:right w:val="nil"/>
            </w:tcBorders>
            <w:hideMark/>
          </w:tcPr>
          <w:p w14:paraId="47277C56" w14:textId="77777777" w:rsidR="00A66B58" w:rsidRPr="000304CF" w:rsidRDefault="00A66B58" w:rsidP="00B6207E">
            <w:pPr>
              <w:rPr>
                <w:b/>
              </w:rPr>
            </w:pPr>
            <w:r w:rsidRPr="000304CF">
              <w:rPr>
                <w:b/>
              </w:rPr>
              <w:t>Business</w:t>
            </w:r>
          </w:p>
        </w:tc>
        <w:tc>
          <w:tcPr>
            <w:tcW w:w="1926" w:type="dxa"/>
            <w:tcBorders>
              <w:top w:val="single" w:sz="4" w:space="0" w:color="1C2B39" w:themeColor="accent1"/>
              <w:left w:val="nil"/>
              <w:bottom w:val="single" w:sz="4" w:space="0" w:color="1C2B39" w:themeColor="accent1"/>
              <w:right w:val="nil"/>
            </w:tcBorders>
            <w:hideMark/>
          </w:tcPr>
          <w:p w14:paraId="50D9DC30" w14:textId="77777777" w:rsidR="00A66B58" w:rsidRPr="000304CF" w:rsidRDefault="00A66B58" w:rsidP="00B6207E">
            <w:pPr>
              <w:rPr>
                <w:b/>
              </w:rPr>
            </w:pPr>
            <w:r w:rsidRPr="000304CF">
              <w:rPr>
                <w:b/>
              </w:rPr>
              <w:t>Community organisations</w:t>
            </w:r>
          </w:p>
        </w:tc>
        <w:tc>
          <w:tcPr>
            <w:tcW w:w="1926" w:type="dxa"/>
            <w:tcBorders>
              <w:top w:val="single" w:sz="4" w:space="0" w:color="1C2B39" w:themeColor="accent1"/>
              <w:left w:val="nil"/>
              <w:bottom w:val="single" w:sz="4" w:space="0" w:color="1C2B39" w:themeColor="accent1"/>
              <w:right w:val="nil"/>
            </w:tcBorders>
            <w:hideMark/>
          </w:tcPr>
          <w:p w14:paraId="50E0FB52" w14:textId="77777777" w:rsidR="00A66B58" w:rsidRPr="000304CF" w:rsidRDefault="00A66B58" w:rsidP="00B6207E">
            <w:pPr>
              <w:rPr>
                <w:b/>
              </w:rPr>
            </w:pPr>
            <w:r w:rsidRPr="000304CF">
              <w:rPr>
                <w:b/>
              </w:rPr>
              <w:t>Individuals</w:t>
            </w:r>
          </w:p>
        </w:tc>
        <w:tc>
          <w:tcPr>
            <w:tcW w:w="1926" w:type="dxa"/>
            <w:tcBorders>
              <w:top w:val="single" w:sz="4" w:space="0" w:color="1C2B39" w:themeColor="accent1"/>
              <w:left w:val="nil"/>
              <w:bottom w:val="single" w:sz="4" w:space="0" w:color="1C2B39" w:themeColor="accent1"/>
              <w:right w:val="nil"/>
            </w:tcBorders>
            <w:hideMark/>
          </w:tcPr>
          <w:p w14:paraId="6216697B" w14:textId="77777777" w:rsidR="00A66B58" w:rsidRPr="000304CF" w:rsidRDefault="00A66B58" w:rsidP="00B6207E">
            <w:pPr>
              <w:rPr>
                <w:b/>
              </w:rPr>
            </w:pPr>
            <w:r w:rsidRPr="000304CF">
              <w:rPr>
                <w:b/>
              </w:rPr>
              <w:t>Total change in costs</w:t>
            </w:r>
          </w:p>
        </w:tc>
      </w:tr>
      <w:tr w:rsidR="00A66B58" w:rsidRPr="000304CF" w14:paraId="3886F26E" w14:textId="77777777" w:rsidTr="00B6207E">
        <w:tc>
          <w:tcPr>
            <w:tcW w:w="1925" w:type="dxa"/>
            <w:tcBorders>
              <w:top w:val="single" w:sz="4" w:space="0" w:color="1C2B39" w:themeColor="accent1"/>
              <w:left w:val="nil"/>
              <w:bottom w:val="single" w:sz="12" w:space="0" w:color="1C2B39" w:themeColor="accent1"/>
              <w:right w:val="nil"/>
            </w:tcBorders>
            <w:hideMark/>
          </w:tcPr>
          <w:p w14:paraId="015F72F1" w14:textId="77777777" w:rsidR="00A66B58" w:rsidRPr="000304CF" w:rsidRDefault="00A66B58" w:rsidP="00B6207E">
            <w:pPr>
              <w:rPr>
                <w:b/>
              </w:rPr>
            </w:pPr>
            <w:r w:rsidRPr="000304CF">
              <w:rPr>
                <w:b/>
              </w:rPr>
              <w:t>Total, by sector</w:t>
            </w:r>
          </w:p>
        </w:tc>
        <w:tc>
          <w:tcPr>
            <w:tcW w:w="1925" w:type="dxa"/>
            <w:tcBorders>
              <w:top w:val="single" w:sz="4" w:space="0" w:color="1C2B39" w:themeColor="accent1"/>
              <w:left w:val="nil"/>
              <w:bottom w:val="single" w:sz="12" w:space="0" w:color="1C2B39" w:themeColor="accent1"/>
              <w:right w:val="nil"/>
            </w:tcBorders>
            <w:hideMark/>
          </w:tcPr>
          <w:p w14:paraId="45C92E97" w14:textId="2DEFD28C" w:rsidR="00A66B58" w:rsidRPr="000304CF" w:rsidRDefault="00A66B58" w:rsidP="00B6207E">
            <w:r w:rsidRPr="000304CF">
              <w:t>$</w:t>
            </w:r>
            <w:r>
              <w:t>0</w:t>
            </w:r>
          </w:p>
        </w:tc>
        <w:tc>
          <w:tcPr>
            <w:tcW w:w="1926" w:type="dxa"/>
            <w:tcBorders>
              <w:top w:val="single" w:sz="4" w:space="0" w:color="1C2B39" w:themeColor="accent1"/>
              <w:left w:val="nil"/>
              <w:bottom w:val="single" w:sz="12" w:space="0" w:color="1C2B39" w:themeColor="accent1"/>
              <w:right w:val="nil"/>
            </w:tcBorders>
            <w:hideMark/>
          </w:tcPr>
          <w:p w14:paraId="520D22AF" w14:textId="77777777" w:rsidR="00A66B58" w:rsidRPr="000304CF" w:rsidRDefault="00A66B58" w:rsidP="00B6207E">
            <w:r w:rsidRPr="000304CF">
              <w:t>$</w:t>
            </w:r>
            <w:r>
              <w:t>0</w:t>
            </w:r>
          </w:p>
        </w:tc>
        <w:tc>
          <w:tcPr>
            <w:tcW w:w="1926" w:type="dxa"/>
            <w:tcBorders>
              <w:top w:val="single" w:sz="4" w:space="0" w:color="1C2B39" w:themeColor="accent1"/>
              <w:left w:val="nil"/>
              <w:bottom w:val="single" w:sz="12" w:space="0" w:color="1C2B39" w:themeColor="accent1"/>
              <w:right w:val="nil"/>
            </w:tcBorders>
            <w:hideMark/>
          </w:tcPr>
          <w:p w14:paraId="5CF871FC" w14:textId="77777777" w:rsidR="00A66B58" w:rsidRPr="000304CF" w:rsidRDefault="00A66B58" w:rsidP="00B6207E">
            <w:r w:rsidRPr="000304CF">
              <w:t>$</w:t>
            </w:r>
            <w:r>
              <w:t>0</w:t>
            </w:r>
          </w:p>
        </w:tc>
        <w:tc>
          <w:tcPr>
            <w:tcW w:w="1926" w:type="dxa"/>
            <w:tcBorders>
              <w:top w:val="single" w:sz="4" w:space="0" w:color="1C2B39" w:themeColor="accent1"/>
              <w:left w:val="nil"/>
              <w:bottom w:val="single" w:sz="12" w:space="0" w:color="1C2B39" w:themeColor="accent1"/>
              <w:right w:val="nil"/>
            </w:tcBorders>
            <w:hideMark/>
          </w:tcPr>
          <w:p w14:paraId="4239A54A" w14:textId="4C8AAF35" w:rsidR="00A66B58" w:rsidRPr="000304CF" w:rsidRDefault="00A66B58" w:rsidP="00B6207E">
            <w:r w:rsidRPr="000304CF">
              <w:t>$</w:t>
            </w:r>
            <w:r>
              <w:t>0</w:t>
            </w:r>
          </w:p>
        </w:tc>
      </w:tr>
    </w:tbl>
    <w:p w14:paraId="6F97B42B" w14:textId="7E322E8B" w:rsidR="00CC646D" w:rsidRDefault="00154589" w:rsidP="00CC646D">
      <w:pPr>
        <w:pStyle w:val="Heading2"/>
        <w:rPr>
          <w:noProof/>
        </w:rPr>
      </w:pPr>
      <w:bookmarkStart w:id="60" w:name="_Toc114582211"/>
      <w:bookmarkStart w:id="61" w:name="_Toc212110387"/>
      <w:bookmarkStart w:id="62" w:name="_Toc96326932"/>
      <w:bookmarkEnd w:id="42"/>
      <w:r>
        <w:rPr>
          <w:noProof/>
        </w:rPr>
        <w:lastRenderedPageBreak/>
        <w:t xml:space="preserve">4.2 </w:t>
      </w:r>
      <w:r w:rsidR="00CC646D">
        <w:rPr>
          <w:noProof/>
        </w:rPr>
        <w:t xml:space="preserve">Option </w:t>
      </w:r>
      <w:r w:rsidR="00ED70F4">
        <w:rPr>
          <w:noProof/>
        </w:rPr>
        <w:t>2</w:t>
      </w:r>
      <w:r w:rsidR="00CC646D">
        <w:rPr>
          <w:noProof/>
        </w:rPr>
        <w:t xml:space="preserve">: </w:t>
      </w:r>
      <w:bookmarkEnd w:id="60"/>
      <w:r w:rsidR="00ED70F4">
        <w:rPr>
          <w:noProof/>
        </w:rPr>
        <w:t>Ongoing funding for Medicare UCCs</w:t>
      </w:r>
      <w:bookmarkEnd w:id="61"/>
    </w:p>
    <w:p w14:paraId="43A11639" w14:textId="77777777" w:rsidR="005D4CD4" w:rsidRDefault="006A6B8A" w:rsidP="008C0925">
      <w:bookmarkStart w:id="63" w:name="_Toc114582213"/>
      <w:r>
        <w:t xml:space="preserve">The net benefit of </w:t>
      </w:r>
      <w:r w:rsidR="00C0764F">
        <w:t>ongoing funding for Medicare UCCs</w:t>
      </w:r>
      <w:r w:rsidR="003E5CE3">
        <w:t xml:space="preserve"> encompasses </w:t>
      </w:r>
      <w:r w:rsidR="008C0925">
        <w:t xml:space="preserve">improved health outcomes, as well as </w:t>
      </w:r>
      <w:r>
        <w:t>cost savings to government</w:t>
      </w:r>
      <w:r w:rsidR="009A34F6">
        <w:t xml:space="preserve">, which far outweighs </w:t>
      </w:r>
      <w:r w:rsidR="00301696">
        <w:t>costs to program delivery.</w:t>
      </w:r>
      <w:r w:rsidR="002A0087">
        <w:t xml:space="preserve"> </w:t>
      </w:r>
    </w:p>
    <w:p w14:paraId="0CA894B6" w14:textId="68AF4538" w:rsidR="00A11988" w:rsidRDefault="005D4CD4" w:rsidP="008C0925">
      <w:r>
        <w:t>T</w:t>
      </w:r>
      <w:r w:rsidR="002A0087">
        <w:t>he First Interim report indicated that s</w:t>
      </w:r>
      <w:r w:rsidR="002A0087" w:rsidRPr="002A0087">
        <w:t>avings for government associated with avoided ED visits are estimated to be $368 per presentation</w:t>
      </w:r>
      <w:r w:rsidR="002A0087">
        <w:t>. This is</w:t>
      </w:r>
      <w:r w:rsidR="002A0087" w:rsidRPr="002A0087">
        <w:t xml:space="preserve"> made up of reduced ED funding which is offset by the cost of the associated Medicare UCC attendances</w:t>
      </w:r>
      <w:r w:rsidR="002A0087">
        <w:t>.</w:t>
      </w:r>
    </w:p>
    <w:p w14:paraId="3A87B97E" w14:textId="77777777" w:rsidR="00CC646D" w:rsidRPr="00711C0E" w:rsidRDefault="00CC646D" w:rsidP="00E0447D">
      <w:pPr>
        <w:pStyle w:val="Heading3"/>
      </w:pPr>
      <w:bookmarkStart w:id="64" w:name="_Toc212110388"/>
      <w:r w:rsidRPr="00711C0E">
        <w:t>Individuals</w:t>
      </w:r>
      <w:bookmarkEnd w:id="63"/>
      <w:bookmarkEnd w:id="64"/>
      <w:r w:rsidRPr="00711C0E">
        <w:t xml:space="preserve"> </w:t>
      </w:r>
    </w:p>
    <w:p w14:paraId="03E3DC50" w14:textId="77777777" w:rsidR="00CC646D" w:rsidRPr="00711C0E" w:rsidRDefault="00CC646D" w:rsidP="00711C0E">
      <w:pPr>
        <w:pStyle w:val="Heading4"/>
        <w:rPr>
          <w:noProof/>
        </w:rPr>
      </w:pPr>
      <w:r w:rsidRPr="00711C0E">
        <w:rPr>
          <w:noProof/>
        </w:rPr>
        <w:t xml:space="preserve">Benefits </w:t>
      </w:r>
    </w:p>
    <w:p w14:paraId="52BA47D2" w14:textId="0B56165A" w:rsidR="00FC43BA" w:rsidRDefault="00525B74" w:rsidP="00CC646D">
      <w:r w:rsidRPr="00525B74">
        <w:t>Medicare UCCs provide broad benefit, supporting free and equitable access to urgent care to all population cohorts as they need it.</w:t>
      </w:r>
      <w:r>
        <w:t xml:space="preserve"> </w:t>
      </w:r>
      <w:r w:rsidR="0072328E">
        <w:t>The</w:t>
      </w:r>
      <w:r w:rsidR="00436E36">
        <w:t>y</w:t>
      </w:r>
      <w:r w:rsidR="0072328E">
        <w:t xml:space="preserve"> </w:t>
      </w:r>
      <w:r w:rsidR="0072328E" w:rsidRPr="0072328E">
        <w:t xml:space="preserve">play an important role in diverting Category 4 (semi-urgent) and Category 5 (non-urgent) presentations from hospital ED. </w:t>
      </w:r>
      <w:r w:rsidR="00CC646D">
        <w:t>Th</w:t>
      </w:r>
      <w:r w:rsidR="00AF07BA">
        <w:t>is</w:t>
      </w:r>
      <w:r w:rsidR="00CC646D">
        <w:t xml:space="preserve"> include</w:t>
      </w:r>
      <w:r w:rsidR="00AF07BA">
        <w:t>s</w:t>
      </w:r>
      <w:r w:rsidR="00CC646D">
        <w:t xml:space="preserve"> minor illnesses and injuries such as</w:t>
      </w:r>
      <w:r w:rsidR="00820824">
        <w:t xml:space="preserve"> closed</w:t>
      </w:r>
      <w:r w:rsidR="00CC646D">
        <w:t xml:space="preserve"> </w:t>
      </w:r>
      <w:r w:rsidR="00CC646D" w:rsidRPr="00FD51AF">
        <w:rPr>
          <w:rFonts w:cstheme="minorHAnsi"/>
          <w:bCs/>
        </w:rPr>
        <w:t>fractures, burns, insect bites</w:t>
      </w:r>
      <w:r w:rsidR="00CC646D">
        <w:rPr>
          <w:rFonts w:cstheme="minorHAnsi"/>
          <w:bCs/>
        </w:rPr>
        <w:t xml:space="preserve"> or</w:t>
      </w:r>
      <w:r w:rsidR="00CC646D" w:rsidRPr="00FD51AF">
        <w:rPr>
          <w:rFonts w:cstheme="minorHAnsi"/>
          <w:bCs/>
        </w:rPr>
        <w:t xml:space="preserve"> wound care</w:t>
      </w:r>
      <w:r w:rsidR="00CC646D">
        <w:rPr>
          <w:rFonts w:cstheme="minorHAnsi"/>
          <w:bCs/>
        </w:rPr>
        <w:t>.</w:t>
      </w:r>
      <w:r w:rsidR="00CC646D">
        <w:t xml:space="preserve"> Medicare UCCs improve access by increasing available options for affordable health care services, particularly in the </w:t>
      </w:r>
      <w:r w:rsidR="00B817A9">
        <w:t>after-hours</w:t>
      </w:r>
      <w:r w:rsidR="00CC646D">
        <w:t xml:space="preserve"> periods and for same day healthcare. </w:t>
      </w:r>
    </w:p>
    <w:p w14:paraId="57878BC1" w14:textId="7977E7B2" w:rsidR="00CC646D" w:rsidRDefault="73ABE4FD" w:rsidP="00CC646D">
      <w:r w:rsidRPr="00020577">
        <w:t>Although</w:t>
      </w:r>
      <w:r w:rsidR="43AEFF02" w:rsidRPr="00020577">
        <w:t xml:space="preserve"> there is no agreed clinical definition of timely treatment</w:t>
      </w:r>
      <w:r w:rsidRPr="00020577">
        <w:t xml:space="preserve"> (based on differences between clinical urgency, resources, availability, location and patient circumstances)</w:t>
      </w:r>
      <w:r w:rsidR="43AEFF02" w:rsidRPr="00020577">
        <w:t xml:space="preserve">, </w:t>
      </w:r>
      <w:r w:rsidR="4DE333FA">
        <w:t xml:space="preserve">the </w:t>
      </w:r>
      <w:r w:rsidR="00F25B22" w:rsidRPr="00156643">
        <w:t>Interim</w:t>
      </w:r>
      <w:r w:rsidR="00F25B22">
        <w:t xml:space="preserve"> </w:t>
      </w:r>
      <w:r w:rsidR="62DB57D7">
        <w:t xml:space="preserve">Evaluation Report </w:t>
      </w:r>
      <w:r w:rsidR="4DE333FA">
        <w:t>found</w:t>
      </w:r>
      <w:r w:rsidR="43AEFF02" w:rsidRPr="00020577">
        <w:t xml:space="preserve"> </w:t>
      </w:r>
      <w:r w:rsidRPr="00020577">
        <w:t>a</w:t>
      </w:r>
      <w:r w:rsidR="43AEFF02" w:rsidRPr="00020577">
        <w:t xml:space="preserve"> median</w:t>
      </w:r>
      <w:r w:rsidR="4DE333FA">
        <w:t xml:space="preserve"> patient</w:t>
      </w:r>
      <w:r w:rsidR="43AEFF02" w:rsidRPr="00020577">
        <w:t xml:space="preserve"> wait time </w:t>
      </w:r>
      <w:r w:rsidRPr="00020577">
        <w:t>of</w:t>
      </w:r>
      <w:r w:rsidR="43AEFF02" w:rsidRPr="00020577">
        <w:t xml:space="preserve"> 14.5 minutes</w:t>
      </w:r>
      <w:r w:rsidR="053F93BF">
        <w:t xml:space="preserve"> (for the period of 30 June 2023 to 30 September 2024)</w:t>
      </w:r>
      <w:r w:rsidR="43AEFF02" w:rsidRPr="00020577">
        <w:t>.</w:t>
      </w:r>
      <w:r w:rsidR="43AEFF02" w:rsidRPr="00FC43BA">
        <w:t xml:space="preserve"> This was shorter than the median waiting times at EDs for triage categories </w:t>
      </w:r>
      <w:r>
        <w:t>4</w:t>
      </w:r>
      <w:r w:rsidR="43AEFF02" w:rsidRPr="00FC43BA">
        <w:t xml:space="preserve"> which is 31 minutes</w:t>
      </w:r>
      <w:r w:rsidR="43AEFF02">
        <w:t>,</w:t>
      </w:r>
      <w:r w:rsidR="43AEFF02" w:rsidRPr="00FC43BA">
        <w:t xml:space="preserve"> and category </w:t>
      </w:r>
      <w:r>
        <w:t>5</w:t>
      </w:r>
      <w:r w:rsidR="43AEFF02" w:rsidRPr="00FC43BA">
        <w:t xml:space="preserve"> which is 24 minutes, noting that these waiting times are not directly comparable.</w:t>
      </w:r>
      <w:r w:rsidR="001D307C">
        <w:rPr>
          <w:rStyle w:val="FootnoteReference"/>
        </w:rPr>
        <w:footnoteReference w:id="38"/>
      </w:r>
    </w:p>
    <w:p w14:paraId="251BF797" w14:textId="0E1E3CF4" w:rsidR="00B61E57" w:rsidRDefault="00B61E57" w:rsidP="00B61E57">
      <w:r>
        <w:t>These shorter wait times at Medicare UCCs c</w:t>
      </w:r>
      <w:r w:rsidR="00343C8C">
        <w:t>ould</w:t>
      </w:r>
      <w:r>
        <w:t xml:space="preserve"> translate into cost benefits for patients, including: </w:t>
      </w:r>
    </w:p>
    <w:p w14:paraId="3CF618C6" w14:textId="77777777" w:rsidR="00B61E57" w:rsidRDefault="00B61E57" w:rsidP="00B61E57">
      <w:pPr>
        <w:pStyle w:val="ListParagraph"/>
        <w:numPr>
          <w:ilvl w:val="0"/>
          <w:numId w:val="42"/>
        </w:numPr>
      </w:pPr>
      <w:r>
        <w:t>reduced time away from work or caregiving responsibilities, lowering indirect costs.</w:t>
      </w:r>
    </w:p>
    <w:p w14:paraId="48213141" w14:textId="77777777" w:rsidR="00B61E57" w:rsidRDefault="00B61E57" w:rsidP="00B61E57">
      <w:pPr>
        <w:pStyle w:val="ListParagraph"/>
        <w:numPr>
          <w:ilvl w:val="0"/>
          <w:numId w:val="41"/>
        </w:numPr>
      </w:pPr>
      <w:r>
        <w:t>Faster treatment of minor conditions, potentially preventing escalation and avoiding more expensive interventions.</w:t>
      </w:r>
    </w:p>
    <w:p w14:paraId="1833ABC5" w14:textId="77777777" w:rsidR="004842D4" w:rsidRDefault="2937AA50" w:rsidP="004842D4">
      <w:pPr>
        <w:pStyle w:val="ListParagraph"/>
        <w:numPr>
          <w:ilvl w:val="0"/>
          <w:numId w:val="41"/>
        </w:numPr>
      </w:pPr>
      <w:r>
        <w:t>Improved patient experience and satisfaction, which may reduce repeat visits and associated costs.</w:t>
      </w:r>
    </w:p>
    <w:p w14:paraId="41342C37" w14:textId="57028EF8" w:rsidR="003311AF" w:rsidRDefault="003311AF" w:rsidP="00960058">
      <w:r>
        <w:t>These themes will be further contemplated in the second</w:t>
      </w:r>
      <w:r w:rsidR="004842D4">
        <w:t xml:space="preserve"> interim</w:t>
      </w:r>
      <w:r>
        <w:t xml:space="preserve"> evaluation report</w:t>
      </w:r>
      <w:r w:rsidR="004842D4">
        <w:t xml:space="preserve"> due in late 2025</w:t>
      </w:r>
      <w:r>
        <w:t>.</w:t>
      </w:r>
    </w:p>
    <w:p w14:paraId="01BACDAA" w14:textId="0B2AD0FE" w:rsidR="00020577" w:rsidRDefault="00020577" w:rsidP="00020577">
      <w:r w:rsidRPr="005D61B7">
        <w:t>The largest proportion of Medicare UCC patients have been children, with over 1 in 4 (30 per cent) visits from individuals aged under 15 years old. Over 1 in 4 (29 per cent) visits have taken place on the weekend. Of visits that took place during weekdays, 1 in 4 (25 per cent) have taken place at 5pm or later. The top reasons for visits include acute illness (around 60 per cent</w:t>
      </w:r>
      <w:r w:rsidR="00BB6397">
        <w:t>)</w:t>
      </w:r>
      <w:r w:rsidRPr="005D61B7">
        <w:t xml:space="preserve"> and acute injury.</w:t>
      </w:r>
    </w:p>
    <w:p w14:paraId="2D39AFB8" w14:textId="29BEF666" w:rsidR="00CC646D" w:rsidRDefault="00C02E42" w:rsidP="00CC646D">
      <w:r>
        <w:lastRenderedPageBreak/>
        <w:t xml:space="preserve">Ongoing funding for Medicare UCCs can help ensure a consistent predictable model </w:t>
      </w:r>
      <w:r w:rsidR="003737A7">
        <w:t>of urgent care regardless of jurisdiction</w:t>
      </w:r>
      <w:r w:rsidR="00725785">
        <w:t>.</w:t>
      </w:r>
      <w:r w:rsidR="006E0B37">
        <w:t xml:space="preserve"> </w:t>
      </w:r>
      <w:r w:rsidR="00725785">
        <w:t>W</w:t>
      </w:r>
      <w:r w:rsidR="00CD038B">
        <w:t xml:space="preserve">hen fully implemented, </w:t>
      </w:r>
      <w:r w:rsidR="006E0B37">
        <w:t xml:space="preserve">it is estimated that </w:t>
      </w:r>
      <w:r w:rsidR="00CF2DE8">
        <w:t xml:space="preserve">four in five Australians will </w:t>
      </w:r>
      <w:r w:rsidR="00E95B68">
        <w:t xml:space="preserve">live within a </w:t>
      </w:r>
      <w:r w:rsidR="00CF2DE8">
        <w:t>20 minute</w:t>
      </w:r>
      <w:r w:rsidR="00E95B68">
        <w:t>-drive of a Medicare UCC</w:t>
      </w:r>
      <w:r w:rsidR="003737A7">
        <w:t xml:space="preserve">. Over time people will start to think of the </w:t>
      </w:r>
      <w:r w:rsidR="00AF570A">
        <w:t xml:space="preserve">Medicare UCCs in a similar way they think of EDs – as a trusted free </w:t>
      </w:r>
      <w:r w:rsidR="00347412">
        <w:t>place for treatment for urgent but non-</w:t>
      </w:r>
      <w:r w:rsidR="00482F2A">
        <w:t>life-threatening</w:t>
      </w:r>
      <w:r w:rsidR="00347412">
        <w:t xml:space="preserve"> conditions. </w:t>
      </w:r>
      <w:r w:rsidR="00CC646D">
        <w:t xml:space="preserve">Medicare UCCs </w:t>
      </w:r>
      <w:r w:rsidR="00C80E79">
        <w:t>provide</w:t>
      </w:r>
      <w:r w:rsidR="00CC646D">
        <w:t xml:space="preserve"> culturally safe and appropriate care for vulnerable communities such as First Nations Peoples and Culturally and Linguistically Diverse populations. Communications campaigns will be managed on a local level to ensure highly diverse populations receive appropriate and translated information.   </w:t>
      </w:r>
    </w:p>
    <w:p w14:paraId="1916ECE1" w14:textId="17F51401" w:rsidR="00CC646D" w:rsidRDefault="00CC646D" w:rsidP="00CC646D">
      <w:r>
        <w:t xml:space="preserve">By </w:t>
      </w:r>
      <w:r w:rsidR="0065069E">
        <w:t xml:space="preserve">maintaining </w:t>
      </w:r>
      <w:r>
        <w:t xml:space="preserve">Medicare UCCs in </w:t>
      </w:r>
      <w:r w:rsidR="00C80E79">
        <w:t>137</w:t>
      </w:r>
      <w:r>
        <w:t xml:space="preserve"> locations</w:t>
      </w:r>
      <w:r w:rsidR="00C80E79">
        <w:t>,</w:t>
      </w:r>
      <w:r>
        <w:t xml:space="preserve"> the </w:t>
      </w:r>
      <w:r w:rsidR="00543D70">
        <w:t>g</w:t>
      </w:r>
      <w:r>
        <w:t xml:space="preserve">overnment will have the opportunity to clarify existing </w:t>
      </w:r>
      <w:r w:rsidR="00820824">
        <w:t xml:space="preserve">differences </w:t>
      </w:r>
      <w:r>
        <w:t xml:space="preserve">in urgent care models and ensure a nationally consistent model for Medicare UCCs moving forward. Consistent service offering will make it easier for individuals to navigate the care options available. </w:t>
      </w:r>
    </w:p>
    <w:p w14:paraId="19187E73" w14:textId="7406CF6D" w:rsidR="00811EBB" w:rsidRDefault="00213DA0" w:rsidP="005B51C2">
      <w:pPr>
        <w:pBdr>
          <w:top w:val="single" w:sz="8" w:space="1" w:color="3F6080" w:themeColor="text1" w:themeTint="BF"/>
          <w:bottom w:val="single" w:sz="8" w:space="1" w:color="3F6080" w:themeColor="text1" w:themeTint="BF"/>
        </w:pBdr>
        <w:spacing w:after="0"/>
        <w:rPr>
          <w:i/>
          <w:color w:val="3F6080" w:themeColor="text1" w:themeTint="BF"/>
        </w:rPr>
      </w:pPr>
      <w:r w:rsidRPr="00374DE3">
        <w:rPr>
          <w:b/>
          <w:i/>
          <w:color w:val="3F6080" w:themeColor="text1" w:themeTint="BF"/>
        </w:rPr>
        <w:t>Patient story</w:t>
      </w:r>
      <w:r w:rsidRPr="00374DE3">
        <w:rPr>
          <w:i/>
          <w:color w:val="3F6080" w:themeColor="text1" w:themeTint="BF"/>
        </w:rPr>
        <w:t>: A 12-year-old girl was brought into the Medicare UCC by her mother with a “barking” cough. Her mother reported they were unable to get into their regular GP as they were away on holidays. The child had a diagnosis of asthma and was triaged by the nurse and assessed by the GP not long after, who started her on antibiotics and prednisolone. The girl and her mother were at the clinic for a total of one-hour from walking in the front door to leaving. Her mother was very appreciative of the care and that the clinic was available to them, which prevented them from having to wait an extended amount of time in the local ED.</w:t>
      </w:r>
    </w:p>
    <w:p w14:paraId="73B1CB2E" w14:textId="77777777" w:rsidR="009509D7" w:rsidRPr="00B267C5" w:rsidRDefault="009509D7" w:rsidP="005B51C2">
      <w:pPr>
        <w:keepNext/>
        <w:keepLines/>
        <w:pBdr>
          <w:top w:val="single" w:sz="8" w:space="1" w:color="3F6080" w:themeColor="text1" w:themeTint="BF"/>
          <w:bottom w:val="single" w:sz="8" w:space="1" w:color="3F6080" w:themeColor="text1" w:themeTint="BF"/>
        </w:pBdr>
        <w:spacing w:after="0"/>
        <w:jc w:val="center"/>
        <w:rPr>
          <w:rFonts w:cstheme="minorHAnsi"/>
          <w:i/>
          <w:color w:val="3F6080" w:themeColor="text1" w:themeTint="BF"/>
        </w:rPr>
      </w:pPr>
      <w:r w:rsidRPr="00006475">
        <w:rPr>
          <w:rFonts w:cstheme="minorHAnsi"/>
          <w:i/>
          <w:color w:val="3F6080" w:themeColor="text1" w:themeTint="BF"/>
        </w:rPr>
        <w:t>Medicare Urgent Care Clinics Program Evaluation: First Interim Report. (2025)</w:t>
      </w:r>
    </w:p>
    <w:p w14:paraId="1F8A2EB6" w14:textId="77777777" w:rsidR="00CC646D" w:rsidRPr="008C3ADF" w:rsidRDefault="00CC646D" w:rsidP="008C3ADF">
      <w:pPr>
        <w:pStyle w:val="Heading4"/>
        <w:rPr>
          <w:noProof/>
        </w:rPr>
      </w:pPr>
      <w:r w:rsidRPr="008C3ADF">
        <w:rPr>
          <w:noProof/>
        </w:rPr>
        <w:t xml:space="preserve">Costs </w:t>
      </w:r>
    </w:p>
    <w:p w14:paraId="00CB4F21" w14:textId="7460096F" w:rsidR="00CC646D" w:rsidRPr="00076930" w:rsidRDefault="00A47963" w:rsidP="00CC646D">
      <w:pPr>
        <w:rPr>
          <w:szCs w:val="22"/>
        </w:rPr>
      </w:pPr>
      <w:r>
        <w:t xml:space="preserve">Early </w:t>
      </w:r>
      <w:r w:rsidR="007B583B">
        <w:t>findings</w:t>
      </w:r>
      <w:r>
        <w:t xml:space="preserve"> from the Interim </w:t>
      </w:r>
      <w:r w:rsidR="007B583B">
        <w:t>Evaluation</w:t>
      </w:r>
      <w:r>
        <w:t xml:space="preserve"> Report </w:t>
      </w:r>
      <w:r w:rsidR="00761D95">
        <w:t>show</w:t>
      </w:r>
      <w:r w:rsidR="007B583B">
        <w:t xml:space="preserve"> that</w:t>
      </w:r>
      <w:r w:rsidR="008C656D">
        <w:t xml:space="preserve"> </w:t>
      </w:r>
      <w:r w:rsidR="00761D95">
        <w:t>consumer</w:t>
      </w:r>
      <w:r w:rsidR="008C656D">
        <w:t xml:space="preserve">s’ </w:t>
      </w:r>
      <w:r w:rsidR="00811370">
        <w:t xml:space="preserve">still struggle to </w:t>
      </w:r>
      <w:r w:rsidR="008C656D" w:rsidRPr="009B783C">
        <w:t>understand</w:t>
      </w:r>
      <w:r w:rsidR="008C656D">
        <w:t xml:space="preserve"> </w:t>
      </w:r>
      <w:r w:rsidR="008C656D" w:rsidRPr="009B783C">
        <w:t>urgent care and navigat</w:t>
      </w:r>
      <w:r w:rsidR="00811370">
        <w:t>e</w:t>
      </w:r>
      <w:r w:rsidR="008C656D" w:rsidRPr="009B783C">
        <w:t xml:space="preserve"> the local service options, despite comprehensive national and local communications campaigns</w:t>
      </w:r>
      <w:r w:rsidR="008C656D">
        <w:t>.</w:t>
      </w:r>
      <w:r w:rsidR="007B583B">
        <w:t xml:space="preserve"> </w:t>
      </w:r>
      <w:r w:rsidR="330F3767">
        <w:t xml:space="preserve">This could lead to </w:t>
      </w:r>
      <w:r w:rsidR="009E0387">
        <w:t xml:space="preserve">delays in treatment </w:t>
      </w:r>
      <w:r w:rsidR="330F3767">
        <w:t xml:space="preserve">if individuals present at a Medicare UCC with an emergency issue. </w:t>
      </w:r>
      <w:r w:rsidR="330F3767" w:rsidRPr="00076930">
        <w:rPr>
          <w:szCs w:val="22"/>
        </w:rPr>
        <w:t xml:space="preserve"> </w:t>
      </w:r>
    </w:p>
    <w:p w14:paraId="12A74BF4" w14:textId="6FBF328C" w:rsidR="00CC646D" w:rsidRDefault="00CC646D" w:rsidP="00CC646D">
      <w:r>
        <w:t xml:space="preserve">With </w:t>
      </w:r>
      <w:r w:rsidR="00733A51">
        <w:t>ongoing</w:t>
      </w:r>
      <w:r>
        <w:t xml:space="preserve"> access to affordable healthcare</w:t>
      </w:r>
      <w:r w:rsidR="00733A51">
        <w:t xml:space="preserve"> via </w:t>
      </w:r>
      <w:r>
        <w:t>Medicare UCCs</w:t>
      </w:r>
      <w:r w:rsidR="00733A51">
        <w:t>, there is a risk they</w:t>
      </w:r>
      <w:r>
        <w:t xml:space="preserve"> are misused as a regular GP clinic rather than for episodic care as intended.</w:t>
      </w:r>
      <w:r w:rsidR="004D5202" w:rsidRPr="004D5202">
        <w:rPr>
          <w:rStyle w:val="FootnoteReference"/>
        </w:rPr>
        <w:t xml:space="preserve"> </w:t>
      </w:r>
      <w:r w:rsidR="004D5202">
        <w:rPr>
          <w:rStyle w:val="FootnoteReference"/>
        </w:rPr>
        <w:footnoteReference w:id="39"/>
      </w:r>
      <w:r w:rsidRPr="00A03587">
        <w:rPr>
          <w:rFonts w:cs="Arial"/>
        </w:rPr>
        <w:t xml:space="preserve"> </w:t>
      </w:r>
      <w:r w:rsidR="00B703DD" w:rsidRPr="00B703DD">
        <w:rPr>
          <w:rStyle w:val="normaltextrun"/>
          <w:rFonts w:cs="Arial"/>
        </w:rPr>
        <w:t xml:space="preserve">To reduce these risks, </w:t>
      </w:r>
      <w:r w:rsidR="00B703DD">
        <w:rPr>
          <w:rStyle w:val="normaltextrun"/>
          <w:rFonts w:cs="Arial"/>
          <w:color w:val="000000"/>
          <w:szCs w:val="22"/>
          <w:shd w:val="clear" w:color="auto" w:fill="FFFFFF"/>
        </w:rPr>
        <w:t>t</w:t>
      </w:r>
      <w:r w:rsidRPr="00B703DD">
        <w:rPr>
          <w:rStyle w:val="normaltextrun"/>
          <w:rFonts w:cs="Arial"/>
          <w:color w:val="000000"/>
          <w:szCs w:val="22"/>
          <w:shd w:val="clear" w:color="auto" w:fill="FFFFFF"/>
        </w:rPr>
        <w:t xml:space="preserve">he </w:t>
      </w:r>
      <w:r>
        <w:t xml:space="preserve">Commonwealth </w:t>
      </w:r>
      <w:r w:rsidR="00B703DD">
        <w:t>has developed</w:t>
      </w:r>
      <w:r>
        <w:t xml:space="preserve"> </w:t>
      </w:r>
      <w:r w:rsidR="00F6168B">
        <w:t xml:space="preserve">the </w:t>
      </w:r>
      <w:hyperlink r:id="rId19" w:history="1">
        <w:r w:rsidR="00F6168B" w:rsidRPr="00F6168B">
          <w:rPr>
            <w:rStyle w:val="Hyperlink"/>
          </w:rPr>
          <w:t>Medicare UCC Operational</w:t>
        </w:r>
        <w:bookmarkStart w:id="65" w:name="_Hlt208480244"/>
        <w:r w:rsidR="00F6168B" w:rsidRPr="00F6168B">
          <w:rPr>
            <w:rStyle w:val="Hyperlink"/>
          </w:rPr>
          <w:t xml:space="preserve"> </w:t>
        </w:r>
        <w:bookmarkEnd w:id="65"/>
        <w:r w:rsidR="00F6168B" w:rsidRPr="00F6168B">
          <w:rPr>
            <w:rStyle w:val="Hyperlink"/>
          </w:rPr>
          <w:t>Guidance</w:t>
        </w:r>
      </w:hyperlink>
      <w:r>
        <w:t xml:space="preserve"> </w:t>
      </w:r>
      <w:r w:rsidR="00B703DD">
        <w:t>which</w:t>
      </w:r>
      <w:r>
        <w:t xml:space="preserve"> </w:t>
      </w:r>
      <w:r w:rsidR="00B703DD">
        <w:t>outlines</w:t>
      </w:r>
      <w:r>
        <w:t xml:space="preserve"> which patients the Medicare UCCs are allowed to see</w:t>
      </w:r>
      <w:r w:rsidR="00965BCF">
        <w:t>, which excludes managing patients’</w:t>
      </w:r>
      <w:r>
        <w:t xml:space="preserve"> chronic conditions. </w:t>
      </w:r>
      <w:r w:rsidR="00631DCE">
        <w:t xml:space="preserve">In addition, the </w:t>
      </w:r>
      <w:r w:rsidR="00250612">
        <w:t>g</w:t>
      </w:r>
      <w:r w:rsidR="00631DCE">
        <w:t>overnment’s initiatives to increase Bulk Billing and introduce Medicare Bulk Billing Clinics, set to commence in late 2025</w:t>
      </w:r>
      <w:r w:rsidR="00DB3E61">
        <w:t>, aims to increase access to general practitioners for usual episodes of care.</w:t>
      </w:r>
      <w:r w:rsidR="001943BB">
        <w:rPr>
          <w:rStyle w:val="FootnoteReference"/>
        </w:rPr>
        <w:footnoteReference w:id="40"/>
      </w:r>
    </w:p>
    <w:p w14:paraId="37199480" w14:textId="77777777" w:rsidR="00CC646D" w:rsidRPr="00F6168B" w:rsidRDefault="00CC646D" w:rsidP="00E0447D">
      <w:pPr>
        <w:pStyle w:val="Heading3"/>
      </w:pPr>
      <w:bookmarkStart w:id="66" w:name="_Toc114582214"/>
      <w:bookmarkStart w:id="67" w:name="_Toc212110389"/>
      <w:r w:rsidRPr="00F6168B">
        <w:lastRenderedPageBreak/>
        <w:t>Businesses and communities</w:t>
      </w:r>
      <w:bookmarkEnd w:id="66"/>
      <w:bookmarkEnd w:id="67"/>
      <w:r w:rsidRPr="00F6168B">
        <w:t xml:space="preserve"> </w:t>
      </w:r>
    </w:p>
    <w:p w14:paraId="6B62D511" w14:textId="77777777" w:rsidR="00CC646D" w:rsidRPr="00F6168B" w:rsidRDefault="00CC646D" w:rsidP="00F6168B">
      <w:pPr>
        <w:pStyle w:val="Heading4"/>
        <w:rPr>
          <w:noProof/>
        </w:rPr>
      </w:pPr>
      <w:r w:rsidRPr="00F6168B">
        <w:rPr>
          <w:noProof/>
        </w:rPr>
        <w:t xml:space="preserve">Benefits </w:t>
      </w:r>
    </w:p>
    <w:p w14:paraId="44ECC59D" w14:textId="4B0117A4" w:rsidR="008338E8" w:rsidRDefault="006560A5" w:rsidP="00BC1958">
      <w:pPr>
        <w:spacing w:after="0"/>
        <w:rPr>
          <w:rFonts w:cstheme="minorHAnsi"/>
        </w:rPr>
      </w:pPr>
      <w:r>
        <w:rPr>
          <w:rFonts w:cstheme="minorHAnsi"/>
        </w:rPr>
        <w:t>Existing Medicare UCC providers will benefit from</w:t>
      </w:r>
      <w:r w:rsidR="00820824">
        <w:rPr>
          <w:rFonts w:cstheme="minorHAnsi"/>
        </w:rPr>
        <w:t xml:space="preserve"> more</w:t>
      </w:r>
      <w:r w:rsidR="00A90F4C">
        <w:rPr>
          <w:rFonts w:cstheme="minorHAnsi"/>
        </w:rPr>
        <w:t xml:space="preserve"> predictable funding for participation in the</w:t>
      </w:r>
      <w:r w:rsidR="00784B9D">
        <w:rPr>
          <w:rFonts w:cstheme="minorHAnsi"/>
        </w:rPr>
        <w:t xml:space="preserve"> program. The surrounding community will benefit from </w:t>
      </w:r>
      <w:r w:rsidR="005D7054">
        <w:rPr>
          <w:rFonts w:cstheme="minorHAnsi"/>
        </w:rPr>
        <w:t>local infrastructure</w:t>
      </w:r>
      <w:r w:rsidR="008338E8">
        <w:rPr>
          <w:rFonts w:cstheme="minorHAnsi"/>
        </w:rPr>
        <w:t xml:space="preserve"> and</w:t>
      </w:r>
      <w:r w:rsidR="005D7054">
        <w:rPr>
          <w:rFonts w:cstheme="minorHAnsi"/>
        </w:rPr>
        <w:t xml:space="preserve"> </w:t>
      </w:r>
      <w:r w:rsidR="005D5EAC">
        <w:rPr>
          <w:rFonts w:cstheme="minorHAnsi"/>
        </w:rPr>
        <w:t>maintaining job op</w:t>
      </w:r>
      <w:r w:rsidR="00303CC5">
        <w:rPr>
          <w:rFonts w:cstheme="minorHAnsi"/>
        </w:rPr>
        <w:t>portunities</w:t>
      </w:r>
      <w:r w:rsidR="008338E8">
        <w:rPr>
          <w:rFonts w:cstheme="minorHAnsi"/>
        </w:rPr>
        <w:t>.</w:t>
      </w:r>
    </w:p>
    <w:p w14:paraId="36D7770B" w14:textId="42D372ED" w:rsidR="007C5F6D" w:rsidRDefault="00CF679A" w:rsidP="00BC1958">
      <w:pPr>
        <w:spacing w:after="0"/>
        <w:rPr>
          <w:rFonts w:cstheme="minorHAnsi"/>
        </w:rPr>
      </w:pPr>
      <w:r>
        <w:rPr>
          <w:rFonts w:cstheme="minorHAnsi"/>
        </w:rPr>
        <w:t xml:space="preserve"> </w:t>
      </w:r>
    </w:p>
    <w:p w14:paraId="66D60530" w14:textId="30163601" w:rsidR="00455948" w:rsidRPr="00BC1958" w:rsidRDefault="000F0A74" w:rsidP="00BC1958">
      <w:pPr>
        <w:spacing w:after="0"/>
        <w:rPr>
          <w:rFonts w:cstheme="minorHAnsi"/>
        </w:rPr>
      </w:pPr>
      <w:r>
        <w:rPr>
          <w:rFonts w:cstheme="minorHAnsi"/>
        </w:rPr>
        <w:t>PHNs will be able to leverage existing known networks of primary care and community services to</w:t>
      </w:r>
      <w:r w:rsidR="008B17F3">
        <w:rPr>
          <w:rFonts w:cstheme="minorHAnsi"/>
        </w:rPr>
        <w:t xml:space="preserve"> support Medicare UCC providers to</w:t>
      </w:r>
      <w:r>
        <w:rPr>
          <w:rFonts w:cstheme="minorHAnsi"/>
        </w:rPr>
        <w:t xml:space="preserve"> develop patient pathways and referral sites which would provide a more holistic support for patients. This will include social services and alcohol and other drug programs. </w:t>
      </w:r>
      <w:r w:rsidR="00455948" w:rsidRPr="00BC1958">
        <w:rPr>
          <w:rFonts w:cstheme="minorHAnsi"/>
        </w:rPr>
        <w:t xml:space="preserve">PHNs have existing relationships with practices to support the UCC activities. </w:t>
      </w:r>
      <w:r w:rsidR="00455948" w:rsidRPr="00BC1958">
        <w:t xml:space="preserve">Practices which are performing the </w:t>
      </w:r>
      <w:r w:rsidR="00820824">
        <w:t xml:space="preserve">Medicare </w:t>
      </w:r>
      <w:r w:rsidR="00455948" w:rsidRPr="00BC1958">
        <w:t>UCC function will likely have flow on benefits to their usual practice from elements of the initiative like pathology and diagnostic imaging, workforce training and enhanced relationships with the local health system.</w:t>
      </w:r>
    </w:p>
    <w:p w14:paraId="6E35F882" w14:textId="77777777" w:rsidR="00CC646D" w:rsidRPr="006529DF" w:rsidRDefault="00CC646D" w:rsidP="006529DF">
      <w:pPr>
        <w:pStyle w:val="Heading4"/>
        <w:rPr>
          <w:noProof/>
        </w:rPr>
      </w:pPr>
      <w:r w:rsidRPr="006529DF">
        <w:rPr>
          <w:noProof/>
        </w:rPr>
        <w:t>Costs</w:t>
      </w:r>
    </w:p>
    <w:p w14:paraId="278B7BFA" w14:textId="14A73C1E" w:rsidR="00CC646D" w:rsidRDefault="00CC646D" w:rsidP="00CC646D">
      <w:pPr>
        <w:rPr>
          <w:rFonts w:eastAsia="Arial"/>
          <w:noProof/>
          <w:lang w:eastAsia="en-AU"/>
        </w:rPr>
      </w:pPr>
      <w:r>
        <w:t xml:space="preserve">There is a risk that </w:t>
      </w:r>
      <w:r w:rsidR="00B2237E">
        <w:t>maintaining</w:t>
      </w:r>
      <w:r>
        <w:t xml:space="preserve"> a free</w:t>
      </w:r>
      <w:r w:rsidR="00B2237E">
        <w:t xml:space="preserve"> urgent care</w:t>
      </w:r>
      <w:r>
        <w:t xml:space="preserve"> service could destabilise or interfere with the market of general practice that exists in regions around the </w:t>
      </w:r>
      <w:r w:rsidR="00276E0C">
        <w:t xml:space="preserve">Medicare </w:t>
      </w:r>
      <w:r>
        <w:t>UCC.</w:t>
      </w:r>
      <w:r w:rsidR="009037B7">
        <w:t xml:space="preserve"> In areas with larger populations, Medicare UCCs</w:t>
      </w:r>
      <w:r>
        <w:t xml:space="preserve"> </w:t>
      </w:r>
      <w:r w:rsidR="009037B7">
        <w:t xml:space="preserve">increase choice and </w:t>
      </w:r>
      <w:r>
        <w:t xml:space="preserve">competition in the market </w:t>
      </w:r>
      <w:r w:rsidR="009037B7">
        <w:t>for some care services</w:t>
      </w:r>
      <w:r w:rsidR="0000229D">
        <w:t xml:space="preserve"> and</w:t>
      </w:r>
      <w:r w:rsidR="009037B7">
        <w:t xml:space="preserve"> </w:t>
      </w:r>
      <w:r>
        <w:t xml:space="preserve">patients. </w:t>
      </w:r>
      <w:r w:rsidR="009037B7">
        <w:t xml:space="preserve">Medicare UCCs are required to adhere to the Medicare UCC Operational Guidance that outlines the scope of conditions and services eligible for treatment at a Medicare UCC. Access to affordable routine primary care with a </w:t>
      </w:r>
      <w:r w:rsidR="00B575A5">
        <w:t>patient’s</w:t>
      </w:r>
      <w:r w:rsidR="009037B7">
        <w:t xml:space="preserve"> regular general practice is a priority for the Australian Government. </w:t>
      </w:r>
      <w:r>
        <w:t xml:space="preserve">Practices who continue to bulk bill are predominantly those in rural and remote locations or cater to patients in low socio-economic areas. This risk of diverting patients from usual GPs will be mitigated by restricting scope of practice to low acuity, episodic care and mandating the provision of patient records back to usual GPs (where patients have one and </w:t>
      </w:r>
      <w:r w:rsidR="005D330D">
        <w:t xml:space="preserve">provide </w:t>
      </w:r>
      <w:r>
        <w:t xml:space="preserve">consent). </w:t>
      </w:r>
      <w:r w:rsidR="0000229D">
        <w:t xml:space="preserve">The Medicare UCC Operational Guidance also requires providers to provide discharge summaries to a </w:t>
      </w:r>
      <w:r w:rsidR="00B575A5">
        <w:t>patient’s</w:t>
      </w:r>
      <w:r w:rsidR="0000229D">
        <w:t xml:space="preserve"> usual general practitioner at the end of an episode of care. </w:t>
      </w:r>
    </w:p>
    <w:p w14:paraId="3D4F93AB" w14:textId="45FDECE7" w:rsidR="00BE1D82" w:rsidRDefault="009037B7" w:rsidP="00455948">
      <w:pPr>
        <w:rPr>
          <w:bCs/>
        </w:rPr>
      </w:pPr>
      <w:r>
        <w:rPr>
          <w:bCs/>
        </w:rPr>
        <w:t xml:space="preserve">Where </w:t>
      </w:r>
      <w:r w:rsidR="00455948" w:rsidRPr="00BC1958">
        <w:rPr>
          <w:bCs/>
        </w:rPr>
        <w:t>an existing general practice</w:t>
      </w:r>
      <w:r>
        <w:rPr>
          <w:bCs/>
        </w:rPr>
        <w:t xml:space="preserve"> also becomes a Medicare UCC, there is risk</w:t>
      </w:r>
      <w:r w:rsidR="00455948" w:rsidRPr="00BC1958">
        <w:rPr>
          <w:bCs/>
        </w:rPr>
        <w:t xml:space="preserve"> this initiative could draw patients from other practices introducing unfair advantages in the market</w:t>
      </w:r>
      <w:r>
        <w:rPr>
          <w:bCs/>
        </w:rPr>
        <w:t xml:space="preserve"> for GPs</w:t>
      </w:r>
      <w:r w:rsidR="00455948" w:rsidRPr="00BC1958">
        <w:rPr>
          <w:bCs/>
        </w:rPr>
        <w:t xml:space="preserve">. </w:t>
      </w:r>
      <w:r>
        <w:rPr>
          <w:bCs/>
        </w:rPr>
        <w:t>This is mitigated in part as Medicare UCCs are limited in the range of conditions that can be treated and are eligible to bill only a subset of MBS items.</w:t>
      </w:r>
      <w:r w:rsidR="00455948" w:rsidRPr="00BC1958">
        <w:rPr>
          <w:bCs/>
        </w:rPr>
        <w:t xml:space="preserve"> </w:t>
      </w:r>
      <w:r w:rsidR="005D512F">
        <w:rPr>
          <w:bCs/>
        </w:rPr>
        <w:t xml:space="preserve">This is primarily a risk in markets with higher competition, and not thin markets where there may be less competition for GP services. </w:t>
      </w:r>
    </w:p>
    <w:p w14:paraId="036E49DF" w14:textId="070EF6E7" w:rsidR="00455948" w:rsidRDefault="00BE1D82" w:rsidP="00455948">
      <w:pPr>
        <w:rPr>
          <w:bCs/>
        </w:rPr>
      </w:pPr>
      <w:r>
        <w:rPr>
          <w:bCs/>
        </w:rPr>
        <w:t xml:space="preserve">Medicare UCCs are primarily co-located with an existing general practice, leveraging existing infrastructure, processes, and workflows. This represents a cost efficiency for the provider and the broader program. New Medicare UCCs </w:t>
      </w:r>
      <w:proofErr w:type="gramStart"/>
      <w:r>
        <w:rPr>
          <w:bCs/>
        </w:rPr>
        <w:t>are</w:t>
      </w:r>
      <w:proofErr w:type="gramEnd"/>
      <w:r>
        <w:rPr>
          <w:bCs/>
        </w:rPr>
        <w:t xml:space="preserve"> initially eligible for an upfront grant to support any new capital works, consumables and fit out of consulting rooms. This grant could</w:t>
      </w:r>
      <w:r w:rsidR="005D512F">
        <w:rPr>
          <w:bCs/>
        </w:rPr>
        <w:t xml:space="preserve"> also</w:t>
      </w:r>
      <w:r>
        <w:rPr>
          <w:bCs/>
        </w:rPr>
        <w:t xml:space="preserve"> be beneficial to the co-located general practice</w:t>
      </w:r>
      <w:r w:rsidR="005D512F">
        <w:rPr>
          <w:bCs/>
        </w:rPr>
        <w:t xml:space="preserve">, particularly if utilised on common areas e.g. waiting rooms, signage. The Interim Evaluation noted this grant as part of the Medicare UCC funding model. </w:t>
      </w:r>
      <w:r w:rsidR="00455948" w:rsidRPr="00F745FC">
        <w:rPr>
          <w:bCs/>
        </w:rPr>
        <w:t>There is also a risk</w:t>
      </w:r>
      <w:r w:rsidR="00AB4DD1" w:rsidRPr="00F745FC">
        <w:rPr>
          <w:bCs/>
        </w:rPr>
        <w:t xml:space="preserve"> Medicare</w:t>
      </w:r>
      <w:r w:rsidR="00455948" w:rsidRPr="00F745FC">
        <w:rPr>
          <w:bCs/>
        </w:rPr>
        <w:t xml:space="preserve"> UCC GPs may refer patients </w:t>
      </w:r>
      <w:r w:rsidR="00B2321F" w:rsidRPr="00F745FC">
        <w:rPr>
          <w:bCs/>
        </w:rPr>
        <w:t xml:space="preserve">for ongoing care at the co-located practice </w:t>
      </w:r>
      <w:r w:rsidR="00B2321F" w:rsidRPr="00F745FC">
        <w:rPr>
          <w:bCs/>
        </w:rPr>
        <w:lastRenderedPageBreak/>
        <w:t>diverting from the patients usual GP</w:t>
      </w:r>
      <w:r w:rsidR="00455948" w:rsidRPr="00F745FC">
        <w:rPr>
          <w:bCs/>
        </w:rPr>
        <w:t>, establishing a conflict of interest which may not reflect the best interests of the patients and distorting referral behaviour.</w:t>
      </w:r>
      <w:r w:rsidR="00455948" w:rsidRPr="00BC1958">
        <w:rPr>
          <w:bCs/>
        </w:rPr>
        <w:t xml:space="preserve"> The mitigation for these risks is by enforcing practices to set up a separate legal entity for the </w:t>
      </w:r>
      <w:r w:rsidR="00BC5D72">
        <w:rPr>
          <w:bCs/>
        </w:rPr>
        <w:t xml:space="preserve">Medicare </w:t>
      </w:r>
      <w:r w:rsidR="00455948" w:rsidRPr="00BC1958">
        <w:rPr>
          <w:bCs/>
        </w:rPr>
        <w:t xml:space="preserve">UCC function to facilitate Commonwealth oversight of provider billings and behaviours through MBS patterns. This mitigation does not account for </w:t>
      </w:r>
      <w:proofErr w:type="gramStart"/>
      <w:r w:rsidR="00455948" w:rsidRPr="00BC1958">
        <w:rPr>
          <w:bCs/>
        </w:rPr>
        <w:t>all of</w:t>
      </w:r>
      <w:proofErr w:type="gramEnd"/>
      <w:r w:rsidR="00455948" w:rsidRPr="00BC1958">
        <w:rPr>
          <w:bCs/>
        </w:rPr>
        <w:t xml:space="preserve"> the advantages described above.</w:t>
      </w:r>
      <w:r w:rsidR="00455948" w:rsidRPr="00DF2458">
        <w:rPr>
          <w:bCs/>
        </w:rPr>
        <w:t xml:space="preserve">  </w:t>
      </w:r>
    </w:p>
    <w:p w14:paraId="353D04D6" w14:textId="79BFDABB" w:rsidR="00BC1958" w:rsidRDefault="00782C35" w:rsidP="00BC1958">
      <w:pPr>
        <w:rPr>
          <w:rFonts w:eastAsia="Arial"/>
        </w:rPr>
      </w:pPr>
      <w:r w:rsidRPr="00E45C4D">
        <w:rPr>
          <w:rFonts w:eastAsia="Arial"/>
        </w:rPr>
        <w:t>Recruitment of vocationally registered GPs to achieve the minimum workforce requirements outlined in the Medicare UCC Operational Guidance across extended hours is a significant and ongoing challenge for Medicare UCC providers, particularly in regional and rural areas.</w:t>
      </w:r>
      <w:r w:rsidRPr="00782C35">
        <w:rPr>
          <w:rFonts w:eastAsia="Arial"/>
        </w:rPr>
        <w:t xml:space="preserve"> </w:t>
      </w:r>
      <w:r w:rsidR="00BC1958">
        <w:rPr>
          <w:rFonts w:eastAsia="Arial"/>
        </w:rPr>
        <w:t xml:space="preserve">Given the existing health workforce pressures, finding appropriately trained staff for </w:t>
      </w:r>
      <w:r w:rsidR="00F745FC">
        <w:rPr>
          <w:rFonts w:eastAsia="Arial"/>
        </w:rPr>
        <w:t>Medicare UCCs</w:t>
      </w:r>
      <w:r w:rsidR="00BC1958">
        <w:rPr>
          <w:rFonts w:eastAsia="Arial"/>
        </w:rPr>
        <w:t xml:space="preserve"> may have challenges. There is a risk that by incentivising healthcare workers to work in Medicare UCCs, further pressure may be placed on local health services also seeking to staff general practice</w:t>
      </w:r>
      <w:r w:rsidR="006B0399">
        <w:rPr>
          <w:rFonts w:eastAsia="Arial"/>
        </w:rPr>
        <w:t>s potentially impacting available workforce for broader primary care</w:t>
      </w:r>
      <w:r w:rsidR="00BC1958">
        <w:rPr>
          <w:rFonts w:eastAsia="Arial"/>
        </w:rPr>
        <w:t>. This could result in some GP practices struggling to maintain staff and being forced to close</w:t>
      </w:r>
      <w:r w:rsidR="006B0399">
        <w:rPr>
          <w:rFonts w:eastAsia="Arial"/>
        </w:rPr>
        <w:t>, limiting access to routine primary and preventive care accessed through a patient’s usual general practice</w:t>
      </w:r>
      <w:r w:rsidR="00BC1958">
        <w:rPr>
          <w:rFonts w:eastAsia="Arial"/>
        </w:rPr>
        <w:t>.</w:t>
      </w:r>
      <w:r w:rsidR="003749E6">
        <w:rPr>
          <w:rFonts w:eastAsia="Arial"/>
        </w:rPr>
        <w:t xml:space="preserve"> </w:t>
      </w:r>
      <w:r w:rsidR="0000229D" w:rsidRPr="0000229D">
        <w:rPr>
          <w:rFonts w:eastAsia="Arial"/>
        </w:rPr>
        <w:t>Through the 2025-26 Budget, the government is investing an additional $66</w:t>
      </w:r>
      <w:r w:rsidR="008B330C">
        <w:rPr>
          <w:rFonts w:eastAsia="Arial"/>
        </w:rPr>
        <w:t>2</w:t>
      </w:r>
      <w:r w:rsidR="0000229D" w:rsidRPr="0000229D">
        <w:rPr>
          <w:rFonts w:eastAsia="Arial"/>
        </w:rPr>
        <w:t>.</w:t>
      </w:r>
      <w:r w:rsidR="008B330C">
        <w:rPr>
          <w:rFonts w:eastAsia="Arial"/>
        </w:rPr>
        <w:t>6</w:t>
      </w:r>
      <w:r w:rsidR="0000229D" w:rsidRPr="0000229D">
        <w:rPr>
          <w:rFonts w:eastAsia="Arial"/>
        </w:rPr>
        <w:t xml:space="preserve"> million into the GP workforce</w:t>
      </w:r>
      <w:r w:rsidR="0000229D">
        <w:rPr>
          <w:rFonts w:eastAsia="Arial"/>
        </w:rPr>
        <w:t xml:space="preserve"> that will mitigate some workforce risks</w:t>
      </w:r>
      <w:r w:rsidR="0000229D" w:rsidRPr="0000229D">
        <w:rPr>
          <w:rFonts w:eastAsia="Arial"/>
        </w:rPr>
        <w:t>.</w:t>
      </w:r>
      <w:r w:rsidR="005F47FF">
        <w:rPr>
          <w:rStyle w:val="FootnoteReference"/>
          <w:rFonts w:eastAsia="Arial"/>
        </w:rPr>
        <w:footnoteReference w:id="41"/>
      </w:r>
      <w:r w:rsidR="0000229D" w:rsidRPr="0000229D">
        <w:rPr>
          <w:rFonts w:eastAsia="Arial"/>
        </w:rPr>
        <w:t xml:space="preserve"> This includes more funding to enhance GP and Rural Generalist training by providing an extra 200 training places per year starting in 2026, and this figure will rise to 400 additional places per year from 2028</w:t>
      </w:r>
      <w:r w:rsidR="00401AC2">
        <w:rPr>
          <w:rFonts w:eastAsia="Arial"/>
        </w:rPr>
        <w:t>.</w:t>
      </w:r>
    </w:p>
    <w:p w14:paraId="13536C3F" w14:textId="4F3EF249" w:rsidR="006B0399" w:rsidRDefault="006B0399" w:rsidP="00BC1958">
      <w:pPr>
        <w:rPr>
          <w:rFonts w:eastAsia="Arial"/>
        </w:rPr>
      </w:pPr>
      <w:r>
        <w:rPr>
          <w:rFonts w:eastAsia="Arial"/>
        </w:rPr>
        <w:t>Medicare UCC</w:t>
      </w:r>
      <w:r w:rsidR="00A04995">
        <w:rPr>
          <w:rFonts w:eastAsia="Arial"/>
        </w:rPr>
        <w:t xml:space="preserve"> providers</w:t>
      </w:r>
      <w:r>
        <w:rPr>
          <w:rFonts w:eastAsia="Arial"/>
        </w:rPr>
        <w:t xml:space="preserve"> receive</w:t>
      </w:r>
      <w:r w:rsidR="00A04995">
        <w:rPr>
          <w:rFonts w:eastAsia="Arial"/>
        </w:rPr>
        <w:t xml:space="preserve"> funding via two streams including</w:t>
      </w:r>
      <w:r>
        <w:rPr>
          <w:rFonts w:eastAsia="Arial"/>
        </w:rPr>
        <w:t xml:space="preserve"> an operational grant and access to a sub-set of MBS items. Remuneration for staff at a Medicare UCC is a matter for the provider, however there is risk that the operational grant may distort the broader</w:t>
      </w:r>
      <w:r w:rsidR="00A04995">
        <w:rPr>
          <w:rFonts w:eastAsia="Arial"/>
        </w:rPr>
        <w:t xml:space="preserve"> general practice</w:t>
      </w:r>
      <w:r>
        <w:rPr>
          <w:rFonts w:eastAsia="Arial"/>
        </w:rPr>
        <w:t xml:space="preserve"> market</w:t>
      </w:r>
      <w:r w:rsidR="00A04995">
        <w:rPr>
          <w:rFonts w:eastAsia="Arial"/>
        </w:rPr>
        <w:t>,</w:t>
      </w:r>
      <w:r>
        <w:rPr>
          <w:rFonts w:eastAsia="Arial"/>
        </w:rPr>
        <w:t xml:space="preserve"> </w:t>
      </w:r>
      <w:r w:rsidR="00A04995">
        <w:rPr>
          <w:rFonts w:eastAsia="Arial"/>
        </w:rPr>
        <w:t>for example capacity of the provider to offer salaried positions</w:t>
      </w:r>
      <w:r w:rsidR="008B330C">
        <w:rPr>
          <w:rFonts w:eastAsia="Arial"/>
        </w:rPr>
        <w:t>.</w:t>
      </w:r>
    </w:p>
    <w:p w14:paraId="3F43CC35" w14:textId="21163649" w:rsidR="00CC646D" w:rsidRPr="001A7CF6" w:rsidRDefault="00CC646D" w:rsidP="00E0447D">
      <w:pPr>
        <w:pStyle w:val="Heading3"/>
      </w:pPr>
      <w:bookmarkStart w:id="68" w:name="_Toc114582215"/>
      <w:bookmarkStart w:id="69" w:name="_Toc212110390"/>
      <w:r w:rsidRPr="001A7CF6">
        <w:t>Broader health system</w:t>
      </w:r>
      <w:bookmarkEnd w:id="68"/>
      <w:bookmarkEnd w:id="69"/>
      <w:r w:rsidRPr="001A7CF6">
        <w:t xml:space="preserve"> </w:t>
      </w:r>
    </w:p>
    <w:p w14:paraId="26FDD111" w14:textId="77777777" w:rsidR="00CC646D" w:rsidRPr="001A7CF6" w:rsidRDefault="00CC646D" w:rsidP="001A7CF6">
      <w:pPr>
        <w:pStyle w:val="Heading4"/>
        <w:rPr>
          <w:noProof/>
        </w:rPr>
      </w:pPr>
      <w:r w:rsidRPr="001A7CF6">
        <w:rPr>
          <w:noProof/>
        </w:rPr>
        <w:t xml:space="preserve">Benefits </w:t>
      </w:r>
    </w:p>
    <w:p w14:paraId="2369D89C" w14:textId="03759BF3" w:rsidR="00B1364A" w:rsidRDefault="00B1364A" w:rsidP="00CC646D">
      <w:r w:rsidRPr="00C22D8A">
        <w:t xml:space="preserve">The Medicare UCC program aims to reduce pressure on hospital EDs to allow hospitals to focus on life-threatening cases. </w:t>
      </w:r>
      <w:r w:rsidRPr="00716F1A">
        <w:t>For Medicare UCCs opened in 2023-24, almost 2 in 3 partner ED hospitals saw a decrease in Category 4 and 5 ED presentations from 2022-23 to 2023-24.</w:t>
      </w:r>
      <w:r w:rsidR="00D85B50" w:rsidRPr="00716F1A">
        <w:rPr>
          <w:rStyle w:val="FootnoteReference"/>
        </w:rPr>
        <w:footnoteReference w:id="42"/>
      </w:r>
      <w:r w:rsidR="00D9089C">
        <w:t xml:space="preserve"> </w:t>
      </w:r>
      <w:r w:rsidRPr="00C22D8A">
        <w:rPr>
          <w:rFonts w:eastAsia="Arial" w:cs="Arial"/>
        </w:rPr>
        <w:t xml:space="preserve">Most recent publicly available data for the proportion of patients seen on time in EDs between 2022-23 and 2023-24 shows some substantial </w:t>
      </w:r>
      <w:r w:rsidRPr="005E47D0">
        <w:rPr>
          <w:rFonts w:eastAsia="Arial" w:cs="Arial"/>
        </w:rPr>
        <w:t>improvements</w:t>
      </w:r>
      <w:r w:rsidRPr="00BC5D72">
        <w:rPr>
          <w:rFonts w:eastAsia="Arial" w:cs="Arial"/>
        </w:rPr>
        <w:t xml:space="preserve"> at some hospitals, but some hospitals also had </w:t>
      </w:r>
      <w:r w:rsidRPr="005E47D0">
        <w:rPr>
          <w:rFonts w:eastAsia="Arial" w:cs="Arial"/>
        </w:rPr>
        <w:t>declines.</w:t>
      </w:r>
      <w:r w:rsidR="004C1035">
        <w:rPr>
          <w:rFonts w:eastAsia="Arial" w:cs="Arial"/>
        </w:rPr>
        <w:t xml:space="preserve"> For example, </w:t>
      </w:r>
      <w:r w:rsidR="004C1035" w:rsidRPr="004C1035">
        <w:rPr>
          <w:rFonts w:eastAsia="Arial" w:cs="Arial"/>
        </w:rPr>
        <w:t>the proportion of people ‘seen on time’</w:t>
      </w:r>
      <w:r w:rsidR="004C1035">
        <w:rPr>
          <w:rFonts w:eastAsia="Arial" w:cs="Arial"/>
        </w:rPr>
        <w:t xml:space="preserve"> in 2023-24</w:t>
      </w:r>
      <w:r w:rsidR="004C1035" w:rsidRPr="004C1035">
        <w:rPr>
          <w:rFonts w:eastAsia="Arial" w:cs="Arial"/>
        </w:rPr>
        <w:t xml:space="preserve"> was 67%, up from 65% in 2022–23 but down from 74% in 2019–20</w:t>
      </w:r>
      <w:r w:rsidR="004C1035">
        <w:rPr>
          <w:rFonts w:eastAsia="Arial" w:cs="Arial"/>
        </w:rPr>
        <w:t>.</w:t>
      </w:r>
      <w:r w:rsidR="004C1035">
        <w:rPr>
          <w:rStyle w:val="FootnoteReference"/>
          <w:rFonts w:eastAsia="Arial" w:cs="Arial"/>
        </w:rPr>
        <w:footnoteReference w:id="43"/>
      </w:r>
    </w:p>
    <w:p w14:paraId="724A3B69" w14:textId="5311CD78" w:rsidR="00CC646D" w:rsidRDefault="00CC646D" w:rsidP="00CC646D">
      <w:pPr>
        <w:rPr>
          <w:rFonts w:eastAsia="Arial"/>
        </w:rPr>
      </w:pPr>
      <w:r>
        <w:t xml:space="preserve">Noting the likely presence of latent demand in the ED system, Medicare UCCs are intended to alleviate pressures on EDs and associated health workforce. </w:t>
      </w:r>
      <w:r>
        <w:rPr>
          <w:rFonts w:eastAsia="Arial"/>
        </w:rPr>
        <w:t>This means reduced pressure on frontline workers, potentially reducing their overtime hours</w:t>
      </w:r>
      <w:r w:rsidR="004C1035">
        <w:rPr>
          <w:rFonts w:eastAsia="Arial"/>
        </w:rPr>
        <w:t xml:space="preserve">. </w:t>
      </w:r>
      <w:r>
        <w:t xml:space="preserve">By providing options for low acuity </w:t>
      </w:r>
      <w:r>
        <w:lastRenderedPageBreak/>
        <w:t xml:space="preserve">patients to attend another location, </w:t>
      </w:r>
      <w:r w:rsidRPr="000968B8">
        <w:rPr>
          <w:rFonts w:eastAsia="Arial"/>
        </w:rPr>
        <w:t xml:space="preserve">hospital resources </w:t>
      </w:r>
      <w:r>
        <w:rPr>
          <w:rFonts w:eastAsia="Arial"/>
        </w:rPr>
        <w:t xml:space="preserve">can instead </w:t>
      </w:r>
      <w:r w:rsidRPr="000968B8">
        <w:rPr>
          <w:rFonts w:eastAsia="Arial"/>
        </w:rPr>
        <w:t>be focused on higher urgency, life-threatening conditions.</w:t>
      </w:r>
      <w:r>
        <w:rPr>
          <w:rFonts w:eastAsia="Arial"/>
        </w:rPr>
        <w:t xml:space="preserve"> </w:t>
      </w:r>
    </w:p>
    <w:p w14:paraId="24D61ADD" w14:textId="0405B23E" w:rsidR="00CC646D" w:rsidRPr="00AA656B" w:rsidRDefault="00CC646D" w:rsidP="00CC646D">
      <w:pPr>
        <w:rPr>
          <w:bCs/>
        </w:rPr>
      </w:pPr>
      <w:r w:rsidRPr="00AA656B">
        <w:t xml:space="preserve">The establishment of </w:t>
      </w:r>
      <w:r>
        <w:t>Medicare UCCs</w:t>
      </w:r>
      <w:r w:rsidRPr="00AA656B">
        <w:t xml:space="preserve"> provides an opportunity to work collaboratively </w:t>
      </w:r>
      <w:r>
        <w:t>across the acute and</w:t>
      </w:r>
      <w:r w:rsidRPr="00AA656B">
        <w:t xml:space="preserve"> primary care sector</w:t>
      </w:r>
      <w:r>
        <w:t>s</w:t>
      </w:r>
      <w:r w:rsidRPr="00AA656B">
        <w:t xml:space="preserve"> to address an issue at the interface between the public hospital system and the private primary care system. Agreed care and escalation pathways as well as mandatory clinical handover to each patient’s usual GP (where the patient has one) will help avoid fragmentation of care. </w:t>
      </w:r>
      <w:r>
        <w:t>Medicare UCCs</w:t>
      </w:r>
      <w:r w:rsidRPr="00AA656B">
        <w:t xml:space="preserve"> may also provide a better setting than EDs to discuss comprehensive follow up care and connect patients to broader primary and community care services. </w:t>
      </w:r>
      <w:r w:rsidRPr="00AA656B">
        <w:rPr>
          <w:bCs/>
        </w:rPr>
        <w:t xml:space="preserve">This may assist in addressing individuals at risk of readmission to ED and </w:t>
      </w:r>
      <w:r>
        <w:rPr>
          <w:bCs/>
        </w:rPr>
        <w:t>Medicare UCCs</w:t>
      </w:r>
      <w:r w:rsidRPr="00AA656B">
        <w:rPr>
          <w:bCs/>
        </w:rPr>
        <w:t xml:space="preserve"> and reduce inappropriate non-urgent presentations. </w:t>
      </w:r>
    </w:p>
    <w:p w14:paraId="44D16388" w14:textId="77777777" w:rsidR="00CC646D" w:rsidRDefault="00CC646D" w:rsidP="00CC646D">
      <w:pPr>
        <w:rPr>
          <w:bCs/>
        </w:rPr>
      </w:pPr>
      <w:r w:rsidRPr="00AA656B">
        <w:rPr>
          <w:bCs/>
        </w:rPr>
        <w:t xml:space="preserve">There is an opportunity to complement the </w:t>
      </w:r>
      <w:r>
        <w:rPr>
          <w:bCs/>
        </w:rPr>
        <w:t>Medicare UCCs</w:t>
      </w:r>
      <w:r w:rsidRPr="00AA656B">
        <w:rPr>
          <w:bCs/>
        </w:rPr>
        <w:t xml:space="preserve"> with other health services to support ED diversion</w:t>
      </w:r>
      <w:r>
        <w:rPr>
          <w:bCs/>
        </w:rPr>
        <w:t xml:space="preserve"> including virtual telephone advice lines</w:t>
      </w:r>
      <w:r w:rsidRPr="00AA656B">
        <w:rPr>
          <w:bCs/>
        </w:rPr>
        <w:t xml:space="preserve">, to improve patient flow to </w:t>
      </w:r>
      <w:r>
        <w:rPr>
          <w:bCs/>
        </w:rPr>
        <w:t>Medicare UCCs</w:t>
      </w:r>
      <w:r w:rsidRPr="00AA656B">
        <w:rPr>
          <w:bCs/>
        </w:rPr>
        <w:t xml:space="preserve"> </w:t>
      </w:r>
      <w:r>
        <w:rPr>
          <w:bCs/>
        </w:rPr>
        <w:t xml:space="preserve">or </w:t>
      </w:r>
      <w:r w:rsidRPr="00AA656B">
        <w:rPr>
          <w:bCs/>
        </w:rPr>
        <w:t xml:space="preserve">to prevent unwarranted physical presentations to </w:t>
      </w:r>
      <w:r>
        <w:rPr>
          <w:bCs/>
        </w:rPr>
        <w:t>Medicare UCCs</w:t>
      </w:r>
      <w:r w:rsidRPr="00AA656B">
        <w:rPr>
          <w:bCs/>
        </w:rPr>
        <w:t xml:space="preserve"> and EDs. </w:t>
      </w:r>
    </w:p>
    <w:p w14:paraId="28B9B52E" w14:textId="6E7058CF" w:rsidR="000F0A74" w:rsidRDefault="000F0A74" w:rsidP="000F0A74">
      <w:pPr>
        <w:rPr>
          <w:rFonts w:cstheme="minorHAnsi"/>
        </w:rPr>
      </w:pPr>
      <w:r w:rsidRPr="00C45DEE">
        <w:rPr>
          <w:rFonts w:cstheme="minorHAnsi"/>
        </w:rPr>
        <w:t>The commissioning process</w:t>
      </w:r>
      <w:r>
        <w:rPr>
          <w:rFonts w:cstheme="minorHAnsi"/>
        </w:rPr>
        <w:t xml:space="preserve"> for </w:t>
      </w:r>
      <w:r w:rsidR="00954E38">
        <w:rPr>
          <w:rFonts w:cstheme="minorHAnsi"/>
        </w:rPr>
        <w:t xml:space="preserve">Medicare </w:t>
      </w:r>
      <w:r>
        <w:rPr>
          <w:rFonts w:cstheme="minorHAnsi"/>
        </w:rPr>
        <w:t>UCC providers</w:t>
      </w:r>
      <w:r w:rsidRPr="00C45DEE">
        <w:rPr>
          <w:rFonts w:cstheme="minorHAnsi"/>
        </w:rPr>
        <w:t xml:space="preserve"> </w:t>
      </w:r>
      <w:r w:rsidR="00FC43BA">
        <w:rPr>
          <w:rFonts w:cstheme="minorHAnsi"/>
        </w:rPr>
        <w:t>is</w:t>
      </w:r>
      <w:r w:rsidRPr="00C45DEE">
        <w:rPr>
          <w:rFonts w:cstheme="minorHAnsi"/>
        </w:rPr>
        <w:t xml:space="preserve"> competitive and</w:t>
      </w:r>
      <w:r w:rsidR="00FC43BA">
        <w:rPr>
          <w:rFonts w:cstheme="minorHAnsi"/>
        </w:rPr>
        <w:t xml:space="preserve"> provides</w:t>
      </w:r>
      <w:r w:rsidRPr="00C45DEE">
        <w:rPr>
          <w:rFonts w:cstheme="minorHAnsi"/>
        </w:rPr>
        <w:t xml:space="preserve"> an opportunity for both private providers and state community ser</w:t>
      </w:r>
      <w:r>
        <w:rPr>
          <w:rFonts w:cstheme="minorHAnsi"/>
        </w:rPr>
        <w:t>vices to be awarded contracts. This means that the most appropriate provider will be awarded</w:t>
      </w:r>
      <w:r w:rsidR="00BC5D72">
        <w:rPr>
          <w:rFonts w:cstheme="minorHAnsi"/>
        </w:rPr>
        <w:t xml:space="preserve"> a</w:t>
      </w:r>
      <w:r>
        <w:rPr>
          <w:rFonts w:cstheme="minorHAnsi"/>
        </w:rPr>
        <w:t xml:space="preserve"> contract and should be able to respond to the local needs of the community. PHNs also have significant contacts within LHDs and with community services which could help integrate services provided by Medicare UCCs.</w:t>
      </w:r>
    </w:p>
    <w:p w14:paraId="2FE42AAE" w14:textId="77777777" w:rsidR="00CC646D" w:rsidRPr="000E2552" w:rsidRDefault="00CC646D" w:rsidP="000E2552">
      <w:pPr>
        <w:pStyle w:val="Heading4"/>
        <w:rPr>
          <w:noProof/>
        </w:rPr>
      </w:pPr>
      <w:bookmarkStart w:id="70" w:name="_Hlk210401087"/>
      <w:r w:rsidRPr="000E2552">
        <w:rPr>
          <w:noProof/>
        </w:rPr>
        <w:t>Costs</w:t>
      </w:r>
    </w:p>
    <w:p w14:paraId="4EDC8DB1" w14:textId="02D21856" w:rsidR="000F0A74" w:rsidRDefault="000F0A74" w:rsidP="000F0A74">
      <w:r>
        <w:t xml:space="preserve">The relationship between PHNs and their local health systems is variable. There is potential for local level challenges </w:t>
      </w:r>
      <w:r w:rsidR="00134709">
        <w:t xml:space="preserve">in </w:t>
      </w:r>
      <w:r>
        <w:t>integrating Medicare UCCs with hospitals</w:t>
      </w:r>
      <w:r w:rsidR="0041103A">
        <w:t>,</w:t>
      </w:r>
      <w:r>
        <w:t xml:space="preserve"> </w:t>
      </w:r>
      <w:r w:rsidR="0041103A">
        <w:t>p</w:t>
      </w:r>
      <w:r>
        <w:t>articularly in states which already have U</w:t>
      </w:r>
      <w:r w:rsidR="00BC5D72">
        <w:t xml:space="preserve">rgent </w:t>
      </w:r>
      <w:r>
        <w:t>C</w:t>
      </w:r>
      <w:r w:rsidR="00BC5D72">
        <w:t>are</w:t>
      </w:r>
      <w:r>
        <w:t xml:space="preserve"> models they fund</w:t>
      </w:r>
      <w:r w:rsidR="00D1353D">
        <w:t>,</w:t>
      </w:r>
      <w:r>
        <w:t xml:space="preserve"> or do not have strong working relationships or history of working collaboratively with PHNs. </w:t>
      </w:r>
    </w:p>
    <w:p w14:paraId="4F8B6F05" w14:textId="55E7273A" w:rsidR="00544B00" w:rsidRPr="00544B00" w:rsidRDefault="006C6C8E" w:rsidP="00544B00">
      <w:r>
        <w:t>The</w:t>
      </w:r>
      <w:r w:rsidR="000F0A74">
        <w:t xml:space="preserve"> PHNs </w:t>
      </w:r>
      <w:r>
        <w:t>are responsible for working with</w:t>
      </w:r>
      <w:r w:rsidR="000F0A74">
        <w:t xml:space="preserve"> LHDs</w:t>
      </w:r>
      <w:r>
        <w:t xml:space="preserve"> to ensure </w:t>
      </w:r>
      <w:r w:rsidR="00D9089C">
        <w:t xml:space="preserve">effective </w:t>
      </w:r>
      <w:r>
        <w:t>coordination and integration of services</w:t>
      </w:r>
      <w:r w:rsidR="00EB4B2B">
        <w:t xml:space="preserve"> provided by Medicare UCCs</w:t>
      </w:r>
      <w:r>
        <w:t xml:space="preserve">. </w:t>
      </w:r>
      <w:bookmarkEnd w:id="70"/>
      <w:r w:rsidR="000F0A74">
        <w:t xml:space="preserve">Practices will leverage existing </w:t>
      </w:r>
      <w:proofErr w:type="gramStart"/>
      <w:r w:rsidR="000F0A74">
        <w:t>GPs</w:t>
      </w:r>
      <w:r w:rsidR="00BC5D72">
        <w:t>,</w:t>
      </w:r>
      <w:proofErr w:type="gramEnd"/>
      <w:r w:rsidR="000F0A74">
        <w:t xml:space="preserve"> however</w:t>
      </w:r>
      <w:r w:rsidR="00BC5D72">
        <w:t>,</w:t>
      </w:r>
      <w:r w:rsidR="000F0A74">
        <w:t xml:space="preserve"> the extended hours will require increased numbers of staffing than the practice has available. This will require practices to recruit more doctors</w:t>
      </w:r>
      <w:r w:rsidR="008E2EBC">
        <w:t xml:space="preserve"> and nurses</w:t>
      </w:r>
      <w:r w:rsidR="000F0A74">
        <w:t xml:space="preserve"> and there is a risk of diverting doctors from other healthcare centres or even the emergency care workforce.</w:t>
      </w:r>
    </w:p>
    <w:p w14:paraId="1F51BC62" w14:textId="5CBA1781" w:rsidR="00CC646D" w:rsidRPr="000E2552" w:rsidRDefault="00CC646D" w:rsidP="00E0447D">
      <w:pPr>
        <w:pStyle w:val="Heading3"/>
      </w:pPr>
      <w:bookmarkStart w:id="71" w:name="_Toc114582216"/>
      <w:bookmarkStart w:id="72" w:name="_Toc212110391"/>
      <w:r w:rsidRPr="000E2552">
        <w:t>Government</w:t>
      </w:r>
      <w:bookmarkEnd w:id="71"/>
      <w:bookmarkEnd w:id="72"/>
      <w:r w:rsidRPr="000E2552">
        <w:t xml:space="preserve"> </w:t>
      </w:r>
    </w:p>
    <w:p w14:paraId="1DB4CA5B" w14:textId="77777777" w:rsidR="00CC646D" w:rsidRPr="000E2552" w:rsidRDefault="00CC646D" w:rsidP="000E2552">
      <w:pPr>
        <w:pStyle w:val="Heading4"/>
        <w:rPr>
          <w:noProof/>
        </w:rPr>
      </w:pPr>
      <w:r w:rsidRPr="000E2552">
        <w:rPr>
          <w:noProof/>
        </w:rPr>
        <w:t>Benefits</w:t>
      </w:r>
    </w:p>
    <w:p w14:paraId="3C5B669F" w14:textId="154A69C5" w:rsidR="005B4BAD" w:rsidRDefault="00A5309F" w:rsidP="00026009">
      <w:r w:rsidRPr="00A40493">
        <w:rPr>
          <w:bCs/>
        </w:rPr>
        <w:t>According the Interim Evaluation Report, a</w:t>
      </w:r>
      <w:r w:rsidR="00B1364A" w:rsidRPr="00A5309F">
        <w:t>s at 30 September 2024, the Medicare UCC evaluation estimates that 334,000 presentations to partner hospital EDs would have been avoided annually due to the availability of Medicare UCCs.</w:t>
      </w:r>
      <w:r w:rsidR="00B80D34">
        <w:rPr>
          <w:rStyle w:val="FootnoteReference"/>
        </w:rPr>
        <w:footnoteReference w:id="44"/>
      </w:r>
      <w:r w:rsidR="00B1364A" w:rsidRPr="00A5309F">
        <w:t xml:space="preserve"> It also estimates that a Medicare UCC presentation that otherwise would have gone to the ED costs $248 compared to the cost of an ED visit of around </w:t>
      </w:r>
      <w:r w:rsidR="00B1364A" w:rsidRPr="00A5309F">
        <w:lastRenderedPageBreak/>
        <w:t>$616. This equates to over $122 million savings annually.</w:t>
      </w:r>
      <w:r w:rsidR="00297847">
        <w:rPr>
          <w:rStyle w:val="FootnoteReference"/>
        </w:rPr>
        <w:footnoteReference w:id="45"/>
      </w:r>
      <w:r w:rsidR="00B1364A" w:rsidRPr="1C35EE4A">
        <w:t xml:space="preserve"> </w:t>
      </w:r>
      <w:r w:rsidR="00DE782E" w:rsidRPr="005B4BAD">
        <w:t>These preliminary results do not include contributions to the operation of Medicare UCCs by state and territory governments.</w:t>
      </w:r>
      <w:r w:rsidR="00DE782E">
        <w:rPr>
          <w:rStyle w:val="FootnoteReference"/>
        </w:rPr>
        <w:footnoteReference w:id="46"/>
      </w:r>
    </w:p>
    <w:p w14:paraId="291256DF" w14:textId="7E46F548" w:rsidR="000F0A74" w:rsidRDefault="000F0A74" w:rsidP="000F0A74">
      <w:pPr>
        <w:keepNext/>
        <w:keepLines/>
        <w:spacing w:line="256" w:lineRule="auto"/>
        <w:rPr>
          <w:rFonts w:eastAsia="Arial"/>
        </w:rPr>
      </w:pPr>
      <w:r>
        <w:rPr>
          <w:rFonts w:eastAsia="Arial"/>
          <w:szCs w:val="22"/>
        </w:rPr>
        <w:t>Working with PHNs allows for greater national consistency as implementation can be managed by the Commonwealth</w:t>
      </w:r>
      <w:r w:rsidR="00297847">
        <w:rPr>
          <w:rFonts w:eastAsia="Arial"/>
          <w:szCs w:val="22"/>
        </w:rPr>
        <w:t xml:space="preserve"> and</w:t>
      </w:r>
      <w:r>
        <w:rPr>
          <w:rFonts w:cstheme="minorHAnsi"/>
          <w:szCs w:val="22"/>
        </w:rPr>
        <w:t xml:space="preserve"> may assist in ensuring consistency across jurisdictions. </w:t>
      </w:r>
    </w:p>
    <w:p w14:paraId="2D9FC300" w14:textId="77777777" w:rsidR="000F0A74" w:rsidRPr="000E2552" w:rsidRDefault="000F0A74" w:rsidP="000E2552">
      <w:pPr>
        <w:pStyle w:val="Heading4"/>
        <w:rPr>
          <w:noProof/>
        </w:rPr>
      </w:pPr>
      <w:r w:rsidRPr="7E4E189F">
        <w:rPr>
          <w:noProof/>
        </w:rPr>
        <w:t xml:space="preserve">Costs </w:t>
      </w:r>
    </w:p>
    <w:p w14:paraId="0EF7C215" w14:textId="5FC76F7C" w:rsidR="007A2A20" w:rsidRPr="00C40000" w:rsidRDefault="005020FB" w:rsidP="000F0A74">
      <w:pPr>
        <w:rPr>
          <w:rFonts w:eastAsia="Arial" w:cs="Arial"/>
          <w:b/>
          <w:bCs/>
          <w:color w:val="1C2B39" w:themeColor="accent1"/>
          <w:sz w:val="28"/>
          <w:szCs w:val="26"/>
        </w:rPr>
      </w:pPr>
      <w:r w:rsidRPr="00B52951">
        <w:rPr>
          <w:rFonts w:eastAsia="Arial"/>
        </w:rPr>
        <w:t xml:space="preserve">Indicative costs to run </w:t>
      </w:r>
      <w:r w:rsidR="00894A1D" w:rsidRPr="00B52951">
        <w:rPr>
          <w:rFonts w:eastAsia="Arial"/>
        </w:rPr>
        <w:t>the</w:t>
      </w:r>
      <w:r w:rsidRPr="00B52951">
        <w:rPr>
          <w:rFonts w:eastAsia="Arial"/>
        </w:rPr>
        <w:t xml:space="preserve"> Medicare UCC program is</w:t>
      </w:r>
      <w:r w:rsidR="0073103D" w:rsidRPr="00B52951">
        <w:rPr>
          <w:rFonts w:eastAsia="Arial"/>
        </w:rPr>
        <w:t xml:space="preserve"> approximately</w:t>
      </w:r>
      <w:r w:rsidRPr="00B52951">
        <w:rPr>
          <w:rFonts w:eastAsia="Arial"/>
        </w:rPr>
        <w:t xml:space="preserve"> </w:t>
      </w:r>
      <w:r w:rsidR="007A2A20" w:rsidRPr="00B52951">
        <w:rPr>
          <w:rFonts w:eastAsia="Arial"/>
        </w:rPr>
        <w:t>$</w:t>
      </w:r>
      <w:r w:rsidR="004C1035" w:rsidRPr="00B52951">
        <w:rPr>
          <w:rFonts w:eastAsia="Arial"/>
        </w:rPr>
        <w:t>428.1</w:t>
      </w:r>
      <w:r w:rsidR="00C07F5F" w:rsidRPr="00B52951">
        <w:rPr>
          <w:rFonts w:eastAsia="Arial"/>
        </w:rPr>
        <w:t xml:space="preserve"> </w:t>
      </w:r>
      <w:r w:rsidR="004463CA" w:rsidRPr="00B52951">
        <w:rPr>
          <w:rFonts w:eastAsia="Arial"/>
        </w:rPr>
        <w:t>million per year</w:t>
      </w:r>
      <w:r w:rsidR="00D553F5" w:rsidRPr="00B52951">
        <w:rPr>
          <w:rFonts w:eastAsia="Arial"/>
        </w:rPr>
        <w:t xml:space="preserve"> to provide ongoing </w:t>
      </w:r>
      <w:r w:rsidR="00502A3C" w:rsidRPr="00B52951">
        <w:rPr>
          <w:rFonts w:eastAsia="Arial"/>
        </w:rPr>
        <w:t>funding for all 137 Medicare UCCs from 1 July 2028 onwards.</w:t>
      </w:r>
      <w:r w:rsidR="00502A3C" w:rsidRPr="004C1035">
        <w:rPr>
          <w:rFonts w:eastAsia="Arial"/>
        </w:rPr>
        <w:t xml:space="preserve"> This includes </w:t>
      </w:r>
      <w:r w:rsidR="00F56AF5" w:rsidRPr="004C1035">
        <w:rPr>
          <w:rFonts w:eastAsia="Arial"/>
        </w:rPr>
        <w:t xml:space="preserve">ongoing </w:t>
      </w:r>
      <w:r w:rsidR="00110475" w:rsidRPr="004C1035">
        <w:rPr>
          <w:rFonts w:eastAsia="Arial"/>
        </w:rPr>
        <w:t xml:space="preserve">operational </w:t>
      </w:r>
      <w:r w:rsidR="00F56AF5" w:rsidRPr="004C1035">
        <w:rPr>
          <w:rFonts w:eastAsia="Arial"/>
        </w:rPr>
        <w:t xml:space="preserve">funding </w:t>
      </w:r>
      <w:r w:rsidR="00110475" w:rsidRPr="004C1035">
        <w:rPr>
          <w:rFonts w:eastAsia="Arial"/>
        </w:rPr>
        <w:t>for</w:t>
      </w:r>
      <w:r w:rsidR="00F56AF5" w:rsidRPr="004C1035">
        <w:rPr>
          <w:rFonts w:eastAsia="Arial"/>
        </w:rPr>
        <w:t xml:space="preserve"> </w:t>
      </w:r>
      <w:r w:rsidR="00590565" w:rsidRPr="004C1035">
        <w:rPr>
          <w:rFonts w:eastAsia="Arial"/>
        </w:rPr>
        <w:t xml:space="preserve">Medicare </w:t>
      </w:r>
      <w:r w:rsidR="00F56AF5" w:rsidRPr="004C1035">
        <w:rPr>
          <w:rFonts w:eastAsia="Arial"/>
        </w:rPr>
        <w:t xml:space="preserve">UCCs, </w:t>
      </w:r>
      <w:r w:rsidR="00110475" w:rsidRPr="004C1035">
        <w:rPr>
          <w:rFonts w:eastAsia="Arial"/>
        </w:rPr>
        <w:t>department</w:t>
      </w:r>
      <w:r w:rsidR="00590565" w:rsidRPr="004C1035">
        <w:rPr>
          <w:rFonts w:eastAsia="Arial"/>
        </w:rPr>
        <w:t>al</w:t>
      </w:r>
      <w:r w:rsidR="00F56AF5" w:rsidRPr="004C1035">
        <w:rPr>
          <w:rFonts w:eastAsia="Arial"/>
        </w:rPr>
        <w:t xml:space="preserve"> funding to support </w:t>
      </w:r>
      <w:r w:rsidR="00D73EAF" w:rsidRPr="004C1035">
        <w:rPr>
          <w:rFonts w:eastAsia="Arial"/>
        </w:rPr>
        <w:t xml:space="preserve">ongoing implementation of the </w:t>
      </w:r>
      <w:r w:rsidR="00F56AF5" w:rsidRPr="004C1035">
        <w:rPr>
          <w:rFonts w:eastAsia="Arial"/>
        </w:rPr>
        <w:t>program</w:t>
      </w:r>
      <w:r w:rsidR="00110475" w:rsidRPr="004C1035">
        <w:rPr>
          <w:rFonts w:eastAsia="Arial"/>
        </w:rPr>
        <w:t xml:space="preserve">, </w:t>
      </w:r>
      <w:r w:rsidR="001F4EBC" w:rsidRPr="004C1035">
        <w:rPr>
          <w:rFonts w:eastAsia="Arial"/>
        </w:rPr>
        <w:t>and</w:t>
      </w:r>
      <w:r w:rsidR="00110475" w:rsidRPr="004C1035">
        <w:rPr>
          <w:rFonts w:eastAsia="Arial"/>
        </w:rPr>
        <w:t xml:space="preserve"> ASL</w:t>
      </w:r>
      <w:r w:rsidR="00590565" w:rsidRPr="004C1035">
        <w:rPr>
          <w:rFonts w:eastAsia="Arial"/>
        </w:rPr>
        <w:t>.</w:t>
      </w:r>
    </w:p>
    <w:p w14:paraId="18B46272" w14:textId="1EF70604" w:rsidR="000F0A74" w:rsidRPr="000E2552" w:rsidRDefault="000F0A74" w:rsidP="000F0A74">
      <w:pPr>
        <w:pStyle w:val="Heading3"/>
      </w:pPr>
      <w:bookmarkStart w:id="73" w:name="_Toc114582228"/>
      <w:bookmarkStart w:id="74" w:name="_Toc212110392"/>
      <w:r w:rsidRPr="000E2552">
        <w:t>RBE Estimates Table</w:t>
      </w:r>
      <w:bookmarkEnd w:id="73"/>
      <w:bookmarkEnd w:id="74"/>
      <w:r w:rsidRPr="000E2552">
        <w:t xml:space="preserve"> </w:t>
      </w:r>
    </w:p>
    <w:p w14:paraId="1FC84880" w14:textId="0F54D243" w:rsidR="00D0378F" w:rsidRDefault="00D0378F" w:rsidP="00D0378F">
      <w:r>
        <w:t>Regulatory costs associated with this proposal would be costs associated with the funding agreements</w:t>
      </w:r>
      <w:r w:rsidR="004C1305">
        <w:t xml:space="preserve"> with the PHNs and </w:t>
      </w:r>
      <w:r w:rsidR="00F40B14">
        <w:t>s</w:t>
      </w:r>
      <w:r w:rsidR="004C1305">
        <w:t xml:space="preserve">tate and </w:t>
      </w:r>
      <w:r w:rsidR="00F40B14">
        <w:t>t</w:t>
      </w:r>
      <w:r w:rsidR="004C1305">
        <w:t xml:space="preserve">erritory </w:t>
      </w:r>
      <w:r w:rsidR="00BA6C56">
        <w:t>g</w:t>
      </w:r>
      <w:r w:rsidR="004C1305">
        <w:t>overnments</w:t>
      </w:r>
      <w:r>
        <w:t xml:space="preserve">. This would include the regulatory costs associated with drafting </w:t>
      </w:r>
      <w:r w:rsidR="000C570E">
        <w:t>documentation in relation to commissioning processes</w:t>
      </w:r>
      <w:r>
        <w:t xml:space="preserve"> and fulfilling reporting requirements.</w:t>
      </w:r>
    </w:p>
    <w:p w14:paraId="619211EB" w14:textId="6C6CB9A7" w:rsidR="00D0378F" w:rsidRDefault="00D0378F" w:rsidP="00D0378F">
      <w:r>
        <w:t xml:space="preserve">The funding agreements associated with this proposal would impose a small regulatory cost on organisations, however, the benefits of the proposed activities far outweigh this cost. The </w:t>
      </w:r>
      <w:r w:rsidR="000242C4">
        <w:t>Medicare UCC</w:t>
      </w:r>
      <w:r w:rsidR="008E2EBC">
        <w:t xml:space="preserve"> providers</w:t>
      </w:r>
      <w:r>
        <w:t xml:space="preserve"> engaged across Australia through these funding agreements improve health outcomes with their activities.</w:t>
      </w:r>
    </w:p>
    <w:p w14:paraId="3BC63FC9" w14:textId="1F16752D" w:rsidR="00D0378F" w:rsidRDefault="00D0378F" w:rsidP="00D0378F">
      <w:r w:rsidRPr="00E27955">
        <w:t xml:space="preserve">Overall, the average regulatory cost anticipated per </w:t>
      </w:r>
      <w:r w:rsidR="002E46DD" w:rsidRPr="00E27955">
        <w:t>funding agreement</w:t>
      </w:r>
      <w:r w:rsidRPr="00E27955">
        <w:t xml:space="preserve"> per year is $</w:t>
      </w:r>
      <w:r w:rsidR="006505CB" w:rsidRPr="00E27955">
        <w:t>4</w:t>
      </w:r>
      <w:r w:rsidRPr="00E27955">
        <w:t>,</w:t>
      </w:r>
      <w:r w:rsidR="006505CB" w:rsidRPr="00E27955">
        <w:t>829</w:t>
      </w:r>
      <w:r w:rsidRPr="00E27955">
        <w:t xml:space="preserve"> a total of approximately $</w:t>
      </w:r>
      <w:r w:rsidR="00E528C4" w:rsidRPr="00E27955">
        <w:t>661</w:t>
      </w:r>
      <w:r w:rsidR="00E64D46" w:rsidRPr="00E27955">
        <w:t>,592</w:t>
      </w:r>
      <w:r w:rsidRPr="00E27955">
        <w:t xml:space="preserve"> per year for this proposal. This </w:t>
      </w:r>
      <w:proofErr w:type="gramStart"/>
      <w:r w:rsidRPr="00E27955">
        <w:t>takes into account</w:t>
      </w:r>
      <w:proofErr w:type="gramEnd"/>
      <w:r w:rsidRPr="00E27955">
        <w:t xml:space="preserve"> around </w:t>
      </w:r>
      <w:r w:rsidR="00394F29" w:rsidRPr="00E27955">
        <w:t>56.7</w:t>
      </w:r>
      <w:r w:rsidRPr="00E27955">
        <w:t xml:space="preserve"> hours </w:t>
      </w:r>
      <w:r w:rsidR="00160BA5" w:rsidRPr="00E27955">
        <w:t>per year</w:t>
      </w:r>
      <w:r w:rsidRPr="00E27955">
        <w:t xml:space="preserve"> to </w:t>
      </w:r>
      <w:r w:rsidR="0003794E">
        <w:t>draft</w:t>
      </w:r>
      <w:r w:rsidR="00160BA5">
        <w:t xml:space="preserve"> </w:t>
      </w:r>
      <w:r w:rsidR="00781E56">
        <w:t>documentation</w:t>
      </w:r>
      <w:r w:rsidR="00AC4866" w:rsidRPr="00E27955">
        <w:t xml:space="preserve"> </w:t>
      </w:r>
      <w:r w:rsidR="0003794E">
        <w:t xml:space="preserve">in relation to commissioning processes </w:t>
      </w:r>
      <w:r w:rsidR="00AC4866" w:rsidRPr="00E27955">
        <w:t>and</w:t>
      </w:r>
      <w:r w:rsidRPr="00E27955">
        <w:t xml:space="preserve"> to fulfil reporting requirements for each successful </w:t>
      </w:r>
      <w:r w:rsidR="002A1B22" w:rsidRPr="00E27955">
        <w:t>recipient</w:t>
      </w:r>
      <w:r w:rsidRPr="00E27955">
        <w:t>, at a default hourly rate of $85.17.</w:t>
      </w:r>
    </w:p>
    <w:p w14:paraId="629600A6" w14:textId="41B20B05" w:rsidR="000304CF" w:rsidRPr="000304CF" w:rsidRDefault="000304CF" w:rsidP="000304CF">
      <w:r w:rsidRPr="000304CF">
        <w:t xml:space="preserve">Table </w:t>
      </w:r>
      <w:r w:rsidR="000307E9">
        <w:t>4</w:t>
      </w:r>
      <w:r w:rsidRPr="000304CF">
        <w:t>: Regulatory burden estimate (RBE) table</w:t>
      </w:r>
    </w:p>
    <w:p w14:paraId="2FA3BD4B" w14:textId="77777777" w:rsidR="000304CF" w:rsidRPr="000304CF" w:rsidRDefault="000304CF" w:rsidP="000304CF">
      <w:r w:rsidRPr="000304CF">
        <w:t>Average annual regulatory costs (from business as usual)</w:t>
      </w:r>
    </w:p>
    <w:tbl>
      <w:tblPr>
        <w:tblW w:w="0" w:type="auto"/>
        <w:tblLook w:val="04A0" w:firstRow="1" w:lastRow="0" w:firstColumn="1" w:lastColumn="0" w:noHBand="0" w:noVBand="1"/>
      </w:tblPr>
      <w:tblGrid>
        <w:gridCol w:w="1925"/>
        <w:gridCol w:w="1925"/>
        <w:gridCol w:w="1926"/>
        <w:gridCol w:w="1926"/>
        <w:gridCol w:w="1926"/>
      </w:tblGrid>
      <w:tr w:rsidR="000304CF" w:rsidRPr="000304CF" w14:paraId="3CAECC59" w14:textId="77777777" w:rsidTr="000304CF">
        <w:trPr>
          <w:tblHeader/>
        </w:trPr>
        <w:tc>
          <w:tcPr>
            <w:tcW w:w="1925" w:type="dxa"/>
            <w:tcBorders>
              <w:top w:val="single" w:sz="4" w:space="0" w:color="1C2B39" w:themeColor="accent1"/>
              <w:left w:val="nil"/>
              <w:bottom w:val="single" w:sz="4" w:space="0" w:color="1C2B39" w:themeColor="accent1"/>
              <w:right w:val="nil"/>
            </w:tcBorders>
            <w:hideMark/>
          </w:tcPr>
          <w:p w14:paraId="37A1A9AF" w14:textId="77777777" w:rsidR="000304CF" w:rsidRPr="000304CF" w:rsidRDefault="000304CF" w:rsidP="000304CF">
            <w:pPr>
              <w:rPr>
                <w:b/>
              </w:rPr>
            </w:pPr>
            <w:r w:rsidRPr="000304CF">
              <w:rPr>
                <w:b/>
              </w:rPr>
              <w:t>Change in costs ($ million)</w:t>
            </w:r>
          </w:p>
        </w:tc>
        <w:tc>
          <w:tcPr>
            <w:tcW w:w="1925" w:type="dxa"/>
            <w:tcBorders>
              <w:top w:val="single" w:sz="4" w:space="0" w:color="1C2B39" w:themeColor="accent1"/>
              <w:left w:val="nil"/>
              <w:bottom w:val="single" w:sz="4" w:space="0" w:color="1C2B39" w:themeColor="accent1"/>
              <w:right w:val="nil"/>
            </w:tcBorders>
            <w:hideMark/>
          </w:tcPr>
          <w:p w14:paraId="4FF76455" w14:textId="27533EF0" w:rsidR="000304CF" w:rsidRPr="000304CF" w:rsidRDefault="000304CF" w:rsidP="000304CF">
            <w:pPr>
              <w:rPr>
                <w:b/>
              </w:rPr>
            </w:pPr>
            <w:r w:rsidRPr="000304CF">
              <w:rPr>
                <w:b/>
              </w:rPr>
              <w:t>Business</w:t>
            </w:r>
            <w:r w:rsidR="00DC37A3">
              <w:rPr>
                <w:b/>
              </w:rPr>
              <w:t xml:space="preserve"> (per business)</w:t>
            </w:r>
          </w:p>
        </w:tc>
        <w:tc>
          <w:tcPr>
            <w:tcW w:w="1926" w:type="dxa"/>
            <w:tcBorders>
              <w:top w:val="single" w:sz="4" w:space="0" w:color="1C2B39" w:themeColor="accent1"/>
              <w:left w:val="nil"/>
              <w:bottom w:val="single" w:sz="4" w:space="0" w:color="1C2B39" w:themeColor="accent1"/>
              <w:right w:val="nil"/>
            </w:tcBorders>
            <w:hideMark/>
          </w:tcPr>
          <w:p w14:paraId="60D0EED6" w14:textId="77777777" w:rsidR="000304CF" w:rsidRPr="000304CF" w:rsidRDefault="000304CF" w:rsidP="000304CF">
            <w:pPr>
              <w:rPr>
                <w:b/>
              </w:rPr>
            </w:pPr>
            <w:r w:rsidRPr="000304CF">
              <w:rPr>
                <w:b/>
              </w:rPr>
              <w:t>Community organisations</w:t>
            </w:r>
          </w:p>
        </w:tc>
        <w:tc>
          <w:tcPr>
            <w:tcW w:w="1926" w:type="dxa"/>
            <w:tcBorders>
              <w:top w:val="single" w:sz="4" w:space="0" w:color="1C2B39" w:themeColor="accent1"/>
              <w:left w:val="nil"/>
              <w:bottom w:val="single" w:sz="4" w:space="0" w:color="1C2B39" w:themeColor="accent1"/>
              <w:right w:val="nil"/>
            </w:tcBorders>
            <w:hideMark/>
          </w:tcPr>
          <w:p w14:paraId="4A677F67" w14:textId="77777777" w:rsidR="000304CF" w:rsidRPr="000304CF" w:rsidRDefault="000304CF" w:rsidP="000304CF">
            <w:pPr>
              <w:rPr>
                <w:b/>
              </w:rPr>
            </w:pPr>
            <w:r w:rsidRPr="000304CF">
              <w:rPr>
                <w:b/>
              </w:rPr>
              <w:t>Individuals</w:t>
            </w:r>
          </w:p>
        </w:tc>
        <w:tc>
          <w:tcPr>
            <w:tcW w:w="1926" w:type="dxa"/>
            <w:tcBorders>
              <w:top w:val="single" w:sz="4" w:space="0" w:color="1C2B39" w:themeColor="accent1"/>
              <w:left w:val="nil"/>
              <w:bottom w:val="single" w:sz="4" w:space="0" w:color="1C2B39" w:themeColor="accent1"/>
              <w:right w:val="nil"/>
            </w:tcBorders>
            <w:hideMark/>
          </w:tcPr>
          <w:p w14:paraId="7F8F6F53" w14:textId="77777777" w:rsidR="000304CF" w:rsidRPr="000304CF" w:rsidRDefault="000304CF" w:rsidP="000304CF">
            <w:pPr>
              <w:rPr>
                <w:b/>
              </w:rPr>
            </w:pPr>
            <w:r w:rsidRPr="000304CF">
              <w:rPr>
                <w:b/>
              </w:rPr>
              <w:t>Total change in costs</w:t>
            </w:r>
          </w:p>
        </w:tc>
      </w:tr>
      <w:tr w:rsidR="000304CF" w:rsidRPr="000304CF" w14:paraId="14056194" w14:textId="77777777" w:rsidTr="000304CF">
        <w:tc>
          <w:tcPr>
            <w:tcW w:w="1925" w:type="dxa"/>
            <w:tcBorders>
              <w:top w:val="single" w:sz="4" w:space="0" w:color="1C2B39" w:themeColor="accent1"/>
              <w:left w:val="nil"/>
              <w:bottom w:val="single" w:sz="12" w:space="0" w:color="1C2B39" w:themeColor="accent1"/>
              <w:right w:val="nil"/>
            </w:tcBorders>
            <w:hideMark/>
          </w:tcPr>
          <w:p w14:paraId="18E23C4A" w14:textId="77777777" w:rsidR="000304CF" w:rsidRPr="000304CF" w:rsidRDefault="000304CF" w:rsidP="000304CF">
            <w:pPr>
              <w:rPr>
                <w:b/>
              </w:rPr>
            </w:pPr>
            <w:r w:rsidRPr="000304CF">
              <w:rPr>
                <w:b/>
              </w:rPr>
              <w:t>Total, by sector</w:t>
            </w:r>
          </w:p>
        </w:tc>
        <w:tc>
          <w:tcPr>
            <w:tcW w:w="1925" w:type="dxa"/>
            <w:tcBorders>
              <w:top w:val="single" w:sz="4" w:space="0" w:color="1C2B39" w:themeColor="accent1"/>
              <w:left w:val="nil"/>
              <w:bottom w:val="single" w:sz="12" w:space="0" w:color="1C2B39" w:themeColor="accent1"/>
              <w:right w:val="nil"/>
            </w:tcBorders>
            <w:hideMark/>
          </w:tcPr>
          <w:p w14:paraId="3A2FA113" w14:textId="16CCE99D" w:rsidR="000304CF" w:rsidRPr="000304CF" w:rsidRDefault="000304CF" w:rsidP="000304CF">
            <w:r w:rsidRPr="000304CF">
              <w:t>$</w:t>
            </w:r>
            <w:r>
              <w:t>0.00</w:t>
            </w:r>
            <w:r w:rsidR="00AC0CB4">
              <w:t>5</w:t>
            </w:r>
          </w:p>
        </w:tc>
        <w:tc>
          <w:tcPr>
            <w:tcW w:w="1926" w:type="dxa"/>
            <w:tcBorders>
              <w:top w:val="single" w:sz="4" w:space="0" w:color="1C2B39" w:themeColor="accent1"/>
              <w:left w:val="nil"/>
              <w:bottom w:val="single" w:sz="12" w:space="0" w:color="1C2B39" w:themeColor="accent1"/>
              <w:right w:val="nil"/>
            </w:tcBorders>
            <w:hideMark/>
          </w:tcPr>
          <w:p w14:paraId="50432699" w14:textId="167174A3" w:rsidR="000304CF" w:rsidRPr="000304CF" w:rsidRDefault="000304CF" w:rsidP="000304CF">
            <w:r w:rsidRPr="000304CF">
              <w:t>$</w:t>
            </w:r>
            <w:r w:rsidR="000307E9">
              <w:t>0</w:t>
            </w:r>
          </w:p>
        </w:tc>
        <w:tc>
          <w:tcPr>
            <w:tcW w:w="1926" w:type="dxa"/>
            <w:tcBorders>
              <w:top w:val="single" w:sz="4" w:space="0" w:color="1C2B39" w:themeColor="accent1"/>
              <w:left w:val="nil"/>
              <w:bottom w:val="single" w:sz="12" w:space="0" w:color="1C2B39" w:themeColor="accent1"/>
              <w:right w:val="nil"/>
            </w:tcBorders>
            <w:hideMark/>
          </w:tcPr>
          <w:p w14:paraId="3B2CAD79" w14:textId="0A07F90B" w:rsidR="000304CF" w:rsidRPr="000304CF" w:rsidRDefault="000304CF" w:rsidP="000304CF">
            <w:r w:rsidRPr="000304CF">
              <w:t>$</w:t>
            </w:r>
            <w:r w:rsidR="000307E9">
              <w:t>0</w:t>
            </w:r>
          </w:p>
        </w:tc>
        <w:tc>
          <w:tcPr>
            <w:tcW w:w="1926" w:type="dxa"/>
            <w:tcBorders>
              <w:top w:val="single" w:sz="4" w:space="0" w:color="1C2B39" w:themeColor="accent1"/>
              <w:left w:val="nil"/>
              <w:bottom w:val="single" w:sz="12" w:space="0" w:color="1C2B39" w:themeColor="accent1"/>
              <w:right w:val="nil"/>
            </w:tcBorders>
            <w:hideMark/>
          </w:tcPr>
          <w:p w14:paraId="3C07D865" w14:textId="6AB34CCE" w:rsidR="000304CF" w:rsidRPr="000304CF" w:rsidRDefault="000304CF" w:rsidP="000304CF">
            <w:r w:rsidRPr="000304CF">
              <w:t>$</w:t>
            </w:r>
            <w:r w:rsidR="000307E9">
              <w:t>0.66</w:t>
            </w:r>
            <w:r w:rsidR="00866616">
              <w:t>2</w:t>
            </w:r>
          </w:p>
        </w:tc>
      </w:tr>
    </w:tbl>
    <w:p w14:paraId="7FE49EA2" w14:textId="77777777" w:rsidR="000F0A74" w:rsidRPr="005B51C2" w:rsidRDefault="000F0A74" w:rsidP="005B51C2"/>
    <w:p w14:paraId="0A3DC986" w14:textId="1A23EDF2" w:rsidR="005A4739" w:rsidRDefault="005A4739" w:rsidP="00BB4B8C">
      <w:pPr>
        <w:pStyle w:val="Heading1"/>
        <w:pageBreakBefore/>
        <w:numPr>
          <w:ilvl w:val="0"/>
          <w:numId w:val="13"/>
        </w:numPr>
        <w:ind w:left="714" w:hanging="357"/>
      </w:pPr>
      <w:bookmarkStart w:id="75" w:name="_Toc212110393"/>
      <w:bookmarkEnd w:id="62"/>
      <w:r>
        <w:lastRenderedPageBreak/>
        <w:t>Who did you consult and how did you incorporate their feedback?</w:t>
      </w:r>
      <w:bookmarkEnd w:id="75"/>
    </w:p>
    <w:p w14:paraId="4848CBDE" w14:textId="0412F049" w:rsidR="00CC646D" w:rsidRDefault="003824F3" w:rsidP="00CC646D">
      <w:pPr>
        <w:spacing w:after="0"/>
        <w:rPr>
          <w:rFonts w:cstheme="minorHAnsi"/>
          <w:bCs/>
        </w:rPr>
      </w:pPr>
      <w:r>
        <w:rPr>
          <w:rFonts w:cstheme="minorHAnsi"/>
          <w:bCs/>
        </w:rPr>
        <w:t>As Medicare UCCs were originally a</w:t>
      </w:r>
      <w:r w:rsidR="00012D8D">
        <w:rPr>
          <w:rFonts w:cstheme="minorHAnsi"/>
          <w:bCs/>
        </w:rPr>
        <w:t xml:space="preserve"> 2022 </w:t>
      </w:r>
      <w:r w:rsidR="003B27EF">
        <w:rPr>
          <w:rFonts w:cstheme="minorHAnsi"/>
          <w:bCs/>
        </w:rPr>
        <w:t>election commitment</w:t>
      </w:r>
      <w:r w:rsidR="00AF2466">
        <w:rPr>
          <w:rFonts w:cstheme="minorHAnsi"/>
          <w:bCs/>
        </w:rPr>
        <w:t>,</w:t>
      </w:r>
      <w:r w:rsidR="003B27EF">
        <w:rPr>
          <w:rFonts w:cstheme="minorHAnsi"/>
          <w:bCs/>
        </w:rPr>
        <w:t xml:space="preserve"> e</w:t>
      </w:r>
      <w:r w:rsidR="000637FC">
        <w:rPr>
          <w:rFonts w:cstheme="minorHAnsi"/>
          <w:bCs/>
        </w:rPr>
        <w:t>xtensive c</w:t>
      </w:r>
      <w:r w:rsidR="000E1ED1">
        <w:rPr>
          <w:rFonts w:cstheme="minorHAnsi"/>
          <w:bCs/>
        </w:rPr>
        <w:t>onsultation on the</w:t>
      </w:r>
      <w:r w:rsidR="002D23D9">
        <w:rPr>
          <w:rFonts w:cstheme="minorHAnsi"/>
          <w:bCs/>
        </w:rPr>
        <w:t xml:space="preserve"> </w:t>
      </w:r>
      <w:r w:rsidR="003B27EF">
        <w:rPr>
          <w:rFonts w:cstheme="minorHAnsi"/>
          <w:bCs/>
        </w:rPr>
        <w:t xml:space="preserve">design and </w:t>
      </w:r>
      <w:r w:rsidR="000637FC">
        <w:rPr>
          <w:rFonts w:cstheme="minorHAnsi"/>
          <w:bCs/>
        </w:rPr>
        <w:t>delivery of</w:t>
      </w:r>
      <w:r w:rsidR="002D23D9">
        <w:rPr>
          <w:rFonts w:cstheme="minorHAnsi"/>
          <w:bCs/>
        </w:rPr>
        <w:t xml:space="preserve"> </w:t>
      </w:r>
      <w:r w:rsidR="00CC646D">
        <w:rPr>
          <w:rFonts w:cstheme="minorHAnsi"/>
          <w:bCs/>
        </w:rPr>
        <w:t>Medicare UCCs</w:t>
      </w:r>
      <w:r w:rsidR="000637FC">
        <w:rPr>
          <w:rFonts w:cstheme="minorHAnsi"/>
          <w:bCs/>
        </w:rPr>
        <w:t xml:space="preserve"> occurred </w:t>
      </w:r>
      <w:r w:rsidR="008F3994">
        <w:rPr>
          <w:rFonts w:cstheme="minorHAnsi"/>
          <w:bCs/>
        </w:rPr>
        <w:t>once the Albanese Government came into office</w:t>
      </w:r>
      <w:r w:rsidR="003B27EF">
        <w:rPr>
          <w:rFonts w:cstheme="minorHAnsi"/>
          <w:bCs/>
        </w:rPr>
        <w:t>.</w:t>
      </w:r>
      <w:r w:rsidR="00AF2466" w:rsidRPr="00AF2466">
        <w:rPr>
          <w:rStyle w:val="FootnoteReference"/>
          <w:rFonts w:cstheme="minorHAnsi"/>
          <w:bCs/>
        </w:rPr>
        <w:t xml:space="preserve"> </w:t>
      </w:r>
      <w:r w:rsidR="00AF2466">
        <w:rPr>
          <w:rStyle w:val="FootnoteReference"/>
          <w:rFonts w:cstheme="minorHAnsi"/>
          <w:bCs/>
        </w:rPr>
        <w:footnoteReference w:id="47"/>
      </w:r>
      <w:r w:rsidR="00DE263B">
        <w:rPr>
          <w:rFonts w:cstheme="minorHAnsi"/>
          <w:bCs/>
        </w:rPr>
        <w:t xml:space="preserve"> </w:t>
      </w:r>
      <w:r w:rsidR="00CC646D">
        <w:rPr>
          <w:rFonts w:cstheme="minorHAnsi"/>
          <w:bCs/>
        </w:rPr>
        <w:t>Medicare UCCs have</w:t>
      </w:r>
      <w:r w:rsidR="002D45B4">
        <w:rPr>
          <w:rFonts w:cstheme="minorHAnsi"/>
          <w:bCs/>
        </w:rPr>
        <w:t xml:space="preserve"> a</w:t>
      </w:r>
      <w:r w:rsidR="00CC646D">
        <w:rPr>
          <w:rFonts w:cstheme="minorHAnsi"/>
          <w:bCs/>
        </w:rPr>
        <w:t xml:space="preserve"> complex interaction with acute and primary health care systems and </w:t>
      </w:r>
      <w:r w:rsidR="00313389">
        <w:rPr>
          <w:rFonts w:cstheme="minorHAnsi"/>
          <w:bCs/>
        </w:rPr>
        <w:t xml:space="preserve">have </w:t>
      </w:r>
      <w:r w:rsidR="00CC646D">
        <w:rPr>
          <w:rFonts w:cstheme="minorHAnsi"/>
          <w:bCs/>
        </w:rPr>
        <w:t>establish</w:t>
      </w:r>
      <w:r w:rsidR="00313389">
        <w:rPr>
          <w:rFonts w:cstheme="minorHAnsi"/>
          <w:bCs/>
        </w:rPr>
        <w:t>ed</w:t>
      </w:r>
      <w:r w:rsidR="00CC646D">
        <w:rPr>
          <w:rFonts w:cstheme="minorHAnsi"/>
          <w:bCs/>
        </w:rPr>
        <w:t xml:space="preserve"> a nationally consistent service offering in the urgent care ecosystem which has not been achieved previously. </w:t>
      </w:r>
      <w:r w:rsidR="00313389">
        <w:rPr>
          <w:rFonts w:cstheme="minorHAnsi"/>
          <w:bCs/>
        </w:rPr>
        <w:t>As such,</w:t>
      </w:r>
      <w:r w:rsidR="00CC646D">
        <w:rPr>
          <w:rFonts w:cstheme="minorHAnsi"/>
          <w:bCs/>
        </w:rPr>
        <w:t xml:space="preserve"> consultation </w:t>
      </w:r>
      <w:r w:rsidR="00313389">
        <w:rPr>
          <w:rFonts w:cstheme="minorHAnsi"/>
          <w:bCs/>
        </w:rPr>
        <w:t xml:space="preserve">has been </w:t>
      </w:r>
      <w:r w:rsidR="00CC646D">
        <w:rPr>
          <w:rFonts w:cstheme="minorHAnsi"/>
          <w:bCs/>
        </w:rPr>
        <w:t xml:space="preserve">essential to ensure appropriate and effective integration and positive patient experience. </w:t>
      </w:r>
      <w:r w:rsidR="005549EE">
        <w:rPr>
          <w:rFonts w:cstheme="minorHAnsi"/>
          <w:bCs/>
        </w:rPr>
        <w:t xml:space="preserve">Key themes from stakeholder engagement include </w:t>
      </w:r>
      <w:r w:rsidR="004F554D">
        <w:rPr>
          <w:rFonts w:cstheme="minorHAnsi"/>
          <w:bCs/>
        </w:rPr>
        <w:t>workforce flexibility, program costs and opportunities to strengthen system integration.</w:t>
      </w:r>
    </w:p>
    <w:p w14:paraId="267D308E" w14:textId="77777777" w:rsidR="00313389" w:rsidRDefault="00313389" w:rsidP="00CC646D">
      <w:pPr>
        <w:spacing w:after="0"/>
        <w:rPr>
          <w:rFonts w:cstheme="minorHAnsi"/>
          <w:bCs/>
        </w:rPr>
      </w:pPr>
    </w:p>
    <w:p w14:paraId="18FA3D2D" w14:textId="51890B0D" w:rsidR="00560198" w:rsidRPr="00560198" w:rsidRDefault="00FD3DE9" w:rsidP="00560198">
      <w:pPr>
        <w:spacing w:after="0"/>
        <w:rPr>
          <w:rFonts w:cstheme="minorHAnsi"/>
        </w:rPr>
      </w:pPr>
      <w:r>
        <w:rPr>
          <w:rFonts w:cstheme="minorHAnsi"/>
          <w:bCs/>
        </w:rPr>
        <w:t xml:space="preserve">During early phases of development, </w:t>
      </w:r>
      <w:r w:rsidR="00824B7D">
        <w:rPr>
          <w:rFonts w:cstheme="minorHAnsi"/>
          <w:bCs/>
        </w:rPr>
        <w:t>the department regularly and extensively engaged</w:t>
      </w:r>
      <w:r w:rsidR="00CC646D" w:rsidRPr="009A0292">
        <w:rPr>
          <w:rFonts w:cstheme="minorHAnsi"/>
          <w:bCs/>
        </w:rPr>
        <w:t xml:space="preserve"> with state and territory governments and PHNs</w:t>
      </w:r>
      <w:r w:rsidR="00824B7D">
        <w:rPr>
          <w:rFonts w:cstheme="minorHAnsi"/>
          <w:bCs/>
        </w:rPr>
        <w:t xml:space="preserve">, as well as </w:t>
      </w:r>
      <w:proofErr w:type="gramStart"/>
      <w:r w:rsidR="00824B7D">
        <w:rPr>
          <w:rFonts w:cstheme="minorHAnsi"/>
          <w:bCs/>
        </w:rPr>
        <w:t>a number of</w:t>
      </w:r>
      <w:proofErr w:type="gramEnd"/>
      <w:r w:rsidR="00824B7D">
        <w:rPr>
          <w:rFonts w:cstheme="minorHAnsi"/>
          <w:bCs/>
        </w:rPr>
        <w:t xml:space="preserve"> peak health bodies on the planning and establishment of Medicare UCCs</w:t>
      </w:r>
      <w:r w:rsidR="00CC646D" w:rsidRPr="009A0292">
        <w:rPr>
          <w:rFonts w:cstheme="minorHAnsi"/>
          <w:bCs/>
        </w:rPr>
        <w:t xml:space="preserve">. </w:t>
      </w:r>
      <w:r w:rsidR="00560198">
        <w:rPr>
          <w:rFonts w:cstheme="minorHAnsi"/>
          <w:bCs/>
        </w:rPr>
        <w:t xml:space="preserve">For example, the </w:t>
      </w:r>
      <w:r w:rsidR="00560198" w:rsidRPr="00560198">
        <w:rPr>
          <w:rFonts w:cstheme="minorHAnsi"/>
          <w:bCs/>
          <w:i/>
          <w:iCs/>
        </w:rPr>
        <w:t>UCC Senior Official Advisory Group (SOAG)</w:t>
      </w:r>
      <w:r w:rsidR="00560198">
        <w:rPr>
          <w:rFonts w:cstheme="minorHAnsi"/>
          <w:b/>
        </w:rPr>
        <w:t xml:space="preserve"> </w:t>
      </w:r>
      <w:r w:rsidR="00560198" w:rsidRPr="00560198">
        <w:rPr>
          <w:rFonts w:cstheme="minorHAnsi"/>
          <w:bCs/>
        </w:rPr>
        <w:t xml:space="preserve">was established as a time-limited advisory body to discuss the design and implementation of the Medicare UCCs across all states and territories. It was not a decision-making body but instead facilitated collaborative and open discussion on the initiative and </w:t>
      </w:r>
      <w:r w:rsidR="00560198" w:rsidRPr="00560198">
        <w:rPr>
          <w:rFonts w:cs="Arial"/>
          <w:szCs w:val="22"/>
        </w:rPr>
        <w:t>support</w:t>
      </w:r>
      <w:r w:rsidR="008F3994">
        <w:rPr>
          <w:rFonts w:cs="Arial"/>
          <w:szCs w:val="22"/>
        </w:rPr>
        <w:t>ed</w:t>
      </w:r>
      <w:r w:rsidR="00560198" w:rsidRPr="00560198">
        <w:rPr>
          <w:rFonts w:cs="Arial"/>
          <w:szCs w:val="22"/>
        </w:rPr>
        <w:t xml:space="preserve"> national consistency of approach in implementation</w:t>
      </w:r>
      <w:r w:rsidR="00560198" w:rsidRPr="00560198">
        <w:rPr>
          <w:rFonts w:cstheme="minorHAnsi"/>
          <w:bCs/>
        </w:rPr>
        <w:t xml:space="preserve">. Membership included representatives from all state and territory health departments and was chaired by the Deputy Secretary of the Australian Department of Health and Aged Care (now Department of Health, Disability and Ageing), Primary and Community Care Group. Key outcomes of this committee include endorsement of the Medicare UCC program’s Measures of Success and the Medicare UCC Operational Guidance, which have been fundamental to the program’s implementation. </w:t>
      </w:r>
    </w:p>
    <w:p w14:paraId="2D93D0B9" w14:textId="395BA1DF" w:rsidR="00560198" w:rsidRDefault="00560198" w:rsidP="000E169B">
      <w:pPr>
        <w:spacing w:after="0"/>
        <w:rPr>
          <w:rFonts w:cstheme="minorHAnsi"/>
        </w:rPr>
      </w:pPr>
    </w:p>
    <w:p w14:paraId="498FB89C" w14:textId="046ABEFE" w:rsidR="002F783C" w:rsidRDefault="00560198" w:rsidP="24A6D885">
      <w:pPr>
        <w:spacing w:after="0"/>
        <w:rPr>
          <w:rFonts w:cstheme="minorHAnsi"/>
        </w:rPr>
      </w:pPr>
      <w:r>
        <w:rPr>
          <w:rFonts w:cstheme="minorHAnsi"/>
        </w:rPr>
        <w:t xml:space="preserve">Throughout program implementation, </w:t>
      </w:r>
      <w:r w:rsidR="00457D62">
        <w:rPr>
          <w:rFonts w:cstheme="minorHAnsi"/>
        </w:rPr>
        <w:t xml:space="preserve">engagement </w:t>
      </w:r>
      <w:r w:rsidR="00F66214">
        <w:rPr>
          <w:rFonts w:cstheme="minorHAnsi"/>
        </w:rPr>
        <w:t xml:space="preserve">with key stakeholders has </w:t>
      </w:r>
      <w:r w:rsidR="00457D62">
        <w:rPr>
          <w:rFonts w:cstheme="minorHAnsi"/>
        </w:rPr>
        <w:t xml:space="preserve">occurred </w:t>
      </w:r>
      <w:r w:rsidR="0044035E">
        <w:rPr>
          <w:rFonts w:cstheme="minorHAnsi"/>
        </w:rPr>
        <w:t xml:space="preserve">via </w:t>
      </w:r>
      <w:r w:rsidR="00C16251">
        <w:rPr>
          <w:rFonts w:cstheme="minorHAnsi"/>
        </w:rPr>
        <w:t xml:space="preserve">governance committees, </w:t>
      </w:r>
      <w:r w:rsidR="005903CE">
        <w:rPr>
          <w:rFonts w:cstheme="minorHAnsi"/>
        </w:rPr>
        <w:t>working groups and bilateral meetings</w:t>
      </w:r>
      <w:r w:rsidR="00F66214">
        <w:rPr>
          <w:rFonts w:cstheme="minorHAnsi"/>
        </w:rPr>
        <w:t xml:space="preserve"> to seek views on design and implementation elements, as well as </w:t>
      </w:r>
      <w:r w:rsidR="009751F6">
        <w:rPr>
          <w:rFonts w:cstheme="minorHAnsi"/>
        </w:rPr>
        <w:t>continuous improvement</w:t>
      </w:r>
      <w:r w:rsidR="004B5583">
        <w:rPr>
          <w:rFonts w:cstheme="minorHAnsi"/>
        </w:rPr>
        <w:t xml:space="preserve">. </w:t>
      </w:r>
      <w:r w:rsidR="002F783C">
        <w:rPr>
          <w:rFonts w:cstheme="minorHAnsi"/>
        </w:rPr>
        <w:t>A summary of governance</w:t>
      </w:r>
      <w:r w:rsidR="000445EB">
        <w:rPr>
          <w:rFonts w:cstheme="minorHAnsi"/>
        </w:rPr>
        <w:t xml:space="preserve"> committees </w:t>
      </w:r>
      <w:r w:rsidR="002F783C">
        <w:rPr>
          <w:rFonts w:cstheme="minorHAnsi"/>
        </w:rPr>
        <w:t>include</w:t>
      </w:r>
      <w:r w:rsidR="00B0440A">
        <w:rPr>
          <w:rFonts w:cstheme="minorHAnsi"/>
        </w:rPr>
        <w:t>s</w:t>
      </w:r>
      <w:r w:rsidR="002F783C">
        <w:rPr>
          <w:rFonts w:cstheme="minorHAnsi"/>
        </w:rPr>
        <w:t>, but not limited to:</w:t>
      </w:r>
    </w:p>
    <w:p w14:paraId="27741730" w14:textId="283E6718" w:rsidR="00CC646D" w:rsidRPr="0083384D" w:rsidRDefault="78866A18" w:rsidP="002F783C">
      <w:pPr>
        <w:pStyle w:val="ListParagraph"/>
        <w:numPr>
          <w:ilvl w:val="0"/>
          <w:numId w:val="39"/>
        </w:numPr>
        <w:spacing w:after="0"/>
      </w:pPr>
      <w:r w:rsidRPr="0005366D">
        <w:rPr>
          <w:i/>
        </w:rPr>
        <w:t>Medicare UCC Operational Advisory Group</w:t>
      </w:r>
      <w:r w:rsidRPr="0083384D">
        <w:t>, a</w:t>
      </w:r>
      <w:r w:rsidR="3CCB4141" w:rsidRPr="0083384D">
        <w:t xml:space="preserve">n advisory </w:t>
      </w:r>
      <w:r w:rsidR="0083384D" w:rsidRPr="0083384D">
        <w:t>committee</w:t>
      </w:r>
      <w:r w:rsidR="3CCB4141" w:rsidRPr="0083384D">
        <w:t xml:space="preserve"> to facilitate expert discussion on the implementation of the Medicare U</w:t>
      </w:r>
      <w:r w:rsidR="4638CD71" w:rsidRPr="0083384D">
        <w:t xml:space="preserve">CC Program. Membership includes representatives from state and territory health departments, PHNs, and </w:t>
      </w:r>
      <w:r w:rsidR="450739F1" w:rsidRPr="0083384D">
        <w:t xml:space="preserve">peak </w:t>
      </w:r>
      <w:r w:rsidR="0CA54807" w:rsidRPr="0083384D">
        <w:t xml:space="preserve">health </w:t>
      </w:r>
      <w:r w:rsidR="450739F1" w:rsidRPr="0083384D">
        <w:t xml:space="preserve">bodies. </w:t>
      </w:r>
    </w:p>
    <w:p w14:paraId="61A1F031" w14:textId="6D8B8944" w:rsidR="0083384D" w:rsidRPr="0083384D" w:rsidRDefault="0083384D" w:rsidP="0083384D">
      <w:pPr>
        <w:pStyle w:val="ListParagraph"/>
        <w:numPr>
          <w:ilvl w:val="0"/>
          <w:numId w:val="39"/>
        </w:numPr>
        <w:spacing w:after="0"/>
      </w:pPr>
      <w:r w:rsidRPr="0005366D">
        <w:rPr>
          <w:i/>
        </w:rPr>
        <w:t>Medicare UCC Community of Practice</w:t>
      </w:r>
      <w:r w:rsidRPr="0083384D">
        <w:t>, a national platform for knowledge sharing, experiences and strategies for successful establishment and delivery of the Medicare UCC program. Membership is offered to all staff including - those working in Medicare UCCs, Providers, PHN and jurisdictional officials.</w:t>
      </w:r>
    </w:p>
    <w:p w14:paraId="638E74F0" w14:textId="6B5FDB69" w:rsidR="0005366D" w:rsidRPr="0083384D" w:rsidRDefault="0005366D">
      <w:pPr>
        <w:pStyle w:val="ListParagraph"/>
        <w:numPr>
          <w:ilvl w:val="0"/>
          <w:numId w:val="39"/>
        </w:numPr>
        <w:spacing w:after="0"/>
      </w:pPr>
      <w:r>
        <w:rPr>
          <w:i/>
          <w:iCs/>
        </w:rPr>
        <w:t xml:space="preserve">Strengthening Medicare Implementation Oversight Committee, </w:t>
      </w:r>
      <w:r w:rsidR="000534B7">
        <w:t xml:space="preserve">an overarching advisory </w:t>
      </w:r>
      <w:r w:rsidR="00E13489">
        <w:t xml:space="preserve">committee </w:t>
      </w:r>
      <w:r w:rsidR="00845C92">
        <w:t>c</w:t>
      </w:r>
      <w:r w:rsidR="00672CE2">
        <w:t xml:space="preserve">omprising senior leaders and representatives from across the healthcare </w:t>
      </w:r>
      <w:r w:rsidR="00672CE2">
        <w:lastRenderedPageBreak/>
        <w:t>sector, and provide strategic advice on implementation, monitoring and evaluation of strengthening Medicare measures, which includes Medicare UCCs.</w:t>
      </w:r>
    </w:p>
    <w:p w14:paraId="620710F5" w14:textId="1C4E8BF9" w:rsidR="631438B5" w:rsidRDefault="631438B5" w:rsidP="631438B5">
      <w:pPr>
        <w:spacing w:after="0"/>
        <w:rPr>
          <w:rFonts w:cs="Arial"/>
          <w:color w:val="FF0000"/>
        </w:rPr>
      </w:pPr>
    </w:p>
    <w:p w14:paraId="0D350EE7" w14:textId="1869CD6F" w:rsidR="00A9452E" w:rsidRDefault="00CC646D" w:rsidP="7E4E189F">
      <w:pPr>
        <w:spacing w:after="0"/>
      </w:pPr>
      <w:r w:rsidRPr="7E4E189F">
        <w:rPr>
          <w:rFonts w:cs="Arial"/>
        </w:rPr>
        <w:t xml:space="preserve">The </w:t>
      </w:r>
      <w:r w:rsidR="00191B90">
        <w:rPr>
          <w:rFonts w:cs="Arial"/>
        </w:rPr>
        <w:t>d</w:t>
      </w:r>
      <w:r w:rsidRPr="7E4E189F">
        <w:rPr>
          <w:rFonts w:cs="Arial"/>
        </w:rPr>
        <w:t xml:space="preserve">epartment </w:t>
      </w:r>
      <w:r w:rsidR="004B5583" w:rsidRPr="7E4E189F">
        <w:rPr>
          <w:rFonts w:cs="Arial"/>
        </w:rPr>
        <w:t xml:space="preserve">also uses </w:t>
      </w:r>
      <w:r w:rsidRPr="7E4E189F">
        <w:rPr>
          <w:rFonts w:cs="Arial"/>
        </w:rPr>
        <w:t>regular bilateral discussions with each state and territory health department</w:t>
      </w:r>
      <w:r w:rsidR="008F3994">
        <w:rPr>
          <w:rFonts w:cs="Arial"/>
        </w:rPr>
        <w:t xml:space="preserve"> and</w:t>
      </w:r>
      <w:r w:rsidR="004B5583" w:rsidRPr="7E4E189F">
        <w:rPr>
          <w:rFonts w:cs="Arial"/>
        </w:rPr>
        <w:t xml:space="preserve"> PHN</w:t>
      </w:r>
      <w:r w:rsidR="00211FD9" w:rsidRPr="7E4E189F">
        <w:rPr>
          <w:rFonts w:cs="Arial"/>
        </w:rPr>
        <w:t xml:space="preserve"> commissioners</w:t>
      </w:r>
      <w:r w:rsidRPr="7E4E189F">
        <w:rPr>
          <w:rFonts w:cs="Arial"/>
        </w:rPr>
        <w:t xml:space="preserve"> to discuss local level issues relevant to the implementation of the initiative. </w:t>
      </w:r>
    </w:p>
    <w:p w14:paraId="174D9135" w14:textId="66D1F150" w:rsidR="7E4E189F" w:rsidRDefault="7E4E189F" w:rsidP="7E4E189F">
      <w:pPr>
        <w:spacing w:after="0"/>
        <w:rPr>
          <w:rFonts w:cs="Arial"/>
        </w:rPr>
      </w:pPr>
    </w:p>
    <w:p w14:paraId="294B583E" w14:textId="4C1A51A2" w:rsidR="00E70673" w:rsidRPr="00E70673" w:rsidRDefault="5A388B97" w:rsidP="00374DE3">
      <w:r w:rsidRPr="7E4E189F">
        <w:rPr>
          <w:rFonts w:cs="Arial"/>
        </w:rPr>
        <w:t>An evaluation of the Medicare UCC program is underway based on Measures of Success that were developed and agreed by the Commonwealth, and state and territory governments. The evaluat</w:t>
      </w:r>
      <w:r w:rsidR="0C2EEF90" w:rsidRPr="7E4E189F">
        <w:rPr>
          <w:rFonts w:cs="Arial"/>
        </w:rPr>
        <w:t xml:space="preserve">ors are </w:t>
      </w:r>
      <w:r w:rsidR="557CF6A7" w:rsidRPr="7E4E189F">
        <w:rPr>
          <w:rFonts w:cs="Arial"/>
        </w:rPr>
        <w:t xml:space="preserve">engaging with </w:t>
      </w:r>
      <w:proofErr w:type="gramStart"/>
      <w:r w:rsidR="557CF6A7" w:rsidRPr="7E4E189F">
        <w:rPr>
          <w:rFonts w:cs="Arial"/>
        </w:rPr>
        <w:t>a number of</w:t>
      </w:r>
      <w:proofErr w:type="gramEnd"/>
      <w:r w:rsidR="557CF6A7" w:rsidRPr="7E4E189F">
        <w:rPr>
          <w:rFonts w:cs="Arial"/>
        </w:rPr>
        <w:t xml:space="preserve"> stakeholders including Medicare UCC Commissioners, Medicare UCC Providers, Medicare UCC Operational Advisory Groups, Peak Health Bodies, staff and patients. </w:t>
      </w:r>
    </w:p>
    <w:p w14:paraId="5A5FF0E3" w14:textId="77777777" w:rsidR="0010253B" w:rsidRPr="00A5309F" w:rsidRDefault="0010253B" w:rsidP="00A5309F">
      <w:pPr>
        <w:pStyle w:val="Heading3"/>
      </w:pPr>
      <w:bookmarkStart w:id="76" w:name="_Toc212110394"/>
      <w:r w:rsidRPr="00A5309F">
        <w:t>Principle views of stakeholders</w:t>
      </w:r>
      <w:bookmarkEnd w:id="76"/>
      <w:r w:rsidRPr="00A5309F">
        <w:t xml:space="preserve"> </w:t>
      </w:r>
    </w:p>
    <w:p w14:paraId="3EEFEC13" w14:textId="055F70F5" w:rsidR="00560198" w:rsidRPr="00A5309F" w:rsidRDefault="00D94F10" w:rsidP="00A5309F">
      <w:pPr>
        <w:pStyle w:val="Heading4"/>
      </w:pPr>
      <w:r w:rsidRPr="00A5309F">
        <w:t xml:space="preserve">State and territory governments </w:t>
      </w:r>
    </w:p>
    <w:p w14:paraId="1025AA15" w14:textId="1532A7D1" w:rsidR="00EA6AF8" w:rsidRPr="00EA6AF8" w:rsidRDefault="009B45AC" w:rsidP="00EA6AF8">
      <w:pPr>
        <w:spacing w:after="0"/>
        <w:rPr>
          <w:rFonts w:cstheme="minorHAnsi"/>
          <w:bCs/>
        </w:rPr>
      </w:pPr>
      <w:r>
        <w:rPr>
          <w:rFonts w:cstheme="minorHAnsi"/>
          <w:bCs/>
        </w:rPr>
        <w:t>Given the intersection</w:t>
      </w:r>
      <w:r w:rsidR="008F2ADE">
        <w:rPr>
          <w:rFonts w:cstheme="minorHAnsi"/>
          <w:bCs/>
        </w:rPr>
        <w:t xml:space="preserve"> of the Medicare UCC program</w:t>
      </w:r>
      <w:r>
        <w:rPr>
          <w:rFonts w:cstheme="minorHAnsi"/>
          <w:bCs/>
        </w:rPr>
        <w:t xml:space="preserve"> goal to ease pressure off hospital </w:t>
      </w:r>
      <w:r w:rsidR="00A8046C">
        <w:rPr>
          <w:rFonts w:cstheme="minorHAnsi"/>
          <w:bCs/>
        </w:rPr>
        <w:t>EDs</w:t>
      </w:r>
      <w:r>
        <w:rPr>
          <w:rFonts w:cstheme="minorHAnsi"/>
          <w:bCs/>
        </w:rPr>
        <w:t>,</w:t>
      </w:r>
      <w:r w:rsidR="00EA6AF8">
        <w:rPr>
          <w:rFonts w:cstheme="minorHAnsi"/>
          <w:bCs/>
        </w:rPr>
        <w:t xml:space="preserve"> the </w:t>
      </w:r>
      <w:r w:rsidR="004C1035">
        <w:rPr>
          <w:rFonts w:cstheme="minorHAnsi"/>
          <w:bCs/>
        </w:rPr>
        <w:t>d</w:t>
      </w:r>
      <w:r w:rsidR="00EA6AF8">
        <w:rPr>
          <w:rFonts w:cstheme="minorHAnsi"/>
          <w:bCs/>
        </w:rPr>
        <w:t xml:space="preserve">epartment has worked closely with state and territory </w:t>
      </w:r>
      <w:r w:rsidR="003B0829">
        <w:rPr>
          <w:rFonts w:cstheme="minorHAnsi"/>
          <w:bCs/>
        </w:rPr>
        <w:t>health departments</w:t>
      </w:r>
      <w:r w:rsidR="00EA6AF8">
        <w:rPr>
          <w:rFonts w:cstheme="minorHAnsi"/>
          <w:bCs/>
        </w:rPr>
        <w:t xml:space="preserve"> to support the planning and implementation of the Medicare UCC progra</w:t>
      </w:r>
      <w:r w:rsidR="003B0829">
        <w:rPr>
          <w:rFonts w:cstheme="minorHAnsi"/>
          <w:bCs/>
        </w:rPr>
        <w:t xml:space="preserve">m. Some jurisdictions have </w:t>
      </w:r>
      <w:r w:rsidR="008F2ADE">
        <w:rPr>
          <w:rFonts w:cstheme="minorHAnsi"/>
          <w:bCs/>
        </w:rPr>
        <w:t xml:space="preserve">co-funded Medicare UCCs </w:t>
      </w:r>
      <w:proofErr w:type="gramStart"/>
      <w:r w:rsidR="008F2ADE">
        <w:rPr>
          <w:rFonts w:cstheme="minorHAnsi"/>
          <w:bCs/>
        </w:rPr>
        <w:t>and also</w:t>
      </w:r>
      <w:proofErr w:type="gramEnd"/>
      <w:r w:rsidR="008F2ADE">
        <w:rPr>
          <w:rFonts w:cstheme="minorHAnsi"/>
          <w:bCs/>
        </w:rPr>
        <w:t xml:space="preserve"> acted as commissioners of certain Medicare UCCs via </w:t>
      </w:r>
      <w:r w:rsidR="00A8046C">
        <w:rPr>
          <w:rFonts w:cstheme="minorHAnsi"/>
          <w:bCs/>
        </w:rPr>
        <w:t xml:space="preserve">Federation </w:t>
      </w:r>
      <w:r w:rsidR="008F2ADE">
        <w:rPr>
          <w:rFonts w:cstheme="minorHAnsi"/>
          <w:bCs/>
        </w:rPr>
        <w:t>Funding Agreements</w:t>
      </w:r>
      <w:r w:rsidR="005B6B38">
        <w:rPr>
          <w:rFonts w:cstheme="minorHAnsi"/>
          <w:bCs/>
        </w:rPr>
        <w:t xml:space="preserve">; more than </w:t>
      </w:r>
      <w:r w:rsidR="004C1035">
        <w:rPr>
          <w:rFonts w:cstheme="minorHAnsi"/>
          <w:bCs/>
        </w:rPr>
        <w:t>25</w:t>
      </w:r>
      <w:r w:rsidR="005B6B38">
        <w:rPr>
          <w:rFonts w:cstheme="minorHAnsi"/>
          <w:bCs/>
        </w:rPr>
        <w:t xml:space="preserve"> state-funded UCCs in Victoria and New South Wales have already </w:t>
      </w:r>
      <w:r w:rsidR="00840126">
        <w:rPr>
          <w:rFonts w:cstheme="minorHAnsi"/>
          <w:bCs/>
        </w:rPr>
        <w:t>transitioned to the Medicare UCC program.</w:t>
      </w:r>
      <w:r w:rsidR="008F2ADE">
        <w:rPr>
          <w:rFonts w:cstheme="minorHAnsi"/>
          <w:bCs/>
        </w:rPr>
        <w:t xml:space="preserve"> </w:t>
      </w:r>
      <w:r>
        <w:rPr>
          <w:rFonts w:cstheme="minorHAnsi"/>
          <w:bCs/>
        </w:rPr>
        <w:t xml:space="preserve">National Cabinet, a </w:t>
      </w:r>
      <w:r w:rsidR="00100272">
        <w:rPr>
          <w:rFonts w:cstheme="minorHAnsi"/>
          <w:bCs/>
        </w:rPr>
        <w:t>forum comprising of the Prime Minister, Premiers and Chief Ministers, in December 2023</w:t>
      </w:r>
      <w:r w:rsidR="006106A3">
        <w:rPr>
          <w:rFonts w:cstheme="minorHAnsi"/>
          <w:bCs/>
        </w:rPr>
        <w:t xml:space="preserve"> agreed to a package of measures </w:t>
      </w:r>
      <w:r w:rsidR="00E81998">
        <w:rPr>
          <w:rFonts w:cstheme="minorHAnsi"/>
          <w:bCs/>
        </w:rPr>
        <w:t>to take pressure of</w:t>
      </w:r>
      <w:r w:rsidR="00F62C51">
        <w:rPr>
          <w:rFonts w:cstheme="minorHAnsi"/>
          <w:bCs/>
        </w:rPr>
        <w:t>f</w:t>
      </w:r>
      <w:r w:rsidR="00E81998">
        <w:rPr>
          <w:rFonts w:cstheme="minorHAnsi"/>
          <w:bCs/>
        </w:rPr>
        <w:t xml:space="preserve"> hospitals, which included </w:t>
      </w:r>
      <w:r w:rsidR="00B85964">
        <w:rPr>
          <w:rFonts w:cstheme="minorHAnsi"/>
          <w:bCs/>
        </w:rPr>
        <w:t>boosted funding for Medicare UCCs.</w:t>
      </w:r>
      <w:r w:rsidR="00B85964">
        <w:rPr>
          <w:rStyle w:val="FootnoteReference"/>
          <w:rFonts w:cstheme="minorHAnsi"/>
          <w:bCs/>
        </w:rPr>
        <w:footnoteReference w:id="48"/>
      </w:r>
      <w:r w:rsidR="00F241CD">
        <w:rPr>
          <w:rFonts w:cstheme="minorHAnsi"/>
          <w:bCs/>
        </w:rPr>
        <w:t xml:space="preserve"> Further support was provided part of the Strengthening Medicare measures supported in the 2024-25 Budget to expand the program with a further 29 Medicare UCCs.</w:t>
      </w:r>
    </w:p>
    <w:p w14:paraId="22B7B5CA" w14:textId="3F171A99" w:rsidR="003F78C9" w:rsidRPr="00A5309F" w:rsidRDefault="003F78C9" w:rsidP="00A5309F">
      <w:pPr>
        <w:pStyle w:val="Heading4"/>
      </w:pPr>
      <w:r w:rsidRPr="00A5309F">
        <w:t>Primary Health Networks</w:t>
      </w:r>
    </w:p>
    <w:p w14:paraId="354E8DF7" w14:textId="77777777" w:rsidR="0041213B" w:rsidRDefault="00A46222" w:rsidP="0041213B">
      <w:pPr>
        <w:spacing w:after="0"/>
        <w:rPr>
          <w:rFonts w:cstheme="minorHAnsi"/>
        </w:rPr>
      </w:pPr>
      <w:r>
        <w:rPr>
          <w:rFonts w:cstheme="minorHAnsi"/>
        </w:rPr>
        <w:t>PHNs are independent, not-for-profit organisations that commission health services to meet the needs</w:t>
      </w:r>
      <w:r w:rsidR="00753A92">
        <w:rPr>
          <w:rFonts w:cstheme="minorHAnsi"/>
        </w:rPr>
        <w:t xml:space="preserve"> of their community </w:t>
      </w:r>
      <w:r w:rsidR="002E6A59">
        <w:rPr>
          <w:rFonts w:cstheme="minorHAnsi"/>
        </w:rPr>
        <w:t xml:space="preserve">and as </w:t>
      </w:r>
      <w:r w:rsidR="007C70E6">
        <w:rPr>
          <w:rFonts w:cstheme="minorHAnsi"/>
        </w:rPr>
        <w:t xml:space="preserve">commissioners of Medicare UCCs, </w:t>
      </w:r>
      <w:r w:rsidR="00626EBC">
        <w:rPr>
          <w:rFonts w:cstheme="minorHAnsi"/>
        </w:rPr>
        <w:t xml:space="preserve">are key delivery partners for the Medicare UCC </w:t>
      </w:r>
      <w:r w:rsidR="001C66FA">
        <w:rPr>
          <w:rFonts w:cstheme="minorHAnsi"/>
        </w:rPr>
        <w:t>program</w:t>
      </w:r>
      <w:r w:rsidR="00626EBC">
        <w:rPr>
          <w:rFonts w:cstheme="minorHAnsi"/>
        </w:rPr>
        <w:t>.</w:t>
      </w:r>
      <w:r w:rsidR="001C66FA">
        <w:rPr>
          <w:rFonts w:cstheme="minorHAnsi"/>
        </w:rPr>
        <w:t xml:space="preserve"> </w:t>
      </w:r>
      <w:r w:rsidR="008B6AB1">
        <w:rPr>
          <w:rFonts w:cstheme="minorHAnsi"/>
        </w:rPr>
        <w:t xml:space="preserve">PHNs </w:t>
      </w:r>
      <w:r w:rsidR="00A1564E">
        <w:rPr>
          <w:rFonts w:cstheme="minorHAnsi"/>
        </w:rPr>
        <w:t>play an important role to directly commission the establis</w:t>
      </w:r>
      <w:r w:rsidR="0041213B">
        <w:rPr>
          <w:rFonts w:cstheme="minorHAnsi"/>
        </w:rPr>
        <w:t>h</w:t>
      </w:r>
      <w:r w:rsidR="00A1564E">
        <w:rPr>
          <w:rFonts w:cstheme="minorHAnsi"/>
        </w:rPr>
        <w:t xml:space="preserve">ment of </w:t>
      </w:r>
      <w:r w:rsidR="0041213B">
        <w:rPr>
          <w:rFonts w:cstheme="minorHAnsi"/>
        </w:rPr>
        <w:t xml:space="preserve">Medicare UCCs in their regions and support Medicare UCCs on an ongoing basis, including communication activities and ensuring integration of Medicare UCCs into the local primary health care system. </w:t>
      </w:r>
    </w:p>
    <w:p w14:paraId="584E433D" w14:textId="77777777" w:rsidR="00004A28" w:rsidRPr="00A5309F" w:rsidRDefault="00C55C83" w:rsidP="00A5309F">
      <w:pPr>
        <w:pStyle w:val="Heading4"/>
      </w:pPr>
      <w:r w:rsidRPr="00A5309F">
        <w:t xml:space="preserve">Peak health bodies </w:t>
      </w:r>
    </w:p>
    <w:p w14:paraId="642F1E69" w14:textId="7D0D7DF1" w:rsidR="00004A28" w:rsidRDefault="39D0DA14" w:rsidP="00004A28">
      <w:pPr>
        <w:spacing w:after="0"/>
        <w:rPr>
          <w:rFonts w:cstheme="minorHAnsi"/>
          <w:b/>
        </w:rPr>
      </w:pPr>
      <w:r>
        <w:t>Given the intersections of the Medicare UCC program with the b</w:t>
      </w:r>
      <w:r w:rsidR="12E5BCF1">
        <w:t>roader health system</w:t>
      </w:r>
      <w:r>
        <w:t xml:space="preserve"> the </w:t>
      </w:r>
      <w:r w:rsidR="00191B90">
        <w:t>d</w:t>
      </w:r>
      <w:r>
        <w:t xml:space="preserve">epartment </w:t>
      </w:r>
      <w:r w:rsidR="3B7EF687">
        <w:t>engages</w:t>
      </w:r>
      <w:r>
        <w:t xml:space="preserve"> with peak bodies to support the </w:t>
      </w:r>
      <w:r w:rsidR="77277C0A">
        <w:t xml:space="preserve">implementation of the Medicare UCC Program. </w:t>
      </w:r>
      <w:r w:rsidR="00FB029D" w:rsidRPr="00FB029D">
        <w:t xml:space="preserve">There are varying views between </w:t>
      </w:r>
      <w:r w:rsidR="00FB029D">
        <w:t>p</w:t>
      </w:r>
      <w:r w:rsidR="00DE815B" w:rsidRPr="00931A57">
        <w:t xml:space="preserve">eak health bodies </w:t>
      </w:r>
      <w:r w:rsidR="00FB029D">
        <w:t>with respect to</w:t>
      </w:r>
      <w:r w:rsidR="00DE815B" w:rsidRPr="00931A57">
        <w:t xml:space="preserve"> the Medicare UCC </w:t>
      </w:r>
      <w:r w:rsidR="00FB029D">
        <w:t>p</w:t>
      </w:r>
      <w:r w:rsidR="00DE815B" w:rsidRPr="00931A57">
        <w:t>rogram</w:t>
      </w:r>
      <w:r w:rsidR="029319A7" w:rsidRPr="00931A57">
        <w:t xml:space="preserve">. </w:t>
      </w:r>
    </w:p>
    <w:p w14:paraId="0C15A7D4" w14:textId="77777777" w:rsidR="00004A28" w:rsidRDefault="00004A28" w:rsidP="00004A28">
      <w:pPr>
        <w:spacing w:after="0"/>
        <w:rPr>
          <w:rFonts w:cstheme="minorHAnsi"/>
          <w:b/>
        </w:rPr>
      </w:pPr>
    </w:p>
    <w:p w14:paraId="7FB31A4A" w14:textId="429575B8" w:rsidR="00293260" w:rsidRDefault="00FB029D" w:rsidP="00004A28">
      <w:pPr>
        <w:spacing w:after="0"/>
      </w:pPr>
      <w:r>
        <w:t>Nursing</w:t>
      </w:r>
      <w:r w:rsidR="001D595F">
        <w:t xml:space="preserve"> peak</w:t>
      </w:r>
      <w:r>
        <w:t xml:space="preserve"> </w:t>
      </w:r>
      <w:r w:rsidR="7968B787">
        <w:t>health bodies</w:t>
      </w:r>
      <w:r w:rsidR="001D595F">
        <w:t xml:space="preserve">, including </w:t>
      </w:r>
      <w:r w:rsidR="00D67490">
        <w:t>the Australian College of Nurses</w:t>
      </w:r>
      <w:r w:rsidR="7968B787">
        <w:t xml:space="preserve"> highlighted that nursing staff are essential to the operations of the Medicare UCCs</w:t>
      </w:r>
      <w:r w:rsidR="6288C488">
        <w:t xml:space="preserve"> and</w:t>
      </w:r>
      <w:r w:rsidR="7968B787">
        <w:t xml:space="preserve"> have called for an expanded role of advanced practice nurses and nurse practitioner</w:t>
      </w:r>
      <w:r w:rsidR="00AD1DE9">
        <w:t>s</w:t>
      </w:r>
      <w:r w:rsidR="7968B787">
        <w:t xml:space="preserve"> in urgent care settings</w:t>
      </w:r>
      <w:r w:rsidR="006423BF">
        <w:t xml:space="preserve"> to support workforce </w:t>
      </w:r>
      <w:r w:rsidR="00763D3C">
        <w:t>pressures</w:t>
      </w:r>
      <w:r w:rsidR="7968B787">
        <w:t xml:space="preserve">. </w:t>
      </w:r>
    </w:p>
    <w:p w14:paraId="02E99BC7" w14:textId="77777777" w:rsidR="00293260" w:rsidRDefault="00293260" w:rsidP="00004A28">
      <w:pPr>
        <w:spacing w:after="0"/>
      </w:pPr>
    </w:p>
    <w:p w14:paraId="2F3BD62D" w14:textId="2C9B775E" w:rsidR="00C968D0" w:rsidRDefault="00F53A68" w:rsidP="00004A28">
      <w:pPr>
        <w:spacing w:after="0"/>
      </w:pPr>
      <w:r w:rsidRPr="00374DE3">
        <w:t xml:space="preserve">The </w:t>
      </w:r>
      <w:r w:rsidR="00D0188F" w:rsidRPr="00374DE3">
        <w:t>Australasian College of Paramedicine</w:t>
      </w:r>
      <w:r w:rsidR="00C968D0" w:rsidRPr="00C968D0">
        <w:t xml:space="preserve"> ha</w:t>
      </w:r>
      <w:r w:rsidR="007D6271">
        <w:t>s</w:t>
      </w:r>
      <w:r w:rsidR="00C968D0" w:rsidRPr="00C968D0">
        <w:t xml:space="preserve"> also highlighted the increasing role paramedics can play in the urgent care model of care, given their experience in triage and early management. Following detailed engagement and in response to this feedback, updates to the Medicare UCC Operational Guidance have included changes to staffing model to enable paramedics to play a more active role in Medicare UCC service delivery.</w:t>
      </w:r>
    </w:p>
    <w:p w14:paraId="0F88A966" w14:textId="77777777" w:rsidR="00C968D0" w:rsidRDefault="00C968D0" w:rsidP="00004A28">
      <w:pPr>
        <w:spacing w:after="0"/>
      </w:pPr>
    </w:p>
    <w:p w14:paraId="5D8B51A6" w14:textId="52368C24" w:rsidR="00004A28" w:rsidRDefault="00293260" w:rsidP="00004A28">
      <w:pPr>
        <w:spacing w:after="0"/>
      </w:pPr>
      <w:r>
        <w:t xml:space="preserve">Some medical </w:t>
      </w:r>
      <w:r w:rsidR="0CCFAEA3">
        <w:t>peak bodies</w:t>
      </w:r>
      <w:r w:rsidR="00A634EC">
        <w:t xml:space="preserve"> such as RACGP</w:t>
      </w:r>
      <w:r w:rsidR="0CCFAEA3">
        <w:t xml:space="preserve"> have</w:t>
      </w:r>
      <w:r w:rsidR="009B4E9F">
        <w:t xml:space="preserve"> been previously</w:t>
      </w:r>
      <w:r w:rsidR="0CCFAEA3">
        <w:t xml:space="preserve"> critic</w:t>
      </w:r>
      <w:r w:rsidR="009B4E9F">
        <w:t>al</w:t>
      </w:r>
      <w:r w:rsidR="0CCFAEA3">
        <w:t xml:space="preserve"> </w:t>
      </w:r>
      <w:r w:rsidR="00085481">
        <w:t xml:space="preserve">of </w:t>
      </w:r>
      <w:r w:rsidR="0CCFAEA3">
        <w:t>the Medicare UCC Program, citing concerns over cost</w:t>
      </w:r>
      <w:r w:rsidR="73C48C5C">
        <w:t>-effectiveness</w:t>
      </w:r>
      <w:r w:rsidR="00CF30B5">
        <w:t xml:space="preserve"> when compared to general practice</w:t>
      </w:r>
      <w:r w:rsidR="0CCFAEA3">
        <w:t xml:space="preserve">, </w:t>
      </w:r>
      <w:r w:rsidR="00543FA3">
        <w:t>potential</w:t>
      </w:r>
      <w:r w:rsidR="0028740E">
        <w:t xml:space="preserve"> to fu</w:t>
      </w:r>
      <w:r w:rsidR="006423BF">
        <w:t>r</w:t>
      </w:r>
      <w:r w:rsidR="0028740E">
        <w:t xml:space="preserve">ther exacerbate </w:t>
      </w:r>
      <w:r w:rsidR="0CCFAEA3">
        <w:t>GP workforce pressures, fragmentation</w:t>
      </w:r>
      <w:r w:rsidR="411A1E4B">
        <w:t xml:space="preserve"> of care</w:t>
      </w:r>
      <w:r w:rsidR="0CCFAEA3">
        <w:t>, continuity of care and further roll-out without an evaluation.</w:t>
      </w:r>
      <w:r w:rsidR="6C11C8D3">
        <w:t xml:space="preserve"> </w:t>
      </w:r>
      <w:r w:rsidR="009D00B9">
        <w:t xml:space="preserve">The department is cognisant of these concerns and is working on </w:t>
      </w:r>
      <w:proofErr w:type="gramStart"/>
      <w:r w:rsidR="009D00B9">
        <w:t>a number of</w:t>
      </w:r>
      <w:proofErr w:type="gramEnd"/>
      <w:r w:rsidR="009D00B9">
        <w:t xml:space="preserve"> initiatives to address broader workforce challenges. Given the pressure already on the general practice sector, it is not feasible to divert all urgent care to general practice, and cost analysis undertaken to date demonstrate health system cost savings when compared to ED. More recently, RACGP have acknowledged </w:t>
      </w:r>
      <w:r w:rsidR="00AD1DE9">
        <w:t xml:space="preserve">Medicare </w:t>
      </w:r>
      <w:r w:rsidR="009D00B9">
        <w:t>UCCs as a growing part of the Australian health care landscape, with many members working in clinics, and committed to advocating for maintained focus on primary care and establishment of clear standards.</w:t>
      </w:r>
      <w:r w:rsidR="009D00B9">
        <w:rPr>
          <w:rStyle w:val="FootnoteReference"/>
        </w:rPr>
        <w:footnoteReference w:id="49"/>
      </w:r>
    </w:p>
    <w:p w14:paraId="4E8C9CDD" w14:textId="77777777" w:rsidR="00004A28" w:rsidRDefault="00004A28" w:rsidP="00004A28">
      <w:pPr>
        <w:spacing w:after="0"/>
        <w:rPr>
          <w:rFonts w:cstheme="minorHAnsi"/>
          <w:b/>
        </w:rPr>
      </w:pPr>
    </w:p>
    <w:p w14:paraId="70A47CE8" w14:textId="7F32DEE4" w:rsidR="007D6271" w:rsidRDefault="00C13170" w:rsidP="00004A28">
      <w:pPr>
        <w:spacing w:after="0"/>
      </w:pPr>
      <w:r>
        <w:t>Irrespective of the principle views, t</w:t>
      </w:r>
      <w:r w:rsidR="6DA42474">
        <w:t xml:space="preserve">he </w:t>
      </w:r>
      <w:r>
        <w:t>d</w:t>
      </w:r>
      <w:r w:rsidR="6DA42474">
        <w:t>epartment</w:t>
      </w:r>
      <w:r>
        <w:t xml:space="preserve"> continues to</w:t>
      </w:r>
      <w:r w:rsidR="6DA42474">
        <w:t xml:space="preserve"> regularly engage with peak health bodies </w:t>
      </w:r>
      <w:r w:rsidR="28ABE5EA">
        <w:t>(including RACGP, A</w:t>
      </w:r>
      <w:r w:rsidR="004C154C">
        <w:t xml:space="preserve">ustralian </w:t>
      </w:r>
      <w:r w:rsidR="28ABE5EA">
        <w:t>M</w:t>
      </w:r>
      <w:r w:rsidR="004C154C">
        <w:t>edical Association</w:t>
      </w:r>
      <w:r w:rsidR="28ABE5EA">
        <w:t>, A</w:t>
      </w:r>
      <w:r w:rsidR="002060BA">
        <w:t xml:space="preserve">ustralian </w:t>
      </w:r>
      <w:r w:rsidR="28ABE5EA">
        <w:t>C</w:t>
      </w:r>
      <w:r w:rsidR="002060BA">
        <w:t>ollege</w:t>
      </w:r>
      <w:r w:rsidR="00FB3338">
        <w:t xml:space="preserve"> </w:t>
      </w:r>
      <w:r w:rsidR="0046071C">
        <w:t xml:space="preserve">of </w:t>
      </w:r>
      <w:r w:rsidR="00400AA4">
        <w:t>R</w:t>
      </w:r>
      <w:r w:rsidR="0046071C">
        <w:t>ural</w:t>
      </w:r>
      <w:r w:rsidR="00773E19">
        <w:t xml:space="preserve"> and Remote </w:t>
      </w:r>
      <w:r w:rsidR="28ABE5EA">
        <w:t>M</w:t>
      </w:r>
      <w:r w:rsidR="00773E19">
        <w:t>edicine</w:t>
      </w:r>
      <w:r w:rsidR="28ABE5EA">
        <w:t>, A</w:t>
      </w:r>
      <w:r w:rsidR="00612E05">
        <w:t xml:space="preserve">ustralian </w:t>
      </w:r>
      <w:r w:rsidR="28ABE5EA">
        <w:t>C</w:t>
      </w:r>
      <w:r w:rsidR="00612E05">
        <w:t xml:space="preserve">ollege for </w:t>
      </w:r>
      <w:r w:rsidR="28ABE5EA">
        <w:t>E</w:t>
      </w:r>
      <w:r w:rsidR="00612E05">
        <w:t>mer</w:t>
      </w:r>
      <w:r w:rsidR="00193F74">
        <w:t xml:space="preserve">gency </w:t>
      </w:r>
      <w:r w:rsidR="28ABE5EA">
        <w:t>M</w:t>
      </w:r>
      <w:r w:rsidR="00193F74">
        <w:t>edicine</w:t>
      </w:r>
      <w:r w:rsidR="28ABE5EA">
        <w:t>, and R</w:t>
      </w:r>
      <w:r w:rsidR="00DA7485">
        <w:t xml:space="preserve">oyal </w:t>
      </w:r>
      <w:r w:rsidR="28ABE5EA">
        <w:t>N</w:t>
      </w:r>
      <w:r w:rsidR="00DA7485">
        <w:t xml:space="preserve">ew </w:t>
      </w:r>
      <w:r w:rsidR="28ABE5EA">
        <w:t>Z</w:t>
      </w:r>
      <w:r w:rsidR="00DA7485">
        <w:t xml:space="preserve">ealand </w:t>
      </w:r>
      <w:r w:rsidR="28ABE5EA">
        <w:t>C</w:t>
      </w:r>
      <w:r w:rsidR="00BC5656">
        <w:t xml:space="preserve">ollege of </w:t>
      </w:r>
      <w:r w:rsidR="28ABE5EA">
        <w:t>U</w:t>
      </w:r>
      <w:r w:rsidR="00BC5656">
        <w:t xml:space="preserve">rgent </w:t>
      </w:r>
      <w:r w:rsidR="28ABE5EA">
        <w:t>C</w:t>
      </w:r>
      <w:r w:rsidR="00BC5656">
        <w:t>are</w:t>
      </w:r>
      <w:r w:rsidR="28ABE5EA">
        <w:t xml:space="preserve">) </w:t>
      </w:r>
      <w:r w:rsidR="6DA42474">
        <w:t>through the Medicare UCC Operational Advisory Group and as part of other policy and program developments</w:t>
      </w:r>
      <w:r w:rsidR="00B2477E">
        <w:t>,</w:t>
      </w:r>
      <w:r w:rsidR="6DA42474">
        <w:t xml:space="preserve"> for example the Medicare UCC Operational Guidance Review.</w:t>
      </w:r>
      <w:r w:rsidR="009655F5">
        <w:t xml:space="preserve"> </w:t>
      </w:r>
      <w:r w:rsidR="00D43858">
        <w:t>Program improvements</w:t>
      </w:r>
      <w:r w:rsidR="00AD1DE9">
        <w:t xml:space="preserve">, </w:t>
      </w:r>
      <w:proofErr w:type="gramStart"/>
      <w:r w:rsidR="00AD1DE9">
        <w:t>as a result of</w:t>
      </w:r>
      <w:proofErr w:type="gramEnd"/>
      <w:r w:rsidR="00AD1DE9">
        <w:t xml:space="preserve"> stakeholder engagement,</w:t>
      </w:r>
      <w:r w:rsidR="00D43858">
        <w:t xml:space="preserve"> have </w:t>
      </w:r>
      <w:r w:rsidR="00E77261">
        <w:t>included greater</w:t>
      </w:r>
      <w:r w:rsidR="00D43858">
        <w:t xml:space="preserve"> flexibility</w:t>
      </w:r>
      <w:r w:rsidR="00E77261">
        <w:t xml:space="preserve"> in the minimum staffing requirements</w:t>
      </w:r>
      <w:r w:rsidR="002E069C">
        <w:t xml:space="preserve">, </w:t>
      </w:r>
      <w:r w:rsidR="00F84AEE">
        <w:t>an uplift in requirements for clinical handover and discharge summaries to be provided to a patient’s usual GP</w:t>
      </w:r>
      <w:r w:rsidR="0047791E">
        <w:t>, and improving triage and demand management requirements.</w:t>
      </w:r>
      <w:r w:rsidR="00D43858">
        <w:t xml:space="preserve"> </w:t>
      </w:r>
      <w:r w:rsidR="009655F5">
        <w:t>Feedback and consultation with peaks aim to ensure implementation of the program is optimised.</w:t>
      </w:r>
    </w:p>
    <w:p w14:paraId="30534EF9" w14:textId="77777777" w:rsidR="007D6271" w:rsidRDefault="007D6271" w:rsidP="00004A28">
      <w:pPr>
        <w:spacing w:after="0"/>
      </w:pPr>
    </w:p>
    <w:p w14:paraId="53AA580A" w14:textId="7CEC832B" w:rsidR="00004A28" w:rsidRDefault="00004A28" w:rsidP="00374DE3">
      <w:pPr>
        <w:spacing w:after="0"/>
      </w:pPr>
      <w:r>
        <w:t xml:space="preserve">An evaluation of the Medicare UCC program is underway based on the </w:t>
      </w:r>
      <w:r w:rsidR="007D6271">
        <w:t>nine</w:t>
      </w:r>
      <w:r>
        <w:t xml:space="preserve"> Measures of Success that were develop</w:t>
      </w:r>
      <w:r w:rsidR="00945A35">
        <w:t>ed</w:t>
      </w:r>
      <w:r>
        <w:t xml:space="preserve"> and agreed by the Commonwealth, and state and territory governments. As part of the Second Interim and Final Evaluation Reports peak health bodies are being consulted to gain their insights on the Medicare UCC Program and opportunities for improvement.</w:t>
      </w:r>
    </w:p>
    <w:p w14:paraId="304A5234" w14:textId="77777777" w:rsidR="00004A28" w:rsidRPr="00594CCF" w:rsidRDefault="00004A28" w:rsidP="00594CCF">
      <w:pPr>
        <w:pStyle w:val="Heading4"/>
      </w:pPr>
      <w:r w:rsidRPr="00594CCF">
        <w:lastRenderedPageBreak/>
        <w:t xml:space="preserve">Patients and consumers </w:t>
      </w:r>
    </w:p>
    <w:p w14:paraId="7594D3C1" w14:textId="69FDC060" w:rsidR="00004A28" w:rsidRDefault="00004A28" w:rsidP="00004A28">
      <w:pPr>
        <w:keepNext/>
        <w:keepLines/>
        <w:spacing w:after="0"/>
        <w:rPr>
          <w:rFonts w:cstheme="minorHAnsi"/>
        </w:rPr>
      </w:pPr>
      <w:r>
        <w:rPr>
          <w:rFonts w:cstheme="minorHAnsi"/>
        </w:rPr>
        <w:t xml:space="preserve">Beyond engagement with consumer representatives via existing governance committees such as the Strengthening Medicare Implementation Oversight Committee, there has been limited </w:t>
      </w:r>
      <w:r w:rsidRPr="00931A57">
        <w:t xml:space="preserve">direct </w:t>
      </w:r>
      <w:r>
        <w:rPr>
          <w:rFonts w:cstheme="minorHAnsi"/>
        </w:rPr>
        <w:t xml:space="preserve">consultation with patients and consumers in the design and implementation of the Medicare UCC program to date, including in the </w:t>
      </w:r>
      <w:r w:rsidRPr="006715C6">
        <w:rPr>
          <w:rFonts w:cstheme="minorHAnsi"/>
        </w:rPr>
        <w:t>First Interim Report</w:t>
      </w:r>
      <w:r>
        <w:rPr>
          <w:rFonts w:cstheme="minorHAnsi"/>
        </w:rPr>
        <w:t>. Limited early insights from the</w:t>
      </w:r>
      <w:r w:rsidR="003E01D5">
        <w:rPr>
          <w:rFonts w:cstheme="minorHAnsi"/>
        </w:rPr>
        <w:t xml:space="preserve"> </w:t>
      </w:r>
      <w:r w:rsidR="000B7A5C">
        <w:rPr>
          <w:rFonts w:cstheme="minorHAnsi"/>
        </w:rPr>
        <w:t xml:space="preserve">Interim Evaluation Report </w:t>
      </w:r>
      <w:r>
        <w:rPr>
          <w:rFonts w:cstheme="minorHAnsi"/>
        </w:rPr>
        <w:t xml:space="preserve">include </w:t>
      </w:r>
      <w:r w:rsidRPr="006715C6">
        <w:rPr>
          <w:rFonts w:cstheme="minorHAnsi"/>
        </w:rPr>
        <w:t>patients valu</w:t>
      </w:r>
      <w:r>
        <w:rPr>
          <w:rFonts w:cstheme="minorHAnsi"/>
        </w:rPr>
        <w:t>e</w:t>
      </w:r>
      <w:r w:rsidRPr="006715C6">
        <w:rPr>
          <w:rFonts w:cstheme="minorHAnsi"/>
        </w:rPr>
        <w:t xml:space="preserve"> having an alternative to ED, appreciated avoiding extended waits in ED, and receiving care that is </w:t>
      </w:r>
      <w:r w:rsidR="00112F1C" w:rsidRPr="006715C6">
        <w:rPr>
          <w:rFonts w:cstheme="minorHAnsi"/>
        </w:rPr>
        <w:t>bulk billed</w:t>
      </w:r>
      <w:r w:rsidRPr="006715C6">
        <w:rPr>
          <w:rFonts w:cstheme="minorHAnsi"/>
        </w:rPr>
        <w:t xml:space="preserve">. </w:t>
      </w:r>
    </w:p>
    <w:p w14:paraId="18F70D49" w14:textId="77777777" w:rsidR="00037E9A" w:rsidRDefault="00037E9A" w:rsidP="00004A28">
      <w:pPr>
        <w:keepNext/>
        <w:keepLines/>
        <w:spacing w:after="0"/>
        <w:rPr>
          <w:rFonts w:cstheme="minorHAnsi"/>
        </w:rPr>
      </w:pPr>
    </w:p>
    <w:p w14:paraId="0C8E75FA" w14:textId="27A7135D" w:rsidR="00037E9A" w:rsidRDefault="000562EF" w:rsidP="00B267C5">
      <w:pPr>
        <w:keepNext/>
        <w:keepLines/>
        <w:pBdr>
          <w:top w:val="single" w:sz="12" w:space="1" w:color="3F6080" w:themeColor="text1" w:themeTint="BF"/>
          <w:bottom w:val="single" w:sz="12" w:space="1" w:color="3F6080" w:themeColor="text1" w:themeTint="BF"/>
        </w:pBdr>
        <w:spacing w:after="0"/>
        <w:rPr>
          <w:rFonts w:cstheme="minorHAnsi"/>
          <w:i/>
          <w:color w:val="3F6080" w:themeColor="text1" w:themeTint="BF"/>
        </w:rPr>
      </w:pPr>
      <w:r w:rsidRPr="00B267C5">
        <w:rPr>
          <w:rFonts w:cstheme="minorHAnsi"/>
          <w:b/>
          <w:i/>
          <w:color w:val="3F6080" w:themeColor="text1" w:themeTint="BF"/>
        </w:rPr>
        <w:t>Patient story:</w:t>
      </w:r>
      <w:r w:rsidRPr="00B267C5">
        <w:rPr>
          <w:rFonts w:cstheme="minorHAnsi"/>
          <w:i/>
          <w:color w:val="3F6080" w:themeColor="text1" w:themeTint="BF"/>
        </w:rPr>
        <w:t xml:space="preserve"> An 18-month-old boy was brought into a Medicare UCC in NT by his mother with a deteriorating urinary tract infection and fever. They were the first patients to arrive at the clinic and were welcomed in by staff. They were seen promptly by the GP who they had also seen at a nearby GP super clinic on occasions. The mother stated that the GP was excellent with her son and her. He provided a thorough assessment and was very calming to her unwell child. He allowed appropriate time between different parts of the assessment to gain her son’s trust. He allowed her to talk through what she had done to date to manage her son’s condition and made some recommendations for further medications. Most importantly, the GP reassured her that being there was the right thing to do and that if they needed to return later in the day, he welcomed it and would review her son again. The mother stated it was overall an excellent service with a thorough GP who allowed them to return home comfortably with a great plan of action.</w:t>
      </w:r>
    </w:p>
    <w:p w14:paraId="757537F3" w14:textId="7275D761" w:rsidR="00006475" w:rsidRPr="00B267C5" w:rsidRDefault="00006475" w:rsidP="00B267C5">
      <w:pPr>
        <w:keepNext/>
        <w:keepLines/>
        <w:pBdr>
          <w:top w:val="single" w:sz="12" w:space="1" w:color="3F6080" w:themeColor="text1" w:themeTint="BF"/>
          <w:bottom w:val="single" w:sz="12" w:space="1" w:color="3F6080" w:themeColor="text1" w:themeTint="BF"/>
        </w:pBdr>
        <w:spacing w:after="0"/>
        <w:rPr>
          <w:rFonts w:cstheme="minorHAnsi"/>
          <w:i/>
          <w:color w:val="3F6080" w:themeColor="text1" w:themeTint="BF"/>
        </w:rPr>
      </w:pPr>
      <w:r>
        <w:rPr>
          <w:rFonts w:cstheme="minorHAnsi"/>
          <w:i/>
          <w:color w:val="3F6080" w:themeColor="text1" w:themeTint="BF"/>
        </w:rPr>
        <w:tab/>
      </w:r>
      <w:r w:rsidRPr="00006475">
        <w:rPr>
          <w:rFonts w:cstheme="minorHAnsi"/>
          <w:i/>
          <w:color w:val="3F6080" w:themeColor="text1" w:themeTint="BF"/>
        </w:rPr>
        <w:t>Medicare Urgent Care Clinics Program Evaluation: First Interim Report. (2025)</w:t>
      </w:r>
    </w:p>
    <w:p w14:paraId="1ABCA46D" w14:textId="77777777" w:rsidR="00862B65" w:rsidRDefault="00862B65" w:rsidP="00004A28">
      <w:pPr>
        <w:keepNext/>
        <w:keepLines/>
        <w:spacing w:after="0"/>
        <w:rPr>
          <w:rFonts w:cstheme="minorHAnsi"/>
        </w:rPr>
      </w:pPr>
    </w:p>
    <w:p w14:paraId="698C86F3" w14:textId="045518BB" w:rsidR="00004A28" w:rsidRPr="00CC743B" w:rsidRDefault="000B7A5C" w:rsidP="00004A28">
      <w:pPr>
        <w:keepNext/>
        <w:keepLines/>
        <w:spacing w:after="0"/>
        <w:rPr>
          <w:rFonts w:cstheme="minorHAnsi"/>
        </w:rPr>
      </w:pPr>
      <w:r>
        <w:rPr>
          <w:rFonts w:cstheme="minorHAnsi"/>
        </w:rPr>
        <w:t xml:space="preserve">This </w:t>
      </w:r>
      <w:r>
        <w:t>h</w:t>
      </w:r>
      <w:r w:rsidR="00004A28" w:rsidRPr="00931A57">
        <w:t>ighligh</w:t>
      </w:r>
      <w:r>
        <w:t>ts</w:t>
      </w:r>
      <w:r w:rsidR="00004A28" w:rsidRPr="00931A57">
        <w:t xml:space="preserve"> </w:t>
      </w:r>
      <w:r>
        <w:t>an</w:t>
      </w:r>
      <w:r w:rsidR="00004A28" w:rsidRPr="00CC743B">
        <w:rPr>
          <w:rFonts w:cstheme="minorHAnsi"/>
        </w:rPr>
        <w:t xml:space="preserve"> opportunity for clinics to enhance their communications to the community about local Medicare UCC service offerings, for example, opening hours of affiliated diagnostic imaging services, and the distinction between fee structures at the Medicare UCC and co-located services.</w:t>
      </w:r>
    </w:p>
    <w:p w14:paraId="612B42B1" w14:textId="77777777" w:rsidR="00004A28" w:rsidRPr="00004A28" w:rsidRDefault="00004A28" w:rsidP="00CC646D">
      <w:pPr>
        <w:keepNext/>
        <w:keepLines/>
        <w:spacing w:after="0"/>
        <w:rPr>
          <w:rFonts w:cstheme="minorHAnsi"/>
          <w:b/>
        </w:rPr>
      </w:pPr>
    </w:p>
    <w:p w14:paraId="5ABEAED4" w14:textId="5430ABFF" w:rsidR="003832E7" w:rsidRDefault="00107201" w:rsidP="00CC646D">
      <w:pPr>
        <w:keepNext/>
        <w:keepLines/>
        <w:spacing w:after="0"/>
        <w:rPr>
          <w:rFonts w:cstheme="minorHAnsi"/>
        </w:rPr>
      </w:pPr>
      <w:r>
        <w:rPr>
          <w:rFonts w:cstheme="minorHAnsi"/>
          <w:bCs/>
        </w:rPr>
        <w:t xml:space="preserve">Anecdotally, the Australian public are supportive of the Medicare UCC program. This is evident in </w:t>
      </w:r>
      <w:r w:rsidR="006E1030">
        <w:rPr>
          <w:rFonts w:cstheme="minorHAnsi"/>
          <w:bCs/>
        </w:rPr>
        <w:t xml:space="preserve">the </w:t>
      </w:r>
      <w:r w:rsidR="006B3524">
        <w:rPr>
          <w:rFonts w:cstheme="minorHAnsi"/>
          <w:bCs/>
        </w:rPr>
        <w:t>2</w:t>
      </w:r>
      <w:r w:rsidRPr="00931A57">
        <w:rPr>
          <w:rFonts w:cstheme="minorHAnsi"/>
          <w:bCs/>
        </w:rPr>
        <w:t xml:space="preserve"> million</w:t>
      </w:r>
      <w:r>
        <w:rPr>
          <w:rFonts w:cstheme="minorHAnsi"/>
          <w:bCs/>
        </w:rPr>
        <w:t xml:space="preserve"> presentations </w:t>
      </w:r>
      <w:r w:rsidR="00A96082">
        <w:rPr>
          <w:rFonts w:cstheme="minorHAnsi"/>
          <w:bCs/>
        </w:rPr>
        <w:t xml:space="preserve">to </w:t>
      </w:r>
      <w:r w:rsidR="00AF705A">
        <w:rPr>
          <w:rFonts w:cstheme="minorHAnsi"/>
          <w:bCs/>
        </w:rPr>
        <w:t xml:space="preserve">Medicare UCCs around Australia </w:t>
      </w:r>
      <w:r w:rsidR="00F11383">
        <w:rPr>
          <w:rFonts w:cstheme="minorHAnsi"/>
          <w:bCs/>
        </w:rPr>
        <w:t>since clinics first opened in June 202</w:t>
      </w:r>
      <w:r w:rsidR="00F818C4">
        <w:rPr>
          <w:rFonts w:cstheme="minorHAnsi"/>
          <w:bCs/>
        </w:rPr>
        <w:t>3</w:t>
      </w:r>
      <w:r w:rsidR="00F11383">
        <w:rPr>
          <w:rFonts w:cstheme="minorHAnsi"/>
          <w:bCs/>
        </w:rPr>
        <w:t>.</w:t>
      </w:r>
      <w:r>
        <w:rPr>
          <w:rFonts w:cstheme="minorHAnsi"/>
          <w:bCs/>
        </w:rPr>
        <w:t xml:space="preserve"> </w:t>
      </w:r>
      <w:r w:rsidR="00CC4675">
        <w:rPr>
          <w:rFonts w:cstheme="minorHAnsi"/>
          <w:bCs/>
        </w:rPr>
        <w:t>Additional</w:t>
      </w:r>
      <w:r w:rsidR="00F54C39">
        <w:rPr>
          <w:rFonts w:cstheme="minorHAnsi"/>
          <w:bCs/>
        </w:rPr>
        <w:t xml:space="preserve"> Medicare UCCs </w:t>
      </w:r>
      <w:proofErr w:type="gramStart"/>
      <w:r w:rsidR="00F54C39">
        <w:rPr>
          <w:rFonts w:cstheme="minorHAnsi"/>
          <w:bCs/>
        </w:rPr>
        <w:t>were</w:t>
      </w:r>
      <w:proofErr w:type="gramEnd"/>
      <w:r w:rsidR="00F54C39">
        <w:rPr>
          <w:rFonts w:cstheme="minorHAnsi"/>
          <w:bCs/>
        </w:rPr>
        <w:t xml:space="preserve"> </w:t>
      </w:r>
      <w:r w:rsidR="00CC4675">
        <w:rPr>
          <w:rFonts w:cstheme="minorHAnsi"/>
          <w:bCs/>
        </w:rPr>
        <w:t xml:space="preserve">also promised as </w:t>
      </w:r>
      <w:r w:rsidR="002C1017">
        <w:rPr>
          <w:rFonts w:cstheme="minorHAnsi"/>
          <w:bCs/>
        </w:rPr>
        <w:t xml:space="preserve">a key election commitment </w:t>
      </w:r>
      <w:r w:rsidR="00CC4675">
        <w:rPr>
          <w:rFonts w:cstheme="minorHAnsi"/>
          <w:bCs/>
        </w:rPr>
        <w:t xml:space="preserve">in </w:t>
      </w:r>
      <w:r w:rsidR="003D3F86">
        <w:rPr>
          <w:rFonts w:cstheme="minorHAnsi"/>
        </w:rPr>
        <w:t xml:space="preserve">the </w:t>
      </w:r>
      <w:r w:rsidR="00CC4675">
        <w:rPr>
          <w:rFonts w:cstheme="minorHAnsi"/>
          <w:bCs/>
        </w:rPr>
        <w:t>lead up to</w:t>
      </w:r>
      <w:r w:rsidR="003D3F86">
        <w:rPr>
          <w:rFonts w:cstheme="minorHAnsi"/>
        </w:rPr>
        <w:t xml:space="preserve"> the </w:t>
      </w:r>
      <w:r w:rsidR="00CC4675">
        <w:rPr>
          <w:rFonts w:cstheme="minorHAnsi"/>
          <w:bCs/>
        </w:rPr>
        <w:t>May 2025 Federal election.</w:t>
      </w:r>
      <w:r w:rsidR="00CC4675">
        <w:rPr>
          <w:rStyle w:val="FootnoteReference"/>
          <w:rFonts w:cstheme="minorHAnsi"/>
          <w:bCs/>
        </w:rPr>
        <w:footnoteReference w:id="50"/>
      </w:r>
      <w:r w:rsidR="00CC4675">
        <w:rPr>
          <w:rFonts w:cstheme="minorHAnsi"/>
          <w:bCs/>
        </w:rPr>
        <w:t xml:space="preserve"> </w:t>
      </w:r>
      <w:r w:rsidR="00950F8F">
        <w:rPr>
          <w:rFonts w:cstheme="minorHAnsi"/>
        </w:rPr>
        <w:t xml:space="preserve"> </w:t>
      </w:r>
    </w:p>
    <w:p w14:paraId="664D5CF3" w14:textId="77777777" w:rsidR="00DF2282" w:rsidRDefault="00DF2282" w:rsidP="00CC646D">
      <w:pPr>
        <w:keepNext/>
        <w:keepLines/>
        <w:spacing w:after="0"/>
        <w:rPr>
          <w:rFonts w:cstheme="minorHAnsi"/>
        </w:rPr>
      </w:pPr>
    </w:p>
    <w:p w14:paraId="64F3CFC4" w14:textId="3252F7CA" w:rsidR="00DF2282" w:rsidRPr="00DF2282" w:rsidRDefault="007E6A2F" w:rsidP="00CC646D">
      <w:pPr>
        <w:keepNext/>
        <w:keepLines/>
        <w:spacing w:after="0"/>
        <w:rPr>
          <w:rFonts w:cstheme="minorHAnsi"/>
        </w:rPr>
      </w:pPr>
      <w:r>
        <w:rPr>
          <w:rFonts w:cstheme="minorHAnsi"/>
        </w:rPr>
        <w:t xml:space="preserve">The </w:t>
      </w:r>
      <w:r w:rsidR="00AD1DE9">
        <w:rPr>
          <w:rFonts w:cstheme="minorHAnsi"/>
        </w:rPr>
        <w:t>d</w:t>
      </w:r>
      <w:r>
        <w:rPr>
          <w:rFonts w:cstheme="minorHAnsi"/>
        </w:rPr>
        <w:t xml:space="preserve">epartment has </w:t>
      </w:r>
      <w:proofErr w:type="gramStart"/>
      <w:r>
        <w:rPr>
          <w:rFonts w:cstheme="minorHAnsi"/>
        </w:rPr>
        <w:t>a number of</w:t>
      </w:r>
      <w:proofErr w:type="gramEnd"/>
      <w:r>
        <w:rPr>
          <w:rFonts w:cstheme="minorHAnsi"/>
        </w:rPr>
        <w:t xml:space="preserve"> </w:t>
      </w:r>
      <w:r w:rsidR="002E2DA2">
        <w:rPr>
          <w:rFonts w:cstheme="minorHAnsi"/>
        </w:rPr>
        <w:t xml:space="preserve">initiatives in place that will support improved consultation and feedback with patients and consumers, which will be used to support broader program improvements </w:t>
      </w:r>
      <w:r w:rsidR="00872A43">
        <w:rPr>
          <w:rFonts w:cstheme="minorHAnsi"/>
        </w:rPr>
        <w:t>within the current funding envelope. These initiatives include:</w:t>
      </w:r>
    </w:p>
    <w:p w14:paraId="5CC3B715" w14:textId="5115A5F1" w:rsidR="00872A43" w:rsidRPr="00872A43" w:rsidRDefault="008B54FD" w:rsidP="00872A43">
      <w:pPr>
        <w:pStyle w:val="ListParagraph"/>
        <w:keepNext/>
        <w:keepLines/>
        <w:numPr>
          <w:ilvl w:val="0"/>
          <w:numId w:val="38"/>
        </w:numPr>
        <w:spacing w:after="0"/>
        <w:rPr>
          <w:rFonts w:cstheme="minorHAnsi"/>
        </w:rPr>
      </w:pPr>
      <w:r w:rsidRPr="000D6B95">
        <w:rPr>
          <w:rFonts w:cstheme="minorHAnsi"/>
          <w:u w:val="single"/>
        </w:rPr>
        <w:t>Consumer roundtable</w:t>
      </w:r>
      <w:r>
        <w:rPr>
          <w:rFonts w:cstheme="minorHAnsi"/>
        </w:rPr>
        <w:t xml:space="preserve"> </w:t>
      </w:r>
      <w:r w:rsidR="007A3240">
        <w:rPr>
          <w:rFonts w:cstheme="minorHAnsi"/>
        </w:rPr>
        <w:t xml:space="preserve">– the </w:t>
      </w:r>
      <w:r w:rsidR="00EB072D">
        <w:rPr>
          <w:rFonts w:cstheme="minorHAnsi"/>
        </w:rPr>
        <w:t>d</w:t>
      </w:r>
      <w:r w:rsidR="007A3240">
        <w:rPr>
          <w:rFonts w:cstheme="minorHAnsi"/>
        </w:rPr>
        <w:t xml:space="preserve">epartment has </w:t>
      </w:r>
      <w:r w:rsidR="00B372FF">
        <w:rPr>
          <w:rFonts w:cstheme="minorHAnsi"/>
        </w:rPr>
        <w:t>engaged</w:t>
      </w:r>
      <w:r w:rsidR="007A3240">
        <w:rPr>
          <w:rFonts w:cstheme="minorHAnsi"/>
        </w:rPr>
        <w:t xml:space="preserve"> the Consumers Health Forum of Australia (CHF) </w:t>
      </w:r>
      <w:r w:rsidR="00112F1C">
        <w:rPr>
          <w:rFonts w:cstheme="minorHAnsi"/>
        </w:rPr>
        <w:t>on</w:t>
      </w:r>
      <w:r w:rsidR="00EB072D">
        <w:rPr>
          <w:rFonts w:cstheme="minorHAnsi"/>
        </w:rPr>
        <w:t xml:space="preserve"> </w:t>
      </w:r>
      <w:r w:rsidR="007A3240">
        <w:rPr>
          <w:rFonts w:cstheme="minorHAnsi"/>
        </w:rPr>
        <w:t>19 September 2025</w:t>
      </w:r>
      <w:r w:rsidR="00EB072D">
        <w:rPr>
          <w:rFonts w:cstheme="minorHAnsi"/>
        </w:rPr>
        <w:t xml:space="preserve"> for </w:t>
      </w:r>
      <w:r w:rsidR="009C54D9">
        <w:rPr>
          <w:rFonts w:cstheme="minorHAnsi"/>
        </w:rPr>
        <w:t xml:space="preserve">a </w:t>
      </w:r>
      <w:r w:rsidR="00EB072D">
        <w:rPr>
          <w:rFonts w:cstheme="minorHAnsi"/>
        </w:rPr>
        <w:t>roundtable</w:t>
      </w:r>
      <w:r w:rsidR="00646105">
        <w:rPr>
          <w:rFonts w:cstheme="minorHAnsi"/>
        </w:rPr>
        <w:t xml:space="preserve"> to gather consumer insights on accessing urgent care services, </w:t>
      </w:r>
      <w:proofErr w:type="gramStart"/>
      <w:r w:rsidR="00646105">
        <w:rPr>
          <w:rFonts w:cstheme="minorHAnsi"/>
        </w:rPr>
        <w:t>i</w:t>
      </w:r>
      <w:r w:rsidR="006C3E2D">
        <w:rPr>
          <w:rFonts w:cstheme="minorHAnsi"/>
        </w:rPr>
        <w:t>n particular</w:t>
      </w:r>
      <w:proofErr w:type="gramEnd"/>
      <w:r w:rsidR="006C3E2D">
        <w:rPr>
          <w:rFonts w:cstheme="minorHAnsi"/>
        </w:rPr>
        <w:t xml:space="preserve"> Medicare UCCs</w:t>
      </w:r>
      <w:r w:rsidR="00694C46">
        <w:rPr>
          <w:rFonts w:cstheme="minorHAnsi"/>
        </w:rPr>
        <w:t>.</w:t>
      </w:r>
    </w:p>
    <w:p w14:paraId="417139CB" w14:textId="0819B5CC" w:rsidR="00D12178" w:rsidRDefault="00154550" w:rsidP="00872A43">
      <w:pPr>
        <w:pStyle w:val="ListParagraph"/>
        <w:keepNext/>
        <w:keepLines/>
        <w:numPr>
          <w:ilvl w:val="0"/>
          <w:numId w:val="38"/>
        </w:numPr>
        <w:spacing w:after="0"/>
      </w:pPr>
      <w:r w:rsidRPr="3235541E">
        <w:rPr>
          <w:u w:val="single"/>
        </w:rPr>
        <w:t>Second Interim Report Evaluation</w:t>
      </w:r>
      <w:r w:rsidRPr="3235541E">
        <w:t xml:space="preserve"> </w:t>
      </w:r>
      <w:r w:rsidR="00851C5A" w:rsidRPr="3235541E">
        <w:t>– as flagged in the Interim</w:t>
      </w:r>
      <w:r w:rsidR="00C07162">
        <w:t xml:space="preserve"> Evaluation</w:t>
      </w:r>
      <w:r w:rsidR="00851C5A" w:rsidRPr="3235541E">
        <w:t xml:space="preserve"> Report, </w:t>
      </w:r>
      <w:r w:rsidR="00A63CD1" w:rsidRPr="3235541E">
        <w:t xml:space="preserve">work is underway to incorporate </w:t>
      </w:r>
      <w:r w:rsidR="007A3ACB" w:rsidRPr="3235541E">
        <w:t xml:space="preserve">more comprehensive </w:t>
      </w:r>
      <w:r w:rsidR="003931AA" w:rsidRPr="3235541E">
        <w:t xml:space="preserve">consumer insights into the Second Interim Evaluation Report. </w:t>
      </w:r>
      <w:r w:rsidR="00832C3B" w:rsidRPr="3235541E">
        <w:t>Evaluators are sourcing f</w:t>
      </w:r>
      <w:r w:rsidR="00A430FA" w:rsidRPr="3235541E">
        <w:t>e</w:t>
      </w:r>
      <w:r w:rsidR="004C5F40" w:rsidRPr="3235541E">
        <w:t>edback via patient surveys and focus groups</w:t>
      </w:r>
      <w:r w:rsidR="008E3043" w:rsidRPr="3235541E">
        <w:t xml:space="preserve">, </w:t>
      </w:r>
      <w:r w:rsidR="00832C3B" w:rsidRPr="3235541E">
        <w:t xml:space="preserve">as well as engagement via the Operational Advisory Group, peak bodies and commissioners. </w:t>
      </w:r>
    </w:p>
    <w:p w14:paraId="7C2DFEFF" w14:textId="393DF313" w:rsidR="00832C3B" w:rsidRPr="00872A43" w:rsidRDefault="00832C3B" w:rsidP="00872A43">
      <w:pPr>
        <w:pStyle w:val="ListParagraph"/>
        <w:keepNext/>
        <w:keepLines/>
        <w:numPr>
          <w:ilvl w:val="0"/>
          <w:numId w:val="38"/>
        </w:numPr>
        <w:spacing w:after="0"/>
        <w:rPr>
          <w:rFonts w:cstheme="minorHAnsi"/>
        </w:rPr>
      </w:pPr>
      <w:r w:rsidRPr="000D6B95">
        <w:rPr>
          <w:rFonts w:cstheme="minorHAnsi"/>
          <w:u w:val="single"/>
        </w:rPr>
        <w:lastRenderedPageBreak/>
        <w:t>Patient-Reported Experience Measures (PREMs) and Patient-Reported Outcomes Measures (PROMs)</w:t>
      </w:r>
      <w:r>
        <w:rPr>
          <w:rFonts w:cstheme="minorHAnsi"/>
        </w:rPr>
        <w:t xml:space="preserve"> - </w:t>
      </w:r>
      <w:r w:rsidR="000D274A">
        <w:rPr>
          <w:rFonts w:cstheme="minorHAnsi"/>
        </w:rPr>
        <w:t>t</w:t>
      </w:r>
      <w:r w:rsidR="000D274A" w:rsidRPr="000D274A">
        <w:rPr>
          <w:rFonts w:cstheme="minorHAnsi"/>
        </w:rPr>
        <w:t xml:space="preserve">he </w:t>
      </w:r>
      <w:r w:rsidR="00EB072D">
        <w:rPr>
          <w:rFonts w:cstheme="minorHAnsi"/>
        </w:rPr>
        <w:t>d</w:t>
      </w:r>
      <w:r w:rsidR="000D274A" w:rsidRPr="000D274A">
        <w:rPr>
          <w:rFonts w:cstheme="minorHAnsi"/>
        </w:rPr>
        <w:t>epartment have engaged Ipsos to design and deliver a national patient and staff experience survey in Medicare UCCs</w:t>
      </w:r>
      <w:r w:rsidR="000B21D7">
        <w:rPr>
          <w:rFonts w:cstheme="minorHAnsi"/>
        </w:rPr>
        <w:t>, which</w:t>
      </w:r>
      <w:r w:rsidR="000D274A" w:rsidRPr="000D274A">
        <w:rPr>
          <w:rFonts w:cstheme="minorHAnsi"/>
        </w:rPr>
        <w:t xml:space="preserve"> aims to capture patient and staff experiences to support Medicare UCCs in meeting their objectives and to promote continuous program improvement and quality service delivery. Ipsos will be working closely with Commissioners, providers, and other key stakeholders to design and deliver the survey</w:t>
      </w:r>
      <w:r w:rsidR="000D6B95">
        <w:rPr>
          <w:rFonts w:cstheme="minorHAnsi"/>
        </w:rPr>
        <w:t xml:space="preserve"> which</w:t>
      </w:r>
      <w:r w:rsidR="000D274A" w:rsidRPr="000D274A">
        <w:rPr>
          <w:rFonts w:cstheme="minorHAnsi"/>
        </w:rPr>
        <w:t xml:space="preserve"> is being delivered in two phases, Phase 1 in 2025 and Phase 2 in 2026.</w:t>
      </w:r>
    </w:p>
    <w:p w14:paraId="316C4016" w14:textId="77777777" w:rsidR="000E169B" w:rsidRDefault="000E169B" w:rsidP="00316E91">
      <w:pPr>
        <w:spacing w:after="0"/>
        <w:rPr>
          <w:rFonts w:cstheme="minorHAnsi"/>
          <w:lang w:val="en-US"/>
        </w:rPr>
      </w:pPr>
    </w:p>
    <w:p w14:paraId="6201EAF4" w14:textId="74227744" w:rsidR="00307E41" w:rsidRDefault="000E169B" w:rsidP="00316E91">
      <w:pPr>
        <w:spacing w:after="0"/>
        <w:rPr>
          <w:rFonts w:cstheme="minorHAnsi"/>
          <w:bCs/>
          <w:lang w:val="en-US"/>
        </w:rPr>
      </w:pPr>
      <w:r w:rsidRPr="00A461EA">
        <w:rPr>
          <w:rFonts w:cstheme="minorHAnsi"/>
          <w:bCs/>
          <w:lang w:val="en-US"/>
        </w:rPr>
        <w:t xml:space="preserve">Outcomes from </w:t>
      </w:r>
      <w:r>
        <w:rPr>
          <w:rFonts w:cstheme="minorHAnsi"/>
          <w:bCs/>
          <w:lang w:val="en-US"/>
        </w:rPr>
        <w:t xml:space="preserve">ongoing </w:t>
      </w:r>
      <w:r w:rsidRPr="00A461EA">
        <w:rPr>
          <w:rFonts w:cstheme="minorHAnsi"/>
          <w:bCs/>
          <w:lang w:val="en-US"/>
        </w:rPr>
        <w:t xml:space="preserve">consultations will be built into the implementation approach provided to </w:t>
      </w:r>
      <w:r w:rsidR="00BA6C56">
        <w:rPr>
          <w:rFonts w:cstheme="minorHAnsi"/>
          <w:bCs/>
          <w:lang w:val="en-US"/>
        </w:rPr>
        <w:t>g</w:t>
      </w:r>
      <w:r w:rsidRPr="00A461EA">
        <w:rPr>
          <w:rFonts w:cstheme="minorHAnsi"/>
          <w:bCs/>
          <w:lang w:val="en-US"/>
        </w:rPr>
        <w:t xml:space="preserve">overnment for consideration and final decision. </w:t>
      </w:r>
    </w:p>
    <w:p w14:paraId="35638C5F" w14:textId="77777777" w:rsidR="002034D1" w:rsidRDefault="002034D1" w:rsidP="00736295">
      <w:pPr>
        <w:spacing w:after="0"/>
        <w:rPr>
          <w:rFonts w:cstheme="minorHAnsi"/>
          <w:bCs/>
        </w:rPr>
      </w:pPr>
    </w:p>
    <w:p w14:paraId="11AEB9D4" w14:textId="77777777" w:rsidR="00736295" w:rsidRPr="00F11F52" w:rsidRDefault="00736295" w:rsidP="00307E41">
      <w:pPr>
        <w:rPr>
          <w:rFonts w:cstheme="minorHAnsi"/>
          <w:bCs/>
          <w:lang w:val="en-US"/>
        </w:rPr>
      </w:pPr>
    </w:p>
    <w:p w14:paraId="10998CDB" w14:textId="15AFC633" w:rsidR="007E6917" w:rsidRDefault="007E6917" w:rsidP="00316E91">
      <w:pPr>
        <w:spacing w:after="0"/>
      </w:pPr>
      <w:r>
        <w:br w:type="page"/>
      </w:r>
    </w:p>
    <w:p w14:paraId="050AF122" w14:textId="709C23F7" w:rsidR="007E6917" w:rsidRDefault="007E6917" w:rsidP="00BB4B8C">
      <w:pPr>
        <w:pStyle w:val="Heading1"/>
        <w:numPr>
          <w:ilvl w:val="0"/>
          <w:numId w:val="13"/>
        </w:numPr>
      </w:pPr>
      <w:bookmarkStart w:id="77" w:name="_Toc212110395"/>
      <w:r>
        <w:lastRenderedPageBreak/>
        <w:t>What is the best option from those you have considered and how will it be implemented?</w:t>
      </w:r>
      <w:bookmarkEnd w:id="77"/>
    </w:p>
    <w:p w14:paraId="203A631C" w14:textId="0F41C6EC" w:rsidR="009026CB" w:rsidRPr="00594CCF" w:rsidRDefault="009026CB" w:rsidP="00594CCF">
      <w:pPr>
        <w:pStyle w:val="Heading2"/>
      </w:pPr>
      <w:bookmarkStart w:id="78" w:name="_Toc212110396"/>
      <w:r w:rsidRPr="00594CCF">
        <w:t>Identifying the preferred option</w:t>
      </w:r>
      <w:bookmarkEnd w:id="78"/>
    </w:p>
    <w:p w14:paraId="62004AFE" w14:textId="6FA2A1DD" w:rsidR="009026CB" w:rsidRDefault="009026CB" w:rsidP="007550AB">
      <w:r w:rsidRPr="009026CB">
        <w:t>To identify a preferred Option, a decision rule to ascertain the option that best meets the objectives of the Australian Government includes the outcomes of the cost-benefit analysis and feedback received through consultation feedback.</w:t>
      </w:r>
    </w:p>
    <w:p w14:paraId="6B5A6797" w14:textId="468BE4F1" w:rsidR="00BC7EC8" w:rsidRDefault="009026CB" w:rsidP="007550AB">
      <w:pPr>
        <w:rPr>
          <w:b/>
          <w:bCs/>
        </w:rPr>
      </w:pPr>
      <w:r w:rsidRPr="009026CB">
        <w:rPr>
          <w:b/>
          <w:bCs/>
        </w:rPr>
        <w:t xml:space="preserve">Option 1 </w:t>
      </w:r>
      <w:r>
        <w:rPr>
          <w:b/>
          <w:bCs/>
        </w:rPr>
        <w:t>–</w:t>
      </w:r>
      <w:r w:rsidRPr="009026CB">
        <w:rPr>
          <w:b/>
          <w:bCs/>
        </w:rPr>
        <w:t xml:space="preserve"> </w:t>
      </w:r>
      <w:r w:rsidR="00BC7EC8" w:rsidRPr="009026CB">
        <w:t xml:space="preserve">retains the status quo </w:t>
      </w:r>
      <w:r w:rsidR="00BC7EC8">
        <w:t xml:space="preserve">and </w:t>
      </w:r>
      <w:r w:rsidR="00BC7EC8" w:rsidRPr="00556325">
        <w:t>continue</w:t>
      </w:r>
      <w:r w:rsidR="00BC7EC8">
        <w:t>s</w:t>
      </w:r>
      <w:r w:rsidR="00BC7EC8" w:rsidRPr="00556325">
        <w:t xml:space="preserve"> the current problems of increased ED presentations</w:t>
      </w:r>
      <w:r w:rsidR="00682082">
        <w:t xml:space="preserve"> when</w:t>
      </w:r>
      <w:r w:rsidR="00897075">
        <w:t xml:space="preserve"> current</w:t>
      </w:r>
      <w:r w:rsidR="00682082">
        <w:t xml:space="preserve"> funding expires</w:t>
      </w:r>
      <w:r w:rsidR="00BC7EC8" w:rsidRPr="00556325">
        <w:t xml:space="preserve">. This will put further strain on the healthcare system and workforce within hospitals. This will likely impact on the quality of care provided to patients resulting in longer wait times and potentially worse </w:t>
      </w:r>
      <w:r w:rsidR="00BC7EC8">
        <w:t xml:space="preserve">health </w:t>
      </w:r>
      <w:r w:rsidR="00BC7EC8" w:rsidRPr="00556325">
        <w:t xml:space="preserve">outcomes. </w:t>
      </w:r>
    </w:p>
    <w:p w14:paraId="37218BDA" w14:textId="606F4970" w:rsidR="00BC7EC8" w:rsidRPr="009026CB" w:rsidRDefault="009026CB" w:rsidP="00BC7EC8">
      <w:r>
        <w:rPr>
          <w:b/>
          <w:bCs/>
        </w:rPr>
        <w:t xml:space="preserve">Option 2 - </w:t>
      </w:r>
      <w:r w:rsidR="00BC7EC8" w:rsidRPr="009026CB">
        <w:t>will</w:t>
      </w:r>
      <w:r w:rsidR="00BC7EC8">
        <w:t xml:space="preserve"> address the key objectives to </w:t>
      </w:r>
      <w:r w:rsidR="00BC7EC8" w:rsidRPr="00556325">
        <w:t>ease the pressure on our hospitals and give families more options to see a health care professional when they have an urgent, but not life threatening, need for care</w:t>
      </w:r>
      <w:r w:rsidR="00BC7EC8">
        <w:t xml:space="preserve">. </w:t>
      </w:r>
      <w:r w:rsidR="00BC7EC8" w:rsidRPr="009026CB">
        <w:t>Whilst some stakeholder groups may incur initial cost and some additional regulatory burden, the Policy Impact Analysis identifies that it is more likely to be effective in achieving the earlier outlined objectives and achieving the greatest net benefit, making it the preferred option.</w:t>
      </w:r>
      <w:r w:rsidR="00B42019">
        <w:t xml:space="preserve"> </w:t>
      </w:r>
    </w:p>
    <w:p w14:paraId="3645ECED" w14:textId="36F12412" w:rsidR="009026CB" w:rsidRPr="00594CCF" w:rsidRDefault="009026CB" w:rsidP="00594CCF">
      <w:pPr>
        <w:pStyle w:val="Heading2"/>
      </w:pPr>
      <w:bookmarkStart w:id="79" w:name="_Toc212110397"/>
      <w:r w:rsidRPr="00594CCF">
        <w:t>Best option and benefits</w:t>
      </w:r>
      <w:bookmarkEnd w:id="79"/>
    </w:p>
    <w:p w14:paraId="3B332785" w14:textId="6ED9F253" w:rsidR="00283DF0" w:rsidRDefault="0036651C">
      <w:pPr>
        <w:spacing w:after="200" w:line="288" w:lineRule="auto"/>
      </w:pPr>
      <w:r>
        <w:t xml:space="preserve">The </w:t>
      </w:r>
      <w:r w:rsidR="00191B90">
        <w:t>d</w:t>
      </w:r>
      <w:r>
        <w:t xml:space="preserve">epartment considers </w:t>
      </w:r>
      <w:r w:rsidRPr="00374DE3">
        <w:rPr>
          <w:b/>
          <w:bCs/>
        </w:rPr>
        <w:t xml:space="preserve">Option </w:t>
      </w:r>
      <w:r w:rsidR="006D021D" w:rsidRPr="00374DE3">
        <w:rPr>
          <w:b/>
          <w:bCs/>
        </w:rPr>
        <w:t>2</w:t>
      </w:r>
      <w:r>
        <w:t xml:space="preserve"> - </w:t>
      </w:r>
      <w:bookmarkStart w:id="80" w:name="_Hlk207884110"/>
      <w:r w:rsidRPr="0036651C">
        <w:t xml:space="preserve">Ongoing funding for Medicare UCCs </w:t>
      </w:r>
      <w:bookmarkEnd w:id="80"/>
      <w:r>
        <w:t xml:space="preserve">– </w:t>
      </w:r>
      <w:r w:rsidR="00EF0CD4">
        <w:t>as</w:t>
      </w:r>
      <w:r w:rsidR="00B54619">
        <w:t xml:space="preserve"> </w:t>
      </w:r>
      <w:r>
        <w:t xml:space="preserve">the best option for delivering on </w:t>
      </w:r>
      <w:r w:rsidR="0029109F">
        <w:t xml:space="preserve">the </w:t>
      </w:r>
      <w:r w:rsidR="00EB04BF">
        <w:t>g</w:t>
      </w:r>
      <w:r w:rsidR="0029109F">
        <w:t>overnment’s commitment to strengthen Medicare by taking pressure off hospitals, supporting and growing health workforce</w:t>
      </w:r>
      <w:r w:rsidR="00EF0CD4">
        <w:t>,</w:t>
      </w:r>
      <w:r w:rsidR="0029109F">
        <w:t xml:space="preserve"> and </w:t>
      </w:r>
      <w:r w:rsidR="00B54619">
        <w:t>ensuring all Australians have access to affordable, high quality urgent health care, when and where they need it</w:t>
      </w:r>
      <w:r w:rsidR="002554F2">
        <w:t xml:space="preserve">. </w:t>
      </w:r>
      <w:r w:rsidR="00283DF0">
        <w:t>The rationale for this position is:</w:t>
      </w:r>
    </w:p>
    <w:p w14:paraId="341485B8" w14:textId="4324EF6D" w:rsidR="00556325" w:rsidRDefault="00556325" w:rsidP="00283DF0">
      <w:pPr>
        <w:pStyle w:val="ListParagraph"/>
        <w:numPr>
          <w:ilvl w:val="0"/>
          <w:numId w:val="29"/>
        </w:numPr>
        <w:spacing w:after="200" w:line="288" w:lineRule="auto"/>
      </w:pPr>
      <w:r>
        <w:t xml:space="preserve">The Australian Government has already invested in the establishment of Medicare UCCs, </w:t>
      </w:r>
      <w:r w:rsidRPr="00556325">
        <w:t>resulting in a zero-sum cost for this aspect of the preferred option.</w:t>
      </w:r>
      <w:r>
        <w:t xml:space="preserve"> </w:t>
      </w:r>
    </w:p>
    <w:p w14:paraId="31FD8A67" w14:textId="1A2FBA8D" w:rsidR="00B54619" w:rsidRDefault="00283DF0" w:rsidP="00283DF0">
      <w:pPr>
        <w:pStyle w:val="ListParagraph"/>
        <w:numPr>
          <w:ilvl w:val="0"/>
          <w:numId w:val="29"/>
        </w:numPr>
        <w:spacing w:after="200" w:line="288" w:lineRule="auto"/>
      </w:pPr>
      <w:r>
        <w:t>Securing ongoing funding</w:t>
      </w:r>
      <w:r w:rsidR="00B54619">
        <w:t xml:space="preserve"> would cement Medicare UCCs as a key part</w:t>
      </w:r>
      <w:r w:rsidR="00B54619" w:rsidRPr="00B54619">
        <w:t xml:space="preserve"> of the health system and ensure continued access to urgent care for non-life-threatening conditions for patients across Australia. </w:t>
      </w:r>
      <w:r>
        <w:t xml:space="preserve"> </w:t>
      </w:r>
    </w:p>
    <w:p w14:paraId="709583EB" w14:textId="7FEA19FC" w:rsidR="007E5447" w:rsidRDefault="007E5447" w:rsidP="00B54619">
      <w:pPr>
        <w:pStyle w:val="ListParagraph"/>
        <w:numPr>
          <w:ilvl w:val="0"/>
          <w:numId w:val="28"/>
        </w:numPr>
        <w:spacing w:after="200" w:line="288" w:lineRule="auto"/>
      </w:pPr>
      <w:r w:rsidRPr="007E5447">
        <w:t>Medicare UCC providers</w:t>
      </w:r>
      <w:r w:rsidR="00283DF0">
        <w:t xml:space="preserve"> would receive</w:t>
      </w:r>
      <w:r w:rsidR="00283DF0" w:rsidRPr="007E5447">
        <w:t xml:space="preserve"> longer term funding</w:t>
      </w:r>
      <w:r w:rsidR="00283DF0">
        <w:t xml:space="preserve"> and</w:t>
      </w:r>
      <w:r w:rsidR="00283DF0" w:rsidRPr="007E5447">
        <w:t xml:space="preserve"> securit</w:t>
      </w:r>
      <w:r w:rsidR="00283DF0">
        <w:t>y</w:t>
      </w:r>
      <w:r w:rsidRPr="007E5447">
        <w:t>,</w:t>
      </w:r>
      <w:r w:rsidR="00283DF0">
        <w:t xml:space="preserve"> </w:t>
      </w:r>
      <w:r w:rsidRPr="007E5447">
        <w:t>enabl</w:t>
      </w:r>
      <w:r w:rsidR="00283DF0">
        <w:t>ing</w:t>
      </w:r>
      <w:r w:rsidRPr="007E5447">
        <w:t xml:space="preserve"> </w:t>
      </w:r>
      <w:r w:rsidR="00283DF0">
        <w:t>the clinics</w:t>
      </w:r>
      <w:r w:rsidRPr="007E5447">
        <w:t xml:space="preserve"> to stabilise their service delivery with reduced disruptions.</w:t>
      </w:r>
    </w:p>
    <w:p w14:paraId="30C13485" w14:textId="72A923F6" w:rsidR="007E5447" w:rsidRDefault="007E5447" w:rsidP="00B54619">
      <w:pPr>
        <w:pStyle w:val="ListParagraph"/>
        <w:numPr>
          <w:ilvl w:val="0"/>
          <w:numId w:val="28"/>
        </w:numPr>
        <w:spacing w:after="200" w:line="288" w:lineRule="auto"/>
      </w:pPr>
      <w:r w:rsidRPr="007E5447">
        <w:t>Ongoing funding for the Medicare UCC Program would further increase public adoption as these services evolve to become a permanent feature of the health landscape.</w:t>
      </w:r>
    </w:p>
    <w:p w14:paraId="14ACDA07" w14:textId="4712DF77" w:rsidR="00955453" w:rsidRDefault="00955453" w:rsidP="00B54619">
      <w:pPr>
        <w:pStyle w:val="ListParagraph"/>
        <w:numPr>
          <w:ilvl w:val="0"/>
          <w:numId w:val="28"/>
        </w:numPr>
        <w:spacing w:after="200" w:line="288" w:lineRule="auto"/>
      </w:pPr>
      <w:r>
        <w:lastRenderedPageBreak/>
        <w:t xml:space="preserve">The overall long-term benefits to the health system and patient outcomes outweigh any costs to primary care settings. </w:t>
      </w:r>
    </w:p>
    <w:p w14:paraId="12CB1CE2" w14:textId="5EC6BC2A" w:rsidR="003F29FE" w:rsidRPr="00DC077B" w:rsidRDefault="00644362" w:rsidP="00DC077B">
      <w:pPr>
        <w:spacing w:after="200" w:line="288" w:lineRule="auto"/>
        <w:rPr>
          <w:b/>
          <w:bCs/>
        </w:rPr>
      </w:pPr>
      <w:r w:rsidRPr="00DC077B">
        <w:t>The benefits of</w:t>
      </w:r>
      <w:r>
        <w:rPr>
          <w:b/>
          <w:bCs/>
        </w:rPr>
        <w:t xml:space="preserve"> </w:t>
      </w:r>
      <w:r w:rsidR="003F29FE" w:rsidRPr="00DC077B">
        <w:rPr>
          <w:b/>
          <w:bCs/>
        </w:rPr>
        <w:t>Option 2</w:t>
      </w:r>
      <w:r w:rsidR="00A674C6">
        <w:rPr>
          <w:b/>
          <w:bCs/>
        </w:rPr>
        <w:t xml:space="preserve"> </w:t>
      </w:r>
      <w:r w:rsidR="00A674C6" w:rsidRPr="00DC077B">
        <w:t>far outweigh the benefits of Option 1 (see below)</w:t>
      </w:r>
      <w:r w:rsidR="003F29FE" w:rsidRPr="00A674C6">
        <w:t xml:space="preserve"> </w:t>
      </w:r>
      <w:r w:rsidR="00A674C6">
        <w:t xml:space="preserve">in comparison </w:t>
      </w:r>
      <w:r w:rsidR="00F037A9">
        <w:t xml:space="preserve">to </w:t>
      </w:r>
      <w:r w:rsidR="004A24F6">
        <w:t xml:space="preserve">the </w:t>
      </w:r>
      <w:r w:rsidR="00F037A9">
        <w:t>nine</w:t>
      </w:r>
      <w:r w:rsidR="0062109D">
        <w:t xml:space="preserve"> Measure</w:t>
      </w:r>
      <w:r w:rsidR="00F037A9">
        <w:t>s</w:t>
      </w:r>
      <w:r w:rsidR="0062109D">
        <w:t xml:space="preserve"> of Success</w:t>
      </w:r>
      <w:r w:rsidR="001E6426" w:rsidRPr="001E6426">
        <w:t xml:space="preserve"> </w:t>
      </w:r>
      <w:r w:rsidR="001E6426">
        <w:t xml:space="preserve">which were </w:t>
      </w:r>
      <w:r w:rsidR="001E6426" w:rsidRPr="001E6426">
        <w:t>agreed by the Australian, and state and territory governments</w:t>
      </w:r>
      <w:r w:rsidR="001E6426">
        <w:t xml:space="preserve">. </w:t>
      </w:r>
      <w:r w:rsidR="00A750F9">
        <w:t xml:space="preserve">The Measures of Success </w:t>
      </w:r>
      <w:r w:rsidR="00DC077B" w:rsidRPr="00DC077B">
        <w:t>were designed to assess the quality of care, accessibility of services and cost-efficiency in Medicare UCCs, as well as their impact on consumer behaviour and the alleviation of demand pressures on partner hospital EDs.</w:t>
      </w:r>
    </w:p>
    <w:p w14:paraId="180313FA" w14:textId="08B0C86D" w:rsidR="003F29FE" w:rsidRDefault="003F29FE" w:rsidP="00DC077B">
      <w:pPr>
        <w:pStyle w:val="Caption"/>
        <w:keepNext/>
      </w:pPr>
      <w:r>
        <w:t>Table 5: Overview of benefits for each option under measures of success</w:t>
      </w:r>
    </w:p>
    <w:tbl>
      <w:tblPr>
        <w:tblStyle w:val="TableGrid"/>
        <w:tblW w:w="9776" w:type="dxa"/>
        <w:tblLook w:val="04A0" w:firstRow="1" w:lastRow="0" w:firstColumn="1" w:lastColumn="0" w:noHBand="0" w:noVBand="1"/>
      </w:tblPr>
      <w:tblGrid>
        <w:gridCol w:w="3593"/>
        <w:gridCol w:w="2923"/>
        <w:gridCol w:w="3260"/>
      </w:tblGrid>
      <w:tr w:rsidR="00211681" w:rsidRPr="00551F14" w14:paraId="66661526" w14:textId="77777777" w:rsidTr="00B6207E">
        <w:tc>
          <w:tcPr>
            <w:tcW w:w="3593" w:type="dxa"/>
          </w:tcPr>
          <w:p w14:paraId="0AF32124" w14:textId="77777777" w:rsidR="00211681" w:rsidRPr="00551F14" w:rsidRDefault="00211681" w:rsidP="00B6207E">
            <w:pPr>
              <w:rPr>
                <w:b/>
                <w:bCs/>
                <w:szCs w:val="20"/>
              </w:rPr>
            </w:pPr>
            <w:r w:rsidRPr="00551F14">
              <w:rPr>
                <w:b/>
                <w:bCs/>
                <w:szCs w:val="20"/>
              </w:rPr>
              <w:t>Measure of Success</w:t>
            </w:r>
          </w:p>
        </w:tc>
        <w:tc>
          <w:tcPr>
            <w:tcW w:w="2923" w:type="dxa"/>
          </w:tcPr>
          <w:p w14:paraId="2C4B1F4C" w14:textId="77777777" w:rsidR="00211681" w:rsidRPr="00551F14" w:rsidRDefault="00211681" w:rsidP="00B6207E">
            <w:pPr>
              <w:rPr>
                <w:b/>
                <w:bCs/>
                <w:szCs w:val="20"/>
              </w:rPr>
            </w:pPr>
            <w:r w:rsidRPr="00551F14">
              <w:rPr>
                <w:b/>
                <w:bCs/>
                <w:szCs w:val="20"/>
              </w:rPr>
              <w:t>Option 1 benefits</w:t>
            </w:r>
          </w:p>
        </w:tc>
        <w:tc>
          <w:tcPr>
            <w:tcW w:w="3260" w:type="dxa"/>
          </w:tcPr>
          <w:p w14:paraId="58FC6972" w14:textId="77777777" w:rsidR="00211681" w:rsidRPr="00551F14" w:rsidRDefault="00211681" w:rsidP="00B6207E">
            <w:pPr>
              <w:rPr>
                <w:b/>
                <w:bCs/>
                <w:szCs w:val="20"/>
              </w:rPr>
            </w:pPr>
            <w:r w:rsidRPr="00551F14">
              <w:rPr>
                <w:b/>
                <w:bCs/>
                <w:szCs w:val="20"/>
              </w:rPr>
              <w:t>Option 2 benefits</w:t>
            </w:r>
          </w:p>
        </w:tc>
      </w:tr>
      <w:tr w:rsidR="00211681" w14:paraId="5BFDF710" w14:textId="77777777" w:rsidTr="00B6207E">
        <w:tc>
          <w:tcPr>
            <w:tcW w:w="3593" w:type="dxa"/>
          </w:tcPr>
          <w:p w14:paraId="754651BB" w14:textId="77777777" w:rsidR="00211681" w:rsidRPr="00551F14" w:rsidRDefault="00211681" w:rsidP="00211681">
            <w:pPr>
              <w:pStyle w:val="ListParagraph"/>
              <w:numPr>
                <w:ilvl w:val="0"/>
                <w:numId w:val="46"/>
              </w:numPr>
              <w:spacing w:after="0" w:line="240" w:lineRule="auto"/>
              <w:rPr>
                <w:szCs w:val="20"/>
              </w:rPr>
            </w:pPr>
            <w:r w:rsidRPr="00551F14">
              <w:rPr>
                <w:rFonts w:eastAsia="Times New Roman" w:cs="Arial"/>
                <w:color w:val="000000"/>
                <w:szCs w:val="20"/>
                <w:lang w:eastAsia="en-AU"/>
              </w:rPr>
              <w:t>Patients receive timely treatment for urgent non-life-threatening conditions in Medicare UCCs. </w:t>
            </w:r>
          </w:p>
        </w:tc>
        <w:tc>
          <w:tcPr>
            <w:tcW w:w="2923" w:type="dxa"/>
          </w:tcPr>
          <w:p w14:paraId="25BA6799" w14:textId="06AA13EC" w:rsidR="00211681" w:rsidRPr="00551F14" w:rsidRDefault="00211681" w:rsidP="00B6207E">
            <w:pPr>
              <w:rPr>
                <w:szCs w:val="20"/>
              </w:rPr>
            </w:pPr>
            <w:r w:rsidRPr="00551F14">
              <w:rPr>
                <w:szCs w:val="20"/>
              </w:rPr>
              <w:t>Patients would need to rely on EDs or their regular GP if appropriate. Wait times for ED are longer than current UCCs</w:t>
            </w:r>
            <w:r w:rsidR="0053356A">
              <w:rPr>
                <w:szCs w:val="20"/>
              </w:rPr>
              <w:t>. 29.2% of people delayed or did not use a GP when needed in 2023-24 (ABS Patient Experiences Survey).</w:t>
            </w:r>
          </w:p>
        </w:tc>
        <w:tc>
          <w:tcPr>
            <w:tcW w:w="3260" w:type="dxa"/>
          </w:tcPr>
          <w:p w14:paraId="7B252B60" w14:textId="272C7C4E" w:rsidR="00211681" w:rsidRPr="00551F14" w:rsidRDefault="00211681" w:rsidP="00B6207E">
            <w:pPr>
              <w:rPr>
                <w:szCs w:val="20"/>
              </w:rPr>
            </w:pPr>
            <w:r>
              <w:rPr>
                <w:szCs w:val="20"/>
              </w:rPr>
              <w:t xml:space="preserve">UCC wait times are approximately 14.5 minutes, which is faster than ED wait times for urgent </w:t>
            </w:r>
            <w:r w:rsidR="0072684F">
              <w:rPr>
                <w:szCs w:val="20"/>
              </w:rPr>
              <w:t>non-</w:t>
            </w:r>
            <w:r w:rsidR="00112F1C">
              <w:rPr>
                <w:szCs w:val="20"/>
              </w:rPr>
              <w:t>life-threatening</w:t>
            </w:r>
            <w:r>
              <w:rPr>
                <w:szCs w:val="20"/>
              </w:rPr>
              <w:t xml:space="preserve"> conditions</w:t>
            </w:r>
          </w:p>
        </w:tc>
      </w:tr>
      <w:tr w:rsidR="00211681" w14:paraId="4BAE61C8" w14:textId="77777777" w:rsidTr="00B6207E">
        <w:tc>
          <w:tcPr>
            <w:tcW w:w="3593" w:type="dxa"/>
          </w:tcPr>
          <w:p w14:paraId="38FBFDF3" w14:textId="77777777" w:rsidR="00211681" w:rsidRPr="00551F14" w:rsidRDefault="00211681" w:rsidP="00211681">
            <w:pPr>
              <w:pStyle w:val="ListParagraph"/>
              <w:numPr>
                <w:ilvl w:val="0"/>
                <w:numId w:val="46"/>
              </w:numPr>
              <w:spacing w:after="0" w:line="240" w:lineRule="auto"/>
              <w:rPr>
                <w:rFonts w:eastAsia="Times New Roman" w:cs="Arial"/>
                <w:color w:val="000000"/>
                <w:szCs w:val="20"/>
                <w:lang w:eastAsia="en-AU"/>
              </w:rPr>
            </w:pPr>
            <w:r w:rsidRPr="0075357A">
              <w:rPr>
                <w:rFonts w:eastAsia="Times New Roman" w:cs="Arial"/>
                <w:color w:val="000000"/>
                <w:szCs w:val="20"/>
                <w:lang w:eastAsia="en-AU"/>
              </w:rPr>
              <w:t>Medicare UCCs provide safe and quality treatment to patients.  </w:t>
            </w:r>
          </w:p>
        </w:tc>
        <w:tc>
          <w:tcPr>
            <w:tcW w:w="2923" w:type="dxa"/>
          </w:tcPr>
          <w:p w14:paraId="364A24A6" w14:textId="77777777" w:rsidR="00211681" w:rsidRPr="00551F14" w:rsidRDefault="00211681" w:rsidP="00B6207E">
            <w:pPr>
              <w:rPr>
                <w:szCs w:val="20"/>
              </w:rPr>
            </w:pPr>
            <w:r>
              <w:rPr>
                <w:szCs w:val="20"/>
              </w:rPr>
              <w:t>Not achievable as UCCs would not continue</w:t>
            </w:r>
          </w:p>
        </w:tc>
        <w:tc>
          <w:tcPr>
            <w:tcW w:w="3260" w:type="dxa"/>
          </w:tcPr>
          <w:p w14:paraId="556CD82F" w14:textId="77777777" w:rsidR="00211681" w:rsidRPr="00551F14" w:rsidRDefault="00211681" w:rsidP="00B6207E">
            <w:pPr>
              <w:rPr>
                <w:szCs w:val="20"/>
              </w:rPr>
            </w:pPr>
            <w:r>
              <w:rPr>
                <w:szCs w:val="20"/>
              </w:rPr>
              <w:t>Ongoing funding of UCCs will support clinics to deliver safe and quality treatment with regular clinical assessments included</w:t>
            </w:r>
          </w:p>
        </w:tc>
      </w:tr>
      <w:tr w:rsidR="00211681" w14:paraId="422CBE77" w14:textId="77777777" w:rsidTr="00B6207E">
        <w:tc>
          <w:tcPr>
            <w:tcW w:w="3593" w:type="dxa"/>
          </w:tcPr>
          <w:p w14:paraId="7BEA2645" w14:textId="77777777" w:rsidR="00211681" w:rsidRPr="00551F14" w:rsidRDefault="00211681" w:rsidP="00211681">
            <w:pPr>
              <w:pStyle w:val="ListParagraph"/>
              <w:numPr>
                <w:ilvl w:val="0"/>
                <w:numId w:val="46"/>
              </w:numPr>
              <w:spacing w:after="0" w:line="240" w:lineRule="auto"/>
              <w:rPr>
                <w:rFonts w:eastAsia="Times New Roman" w:cs="Arial"/>
                <w:color w:val="000000"/>
                <w:szCs w:val="20"/>
                <w:lang w:eastAsia="en-AU"/>
              </w:rPr>
            </w:pPr>
            <w:r w:rsidRPr="0075357A">
              <w:rPr>
                <w:rFonts w:eastAsia="Times New Roman" w:cs="Arial"/>
                <w:color w:val="000000"/>
                <w:szCs w:val="20"/>
                <w:lang w:eastAsia="en-AU"/>
              </w:rPr>
              <w:t>Medicare UCCs deliver coordinated care for Medicare UCC patients</w:t>
            </w:r>
          </w:p>
        </w:tc>
        <w:tc>
          <w:tcPr>
            <w:tcW w:w="2923" w:type="dxa"/>
          </w:tcPr>
          <w:p w14:paraId="60CB257E" w14:textId="77777777" w:rsidR="00211681" w:rsidRPr="00551F14" w:rsidRDefault="00211681" w:rsidP="00B6207E">
            <w:pPr>
              <w:rPr>
                <w:szCs w:val="20"/>
              </w:rPr>
            </w:pPr>
            <w:r>
              <w:rPr>
                <w:szCs w:val="20"/>
              </w:rPr>
              <w:t>Not achievable as UCCs would not continue</w:t>
            </w:r>
          </w:p>
        </w:tc>
        <w:tc>
          <w:tcPr>
            <w:tcW w:w="3260" w:type="dxa"/>
          </w:tcPr>
          <w:p w14:paraId="6C6A397F" w14:textId="77777777" w:rsidR="00211681" w:rsidRPr="00551F14" w:rsidRDefault="00211681" w:rsidP="00B6207E">
            <w:pPr>
              <w:rPr>
                <w:szCs w:val="20"/>
              </w:rPr>
            </w:pPr>
            <w:r>
              <w:rPr>
                <w:szCs w:val="20"/>
              </w:rPr>
              <w:t>Ongoing funding of UCCs will support clinics to continue building local relationships for coordinated patient care</w:t>
            </w:r>
          </w:p>
        </w:tc>
      </w:tr>
      <w:tr w:rsidR="00211681" w14:paraId="0F6E22AB" w14:textId="77777777" w:rsidTr="00B6207E">
        <w:tc>
          <w:tcPr>
            <w:tcW w:w="3593" w:type="dxa"/>
          </w:tcPr>
          <w:p w14:paraId="4993A27D" w14:textId="77777777" w:rsidR="00211681" w:rsidRPr="00551F14" w:rsidRDefault="00211681" w:rsidP="00211681">
            <w:pPr>
              <w:pStyle w:val="ListParagraph"/>
              <w:numPr>
                <w:ilvl w:val="0"/>
                <w:numId w:val="46"/>
              </w:numPr>
              <w:spacing w:after="0" w:line="240" w:lineRule="auto"/>
              <w:rPr>
                <w:rFonts w:eastAsia="Times New Roman" w:cs="Arial"/>
                <w:color w:val="000000"/>
                <w:szCs w:val="20"/>
                <w:lang w:eastAsia="en-AU"/>
              </w:rPr>
            </w:pPr>
            <w:r w:rsidRPr="0075357A">
              <w:rPr>
                <w:rFonts w:eastAsia="Times New Roman" w:cs="Arial"/>
                <w:color w:val="000000"/>
                <w:szCs w:val="20"/>
                <w:lang w:eastAsia="en-AU"/>
              </w:rPr>
              <w:t>Medicare UCCs provide a positive experience for patient/carer. </w:t>
            </w:r>
          </w:p>
        </w:tc>
        <w:tc>
          <w:tcPr>
            <w:tcW w:w="2923" w:type="dxa"/>
          </w:tcPr>
          <w:p w14:paraId="3FCD6549" w14:textId="77777777" w:rsidR="00211681" w:rsidRPr="00551F14" w:rsidRDefault="00211681" w:rsidP="00B6207E">
            <w:pPr>
              <w:rPr>
                <w:szCs w:val="20"/>
              </w:rPr>
            </w:pPr>
            <w:r>
              <w:rPr>
                <w:szCs w:val="20"/>
              </w:rPr>
              <w:t>Not achievable as UCCs would not continue</w:t>
            </w:r>
          </w:p>
        </w:tc>
        <w:tc>
          <w:tcPr>
            <w:tcW w:w="3260" w:type="dxa"/>
          </w:tcPr>
          <w:p w14:paraId="45B36D1F" w14:textId="77777777" w:rsidR="00211681" w:rsidRPr="00551F14" w:rsidRDefault="00211681" w:rsidP="00B6207E">
            <w:pPr>
              <w:rPr>
                <w:szCs w:val="20"/>
              </w:rPr>
            </w:pPr>
            <w:r>
              <w:rPr>
                <w:szCs w:val="20"/>
              </w:rPr>
              <w:t>Ongoing funding of UCCs will support clinics to provide a positive experience for patients and carers through regular patient feedback for program improvement</w:t>
            </w:r>
          </w:p>
        </w:tc>
      </w:tr>
      <w:tr w:rsidR="00211681" w14:paraId="2BBF1107" w14:textId="77777777" w:rsidTr="00B6207E">
        <w:tc>
          <w:tcPr>
            <w:tcW w:w="3593" w:type="dxa"/>
          </w:tcPr>
          <w:p w14:paraId="0F34BCE3" w14:textId="77777777" w:rsidR="00211681" w:rsidRPr="00551F14" w:rsidRDefault="00211681" w:rsidP="00211681">
            <w:pPr>
              <w:pStyle w:val="ListParagraph"/>
              <w:numPr>
                <w:ilvl w:val="0"/>
                <w:numId w:val="46"/>
              </w:numPr>
              <w:spacing w:after="0" w:line="240" w:lineRule="auto"/>
              <w:rPr>
                <w:rFonts w:eastAsia="Times New Roman" w:cs="Arial"/>
                <w:color w:val="000000"/>
                <w:szCs w:val="20"/>
                <w:lang w:eastAsia="en-AU"/>
              </w:rPr>
            </w:pPr>
            <w:r w:rsidRPr="0075357A">
              <w:rPr>
                <w:rFonts w:eastAsia="Times New Roman" w:cs="Arial"/>
                <w:color w:val="000000"/>
                <w:szCs w:val="20"/>
                <w:lang w:eastAsia="en-AU"/>
              </w:rPr>
              <w:t xml:space="preserve">Medicare UCCs provide a positive experience for providers at Medicare UCCs, in </w:t>
            </w:r>
            <w:r w:rsidRPr="0075357A">
              <w:rPr>
                <w:rFonts w:eastAsia="Times New Roman" w:cs="Arial"/>
                <w:color w:val="000000"/>
                <w:szCs w:val="20"/>
                <w:lang w:eastAsia="en-AU"/>
              </w:rPr>
              <w:lastRenderedPageBreak/>
              <w:t>partner hospital EDs and in local GP practices. </w:t>
            </w:r>
          </w:p>
        </w:tc>
        <w:tc>
          <w:tcPr>
            <w:tcW w:w="2923" w:type="dxa"/>
          </w:tcPr>
          <w:p w14:paraId="753EFDDE" w14:textId="77777777" w:rsidR="00211681" w:rsidRPr="00551F14" w:rsidRDefault="00211681" w:rsidP="00B6207E">
            <w:pPr>
              <w:rPr>
                <w:szCs w:val="20"/>
              </w:rPr>
            </w:pPr>
            <w:r>
              <w:rPr>
                <w:szCs w:val="20"/>
              </w:rPr>
              <w:lastRenderedPageBreak/>
              <w:t>Not achievable as UCCs would not continue</w:t>
            </w:r>
          </w:p>
        </w:tc>
        <w:tc>
          <w:tcPr>
            <w:tcW w:w="3260" w:type="dxa"/>
          </w:tcPr>
          <w:p w14:paraId="0C9E30B4" w14:textId="77777777" w:rsidR="00211681" w:rsidRPr="00551F14" w:rsidRDefault="00211681" w:rsidP="00B6207E">
            <w:pPr>
              <w:rPr>
                <w:szCs w:val="20"/>
              </w:rPr>
            </w:pPr>
            <w:r>
              <w:rPr>
                <w:szCs w:val="20"/>
              </w:rPr>
              <w:t xml:space="preserve">Ongoing funding of UCCs will support clinics to ensure positive experiences for service </w:t>
            </w:r>
            <w:r>
              <w:rPr>
                <w:szCs w:val="20"/>
              </w:rPr>
              <w:lastRenderedPageBreak/>
              <w:t>providers through regular staff feedback for program improvement</w:t>
            </w:r>
          </w:p>
        </w:tc>
      </w:tr>
      <w:tr w:rsidR="00211681" w14:paraId="7F7345A3" w14:textId="77777777" w:rsidTr="00B6207E">
        <w:tc>
          <w:tcPr>
            <w:tcW w:w="3593" w:type="dxa"/>
          </w:tcPr>
          <w:p w14:paraId="5BFD16C1" w14:textId="77777777" w:rsidR="00211681" w:rsidRPr="00551F14" w:rsidRDefault="00211681" w:rsidP="00211681">
            <w:pPr>
              <w:pStyle w:val="ListParagraph"/>
              <w:numPr>
                <w:ilvl w:val="0"/>
                <w:numId w:val="46"/>
              </w:numPr>
              <w:spacing w:after="0" w:line="240" w:lineRule="auto"/>
              <w:rPr>
                <w:rFonts w:eastAsia="Times New Roman" w:cs="Arial"/>
                <w:color w:val="000000"/>
                <w:szCs w:val="20"/>
                <w:lang w:eastAsia="en-AU"/>
              </w:rPr>
            </w:pPr>
            <w:r w:rsidRPr="0075357A">
              <w:rPr>
                <w:rFonts w:eastAsia="Times New Roman" w:cs="Arial"/>
                <w:color w:val="000000"/>
                <w:szCs w:val="20"/>
                <w:lang w:eastAsia="en-AU"/>
              </w:rPr>
              <w:lastRenderedPageBreak/>
              <w:t>Medicare UCCs reduce pressure on hospital ED presentations at partner hospital EDs. </w:t>
            </w:r>
          </w:p>
        </w:tc>
        <w:tc>
          <w:tcPr>
            <w:tcW w:w="2923" w:type="dxa"/>
          </w:tcPr>
          <w:p w14:paraId="175EC275" w14:textId="77777777" w:rsidR="00211681" w:rsidRPr="00551F14" w:rsidRDefault="00211681" w:rsidP="00B6207E">
            <w:pPr>
              <w:rPr>
                <w:szCs w:val="20"/>
              </w:rPr>
            </w:pPr>
            <w:r>
              <w:rPr>
                <w:szCs w:val="20"/>
              </w:rPr>
              <w:t>Not achievable as UCCs would not continue</w:t>
            </w:r>
          </w:p>
        </w:tc>
        <w:tc>
          <w:tcPr>
            <w:tcW w:w="3260" w:type="dxa"/>
          </w:tcPr>
          <w:p w14:paraId="2956BBE7" w14:textId="77777777" w:rsidR="00211681" w:rsidRPr="00551F14" w:rsidRDefault="00211681" w:rsidP="00B6207E">
            <w:pPr>
              <w:rPr>
                <w:szCs w:val="20"/>
              </w:rPr>
            </w:pPr>
            <w:r>
              <w:rPr>
                <w:szCs w:val="20"/>
              </w:rPr>
              <w:t>Ongoing funding of UCCs will support clinics to continue seeing patients who otherwise would have gone to an ED</w:t>
            </w:r>
          </w:p>
        </w:tc>
      </w:tr>
      <w:tr w:rsidR="00211681" w14:paraId="136F67FD" w14:textId="77777777" w:rsidTr="00B6207E">
        <w:tc>
          <w:tcPr>
            <w:tcW w:w="3593" w:type="dxa"/>
          </w:tcPr>
          <w:p w14:paraId="04436B50" w14:textId="77777777" w:rsidR="00211681" w:rsidRPr="00551F14" w:rsidRDefault="00211681" w:rsidP="00211681">
            <w:pPr>
              <w:pStyle w:val="ListParagraph"/>
              <w:numPr>
                <w:ilvl w:val="0"/>
                <w:numId w:val="46"/>
              </w:numPr>
              <w:spacing w:after="0" w:line="240" w:lineRule="auto"/>
              <w:rPr>
                <w:rFonts w:eastAsia="Times New Roman" w:cs="Arial"/>
                <w:color w:val="000000"/>
                <w:szCs w:val="20"/>
                <w:lang w:eastAsia="en-AU"/>
              </w:rPr>
            </w:pPr>
            <w:r w:rsidRPr="0075357A">
              <w:rPr>
                <w:rFonts w:eastAsia="Times New Roman" w:cs="Arial"/>
                <w:color w:val="000000"/>
                <w:szCs w:val="20"/>
                <w:lang w:eastAsia="en-AU"/>
              </w:rPr>
              <w:t>There is a change in consumer behaviour over time to use Medicare UCCs where available instead of EDs for urgent non-life-threatening conditions. </w:t>
            </w:r>
          </w:p>
        </w:tc>
        <w:tc>
          <w:tcPr>
            <w:tcW w:w="2923" w:type="dxa"/>
          </w:tcPr>
          <w:p w14:paraId="2978A186" w14:textId="77777777" w:rsidR="00211681" w:rsidRPr="00551F14" w:rsidRDefault="00211681" w:rsidP="00B6207E">
            <w:pPr>
              <w:rPr>
                <w:szCs w:val="20"/>
              </w:rPr>
            </w:pPr>
            <w:r>
              <w:rPr>
                <w:szCs w:val="20"/>
              </w:rPr>
              <w:t>Not achievable as UCCs would not continue</w:t>
            </w:r>
          </w:p>
        </w:tc>
        <w:tc>
          <w:tcPr>
            <w:tcW w:w="3260" w:type="dxa"/>
          </w:tcPr>
          <w:p w14:paraId="13D953C5" w14:textId="77777777" w:rsidR="00211681" w:rsidRPr="00551F14" w:rsidRDefault="00211681" w:rsidP="00B6207E">
            <w:pPr>
              <w:rPr>
                <w:szCs w:val="20"/>
              </w:rPr>
            </w:pPr>
            <w:r>
              <w:rPr>
                <w:szCs w:val="20"/>
              </w:rPr>
              <w:t>Ongoing funding of UCCs will support consumer behaviour change by ensuring UCCs remain a constant reliable place to go for treatment, open extended hours with no cost</w:t>
            </w:r>
          </w:p>
        </w:tc>
      </w:tr>
      <w:tr w:rsidR="00211681" w14:paraId="1B5F51CB" w14:textId="77777777" w:rsidTr="00B6207E">
        <w:tc>
          <w:tcPr>
            <w:tcW w:w="3593" w:type="dxa"/>
          </w:tcPr>
          <w:p w14:paraId="33F509F6" w14:textId="77777777" w:rsidR="00211681" w:rsidRPr="00551F14" w:rsidRDefault="00211681" w:rsidP="00211681">
            <w:pPr>
              <w:pStyle w:val="ListParagraph"/>
              <w:numPr>
                <w:ilvl w:val="0"/>
                <w:numId w:val="46"/>
              </w:numPr>
              <w:spacing w:after="0" w:line="240" w:lineRule="auto"/>
              <w:rPr>
                <w:rFonts w:eastAsia="Times New Roman" w:cs="Arial"/>
                <w:color w:val="000000"/>
                <w:szCs w:val="20"/>
                <w:lang w:eastAsia="en-AU"/>
              </w:rPr>
            </w:pPr>
            <w:r w:rsidRPr="0075357A">
              <w:rPr>
                <w:rFonts w:eastAsia="Times New Roman" w:cs="Arial"/>
                <w:color w:val="000000"/>
                <w:szCs w:val="20"/>
                <w:lang w:eastAsia="en-AU"/>
              </w:rPr>
              <w:t>Medicare UCCs, PHNs, Healthdirect, jurisdictions and the health ecosystem have established an effective coordinated care option for people with urgent non-life-threatening conditions. </w:t>
            </w:r>
          </w:p>
        </w:tc>
        <w:tc>
          <w:tcPr>
            <w:tcW w:w="2923" w:type="dxa"/>
          </w:tcPr>
          <w:p w14:paraId="5A8BECEB" w14:textId="0DD3C330" w:rsidR="00211681" w:rsidRPr="00551F14" w:rsidRDefault="00211681" w:rsidP="00B6207E">
            <w:pPr>
              <w:rPr>
                <w:szCs w:val="20"/>
              </w:rPr>
            </w:pPr>
            <w:r>
              <w:rPr>
                <w:szCs w:val="20"/>
              </w:rPr>
              <w:t xml:space="preserve">In the absence of UCCs, PHNs, Healthdirect and jurisdictions would have limited options available to ensure coordinated care for people with urgent </w:t>
            </w:r>
            <w:r w:rsidR="0072684F">
              <w:rPr>
                <w:szCs w:val="20"/>
              </w:rPr>
              <w:t>non-</w:t>
            </w:r>
            <w:r w:rsidR="00112F1C">
              <w:rPr>
                <w:szCs w:val="20"/>
              </w:rPr>
              <w:t>life-threatening</w:t>
            </w:r>
            <w:r>
              <w:rPr>
                <w:szCs w:val="20"/>
              </w:rPr>
              <w:t xml:space="preserve"> conditions</w:t>
            </w:r>
          </w:p>
        </w:tc>
        <w:tc>
          <w:tcPr>
            <w:tcW w:w="3260" w:type="dxa"/>
          </w:tcPr>
          <w:p w14:paraId="450CE94F" w14:textId="4A987FFE" w:rsidR="00211681" w:rsidRPr="00551F14" w:rsidRDefault="00211681" w:rsidP="00B6207E">
            <w:pPr>
              <w:rPr>
                <w:szCs w:val="20"/>
              </w:rPr>
            </w:pPr>
            <w:r>
              <w:rPr>
                <w:szCs w:val="20"/>
              </w:rPr>
              <w:t xml:space="preserve">Ongoing funding of UCCs will support PHNs, Healthdirect and jurisdictions to work with UCCs on delivering coordinated care for people with urgent </w:t>
            </w:r>
            <w:r w:rsidR="0072684F">
              <w:rPr>
                <w:szCs w:val="20"/>
              </w:rPr>
              <w:t>non-</w:t>
            </w:r>
            <w:r w:rsidR="00112F1C">
              <w:rPr>
                <w:szCs w:val="20"/>
              </w:rPr>
              <w:t>life-threatening</w:t>
            </w:r>
            <w:r>
              <w:rPr>
                <w:szCs w:val="20"/>
              </w:rPr>
              <w:t xml:space="preserve"> conditions</w:t>
            </w:r>
          </w:p>
        </w:tc>
      </w:tr>
      <w:tr w:rsidR="00211681" w14:paraId="6F6999E9" w14:textId="77777777" w:rsidTr="00B6207E">
        <w:tc>
          <w:tcPr>
            <w:tcW w:w="3593" w:type="dxa"/>
          </w:tcPr>
          <w:p w14:paraId="32D1A746" w14:textId="77777777" w:rsidR="00211681" w:rsidRPr="00551F14" w:rsidRDefault="00211681" w:rsidP="00211681">
            <w:pPr>
              <w:pStyle w:val="ListParagraph"/>
              <w:numPr>
                <w:ilvl w:val="0"/>
                <w:numId w:val="46"/>
              </w:numPr>
              <w:spacing w:after="0" w:line="240" w:lineRule="auto"/>
              <w:rPr>
                <w:rFonts w:eastAsia="Times New Roman" w:cs="Arial"/>
                <w:color w:val="000000"/>
                <w:szCs w:val="20"/>
                <w:lang w:eastAsia="en-AU"/>
              </w:rPr>
            </w:pPr>
            <w:r w:rsidRPr="0075357A">
              <w:rPr>
                <w:rFonts w:eastAsia="Times New Roman" w:cs="Arial"/>
                <w:color w:val="000000"/>
                <w:szCs w:val="20"/>
                <w:lang w:eastAsia="en-AU"/>
              </w:rPr>
              <w:t>Medicare UCCs are cost effective</w:t>
            </w:r>
          </w:p>
        </w:tc>
        <w:tc>
          <w:tcPr>
            <w:tcW w:w="2923" w:type="dxa"/>
          </w:tcPr>
          <w:p w14:paraId="300AE9B2" w14:textId="77777777" w:rsidR="00211681" w:rsidRPr="00551F14" w:rsidRDefault="00211681" w:rsidP="00B6207E">
            <w:pPr>
              <w:rPr>
                <w:szCs w:val="20"/>
              </w:rPr>
            </w:pPr>
            <w:r>
              <w:rPr>
                <w:szCs w:val="20"/>
              </w:rPr>
              <w:t>Not achievable as UCCs would not continue</w:t>
            </w:r>
          </w:p>
        </w:tc>
        <w:tc>
          <w:tcPr>
            <w:tcW w:w="3260" w:type="dxa"/>
          </w:tcPr>
          <w:p w14:paraId="2DB40D29" w14:textId="398D4745" w:rsidR="00211681" w:rsidRPr="00551F14" w:rsidRDefault="00211681" w:rsidP="00B6207E">
            <w:pPr>
              <w:rPr>
                <w:szCs w:val="20"/>
              </w:rPr>
            </w:pPr>
            <w:r>
              <w:rPr>
                <w:szCs w:val="20"/>
              </w:rPr>
              <w:t xml:space="preserve">Ongoing funding of UCCs will support clinics to operate in a </w:t>
            </w:r>
            <w:r w:rsidR="00112F1C">
              <w:rPr>
                <w:szCs w:val="20"/>
              </w:rPr>
              <w:t>cost-effective</w:t>
            </w:r>
            <w:r>
              <w:rPr>
                <w:szCs w:val="20"/>
              </w:rPr>
              <w:t xml:space="preserve"> manner through implementation of a </w:t>
            </w:r>
            <w:r w:rsidR="00112F1C">
              <w:rPr>
                <w:szCs w:val="20"/>
              </w:rPr>
              <w:t>performance-based</w:t>
            </w:r>
            <w:r>
              <w:rPr>
                <w:szCs w:val="20"/>
              </w:rPr>
              <w:t xml:space="preserve"> funding model</w:t>
            </w:r>
          </w:p>
        </w:tc>
      </w:tr>
    </w:tbl>
    <w:p w14:paraId="36816F7D" w14:textId="77777777" w:rsidR="00211681" w:rsidRDefault="00211681" w:rsidP="00DC077B">
      <w:pPr>
        <w:spacing w:after="200" w:line="288" w:lineRule="auto"/>
      </w:pPr>
    </w:p>
    <w:p w14:paraId="6226B38A" w14:textId="0E4532D9" w:rsidR="009D3301" w:rsidRPr="00594CCF" w:rsidRDefault="009D3301" w:rsidP="00594CCF">
      <w:pPr>
        <w:pStyle w:val="Heading2"/>
      </w:pPr>
      <w:bookmarkStart w:id="81" w:name="_Toc212110398"/>
      <w:r w:rsidRPr="00594CCF">
        <w:t>Implementation and timing</w:t>
      </w:r>
      <w:bookmarkEnd w:id="81"/>
    </w:p>
    <w:p w14:paraId="0E898361" w14:textId="64F36DB4" w:rsidR="00B9270D" w:rsidRDefault="007C3668" w:rsidP="00167615">
      <w:r>
        <w:t xml:space="preserve">To achieve success, </w:t>
      </w:r>
      <w:r w:rsidRPr="00374DE3">
        <w:rPr>
          <w:b/>
          <w:bCs/>
        </w:rPr>
        <w:t xml:space="preserve">Option </w:t>
      </w:r>
      <w:r w:rsidR="006D021D" w:rsidRPr="00374DE3">
        <w:rPr>
          <w:b/>
          <w:bCs/>
        </w:rPr>
        <w:t>2</w:t>
      </w:r>
      <w:r>
        <w:t xml:space="preserve"> will be influenced by the continued establishment of Medicare UCCs. </w:t>
      </w:r>
      <w:r w:rsidR="00B42019">
        <w:t xml:space="preserve">The final decision to provide ongoing funding for Medicare UCCs is a decision for </w:t>
      </w:r>
      <w:r w:rsidR="00EB04BF">
        <w:t>g</w:t>
      </w:r>
      <w:r w:rsidR="00B42019">
        <w:t>overnment</w:t>
      </w:r>
      <w:r w:rsidR="00D3369D">
        <w:t xml:space="preserve"> in a budget context</w:t>
      </w:r>
      <w:r w:rsidR="00B42019">
        <w:t>.</w:t>
      </w:r>
    </w:p>
    <w:p w14:paraId="0A32A3C1" w14:textId="7BB8A740" w:rsidR="009759EA" w:rsidRDefault="00B9270D" w:rsidP="00B9270D">
      <w:r>
        <w:t>Following the outcome of the May 2025 Federal election, the Program is now undergoing further expansion in Tranche three, which will establish an additional 50 Medicare UCCs in 2025-26.</w:t>
      </w:r>
    </w:p>
    <w:p w14:paraId="7B0570EA" w14:textId="666805F9" w:rsidR="00F2004A" w:rsidRDefault="00F2004A" w:rsidP="00B9270D">
      <w:r>
        <w:t>Ongoing funding for all</w:t>
      </w:r>
      <w:r w:rsidR="003729FF">
        <w:t xml:space="preserve"> (137)</w:t>
      </w:r>
      <w:r>
        <w:t xml:space="preserve"> Medicare UCCs from 1 July 2026 will</w:t>
      </w:r>
      <w:r w:rsidRPr="00F2004A">
        <w:t xml:space="preserve"> ensure </w:t>
      </w:r>
      <w:r>
        <w:t xml:space="preserve">continuation of service delivery for clinics and </w:t>
      </w:r>
      <w:r w:rsidRPr="00F2004A">
        <w:t>continued accessibility of bulk-billed urgent care services for all Australians</w:t>
      </w:r>
      <w:r>
        <w:t>.</w:t>
      </w:r>
    </w:p>
    <w:p w14:paraId="5824D07B" w14:textId="5DC3C54C" w:rsidR="003729FF" w:rsidRDefault="003729FF" w:rsidP="00B9270D">
      <w:r>
        <w:lastRenderedPageBreak/>
        <w:t>The Branch will continue with ongoing management, driving performance uplift, and evaluation of the existing Medicare UCCs</w:t>
      </w:r>
      <w:r w:rsidRPr="003729FF">
        <w:t>.</w:t>
      </w:r>
      <w:r>
        <w:t xml:space="preserve"> </w:t>
      </w:r>
    </w:p>
    <w:p w14:paraId="2EE4BB58" w14:textId="580D82FF" w:rsidR="005B14D7" w:rsidRDefault="007F34D3" w:rsidP="00B9270D">
      <w:r>
        <w:t>To implement ongoing funding</w:t>
      </w:r>
      <w:r w:rsidR="00AF1953">
        <w:t xml:space="preserve">, key milestones </w:t>
      </w:r>
      <w:r w:rsidR="007322E8">
        <w:t>include</w:t>
      </w:r>
      <w:r>
        <w:t>:</w:t>
      </w:r>
    </w:p>
    <w:p w14:paraId="73172088" w14:textId="77777777" w:rsidR="00E24A77" w:rsidRDefault="00C940A0" w:rsidP="007F34D3">
      <w:pPr>
        <w:pStyle w:val="ListParagraph"/>
        <w:numPr>
          <w:ilvl w:val="0"/>
          <w:numId w:val="45"/>
        </w:numPr>
      </w:pPr>
      <w:r>
        <w:t xml:space="preserve">Provide new grant opportunity guidelines for PHN </w:t>
      </w:r>
      <w:r w:rsidR="00A818F9">
        <w:t>Commissioners</w:t>
      </w:r>
    </w:p>
    <w:p w14:paraId="2FA357A1" w14:textId="375F5AD1" w:rsidR="00BE5684" w:rsidRDefault="00946E82" w:rsidP="007F34D3">
      <w:pPr>
        <w:pStyle w:val="ListParagraph"/>
        <w:numPr>
          <w:ilvl w:val="0"/>
          <w:numId w:val="45"/>
        </w:numPr>
      </w:pPr>
      <w:r>
        <w:t>Execute</w:t>
      </w:r>
      <w:r w:rsidR="00BE5684">
        <w:t xml:space="preserve"> funding agreement with </w:t>
      </w:r>
      <w:r>
        <w:t>Commissioners</w:t>
      </w:r>
    </w:p>
    <w:p w14:paraId="1ED0C88D" w14:textId="6D2AD8BE" w:rsidR="007F34D3" w:rsidRDefault="00BE5684" w:rsidP="00BE5684">
      <w:pPr>
        <w:pStyle w:val="ListParagraph"/>
        <w:numPr>
          <w:ilvl w:val="0"/>
          <w:numId w:val="45"/>
        </w:numPr>
      </w:pPr>
      <w:r>
        <w:t>Commissioners to r</w:t>
      </w:r>
      <w:r w:rsidR="007F34D3">
        <w:t>e-negotiate existing</w:t>
      </w:r>
      <w:r>
        <w:t xml:space="preserve"> clinic</w:t>
      </w:r>
      <w:r w:rsidR="007F34D3">
        <w:t xml:space="preserve"> contracts</w:t>
      </w:r>
      <w:r w:rsidR="00BC0BA1">
        <w:t xml:space="preserve"> to reflect program extension.</w:t>
      </w:r>
    </w:p>
    <w:p w14:paraId="3F83A0BF" w14:textId="4B960C49" w:rsidR="009D3301" w:rsidRPr="00594CCF" w:rsidRDefault="009D3301" w:rsidP="00594CCF">
      <w:pPr>
        <w:pStyle w:val="Heading2"/>
      </w:pPr>
      <w:bookmarkStart w:id="82" w:name="_Toc212110399"/>
      <w:r w:rsidRPr="00594CCF">
        <w:t>Implementation issues and risks</w:t>
      </w:r>
      <w:bookmarkEnd w:id="82"/>
    </w:p>
    <w:p w14:paraId="0F2F8052" w14:textId="7AE22976" w:rsidR="002213D5" w:rsidRDefault="00541FDE" w:rsidP="002213D5">
      <w:r w:rsidRPr="00541FDE">
        <w:t xml:space="preserve">The following issues and risks have been identified for the implementation of </w:t>
      </w:r>
      <w:r w:rsidRPr="0081106B">
        <w:rPr>
          <w:b/>
          <w:bCs/>
        </w:rPr>
        <w:t xml:space="preserve">Option </w:t>
      </w:r>
      <w:r w:rsidR="006D021D" w:rsidRPr="0081106B">
        <w:rPr>
          <w:b/>
          <w:bCs/>
        </w:rPr>
        <w:t>2</w:t>
      </w:r>
      <w:r w:rsidR="00A84528">
        <w:t>.</w:t>
      </w:r>
    </w:p>
    <w:tbl>
      <w:tblPr>
        <w:tblW w:w="0" w:type="auto"/>
        <w:tblLook w:val="04A0" w:firstRow="1" w:lastRow="0" w:firstColumn="1" w:lastColumn="0" w:noHBand="0" w:noVBand="1"/>
      </w:tblPr>
      <w:tblGrid>
        <w:gridCol w:w="4814"/>
        <w:gridCol w:w="4814"/>
      </w:tblGrid>
      <w:tr w:rsidR="00A84528" w:rsidRPr="00A84528" w14:paraId="3CA09796" w14:textId="77777777" w:rsidTr="00EE6A3A">
        <w:tc>
          <w:tcPr>
            <w:tcW w:w="4814" w:type="dxa"/>
            <w:shd w:val="clear" w:color="auto" w:fill="B7CADC" w:themeFill="text1" w:themeFillTint="40"/>
          </w:tcPr>
          <w:p w14:paraId="67A154A7" w14:textId="1DE2A105" w:rsidR="00A84528" w:rsidRPr="00A84528" w:rsidRDefault="00A84528" w:rsidP="00A84528">
            <w:pPr>
              <w:jc w:val="center"/>
              <w:rPr>
                <w:b/>
                <w:bCs/>
              </w:rPr>
            </w:pPr>
            <w:r w:rsidRPr="00A84528">
              <w:rPr>
                <w:b/>
                <w:bCs/>
              </w:rPr>
              <w:t>Key Risks</w:t>
            </w:r>
          </w:p>
        </w:tc>
        <w:tc>
          <w:tcPr>
            <w:tcW w:w="4814" w:type="dxa"/>
            <w:shd w:val="clear" w:color="auto" w:fill="B7CADC" w:themeFill="text1" w:themeFillTint="40"/>
          </w:tcPr>
          <w:p w14:paraId="333969E7" w14:textId="5063BB48" w:rsidR="00A84528" w:rsidRPr="00A84528" w:rsidRDefault="00A84528" w:rsidP="00A84528">
            <w:pPr>
              <w:jc w:val="center"/>
              <w:rPr>
                <w:b/>
                <w:bCs/>
              </w:rPr>
            </w:pPr>
            <w:r w:rsidRPr="00A84528">
              <w:rPr>
                <w:b/>
                <w:bCs/>
              </w:rPr>
              <w:t>Current Controls and/or proposed mitigations</w:t>
            </w:r>
          </w:p>
        </w:tc>
      </w:tr>
      <w:tr w:rsidR="00A84528" w14:paraId="0BDB4D86" w14:textId="77777777">
        <w:tc>
          <w:tcPr>
            <w:tcW w:w="4814" w:type="dxa"/>
          </w:tcPr>
          <w:p w14:paraId="57B41325" w14:textId="77777777" w:rsidR="00EE6A3A" w:rsidRPr="001D0C34" w:rsidRDefault="00EE6A3A" w:rsidP="00EE6A3A">
            <w:pPr>
              <w:rPr>
                <w:sz w:val="20"/>
                <w:szCs w:val="20"/>
              </w:rPr>
            </w:pPr>
            <w:r w:rsidRPr="001D0C34">
              <w:rPr>
                <w:sz w:val="20"/>
                <w:szCs w:val="20"/>
              </w:rPr>
              <w:t>Delays in establishing new Medicare UCCs.</w:t>
            </w:r>
          </w:p>
          <w:p w14:paraId="2BB4C0A5" w14:textId="77777777" w:rsidR="00A84528" w:rsidRPr="001D0C34" w:rsidRDefault="00A84528" w:rsidP="002213D5">
            <w:pPr>
              <w:rPr>
                <w:sz w:val="20"/>
                <w:szCs w:val="20"/>
              </w:rPr>
            </w:pPr>
          </w:p>
        </w:tc>
        <w:tc>
          <w:tcPr>
            <w:tcW w:w="4814" w:type="dxa"/>
          </w:tcPr>
          <w:p w14:paraId="504F4372" w14:textId="7BC2F89D" w:rsidR="00A84528" w:rsidRPr="001D0C34" w:rsidRDefault="001D0C34" w:rsidP="002213D5">
            <w:pPr>
              <w:rPr>
                <w:sz w:val="20"/>
                <w:szCs w:val="20"/>
              </w:rPr>
            </w:pPr>
            <w:r>
              <w:rPr>
                <w:sz w:val="20"/>
                <w:szCs w:val="20"/>
              </w:rPr>
              <w:t xml:space="preserve">The </w:t>
            </w:r>
            <w:r w:rsidR="00F241CD">
              <w:rPr>
                <w:sz w:val="20"/>
                <w:szCs w:val="20"/>
              </w:rPr>
              <w:t>d</w:t>
            </w:r>
            <w:r>
              <w:rPr>
                <w:sz w:val="20"/>
                <w:szCs w:val="20"/>
              </w:rPr>
              <w:t xml:space="preserve">epartment regularly engages with </w:t>
            </w:r>
            <w:r w:rsidR="00E00500">
              <w:rPr>
                <w:sz w:val="20"/>
                <w:szCs w:val="20"/>
              </w:rPr>
              <w:t xml:space="preserve">commissioners </w:t>
            </w:r>
            <w:r w:rsidR="00B60F96">
              <w:rPr>
                <w:sz w:val="20"/>
                <w:szCs w:val="20"/>
              </w:rPr>
              <w:t xml:space="preserve">to </w:t>
            </w:r>
            <w:r w:rsidR="00CC5034">
              <w:rPr>
                <w:sz w:val="20"/>
                <w:szCs w:val="20"/>
              </w:rPr>
              <w:t xml:space="preserve">discuss any </w:t>
            </w:r>
            <w:r w:rsidR="00286281">
              <w:rPr>
                <w:sz w:val="20"/>
                <w:szCs w:val="20"/>
              </w:rPr>
              <w:t>issues</w:t>
            </w:r>
            <w:r w:rsidR="005D6CAD">
              <w:rPr>
                <w:sz w:val="20"/>
                <w:szCs w:val="20"/>
              </w:rPr>
              <w:t xml:space="preserve"> </w:t>
            </w:r>
            <w:r w:rsidR="009F3AC4">
              <w:rPr>
                <w:sz w:val="20"/>
                <w:szCs w:val="20"/>
              </w:rPr>
              <w:t>with implementation</w:t>
            </w:r>
            <w:r w:rsidR="005E0428">
              <w:rPr>
                <w:sz w:val="20"/>
                <w:szCs w:val="20"/>
              </w:rPr>
              <w:t xml:space="preserve"> of </w:t>
            </w:r>
            <w:r w:rsidR="00191B90">
              <w:rPr>
                <w:sz w:val="20"/>
                <w:szCs w:val="20"/>
              </w:rPr>
              <w:t xml:space="preserve">Medicare </w:t>
            </w:r>
            <w:r w:rsidR="005E0428">
              <w:rPr>
                <w:sz w:val="20"/>
                <w:szCs w:val="20"/>
              </w:rPr>
              <w:t>UCCs</w:t>
            </w:r>
            <w:r w:rsidR="009F3AC4">
              <w:rPr>
                <w:sz w:val="20"/>
                <w:szCs w:val="20"/>
              </w:rPr>
              <w:t xml:space="preserve"> </w:t>
            </w:r>
            <w:r w:rsidR="005D6CAD">
              <w:rPr>
                <w:sz w:val="20"/>
                <w:szCs w:val="20"/>
              </w:rPr>
              <w:t xml:space="preserve">and </w:t>
            </w:r>
            <w:r w:rsidR="00406A6A">
              <w:rPr>
                <w:sz w:val="20"/>
                <w:szCs w:val="20"/>
              </w:rPr>
              <w:t xml:space="preserve">can </w:t>
            </w:r>
            <w:r w:rsidR="007210D5">
              <w:rPr>
                <w:sz w:val="20"/>
                <w:szCs w:val="20"/>
              </w:rPr>
              <w:t>identify any mitigation strategies</w:t>
            </w:r>
            <w:r w:rsidR="00C471D2">
              <w:rPr>
                <w:sz w:val="20"/>
                <w:szCs w:val="20"/>
              </w:rPr>
              <w:t xml:space="preserve"> to avoid </w:t>
            </w:r>
            <w:r w:rsidR="00646ABE">
              <w:rPr>
                <w:sz w:val="20"/>
                <w:szCs w:val="20"/>
              </w:rPr>
              <w:t>any significant delays.</w:t>
            </w:r>
          </w:p>
        </w:tc>
      </w:tr>
      <w:tr w:rsidR="00A84528" w14:paraId="22F36CEF" w14:textId="77777777">
        <w:tc>
          <w:tcPr>
            <w:tcW w:w="4814" w:type="dxa"/>
          </w:tcPr>
          <w:p w14:paraId="4C0D5A12" w14:textId="77777777" w:rsidR="00EE6A3A" w:rsidRPr="001D0C34" w:rsidRDefault="00EE6A3A" w:rsidP="00EE6A3A">
            <w:pPr>
              <w:rPr>
                <w:sz w:val="20"/>
                <w:szCs w:val="20"/>
              </w:rPr>
            </w:pPr>
            <w:r w:rsidRPr="001D0C34">
              <w:rPr>
                <w:sz w:val="20"/>
                <w:szCs w:val="20"/>
              </w:rPr>
              <w:t>The operation of the Medicare UCC Program does not meet its original policy intent as described by the measures of success.</w:t>
            </w:r>
          </w:p>
          <w:p w14:paraId="1573B100" w14:textId="77777777" w:rsidR="00A84528" w:rsidRPr="001D0C34" w:rsidRDefault="00A84528" w:rsidP="002213D5">
            <w:pPr>
              <w:rPr>
                <w:sz w:val="20"/>
                <w:szCs w:val="20"/>
              </w:rPr>
            </w:pPr>
          </w:p>
        </w:tc>
        <w:tc>
          <w:tcPr>
            <w:tcW w:w="4814" w:type="dxa"/>
          </w:tcPr>
          <w:p w14:paraId="125A080C" w14:textId="6EE3B1E6" w:rsidR="00A84528" w:rsidRPr="001D0C34" w:rsidRDefault="00C25952" w:rsidP="00C25952">
            <w:pPr>
              <w:rPr>
                <w:sz w:val="20"/>
                <w:szCs w:val="20"/>
              </w:rPr>
            </w:pPr>
            <w:r w:rsidRPr="001D0C34">
              <w:rPr>
                <w:sz w:val="20"/>
                <w:szCs w:val="20"/>
              </w:rPr>
              <w:t xml:space="preserve">The </w:t>
            </w:r>
            <w:r w:rsidR="00F241CD">
              <w:rPr>
                <w:sz w:val="20"/>
                <w:szCs w:val="20"/>
              </w:rPr>
              <w:t>d</w:t>
            </w:r>
            <w:r w:rsidRPr="001D0C34">
              <w:rPr>
                <w:sz w:val="20"/>
                <w:szCs w:val="20"/>
              </w:rPr>
              <w:t xml:space="preserve">epartment regularly engages with commissioners to ensure understanding of program intent. </w:t>
            </w:r>
            <w:r w:rsidR="009C54D9">
              <w:rPr>
                <w:sz w:val="20"/>
                <w:szCs w:val="20"/>
              </w:rPr>
              <w:t>D</w:t>
            </w:r>
            <w:r w:rsidRPr="001D0C34">
              <w:rPr>
                <w:sz w:val="20"/>
                <w:szCs w:val="20"/>
              </w:rPr>
              <w:t xml:space="preserve">epartment reviews and updates </w:t>
            </w:r>
            <w:r w:rsidR="001F28FC">
              <w:rPr>
                <w:sz w:val="20"/>
                <w:szCs w:val="20"/>
              </w:rPr>
              <w:t>p</w:t>
            </w:r>
            <w:r w:rsidR="00687B04">
              <w:rPr>
                <w:sz w:val="20"/>
                <w:szCs w:val="20"/>
              </w:rPr>
              <w:t xml:space="preserve">roject </w:t>
            </w:r>
            <w:r w:rsidR="001F28FC">
              <w:rPr>
                <w:sz w:val="20"/>
                <w:szCs w:val="20"/>
              </w:rPr>
              <w:t>m</w:t>
            </w:r>
            <w:r w:rsidR="00687B04">
              <w:rPr>
                <w:sz w:val="20"/>
                <w:szCs w:val="20"/>
              </w:rPr>
              <w:t xml:space="preserve">anagement </w:t>
            </w:r>
            <w:r w:rsidRPr="001D0C34">
              <w:rPr>
                <w:sz w:val="20"/>
                <w:szCs w:val="20"/>
              </w:rPr>
              <w:t xml:space="preserve">documents as program evolves. Risks to program delivery are actively managed in a variety of ways, including risk workshops, branch stand ups, </w:t>
            </w:r>
            <w:r w:rsidR="00112F1C" w:rsidRPr="001D0C34">
              <w:rPr>
                <w:sz w:val="20"/>
                <w:szCs w:val="20"/>
              </w:rPr>
              <w:t>directors’</w:t>
            </w:r>
            <w:r w:rsidRPr="001D0C34">
              <w:rPr>
                <w:sz w:val="20"/>
                <w:szCs w:val="20"/>
              </w:rPr>
              <w:t xml:space="preserve"> meetings, as well as fortnightly reports and meetings to the SRO. There are also clear escalation pathways to the Deputy Secretary and </w:t>
            </w:r>
            <w:r w:rsidR="001F28FC">
              <w:rPr>
                <w:sz w:val="20"/>
                <w:szCs w:val="20"/>
              </w:rPr>
              <w:t xml:space="preserve">the </w:t>
            </w:r>
            <w:r w:rsidRPr="001D0C34">
              <w:rPr>
                <w:sz w:val="20"/>
                <w:szCs w:val="20"/>
              </w:rPr>
              <w:t>Minister where required.</w:t>
            </w:r>
          </w:p>
        </w:tc>
      </w:tr>
      <w:tr w:rsidR="00A84528" w14:paraId="010B3383" w14:textId="77777777">
        <w:tc>
          <w:tcPr>
            <w:tcW w:w="4814" w:type="dxa"/>
          </w:tcPr>
          <w:p w14:paraId="21A9E77C" w14:textId="77777777" w:rsidR="00EE6A3A" w:rsidRPr="001D0C34" w:rsidRDefault="00EE6A3A" w:rsidP="00EE6A3A">
            <w:pPr>
              <w:rPr>
                <w:sz w:val="20"/>
                <w:szCs w:val="20"/>
              </w:rPr>
            </w:pPr>
            <w:r w:rsidRPr="001D0C34">
              <w:rPr>
                <w:sz w:val="20"/>
                <w:szCs w:val="20"/>
              </w:rPr>
              <w:t>Medicare UCCs do not provide safe and quality treatment to patients.</w:t>
            </w:r>
          </w:p>
          <w:p w14:paraId="198FAA62" w14:textId="77777777" w:rsidR="00A84528" w:rsidRPr="001D0C34" w:rsidRDefault="00A84528" w:rsidP="002213D5">
            <w:pPr>
              <w:rPr>
                <w:sz w:val="20"/>
                <w:szCs w:val="20"/>
              </w:rPr>
            </w:pPr>
          </w:p>
        </w:tc>
        <w:tc>
          <w:tcPr>
            <w:tcW w:w="4814" w:type="dxa"/>
          </w:tcPr>
          <w:p w14:paraId="37883FFA" w14:textId="302CAC42" w:rsidR="00A84528" w:rsidRPr="001D0C34" w:rsidRDefault="00BE76AE" w:rsidP="00BE76AE">
            <w:pPr>
              <w:rPr>
                <w:sz w:val="20"/>
                <w:szCs w:val="20"/>
              </w:rPr>
            </w:pPr>
            <w:r w:rsidRPr="001D0C34">
              <w:rPr>
                <w:sz w:val="20"/>
                <w:szCs w:val="20"/>
              </w:rPr>
              <w:t xml:space="preserve">Medicare UCC providers are required to be accredited to appropriate safety and quality standards. Independent Clinical Assessments are conducted prior to clinics opening to ensure compliance against Medicare UCC operational guidance, with non-critical outstanding recommendations followed up with commissioners. The program </w:t>
            </w:r>
            <w:r w:rsidR="00CB4F63">
              <w:rPr>
                <w:sz w:val="20"/>
                <w:szCs w:val="20"/>
              </w:rPr>
              <w:t>g</w:t>
            </w:r>
            <w:r w:rsidRPr="001D0C34">
              <w:rPr>
                <w:sz w:val="20"/>
                <w:szCs w:val="20"/>
              </w:rPr>
              <w:t>overnance structure allows regular engagement with stakeholders and professional representative bodies on key program requirements. New operating model trials are supported where safe to do so and outcomes tracked to support program improvement opportunities.</w:t>
            </w:r>
          </w:p>
        </w:tc>
      </w:tr>
      <w:tr w:rsidR="00A84528" w14:paraId="5A333A2F" w14:textId="77777777">
        <w:tc>
          <w:tcPr>
            <w:tcW w:w="4814" w:type="dxa"/>
          </w:tcPr>
          <w:p w14:paraId="4731D49D" w14:textId="77777777" w:rsidR="00EE6A3A" w:rsidRPr="001D0C34" w:rsidRDefault="00EE6A3A" w:rsidP="00EE6A3A">
            <w:pPr>
              <w:rPr>
                <w:sz w:val="20"/>
                <w:szCs w:val="20"/>
              </w:rPr>
            </w:pPr>
            <w:r w:rsidRPr="001D0C34">
              <w:rPr>
                <w:sz w:val="20"/>
                <w:szCs w:val="20"/>
              </w:rPr>
              <w:lastRenderedPageBreak/>
              <w:t>Funding is not used effectively and efficiently by UCC Commissioners.</w:t>
            </w:r>
          </w:p>
          <w:p w14:paraId="21263A86" w14:textId="77777777" w:rsidR="00A84528" w:rsidRPr="001D0C34" w:rsidRDefault="00A84528" w:rsidP="002213D5">
            <w:pPr>
              <w:rPr>
                <w:sz w:val="20"/>
                <w:szCs w:val="20"/>
              </w:rPr>
            </w:pPr>
          </w:p>
        </w:tc>
        <w:tc>
          <w:tcPr>
            <w:tcW w:w="4814" w:type="dxa"/>
          </w:tcPr>
          <w:p w14:paraId="080C2D30" w14:textId="26CA5D12" w:rsidR="00BA0008" w:rsidRPr="001D0C34" w:rsidRDefault="00EB072D" w:rsidP="00BA0008">
            <w:pPr>
              <w:rPr>
                <w:sz w:val="20"/>
                <w:szCs w:val="20"/>
              </w:rPr>
            </w:pPr>
            <w:r>
              <w:rPr>
                <w:sz w:val="20"/>
                <w:szCs w:val="20"/>
              </w:rPr>
              <w:t>The department</w:t>
            </w:r>
            <w:r w:rsidR="00BA0008" w:rsidRPr="001D0C34">
              <w:rPr>
                <w:sz w:val="20"/>
                <w:szCs w:val="20"/>
              </w:rPr>
              <w:t xml:space="preserve"> undertakes monitoring and compliance activities for contractual and operational streams, supporting understanding of funding utilisation and management issues. Data governance, sharing and protocols are established with commissioners and clinics.</w:t>
            </w:r>
          </w:p>
          <w:p w14:paraId="529FDECD" w14:textId="0A544DF5" w:rsidR="00A84528" w:rsidRPr="001D0C34" w:rsidRDefault="00A84528" w:rsidP="00BA0008">
            <w:pPr>
              <w:rPr>
                <w:sz w:val="20"/>
                <w:szCs w:val="20"/>
              </w:rPr>
            </w:pPr>
          </w:p>
        </w:tc>
      </w:tr>
      <w:tr w:rsidR="00A84528" w14:paraId="00127857" w14:textId="77777777">
        <w:tc>
          <w:tcPr>
            <w:tcW w:w="4814" w:type="dxa"/>
          </w:tcPr>
          <w:p w14:paraId="61D70C98" w14:textId="57C63D70" w:rsidR="00EE6A3A" w:rsidRPr="001D0C34" w:rsidRDefault="00EE6A3A" w:rsidP="00EE6A3A">
            <w:pPr>
              <w:rPr>
                <w:sz w:val="20"/>
                <w:szCs w:val="20"/>
              </w:rPr>
            </w:pPr>
            <w:r w:rsidRPr="001D0C34">
              <w:rPr>
                <w:sz w:val="20"/>
                <w:szCs w:val="20"/>
              </w:rPr>
              <w:t xml:space="preserve">The </w:t>
            </w:r>
            <w:r w:rsidR="00191B90">
              <w:rPr>
                <w:sz w:val="20"/>
                <w:szCs w:val="20"/>
              </w:rPr>
              <w:t>d</w:t>
            </w:r>
            <w:r w:rsidRPr="001D0C34">
              <w:rPr>
                <w:sz w:val="20"/>
                <w:szCs w:val="20"/>
              </w:rPr>
              <w:t>epartment does not or is unable to measure the performance of the Medicare UCC Program.</w:t>
            </w:r>
          </w:p>
          <w:p w14:paraId="3B9886A9" w14:textId="77777777" w:rsidR="00A84528" w:rsidRPr="001D0C34" w:rsidRDefault="00A84528" w:rsidP="002213D5">
            <w:pPr>
              <w:rPr>
                <w:sz w:val="20"/>
                <w:szCs w:val="20"/>
              </w:rPr>
            </w:pPr>
          </w:p>
        </w:tc>
        <w:tc>
          <w:tcPr>
            <w:tcW w:w="4814" w:type="dxa"/>
          </w:tcPr>
          <w:p w14:paraId="6572CC3F" w14:textId="261AC438" w:rsidR="00A84528" w:rsidRPr="001D0C34" w:rsidRDefault="00AA21B2" w:rsidP="00AA21B2">
            <w:pPr>
              <w:rPr>
                <w:sz w:val="20"/>
                <w:szCs w:val="20"/>
              </w:rPr>
            </w:pPr>
            <w:r w:rsidRPr="001D0C34">
              <w:rPr>
                <w:sz w:val="20"/>
                <w:szCs w:val="20"/>
              </w:rPr>
              <w:t xml:space="preserve">Reporting and monitoring requirements have been established between the </w:t>
            </w:r>
            <w:r w:rsidR="00EB072D">
              <w:rPr>
                <w:sz w:val="20"/>
                <w:szCs w:val="20"/>
              </w:rPr>
              <w:t>d</w:t>
            </w:r>
            <w:r w:rsidRPr="001D0C34">
              <w:rPr>
                <w:sz w:val="20"/>
                <w:szCs w:val="20"/>
              </w:rPr>
              <w:t xml:space="preserve">epartment and commissioners within executed agreements. Measures of Success have been developed </w:t>
            </w:r>
            <w:r w:rsidR="000738A6">
              <w:rPr>
                <w:sz w:val="20"/>
                <w:szCs w:val="20"/>
              </w:rPr>
              <w:t xml:space="preserve">against </w:t>
            </w:r>
            <w:r w:rsidRPr="001D0C34">
              <w:rPr>
                <w:sz w:val="20"/>
                <w:szCs w:val="20"/>
              </w:rPr>
              <w:t xml:space="preserve">which an independent evaluator is assessing the program. The </w:t>
            </w:r>
            <w:r w:rsidR="00EB072D">
              <w:rPr>
                <w:sz w:val="20"/>
                <w:szCs w:val="20"/>
              </w:rPr>
              <w:t>d</w:t>
            </w:r>
            <w:r w:rsidRPr="001D0C34">
              <w:rPr>
                <w:sz w:val="20"/>
                <w:szCs w:val="20"/>
              </w:rPr>
              <w:t>epartment uses project management principles, bilateral meetings, and status updates to track and communicate with commissioners.</w:t>
            </w:r>
          </w:p>
        </w:tc>
      </w:tr>
      <w:tr w:rsidR="00A84528" w14:paraId="68080C65" w14:textId="77777777">
        <w:tc>
          <w:tcPr>
            <w:tcW w:w="4814" w:type="dxa"/>
          </w:tcPr>
          <w:p w14:paraId="207E90C7" w14:textId="74CDE0E1" w:rsidR="00EE6A3A" w:rsidRPr="001D0C34" w:rsidRDefault="00EE6A3A" w:rsidP="00EE6A3A">
            <w:pPr>
              <w:rPr>
                <w:sz w:val="20"/>
                <w:szCs w:val="20"/>
              </w:rPr>
            </w:pPr>
            <w:r w:rsidRPr="001D0C34">
              <w:rPr>
                <w:sz w:val="20"/>
                <w:szCs w:val="20"/>
              </w:rPr>
              <w:t xml:space="preserve">Breach of privacy, confidentiality or data usage obligations by </w:t>
            </w:r>
            <w:r w:rsidR="00191B90">
              <w:rPr>
                <w:sz w:val="20"/>
                <w:szCs w:val="20"/>
              </w:rPr>
              <w:t xml:space="preserve">Medicare </w:t>
            </w:r>
            <w:r w:rsidRPr="001D0C34">
              <w:rPr>
                <w:sz w:val="20"/>
                <w:szCs w:val="20"/>
              </w:rPr>
              <w:t xml:space="preserve">UCCs, Commissioners or the </w:t>
            </w:r>
            <w:r w:rsidR="00191B90">
              <w:rPr>
                <w:sz w:val="20"/>
                <w:szCs w:val="20"/>
              </w:rPr>
              <w:t>d</w:t>
            </w:r>
            <w:r w:rsidRPr="001D0C34">
              <w:rPr>
                <w:sz w:val="20"/>
                <w:szCs w:val="20"/>
              </w:rPr>
              <w:t>epartment.</w:t>
            </w:r>
          </w:p>
          <w:p w14:paraId="1A497BC5" w14:textId="77777777" w:rsidR="00A84528" w:rsidRPr="001D0C34" w:rsidRDefault="00A84528" w:rsidP="002213D5">
            <w:pPr>
              <w:rPr>
                <w:sz w:val="20"/>
                <w:szCs w:val="20"/>
              </w:rPr>
            </w:pPr>
          </w:p>
        </w:tc>
        <w:tc>
          <w:tcPr>
            <w:tcW w:w="4814" w:type="dxa"/>
          </w:tcPr>
          <w:p w14:paraId="101DF336" w14:textId="0500CBAB" w:rsidR="00A84528" w:rsidRPr="001D0C34" w:rsidRDefault="00E61A3A" w:rsidP="00E61A3A">
            <w:pPr>
              <w:rPr>
                <w:sz w:val="20"/>
                <w:szCs w:val="20"/>
              </w:rPr>
            </w:pPr>
            <w:r w:rsidRPr="001D0C34">
              <w:rPr>
                <w:sz w:val="20"/>
                <w:szCs w:val="20"/>
              </w:rPr>
              <w:t xml:space="preserve">The </w:t>
            </w:r>
            <w:r w:rsidR="00EB072D">
              <w:rPr>
                <w:sz w:val="20"/>
                <w:szCs w:val="20"/>
              </w:rPr>
              <w:t>d</w:t>
            </w:r>
            <w:r w:rsidRPr="001D0C34">
              <w:rPr>
                <w:sz w:val="20"/>
                <w:szCs w:val="20"/>
              </w:rPr>
              <w:t xml:space="preserve">epartment has developed and maintained a privacy impact assessment which highlights privacy risk areas and areas for improvement to help the </w:t>
            </w:r>
            <w:r w:rsidR="00EB072D">
              <w:rPr>
                <w:sz w:val="20"/>
                <w:szCs w:val="20"/>
              </w:rPr>
              <w:t>d</w:t>
            </w:r>
            <w:r w:rsidRPr="001D0C34">
              <w:rPr>
                <w:sz w:val="20"/>
                <w:szCs w:val="20"/>
              </w:rPr>
              <w:t xml:space="preserve">epartment manage these identified risks and impacts. The </w:t>
            </w:r>
            <w:r w:rsidR="00EB072D">
              <w:rPr>
                <w:sz w:val="20"/>
                <w:szCs w:val="20"/>
              </w:rPr>
              <w:t>d</w:t>
            </w:r>
            <w:r w:rsidRPr="001D0C34">
              <w:rPr>
                <w:sz w:val="20"/>
                <w:szCs w:val="20"/>
              </w:rPr>
              <w:t>epartment also maintains a data governance framework that outlines data collection practices and management procedures.</w:t>
            </w:r>
          </w:p>
        </w:tc>
      </w:tr>
      <w:tr w:rsidR="00EE6A3A" w14:paraId="32E1F8AB" w14:textId="77777777">
        <w:tc>
          <w:tcPr>
            <w:tcW w:w="4814" w:type="dxa"/>
          </w:tcPr>
          <w:p w14:paraId="5A1EFD7C" w14:textId="26F74F49" w:rsidR="00EE6A3A" w:rsidRPr="001D0C34" w:rsidRDefault="00EE6A3A" w:rsidP="00EE6A3A">
            <w:pPr>
              <w:rPr>
                <w:sz w:val="20"/>
                <w:szCs w:val="20"/>
              </w:rPr>
            </w:pPr>
            <w:r w:rsidRPr="001D0C34">
              <w:rPr>
                <w:sz w:val="20"/>
                <w:szCs w:val="20"/>
              </w:rPr>
              <w:t xml:space="preserve">New Medicare UCCs </w:t>
            </w:r>
            <w:proofErr w:type="gramStart"/>
            <w:r w:rsidRPr="001D0C34">
              <w:rPr>
                <w:sz w:val="20"/>
                <w:szCs w:val="20"/>
              </w:rPr>
              <w:t>do</w:t>
            </w:r>
            <w:proofErr w:type="gramEnd"/>
            <w:r w:rsidRPr="001D0C34">
              <w:rPr>
                <w:sz w:val="20"/>
                <w:szCs w:val="20"/>
              </w:rPr>
              <w:t xml:space="preserve"> not meet </w:t>
            </w:r>
            <w:r w:rsidR="00EB04BF">
              <w:rPr>
                <w:sz w:val="20"/>
                <w:szCs w:val="20"/>
              </w:rPr>
              <w:t>g</w:t>
            </w:r>
            <w:r w:rsidRPr="001D0C34">
              <w:rPr>
                <w:sz w:val="20"/>
                <w:szCs w:val="20"/>
              </w:rPr>
              <w:t>overnment expectations.</w:t>
            </w:r>
          </w:p>
          <w:p w14:paraId="5F70C308" w14:textId="77777777" w:rsidR="00EE6A3A" w:rsidRPr="001D0C34" w:rsidRDefault="00EE6A3A" w:rsidP="00EE6A3A">
            <w:pPr>
              <w:rPr>
                <w:sz w:val="20"/>
                <w:szCs w:val="20"/>
              </w:rPr>
            </w:pPr>
          </w:p>
        </w:tc>
        <w:tc>
          <w:tcPr>
            <w:tcW w:w="4814" w:type="dxa"/>
          </w:tcPr>
          <w:p w14:paraId="03F6ECAA" w14:textId="1043FE57" w:rsidR="00EE6A3A" w:rsidRPr="001D0C34" w:rsidRDefault="00795A1A" w:rsidP="00795A1A">
            <w:pPr>
              <w:rPr>
                <w:sz w:val="20"/>
                <w:szCs w:val="20"/>
              </w:rPr>
            </w:pPr>
            <w:r w:rsidRPr="001D0C34">
              <w:rPr>
                <w:sz w:val="20"/>
                <w:szCs w:val="20"/>
              </w:rPr>
              <w:t xml:space="preserve">The </w:t>
            </w:r>
            <w:r w:rsidR="00EB072D">
              <w:rPr>
                <w:sz w:val="20"/>
                <w:szCs w:val="20"/>
              </w:rPr>
              <w:t>d</w:t>
            </w:r>
            <w:r w:rsidRPr="001D0C34">
              <w:rPr>
                <w:sz w:val="20"/>
                <w:szCs w:val="20"/>
              </w:rPr>
              <w:t xml:space="preserve">epartment </w:t>
            </w:r>
            <w:r w:rsidR="001618B9">
              <w:rPr>
                <w:sz w:val="20"/>
                <w:szCs w:val="20"/>
              </w:rPr>
              <w:t>ha</w:t>
            </w:r>
            <w:r w:rsidRPr="001D0C34">
              <w:rPr>
                <w:sz w:val="20"/>
                <w:szCs w:val="20"/>
              </w:rPr>
              <w:t>s review</w:t>
            </w:r>
            <w:r w:rsidR="001618B9">
              <w:rPr>
                <w:sz w:val="20"/>
                <w:szCs w:val="20"/>
              </w:rPr>
              <w:t>ed</w:t>
            </w:r>
            <w:r w:rsidRPr="001D0C34">
              <w:rPr>
                <w:sz w:val="20"/>
                <w:szCs w:val="20"/>
              </w:rPr>
              <w:t xml:space="preserve"> existing contract guidance and funding arrangements to </w:t>
            </w:r>
            <w:r w:rsidR="007322E8" w:rsidRPr="001D0C34">
              <w:rPr>
                <w:sz w:val="20"/>
                <w:szCs w:val="20"/>
              </w:rPr>
              <w:t>ensure expectations</w:t>
            </w:r>
            <w:r w:rsidRPr="001D0C34">
              <w:rPr>
                <w:sz w:val="20"/>
                <w:szCs w:val="20"/>
              </w:rPr>
              <w:t xml:space="preserve"> around the delivery of the Medicare UCC program. The </w:t>
            </w:r>
            <w:r w:rsidR="00EB072D">
              <w:rPr>
                <w:sz w:val="20"/>
                <w:szCs w:val="20"/>
              </w:rPr>
              <w:t>d</w:t>
            </w:r>
            <w:r w:rsidRPr="001D0C34">
              <w:rPr>
                <w:sz w:val="20"/>
                <w:szCs w:val="20"/>
              </w:rPr>
              <w:t>epartment is also considering the development of industry or commissioner briefings to clarify expectations of future providers prior to the procurement process.</w:t>
            </w:r>
          </w:p>
        </w:tc>
      </w:tr>
      <w:tr w:rsidR="00EE6A3A" w14:paraId="6B6ABF09" w14:textId="77777777">
        <w:tc>
          <w:tcPr>
            <w:tcW w:w="4814" w:type="dxa"/>
          </w:tcPr>
          <w:p w14:paraId="65ECC332" w14:textId="77777777" w:rsidR="00EE6A3A" w:rsidRPr="001D0C34" w:rsidRDefault="00EE6A3A" w:rsidP="00EE6A3A">
            <w:pPr>
              <w:rPr>
                <w:sz w:val="20"/>
                <w:szCs w:val="20"/>
              </w:rPr>
            </w:pPr>
            <w:r w:rsidRPr="001D0C34">
              <w:rPr>
                <w:sz w:val="20"/>
                <w:szCs w:val="20"/>
              </w:rPr>
              <w:t>New Medicare UCCs may not be viable due to limited workforce capacity, or limited interest and / or availability of local community healthcare services or GPs in Program participation.</w:t>
            </w:r>
          </w:p>
          <w:p w14:paraId="69557358" w14:textId="77777777" w:rsidR="00EE6A3A" w:rsidRPr="001D0C34" w:rsidRDefault="00EE6A3A" w:rsidP="00EE6A3A">
            <w:pPr>
              <w:rPr>
                <w:sz w:val="20"/>
                <w:szCs w:val="20"/>
              </w:rPr>
            </w:pPr>
          </w:p>
        </w:tc>
        <w:tc>
          <w:tcPr>
            <w:tcW w:w="4814" w:type="dxa"/>
          </w:tcPr>
          <w:p w14:paraId="0E36E7E4" w14:textId="1B81088E" w:rsidR="00EE6A3A" w:rsidRPr="001D0C34" w:rsidRDefault="00C46EAE" w:rsidP="00C46EAE">
            <w:pPr>
              <w:rPr>
                <w:sz w:val="20"/>
                <w:szCs w:val="20"/>
              </w:rPr>
            </w:pPr>
            <w:r w:rsidRPr="001D0C34">
              <w:rPr>
                <w:sz w:val="20"/>
                <w:szCs w:val="20"/>
              </w:rPr>
              <w:t xml:space="preserve">The </w:t>
            </w:r>
            <w:r w:rsidR="00EB072D">
              <w:rPr>
                <w:sz w:val="20"/>
                <w:szCs w:val="20"/>
              </w:rPr>
              <w:t>d</w:t>
            </w:r>
            <w:r w:rsidRPr="001D0C34">
              <w:rPr>
                <w:sz w:val="20"/>
                <w:szCs w:val="20"/>
              </w:rPr>
              <w:t xml:space="preserve">epartment is consulting with local state and territory governments as well as </w:t>
            </w:r>
            <w:r w:rsidR="001618B9">
              <w:rPr>
                <w:sz w:val="20"/>
                <w:szCs w:val="20"/>
              </w:rPr>
              <w:t>PHNs</w:t>
            </w:r>
            <w:r w:rsidRPr="001D0C34">
              <w:rPr>
                <w:sz w:val="20"/>
                <w:szCs w:val="20"/>
              </w:rPr>
              <w:t xml:space="preserve"> to ensure that future locations are selected with consideration of existing workforce in the area, and that selected providers have demonstrated their capacity to staff and deliver the program.</w:t>
            </w:r>
          </w:p>
        </w:tc>
      </w:tr>
      <w:tr w:rsidR="00EE6A3A" w14:paraId="61DD2586" w14:textId="77777777">
        <w:tc>
          <w:tcPr>
            <w:tcW w:w="4814" w:type="dxa"/>
          </w:tcPr>
          <w:p w14:paraId="70177128" w14:textId="77777777" w:rsidR="00EE6A3A" w:rsidRPr="001D0C34" w:rsidRDefault="00EE6A3A" w:rsidP="00EE6A3A">
            <w:pPr>
              <w:rPr>
                <w:sz w:val="20"/>
                <w:szCs w:val="20"/>
              </w:rPr>
            </w:pPr>
          </w:p>
        </w:tc>
        <w:tc>
          <w:tcPr>
            <w:tcW w:w="4814" w:type="dxa"/>
          </w:tcPr>
          <w:p w14:paraId="4E5D06DD" w14:textId="349F06C6" w:rsidR="00EE6A3A" w:rsidRPr="001D0C34" w:rsidRDefault="00EE6A3A" w:rsidP="001D0C34">
            <w:pPr>
              <w:rPr>
                <w:sz w:val="20"/>
                <w:szCs w:val="20"/>
              </w:rPr>
            </w:pPr>
          </w:p>
        </w:tc>
      </w:tr>
    </w:tbl>
    <w:p w14:paraId="4B7C7A4B" w14:textId="42FDAB55" w:rsidR="007550AB" w:rsidRDefault="007550AB">
      <w:pPr>
        <w:spacing w:after="200" w:line="288" w:lineRule="auto"/>
      </w:pPr>
    </w:p>
    <w:p w14:paraId="29AE9E47" w14:textId="1BFCBBF3" w:rsidR="00BD171D" w:rsidRDefault="007550AB" w:rsidP="00BB4B8C">
      <w:pPr>
        <w:pStyle w:val="Heading1"/>
        <w:numPr>
          <w:ilvl w:val="0"/>
          <w:numId w:val="13"/>
        </w:numPr>
      </w:pPr>
      <w:bookmarkStart w:id="83" w:name="_Toc212110400"/>
      <w:r>
        <w:lastRenderedPageBreak/>
        <w:t>How will you evaluate your chosen option against the success metrics?</w:t>
      </w:r>
      <w:bookmarkEnd w:id="83"/>
    </w:p>
    <w:p w14:paraId="35E6D315" w14:textId="75386F53" w:rsidR="005640AC" w:rsidRDefault="005640AC" w:rsidP="005640AC">
      <w:r>
        <w:t xml:space="preserve">An independent evaluation of the Medicare UCC Program has commenced. </w:t>
      </w:r>
      <w:r w:rsidR="007E5143">
        <w:t>The</w:t>
      </w:r>
      <w:r w:rsidR="003E01D5">
        <w:t xml:space="preserve"> </w:t>
      </w:r>
      <w:r w:rsidR="003D1F58" w:rsidRPr="003D1F58">
        <w:t>Interim Evaluation</w:t>
      </w:r>
      <w:r w:rsidR="00DB0E1D">
        <w:t xml:space="preserve"> </w:t>
      </w:r>
      <w:r w:rsidR="00F510CD">
        <w:t>Report</w:t>
      </w:r>
      <w:r w:rsidR="003D1F58" w:rsidRPr="003D1F58">
        <w:t xml:space="preserve"> has been developed by the Nous Group (Nous) as the first of three reports that will progressively evaluate th</w:t>
      </w:r>
      <w:r w:rsidR="003D1F58">
        <w:t>e</w:t>
      </w:r>
      <w:r w:rsidR="003D1F58" w:rsidRPr="003D1F58">
        <w:t xml:space="preserve"> program through to 2026. Interim Evaluation Report 2 is due in late 2025 and the Final Evaluation Report in 2026. Th</w:t>
      </w:r>
      <w:r w:rsidR="003D1F58">
        <w:t>e Interim</w:t>
      </w:r>
      <w:r w:rsidR="00F510CD">
        <w:t xml:space="preserve"> Evaluation</w:t>
      </w:r>
      <w:r w:rsidR="003D1F58" w:rsidRPr="003D1F58">
        <w:t xml:space="preserve"> report is based on information available from the establishment of the first clinics on 30 June 2023 through to 30 September 2024, at which time 75 of the proposed 87 clinics had been established. Given the program is still in implementation stage, the report does not contain any final evaluation findings.</w:t>
      </w:r>
    </w:p>
    <w:p w14:paraId="01DCDAD1" w14:textId="6C7E7CB8" w:rsidR="005640AC" w:rsidRPr="001513BF" w:rsidRDefault="005640AC" w:rsidP="001513BF">
      <w:pPr>
        <w:pStyle w:val="Heading2"/>
      </w:pPr>
      <w:bookmarkStart w:id="84" w:name="_Toc212110401"/>
      <w:r w:rsidRPr="001513BF">
        <w:t>Ongoing monitoring and evaluation</w:t>
      </w:r>
      <w:bookmarkEnd w:id="84"/>
    </w:p>
    <w:p w14:paraId="294B9D76" w14:textId="748F533A" w:rsidR="005640AC" w:rsidRPr="00651DF0" w:rsidRDefault="005640AC" w:rsidP="005640AC">
      <w:r>
        <w:t xml:space="preserve">The department </w:t>
      </w:r>
      <w:r w:rsidR="4D70FFA6">
        <w:t>undertake</w:t>
      </w:r>
      <w:r w:rsidR="2E76E92B">
        <w:t>s</w:t>
      </w:r>
      <w:r w:rsidR="00DB1B3B">
        <w:t xml:space="preserve"> continual</w:t>
      </w:r>
      <w:r>
        <w:t xml:space="preserve"> comprehensive engagement, monitoring and analysis including regular engagement with Medicare UCC Commissioners, monitoring of data and performance. T</w:t>
      </w:r>
      <w:r w:rsidRPr="00651DF0">
        <w:t>he department collects and has access to a range of data relevant to the Medicare UCC program including:</w:t>
      </w:r>
    </w:p>
    <w:p w14:paraId="54E476F5" w14:textId="6FD2B3B8" w:rsidR="005640AC" w:rsidRPr="00651DF0" w:rsidRDefault="005640AC" w:rsidP="005640AC">
      <w:pPr>
        <w:pStyle w:val="ListParagraph"/>
        <w:numPr>
          <w:ilvl w:val="0"/>
          <w:numId w:val="27"/>
        </w:numPr>
      </w:pPr>
      <w:r w:rsidRPr="00651DF0">
        <w:t>Medicare UCC data module</w:t>
      </w:r>
    </w:p>
    <w:p w14:paraId="5BB46C98" w14:textId="5E52C18D" w:rsidR="005640AC" w:rsidRPr="00651DF0" w:rsidRDefault="005640AC" w:rsidP="005640AC">
      <w:pPr>
        <w:pStyle w:val="ListParagraph"/>
        <w:numPr>
          <w:ilvl w:val="0"/>
          <w:numId w:val="27"/>
        </w:numPr>
      </w:pPr>
      <w:r w:rsidRPr="00651DF0">
        <w:t xml:space="preserve">Emergency </w:t>
      </w:r>
      <w:r w:rsidR="00191B90">
        <w:t>d</w:t>
      </w:r>
      <w:r w:rsidRPr="00651DF0">
        <w:t xml:space="preserve">epartment data </w:t>
      </w:r>
    </w:p>
    <w:p w14:paraId="33B6EA05" w14:textId="3589881A" w:rsidR="005640AC" w:rsidRPr="00651DF0" w:rsidRDefault="005640AC" w:rsidP="005640AC">
      <w:pPr>
        <w:pStyle w:val="ListParagraph"/>
        <w:numPr>
          <w:ilvl w:val="0"/>
          <w:numId w:val="27"/>
        </w:numPr>
      </w:pPr>
      <w:r w:rsidRPr="00651DF0">
        <w:t>MBS and PBS data</w:t>
      </w:r>
    </w:p>
    <w:p w14:paraId="0B3CA3C0" w14:textId="7552BF8D" w:rsidR="005640AC" w:rsidRPr="00651DF0" w:rsidRDefault="005640AC" w:rsidP="005640AC">
      <w:pPr>
        <w:pStyle w:val="ListParagraph"/>
        <w:numPr>
          <w:ilvl w:val="0"/>
          <w:numId w:val="27"/>
        </w:numPr>
      </w:pPr>
      <w:r w:rsidRPr="00651DF0">
        <w:t>Healthdirect data</w:t>
      </w:r>
    </w:p>
    <w:p w14:paraId="3062BFBD" w14:textId="63C83048" w:rsidR="005640AC" w:rsidRPr="00651DF0" w:rsidRDefault="005640AC" w:rsidP="005640AC">
      <w:pPr>
        <w:pStyle w:val="ListParagraph"/>
        <w:numPr>
          <w:ilvl w:val="0"/>
          <w:numId w:val="27"/>
        </w:numPr>
      </w:pPr>
      <w:r w:rsidRPr="00651DF0">
        <w:t xml:space="preserve">Patient and staff experience survey data </w:t>
      </w:r>
    </w:p>
    <w:p w14:paraId="2E42AC35" w14:textId="018D8F8D" w:rsidR="005640AC" w:rsidRDefault="005640AC" w:rsidP="005640AC">
      <w:pPr>
        <w:rPr>
          <w:color w:val="FF0000"/>
        </w:rPr>
      </w:pPr>
      <w:r w:rsidRPr="00651DF0">
        <w:t xml:space="preserve">A future approach to evaluation will involve ongoing monitoring through measures such as national patient surveys and </w:t>
      </w:r>
      <w:r w:rsidR="00A77503">
        <w:t>potential</w:t>
      </w:r>
      <w:r w:rsidRPr="00651DF0">
        <w:t xml:space="preserve"> data linkage project</w:t>
      </w:r>
      <w:r w:rsidR="00A77503">
        <w:t>s</w:t>
      </w:r>
      <w:r w:rsidRPr="00651DF0">
        <w:t>. Plans for further evaluation will be developed in consultation with the Office of the Chief Health Economist, the Health Economics and Research Division and other relevant stakeholders to determine the recommended approach and most suitable timing. Consideration will be given to opportunities to streamline and comprehensively evaluate the urgent care landscape, Medicare UCC evaluation findings, extension of the program beyond 2026 and the implementation of other urgent care initiatives</w:t>
      </w:r>
      <w:r w:rsidRPr="007322E8">
        <w:t xml:space="preserve">. </w:t>
      </w:r>
      <w:r w:rsidR="006E5C38" w:rsidRPr="007322E8">
        <w:t>Future</w:t>
      </w:r>
      <w:r w:rsidR="002532A8" w:rsidRPr="007322E8">
        <w:t xml:space="preserve"> data linkage projects will provide insights on </w:t>
      </w:r>
      <w:r w:rsidR="00CD118A" w:rsidRPr="007322E8">
        <w:t xml:space="preserve">patient </w:t>
      </w:r>
      <w:r w:rsidR="006E5C38" w:rsidRPr="007322E8">
        <w:t>p</w:t>
      </w:r>
      <w:r w:rsidR="00CD118A" w:rsidRPr="007322E8">
        <w:t xml:space="preserve">athways through the health system in geographic areas and </w:t>
      </w:r>
      <w:r w:rsidR="006E5C38" w:rsidRPr="007322E8">
        <w:t xml:space="preserve">will </w:t>
      </w:r>
      <w:r w:rsidR="00CD118A" w:rsidRPr="007322E8">
        <w:t>help inform areas of high demand fo</w:t>
      </w:r>
      <w:r w:rsidR="00B50FCF" w:rsidRPr="007322E8">
        <w:t>r</w:t>
      </w:r>
      <w:r w:rsidR="00CD118A" w:rsidRPr="007322E8">
        <w:t xml:space="preserve"> urgent care</w:t>
      </w:r>
      <w:r w:rsidR="006B5EC9" w:rsidRPr="007322E8">
        <w:t>.</w:t>
      </w:r>
      <w:r w:rsidR="00125EA2" w:rsidRPr="007322E8">
        <w:t xml:space="preserve"> </w:t>
      </w:r>
      <w:r w:rsidR="00AB2CE3" w:rsidRPr="007322E8">
        <w:t xml:space="preserve">Evaluation over a longer period will </w:t>
      </w:r>
      <w:r w:rsidR="003F289F" w:rsidRPr="007322E8">
        <w:t xml:space="preserve">better inform patient </w:t>
      </w:r>
      <w:r w:rsidR="00227B81" w:rsidRPr="007322E8">
        <w:t>behaviours</w:t>
      </w:r>
      <w:r w:rsidR="003F289F" w:rsidRPr="007322E8">
        <w:t xml:space="preserve"> change in the health system and impacts on EDs.</w:t>
      </w:r>
    </w:p>
    <w:p w14:paraId="7D7C0CF8" w14:textId="054DD116" w:rsidR="0099150D" w:rsidRPr="007322E8" w:rsidRDefault="0099150D" w:rsidP="005640AC">
      <w:r w:rsidRPr="007322E8">
        <w:t xml:space="preserve">Future evaluation questions will aim to assess patient and provider satisfaction and perceptions of safety and quality of services through regular feedback surveys. These surveys align with current measures of success related to safe and quality treatment, timely treatment, positive patient and provider experiences, and coordinated care. Future data linkage projects will also support evaluation to determine whether Medicare UCCs and potentially other state funded models of urgent care are meeting unmet demand; diverting patients away from EDs; resulting in changes in patient behaviour when seeking primary care over time. The data linkage projects can help inform </w:t>
      </w:r>
      <w:r w:rsidRPr="007322E8">
        <w:lastRenderedPageBreak/>
        <w:t>current measures of success related to reducing pressure on EDs, and changes in consumer behaviour over time.</w:t>
      </w:r>
    </w:p>
    <w:p w14:paraId="502BF9BF" w14:textId="77777777" w:rsidR="007550AB" w:rsidRDefault="007550AB">
      <w:pPr>
        <w:spacing w:after="200" w:line="288" w:lineRule="auto"/>
      </w:pPr>
      <w:r>
        <w:br w:type="page"/>
      </w:r>
    </w:p>
    <w:p w14:paraId="1D6C0363" w14:textId="5FB379FF" w:rsidR="007550AB" w:rsidRDefault="009E68F6" w:rsidP="00C20BD8">
      <w:pPr>
        <w:pStyle w:val="Heading1"/>
      </w:pPr>
      <w:bookmarkStart w:id="85" w:name="_Toc212110402"/>
      <w:r>
        <w:lastRenderedPageBreak/>
        <w:t>Appendix 1: Status of Policy Impact Analysis at each major decision point</w:t>
      </w:r>
      <w:bookmarkEnd w:id="85"/>
      <w:r>
        <w:t xml:space="preserve"> </w:t>
      </w:r>
    </w:p>
    <w:p w14:paraId="7D30E0A5" w14:textId="77777777" w:rsidR="00C20BD8" w:rsidRPr="00C20BD8" w:rsidRDefault="00C20BD8" w:rsidP="00C20BD8"/>
    <w:tbl>
      <w:tblPr>
        <w:tblStyle w:val="TableGrid"/>
        <w:tblW w:w="0" w:type="auto"/>
        <w:tblLook w:val="04A0" w:firstRow="1" w:lastRow="0" w:firstColumn="1" w:lastColumn="0" w:noHBand="0" w:noVBand="1"/>
      </w:tblPr>
      <w:tblGrid>
        <w:gridCol w:w="3751"/>
        <w:gridCol w:w="2155"/>
        <w:gridCol w:w="3722"/>
      </w:tblGrid>
      <w:tr w:rsidR="009E68F6" w:rsidRPr="009E68F6" w14:paraId="36D580AF" w14:textId="77777777" w:rsidTr="00340241">
        <w:tc>
          <w:tcPr>
            <w:tcW w:w="3955" w:type="dxa"/>
            <w:shd w:val="clear" w:color="auto" w:fill="D4F1FF" w:themeFill="text2" w:themeFillTint="1A"/>
          </w:tcPr>
          <w:p w14:paraId="6349192E" w14:textId="72EE853D" w:rsidR="009E68F6" w:rsidRPr="009E68F6" w:rsidRDefault="009E68F6" w:rsidP="007550AB">
            <w:pPr>
              <w:rPr>
                <w:b/>
                <w:bCs/>
              </w:rPr>
            </w:pPr>
            <w:r w:rsidRPr="009E68F6">
              <w:rPr>
                <w:b/>
                <w:bCs/>
              </w:rPr>
              <w:t xml:space="preserve">Decision point/point in policy development </w:t>
            </w:r>
          </w:p>
        </w:tc>
        <w:tc>
          <w:tcPr>
            <w:tcW w:w="1733" w:type="dxa"/>
            <w:shd w:val="clear" w:color="auto" w:fill="D4F1FF" w:themeFill="text2" w:themeFillTint="1A"/>
          </w:tcPr>
          <w:p w14:paraId="0657E5FC" w14:textId="2E0570D5" w:rsidR="009E68F6" w:rsidRPr="009E68F6" w:rsidRDefault="009E68F6" w:rsidP="007550AB">
            <w:pPr>
              <w:rPr>
                <w:b/>
                <w:bCs/>
              </w:rPr>
            </w:pPr>
            <w:r w:rsidRPr="009E68F6">
              <w:rPr>
                <w:b/>
                <w:bCs/>
              </w:rPr>
              <w:t>Timeframe</w:t>
            </w:r>
          </w:p>
        </w:tc>
        <w:tc>
          <w:tcPr>
            <w:tcW w:w="3940" w:type="dxa"/>
            <w:shd w:val="clear" w:color="auto" w:fill="D4F1FF" w:themeFill="text2" w:themeFillTint="1A"/>
          </w:tcPr>
          <w:p w14:paraId="751EBA14" w14:textId="0A100EDA" w:rsidR="009E68F6" w:rsidRPr="009E68F6" w:rsidRDefault="009E68F6" w:rsidP="007550AB">
            <w:pPr>
              <w:rPr>
                <w:b/>
                <w:bCs/>
              </w:rPr>
            </w:pPr>
            <w:r w:rsidRPr="009E68F6">
              <w:rPr>
                <w:b/>
                <w:bCs/>
              </w:rPr>
              <w:t xml:space="preserve">Status of the Policy Impact Analysis </w:t>
            </w:r>
          </w:p>
        </w:tc>
      </w:tr>
      <w:tr w:rsidR="009E68F6" w14:paraId="33C7374A" w14:textId="77777777" w:rsidTr="00340241">
        <w:tc>
          <w:tcPr>
            <w:tcW w:w="3955" w:type="dxa"/>
          </w:tcPr>
          <w:p w14:paraId="37B6974F" w14:textId="4732F3E9" w:rsidR="009E68F6" w:rsidRDefault="00B04FBC" w:rsidP="007550AB">
            <w:r>
              <w:t>Australian Labor Party e</w:t>
            </w:r>
            <w:r w:rsidR="00951E52">
              <w:t xml:space="preserve">lection commitment to establish Medicare </w:t>
            </w:r>
            <w:r w:rsidR="00D6141A">
              <w:t>UCCs</w:t>
            </w:r>
            <w:r w:rsidR="00951E52">
              <w:t xml:space="preserve"> </w:t>
            </w:r>
          </w:p>
        </w:tc>
        <w:tc>
          <w:tcPr>
            <w:tcW w:w="1733" w:type="dxa"/>
          </w:tcPr>
          <w:p w14:paraId="72D79474" w14:textId="18FC3CCA" w:rsidR="009E68F6" w:rsidRDefault="00EB072D" w:rsidP="007550AB">
            <w:r>
              <w:t xml:space="preserve">April </w:t>
            </w:r>
            <w:r w:rsidR="00B04FBC">
              <w:t>2022</w:t>
            </w:r>
          </w:p>
        </w:tc>
        <w:tc>
          <w:tcPr>
            <w:tcW w:w="3940" w:type="dxa"/>
          </w:tcPr>
          <w:p w14:paraId="53670F6A" w14:textId="66C1C3B9" w:rsidR="009E68F6" w:rsidRDefault="00B04FBC" w:rsidP="007550AB">
            <w:r>
              <w:t xml:space="preserve">Nil </w:t>
            </w:r>
          </w:p>
        </w:tc>
      </w:tr>
      <w:tr w:rsidR="009E68F6" w14:paraId="383AD258" w14:textId="77777777" w:rsidTr="00340241">
        <w:tc>
          <w:tcPr>
            <w:tcW w:w="3955" w:type="dxa"/>
          </w:tcPr>
          <w:p w14:paraId="7CA0ED4B" w14:textId="3A9C3530" w:rsidR="009E68F6" w:rsidRDefault="00951E52" w:rsidP="007550AB">
            <w:r>
              <w:t>Australian Government announce</w:t>
            </w:r>
            <w:r w:rsidR="00D6141A">
              <w:t xml:space="preserve">d </w:t>
            </w:r>
            <w:r>
              <w:t xml:space="preserve">funding </w:t>
            </w:r>
            <w:r w:rsidR="00D6141A">
              <w:t xml:space="preserve">over four years </w:t>
            </w:r>
            <w:r>
              <w:t xml:space="preserve">in October 2022-23 Budget to establish </w:t>
            </w:r>
            <w:r w:rsidR="00D6141A">
              <w:t>Medicare UCCs.</w:t>
            </w:r>
          </w:p>
        </w:tc>
        <w:tc>
          <w:tcPr>
            <w:tcW w:w="1733" w:type="dxa"/>
          </w:tcPr>
          <w:p w14:paraId="44BC472A" w14:textId="46E5F631" w:rsidR="009E68F6" w:rsidRDefault="00D6141A" w:rsidP="007550AB">
            <w:r>
              <w:t xml:space="preserve">Oct </w:t>
            </w:r>
            <w:r w:rsidR="00951E52">
              <w:t>2022</w:t>
            </w:r>
          </w:p>
        </w:tc>
        <w:tc>
          <w:tcPr>
            <w:tcW w:w="3940" w:type="dxa"/>
          </w:tcPr>
          <w:p w14:paraId="0602E5E9" w14:textId="4AF2A6E7" w:rsidR="009E68F6" w:rsidRDefault="00951E52" w:rsidP="007550AB">
            <w:r>
              <w:t xml:space="preserve">Draft Regulation Impact Statement developed </w:t>
            </w:r>
          </w:p>
        </w:tc>
      </w:tr>
      <w:tr w:rsidR="00951E52" w14:paraId="3C6F944D" w14:textId="77777777" w:rsidTr="00340241">
        <w:tc>
          <w:tcPr>
            <w:tcW w:w="3955" w:type="dxa"/>
          </w:tcPr>
          <w:p w14:paraId="29B4AD4B" w14:textId="7EAA5E49" w:rsidR="00951E52" w:rsidRDefault="00D6141A" w:rsidP="007550AB">
            <w:r>
              <w:t>Australian Government announce</w:t>
            </w:r>
            <w:r w:rsidR="00B04FBC">
              <w:t>d</w:t>
            </w:r>
            <w:r>
              <w:t xml:space="preserve"> additional funding over three years in May 2023-24 Budget to establish Medicare UCCs, bringing total to 58.</w:t>
            </w:r>
          </w:p>
        </w:tc>
        <w:tc>
          <w:tcPr>
            <w:tcW w:w="1733" w:type="dxa"/>
          </w:tcPr>
          <w:p w14:paraId="1368ED3E" w14:textId="0A088957" w:rsidR="00951E52" w:rsidRDefault="00D6141A" w:rsidP="007550AB">
            <w:r>
              <w:t>May 2023</w:t>
            </w:r>
          </w:p>
        </w:tc>
        <w:tc>
          <w:tcPr>
            <w:tcW w:w="3940" w:type="dxa"/>
          </w:tcPr>
          <w:p w14:paraId="3B621294" w14:textId="73E9D7BD" w:rsidR="00951E52" w:rsidRDefault="00D6141A" w:rsidP="007550AB">
            <w:r>
              <w:t>Draft Regulation Impact Statement</w:t>
            </w:r>
          </w:p>
        </w:tc>
      </w:tr>
      <w:tr w:rsidR="00D6141A" w14:paraId="625A8B8A" w14:textId="77777777" w:rsidTr="00340241">
        <w:tc>
          <w:tcPr>
            <w:tcW w:w="3955" w:type="dxa"/>
          </w:tcPr>
          <w:p w14:paraId="507026AC" w14:textId="465F6D17" w:rsidR="00D6141A" w:rsidRDefault="00D6141A" w:rsidP="007550AB">
            <w:r w:rsidRPr="00565E4A">
              <w:t xml:space="preserve">National Cabinet </w:t>
            </w:r>
            <w:r w:rsidR="00565E4A" w:rsidRPr="00565E4A">
              <w:t>a</w:t>
            </w:r>
            <w:r w:rsidR="00565E4A" w:rsidRPr="00D10311">
              <w:t xml:space="preserve">greed to additional </w:t>
            </w:r>
            <w:r w:rsidR="00565E4A">
              <w:t xml:space="preserve">funding for </w:t>
            </w:r>
            <w:r w:rsidR="00B04FBC" w:rsidRPr="00565E4A">
              <w:t>Medicare UCCs</w:t>
            </w:r>
            <w:r w:rsidR="00565E4A" w:rsidRPr="00D10311">
              <w:t>.</w:t>
            </w:r>
            <w:r w:rsidR="00B04FBC">
              <w:t xml:space="preserve"> </w:t>
            </w:r>
          </w:p>
        </w:tc>
        <w:tc>
          <w:tcPr>
            <w:tcW w:w="1733" w:type="dxa"/>
          </w:tcPr>
          <w:p w14:paraId="79887224" w14:textId="204D8BAE" w:rsidR="00D6141A" w:rsidRDefault="00D6141A" w:rsidP="007550AB">
            <w:r>
              <w:t>Dec 2023</w:t>
            </w:r>
          </w:p>
        </w:tc>
        <w:tc>
          <w:tcPr>
            <w:tcW w:w="3940" w:type="dxa"/>
          </w:tcPr>
          <w:p w14:paraId="028FD13C" w14:textId="3AB3B74A" w:rsidR="00D6141A" w:rsidRDefault="00B04FBC" w:rsidP="007550AB">
            <w:r>
              <w:t>Draft Regulation Impact Statement</w:t>
            </w:r>
          </w:p>
        </w:tc>
      </w:tr>
      <w:tr w:rsidR="001C0F01" w14:paraId="1A9AABEE" w14:textId="77777777" w:rsidTr="00340241">
        <w:tc>
          <w:tcPr>
            <w:tcW w:w="3955" w:type="dxa"/>
          </w:tcPr>
          <w:p w14:paraId="7098BC94" w14:textId="5EEE95D1" w:rsidR="001C0F01" w:rsidRPr="001C0F01" w:rsidRDefault="001C0F01" w:rsidP="007550AB">
            <w:pPr>
              <w:rPr>
                <w:highlight w:val="yellow"/>
              </w:rPr>
            </w:pPr>
            <w:r w:rsidRPr="00D10311">
              <w:t xml:space="preserve">Australian Government announced </w:t>
            </w:r>
            <w:r w:rsidR="002D023E" w:rsidRPr="00D10311">
              <w:t>funding to establish 29 new Medicare UCCs, as part of the 2024-25 Budget</w:t>
            </w:r>
            <w:r w:rsidR="00565E4A" w:rsidRPr="00D10311">
              <w:t>.</w:t>
            </w:r>
          </w:p>
        </w:tc>
        <w:tc>
          <w:tcPr>
            <w:tcW w:w="1733" w:type="dxa"/>
          </w:tcPr>
          <w:p w14:paraId="2E875AB9" w14:textId="5A0AB24A" w:rsidR="001C0F01" w:rsidRDefault="00565E4A" w:rsidP="007550AB">
            <w:r>
              <w:t>May 2024</w:t>
            </w:r>
          </w:p>
        </w:tc>
        <w:tc>
          <w:tcPr>
            <w:tcW w:w="3940" w:type="dxa"/>
          </w:tcPr>
          <w:p w14:paraId="19B046D9" w14:textId="5959CE27" w:rsidR="001C0F01" w:rsidRDefault="00565E4A" w:rsidP="007550AB">
            <w:r>
              <w:t>Draft Regulation Impact Statement</w:t>
            </w:r>
          </w:p>
        </w:tc>
      </w:tr>
      <w:tr w:rsidR="00B04FBC" w14:paraId="7C984586" w14:textId="77777777" w:rsidTr="00340241">
        <w:tc>
          <w:tcPr>
            <w:tcW w:w="3955" w:type="dxa"/>
          </w:tcPr>
          <w:p w14:paraId="45A19EFD" w14:textId="0E910704" w:rsidR="00B04FBC" w:rsidRDefault="00B04FBC" w:rsidP="007550AB">
            <w:r>
              <w:t>Australian Government announced funding over three years in the March 2025-26 Budget to establish</w:t>
            </w:r>
            <w:r w:rsidR="002A4AD2">
              <w:t xml:space="preserve"> 50</w:t>
            </w:r>
            <w:r>
              <w:t xml:space="preserve"> new Medicare UCCs.</w:t>
            </w:r>
          </w:p>
        </w:tc>
        <w:tc>
          <w:tcPr>
            <w:tcW w:w="1733" w:type="dxa"/>
          </w:tcPr>
          <w:p w14:paraId="645D20E8" w14:textId="4408A01B" w:rsidR="00B04FBC" w:rsidRDefault="00B04FBC" w:rsidP="007550AB">
            <w:r>
              <w:t>March 2025</w:t>
            </w:r>
          </w:p>
        </w:tc>
        <w:tc>
          <w:tcPr>
            <w:tcW w:w="3940" w:type="dxa"/>
          </w:tcPr>
          <w:p w14:paraId="63C44BAE" w14:textId="02282D26" w:rsidR="00B04FBC" w:rsidRDefault="00B04FBC" w:rsidP="007550AB">
            <w:r>
              <w:t>Draft Regulation Impact Statement</w:t>
            </w:r>
          </w:p>
        </w:tc>
      </w:tr>
      <w:tr w:rsidR="00B04FBC" w14:paraId="06CB0D7A" w14:textId="77777777" w:rsidTr="00340241">
        <w:tc>
          <w:tcPr>
            <w:tcW w:w="3955" w:type="dxa"/>
          </w:tcPr>
          <w:p w14:paraId="4FBADE4F" w14:textId="7D57C357" w:rsidR="00B04FBC" w:rsidRDefault="00B04FBC" w:rsidP="00B04FBC">
            <w:r>
              <w:t xml:space="preserve">First </w:t>
            </w:r>
            <w:r w:rsidR="00B0370C">
              <w:t xml:space="preserve">and Second </w:t>
            </w:r>
            <w:r>
              <w:t xml:space="preserve">Pass Assessment by OIA </w:t>
            </w:r>
          </w:p>
        </w:tc>
        <w:tc>
          <w:tcPr>
            <w:tcW w:w="1733" w:type="dxa"/>
          </w:tcPr>
          <w:p w14:paraId="4EEF4E25" w14:textId="034A17CF" w:rsidR="00B04FBC" w:rsidRDefault="00B04FBC" w:rsidP="00B04FBC">
            <w:r>
              <w:t>September</w:t>
            </w:r>
            <w:r w:rsidR="00B0370C">
              <w:t>/</w:t>
            </w:r>
            <w:r w:rsidR="009D5578">
              <w:t>October</w:t>
            </w:r>
            <w:r>
              <w:t xml:space="preserve"> 2025</w:t>
            </w:r>
          </w:p>
        </w:tc>
        <w:tc>
          <w:tcPr>
            <w:tcW w:w="3940" w:type="dxa"/>
          </w:tcPr>
          <w:p w14:paraId="4D95CC4A" w14:textId="1B18D4E2" w:rsidR="00B04FBC" w:rsidRDefault="00B04FBC" w:rsidP="00B04FBC">
            <w:r>
              <w:t>Draft Regulation Impact Statement updated to a Policy Impact Analysis</w:t>
            </w:r>
            <w:r w:rsidR="009D5578">
              <w:t xml:space="preserve"> and finalised for final assessment by the OIA.</w:t>
            </w:r>
            <w:r>
              <w:t xml:space="preserve"> </w:t>
            </w:r>
          </w:p>
        </w:tc>
      </w:tr>
    </w:tbl>
    <w:p w14:paraId="461F87BF" w14:textId="77777777" w:rsidR="007550AB" w:rsidRPr="007550AB" w:rsidRDefault="007550AB" w:rsidP="007550AB"/>
    <w:sectPr w:rsidR="007550AB" w:rsidRPr="007550AB" w:rsidSect="00D6141A">
      <w:headerReference w:type="first" r:id="rId20"/>
      <w:footerReference w:type="first" r:id="rId21"/>
      <w:pgSz w:w="11906" w:h="16838"/>
      <w:pgMar w:top="1531" w:right="1134" w:bottom="1843" w:left="1134" w:header="992"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CD7AA" w14:textId="77777777" w:rsidR="003973BC" w:rsidRDefault="003973BC" w:rsidP="00F957C6">
      <w:pPr>
        <w:spacing w:after="0" w:line="240" w:lineRule="auto"/>
      </w:pPr>
      <w:r>
        <w:separator/>
      </w:r>
    </w:p>
  </w:endnote>
  <w:endnote w:type="continuationSeparator" w:id="0">
    <w:p w14:paraId="1C13DCAF" w14:textId="77777777" w:rsidR="003973BC" w:rsidRDefault="003973BC" w:rsidP="00F957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rdo">
    <w:altName w:val="Times New Roman"/>
    <w:charset w:val="00"/>
    <w:family w:val="roman"/>
    <w:pitch w:val="variable"/>
    <w:sig w:usb0="E40008FF" w:usb1="5201E0FB" w:usb2="04608000" w:usb3="00000000" w:csb0="000000BB" w:csb1="00000000"/>
  </w:font>
  <w:font w:name="Segoe UI Symbol">
    <w:panose1 w:val="020B0502040204020203"/>
    <w:charset w:val="00"/>
    <w:family w:val="swiss"/>
    <w:pitch w:val="variable"/>
    <w:sig w:usb0="800001E3" w:usb1="1200FFEF" w:usb2="00040000" w:usb3="00000000" w:csb0="00000001" w:csb1="00000000"/>
  </w:font>
  <w:font w:name="MS Mincho">
    <w:panose1 w:val="02020609040205080304"/>
    <w:charset w:val="80"/>
    <w:family w:val="modern"/>
    <w:pitch w:val="fixed"/>
    <w:sig w:usb0="E00002FF" w:usb1="6AC7FDFB" w:usb2="08000012" w:usb3="00000000" w:csb0="0002009F" w:csb1="00000000"/>
  </w:font>
  <w:font w:name="Segoe UI Semibold">
    <w:panose1 w:val="020B07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98D8A" w14:textId="7641746F" w:rsidR="0063233D" w:rsidRDefault="001E2D92">
    <w:pPr>
      <w:pStyle w:val="Footer"/>
    </w:pPr>
    <w:r>
      <w:rPr>
        <w:noProof/>
      </w:rPr>
      <mc:AlternateContent>
        <mc:Choice Requires="wps">
          <w:drawing>
            <wp:anchor distT="0" distB="0" distL="0" distR="0" simplePos="0" relativeHeight="251670534" behindDoc="0" locked="0" layoutInCell="1" allowOverlap="1" wp14:anchorId="481CC494" wp14:editId="4AAF9F86">
              <wp:simplePos x="635" y="635"/>
              <wp:positionH relativeFrom="page">
                <wp:align>center</wp:align>
              </wp:positionH>
              <wp:positionV relativeFrom="page">
                <wp:align>bottom</wp:align>
              </wp:positionV>
              <wp:extent cx="622300" cy="394970"/>
              <wp:effectExtent l="0" t="0" r="6350" b="0"/>
              <wp:wrapNone/>
              <wp:docPr id="1177322124"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4970"/>
                      </a:xfrm>
                      <a:prstGeom prst="rect">
                        <a:avLst/>
                      </a:prstGeom>
                      <a:noFill/>
                      <a:ln>
                        <a:noFill/>
                      </a:ln>
                    </wps:spPr>
                    <wps:txbx>
                      <w:txbxContent>
                        <w:p w14:paraId="47A1D8DB" w14:textId="27092486" w:rsidR="001E2D92" w:rsidRPr="001E2D92" w:rsidRDefault="001E2D92" w:rsidP="001E2D92">
                          <w:pPr>
                            <w:spacing w:after="0"/>
                            <w:rPr>
                              <w:rFonts w:ascii="Aptos" w:eastAsia="Aptos" w:hAnsi="Aptos" w:cs="Aptos"/>
                              <w:noProof/>
                              <w:color w:val="FF0000"/>
                              <w:sz w:val="24"/>
                              <w:szCs w:val="24"/>
                            </w:rPr>
                          </w:pPr>
                          <w:r w:rsidRPr="001E2D92">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81CC494" id="_x0000_t202" coordsize="21600,21600" o:spt="202" path="m,l,21600r21600,l21600,xe">
              <v:stroke joinstyle="miter"/>
              <v:path gradientshapeok="t" o:connecttype="rect"/>
            </v:shapetype>
            <v:shape id="Text Box 6" o:spid="_x0000_s1027" type="#_x0000_t202" alt="OFFICIAL" style="position:absolute;margin-left:0;margin-top:0;width:49pt;height:31.1pt;z-index:25167053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b4bDQIAABwEAAAOAAAAZHJzL2Uyb0RvYy54bWysU01v2zAMvQ/YfxB0X+ykW7cYcYqsRYYB&#10;QVsgHXpWZCk2IIsCpcTOfv0oJU66bqeiF5kmKX689zS76VvD9gp9A7bk41HOmbISqsZuS/7rafnp&#10;G2c+CFsJA1aV/KA8v5l//DDrXKEmUIOpFDIqYn3RuZLXIbgiy7ysVSv8CJyyFNSArQj0i9usQtFR&#10;9dZkkzy/zjrAyiFI5T15745BPk/1tVYyPGjtVWCm5DRbSCemcxPPbD4TxRaFqxt5GkO8YYpWNJaa&#10;nkvdiSDYDpt/SrWNRPCgw0hCm4HWjVRpB9pmnL/aZl0Lp9IuBI53Z5j8+5WV9/u1e0QW+u/QE4ER&#10;kM75wpMz7tNrbOOXJmUUJwgPZ9hUH5gk5/VkcpVTRFLoavp5+jXBml0uO/Thh4KWRaPkSKwksMR+&#10;5QM1pNQhJfaysGyMScwY+5eDEqMnu0wYrdBvetZUL6bfQHWgpRCOfHsnlw21XgkfHgUSwTQtiTY8&#10;0KENdCWHk8VZDfj7f/6YT7hTlLOOBFNyS4rmzPy0xEfU1mDgYGySMZ7mXyI8dtfeAslwTC/CyWSS&#10;F4MZTI3QPpOcF7ERhYSV1K7km8G8DUfl0nOQarFISSQjJ8LKrp2MpSNcEcun/lmgOwEeiKl7GNQk&#10;ile4H3PjTe8Wu0DoJ1IitEcgT4iTBBNXp+cSNf7yP2VdHvX8DwAAAP//AwBQSwMEFAAGAAgAAAAh&#10;AKoRVZHZAAAAAwEAAA8AAABkcnMvZG93bnJldi54bWxMj0FLw0AQhe+C/2EZwZvdmGKpMZsiBU8V&#10;oa0Xb9vdaRLNzobspE3/vaMXvTx4vOG9b8rVFDp1wiG1kQzczzJQSC76lmoD7/uXuyWoxJa87SKh&#10;gQsmWFXXV6UtfDzTFk87rpWUUCqsgYa5L7ROrsFg0yz2SJId4xAsix1q7Qd7lvLQ6TzLFjrYlmSh&#10;sT2uG3RfuzEYeNjy6/hG+/nHlF8+N/3azY8bZ8ztzfT8BIpx4r9j+MEXdKiE6RBH8kl1BuQR/lXJ&#10;HpfiDgYWeQ66KvV/9uobAAD//wMAUEsBAi0AFAAGAAgAAAAhALaDOJL+AAAA4QEAABMAAAAAAAAA&#10;AAAAAAAAAAAAAFtDb250ZW50X1R5cGVzXS54bWxQSwECLQAUAAYACAAAACEAOP0h/9YAAACUAQAA&#10;CwAAAAAAAAAAAAAAAAAvAQAAX3JlbHMvLnJlbHNQSwECLQAUAAYACAAAACEAhaW+Gw0CAAAcBAAA&#10;DgAAAAAAAAAAAAAAAAAuAgAAZHJzL2Uyb0RvYy54bWxQSwECLQAUAAYACAAAACEAqhFVkdkAAAAD&#10;AQAADwAAAAAAAAAAAAAAAABnBAAAZHJzL2Rvd25yZXYueG1sUEsFBgAAAAAEAAQA8wAAAG0FAAAA&#10;AA==&#10;" filled="f" stroked="f">
              <v:textbox style="mso-fit-shape-to-text:t" inset="0,0,0,15pt">
                <w:txbxContent>
                  <w:p w14:paraId="47A1D8DB" w14:textId="27092486" w:rsidR="001E2D92" w:rsidRPr="001E2D92" w:rsidRDefault="001E2D92" w:rsidP="001E2D92">
                    <w:pPr>
                      <w:spacing w:after="0"/>
                      <w:rPr>
                        <w:rFonts w:ascii="Aptos" w:eastAsia="Aptos" w:hAnsi="Aptos" w:cs="Aptos"/>
                        <w:noProof/>
                        <w:color w:val="FF0000"/>
                        <w:sz w:val="24"/>
                        <w:szCs w:val="24"/>
                      </w:rPr>
                    </w:pPr>
                    <w:r w:rsidRPr="001E2D92">
                      <w:rPr>
                        <w:rFonts w:ascii="Aptos" w:eastAsia="Aptos" w:hAnsi="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557B7" w14:textId="25063B7D" w:rsidR="00D10635" w:rsidRPr="00F86700" w:rsidRDefault="00D10635" w:rsidP="00F86700">
    <w:pPr>
      <w:pStyle w:val="CLASSIFICATION"/>
    </w:pPr>
  </w:p>
  <w:p w14:paraId="50F872E6" w14:textId="13AD0EE3" w:rsidR="003A48DC" w:rsidRPr="00BB1526" w:rsidRDefault="003A48DC" w:rsidP="003A48DC">
    <w:pPr>
      <w:pStyle w:val="Header"/>
      <w:rPr>
        <w:rFonts w:ascii="Segoe UI" w:hAnsi="Segoe UI" w:cs="Segoe UI"/>
        <w:color w:val="6E6E6E"/>
        <w:sz w:val="18"/>
      </w:rPr>
    </w:pPr>
    <w:r>
      <w:rPr>
        <w:color w:val="6E6E6E"/>
        <w:sz w:val="18"/>
        <w:szCs w:val="18"/>
      </w:rPr>
      <w:t>Health, Disability and Ageing</w:t>
    </w:r>
    <w:r w:rsidRPr="00852F35">
      <w:rPr>
        <w:color w:val="6E6E6E"/>
        <w:sz w:val="18"/>
        <w:szCs w:val="18"/>
      </w:rPr>
      <w:t xml:space="preserve"> | </w:t>
    </w:r>
    <w:r w:rsidRPr="003A48DC">
      <w:rPr>
        <w:color w:val="6E6E6E"/>
        <w:sz w:val="18"/>
        <w:szCs w:val="18"/>
      </w:rPr>
      <w:t>Ongoing Funding for Medicare Urgent Care Clinics - 2025 Impact Analysis</w:t>
    </w:r>
    <w:r w:rsidRPr="00852F35">
      <w:rPr>
        <w:color w:val="6E6E6E"/>
      </w:rPr>
      <w:ptab w:relativeTo="margin" w:alignment="right" w:leader="none"/>
    </w:r>
    <w:r w:rsidRPr="00852F35">
      <w:rPr>
        <w:rFonts w:ascii="Segoe UI" w:hAnsi="Segoe UI" w:cs="Segoe UI"/>
        <w:color w:val="6E6E6E"/>
        <w:sz w:val="18"/>
      </w:rPr>
      <w:fldChar w:fldCharType="begin"/>
    </w:r>
    <w:r w:rsidRPr="00852F35">
      <w:rPr>
        <w:rFonts w:ascii="Segoe UI" w:hAnsi="Segoe UI" w:cs="Segoe UI"/>
        <w:color w:val="6E6E6E"/>
        <w:sz w:val="18"/>
      </w:rPr>
      <w:instrText xml:space="preserve"> PAGE   \* MERGEFORMAT </w:instrText>
    </w:r>
    <w:r w:rsidRPr="00852F35">
      <w:rPr>
        <w:rFonts w:ascii="Segoe UI" w:hAnsi="Segoe UI" w:cs="Segoe UI"/>
        <w:color w:val="6E6E6E"/>
        <w:sz w:val="18"/>
      </w:rPr>
      <w:fldChar w:fldCharType="separate"/>
    </w:r>
    <w:r w:rsidR="005C1884">
      <w:rPr>
        <w:rFonts w:ascii="Segoe UI" w:hAnsi="Segoe UI" w:cs="Segoe UI"/>
        <w:noProof/>
        <w:color w:val="6E6E6E"/>
        <w:sz w:val="18"/>
      </w:rPr>
      <w:t>5</w:t>
    </w:r>
    <w:r w:rsidRPr="00852F35">
      <w:rPr>
        <w:rFonts w:ascii="Segoe UI" w:hAnsi="Segoe UI" w:cs="Segoe UI"/>
        <w:noProof/>
        <w:color w:val="6E6E6E"/>
        <w:sz w:val="18"/>
      </w:rPr>
      <w:fldChar w:fldCharType="end"/>
    </w:r>
  </w:p>
  <w:p w14:paraId="3FE30A75" w14:textId="35FC6EA2" w:rsidR="00037513" w:rsidRPr="00852F35" w:rsidRDefault="00037513" w:rsidP="00D10635">
    <w:pPr>
      <w:pStyle w:val="Header"/>
      <w:rPr>
        <w:rFonts w:ascii="Segoe UI" w:hAnsi="Segoe UI" w:cs="Segoe UI"/>
        <w:color w:val="6E6E6E"/>
        <w:sz w:val="18"/>
      </w:rPr>
    </w:pPr>
    <w:r w:rsidRPr="00852F35">
      <w:rPr>
        <w:color w:val="6E6E6E"/>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06BD7" w14:textId="265AD6F6" w:rsidR="00464D89" w:rsidRDefault="00464D89" w:rsidP="00464D89">
    <w:pPr>
      <w:pStyle w:val="Head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D67A5" w14:textId="2244C080" w:rsidR="001517A3" w:rsidRDefault="001517A3" w:rsidP="00464D89">
    <w:pPr>
      <w:pStyle w:val="Head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8B4C3E" w14:textId="77777777" w:rsidR="003973BC" w:rsidRDefault="003973BC" w:rsidP="00F957C6">
      <w:pPr>
        <w:spacing w:after="0" w:line="240" w:lineRule="auto"/>
      </w:pPr>
      <w:r>
        <w:separator/>
      </w:r>
    </w:p>
  </w:footnote>
  <w:footnote w:type="continuationSeparator" w:id="0">
    <w:p w14:paraId="4DFB35D1" w14:textId="77777777" w:rsidR="003973BC" w:rsidRDefault="003973BC" w:rsidP="00F957C6">
      <w:pPr>
        <w:spacing w:after="0" w:line="240" w:lineRule="auto"/>
      </w:pPr>
      <w:r>
        <w:continuationSeparator/>
      </w:r>
    </w:p>
  </w:footnote>
  <w:footnote w:id="1">
    <w:p w14:paraId="1E32C4AB" w14:textId="77777777" w:rsidR="00B92955" w:rsidRDefault="00B92955" w:rsidP="00B92955">
      <w:pPr>
        <w:pStyle w:val="FootnoteText"/>
      </w:pPr>
      <w:r>
        <w:rPr>
          <w:rStyle w:val="FootnoteReference"/>
        </w:rPr>
        <w:footnoteRef/>
      </w:r>
      <w:r>
        <w:t xml:space="preserve"> </w:t>
      </w:r>
      <w:hyperlink r:id="rId1" w:history="1">
        <w:r w:rsidRPr="00B9286F">
          <w:rPr>
            <w:rStyle w:val="Hyperlink"/>
            <w:i/>
            <w:iCs/>
            <w:sz w:val="16"/>
            <w:szCs w:val="16"/>
          </w:rPr>
          <w:t>Urgent Care Clinics</w:t>
        </w:r>
      </w:hyperlink>
      <w:r w:rsidRPr="008607F3">
        <w:rPr>
          <w:sz w:val="16"/>
          <w:szCs w:val="16"/>
        </w:rPr>
        <w:t>. (n.d.). Parliamentary Budget Office. Retrieved September 12, 2025</w:t>
      </w:r>
      <w:r>
        <w:rPr>
          <w:sz w:val="16"/>
          <w:szCs w:val="16"/>
        </w:rPr>
        <w:t>.</w:t>
      </w:r>
    </w:p>
  </w:footnote>
  <w:footnote w:id="2">
    <w:p w14:paraId="077EBBCE" w14:textId="73535844" w:rsidR="00D4624C" w:rsidRPr="00DC76E3" w:rsidRDefault="00D4624C">
      <w:pPr>
        <w:pStyle w:val="FootnoteText"/>
        <w:rPr>
          <w:sz w:val="16"/>
          <w:szCs w:val="16"/>
        </w:rPr>
      </w:pPr>
      <w:r w:rsidRPr="00DC76E3">
        <w:rPr>
          <w:rStyle w:val="FootnoteReference"/>
          <w:sz w:val="16"/>
          <w:szCs w:val="16"/>
        </w:rPr>
        <w:footnoteRef/>
      </w:r>
      <w:r w:rsidRPr="00DC76E3">
        <w:rPr>
          <w:sz w:val="16"/>
          <w:szCs w:val="16"/>
        </w:rPr>
        <w:t xml:space="preserve"> </w:t>
      </w:r>
      <w:hyperlink r:id="rId2" w:anchor="more-data" w:history="1">
        <w:r w:rsidR="00363714" w:rsidRPr="00650ED1">
          <w:rPr>
            <w:rStyle w:val="Hyperlink"/>
            <w:i/>
            <w:iCs/>
            <w:sz w:val="16"/>
            <w:szCs w:val="16"/>
          </w:rPr>
          <w:t>Emergency department care</w:t>
        </w:r>
      </w:hyperlink>
      <w:r w:rsidR="00363714" w:rsidRPr="00DC76E3">
        <w:rPr>
          <w:sz w:val="16"/>
          <w:szCs w:val="16"/>
        </w:rPr>
        <w:t>. (</w:t>
      </w:r>
      <w:r w:rsidR="00304197" w:rsidRPr="00DC76E3">
        <w:rPr>
          <w:sz w:val="16"/>
          <w:szCs w:val="16"/>
        </w:rPr>
        <w:t xml:space="preserve">14 </w:t>
      </w:r>
      <w:r w:rsidR="00363714" w:rsidRPr="00DC76E3">
        <w:rPr>
          <w:sz w:val="16"/>
          <w:szCs w:val="16"/>
        </w:rPr>
        <w:t xml:space="preserve">May </w:t>
      </w:r>
      <w:r w:rsidR="00304197" w:rsidRPr="00DC76E3">
        <w:rPr>
          <w:sz w:val="16"/>
          <w:szCs w:val="16"/>
        </w:rPr>
        <w:t>2025</w:t>
      </w:r>
      <w:r w:rsidR="00363714" w:rsidRPr="00DC76E3">
        <w:rPr>
          <w:sz w:val="16"/>
          <w:szCs w:val="16"/>
        </w:rPr>
        <w:t>). Australian Institute of Health and Welfare. Retrieved September 12, 2025</w:t>
      </w:r>
      <w:r w:rsidR="00650ED1">
        <w:rPr>
          <w:sz w:val="16"/>
          <w:szCs w:val="16"/>
        </w:rPr>
        <w:t>.</w:t>
      </w:r>
    </w:p>
  </w:footnote>
  <w:footnote w:id="3">
    <w:p w14:paraId="3641A574" w14:textId="412C9F37" w:rsidR="00CC646D" w:rsidRPr="00DC76E3" w:rsidRDefault="00CC646D" w:rsidP="00CC646D">
      <w:pPr>
        <w:pStyle w:val="FootnoteText"/>
        <w:rPr>
          <w:sz w:val="16"/>
          <w:szCs w:val="16"/>
        </w:rPr>
      </w:pPr>
      <w:r w:rsidRPr="00DC76E3">
        <w:rPr>
          <w:rStyle w:val="FootnoteReference"/>
          <w:sz w:val="16"/>
          <w:szCs w:val="16"/>
        </w:rPr>
        <w:footnoteRef/>
      </w:r>
      <w:r w:rsidRPr="00DC76E3">
        <w:rPr>
          <w:sz w:val="16"/>
          <w:szCs w:val="16"/>
        </w:rPr>
        <w:t xml:space="preserve"> </w:t>
      </w:r>
      <w:r w:rsidR="00782436" w:rsidRPr="00DC76E3">
        <w:rPr>
          <w:i/>
          <w:iCs/>
          <w:sz w:val="16"/>
          <w:szCs w:val="16"/>
        </w:rPr>
        <w:t>Australasian Triage Scale: Descriptors for categories</w:t>
      </w:r>
      <w:r w:rsidR="00782436" w:rsidRPr="00DC76E3">
        <w:rPr>
          <w:sz w:val="16"/>
          <w:szCs w:val="16"/>
        </w:rPr>
        <w:t>. (2023). Australasian College for Emergency Medicine. Retrieved September 12, 2025</w:t>
      </w:r>
      <w:r w:rsidR="00A76E10">
        <w:rPr>
          <w:sz w:val="16"/>
          <w:szCs w:val="16"/>
        </w:rPr>
        <w:t>.</w:t>
      </w:r>
    </w:p>
  </w:footnote>
  <w:footnote w:id="4">
    <w:p w14:paraId="5FAF5C4B" w14:textId="5A228913" w:rsidR="00B31A58" w:rsidRPr="00690ACA" w:rsidRDefault="00B31A58">
      <w:pPr>
        <w:pStyle w:val="FootnoteText"/>
        <w:rPr>
          <w:sz w:val="16"/>
          <w:szCs w:val="16"/>
        </w:rPr>
      </w:pPr>
      <w:r w:rsidRPr="00690ACA">
        <w:rPr>
          <w:rStyle w:val="FootnoteReference"/>
          <w:sz w:val="16"/>
          <w:szCs w:val="16"/>
        </w:rPr>
        <w:footnoteRef/>
      </w:r>
      <w:r w:rsidRPr="00690ACA">
        <w:rPr>
          <w:sz w:val="16"/>
          <w:szCs w:val="16"/>
        </w:rPr>
        <w:t xml:space="preserve"> </w:t>
      </w:r>
      <w:r w:rsidRPr="00690ACA">
        <w:rPr>
          <w:i/>
          <w:iCs/>
          <w:sz w:val="16"/>
          <w:szCs w:val="16"/>
        </w:rPr>
        <w:t>6 reasons why it’s so hard to see a GP</w:t>
      </w:r>
      <w:r w:rsidRPr="00690ACA">
        <w:rPr>
          <w:sz w:val="16"/>
          <w:szCs w:val="16"/>
        </w:rPr>
        <w:t>. (2025, February 14). Hippocampus. Retrieved October 3, 2025, from</w:t>
      </w:r>
      <w:r>
        <w:rPr>
          <w:sz w:val="16"/>
          <w:szCs w:val="16"/>
        </w:rPr>
        <w:t xml:space="preserve">: </w:t>
      </w:r>
      <w:r w:rsidRPr="00690ACA">
        <w:rPr>
          <w:sz w:val="16"/>
          <w:szCs w:val="16"/>
        </w:rPr>
        <w:t>www.newcastle.edu.au/hippocampus/story/2023/6-reasons-why-its-so-hard-to-see-a-gp</w:t>
      </w:r>
    </w:p>
  </w:footnote>
  <w:footnote w:id="5">
    <w:p w14:paraId="26D6690E" w14:textId="455F9E26" w:rsidR="00CC646D" w:rsidRPr="00DC76E3" w:rsidRDefault="00CC646D" w:rsidP="00CC646D">
      <w:pPr>
        <w:pStyle w:val="FootnoteText"/>
        <w:rPr>
          <w:sz w:val="16"/>
          <w:szCs w:val="16"/>
        </w:rPr>
      </w:pPr>
      <w:r w:rsidRPr="00DC76E3">
        <w:rPr>
          <w:rStyle w:val="FootnoteReference"/>
          <w:sz w:val="16"/>
          <w:szCs w:val="16"/>
        </w:rPr>
        <w:footnoteRef/>
      </w:r>
      <w:r w:rsidRPr="00DC76E3">
        <w:rPr>
          <w:sz w:val="16"/>
          <w:szCs w:val="16"/>
        </w:rPr>
        <w:t xml:space="preserve"> </w:t>
      </w:r>
      <w:hyperlink r:id="rId3" w:history="1">
        <w:r w:rsidR="005C7D17" w:rsidRPr="00B907DD">
          <w:rPr>
            <w:rStyle w:val="Hyperlink"/>
            <w:i/>
            <w:iCs/>
            <w:sz w:val="16"/>
            <w:szCs w:val="16"/>
          </w:rPr>
          <w:t>General Practice: Health of the Nation Report.</w:t>
        </w:r>
      </w:hyperlink>
      <w:r w:rsidR="005C7D17" w:rsidRPr="00DC76E3">
        <w:rPr>
          <w:sz w:val="16"/>
          <w:szCs w:val="16"/>
        </w:rPr>
        <w:t xml:space="preserve"> (2021). In </w:t>
      </w:r>
      <w:r w:rsidR="005C7D17" w:rsidRPr="00DC76E3">
        <w:rPr>
          <w:i/>
          <w:iCs/>
          <w:sz w:val="16"/>
          <w:szCs w:val="16"/>
        </w:rPr>
        <w:t>General Practice Health of the Nation 2024</w:t>
      </w:r>
      <w:r w:rsidR="005C7D17" w:rsidRPr="00DC76E3">
        <w:rPr>
          <w:sz w:val="16"/>
          <w:szCs w:val="16"/>
        </w:rPr>
        <w:t>. Royal Australian College of General Practitioners. Retrieved September 12, 2025</w:t>
      </w:r>
      <w:r w:rsidR="00B907DD">
        <w:rPr>
          <w:sz w:val="16"/>
          <w:szCs w:val="16"/>
        </w:rPr>
        <w:t>.</w:t>
      </w:r>
    </w:p>
  </w:footnote>
  <w:footnote w:id="6">
    <w:p w14:paraId="64D43AA8" w14:textId="147EBC48" w:rsidR="009F6DCE" w:rsidRPr="009F6DCE" w:rsidRDefault="009F6DCE">
      <w:pPr>
        <w:pStyle w:val="FootnoteText"/>
        <w:rPr>
          <w:sz w:val="16"/>
          <w:szCs w:val="16"/>
        </w:rPr>
      </w:pPr>
      <w:r w:rsidRPr="00C54E24">
        <w:rPr>
          <w:rStyle w:val="FootnoteReference"/>
          <w:sz w:val="16"/>
          <w:szCs w:val="16"/>
        </w:rPr>
        <w:footnoteRef/>
      </w:r>
      <w:r w:rsidRPr="00C54E24">
        <w:rPr>
          <w:sz w:val="16"/>
          <w:szCs w:val="16"/>
        </w:rPr>
        <w:t xml:space="preserve"> </w:t>
      </w:r>
      <w:hyperlink r:id="rId4" w:history="1">
        <w:r w:rsidR="00922A11" w:rsidRPr="00B907DD">
          <w:rPr>
            <w:rStyle w:val="Hyperlink"/>
            <w:i/>
            <w:iCs/>
            <w:sz w:val="16"/>
            <w:szCs w:val="16"/>
          </w:rPr>
          <w:t>Medicare bulk billing and out-of-pocket costs of GP attendances over time</w:t>
        </w:r>
        <w:r w:rsidR="00922A11" w:rsidRPr="00B907DD">
          <w:rPr>
            <w:rStyle w:val="Hyperlink"/>
            <w:sz w:val="16"/>
            <w:szCs w:val="16"/>
          </w:rPr>
          <w:t>.</w:t>
        </w:r>
      </w:hyperlink>
      <w:r w:rsidR="00922A11" w:rsidRPr="00DC76E3">
        <w:rPr>
          <w:sz w:val="16"/>
          <w:szCs w:val="16"/>
        </w:rPr>
        <w:t xml:space="preserve"> (2024, December 13). Australian Institute of Health and Welfare. Retrieved September 12, 2025</w:t>
      </w:r>
      <w:r w:rsidR="00B907DD">
        <w:rPr>
          <w:sz w:val="16"/>
          <w:szCs w:val="16"/>
        </w:rPr>
        <w:t>.</w:t>
      </w:r>
    </w:p>
  </w:footnote>
  <w:footnote w:id="7">
    <w:p w14:paraId="7F334DA6" w14:textId="3CC68BC8" w:rsidR="00EB1133" w:rsidRPr="00EB1133" w:rsidRDefault="00EB1133">
      <w:pPr>
        <w:pStyle w:val="FootnoteText"/>
        <w:rPr>
          <w:sz w:val="16"/>
          <w:szCs w:val="16"/>
        </w:rPr>
      </w:pPr>
      <w:r>
        <w:rPr>
          <w:rStyle w:val="FootnoteReference"/>
        </w:rPr>
        <w:footnoteRef/>
      </w:r>
      <w:r>
        <w:t xml:space="preserve"> </w:t>
      </w:r>
      <w:hyperlink r:id="rId5" w:history="1">
        <w:r w:rsidR="006747EF" w:rsidRPr="00A25167">
          <w:rPr>
            <w:rStyle w:val="Hyperlink"/>
            <w:i/>
            <w:iCs/>
            <w:sz w:val="16"/>
            <w:szCs w:val="16"/>
          </w:rPr>
          <w:t>Medicare bulk billing and out-of-pocket costs of GP attendances over time</w:t>
        </w:r>
      </w:hyperlink>
      <w:r w:rsidR="006747EF" w:rsidRPr="00922A11">
        <w:rPr>
          <w:sz w:val="16"/>
          <w:szCs w:val="16"/>
        </w:rPr>
        <w:t>. (2024, December 13). Australian Institute of Health and Welfare. Retrieved September 12, 2025</w:t>
      </w:r>
      <w:r w:rsidR="00A25167">
        <w:rPr>
          <w:sz w:val="16"/>
          <w:szCs w:val="16"/>
        </w:rPr>
        <w:t>.</w:t>
      </w:r>
    </w:p>
  </w:footnote>
  <w:footnote w:id="8">
    <w:p w14:paraId="4A67D970" w14:textId="672B0873" w:rsidR="00D20ED3" w:rsidRDefault="00D20ED3">
      <w:pPr>
        <w:pStyle w:val="FootnoteText"/>
      </w:pPr>
      <w:r>
        <w:rPr>
          <w:rStyle w:val="FootnoteReference"/>
        </w:rPr>
        <w:footnoteRef/>
      </w:r>
      <w:r>
        <w:t xml:space="preserve"> </w:t>
      </w:r>
      <w:hyperlink r:id="rId6" w:history="1">
        <w:r w:rsidR="005F780C" w:rsidRPr="00CD1871">
          <w:rPr>
            <w:rStyle w:val="Hyperlink"/>
            <w:i/>
            <w:iCs/>
            <w:sz w:val="16"/>
            <w:szCs w:val="16"/>
          </w:rPr>
          <w:t>Upcoming changes to bulk billing incentives in general practice</w:t>
        </w:r>
      </w:hyperlink>
      <w:r w:rsidR="005F780C" w:rsidRPr="005F780C">
        <w:rPr>
          <w:sz w:val="16"/>
          <w:szCs w:val="16"/>
        </w:rPr>
        <w:t>. (2025, August 15). Department of Health, Disability and Ageing. Retrieved September 12, 2025</w:t>
      </w:r>
      <w:r w:rsidR="00CD1871">
        <w:rPr>
          <w:sz w:val="16"/>
          <w:szCs w:val="16"/>
        </w:rPr>
        <w:t>.</w:t>
      </w:r>
    </w:p>
  </w:footnote>
  <w:footnote w:id="9">
    <w:p w14:paraId="667B06F6" w14:textId="57E62E02" w:rsidR="00B61A59" w:rsidRPr="00B24B2D" w:rsidRDefault="00B61A59" w:rsidP="00B61A59">
      <w:pPr>
        <w:pStyle w:val="FootnoteText"/>
        <w:rPr>
          <w:sz w:val="16"/>
          <w:szCs w:val="16"/>
        </w:rPr>
      </w:pPr>
      <w:r>
        <w:rPr>
          <w:rStyle w:val="FootnoteReference"/>
        </w:rPr>
        <w:footnoteRef/>
      </w:r>
      <w:r>
        <w:t xml:space="preserve"> </w:t>
      </w:r>
      <w:hyperlink r:id="rId7" w:history="1">
        <w:r w:rsidR="004D43D6" w:rsidRPr="00A25167">
          <w:rPr>
            <w:rStyle w:val="Hyperlink"/>
            <w:i/>
            <w:iCs/>
            <w:sz w:val="16"/>
            <w:szCs w:val="16"/>
          </w:rPr>
          <w:t>Medicare bulk billing and out-of-pocket costs of GP attendances over time</w:t>
        </w:r>
      </w:hyperlink>
      <w:r w:rsidR="004D43D6" w:rsidRPr="00922A11">
        <w:rPr>
          <w:sz w:val="16"/>
          <w:szCs w:val="16"/>
        </w:rPr>
        <w:t>. (2024, December 13). Australian Institute of Health and Welfare. Retrieved September 12, 2025</w:t>
      </w:r>
      <w:r w:rsidR="00A25167">
        <w:rPr>
          <w:sz w:val="16"/>
          <w:szCs w:val="16"/>
        </w:rPr>
        <w:t>.</w:t>
      </w:r>
    </w:p>
  </w:footnote>
  <w:footnote w:id="10">
    <w:p w14:paraId="18C6FB9D" w14:textId="4DFB2703" w:rsidR="00B61A59" w:rsidRDefault="00B61A59" w:rsidP="00B61A59">
      <w:pPr>
        <w:pStyle w:val="FootnoteText"/>
      </w:pPr>
      <w:r w:rsidRPr="00B24B2D">
        <w:rPr>
          <w:rStyle w:val="FootnoteReference"/>
          <w:sz w:val="16"/>
          <w:szCs w:val="16"/>
        </w:rPr>
        <w:footnoteRef/>
      </w:r>
      <w:r w:rsidRPr="00B24B2D">
        <w:rPr>
          <w:sz w:val="16"/>
          <w:szCs w:val="16"/>
        </w:rPr>
        <w:t xml:space="preserve"> </w:t>
      </w:r>
      <w:hyperlink r:id="rId8" w:history="1">
        <w:r w:rsidR="004D43D6" w:rsidRPr="00A25167">
          <w:rPr>
            <w:rStyle w:val="Hyperlink"/>
            <w:i/>
            <w:iCs/>
            <w:sz w:val="16"/>
            <w:szCs w:val="16"/>
          </w:rPr>
          <w:t>Medicare bulk billing and out-of-pocket costs of GP attendances over time</w:t>
        </w:r>
        <w:r w:rsidR="004D43D6" w:rsidRPr="00A25167">
          <w:rPr>
            <w:rStyle w:val="Hyperlink"/>
            <w:sz w:val="16"/>
            <w:szCs w:val="16"/>
          </w:rPr>
          <w:t>.</w:t>
        </w:r>
      </w:hyperlink>
      <w:r w:rsidR="004D43D6" w:rsidRPr="00922A11">
        <w:rPr>
          <w:sz w:val="16"/>
          <w:szCs w:val="16"/>
        </w:rPr>
        <w:t xml:space="preserve"> (2024, December 13). Australian Institute of Health and Welfare. Retrieved September 12, 2025</w:t>
      </w:r>
      <w:r w:rsidR="00A25167">
        <w:rPr>
          <w:sz w:val="16"/>
          <w:szCs w:val="16"/>
        </w:rPr>
        <w:t>.</w:t>
      </w:r>
    </w:p>
  </w:footnote>
  <w:footnote w:id="11">
    <w:p w14:paraId="469EA555" w14:textId="7E8D57D0" w:rsidR="00CC646D" w:rsidRDefault="00CC646D" w:rsidP="00CC646D">
      <w:pPr>
        <w:pStyle w:val="FootnoteText"/>
      </w:pPr>
      <w:r w:rsidRPr="003C1102">
        <w:rPr>
          <w:rStyle w:val="FootnoteReference"/>
        </w:rPr>
        <w:footnoteRef/>
      </w:r>
      <w:r w:rsidRPr="003C1102">
        <w:rPr>
          <w:sz w:val="16"/>
        </w:rPr>
        <w:t xml:space="preserve"> </w:t>
      </w:r>
      <w:hyperlink r:id="rId9" w:anchor="more-data" w:history="1">
        <w:r w:rsidR="00692D8B" w:rsidRPr="00650ED1">
          <w:rPr>
            <w:rStyle w:val="Hyperlink"/>
            <w:i/>
            <w:iCs/>
            <w:sz w:val="16"/>
            <w:szCs w:val="16"/>
          </w:rPr>
          <w:t>Emergency department care</w:t>
        </w:r>
      </w:hyperlink>
      <w:r w:rsidR="00692D8B" w:rsidRPr="00DC76E3">
        <w:rPr>
          <w:sz w:val="16"/>
          <w:szCs w:val="16"/>
        </w:rPr>
        <w:t>. (14 May 2025). Australian Institute of Health and Welfare. Retrieved September 12, 2025</w:t>
      </w:r>
      <w:r w:rsidR="00692D8B">
        <w:rPr>
          <w:sz w:val="16"/>
          <w:szCs w:val="16"/>
        </w:rPr>
        <w:t>.</w:t>
      </w:r>
    </w:p>
  </w:footnote>
  <w:footnote w:id="12">
    <w:p w14:paraId="4F398A57" w14:textId="24E4B87B" w:rsidR="00CC646D" w:rsidRPr="00C40000" w:rsidRDefault="00CC646D" w:rsidP="00CC646D">
      <w:pPr>
        <w:pStyle w:val="FootnoteText"/>
        <w:rPr>
          <w:sz w:val="16"/>
          <w:szCs w:val="16"/>
        </w:rPr>
      </w:pPr>
      <w:r w:rsidRPr="00637303">
        <w:rPr>
          <w:rStyle w:val="FootnoteReference"/>
        </w:rPr>
        <w:footnoteRef/>
      </w:r>
      <w:r w:rsidRPr="00637303">
        <w:rPr>
          <w:sz w:val="16"/>
          <w:szCs w:val="16"/>
        </w:rPr>
        <w:t xml:space="preserve"> </w:t>
      </w:r>
      <w:hyperlink r:id="rId10" w:history="1">
        <w:r w:rsidR="00FF54AC" w:rsidRPr="00E61DC8">
          <w:rPr>
            <w:rStyle w:val="Hyperlink"/>
            <w:i/>
            <w:iCs/>
            <w:sz w:val="16"/>
            <w:szCs w:val="16"/>
          </w:rPr>
          <w:t>Reporting on the health of culturally and linguistically diverse populations in Australia: An exploratory paper</w:t>
        </w:r>
        <w:r w:rsidR="00FF54AC" w:rsidRPr="00E61DC8">
          <w:rPr>
            <w:rStyle w:val="Hyperlink"/>
            <w:sz w:val="16"/>
            <w:szCs w:val="16"/>
          </w:rPr>
          <w:t>.</w:t>
        </w:r>
      </w:hyperlink>
      <w:r w:rsidR="00FF54AC" w:rsidRPr="00FF54AC">
        <w:rPr>
          <w:sz w:val="16"/>
          <w:szCs w:val="16"/>
        </w:rPr>
        <w:t xml:space="preserve"> (2022, August 4). Australian Institute of Health and Welfare. Retrieved September 12, 2025</w:t>
      </w:r>
      <w:r w:rsidR="00FF54AC">
        <w:rPr>
          <w:sz w:val="16"/>
          <w:szCs w:val="16"/>
        </w:rPr>
        <w:t>.</w:t>
      </w:r>
    </w:p>
  </w:footnote>
  <w:footnote w:id="13">
    <w:p w14:paraId="6D7D0AFD" w14:textId="27A2ACF2" w:rsidR="00CC646D" w:rsidRPr="00C40000" w:rsidRDefault="00CC646D" w:rsidP="00CC646D">
      <w:pPr>
        <w:pStyle w:val="FootnoteText"/>
        <w:rPr>
          <w:sz w:val="16"/>
          <w:szCs w:val="16"/>
        </w:rPr>
      </w:pPr>
      <w:r w:rsidRPr="00637303">
        <w:rPr>
          <w:rStyle w:val="FootnoteReference"/>
        </w:rPr>
        <w:footnoteRef/>
      </w:r>
      <w:r w:rsidRPr="00637303">
        <w:rPr>
          <w:sz w:val="16"/>
          <w:szCs w:val="16"/>
        </w:rPr>
        <w:t xml:space="preserve"> </w:t>
      </w:r>
      <w:hyperlink r:id="rId11" w:history="1">
        <w:r w:rsidR="000D7F0D" w:rsidRPr="000C5D47">
          <w:rPr>
            <w:rStyle w:val="Hyperlink"/>
            <w:i/>
            <w:iCs/>
            <w:sz w:val="16"/>
            <w:szCs w:val="16"/>
          </w:rPr>
          <w:t>Cultural safety in health care for Indigenous Australians: monitoring framework</w:t>
        </w:r>
        <w:r w:rsidR="000D7F0D" w:rsidRPr="000C5D47">
          <w:rPr>
            <w:rStyle w:val="Hyperlink"/>
            <w:sz w:val="16"/>
            <w:szCs w:val="16"/>
          </w:rPr>
          <w:t>.</w:t>
        </w:r>
      </w:hyperlink>
      <w:r w:rsidR="000D7F0D" w:rsidRPr="000D7F0D">
        <w:rPr>
          <w:sz w:val="16"/>
          <w:szCs w:val="16"/>
        </w:rPr>
        <w:t xml:space="preserve"> (2023, July 7). Australian Institute of Health and Welfare. Retrieved September 12, 2025.</w:t>
      </w:r>
    </w:p>
  </w:footnote>
  <w:footnote w:id="14">
    <w:p w14:paraId="446B994A" w14:textId="25EBEE19" w:rsidR="00CC646D" w:rsidRPr="00C40000" w:rsidRDefault="00CC646D" w:rsidP="00CC646D">
      <w:pPr>
        <w:pStyle w:val="FootnoteText"/>
        <w:rPr>
          <w:sz w:val="16"/>
          <w:szCs w:val="16"/>
        </w:rPr>
      </w:pPr>
      <w:r w:rsidRPr="00637303">
        <w:rPr>
          <w:rStyle w:val="FootnoteReference"/>
        </w:rPr>
        <w:footnoteRef/>
      </w:r>
      <w:r w:rsidRPr="00637303">
        <w:rPr>
          <w:sz w:val="16"/>
          <w:szCs w:val="16"/>
        </w:rPr>
        <w:t xml:space="preserve"> </w:t>
      </w:r>
      <w:hyperlink r:id="rId12" w:anchor="waiting-times" w:history="1">
        <w:r w:rsidR="00644CBB" w:rsidRPr="00030A28">
          <w:rPr>
            <w:rStyle w:val="Hyperlink"/>
            <w:i/>
            <w:iCs/>
            <w:sz w:val="16"/>
            <w:szCs w:val="16"/>
          </w:rPr>
          <w:t>Patient Experiences in Australia: Summary of Findings, 2019-20 financial year</w:t>
        </w:r>
        <w:r w:rsidR="00644CBB" w:rsidRPr="00030A28">
          <w:rPr>
            <w:rStyle w:val="Hyperlink"/>
            <w:sz w:val="16"/>
            <w:szCs w:val="16"/>
          </w:rPr>
          <w:t>.</w:t>
        </w:r>
      </w:hyperlink>
      <w:r w:rsidR="00644CBB" w:rsidRPr="00644CBB">
        <w:rPr>
          <w:sz w:val="16"/>
          <w:szCs w:val="16"/>
        </w:rPr>
        <w:t xml:space="preserve"> (2020b, November 16). Australian Bureau of Statistics.</w:t>
      </w:r>
      <w:r w:rsidR="00445C5B">
        <w:rPr>
          <w:sz w:val="16"/>
          <w:szCs w:val="16"/>
        </w:rPr>
        <w:t xml:space="preserve"> Retrieved September 12, 2025.</w:t>
      </w:r>
    </w:p>
  </w:footnote>
  <w:footnote w:id="15">
    <w:p w14:paraId="387C82B2" w14:textId="783DE56E" w:rsidR="00880269" w:rsidRPr="00880269" w:rsidRDefault="00880269">
      <w:pPr>
        <w:pStyle w:val="FootnoteText"/>
        <w:rPr>
          <w:sz w:val="16"/>
          <w:szCs w:val="16"/>
        </w:rPr>
      </w:pPr>
      <w:r w:rsidRPr="00880269">
        <w:rPr>
          <w:rStyle w:val="FootnoteReference"/>
          <w:sz w:val="16"/>
          <w:szCs w:val="16"/>
        </w:rPr>
        <w:footnoteRef/>
      </w:r>
      <w:r w:rsidRPr="00880269">
        <w:rPr>
          <w:sz w:val="16"/>
          <w:szCs w:val="16"/>
        </w:rPr>
        <w:t xml:space="preserve"> </w:t>
      </w:r>
      <w:hyperlink r:id="rId13" w:history="1">
        <w:r w:rsidRPr="00572A20">
          <w:rPr>
            <w:rStyle w:val="Hyperlink"/>
            <w:i/>
            <w:iCs/>
            <w:sz w:val="16"/>
            <w:szCs w:val="16"/>
          </w:rPr>
          <w:t>Patient Experiences, 2023-24 financial year</w:t>
        </w:r>
        <w:r w:rsidRPr="00572A20">
          <w:rPr>
            <w:rStyle w:val="Hyperlink"/>
            <w:sz w:val="16"/>
            <w:szCs w:val="16"/>
          </w:rPr>
          <w:t>.</w:t>
        </w:r>
      </w:hyperlink>
      <w:r w:rsidRPr="00880269">
        <w:rPr>
          <w:sz w:val="16"/>
          <w:szCs w:val="16"/>
        </w:rPr>
        <w:t xml:space="preserve"> (2024, November 18). Australian Bureau of Statistics. </w:t>
      </w:r>
      <w:hyperlink r:id="rId14" w:history="1">
        <w:r w:rsidRPr="00880269">
          <w:rPr>
            <w:rStyle w:val="Hyperlink"/>
            <w:sz w:val="16"/>
            <w:szCs w:val="16"/>
          </w:rPr>
          <w:t>https://www.abs.gov.au/statistics/health/health-services/patient-experiences/latest-release</w:t>
        </w:r>
      </w:hyperlink>
      <w:r w:rsidRPr="00880269">
        <w:rPr>
          <w:sz w:val="16"/>
          <w:szCs w:val="16"/>
        </w:rPr>
        <w:t>. Retrieved September 12, 2025.</w:t>
      </w:r>
    </w:p>
  </w:footnote>
  <w:footnote w:id="16">
    <w:p w14:paraId="6EE495E7" w14:textId="798A59B1" w:rsidR="00CC646D" w:rsidRDefault="00CC646D" w:rsidP="00CC646D">
      <w:pPr>
        <w:pStyle w:val="FootnoteText"/>
      </w:pPr>
      <w:r w:rsidRPr="00C40000">
        <w:rPr>
          <w:rStyle w:val="FootnoteReference"/>
        </w:rPr>
        <w:footnoteRef/>
      </w:r>
      <w:r w:rsidR="001957AD" w:rsidDel="001957AD">
        <w:t xml:space="preserve"> </w:t>
      </w:r>
      <w:hyperlink r:id="rId15" w:history="1">
        <w:r w:rsidR="001957AD" w:rsidRPr="001509B0">
          <w:rPr>
            <w:rStyle w:val="Hyperlink"/>
            <w:sz w:val="16"/>
            <w:szCs w:val="16"/>
          </w:rPr>
          <w:t>National Medical Workforce Strategy 2021–2031</w:t>
        </w:r>
      </w:hyperlink>
      <w:r w:rsidR="001957AD" w:rsidRPr="001957AD">
        <w:rPr>
          <w:sz w:val="16"/>
          <w:szCs w:val="16"/>
        </w:rPr>
        <w:t>. (2022). In </w:t>
      </w:r>
      <w:r w:rsidR="001957AD" w:rsidRPr="001957AD">
        <w:rPr>
          <w:i/>
          <w:iCs/>
          <w:sz w:val="16"/>
          <w:szCs w:val="16"/>
        </w:rPr>
        <w:t>Department of Health, Disability and Ageing</w:t>
      </w:r>
      <w:r w:rsidR="001957AD" w:rsidRPr="001957AD">
        <w:rPr>
          <w:sz w:val="16"/>
          <w:szCs w:val="16"/>
        </w:rPr>
        <w:t>. Department of Health, Disability and Ageing. Retrieved September 12.</w:t>
      </w:r>
    </w:p>
  </w:footnote>
  <w:footnote w:id="17">
    <w:p w14:paraId="3E3153F2" w14:textId="2984A539" w:rsidR="00FA4008" w:rsidRPr="00FA4008" w:rsidRDefault="00FA4008">
      <w:pPr>
        <w:pStyle w:val="FootnoteText"/>
        <w:rPr>
          <w:sz w:val="16"/>
          <w:szCs w:val="16"/>
        </w:rPr>
      </w:pPr>
      <w:r w:rsidRPr="00FA4008">
        <w:rPr>
          <w:rStyle w:val="FootnoteReference"/>
          <w:sz w:val="16"/>
          <w:szCs w:val="16"/>
        </w:rPr>
        <w:footnoteRef/>
      </w:r>
      <w:hyperlink r:id="rId16" w:history="1">
        <w:r w:rsidRPr="004D6FED">
          <w:rPr>
            <w:rStyle w:val="Hyperlink"/>
            <w:sz w:val="16"/>
            <w:szCs w:val="16"/>
          </w:rPr>
          <w:t xml:space="preserve"> </w:t>
        </w:r>
        <w:r w:rsidR="00A47111" w:rsidRPr="004D6FED">
          <w:rPr>
            <w:rStyle w:val="Hyperlink"/>
            <w:sz w:val="16"/>
            <w:szCs w:val="16"/>
          </w:rPr>
          <w:t>newsGP - Record number of GPs in training to start in 2025.</w:t>
        </w:r>
      </w:hyperlink>
      <w:r w:rsidR="00A47111" w:rsidRPr="00A47111">
        <w:rPr>
          <w:sz w:val="16"/>
          <w:szCs w:val="16"/>
        </w:rPr>
        <w:t xml:space="preserve"> (n.d.). NewsGP. </w:t>
      </w:r>
      <w:r w:rsidR="00A47111">
        <w:rPr>
          <w:sz w:val="16"/>
          <w:szCs w:val="16"/>
        </w:rPr>
        <w:t>Retrieved September 12, 2025.</w:t>
      </w:r>
    </w:p>
  </w:footnote>
  <w:footnote w:id="18">
    <w:p w14:paraId="5257BFF2" w14:textId="15C473C3" w:rsidR="00CC646D" w:rsidRPr="00CD64C2" w:rsidRDefault="00CC646D" w:rsidP="00CC646D">
      <w:pPr>
        <w:pStyle w:val="FootnoteText"/>
        <w:rPr>
          <w:sz w:val="16"/>
          <w:szCs w:val="16"/>
        </w:rPr>
      </w:pPr>
      <w:r w:rsidRPr="00CD64C2">
        <w:rPr>
          <w:rStyle w:val="FootnoteReference"/>
        </w:rPr>
        <w:footnoteRef/>
      </w:r>
      <w:r w:rsidRPr="00CD64C2">
        <w:rPr>
          <w:sz w:val="16"/>
          <w:szCs w:val="16"/>
        </w:rPr>
        <w:t xml:space="preserve"> </w:t>
      </w:r>
      <w:r w:rsidR="00E12395" w:rsidRPr="00E12395">
        <w:rPr>
          <w:sz w:val="16"/>
          <w:szCs w:val="16"/>
        </w:rPr>
        <w:t>Robinson, C., Verrall, C., Houghton, L., &amp; Zeitz, K. (2015). Understanding the patient journey to the Emergency Department – A South Australian study. Australasian Emergency Nursing Journal, 18(2), 75–82. https://doi.org/10.1016/j.aenj.2015.01.001</w:t>
      </w:r>
    </w:p>
  </w:footnote>
  <w:footnote w:id="19">
    <w:p w14:paraId="0B6B78AA" w14:textId="476CAFD8" w:rsidR="00CC646D" w:rsidRPr="00164FBF" w:rsidRDefault="00CC646D" w:rsidP="00CC646D">
      <w:pPr>
        <w:pStyle w:val="FootnoteText"/>
        <w:rPr>
          <w:sz w:val="16"/>
          <w:szCs w:val="16"/>
        </w:rPr>
      </w:pPr>
      <w:r w:rsidRPr="00164FBF">
        <w:rPr>
          <w:rStyle w:val="FootnoteReference"/>
        </w:rPr>
        <w:footnoteRef/>
      </w:r>
      <w:r w:rsidRPr="00164FBF">
        <w:rPr>
          <w:sz w:val="16"/>
          <w:szCs w:val="16"/>
        </w:rPr>
        <w:t xml:space="preserve"> </w:t>
      </w:r>
      <w:r w:rsidR="009D3D8D" w:rsidRPr="009D3D8D">
        <w:rPr>
          <w:sz w:val="16"/>
          <w:szCs w:val="16"/>
        </w:rPr>
        <w:t>Willson, K. A., Lim, D., Toloo, G., FitzGerald, G., Kinnear, F. B., &amp; Morel, D. G. (2022). Potential role of general practice in reducing emergency department demand: A qualitative study. </w:t>
      </w:r>
      <w:r w:rsidR="009D3D8D" w:rsidRPr="009D3D8D">
        <w:rPr>
          <w:i/>
          <w:iCs/>
          <w:sz w:val="16"/>
          <w:szCs w:val="16"/>
        </w:rPr>
        <w:t>Emergency Medicine Australasia</w:t>
      </w:r>
      <w:r w:rsidR="009D3D8D" w:rsidRPr="009D3D8D">
        <w:rPr>
          <w:sz w:val="16"/>
          <w:szCs w:val="16"/>
        </w:rPr>
        <w:t>, </w:t>
      </w:r>
      <w:r w:rsidR="009D3D8D" w:rsidRPr="009D3D8D">
        <w:rPr>
          <w:i/>
          <w:iCs/>
          <w:sz w:val="16"/>
          <w:szCs w:val="16"/>
        </w:rPr>
        <w:t>34</w:t>
      </w:r>
      <w:r w:rsidR="009D3D8D" w:rsidRPr="009D3D8D">
        <w:rPr>
          <w:sz w:val="16"/>
          <w:szCs w:val="16"/>
        </w:rPr>
        <w:t>(5), 717–724. https://doi.org/10.1111/1742-6723.13964</w:t>
      </w:r>
    </w:p>
  </w:footnote>
  <w:footnote w:id="20">
    <w:p w14:paraId="5E3BA36C" w14:textId="54714FD1" w:rsidR="00CC646D" w:rsidRPr="00D03796" w:rsidRDefault="00CC646D" w:rsidP="00CC646D">
      <w:pPr>
        <w:pStyle w:val="FootnoteText"/>
        <w:rPr>
          <w:sz w:val="16"/>
        </w:rPr>
      </w:pPr>
      <w:r w:rsidRPr="00D03796">
        <w:rPr>
          <w:rStyle w:val="FootnoteReference"/>
        </w:rPr>
        <w:footnoteRef/>
      </w:r>
      <w:r w:rsidRPr="00D03796">
        <w:rPr>
          <w:sz w:val="16"/>
        </w:rPr>
        <w:t xml:space="preserve"> </w:t>
      </w:r>
      <w:hyperlink r:id="rId17" w:anchor="more-data" w:history="1">
        <w:r w:rsidR="00B608AF" w:rsidRPr="00650ED1">
          <w:rPr>
            <w:rStyle w:val="Hyperlink"/>
            <w:i/>
            <w:iCs/>
            <w:sz w:val="16"/>
            <w:szCs w:val="16"/>
          </w:rPr>
          <w:t>Emergency department care</w:t>
        </w:r>
      </w:hyperlink>
      <w:r w:rsidR="00B608AF" w:rsidRPr="00DC76E3">
        <w:rPr>
          <w:sz w:val="16"/>
          <w:szCs w:val="16"/>
        </w:rPr>
        <w:t>.</w:t>
      </w:r>
      <w:r w:rsidR="009D35CE">
        <w:rPr>
          <w:sz w:val="16"/>
          <w:szCs w:val="16"/>
        </w:rPr>
        <w:t xml:space="preserve"> </w:t>
      </w:r>
      <w:r w:rsidR="00B608AF" w:rsidRPr="00DC76E3">
        <w:rPr>
          <w:sz w:val="16"/>
          <w:szCs w:val="16"/>
        </w:rPr>
        <w:t xml:space="preserve"> (14 May 2025). Australian Institute of Health and Welfare. Retrieved September 12, 2025</w:t>
      </w:r>
      <w:r w:rsidR="00B608AF">
        <w:rPr>
          <w:sz w:val="16"/>
          <w:szCs w:val="16"/>
        </w:rPr>
        <w:t>.</w:t>
      </w:r>
    </w:p>
  </w:footnote>
  <w:footnote w:id="21">
    <w:p w14:paraId="30F93DE7" w14:textId="0EF82357" w:rsidR="00CC646D" w:rsidRDefault="00CC646D" w:rsidP="00CC646D">
      <w:pPr>
        <w:pStyle w:val="FootnoteText"/>
      </w:pPr>
      <w:r w:rsidRPr="00D03796">
        <w:rPr>
          <w:rStyle w:val="FootnoteReference"/>
        </w:rPr>
        <w:footnoteRef/>
      </w:r>
      <w:r w:rsidRPr="00D03796">
        <w:rPr>
          <w:sz w:val="16"/>
        </w:rPr>
        <w:t xml:space="preserve"> </w:t>
      </w:r>
      <w:hyperlink r:id="rId18" w:anchor="more-data" w:history="1">
        <w:r w:rsidR="00B608AF" w:rsidRPr="00650ED1">
          <w:rPr>
            <w:rStyle w:val="Hyperlink"/>
            <w:i/>
            <w:iCs/>
            <w:sz w:val="16"/>
            <w:szCs w:val="16"/>
          </w:rPr>
          <w:t>Emergency department care</w:t>
        </w:r>
      </w:hyperlink>
      <w:r w:rsidR="00B608AF" w:rsidRPr="00DC76E3">
        <w:rPr>
          <w:sz w:val="16"/>
          <w:szCs w:val="16"/>
        </w:rPr>
        <w:t>. (14 May 2025). Australian Institute of Health and Welfare. Retrieved September 12, 2025</w:t>
      </w:r>
      <w:r w:rsidR="00B608AF">
        <w:rPr>
          <w:sz w:val="16"/>
          <w:szCs w:val="16"/>
        </w:rPr>
        <w:t>.</w:t>
      </w:r>
    </w:p>
  </w:footnote>
  <w:footnote w:id="22">
    <w:p w14:paraId="69ACDD24" w14:textId="5DC439E1" w:rsidR="00545B88" w:rsidRDefault="00545B88">
      <w:pPr>
        <w:pStyle w:val="FootnoteText"/>
      </w:pPr>
      <w:r>
        <w:rPr>
          <w:rStyle w:val="FootnoteReference"/>
        </w:rPr>
        <w:footnoteRef/>
      </w:r>
      <w:r>
        <w:t xml:space="preserve"> </w:t>
      </w:r>
      <w:hyperlink r:id="rId19" w:history="1">
        <w:r w:rsidR="0030247E" w:rsidRPr="00AC714C">
          <w:rPr>
            <w:rStyle w:val="Hyperlink"/>
            <w:i/>
            <w:iCs/>
            <w:sz w:val="16"/>
            <w:szCs w:val="16"/>
          </w:rPr>
          <w:t>Improving efficiency to deliver better care</w:t>
        </w:r>
        <w:r w:rsidR="00D64209" w:rsidRPr="00AC714C">
          <w:rPr>
            <w:rStyle w:val="Hyperlink"/>
            <w:i/>
            <w:iCs/>
            <w:sz w:val="16"/>
            <w:szCs w:val="16"/>
          </w:rPr>
          <w:t xml:space="preserve"> – Interim Report</w:t>
        </w:r>
        <w:r w:rsidR="0030247E" w:rsidRPr="00AC714C">
          <w:rPr>
            <w:rStyle w:val="Hyperlink"/>
            <w:sz w:val="16"/>
            <w:szCs w:val="16"/>
          </w:rPr>
          <w:t>.</w:t>
        </w:r>
      </w:hyperlink>
      <w:r w:rsidR="0030247E" w:rsidRPr="0030247E">
        <w:rPr>
          <w:sz w:val="16"/>
          <w:szCs w:val="16"/>
        </w:rPr>
        <w:t xml:space="preserve"> (n.d.). </w:t>
      </w:r>
      <w:r w:rsidR="005D26AB">
        <w:rPr>
          <w:sz w:val="16"/>
          <w:szCs w:val="16"/>
        </w:rPr>
        <w:t>Productivity</w:t>
      </w:r>
      <w:r w:rsidR="008F6458">
        <w:rPr>
          <w:sz w:val="16"/>
          <w:szCs w:val="16"/>
        </w:rPr>
        <w:t xml:space="preserve"> </w:t>
      </w:r>
      <w:r w:rsidR="005D26AB">
        <w:rPr>
          <w:sz w:val="16"/>
          <w:szCs w:val="16"/>
        </w:rPr>
        <w:t>Commission. Retrieved September 12, 2025.</w:t>
      </w:r>
    </w:p>
  </w:footnote>
  <w:footnote w:id="23">
    <w:p w14:paraId="64C88E53" w14:textId="53F4A3A6" w:rsidR="00CC646D" w:rsidRPr="00883904" w:rsidRDefault="00CC646D" w:rsidP="00CC646D">
      <w:pPr>
        <w:pStyle w:val="FootnoteText"/>
        <w:rPr>
          <w:color w:val="1C2B39" w:themeColor="accent1"/>
        </w:rPr>
      </w:pPr>
      <w:r w:rsidRPr="001B29FE">
        <w:rPr>
          <w:rStyle w:val="FootnoteReference"/>
        </w:rPr>
        <w:footnoteRef/>
      </w:r>
      <w:r w:rsidRPr="001B29FE">
        <w:rPr>
          <w:sz w:val="16"/>
        </w:rPr>
        <w:t xml:space="preserve"> </w:t>
      </w:r>
      <w:hyperlink r:id="rId20" w:anchor="impact" w:history="1">
        <w:r w:rsidR="006B269D" w:rsidRPr="00E8536E">
          <w:rPr>
            <w:rStyle w:val="Hyperlink"/>
            <w:i/>
            <w:iCs/>
            <w:sz w:val="16"/>
          </w:rPr>
          <w:t>Health workforce</w:t>
        </w:r>
      </w:hyperlink>
      <w:r w:rsidR="006B269D" w:rsidRPr="006B269D">
        <w:rPr>
          <w:sz w:val="16"/>
        </w:rPr>
        <w:t>. (2024, July 2). Australian Institute of Health and Welfare. Retrieved September 12, 2025</w:t>
      </w:r>
      <w:r w:rsidR="006B269D">
        <w:rPr>
          <w:sz w:val="16"/>
        </w:rPr>
        <w:t>.</w:t>
      </w:r>
    </w:p>
  </w:footnote>
  <w:footnote w:id="24">
    <w:p w14:paraId="591E3E17" w14:textId="0CDB8144" w:rsidR="00CC646D" w:rsidRPr="00883904" w:rsidRDefault="00CC646D" w:rsidP="00CC646D">
      <w:pPr>
        <w:pStyle w:val="FootnoteText"/>
        <w:rPr>
          <w:sz w:val="16"/>
          <w:szCs w:val="16"/>
        </w:rPr>
      </w:pPr>
      <w:r w:rsidRPr="00883904">
        <w:rPr>
          <w:rStyle w:val="FootnoteReference"/>
          <w:color w:val="1C2B39" w:themeColor="accent1"/>
        </w:rPr>
        <w:footnoteRef/>
      </w:r>
      <w:r w:rsidRPr="00883904">
        <w:rPr>
          <w:color w:val="1C2B39" w:themeColor="accent1"/>
          <w:sz w:val="16"/>
          <w:szCs w:val="16"/>
        </w:rPr>
        <w:t xml:space="preserve"> </w:t>
      </w:r>
      <w:hyperlink r:id="rId21" w:anchor="impact" w:history="1">
        <w:r w:rsidR="00E8536E" w:rsidRPr="00E8536E">
          <w:rPr>
            <w:rStyle w:val="Hyperlink"/>
            <w:i/>
            <w:iCs/>
            <w:sz w:val="16"/>
          </w:rPr>
          <w:t>Health workforce</w:t>
        </w:r>
      </w:hyperlink>
      <w:r w:rsidR="00E8536E" w:rsidRPr="006B269D">
        <w:rPr>
          <w:sz w:val="16"/>
        </w:rPr>
        <w:t>. (2024, July 2). Australian Institute of Health and Welfare. Retrieved September 12, 2025</w:t>
      </w:r>
      <w:r w:rsidR="00E8536E">
        <w:rPr>
          <w:sz w:val="16"/>
        </w:rPr>
        <w:t>.</w:t>
      </w:r>
    </w:p>
  </w:footnote>
  <w:footnote w:id="25">
    <w:p w14:paraId="7840DD95" w14:textId="0F78D9A7" w:rsidR="00CC646D" w:rsidRPr="00F11F52" w:rsidRDefault="00CC646D" w:rsidP="00CC646D">
      <w:pPr>
        <w:pStyle w:val="FootnoteText"/>
        <w:rPr>
          <w:sz w:val="16"/>
          <w:szCs w:val="16"/>
        </w:rPr>
      </w:pPr>
      <w:r w:rsidRPr="00F11F52">
        <w:rPr>
          <w:rStyle w:val="FootnoteReference"/>
        </w:rPr>
        <w:footnoteRef/>
      </w:r>
      <w:r w:rsidRPr="00F11F52">
        <w:rPr>
          <w:sz w:val="16"/>
          <w:szCs w:val="16"/>
        </w:rPr>
        <w:t xml:space="preserve"> </w:t>
      </w:r>
      <w:r w:rsidR="001B7080" w:rsidRPr="001B2C28">
        <w:rPr>
          <w:sz w:val="16"/>
          <w:szCs w:val="16"/>
        </w:rPr>
        <w:t>AUSTRALIAN MEDICAL ASSOCIATION. (2025). </w:t>
      </w:r>
      <w:hyperlink r:id="rId22" w:history="1">
        <w:r w:rsidR="001B7080" w:rsidRPr="001B2C28">
          <w:rPr>
            <w:rStyle w:val="Hyperlink"/>
            <w:i/>
            <w:iCs/>
            <w:sz w:val="16"/>
            <w:szCs w:val="16"/>
          </w:rPr>
          <w:t>Ambulance ramping Report Card</w:t>
        </w:r>
      </w:hyperlink>
      <w:r w:rsidR="001B7080" w:rsidRPr="001B2C28">
        <w:rPr>
          <w:i/>
          <w:iCs/>
          <w:sz w:val="16"/>
          <w:szCs w:val="16"/>
        </w:rPr>
        <w:t xml:space="preserve"> 2025</w:t>
      </w:r>
      <w:r w:rsidR="001B7080" w:rsidRPr="001B2C28">
        <w:rPr>
          <w:sz w:val="16"/>
          <w:szCs w:val="16"/>
        </w:rPr>
        <w:t>. </w:t>
      </w:r>
      <w:r w:rsidR="001B7080">
        <w:rPr>
          <w:sz w:val="16"/>
          <w:szCs w:val="16"/>
        </w:rPr>
        <w:t>Retrieved September 12, 2025.</w:t>
      </w:r>
    </w:p>
  </w:footnote>
  <w:footnote w:id="26">
    <w:p w14:paraId="432A7438" w14:textId="0B89448A" w:rsidR="00174D5C" w:rsidRDefault="00D84990">
      <w:pPr>
        <w:pStyle w:val="FootnoteText"/>
      </w:pPr>
      <w:r>
        <w:rPr>
          <w:rStyle w:val="FootnoteReference"/>
        </w:rPr>
        <w:footnoteRef/>
      </w:r>
      <w:r>
        <w:t xml:space="preserve"> </w:t>
      </w:r>
      <w:r w:rsidRPr="001B2C28">
        <w:rPr>
          <w:sz w:val="16"/>
          <w:szCs w:val="16"/>
        </w:rPr>
        <w:t>AUSTRALIAN MEDICAL ASSOCIATION. (2025). </w:t>
      </w:r>
      <w:hyperlink r:id="rId23" w:history="1">
        <w:r w:rsidRPr="001B2C28">
          <w:rPr>
            <w:rStyle w:val="Hyperlink"/>
            <w:i/>
            <w:iCs/>
            <w:sz w:val="16"/>
            <w:szCs w:val="16"/>
          </w:rPr>
          <w:t>Ambulance ramping Report Card</w:t>
        </w:r>
      </w:hyperlink>
      <w:r w:rsidRPr="001B2C28">
        <w:rPr>
          <w:i/>
          <w:iCs/>
          <w:sz w:val="16"/>
          <w:szCs w:val="16"/>
        </w:rPr>
        <w:t xml:space="preserve"> 2025</w:t>
      </w:r>
      <w:r w:rsidRPr="001B2C28">
        <w:rPr>
          <w:sz w:val="16"/>
          <w:szCs w:val="16"/>
        </w:rPr>
        <w:t>. </w:t>
      </w:r>
      <w:r w:rsidR="001B2C28">
        <w:rPr>
          <w:sz w:val="16"/>
          <w:szCs w:val="16"/>
        </w:rPr>
        <w:t>Re</w:t>
      </w:r>
      <w:r w:rsidR="00CE287D">
        <w:rPr>
          <w:sz w:val="16"/>
          <w:szCs w:val="16"/>
        </w:rPr>
        <w:t>trieved September 12, 2025.</w:t>
      </w:r>
    </w:p>
  </w:footnote>
  <w:footnote w:id="27">
    <w:p w14:paraId="6033C536" w14:textId="739094C4" w:rsidR="00CC646D" w:rsidRDefault="00CC646D" w:rsidP="00CC646D">
      <w:pPr>
        <w:pStyle w:val="FootnoteText"/>
      </w:pPr>
      <w:r w:rsidRPr="00C40000">
        <w:rPr>
          <w:rStyle w:val="FootnoteReference"/>
        </w:rPr>
        <w:footnoteRef/>
      </w:r>
      <w:r w:rsidR="006A3208">
        <w:rPr>
          <w:sz w:val="16"/>
        </w:rPr>
        <w:t xml:space="preserve"> </w:t>
      </w:r>
      <w:hyperlink r:id="rId24" w:history="1">
        <w:r w:rsidR="006A3208" w:rsidRPr="00523F6F">
          <w:rPr>
            <w:rStyle w:val="Hyperlink"/>
            <w:sz w:val="16"/>
          </w:rPr>
          <w:t>National Health Reform Agreement</w:t>
        </w:r>
      </w:hyperlink>
      <w:r w:rsidR="006A3208" w:rsidRPr="006A3208">
        <w:rPr>
          <w:sz w:val="16"/>
        </w:rPr>
        <w:t>. (2025, September 1). Department of Health, Disability and Ageing. Retrieved September 12, 2025</w:t>
      </w:r>
      <w:r w:rsidR="006A3208">
        <w:rPr>
          <w:sz w:val="16"/>
        </w:rPr>
        <w:t>.</w:t>
      </w:r>
    </w:p>
  </w:footnote>
  <w:footnote w:id="28">
    <w:p w14:paraId="38BFF042" w14:textId="4AFC64EC" w:rsidR="00A1661B" w:rsidRDefault="00A1661B">
      <w:pPr>
        <w:pStyle w:val="FootnoteText"/>
      </w:pPr>
      <w:r>
        <w:rPr>
          <w:rStyle w:val="FootnoteReference"/>
        </w:rPr>
        <w:footnoteRef/>
      </w:r>
      <w:r>
        <w:t xml:space="preserve"> </w:t>
      </w:r>
      <w:hyperlink r:id="rId25" w:history="1">
        <w:r w:rsidRPr="00267446">
          <w:rPr>
            <w:rStyle w:val="Hyperlink"/>
            <w:sz w:val="16"/>
            <w:szCs w:val="16"/>
          </w:rPr>
          <w:t>Medicare Urgent Care Clinics Program Evaluation</w:t>
        </w:r>
      </w:hyperlink>
      <w:r w:rsidRPr="00267446">
        <w:rPr>
          <w:sz w:val="16"/>
          <w:szCs w:val="16"/>
        </w:rPr>
        <w:t>: First Interim Report. (2025). In </w:t>
      </w:r>
      <w:r w:rsidRPr="00267446">
        <w:rPr>
          <w:i/>
          <w:iCs/>
          <w:sz w:val="16"/>
          <w:szCs w:val="16"/>
        </w:rPr>
        <w:t>Department of Health, Disability and Ageing</w:t>
      </w:r>
      <w:r w:rsidRPr="00267446">
        <w:rPr>
          <w:sz w:val="16"/>
          <w:szCs w:val="16"/>
        </w:rPr>
        <w:t>. Retrieved September 12, 2025</w:t>
      </w:r>
    </w:p>
  </w:footnote>
  <w:footnote w:id="29">
    <w:p w14:paraId="3D219B42" w14:textId="7C19C29D" w:rsidR="00CC646D" w:rsidRDefault="00CC646D" w:rsidP="00CC646D">
      <w:pPr>
        <w:pStyle w:val="FootnoteText"/>
      </w:pPr>
      <w:r w:rsidRPr="00E8245D">
        <w:rPr>
          <w:rStyle w:val="FootnoteReference"/>
        </w:rPr>
        <w:footnoteRef/>
      </w:r>
      <w:r w:rsidRPr="00E8245D">
        <w:rPr>
          <w:sz w:val="16"/>
        </w:rPr>
        <w:t xml:space="preserve"> </w:t>
      </w:r>
      <w:hyperlink r:id="rId26" w:history="1">
        <w:r w:rsidR="000C7142" w:rsidRPr="005F27E6">
          <w:rPr>
            <w:rStyle w:val="Hyperlink"/>
            <w:sz w:val="16"/>
          </w:rPr>
          <w:t>Australian Hospital Patient Costing Standards</w:t>
        </w:r>
      </w:hyperlink>
      <w:r w:rsidR="000C7142" w:rsidRPr="000C7142">
        <w:rPr>
          <w:sz w:val="16"/>
        </w:rPr>
        <w:t>. (2021). In Independent Hospital Pricing Authority. Independent Hospital Pricing Authority.</w:t>
      </w:r>
      <w:r w:rsidR="005F27E6">
        <w:rPr>
          <w:sz w:val="16"/>
        </w:rPr>
        <w:t xml:space="preserve"> Retrieved September 12, 2025.</w:t>
      </w:r>
    </w:p>
  </w:footnote>
  <w:footnote w:id="30">
    <w:p w14:paraId="1C6F8AC3" w14:textId="1C722348" w:rsidR="000136FA" w:rsidRPr="000136FA" w:rsidRDefault="000136FA">
      <w:pPr>
        <w:pStyle w:val="FootnoteText"/>
        <w:rPr>
          <w:sz w:val="16"/>
          <w:szCs w:val="16"/>
        </w:rPr>
      </w:pPr>
      <w:r w:rsidRPr="000136FA">
        <w:rPr>
          <w:rStyle w:val="FootnoteReference"/>
          <w:sz w:val="16"/>
          <w:szCs w:val="16"/>
        </w:rPr>
        <w:footnoteRef/>
      </w:r>
      <w:r w:rsidRPr="000136FA">
        <w:rPr>
          <w:sz w:val="16"/>
          <w:szCs w:val="16"/>
        </w:rPr>
        <w:t xml:space="preserve"> </w:t>
      </w:r>
      <w:hyperlink r:id="rId27" w:history="1">
        <w:r w:rsidRPr="003B2FD3">
          <w:rPr>
            <w:rStyle w:val="Hyperlink"/>
            <w:i/>
            <w:iCs/>
            <w:sz w:val="16"/>
            <w:szCs w:val="16"/>
          </w:rPr>
          <w:t>Budget 2025–</w:t>
        </w:r>
        <w:r w:rsidRPr="003B2FD3">
          <w:rPr>
            <w:rStyle w:val="Hyperlink"/>
            <w:rFonts w:ascii="Segoe UI Symbol" w:hAnsi="Segoe UI Symbol" w:cs="Segoe UI Symbol"/>
            <w:i/>
            <w:iCs/>
            <w:sz w:val="16"/>
            <w:szCs w:val="16"/>
          </w:rPr>
          <w:t>⁠</w:t>
        </w:r>
        <w:r w:rsidRPr="003B2FD3">
          <w:rPr>
            <w:rStyle w:val="Hyperlink"/>
            <w:i/>
            <w:iCs/>
            <w:sz w:val="16"/>
            <w:szCs w:val="16"/>
          </w:rPr>
          <w:t xml:space="preserve">26: Strengthening Medicare </w:t>
        </w:r>
        <w:r w:rsidRPr="003B2FD3">
          <w:rPr>
            <w:rStyle w:val="Hyperlink"/>
            <w:rFonts w:cs="Arial"/>
            <w:i/>
            <w:iCs/>
            <w:sz w:val="16"/>
            <w:szCs w:val="16"/>
          </w:rPr>
          <w:t>–</w:t>
        </w:r>
        <w:r w:rsidRPr="003B2FD3">
          <w:rPr>
            <w:rStyle w:val="Hyperlink"/>
            <w:i/>
            <w:iCs/>
            <w:sz w:val="16"/>
            <w:szCs w:val="16"/>
          </w:rPr>
          <w:t xml:space="preserve"> More bulk billing</w:t>
        </w:r>
      </w:hyperlink>
      <w:r w:rsidRPr="000136FA">
        <w:rPr>
          <w:sz w:val="16"/>
          <w:szCs w:val="16"/>
        </w:rPr>
        <w:t>. (2025, March 25). Department of Health, Disability and Ageing. Retrieved October 21, 2025</w:t>
      </w:r>
      <w:r w:rsidR="003B2FD3">
        <w:rPr>
          <w:sz w:val="16"/>
          <w:szCs w:val="16"/>
        </w:rPr>
        <w:t>.</w:t>
      </w:r>
    </w:p>
  </w:footnote>
  <w:footnote w:id="31">
    <w:p w14:paraId="151443AF" w14:textId="3F167ABB" w:rsidR="00CC646D" w:rsidRDefault="00CC646D" w:rsidP="00CC646D">
      <w:pPr>
        <w:pStyle w:val="FootnoteText"/>
      </w:pPr>
      <w:r>
        <w:rPr>
          <w:rStyle w:val="FootnoteReference"/>
        </w:rPr>
        <w:footnoteRef/>
      </w:r>
      <w:r>
        <w:t xml:space="preserve"> </w:t>
      </w:r>
      <w:hyperlink r:id="rId28" w:history="1">
        <w:r w:rsidR="00E30AB0" w:rsidRPr="00F75A59">
          <w:rPr>
            <w:rStyle w:val="Hyperlink"/>
            <w:sz w:val="16"/>
            <w:szCs w:val="16"/>
          </w:rPr>
          <w:t>Meeting of National Cabinet – the Federation working for Australia</w:t>
        </w:r>
      </w:hyperlink>
      <w:r w:rsidR="00E30AB0" w:rsidRPr="00E30AB0">
        <w:rPr>
          <w:sz w:val="16"/>
          <w:szCs w:val="16"/>
        </w:rPr>
        <w:t>. (2023, December 6). Prime Minister of Australia.</w:t>
      </w:r>
      <w:r w:rsidR="00E30AB0">
        <w:rPr>
          <w:sz w:val="16"/>
          <w:szCs w:val="16"/>
        </w:rPr>
        <w:t xml:space="preserve"> Retrieved September 12, 2025.</w:t>
      </w:r>
    </w:p>
  </w:footnote>
  <w:footnote w:id="32">
    <w:p w14:paraId="24C48154" w14:textId="18F504F4" w:rsidR="00D95F34" w:rsidRPr="00FC76C1" w:rsidRDefault="00D95F34">
      <w:pPr>
        <w:pStyle w:val="FootnoteText"/>
        <w:rPr>
          <w:sz w:val="16"/>
          <w:szCs w:val="16"/>
        </w:rPr>
      </w:pPr>
      <w:r>
        <w:rPr>
          <w:rStyle w:val="FootnoteReference"/>
        </w:rPr>
        <w:footnoteRef/>
      </w:r>
      <w:r>
        <w:t xml:space="preserve"> </w:t>
      </w:r>
      <w:hyperlink r:id="rId29" w:history="1">
        <w:r w:rsidR="00FC76C1" w:rsidRPr="00BA6474">
          <w:rPr>
            <w:rStyle w:val="Hyperlink"/>
            <w:sz w:val="16"/>
            <w:szCs w:val="16"/>
          </w:rPr>
          <w:t>Allen + Clarke Consulting – After Hours Review evaluation report</w:t>
        </w:r>
      </w:hyperlink>
      <w:r w:rsidR="00FC76C1" w:rsidRPr="00FC76C1">
        <w:rPr>
          <w:sz w:val="16"/>
          <w:szCs w:val="16"/>
        </w:rPr>
        <w:t>. (2024). In </w:t>
      </w:r>
      <w:r w:rsidR="00FC76C1" w:rsidRPr="00FC76C1">
        <w:rPr>
          <w:i/>
          <w:iCs/>
          <w:sz w:val="16"/>
          <w:szCs w:val="16"/>
        </w:rPr>
        <w:t>Department of Health, Disability and Ageing</w:t>
      </w:r>
      <w:r w:rsidR="00FC76C1" w:rsidRPr="00FC76C1">
        <w:rPr>
          <w:sz w:val="16"/>
          <w:szCs w:val="16"/>
        </w:rPr>
        <w:t>. Allen + Clarke. Retrieved September 12, 2025.</w:t>
      </w:r>
    </w:p>
  </w:footnote>
  <w:footnote w:id="33">
    <w:p w14:paraId="56F1C7C6" w14:textId="32B320A5" w:rsidR="00DD7214" w:rsidRDefault="00DD7214">
      <w:pPr>
        <w:pStyle w:val="FootnoteText"/>
      </w:pPr>
      <w:r>
        <w:rPr>
          <w:rStyle w:val="FootnoteReference"/>
        </w:rPr>
        <w:footnoteRef/>
      </w:r>
      <w:r>
        <w:t xml:space="preserve"> </w:t>
      </w:r>
      <w:hyperlink r:id="rId30" w:history="1">
        <w:r w:rsidR="004F334E" w:rsidRPr="00A25167">
          <w:rPr>
            <w:rStyle w:val="Hyperlink"/>
            <w:i/>
            <w:iCs/>
            <w:sz w:val="16"/>
            <w:szCs w:val="16"/>
          </w:rPr>
          <w:t>Medicare bulk billing and out-of-pocket costs of GP attendances over time</w:t>
        </w:r>
        <w:r w:rsidR="004F334E" w:rsidRPr="00A25167">
          <w:rPr>
            <w:rStyle w:val="Hyperlink"/>
            <w:sz w:val="16"/>
            <w:szCs w:val="16"/>
          </w:rPr>
          <w:t>.</w:t>
        </w:r>
      </w:hyperlink>
      <w:r w:rsidR="004F334E" w:rsidRPr="00922A11">
        <w:rPr>
          <w:sz w:val="16"/>
          <w:szCs w:val="16"/>
        </w:rPr>
        <w:t xml:space="preserve"> (2024, December 13). Australian Institute of Health and Welfare. Retrieved September 12, 2025</w:t>
      </w:r>
      <w:r w:rsidR="004F334E">
        <w:rPr>
          <w:sz w:val="16"/>
          <w:szCs w:val="16"/>
        </w:rPr>
        <w:t>.</w:t>
      </w:r>
    </w:p>
  </w:footnote>
  <w:footnote w:id="34">
    <w:p w14:paraId="2DE99788" w14:textId="172ECC72" w:rsidR="00DD7214" w:rsidRDefault="00DD7214">
      <w:pPr>
        <w:pStyle w:val="FootnoteText"/>
      </w:pPr>
      <w:r>
        <w:rPr>
          <w:rStyle w:val="FootnoteReference"/>
        </w:rPr>
        <w:footnoteRef/>
      </w:r>
      <w:r>
        <w:t xml:space="preserve"> </w:t>
      </w:r>
      <w:hyperlink r:id="rId31" w:history="1">
        <w:r w:rsidR="004F334E" w:rsidRPr="00A25167">
          <w:rPr>
            <w:rStyle w:val="Hyperlink"/>
            <w:i/>
            <w:iCs/>
            <w:sz w:val="16"/>
            <w:szCs w:val="16"/>
          </w:rPr>
          <w:t>Medicare bulk billing and out-of-pocket costs of GP attendances over time</w:t>
        </w:r>
        <w:r w:rsidR="004F334E" w:rsidRPr="00A25167">
          <w:rPr>
            <w:rStyle w:val="Hyperlink"/>
            <w:sz w:val="16"/>
            <w:szCs w:val="16"/>
          </w:rPr>
          <w:t>.</w:t>
        </w:r>
      </w:hyperlink>
      <w:r w:rsidR="004F334E" w:rsidRPr="00922A11">
        <w:rPr>
          <w:sz w:val="16"/>
          <w:szCs w:val="16"/>
        </w:rPr>
        <w:t xml:space="preserve"> (2024, December 13). Australian Institute of Health and Welfare. Retrieved September 12, 2025</w:t>
      </w:r>
      <w:r w:rsidR="004F334E">
        <w:rPr>
          <w:sz w:val="16"/>
          <w:szCs w:val="16"/>
        </w:rPr>
        <w:t>.</w:t>
      </w:r>
    </w:p>
  </w:footnote>
  <w:footnote w:id="35">
    <w:p w14:paraId="45755163" w14:textId="125C6981" w:rsidR="00CC646D" w:rsidRPr="00D95F34" w:rsidRDefault="00CC646D" w:rsidP="00CC646D">
      <w:pPr>
        <w:pStyle w:val="FootnoteText"/>
        <w:rPr>
          <w:sz w:val="16"/>
          <w:szCs w:val="16"/>
        </w:rPr>
      </w:pPr>
      <w:r w:rsidRPr="00D95F34">
        <w:rPr>
          <w:rStyle w:val="FootnoteReference"/>
          <w:sz w:val="16"/>
          <w:szCs w:val="16"/>
        </w:rPr>
        <w:footnoteRef/>
      </w:r>
      <w:r w:rsidRPr="00D95F34">
        <w:rPr>
          <w:sz w:val="16"/>
          <w:szCs w:val="16"/>
        </w:rPr>
        <w:t xml:space="preserve"> </w:t>
      </w:r>
      <w:hyperlink r:id="rId32" w:history="1">
        <w:r w:rsidR="00D959FA" w:rsidRPr="00CD1871">
          <w:rPr>
            <w:rStyle w:val="Hyperlink"/>
            <w:i/>
            <w:iCs/>
            <w:sz w:val="16"/>
            <w:szCs w:val="16"/>
          </w:rPr>
          <w:t>Upcoming changes to bulk billing incentives in general practice</w:t>
        </w:r>
      </w:hyperlink>
      <w:r w:rsidR="00D959FA" w:rsidRPr="005F780C">
        <w:rPr>
          <w:sz w:val="16"/>
          <w:szCs w:val="16"/>
        </w:rPr>
        <w:t>. (2025, August 15). Department of Health, Disability and Ageing. Retrieved September 12, 2025</w:t>
      </w:r>
      <w:r w:rsidR="00D959FA">
        <w:rPr>
          <w:sz w:val="16"/>
          <w:szCs w:val="16"/>
        </w:rPr>
        <w:t>.</w:t>
      </w:r>
    </w:p>
  </w:footnote>
  <w:footnote w:id="36">
    <w:p w14:paraId="4377163C" w14:textId="33B8D630" w:rsidR="009F350A" w:rsidRDefault="009F350A">
      <w:pPr>
        <w:pStyle w:val="FootnoteText"/>
      </w:pPr>
      <w:r>
        <w:rPr>
          <w:rStyle w:val="FootnoteReference"/>
        </w:rPr>
        <w:footnoteRef/>
      </w:r>
      <w:r>
        <w:t xml:space="preserve"> </w:t>
      </w:r>
      <w:hyperlink r:id="rId33" w:history="1">
        <w:r w:rsidRPr="00267446">
          <w:rPr>
            <w:rStyle w:val="Hyperlink"/>
            <w:sz w:val="16"/>
            <w:szCs w:val="16"/>
          </w:rPr>
          <w:t>Medicare Urgent Care Clinics Program Evaluation</w:t>
        </w:r>
      </w:hyperlink>
      <w:r w:rsidRPr="00267446">
        <w:rPr>
          <w:sz w:val="16"/>
          <w:szCs w:val="16"/>
        </w:rPr>
        <w:t>: First Interim Report. (2025). In </w:t>
      </w:r>
      <w:r w:rsidRPr="00267446">
        <w:rPr>
          <w:i/>
          <w:iCs/>
          <w:sz w:val="16"/>
          <w:szCs w:val="16"/>
        </w:rPr>
        <w:t>Department of Health, Disability and Ageing</w:t>
      </w:r>
      <w:r w:rsidRPr="00267446">
        <w:rPr>
          <w:sz w:val="16"/>
          <w:szCs w:val="16"/>
        </w:rPr>
        <w:t>. Retrieved September 12, 2025</w:t>
      </w:r>
      <w:r w:rsidRPr="00211C50">
        <w:rPr>
          <w:rStyle w:val="Hyperlink"/>
          <w:sz w:val="16"/>
          <w:szCs w:val="16"/>
        </w:rPr>
        <w:t>.</w:t>
      </w:r>
    </w:p>
  </w:footnote>
  <w:footnote w:id="37">
    <w:p w14:paraId="79E54074" w14:textId="297D6559" w:rsidR="003A4BFD" w:rsidRDefault="003A4BFD">
      <w:pPr>
        <w:pStyle w:val="FootnoteText"/>
      </w:pPr>
      <w:r>
        <w:rPr>
          <w:rStyle w:val="FootnoteReference"/>
        </w:rPr>
        <w:footnoteRef/>
      </w:r>
      <w:r>
        <w:t xml:space="preserve"> </w:t>
      </w:r>
      <w:hyperlink r:id="rId34" w:history="1">
        <w:r w:rsidRPr="00267446">
          <w:rPr>
            <w:rStyle w:val="Hyperlink"/>
            <w:sz w:val="16"/>
            <w:szCs w:val="16"/>
          </w:rPr>
          <w:t>Medicare Urgent Care Clinics Program Evaluation</w:t>
        </w:r>
      </w:hyperlink>
      <w:r w:rsidRPr="00267446">
        <w:rPr>
          <w:sz w:val="16"/>
          <w:szCs w:val="16"/>
        </w:rPr>
        <w:t>: First Interim Report. (2025). In </w:t>
      </w:r>
      <w:r w:rsidRPr="00267446">
        <w:rPr>
          <w:i/>
          <w:iCs/>
          <w:sz w:val="16"/>
          <w:szCs w:val="16"/>
        </w:rPr>
        <w:t>Department of Health, Disability and Ageing</w:t>
      </w:r>
      <w:r w:rsidRPr="00267446">
        <w:rPr>
          <w:sz w:val="16"/>
          <w:szCs w:val="16"/>
        </w:rPr>
        <w:t>. Retrieved September 12, 2025</w:t>
      </w:r>
      <w:r w:rsidRPr="00211C50">
        <w:rPr>
          <w:rStyle w:val="Hyperlink"/>
          <w:sz w:val="16"/>
          <w:szCs w:val="16"/>
        </w:rPr>
        <w:t>.</w:t>
      </w:r>
    </w:p>
  </w:footnote>
  <w:footnote w:id="38">
    <w:p w14:paraId="38AA228D" w14:textId="42C156EB" w:rsidR="001D307C" w:rsidRDefault="001D307C">
      <w:pPr>
        <w:pStyle w:val="FootnoteText"/>
      </w:pPr>
      <w:r>
        <w:rPr>
          <w:rStyle w:val="FootnoteReference"/>
        </w:rPr>
        <w:footnoteRef/>
      </w:r>
      <w:r>
        <w:t xml:space="preserve"> </w:t>
      </w:r>
      <w:hyperlink r:id="rId35" w:history="1">
        <w:r w:rsidR="00211C50" w:rsidRPr="00267446">
          <w:rPr>
            <w:rStyle w:val="Hyperlink"/>
            <w:sz w:val="16"/>
            <w:szCs w:val="16"/>
          </w:rPr>
          <w:t>Medicare Urgent Care Clinics Program Evaluation</w:t>
        </w:r>
      </w:hyperlink>
      <w:r w:rsidR="00211C50" w:rsidRPr="00267446">
        <w:rPr>
          <w:sz w:val="16"/>
          <w:szCs w:val="16"/>
        </w:rPr>
        <w:t>: First Interim Report. (2025). In </w:t>
      </w:r>
      <w:r w:rsidR="00211C50" w:rsidRPr="00267446">
        <w:rPr>
          <w:i/>
          <w:iCs/>
          <w:sz w:val="16"/>
          <w:szCs w:val="16"/>
        </w:rPr>
        <w:t>Department of Health, Disability and Ageing</w:t>
      </w:r>
      <w:r w:rsidR="00211C50" w:rsidRPr="00267446">
        <w:rPr>
          <w:sz w:val="16"/>
          <w:szCs w:val="16"/>
        </w:rPr>
        <w:t>. Retrieved September 12, 2025</w:t>
      </w:r>
      <w:r w:rsidR="00211C50" w:rsidRPr="00482F2A">
        <w:rPr>
          <w:rStyle w:val="Hyperlink"/>
          <w:sz w:val="16"/>
          <w:szCs w:val="16"/>
          <w:u w:val="none"/>
        </w:rPr>
        <w:t>.</w:t>
      </w:r>
    </w:p>
  </w:footnote>
  <w:footnote w:id="39">
    <w:p w14:paraId="55FF82EA" w14:textId="5CC6DBAA" w:rsidR="004D5202" w:rsidRDefault="004D5202" w:rsidP="004D5202">
      <w:pPr>
        <w:pStyle w:val="FootnoteText"/>
      </w:pPr>
      <w:r w:rsidRPr="00076930">
        <w:rPr>
          <w:rStyle w:val="FootnoteReference"/>
        </w:rPr>
        <w:footnoteRef/>
      </w:r>
      <w:r w:rsidRPr="00076930">
        <w:rPr>
          <w:sz w:val="16"/>
        </w:rPr>
        <w:t xml:space="preserve"> </w:t>
      </w:r>
      <w:r w:rsidR="00D735FE" w:rsidRPr="00D735FE">
        <w:rPr>
          <w:sz w:val="16"/>
        </w:rPr>
        <w:t>Baier, N., Geissler, A., Bech, M., Bernstein, D., Cowling, T. E., Jackson, T., Van Manen, J., Rudkjøbing, A., &amp; Quentin, W. (2018). Emergency and urgent care systems in Australia, Denmark, England, France, Germany and the Netherlands – Analyzing organization, payment and reforms. </w:t>
      </w:r>
      <w:r w:rsidR="00D735FE" w:rsidRPr="00D735FE">
        <w:rPr>
          <w:i/>
          <w:iCs/>
          <w:sz w:val="16"/>
        </w:rPr>
        <w:t>Health Policy</w:t>
      </w:r>
      <w:r w:rsidR="00D735FE" w:rsidRPr="00D735FE">
        <w:rPr>
          <w:sz w:val="16"/>
        </w:rPr>
        <w:t>, </w:t>
      </w:r>
      <w:r w:rsidR="00D735FE" w:rsidRPr="00D735FE">
        <w:rPr>
          <w:i/>
          <w:iCs/>
          <w:sz w:val="16"/>
        </w:rPr>
        <w:t>123</w:t>
      </w:r>
      <w:r w:rsidR="00D735FE" w:rsidRPr="00D735FE">
        <w:rPr>
          <w:sz w:val="16"/>
        </w:rPr>
        <w:t>(1), 1–10. https://doi.org/10.1016/j.healthpol.2018.11.001</w:t>
      </w:r>
    </w:p>
  </w:footnote>
  <w:footnote w:id="40">
    <w:p w14:paraId="26836519" w14:textId="329C2FA3" w:rsidR="001943BB" w:rsidRDefault="001943BB">
      <w:pPr>
        <w:pStyle w:val="FootnoteText"/>
      </w:pPr>
      <w:r>
        <w:rPr>
          <w:rStyle w:val="FootnoteReference"/>
        </w:rPr>
        <w:footnoteRef/>
      </w:r>
      <w:r w:rsidRPr="001943BB">
        <w:rPr>
          <w:sz w:val="16"/>
          <w:szCs w:val="16"/>
        </w:rPr>
        <w:t xml:space="preserve"> </w:t>
      </w:r>
      <w:hyperlink r:id="rId36" w:history="1">
        <w:r w:rsidR="00CE6D95" w:rsidRPr="00CD1871">
          <w:rPr>
            <w:rStyle w:val="Hyperlink"/>
            <w:i/>
            <w:iCs/>
            <w:sz w:val="16"/>
            <w:szCs w:val="16"/>
          </w:rPr>
          <w:t>Upcoming changes to bulk billing incentives in general practice</w:t>
        </w:r>
      </w:hyperlink>
      <w:r w:rsidR="00CE6D95" w:rsidRPr="005F780C">
        <w:rPr>
          <w:sz w:val="16"/>
          <w:szCs w:val="16"/>
        </w:rPr>
        <w:t>. (2025, August 15). Department of Health, Disability and Ageing. Retrieved September 12, 2025</w:t>
      </w:r>
      <w:r w:rsidR="00CE6D95">
        <w:rPr>
          <w:sz w:val="16"/>
          <w:szCs w:val="16"/>
        </w:rPr>
        <w:t>.</w:t>
      </w:r>
    </w:p>
  </w:footnote>
  <w:footnote w:id="41">
    <w:p w14:paraId="70CAAD89" w14:textId="7889289D" w:rsidR="005F47FF" w:rsidRPr="00CC45AA" w:rsidRDefault="005F47FF">
      <w:pPr>
        <w:pStyle w:val="FootnoteText"/>
        <w:rPr>
          <w:sz w:val="16"/>
          <w:szCs w:val="16"/>
        </w:rPr>
      </w:pPr>
      <w:r w:rsidRPr="00CC45AA">
        <w:rPr>
          <w:rStyle w:val="FootnoteReference"/>
          <w:sz w:val="16"/>
          <w:szCs w:val="16"/>
        </w:rPr>
        <w:footnoteRef/>
      </w:r>
      <w:r w:rsidRPr="00CC45AA">
        <w:rPr>
          <w:sz w:val="16"/>
          <w:szCs w:val="16"/>
        </w:rPr>
        <w:t xml:space="preserve"> </w:t>
      </w:r>
      <w:hyperlink r:id="rId37" w:history="1">
        <w:r w:rsidR="00CC45AA" w:rsidRPr="00CE7257">
          <w:rPr>
            <w:rStyle w:val="Hyperlink"/>
            <w:i/>
            <w:iCs/>
            <w:sz w:val="16"/>
            <w:szCs w:val="16"/>
          </w:rPr>
          <w:t>Budget 2025–</w:t>
        </w:r>
        <w:r w:rsidR="00CC45AA" w:rsidRPr="00CE7257">
          <w:rPr>
            <w:rStyle w:val="Hyperlink"/>
            <w:rFonts w:ascii="Segoe UI Symbol" w:hAnsi="Segoe UI Symbol" w:cs="Segoe UI Symbol"/>
            <w:i/>
            <w:iCs/>
            <w:sz w:val="16"/>
            <w:szCs w:val="16"/>
          </w:rPr>
          <w:t>⁠</w:t>
        </w:r>
        <w:r w:rsidR="00CC45AA" w:rsidRPr="00CE7257">
          <w:rPr>
            <w:rStyle w:val="Hyperlink"/>
            <w:i/>
            <w:iCs/>
            <w:sz w:val="16"/>
            <w:szCs w:val="16"/>
          </w:rPr>
          <w:t xml:space="preserve">26: Strengthening Medicare </w:t>
        </w:r>
        <w:r w:rsidR="00CC45AA" w:rsidRPr="00CE7257">
          <w:rPr>
            <w:rStyle w:val="Hyperlink"/>
            <w:rFonts w:cs="Arial"/>
            <w:i/>
            <w:iCs/>
            <w:sz w:val="16"/>
            <w:szCs w:val="16"/>
          </w:rPr>
          <w:t>–</w:t>
        </w:r>
        <w:r w:rsidR="00CC45AA" w:rsidRPr="00CE7257">
          <w:rPr>
            <w:rStyle w:val="Hyperlink"/>
            <w:i/>
            <w:iCs/>
            <w:sz w:val="16"/>
            <w:szCs w:val="16"/>
          </w:rPr>
          <w:t xml:space="preserve"> Health workforce</w:t>
        </w:r>
      </w:hyperlink>
      <w:r w:rsidR="00CC45AA" w:rsidRPr="00CC45AA">
        <w:rPr>
          <w:i/>
          <w:iCs/>
          <w:sz w:val="16"/>
          <w:szCs w:val="16"/>
        </w:rPr>
        <w:t>. (2025, March 25). Department of Health, Disability and Ageing. Retrieved October 21, 2025</w:t>
      </w:r>
      <w:r w:rsidR="00CC45AA">
        <w:rPr>
          <w:i/>
          <w:iCs/>
          <w:sz w:val="16"/>
          <w:szCs w:val="16"/>
        </w:rPr>
        <w:t>.</w:t>
      </w:r>
    </w:p>
  </w:footnote>
  <w:footnote w:id="42">
    <w:p w14:paraId="51EC68A2" w14:textId="12A7AF78" w:rsidR="00D85B50" w:rsidRDefault="00D85B50">
      <w:pPr>
        <w:pStyle w:val="FootnoteText"/>
      </w:pPr>
      <w:r>
        <w:rPr>
          <w:rStyle w:val="FootnoteReference"/>
        </w:rPr>
        <w:footnoteRef/>
      </w:r>
      <w:r>
        <w:t xml:space="preserve"> </w:t>
      </w:r>
      <w:hyperlink r:id="rId38" w:anchor="more-data" w:history="1">
        <w:r w:rsidR="00716F1A" w:rsidRPr="00650ED1">
          <w:rPr>
            <w:rStyle w:val="Hyperlink"/>
            <w:i/>
            <w:iCs/>
            <w:sz w:val="16"/>
            <w:szCs w:val="16"/>
          </w:rPr>
          <w:t>Emergency department care</w:t>
        </w:r>
      </w:hyperlink>
      <w:r w:rsidR="00716F1A" w:rsidRPr="00DC76E3">
        <w:rPr>
          <w:sz w:val="16"/>
          <w:szCs w:val="16"/>
        </w:rPr>
        <w:t>.</w:t>
      </w:r>
      <w:r w:rsidR="00716F1A">
        <w:rPr>
          <w:sz w:val="16"/>
          <w:szCs w:val="16"/>
        </w:rPr>
        <w:t xml:space="preserve"> </w:t>
      </w:r>
      <w:r w:rsidR="00716F1A" w:rsidRPr="00DC76E3">
        <w:rPr>
          <w:sz w:val="16"/>
          <w:szCs w:val="16"/>
        </w:rPr>
        <w:t xml:space="preserve"> (14 May 2025). Australian Institute of Health and Welfare. Retrieved </w:t>
      </w:r>
      <w:r w:rsidR="00716F1A">
        <w:rPr>
          <w:sz w:val="16"/>
          <w:szCs w:val="16"/>
        </w:rPr>
        <w:t>October</w:t>
      </w:r>
      <w:r w:rsidR="00716F1A" w:rsidRPr="00DC76E3">
        <w:rPr>
          <w:sz w:val="16"/>
          <w:szCs w:val="16"/>
        </w:rPr>
        <w:t xml:space="preserve"> </w:t>
      </w:r>
      <w:r w:rsidR="00716F1A">
        <w:rPr>
          <w:sz w:val="16"/>
          <w:szCs w:val="16"/>
        </w:rPr>
        <w:t>22</w:t>
      </w:r>
      <w:r w:rsidR="00716F1A" w:rsidRPr="00DC76E3">
        <w:rPr>
          <w:sz w:val="16"/>
          <w:szCs w:val="16"/>
        </w:rPr>
        <w:t>, 2025</w:t>
      </w:r>
      <w:r w:rsidR="00716F1A">
        <w:rPr>
          <w:sz w:val="16"/>
          <w:szCs w:val="16"/>
        </w:rPr>
        <w:t>.</w:t>
      </w:r>
    </w:p>
  </w:footnote>
  <w:footnote w:id="43">
    <w:p w14:paraId="2C2E6CBB" w14:textId="1B0E711A" w:rsidR="004C1035" w:rsidRDefault="004C1035">
      <w:pPr>
        <w:pStyle w:val="FootnoteText"/>
      </w:pPr>
      <w:r>
        <w:rPr>
          <w:rStyle w:val="FootnoteReference"/>
        </w:rPr>
        <w:footnoteRef/>
      </w:r>
      <w:r>
        <w:t xml:space="preserve"> </w:t>
      </w:r>
      <w:hyperlink r:id="rId39" w:anchor="more-data" w:history="1">
        <w:r w:rsidRPr="00650ED1">
          <w:rPr>
            <w:rStyle w:val="Hyperlink"/>
            <w:i/>
            <w:iCs/>
            <w:sz w:val="16"/>
            <w:szCs w:val="16"/>
          </w:rPr>
          <w:t>Emergency department care</w:t>
        </w:r>
      </w:hyperlink>
      <w:r w:rsidRPr="00DC76E3">
        <w:rPr>
          <w:sz w:val="16"/>
          <w:szCs w:val="16"/>
        </w:rPr>
        <w:t>.</w:t>
      </w:r>
      <w:r>
        <w:rPr>
          <w:sz w:val="16"/>
          <w:szCs w:val="16"/>
        </w:rPr>
        <w:t xml:space="preserve"> </w:t>
      </w:r>
      <w:r w:rsidRPr="00DC76E3">
        <w:rPr>
          <w:sz w:val="16"/>
          <w:szCs w:val="16"/>
        </w:rPr>
        <w:t xml:space="preserve"> (14 May 2025). Australian Institute of Health and Welfare. Retrieved September 12, 2025</w:t>
      </w:r>
      <w:r>
        <w:rPr>
          <w:sz w:val="16"/>
          <w:szCs w:val="16"/>
        </w:rPr>
        <w:t>.</w:t>
      </w:r>
    </w:p>
  </w:footnote>
  <w:footnote w:id="44">
    <w:p w14:paraId="48967329" w14:textId="75A5A4D9" w:rsidR="00B80D34" w:rsidRDefault="00B80D34">
      <w:pPr>
        <w:pStyle w:val="FootnoteText"/>
      </w:pPr>
      <w:r>
        <w:rPr>
          <w:rStyle w:val="FootnoteReference"/>
        </w:rPr>
        <w:footnoteRef/>
      </w:r>
      <w:r>
        <w:t xml:space="preserve"> </w:t>
      </w:r>
      <w:hyperlink r:id="rId40" w:history="1">
        <w:r w:rsidRPr="00267446">
          <w:rPr>
            <w:rStyle w:val="Hyperlink"/>
            <w:sz w:val="16"/>
            <w:szCs w:val="16"/>
          </w:rPr>
          <w:t>Medicare Urgent Care Clinics Program Evaluation</w:t>
        </w:r>
      </w:hyperlink>
      <w:r w:rsidRPr="00267446">
        <w:rPr>
          <w:sz w:val="16"/>
          <w:szCs w:val="16"/>
        </w:rPr>
        <w:t>: First Interim Report. (2025). In </w:t>
      </w:r>
      <w:r w:rsidRPr="00267446">
        <w:rPr>
          <w:i/>
          <w:iCs/>
          <w:sz w:val="16"/>
          <w:szCs w:val="16"/>
        </w:rPr>
        <w:t>Department of Health, Disability and Ageing</w:t>
      </w:r>
      <w:r w:rsidRPr="00267446">
        <w:rPr>
          <w:sz w:val="16"/>
          <w:szCs w:val="16"/>
        </w:rPr>
        <w:t>. Retrieved September 12, 2025</w:t>
      </w:r>
      <w:r w:rsidRPr="00112F1C">
        <w:rPr>
          <w:rStyle w:val="Hyperlink"/>
          <w:sz w:val="16"/>
          <w:szCs w:val="16"/>
          <w:u w:val="none"/>
        </w:rPr>
        <w:t>.</w:t>
      </w:r>
    </w:p>
  </w:footnote>
  <w:footnote w:id="45">
    <w:p w14:paraId="62C86396" w14:textId="6D10577A" w:rsidR="00297847" w:rsidRDefault="00297847">
      <w:pPr>
        <w:pStyle w:val="FootnoteText"/>
      </w:pPr>
      <w:r>
        <w:rPr>
          <w:rStyle w:val="FootnoteReference"/>
        </w:rPr>
        <w:footnoteRef/>
      </w:r>
      <w:r>
        <w:t xml:space="preserve"> </w:t>
      </w:r>
      <w:hyperlink r:id="rId41" w:history="1">
        <w:r w:rsidRPr="00267446">
          <w:rPr>
            <w:rStyle w:val="Hyperlink"/>
            <w:sz w:val="16"/>
            <w:szCs w:val="16"/>
          </w:rPr>
          <w:t>Medicare Urgent Care Clinics Program Evaluation</w:t>
        </w:r>
      </w:hyperlink>
      <w:r w:rsidRPr="00267446">
        <w:rPr>
          <w:sz w:val="16"/>
          <w:szCs w:val="16"/>
        </w:rPr>
        <w:t>: First Interim Report. (2025). In </w:t>
      </w:r>
      <w:r w:rsidRPr="00267446">
        <w:rPr>
          <w:i/>
          <w:iCs/>
          <w:sz w:val="16"/>
          <w:szCs w:val="16"/>
        </w:rPr>
        <w:t>Department of Health, Disability and Ageing</w:t>
      </w:r>
      <w:r w:rsidRPr="00267446">
        <w:rPr>
          <w:sz w:val="16"/>
          <w:szCs w:val="16"/>
        </w:rPr>
        <w:t>. Retrieved September 12, 2025</w:t>
      </w:r>
      <w:r w:rsidRPr="00112F1C">
        <w:rPr>
          <w:rStyle w:val="Hyperlink"/>
          <w:sz w:val="16"/>
          <w:szCs w:val="16"/>
          <w:u w:val="none"/>
        </w:rPr>
        <w:t>.</w:t>
      </w:r>
    </w:p>
  </w:footnote>
  <w:footnote w:id="46">
    <w:p w14:paraId="536836EB" w14:textId="77777777" w:rsidR="00DE782E" w:rsidRDefault="00DE782E" w:rsidP="00DE782E">
      <w:pPr>
        <w:pStyle w:val="FootnoteText"/>
      </w:pPr>
      <w:r>
        <w:rPr>
          <w:rStyle w:val="FootnoteReference"/>
        </w:rPr>
        <w:footnoteRef/>
      </w:r>
      <w:r>
        <w:t xml:space="preserve"> </w:t>
      </w:r>
      <w:hyperlink r:id="rId42" w:history="1">
        <w:r w:rsidRPr="00267446">
          <w:rPr>
            <w:rStyle w:val="Hyperlink"/>
            <w:sz w:val="16"/>
            <w:szCs w:val="16"/>
          </w:rPr>
          <w:t>Medicare Urgent Care Clinics Program Evaluation</w:t>
        </w:r>
      </w:hyperlink>
      <w:r w:rsidRPr="00267446">
        <w:rPr>
          <w:sz w:val="16"/>
          <w:szCs w:val="16"/>
        </w:rPr>
        <w:t>: First Interim Report. (2025). In </w:t>
      </w:r>
      <w:r w:rsidRPr="00267446">
        <w:rPr>
          <w:i/>
          <w:iCs/>
          <w:sz w:val="16"/>
          <w:szCs w:val="16"/>
        </w:rPr>
        <w:t>Department of Health, Disability and Ageing</w:t>
      </w:r>
      <w:r w:rsidRPr="00267446">
        <w:rPr>
          <w:sz w:val="16"/>
          <w:szCs w:val="16"/>
        </w:rPr>
        <w:t>. Retrieved September 12, 2025</w:t>
      </w:r>
      <w:r w:rsidRPr="004F280B">
        <w:rPr>
          <w:rStyle w:val="Hyperlink"/>
          <w:sz w:val="16"/>
          <w:szCs w:val="16"/>
          <w:u w:val="none"/>
        </w:rPr>
        <w:t>.</w:t>
      </w:r>
    </w:p>
  </w:footnote>
  <w:footnote w:id="47">
    <w:p w14:paraId="42439E8F" w14:textId="64CEEF32" w:rsidR="00AF2466" w:rsidRDefault="00AF2466" w:rsidP="00AF2466">
      <w:pPr>
        <w:pStyle w:val="FootnoteText"/>
      </w:pPr>
      <w:r>
        <w:rPr>
          <w:rStyle w:val="FootnoteReference"/>
        </w:rPr>
        <w:footnoteRef/>
      </w:r>
      <w:r>
        <w:t xml:space="preserve"> </w:t>
      </w:r>
      <w:hyperlink r:id="rId43" w:history="1">
        <w:r w:rsidR="00A508F8" w:rsidRPr="00C149FA">
          <w:rPr>
            <w:rStyle w:val="Hyperlink"/>
            <w:i/>
            <w:iCs/>
            <w:sz w:val="16"/>
            <w:szCs w:val="16"/>
          </w:rPr>
          <w:t>Urgent Care Clinics</w:t>
        </w:r>
      </w:hyperlink>
      <w:r w:rsidR="00A508F8" w:rsidRPr="00C149FA">
        <w:rPr>
          <w:sz w:val="16"/>
          <w:szCs w:val="16"/>
        </w:rPr>
        <w:t>. (2022). [Press release]. Retrieved September 12, 2025</w:t>
      </w:r>
      <w:r w:rsidR="00C149FA">
        <w:rPr>
          <w:sz w:val="16"/>
          <w:szCs w:val="16"/>
        </w:rPr>
        <w:t>.</w:t>
      </w:r>
    </w:p>
  </w:footnote>
  <w:footnote w:id="48">
    <w:p w14:paraId="1C7C9E3F" w14:textId="5926BD2D" w:rsidR="00B85964" w:rsidRDefault="00B85964">
      <w:pPr>
        <w:pStyle w:val="FootnoteText"/>
      </w:pPr>
      <w:r>
        <w:rPr>
          <w:rStyle w:val="FootnoteReference"/>
        </w:rPr>
        <w:footnoteRef/>
      </w:r>
      <w:r>
        <w:t xml:space="preserve"> </w:t>
      </w:r>
      <w:hyperlink r:id="rId44" w:history="1">
        <w:r w:rsidR="003A70DF" w:rsidRPr="0066156C">
          <w:rPr>
            <w:rStyle w:val="Hyperlink"/>
            <w:i/>
            <w:iCs/>
            <w:sz w:val="16"/>
            <w:szCs w:val="16"/>
          </w:rPr>
          <w:t>Meeting of National Cabinet – the Federation working for Australia</w:t>
        </w:r>
      </w:hyperlink>
      <w:r w:rsidR="003A70DF" w:rsidRPr="003A70DF">
        <w:rPr>
          <w:sz w:val="16"/>
          <w:szCs w:val="16"/>
        </w:rPr>
        <w:t>. (2023b, December 6). Prime Minister of Australia. </w:t>
      </w:r>
      <w:r w:rsidR="0066156C">
        <w:rPr>
          <w:sz w:val="16"/>
          <w:szCs w:val="16"/>
        </w:rPr>
        <w:t>Retrieved September 12, 2025.</w:t>
      </w:r>
    </w:p>
  </w:footnote>
  <w:footnote w:id="49">
    <w:p w14:paraId="40DA9429" w14:textId="7A13D49B" w:rsidR="009D00B9" w:rsidRDefault="009D00B9" w:rsidP="009D00B9">
      <w:pPr>
        <w:pStyle w:val="FootnoteText"/>
      </w:pPr>
      <w:r>
        <w:rPr>
          <w:rStyle w:val="FootnoteReference"/>
        </w:rPr>
        <w:footnoteRef/>
      </w:r>
      <w:r>
        <w:t xml:space="preserve"> </w:t>
      </w:r>
      <w:hyperlink r:id="rId45" w:anchor=":~:text=An%20RACGP%20roundtable%20last%20week%20brought%20together%20members%2C,and%20their%20potential%20role%20in%20the%20healthcare%20system." w:history="1">
        <w:r w:rsidR="00621824" w:rsidRPr="00A55162">
          <w:rPr>
            <w:rStyle w:val="Hyperlink"/>
            <w:i/>
            <w:iCs/>
            <w:sz w:val="16"/>
            <w:szCs w:val="16"/>
          </w:rPr>
          <w:t>newsGP - RACGP leaders discuss future of UCCs</w:t>
        </w:r>
      </w:hyperlink>
      <w:r w:rsidR="00621824" w:rsidRPr="00A55162">
        <w:rPr>
          <w:sz w:val="16"/>
          <w:szCs w:val="16"/>
        </w:rPr>
        <w:t>. (n.d.). NewsGP.</w:t>
      </w:r>
      <w:r w:rsidR="00621824">
        <w:rPr>
          <w:sz w:val="16"/>
          <w:szCs w:val="16"/>
        </w:rPr>
        <w:t xml:space="preserve"> Retrieved September 12, 2025.</w:t>
      </w:r>
    </w:p>
  </w:footnote>
  <w:footnote w:id="50">
    <w:p w14:paraId="58405F64" w14:textId="7ED856D2" w:rsidR="00CC4675" w:rsidRDefault="00CC4675">
      <w:pPr>
        <w:pStyle w:val="FootnoteText"/>
      </w:pPr>
      <w:r>
        <w:rPr>
          <w:rStyle w:val="FootnoteReference"/>
        </w:rPr>
        <w:footnoteRef/>
      </w:r>
      <w:r>
        <w:t xml:space="preserve"> </w:t>
      </w:r>
      <w:r w:rsidR="00170BB7" w:rsidRPr="00170BB7">
        <w:rPr>
          <w:sz w:val="16"/>
          <w:szCs w:val="16"/>
        </w:rPr>
        <w:t>Lowrey, T. (2025, March 2). </w:t>
      </w:r>
      <w:hyperlink r:id="rId46" w:history="1">
        <w:r w:rsidR="00170BB7" w:rsidRPr="003639BC">
          <w:rPr>
            <w:rStyle w:val="Hyperlink"/>
            <w:i/>
            <w:iCs/>
            <w:sz w:val="16"/>
            <w:szCs w:val="16"/>
          </w:rPr>
          <w:t>Federal Labor commits nearly $650m for new 50 new urgent care clinics</w:t>
        </w:r>
      </w:hyperlink>
      <w:r w:rsidR="00170BB7" w:rsidRPr="00170BB7">
        <w:rPr>
          <w:sz w:val="16"/>
          <w:szCs w:val="16"/>
        </w:rPr>
        <w:t>. ABC News.</w:t>
      </w:r>
      <w:r w:rsidR="00170BB7" w:rsidRPr="00170BB7">
        <w:rPr>
          <w:rStyle w:val="Hyperlink"/>
          <w:sz w:val="16"/>
          <w:szCs w:val="16"/>
        </w:rPr>
        <w:t xml:space="preserve"> Retrieved September 12,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51CDB" w14:textId="25193819" w:rsidR="0063233D" w:rsidRDefault="001E2D92">
    <w:pPr>
      <w:pStyle w:val="Header"/>
    </w:pPr>
    <w:r>
      <w:rPr>
        <w:noProof/>
      </w:rPr>
      <mc:AlternateContent>
        <mc:Choice Requires="wps">
          <w:drawing>
            <wp:anchor distT="0" distB="0" distL="0" distR="0" simplePos="0" relativeHeight="251666438" behindDoc="0" locked="0" layoutInCell="1" allowOverlap="1" wp14:anchorId="5389D9D8" wp14:editId="264009BE">
              <wp:simplePos x="635" y="635"/>
              <wp:positionH relativeFrom="page">
                <wp:align>center</wp:align>
              </wp:positionH>
              <wp:positionV relativeFrom="page">
                <wp:align>top</wp:align>
              </wp:positionV>
              <wp:extent cx="622300" cy="394970"/>
              <wp:effectExtent l="0" t="0" r="6350" b="5080"/>
              <wp:wrapNone/>
              <wp:docPr id="69831116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4970"/>
                      </a:xfrm>
                      <a:prstGeom prst="rect">
                        <a:avLst/>
                      </a:prstGeom>
                      <a:noFill/>
                      <a:ln>
                        <a:noFill/>
                      </a:ln>
                    </wps:spPr>
                    <wps:txbx>
                      <w:txbxContent>
                        <w:p w14:paraId="66CAD1C1" w14:textId="0DDDD5B9" w:rsidR="001E2D92" w:rsidRPr="001E2D92" w:rsidRDefault="001E2D92" w:rsidP="001E2D92">
                          <w:pPr>
                            <w:spacing w:after="0"/>
                            <w:rPr>
                              <w:rFonts w:ascii="Aptos" w:eastAsia="Aptos" w:hAnsi="Aptos" w:cs="Aptos"/>
                              <w:noProof/>
                              <w:color w:val="FF0000"/>
                              <w:sz w:val="24"/>
                              <w:szCs w:val="24"/>
                            </w:rPr>
                          </w:pPr>
                          <w:r w:rsidRPr="001E2D92">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389D9D8" id="_x0000_t202" coordsize="21600,21600" o:spt="202" path="m,l,21600r21600,l21600,xe">
              <v:stroke joinstyle="miter"/>
              <v:path gradientshapeok="t" o:connecttype="rect"/>
            </v:shapetype>
            <v:shape id="Text Box 2" o:spid="_x0000_s1026" type="#_x0000_t202" alt="OFFICIAL" style="position:absolute;margin-left:0;margin-top:0;width:49pt;height:31.1pt;z-index:25166643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7ABCgIAABUEAAAOAAAAZHJzL2Uyb0RvYy54bWysU01v2zAMvQ/YfxB0X+ykW9cYcYqsRYYB&#10;RVsgHXpWZCk2IIuCxMTOfv0oxU62bqdhF5kmKX6897S47VvDDsqHBmzJp5OcM2UlVI3dlfz7y/rD&#10;DWcBha2EAatKflSB3y7fv1t0rlAzqMFUyjMqYkPRuZLXiK7IsiBr1YowAacsBTX4ViD9+l1WedFR&#10;9dZkszy/zjrwlfMgVQjkvT8F+TLV11pJfNI6KGSm5DQbptOncxvPbLkQxc4LVzdyGEP8wxStaCw1&#10;PZe6FyjY3jd/lGob6SGAxomENgOtG6nSDrTNNH+zzaYWTqVdCJzgzjCF/1dWPh427tkz7L9ATwRG&#10;QDoXikDOuE+vfRu/NCmjOEF4PMOmemSSnNez2VVOEUmhq/nH+ecEa3a57HzArwpaFo2Se2IlgSUO&#10;DwGpIaWOKbGXhXVjTGLG2N8clBg92WXCaGG/7Yext1AdaRsPJ6KDk+uGej6IgM/CE7M0JqkVn+jQ&#10;BrqSw2BxVoP/8Td/zCfAKcpZR0opuSUpc2a+WSIiiioZ03n+KaLgR/d2NOy+vQPS35SegpPJjHlo&#10;RlN7aF9Jx6vYiELCSmpXchzNOzxJlt6BVKtVSiL9OIEPduNkLB1xiiC+9K/CuwFpJIoeYZSRKN4A&#10;fsqNN4Nb7ZFgT2xETE9ADlCT9hJJwzuJ4v71P2VdXvPyJwAAAP//AwBQSwMEFAAGAAgAAAAhAEni&#10;iS7ZAAAAAwEAAA8AAABkcnMvZG93bnJldi54bWxMj81uwjAQhO+VeAdrK/VWnEQC0TQOQkgcuFH6&#10;czbxNkkbr6N4gZSn75YLvYw0mtXMt8Vy9J064RDbQAbSaQIKqQqupdrA2+vmcQEqsiVnu0Bo4Acj&#10;LMvJXWFzF870gqc910pKKObWQMPc51rHqkFv4zT0SJJ9hsFbFjvU2g32LOW+01mSzLW3LclCY3tc&#10;N1h974/eQDtbBU7xfbv5+vBpSC+77eyyM+bhflw9g2Ic+XYMf/iCDqUwHcKRXFSdAXmEryrZ00Lc&#10;wcA8y0CXhf7PXv4CAAD//wMAUEsBAi0AFAAGAAgAAAAhALaDOJL+AAAA4QEAABMAAAAAAAAAAAAA&#10;AAAAAAAAAFtDb250ZW50X1R5cGVzXS54bWxQSwECLQAUAAYACAAAACEAOP0h/9YAAACUAQAACwAA&#10;AAAAAAAAAAAAAAAvAQAAX3JlbHMvLnJlbHNQSwECLQAUAAYACAAAACEAmXOwAQoCAAAVBAAADgAA&#10;AAAAAAAAAAAAAAAuAgAAZHJzL2Uyb0RvYy54bWxQSwECLQAUAAYACAAAACEASeKJLtkAAAADAQAA&#10;DwAAAAAAAAAAAAAAAABkBAAAZHJzL2Rvd25yZXYueG1sUEsFBgAAAAAEAAQA8wAAAGoFAAAAAA==&#10;" filled="f" stroked="f">
              <v:textbox style="mso-fit-shape-to-text:t" inset="0,15pt,0,0">
                <w:txbxContent>
                  <w:p w14:paraId="66CAD1C1" w14:textId="0DDDD5B9" w:rsidR="001E2D92" w:rsidRPr="001E2D92" w:rsidRDefault="001E2D92" w:rsidP="001E2D92">
                    <w:pPr>
                      <w:spacing w:after="0"/>
                      <w:rPr>
                        <w:rFonts w:ascii="Aptos" w:eastAsia="Aptos" w:hAnsi="Aptos" w:cs="Aptos"/>
                        <w:noProof/>
                        <w:color w:val="FF0000"/>
                        <w:sz w:val="24"/>
                        <w:szCs w:val="24"/>
                      </w:rPr>
                    </w:pPr>
                    <w:r w:rsidRPr="001E2D92">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F27D5" w14:textId="4480030D" w:rsidR="00037513" w:rsidRPr="00D10635" w:rsidRDefault="00037513" w:rsidP="00464D89">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68676" w14:textId="6F284A3E" w:rsidR="00A45279" w:rsidRDefault="00DD02CA" w:rsidP="00DD02CA">
    <w:pPr>
      <w:pStyle w:val="Header"/>
      <w:rPr>
        <w:rFonts w:ascii="Segoe UI" w:hAnsi="Segoe UI"/>
        <w:caps/>
        <w:color w:val="BD3432" w:themeColor="accent6"/>
        <w:sz w:val="36"/>
        <w:szCs w:val="40"/>
        <w:lang w:val="en-US"/>
      </w:rPr>
    </w:pPr>
    <w:r w:rsidRPr="00DD02CA">
      <w:rPr>
        <w:rFonts w:ascii="Times New Roman" w:eastAsia="Times New Roman" w:hAnsi="Times New Roman" w:cs="Times New Roman"/>
        <w:sz w:val="24"/>
        <w:szCs w:val="24"/>
        <w:lang w:val="en-US"/>
      </w:rPr>
      <w:t xml:space="preserve"> </w:t>
    </w:r>
    <w:r w:rsidRPr="00DD02CA">
      <w:rPr>
        <w:rFonts w:ascii="Segoe UI" w:hAnsi="Segoe UI"/>
        <w:caps/>
        <w:noProof/>
        <w:color w:val="BD3432" w:themeColor="accent6"/>
        <w:sz w:val="36"/>
        <w:szCs w:val="40"/>
        <w:lang w:val="en-US"/>
      </w:rPr>
      <w:drawing>
        <wp:inline distT="0" distB="0" distL="0" distR="0" wp14:anchorId="70021791" wp14:editId="683D3CC7">
          <wp:extent cx="3906000" cy="619200"/>
          <wp:effectExtent l="0" t="0" r="0" b="9525"/>
          <wp:docPr id="1717810658" name="Picture 2" descr="Australian Government, Department of Health, Disability and Age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810658" name="Picture 2" descr="Australian Government, Department of Health, Disability and Age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06000" cy="619200"/>
                  </a:xfrm>
                  <a:prstGeom prst="rect">
                    <a:avLst/>
                  </a:prstGeom>
                  <a:noFill/>
                  <a:ln>
                    <a:noFill/>
                  </a:ln>
                </pic:spPr>
              </pic:pic>
            </a:graphicData>
          </a:graphic>
        </wp:inline>
      </w:drawing>
    </w:r>
  </w:p>
  <w:p w14:paraId="4E176F54" w14:textId="77777777" w:rsidR="00DD02CA" w:rsidRPr="00DD02CA" w:rsidRDefault="00DD02CA" w:rsidP="00DD02CA">
    <w:pPr>
      <w:pStyle w:val="Header"/>
      <w:rPr>
        <w:rFonts w:ascii="Segoe UI" w:hAnsi="Segoe UI"/>
        <w:caps/>
        <w:color w:val="BD3432" w:themeColor="accent6"/>
        <w:sz w:val="36"/>
        <w:szCs w:val="40"/>
        <w:lang w:val="en-U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1D0E1" w14:textId="0B626069" w:rsidR="00876C05" w:rsidRDefault="00876C05" w:rsidP="00DD02CA">
    <w:pPr>
      <w:pStyle w:val="Header"/>
      <w:rPr>
        <w:rFonts w:ascii="Segoe UI" w:hAnsi="Segoe UI"/>
        <w:caps/>
        <w:color w:val="BD3432" w:themeColor="accent6"/>
        <w:sz w:val="36"/>
        <w:szCs w:val="40"/>
        <w:lang w:val="en-US"/>
      </w:rPr>
    </w:pPr>
    <w:r w:rsidRPr="00DD02CA">
      <w:rPr>
        <w:rFonts w:ascii="Times New Roman" w:eastAsia="Times New Roman" w:hAnsi="Times New Roman" w:cs="Times New Roman"/>
        <w:sz w:val="24"/>
        <w:szCs w:val="24"/>
        <w:lang w:val="en-US"/>
      </w:rPr>
      <w:t xml:space="preserve"> </w:t>
    </w:r>
  </w:p>
  <w:p w14:paraId="60872373" w14:textId="77777777" w:rsidR="00876C05" w:rsidRPr="00DD02CA" w:rsidRDefault="00876C05" w:rsidP="00DD02CA">
    <w:pPr>
      <w:pStyle w:val="Header"/>
      <w:rPr>
        <w:rFonts w:ascii="Segoe UI" w:hAnsi="Segoe UI"/>
        <w:caps/>
        <w:color w:val="BD3432" w:themeColor="accent6"/>
        <w:sz w:val="36"/>
        <w:szCs w:val="4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D7031B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B75033"/>
    <w:multiLevelType w:val="hybridMultilevel"/>
    <w:tmpl w:val="C6DC8A2C"/>
    <w:lvl w:ilvl="0" w:tplc="458A1C2C">
      <w:start w:val="1"/>
      <w:numFmt w:val="bullet"/>
      <w:pStyle w:val="TBLBulleted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014CCD"/>
    <w:multiLevelType w:val="hybridMultilevel"/>
    <w:tmpl w:val="D0E0AE74"/>
    <w:lvl w:ilvl="0" w:tplc="42CAA44A">
      <w:start w:val="1"/>
      <w:numFmt w:val="bullet"/>
      <w:pStyle w:val="BOXBulletedList"/>
      <w:lvlText w:val=""/>
      <w:lvlJc w:val="left"/>
      <w:pPr>
        <w:ind w:left="284" w:hanging="284"/>
      </w:pPr>
      <w:rPr>
        <w:rFonts w:ascii="Symbol" w:hAnsi="Symbol" w:hint="default"/>
      </w:rPr>
    </w:lvl>
    <w:lvl w:ilvl="1" w:tplc="AFD06412">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FAF6F03"/>
    <w:multiLevelType w:val="hybridMultilevel"/>
    <w:tmpl w:val="4CF49542"/>
    <w:lvl w:ilvl="0" w:tplc="6C069990">
      <w:start w:val="1"/>
      <w:numFmt w:val="bullet"/>
      <w:pStyle w:val="BulletedList-Level3"/>
      <w:lvlText w:val="o"/>
      <w:lvlJc w:val="left"/>
      <w:pPr>
        <w:ind w:left="1134" w:hanging="283"/>
      </w:pPr>
      <w:rPr>
        <w:rFonts w:ascii="Courier New" w:hAnsi="Courier New"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4" w15:restartNumberingAfterBreak="0">
    <w:nsid w:val="0FD80D48"/>
    <w:multiLevelType w:val="hybridMultilevel"/>
    <w:tmpl w:val="868C4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E0492A"/>
    <w:multiLevelType w:val="hybridMultilevel"/>
    <w:tmpl w:val="0DF23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A3105B"/>
    <w:multiLevelType w:val="hybridMultilevel"/>
    <w:tmpl w:val="2F88CC68"/>
    <w:lvl w:ilvl="0" w:tplc="93300146">
      <w:start w:val="1"/>
      <w:numFmt w:val="decimal"/>
      <w:pStyle w:val="BoxDark-NumberedList"/>
      <w:lvlText w:val="%1."/>
      <w:lvlJc w:val="left"/>
      <w:pPr>
        <w:ind w:left="947" w:hanging="360"/>
      </w:pPr>
    </w:lvl>
    <w:lvl w:ilvl="1" w:tplc="0C090019" w:tentative="1">
      <w:start w:val="1"/>
      <w:numFmt w:val="lowerLetter"/>
      <w:lvlText w:val="%2."/>
      <w:lvlJc w:val="left"/>
      <w:pPr>
        <w:ind w:left="1667" w:hanging="360"/>
      </w:pPr>
    </w:lvl>
    <w:lvl w:ilvl="2" w:tplc="0C09001B" w:tentative="1">
      <w:start w:val="1"/>
      <w:numFmt w:val="lowerRoman"/>
      <w:lvlText w:val="%3."/>
      <w:lvlJc w:val="right"/>
      <w:pPr>
        <w:ind w:left="2387" w:hanging="180"/>
      </w:pPr>
    </w:lvl>
    <w:lvl w:ilvl="3" w:tplc="0C09000F" w:tentative="1">
      <w:start w:val="1"/>
      <w:numFmt w:val="decimal"/>
      <w:lvlText w:val="%4."/>
      <w:lvlJc w:val="left"/>
      <w:pPr>
        <w:ind w:left="3107" w:hanging="360"/>
      </w:pPr>
    </w:lvl>
    <w:lvl w:ilvl="4" w:tplc="0C090019" w:tentative="1">
      <w:start w:val="1"/>
      <w:numFmt w:val="lowerLetter"/>
      <w:lvlText w:val="%5."/>
      <w:lvlJc w:val="left"/>
      <w:pPr>
        <w:ind w:left="3827" w:hanging="360"/>
      </w:pPr>
    </w:lvl>
    <w:lvl w:ilvl="5" w:tplc="0C09001B" w:tentative="1">
      <w:start w:val="1"/>
      <w:numFmt w:val="lowerRoman"/>
      <w:lvlText w:val="%6."/>
      <w:lvlJc w:val="right"/>
      <w:pPr>
        <w:ind w:left="4547" w:hanging="180"/>
      </w:pPr>
    </w:lvl>
    <w:lvl w:ilvl="6" w:tplc="0C09000F" w:tentative="1">
      <w:start w:val="1"/>
      <w:numFmt w:val="decimal"/>
      <w:lvlText w:val="%7."/>
      <w:lvlJc w:val="left"/>
      <w:pPr>
        <w:ind w:left="5267" w:hanging="360"/>
      </w:pPr>
    </w:lvl>
    <w:lvl w:ilvl="7" w:tplc="0C090019" w:tentative="1">
      <w:start w:val="1"/>
      <w:numFmt w:val="lowerLetter"/>
      <w:lvlText w:val="%8."/>
      <w:lvlJc w:val="left"/>
      <w:pPr>
        <w:ind w:left="5987" w:hanging="360"/>
      </w:pPr>
    </w:lvl>
    <w:lvl w:ilvl="8" w:tplc="0C09001B" w:tentative="1">
      <w:start w:val="1"/>
      <w:numFmt w:val="lowerRoman"/>
      <w:lvlText w:val="%9."/>
      <w:lvlJc w:val="right"/>
      <w:pPr>
        <w:ind w:left="6707" w:hanging="180"/>
      </w:pPr>
    </w:lvl>
  </w:abstractNum>
  <w:abstractNum w:abstractNumId="7" w15:restartNumberingAfterBreak="0">
    <w:nsid w:val="18120F87"/>
    <w:multiLevelType w:val="hybridMultilevel"/>
    <w:tmpl w:val="E2EAF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F33BBA"/>
    <w:multiLevelType w:val="hybridMultilevel"/>
    <w:tmpl w:val="0812E2DE"/>
    <w:lvl w:ilvl="0" w:tplc="E1AE5D66">
      <w:start w:val="1"/>
      <w:numFmt w:val="decimal"/>
      <w:pStyle w:val="Figure"/>
      <w:suff w:val="space"/>
      <w:lvlText w:val="Figure %1."/>
      <w:lvlJc w:val="left"/>
      <w:pPr>
        <w:ind w:left="2836" w:hanging="567"/>
      </w:pPr>
      <w:rPr>
        <w:rFonts w:hint="default"/>
      </w:rPr>
    </w:lvl>
    <w:lvl w:ilvl="1" w:tplc="0C090019" w:tentative="1">
      <w:start w:val="1"/>
      <w:numFmt w:val="lowerLetter"/>
      <w:lvlText w:val="%2."/>
      <w:lvlJc w:val="left"/>
      <w:pPr>
        <w:ind w:left="3709" w:hanging="360"/>
      </w:pPr>
    </w:lvl>
    <w:lvl w:ilvl="2" w:tplc="0C09001B" w:tentative="1">
      <w:start w:val="1"/>
      <w:numFmt w:val="lowerRoman"/>
      <w:lvlText w:val="%3."/>
      <w:lvlJc w:val="right"/>
      <w:pPr>
        <w:ind w:left="4429" w:hanging="180"/>
      </w:pPr>
    </w:lvl>
    <w:lvl w:ilvl="3" w:tplc="0C09000F" w:tentative="1">
      <w:start w:val="1"/>
      <w:numFmt w:val="decimal"/>
      <w:lvlText w:val="%4."/>
      <w:lvlJc w:val="left"/>
      <w:pPr>
        <w:ind w:left="5149" w:hanging="360"/>
      </w:pPr>
    </w:lvl>
    <w:lvl w:ilvl="4" w:tplc="0C090019" w:tentative="1">
      <w:start w:val="1"/>
      <w:numFmt w:val="lowerLetter"/>
      <w:lvlText w:val="%5."/>
      <w:lvlJc w:val="left"/>
      <w:pPr>
        <w:ind w:left="5869" w:hanging="360"/>
      </w:pPr>
    </w:lvl>
    <w:lvl w:ilvl="5" w:tplc="0C09001B" w:tentative="1">
      <w:start w:val="1"/>
      <w:numFmt w:val="lowerRoman"/>
      <w:lvlText w:val="%6."/>
      <w:lvlJc w:val="right"/>
      <w:pPr>
        <w:ind w:left="6589" w:hanging="180"/>
      </w:pPr>
    </w:lvl>
    <w:lvl w:ilvl="6" w:tplc="0C09000F" w:tentative="1">
      <w:start w:val="1"/>
      <w:numFmt w:val="decimal"/>
      <w:lvlText w:val="%7."/>
      <w:lvlJc w:val="left"/>
      <w:pPr>
        <w:ind w:left="7309" w:hanging="360"/>
      </w:pPr>
    </w:lvl>
    <w:lvl w:ilvl="7" w:tplc="0C090019" w:tentative="1">
      <w:start w:val="1"/>
      <w:numFmt w:val="lowerLetter"/>
      <w:lvlText w:val="%8."/>
      <w:lvlJc w:val="left"/>
      <w:pPr>
        <w:ind w:left="8029" w:hanging="360"/>
      </w:pPr>
    </w:lvl>
    <w:lvl w:ilvl="8" w:tplc="0C09001B" w:tentative="1">
      <w:start w:val="1"/>
      <w:numFmt w:val="lowerRoman"/>
      <w:lvlText w:val="%9."/>
      <w:lvlJc w:val="right"/>
      <w:pPr>
        <w:ind w:left="8749" w:hanging="180"/>
      </w:pPr>
    </w:lvl>
  </w:abstractNum>
  <w:abstractNum w:abstractNumId="9" w15:restartNumberingAfterBreak="0">
    <w:nsid w:val="1F2C2051"/>
    <w:multiLevelType w:val="hybridMultilevel"/>
    <w:tmpl w:val="F8EAC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3C083A"/>
    <w:multiLevelType w:val="hybridMultilevel"/>
    <w:tmpl w:val="953477F4"/>
    <w:lvl w:ilvl="0" w:tplc="6F56B05E">
      <w:start w:val="1"/>
      <w:numFmt w:val="decimal"/>
      <w:lvlText w:val="%1."/>
      <w:lvlJc w:val="left"/>
      <w:pPr>
        <w:ind w:left="360" w:hanging="360"/>
      </w:pPr>
      <w:rPr>
        <w:rFonts w:eastAsia="Times New Roman" w:cs="Arial" w:hint="default"/>
        <w:color w:val="000000"/>
        <w:sz w:val="16"/>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1F507AC4"/>
    <w:multiLevelType w:val="hybridMultilevel"/>
    <w:tmpl w:val="6FFA548C"/>
    <w:lvl w:ilvl="0" w:tplc="E7066796">
      <w:start w:val="1"/>
      <w:numFmt w:val="bullet"/>
      <w:pStyle w:val="BulletedList-Level2"/>
      <w:lvlText w:val="−"/>
      <w:lvlJc w:val="left"/>
      <w:pPr>
        <w:ind w:left="851" w:hanging="284"/>
      </w:pPr>
      <w:rPr>
        <w:rFonts w:ascii="Cardo" w:hAnsi="Cardo"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2" w15:restartNumberingAfterBreak="0">
    <w:nsid w:val="27261019"/>
    <w:multiLevelType w:val="hybridMultilevel"/>
    <w:tmpl w:val="8ECCD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854A54"/>
    <w:multiLevelType w:val="hybridMultilevel"/>
    <w:tmpl w:val="253E2E62"/>
    <w:lvl w:ilvl="0" w:tplc="B2AA9F56">
      <w:start w:val="1"/>
      <w:numFmt w:val="bullet"/>
      <w:pStyle w:val="BulletedList-Level1"/>
      <w:lvlText w:val=""/>
      <w:lvlJc w:val="left"/>
      <w:pPr>
        <w:ind w:left="425" w:hanging="283"/>
      </w:pPr>
      <w:rPr>
        <w:rFonts w:ascii="Symbol" w:hAnsi="Symbol" w:hint="default"/>
      </w:rPr>
    </w:lvl>
    <w:lvl w:ilvl="1" w:tplc="4BB4D094">
      <w:start w:val="1"/>
      <w:numFmt w:val="bullet"/>
      <w:lvlText w:val="o"/>
      <w:lvlJc w:val="left"/>
      <w:pPr>
        <w:ind w:left="709" w:hanging="28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1EFC13BC">
      <w:start w:val="1"/>
      <w:numFmt w:val="bullet"/>
      <w:lvlText w:val=""/>
      <w:lvlJc w:val="left"/>
      <w:pPr>
        <w:ind w:left="992" w:hanging="283"/>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14" w15:restartNumberingAfterBreak="0">
    <w:nsid w:val="28D23525"/>
    <w:multiLevelType w:val="hybridMultilevel"/>
    <w:tmpl w:val="F35E2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1038F9"/>
    <w:multiLevelType w:val="hybridMultilevel"/>
    <w:tmpl w:val="E3A01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0B206E"/>
    <w:multiLevelType w:val="hybridMultilevel"/>
    <w:tmpl w:val="14FC625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1B93162"/>
    <w:multiLevelType w:val="hybridMultilevel"/>
    <w:tmpl w:val="5FAE0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360023"/>
    <w:multiLevelType w:val="hybridMultilevel"/>
    <w:tmpl w:val="F6969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7B4713"/>
    <w:multiLevelType w:val="hybridMultilevel"/>
    <w:tmpl w:val="074C7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5C1F11"/>
    <w:multiLevelType w:val="hybridMultilevel"/>
    <w:tmpl w:val="3014B9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37241F71"/>
    <w:multiLevelType w:val="hybridMultilevel"/>
    <w:tmpl w:val="C30AEA12"/>
    <w:lvl w:ilvl="0" w:tplc="496E8E78">
      <w:start w:val="1"/>
      <w:numFmt w:val="bullet"/>
      <w:lvlText w:val=""/>
      <w:lvlJc w:val="left"/>
      <w:pPr>
        <w:ind w:left="1080" w:hanging="360"/>
      </w:pPr>
      <w:rPr>
        <w:rFonts w:ascii="Symbol" w:hAnsi="Symbol"/>
      </w:rPr>
    </w:lvl>
    <w:lvl w:ilvl="1" w:tplc="32C4E716">
      <w:start w:val="1"/>
      <w:numFmt w:val="bullet"/>
      <w:lvlText w:val=""/>
      <w:lvlJc w:val="left"/>
      <w:pPr>
        <w:ind w:left="1080" w:hanging="360"/>
      </w:pPr>
      <w:rPr>
        <w:rFonts w:ascii="Symbol" w:hAnsi="Symbol"/>
      </w:rPr>
    </w:lvl>
    <w:lvl w:ilvl="2" w:tplc="D2E6488E">
      <w:start w:val="1"/>
      <w:numFmt w:val="bullet"/>
      <w:lvlText w:val=""/>
      <w:lvlJc w:val="left"/>
      <w:pPr>
        <w:ind w:left="1080" w:hanging="360"/>
      </w:pPr>
      <w:rPr>
        <w:rFonts w:ascii="Symbol" w:hAnsi="Symbol"/>
      </w:rPr>
    </w:lvl>
    <w:lvl w:ilvl="3" w:tplc="CA048704">
      <w:start w:val="1"/>
      <w:numFmt w:val="bullet"/>
      <w:lvlText w:val=""/>
      <w:lvlJc w:val="left"/>
      <w:pPr>
        <w:ind w:left="1080" w:hanging="360"/>
      </w:pPr>
      <w:rPr>
        <w:rFonts w:ascii="Symbol" w:hAnsi="Symbol"/>
      </w:rPr>
    </w:lvl>
    <w:lvl w:ilvl="4" w:tplc="48CC4DD0">
      <w:start w:val="1"/>
      <w:numFmt w:val="bullet"/>
      <w:lvlText w:val=""/>
      <w:lvlJc w:val="left"/>
      <w:pPr>
        <w:ind w:left="1080" w:hanging="360"/>
      </w:pPr>
      <w:rPr>
        <w:rFonts w:ascii="Symbol" w:hAnsi="Symbol"/>
      </w:rPr>
    </w:lvl>
    <w:lvl w:ilvl="5" w:tplc="7674DCDE">
      <w:start w:val="1"/>
      <w:numFmt w:val="bullet"/>
      <w:lvlText w:val=""/>
      <w:lvlJc w:val="left"/>
      <w:pPr>
        <w:ind w:left="1080" w:hanging="360"/>
      </w:pPr>
      <w:rPr>
        <w:rFonts w:ascii="Symbol" w:hAnsi="Symbol"/>
      </w:rPr>
    </w:lvl>
    <w:lvl w:ilvl="6" w:tplc="B85C3F48">
      <w:start w:val="1"/>
      <w:numFmt w:val="bullet"/>
      <w:lvlText w:val=""/>
      <w:lvlJc w:val="left"/>
      <w:pPr>
        <w:ind w:left="1080" w:hanging="360"/>
      </w:pPr>
      <w:rPr>
        <w:rFonts w:ascii="Symbol" w:hAnsi="Symbol"/>
      </w:rPr>
    </w:lvl>
    <w:lvl w:ilvl="7" w:tplc="02749C72">
      <w:start w:val="1"/>
      <w:numFmt w:val="bullet"/>
      <w:lvlText w:val=""/>
      <w:lvlJc w:val="left"/>
      <w:pPr>
        <w:ind w:left="1080" w:hanging="360"/>
      </w:pPr>
      <w:rPr>
        <w:rFonts w:ascii="Symbol" w:hAnsi="Symbol"/>
      </w:rPr>
    </w:lvl>
    <w:lvl w:ilvl="8" w:tplc="2ADCA60C">
      <w:start w:val="1"/>
      <w:numFmt w:val="bullet"/>
      <w:lvlText w:val=""/>
      <w:lvlJc w:val="left"/>
      <w:pPr>
        <w:ind w:left="1080" w:hanging="360"/>
      </w:pPr>
      <w:rPr>
        <w:rFonts w:ascii="Symbol" w:hAnsi="Symbol"/>
      </w:rPr>
    </w:lvl>
  </w:abstractNum>
  <w:abstractNum w:abstractNumId="22" w15:restartNumberingAfterBreak="0">
    <w:nsid w:val="37520959"/>
    <w:multiLevelType w:val="multilevel"/>
    <w:tmpl w:val="E89AFFE0"/>
    <w:lvl w:ilvl="0">
      <w:start w:val="1"/>
      <w:numFmt w:val="decimal"/>
      <w:pStyle w:val="TableNumbering"/>
      <w:lvlText w:val="%1."/>
      <w:lvlJc w:val="left"/>
      <w:pPr>
        <w:ind w:left="397" w:hanging="397"/>
      </w:pPr>
      <w:rPr>
        <w:rFonts w:hint="default"/>
      </w:rPr>
    </w:lvl>
    <w:lvl w:ilvl="1">
      <w:start w:val="1"/>
      <w:numFmt w:val="bullet"/>
      <w:lvlText w:val="‒"/>
      <w:lvlJc w:val="left"/>
      <w:pPr>
        <w:ind w:left="794" w:hanging="397"/>
      </w:pPr>
      <w:rPr>
        <w:rFonts w:asciiTheme="minorHAnsi" w:hAnsiTheme="minorHAnsi" w:cs="Times New Roman" w:hint="default"/>
        <w:color w:val="1C2B39" w:themeColor="text1"/>
      </w:rPr>
    </w:lvl>
    <w:lvl w:ilvl="2">
      <w:start w:val="1"/>
      <w:numFmt w:val="bullet"/>
      <w:lvlText w:val="⁚"/>
      <w:lvlJc w:val="left"/>
      <w:pPr>
        <w:ind w:left="1191" w:hanging="397"/>
      </w:pPr>
      <w:rPr>
        <w:rFonts w:ascii="Times New Roman" w:hAnsi="Times New Roman" w:cs="Times New Roman" w:hint="default"/>
        <w:color w:val="1C2B39" w:themeColor="text1"/>
      </w:rPr>
    </w:lvl>
    <w:lvl w:ilvl="3">
      <w:start w:val="1"/>
      <w:numFmt w:val="decimal"/>
      <w:lvlText w:val="%4."/>
      <w:lvlJc w:val="left"/>
      <w:pPr>
        <w:ind w:left="1588" w:hanging="397"/>
      </w:pPr>
      <w:rPr>
        <w:rFonts w:hint="default"/>
      </w:rPr>
    </w:lvl>
    <w:lvl w:ilvl="4">
      <w:start w:val="1"/>
      <w:numFmt w:val="lowerLetter"/>
      <w:lvlText w:val="%5."/>
      <w:lvlJc w:val="left"/>
      <w:pPr>
        <w:ind w:left="1985" w:hanging="397"/>
      </w:pPr>
      <w:rPr>
        <w:rFonts w:hint="default"/>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23" w15:restartNumberingAfterBreak="0">
    <w:nsid w:val="37672FA5"/>
    <w:multiLevelType w:val="hybridMultilevel"/>
    <w:tmpl w:val="9CF4D0E2"/>
    <w:lvl w:ilvl="0" w:tplc="0C090001">
      <w:start w:val="1"/>
      <w:numFmt w:val="bullet"/>
      <w:lvlText w:val=""/>
      <w:lvlJc w:val="left"/>
      <w:pPr>
        <w:ind w:left="720" w:hanging="360"/>
      </w:pPr>
      <w:rPr>
        <w:rFonts w:ascii="Symbol" w:hAnsi="Symbol" w:hint="default"/>
      </w:rPr>
    </w:lvl>
    <w:lvl w:ilvl="1" w:tplc="09789A76">
      <w:numFmt w:val="bullet"/>
      <w:lvlText w:val="•"/>
      <w:lvlJc w:val="left"/>
      <w:pPr>
        <w:ind w:left="1440" w:hanging="36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8CD558D"/>
    <w:multiLevelType w:val="hybridMultilevel"/>
    <w:tmpl w:val="7416E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99A176D"/>
    <w:multiLevelType w:val="hybridMultilevel"/>
    <w:tmpl w:val="EFF42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CA7178E"/>
    <w:multiLevelType w:val="hybridMultilevel"/>
    <w:tmpl w:val="8CA627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96C7FF6"/>
    <w:multiLevelType w:val="hybridMultilevel"/>
    <w:tmpl w:val="4D4A750C"/>
    <w:lvl w:ilvl="0" w:tplc="D6643B58">
      <w:start w:val="1"/>
      <w:numFmt w:val="decimal"/>
      <w:pStyle w:val="BOXNumberedList"/>
      <w:lvlText w:val="%1."/>
      <w:lvlJc w:val="left"/>
      <w:pPr>
        <w:ind w:left="840" w:hanging="360"/>
      </w:pPr>
    </w:lvl>
    <w:lvl w:ilvl="1" w:tplc="0C090019">
      <w:start w:val="1"/>
      <w:numFmt w:val="lowerLetter"/>
      <w:lvlText w:val="%2."/>
      <w:lvlJc w:val="left"/>
      <w:pPr>
        <w:ind w:left="1560" w:hanging="360"/>
      </w:pPr>
    </w:lvl>
    <w:lvl w:ilvl="2" w:tplc="0C09001B" w:tentative="1">
      <w:start w:val="1"/>
      <w:numFmt w:val="lowerRoman"/>
      <w:lvlText w:val="%3."/>
      <w:lvlJc w:val="right"/>
      <w:pPr>
        <w:ind w:left="2280" w:hanging="180"/>
      </w:pPr>
    </w:lvl>
    <w:lvl w:ilvl="3" w:tplc="0C09000F" w:tentative="1">
      <w:start w:val="1"/>
      <w:numFmt w:val="decimal"/>
      <w:lvlText w:val="%4."/>
      <w:lvlJc w:val="left"/>
      <w:pPr>
        <w:ind w:left="3000" w:hanging="360"/>
      </w:pPr>
    </w:lvl>
    <w:lvl w:ilvl="4" w:tplc="0C090019" w:tentative="1">
      <w:start w:val="1"/>
      <w:numFmt w:val="lowerLetter"/>
      <w:lvlText w:val="%5."/>
      <w:lvlJc w:val="left"/>
      <w:pPr>
        <w:ind w:left="3720" w:hanging="360"/>
      </w:pPr>
    </w:lvl>
    <w:lvl w:ilvl="5" w:tplc="0C09001B" w:tentative="1">
      <w:start w:val="1"/>
      <w:numFmt w:val="lowerRoman"/>
      <w:lvlText w:val="%6."/>
      <w:lvlJc w:val="right"/>
      <w:pPr>
        <w:ind w:left="4440" w:hanging="180"/>
      </w:pPr>
    </w:lvl>
    <w:lvl w:ilvl="6" w:tplc="0C09000F" w:tentative="1">
      <w:start w:val="1"/>
      <w:numFmt w:val="decimal"/>
      <w:lvlText w:val="%7."/>
      <w:lvlJc w:val="left"/>
      <w:pPr>
        <w:ind w:left="5160" w:hanging="360"/>
      </w:pPr>
    </w:lvl>
    <w:lvl w:ilvl="7" w:tplc="0C090019" w:tentative="1">
      <w:start w:val="1"/>
      <w:numFmt w:val="lowerLetter"/>
      <w:lvlText w:val="%8."/>
      <w:lvlJc w:val="left"/>
      <w:pPr>
        <w:ind w:left="5880" w:hanging="360"/>
      </w:pPr>
    </w:lvl>
    <w:lvl w:ilvl="8" w:tplc="0C09001B" w:tentative="1">
      <w:start w:val="1"/>
      <w:numFmt w:val="lowerRoman"/>
      <w:lvlText w:val="%9."/>
      <w:lvlJc w:val="right"/>
      <w:pPr>
        <w:ind w:left="6600" w:hanging="180"/>
      </w:pPr>
    </w:lvl>
  </w:abstractNum>
  <w:abstractNum w:abstractNumId="28" w15:restartNumberingAfterBreak="0">
    <w:nsid w:val="506F75EF"/>
    <w:multiLevelType w:val="hybridMultilevel"/>
    <w:tmpl w:val="161C9E0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1C670CC"/>
    <w:multiLevelType w:val="hybridMultilevel"/>
    <w:tmpl w:val="00284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56669BE"/>
    <w:multiLevelType w:val="hybridMultilevel"/>
    <w:tmpl w:val="D286FB2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1" w15:restartNumberingAfterBreak="0">
    <w:nsid w:val="55D501EA"/>
    <w:multiLevelType w:val="hybridMultilevel"/>
    <w:tmpl w:val="1772A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6873EE4"/>
    <w:multiLevelType w:val="hybridMultilevel"/>
    <w:tmpl w:val="CC487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6AB1DBF"/>
    <w:multiLevelType w:val="hybridMultilevel"/>
    <w:tmpl w:val="9E8C070E"/>
    <w:lvl w:ilvl="0" w:tplc="F32682F2">
      <w:start w:val="1"/>
      <w:numFmt w:val="bullet"/>
      <w:lvlText w:val=""/>
      <w:lvlJc w:val="left"/>
      <w:pPr>
        <w:ind w:left="1080" w:hanging="360"/>
      </w:pPr>
      <w:rPr>
        <w:rFonts w:ascii="Symbol" w:hAnsi="Symbol"/>
      </w:rPr>
    </w:lvl>
    <w:lvl w:ilvl="1" w:tplc="FA60FAB0">
      <w:start w:val="1"/>
      <w:numFmt w:val="bullet"/>
      <w:lvlText w:val=""/>
      <w:lvlJc w:val="left"/>
      <w:pPr>
        <w:ind w:left="1080" w:hanging="360"/>
      </w:pPr>
      <w:rPr>
        <w:rFonts w:ascii="Symbol" w:hAnsi="Symbol"/>
      </w:rPr>
    </w:lvl>
    <w:lvl w:ilvl="2" w:tplc="E02EE286">
      <w:start w:val="1"/>
      <w:numFmt w:val="bullet"/>
      <w:lvlText w:val=""/>
      <w:lvlJc w:val="left"/>
      <w:pPr>
        <w:ind w:left="1080" w:hanging="360"/>
      </w:pPr>
      <w:rPr>
        <w:rFonts w:ascii="Symbol" w:hAnsi="Symbol"/>
      </w:rPr>
    </w:lvl>
    <w:lvl w:ilvl="3" w:tplc="ABAC62F8">
      <w:start w:val="1"/>
      <w:numFmt w:val="bullet"/>
      <w:lvlText w:val=""/>
      <w:lvlJc w:val="left"/>
      <w:pPr>
        <w:ind w:left="1080" w:hanging="360"/>
      </w:pPr>
      <w:rPr>
        <w:rFonts w:ascii="Symbol" w:hAnsi="Symbol"/>
      </w:rPr>
    </w:lvl>
    <w:lvl w:ilvl="4" w:tplc="5FE89C7E">
      <w:start w:val="1"/>
      <w:numFmt w:val="bullet"/>
      <w:lvlText w:val=""/>
      <w:lvlJc w:val="left"/>
      <w:pPr>
        <w:ind w:left="1080" w:hanging="360"/>
      </w:pPr>
      <w:rPr>
        <w:rFonts w:ascii="Symbol" w:hAnsi="Symbol"/>
      </w:rPr>
    </w:lvl>
    <w:lvl w:ilvl="5" w:tplc="27FC5A28">
      <w:start w:val="1"/>
      <w:numFmt w:val="bullet"/>
      <w:lvlText w:val=""/>
      <w:lvlJc w:val="left"/>
      <w:pPr>
        <w:ind w:left="1080" w:hanging="360"/>
      </w:pPr>
      <w:rPr>
        <w:rFonts w:ascii="Symbol" w:hAnsi="Symbol"/>
      </w:rPr>
    </w:lvl>
    <w:lvl w:ilvl="6" w:tplc="03CC0E60">
      <w:start w:val="1"/>
      <w:numFmt w:val="bullet"/>
      <w:lvlText w:val=""/>
      <w:lvlJc w:val="left"/>
      <w:pPr>
        <w:ind w:left="1080" w:hanging="360"/>
      </w:pPr>
      <w:rPr>
        <w:rFonts w:ascii="Symbol" w:hAnsi="Symbol"/>
      </w:rPr>
    </w:lvl>
    <w:lvl w:ilvl="7" w:tplc="FE78FD3E">
      <w:start w:val="1"/>
      <w:numFmt w:val="bullet"/>
      <w:lvlText w:val=""/>
      <w:lvlJc w:val="left"/>
      <w:pPr>
        <w:ind w:left="1080" w:hanging="360"/>
      </w:pPr>
      <w:rPr>
        <w:rFonts w:ascii="Symbol" w:hAnsi="Symbol"/>
      </w:rPr>
    </w:lvl>
    <w:lvl w:ilvl="8" w:tplc="BBCAD352">
      <w:start w:val="1"/>
      <w:numFmt w:val="bullet"/>
      <w:lvlText w:val=""/>
      <w:lvlJc w:val="left"/>
      <w:pPr>
        <w:ind w:left="1080" w:hanging="360"/>
      </w:pPr>
      <w:rPr>
        <w:rFonts w:ascii="Symbol" w:hAnsi="Symbol"/>
      </w:rPr>
    </w:lvl>
  </w:abstractNum>
  <w:abstractNum w:abstractNumId="34" w15:restartNumberingAfterBreak="0">
    <w:nsid w:val="5B2A233A"/>
    <w:multiLevelType w:val="hybridMultilevel"/>
    <w:tmpl w:val="402A0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2F11B0"/>
    <w:multiLevelType w:val="hybridMultilevel"/>
    <w:tmpl w:val="2D3255A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6EE51B32"/>
    <w:multiLevelType w:val="hybridMultilevel"/>
    <w:tmpl w:val="F2CE71E2"/>
    <w:lvl w:ilvl="0" w:tplc="5E348A7E">
      <w:start w:val="1"/>
      <w:numFmt w:val="decimal"/>
      <w:pStyle w:val="TBLNumberedList"/>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36A6B07"/>
    <w:multiLevelType w:val="multilevel"/>
    <w:tmpl w:val="1192806C"/>
    <w:lvl w:ilvl="0">
      <w:start w:val="1"/>
      <w:numFmt w:val="bullet"/>
      <w:pStyle w:val="EmphasisPanelBullet"/>
      <w:lvlText w:val=""/>
      <w:lvlJc w:val="left"/>
      <w:pPr>
        <w:ind w:left="567" w:hanging="369"/>
      </w:pPr>
      <w:rPr>
        <w:rFonts w:ascii="Symbol" w:hAnsi="Symbol" w:hint="default"/>
      </w:rPr>
    </w:lvl>
    <w:lvl w:ilvl="1">
      <w:start w:val="1"/>
      <w:numFmt w:val="bullet"/>
      <w:lvlText w:val="o"/>
      <w:lvlJc w:val="left"/>
      <w:pPr>
        <w:ind w:left="1134" w:hanging="369"/>
      </w:pPr>
      <w:rPr>
        <w:rFonts w:ascii="Courier New" w:hAnsi="Courier New" w:cs="Courier New" w:hint="default"/>
      </w:rPr>
    </w:lvl>
    <w:lvl w:ilvl="2">
      <w:start w:val="1"/>
      <w:numFmt w:val="bullet"/>
      <w:lvlText w:val=""/>
      <w:lvlJc w:val="left"/>
      <w:pPr>
        <w:ind w:left="1701" w:hanging="369"/>
      </w:pPr>
      <w:rPr>
        <w:rFonts w:ascii="Wingdings" w:hAnsi="Wingdings" w:hint="default"/>
      </w:rPr>
    </w:lvl>
    <w:lvl w:ilvl="3">
      <w:start w:val="1"/>
      <w:numFmt w:val="bullet"/>
      <w:lvlText w:val=""/>
      <w:lvlJc w:val="left"/>
      <w:pPr>
        <w:ind w:left="2268" w:hanging="369"/>
      </w:pPr>
      <w:rPr>
        <w:rFonts w:ascii="Symbol" w:hAnsi="Symbol" w:hint="default"/>
      </w:rPr>
    </w:lvl>
    <w:lvl w:ilvl="4">
      <w:start w:val="1"/>
      <w:numFmt w:val="bullet"/>
      <w:lvlText w:val="o"/>
      <w:lvlJc w:val="left"/>
      <w:pPr>
        <w:ind w:left="2835" w:hanging="369"/>
      </w:pPr>
      <w:rPr>
        <w:rFonts w:ascii="Courier New" w:hAnsi="Courier New" w:cs="Courier New" w:hint="default"/>
      </w:rPr>
    </w:lvl>
    <w:lvl w:ilvl="5">
      <w:start w:val="1"/>
      <w:numFmt w:val="bullet"/>
      <w:lvlText w:val=""/>
      <w:lvlJc w:val="left"/>
      <w:pPr>
        <w:ind w:left="3402" w:hanging="369"/>
      </w:pPr>
      <w:rPr>
        <w:rFonts w:ascii="Wingdings" w:hAnsi="Wingdings" w:hint="default"/>
      </w:rPr>
    </w:lvl>
    <w:lvl w:ilvl="6">
      <w:start w:val="1"/>
      <w:numFmt w:val="bullet"/>
      <w:lvlText w:val=""/>
      <w:lvlJc w:val="left"/>
      <w:pPr>
        <w:ind w:left="3969" w:hanging="369"/>
      </w:pPr>
      <w:rPr>
        <w:rFonts w:ascii="Symbol" w:hAnsi="Symbol" w:hint="default"/>
      </w:rPr>
    </w:lvl>
    <w:lvl w:ilvl="7">
      <w:start w:val="1"/>
      <w:numFmt w:val="bullet"/>
      <w:lvlText w:val="o"/>
      <w:lvlJc w:val="left"/>
      <w:pPr>
        <w:ind w:left="4536" w:hanging="369"/>
      </w:pPr>
      <w:rPr>
        <w:rFonts w:ascii="Courier New" w:hAnsi="Courier New" w:cs="Courier New" w:hint="default"/>
      </w:rPr>
    </w:lvl>
    <w:lvl w:ilvl="8">
      <w:start w:val="1"/>
      <w:numFmt w:val="bullet"/>
      <w:lvlText w:val=""/>
      <w:lvlJc w:val="left"/>
      <w:pPr>
        <w:ind w:left="5103" w:hanging="369"/>
      </w:pPr>
      <w:rPr>
        <w:rFonts w:ascii="Wingdings" w:hAnsi="Wingdings" w:hint="default"/>
      </w:rPr>
    </w:lvl>
  </w:abstractNum>
  <w:abstractNum w:abstractNumId="38" w15:restartNumberingAfterBreak="0">
    <w:nsid w:val="76270A93"/>
    <w:multiLevelType w:val="hybridMultilevel"/>
    <w:tmpl w:val="E418E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6D75DCB"/>
    <w:multiLevelType w:val="multilevel"/>
    <w:tmpl w:val="3A3EEEF8"/>
    <w:lvl w:ilvl="0">
      <w:start w:val="1"/>
      <w:numFmt w:val="decimal"/>
      <w:suff w:val="space"/>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781170D5"/>
    <w:multiLevelType w:val="hybridMultilevel"/>
    <w:tmpl w:val="38E03EE6"/>
    <w:lvl w:ilvl="0" w:tplc="9C7CCF60">
      <w:start w:val="1"/>
      <w:numFmt w:val="decimal"/>
      <w:pStyle w:val="NumberedList-Level1"/>
      <w:lvlText w:val="%1."/>
      <w:lvlJc w:val="left"/>
      <w:pPr>
        <w:ind w:left="567" w:hanging="283"/>
      </w:pPr>
      <w:rPr>
        <w:rFonts w:hint="default"/>
      </w:rPr>
    </w:lvl>
    <w:lvl w:ilvl="1" w:tplc="1FAA0FEC">
      <w:start w:val="1"/>
      <w:numFmt w:val="lowerLetter"/>
      <w:pStyle w:val="NumberedList-level2"/>
      <w:lvlText w:val="%2."/>
      <w:lvlJc w:val="left"/>
      <w:pPr>
        <w:ind w:left="851" w:hanging="284"/>
      </w:pPr>
      <w:rPr>
        <w:rFonts w:hint="default"/>
      </w:rPr>
    </w:lvl>
    <w:lvl w:ilvl="2" w:tplc="65FAA32A">
      <w:start w:val="1"/>
      <w:numFmt w:val="lowerRoman"/>
      <w:pStyle w:val="NumberedList-Level3"/>
      <w:lvlText w:val="%3."/>
      <w:lvlJc w:val="right"/>
      <w:pPr>
        <w:ind w:left="1134" w:hanging="170"/>
      </w:pPr>
      <w:rPr>
        <w:rFonts w:hint="default"/>
      </w:r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364789726">
    <w:abstractNumId w:val="2"/>
  </w:num>
  <w:num w:numId="2" w16cid:durableId="1377269445">
    <w:abstractNumId w:val="1"/>
  </w:num>
  <w:num w:numId="3" w16cid:durableId="542786924">
    <w:abstractNumId w:val="36"/>
  </w:num>
  <w:num w:numId="4" w16cid:durableId="1489325062">
    <w:abstractNumId w:val="13"/>
  </w:num>
  <w:num w:numId="5" w16cid:durableId="333725985">
    <w:abstractNumId w:val="40"/>
  </w:num>
  <w:num w:numId="6" w16cid:durableId="541014681">
    <w:abstractNumId w:val="8"/>
  </w:num>
  <w:num w:numId="7" w16cid:durableId="270285532">
    <w:abstractNumId w:val="27"/>
  </w:num>
  <w:num w:numId="8" w16cid:durableId="2069258942">
    <w:abstractNumId w:val="6"/>
  </w:num>
  <w:num w:numId="9" w16cid:durableId="1322152595">
    <w:abstractNumId w:val="11"/>
  </w:num>
  <w:num w:numId="10" w16cid:durableId="1432972027">
    <w:abstractNumId w:val="3"/>
  </w:num>
  <w:num w:numId="11" w16cid:durableId="1277129894">
    <w:abstractNumId w:val="16"/>
  </w:num>
  <w:num w:numId="12" w16cid:durableId="983390703">
    <w:abstractNumId w:val="37"/>
  </w:num>
  <w:num w:numId="13" w16cid:durableId="148061009">
    <w:abstractNumId w:val="39"/>
  </w:num>
  <w:num w:numId="14" w16cid:durableId="530727317">
    <w:abstractNumId w:val="22"/>
    <w:lvlOverride w:ilvl="0">
      <w:lvl w:ilvl="0">
        <w:start w:val="1"/>
        <w:numFmt w:val="decimal"/>
        <w:pStyle w:val="TableNumbering"/>
        <w:lvlText w:val="%1."/>
        <w:lvlJc w:val="left"/>
        <w:pPr>
          <w:ind w:left="284" w:hanging="28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lowerRoman"/>
        <w:lvlText w:val="%2"/>
        <w:lvlJc w:val="left"/>
        <w:pPr>
          <w:ind w:left="454" w:hanging="284"/>
        </w:pPr>
        <w:rPr>
          <w:rFonts w:hint="default"/>
        </w:rPr>
      </w:lvl>
    </w:lvlOverride>
    <w:lvlOverride w:ilvl="2">
      <w:lvl w:ilvl="2">
        <w:start w:val="1"/>
        <w:numFmt w:val="upperRoman"/>
        <w:lvlText w:val="%3"/>
        <w:lvlJc w:val="left"/>
        <w:pPr>
          <w:ind w:left="624" w:hanging="284"/>
        </w:pPr>
        <w:rPr>
          <w:rFonts w:hint="default"/>
        </w:rPr>
      </w:lvl>
    </w:lvlOverride>
    <w:lvlOverride w:ilvl="3">
      <w:lvl w:ilvl="3">
        <w:start w:val="1"/>
        <w:numFmt w:val="decimal"/>
        <w:lvlText w:val="%4."/>
        <w:lvlJc w:val="left"/>
        <w:pPr>
          <w:ind w:left="794" w:hanging="284"/>
        </w:pPr>
        <w:rPr>
          <w:rFonts w:hint="default"/>
        </w:rPr>
      </w:lvl>
    </w:lvlOverride>
    <w:lvlOverride w:ilvl="4">
      <w:lvl w:ilvl="4">
        <w:start w:val="1"/>
        <w:numFmt w:val="lowerLetter"/>
        <w:lvlText w:val="%5."/>
        <w:lvlJc w:val="left"/>
        <w:pPr>
          <w:ind w:left="964" w:hanging="284"/>
        </w:pPr>
        <w:rPr>
          <w:rFonts w:hint="default"/>
        </w:rPr>
      </w:lvl>
    </w:lvlOverride>
    <w:lvlOverride w:ilvl="5">
      <w:lvl w:ilvl="5">
        <w:start w:val="1"/>
        <w:numFmt w:val="lowerRoman"/>
        <w:lvlText w:val="%6."/>
        <w:lvlJc w:val="right"/>
        <w:pPr>
          <w:ind w:left="1134" w:hanging="284"/>
        </w:pPr>
        <w:rPr>
          <w:rFonts w:hint="default"/>
        </w:rPr>
      </w:lvl>
    </w:lvlOverride>
    <w:lvlOverride w:ilvl="6">
      <w:lvl w:ilvl="6">
        <w:start w:val="1"/>
        <w:numFmt w:val="decimal"/>
        <w:lvlText w:val="%7."/>
        <w:lvlJc w:val="left"/>
        <w:pPr>
          <w:ind w:left="1304" w:hanging="284"/>
        </w:pPr>
        <w:rPr>
          <w:rFonts w:hint="default"/>
        </w:rPr>
      </w:lvl>
    </w:lvlOverride>
    <w:lvlOverride w:ilvl="7">
      <w:lvl w:ilvl="7">
        <w:start w:val="1"/>
        <w:numFmt w:val="lowerLetter"/>
        <w:lvlText w:val="%8."/>
        <w:lvlJc w:val="left"/>
        <w:pPr>
          <w:ind w:left="1474" w:hanging="284"/>
        </w:pPr>
        <w:rPr>
          <w:rFonts w:hint="default"/>
        </w:rPr>
      </w:lvl>
    </w:lvlOverride>
    <w:lvlOverride w:ilvl="8">
      <w:lvl w:ilvl="8">
        <w:start w:val="1"/>
        <w:numFmt w:val="lowerRoman"/>
        <w:lvlText w:val="%9."/>
        <w:lvlJc w:val="right"/>
        <w:pPr>
          <w:ind w:left="1644" w:hanging="284"/>
        </w:pPr>
        <w:rPr>
          <w:rFonts w:hint="default"/>
        </w:rPr>
      </w:lvl>
    </w:lvlOverride>
  </w:num>
  <w:num w:numId="15" w16cid:durableId="92013739">
    <w:abstractNumId w:val="27"/>
    <w:lvlOverride w:ilvl="0">
      <w:startOverride w:val="1"/>
    </w:lvlOverride>
  </w:num>
  <w:num w:numId="16" w16cid:durableId="1454398191">
    <w:abstractNumId w:val="27"/>
    <w:lvlOverride w:ilvl="0">
      <w:startOverride w:val="1"/>
    </w:lvlOverride>
  </w:num>
  <w:num w:numId="17" w16cid:durableId="1996494119">
    <w:abstractNumId w:val="27"/>
    <w:lvlOverride w:ilvl="0">
      <w:startOverride w:val="1"/>
    </w:lvlOverride>
  </w:num>
  <w:num w:numId="18" w16cid:durableId="247932246">
    <w:abstractNumId w:val="27"/>
    <w:lvlOverride w:ilvl="0">
      <w:startOverride w:val="1"/>
    </w:lvlOverride>
  </w:num>
  <w:num w:numId="19" w16cid:durableId="140537710">
    <w:abstractNumId w:val="27"/>
    <w:lvlOverride w:ilvl="0">
      <w:startOverride w:val="1"/>
    </w:lvlOverride>
  </w:num>
  <w:num w:numId="20" w16cid:durableId="609240536">
    <w:abstractNumId w:val="0"/>
  </w:num>
  <w:num w:numId="21" w16cid:durableId="140275909">
    <w:abstractNumId w:val="35"/>
  </w:num>
  <w:num w:numId="22" w16cid:durableId="1578008285">
    <w:abstractNumId w:val="23"/>
  </w:num>
  <w:num w:numId="23" w16cid:durableId="39089199">
    <w:abstractNumId w:val="28"/>
  </w:num>
  <w:num w:numId="24" w16cid:durableId="1060637273">
    <w:abstractNumId w:val="9"/>
  </w:num>
  <w:num w:numId="25" w16cid:durableId="2095123533">
    <w:abstractNumId w:val="5"/>
  </w:num>
  <w:num w:numId="26" w16cid:durableId="565602893">
    <w:abstractNumId w:val="31"/>
  </w:num>
  <w:num w:numId="27" w16cid:durableId="538708028">
    <w:abstractNumId w:val="12"/>
  </w:num>
  <w:num w:numId="28" w16cid:durableId="1020738548">
    <w:abstractNumId w:val="24"/>
  </w:num>
  <w:num w:numId="29" w16cid:durableId="51388161">
    <w:abstractNumId w:val="4"/>
  </w:num>
  <w:num w:numId="30" w16cid:durableId="957640399">
    <w:abstractNumId w:val="29"/>
  </w:num>
  <w:num w:numId="31" w16cid:durableId="556164935">
    <w:abstractNumId w:val="34"/>
  </w:num>
  <w:num w:numId="32" w16cid:durableId="1267078017">
    <w:abstractNumId w:val="33"/>
  </w:num>
  <w:num w:numId="33" w16cid:durableId="1837456067">
    <w:abstractNumId w:val="18"/>
  </w:num>
  <w:num w:numId="34" w16cid:durableId="1084958781">
    <w:abstractNumId w:val="32"/>
  </w:num>
  <w:num w:numId="35" w16cid:durableId="1903785362">
    <w:abstractNumId w:val="25"/>
  </w:num>
  <w:num w:numId="36" w16cid:durableId="1648968969">
    <w:abstractNumId w:val="15"/>
  </w:num>
  <w:num w:numId="37" w16cid:durableId="561142184">
    <w:abstractNumId w:val="20"/>
  </w:num>
  <w:num w:numId="38" w16cid:durableId="1909880660">
    <w:abstractNumId w:val="14"/>
  </w:num>
  <w:num w:numId="39" w16cid:durableId="887452157">
    <w:abstractNumId w:val="30"/>
  </w:num>
  <w:num w:numId="40" w16cid:durableId="1343241928">
    <w:abstractNumId w:val="26"/>
  </w:num>
  <w:num w:numId="41" w16cid:durableId="1162694191">
    <w:abstractNumId w:val="17"/>
  </w:num>
  <w:num w:numId="42" w16cid:durableId="1588726681">
    <w:abstractNumId w:val="7"/>
  </w:num>
  <w:num w:numId="43" w16cid:durableId="1689210721">
    <w:abstractNumId w:val="21"/>
  </w:num>
  <w:num w:numId="44" w16cid:durableId="1453329506">
    <w:abstractNumId w:val="19"/>
  </w:num>
  <w:num w:numId="45" w16cid:durableId="2012444989">
    <w:abstractNumId w:val="38"/>
  </w:num>
  <w:num w:numId="46" w16cid:durableId="1175070339">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ctiveWritingStyle w:appName="MSWord" w:lang="en-US" w:vendorID="64" w:dllVersion="0" w:nlCheck="1" w:checkStyle="0"/>
  <w:activeWritingStyle w:appName="MSWord" w:lang="en-AU" w:vendorID="64" w:dllVersion="0" w:nlCheck="1" w:checkStyle="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6B32"/>
    <w:rsid w:val="000005A0"/>
    <w:rsid w:val="0000072A"/>
    <w:rsid w:val="0000229D"/>
    <w:rsid w:val="00002336"/>
    <w:rsid w:val="00003EEE"/>
    <w:rsid w:val="00003F61"/>
    <w:rsid w:val="00004312"/>
    <w:rsid w:val="0000441F"/>
    <w:rsid w:val="00004A28"/>
    <w:rsid w:val="0000500F"/>
    <w:rsid w:val="000054CD"/>
    <w:rsid w:val="00005508"/>
    <w:rsid w:val="0000552A"/>
    <w:rsid w:val="00005B87"/>
    <w:rsid w:val="00005BA4"/>
    <w:rsid w:val="00005BD3"/>
    <w:rsid w:val="00005C5C"/>
    <w:rsid w:val="00005CEB"/>
    <w:rsid w:val="00005EC9"/>
    <w:rsid w:val="00006475"/>
    <w:rsid w:val="000077F1"/>
    <w:rsid w:val="0001077B"/>
    <w:rsid w:val="00010843"/>
    <w:rsid w:val="00010E17"/>
    <w:rsid w:val="00011880"/>
    <w:rsid w:val="00011D25"/>
    <w:rsid w:val="00011F38"/>
    <w:rsid w:val="00012846"/>
    <w:rsid w:val="00012D8D"/>
    <w:rsid w:val="000132B0"/>
    <w:rsid w:val="0001341A"/>
    <w:rsid w:val="000136CE"/>
    <w:rsid w:val="000136FA"/>
    <w:rsid w:val="00013A5A"/>
    <w:rsid w:val="00014148"/>
    <w:rsid w:val="000144BC"/>
    <w:rsid w:val="0001495C"/>
    <w:rsid w:val="00015667"/>
    <w:rsid w:val="000158B7"/>
    <w:rsid w:val="000166B3"/>
    <w:rsid w:val="000167A4"/>
    <w:rsid w:val="00016C18"/>
    <w:rsid w:val="00016D11"/>
    <w:rsid w:val="0002019E"/>
    <w:rsid w:val="00020577"/>
    <w:rsid w:val="00020A44"/>
    <w:rsid w:val="000210A0"/>
    <w:rsid w:val="00021A9F"/>
    <w:rsid w:val="00021B8B"/>
    <w:rsid w:val="00021C16"/>
    <w:rsid w:val="00021D2A"/>
    <w:rsid w:val="00022928"/>
    <w:rsid w:val="000234E0"/>
    <w:rsid w:val="000234FF"/>
    <w:rsid w:val="00023B98"/>
    <w:rsid w:val="000242C4"/>
    <w:rsid w:val="000245A4"/>
    <w:rsid w:val="000246E4"/>
    <w:rsid w:val="0002498E"/>
    <w:rsid w:val="00025335"/>
    <w:rsid w:val="00025E89"/>
    <w:rsid w:val="00026009"/>
    <w:rsid w:val="000265AE"/>
    <w:rsid w:val="00026A47"/>
    <w:rsid w:val="00027038"/>
    <w:rsid w:val="000304CF"/>
    <w:rsid w:val="000307E9"/>
    <w:rsid w:val="00030A28"/>
    <w:rsid w:val="00030B6F"/>
    <w:rsid w:val="00030FF9"/>
    <w:rsid w:val="000310BB"/>
    <w:rsid w:val="00031298"/>
    <w:rsid w:val="00031402"/>
    <w:rsid w:val="0003154E"/>
    <w:rsid w:val="0003164B"/>
    <w:rsid w:val="00031C98"/>
    <w:rsid w:val="00031D23"/>
    <w:rsid w:val="000335C3"/>
    <w:rsid w:val="00033D7D"/>
    <w:rsid w:val="0003666E"/>
    <w:rsid w:val="00036D2C"/>
    <w:rsid w:val="000372BB"/>
    <w:rsid w:val="00037513"/>
    <w:rsid w:val="0003766E"/>
    <w:rsid w:val="0003794E"/>
    <w:rsid w:val="00037E9A"/>
    <w:rsid w:val="00040552"/>
    <w:rsid w:val="00040728"/>
    <w:rsid w:val="00042B23"/>
    <w:rsid w:val="00042C90"/>
    <w:rsid w:val="00043548"/>
    <w:rsid w:val="000435AA"/>
    <w:rsid w:val="0004378A"/>
    <w:rsid w:val="00043C63"/>
    <w:rsid w:val="000445EB"/>
    <w:rsid w:val="000449D8"/>
    <w:rsid w:val="00044D72"/>
    <w:rsid w:val="00044DF0"/>
    <w:rsid w:val="00045433"/>
    <w:rsid w:val="000458A6"/>
    <w:rsid w:val="00045B1C"/>
    <w:rsid w:val="00046E96"/>
    <w:rsid w:val="0004716E"/>
    <w:rsid w:val="0004719F"/>
    <w:rsid w:val="00047216"/>
    <w:rsid w:val="00047E5D"/>
    <w:rsid w:val="00050D08"/>
    <w:rsid w:val="00050E86"/>
    <w:rsid w:val="00051347"/>
    <w:rsid w:val="0005178F"/>
    <w:rsid w:val="000517A5"/>
    <w:rsid w:val="00051C75"/>
    <w:rsid w:val="0005239B"/>
    <w:rsid w:val="0005248D"/>
    <w:rsid w:val="000534B7"/>
    <w:rsid w:val="0005366D"/>
    <w:rsid w:val="00053852"/>
    <w:rsid w:val="00053D0A"/>
    <w:rsid w:val="000542E2"/>
    <w:rsid w:val="0005470E"/>
    <w:rsid w:val="00055B04"/>
    <w:rsid w:val="000562EF"/>
    <w:rsid w:val="0005689C"/>
    <w:rsid w:val="000572D9"/>
    <w:rsid w:val="00057802"/>
    <w:rsid w:val="00057F4E"/>
    <w:rsid w:val="00060446"/>
    <w:rsid w:val="00060ABE"/>
    <w:rsid w:val="00062038"/>
    <w:rsid w:val="00062834"/>
    <w:rsid w:val="00062A90"/>
    <w:rsid w:val="0006362B"/>
    <w:rsid w:val="000636AC"/>
    <w:rsid w:val="000637FC"/>
    <w:rsid w:val="000640A8"/>
    <w:rsid w:val="0006417A"/>
    <w:rsid w:val="000647D3"/>
    <w:rsid w:val="000649C8"/>
    <w:rsid w:val="00065805"/>
    <w:rsid w:val="00065F5E"/>
    <w:rsid w:val="0006626E"/>
    <w:rsid w:val="0006627F"/>
    <w:rsid w:val="00066358"/>
    <w:rsid w:val="00066425"/>
    <w:rsid w:val="0006648E"/>
    <w:rsid w:val="00066A4A"/>
    <w:rsid w:val="000677D6"/>
    <w:rsid w:val="00071A83"/>
    <w:rsid w:val="00071BF3"/>
    <w:rsid w:val="000738A6"/>
    <w:rsid w:val="00074246"/>
    <w:rsid w:val="00074A1C"/>
    <w:rsid w:val="00074E4A"/>
    <w:rsid w:val="0007501B"/>
    <w:rsid w:val="000750F8"/>
    <w:rsid w:val="000766B2"/>
    <w:rsid w:val="00076809"/>
    <w:rsid w:val="00076963"/>
    <w:rsid w:val="000769F4"/>
    <w:rsid w:val="00076BE8"/>
    <w:rsid w:val="00077AD1"/>
    <w:rsid w:val="00077D21"/>
    <w:rsid w:val="00077E79"/>
    <w:rsid w:val="0008148D"/>
    <w:rsid w:val="00081E9D"/>
    <w:rsid w:val="0008310F"/>
    <w:rsid w:val="0008375A"/>
    <w:rsid w:val="00083C5B"/>
    <w:rsid w:val="00083D1D"/>
    <w:rsid w:val="00084311"/>
    <w:rsid w:val="00085481"/>
    <w:rsid w:val="00086095"/>
    <w:rsid w:val="000869C8"/>
    <w:rsid w:val="00087748"/>
    <w:rsid w:val="00087C0A"/>
    <w:rsid w:val="00090A63"/>
    <w:rsid w:val="0009249A"/>
    <w:rsid w:val="0009258C"/>
    <w:rsid w:val="0009288B"/>
    <w:rsid w:val="00092A8E"/>
    <w:rsid w:val="00092FCE"/>
    <w:rsid w:val="000956C1"/>
    <w:rsid w:val="000959C7"/>
    <w:rsid w:val="000A0090"/>
    <w:rsid w:val="000A027C"/>
    <w:rsid w:val="000A051D"/>
    <w:rsid w:val="000A054C"/>
    <w:rsid w:val="000A0D16"/>
    <w:rsid w:val="000A0D21"/>
    <w:rsid w:val="000A0E7C"/>
    <w:rsid w:val="000A122A"/>
    <w:rsid w:val="000A2305"/>
    <w:rsid w:val="000A3344"/>
    <w:rsid w:val="000A3A93"/>
    <w:rsid w:val="000A3B3F"/>
    <w:rsid w:val="000A4F9B"/>
    <w:rsid w:val="000A5431"/>
    <w:rsid w:val="000A57F6"/>
    <w:rsid w:val="000A7962"/>
    <w:rsid w:val="000B01F3"/>
    <w:rsid w:val="000B161C"/>
    <w:rsid w:val="000B1A36"/>
    <w:rsid w:val="000B1B0D"/>
    <w:rsid w:val="000B1B17"/>
    <w:rsid w:val="000B2052"/>
    <w:rsid w:val="000B21D7"/>
    <w:rsid w:val="000B2640"/>
    <w:rsid w:val="000B2731"/>
    <w:rsid w:val="000B3417"/>
    <w:rsid w:val="000B3BAD"/>
    <w:rsid w:val="000B43CA"/>
    <w:rsid w:val="000B47D4"/>
    <w:rsid w:val="000B5FE3"/>
    <w:rsid w:val="000B6090"/>
    <w:rsid w:val="000B6175"/>
    <w:rsid w:val="000B632F"/>
    <w:rsid w:val="000B6A28"/>
    <w:rsid w:val="000B6C22"/>
    <w:rsid w:val="000B6F30"/>
    <w:rsid w:val="000B78DE"/>
    <w:rsid w:val="000B7A5C"/>
    <w:rsid w:val="000B7DF1"/>
    <w:rsid w:val="000C0180"/>
    <w:rsid w:val="000C12C7"/>
    <w:rsid w:val="000C1371"/>
    <w:rsid w:val="000C1EEF"/>
    <w:rsid w:val="000C325E"/>
    <w:rsid w:val="000C3BE8"/>
    <w:rsid w:val="000C46B2"/>
    <w:rsid w:val="000C49FC"/>
    <w:rsid w:val="000C4EB9"/>
    <w:rsid w:val="000C4EED"/>
    <w:rsid w:val="000C570E"/>
    <w:rsid w:val="000C5D47"/>
    <w:rsid w:val="000C5E46"/>
    <w:rsid w:val="000C7142"/>
    <w:rsid w:val="000D0B34"/>
    <w:rsid w:val="000D1634"/>
    <w:rsid w:val="000D167C"/>
    <w:rsid w:val="000D1FDC"/>
    <w:rsid w:val="000D274A"/>
    <w:rsid w:val="000D2DEC"/>
    <w:rsid w:val="000D3D69"/>
    <w:rsid w:val="000D3F30"/>
    <w:rsid w:val="000D40F1"/>
    <w:rsid w:val="000D4724"/>
    <w:rsid w:val="000D521E"/>
    <w:rsid w:val="000D6B95"/>
    <w:rsid w:val="000D749D"/>
    <w:rsid w:val="000D786A"/>
    <w:rsid w:val="000D7BBA"/>
    <w:rsid w:val="000D7E43"/>
    <w:rsid w:val="000D7F0D"/>
    <w:rsid w:val="000E078A"/>
    <w:rsid w:val="000E169B"/>
    <w:rsid w:val="000E1ED1"/>
    <w:rsid w:val="000E1F08"/>
    <w:rsid w:val="000E2164"/>
    <w:rsid w:val="000E2552"/>
    <w:rsid w:val="000E26B7"/>
    <w:rsid w:val="000E2B2D"/>
    <w:rsid w:val="000E2F3B"/>
    <w:rsid w:val="000E33C0"/>
    <w:rsid w:val="000E4492"/>
    <w:rsid w:val="000E48C9"/>
    <w:rsid w:val="000E4974"/>
    <w:rsid w:val="000E4A17"/>
    <w:rsid w:val="000E4C8D"/>
    <w:rsid w:val="000E4D32"/>
    <w:rsid w:val="000E5091"/>
    <w:rsid w:val="000E52A0"/>
    <w:rsid w:val="000E60FA"/>
    <w:rsid w:val="000E689A"/>
    <w:rsid w:val="000E6D91"/>
    <w:rsid w:val="000E784B"/>
    <w:rsid w:val="000E7E9E"/>
    <w:rsid w:val="000F0748"/>
    <w:rsid w:val="000F0918"/>
    <w:rsid w:val="000F0A74"/>
    <w:rsid w:val="000F1148"/>
    <w:rsid w:val="000F2325"/>
    <w:rsid w:val="000F24C5"/>
    <w:rsid w:val="000F34D2"/>
    <w:rsid w:val="000F3F5E"/>
    <w:rsid w:val="000F430B"/>
    <w:rsid w:val="000F47AC"/>
    <w:rsid w:val="000F47CF"/>
    <w:rsid w:val="000F50B3"/>
    <w:rsid w:val="000F58F1"/>
    <w:rsid w:val="000F5F7A"/>
    <w:rsid w:val="000F6036"/>
    <w:rsid w:val="000F6315"/>
    <w:rsid w:val="000F67FB"/>
    <w:rsid w:val="000F6AAD"/>
    <w:rsid w:val="000F6D60"/>
    <w:rsid w:val="000F75EF"/>
    <w:rsid w:val="000F7D83"/>
    <w:rsid w:val="00100272"/>
    <w:rsid w:val="001003DF"/>
    <w:rsid w:val="0010077E"/>
    <w:rsid w:val="0010253B"/>
    <w:rsid w:val="001025A3"/>
    <w:rsid w:val="001025BF"/>
    <w:rsid w:val="001026C8"/>
    <w:rsid w:val="00105C73"/>
    <w:rsid w:val="00105D20"/>
    <w:rsid w:val="00106BCC"/>
    <w:rsid w:val="00107201"/>
    <w:rsid w:val="00107DFE"/>
    <w:rsid w:val="00110475"/>
    <w:rsid w:val="00110966"/>
    <w:rsid w:val="001109DC"/>
    <w:rsid w:val="00110AED"/>
    <w:rsid w:val="00110F6B"/>
    <w:rsid w:val="00111584"/>
    <w:rsid w:val="00111865"/>
    <w:rsid w:val="00112886"/>
    <w:rsid w:val="00112EF3"/>
    <w:rsid w:val="00112F1C"/>
    <w:rsid w:val="00113148"/>
    <w:rsid w:val="00113E0E"/>
    <w:rsid w:val="00114709"/>
    <w:rsid w:val="00114986"/>
    <w:rsid w:val="00114C9A"/>
    <w:rsid w:val="00114FA0"/>
    <w:rsid w:val="001150BF"/>
    <w:rsid w:val="00115264"/>
    <w:rsid w:val="001158A0"/>
    <w:rsid w:val="00116174"/>
    <w:rsid w:val="00116B1C"/>
    <w:rsid w:val="00116B3A"/>
    <w:rsid w:val="0011719B"/>
    <w:rsid w:val="00117A77"/>
    <w:rsid w:val="00117E08"/>
    <w:rsid w:val="001202DC"/>
    <w:rsid w:val="00120B95"/>
    <w:rsid w:val="0012147F"/>
    <w:rsid w:val="00121876"/>
    <w:rsid w:val="00121E9B"/>
    <w:rsid w:val="00122382"/>
    <w:rsid w:val="0012245A"/>
    <w:rsid w:val="001238CA"/>
    <w:rsid w:val="00123928"/>
    <w:rsid w:val="00124149"/>
    <w:rsid w:val="00124EEB"/>
    <w:rsid w:val="00125EA2"/>
    <w:rsid w:val="00125FCA"/>
    <w:rsid w:val="0012642C"/>
    <w:rsid w:val="001264FA"/>
    <w:rsid w:val="00126512"/>
    <w:rsid w:val="001267A0"/>
    <w:rsid w:val="00127A82"/>
    <w:rsid w:val="001304FA"/>
    <w:rsid w:val="001313AC"/>
    <w:rsid w:val="00131E80"/>
    <w:rsid w:val="0013224A"/>
    <w:rsid w:val="00132B19"/>
    <w:rsid w:val="00132B42"/>
    <w:rsid w:val="0013410C"/>
    <w:rsid w:val="00134709"/>
    <w:rsid w:val="00135459"/>
    <w:rsid w:val="00135D45"/>
    <w:rsid w:val="00135EDE"/>
    <w:rsid w:val="001376D8"/>
    <w:rsid w:val="001406C7"/>
    <w:rsid w:val="0014151F"/>
    <w:rsid w:val="0014198E"/>
    <w:rsid w:val="00141A9A"/>
    <w:rsid w:val="00141DD8"/>
    <w:rsid w:val="001425FD"/>
    <w:rsid w:val="001428E5"/>
    <w:rsid w:val="00142D95"/>
    <w:rsid w:val="0014309E"/>
    <w:rsid w:val="00143143"/>
    <w:rsid w:val="001432F5"/>
    <w:rsid w:val="0014346B"/>
    <w:rsid w:val="00143D4A"/>
    <w:rsid w:val="00143E4E"/>
    <w:rsid w:val="001443E4"/>
    <w:rsid w:val="00144773"/>
    <w:rsid w:val="00145041"/>
    <w:rsid w:val="00145224"/>
    <w:rsid w:val="00145500"/>
    <w:rsid w:val="0014604A"/>
    <w:rsid w:val="00146AAD"/>
    <w:rsid w:val="00146DE4"/>
    <w:rsid w:val="00147956"/>
    <w:rsid w:val="0015003D"/>
    <w:rsid w:val="001509B0"/>
    <w:rsid w:val="00151290"/>
    <w:rsid w:val="001513BF"/>
    <w:rsid w:val="001517A3"/>
    <w:rsid w:val="00151AE0"/>
    <w:rsid w:val="001523A8"/>
    <w:rsid w:val="00153696"/>
    <w:rsid w:val="00154101"/>
    <w:rsid w:val="00154550"/>
    <w:rsid w:val="00154589"/>
    <w:rsid w:val="0015513B"/>
    <w:rsid w:val="00155DCB"/>
    <w:rsid w:val="00156242"/>
    <w:rsid w:val="00156643"/>
    <w:rsid w:val="00156E71"/>
    <w:rsid w:val="001571B7"/>
    <w:rsid w:val="00157246"/>
    <w:rsid w:val="001574C5"/>
    <w:rsid w:val="001601D1"/>
    <w:rsid w:val="001608C6"/>
    <w:rsid w:val="00160BA5"/>
    <w:rsid w:val="00160EA7"/>
    <w:rsid w:val="00160FC1"/>
    <w:rsid w:val="001610D6"/>
    <w:rsid w:val="001611BF"/>
    <w:rsid w:val="0016139C"/>
    <w:rsid w:val="001618B9"/>
    <w:rsid w:val="001624D0"/>
    <w:rsid w:val="00163455"/>
    <w:rsid w:val="001634C6"/>
    <w:rsid w:val="001637F2"/>
    <w:rsid w:val="0016397E"/>
    <w:rsid w:val="001642C0"/>
    <w:rsid w:val="001642C8"/>
    <w:rsid w:val="001649E6"/>
    <w:rsid w:val="001665D8"/>
    <w:rsid w:val="00167615"/>
    <w:rsid w:val="00167E36"/>
    <w:rsid w:val="00170545"/>
    <w:rsid w:val="0017087B"/>
    <w:rsid w:val="00170BB7"/>
    <w:rsid w:val="00170F90"/>
    <w:rsid w:val="001710E9"/>
    <w:rsid w:val="00171142"/>
    <w:rsid w:val="001711C6"/>
    <w:rsid w:val="0017169B"/>
    <w:rsid w:val="00171A4F"/>
    <w:rsid w:val="0017309B"/>
    <w:rsid w:val="001735FD"/>
    <w:rsid w:val="0017436A"/>
    <w:rsid w:val="001748B6"/>
    <w:rsid w:val="00174C2E"/>
    <w:rsid w:val="00174D5C"/>
    <w:rsid w:val="00175448"/>
    <w:rsid w:val="001760DE"/>
    <w:rsid w:val="0017733E"/>
    <w:rsid w:val="00177380"/>
    <w:rsid w:val="00177871"/>
    <w:rsid w:val="00177C26"/>
    <w:rsid w:val="001806A9"/>
    <w:rsid w:val="001809DD"/>
    <w:rsid w:val="00181085"/>
    <w:rsid w:val="001813E8"/>
    <w:rsid w:val="00182492"/>
    <w:rsid w:val="00182E48"/>
    <w:rsid w:val="00183C78"/>
    <w:rsid w:val="00184156"/>
    <w:rsid w:val="001845DD"/>
    <w:rsid w:val="00184F62"/>
    <w:rsid w:val="001860A5"/>
    <w:rsid w:val="001869CA"/>
    <w:rsid w:val="0018785A"/>
    <w:rsid w:val="00190954"/>
    <w:rsid w:val="00190EB2"/>
    <w:rsid w:val="00191309"/>
    <w:rsid w:val="001913B1"/>
    <w:rsid w:val="00191B90"/>
    <w:rsid w:val="00192C4D"/>
    <w:rsid w:val="001932B6"/>
    <w:rsid w:val="001939D9"/>
    <w:rsid w:val="00193F74"/>
    <w:rsid w:val="001940F9"/>
    <w:rsid w:val="001943BB"/>
    <w:rsid w:val="00194B5D"/>
    <w:rsid w:val="00194C78"/>
    <w:rsid w:val="0019539E"/>
    <w:rsid w:val="001954B4"/>
    <w:rsid w:val="001955CC"/>
    <w:rsid w:val="001957AD"/>
    <w:rsid w:val="00195AA4"/>
    <w:rsid w:val="0019737F"/>
    <w:rsid w:val="001975C2"/>
    <w:rsid w:val="00197C2E"/>
    <w:rsid w:val="00197EC6"/>
    <w:rsid w:val="001A08B1"/>
    <w:rsid w:val="001A1701"/>
    <w:rsid w:val="001A2218"/>
    <w:rsid w:val="001A2301"/>
    <w:rsid w:val="001A23A4"/>
    <w:rsid w:val="001A3D77"/>
    <w:rsid w:val="001A439F"/>
    <w:rsid w:val="001A6106"/>
    <w:rsid w:val="001A6BBE"/>
    <w:rsid w:val="001A7313"/>
    <w:rsid w:val="001A7504"/>
    <w:rsid w:val="001A7667"/>
    <w:rsid w:val="001A7A93"/>
    <w:rsid w:val="001A7CF6"/>
    <w:rsid w:val="001B13E4"/>
    <w:rsid w:val="001B2C28"/>
    <w:rsid w:val="001B2D56"/>
    <w:rsid w:val="001B3602"/>
    <w:rsid w:val="001B4239"/>
    <w:rsid w:val="001B4592"/>
    <w:rsid w:val="001B46C5"/>
    <w:rsid w:val="001B59DC"/>
    <w:rsid w:val="001B5E29"/>
    <w:rsid w:val="001B68FD"/>
    <w:rsid w:val="001B6999"/>
    <w:rsid w:val="001B6A7F"/>
    <w:rsid w:val="001B6D3B"/>
    <w:rsid w:val="001B6D71"/>
    <w:rsid w:val="001B6D7A"/>
    <w:rsid w:val="001B7080"/>
    <w:rsid w:val="001B78FD"/>
    <w:rsid w:val="001B7D7D"/>
    <w:rsid w:val="001C0036"/>
    <w:rsid w:val="001C0F01"/>
    <w:rsid w:val="001C1663"/>
    <w:rsid w:val="001C31CD"/>
    <w:rsid w:val="001C32EC"/>
    <w:rsid w:val="001C3748"/>
    <w:rsid w:val="001C3AD4"/>
    <w:rsid w:val="001C5104"/>
    <w:rsid w:val="001C5DAC"/>
    <w:rsid w:val="001C66FA"/>
    <w:rsid w:val="001C7DC2"/>
    <w:rsid w:val="001D0501"/>
    <w:rsid w:val="001D0BD6"/>
    <w:rsid w:val="001D0C34"/>
    <w:rsid w:val="001D0F47"/>
    <w:rsid w:val="001D226B"/>
    <w:rsid w:val="001D22B9"/>
    <w:rsid w:val="001D2831"/>
    <w:rsid w:val="001D307C"/>
    <w:rsid w:val="001D3191"/>
    <w:rsid w:val="001D320E"/>
    <w:rsid w:val="001D4A47"/>
    <w:rsid w:val="001D4A52"/>
    <w:rsid w:val="001D5499"/>
    <w:rsid w:val="001D595F"/>
    <w:rsid w:val="001D666D"/>
    <w:rsid w:val="001D72E5"/>
    <w:rsid w:val="001D74D3"/>
    <w:rsid w:val="001D7B04"/>
    <w:rsid w:val="001E018D"/>
    <w:rsid w:val="001E074B"/>
    <w:rsid w:val="001E0F7B"/>
    <w:rsid w:val="001E1784"/>
    <w:rsid w:val="001E235B"/>
    <w:rsid w:val="001E2B8A"/>
    <w:rsid w:val="001E2D92"/>
    <w:rsid w:val="001E35AE"/>
    <w:rsid w:val="001E448B"/>
    <w:rsid w:val="001E5C0B"/>
    <w:rsid w:val="001E5D29"/>
    <w:rsid w:val="001E5F3D"/>
    <w:rsid w:val="001E6426"/>
    <w:rsid w:val="001E7DDC"/>
    <w:rsid w:val="001F199F"/>
    <w:rsid w:val="001F2278"/>
    <w:rsid w:val="001F28FC"/>
    <w:rsid w:val="001F2D75"/>
    <w:rsid w:val="001F2E47"/>
    <w:rsid w:val="001F319D"/>
    <w:rsid w:val="001F3A61"/>
    <w:rsid w:val="001F4270"/>
    <w:rsid w:val="001F4BED"/>
    <w:rsid w:val="001F4EBC"/>
    <w:rsid w:val="001F52D2"/>
    <w:rsid w:val="001F59DE"/>
    <w:rsid w:val="001F5D92"/>
    <w:rsid w:val="001F5E90"/>
    <w:rsid w:val="001F6C7D"/>
    <w:rsid w:val="001F6D21"/>
    <w:rsid w:val="001F780D"/>
    <w:rsid w:val="002007A1"/>
    <w:rsid w:val="00201018"/>
    <w:rsid w:val="002013D3"/>
    <w:rsid w:val="0020292E"/>
    <w:rsid w:val="002033E5"/>
    <w:rsid w:val="002034D1"/>
    <w:rsid w:val="00203ADD"/>
    <w:rsid w:val="002044C9"/>
    <w:rsid w:val="0020552F"/>
    <w:rsid w:val="002060BA"/>
    <w:rsid w:val="0020629B"/>
    <w:rsid w:val="002062BA"/>
    <w:rsid w:val="00207993"/>
    <w:rsid w:val="002107D6"/>
    <w:rsid w:val="00210840"/>
    <w:rsid w:val="00210BE6"/>
    <w:rsid w:val="00210EC8"/>
    <w:rsid w:val="00210FFC"/>
    <w:rsid w:val="00211681"/>
    <w:rsid w:val="00211C33"/>
    <w:rsid w:val="00211C50"/>
    <w:rsid w:val="00211FD9"/>
    <w:rsid w:val="00212443"/>
    <w:rsid w:val="00212BF3"/>
    <w:rsid w:val="00212DF7"/>
    <w:rsid w:val="00213DA0"/>
    <w:rsid w:val="0021406D"/>
    <w:rsid w:val="002143F1"/>
    <w:rsid w:val="002158FD"/>
    <w:rsid w:val="00215E2A"/>
    <w:rsid w:val="002160A4"/>
    <w:rsid w:val="002160D6"/>
    <w:rsid w:val="00216500"/>
    <w:rsid w:val="0021674A"/>
    <w:rsid w:val="00216FA1"/>
    <w:rsid w:val="0021718B"/>
    <w:rsid w:val="00217294"/>
    <w:rsid w:val="0022085F"/>
    <w:rsid w:val="00220DDA"/>
    <w:rsid w:val="002213D5"/>
    <w:rsid w:val="002218B0"/>
    <w:rsid w:val="00221C56"/>
    <w:rsid w:val="00222C67"/>
    <w:rsid w:val="00222EE7"/>
    <w:rsid w:val="002233B8"/>
    <w:rsid w:val="0022342D"/>
    <w:rsid w:val="00223999"/>
    <w:rsid w:val="00223B82"/>
    <w:rsid w:val="0022441F"/>
    <w:rsid w:val="00224B0D"/>
    <w:rsid w:val="00224E3E"/>
    <w:rsid w:val="00224F57"/>
    <w:rsid w:val="0022523F"/>
    <w:rsid w:val="00226185"/>
    <w:rsid w:val="002266DE"/>
    <w:rsid w:val="0022724F"/>
    <w:rsid w:val="0022747F"/>
    <w:rsid w:val="00227B81"/>
    <w:rsid w:val="00227DB5"/>
    <w:rsid w:val="0023026F"/>
    <w:rsid w:val="002315C2"/>
    <w:rsid w:val="002320AF"/>
    <w:rsid w:val="00232600"/>
    <w:rsid w:val="00232864"/>
    <w:rsid w:val="00232F86"/>
    <w:rsid w:val="00233019"/>
    <w:rsid w:val="00233478"/>
    <w:rsid w:val="00233B62"/>
    <w:rsid w:val="00233BB4"/>
    <w:rsid w:val="002341CE"/>
    <w:rsid w:val="0023437F"/>
    <w:rsid w:val="002353DF"/>
    <w:rsid w:val="0023624A"/>
    <w:rsid w:val="002362FD"/>
    <w:rsid w:val="00236691"/>
    <w:rsid w:val="00236D1E"/>
    <w:rsid w:val="00237022"/>
    <w:rsid w:val="00237439"/>
    <w:rsid w:val="002375BA"/>
    <w:rsid w:val="00240500"/>
    <w:rsid w:val="00241037"/>
    <w:rsid w:val="002426E5"/>
    <w:rsid w:val="00244792"/>
    <w:rsid w:val="00245751"/>
    <w:rsid w:val="002459AC"/>
    <w:rsid w:val="00245FB8"/>
    <w:rsid w:val="002462B9"/>
    <w:rsid w:val="002464EA"/>
    <w:rsid w:val="00246611"/>
    <w:rsid w:val="002466E5"/>
    <w:rsid w:val="00246897"/>
    <w:rsid w:val="002473C3"/>
    <w:rsid w:val="00250612"/>
    <w:rsid w:val="002512D4"/>
    <w:rsid w:val="00251AC7"/>
    <w:rsid w:val="00251DD3"/>
    <w:rsid w:val="002532A8"/>
    <w:rsid w:val="00253A30"/>
    <w:rsid w:val="00253BFC"/>
    <w:rsid w:val="002554BB"/>
    <w:rsid w:val="002554F2"/>
    <w:rsid w:val="002556EF"/>
    <w:rsid w:val="002568A8"/>
    <w:rsid w:val="002572F1"/>
    <w:rsid w:val="002579F2"/>
    <w:rsid w:val="00257F2B"/>
    <w:rsid w:val="002600C3"/>
    <w:rsid w:val="00260FB4"/>
    <w:rsid w:val="00261093"/>
    <w:rsid w:val="002612DF"/>
    <w:rsid w:val="002613E7"/>
    <w:rsid w:val="00261A1B"/>
    <w:rsid w:val="002627AD"/>
    <w:rsid w:val="00262BFB"/>
    <w:rsid w:val="00262C8E"/>
    <w:rsid w:val="00262D26"/>
    <w:rsid w:val="002635A5"/>
    <w:rsid w:val="002641DE"/>
    <w:rsid w:val="00264802"/>
    <w:rsid w:val="002663E3"/>
    <w:rsid w:val="002668E7"/>
    <w:rsid w:val="00266CCC"/>
    <w:rsid w:val="00267150"/>
    <w:rsid w:val="00267446"/>
    <w:rsid w:val="0026770A"/>
    <w:rsid w:val="00267F2C"/>
    <w:rsid w:val="00267F7F"/>
    <w:rsid w:val="0027059C"/>
    <w:rsid w:val="00270F20"/>
    <w:rsid w:val="002710C7"/>
    <w:rsid w:val="0027129C"/>
    <w:rsid w:val="002715E3"/>
    <w:rsid w:val="0027185E"/>
    <w:rsid w:val="00271F9F"/>
    <w:rsid w:val="00272650"/>
    <w:rsid w:val="002737B8"/>
    <w:rsid w:val="00273E38"/>
    <w:rsid w:val="00273F94"/>
    <w:rsid w:val="00274D42"/>
    <w:rsid w:val="002758E8"/>
    <w:rsid w:val="00275E60"/>
    <w:rsid w:val="002762A6"/>
    <w:rsid w:val="00276678"/>
    <w:rsid w:val="00276E0C"/>
    <w:rsid w:val="002771EC"/>
    <w:rsid w:val="0027790F"/>
    <w:rsid w:val="00280312"/>
    <w:rsid w:val="00280DDE"/>
    <w:rsid w:val="002816C0"/>
    <w:rsid w:val="00281D93"/>
    <w:rsid w:val="00282F2E"/>
    <w:rsid w:val="002835EA"/>
    <w:rsid w:val="00283805"/>
    <w:rsid w:val="002838E3"/>
    <w:rsid w:val="00283DF0"/>
    <w:rsid w:val="0028430D"/>
    <w:rsid w:val="00284648"/>
    <w:rsid w:val="002847F4"/>
    <w:rsid w:val="00284948"/>
    <w:rsid w:val="00284E98"/>
    <w:rsid w:val="00284EDF"/>
    <w:rsid w:val="00285863"/>
    <w:rsid w:val="00285887"/>
    <w:rsid w:val="00285CAF"/>
    <w:rsid w:val="00285E45"/>
    <w:rsid w:val="00285F72"/>
    <w:rsid w:val="00286281"/>
    <w:rsid w:val="00286F96"/>
    <w:rsid w:val="0028740E"/>
    <w:rsid w:val="00290289"/>
    <w:rsid w:val="002903F0"/>
    <w:rsid w:val="00290856"/>
    <w:rsid w:val="00290FB2"/>
    <w:rsid w:val="0029109F"/>
    <w:rsid w:val="00291157"/>
    <w:rsid w:val="00291366"/>
    <w:rsid w:val="00292370"/>
    <w:rsid w:val="00292A1B"/>
    <w:rsid w:val="00292A6A"/>
    <w:rsid w:val="00292BFC"/>
    <w:rsid w:val="00293260"/>
    <w:rsid w:val="0029355C"/>
    <w:rsid w:val="002944A8"/>
    <w:rsid w:val="00294E86"/>
    <w:rsid w:val="002958A3"/>
    <w:rsid w:val="00296FDF"/>
    <w:rsid w:val="002976CF"/>
    <w:rsid w:val="00297847"/>
    <w:rsid w:val="00297C76"/>
    <w:rsid w:val="002A0087"/>
    <w:rsid w:val="002A0119"/>
    <w:rsid w:val="002A0596"/>
    <w:rsid w:val="002A091C"/>
    <w:rsid w:val="002A107F"/>
    <w:rsid w:val="002A1368"/>
    <w:rsid w:val="002A1B22"/>
    <w:rsid w:val="002A2125"/>
    <w:rsid w:val="002A2219"/>
    <w:rsid w:val="002A2754"/>
    <w:rsid w:val="002A2A6D"/>
    <w:rsid w:val="002A3DF2"/>
    <w:rsid w:val="002A4410"/>
    <w:rsid w:val="002A491A"/>
    <w:rsid w:val="002A4AD2"/>
    <w:rsid w:val="002A4BBB"/>
    <w:rsid w:val="002A4C55"/>
    <w:rsid w:val="002A50A0"/>
    <w:rsid w:val="002A52A7"/>
    <w:rsid w:val="002A5A3C"/>
    <w:rsid w:val="002A5D6C"/>
    <w:rsid w:val="002A6857"/>
    <w:rsid w:val="002A6C4C"/>
    <w:rsid w:val="002A7703"/>
    <w:rsid w:val="002A77C7"/>
    <w:rsid w:val="002A7E2D"/>
    <w:rsid w:val="002B049B"/>
    <w:rsid w:val="002B080C"/>
    <w:rsid w:val="002B08FB"/>
    <w:rsid w:val="002B0D57"/>
    <w:rsid w:val="002B2A98"/>
    <w:rsid w:val="002B2DA3"/>
    <w:rsid w:val="002B3C44"/>
    <w:rsid w:val="002B3C57"/>
    <w:rsid w:val="002B5310"/>
    <w:rsid w:val="002B5336"/>
    <w:rsid w:val="002B6469"/>
    <w:rsid w:val="002B661A"/>
    <w:rsid w:val="002B7953"/>
    <w:rsid w:val="002C096C"/>
    <w:rsid w:val="002C0D2F"/>
    <w:rsid w:val="002C1017"/>
    <w:rsid w:val="002C121C"/>
    <w:rsid w:val="002C1F17"/>
    <w:rsid w:val="002C2313"/>
    <w:rsid w:val="002C278D"/>
    <w:rsid w:val="002C2929"/>
    <w:rsid w:val="002C31DE"/>
    <w:rsid w:val="002C4530"/>
    <w:rsid w:val="002C4621"/>
    <w:rsid w:val="002C4D55"/>
    <w:rsid w:val="002C61AD"/>
    <w:rsid w:val="002C696F"/>
    <w:rsid w:val="002C69BF"/>
    <w:rsid w:val="002C719F"/>
    <w:rsid w:val="002C7784"/>
    <w:rsid w:val="002C7A05"/>
    <w:rsid w:val="002D023E"/>
    <w:rsid w:val="002D1625"/>
    <w:rsid w:val="002D2102"/>
    <w:rsid w:val="002D2273"/>
    <w:rsid w:val="002D23D9"/>
    <w:rsid w:val="002D2A8C"/>
    <w:rsid w:val="002D37C5"/>
    <w:rsid w:val="002D3800"/>
    <w:rsid w:val="002D4580"/>
    <w:rsid w:val="002D45B4"/>
    <w:rsid w:val="002D5D46"/>
    <w:rsid w:val="002D611E"/>
    <w:rsid w:val="002D6933"/>
    <w:rsid w:val="002D6A90"/>
    <w:rsid w:val="002D6B3D"/>
    <w:rsid w:val="002D6FEE"/>
    <w:rsid w:val="002E069C"/>
    <w:rsid w:val="002E0BBA"/>
    <w:rsid w:val="002E1EB5"/>
    <w:rsid w:val="002E2DA2"/>
    <w:rsid w:val="002E2E8F"/>
    <w:rsid w:val="002E2FD7"/>
    <w:rsid w:val="002E3B9D"/>
    <w:rsid w:val="002E46B4"/>
    <w:rsid w:val="002E46DD"/>
    <w:rsid w:val="002E4D6F"/>
    <w:rsid w:val="002E5126"/>
    <w:rsid w:val="002E536D"/>
    <w:rsid w:val="002E54DE"/>
    <w:rsid w:val="002E5916"/>
    <w:rsid w:val="002E5FD3"/>
    <w:rsid w:val="002E637E"/>
    <w:rsid w:val="002E699A"/>
    <w:rsid w:val="002E6A59"/>
    <w:rsid w:val="002E79AF"/>
    <w:rsid w:val="002E7EF5"/>
    <w:rsid w:val="002F04A3"/>
    <w:rsid w:val="002F0C58"/>
    <w:rsid w:val="002F1333"/>
    <w:rsid w:val="002F19E5"/>
    <w:rsid w:val="002F22EB"/>
    <w:rsid w:val="002F2B7D"/>
    <w:rsid w:val="002F2BFC"/>
    <w:rsid w:val="002F32F4"/>
    <w:rsid w:val="002F4223"/>
    <w:rsid w:val="002F52EA"/>
    <w:rsid w:val="002F59DA"/>
    <w:rsid w:val="002F5BFC"/>
    <w:rsid w:val="002F5C5C"/>
    <w:rsid w:val="002F66CE"/>
    <w:rsid w:val="002F7125"/>
    <w:rsid w:val="002F783C"/>
    <w:rsid w:val="002F7936"/>
    <w:rsid w:val="002F7C31"/>
    <w:rsid w:val="002F7CD0"/>
    <w:rsid w:val="003005AF"/>
    <w:rsid w:val="00300778"/>
    <w:rsid w:val="00300836"/>
    <w:rsid w:val="00300CF9"/>
    <w:rsid w:val="00301696"/>
    <w:rsid w:val="00301F9E"/>
    <w:rsid w:val="003021E6"/>
    <w:rsid w:val="0030247E"/>
    <w:rsid w:val="00302DE0"/>
    <w:rsid w:val="003033ED"/>
    <w:rsid w:val="00303C55"/>
    <w:rsid w:val="00303CC5"/>
    <w:rsid w:val="00304197"/>
    <w:rsid w:val="0030493A"/>
    <w:rsid w:val="003053CC"/>
    <w:rsid w:val="003056A0"/>
    <w:rsid w:val="003068DD"/>
    <w:rsid w:val="00307E41"/>
    <w:rsid w:val="003104AE"/>
    <w:rsid w:val="00311C2D"/>
    <w:rsid w:val="00312275"/>
    <w:rsid w:val="00312891"/>
    <w:rsid w:val="00313389"/>
    <w:rsid w:val="00313CE7"/>
    <w:rsid w:val="00316173"/>
    <w:rsid w:val="00316404"/>
    <w:rsid w:val="00316E91"/>
    <w:rsid w:val="00317030"/>
    <w:rsid w:val="00320115"/>
    <w:rsid w:val="00320480"/>
    <w:rsid w:val="00320680"/>
    <w:rsid w:val="0032093A"/>
    <w:rsid w:val="003209C6"/>
    <w:rsid w:val="00321AC0"/>
    <w:rsid w:val="0032378D"/>
    <w:rsid w:val="00324558"/>
    <w:rsid w:val="003256D7"/>
    <w:rsid w:val="0032598E"/>
    <w:rsid w:val="00326A64"/>
    <w:rsid w:val="00326B90"/>
    <w:rsid w:val="0032713C"/>
    <w:rsid w:val="00327CE2"/>
    <w:rsid w:val="003311AF"/>
    <w:rsid w:val="003312EC"/>
    <w:rsid w:val="003314A4"/>
    <w:rsid w:val="00331640"/>
    <w:rsid w:val="003322B8"/>
    <w:rsid w:val="00333215"/>
    <w:rsid w:val="00333C8F"/>
    <w:rsid w:val="0033467E"/>
    <w:rsid w:val="003350EA"/>
    <w:rsid w:val="00335300"/>
    <w:rsid w:val="00335C7A"/>
    <w:rsid w:val="00335FFF"/>
    <w:rsid w:val="003364DF"/>
    <w:rsid w:val="003367D3"/>
    <w:rsid w:val="00337108"/>
    <w:rsid w:val="00337920"/>
    <w:rsid w:val="00337FE4"/>
    <w:rsid w:val="00340241"/>
    <w:rsid w:val="00340B98"/>
    <w:rsid w:val="00340DD1"/>
    <w:rsid w:val="00340FFF"/>
    <w:rsid w:val="003411ED"/>
    <w:rsid w:val="00341649"/>
    <w:rsid w:val="00341F6E"/>
    <w:rsid w:val="003421ED"/>
    <w:rsid w:val="00342AE3"/>
    <w:rsid w:val="003430A1"/>
    <w:rsid w:val="00343C8C"/>
    <w:rsid w:val="00344DF1"/>
    <w:rsid w:val="0034509F"/>
    <w:rsid w:val="003451A9"/>
    <w:rsid w:val="00345A4D"/>
    <w:rsid w:val="00345F47"/>
    <w:rsid w:val="0034685E"/>
    <w:rsid w:val="00347209"/>
    <w:rsid w:val="00347412"/>
    <w:rsid w:val="00347BA1"/>
    <w:rsid w:val="00350794"/>
    <w:rsid w:val="00350E21"/>
    <w:rsid w:val="0035164E"/>
    <w:rsid w:val="003518C5"/>
    <w:rsid w:val="00352BCA"/>
    <w:rsid w:val="003531A5"/>
    <w:rsid w:val="00353E5E"/>
    <w:rsid w:val="00354514"/>
    <w:rsid w:val="003550C6"/>
    <w:rsid w:val="003564B1"/>
    <w:rsid w:val="00356533"/>
    <w:rsid w:val="0035698E"/>
    <w:rsid w:val="00360348"/>
    <w:rsid w:val="00360F1A"/>
    <w:rsid w:val="00361020"/>
    <w:rsid w:val="00361DD5"/>
    <w:rsid w:val="00361E9C"/>
    <w:rsid w:val="0036236F"/>
    <w:rsid w:val="003625DB"/>
    <w:rsid w:val="00362A6E"/>
    <w:rsid w:val="00362D7D"/>
    <w:rsid w:val="0036370F"/>
    <w:rsid w:val="00363714"/>
    <w:rsid w:val="003639BC"/>
    <w:rsid w:val="00363A95"/>
    <w:rsid w:val="00364270"/>
    <w:rsid w:val="00364B38"/>
    <w:rsid w:val="00364C35"/>
    <w:rsid w:val="00364E2B"/>
    <w:rsid w:val="0036512A"/>
    <w:rsid w:val="00365805"/>
    <w:rsid w:val="0036651C"/>
    <w:rsid w:val="00366805"/>
    <w:rsid w:val="003671FD"/>
    <w:rsid w:val="00370B8B"/>
    <w:rsid w:val="00371296"/>
    <w:rsid w:val="003729FF"/>
    <w:rsid w:val="003737A7"/>
    <w:rsid w:val="003749E6"/>
    <w:rsid w:val="00374D2A"/>
    <w:rsid w:val="00374DE3"/>
    <w:rsid w:val="00376138"/>
    <w:rsid w:val="00376FE6"/>
    <w:rsid w:val="003772DD"/>
    <w:rsid w:val="00377986"/>
    <w:rsid w:val="00381424"/>
    <w:rsid w:val="003814D6"/>
    <w:rsid w:val="00381AF8"/>
    <w:rsid w:val="003824F3"/>
    <w:rsid w:val="0038274F"/>
    <w:rsid w:val="00382C65"/>
    <w:rsid w:val="003832E7"/>
    <w:rsid w:val="003833F7"/>
    <w:rsid w:val="003843A2"/>
    <w:rsid w:val="00385632"/>
    <w:rsid w:val="00385B00"/>
    <w:rsid w:val="00385BD5"/>
    <w:rsid w:val="00385C00"/>
    <w:rsid w:val="00386225"/>
    <w:rsid w:val="00387A6E"/>
    <w:rsid w:val="00387C6E"/>
    <w:rsid w:val="00390137"/>
    <w:rsid w:val="0039015B"/>
    <w:rsid w:val="00390395"/>
    <w:rsid w:val="0039052E"/>
    <w:rsid w:val="003905E5"/>
    <w:rsid w:val="00390968"/>
    <w:rsid w:val="00391BB7"/>
    <w:rsid w:val="00391D3E"/>
    <w:rsid w:val="00391F89"/>
    <w:rsid w:val="003922FE"/>
    <w:rsid w:val="00392D10"/>
    <w:rsid w:val="003931A2"/>
    <w:rsid w:val="003931AA"/>
    <w:rsid w:val="00394859"/>
    <w:rsid w:val="00394A95"/>
    <w:rsid w:val="00394F29"/>
    <w:rsid w:val="00395A99"/>
    <w:rsid w:val="00396116"/>
    <w:rsid w:val="00396680"/>
    <w:rsid w:val="003968D1"/>
    <w:rsid w:val="0039738D"/>
    <w:rsid w:val="003973BC"/>
    <w:rsid w:val="003A117D"/>
    <w:rsid w:val="003A1A34"/>
    <w:rsid w:val="003A2C1C"/>
    <w:rsid w:val="003A3971"/>
    <w:rsid w:val="003A48DC"/>
    <w:rsid w:val="003A4BFD"/>
    <w:rsid w:val="003A4E46"/>
    <w:rsid w:val="003A5430"/>
    <w:rsid w:val="003A5976"/>
    <w:rsid w:val="003A5EFD"/>
    <w:rsid w:val="003A6BCD"/>
    <w:rsid w:val="003A70DF"/>
    <w:rsid w:val="003A7DD9"/>
    <w:rsid w:val="003A7E90"/>
    <w:rsid w:val="003B0829"/>
    <w:rsid w:val="003B1812"/>
    <w:rsid w:val="003B216C"/>
    <w:rsid w:val="003B247C"/>
    <w:rsid w:val="003B2635"/>
    <w:rsid w:val="003B27EF"/>
    <w:rsid w:val="003B2986"/>
    <w:rsid w:val="003B2FD3"/>
    <w:rsid w:val="003B2FFB"/>
    <w:rsid w:val="003B337F"/>
    <w:rsid w:val="003B44FC"/>
    <w:rsid w:val="003B53F1"/>
    <w:rsid w:val="003B57A7"/>
    <w:rsid w:val="003B60DA"/>
    <w:rsid w:val="003B6390"/>
    <w:rsid w:val="003B743E"/>
    <w:rsid w:val="003C0235"/>
    <w:rsid w:val="003C0750"/>
    <w:rsid w:val="003C17B1"/>
    <w:rsid w:val="003C181D"/>
    <w:rsid w:val="003C18F1"/>
    <w:rsid w:val="003C1F33"/>
    <w:rsid w:val="003C346F"/>
    <w:rsid w:val="003C3911"/>
    <w:rsid w:val="003C3F0A"/>
    <w:rsid w:val="003C455A"/>
    <w:rsid w:val="003C4AFD"/>
    <w:rsid w:val="003C4CBA"/>
    <w:rsid w:val="003C5A9E"/>
    <w:rsid w:val="003C606B"/>
    <w:rsid w:val="003C63DB"/>
    <w:rsid w:val="003C641D"/>
    <w:rsid w:val="003C708F"/>
    <w:rsid w:val="003C76CE"/>
    <w:rsid w:val="003C7764"/>
    <w:rsid w:val="003C7995"/>
    <w:rsid w:val="003D04E6"/>
    <w:rsid w:val="003D0D99"/>
    <w:rsid w:val="003D11A1"/>
    <w:rsid w:val="003D1308"/>
    <w:rsid w:val="003D189E"/>
    <w:rsid w:val="003D199D"/>
    <w:rsid w:val="003D1F58"/>
    <w:rsid w:val="003D22C8"/>
    <w:rsid w:val="003D2D31"/>
    <w:rsid w:val="003D2EB6"/>
    <w:rsid w:val="003D32F2"/>
    <w:rsid w:val="003D37A9"/>
    <w:rsid w:val="003D3F86"/>
    <w:rsid w:val="003D4850"/>
    <w:rsid w:val="003D495C"/>
    <w:rsid w:val="003D4C4F"/>
    <w:rsid w:val="003D4C5D"/>
    <w:rsid w:val="003D64A4"/>
    <w:rsid w:val="003D676D"/>
    <w:rsid w:val="003D6B3C"/>
    <w:rsid w:val="003D6FB2"/>
    <w:rsid w:val="003D7502"/>
    <w:rsid w:val="003D75AD"/>
    <w:rsid w:val="003D76E5"/>
    <w:rsid w:val="003D7A1A"/>
    <w:rsid w:val="003E01D5"/>
    <w:rsid w:val="003E101B"/>
    <w:rsid w:val="003E139F"/>
    <w:rsid w:val="003E1B2C"/>
    <w:rsid w:val="003E1CDC"/>
    <w:rsid w:val="003E1F3D"/>
    <w:rsid w:val="003E26BB"/>
    <w:rsid w:val="003E2DDC"/>
    <w:rsid w:val="003E3189"/>
    <w:rsid w:val="003E35E3"/>
    <w:rsid w:val="003E3E40"/>
    <w:rsid w:val="003E4208"/>
    <w:rsid w:val="003E4F68"/>
    <w:rsid w:val="003E5A15"/>
    <w:rsid w:val="003E5A5A"/>
    <w:rsid w:val="003E5B7F"/>
    <w:rsid w:val="003E5CE3"/>
    <w:rsid w:val="003E5F63"/>
    <w:rsid w:val="003E6676"/>
    <w:rsid w:val="003E680A"/>
    <w:rsid w:val="003E6963"/>
    <w:rsid w:val="003E706A"/>
    <w:rsid w:val="003E78C2"/>
    <w:rsid w:val="003E7B84"/>
    <w:rsid w:val="003F1469"/>
    <w:rsid w:val="003F18BA"/>
    <w:rsid w:val="003F23E9"/>
    <w:rsid w:val="003F289F"/>
    <w:rsid w:val="003F29FE"/>
    <w:rsid w:val="003F332F"/>
    <w:rsid w:val="003F3409"/>
    <w:rsid w:val="003F3EB2"/>
    <w:rsid w:val="003F417B"/>
    <w:rsid w:val="003F44BE"/>
    <w:rsid w:val="003F54E3"/>
    <w:rsid w:val="003F5989"/>
    <w:rsid w:val="003F78C9"/>
    <w:rsid w:val="003F78D7"/>
    <w:rsid w:val="003F7923"/>
    <w:rsid w:val="003F7D6B"/>
    <w:rsid w:val="00400775"/>
    <w:rsid w:val="00400AA4"/>
    <w:rsid w:val="0040127B"/>
    <w:rsid w:val="00401AC2"/>
    <w:rsid w:val="00401C45"/>
    <w:rsid w:val="00401CEA"/>
    <w:rsid w:val="00402920"/>
    <w:rsid w:val="00402D8B"/>
    <w:rsid w:val="00403852"/>
    <w:rsid w:val="00403E8E"/>
    <w:rsid w:val="00403F81"/>
    <w:rsid w:val="004046A9"/>
    <w:rsid w:val="00405108"/>
    <w:rsid w:val="00405232"/>
    <w:rsid w:val="004052BA"/>
    <w:rsid w:val="00406232"/>
    <w:rsid w:val="004067F5"/>
    <w:rsid w:val="00406A6A"/>
    <w:rsid w:val="00406BB3"/>
    <w:rsid w:val="00407554"/>
    <w:rsid w:val="004079A9"/>
    <w:rsid w:val="00410595"/>
    <w:rsid w:val="004107D7"/>
    <w:rsid w:val="0041081E"/>
    <w:rsid w:val="00410A4C"/>
    <w:rsid w:val="00410E7E"/>
    <w:rsid w:val="0041103A"/>
    <w:rsid w:val="004110FF"/>
    <w:rsid w:val="0041213B"/>
    <w:rsid w:val="0041253D"/>
    <w:rsid w:val="00412A80"/>
    <w:rsid w:val="00412BDE"/>
    <w:rsid w:val="0041319A"/>
    <w:rsid w:val="004134D7"/>
    <w:rsid w:val="00414F20"/>
    <w:rsid w:val="004156B4"/>
    <w:rsid w:val="00415D6D"/>
    <w:rsid w:val="00416C89"/>
    <w:rsid w:val="00416CC0"/>
    <w:rsid w:val="004203AA"/>
    <w:rsid w:val="004220D8"/>
    <w:rsid w:val="00422931"/>
    <w:rsid w:val="00422AF0"/>
    <w:rsid w:val="004232A5"/>
    <w:rsid w:val="00423C85"/>
    <w:rsid w:val="00423F43"/>
    <w:rsid w:val="0042450D"/>
    <w:rsid w:val="00424615"/>
    <w:rsid w:val="00425BE9"/>
    <w:rsid w:val="004262DC"/>
    <w:rsid w:val="004268D8"/>
    <w:rsid w:val="00427254"/>
    <w:rsid w:val="00427992"/>
    <w:rsid w:val="00427998"/>
    <w:rsid w:val="00427D59"/>
    <w:rsid w:val="00430114"/>
    <w:rsid w:val="004307A7"/>
    <w:rsid w:val="0043150E"/>
    <w:rsid w:val="00431722"/>
    <w:rsid w:val="004318DE"/>
    <w:rsid w:val="00432567"/>
    <w:rsid w:val="00432904"/>
    <w:rsid w:val="00433067"/>
    <w:rsid w:val="004348CB"/>
    <w:rsid w:val="00434DD8"/>
    <w:rsid w:val="004357F1"/>
    <w:rsid w:val="004359AD"/>
    <w:rsid w:val="00435D0B"/>
    <w:rsid w:val="00435DC4"/>
    <w:rsid w:val="00435F04"/>
    <w:rsid w:val="00435F57"/>
    <w:rsid w:val="00436E36"/>
    <w:rsid w:val="0044035E"/>
    <w:rsid w:val="00440529"/>
    <w:rsid w:val="0044056B"/>
    <w:rsid w:val="0044145F"/>
    <w:rsid w:val="00442567"/>
    <w:rsid w:val="00442870"/>
    <w:rsid w:val="00442E4B"/>
    <w:rsid w:val="00443691"/>
    <w:rsid w:val="00443F4C"/>
    <w:rsid w:val="00443F97"/>
    <w:rsid w:val="0044437D"/>
    <w:rsid w:val="00444411"/>
    <w:rsid w:val="00444CC1"/>
    <w:rsid w:val="00444D92"/>
    <w:rsid w:val="0044552A"/>
    <w:rsid w:val="00445C5B"/>
    <w:rsid w:val="004463CA"/>
    <w:rsid w:val="00446B02"/>
    <w:rsid w:val="00450092"/>
    <w:rsid w:val="00451138"/>
    <w:rsid w:val="00451770"/>
    <w:rsid w:val="0045178C"/>
    <w:rsid w:val="00452120"/>
    <w:rsid w:val="0045277E"/>
    <w:rsid w:val="00452BE8"/>
    <w:rsid w:val="00453D24"/>
    <w:rsid w:val="00454BE5"/>
    <w:rsid w:val="00454DC8"/>
    <w:rsid w:val="00454E04"/>
    <w:rsid w:val="004554A2"/>
    <w:rsid w:val="00455948"/>
    <w:rsid w:val="00455C27"/>
    <w:rsid w:val="00455FEB"/>
    <w:rsid w:val="00456F2C"/>
    <w:rsid w:val="00457D62"/>
    <w:rsid w:val="004600D9"/>
    <w:rsid w:val="00460252"/>
    <w:rsid w:val="0046071C"/>
    <w:rsid w:val="0046094B"/>
    <w:rsid w:val="004632E1"/>
    <w:rsid w:val="00463600"/>
    <w:rsid w:val="00464281"/>
    <w:rsid w:val="00464AB8"/>
    <w:rsid w:val="00464D89"/>
    <w:rsid w:val="00465653"/>
    <w:rsid w:val="00470246"/>
    <w:rsid w:val="004703AB"/>
    <w:rsid w:val="004718CA"/>
    <w:rsid w:val="0047306E"/>
    <w:rsid w:val="0047336D"/>
    <w:rsid w:val="00473F53"/>
    <w:rsid w:val="00473FD3"/>
    <w:rsid w:val="00474F33"/>
    <w:rsid w:val="00475600"/>
    <w:rsid w:val="00476053"/>
    <w:rsid w:val="00476531"/>
    <w:rsid w:val="0047665F"/>
    <w:rsid w:val="0047791E"/>
    <w:rsid w:val="00480A9F"/>
    <w:rsid w:val="00480B16"/>
    <w:rsid w:val="0048127A"/>
    <w:rsid w:val="0048246B"/>
    <w:rsid w:val="00482F2A"/>
    <w:rsid w:val="004836AD"/>
    <w:rsid w:val="00483A28"/>
    <w:rsid w:val="00483B55"/>
    <w:rsid w:val="00483C9D"/>
    <w:rsid w:val="004842D4"/>
    <w:rsid w:val="00484C0A"/>
    <w:rsid w:val="00484F2B"/>
    <w:rsid w:val="00485236"/>
    <w:rsid w:val="00485AD3"/>
    <w:rsid w:val="00485D6C"/>
    <w:rsid w:val="00485E17"/>
    <w:rsid w:val="00487863"/>
    <w:rsid w:val="00490228"/>
    <w:rsid w:val="004908C0"/>
    <w:rsid w:val="00490B90"/>
    <w:rsid w:val="00491D68"/>
    <w:rsid w:val="00493ACD"/>
    <w:rsid w:val="00493BE8"/>
    <w:rsid w:val="0049420D"/>
    <w:rsid w:val="004951F1"/>
    <w:rsid w:val="00495ECD"/>
    <w:rsid w:val="00496095"/>
    <w:rsid w:val="004964D0"/>
    <w:rsid w:val="004964E9"/>
    <w:rsid w:val="0049657F"/>
    <w:rsid w:val="00496A87"/>
    <w:rsid w:val="0049724E"/>
    <w:rsid w:val="0049764D"/>
    <w:rsid w:val="004A0401"/>
    <w:rsid w:val="004A063B"/>
    <w:rsid w:val="004A068D"/>
    <w:rsid w:val="004A0D8A"/>
    <w:rsid w:val="004A104B"/>
    <w:rsid w:val="004A2220"/>
    <w:rsid w:val="004A2434"/>
    <w:rsid w:val="004A2478"/>
    <w:rsid w:val="004A24F6"/>
    <w:rsid w:val="004A2C15"/>
    <w:rsid w:val="004A33EA"/>
    <w:rsid w:val="004A3DC7"/>
    <w:rsid w:val="004A4195"/>
    <w:rsid w:val="004A48B1"/>
    <w:rsid w:val="004A4FB2"/>
    <w:rsid w:val="004A5557"/>
    <w:rsid w:val="004A62E4"/>
    <w:rsid w:val="004A7FD9"/>
    <w:rsid w:val="004B029D"/>
    <w:rsid w:val="004B24C4"/>
    <w:rsid w:val="004B2C90"/>
    <w:rsid w:val="004B2F27"/>
    <w:rsid w:val="004B300B"/>
    <w:rsid w:val="004B3516"/>
    <w:rsid w:val="004B43D2"/>
    <w:rsid w:val="004B4C9B"/>
    <w:rsid w:val="004B5583"/>
    <w:rsid w:val="004B5826"/>
    <w:rsid w:val="004B58AD"/>
    <w:rsid w:val="004B5C30"/>
    <w:rsid w:val="004B6151"/>
    <w:rsid w:val="004B692A"/>
    <w:rsid w:val="004B7A61"/>
    <w:rsid w:val="004C067E"/>
    <w:rsid w:val="004C1035"/>
    <w:rsid w:val="004C1305"/>
    <w:rsid w:val="004C154C"/>
    <w:rsid w:val="004C16E4"/>
    <w:rsid w:val="004C17DE"/>
    <w:rsid w:val="004C18B4"/>
    <w:rsid w:val="004C1EA6"/>
    <w:rsid w:val="004C21D3"/>
    <w:rsid w:val="004C29BC"/>
    <w:rsid w:val="004C29D7"/>
    <w:rsid w:val="004C2CEB"/>
    <w:rsid w:val="004C2F04"/>
    <w:rsid w:val="004C34A3"/>
    <w:rsid w:val="004C39E0"/>
    <w:rsid w:val="004C3D8B"/>
    <w:rsid w:val="004C3F06"/>
    <w:rsid w:val="004C3F10"/>
    <w:rsid w:val="004C4236"/>
    <w:rsid w:val="004C4612"/>
    <w:rsid w:val="004C4750"/>
    <w:rsid w:val="004C51B3"/>
    <w:rsid w:val="004C5F40"/>
    <w:rsid w:val="004C6943"/>
    <w:rsid w:val="004C6E8D"/>
    <w:rsid w:val="004C6F00"/>
    <w:rsid w:val="004C71C8"/>
    <w:rsid w:val="004D06F7"/>
    <w:rsid w:val="004D0916"/>
    <w:rsid w:val="004D1E00"/>
    <w:rsid w:val="004D336B"/>
    <w:rsid w:val="004D34DF"/>
    <w:rsid w:val="004D3B6C"/>
    <w:rsid w:val="004D3EA2"/>
    <w:rsid w:val="004D40EC"/>
    <w:rsid w:val="004D434C"/>
    <w:rsid w:val="004D43D6"/>
    <w:rsid w:val="004D5202"/>
    <w:rsid w:val="004D5E59"/>
    <w:rsid w:val="004D675B"/>
    <w:rsid w:val="004D6FED"/>
    <w:rsid w:val="004E1218"/>
    <w:rsid w:val="004E19CE"/>
    <w:rsid w:val="004E1ABA"/>
    <w:rsid w:val="004E21D6"/>
    <w:rsid w:val="004E2419"/>
    <w:rsid w:val="004E2DD8"/>
    <w:rsid w:val="004E31DF"/>
    <w:rsid w:val="004E3E91"/>
    <w:rsid w:val="004E3E99"/>
    <w:rsid w:val="004E4613"/>
    <w:rsid w:val="004E517F"/>
    <w:rsid w:val="004E5759"/>
    <w:rsid w:val="004E5DEA"/>
    <w:rsid w:val="004E6EE7"/>
    <w:rsid w:val="004E705D"/>
    <w:rsid w:val="004E774C"/>
    <w:rsid w:val="004F0786"/>
    <w:rsid w:val="004F11EE"/>
    <w:rsid w:val="004F1557"/>
    <w:rsid w:val="004F27D3"/>
    <w:rsid w:val="004F280B"/>
    <w:rsid w:val="004F334E"/>
    <w:rsid w:val="004F3CDD"/>
    <w:rsid w:val="004F458B"/>
    <w:rsid w:val="004F4A3C"/>
    <w:rsid w:val="004F4C4F"/>
    <w:rsid w:val="004F554D"/>
    <w:rsid w:val="004F594B"/>
    <w:rsid w:val="004F5957"/>
    <w:rsid w:val="004F639A"/>
    <w:rsid w:val="004F6564"/>
    <w:rsid w:val="004F6E45"/>
    <w:rsid w:val="004F6E6E"/>
    <w:rsid w:val="004F7400"/>
    <w:rsid w:val="004F770E"/>
    <w:rsid w:val="004F7899"/>
    <w:rsid w:val="005015EE"/>
    <w:rsid w:val="00501DD1"/>
    <w:rsid w:val="005020FB"/>
    <w:rsid w:val="0050257A"/>
    <w:rsid w:val="00502A3C"/>
    <w:rsid w:val="00503639"/>
    <w:rsid w:val="00503ADA"/>
    <w:rsid w:val="00503D98"/>
    <w:rsid w:val="00503FA3"/>
    <w:rsid w:val="005049A9"/>
    <w:rsid w:val="005059AD"/>
    <w:rsid w:val="00506BCF"/>
    <w:rsid w:val="005073AE"/>
    <w:rsid w:val="0050753E"/>
    <w:rsid w:val="0050754B"/>
    <w:rsid w:val="00507749"/>
    <w:rsid w:val="005077C1"/>
    <w:rsid w:val="005079C5"/>
    <w:rsid w:val="00507FED"/>
    <w:rsid w:val="005104AB"/>
    <w:rsid w:val="005111A8"/>
    <w:rsid w:val="005120E7"/>
    <w:rsid w:val="00512B20"/>
    <w:rsid w:val="00512B5F"/>
    <w:rsid w:val="00513010"/>
    <w:rsid w:val="0051326C"/>
    <w:rsid w:val="005133BC"/>
    <w:rsid w:val="0051355C"/>
    <w:rsid w:val="005135BB"/>
    <w:rsid w:val="00513981"/>
    <w:rsid w:val="00513987"/>
    <w:rsid w:val="005139B6"/>
    <w:rsid w:val="00514C23"/>
    <w:rsid w:val="00514D4B"/>
    <w:rsid w:val="00515F60"/>
    <w:rsid w:val="00516296"/>
    <w:rsid w:val="00516B22"/>
    <w:rsid w:val="005171EB"/>
    <w:rsid w:val="00520C54"/>
    <w:rsid w:val="00520CCD"/>
    <w:rsid w:val="00520D6F"/>
    <w:rsid w:val="00520FEC"/>
    <w:rsid w:val="0052110B"/>
    <w:rsid w:val="0052135B"/>
    <w:rsid w:val="005217C5"/>
    <w:rsid w:val="005226B9"/>
    <w:rsid w:val="0052341E"/>
    <w:rsid w:val="005234B5"/>
    <w:rsid w:val="00523612"/>
    <w:rsid w:val="00523988"/>
    <w:rsid w:val="00523F6F"/>
    <w:rsid w:val="005249F2"/>
    <w:rsid w:val="0052505B"/>
    <w:rsid w:val="005259CB"/>
    <w:rsid w:val="00525B74"/>
    <w:rsid w:val="00525E10"/>
    <w:rsid w:val="00525E7D"/>
    <w:rsid w:val="00525FB9"/>
    <w:rsid w:val="005265F5"/>
    <w:rsid w:val="005266CC"/>
    <w:rsid w:val="00527159"/>
    <w:rsid w:val="00527F85"/>
    <w:rsid w:val="00527FA8"/>
    <w:rsid w:val="00530621"/>
    <w:rsid w:val="005306D4"/>
    <w:rsid w:val="005307B1"/>
    <w:rsid w:val="005309D0"/>
    <w:rsid w:val="00530CFE"/>
    <w:rsid w:val="00531029"/>
    <w:rsid w:val="005320DE"/>
    <w:rsid w:val="005323F6"/>
    <w:rsid w:val="00533033"/>
    <w:rsid w:val="00533473"/>
    <w:rsid w:val="0053356A"/>
    <w:rsid w:val="0053380D"/>
    <w:rsid w:val="005342C3"/>
    <w:rsid w:val="00534339"/>
    <w:rsid w:val="00534803"/>
    <w:rsid w:val="005354FC"/>
    <w:rsid w:val="00535E0D"/>
    <w:rsid w:val="0053643E"/>
    <w:rsid w:val="0053682A"/>
    <w:rsid w:val="00537A8B"/>
    <w:rsid w:val="0054010C"/>
    <w:rsid w:val="00540285"/>
    <w:rsid w:val="00540DE8"/>
    <w:rsid w:val="00540F71"/>
    <w:rsid w:val="00541165"/>
    <w:rsid w:val="005417FD"/>
    <w:rsid w:val="00541C15"/>
    <w:rsid w:val="00541FDE"/>
    <w:rsid w:val="00542677"/>
    <w:rsid w:val="005426C8"/>
    <w:rsid w:val="00542CC6"/>
    <w:rsid w:val="005435A9"/>
    <w:rsid w:val="00543D70"/>
    <w:rsid w:val="00543FA3"/>
    <w:rsid w:val="00544B00"/>
    <w:rsid w:val="00545100"/>
    <w:rsid w:val="00545564"/>
    <w:rsid w:val="00545B88"/>
    <w:rsid w:val="0054636B"/>
    <w:rsid w:val="00546410"/>
    <w:rsid w:val="00546A09"/>
    <w:rsid w:val="00546B23"/>
    <w:rsid w:val="00546B89"/>
    <w:rsid w:val="005471D0"/>
    <w:rsid w:val="00551D78"/>
    <w:rsid w:val="00552514"/>
    <w:rsid w:val="00552BD9"/>
    <w:rsid w:val="00553B38"/>
    <w:rsid w:val="00553CAC"/>
    <w:rsid w:val="00553F0B"/>
    <w:rsid w:val="00554547"/>
    <w:rsid w:val="005549EE"/>
    <w:rsid w:val="00555CB2"/>
    <w:rsid w:val="00555F60"/>
    <w:rsid w:val="00556325"/>
    <w:rsid w:val="005569D7"/>
    <w:rsid w:val="0055710A"/>
    <w:rsid w:val="00557193"/>
    <w:rsid w:val="005572F2"/>
    <w:rsid w:val="00557433"/>
    <w:rsid w:val="005575FF"/>
    <w:rsid w:val="00560198"/>
    <w:rsid w:val="005603D9"/>
    <w:rsid w:val="0056099E"/>
    <w:rsid w:val="00561D24"/>
    <w:rsid w:val="00561EF0"/>
    <w:rsid w:val="00561FB9"/>
    <w:rsid w:val="00562530"/>
    <w:rsid w:val="00562DF6"/>
    <w:rsid w:val="00562F5B"/>
    <w:rsid w:val="00563D98"/>
    <w:rsid w:val="0056402A"/>
    <w:rsid w:val="0056408D"/>
    <w:rsid w:val="005640AC"/>
    <w:rsid w:val="0056436F"/>
    <w:rsid w:val="005649D1"/>
    <w:rsid w:val="00564C95"/>
    <w:rsid w:val="0056546C"/>
    <w:rsid w:val="00565E4A"/>
    <w:rsid w:val="0056629F"/>
    <w:rsid w:val="005664D0"/>
    <w:rsid w:val="0056710A"/>
    <w:rsid w:val="00567B7B"/>
    <w:rsid w:val="00570598"/>
    <w:rsid w:val="00570AC4"/>
    <w:rsid w:val="00572005"/>
    <w:rsid w:val="00572A20"/>
    <w:rsid w:val="00572B1B"/>
    <w:rsid w:val="00573814"/>
    <w:rsid w:val="0057390E"/>
    <w:rsid w:val="00573AAA"/>
    <w:rsid w:val="00573DCC"/>
    <w:rsid w:val="005741AF"/>
    <w:rsid w:val="005748D6"/>
    <w:rsid w:val="00574D81"/>
    <w:rsid w:val="005756D6"/>
    <w:rsid w:val="00576374"/>
    <w:rsid w:val="00576EE2"/>
    <w:rsid w:val="00577188"/>
    <w:rsid w:val="005772D2"/>
    <w:rsid w:val="0058037D"/>
    <w:rsid w:val="00580F61"/>
    <w:rsid w:val="00580FE6"/>
    <w:rsid w:val="0058125B"/>
    <w:rsid w:val="00583589"/>
    <w:rsid w:val="00583D31"/>
    <w:rsid w:val="00583EBD"/>
    <w:rsid w:val="00584382"/>
    <w:rsid w:val="00584C44"/>
    <w:rsid w:val="005856DB"/>
    <w:rsid w:val="00586604"/>
    <w:rsid w:val="0058664F"/>
    <w:rsid w:val="005874B5"/>
    <w:rsid w:val="00587DD3"/>
    <w:rsid w:val="005903CE"/>
    <w:rsid w:val="00590565"/>
    <w:rsid w:val="0059089E"/>
    <w:rsid w:val="00590A25"/>
    <w:rsid w:val="00591288"/>
    <w:rsid w:val="005917FD"/>
    <w:rsid w:val="00591B1A"/>
    <w:rsid w:val="00592F75"/>
    <w:rsid w:val="00593649"/>
    <w:rsid w:val="0059370F"/>
    <w:rsid w:val="00593D24"/>
    <w:rsid w:val="00594A12"/>
    <w:rsid w:val="00594CCF"/>
    <w:rsid w:val="00594DB3"/>
    <w:rsid w:val="00595308"/>
    <w:rsid w:val="005966CF"/>
    <w:rsid w:val="0059693F"/>
    <w:rsid w:val="00596965"/>
    <w:rsid w:val="0059721D"/>
    <w:rsid w:val="005975D5"/>
    <w:rsid w:val="005A09B1"/>
    <w:rsid w:val="005A13BC"/>
    <w:rsid w:val="005A1A45"/>
    <w:rsid w:val="005A305B"/>
    <w:rsid w:val="005A3387"/>
    <w:rsid w:val="005A3414"/>
    <w:rsid w:val="005A365F"/>
    <w:rsid w:val="005A3ABD"/>
    <w:rsid w:val="005A3E8B"/>
    <w:rsid w:val="005A4739"/>
    <w:rsid w:val="005A4AA1"/>
    <w:rsid w:val="005A596A"/>
    <w:rsid w:val="005A5A14"/>
    <w:rsid w:val="005A7DCF"/>
    <w:rsid w:val="005B0685"/>
    <w:rsid w:val="005B14D7"/>
    <w:rsid w:val="005B1DC4"/>
    <w:rsid w:val="005B2306"/>
    <w:rsid w:val="005B24B5"/>
    <w:rsid w:val="005B318A"/>
    <w:rsid w:val="005B3358"/>
    <w:rsid w:val="005B33AC"/>
    <w:rsid w:val="005B4908"/>
    <w:rsid w:val="005B4BAD"/>
    <w:rsid w:val="005B4F7D"/>
    <w:rsid w:val="005B51C2"/>
    <w:rsid w:val="005B546B"/>
    <w:rsid w:val="005B683F"/>
    <w:rsid w:val="005B6B38"/>
    <w:rsid w:val="005B6D1F"/>
    <w:rsid w:val="005C0F15"/>
    <w:rsid w:val="005C184E"/>
    <w:rsid w:val="005C1884"/>
    <w:rsid w:val="005C29D3"/>
    <w:rsid w:val="005C2E54"/>
    <w:rsid w:val="005C3A06"/>
    <w:rsid w:val="005C3C13"/>
    <w:rsid w:val="005C4405"/>
    <w:rsid w:val="005C45D3"/>
    <w:rsid w:val="005C4C4C"/>
    <w:rsid w:val="005C56EA"/>
    <w:rsid w:val="005C5904"/>
    <w:rsid w:val="005C7D17"/>
    <w:rsid w:val="005D0029"/>
    <w:rsid w:val="005D2571"/>
    <w:rsid w:val="005D26AB"/>
    <w:rsid w:val="005D2F52"/>
    <w:rsid w:val="005D2FA5"/>
    <w:rsid w:val="005D330D"/>
    <w:rsid w:val="005D33CF"/>
    <w:rsid w:val="005D38E1"/>
    <w:rsid w:val="005D3BBF"/>
    <w:rsid w:val="005D3E17"/>
    <w:rsid w:val="005D3F6B"/>
    <w:rsid w:val="005D44AF"/>
    <w:rsid w:val="005D4706"/>
    <w:rsid w:val="005D47FE"/>
    <w:rsid w:val="005D4A67"/>
    <w:rsid w:val="005D4B34"/>
    <w:rsid w:val="005D4C7E"/>
    <w:rsid w:val="005D4CD4"/>
    <w:rsid w:val="005D512F"/>
    <w:rsid w:val="005D530F"/>
    <w:rsid w:val="005D5EAC"/>
    <w:rsid w:val="005D61B7"/>
    <w:rsid w:val="005D6C45"/>
    <w:rsid w:val="005D6CAD"/>
    <w:rsid w:val="005D6ED8"/>
    <w:rsid w:val="005D7054"/>
    <w:rsid w:val="005D7574"/>
    <w:rsid w:val="005D7896"/>
    <w:rsid w:val="005D7C13"/>
    <w:rsid w:val="005E0428"/>
    <w:rsid w:val="005E0DA2"/>
    <w:rsid w:val="005E0EA3"/>
    <w:rsid w:val="005E1056"/>
    <w:rsid w:val="005E14F8"/>
    <w:rsid w:val="005E17E1"/>
    <w:rsid w:val="005E1A66"/>
    <w:rsid w:val="005E20C4"/>
    <w:rsid w:val="005E228E"/>
    <w:rsid w:val="005E24EF"/>
    <w:rsid w:val="005E2741"/>
    <w:rsid w:val="005E2C7F"/>
    <w:rsid w:val="005E2E0A"/>
    <w:rsid w:val="005E3076"/>
    <w:rsid w:val="005E3158"/>
    <w:rsid w:val="005E3191"/>
    <w:rsid w:val="005E33E5"/>
    <w:rsid w:val="005E3877"/>
    <w:rsid w:val="005E3B69"/>
    <w:rsid w:val="005E45D9"/>
    <w:rsid w:val="005E47D0"/>
    <w:rsid w:val="005E54C7"/>
    <w:rsid w:val="005E59CA"/>
    <w:rsid w:val="005E6861"/>
    <w:rsid w:val="005E7E9B"/>
    <w:rsid w:val="005F0A19"/>
    <w:rsid w:val="005F1142"/>
    <w:rsid w:val="005F198F"/>
    <w:rsid w:val="005F275C"/>
    <w:rsid w:val="005F27E6"/>
    <w:rsid w:val="005F28A6"/>
    <w:rsid w:val="005F3697"/>
    <w:rsid w:val="005F3882"/>
    <w:rsid w:val="005F4265"/>
    <w:rsid w:val="005F47FF"/>
    <w:rsid w:val="005F5498"/>
    <w:rsid w:val="005F57AB"/>
    <w:rsid w:val="005F5EE5"/>
    <w:rsid w:val="005F6806"/>
    <w:rsid w:val="005F6DBA"/>
    <w:rsid w:val="005F6EAC"/>
    <w:rsid w:val="005F780C"/>
    <w:rsid w:val="005F7D2D"/>
    <w:rsid w:val="0060011C"/>
    <w:rsid w:val="006005F9"/>
    <w:rsid w:val="00600E1F"/>
    <w:rsid w:val="00600EF2"/>
    <w:rsid w:val="00601B7F"/>
    <w:rsid w:val="00601CAB"/>
    <w:rsid w:val="00602814"/>
    <w:rsid w:val="00603D86"/>
    <w:rsid w:val="0060504A"/>
    <w:rsid w:val="0060550E"/>
    <w:rsid w:val="00605558"/>
    <w:rsid w:val="0060567B"/>
    <w:rsid w:val="00606907"/>
    <w:rsid w:val="006069C1"/>
    <w:rsid w:val="00607341"/>
    <w:rsid w:val="006074B1"/>
    <w:rsid w:val="00607FD6"/>
    <w:rsid w:val="006106A3"/>
    <w:rsid w:val="006108A1"/>
    <w:rsid w:val="00610DEF"/>
    <w:rsid w:val="00611A22"/>
    <w:rsid w:val="00611AF0"/>
    <w:rsid w:val="00611CC5"/>
    <w:rsid w:val="00611F91"/>
    <w:rsid w:val="00612E05"/>
    <w:rsid w:val="00613317"/>
    <w:rsid w:val="00613CBF"/>
    <w:rsid w:val="006147EB"/>
    <w:rsid w:val="00614C42"/>
    <w:rsid w:val="006150E1"/>
    <w:rsid w:val="006154B2"/>
    <w:rsid w:val="0061765B"/>
    <w:rsid w:val="00617DEC"/>
    <w:rsid w:val="006200EB"/>
    <w:rsid w:val="006206B6"/>
    <w:rsid w:val="00620838"/>
    <w:rsid w:val="00620B0D"/>
    <w:rsid w:val="00620B99"/>
    <w:rsid w:val="00620C7B"/>
    <w:rsid w:val="00620EEC"/>
    <w:rsid w:val="0062109D"/>
    <w:rsid w:val="00621287"/>
    <w:rsid w:val="00621349"/>
    <w:rsid w:val="00621824"/>
    <w:rsid w:val="00621EA3"/>
    <w:rsid w:val="006221D2"/>
    <w:rsid w:val="006225D6"/>
    <w:rsid w:val="00622DE2"/>
    <w:rsid w:val="006230AA"/>
    <w:rsid w:val="00623207"/>
    <w:rsid w:val="0062441A"/>
    <w:rsid w:val="00624AB9"/>
    <w:rsid w:val="00625AB3"/>
    <w:rsid w:val="00626938"/>
    <w:rsid w:val="00626EBC"/>
    <w:rsid w:val="00630721"/>
    <w:rsid w:val="00631DCE"/>
    <w:rsid w:val="00631F26"/>
    <w:rsid w:val="0063221D"/>
    <w:rsid w:val="006322B3"/>
    <w:rsid w:val="0063233D"/>
    <w:rsid w:val="00632FF8"/>
    <w:rsid w:val="00633845"/>
    <w:rsid w:val="00634103"/>
    <w:rsid w:val="00634671"/>
    <w:rsid w:val="0063489D"/>
    <w:rsid w:val="00634FC2"/>
    <w:rsid w:val="0063699E"/>
    <w:rsid w:val="00637574"/>
    <w:rsid w:val="00640234"/>
    <w:rsid w:val="006406A1"/>
    <w:rsid w:val="00641CDF"/>
    <w:rsid w:val="00641D7F"/>
    <w:rsid w:val="00641FAF"/>
    <w:rsid w:val="006423BF"/>
    <w:rsid w:val="00642495"/>
    <w:rsid w:val="0064297C"/>
    <w:rsid w:val="0064343A"/>
    <w:rsid w:val="00643682"/>
    <w:rsid w:val="00643AA7"/>
    <w:rsid w:val="00644362"/>
    <w:rsid w:val="00644CBB"/>
    <w:rsid w:val="00644E59"/>
    <w:rsid w:val="00646105"/>
    <w:rsid w:val="006466E8"/>
    <w:rsid w:val="00646ABE"/>
    <w:rsid w:val="00646AF6"/>
    <w:rsid w:val="00646C53"/>
    <w:rsid w:val="00646F35"/>
    <w:rsid w:val="0064747F"/>
    <w:rsid w:val="006478B5"/>
    <w:rsid w:val="00647F40"/>
    <w:rsid w:val="00650379"/>
    <w:rsid w:val="006505CB"/>
    <w:rsid w:val="00650617"/>
    <w:rsid w:val="0065069E"/>
    <w:rsid w:val="00650AC2"/>
    <w:rsid w:val="00650ED1"/>
    <w:rsid w:val="00651176"/>
    <w:rsid w:val="0065163C"/>
    <w:rsid w:val="00651AAC"/>
    <w:rsid w:val="00651DF0"/>
    <w:rsid w:val="00652071"/>
    <w:rsid w:val="00652104"/>
    <w:rsid w:val="00652400"/>
    <w:rsid w:val="006528F2"/>
    <w:rsid w:val="006529DF"/>
    <w:rsid w:val="00653443"/>
    <w:rsid w:val="006539A7"/>
    <w:rsid w:val="00654084"/>
    <w:rsid w:val="006544F9"/>
    <w:rsid w:val="00654A72"/>
    <w:rsid w:val="0065588D"/>
    <w:rsid w:val="006560A5"/>
    <w:rsid w:val="00656546"/>
    <w:rsid w:val="006572F2"/>
    <w:rsid w:val="0065796A"/>
    <w:rsid w:val="00660A81"/>
    <w:rsid w:val="00660AFF"/>
    <w:rsid w:val="00660B2A"/>
    <w:rsid w:val="00660E68"/>
    <w:rsid w:val="006610E4"/>
    <w:rsid w:val="00661242"/>
    <w:rsid w:val="0066145F"/>
    <w:rsid w:val="0066156C"/>
    <w:rsid w:val="00661DBF"/>
    <w:rsid w:val="006623E7"/>
    <w:rsid w:val="0066309F"/>
    <w:rsid w:val="0066321B"/>
    <w:rsid w:val="0066363E"/>
    <w:rsid w:val="00664C1E"/>
    <w:rsid w:val="00665190"/>
    <w:rsid w:val="00665590"/>
    <w:rsid w:val="00665FB6"/>
    <w:rsid w:val="006673C0"/>
    <w:rsid w:val="00667D53"/>
    <w:rsid w:val="00667D9F"/>
    <w:rsid w:val="006702BB"/>
    <w:rsid w:val="00670DA1"/>
    <w:rsid w:val="006714F3"/>
    <w:rsid w:val="006715C6"/>
    <w:rsid w:val="00671E4B"/>
    <w:rsid w:val="0067227B"/>
    <w:rsid w:val="00672CE2"/>
    <w:rsid w:val="00672D92"/>
    <w:rsid w:val="00672D97"/>
    <w:rsid w:val="00674330"/>
    <w:rsid w:val="00674785"/>
    <w:rsid w:val="006747EF"/>
    <w:rsid w:val="00675518"/>
    <w:rsid w:val="006755C1"/>
    <w:rsid w:val="0067568A"/>
    <w:rsid w:val="0068014C"/>
    <w:rsid w:val="00680BDF"/>
    <w:rsid w:val="006813FC"/>
    <w:rsid w:val="006819E0"/>
    <w:rsid w:val="00682082"/>
    <w:rsid w:val="00682263"/>
    <w:rsid w:val="00683688"/>
    <w:rsid w:val="0068414C"/>
    <w:rsid w:val="00685908"/>
    <w:rsid w:val="006859A0"/>
    <w:rsid w:val="00685E8F"/>
    <w:rsid w:val="00685F9A"/>
    <w:rsid w:val="00686563"/>
    <w:rsid w:val="0068698A"/>
    <w:rsid w:val="00686F50"/>
    <w:rsid w:val="006872A3"/>
    <w:rsid w:val="00687686"/>
    <w:rsid w:val="00687B04"/>
    <w:rsid w:val="00690ACA"/>
    <w:rsid w:val="0069179B"/>
    <w:rsid w:val="00691A38"/>
    <w:rsid w:val="00691C51"/>
    <w:rsid w:val="00692541"/>
    <w:rsid w:val="00692AC3"/>
    <w:rsid w:val="00692D8B"/>
    <w:rsid w:val="0069335E"/>
    <w:rsid w:val="00694C46"/>
    <w:rsid w:val="0069534E"/>
    <w:rsid w:val="006971AF"/>
    <w:rsid w:val="006972F1"/>
    <w:rsid w:val="006974BC"/>
    <w:rsid w:val="006974E0"/>
    <w:rsid w:val="006976BB"/>
    <w:rsid w:val="00697A77"/>
    <w:rsid w:val="006A008F"/>
    <w:rsid w:val="006A07F2"/>
    <w:rsid w:val="006A1303"/>
    <w:rsid w:val="006A132F"/>
    <w:rsid w:val="006A1FB5"/>
    <w:rsid w:val="006A2AB0"/>
    <w:rsid w:val="006A3208"/>
    <w:rsid w:val="006A4F6F"/>
    <w:rsid w:val="006A510D"/>
    <w:rsid w:val="006A59FF"/>
    <w:rsid w:val="006A5AA6"/>
    <w:rsid w:val="006A62A7"/>
    <w:rsid w:val="006A6933"/>
    <w:rsid w:val="006A6B8A"/>
    <w:rsid w:val="006A7045"/>
    <w:rsid w:val="006A712F"/>
    <w:rsid w:val="006A7660"/>
    <w:rsid w:val="006A7909"/>
    <w:rsid w:val="006A7FC4"/>
    <w:rsid w:val="006B00B8"/>
    <w:rsid w:val="006B02CD"/>
    <w:rsid w:val="006B0399"/>
    <w:rsid w:val="006B0564"/>
    <w:rsid w:val="006B100C"/>
    <w:rsid w:val="006B21F6"/>
    <w:rsid w:val="006B269D"/>
    <w:rsid w:val="006B26C8"/>
    <w:rsid w:val="006B2DFF"/>
    <w:rsid w:val="006B3365"/>
    <w:rsid w:val="006B3524"/>
    <w:rsid w:val="006B3833"/>
    <w:rsid w:val="006B41A1"/>
    <w:rsid w:val="006B494F"/>
    <w:rsid w:val="006B566C"/>
    <w:rsid w:val="006B5827"/>
    <w:rsid w:val="006B5EC3"/>
    <w:rsid w:val="006B5EC9"/>
    <w:rsid w:val="006B6AD7"/>
    <w:rsid w:val="006B6C2F"/>
    <w:rsid w:val="006B7203"/>
    <w:rsid w:val="006B7428"/>
    <w:rsid w:val="006B7986"/>
    <w:rsid w:val="006B7CD8"/>
    <w:rsid w:val="006C0B0E"/>
    <w:rsid w:val="006C0E90"/>
    <w:rsid w:val="006C1693"/>
    <w:rsid w:val="006C1A9C"/>
    <w:rsid w:val="006C1AB4"/>
    <w:rsid w:val="006C2ABB"/>
    <w:rsid w:val="006C37C0"/>
    <w:rsid w:val="006C3DEB"/>
    <w:rsid w:val="006C3E2D"/>
    <w:rsid w:val="006C40F5"/>
    <w:rsid w:val="006C495B"/>
    <w:rsid w:val="006C4B68"/>
    <w:rsid w:val="006C51F6"/>
    <w:rsid w:val="006C5297"/>
    <w:rsid w:val="006C5F8B"/>
    <w:rsid w:val="006C6117"/>
    <w:rsid w:val="006C6602"/>
    <w:rsid w:val="006C6A0B"/>
    <w:rsid w:val="006C6C5A"/>
    <w:rsid w:val="006C6C8E"/>
    <w:rsid w:val="006C6D07"/>
    <w:rsid w:val="006C6EAB"/>
    <w:rsid w:val="006C6F71"/>
    <w:rsid w:val="006C7399"/>
    <w:rsid w:val="006C762E"/>
    <w:rsid w:val="006D0180"/>
    <w:rsid w:val="006D021D"/>
    <w:rsid w:val="006D05D7"/>
    <w:rsid w:val="006D0A1F"/>
    <w:rsid w:val="006D0E94"/>
    <w:rsid w:val="006D0F19"/>
    <w:rsid w:val="006D1BF2"/>
    <w:rsid w:val="006D1E1E"/>
    <w:rsid w:val="006D3031"/>
    <w:rsid w:val="006D408F"/>
    <w:rsid w:val="006D49EE"/>
    <w:rsid w:val="006D4BFA"/>
    <w:rsid w:val="006D5B88"/>
    <w:rsid w:val="006D63EA"/>
    <w:rsid w:val="006D745A"/>
    <w:rsid w:val="006D7C0C"/>
    <w:rsid w:val="006E00A4"/>
    <w:rsid w:val="006E0622"/>
    <w:rsid w:val="006E089E"/>
    <w:rsid w:val="006E0B37"/>
    <w:rsid w:val="006E0D36"/>
    <w:rsid w:val="006E1030"/>
    <w:rsid w:val="006E15D5"/>
    <w:rsid w:val="006E1628"/>
    <w:rsid w:val="006E170D"/>
    <w:rsid w:val="006E1DCB"/>
    <w:rsid w:val="006E1EA1"/>
    <w:rsid w:val="006E216B"/>
    <w:rsid w:val="006E3469"/>
    <w:rsid w:val="006E3647"/>
    <w:rsid w:val="006E3A57"/>
    <w:rsid w:val="006E406B"/>
    <w:rsid w:val="006E411D"/>
    <w:rsid w:val="006E498B"/>
    <w:rsid w:val="006E49C5"/>
    <w:rsid w:val="006E4D7D"/>
    <w:rsid w:val="006E5937"/>
    <w:rsid w:val="006E5C38"/>
    <w:rsid w:val="006E5DC7"/>
    <w:rsid w:val="006E698B"/>
    <w:rsid w:val="006E76ED"/>
    <w:rsid w:val="006E7E56"/>
    <w:rsid w:val="006F012E"/>
    <w:rsid w:val="006F0709"/>
    <w:rsid w:val="006F305E"/>
    <w:rsid w:val="006F31DE"/>
    <w:rsid w:val="006F3997"/>
    <w:rsid w:val="006F3BE1"/>
    <w:rsid w:val="006F3F54"/>
    <w:rsid w:val="006F4274"/>
    <w:rsid w:val="006F4E2A"/>
    <w:rsid w:val="006F6E43"/>
    <w:rsid w:val="006F76F4"/>
    <w:rsid w:val="006F7D4E"/>
    <w:rsid w:val="007001C7"/>
    <w:rsid w:val="00701596"/>
    <w:rsid w:val="00701744"/>
    <w:rsid w:val="007017FC"/>
    <w:rsid w:val="00701AC9"/>
    <w:rsid w:val="007024F3"/>
    <w:rsid w:val="007029E5"/>
    <w:rsid w:val="0070325B"/>
    <w:rsid w:val="0070332B"/>
    <w:rsid w:val="00703F2B"/>
    <w:rsid w:val="007072AF"/>
    <w:rsid w:val="00707591"/>
    <w:rsid w:val="0070762A"/>
    <w:rsid w:val="007078EE"/>
    <w:rsid w:val="00707BE6"/>
    <w:rsid w:val="00707C1E"/>
    <w:rsid w:val="00707FAA"/>
    <w:rsid w:val="00711BAF"/>
    <w:rsid w:val="00711C0E"/>
    <w:rsid w:val="00712711"/>
    <w:rsid w:val="007129F2"/>
    <w:rsid w:val="0071361C"/>
    <w:rsid w:val="00713E39"/>
    <w:rsid w:val="0071417F"/>
    <w:rsid w:val="007148BA"/>
    <w:rsid w:val="0071504A"/>
    <w:rsid w:val="00715488"/>
    <w:rsid w:val="0071548B"/>
    <w:rsid w:val="0071634F"/>
    <w:rsid w:val="00716F1A"/>
    <w:rsid w:val="00717DD9"/>
    <w:rsid w:val="007203E4"/>
    <w:rsid w:val="007204A9"/>
    <w:rsid w:val="007209CE"/>
    <w:rsid w:val="007210D5"/>
    <w:rsid w:val="00721B03"/>
    <w:rsid w:val="00722403"/>
    <w:rsid w:val="00722B8E"/>
    <w:rsid w:val="00722D96"/>
    <w:rsid w:val="00723069"/>
    <w:rsid w:val="007230AF"/>
    <w:rsid w:val="0072328E"/>
    <w:rsid w:val="0072381F"/>
    <w:rsid w:val="00723E2D"/>
    <w:rsid w:val="00724CB1"/>
    <w:rsid w:val="00724EE2"/>
    <w:rsid w:val="00725785"/>
    <w:rsid w:val="00726248"/>
    <w:rsid w:val="0072684F"/>
    <w:rsid w:val="0072731D"/>
    <w:rsid w:val="0073018E"/>
    <w:rsid w:val="0073098D"/>
    <w:rsid w:val="00730FBB"/>
    <w:rsid w:val="0073103D"/>
    <w:rsid w:val="00731A06"/>
    <w:rsid w:val="00731E41"/>
    <w:rsid w:val="007322E8"/>
    <w:rsid w:val="00732C9E"/>
    <w:rsid w:val="00733A51"/>
    <w:rsid w:val="0073405B"/>
    <w:rsid w:val="00734684"/>
    <w:rsid w:val="00736295"/>
    <w:rsid w:val="00736458"/>
    <w:rsid w:val="00737465"/>
    <w:rsid w:val="0073785B"/>
    <w:rsid w:val="00737F19"/>
    <w:rsid w:val="007403D7"/>
    <w:rsid w:val="00740C97"/>
    <w:rsid w:val="00740E43"/>
    <w:rsid w:val="00741315"/>
    <w:rsid w:val="00741924"/>
    <w:rsid w:val="00742366"/>
    <w:rsid w:val="007426FC"/>
    <w:rsid w:val="00742EDD"/>
    <w:rsid w:val="00743A3E"/>
    <w:rsid w:val="007451AC"/>
    <w:rsid w:val="007454DA"/>
    <w:rsid w:val="00745744"/>
    <w:rsid w:val="00745F56"/>
    <w:rsid w:val="0074673B"/>
    <w:rsid w:val="0074693C"/>
    <w:rsid w:val="00746A1C"/>
    <w:rsid w:val="00746C41"/>
    <w:rsid w:val="00746FF8"/>
    <w:rsid w:val="00747135"/>
    <w:rsid w:val="0074713D"/>
    <w:rsid w:val="007471D7"/>
    <w:rsid w:val="00747C8C"/>
    <w:rsid w:val="0075048B"/>
    <w:rsid w:val="00750865"/>
    <w:rsid w:val="00750990"/>
    <w:rsid w:val="00750AAF"/>
    <w:rsid w:val="00751647"/>
    <w:rsid w:val="00752088"/>
    <w:rsid w:val="0075212E"/>
    <w:rsid w:val="00752760"/>
    <w:rsid w:val="007527D6"/>
    <w:rsid w:val="00752D8A"/>
    <w:rsid w:val="00753A92"/>
    <w:rsid w:val="0075427D"/>
    <w:rsid w:val="00754297"/>
    <w:rsid w:val="007542E6"/>
    <w:rsid w:val="007550AB"/>
    <w:rsid w:val="007551F0"/>
    <w:rsid w:val="007565BA"/>
    <w:rsid w:val="00756929"/>
    <w:rsid w:val="00756B51"/>
    <w:rsid w:val="00757104"/>
    <w:rsid w:val="007571E9"/>
    <w:rsid w:val="00757850"/>
    <w:rsid w:val="00757AD2"/>
    <w:rsid w:val="00757D9A"/>
    <w:rsid w:val="0076083D"/>
    <w:rsid w:val="007610E0"/>
    <w:rsid w:val="00761212"/>
    <w:rsid w:val="00761668"/>
    <w:rsid w:val="007616EC"/>
    <w:rsid w:val="00761769"/>
    <w:rsid w:val="00761D95"/>
    <w:rsid w:val="00761E49"/>
    <w:rsid w:val="00761F71"/>
    <w:rsid w:val="00762190"/>
    <w:rsid w:val="00763146"/>
    <w:rsid w:val="00763378"/>
    <w:rsid w:val="00763D3C"/>
    <w:rsid w:val="007652D2"/>
    <w:rsid w:val="0076538F"/>
    <w:rsid w:val="00765AD4"/>
    <w:rsid w:val="00766275"/>
    <w:rsid w:val="00767031"/>
    <w:rsid w:val="00767827"/>
    <w:rsid w:val="00767DBB"/>
    <w:rsid w:val="00767E22"/>
    <w:rsid w:val="00770DBA"/>
    <w:rsid w:val="00770E45"/>
    <w:rsid w:val="00771138"/>
    <w:rsid w:val="00771448"/>
    <w:rsid w:val="007729B1"/>
    <w:rsid w:val="007733C3"/>
    <w:rsid w:val="00773517"/>
    <w:rsid w:val="00773E19"/>
    <w:rsid w:val="00774646"/>
    <w:rsid w:val="0077464A"/>
    <w:rsid w:val="00774715"/>
    <w:rsid w:val="00774D37"/>
    <w:rsid w:val="007759BA"/>
    <w:rsid w:val="007765BC"/>
    <w:rsid w:val="007769D9"/>
    <w:rsid w:val="00777504"/>
    <w:rsid w:val="0077773C"/>
    <w:rsid w:val="00777FAD"/>
    <w:rsid w:val="0078078A"/>
    <w:rsid w:val="00781695"/>
    <w:rsid w:val="007818DC"/>
    <w:rsid w:val="00781C6B"/>
    <w:rsid w:val="00781E0F"/>
    <w:rsid w:val="00781E56"/>
    <w:rsid w:val="00782322"/>
    <w:rsid w:val="00782436"/>
    <w:rsid w:val="00782664"/>
    <w:rsid w:val="00782791"/>
    <w:rsid w:val="00782B49"/>
    <w:rsid w:val="00782C35"/>
    <w:rsid w:val="00783238"/>
    <w:rsid w:val="00783432"/>
    <w:rsid w:val="00783856"/>
    <w:rsid w:val="00783C8A"/>
    <w:rsid w:val="00784B4A"/>
    <w:rsid w:val="00784B9D"/>
    <w:rsid w:val="00784C0E"/>
    <w:rsid w:val="00784F00"/>
    <w:rsid w:val="0078513B"/>
    <w:rsid w:val="007856F5"/>
    <w:rsid w:val="00785CCC"/>
    <w:rsid w:val="0078618F"/>
    <w:rsid w:val="00786C48"/>
    <w:rsid w:val="0078778B"/>
    <w:rsid w:val="007879A6"/>
    <w:rsid w:val="00787FE3"/>
    <w:rsid w:val="00790F3D"/>
    <w:rsid w:val="00791098"/>
    <w:rsid w:val="00792E46"/>
    <w:rsid w:val="0079312B"/>
    <w:rsid w:val="007940B3"/>
    <w:rsid w:val="0079434C"/>
    <w:rsid w:val="0079457E"/>
    <w:rsid w:val="007945D7"/>
    <w:rsid w:val="007947BB"/>
    <w:rsid w:val="007947F8"/>
    <w:rsid w:val="00795A1A"/>
    <w:rsid w:val="00795B0D"/>
    <w:rsid w:val="00795F8A"/>
    <w:rsid w:val="007966DA"/>
    <w:rsid w:val="00796867"/>
    <w:rsid w:val="00796913"/>
    <w:rsid w:val="00796F0B"/>
    <w:rsid w:val="00797779"/>
    <w:rsid w:val="00797A15"/>
    <w:rsid w:val="00797D0C"/>
    <w:rsid w:val="0079B41A"/>
    <w:rsid w:val="007A02A7"/>
    <w:rsid w:val="007A04D0"/>
    <w:rsid w:val="007A0563"/>
    <w:rsid w:val="007A1347"/>
    <w:rsid w:val="007A2A20"/>
    <w:rsid w:val="007A2E6E"/>
    <w:rsid w:val="007A3240"/>
    <w:rsid w:val="007A32F0"/>
    <w:rsid w:val="007A3938"/>
    <w:rsid w:val="007A3ACB"/>
    <w:rsid w:val="007A3DBC"/>
    <w:rsid w:val="007A41B9"/>
    <w:rsid w:val="007A49A0"/>
    <w:rsid w:val="007A5633"/>
    <w:rsid w:val="007A5742"/>
    <w:rsid w:val="007A5C8B"/>
    <w:rsid w:val="007B079A"/>
    <w:rsid w:val="007B0826"/>
    <w:rsid w:val="007B1663"/>
    <w:rsid w:val="007B2F94"/>
    <w:rsid w:val="007B3894"/>
    <w:rsid w:val="007B3F14"/>
    <w:rsid w:val="007B441A"/>
    <w:rsid w:val="007B4684"/>
    <w:rsid w:val="007B4D70"/>
    <w:rsid w:val="007B512A"/>
    <w:rsid w:val="007B583B"/>
    <w:rsid w:val="007B5A55"/>
    <w:rsid w:val="007B63F0"/>
    <w:rsid w:val="007B7036"/>
    <w:rsid w:val="007B7434"/>
    <w:rsid w:val="007B74C0"/>
    <w:rsid w:val="007B75CF"/>
    <w:rsid w:val="007C08B5"/>
    <w:rsid w:val="007C0935"/>
    <w:rsid w:val="007C0CE0"/>
    <w:rsid w:val="007C2AFD"/>
    <w:rsid w:val="007C3668"/>
    <w:rsid w:val="007C3834"/>
    <w:rsid w:val="007C483F"/>
    <w:rsid w:val="007C4BC8"/>
    <w:rsid w:val="007C5F6D"/>
    <w:rsid w:val="007C63EF"/>
    <w:rsid w:val="007C6B24"/>
    <w:rsid w:val="007C6D79"/>
    <w:rsid w:val="007C7086"/>
    <w:rsid w:val="007C70E6"/>
    <w:rsid w:val="007C710E"/>
    <w:rsid w:val="007D0B0A"/>
    <w:rsid w:val="007D0D03"/>
    <w:rsid w:val="007D0E7D"/>
    <w:rsid w:val="007D1112"/>
    <w:rsid w:val="007D17F1"/>
    <w:rsid w:val="007D224B"/>
    <w:rsid w:val="007D2A81"/>
    <w:rsid w:val="007D3D42"/>
    <w:rsid w:val="007D43B6"/>
    <w:rsid w:val="007D43C0"/>
    <w:rsid w:val="007D4437"/>
    <w:rsid w:val="007D449C"/>
    <w:rsid w:val="007D485E"/>
    <w:rsid w:val="007D56A1"/>
    <w:rsid w:val="007D5EDE"/>
    <w:rsid w:val="007D6230"/>
    <w:rsid w:val="007D6271"/>
    <w:rsid w:val="007D6D85"/>
    <w:rsid w:val="007E02AB"/>
    <w:rsid w:val="007E0844"/>
    <w:rsid w:val="007E0ECD"/>
    <w:rsid w:val="007E1268"/>
    <w:rsid w:val="007E1E49"/>
    <w:rsid w:val="007E207D"/>
    <w:rsid w:val="007E2500"/>
    <w:rsid w:val="007E33F8"/>
    <w:rsid w:val="007E3EFB"/>
    <w:rsid w:val="007E5143"/>
    <w:rsid w:val="007E517F"/>
    <w:rsid w:val="007E52CE"/>
    <w:rsid w:val="007E5447"/>
    <w:rsid w:val="007E5565"/>
    <w:rsid w:val="007E5716"/>
    <w:rsid w:val="007E5A30"/>
    <w:rsid w:val="007E658D"/>
    <w:rsid w:val="007E6917"/>
    <w:rsid w:val="007E6A2F"/>
    <w:rsid w:val="007E6E09"/>
    <w:rsid w:val="007E7A2B"/>
    <w:rsid w:val="007E7F21"/>
    <w:rsid w:val="007F1447"/>
    <w:rsid w:val="007F19A1"/>
    <w:rsid w:val="007F1C25"/>
    <w:rsid w:val="007F25D3"/>
    <w:rsid w:val="007F2969"/>
    <w:rsid w:val="007F2BD2"/>
    <w:rsid w:val="007F2C5B"/>
    <w:rsid w:val="007F2D7A"/>
    <w:rsid w:val="007F2F63"/>
    <w:rsid w:val="007F302A"/>
    <w:rsid w:val="007F34D3"/>
    <w:rsid w:val="007F384A"/>
    <w:rsid w:val="007F4042"/>
    <w:rsid w:val="007F41D6"/>
    <w:rsid w:val="007F4A24"/>
    <w:rsid w:val="007F4E93"/>
    <w:rsid w:val="007F542B"/>
    <w:rsid w:val="007F6AE4"/>
    <w:rsid w:val="007F70B8"/>
    <w:rsid w:val="007F7A17"/>
    <w:rsid w:val="007F7F0F"/>
    <w:rsid w:val="0080028A"/>
    <w:rsid w:val="008002E3"/>
    <w:rsid w:val="00800C94"/>
    <w:rsid w:val="00801514"/>
    <w:rsid w:val="00801825"/>
    <w:rsid w:val="00801CE7"/>
    <w:rsid w:val="008027FA"/>
    <w:rsid w:val="00802FEC"/>
    <w:rsid w:val="008032AE"/>
    <w:rsid w:val="008046D4"/>
    <w:rsid w:val="00805678"/>
    <w:rsid w:val="00805E67"/>
    <w:rsid w:val="008061E9"/>
    <w:rsid w:val="008063FF"/>
    <w:rsid w:val="0080649D"/>
    <w:rsid w:val="008064F9"/>
    <w:rsid w:val="0080675C"/>
    <w:rsid w:val="00806D2B"/>
    <w:rsid w:val="0081106B"/>
    <w:rsid w:val="00811370"/>
    <w:rsid w:val="00811EBB"/>
    <w:rsid w:val="008124C3"/>
    <w:rsid w:val="00812A0C"/>
    <w:rsid w:val="00813387"/>
    <w:rsid w:val="00813D98"/>
    <w:rsid w:val="008145E7"/>
    <w:rsid w:val="008146F1"/>
    <w:rsid w:val="008149D7"/>
    <w:rsid w:val="00814BFF"/>
    <w:rsid w:val="00815583"/>
    <w:rsid w:val="00815779"/>
    <w:rsid w:val="00815BAE"/>
    <w:rsid w:val="008161C5"/>
    <w:rsid w:val="008164E0"/>
    <w:rsid w:val="008167F9"/>
    <w:rsid w:val="00817885"/>
    <w:rsid w:val="00817FFE"/>
    <w:rsid w:val="0082071B"/>
    <w:rsid w:val="00820824"/>
    <w:rsid w:val="008209BB"/>
    <w:rsid w:val="00820CA5"/>
    <w:rsid w:val="00821679"/>
    <w:rsid w:val="0082224A"/>
    <w:rsid w:val="008229C4"/>
    <w:rsid w:val="00822BBB"/>
    <w:rsid w:val="0082331B"/>
    <w:rsid w:val="00823B3C"/>
    <w:rsid w:val="00824B7D"/>
    <w:rsid w:val="00824C1A"/>
    <w:rsid w:val="00824FA8"/>
    <w:rsid w:val="008258B3"/>
    <w:rsid w:val="00825AB2"/>
    <w:rsid w:val="00826054"/>
    <w:rsid w:val="00826552"/>
    <w:rsid w:val="00826C51"/>
    <w:rsid w:val="00826CD1"/>
    <w:rsid w:val="008272C0"/>
    <w:rsid w:val="008276BD"/>
    <w:rsid w:val="00827788"/>
    <w:rsid w:val="008307CE"/>
    <w:rsid w:val="00832C3B"/>
    <w:rsid w:val="0083313B"/>
    <w:rsid w:val="00833792"/>
    <w:rsid w:val="0083384D"/>
    <w:rsid w:val="008338E8"/>
    <w:rsid w:val="00834083"/>
    <w:rsid w:val="00834618"/>
    <w:rsid w:val="008350CF"/>
    <w:rsid w:val="00835E2F"/>
    <w:rsid w:val="00836817"/>
    <w:rsid w:val="008369C5"/>
    <w:rsid w:val="00836D8B"/>
    <w:rsid w:val="00836EAD"/>
    <w:rsid w:val="008370D2"/>
    <w:rsid w:val="00837383"/>
    <w:rsid w:val="00837936"/>
    <w:rsid w:val="00837AAE"/>
    <w:rsid w:val="00837AC2"/>
    <w:rsid w:val="00840126"/>
    <w:rsid w:val="008402B3"/>
    <w:rsid w:val="00840D88"/>
    <w:rsid w:val="00841B48"/>
    <w:rsid w:val="00842EB4"/>
    <w:rsid w:val="0084368B"/>
    <w:rsid w:val="00843803"/>
    <w:rsid w:val="00844284"/>
    <w:rsid w:val="00844B51"/>
    <w:rsid w:val="00845764"/>
    <w:rsid w:val="00845C92"/>
    <w:rsid w:val="00845E3C"/>
    <w:rsid w:val="00846024"/>
    <w:rsid w:val="00846061"/>
    <w:rsid w:val="00846348"/>
    <w:rsid w:val="008465B4"/>
    <w:rsid w:val="0084678A"/>
    <w:rsid w:val="00846931"/>
    <w:rsid w:val="00846A2C"/>
    <w:rsid w:val="00846F5C"/>
    <w:rsid w:val="00847363"/>
    <w:rsid w:val="00847555"/>
    <w:rsid w:val="00847C25"/>
    <w:rsid w:val="00847FCB"/>
    <w:rsid w:val="008502D5"/>
    <w:rsid w:val="00850568"/>
    <w:rsid w:val="008506AC"/>
    <w:rsid w:val="008508A9"/>
    <w:rsid w:val="00851C5A"/>
    <w:rsid w:val="00851CD4"/>
    <w:rsid w:val="00852BA0"/>
    <w:rsid w:val="00852D25"/>
    <w:rsid w:val="00852F35"/>
    <w:rsid w:val="00852FB3"/>
    <w:rsid w:val="00853A2B"/>
    <w:rsid w:val="0085404F"/>
    <w:rsid w:val="008542FA"/>
    <w:rsid w:val="008548DE"/>
    <w:rsid w:val="0085574E"/>
    <w:rsid w:val="00855765"/>
    <w:rsid w:val="008566E2"/>
    <w:rsid w:val="00856AF6"/>
    <w:rsid w:val="00857363"/>
    <w:rsid w:val="00857967"/>
    <w:rsid w:val="00857B4A"/>
    <w:rsid w:val="008607F3"/>
    <w:rsid w:val="00860890"/>
    <w:rsid w:val="00862239"/>
    <w:rsid w:val="00862324"/>
    <w:rsid w:val="008623D7"/>
    <w:rsid w:val="00862430"/>
    <w:rsid w:val="00862663"/>
    <w:rsid w:val="00862AAF"/>
    <w:rsid w:val="00862B65"/>
    <w:rsid w:val="00862E7A"/>
    <w:rsid w:val="00862F11"/>
    <w:rsid w:val="00863985"/>
    <w:rsid w:val="00864E28"/>
    <w:rsid w:val="008658DA"/>
    <w:rsid w:val="00865909"/>
    <w:rsid w:val="00865D3F"/>
    <w:rsid w:val="00865EC0"/>
    <w:rsid w:val="00866419"/>
    <w:rsid w:val="00866616"/>
    <w:rsid w:val="0086674D"/>
    <w:rsid w:val="00866B28"/>
    <w:rsid w:val="00866E72"/>
    <w:rsid w:val="00867E18"/>
    <w:rsid w:val="00870774"/>
    <w:rsid w:val="0087104E"/>
    <w:rsid w:val="00871247"/>
    <w:rsid w:val="0087162D"/>
    <w:rsid w:val="00871CF2"/>
    <w:rsid w:val="00872274"/>
    <w:rsid w:val="00872953"/>
    <w:rsid w:val="00872A43"/>
    <w:rsid w:val="00872E86"/>
    <w:rsid w:val="0087409F"/>
    <w:rsid w:val="00874DCE"/>
    <w:rsid w:val="00875248"/>
    <w:rsid w:val="008753A4"/>
    <w:rsid w:val="00875EFB"/>
    <w:rsid w:val="008760FE"/>
    <w:rsid w:val="008764A5"/>
    <w:rsid w:val="00876732"/>
    <w:rsid w:val="00876C05"/>
    <w:rsid w:val="00877023"/>
    <w:rsid w:val="00880269"/>
    <w:rsid w:val="00880485"/>
    <w:rsid w:val="00880583"/>
    <w:rsid w:val="00880ABF"/>
    <w:rsid w:val="00880D3D"/>
    <w:rsid w:val="008810B2"/>
    <w:rsid w:val="0088180A"/>
    <w:rsid w:val="00881CFC"/>
    <w:rsid w:val="00882363"/>
    <w:rsid w:val="00882BEF"/>
    <w:rsid w:val="0088319A"/>
    <w:rsid w:val="00883248"/>
    <w:rsid w:val="00884CF0"/>
    <w:rsid w:val="00887B2B"/>
    <w:rsid w:val="0089083F"/>
    <w:rsid w:val="008920EF"/>
    <w:rsid w:val="00892BAA"/>
    <w:rsid w:val="00892DC6"/>
    <w:rsid w:val="00893014"/>
    <w:rsid w:val="008936D2"/>
    <w:rsid w:val="00893D26"/>
    <w:rsid w:val="008942A1"/>
    <w:rsid w:val="0089482F"/>
    <w:rsid w:val="00894A1D"/>
    <w:rsid w:val="00894C22"/>
    <w:rsid w:val="00894C31"/>
    <w:rsid w:val="00895BCB"/>
    <w:rsid w:val="0089643E"/>
    <w:rsid w:val="008968CF"/>
    <w:rsid w:val="00896953"/>
    <w:rsid w:val="00897075"/>
    <w:rsid w:val="0089723B"/>
    <w:rsid w:val="008976BD"/>
    <w:rsid w:val="00897868"/>
    <w:rsid w:val="00897929"/>
    <w:rsid w:val="008A0614"/>
    <w:rsid w:val="008A0F48"/>
    <w:rsid w:val="008A12FD"/>
    <w:rsid w:val="008A1F50"/>
    <w:rsid w:val="008A2569"/>
    <w:rsid w:val="008A26C8"/>
    <w:rsid w:val="008A2B98"/>
    <w:rsid w:val="008A3712"/>
    <w:rsid w:val="008A5327"/>
    <w:rsid w:val="008A55D5"/>
    <w:rsid w:val="008A63DA"/>
    <w:rsid w:val="008A658C"/>
    <w:rsid w:val="008B01F1"/>
    <w:rsid w:val="008B09BC"/>
    <w:rsid w:val="008B1233"/>
    <w:rsid w:val="008B17F3"/>
    <w:rsid w:val="008B204B"/>
    <w:rsid w:val="008B23BF"/>
    <w:rsid w:val="008B2E43"/>
    <w:rsid w:val="008B3023"/>
    <w:rsid w:val="008B330C"/>
    <w:rsid w:val="008B3320"/>
    <w:rsid w:val="008B3A8B"/>
    <w:rsid w:val="008B441A"/>
    <w:rsid w:val="008B44BE"/>
    <w:rsid w:val="008B44F5"/>
    <w:rsid w:val="008B469C"/>
    <w:rsid w:val="008B4E6A"/>
    <w:rsid w:val="008B54FD"/>
    <w:rsid w:val="008B55A3"/>
    <w:rsid w:val="008B6AB1"/>
    <w:rsid w:val="008B7CDE"/>
    <w:rsid w:val="008B7F21"/>
    <w:rsid w:val="008C03A2"/>
    <w:rsid w:val="008C0925"/>
    <w:rsid w:val="008C1549"/>
    <w:rsid w:val="008C2557"/>
    <w:rsid w:val="008C26BD"/>
    <w:rsid w:val="008C2CCE"/>
    <w:rsid w:val="008C30B9"/>
    <w:rsid w:val="008C34FB"/>
    <w:rsid w:val="008C3ADF"/>
    <w:rsid w:val="008C3DFB"/>
    <w:rsid w:val="008C47A1"/>
    <w:rsid w:val="008C4867"/>
    <w:rsid w:val="008C5699"/>
    <w:rsid w:val="008C6054"/>
    <w:rsid w:val="008C656D"/>
    <w:rsid w:val="008C65B9"/>
    <w:rsid w:val="008C72DA"/>
    <w:rsid w:val="008C738F"/>
    <w:rsid w:val="008C791F"/>
    <w:rsid w:val="008C7A5F"/>
    <w:rsid w:val="008D09A9"/>
    <w:rsid w:val="008D0CDB"/>
    <w:rsid w:val="008D190F"/>
    <w:rsid w:val="008D1ADB"/>
    <w:rsid w:val="008D2588"/>
    <w:rsid w:val="008D27C0"/>
    <w:rsid w:val="008D2C35"/>
    <w:rsid w:val="008D2EF8"/>
    <w:rsid w:val="008D467F"/>
    <w:rsid w:val="008D4B1C"/>
    <w:rsid w:val="008D502C"/>
    <w:rsid w:val="008D5137"/>
    <w:rsid w:val="008D524A"/>
    <w:rsid w:val="008D5D27"/>
    <w:rsid w:val="008D6B9E"/>
    <w:rsid w:val="008D70E6"/>
    <w:rsid w:val="008D718E"/>
    <w:rsid w:val="008D775D"/>
    <w:rsid w:val="008D7E88"/>
    <w:rsid w:val="008E0011"/>
    <w:rsid w:val="008E02E4"/>
    <w:rsid w:val="008E0C8B"/>
    <w:rsid w:val="008E0DC9"/>
    <w:rsid w:val="008E1024"/>
    <w:rsid w:val="008E14EF"/>
    <w:rsid w:val="008E1979"/>
    <w:rsid w:val="008E1D42"/>
    <w:rsid w:val="008E2004"/>
    <w:rsid w:val="008E25E9"/>
    <w:rsid w:val="008E2EBC"/>
    <w:rsid w:val="008E2FE5"/>
    <w:rsid w:val="008E3043"/>
    <w:rsid w:val="008E3219"/>
    <w:rsid w:val="008E3882"/>
    <w:rsid w:val="008E3FCF"/>
    <w:rsid w:val="008E4CB3"/>
    <w:rsid w:val="008E5113"/>
    <w:rsid w:val="008E641E"/>
    <w:rsid w:val="008E677D"/>
    <w:rsid w:val="008E6F98"/>
    <w:rsid w:val="008E7417"/>
    <w:rsid w:val="008E7C14"/>
    <w:rsid w:val="008F0534"/>
    <w:rsid w:val="008F05D1"/>
    <w:rsid w:val="008F17F6"/>
    <w:rsid w:val="008F1DAE"/>
    <w:rsid w:val="008F2AC9"/>
    <w:rsid w:val="008F2ADE"/>
    <w:rsid w:val="008F2CD2"/>
    <w:rsid w:val="008F3994"/>
    <w:rsid w:val="008F450E"/>
    <w:rsid w:val="008F488F"/>
    <w:rsid w:val="008F4FBB"/>
    <w:rsid w:val="008F5B31"/>
    <w:rsid w:val="008F6314"/>
    <w:rsid w:val="008F6458"/>
    <w:rsid w:val="008F6907"/>
    <w:rsid w:val="008F7355"/>
    <w:rsid w:val="0090112A"/>
    <w:rsid w:val="00901145"/>
    <w:rsid w:val="00901DB5"/>
    <w:rsid w:val="00901F70"/>
    <w:rsid w:val="009020CC"/>
    <w:rsid w:val="009022D1"/>
    <w:rsid w:val="0090239A"/>
    <w:rsid w:val="009026CB"/>
    <w:rsid w:val="00902B00"/>
    <w:rsid w:val="009037B7"/>
    <w:rsid w:val="00903DE1"/>
    <w:rsid w:val="00904114"/>
    <w:rsid w:val="009058B1"/>
    <w:rsid w:val="00905D95"/>
    <w:rsid w:val="009060A3"/>
    <w:rsid w:val="009060ED"/>
    <w:rsid w:val="009061DF"/>
    <w:rsid w:val="00906AAF"/>
    <w:rsid w:val="00906C48"/>
    <w:rsid w:val="00906DFF"/>
    <w:rsid w:val="009074F3"/>
    <w:rsid w:val="00907CA4"/>
    <w:rsid w:val="00907E12"/>
    <w:rsid w:val="00910064"/>
    <w:rsid w:val="00910456"/>
    <w:rsid w:val="00910946"/>
    <w:rsid w:val="00910A46"/>
    <w:rsid w:val="00910C9D"/>
    <w:rsid w:val="009111BD"/>
    <w:rsid w:val="00911B5D"/>
    <w:rsid w:val="00911CB6"/>
    <w:rsid w:val="00912676"/>
    <w:rsid w:val="00912B29"/>
    <w:rsid w:val="00912C03"/>
    <w:rsid w:val="00912D3E"/>
    <w:rsid w:val="00913126"/>
    <w:rsid w:val="00913AFA"/>
    <w:rsid w:val="00913ED0"/>
    <w:rsid w:val="0091401F"/>
    <w:rsid w:val="0091500A"/>
    <w:rsid w:val="00915260"/>
    <w:rsid w:val="00915895"/>
    <w:rsid w:val="00915C63"/>
    <w:rsid w:val="00915FFD"/>
    <w:rsid w:val="0091602F"/>
    <w:rsid w:val="00916428"/>
    <w:rsid w:val="00916815"/>
    <w:rsid w:val="00916CF4"/>
    <w:rsid w:val="00917286"/>
    <w:rsid w:val="00917CCD"/>
    <w:rsid w:val="00920BCF"/>
    <w:rsid w:val="0092156A"/>
    <w:rsid w:val="0092230F"/>
    <w:rsid w:val="00922A11"/>
    <w:rsid w:val="00923CD8"/>
    <w:rsid w:val="009242F4"/>
    <w:rsid w:val="009247A1"/>
    <w:rsid w:val="0092547A"/>
    <w:rsid w:val="00925868"/>
    <w:rsid w:val="00925A0B"/>
    <w:rsid w:val="009267AD"/>
    <w:rsid w:val="009269AE"/>
    <w:rsid w:val="00926CCF"/>
    <w:rsid w:val="00927650"/>
    <w:rsid w:val="009278BC"/>
    <w:rsid w:val="00927C0C"/>
    <w:rsid w:val="00927EBE"/>
    <w:rsid w:val="00927EEB"/>
    <w:rsid w:val="00930303"/>
    <w:rsid w:val="00931402"/>
    <w:rsid w:val="00931A57"/>
    <w:rsid w:val="00932FB1"/>
    <w:rsid w:val="00934BE3"/>
    <w:rsid w:val="00934FFC"/>
    <w:rsid w:val="0093523E"/>
    <w:rsid w:val="00935D6C"/>
    <w:rsid w:val="00935EC8"/>
    <w:rsid w:val="00936366"/>
    <w:rsid w:val="009371C8"/>
    <w:rsid w:val="0093779A"/>
    <w:rsid w:val="009378F3"/>
    <w:rsid w:val="0094116E"/>
    <w:rsid w:val="00941518"/>
    <w:rsid w:val="00941EEC"/>
    <w:rsid w:val="00942CB6"/>
    <w:rsid w:val="00942CE9"/>
    <w:rsid w:val="009438C0"/>
    <w:rsid w:val="00943B3F"/>
    <w:rsid w:val="00944476"/>
    <w:rsid w:val="00944EC2"/>
    <w:rsid w:val="00944F21"/>
    <w:rsid w:val="0094534A"/>
    <w:rsid w:val="009455B3"/>
    <w:rsid w:val="00945769"/>
    <w:rsid w:val="00945A35"/>
    <w:rsid w:val="00945D05"/>
    <w:rsid w:val="00946626"/>
    <w:rsid w:val="00946873"/>
    <w:rsid w:val="00946D78"/>
    <w:rsid w:val="00946E82"/>
    <w:rsid w:val="009474E0"/>
    <w:rsid w:val="00947536"/>
    <w:rsid w:val="00950345"/>
    <w:rsid w:val="009509D7"/>
    <w:rsid w:val="00950B5E"/>
    <w:rsid w:val="00950F8F"/>
    <w:rsid w:val="00951888"/>
    <w:rsid w:val="00951989"/>
    <w:rsid w:val="00951BDD"/>
    <w:rsid w:val="00951E52"/>
    <w:rsid w:val="00952978"/>
    <w:rsid w:val="00952C66"/>
    <w:rsid w:val="009531B0"/>
    <w:rsid w:val="009532FE"/>
    <w:rsid w:val="00953A13"/>
    <w:rsid w:val="0095455D"/>
    <w:rsid w:val="00954E38"/>
    <w:rsid w:val="00954FF2"/>
    <w:rsid w:val="00955453"/>
    <w:rsid w:val="00955764"/>
    <w:rsid w:val="00956127"/>
    <w:rsid w:val="00956D9E"/>
    <w:rsid w:val="00960058"/>
    <w:rsid w:val="009602DE"/>
    <w:rsid w:val="00960583"/>
    <w:rsid w:val="00960D4F"/>
    <w:rsid w:val="00961134"/>
    <w:rsid w:val="009615D2"/>
    <w:rsid w:val="00962294"/>
    <w:rsid w:val="00962374"/>
    <w:rsid w:val="0096281B"/>
    <w:rsid w:val="00962A7D"/>
    <w:rsid w:val="00962CD5"/>
    <w:rsid w:val="00962EE8"/>
    <w:rsid w:val="00963D22"/>
    <w:rsid w:val="00963E76"/>
    <w:rsid w:val="00964862"/>
    <w:rsid w:val="00964A61"/>
    <w:rsid w:val="00965452"/>
    <w:rsid w:val="009655F5"/>
    <w:rsid w:val="00965BCF"/>
    <w:rsid w:val="0096664E"/>
    <w:rsid w:val="00966717"/>
    <w:rsid w:val="00966FE4"/>
    <w:rsid w:val="009675CD"/>
    <w:rsid w:val="00967E29"/>
    <w:rsid w:val="00970D0F"/>
    <w:rsid w:val="00971321"/>
    <w:rsid w:val="009722C7"/>
    <w:rsid w:val="009727D9"/>
    <w:rsid w:val="00973A61"/>
    <w:rsid w:val="00973D26"/>
    <w:rsid w:val="009740AF"/>
    <w:rsid w:val="009751F6"/>
    <w:rsid w:val="009752A4"/>
    <w:rsid w:val="009757CF"/>
    <w:rsid w:val="009759EA"/>
    <w:rsid w:val="00975B63"/>
    <w:rsid w:val="00975E0E"/>
    <w:rsid w:val="009760D4"/>
    <w:rsid w:val="00976D0D"/>
    <w:rsid w:val="00976EE9"/>
    <w:rsid w:val="00976F36"/>
    <w:rsid w:val="00977F05"/>
    <w:rsid w:val="00980593"/>
    <w:rsid w:val="00981352"/>
    <w:rsid w:val="0098157A"/>
    <w:rsid w:val="00982EF4"/>
    <w:rsid w:val="00983598"/>
    <w:rsid w:val="00983BA3"/>
    <w:rsid w:val="00983E9B"/>
    <w:rsid w:val="00984376"/>
    <w:rsid w:val="00985278"/>
    <w:rsid w:val="009852CC"/>
    <w:rsid w:val="009855A3"/>
    <w:rsid w:val="00985D5C"/>
    <w:rsid w:val="0098635E"/>
    <w:rsid w:val="00986E48"/>
    <w:rsid w:val="00986F1F"/>
    <w:rsid w:val="0099150D"/>
    <w:rsid w:val="00992B6B"/>
    <w:rsid w:val="0099353A"/>
    <w:rsid w:val="00993B50"/>
    <w:rsid w:val="00993B7A"/>
    <w:rsid w:val="00993FB7"/>
    <w:rsid w:val="009943B2"/>
    <w:rsid w:val="00995541"/>
    <w:rsid w:val="009956FE"/>
    <w:rsid w:val="009965A0"/>
    <w:rsid w:val="00996C45"/>
    <w:rsid w:val="00996E29"/>
    <w:rsid w:val="00997064"/>
    <w:rsid w:val="009971A1"/>
    <w:rsid w:val="009975F3"/>
    <w:rsid w:val="00997A9E"/>
    <w:rsid w:val="00997D60"/>
    <w:rsid w:val="00997D61"/>
    <w:rsid w:val="009A04AD"/>
    <w:rsid w:val="009A04E3"/>
    <w:rsid w:val="009A0BCC"/>
    <w:rsid w:val="009A14D2"/>
    <w:rsid w:val="009A17EE"/>
    <w:rsid w:val="009A1D0A"/>
    <w:rsid w:val="009A2F27"/>
    <w:rsid w:val="009A34F6"/>
    <w:rsid w:val="009A46D5"/>
    <w:rsid w:val="009A5A86"/>
    <w:rsid w:val="009A5EFB"/>
    <w:rsid w:val="009A5F20"/>
    <w:rsid w:val="009A6454"/>
    <w:rsid w:val="009A6CBC"/>
    <w:rsid w:val="009A6D9C"/>
    <w:rsid w:val="009A7E9C"/>
    <w:rsid w:val="009B0E33"/>
    <w:rsid w:val="009B1452"/>
    <w:rsid w:val="009B192F"/>
    <w:rsid w:val="009B202B"/>
    <w:rsid w:val="009B2491"/>
    <w:rsid w:val="009B2B7B"/>
    <w:rsid w:val="009B4378"/>
    <w:rsid w:val="009B45AC"/>
    <w:rsid w:val="009B4BCE"/>
    <w:rsid w:val="009B4D90"/>
    <w:rsid w:val="009B4E9F"/>
    <w:rsid w:val="009B5FF8"/>
    <w:rsid w:val="009B6168"/>
    <w:rsid w:val="009B6A89"/>
    <w:rsid w:val="009C018E"/>
    <w:rsid w:val="009C0F41"/>
    <w:rsid w:val="009C2ADB"/>
    <w:rsid w:val="009C392B"/>
    <w:rsid w:val="009C3D6F"/>
    <w:rsid w:val="009C412F"/>
    <w:rsid w:val="009C4260"/>
    <w:rsid w:val="009C4498"/>
    <w:rsid w:val="009C4515"/>
    <w:rsid w:val="009C4740"/>
    <w:rsid w:val="009C4BD5"/>
    <w:rsid w:val="009C50B8"/>
    <w:rsid w:val="009C525D"/>
    <w:rsid w:val="009C54D9"/>
    <w:rsid w:val="009C555C"/>
    <w:rsid w:val="009C60F6"/>
    <w:rsid w:val="009C6600"/>
    <w:rsid w:val="009C715A"/>
    <w:rsid w:val="009C7385"/>
    <w:rsid w:val="009C7469"/>
    <w:rsid w:val="009C7ACF"/>
    <w:rsid w:val="009C7E06"/>
    <w:rsid w:val="009D00B9"/>
    <w:rsid w:val="009D06E4"/>
    <w:rsid w:val="009D12D6"/>
    <w:rsid w:val="009D1731"/>
    <w:rsid w:val="009D1C88"/>
    <w:rsid w:val="009D1DC6"/>
    <w:rsid w:val="009D25E8"/>
    <w:rsid w:val="009D277B"/>
    <w:rsid w:val="009D2DBC"/>
    <w:rsid w:val="009D2FAE"/>
    <w:rsid w:val="009D3301"/>
    <w:rsid w:val="009D35CE"/>
    <w:rsid w:val="009D3710"/>
    <w:rsid w:val="009D3D8D"/>
    <w:rsid w:val="009D4B36"/>
    <w:rsid w:val="009D5283"/>
    <w:rsid w:val="009D5578"/>
    <w:rsid w:val="009D579A"/>
    <w:rsid w:val="009D6484"/>
    <w:rsid w:val="009D75E4"/>
    <w:rsid w:val="009D7BC2"/>
    <w:rsid w:val="009D7D23"/>
    <w:rsid w:val="009D7E7C"/>
    <w:rsid w:val="009E0387"/>
    <w:rsid w:val="009E0796"/>
    <w:rsid w:val="009E14CA"/>
    <w:rsid w:val="009E1E27"/>
    <w:rsid w:val="009E29D8"/>
    <w:rsid w:val="009E384C"/>
    <w:rsid w:val="009E465A"/>
    <w:rsid w:val="009E493D"/>
    <w:rsid w:val="009E4A0E"/>
    <w:rsid w:val="009E6245"/>
    <w:rsid w:val="009E63C1"/>
    <w:rsid w:val="009E6628"/>
    <w:rsid w:val="009E68F6"/>
    <w:rsid w:val="009E6AD8"/>
    <w:rsid w:val="009E6F02"/>
    <w:rsid w:val="009E7455"/>
    <w:rsid w:val="009E7EFB"/>
    <w:rsid w:val="009F0889"/>
    <w:rsid w:val="009F16A3"/>
    <w:rsid w:val="009F19F4"/>
    <w:rsid w:val="009F1B17"/>
    <w:rsid w:val="009F2112"/>
    <w:rsid w:val="009F2877"/>
    <w:rsid w:val="009F2C87"/>
    <w:rsid w:val="009F350A"/>
    <w:rsid w:val="009F35B4"/>
    <w:rsid w:val="009F3AC4"/>
    <w:rsid w:val="009F4A4E"/>
    <w:rsid w:val="009F53B7"/>
    <w:rsid w:val="009F55E2"/>
    <w:rsid w:val="009F5A79"/>
    <w:rsid w:val="009F5E00"/>
    <w:rsid w:val="009F6A0F"/>
    <w:rsid w:val="009F6DCE"/>
    <w:rsid w:val="009F70F4"/>
    <w:rsid w:val="009F757E"/>
    <w:rsid w:val="009F78DC"/>
    <w:rsid w:val="00A0020E"/>
    <w:rsid w:val="00A008E6"/>
    <w:rsid w:val="00A00C21"/>
    <w:rsid w:val="00A00D83"/>
    <w:rsid w:val="00A03686"/>
    <w:rsid w:val="00A03845"/>
    <w:rsid w:val="00A03BFD"/>
    <w:rsid w:val="00A0439D"/>
    <w:rsid w:val="00A0466A"/>
    <w:rsid w:val="00A0468E"/>
    <w:rsid w:val="00A04995"/>
    <w:rsid w:val="00A04D76"/>
    <w:rsid w:val="00A04E01"/>
    <w:rsid w:val="00A06C9F"/>
    <w:rsid w:val="00A07098"/>
    <w:rsid w:val="00A07394"/>
    <w:rsid w:val="00A079C0"/>
    <w:rsid w:val="00A07C1E"/>
    <w:rsid w:val="00A10372"/>
    <w:rsid w:val="00A10A8D"/>
    <w:rsid w:val="00A10F15"/>
    <w:rsid w:val="00A10F60"/>
    <w:rsid w:val="00A1134F"/>
    <w:rsid w:val="00A11988"/>
    <w:rsid w:val="00A11CE1"/>
    <w:rsid w:val="00A11D75"/>
    <w:rsid w:val="00A11E09"/>
    <w:rsid w:val="00A123CA"/>
    <w:rsid w:val="00A12C83"/>
    <w:rsid w:val="00A13F9F"/>
    <w:rsid w:val="00A14CB7"/>
    <w:rsid w:val="00A14CF7"/>
    <w:rsid w:val="00A15167"/>
    <w:rsid w:val="00A152BB"/>
    <w:rsid w:val="00A1564E"/>
    <w:rsid w:val="00A15659"/>
    <w:rsid w:val="00A1661B"/>
    <w:rsid w:val="00A16BE1"/>
    <w:rsid w:val="00A16D96"/>
    <w:rsid w:val="00A20208"/>
    <w:rsid w:val="00A20458"/>
    <w:rsid w:val="00A20C53"/>
    <w:rsid w:val="00A20D9D"/>
    <w:rsid w:val="00A213AE"/>
    <w:rsid w:val="00A21A23"/>
    <w:rsid w:val="00A223B6"/>
    <w:rsid w:val="00A24EB6"/>
    <w:rsid w:val="00A24ED9"/>
    <w:rsid w:val="00A25167"/>
    <w:rsid w:val="00A25178"/>
    <w:rsid w:val="00A25F2B"/>
    <w:rsid w:val="00A25F78"/>
    <w:rsid w:val="00A26A49"/>
    <w:rsid w:val="00A27967"/>
    <w:rsid w:val="00A311D7"/>
    <w:rsid w:val="00A3129F"/>
    <w:rsid w:val="00A31702"/>
    <w:rsid w:val="00A33DDE"/>
    <w:rsid w:val="00A3512C"/>
    <w:rsid w:val="00A365C1"/>
    <w:rsid w:val="00A36683"/>
    <w:rsid w:val="00A37784"/>
    <w:rsid w:val="00A378A8"/>
    <w:rsid w:val="00A37AD4"/>
    <w:rsid w:val="00A40130"/>
    <w:rsid w:val="00A40135"/>
    <w:rsid w:val="00A40493"/>
    <w:rsid w:val="00A4070A"/>
    <w:rsid w:val="00A41DD4"/>
    <w:rsid w:val="00A430FA"/>
    <w:rsid w:val="00A43437"/>
    <w:rsid w:val="00A438F4"/>
    <w:rsid w:val="00A43F22"/>
    <w:rsid w:val="00A441D0"/>
    <w:rsid w:val="00A45279"/>
    <w:rsid w:val="00A4545D"/>
    <w:rsid w:val="00A456D6"/>
    <w:rsid w:val="00A46222"/>
    <w:rsid w:val="00A47111"/>
    <w:rsid w:val="00A47874"/>
    <w:rsid w:val="00A47963"/>
    <w:rsid w:val="00A50789"/>
    <w:rsid w:val="00A508F8"/>
    <w:rsid w:val="00A50DAE"/>
    <w:rsid w:val="00A51574"/>
    <w:rsid w:val="00A52A79"/>
    <w:rsid w:val="00A52DAD"/>
    <w:rsid w:val="00A52F48"/>
    <w:rsid w:val="00A52F64"/>
    <w:rsid w:val="00A52F8C"/>
    <w:rsid w:val="00A52F93"/>
    <w:rsid w:val="00A5309F"/>
    <w:rsid w:val="00A5327B"/>
    <w:rsid w:val="00A54B57"/>
    <w:rsid w:val="00A55162"/>
    <w:rsid w:val="00A55E32"/>
    <w:rsid w:val="00A55EDF"/>
    <w:rsid w:val="00A55F6E"/>
    <w:rsid w:val="00A56CB1"/>
    <w:rsid w:val="00A57150"/>
    <w:rsid w:val="00A576CB"/>
    <w:rsid w:val="00A602AC"/>
    <w:rsid w:val="00A60387"/>
    <w:rsid w:val="00A606A0"/>
    <w:rsid w:val="00A628BD"/>
    <w:rsid w:val="00A62EF3"/>
    <w:rsid w:val="00A6315A"/>
    <w:rsid w:val="00A632B5"/>
    <w:rsid w:val="00A634EC"/>
    <w:rsid w:val="00A63A7D"/>
    <w:rsid w:val="00A63C2D"/>
    <w:rsid w:val="00A63CD1"/>
    <w:rsid w:val="00A646DE"/>
    <w:rsid w:val="00A6492B"/>
    <w:rsid w:val="00A64CAA"/>
    <w:rsid w:val="00A64F6F"/>
    <w:rsid w:val="00A65F00"/>
    <w:rsid w:val="00A661C7"/>
    <w:rsid w:val="00A6634C"/>
    <w:rsid w:val="00A669AF"/>
    <w:rsid w:val="00A66B58"/>
    <w:rsid w:val="00A66E7B"/>
    <w:rsid w:val="00A671C2"/>
    <w:rsid w:val="00A674C6"/>
    <w:rsid w:val="00A6781F"/>
    <w:rsid w:val="00A679F1"/>
    <w:rsid w:val="00A70150"/>
    <w:rsid w:val="00A70F3E"/>
    <w:rsid w:val="00A70F8B"/>
    <w:rsid w:val="00A71AD3"/>
    <w:rsid w:val="00A71D9E"/>
    <w:rsid w:val="00A72424"/>
    <w:rsid w:val="00A7245B"/>
    <w:rsid w:val="00A725BD"/>
    <w:rsid w:val="00A72A2D"/>
    <w:rsid w:val="00A72E77"/>
    <w:rsid w:val="00A748FF"/>
    <w:rsid w:val="00A74C63"/>
    <w:rsid w:val="00A750F9"/>
    <w:rsid w:val="00A7591C"/>
    <w:rsid w:val="00A76406"/>
    <w:rsid w:val="00A765E6"/>
    <w:rsid w:val="00A76771"/>
    <w:rsid w:val="00A76E10"/>
    <w:rsid w:val="00A77503"/>
    <w:rsid w:val="00A77EB3"/>
    <w:rsid w:val="00A77F7A"/>
    <w:rsid w:val="00A77F97"/>
    <w:rsid w:val="00A8016B"/>
    <w:rsid w:val="00A8046C"/>
    <w:rsid w:val="00A818F9"/>
    <w:rsid w:val="00A8208A"/>
    <w:rsid w:val="00A82684"/>
    <w:rsid w:val="00A8343E"/>
    <w:rsid w:val="00A8391E"/>
    <w:rsid w:val="00A84364"/>
    <w:rsid w:val="00A84528"/>
    <w:rsid w:val="00A8565A"/>
    <w:rsid w:val="00A85F60"/>
    <w:rsid w:val="00A85F6B"/>
    <w:rsid w:val="00A85FFE"/>
    <w:rsid w:val="00A86664"/>
    <w:rsid w:val="00A86AAF"/>
    <w:rsid w:val="00A86BC4"/>
    <w:rsid w:val="00A8782F"/>
    <w:rsid w:val="00A906E6"/>
    <w:rsid w:val="00A9070A"/>
    <w:rsid w:val="00A90F4C"/>
    <w:rsid w:val="00A9131D"/>
    <w:rsid w:val="00A918A7"/>
    <w:rsid w:val="00A91AFC"/>
    <w:rsid w:val="00A93438"/>
    <w:rsid w:val="00A9397C"/>
    <w:rsid w:val="00A93FF7"/>
    <w:rsid w:val="00A943EF"/>
    <w:rsid w:val="00A9452E"/>
    <w:rsid w:val="00A946AF"/>
    <w:rsid w:val="00A94710"/>
    <w:rsid w:val="00A9501B"/>
    <w:rsid w:val="00A9584C"/>
    <w:rsid w:val="00A96082"/>
    <w:rsid w:val="00A96180"/>
    <w:rsid w:val="00A96A9A"/>
    <w:rsid w:val="00A96E68"/>
    <w:rsid w:val="00A97346"/>
    <w:rsid w:val="00A976F6"/>
    <w:rsid w:val="00A97C52"/>
    <w:rsid w:val="00A97D6A"/>
    <w:rsid w:val="00AA0B0F"/>
    <w:rsid w:val="00AA0CE1"/>
    <w:rsid w:val="00AA12EC"/>
    <w:rsid w:val="00AA1865"/>
    <w:rsid w:val="00AA1D80"/>
    <w:rsid w:val="00AA21B2"/>
    <w:rsid w:val="00AA2DF3"/>
    <w:rsid w:val="00AA4E97"/>
    <w:rsid w:val="00AA705F"/>
    <w:rsid w:val="00AB017B"/>
    <w:rsid w:val="00AB05DC"/>
    <w:rsid w:val="00AB0931"/>
    <w:rsid w:val="00AB177D"/>
    <w:rsid w:val="00AB22B3"/>
    <w:rsid w:val="00AB2CE3"/>
    <w:rsid w:val="00AB2FA5"/>
    <w:rsid w:val="00AB32E9"/>
    <w:rsid w:val="00AB33AF"/>
    <w:rsid w:val="00AB340B"/>
    <w:rsid w:val="00AB49CC"/>
    <w:rsid w:val="00AB4DD1"/>
    <w:rsid w:val="00AB524A"/>
    <w:rsid w:val="00AB56EE"/>
    <w:rsid w:val="00AB5AE9"/>
    <w:rsid w:val="00AB5B65"/>
    <w:rsid w:val="00AB5C5C"/>
    <w:rsid w:val="00AB671E"/>
    <w:rsid w:val="00AB68CD"/>
    <w:rsid w:val="00AB7167"/>
    <w:rsid w:val="00AB7917"/>
    <w:rsid w:val="00AC01F3"/>
    <w:rsid w:val="00AC0CB4"/>
    <w:rsid w:val="00AC0F5F"/>
    <w:rsid w:val="00AC1679"/>
    <w:rsid w:val="00AC16F3"/>
    <w:rsid w:val="00AC1A7C"/>
    <w:rsid w:val="00AC276D"/>
    <w:rsid w:val="00AC2CDC"/>
    <w:rsid w:val="00AC2F3F"/>
    <w:rsid w:val="00AC438C"/>
    <w:rsid w:val="00AC4866"/>
    <w:rsid w:val="00AC4B4F"/>
    <w:rsid w:val="00AC598C"/>
    <w:rsid w:val="00AC614A"/>
    <w:rsid w:val="00AC635D"/>
    <w:rsid w:val="00AC6BF2"/>
    <w:rsid w:val="00AC714C"/>
    <w:rsid w:val="00AC77BF"/>
    <w:rsid w:val="00AC7DC1"/>
    <w:rsid w:val="00AC7FB6"/>
    <w:rsid w:val="00AD0D74"/>
    <w:rsid w:val="00AD1A54"/>
    <w:rsid w:val="00AD1D37"/>
    <w:rsid w:val="00AD1DE9"/>
    <w:rsid w:val="00AD1E23"/>
    <w:rsid w:val="00AD3252"/>
    <w:rsid w:val="00AD32B6"/>
    <w:rsid w:val="00AD3503"/>
    <w:rsid w:val="00AD3B90"/>
    <w:rsid w:val="00AD42B8"/>
    <w:rsid w:val="00AD433F"/>
    <w:rsid w:val="00AD439F"/>
    <w:rsid w:val="00AD442F"/>
    <w:rsid w:val="00AD4773"/>
    <w:rsid w:val="00AD50C2"/>
    <w:rsid w:val="00AD534C"/>
    <w:rsid w:val="00AD5E16"/>
    <w:rsid w:val="00AD64F0"/>
    <w:rsid w:val="00AD6D85"/>
    <w:rsid w:val="00AD716A"/>
    <w:rsid w:val="00AD7619"/>
    <w:rsid w:val="00AD7805"/>
    <w:rsid w:val="00AE0A6B"/>
    <w:rsid w:val="00AE0B31"/>
    <w:rsid w:val="00AE0D3B"/>
    <w:rsid w:val="00AE15A6"/>
    <w:rsid w:val="00AE1B24"/>
    <w:rsid w:val="00AE1C75"/>
    <w:rsid w:val="00AE2103"/>
    <w:rsid w:val="00AE27B2"/>
    <w:rsid w:val="00AE3165"/>
    <w:rsid w:val="00AE32AB"/>
    <w:rsid w:val="00AE33B6"/>
    <w:rsid w:val="00AE3612"/>
    <w:rsid w:val="00AE40E9"/>
    <w:rsid w:val="00AE54B8"/>
    <w:rsid w:val="00AE566B"/>
    <w:rsid w:val="00AE60A6"/>
    <w:rsid w:val="00AE64B3"/>
    <w:rsid w:val="00AE7ABA"/>
    <w:rsid w:val="00AE7C9E"/>
    <w:rsid w:val="00AF01C2"/>
    <w:rsid w:val="00AF0307"/>
    <w:rsid w:val="00AF07BA"/>
    <w:rsid w:val="00AF1201"/>
    <w:rsid w:val="00AF17A8"/>
    <w:rsid w:val="00AF1953"/>
    <w:rsid w:val="00AF212B"/>
    <w:rsid w:val="00AF2184"/>
    <w:rsid w:val="00AF224C"/>
    <w:rsid w:val="00AF22B3"/>
    <w:rsid w:val="00AF2466"/>
    <w:rsid w:val="00AF2956"/>
    <w:rsid w:val="00AF3094"/>
    <w:rsid w:val="00AF3843"/>
    <w:rsid w:val="00AF3B5C"/>
    <w:rsid w:val="00AF5409"/>
    <w:rsid w:val="00AF570A"/>
    <w:rsid w:val="00AF5C60"/>
    <w:rsid w:val="00AF5C75"/>
    <w:rsid w:val="00AF6602"/>
    <w:rsid w:val="00AF705A"/>
    <w:rsid w:val="00AF7AD3"/>
    <w:rsid w:val="00B00063"/>
    <w:rsid w:val="00B00719"/>
    <w:rsid w:val="00B00936"/>
    <w:rsid w:val="00B011C3"/>
    <w:rsid w:val="00B01314"/>
    <w:rsid w:val="00B01A86"/>
    <w:rsid w:val="00B01F51"/>
    <w:rsid w:val="00B0220E"/>
    <w:rsid w:val="00B02266"/>
    <w:rsid w:val="00B0244B"/>
    <w:rsid w:val="00B026F2"/>
    <w:rsid w:val="00B031AE"/>
    <w:rsid w:val="00B0370C"/>
    <w:rsid w:val="00B04097"/>
    <w:rsid w:val="00B043E0"/>
    <w:rsid w:val="00B0440A"/>
    <w:rsid w:val="00B04A95"/>
    <w:rsid w:val="00B04AC6"/>
    <w:rsid w:val="00B04AD8"/>
    <w:rsid w:val="00B04C26"/>
    <w:rsid w:val="00B04E31"/>
    <w:rsid w:val="00B04FBC"/>
    <w:rsid w:val="00B0568D"/>
    <w:rsid w:val="00B05934"/>
    <w:rsid w:val="00B05DEC"/>
    <w:rsid w:val="00B05F2A"/>
    <w:rsid w:val="00B063F6"/>
    <w:rsid w:val="00B06A25"/>
    <w:rsid w:val="00B06CA0"/>
    <w:rsid w:val="00B0780C"/>
    <w:rsid w:val="00B078D0"/>
    <w:rsid w:val="00B07BCF"/>
    <w:rsid w:val="00B10203"/>
    <w:rsid w:val="00B1048B"/>
    <w:rsid w:val="00B106AC"/>
    <w:rsid w:val="00B10B93"/>
    <w:rsid w:val="00B1125B"/>
    <w:rsid w:val="00B11608"/>
    <w:rsid w:val="00B11F46"/>
    <w:rsid w:val="00B1240F"/>
    <w:rsid w:val="00B1364A"/>
    <w:rsid w:val="00B137E9"/>
    <w:rsid w:val="00B13815"/>
    <w:rsid w:val="00B13820"/>
    <w:rsid w:val="00B13B4F"/>
    <w:rsid w:val="00B13CDD"/>
    <w:rsid w:val="00B144D8"/>
    <w:rsid w:val="00B145D3"/>
    <w:rsid w:val="00B14EE6"/>
    <w:rsid w:val="00B16B11"/>
    <w:rsid w:val="00B204E6"/>
    <w:rsid w:val="00B2147F"/>
    <w:rsid w:val="00B22056"/>
    <w:rsid w:val="00B221F9"/>
    <w:rsid w:val="00B2237E"/>
    <w:rsid w:val="00B2321F"/>
    <w:rsid w:val="00B23B1B"/>
    <w:rsid w:val="00B2477E"/>
    <w:rsid w:val="00B2494F"/>
    <w:rsid w:val="00B24B2D"/>
    <w:rsid w:val="00B24ED3"/>
    <w:rsid w:val="00B25989"/>
    <w:rsid w:val="00B2624F"/>
    <w:rsid w:val="00B267C5"/>
    <w:rsid w:val="00B30396"/>
    <w:rsid w:val="00B30D2F"/>
    <w:rsid w:val="00B3121F"/>
    <w:rsid w:val="00B31A58"/>
    <w:rsid w:val="00B337DD"/>
    <w:rsid w:val="00B33D4A"/>
    <w:rsid w:val="00B3416A"/>
    <w:rsid w:val="00B3437A"/>
    <w:rsid w:val="00B34A73"/>
    <w:rsid w:val="00B351C3"/>
    <w:rsid w:val="00B35981"/>
    <w:rsid w:val="00B359BF"/>
    <w:rsid w:val="00B359E5"/>
    <w:rsid w:val="00B360ED"/>
    <w:rsid w:val="00B372FF"/>
    <w:rsid w:val="00B3784E"/>
    <w:rsid w:val="00B37BBA"/>
    <w:rsid w:val="00B37F8B"/>
    <w:rsid w:val="00B4036B"/>
    <w:rsid w:val="00B4076E"/>
    <w:rsid w:val="00B40A43"/>
    <w:rsid w:val="00B40DDF"/>
    <w:rsid w:val="00B410BD"/>
    <w:rsid w:val="00B41EFF"/>
    <w:rsid w:val="00B41F16"/>
    <w:rsid w:val="00B42019"/>
    <w:rsid w:val="00B4309B"/>
    <w:rsid w:val="00B43112"/>
    <w:rsid w:val="00B438F5"/>
    <w:rsid w:val="00B4463A"/>
    <w:rsid w:val="00B4499B"/>
    <w:rsid w:val="00B45307"/>
    <w:rsid w:val="00B4535D"/>
    <w:rsid w:val="00B45C21"/>
    <w:rsid w:val="00B46E21"/>
    <w:rsid w:val="00B47194"/>
    <w:rsid w:val="00B4788E"/>
    <w:rsid w:val="00B47C9C"/>
    <w:rsid w:val="00B50744"/>
    <w:rsid w:val="00B50FCF"/>
    <w:rsid w:val="00B523ED"/>
    <w:rsid w:val="00B52951"/>
    <w:rsid w:val="00B534F9"/>
    <w:rsid w:val="00B53F5C"/>
    <w:rsid w:val="00B54619"/>
    <w:rsid w:val="00B5481D"/>
    <w:rsid w:val="00B54A69"/>
    <w:rsid w:val="00B54F2A"/>
    <w:rsid w:val="00B55B16"/>
    <w:rsid w:val="00B56736"/>
    <w:rsid w:val="00B569E8"/>
    <w:rsid w:val="00B56A33"/>
    <w:rsid w:val="00B571C2"/>
    <w:rsid w:val="00B575A5"/>
    <w:rsid w:val="00B577CD"/>
    <w:rsid w:val="00B577D9"/>
    <w:rsid w:val="00B577E6"/>
    <w:rsid w:val="00B579A3"/>
    <w:rsid w:val="00B607A0"/>
    <w:rsid w:val="00B608AF"/>
    <w:rsid w:val="00B60902"/>
    <w:rsid w:val="00B60F96"/>
    <w:rsid w:val="00B61943"/>
    <w:rsid w:val="00B61A59"/>
    <w:rsid w:val="00B61BE6"/>
    <w:rsid w:val="00B61E41"/>
    <w:rsid w:val="00B61E4D"/>
    <w:rsid w:val="00B61E57"/>
    <w:rsid w:val="00B62036"/>
    <w:rsid w:val="00B635E3"/>
    <w:rsid w:val="00B63991"/>
    <w:rsid w:val="00B64C9D"/>
    <w:rsid w:val="00B65168"/>
    <w:rsid w:val="00B65312"/>
    <w:rsid w:val="00B656E2"/>
    <w:rsid w:val="00B6596F"/>
    <w:rsid w:val="00B65D9F"/>
    <w:rsid w:val="00B673F6"/>
    <w:rsid w:val="00B701B6"/>
    <w:rsid w:val="00B702CC"/>
    <w:rsid w:val="00B703DD"/>
    <w:rsid w:val="00B7073C"/>
    <w:rsid w:val="00B71C94"/>
    <w:rsid w:val="00B71D18"/>
    <w:rsid w:val="00B71D87"/>
    <w:rsid w:val="00B73293"/>
    <w:rsid w:val="00B73944"/>
    <w:rsid w:val="00B73B67"/>
    <w:rsid w:val="00B74DB4"/>
    <w:rsid w:val="00B750AE"/>
    <w:rsid w:val="00B7514A"/>
    <w:rsid w:val="00B75247"/>
    <w:rsid w:val="00B753A7"/>
    <w:rsid w:val="00B75B14"/>
    <w:rsid w:val="00B75EAB"/>
    <w:rsid w:val="00B802D7"/>
    <w:rsid w:val="00B80662"/>
    <w:rsid w:val="00B80D34"/>
    <w:rsid w:val="00B811EF"/>
    <w:rsid w:val="00B813B1"/>
    <w:rsid w:val="00B814E2"/>
    <w:rsid w:val="00B817A9"/>
    <w:rsid w:val="00B82104"/>
    <w:rsid w:val="00B82602"/>
    <w:rsid w:val="00B83199"/>
    <w:rsid w:val="00B836C8"/>
    <w:rsid w:val="00B8377C"/>
    <w:rsid w:val="00B83B0A"/>
    <w:rsid w:val="00B84246"/>
    <w:rsid w:val="00B8428F"/>
    <w:rsid w:val="00B84CE4"/>
    <w:rsid w:val="00B84DC4"/>
    <w:rsid w:val="00B84F2C"/>
    <w:rsid w:val="00B854D3"/>
    <w:rsid w:val="00B85964"/>
    <w:rsid w:val="00B85F32"/>
    <w:rsid w:val="00B85F5D"/>
    <w:rsid w:val="00B863A3"/>
    <w:rsid w:val="00B863C7"/>
    <w:rsid w:val="00B86899"/>
    <w:rsid w:val="00B879F1"/>
    <w:rsid w:val="00B87ED4"/>
    <w:rsid w:val="00B90423"/>
    <w:rsid w:val="00B907DD"/>
    <w:rsid w:val="00B9232B"/>
    <w:rsid w:val="00B9270D"/>
    <w:rsid w:val="00B9286F"/>
    <w:rsid w:val="00B92955"/>
    <w:rsid w:val="00B92FF3"/>
    <w:rsid w:val="00B93767"/>
    <w:rsid w:val="00B93E88"/>
    <w:rsid w:val="00B94224"/>
    <w:rsid w:val="00B96070"/>
    <w:rsid w:val="00B96218"/>
    <w:rsid w:val="00B96C8B"/>
    <w:rsid w:val="00B9741E"/>
    <w:rsid w:val="00B97C42"/>
    <w:rsid w:val="00BA0008"/>
    <w:rsid w:val="00BA0436"/>
    <w:rsid w:val="00BA0C42"/>
    <w:rsid w:val="00BA0FEE"/>
    <w:rsid w:val="00BA10FC"/>
    <w:rsid w:val="00BA12FF"/>
    <w:rsid w:val="00BA13EC"/>
    <w:rsid w:val="00BA15F5"/>
    <w:rsid w:val="00BA1609"/>
    <w:rsid w:val="00BA1B29"/>
    <w:rsid w:val="00BA1FC3"/>
    <w:rsid w:val="00BA2586"/>
    <w:rsid w:val="00BA35DB"/>
    <w:rsid w:val="00BA4856"/>
    <w:rsid w:val="00BA4A21"/>
    <w:rsid w:val="00BA5519"/>
    <w:rsid w:val="00BA57E4"/>
    <w:rsid w:val="00BA5901"/>
    <w:rsid w:val="00BA59AC"/>
    <w:rsid w:val="00BA59FA"/>
    <w:rsid w:val="00BA5AD3"/>
    <w:rsid w:val="00BA60EB"/>
    <w:rsid w:val="00BA6474"/>
    <w:rsid w:val="00BA6C20"/>
    <w:rsid w:val="00BA6C56"/>
    <w:rsid w:val="00BA70A7"/>
    <w:rsid w:val="00BA7FC0"/>
    <w:rsid w:val="00BB123C"/>
    <w:rsid w:val="00BB1526"/>
    <w:rsid w:val="00BB1A7D"/>
    <w:rsid w:val="00BB265E"/>
    <w:rsid w:val="00BB28C8"/>
    <w:rsid w:val="00BB3566"/>
    <w:rsid w:val="00BB4B8C"/>
    <w:rsid w:val="00BB5168"/>
    <w:rsid w:val="00BB6397"/>
    <w:rsid w:val="00BB65C0"/>
    <w:rsid w:val="00BB68BA"/>
    <w:rsid w:val="00BB6BE7"/>
    <w:rsid w:val="00BB791C"/>
    <w:rsid w:val="00BC01B7"/>
    <w:rsid w:val="00BC0BA1"/>
    <w:rsid w:val="00BC15D9"/>
    <w:rsid w:val="00BC16AA"/>
    <w:rsid w:val="00BC1958"/>
    <w:rsid w:val="00BC1AC0"/>
    <w:rsid w:val="00BC23D7"/>
    <w:rsid w:val="00BC2F51"/>
    <w:rsid w:val="00BC31B6"/>
    <w:rsid w:val="00BC3910"/>
    <w:rsid w:val="00BC4BD2"/>
    <w:rsid w:val="00BC4FB2"/>
    <w:rsid w:val="00BC5656"/>
    <w:rsid w:val="00BC5D72"/>
    <w:rsid w:val="00BC6536"/>
    <w:rsid w:val="00BC6691"/>
    <w:rsid w:val="00BC6A1E"/>
    <w:rsid w:val="00BC6B2E"/>
    <w:rsid w:val="00BC6D41"/>
    <w:rsid w:val="00BC7405"/>
    <w:rsid w:val="00BC7B03"/>
    <w:rsid w:val="00BC7BD2"/>
    <w:rsid w:val="00BC7EC8"/>
    <w:rsid w:val="00BD171D"/>
    <w:rsid w:val="00BD1A64"/>
    <w:rsid w:val="00BD1EBF"/>
    <w:rsid w:val="00BD2B69"/>
    <w:rsid w:val="00BD2E54"/>
    <w:rsid w:val="00BD45E2"/>
    <w:rsid w:val="00BD57F5"/>
    <w:rsid w:val="00BD5A15"/>
    <w:rsid w:val="00BD6821"/>
    <w:rsid w:val="00BD6913"/>
    <w:rsid w:val="00BD6C2D"/>
    <w:rsid w:val="00BD6DC5"/>
    <w:rsid w:val="00BD725C"/>
    <w:rsid w:val="00BE01D3"/>
    <w:rsid w:val="00BE0264"/>
    <w:rsid w:val="00BE1142"/>
    <w:rsid w:val="00BE1432"/>
    <w:rsid w:val="00BE1D44"/>
    <w:rsid w:val="00BE1D82"/>
    <w:rsid w:val="00BE25FC"/>
    <w:rsid w:val="00BE2DD6"/>
    <w:rsid w:val="00BE3E07"/>
    <w:rsid w:val="00BE3F5F"/>
    <w:rsid w:val="00BE48A4"/>
    <w:rsid w:val="00BE5684"/>
    <w:rsid w:val="00BE56F0"/>
    <w:rsid w:val="00BE6043"/>
    <w:rsid w:val="00BE6BE1"/>
    <w:rsid w:val="00BE7196"/>
    <w:rsid w:val="00BE759B"/>
    <w:rsid w:val="00BE76AE"/>
    <w:rsid w:val="00BE78F5"/>
    <w:rsid w:val="00BF08AC"/>
    <w:rsid w:val="00BF104B"/>
    <w:rsid w:val="00BF1A52"/>
    <w:rsid w:val="00BF246C"/>
    <w:rsid w:val="00BF25B1"/>
    <w:rsid w:val="00BF2943"/>
    <w:rsid w:val="00BF2E0D"/>
    <w:rsid w:val="00BF36CC"/>
    <w:rsid w:val="00BF38AF"/>
    <w:rsid w:val="00BF4072"/>
    <w:rsid w:val="00BF48E6"/>
    <w:rsid w:val="00BF54C4"/>
    <w:rsid w:val="00BF6FBF"/>
    <w:rsid w:val="00BF73BB"/>
    <w:rsid w:val="00BF75AB"/>
    <w:rsid w:val="00BF7616"/>
    <w:rsid w:val="00C00221"/>
    <w:rsid w:val="00C006C5"/>
    <w:rsid w:val="00C00F68"/>
    <w:rsid w:val="00C01526"/>
    <w:rsid w:val="00C01709"/>
    <w:rsid w:val="00C02E42"/>
    <w:rsid w:val="00C03070"/>
    <w:rsid w:val="00C03A66"/>
    <w:rsid w:val="00C03B8E"/>
    <w:rsid w:val="00C03D69"/>
    <w:rsid w:val="00C03FD7"/>
    <w:rsid w:val="00C04C64"/>
    <w:rsid w:val="00C04D44"/>
    <w:rsid w:val="00C05FAE"/>
    <w:rsid w:val="00C06521"/>
    <w:rsid w:val="00C06A39"/>
    <w:rsid w:val="00C06AE5"/>
    <w:rsid w:val="00C06F71"/>
    <w:rsid w:val="00C07162"/>
    <w:rsid w:val="00C072D7"/>
    <w:rsid w:val="00C0764F"/>
    <w:rsid w:val="00C07F01"/>
    <w:rsid w:val="00C07F5F"/>
    <w:rsid w:val="00C10025"/>
    <w:rsid w:val="00C103D5"/>
    <w:rsid w:val="00C1137C"/>
    <w:rsid w:val="00C11E17"/>
    <w:rsid w:val="00C1230F"/>
    <w:rsid w:val="00C125AF"/>
    <w:rsid w:val="00C12AED"/>
    <w:rsid w:val="00C12D35"/>
    <w:rsid w:val="00C12FF6"/>
    <w:rsid w:val="00C13170"/>
    <w:rsid w:val="00C136D7"/>
    <w:rsid w:val="00C14277"/>
    <w:rsid w:val="00C142A6"/>
    <w:rsid w:val="00C14340"/>
    <w:rsid w:val="00C14398"/>
    <w:rsid w:val="00C143B5"/>
    <w:rsid w:val="00C144D1"/>
    <w:rsid w:val="00C149FA"/>
    <w:rsid w:val="00C14D60"/>
    <w:rsid w:val="00C152C3"/>
    <w:rsid w:val="00C16251"/>
    <w:rsid w:val="00C16996"/>
    <w:rsid w:val="00C16EB2"/>
    <w:rsid w:val="00C17213"/>
    <w:rsid w:val="00C17A47"/>
    <w:rsid w:val="00C2036E"/>
    <w:rsid w:val="00C20B3B"/>
    <w:rsid w:val="00C20BD8"/>
    <w:rsid w:val="00C20D74"/>
    <w:rsid w:val="00C20DEA"/>
    <w:rsid w:val="00C21AE3"/>
    <w:rsid w:val="00C21B67"/>
    <w:rsid w:val="00C21EA3"/>
    <w:rsid w:val="00C21F93"/>
    <w:rsid w:val="00C2289F"/>
    <w:rsid w:val="00C22D8A"/>
    <w:rsid w:val="00C23333"/>
    <w:rsid w:val="00C2395A"/>
    <w:rsid w:val="00C243DF"/>
    <w:rsid w:val="00C24ECA"/>
    <w:rsid w:val="00C24F80"/>
    <w:rsid w:val="00C24F89"/>
    <w:rsid w:val="00C25952"/>
    <w:rsid w:val="00C25E30"/>
    <w:rsid w:val="00C26683"/>
    <w:rsid w:val="00C27140"/>
    <w:rsid w:val="00C27EED"/>
    <w:rsid w:val="00C30AD1"/>
    <w:rsid w:val="00C31209"/>
    <w:rsid w:val="00C31293"/>
    <w:rsid w:val="00C31D5D"/>
    <w:rsid w:val="00C32739"/>
    <w:rsid w:val="00C3288C"/>
    <w:rsid w:val="00C332C3"/>
    <w:rsid w:val="00C3366A"/>
    <w:rsid w:val="00C33AED"/>
    <w:rsid w:val="00C33DC0"/>
    <w:rsid w:val="00C346A6"/>
    <w:rsid w:val="00C347F3"/>
    <w:rsid w:val="00C34E07"/>
    <w:rsid w:val="00C3552D"/>
    <w:rsid w:val="00C35A6E"/>
    <w:rsid w:val="00C35DCB"/>
    <w:rsid w:val="00C3652F"/>
    <w:rsid w:val="00C366FC"/>
    <w:rsid w:val="00C36F8F"/>
    <w:rsid w:val="00C41591"/>
    <w:rsid w:val="00C421A3"/>
    <w:rsid w:val="00C422E6"/>
    <w:rsid w:val="00C42D25"/>
    <w:rsid w:val="00C43AD1"/>
    <w:rsid w:val="00C43C38"/>
    <w:rsid w:val="00C43F6E"/>
    <w:rsid w:val="00C43FBF"/>
    <w:rsid w:val="00C44C18"/>
    <w:rsid w:val="00C44C7E"/>
    <w:rsid w:val="00C4574B"/>
    <w:rsid w:val="00C46664"/>
    <w:rsid w:val="00C46EAE"/>
    <w:rsid w:val="00C471D2"/>
    <w:rsid w:val="00C47620"/>
    <w:rsid w:val="00C479A0"/>
    <w:rsid w:val="00C47CB7"/>
    <w:rsid w:val="00C50406"/>
    <w:rsid w:val="00C5063B"/>
    <w:rsid w:val="00C50803"/>
    <w:rsid w:val="00C50AE0"/>
    <w:rsid w:val="00C50BCF"/>
    <w:rsid w:val="00C50F13"/>
    <w:rsid w:val="00C511DE"/>
    <w:rsid w:val="00C519C8"/>
    <w:rsid w:val="00C5231F"/>
    <w:rsid w:val="00C52A00"/>
    <w:rsid w:val="00C52E92"/>
    <w:rsid w:val="00C531D2"/>
    <w:rsid w:val="00C53423"/>
    <w:rsid w:val="00C54673"/>
    <w:rsid w:val="00C54E24"/>
    <w:rsid w:val="00C54E7F"/>
    <w:rsid w:val="00C557DF"/>
    <w:rsid w:val="00C55814"/>
    <w:rsid w:val="00C55C83"/>
    <w:rsid w:val="00C55ECF"/>
    <w:rsid w:val="00C5681D"/>
    <w:rsid w:val="00C608F8"/>
    <w:rsid w:val="00C612E8"/>
    <w:rsid w:val="00C61441"/>
    <w:rsid w:val="00C61D53"/>
    <w:rsid w:val="00C61DB5"/>
    <w:rsid w:val="00C621AD"/>
    <w:rsid w:val="00C62351"/>
    <w:rsid w:val="00C62FA4"/>
    <w:rsid w:val="00C635B8"/>
    <w:rsid w:val="00C64C69"/>
    <w:rsid w:val="00C650EB"/>
    <w:rsid w:val="00C65516"/>
    <w:rsid w:val="00C65AE5"/>
    <w:rsid w:val="00C65CB8"/>
    <w:rsid w:val="00C66335"/>
    <w:rsid w:val="00C66473"/>
    <w:rsid w:val="00C6721A"/>
    <w:rsid w:val="00C676D1"/>
    <w:rsid w:val="00C67A59"/>
    <w:rsid w:val="00C67BD8"/>
    <w:rsid w:val="00C706BC"/>
    <w:rsid w:val="00C70736"/>
    <w:rsid w:val="00C70947"/>
    <w:rsid w:val="00C70981"/>
    <w:rsid w:val="00C71F96"/>
    <w:rsid w:val="00C7361A"/>
    <w:rsid w:val="00C73859"/>
    <w:rsid w:val="00C73F40"/>
    <w:rsid w:val="00C74052"/>
    <w:rsid w:val="00C747E4"/>
    <w:rsid w:val="00C756A5"/>
    <w:rsid w:val="00C758FC"/>
    <w:rsid w:val="00C75A6D"/>
    <w:rsid w:val="00C76B32"/>
    <w:rsid w:val="00C800A3"/>
    <w:rsid w:val="00C806E4"/>
    <w:rsid w:val="00C8075A"/>
    <w:rsid w:val="00C80B68"/>
    <w:rsid w:val="00C80E79"/>
    <w:rsid w:val="00C81716"/>
    <w:rsid w:val="00C81811"/>
    <w:rsid w:val="00C82216"/>
    <w:rsid w:val="00C82526"/>
    <w:rsid w:val="00C82AA9"/>
    <w:rsid w:val="00C82E3A"/>
    <w:rsid w:val="00C83B42"/>
    <w:rsid w:val="00C8431A"/>
    <w:rsid w:val="00C854EA"/>
    <w:rsid w:val="00C86219"/>
    <w:rsid w:val="00C87251"/>
    <w:rsid w:val="00C90153"/>
    <w:rsid w:val="00C90707"/>
    <w:rsid w:val="00C90B26"/>
    <w:rsid w:val="00C90F30"/>
    <w:rsid w:val="00C91B32"/>
    <w:rsid w:val="00C923A5"/>
    <w:rsid w:val="00C92579"/>
    <w:rsid w:val="00C930A5"/>
    <w:rsid w:val="00C93747"/>
    <w:rsid w:val="00C93A7C"/>
    <w:rsid w:val="00C940A0"/>
    <w:rsid w:val="00C940FD"/>
    <w:rsid w:val="00C94306"/>
    <w:rsid w:val="00C94889"/>
    <w:rsid w:val="00C95988"/>
    <w:rsid w:val="00C95C2A"/>
    <w:rsid w:val="00C95ED7"/>
    <w:rsid w:val="00C9621F"/>
    <w:rsid w:val="00C964F1"/>
    <w:rsid w:val="00C966E0"/>
    <w:rsid w:val="00C968D0"/>
    <w:rsid w:val="00C977C5"/>
    <w:rsid w:val="00CA02D0"/>
    <w:rsid w:val="00CA02D6"/>
    <w:rsid w:val="00CA043B"/>
    <w:rsid w:val="00CA1939"/>
    <w:rsid w:val="00CA1A90"/>
    <w:rsid w:val="00CA1C7F"/>
    <w:rsid w:val="00CA3249"/>
    <w:rsid w:val="00CA35E1"/>
    <w:rsid w:val="00CA36B4"/>
    <w:rsid w:val="00CA3992"/>
    <w:rsid w:val="00CA523E"/>
    <w:rsid w:val="00CA5927"/>
    <w:rsid w:val="00CA5A56"/>
    <w:rsid w:val="00CA5B29"/>
    <w:rsid w:val="00CA5C0A"/>
    <w:rsid w:val="00CA5CF4"/>
    <w:rsid w:val="00CA6047"/>
    <w:rsid w:val="00CA6189"/>
    <w:rsid w:val="00CA7230"/>
    <w:rsid w:val="00CA7B12"/>
    <w:rsid w:val="00CB043A"/>
    <w:rsid w:val="00CB0DF5"/>
    <w:rsid w:val="00CB114B"/>
    <w:rsid w:val="00CB163F"/>
    <w:rsid w:val="00CB1817"/>
    <w:rsid w:val="00CB1ED3"/>
    <w:rsid w:val="00CB22ED"/>
    <w:rsid w:val="00CB3A72"/>
    <w:rsid w:val="00CB43A5"/>
    <w:rsid w:val="00CB44AA"/>
    <w:rsid w:val="00CB470B"/>
    <w:rsid w:val="00CB4F63"/>
    <w:rsid w:val="00CB517C"/>
    <w:rsid w:val="00CB5C50"/>
    <w:rsid w:val="00CB66D1"/>
    <w:rsid w:val="00CB7C62"/>
    <w:rsid w:val="00CC0081"/>
    <w:rsid w:val="00CC09AB"/>
    <w:rsid w:val="00CC0E54"/>
    <w:rsid w:val="00CC14AF"/>
    <w:rsid w:val="00CC164B"/>
    <w:rsid w:val="00CC1A62"/>
    <w:rsid w:val="00CC1D65"/>
    <w:rsid w:val="00CC23D2"/>
    <w:rsid w:val="00CC2636"/>
    <w:rsid w:val="00CC39CE"/>
    <w:rsid w:val="00CC45AA"/>
    <w:rsid w:val="00CC4675"/>
    <w:rsid w:val="00CC494B"/>
    <w:rsid w:val="00CC5034"/>
    <w:rsid w:val="00CC6110"/>
    <w:rsid w:val="00CC646D"/>
    <w:rsid w:val="00CC6A0D"/>
    <w:rsid w:val="00CC6F83"/>
    <w:rsid w:val="00CC743B"/>
    <w:rsid w:val="00CC75C1"/>
    <w:rsid w:val="00CC79BE"/>
    <w:rsid w:val="00CC7A41"/>
    <w:rsid w:val="00CC7CE6"/>
    <w:rsid w:val="00CD004A"/>
    <w:rsid w:val="00CD0261"/>
    <w:rsid w:val="00CD027D"/>
    <w:rsid w:val="00CD038B"/>
    <w:rsid w:val="00CD058E"/>
    <w:rsid w:val="00CD0D45"/>
    <w:rsid w:val="00CD118A"/>
    <w:rsid w:val="00CD17C6"/>
    <w:rsid w:val="00CD1871"/>
    <w:rsid w:val="00CD1CB9"/>
    <w:rsid w:val="00CD2472"/>
    <w:rsid w:val="00CD2896"/>
    <w:rsid w:val="00CD3B39"/>
    <w:rsid w:val="00CD3E69"/>
    <w:rsid w:val="00CD44CA"/>
    <w:rsid w:val="00CD4876"/>
    <w:rsid w:val="00CD48CA"/>
    <w:rsid w:val="00CD4EDA"/>
    <w:rsid w:val="00CD55CF"/>
    <w:rsid w:val="00CD56F0"/>
    <w:rsid w:val="00CD5836"/>
    <w:rsid w:val="00CD5A6E"/>
    <w:rsid w:val="00CD6318"/>
    <w:rsid w:val="00CD651E"/>
    <w:rsid w:val="00CD65E5"/>
    <w:rsid w:val="00CD672E"/>
    <w:rsid w:val="00CD69DF"/>
    <w:rsid w:val="00CD7173"/>
    <w:rsid w:val="00CD7308"/>
    <w:rsid w:val="00CD7920"/>
    <w:rsid w:val="00CD7E4C"/>
    <w:rsid w:val="00CE084D"/>
    <w:rsid w:val="00CE097B"/>
    <w:rsid w:val="00CE0C16"/>
    <w:rsid w:val="00CE105D"/>
    <w:rsid w:val="00CE1C4D"/>
    <w:rsid w:val="00CE287D"/>
    <w:rsid w:val="00CE2BC7"/>
    <w:rsid w:val="00CE31DE"/>
    <w:rsid w:val="00CE3D0E"/>
    <w:rsid w:val="00CE4389"/>
    <w:rsid w:val="00CE43A0"/>
    <w:rsid w:val="00CE45EE"/>
    <w:rsid w:val="00CE4AC4"/>
    <w:rsid w:val="00CE5962"/>
    <w:rsid w:val="00CE5D54"/>
    <w:rsid w:val="00CE6C66"/>
    <w:rsid w:val="00CE6D95"/>
    <w:rsid w:val="00CE7257"/>
    <w:rsid w:val="00CE7E51"/>
    <w:rsid w:val="00CF0917"/>
    <w:rsid w:val="00CF0D20"/>
    <w:rsid w:val="00CF1B6B"/>
    <w:rsid w:val="00CF2184"/>
    <w:rsid w:val="00CF2A0F"/>
    <w:rsid w:val="00CF2B3D"/>
    <w:rsid w:val="00CF2DDE"/>
    <w:rsid w:val="00CF2DE8"/>
    <w:rsid w:val="00CF30B5"/>
    <w:rsid w:val="00CF3789"/>
    <w:rsid w:val="00CF4388"/>
    <w:rsid w:val="00CF48F0"/>
    <w:rsid w:val="00CF4E2A"/>
    <w:rsid w:val="00CF59E6"/>
    <w:rsid w:val="00CF5B50"/>
    <w:rsid w:val="00CF5B69"/>
    <w:rsid w:val="00CF635C"/>
    <w:rsid w:val="00CF6536"/>
    <w:rsid w:val="00CF679A"/>
    <w:rsid w:val="00CF7399"/>
    <w:rsid w:val="00CF7802"/>
    <w:rsid w:val="00CF7EEB"/>
    <w:rsid w:val="00D00E41"/>
    <w:rsid w:val="00D00F02"/>
    <w:rsid w:val="00D0188F"/>
    <w:rsid w:val="00D02004"/>
    <w:rsid w:val="00D02045"/>
    <w:rsid w:val="00D0230A"/>
    <w:rsid w:val="00D033CD"/>
    <w:rsid w:val="00D0378F"/>
    <w:rsid w:val="00D03799"/>
    <w:rsid w:val="00D04E61"/>
    <w:rsid w:val="00D052AC"/>
    <w:rsid w:val="00D05BAE"/>
    <w:rsid w:val="00D060D4"/>
    <w:rsid w:val="00D0622D"/>
    <w:rsid w:val="00D065CA"/>
    <w:rsid w:val="00D06719"/>
    <w:rsid w:val="00D068EA"/>
    <w:rsid w:val="00D06951"/>
    <w:rsid w:val="00D078BF"/>
    <w:rsid w:val="00D10000"/>
    <w:rsid w:val="00D10214"/>
    <w:rsid w:val="00D10311"/>
    <w:rsid w:val="00D10635"/>
    <w:rsid w:val="00D115B1"/>
    <w:rsid w:val="00D1173F"/>
    <w:rsid w:val="00D12178"/>
    <w:rsid w:val="00D1234C"/>
    <w:rsid w:val="00D1268E"/>
    <w:rsid w:val="00D128B9"/>
    <w:rsid w:val="00D13174"/>
    <w:rsid w:val="00D1353D"/>
    <w:rsid w:val="00D14B72"/>
    <w:rsid w:val="00D14D3E"/>
    <w:rsid w:val="00D15A27"/>
    <w:rsid w:val="00D166DE"/>
    <w:rsid w:val="00D167A4"/>
    <w:rsid w:val="00D1774B"/>
    <w:rsid w:val="00D20ED3"/>
    <w:rsid w:val="00D20F99"/>
    <w:rsid w:val="00D215E4"/>
    <w:rsid w:val="00D216B7"/>
    <w:rsid w:val="00D22036"/>
    <w:rsid w:val="00D22361"/>
    <w:rsid w:val="00D227F7"/>
    <w:rsid w:val="00D22DC0"/>
    <w:rsid w:val="00D23114"/>
    <w:rsid w:val="00D23989"/>
    <w:rsid w:val="00D23C9E"/>
    <w:rsid w:val="00D24058"/>
    <w:rsid w:val="00D24ACC"/>
    <w:rsid w:val="00D24C18"/>
    <w:rsid w:val="00D257AF"/>
    <w:rsid w:val="00D2597D"/>
    <w:rsid w:val="00D26AA6"/>
    <w:rsid w:val="00D275FD"/>
    <w:rsid w:val="00D27D05"/>
    <w:rsid w:val="00D31651"/>
    <w:rsid w:val="00D32223"/>
    <w:rsid w:val="00D3229B"/>
    <w:rsid w:val="00D332CA"/>
    <w:rsid w:val="00D3369D"/>
    <w:rsid w:val="00D33B15"/>
    <w:rsid w:val="00D34559"/>
    <w:rsid w:val="00D34926"/>
    <w:rsid w:val="00D354EB"/>
    <w:rsid w:val="00D35FD3"/>
    <w:rsid w:val="00D36495"/>
    <w:rsid w:val="00D36757"/>
    <w:rsid w:val="00D36B10"/>
    <w:rsid w:val="00D36E10"/>
    <w:rsid w:val="00D37194"/>
    <w:rsid w:val="00D3725A"/>
    <w:rsid w:val="00D375D0"/>
    <w:rsid w:val="00D37A5B"/>
    <w:rsid w:val="00D40788"/>
    <w:rsid w:val="00D4134C"/>
    <w:rsid w:val="00D41A33"/>
    <w:rsid w:val="00D41E4F"/>
    <w:rsid w:val="00D41F7C"/>
    <w:rsid w:val="00D429EC"/>
    <w:rsid w:val="00D43858"/>
    <w:rsid w:val="00D439FE"/>
    <w:rsid w:val="00D43CD9"/>
    <w:rsid w:val="00D44CA6"/>
    <w:rsid w:val="00D45164"/>
    <w:rsid w:val="00D4624C"/>
    <w:rsid w:val="00D4638B"/>
    <w:rsid w:val="00D474A8"/>
    <w:rsid w:val="00D474AC"/>
    <w:rsid w:val="00D475B5"/>
    <w:rsid w:val="00D47E6B"/>
    <w:rsid w:val="00D500C1"/>
    <w:rsid w:val="00D50412"/>
    <w:rsid w:val="00D505D5"/>
    <w:rsid w:val="00D50C44"/>
    <w:rsid w:val="00D50E1D"/>
    <w:rsid w:val="00D516BA"/>
    <w:rsid w:val="00D518E1"/>
    <w:rsid w:val="00D51C24"/>
    <w:rsid w:val="00D51D1F"/>
    <w:rsid w:val="00D525B8"/>
    <w:rsid w:val="00D53936"/>
    <w:rsid w:val="00D53AF3"/>
    <w:rsid w:val="00D53AF4"/>
    <w:rsid w:val="00D54F78"/>
    <w:rsid w:val="00D55302"/>
    <w:rsid w:val="00D55354"/>
    <w:rsid w:val="00D553F5"/>
    <w:rsid w:val="00D55D86"/>
    <w:rsid w:val="00D56646"/>
    <w:rsid w:val="00D57CEC"/>
    <w:rsid w:val="00D60045"/>
    <w:rsid w:val="00D60213"/>
    <w:rsid w:val="00D607D5"/>
    <w:rsid w:val="00D60DD8"/>
    <w:rsid w:val="00D60EE2"/>
    <w:rsid w:val="00D6125E"/>
    <w:rsid w:val="00D6141A"/>
    <w:rsid w:val="00D63F19"/>
    <w:rsid w:val="00D63F3E"/>
    <w:rsid w:val="00D64209"/>
    <w:rsid w:val="00D64BDC"/>
    <w:rsid w:val="00D64CBF"/>
    <w:rsid w:val="00D64D9D"/>
    <w:rsid w:val="00D655D2"/>
    <w:rsid w:val="00D6622D"/>
    <w:rsid w:val="00D673B3"/>
    <w:rsid w:val="00D67490"/>
    <w:rsid w:val="00D67645"/>
    <w:rsid w:val="00D67DF9"/>
    <w:rsid w:val="00D68C65"/>
    <w:rsid w:val="00D701C9"/>
    <w:rsid w:val="00D70408"/>
    <w:rsid w:val="00D71592"/>
    <w:rsid w:val="00D716E0"/>
    <w:rsid w:val="00D7192E"/>
    <w:rsid w:val="00D71B10"/>
    <w:rsid w:val="00D7290A"/>
    <w:rsid w:val="00D735FE"/>
    <w:rsid w:val="00D737FB"/>
    <w:rsid w:val="00D73EAF"/>
    <w:rsid w:val="00D74421"/>
    <w:rsid w:val="00D74741"/>
    <w:rsid w:val="00D7639A"/>
    <w:rsid w:val="00D76D31"/>
    <w:rsid w:val="00D77AFB"/>
    <w:rsid w:val="00D80A53"/>
    <w:rsid w:val="00D80D06"/>
    <w:rsid w:val="00D8134E"/>
    <w:rsid w:val="00D81FA9"/>
    <w:rsid w:val="00D82210"/>
    <w:rsid w:val="00D83264"/>
    <w:rsid w:val="00D844B2"/>
    <w:rsid w:val="00D84990"/>
    <w:rsid w:val="00D84BA6"/>
    <w:rsid w:val="00D84E39"/>
    <w:rsid w:val="00D85306"/>
    <w:rsid w:val="00D85334"/>
    <w:rsid w:val="00D8569A"/>
    <w:rsid w:val="00D859EC"/>
    <w:rsid w:val="00D85AD7"/>
    <w:rsid w:val="00D85B50"/>
    <w:rsid w:val="00D863E2"/>
    <w:rsid w:val="00D86A0E"/>
    <w:rsid w:val="00D86C98"/>
    <w:rsid w:val="00D87B30"/>
    <w:rsid w:val="00D90723"/>
    <w:rsid w:val="00D9089C"/>
    <w:rsid w:val="00D90ACD"/>
    <w:rsid w:val="00D912CE"/>
    <w:rsid w:val="00D91315"/>
    <w:rsid w:val="00D917C4"/>
    <w:rsid w:val="00D918ED"/>
    <w:rsid w:val="00D91A05"/>
    <w:rsid w:val="00D91C8C"/>
    <w:rsid w:val="00D92157"/>
    <w:rsid w:val="00D93025"/>
    <w:rsid w:val="00D93BDC"/>
    <w:rsid w:val="00D93E07"/>
    <w:rsid w:val="00D93E33"/>
    <w:rsid w:val="00D94462"/>
    <w:rsid w:val="00D94890"/>
    <w:rsid w:val="00D94AAB"/>
    <w:rsid w:val="00D94F10"/>
    <w:rsid w:val="00D95050"/>
    <w:rsid w:val="00D959FA"/>
    <w:rsid w:val="00D95A2D"/>
    <w:rsid w:val="00D95F34"/>
    <w:rsid w:val="00D97446"/>
    <w:rsid w:val="00D97693"/>
    <w:rsid w:val="00D97759"/>
    <w:rsid w:val="00D979E6"/>
    <w:rsid w:val="00D97F98"/>
    <w:rsid w:val="00DA11B8"/>
    <w:rsid w:val="00DA18A2"/>
    <w:rsid w:val="00DA1A95"/>
    <w:rsid w:val="00DA1D46"/>
    <w:rsid w:val="00DA1DC4"/>
    <w:rsid w:val="00DA2D70"/>
    <w:rsid w:val="00DA36E6"/>
    <w:rsid w:val="00DA3723"/>
    <w:rsid w:val="00DA4225"/>
    <w:rsid w:val="00DA45FE"/>
    <w:rsid w:val="00DA5635"/>
    <w:rsid w:val="00DA56E9"/>
    <w:rsid w:val="00DA6B24"/>
    <w:rsid w:val="00DA6C63"/>
    <w:rsid w:val="00DA6E7C"/>
    <w:rsid w:val="00DA70A6"/>
    <w:rsid w:val="00DA7485"/>
    <w:rsid w:val="00DA7AC9"/>
    <w:rsid w:val="00DB01BF"/>
    <w:rsid w:val="00DB04E1"/>
    <w:rsid w:val="00DB0768"/>
    <w:rsid w:val="00DB0E1D"/>
    <w:rsid w:val="00DB163D"/>
    <w:rsid w:val="00DB19D1"/>
    <w:rsid w:val="00DB1B3B"/>
    <w:rsid w:val="00DB20D7"/>
    <w:rsid w:val="00DB3E61"/>
    <w:rsid w:val="00DB41E3"/>
    <w:rsid w:val="00DB4795"/>
    <w:rsid w:val="00DB4ADE"/>
    <w:rsid w:val="00DB4CFD"/>
    <w:rsid w:val="00DB5E3D"/>
    <w:rsid w:val="00DB66EB"/>
    <w:rsid w:val="00DB77C5"/>
    <w:rsid w:val="00DC03F5"/>
    <w:rsid w:val="00DC077B"/>
    <w:rsid w:val="00DC1D41"/>
    <w:rsid w:val="00DC271F"/>
    <w:rsid w:val="00DC2B71"/>
    <w:rsid w:val="00DC37A3"/>
    <w:rsid w:val="00DC3A97"/>
    <w:rsid w:val="00DC5369"/>
    <w:rsid w:val="00DC560B"/>
    <w:rsid w:val="00DC56E5"/>
    <w:rsid w:val="00DC60A8"/>
    <w:rsid w:val="00DC664D"/>
    <w:rsid w:val="00DC723E"/>
    <w:rsid w:val="00DC76E3"/>
    <w:rsid w:val="00DC7EF3"/>
    <w:rsid w:val="00DD02CA"/>
    <w:rsid w:val="00DD06F5"/>
    <w:rsid w:val="00DD148E"/>
    <w:rsid w:val="00DD33D4"/>
    <w:rsid w:val="00DD3DC1"/>
    <w:rsid w:val="00DD446E"/>
    <w:rsid w:val="00DD44D0"/>
    <w:rsid w:val="00DD47B8"/>
    <w:rsid w:val="00DD538E"/>
    <w:rsid w:val="00DD5466"/>
    <w:rsid w:val="00DD5679"/>
    <w:rsid w:val="00DD5D81"/>
    <w:rsid w:val="00DD5D97"/>
    <w:rsid w:val="00DD6C7B"/>
    <w:rsid w:val="00DD7214"/>
    <w:rsid w:val="00DD77BF"/>
    <w:rsid w:val="00DE087C"/>
    <w:rsid w:val="00DE08EF"/>
    <w:rsid w:val="00DE0928"/>
    <w:rsid w:val="00DE0CE9"/>
    <w:rsid w:val="00DE11D3"/>
    <w:rsid w:val="00DE1C38"/>
    <w:rsid w:val="00DE1D9F"/>
    <w:rsid w:val="00DE21F2"/>
    <w:rsid w:val="00DE263B"/>
    <w:rsid w:val="00DE2BC0"/>
    <w:rsid w:val="00DE2E02"/>
    <w:rsid w:val="00DE4602"/>
    <w:rsid w:val="00DE4A86"/>
    <w:rsid w:val="00DE54DB"/>
    <w:rsid w:val="00DE5684"/>
    <w:rsid w:val="00DE5826"/>
    <w:rsid w:val="00DE7218"/>
    <w:rsid w:val="00DE746D"/>
    <w:rsid w:val="00DE782E"/>
    <w:rsid w:val="00DE7FF8"/>
    <w:rsid w:val="00DE815B"/>
    <w:rsid w:val="00DF063B"/>
    <w:rsid w:val="00DF065E"/>
    <w:rsid w:val="00DF08C3"/>
    <w:rsid w:val="00DF0CBB"/>
    <w:rsid w:val="00DF14C8"/>
    <w:rsid w:val="00DF209E"/>
    <w:rsid w:val="00DF2282"/>
    <w:rsid w:val="00DF25A5"/>
    <w:rsid w:val="00DF2957"/>
    <w:rsid w:val="00DF2DBB"/>
    <w:rsid w:val="00DF2F8D"/>
    <w:rsid w:val="00DF37A6"/>
    <w:rsid w:val="00DF3B45"/>
    <w:rsid w:val="00DF3C5E"/>
    <w:rsid w:val="00DF3E4B"/>
    <w:rsid w:val="00DF3E5A"/>
    <w:rsid w:val="00DF40E8"/>
    <w:rsid w:val="00DF490D"/>
    <w:rsid w:val="00DF4B28"/>
    <w:rsid w:val="00DF523F"/>
    <w:rsid w:val="00DF598A"/>
    <w:rsid w:val="00DF5AFB"/>
    <w:rsid w:val="00DF5E12"/>
    <w:rsid w:val="00DF6C3D"/>
    <w:rsid w:val="00DF6D75"/>
    <w:rsid w:val="00DF75E1"/>
    <w:rsid w:val="00DF785F"/>
    <w:rsid w:val="00DF7BB0"/>
    <w:rsid w:val="00DF7C21"/>
    <w:rsid w:val="00DF7D76"/>
    <w:rsid w:val="00E00500"/>
    <w:rsid w:val="00E00B68"/>
    <w:rsid w:val="00E00B94"/>
    <w:rsid w:val="00E00C16"/>
    <w:rsid w:val="00E017FD"/>
    <w:rsid w:val="00E01A1B"/>
    <w:rsid w:val="00E01B1F"/>
    <w:rsid w:val="00E020FC"/>
    <w:rsid w:val="00E023DA"/>
    <w:rsid w:val="00E02A4C"/>
    <w:rsid w:val="00E02B57"/>
    <w:rsid w:val="00E02BFE"/>
    <w:rsid w:val="00E032DA"/>
    <w:rsid w:val="00E0447D"/>
    <w:rsid w:val="00E05FA4"/>
    <w:rsid w:val="00E069EC"/>
    <w:rsid w:val="00E06B25"/>
    <w:rsid w:val="00E06C74"/>
    <w:rsid w:val="00E06D4F"/>
    <w:rsid w:val="00E06F29"/>
    <w:rsid w:val="00E07E01"/>
    <w:rsid w:val="00E07E46"/>
    <w:rsid w:val="00E11190"/>
    <w:rsid w:val="00E11AAD"/>
    <w:rsid w:val="00E11CE1"/>
    <w:rsid w:val="00E12395"/>
    <w:rsid w:val="00E13489"/>
    <w:rsid w:val="00E137B5"/>
    <w:rsid w:val="00E152BA"/>
    <w:rsid w:val="00E16226"/>
    <w:rsid w:val="00E16AF8"/>
    <w:rsid w:val="00E1703F"/>
    <w:rsid w:val="00E17D1D"/>
    <w:rsid w:val="00E202AC"/>
    <w:rsid w:val="00E204A6"/>
    <w:rsid w:val="00E20A12"/>
    <w:rsid w:val="00E20B65"/>
    <w:rsid w:val="00E21125"/>
    <w:rsid w:val="00E211DD"/>
    <w:rsid w:val="00E21238"/>
    <w:rsid w:val="00E224F4"/>
    <w:rsid w:val="00E22997"/>
    <w:rsid w:val="00E22C6F"/>
    <w:rsid w:val="00E23AE1"/>
    <w:rsid w:val="00E23CFF"/>
    <w:rsid w:val="00E24390"/>
    <w:rsid w:val="00E24729"/>
    <w:rsid w:val="00E24A77"/>
    <w:rsid w:val="00E251DB"/>
    <w:rsid w:val="00E2525B"/>
    <w:rsid w:val="00E25369"/>
    <w:rsid w:val="00E25A12"/>
    <w:rsid w:val="00E26666"/>
    <w:rsid w:val="00E26E7F"/>
    <w:rsid w:val="00E2753F"/>
    <w:rsid w:val="00E27955"/>
    <w:rsid w:val="00E27BD3"/>
    <w:rsid w:val="00E30AB0"/>
    <w:rsid w:val="00E3102D"/>
    <w:rsid w:val="00E311A1"/>
    <w:rsid w:val="00E31470"/>
    <w:rsid w:val="00E31C54"/>
    <w:rsid w:val="00E322C1"/>
    <w:rsid w:val="00E3337C"/>
    <w:rsid w:val="00E34B54"/>
    <w:rsid w:val="00E34C12"/>
    <w:rsid w:val="00E34FCB"/>
    <w:rsid w:val="00E350E4"/>
    <w:rsid w:val="00E3670D"/>
    <w:rsid w:val="00E369E9"/>
    <w:rsid w:val="00E36AB7"/>
    <w:rsid w:val="00E36B46"/>
    <w:rsid w:val="00E36F1E"/>
    <w:rsid w:val="00E372E4"/>
    <w:rsid w:val="00E372F3"/>
    <w:rsid w:val="00E372F7"/>
    <w:rsid w:val="00E401B0"/>
    <w:rsid w:val="00E4041D"/>
    <w:rsid w:val="00E41135"/>
    <w:rsid w:val="00E4116E"/>
    <w:rsid w:val="00E416F3"/>
    <w:rsid w:val="00E41F44"/>
    <w:rsid w:val="00E421BA"/>
    <w:rsid w:val="00E421D6"/>
    <w:rsid w:val="00E4267B"/>
    <w:rsid w:val="00E42897"/>
    <w:rsid w:val="00E43B1A"/>
    <w:rsid w:val="00E4569F"/>
    <w:rsid w:val="00E45C4D"/>
    <w:rsid w:val="00E46203"/>
    <w:rsid w:val="00E46903"/>
    <w:rsid w:val="00E46C5F"/>
    <w:rsid w:val="00E470CE"/>
    <w:rsid w:val="00E50BB1"/>
    <w:rsid w:val="00E514C6"/>
    <w:rsid w:val="00E51875"/>
    <w:rsid w:val="00E528C4"/>
    <w:rsid w:val="00E52EBB"/>
    <w:rsid w:val="00E534D3"/>
    <w:rsid w:val="00E53521"/>
    <w:rsid w:val="00E53BB2"/>
    <w:rsid w:val="00E54608"/>
    <w:rsid w:val="00E552A5"/>
    <w:rsid w:val="00E55334"/>
    <w:rsid w:val="00E56BE8"/>
    <w:rsid w:val="00E56C42"/>
    <w:rsid w:val="00E57141"/>
    <w:rsid w:val="00E60051"/>
    <w:rsid w:val="00E60D0F"/>
    <w:rsid w:val="00E60E32"/>
    <w:rsid w:val="00E61A3A"/>
    <w:rsid w:val="00E61C48"/>
    <w:rsid w:val="00E61DC8"/>
    <w:rsid w:val="00E6203D"/>
    <w:rsid w:val="00E627A2"/>
    <w:rsid w:val="00E63879"/>
    <w:rsid w:val="00E64D46"/>
    <w:rsid w:val="00E6528F"/>
    <w:rsid w:val="00E6652B"/>
    <w:rsid w:val="00E66D5B"/>
    <w:rsid w:val="00E66E6B"/>
    <w:rsid w:val="00E66F6F"/>
    <w:rsid w:val="00E670A0"/>
    <w:rsid w:val="00E67346"/>
    <w:rsid w:val="00E70302"/>
    <w:rsid w:val="00E704F7"/>
    <w:rsid w:val="00E70673"/>
    <w:rsid w:val="00E7116E"/>
    <w:rsid w:val="00E716AE"/>
    <w:rsid w:val="00E72523"/>
    <w:rsid w:val="00E72E00"/>
    <w:rsid w:val="00E72F80"/>
    <w:rsid w:val="00E749EE"/>
    <w:rsid w:val="00E75A89"/>
    <w:rsid w:val="00E75F9F"/>
    <w:rsid w:val="00E763D3"/>
    <w:rsid w:val="00E77261"/>
    <w:rsid w:val="00E77384"/>
    <w:rsid w:val="00E77A14"/>
    <w:rsid w:val="00E77A93"/>
    <w:rsid w:val="00E80451"/>
    <w:rsid w:val="00E807D3"/>
    <w:rsid w:val="00E808FA"/>
    <w:rsid w:val="00E8176C"/>
    <w:rsid w:val="00E81998"/>
    <w:rsid w:val="00E81C42"/>
    <w:rsid w:val="00E8214C"/>
    <w:rsid w:val="00E82297"/>
    <w:rsid w:val="00E825D2"/>
    <w:rsid w:val="00E82A86"/>
    <w:rsid w:val="00E82AC4"/>
    <w:rsid w:val="00E8373B"/>
    <w:rsid w:val="00E842AD"/>
    <w:rsid w:val="00E845BE"/>
    <w:rsid w:val="00E84F06"/>
    <w:rsid w:val="00E8536E"/>
    <w:rsid w:val="00E856AA"/>
    <w:rsid w:val="00E8649A"/>
    <w:rsid w:val="00E86BB4"/>
    <w:rsid w:val="00E86CE2"/>
    <w:rsid w:val="00E872B0"/>
    <w:rsid w:val="00E87D75"/>
    <w:rsid w:val="00E87EF9"/>
    <w:rsid w:val="00E90282"/>
    <w:rsid w:val="00E90699"/>
    <w:rsid w:val="00E90EDE"/>
    <w:rsid w:val="00E91F4C"/>
    <w:rsid w:val="00E91F90"/>
    <w:rsid w:val="00E9233A"/>
    <w:rsid w:val="00E92551"/>
    <w:rsid w:val="00E927CD"/>
    <w:rsid w:val="00E92C0C"/>
    <w:rsid w:val="00E93A0F"/>
    <w:rsid w:val="00E93CB5"/>
    <w:rsid w:val="00E940C3"/>
    <w:rsid w:val="00E945E0"/>
    <w:rsid w:val="00E9504B"/>
    <w:rsid w:val="00E9516C"/>
    <w:rsid w:val="00E953A3"/>
    <w:rsid w:val="00E95ABB"/>
    <w:rsid w:val="00E95B68"/>
    <w:rsid w:val="00E95C2A"/>
    <w:rsid w:val="00E95DDE"/>
    <w:rsid w:val="00E96075"/>
    <w:rsid w:val="00E96965"/>
    <w:rsid w:val="00E96DF6"/>
    <w:rsid w:val="00E96ECA"/>
    <w:rsid w:val="00E97378"/>
    <w:rsid w:val="00E9789A"/>
    <w:rsid w:val="00EA0645"/>
    <w:rsid w:val="00EA1483"/>
    <w:rsid w:val="00EA25A4"/>
    <w:rsid w:val="00EA387B"/>
    <w:rsid w:val="00EA3B54"/>
    <w:rsid w:val="00EA45F2"/>
    <w:rsid w:val="00EA470D"/>
    <w:rsid w:val="00EA4A43"/>
    <w:rsid w:val="00EA5264"/>
    <w:rsid w:val="00EA5481"/>
    <w:rsid w:val="00EA54BA"/>
    <w:rsid w:val="00EA558C"/>
    <w:rsid w:val="00EA5CDD"/>
    <w:rsid w:val="00EA6AC1"/>
    <w:rsid w:val="00EA6AF8"/>
    <w:rsid w:val="00EA6BA1"/>
    <w:rsid w:val="00EA6F86"/>
    <w:rsid w:val="00EA70B1"/>
    <w:rsid w:val="00EB04BF"/>
    <w:rsid w:val="00EB072D"/>
    <w:rsid w:val="00EB0EB1"/>
    <w:rsid w:val="00EB1133"/>
    <w:rsid w:val="00EB1384"/>
    <w:rsid w:val="00EB2350"/>
    <w:rsid w:val="00EB27D8"/>
    <w:rsid w:val="00EB27F5"/>
    <w:rsid w:val="00EB2EB9"/>
    <w:rsid w:val="00EB4B2B"/>
    <w:rsid w:val="00EB5102"/>
    <w:rsid w:val="00EB5652"/>
    <w:rsid w:val="00EB7210"/>
    <w:rsid w:val="00EB7416"/>
    <w:rsid w:val="00EB7549"/>
    <w:rsid w:val="00EC01AA"/>
    <w:rsid w:val="00EC0639"/>
    <w:rsid w:val="00EC0ECF"/>
    <w:rsid w:val="00EC101A"/>
    <w:rsid w:val="00EC12A9"/>
    <w:rsid w:val="00EC2C7B"/>
    <w:rsid w:val="00EC36B2"/>
    <w:rsid w:val="00EC3CD5"/>
    <w:rsid w:val="00EC43D4"/>
    <w:rsid w:val="00EC5578"/>
    <w:rsid w:val="00EC5E9D"/>
    <w:rsid w:val="00EC72EB"/>
    <w:rsid w:val="00EC755C"/>
    <w:rsid w:val="00EC771A"/>
    <w:rsid w:val="00ED0249"/>
    <w:rsid w:val="00ED04F7"/>
    <w:rsid w:val="00ED0697"/>
    <w:rsid w:val="00ED0D03"/>
    <w:rsid w:val="00ED1666"/>
    <w:rsid w:val="00ED19FA"/>
    <w:rsid w:val="00ED2494"/>
    <w:rsid w:val="00ED2E8D"/>
    <w:rsid w:val="00ED37B4"/>
    <w:rsid w:val="00ED3865"/>
    <w:rsid w:val="00ED3896"/>
    <w:rsid w:val="00ED3C5D"/>
    <w:rsid w:val="00ED3DC3"/>
    <w:rsid w:val="00ED3E8B"/>
    <w:rsid w:val="00ED4559"/>
    <w:rsid w:val="00ED47A1"/>
    <w:rsid w:val="00ED48E3"/>
    <w:rsid w:val="00ED67F6"/>
    <w:rsid w:val="00ED6B20"/>
    <w:rsid w:val="00ED70F4"/>
    <w:rsid w:val="00ED77E7"/>
    <w:rsid w:val="00ED78D6"/>
    <w:rsid w:val="00EE00E2"/>
    <w:rsid w:val="00EE052F"/>
    <w:rsid w:val="00EE1478"/>
    <w:rsid w:val="00EE1F6D"/>
    <w:rsid w:val="00EE22E3"/>
    <w:rsid w:val="00EE31DE"/>
    <w:rsid w:val="00EE3715"/>
    <w:rsid w:val="00EE3E59"/>
    <w:rsid w:val="00EE555D"/>
    <w:rsid w:val="00EE56DA"/>
    <w:rsid w:val="00EE5935"/>
    <w:rsid w:val="00EE5E8A"/>
    <w:rsid w:val="00EE631D"/>
    <w:rsid w:val="00EE6A3A"/>
    <w:rsid w:val="00EE6A7A"/>
    <w:rsid w:val="00EE6E9E"/>
    <w:rsid w:val="00EE71D3"/>
    <w:rsid w:val="00EE730F"/>
    <w:rsid w:val="00EE7465"/>
    <w:rsid w:val="00EE79D0"/>
    <w:rsid w:val="00EE7C7A"/>
    <w:rsid w:val="00EF0880"/>
    <w:rsid w:val="00EF0BE8"/>
    <w:rsid w:val="00EF0CD4"/>
    <w:rsid w:val="00EF199D"/>
    <w:rsid w:val="00EF1BD1"/>
    <w:rsid w:val="00EF1D02"/>
    <w:rsid w:val="00EF3488"/>
    <w:rsid w:val="00EF36F6"/>
    <w:rsid w:val="00EF375D"/>
    <w:rsid w:val="00EF3BEA"/>
    <w:rsid w:val="00EF4103"/>
    <w:rsid w:val="00EF465A"/>
    <w:rsid w:val="00EF494E"/>
    <w:rsid w:val="00EF4AD5"/>
    <w:rsid w:val="00EF4DC7"/>
    <w:rsid w:val="00EF4F1C"/>
    <w:rsid w:val="00EF522D"/>
    <w:rsid w:val="00EF5A17"/>
    <w:rsid w:val="00EF60F4"/>
    <w:rsid w:val="00EF6718"/>
    <w:rsid w:val="00EF7779"/>
    <w:rsid w:val="00EF7D4C"/>
    <w:rsid w:val="00F00915"/>
    <w:rsid w:val="00F00982"/>
    <w:rsid w:val="00F01A3F"/>
    <w:rsid w:val="00F03073"/>
    <w:rsid w:val="00F037A9"/>
    <w:rsid w:val="00F04ECB"/>
    <w:rsid w:val="00F05263"/>
    <w:rsid w:val="00F05C3A"/>
    <w:rsid w:val="00F062F7"/>
    <w:rsid w:val="00F06CBB"/>
    <w:rsid w:val="00F0712D"/>
    <w:rsid w:val="00F07669"/>
    <w:rsid w:val="00F105C1"/>
    <w:rsid w:val="00F10C02"/>
    <w:rsid w:val="00F10EE2"/>
    <w:rsid w:val="00F11383"/>
    <w:rsid w:val="00F117FE"/>
    <w:rsid w:val="00F11B35"/>
    <w:rsid w:val="00F11BF6"/>
    <w:rsid w:val="00F1278E"/>
    <w:rsid w:val="00F12D8E"/>
    <w:rsid w:val="00F12F94"/>
    <w:rsid w:val="00F1511E"/>
    <w:rsid w:val="00F15B3C"/>
    <w:rsid w:val="00F1694E"/>
    <w:rsid w:val="00F172B2"/>
    <w:rsid w:val="00F17ABC"/>
    <w:rsid w:val="00F2004A"/>
    <w:rsid w:val="00F20512"/>
    <w:rsid w:val="00F20B2F"/>
    <w:rsid w:val="00F20E89"/>
    <w:rsid w:val="00F210D6"/>
    <w:rsid w:val="00F21223"/>
    <w:rsid w:val="00F21615"/>
    <w:rsid w:val="00F23156"/>
    <w:rsid w:val="00F241CD"/>
    <w:rsid w:val="00F24A09"/>
    <w:rsid w:val="00F24A1B"/>
    <w:rsid w:val="00F258DA"/>
    <w:rsid w:val="00F25A64"/>
    <w:rsid w:val="00F25B22"/>
    <w:rsid w:val="00F264A6"/>
    <w:rsid w:val="00F26C17"/>
    <w:rsid w:val="00F27D44"/>
    <w:rsid w:val="00F307ED"/>
    <w:rsid w:val="00F31523"/>
    <w:rsid w:val="00F3206D"/>
    <w:rsid w:val="00F320AD"/>
    <w:rsid w:val="00F33070"/>
    <w:rsid w:val="00F341C1"/>
    <w:rsid w:val="00F34414"/>
    <w:rsid w:val="00F346FF"/>
    <w:rsid w:val="00F3486E"/>
    <w:rsid w:val="00F3647A"/>
    <w:rsid w:val="00F36BCD"/>
    <w:rsid w:val="00F37314"/>
    <w:rsid w:val="00F3757E"/>
    <w:rsid w:val="00F40B14"/>
    <w:rsid w:val="00F40CFA"/>
    <w:rsid w:val="00F4147A"/>
    <w:rsid w:val="00F419C1"/>
    <w:rsid w:val="00F42090"/>
    <w:rsid w:val="00F420D2"/>
    <w:rsid w:val="00F4248F"/>
    <w:rsid w:val="00F42686"/>
    <w:rsid w:val="00F44377"/>
    <w:rsid w:val="00F4464D"/>
    <w:rsid w:val="00F44B76"/>
    <w:rsid w:val="00F44FB5"/>
    <w:rsid w:val="00F453C3"/>
    <w:rsid w:val="00F46212"/>
    <w:rsid w:val="00F46A3A"/>
    <w:rsid w:val="00F46A54"/>
    <w:rsid w:val="00F46C5D"/>
    <w:rsid w:val="00F46CE3"/>
    <w:rsid w:val="00F46D3D"/>
    <w:rsid w:val="00F47519"/>
    <w:rsid w:val="00F5002D"/>
    <w:rsid w:val="00F5096F"/>
    <w:rsid w:val="00F510CD"/>
    <w:rsid w:val="00F51370"/>
    <w:rsid w:val="00F5230B"/>
    <w:rsid w:val="00F5241D"/>
    <w:rsid w:val="00F53794"/>
    <w:rsid w:val="00F537A3"/>
    <w:rsid w:val="00F53A68"/>
    <w:rsid w:val="00F54C39"/>
    <w:rsid w:val="00F55578"/>
    <w:rsid w:val="00F55771"/>
    <w:rsid w:val="00F5584E"/>
    <w:rsid w:val="00F55F51"/>
    <w:rsid w:val="00F563D5"/>
    <w:rsid w:val="00F56767"/>
    <w:rsid w:val="00F56AF5"/>
    <w:rsid w:val="00F5725A"/>
    <w:rsid w:val="00F573D4"/>
    <w:rsid w:val="00F57929"/>
    <w:rsid w:val="00F57EE6"/>
    <w:rsid w:val="00F60568"/>
    <w:rsid w:val="00F607F5"/>
    <w:rsid w:val="00F60C41"/>
    <w:rsid w:val="00F60EEE"/>
    <w:rsid w:val="00F6168B"/>
    <w:rsid w:val="00F62030"/>
    <w:rsid w:val="00F621E0"/>
    <w:rsid w:val="00F62C51"/>
    <w:rsid w:val="00F630E3"/>
    <w:rsid w:val="00F6325C"/>
    <w:rsid w:val="00F644A8"/>
    <w:rsid w:val="00F652CC"/>
    <w:rsid w:val="00F657B5"/>
    <w:rsid w:val="00F65F3D"/>
    <w:rsid w:val="00F66078"/>
    <w:rsid w:val="00F66214"/>
    <w:rsid w:val="00F6737B"/>
    <w:rsid w:val="00F677AB"/>
    <w:rsid w:val="00F707BD"/>
    <w:rsid w:val="00F708FE"/>
    <w:rsid w:val="00F72183"/>
    <w:rsid w:val="00F73237"/>
    <w:rsid w:val="00F73694"/>
    <w:rsid w:val="00F73735"/>
    <w:rsid w:val="00F73E50"/>
    <w:rsid w:val="00F745FC"/>
    <w:rsid w:val="00F7473C"/>
    <w:rsid w:val="00F7491B"/>
    <w:rsid w:val="00F74C33"/>
    <w:rsid w:val="00F74C3F"/>
    <w:rsid w:val="00F75758"/>
    <w:rsid w:val="00F759A4"/>
    <w:rsid w:val="00F75A59"/>
    <w:rsid w:val="00F766D7"/>
    <w:rsid w:val="00F76EE2"/>
    <w:rsid w:val="00F76FA5"/>
    <w:rsid w:val="00F770F8"/>
    <w:rsid w:val="00F77509"/>
    <w:rsid w:val="00F77BDD"/>
    <w:rsid w:val="00F80199"/>
    <w:rsid w:val="00F8025E"/>
    <w:rsid w:val="00F8031D"/>
    <w:rsid w:val="00F8041D"/>
    <w:rsid w:val="00F806BE"/>
    <w:rsid w:val="00F807F2"/>
    <w:rsid w:val="00F80A3C"/>
    <w:rsid w:val="00F80A85"/>
    <w:rsid w:val="00F80BDF"/>
    <w:rsid w:val="00F816CC"/>
    <w:rsid w:val="00F817BC"/>
    <w:rsid w:val="00F818C4"/>
    <w:rsid w:val="00F81D07"/>
    <w:rsid w:val="00F81DF2"/>
    <w:rsid w:val="00F823E3"/>
    <w:rsid w:val="00F82E90"/>
    <w:rsid w:val="00F84AEE"/>
    <w:rsid w:val="00F84C4A"/>
    <w:rsid w:val="00F85E21"/>
    <w:rsid w:val="00F86700"/>
    <w:rsid w:val="00F86F9F"/>
    <w:rsid w:val="00F870F8"/>
    <w:rsid w:val="00F873E9"/>
    <w:rsid w:val="00F87586"/>
    <w:rsid w:val="00F87AA6"/>
    <w:rsid w:val="00F87B4C"/>
    <w:rsid w:val="00F9170D"/>
    <w:rsid w:val="00F9219B"/>
    <w:rsid w:val="00F9280B"/>
    <w:rsid w:val="00F939C9"/>
    <w:rsid w:val="00F94631"/>
    <w:rsid w:val="00F94AAA"/>
    <w:rsid w:val="00F957C6"/>
    <w:rsid w:val="00F959F5"/>
    <w:rsid w:val="00F95F51"/>
    <w:rsid w:val="00F96D73"/>
    <w:rsid w:val="00F96EE3"/>
    <w:rsid w:val="00F9711D"/>
    <w:rsid w:val="00FA0117"/>
    <w:rsid w:val="00FA088A"/>
    <w:rsid w:val="00FA1065"/>
    <w:rsid w:val="00FA1B9D"/>
    <w:rsid w:val="00FA1F50"/>
    <w:rsid w:val="00FA31A9"/>
    <w:rsid w:val="00FA3539"/>
    <w:rsid w:val="00FA376D"/>
    <w:rsid w:val="00FA4008"/>
    <w:rsid w:val="00FA4120"/>
    <w:rsid w:val="00FA44D0"/>
    <w:rsid w:val="00FA55A2"/>
    <w:rsid w:val="00FA58F4"/>
    <w:rsid w:val="00FA679B"/>
    <w:rsid w:val="00FA68A0"/>
    <w:rsid w:val="00FA7291"/>
    <w:rsid w:val="00FA79B0"/>
    <w:rsid w:val="00FB029D"/>
    <w:rsid w:val="00FB06DC"/>
    <w:rsid w:val="00FB0972"/>
    <w:rsid w:val="00FB1A16"/>
    <w:rsid w:val="00FB3132"/>
    <w:rsid w:val="00FB326B"/>
    <w:rsid w:val="00FB3338"/>
    <w:rsid w:val="00FB39DC"/>
    <w:rsid w:val="00FB3EE7"/>
    <w:rsid w:val="00FB40C2"/>
    <w:rsid w:val="00FB462C"/>
    <w:rsid w:val="00FB4BFF"/>
    <w:rsid w:val="00FB5FE5"/>
    <w:rsid w:val="00FB6092"/>
    <w:rsid w:val="00FB6BB8"/>
    <w:rsid w:val="00FB7AE8"/>
    <w:rsid w:val="00FB7D8B"/>
    <w:rsid w:val="00FC098D"/>
    <w:rsid w:val="00FC1EDB"/>
    <w:rsid w:val="00FC27CA"/>
    <w:rsid w:val="00FC3AD4"/>
    <w:rsid w:val="00FC43BA"/>
    <w:rsid w:val="00FC48D2"/>
    <w:rsid w:val="00FC5178"/>
    <w:rsid w:val="00FC56FD"/>
    <w:rsid w:val="00FC5A02"/>
    <w:rsid w:val="00FC5B7A"/>
    <w:rsid w:val="00FC61E1"/>
    <w:rsid w:val="00FC6857"/>
    <w:rsid w:val="00FC6ADF"/>
    <w:rsid w:val="00FC76C1"/>
    <w:rsid w:val="00FD0849"/>
    <w:rsid w:val="00FD1979"/>
    <w:rsid w:val="00FD20A5"/>
    <w:rsid w:val="00FD22AD"/>
    <w:rsid w:val="00FD2381"/>
    <w:rsid w:val="00FD2C22"/>
    <w:rsid w:val="00FD3DE9"/>
    <w:rsid w:val="00FD49F5"/>
    <w:rsid w:val="00FD56EB"/>
    <w:rsid w:val="00FD60E1"/>
    <w:rsid w:val="00FD67CB"/>
    <w:rsid w:val="00FD7D0D"/>
    <w:rsid w:val="00FD7F7C"/>
    <w:rsid w:val="00FD7FB4"/>
    <w:rsid w:val="00FE09CE"/>
    <w:rsid w:val="00FE0F82"/>
    <w:rsid w:val="00FE14B7"/>
    <w:rsid w:val="00FE2C7F"/>
    <w:rsid w:val="00FE3F5B"/>
    <w:rsid w:val="00FE470E"/>
    <w:rsid w:val="00FE477A"/>
    <w:rsid w:val="00FE491C"/>
    <w:rsid w:val="00FE4F00"/>
    <w:rsid w:val="00FE5256"/>
    <w:rsid w:val="00FE6B2F"/>
    <w:rsid w:val="00FE6C1D"/>
    <w:rsid w:val="00FE6D5D"/>
    <w:rsid w:val="00FE757B"/>
    <w:rsid w:val="00FE7DF0"/>
    <w:rsid w:val="00FF1C37"/>
    <w:rsid w:val="00FF2613"/>
    <w:rsid w:val="00FF26D5"/>
    <w:rsid w:val="00FF4088"/>
    <w:rsid w:val="00FF4900"/>
    <w:rsid w:val="00FF4A47"/>
    <w:rsid w:val="00FF54AC"/>
    <w:rsid w:val="00FF5CA6"/>
    <w:rsid w:val="00FF628F"/>
    <w:rsid w:val="00FF63AB"/>
    <w:rsid w:val="00FF6AF1"/>
    <w:rsid w:val="00FF6F2D"/>
    <w:rsid w:val="00FF6F62"/>
    <w:rsid w:val="00FF75BA"/>
    <w:rsid w:val="0202859E"/>
    <w:rsid w:val="025FBD0D"/>
    <w:rsid w:val="02651B42"/>
    <w:rsid w:val="029319A7"/>
    <w:rsid w:val="02AEE142"/>
    <w:rsid w:val="02CB94C5"/>
    <w:rsid w:val="02F39ACC"/>
    <w:rsid w:val="030C90DC"/>
    <w:rsid w:val="04BE9EBE"/>
    <w:rsid w:val="04FA4E65"/>
    <w:rsid w:val="05143418"/>
    <w:rsid w:val="051DDAA3"/>
    <w:rsid w:val="0532D5F4"/>
    <w:rsid w:val="053F93BF"/>
    <w:rsid w:val="05667712"/>
    <w:rsid w:val="05E18D3D"/>
    <w:rsid w:val="05E71B64"/>
    <w:rsid w:val="05F2263D"/>
    <w:rsid w:val="065768CA"/>
    <w:rsid w:val="06B30358"/>
    <w:rsid w:val="06CE7F7E"/>
    <w:rsid w:val="06D0B19D"/>
    <w:rsid w:val="06F325E9"/>
    <w:rsid w:val="07F377BE"/>
    <w:rsid w:val="0894D82E"/>
    <w:rsid w:val="090D4637"/>
    <w:rsid w:val="0948E2F0"/>
    <w:rsid w:val="096CEDA4"/>
    <w:rsid w:val="097A86DD"/>
    <w:rsid w:val="0A1B56C7"/>
    <w:rsid w:val="0A3278FC"/>
    <w:rsid w:val="0B4C73A6"/>
    <w:rsid w:val="0B7FD4C4"/>
    <w:rsid w:val="0BEAFA13"/>
    <w:rsid w:val="0C16B19F"/>
    <w:rsid w:val="0C2EEF90"/>
    <w:rsid w:val="0CA54807"/>
    <w:rsid w:val="0CCFAEA3"/>
    <w:rsid w:val="0CE4654D"/>
    <w:rsid w:val="0DF8AF89"/>
    <w:rsid w:val="0E3675E5"/>
    <w:rsid w:val="0F135ACB"/>
    <w:rsid w:val="0F448735"/>
    <w:rsid w:val="0FBBA02B"/>
    <w:rsid w:val="10485324"/>
    <w:rsid w:val="105979B7"/>
    <w:rsid w:val="10E8BF3C"/>
    <w:rsid w:val="115A82ED"/>
    <w:rsid w:val="115C478F"/>
    <w:rsid w:val="11A1A070"/>
    <w:rsid w:val="11A63FC6"/>
    <w:rsid w:val="125A1795"/>
    <w:rsid w:val="12B27F84"/>
    <w:rsid w:val="12C8D46C"/>
    <w:rsid w:val="12E5BCF1"/>
    <w:rsid w:val="12EFD405"/>
    <w:rsid w:val="13645DFC"/>
    <w:rsid w:val="13A156CF"/>
    <w:rsid w:val="14D0A5BF"/>
    <w:rsid w:val="1526FD16"/>
    <w:rsid w:val="15812AA9"/>
    <w:rsid w:val="158B339D"/>
    <w:rsid w:val="1597619D"/>
    <w:rsid w:val="15EBD4B9"/>
    <w:rsid w:val="1689094E"/>
    <w:rsid w:val="16A7F21C"/>
    <w:rsid w:val="16FCA15B"/>
    <w:rsid w:val="173B49B3"/>
    <w:rsid w:val="17C5241B"/>
    <w:rsid w:val="17E4E9D4"/>
    <w:rsid w:val="17F2A34F"/>
    <w:rsid w:val="180D308B"/>
    <w:rsid w:val="18158D0F"/>
    <w:rsid w:val="1A7A2479"/>
    <w:rsid w:val="1AE0CFE0"/>
    <w:rsid w:val="1AE34683"/>
    <w:rsid w:val="1C55F57D"/>
    <w:rsid w:val="1C5A69BA"/>
    <w:rsid w:val="1C893763"/>
    <w:rsid w:val="1CA23EE4"/>
    <w:rsid w:val="1CA95BE2"/>
    <w:rsid w:val="1CB0DD16"/>
    <w:rsid w:val="1CB5DF36"/>
    <w:rsid w:val="1CF37F08"/>
    <w:rsid w:val="1D63B865"/>
    <w:rsid w:val="1DA808CC"/>
    <w:rsid w:val="1EF9B80C"/>
    <w:rsid w:val="1F4ECBDE"/>
    <w:rsid w:val="1FB3C237"/>
    <w:rsid w:val="1FD8C6D7"/>
    <w:rsid w:val="1FF21E17"/>
    <w:rsid w:val="1FF5BA84"/>
    <w:rsid w:val="1FFEC25D"/>
    <w:rsid w:val="2025149F"/>
    <w:rsid w:val="205C0191"/>
    <w:rsid w:val="206EC9AE"/>
    <w:rsid w:val="20CE8DEE"/>
    <w:rsid w:val="20D48EE2"/>
    <w:rsid w:val="20E1EF38"/>
    <w:rsid w:val="20E7C80D"/>
    <w:rsid w:val="2152F1B5"/>
    <w:rsid w:val="21861472"/>
    <w:rsid w:val="21934872"/>
    <w:rsid w:val="21D49695"/>
    <w:rsid w:val="22AB4929"/>
    <w:rsid w:val="22E86FD4"/>
    <w:rsid w:val="22F34002"/>
    <w:rsid w:val="23131251"/>
    <w:rsid w:val="23B64A55"/>
    <w:rsid w:val="2414EB5B"/>
    <w:rsid w:val="241A1C61"/>
    <w:rsid w:val="24266D93"/>
    <w:rsid w:val="24A6D885"/>
    <w:rsid w:val="24A6EB78"/>
    <w:rsid w:val="24B09348"/>
    <w:rsid w:val="24EFB35E"/>
    <w:rsid w:val="257F6526"/>
    <w:rsid w:val="26471713"/>
    <w:rsid w:val="268BD50B"/>
    <w:rsid w:val="26AE2005"/>
    <w:rsid w:val="26BA44E1"/>
    <w:rsid w:val="2709FC16"/>
    <w:rsid w:val="273FA098"/>
    <w:rsid w:val="27883571"/>
    <w:rsid w:val="279FC83D"/>
    <w:rsid w:val="27DD65AF"/>
    <w:rsid w:val="280FCA29"/>
    <w:rsid w:val="284A9178"/>
    <w:rsid w:val="284A97E2"/>
    <w:rsid w:val="28ABE5EA"/>
    <w:rsid w:val="2937AA50"/>
    <w:rsid w:val="293CFC82"/>
    <w:rsid w:val="29FEB0D5"/>
    <w:rsid w:val="2A562FF4"/>
    <w:rsid w:val="2AABEA3B"/>
    <w:rsid w:val="2ABE5374"/>
    <w:rsid w:val="2AE25330"/>
    <w:rsid w:val="2B28E9A0"/>
    <w:rsid w:val="2B31FFDE"/>
    <w:rsid w:val="2B6AD3D8"/>
    <w:rsid w:val="2B7E6E8E"/>
    <w:rsid w:val="2BBA60B3"/>
    <w:rsid w:val="2C15E8EF"/>
    <w:rsid w:val="2CC299AE"/>
    <w:rsid w:val="2CCC6A41"/>
    <w:rsid w:val="2CD0B38E"/>
    <w:rsid w:val="2D3056F1"/>
    <w:rsid w:val="2D9C6A93"/>
    <w:rsid w:val="2DE8B21E"/>
    <w:rsid w:val="2DF515DA"/>
    <w:rsid w:val="2E2AB99B"/>
    <w:rsid w:val="2E76E92B"/>
    <w:rsid w:val="2F798079"/>
    <w:rsid w:val="2FDAE6C6"/>
    <w:rsid w:val="30222C8C"/>
    <w:rsid w:val="30908971"/>
    <w:rsid w:val="30A4838D"/>
    <w:rsid w:val="31128A20"/>
    <w:rsid w:val="311BF6CD"/>
    <w:rsid w:val="31208B41"/>
    <w:rsid w:val="3133A1DF"/>
    <w:rsid w:val="31B76316"/>
    <w:rsid w:val="32087AF9"/>
    <w:rsid w:val="3235541E"/>
    <w:rsid w:val="32C3F387"/>
    <w:rsid w:val="32FD2844"/>
    <w:rsid w:val="330F3767"/>
    <w:rsid w:val="33561DFD"/>
    <w:rsid w:val="335EA753"/>
    <w:rsid w:val="3390B946"/>
    <w:rsid w:val="33C0E370"/>
    <w:rsid w:val="33F8F6D6"/>
    <w:rsid w:val="34357B7A"/>
    <w:rsid w:val="344456E7"/>
    <w:rsid w:val="3455A387"/>
    <w:rsid w:val="345BF3AE"/>
    <w:rsid w:val="346C0E7B"/>
    <w:rsid w:val="349174C4"/>
    <w:rsid w:val="34FB6A31"/>
    <w:rsid w:val="3504247D"/>
    <w:rsid w:val="3508ECA4"/>
    <w:rsid w:val="35678DA4"/>
    <w:rsid w:val="359B1B40"/>
    <w:rsid w:val="35BDC70E"/>
    <w:rsid w:val="35EA59A8"/>
    <w:rsid w:val="35EE0B7D"/>
    <w:rsid w:val="36082A98"/>
    <w:rsid w:val="36816B34"/>
    <w:rsid w:val="36D0EF75"/>
    <w:rsid w:val="375B98E6"/>
    <w:rsid w:val="379F680C"/>
    <w:rsid w:val="37ADE467"/>
    <w:rsid w:val="37CA4267"/>
    <w:rsid w:val="381C0ECB"/>
    <w:rsid w:val="3828B0B2"/>
    <w:rsid w:val="3838E36A"/>
    <w:rsid w:val="383AF2E9"/>
    <w:rsid w:val="38532B09"/>
    <w:rsid w:val="38E01431"/>
    <w:rsid w:val="39160155"/>
    <w:rsid w:val="3974E7F2"/>
    <w:rsid w:val="399430B3"/>
    <w:rsid w:val="39D0DA14"/>
    <w:rsid w:val="39EC4684"/>
    <w:rsid w:val="3AC95DA7"/>
    <w:rsid w:val="3ACCEFE6"/>
    <w:rsid w:val="3B7EF687"/>
    <w:rsid w:val="3B819125"/>
    <w:rsid w:val="3C06B9A0"/>
    <w:rsid w:val="3C3F527D"/>
    <w:rsid w:val="3CB1FB7E"/>
    <w:rsid w:val="3CCB4141"/>
    <w:rsid w:val="3D6CC0E3"/>
    <w:rsid w:val="3D9B09AE"/>
    <w:rsid w:val="3DCDE55C"/>
    <w:rsid w:val="3E125C99"/>
    <w:rsid w:val="3E1D9D3B"/>
    <w:rsid w:val="3EB93D79"/>
    <w:rsid w:val="3F69FD3B"/>
    <w:rsid w:val="3F8BE093"/>
    <w:rsid w:val="40091967"/>
    <w:rsid w:val="40499EC2"/>
    <w:rsid w:val="40A91B41"/>
    <w:rsid w:val="40B3E01B"/>
    <w:rsid w:val="40BE0BE8"/>
    <w:rsid w:val="41158FF9"/>
    <w:rsid w:val="411A1E4B"/>
    <w:rsid w:val="411E9AFE"/>
    <w:rsid w:val="414765EF"/>
    <w:rsid w:val="417381FA"/>
    <w:rsid w:val="419068D9"/>
    <w:rsid w:val="41C79053"/>
    <w:rsid w:val="420F702D"/>
    <w:rsid w:val="4230AC32"/>
    <w:rsid w:val="4239C761"/>
    <w:rsid w:val="42B696B4"/>
    <w:rsid w:val="42EBF669"/>
    <w:rsid w:val="43234DE3"/>
    <w:rsid w:val="436D831E"/>
    <w:rsid w:val="43AEFF02"/>
    <w:rsid w:val="43C27708"/>
    <w:rsid w:val="440EA8A5"/>
    <w:rsid w:val="4413597D"/>
    <w:rsid w:val="44B99C05"/>
    <w:rsid w:val="44F87EAC"/>
    <w:rsid w:val="4500C33B"/>
    <w:rsid w:val="450739F1"/>
    <w:rsid w:val="452AB1FC"/>
    <w:rsid w:val="453519D7"/>
    <w:rsid w:val="454226CF"/>
    <w:rsid w:val="454F0FF2"/>
    <w:rsid w:val="4572F066"/>
    <w:rsid w:val="458FD435"/>
    <w:rsid w:val="45A3E9E5"/>
    <w:rsid w:val="45DA24FD"/>
    <w:rsid w:val="462EB8C9"/>
    <w:rsid w:val="4638CD71"/>
    <w:rsid w:val="4643BF19"/>
    <w:rsid w:val="4688BD76"/>
    <w:rsid w:val="46F554D4"/>
    <w:rsid w:val="470BF3E7"/>
    <w:rsid w:val="47407D27"/>
    <w:rsid w:val="47553255"/>
    <w:rsid w:val="480F7401"/>
    <w:rsid w:val="4843B3A4"/>
    <w:rsid w:val="49246DD5"/>
    <w:rsid w:val="49EC9A5C"/>
    <w:rsid w:val="4A39D467"/>
    <w:rsid w:val="4A7DD1B7"/>
    <w:rsid w:val="4AB5A786"/>
    <w:rsid w:val="4AD0BAF3"/>
    <w:rsid w:val="4B7F37AD"/>
    <w:rsid w:val="4B835F75"/>
    <w:rsid w:val="4D641FDA"/>
    <w:rsid w:val="4D70FFA6"/>
    <w:rsid w:val="4DAD7912"/>
    <w:rsid w:val="4DE333FA"/>
    <w:rsid w:val="4E34A037"/>
    <w:rsid w:val="4E3C80B8"/>
    <w:rsid w:val="4E425CE9"/>
    <w:rsid w:val="4E43694C"/>
    <w:rsid w:val="4E691C53"/>
    <w:rsid w:val="4E80BA70"/>
    <w:rsid w:val="4EA0755B"/>
    <w:rsid w:val="4F346FA3"/>
    <w:rsid w:val="4F4772AA"/>
    <w:rsid w:val="4F617585"/>
    <w:rsid w:val="4F69928F"/>
    <w:rsid w:val="4FAFAEC1"/>
    <w:rsid w:val="501F2064"/>
    <w:rsid w:val="508FE19F"/>
    <w:rsid w:val="524D7768"/>
    <w:rsid w:val="524F7BBC"/>
    <w:rsid w:val="52D615FC"/>
    <w:rsid w:val="53064E86"/>
    <w:rsid w:val="5342009D"/>
    <w:rsid w:val="53615210"/>
    <w:rsid w:val="53E1197F"/>
    <w:rsid w:val="54063CC9"/>
    <w:rsid w:val="545F0816"/>
    <w:rsid w:val="54BEA3D3"/>
    <w:rsid w:val="5500B6EC"/>
    <w:rsid w:val="5505A606"/>
    <w:rsid w:val="557CF6A7"/>
    <w:rsid w:val="557DAAE9"/>
    <w:rsid w:val="557E5C1D"/>
    <w:rsid w:val="55DEAE61"/>
    <w:rsid w:val="55E9EAD1"/>
    <w:rsid w:val="55F97314"/>
    <w:rsid w:val="56038E2B"/>
    <w:rsid w:val="565E1DA7"/>
    <w:rsid w:val="566139E7"/>
    <w:rsid w:val="567F1768"/>
    <w:rsid w:val="56A9955A"/>
    <w:rsid w:val="5727DF02"/>
    <w:rsid w:val="575B3B61"/>
    <w:rsid w:val="5765B4C4"/>
    <w:rsid w:val="57AFAF84"/>
    <w:rsid w:val="57F7C2AC"/>
    <w:rsid w:val="583C4FF2"/>
    <w:rsid w:val="584A6D03"/>
    <w:rsid w:val="587D295E"/>
    <w:rsid w:val="599029FA"/>
    <w:rsid w:val="5A14B1CB"/>
    <w:rsid w:val="5A388B97"/>
    <w:rsid w:val="5A4D23F5"/>
    <w:rsid w:val="5A8446EF"/>
    <w:rsid w:val="5A9254CD"/>
    <w:rsid w:val="5AAE6B9F"/>
    <w:rsid w:val="5AB6141D"/>
    <w:rsid w:val="5AD87444"/>
    <w:rsid w:val="5AE093B5"/>
    <w:rsid w:val="5AF3EA17"/>
    <w:rsid w:val="5B38524C"/>
    <w:rsid w:val="5BF9FDB8"/>
    <w:rsid w:val="5C07F4DF"/>
    <w:rsid w:val="5C3578ED"/>
    <w:rsid w:val="5C6E4D33"/>
    <w:rsid w:val="5CC12B42"/>
    <w:rsid w:val="5CC2D190"/>
    <w:rsid w:val="5CD359F2"/>
    <w:rsid w:val="5DEF537D"/>
    <w:rsid w:val="5E35BAA3"/>
    <w:rsid w:val="5E645A96"/>
    <w:rsid w:val="5E74B4F7"/>
    <w:rsid w:val="5EFF9F29"/>
    <w:rsid w:val="5F04F061"/>
    <w:rsid w:val="5F326BC6"/>
    <w:rsid w:val="5F8B3B45"/>
    <w:rsid w:val="5F8D47D4"/>
    <w:rsid w:val="5F9CD692"/>
    <w:rsid w:val="5FA1B50F"/>
    <w:rsid w:val="5FDEF568"/>
    <w:rsid w:val="607E49BB"/>
    <w:rsid w:val="609C0A25"/>
    <w:rsid w:val="60D2A0FC"/>
    <w:rsid w:val="610D7266"/>
    <w:rsid w:val="61141972"/>
    <w:rsid w:val="613A9161"/>
    <w:rsid w:val="614DAEFC"/>
    <w:rsid w:val="6171F64F"/>
    <w:rsid w:val="61880AB1"/>
    <w:rsid w:val="61A10DCB"/>
    <w:rsid w:val="61B76D15"/>
    <w:rsid w:val="61E4D94C"/>
    <w:rsid w:val="61E79A55"/>
    <w:rsid w:val="6288C488"/>
    <w:rsid w:val="62A2F23E"/>
    <w:rsid w:val="62DB57D7"/>
    <w:rsid w:val="6304F91A"/>
    <w:rsid w:val="630FE6EC"/>
    <w:rsid w:val="631438B5"/>
    <w:rsid w:val="632A4CAB"/>
    <w:rsid w:val="6358E3F4"/>
    <w:rsid w:val="63E94A72"/>
    <w:rsid w:val="64914F19"/>
    <w:rsid w:val="6493CF36"/>
    <w:rsid w:val="650BD827"/>
    <w:rsid w:val="6532296B"/>
    <w:rsid w:val="658781BB"/>
    <w:rsid w:val="65B2C6B9"/>
    <w:rsid w:val="65C1D062"/>
    <w:rsid w:val="65CB126B"/>
    <w:rsid w:val="65CE467D"/>
    <w:rsid w:val="65DEF877"/>
    <w:rsid w:val="65FC2C02"/>
    <w:rsid w:val="66E6433D"/>
    <w:rsid w:val="66FA4552"/>
    <w:rsid w:val="674557D3"/>
    <w:rsid w:val="68341BEB"/>
    <w:rsid w:val="68488021"/>
    <w:rsid w:val="684D0305"/>
    <w:rsid w:val="68C3D1F4"/>
    <w:rsid w:val="68CB013B"/>
    <w:rsid w:val="691EB822"/>
    <w:rsid w:val="69AD84BF"/>
    <w:rsid w:val="69F3A590"/>
    <w:rsid w:val="69F43311"/>
    <w:rsid w:val="69FCC367"/>
    <w:rsid w:val="6AB6CD54"/>
    <w:rsid w:val="6B3A25E9"/>
    <w:rsid w:val="6B46F9C8"/>
    <w:rsid w:val="6B671CBC"/>
    <w:rsid w:val="6B98B92F"/>
    <w:rsid w:val="6BA51AA7"/>
    <w:rsid w:val="6BB15508"/>
    <w:rsid w:val="6C0B28EC"/>
    <w:rsid w:val="6C11C8D3"/>
    <w:rsid w:val="6C4796FD"/>
    <w:rsid w:val="6D2CB58E"/>
    <w:rsid w:val="6D514E81"/>
    <w:rsid w:val="6D5FC919"/>
    <w:rsid w:val="6D7C6A8C"/>
    <w:rsid w:val="6DA42474"/>
    <w:rsid w:val="6DB33544"/>
    <w:rsid w:val="6E3016F0"/>
    <w:rsid w:val="6E6F51EE"/>
    <w:rsid w:val="6EA2C6CD"/>
    <w:rsid w:val="6ED80E74"/>
    <w:rsid w:val="6F0ECCFA"/>
    <w:rsid w:val="6F47F276"/>
    <w:rsid w:val="6F775A28"/>
    <w:rsid w:val="6FB9E005"/>
    <w:rsid w:val="705854CF"/>
    <w:rsid w:val="709E167C"/>
    <w:rsid w:val="71019177"/>
    <w:rsid w:val="7107D6FC"/>
    <w:rsid w:val="71088E64"/>
    <w:rsid w:val="710921EF"/>
    <w:rsid w:val="710DAE52"/>
    <w:rsid w:val="712057B6"/>
    <w:rsid w:val="7125185A"/>
    <w:rsid w:val="71B5A320"/>
    <w:rsid w:val="71C84291"/>
    <w:rsid w:val="7206DB95"/>
    <w:rsid w:val="72641638"/>
    <w:rsid w:val="728BCE98"/>
    <w:rsid w:val="72CDD761"/>
    <w:rsid w:val="73ABE4FD"/>
    <w:rsid w:val="73C48C5C"/>
    <w:rsid w:val="73FE6E8D"/>
    <w:rsid w:val="741681AC"/>
    <w:rsid w:val="74184B08"/>
    <w:rsid w:val="7433F742"/>
    <w:rsid w:val="74A2BE5D"/>
    <w:rsid w:val="74DC3896"/>
    <w:rsid w:val="74E64A3D"/>
    <w:rsid w:val="74F0282C"/>
    <w:rsid w:val="74F2FDEF"/>
    <w:rsid w:val="756BE48B"/>
    <w:rsid w:val="756F1C8F"/>
    <w:rsid w:val="76289730"/>
    <w:rsid w:val="7690A31A"/>
    <w:rsid w:val="77140BBC"/>
    <w:rsid w:val="77141C6E"/>
    <w:rsid w:val="77277C0A"/>
    <w:rsid w:val="772F313E"/>
    <w:rsid w:val="776D1F38"/>
    <w:rsid w:val="77B08CF8"/>
    <w:rsid w:val="77F313AD"/>
    <w:rsid w:val="78448706"/>
    <w:rsid w:val="78866A18"/>
    <w:rsid w:val="789E56FD"/>
    <w:rsid w:val="78AF3FAF"/>
    <w:rsid w:val="78B50CB7"/>
    <w:rsid w:val="78FD956B"/>
    <w:rsid w:val="78FE5839"/>
    <w:rsid w:val="7968B787"/>
    <w:rsid w:val="797A77D1"/>
    <w:rsid w:val="79980FDF"/>
    <w:rsid w:val="79FDF412"/>
    <w:rsid w:val="7A8A0FA9"/>
    <w:rsid w:val="7AA2FB4A"/>
    <w:rsid w:val="7AF0BB07"/>
    <w:rsid w:val="7C459C06"/>
    <w:rsid w:val="7C7FC1BC"/>
    <w:rsid w:val="7CA02F89"/>
    <w:rsid w:val="7CC6D692"/>
    <w:rsid w:val="7D068939"/>
    <w:rsid w:val="7D268380"/>
    <w:rsid w:val="7D829DBD"/>
    <w:rsid w:val="7D9425CE"/>
    <w:rsid w:val="7DBE3008"/>
    <w:rsid w:val="7E0D4269"/>
    <w:rsid w:val="7E4E189F"/>
    <w:rsid w:val="7F279BBE"/>
    <w:rsid w:val="7FBAEBC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A98AF2"/>
  <w14:discardImageEditingDat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8"/>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9"/>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6" w:qFormat="1"/>
    <w:lsdException w:name="Intense Quote" w:uiPriority="17"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D89"/>
    <w:pPr>
      <w:spacing w:after="160" w:line="264" w:lineRule="auto"/>
    </w:pPr>
    <w:rPr>
      <w:sz w:val="22"/>
    </w:rPr>
  </w:style>
  <w:style w:type="paragraph" w:styleId="Heading1">
    <w:name w:val="heading 1"/>
    <w:basedOn w:val="Normal"/>
    <w:next w:val="Normal"/>
    <w:link w:val="Heading1Char"/>
    <w:uiPriority w:val="2"/>
    <w:qFormat/>
    <w:rsid w:val="00292BFC"/>
    <w:pPr>
      <w:keepNext/>
      <w:keepLines/>
      <w:spacing w:before="360" w:line="240" w:lineRule="auto"/>
      <w:outlineLvl w:val="0"/>
    </w:pPr>
    <w:rPr>
      <w:rFonts w:asciiTheme="majorHAnsi" w:eastAsiaTheme="majorEastAsia" w:hAnsiTheme="majorHAnsi" w:cstheme="majorBidi"/>
      <w:color w:val="1C2B39" w:themeColor="accent1"/>
      <w:sz w:val="48"/>
      <w:szCs w:val="40"/>
    </w:rPr>
  </w:style>
  <w:style w:type="paragraph" w:styleId="Heading2">
    <w:name w:val="heading 2"/>
    <w:basedOn w:val="Normal"/>
    <w:next w:val="Normal"/>
    <w:link w:val="Heading2Char"/>
    <w:uiPriority w:val="2"/>
    <w:qFormat/>
    <w:rsid w:val="006147EB"/>
    <w:pPr>
      <w:keepNext/>
      <w:keepLines/>
      <w:spacing w:before="240" w:line="240" w:lineRule="auto"/>
      <w:outlineLvl w:val="1"/>
    </w:pPr>
    <w:rPr>
      <w:rFonts w:asciiTheme="majorHAnsi" w:eastAsiaTheme="majorEastAsia" w:hAnsiTheme="majorHAnsi" w:cstheme="majorBidi"/>
      <w:color w:val="1C2B39" w:themeColor="accent1"/>
      <w:sz w:val="36"/>
      <w:szCs w:val="28"/>
    </w:rPr>
  </w:style>
  <w:style w:type="paragraph" w:styleId="Heading3">
    <w:name w:val="heading 3"/>
    <w:basedOn w:val="Heading4"/>
    <w:next w:val="Normal"/>
    <w:link w:val="Heading3Char"/>
    <w:uiPriority w:val="2"/>
    <w:qFormat/>
    <w:rsid w:val="006147EB"/>
    <w:pPr>
      <w:outlineLvl w:val="2"/>
    </w:pPr>
    <w:rPr>
      <w:color w:val="1C2B39" w:themeColor="accent1"/>
      <w:sz w:val="24"/>
      <w:szCs w:val="24"/>
    </w:rPr>
  </w:style>
  <w:style w:type="paragraph" w:styleId="Heading4">
    <w:name w:val="heading 4"/>
    <w:basedOn w:val="Normal"/>
    <w:next w:val="Normal"/>
    <w:link w:val="Heading4Char"/>
    <w:uiPriority w:val="2"/>
    <w:qFormat/>
    <w:rsid w:val="00F8025E"/>
    <w:pPr>
      <w:keepNext/>
      <w:keepLines/>
      <w:spacing w:before="240"/>
      <w:outlineLvl w:val="3"/>
    </w:pPr>
    <w:rPr>
      <w:rFonts w:asciiTheme="majorHAnsi" w:eastAsiaTheme="majorEastAsia" w:hAnsiTheme="majorHAnsi" w:cstheme="minorHAnsi"/>
      <w:color w:val="004261" w:themeColor="text2"/>
      <w:szCs w:val="22"/>
    </w:rPr>
  </w:style>
  <w:style w:type="paragraph" w:styleId="Heading5">
    <w:name w:val="heading 5"/>
    <w:basedOn w:val="Normal"/>
    <w:next w:val="Normal"/>
    <w:link w:val="Heading5Char"/>
    <w:uiPriority w:val="2"/>
    <w:unhideWhenUsed/>
    <w:rsid w:val="00F8025E"/>
    <w:pPr>
      <w:keepNext/>
      <w:keepLines/>
      <w:spacing w:before="240"/>
      <w:outlineLvl w:val="4"/>
    </w:pPr>
    <w:rPr>
      <w:rFonts w:asciiTheme="majorHAnsi" w:eastAsiaTheme="majorEastAsia" w:hAnsiTheme="majorHAnsi" w:cstheme="majorBidi"/>
      <w:iCs/>
      <w:color w:val="8D2625" w:themeColor="accent6" w:themeShade="BF"/>
      <w:szCs w:val="22"/>
    </w:rPr>
  </w:style>
  <w:style w:type="paragraph" w:styleId="Heading6">
    <w:name w:val="heading 6"/>
    <w:basedOn w:val="Normal"/>
    <w:next w:val="Normal"/>
    <w:link w:val="Heading6Char"/>
    <w:uiPriority w:val="2"/>
    <w:unhideWhenUsed/>
    <w:rsid w:val="00F8025E"/>
    <w:pPr>
      <w:keepNext/>
      <w:keepLines/>
      <w:spacing w:before="240"/>
      <w:outlineLvl w:val="5"/>
    </w:pPr>
    <w:rPr>
      <w:rFonts w:asciiTheme="majorHAnsi" w:eastAsiaTheme="majorEastAsia" w:hAnsiTheme="majorHAnsi" w:cstheme="majorBidi"/>
      <w:color w:val="A65815" w:themeColor="accent4" w:themeShade="BF"/>
    </w:rPr>
  </w:style>
  <w:style w:type="paragraph" w:styleId="Heading7">
    <w:name w:val="heading 7"/>
    <w:basedOn w:val="Normal"/>
    <w:next w:val="Normal"/>
    <w:link w:val="Heading7Char"/>
    <w:uiPriority w:val="2"/>
    <w:unhideWhenUsed/>
    <w:rsid w:val="00292BFC"/>
    <w:pPr>
      <w:keepNext/>
      <w:keepLines/>
      <w:spacing w:before="240"/>
      <w:outlineLvl w:val="6"/>
    </w:pPr>
    <w:rPr>
      <w:rFonts w:asciiTheme="majorHAnsi" w:eastAsiaTheme="majorEastAsia" w:hAnsiTheme="majorHAnsi" w:cstheme="majorBidi"/>
      <w:b/>
      <w:bCs/>
      <w:color w:val="004261" w:themeColor="text2"/>
    </w:rPr>
  </w:style>
  <w:style w:type="paragraph" w:styleId="Heading8">
    <w:name w:val="heading 8"/>
    <w:basedOn w:val="Normal"/>
    <w:next w:val="Normal"/>
    <w:link w:val="Heading8Char"/>
    <w:uiPriority w:val="2"/>
    <w:unhideWhenUsed/>
    <w:rsid w:val="00292BFC"/>
    <w:pPr>
      <w:keepNext/>
      <w:keepLines/>
      <w:spacing w:before="240"/>
      <w:outlineLvl w:val="7"/>
    </w:pPr>
    <w:rPr>
      <w:rFonts w:asciiTheme="majorHAnsi" w:eastAsiaTheme="majorEastAsia" w:hAnsiTheme="majorHAnsi" w:cstheme="majorBidi"/>
      <w:b/>
      <w:bCs/>
      <w:i/>
      <w:iCs/>
      <w:color w:val="004261" w:themeColor="text2"/>
      <w:sz w:val="20"/>
      <w:szCs w:val="20"/>
    </w:rPr>
  </w:style>
  <w:style w:type="paragraph" w:styleId="Heading9">
    <w:name w:val="heading 9"/>
    <w:basedOn w:val="Normal"/>
    <w:next w:val="Normal"/>
    <w:link w:val="Heading9Char"/>
    <w:uiPriority w:val="2"/>
    <w:unhideWhenUsed/>
    <w:rsid w:val="00292BFC"/>
    <w:pPr>
      <w:keepNext/>
      <w:keepLines/>
      <w:spacing w:before="240"/>
      <w:outlineLvl w:val="8"/>
    </w:pPr>
    <w:rPr>
      <w:rFonts w:asciiTheme="majorHAnsi" w:eastAsiaTheme="majorEastAsia" w:hAnsiTheme="majorHAnsi" w:cstheme="majorBidi"/>
      <w:i/>
      <w:iCs/>
      <w:color w:val="004261" w:themeColor="text2"/>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292BFC"/>
    <w:rPr>
      <w:rFonts w:asciiTheme="majorHAnsi" w:eastAsiaTheme="majorEastAsia" w:hAnsiTheme="majorHAnsi" w:cstheme="majorBidi"/>
      <w:color w:val="1C2B39" w:themeColor="accent1"/>
      <w:sz w:val="48"/>
      <w:szCs w:val="40"/>
    </w:rPr>
  </w:style>
  <w:style w:type="paragraph" w:styleId="Title">
    <w:name w:val="Title"/>
    <w:basedOn w:val="Normal"/>
    <w:next w:val="Normal"/>
    <w:link w:val="TitleChar"/>
    <w:uiPriority w:val="18"/>
    <w:rsid w:val="005226B9"/>
    <w:pPr>
      <w:spacing w:after="240" w:line="240" w:lineRule="auto"/>
      <w:contextualSpacing/>
    </w:pPr>
    <w:rPr>
      <w:rFonts w:asciiTheme="majorHAnsi" w:eastAsiaTheme="majorEastAsia" w:hAnsiTheme="majorHAnsi" w:cstheme="majorBidi"/>
      <w:noProof/>
      <w:spacing w:val="-15"/>
      <w:sz w:val="56"/>
      <w:szCs w:val="96"/>
    </w:rPr>
  </w:style>
  <w:style w:type="character" w:customStyle="1" w:styleId="TitleChar">
    <w:name w:val="Title Char"/>
    <w:basedOn w:val="DefaultParagraphFont"/>
    <w:link w:val="Title"/>
    <w:uiPriority w:val="18"/>
    <w:rsid w:val="00E2753F"/>
    <w:rPr>
      <w:rFonts w:asciiTheme="majorHAnsi" w:eastAsiaTheme="majorEastAsia" w:hAnsiTheme="majorHAnsi" w:cstheme="majorBidi"/>
      <w:noProof/>
      <w:spacing w:val="-15"/>
      <w:sz w:val="56"/>
      <w:szCs w:val="96"/>
    </w:rPr>
  </w:style>
  <w:style w:type="character" w:customStyle="1" w:styleId="Heading2Char">
    <w:name w:val="Heading 2 Char"/>
    <w:basedOn w:val="DefaultParagraphFont"/>
    <w:link w:val="Heading2"/>
    <w:uiPriority w:val="2"/>
    <w:rsid w:val="006147EB"/>
    <w:rPr>
      <w:rFonts w:asciiTheme="majorHAnsi" w:eastAsiaTheme="majorEastAsia" w:hAnsiTheme="majorHAnsi" w:cstheme="majorBidi"/>
      <w:color w:val="1C2B39" w:themeColor="accent1"/>
      <w:sz w:val="36"/>
      <w:szCs w:val="28"/>
    </w:rPr>
  </w:style>
  <w:style w:type="character" w:customStyle="1" w:styleId="Heading3Char">
    <w:name w:val="Heading 3 Char"/>
    <w:basedOn w:val="DefaultParagraphFont"/>
    <w:link w:val="Heading3"/>
    <w:uiPriority w:val="2"/>
    <w:rsid w:val="006147EB"/>
    <w:rPr>
      <w:rFonts w:eastAsiaTheme="majorEastAsia" w:cstheme="minorHAnsi"/>
      <w:b/>
      <w:color w:val="1C2B39" w:themeColor="accent1"/>
      <w:sz w:val="24"/>
      <w:szCs w:val="24"/>
    </w:rPr>
  </w:style>
  <w:style w:type="character" w:customStyle="1" w:styleId="Heading4Char">
    <w:name w:val="Heading 4 Char"/>
    <w:basedOn w:val="DefaultParagraphFont"/>
    <w:link w:val="Heading4"/>
    <w:uiPriority w:val="2"/>
    <w:rsid w:val="00F8025E"/>
    <w:rPr>
      <w:rFonts w:asciiTheme="majorHAnsi" w:eastAsiaTheme="majorEastAsia" w:hAnsiTheme="majorHAnsi" w:cstheme="minorHAnsi"/>
      <w:color w:val="004261" w:themeColor="text2"/>
      <w:sz w:val="22"/>
      <w:szCs w:val="22"/>
    </w:rPr>
  </w:style>
  <w:style w:type="character" w:customStyle="1" w:styleId="Heading5Char">
    <w:name w:val="Heading 5 Char"/>
    <w:basedOn w:val="DefaultParagraphFont"/>
    <w:link w:val="Heading5"/>
    <w:uiPriority w:val="2"/>
    <w:rsid w:val="00F8025E"/>
    <w:rPr>
      <w:rFonts w:asciiTheme="majorHAnsi" w:eastAsiaTheme="majorEastAsia" w:hAnsiTheme="majorHAnsi" w:cstheme="majorBidi"/>
      <w:iCs/>
      <w:color w:val="8D2625" w:themeColor="accent6" w:themeShade="BF"/>
      <w:sz w:val="22"/>
      <w:szCs w:val="22"/>
    </w:rPr>
  </w:style>
  <w:style w:type="character" w:customStyle="1" w:styleId="Heading6Char">
    <w:name w:val="Heading 6 Char"/>
    <w:basedOn w:val="DefaultParagraphFont"/>
    <w:link w:val="Heading6"/>
    <w:uiPriority w:val="2"/>
    <w:rsid w:val="00F8025E"/>
    <w:rPr>
      <w:rFonts w:asciiTheme="majorHAnsi" w:eastAsiaTheme="majorEastAsia" w:hAnsiTheme="majorHAnsi" w:cstheme="majorBidi"/>
      <w:color w:val="A65815" w:themeColor="accent4" w:themeShade="BF"/>
      <w:sz w:val="22"/>
    </w:rPr>
  </w:style>
  <w:style w:type="character" w:customStyle="1" w:styleId="Heading7Char">
    <w:name w:val="Heading 7 Char"/>
    <w:basedOn w:val="DefaultParagraphFont"/>
    <w:link w:val="Heading7"/>
    <w:uiPriority w:val="2"/>
    <w:rsid w:val="00292BFC"/>
    <w:rPr>
      <w:rFonts w:asciiTheme="majorHAnsi" w:eastAsiaTheme="majorEastAsia" w:hAnsiTheme="majorHAnsi" w:cstheme="majorBidi"/>
      <w:b/>
      <w:bCs/>
      <w:color w:val="004261" w:themeColor="text2"/>
      <w:sz w:val="22"/>
    </w:rPr>
  </w:style>
  <w:style w:type="character" w:customStyle="1" w:styleId="Heading8Char">
    <w:name w:val="Heading 8 Char"/>
    <w:basedOn w:val="DefaultParagraphFont"/>
    <w:link w:val="Heading8"/>
    <w:uiPriority w:val="2"/>
    <w:rsid w:val="00292BFC"/>
    <w:rPr>
      <w:rFonts w:asciiTheme="majorHAnsi" w:eastAsiaTheme="majorEastAsia" w:hAnsiTheme="majorHAnsi" w:cstheme="majorBidi"/>
      <w:b/>
      <w:bCs/>
      <w:i/>
      <w:iCs/>
      <w:color w:val="004261" w:themeColor="text2"/>
      <w:sz w:val="20"/>
      <w:szCs w:val="20"/>
    </w:rPr>
  </w:style>
  <w:style w:type="character" w:customStyle="1" w:styleId="Heading9Char">
    <w:name w:val="Heading 9 Char"/>
    <w:basedOn w:val="DefaultParagraphFont"/>
    <w:link w:val="Heading9"/>
    <w:uiPriority w:val="2"/>
    <w:rsid w:val="00292BFC"/>
    <w:rPr>
      <w:rFonts w:asciiTheme="majorHAnsi" w:eastAsiaTheme="majorEastAsia" w:hAnsiTheme="majorHAnsi" w:cstheme="majorBidi"/>
      <w:i/>
      <w:iCs/>
      <w:color w:val="004261" w:themeColor="text2"/>
      <w:sz w:val="20"/>
      <w:szCs w:val="20"/>
    </w:rPr>
  </w:style>
  <w:style w:type="paragraph" w:styleId="Subtitle">
    <w:name w:val="Subtitle"/>
    <w:basedOn w:val="Normal"/>
    <w:next w:val="Normal"/>
    <w:link w:val="SubtitleChar"/>
    <w:uiPriority w:val="19"/>
    <w:rsid w:val="00F957C6"/>
    <w:pPr>
      <w:numPr>
        <w:ilvl w:val="1"/>
      </w:numPr>
      <w:spacing w:line="240" w:lineRule="auto"/>
    </w:pPr>
    <w:rPr>
      <w:rFonts w:eastAsiaTheme="majorEastAsia" w:cstheme="minorHAnsi"/>
      <w:noProof/>
      <w:sz w:val="28"/>
      <w:szCs w:val="30"/>
    </w:rPr>
  </w:style>
  <w:style w:type="character" w:customStyle="1" w:styleId="SubtitleChar">
    <w:name w:val="Subtitle Char"/>
    <w:basedOn w:val="DefaultParagraphFont"/>
    <w:link w:val="Subtitle"/>
    <w:uiPriority w:val="19"/>
    <w:rsid w:val="00E2753F"/>
    <w:rPr>
      <w:rFonts w:eastAsiaTheme="majorEastAsia" w:cstheme="minorHAnsi"/>
      <w:noProof/>
      <w:sz w:val="28"/>
      <w:szCs w:val="30"/>
    </w:rPr>
  </w:style>
  <w:style w:type="paragraph" w:styleId="NoSpacing">
    <w:name w:val="No Spacing"/>
    <w:link w:val="NoSpacingChar"/>
    <w:uiPriority w:val="1"/>
    <w:unhideWhenUsed/>
    <w:qFormat/>
    <w:rsid w:val="00D525B8"/>
    <w:pPr>
      <w:spacing w:after="0" w:line="240" w:lineRule="auto"/>
    </w:pPr>
  </w:style>
  <w:style w:type="paragraph" w:styleId="Caption">
    <w:name w:val="caption"/>
    <w:basedOn w:val="Normal"/>
    <w:next w:val="Normal"/>
    <w:uiPriority w:val="35"/>
    <w:unhideWhenUsed/>
    <w:qFormat/>
    <w:rsid w:val="00D525B8"/>
    <w:pPr>
      <w:spacing w:line="240" w:lineRule="auto"/>
    </w:pPr>
    <w:rPr>
      <w:b/>
      <w:bCs/>
      <w:smallCaps/>
      <w:color w:val="4D759C" w:themeColor="text1" w:themeTint="A6"/>
    </w:rPr>
  </w:style>
  <w:style w:type="character" w:styleId="Strong">
    <w:name w:val="Strong"/>
    <w:basedOn w:val="DefaultParagraphFont"/>
    <w:uiPriority w:val="22"/>
    <w:unhideWhenUsed/>
    <w:rsid w:val="00D525B8"/>
    <w:rPr>
      <w:b/>
      <w:bCs/>
    </w:rPr>
  </w:style>
  <w:style w:type="character" w:styleId="Emphasis">
    <w:name w:val="Emphasis"/>
    <w:basedOn w:val="DefaultParagraphFont"/>
    <w:uiPriority w:val="20"/>
    <w:unhideWhenUsed/>
    <w:qFormat/>
    <w:rsid w:val="005C0F15"/>
    <w:rPr>
      <w:i/>
      <w:iCs/>
      <w:color w:val="auto"/>
    </w:rPr>
  </w:style>
  <w:style w:type="paragraph" w:styleId="Quote">
    <w:name w:val="Quote"/>
    <w:basedOn w:val="Normal"/>
    <w:next w:val="Normal"/>
    <w:link w:val="QuoteChar"/>
    <w:uiPriority w:val="16"/>
    <w:qFormat/>
    <w:rsid w:val="00292BFC"/>
    <w:pPr>
      <w:spacing w:before="240"/>
      <w:ind w:left="720" w:right="720"/>
    </w:pPr>
    <w:rPr>
      <w:i/>
      <w:iCs/>
      <w:color w:val="004261" w:themeColor="text2"/>
    </w:rPr>
  </w:style>
  <w:style w:type="character" w:customStyle="1" w:styleId="QuoteChar">
    <w:name w:val="Quote Char"/>
    <w:basedOn w:val="DefaultParagraphFont"/>
    <w:link w:val="Quote"/>
    <w:uiPriority w:val="16"/>
    <w:rsid w:val="00292BFC"/>
    <w:rPr>
      <w:i/>
      <w:iCs/>
      <w:color w:val="004261" w:themeColor="text2"/>
      <w:sz w:val="22"/>
    </w:rPr>
  </w:style>
  <w:style w:type="paragraph" w:styleId="IntenseQuote">
    <w:name w:val="Intense Quote"/>
    <w:basedOn w:val="Normal"/>
    <w:next w:val="Normal"/>
    <w:link w:val="IntenseQuoteChar"/>
    <w:uiPriority w:val="17"/>
    <w:qFormat/>
    <w:rsid w:val="00292BFC"/>
    <w:pPr>
      <w:spacing w:before="120"/>
      <w:ind w:left="720" w:right="720"/>
    </w:pPr>
    <w:rPr>
      <w:rFonts w:asciiTheme="majorHAnsi" w:eastAsiaTheme="majorEastAsia" w:hAnsiTheme="majorHAnsi" w:cstheme="majorBidi"/>
      <w:i/>
      <w:iCs/>
      <w:color w:val="004261" w:themeColor="text2"/>
      <w:sz w:val="32"/>
      <w:szCs w:val="32"/>
    </w:rPr>
  </w:style>
  <w:style w:type="character" w:customStyle="1" w:styleId="IntenseQuoteChar">
    <w:name w:val="Intense Quote Char"/>
    <w:basedOn w:val="DefaultParagraphFont"/>
    <w:link w:val="IntenseQuote"/>
    <w:uiPriority w:val="17"/>
    <w:rsid w:val="00292BFC"/>
    <w:rPr>
      <w:rFonts w:asciiTheme="majorHAnsi" w:eastAsiaTheme="majorEastAsia" w:hAnsiTheme="majorHAnsi" w:cstheme="majorBidi"/>
      <w:i/>
      <w:iCs/>
      <w:color w:val="004261" w:themeColor="text2"/>
      <w:sz w:val="32"/>
      <w:szCs w:val="32"/>
    </w:rPr>
  </w:style>
  <w:style w:type="character" w:styleId="SubtleEmphasis">
    <w:name w:val="Subtle Emphasis"/>
    <w:basedOn w:val="DefaultParagraphFont"/>
    <w:uiPriority w:val="19"/>
    <w:unhideWhenUsed/>
    <w:rsid w:val="00D525B8"/>
    <w:rPr>
      <w:i/>
      <w:iCs/>
    </w:rPr>
  </w:style>
  <w:style w:type="character" w:styleId="IntenseEmphasis">
    <w:name w:val="Intense Emphasis"/>
    <w:basedOn w:val="DefaultParagraphFont"/>
    <w:uiPriority w:val="21"/>
    <w:unhideWhenUsed/>
    <w:rsid w:val="00D525B8"/>
    <w:rPr>
      <w:b/>
      <w:bCs/>
      <w:i/>
      <w:iCs/>
    </w:rPr>
  </w:style>
  <w:style w:type="character" w:styleId="SubtleReference">
    <w:name w:val="Subtle Reference"/>
    <w:basedOn w:val="DefaultParagraphFont"/>
    <w:uiPriority w:val="31"/>
    <w:unhideWhenUsed/>
    <w:rsid w:val="00F05263"/>
    <w:rPr>
      <w:rFonts w:asciiTheme="minorHAnsi" w:hAnsiTheme="minorHAnsi"/>
      <w:caps w:val="0"/>
      <w:smallCaps w:val="0"/>
      <w:color w:val="004261" w:themeColor="text2"/>
    </w:rPr>
  </w:style>
  <w:style w:type="character" w:styleId="IntenseReference">
    <w:name w:val="Intense Reference"/>
    <w:basedOn w:val="DefaultParagraphFont"/>
    <w:uiPriority w:val="32"/>
    <w:unhideWhenUsed/>
    <w:rsid w:val="00F05263"/>
    <w:rPr>
      <w:rFonts w:asciiTheme="majorHAnsi" w:hAnsiTheme="majorHAnsi"/>
      <w:b/>
      <w:bCs/>
      <w:caps w:val="0"/>
      <w:smallCaps w:val="0"/>
      <w:color w:val="004261" w:themeColor="text2"/>
    </w:rPr>
  </w:style>
  <w:style w:type="paragraph" w:styleId="TOCHeading">
    <w:name w:val="TOC Heading"/>
    <w:basedOn w:val="Heading1"/>
    <w:next w:val="Normal"/>
    <w:uiPriority w:val="39"/>
    <w:unhideWhenUsed/>
    <w:qFormat/>
    <w:rsid w:val="00D525B8"/>
    <w:pPr>
      <w:outlineLvl w:val="9"/>
    </w:pPr>
  </w:style>
  <w:style w:type="paragraph" w:styleId="Header">
    <w:name w:val="header"/>
    <w:basedOn w:val="Normal"/>
    <w:link w:val="HeaderChar"/>
    <w:uiPriority w:val="99"/>
    <w:unhideWhenUsed/>
    <w:rsid w:val="00F957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57C6"/>
  </w:style>
  <w:style w:type="paragraph" w:styleId="Footer">
    <w:name w:val="footer"/>
    <w:basedOn w:val="Normal"/>
    <w:link w:val="FooterChar"/>
    <w:uiPriority w:val="99"/>
    <w:unhideWhenUsed/>
    <w:rsid w:val="00F957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57C6"/>
  </w:style>
  <w:style w:type="character" w:styleId="PlaceholderText">
    <w:name w:val="Placeholder Text"/>
    <w:basedOn w:val="DefaultParagraphFont"/>
    <w:uiPriority w:val="99"/>
    <w:semiHidden/>
    <w:rsid w:val="005226B9"/>
    <w:rPr>
      <w:color w:val="808080"/>
    </w:rPr>
  </w:style>
  <w:style w:type="paragraph" w:styleId="BalloonText">
    <w:name w:val="Balloon Text"/>
    <w:basedOn w:val="Normal"/>
    <w:link w:val="BalloonTextChar"/>
    <w:uiPriority w:val="99"/>
    <w:semiHidden/>
    <w:unhideWhenUsed/>
    <w:rsid w:val="005226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26B9"/>
    <w:rPr>
      <w:rFonts w:ascii="Segoe UI" w:hAnsi="Segoe UI" w:cs="Segoe UI"/>
      <w:sz w:val="18"/>
      <w:szCs w:val="18"/>
    </w:rPr>
  </w:style>
  <w:style w:type="paragraph" w:customStyle="1" w:styleId="CLASSIFICATION">
    <w:name w:val="CLASSIFICATION"/>
    <w:basedOn w:val="Normal"/>
    <w:link w:val="CLASSIFICATIONChar"/>
    <w:autoRedefine/>
    <w:uiPriority w:val="99"/>
    <w:unhideWhenUsed/>
    <w:rsid w:val="00292BFC"/>
    <w:pPr>
      <w:jc w:val="center"/>
    </w:pPr>
    <w:rPr>
      <w:rFonts w:ascii="Segoe UI" w:hAnsi="Segoe UI"/>
      <w:caps/>
      <w:color w:val="BD3432" w:themeColor="accent6"/>
      <w:sz w:val="18"/>
    </w:rPr>
  </w:style>
  <w:style w:type="paragraph" w:customStyle="1" w:styleId="BOXHeading2">
    <w:name w:val="BOX Heading 2"/>
    <w:basedOn w:val="Heading2"/>
    <w:next w:val="BOXText"/>
    <w:uiPriority w:val="6"/>
    <w:qFormat/>
    <w:rsid w:val="00857363"/>
    <w:pPr>
      <w:pBdr>
        <w:top w:val="single" w:sz="48" w:space="1" w:color="E0E8F2"/>
        <w:left w:val="single" w:sz="48" w:space="4" w:color="E0E8F2"/>
        <w:bottom w:val="single" w:sz="48" w:space="1" w:color="E0E8F2"/>
        <w:right w:val="single" w:sz="48" w:space="4" w:color="E0E8F2"/>
      </w:pBdr>
      <w:shd w:val="clear" w:color="auto" w:fill="E0E8F2"/>
      <w:ind w:left="227" w:right="227"/>
    </w:pPr>
  </w:style>
  <w:style w:type="character" w:customStyle="1" w:styleId="CLASSIFICATIONChar">
    <w:name w:val="CLASSIFICATION Char"/>
    <w:basedOn w:val="DefaultParagraphFont"/>
    <w:link w:val="CLASSIFICATION"/>
    <w:uiPriority w:val="99"/>
    <w:rsid w:val="00292BFC"/>
    <w:rPr>
      <w:rFonts w:ascii="Segoe UI" w:hAnsi="Segoe UI"/>
      <w:caps/>
      <w:color w:val="BD3432" w:themeColor="accent6"/>
      <w:sz w:val="18"/>
    </w:rPr>
  </w:style>
  <w:style w:type="paragraph" w:customStyle="1" w:styleId="BOXText">
    <w:name w:val="BOX Text"/>
    <w:basedOn w:val="Normal"/>
    <w:uiPriority w:val="4"/>
    <w:qFormat/>
    <w:rsid w:val="00292BFC"/>
    <w:pPr>
      <w:pBdr>
        <w:top w:val="single" w:sz="48" w:space="1" w:color="E1E9F0" w:themeColor="text1" w:themeTint="1A"/>
        <w:left w:val="single" w:sz="48" w:space="4" w:color="E1E9F0" w:themeColor="text1" w:themeTint="1A"/>
        <w:bottom w:val="single" w:sz="48" w:space="1" w:color="E1E9F0" w:themeColor="text1" w:themeTint="1A"/>
        <w:right w:val="single" w:sz="48" w:space="4" w:color="E1E9F0" w:themeColor="text1" w:themeTint="1A"/>
      </w:pBdr>
      <w:shd w:val="clear" w:color="auto" w:fill="E0E8F2"/>
      <w:tabs>
        <w:tab w:val="left" w:pos="3300"/>
      </w:tabs>
      <w:ind w:left="227" w:right="227"/>
    </w:pPr>
    <w:rPr>
      <w:color w:val="1C2B39" w:themeColor="text1"/>
    </w:rPr>
  </w:style>
  <w:style w:type="paragraph" w:customStyle="1" w:styleId="BOXBulletedList">
    <w:name w:val="BOX Bulleted List"/>
    <w:basedOn w:val="BOXText"/>
    <w:uiPriority w:val="5"/>
    <w:qFormat/>
    <w:rsid w:val="00BD171D"/>
    <w:pPr>
      <w:numPr>
        <w:numId w:val="1"/>
      </w:numPr>
      <w:ind w:left="511"/>
    </w:pPr>
  </w:style>
  <w:style w:type="table" w:styleId="TableGrid">
    <w:name w:val="Table Grid"/>
    <w:basedOn w:val="TableNormal"/>
    <w:uiPriority w:val="39"/>
    <w:rsid w:val="00BD57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4-Accent1">
    <w:name w:val="List Table 4 Accent 1"/>
    <w:basedOn w:val="TableNormal"/>
    <w:uiPriority w:val="49"/>
    <w:rsid w:val="00BD57F5"/>
    <w:pPr>
      <w:spacing w:after="0" w:line="240" w:lineRule="auto"/>
    </w:pPr>
    <w:tblPr>
      <w:tblStyleRowBandSize w:val="1"/>
      <w:tblStyleColBandSize w:val="1"/>
      <w:tblBorders>
        <w:top w:val="single" w:sz="4" w:space="0" w:color="5480AB" w:themeColor="accent1" w:themeTint="99"/>
        <w:left w:val="single" w:sz="4" w:space="0" w:color="5480AB" w:themeColor="accent1" w:themeTint="99"/>
        <w:bottom w:val="single" w:sz="4" w:space="0" w:color="5480AB" w:themeColor="accent1" w:themeTint="99"/>
        <w:right w:val="single" w:sz="4" w:space="0" w:color="5480AB" w:themeColor="accent1" w:themeTint="99"/>
        <w:insideH w:val="single" w:sz="4" w:space="0" w:color="5480AB" w:themeColor="accent1" w:themeTint="99"/>
      </w:tblBorders>
    </w:tblPr>
    <w:tblStylePr w:type="firstRow">
      <w:rPr>
        <w:b/>
        <w:bCs/>
        <w:color w:val="FFFFFF" w:themeColor="background1"/>
      </w:rPr>
      <w:tblPr/>
      <w:tcPr>
        <w:tcBorders>
          <w:top w:val="single" w:sz="4" w:space="0" w:color="1C2B39" w:themeColor="accent1"/>
          <w:left w:val="single" w:sz="4" w:space="0" w:color="1C2B39" w:themeColor="accent1"/>
          <w:bottom w:val="single" w:sz="4" w:space="0" w:color="1C2B39" w:themeColor="accent1"/>
          <w:right w:val="single" w:sz="4" w:space="0" w:color="1C2B39" w:themeColor="accent1"/>
          <w:insideH w:val="nil"/>
        </w:tcBorders>
        <w:shd w:val="clear" w:color="auto" w:fill="1C2B39" w:themeFill="accent1"/>
      </w:tcPr>
    </w:tblStylePr>
    <w:tblStylePr w:type="lastRow">
      <w:rPr>
        <w:b/>
        <w:bCs/>
      </w:rPr>
      <w:tblPr/>
      <w:tcPr>
        <w:tcBorders>
          <w:top w:val="double" w:sz="4" w:space="0" w:color="5480AB" w:themeColor="accent1" w:themeTint="99"/>
        </w:tcBorders>
      </w:tcPr>
    </w:tblStylePr>
    <w:tblStylePr w:type="firstCol">
      <w:rPr>
        <w:b/>
        <w:bCs/>
      </w:rPr>
    </w:tblStylePr>
    <w:tblStylePr w:type="lastCol">
      <w:rPr>
        <w:b/>
        <w:bCs/>
      </w:rPr>
    </w:tblStylePr>
    <w:tblStylePr w:type="band1Vert">
      <w:tblPr/>
      <w:tcPr>
        <w:shd w:val="clear" w:color="auto" w:fill="C6D4E3" w:themeFill="accent1" w:themeFillTint="33"/>
      </w:tcPr>
    </w:tblStylePr>
    <w:tblStylePr w:type="band1Horz">
      <w:tblPr/>
      <w:tcPr>
        <w:shd w:val="clear" w:color="auto" w:fill="C6D4E3" w:themeFill="accent1" w:themeFillTint="33"/>
      </w:tcPr>
    </w:tblStylePr>
  </w:style>
  <w:style w:type="paragraph" w:customStyle="1" w:styleId="Figure">
    <w:name w:val="Figure"/>
    <w:basedOn w:val="Normal"/>
    <w:uiPriority w:val="2"/>
    <w:qFormat/>
    <w:rsid w:val="00F8025E"/>
    <w:pPr>
      <w:numPr>
        <w:numId w:val="6"/>
      </w:numPr>
      <w:spacing w:before="240"/>
    </w:pPr>
    <w:rPr>
      <w:rFonts w:asciiTheme="majorHAnsi" w:hAnsiTheme="majorHAnsi" w:cs="Segoe UI"/>
      <w:color w:val="004261" w:themeColor="text2"/>
    </w:rPr>
  </w:style>
  <w:style w:type="paragraph" w:customStyle="1" w:styleId="TBLHeading">
    <w:name w:val="TBL Heading"/>
    <w:basedOn w:val="Normal"/>
    <w:autoRedefine/>
    <w:uiPriority w:val="11"/>
    <w:qFormat/>
    <w:rsid w:val="00995541"/>
    <w:pPr>
      <w:spacing w:after="0" w:line="240" w:lineRule="auto"/>
    </w:pPr>
    <w:rPr>
      <w:rFonts w:ascii="Segoe UI" w:hAnsi="Segoe UI" w:cs="Segoe UI"/>
      <w:color w:val="FFFFFF" w:themeColor="background1"/>
    </w:rPr>
  </w:style>
  <w:style w:type="paragraph" w:customStyle="1" w:styleId="TBLText">
    <w:name w:val="TBL Text"/>
    <w:basedOn w:val="Normal"/>
    <w:uiPriority w:val="9"/>
    <w:qFormat/>
    <w:rsid w:val="009615D2"/>
    <w:pPr>
      <w:spacing w:after="0" w:line="240" w:lineRule="auto"/>
    </w:pPr>
    <w:rPr>
      <w:sz w:val="18"/>
      <w:szCs w:val="18"/>
    </w:rPr>
  </w:style>
  <w:style w:type="paragraph" w:customStyle="1" w:styleId="TBLBulletedList">
    <w:name w:val="TBL Bulleted List"/>
    <w:basedOn w:val="TBLText"/>
    <w:uiPriority w:val="10"/>
    <w:qFormat/>
    <w:rsid w:val="001B2D56"/>
    <w:pPr>
      <w:numPr>
        <w:numId w:val="2"/>
      </w:numPr>
      <w:ind w:left="206" w:hanging="206"/>
    </w:pPr>
  </w:style>
  <w:style w:type="paragraph" w:customStyle="1" w:styleId="TBLNumberedList">
    <w:name w:val="TBL Numbered List"/>
    <w:basedOn w:val="TBLText"/>
    <w:uiPriority w:val="10"/>
    <w:qFormat/>
    <w:rsid w:val="00E05FA4"/>
    <w:pPr>
      <w:numPr>
        <w:numId w:val="3"/>
      </w:numPr>
      <w:ind w:left="270" w:hanging="270"/>
    </w:pPr>
  </w:style>
  <w:style w:type="paragraph" w:customStyle="1" w:styleId="BOXHeading3">
    <w:name w:val="BOX Heading 3"/>
    <w:basedOn w:val="BOXHeading2"/>
    <w:next w:val="BOXText"/>
    <w:uiPriority w:val="6"/>
    <w:qFormat/>
    <w:rsid w:val="00F8025E"/>
    <w:pPr>
      <w:outlineLvl w:val="2"/>
    </w:pPr>
    <w:rPr>
      <w:rFonts w:cstheme="minorHAnsi"/>
      <w:sz w:val="24"/>
      <w:szCs w:val="26"/>
    </w:rPr>
  </w:style>
  <w:style w:type="paragraph" w:styleId="ListParagraph">
    <w:name w:val="List Paragraph"/>
    <w:aliases w:val="CAB - List Bullet,List Bullet Cab"/>
    <w:basedOn w:val="Normal"/>
    <w:uiPriority w:val="34"/>
    <w:unhideWhenUsed/>
    <w:qFormat/>
    <w:rsid w:val="005917FD"/>
    <w:pPr>
      <w:ind w:left="720"/>
      <w:contextualSpacing/>
    </w:pPr>
  </w:style>
  <w:style w:type="paragraph" w:customStyle="1" w:styleId="BulletedList-Level1">
    <w:name w:val="Bulleted List - Level 1"/>
    <w:basedOn w:val="ListParagraph"/>
    <w:uiPriority w:val="1"/>
    <w:qFormat/>
    <w:rsid w:val="00BD171D"/>
    <w:pPr>
      <w:numPr>
        <w:numId w:val="4"/>
      </w:numPr>
      <w:ind w:left="568" w:hanging="284"/>
    </w:pPr>
  </w:style>
  <w:style w:type="paragraph" w:customStyle="1" w:styleId="BulletedList-Level2">
    <w:name w:val="Bulleted List - Level 2"/>
    <w:basedOn w:val="BulletedList-Level1"/>
    <w:uiPriority w:val="1"/>
    <w:qFormat/>
    <w:rsid w:val="00BD171D"/>
    <w:pPr>
      <w:numPr>
        <w:numId w:val="9"/>
      </w:numPr>
    </w:pPr>
  </w:style>
  <w:style w:type="paragraph" w:customStyle="1" w:styleId="BulletedList-Level3">
    <w:name w:val="Bulleted List - Level 3"/>
    <w:basedOn w:val="ListParagraph"/>
    <w:uiPriority w:val="1"/>
    <w:qFormat/>
    <w:rsid w:val="00BD171D"/>
    <w:pPr>
      <w:numPr>
        <w:numId w:val="10"/>
      </w:numPr>
      <w:ind w:left="1135" w:hanging="284"/>
    </w:pPr>
  </w:style>
  <w:style w:type="paragraph" w:customStyle="1" w:styleId="NumberedList-Level1">
    <w:name w:val="Numbered List - Level 1"/>
    <w:basedOn w:val="ListParagraph"/>
    <w:uiPriority w:val="1"/>
    <w:qFormat/>
    <w:rsid w:val="00BD171D"/>
    <w:pPr>
      <w:numPr>
        <w:numId w:val="5"/>
      </w:numPr>
      <w:ind w:left="568" w:hanging="284"/>
    </w:pPr>
  </w:style>
  <w:style w:type="paragraph" w:customStyle="1" w:styleId="NumberedList-level2">
    <w:name w:val="Numbered List - level 2"/>
    <w:basedOn w:val="ListParagraph"/>
    <w:uiPriority w:val="1"/>
    <w:qFormat/>
    <w:rsid w:val="00BD171D"/>
    <w:pPr>
      <w:numPr>
        <w:ilvl w:val="1"/>
        <w:numId w:val="5"/>
      </w:numPr>
    </w:pPr>
  </w:style>
  <w:style w:type="paragraph" w:customStyle="1" w:styleId="NumberedList-Level3">
    <w:name w:val="Numbered List - Level 3"/>
    <w:basedOn w:val="ListParagraph"/>
    <w:uiPriority w:val="1"/>
    <w:qFormat/>
    <w:rsid w:val="00BD171D"/>
    <w:pPr>
      <w:numPr>
        <w:ilvl w:val="2"/>
        <w:numId w:val="5"/>
      </w:numPr>
    </w:pPr>
  </w:style>
  <w:style w:type="paragraph" w:customStyle="1" w:styleId="BoxDark-HeadingLevel1">
    <w:name w:val="Box Dark - Heading Level 1"/>
    <w:basedOn w:val="BOXHeading2"/>
    <w:uiPriority w:val="9"/>
    <w:rsid w:val="00311C2D"/>
    <w:pPr>
      <w:pBdr>
        <w:top w:val="single" w:sz="48" w:space="1" w:color="1C2B39" w:themeColor="accent1"/>
        <w:left w:val="single" w:sz="48" w:space="4" w:color="1C2B39" w:themeColor="accent1"/>
        <w:bottom w:val="single" w:sz="48" w:space="1" w:color="1C2B39" w:themeColor="accent1"/>
        <w:right w:val="single" w:sz="48" w:space="4" w:color="1C2B39" w:themeColor="accent1"/>
      </w:pBdr>
      <w:shd w:val="clear" w:color="auto" w:fill="1C2B39" w:themeFill="accent1"/>
    </w:pPr>
    <w:rPr>
      <w:color w:val="FFFFFF" w:themeColor="background1"/>
    </w:rPr>
  </w:style>
  <w:style w:type="paragraph" w:styleId="TOC1">
    <w:name w:val="toc 1"/>
    <w:basedOn w:val="Normal"/>
    <w:next w:val="Normal"/>
    <w:autoRedefine/>
    <w:uiPriority w:val="39"/>
    <w:unhideWhenUsed/>
    <w:rsid w:val="00117A77"/>
    <w:pPr>
      <w:spacing w:after="100"/>
    </w:pPr>
  </w:style>
  <w:style w:type="paragraph" w:styleId="TOC2">
    <w:name w:val="toc 2"/>
    <w:basedOn w:val="Normal"/>
    <w:next w:val="Normal"/>
    <w:autoRedefine/>
    <w:uiPriority w:val="39"/>
    <w:unhideWhenUsed/>
    <w:rsid w:val="00117A77"/>
    <w:pPr>
      <w:spacing w:after="100"/>
      <w:ind w:left="220"/>
    </w:pPr>
  </w:style>
  <w:style w:type="paragraph" w:styleId="TOC3">
    <w:name w:val="toc 3"/>
    <w:basedOn w:val="Normal"/>
    <w:next w:val="Normal"/>
    <w:autoRedefine/>
    <w:uiPriority w:val="39"/>
    <w:unhideWhenUsed/>
    <w:rsid w:val="00117A77"/>
    <w:pPr>
      <w:spacing w:after="100"/>
      <w:ind w:left="440"/>
    </w:pPr>
  </w:style>
  <w:style w:type="character" w:styleId="Hyperlink">
    <w:name w:val="Hyperlink"/>
    <w:basedOn w:val="DefaultParagraphFont"/>
    <w:uiPriority w:val="99"/>
    <w:unhideWhenUsed/>
    <w:rsid w:val="00AB0931"/>
    <w:rPr>
      <w:color w:val="5E1919" w:themeColor="accent6" w:themeShade="80"/>
      <w:u w:val="single"/>
    </w:rPr>
  </w:style>
  <w:style w:type="paragraph" w:customStyle="1" w:styleId="BoxDark-HeadingLevel3">
    <w:name w:val="Box Dark - Heading Level 3"/>
    <w:basedOn w:val="BOXHeading3"/>
    <w:uiPriority w:val="9"/>
    <w:rsid w:val="00311C2D"/>
    <w:pPr>
      <w:pBdr>
        <w:top w:val="single" w:sz="48" w:space="1" w:color="1C2B39" w:themeColor="accent1"/>
        <w:left w:val="single" w:sz="48" w:space="4" w:color="1C2B39" w:themeColor="accent1"/>
        <w:bottom w:val="single" w:sz="48" w:space="1" w:color="1C2B39" w:themeColor="accent1"/>
        <w:right w:val="single" w:sz="48" w:space="4" w:color="1C2B39" w:themeColor="accent1"/>
      </w:pBdr>
      <w:shd w:val="clear" w:color="auto" w:fill="1C2B39" w:themeFill="accent1"/>
    </w:pPr>
    <w:rPr>
      <w:color w:val="FFFFFF" w:themeColor="background1"/>
    </w:rPr>
  </w:style>
  <w:style w:type="paragraph" w:customStyle="1" w:styleId="BoxDark-Text">
    <w:name w:val="Box Dark - Text"/>
    <w:basedOn w:val="BOXText"/>
    <w:uiPriority w:val="7"/>
    <w:rsid w:val="00FE2C7F"/>
    <w:pPr>
      <w:pBdr>
        <w:top w:val="single" w:sz="48" w:space="1" w:color="1C2B39" w:themeColor="accent1"/>
        <w:left w:val="single" w:sz="48" w:space="4" w:color="1C2B39" w:themeColor="accent1"/>
        <w:bottom w:val="single" w:sz="48" w:space="1" w:color="1C2B39" w:themeColor="accent1"/>
        <w:right w:val="single" w:sz="48" w:space="4" w:color="1C2B39" w:themeColor="accent1"/>
      </w:pBdr>
      <w:shd w:val="clear" w:color="auto" w:fill="1C2B39" w:themeFill="accent1"/>
    </w:pPr>
    <w:rPr>
      <w:rFonts w:ascii="Segoe UI Semilight" w:hAnsi="Segoe UI Semilight"/>
      <w:color w:val="FFFFFF" w:themeColor="background1"/>
    </w:rPr>
  </w:style>
  <w:style w:type="paragraph" w:customStyle="1" w:styleId="BoxDark-BulletedList">
    <w:name w:val="Box Dark - Bulleted List"/>
    <w:basedOn w:val="BOXBulletedList"/>
    <w:uiPriority w:val="8"/>
    <w:rsid w:val="00FE2C7F"/>
    <w:pPr>
      <w:pBdr>
        <w:top w:val="single" w:sz="48" w:space="1" w:color="1C2B39" w:themeColor="accent1"/>
        <w:left w:val="single" w:sz="48" w:space="4" w:color="1C2B39" w:themeColor="accent1"/>
        <w:bottom w:val="single" w:sz="48" w:space="1" w:color="1C2B39" w:themeColor="accent1"/>
        <w:right w:val="single" w:sz="48" w:space="4" w:color="1C2B39" w:themeColor="accent1"/>
      </w:pBdr>
      <w:shd w:val="clear" w:color="auto" w:fill="1C2B39" w:themeFill="accent1"/>
    </w:pPr>
    <w:rPr>
      <w:rFonts w:ascii="Segoe UI Semilight" w:hAnsi="Segoe UI Semilight"/>
    </w:rPr>
  </w:style>
  <w:style w:type="paragraph" w:customStyle="1" w:styleId="BOXNumberedList">
    <w:name w:val="BOX Numbered List"/>
    <w:basedOn w:val="BOXText"/>
    <w:uiPriority w:val="5"/>
    <w:qFormat/>
    <w:rsid w:val="00BD171D"/>
    <w:pPr>
      <w:numPr>
        <w:numId w:val="7"/>
      </w:numPr>
      <w:ind w:left="584" w:hanging="357"/>
    </w:pPr>
  </w:style>
  <w:style w:type="paragraph" w:customStyle="1" w:styleId="BoxDark-NumberedList">
    <w:name w:val="Box Dark - Numbered List"/>
    <w:basedOn w:val="BOXNumberedList"/>
    <w:uiPriority w:val="8"/>
    <w:rsid w:val="00FE2C7F"/>
    <w:pPr>
      <w:numPr>
        <w:numId w:val="8"/>
      </w:numPr>
      <w:pBdr>
        <w:top w:val="single" w:sz="48" w:space="1" w:color="1C2B39" w:themeColor="accent1"/>
        <w:left w:val="single" w:sz="48" w:space="4" w:color="1C2B39" w:themeColor="accent1"/>
        <w:bottom w:val="single" w:sz="48" w:space="1" w:color="1C2B39" w:themeColor="accent1"/>
        <w:right w:val="single" w:sz="48" w:space="4" w:color="1C2B39" w:themeColor="accent1"/>
      </w:pBdr>
      <w:shd w:val="clear" w:color="auto" w:fill="1C2B39" w:themeFill="accent1"/>
      <w:ind w:left="584" w:hanging="357"/>
    </w:pPr>
  </w:style>
  <w:style w:type="table" w:customStyle="1" w:styleId="Custom1">
    <w:name w:val="Custom 1"/>
    <w:basedOn w:val="TableNormal"/>
    <w:uiPriority w:val="99"/>
    <w:rsid w:val="00665FB6"/>
    <w:pPr>
      <w:spacing w:after="0" w:line="240" w:lineRule="auto"/>
    </w:pPr>
    <w:rPr>
      <w:sz w:val="18"/>
    </w:rPr>
    <w:tblPr>
      <w:tblStyleRowBandSize w:val="1"/>
      <w:tblBorders>
        <w:top w:val="single" w:sz="4" w:space="0" w:color="1C2B39" w:themeColor="accent1"/>
        <w:bottom w:val="single" w:sz="12" w:space="0" w:color="1C2B39" w:themeColor="accent1"/>
        <w:insideH w:val="single" w:sz="4" w:space="0" w:color="1C2B39" w:themeColor="accent1"/>
      </w:tblBorders>
      <w:tblCellMar>
        <w:top w:w="57" w:type="dxa"/>
        <w:bottom w:w="57" w:type="dxa"/>
      </w:tblCellMar>
    </w:tblPr>
    <w:tblStylePr w:type="firstRow">
      <w:rPr>
        <w:rFonts w:asciiTheme="minorHAnsi" w:hAnsiTheme="minorHAnsi"/>
        <w:b/>
        <w:sz w:val="18"/>
      </w:rPr>
      <w:tblPr/>
      <w:tcPr>
        <w:shd w:val="clear" w:color="auto" w:fill="1C2B39" w:themeFill="accent1"/>
      </w:tcPr>
    </w:tblStylePr>
    <w:tblStylePr w:type="band1Horz">
      <w:tblPr/>
      <w:tcPr>
        <w:shd w:val="clear" w:color="auto" w:fill="FFFFFF" w:themeFill="background2"/>
      </w:tcPr>
    </w:tblStylePr>
  </w:style>
  <w:style w:type="table" w:customStyle="1" w:styleId="Style1">
    <w:name w:val="Style1"/>
    <w:basedOn w:val="Custom1"/>
    <w:uiPriority w:val="99"/>
    <w:rsid w:val="00815583"/>
    <w:tblPr>
      <w:tblBorders>
        <w:top w:val="none" w:sz="0" w:space="0" w:color="auto"/>
        <w:left w:val="single" w:sz="4" w:space="0" w:color="1C2B39" w:themeColor="accent1"/>
        <w:bottom w:val="single" w:sz="4" w:space="0" w:color="1C2B39" w:themeColor="accent1"/>
        <w:right w:val="single" w:sz="4" w:space="0" w:color="1C2B39" w:themeColor="accent1"/>
        <w:insideH w:val="none" w:sz="0" w:space="0" w:color="auto"/>
        <w:insideV w:val="single" w:sz="4" w:space="0" w:color="1C2B39" w:themeColor="accent1"/>
      </w:tblBorders>
    </w:tblPr>
    <w:tblStylePr w:type="firstRow">
      <w:rPr>
        <w:rFonts w:asciiTheme="minorHAnsi" w:hAnsiTheme="minorHAnsi"/>
        <w:b/>
        <w:sz w:val="18"/>
      </w:rPr>
      <w:tblPr/>
      <w:tcPr>
        <w:shd w:val="clear" w:color="auto" w:fill="1C2B39" w:themeFill="accent1"/>
      </w:tcPr>
    </w:tblStylePr>
    <w:tblStylePr w:type="firstCol">
      <w:rPr>
        <w:b/>
      </w:rPr>
      <w:tblPr/>
      <w:tcPr>
        <w:shd w:val="clear" w:color="auto" w:fill="1C2B39" w:themeFill="accent1"/>
      </w:tcPr>
    </w:tblStylePr>
    <w:tblStylePr w:type="band1Horz">
      <w:tblPr/>
      <w:tcPr>
        <w:shd w:val="clear" w:color="auto" w:fill="FFFFFF" w:themeFill="background2"/>
      </w:tcPr>
    </w:tblStylePr>
  </w:style>
  <w:style w:type="paragraph" w:customStyle="1" w:styleId="EmphasisPanelBullet">
    <w:name w:val="Emphasis Panel Bullet"/>
    <w:uiPriority w:val="11"/>
    <w:qFormat/>
    <w:rsid w:val="0014151F"/>
    <w:pPr>
      <w:keepLines/>
      <w:numPr>
        <w:numId w:val="12"/>
      </w:numPr>
      <w:pBdr>
        <w:top w:val="single" w:sz="4" w:space="8" w:color="FFFFFF" w:themeColor="background2"/>
        <w:left w:val="single" w:sz="4" w:space="8" w:color="FFFFFF" w:themeColor="background2"/>
        <w:bottom w:val="single" w:sz="4" w:space="8" w:color="FFFFFF" w:themeColor="background2"/>
        <w:right w:val="single" w:sz="4" w:space="8" w:color="FFFFFF" w:themeColor="background2"/>
      </w:pBdr>
      <w:shd w:val="clear" w:color="auto" w:fill="FFFFFF" w:themeFill="background2"/>
      <w:spacing w:before="120" w:after="120" w:line="264" w:lineRule="auto"/>
      <w:ind w:right="215"/>
    </w:pPr>
    <w:rPr>
      <w:rFonts w:eastAsia="Times New Roman" w:cstheme="minorHAnsi"/>
      <w:color w:val="314A63" w:themeColor="text1" w:themeTint="D9"/>
      <w:sz w:val="20"/>
      <w:szCs w:val="22"/>
      <w:lang w:val="en-US"/>
    </w:rPr>
  </w:style>
  <w:style w:type="paragraph" w:customStyle="1" w:styleId="TableNumbering">
    <w:name w:val="Table Numbering"/>
    <w:uiPriority w:val="11"/>
    <w:qFormat/>
    <w:rsid w:val="002771EC"/>
    <w:pPr>
      <w:numPr>
        <w:numId w:val="14"/>
      </w:numPr>
      <w:spacing w:before="40" w:after="40" w:line="264" w:lineRule="auto"/>
    </w:pPr>
    <w:rPr>
      <w:rFonts w:eastAsiaTheme="minorHAnsi"/>
      <w:color w:val="1C2B39" w:themeColor="text1"/>
      <w:sz w:val="18"/>
      <w:szCs w:val="20"/>
    </w:rPr>
  </w:style>
  <w:style w:type="character" w:styleId="FollowedHyperlink">
    <w:name w:val="FollowedHyperlink"/>
    <w:basedOn w:val="DefaultParagraphFont"/>
    <w:uiPriority w:val="99"/>
    <w:semiHidden/>
    <w:unhideWhenUsed/>
    <w:rsid w:val="007E6917"/>
    <w:rPr>
      <w:color w:val="DE761C" w:themeColor="followedHyperlink"/>
      <w:u w:val="single"/>
    </w:rPr>
  </w:style>
  <w:style w:type="paragraph" w:styleId="ListBullet">
    <w:name w:val="List Bullet"/>
    <w:basedOn w:val="Normal"/>
    <w:uiPriority w:val="99"/>
    <w:unhideWhenUsed/>
    <w:rsid w:val="00A45279"/>
    <w:pPr>
      <w:numPr>
        <w:numId w:val="20"/>
      </w:numPr>
      <w:contextualSpacing/>
    </w:pPr>
  </w:style>
  <w:style w:type="paragraph" w:styleId="FootnoteText">
    <w:name w:val="footnote text"/>
    <w:link w:val="FootnoteTextChar"/>
    <w:rsid w:val="00C923A5"/>
    <w:pPr>
      <w:spacing w:after="0" w:line="240" w:lineRule="auto"/>
    </w:pPr>
    <w:rPr>
      <w:rFonts w:ascii="Arial" w:eastAsia="Times New Roman" w:hAnsi="Arial" w:cs="Times New Roman"/>
      <w:sz w:val="20"/>
      <w:szCs w:val="20"/>
    </w:rPr>
  </w:style>
  <w:style w:type="character" w:customStyle="1" w:styleId="FootnoteTextChar">
    <w:name w:val="Footnote Text Char"/>
    <w:basedOn w:val="DefaultParagraphFont"/>
    <w:link w:val="FootnoteText"/>
    <w:rsid w:val="00C923A5"/>
    <w:rPr>
      <w:rFonts w:ascii="Arial" w:eastAsia="Times New Roman" w:hAnsi="Arial" w:cs="Times New Roman"/>
      <w:sz w:val="20"/>
      <w:szCs w:val="20"/>
    </w:rPr>
  </w:style>
  <w:style w:type="character" w:styleId="FootnoteReference">
    <w:name w:val="footnote reference"/>
    <w:basedOn w:val="DefaultParagraphFont"/>
    <w:semiHidden/>
    <w:unhideWhenUsed/>
    <w:rsid w:val="00C923A5"/>
    <w:rPr>
      <w:vertAlign w:val="superscript"/>
    </w:rPr>
  </w:style>
  <w:style w:type="character" w:styleId="CommentReference">
    <w:name w:val="annotation reference"/>
    <w:basedOn w:val="DefaultParagraphFont"/>
    <w:uiPriority w:val="99"/>
    <w:semiHidden/>
    <w:unhideWhenUsed/>
    <w:rsid w:val="00CC646D"/>
    <w:rPr>
      <w:sz w:val="16"/>
      <w:szCs w:val="16"/>
    </w:rPr>
  </w:style>
  <w:style w:type="paragraph" w:styleId="CommentText">
    <w:name w:val="annotation text"/>
    <w:basedOn w:val="Normal"/>
    <w:link w:val="CommentTextChar"/>
    <w:uiPriority w:val="99"/>
    <w:unhideWhenUsed/>
    <w:rsid w:val="00CC646D"/>
    <w:pPr>
      <w:spacing w:after="200" w:line="276" w:lineRule="auto"/>
    </w:pPr>
    <w:rPr>
      <w:rFonts w:ascii="Arial" w:eastAsiaTheme="minorHAnsi" w:hAnsi="Arial"/>
      <w:sz w:val="20"/>
      <w:szCs w:val="20"/>
    </w:rPr>
  </w:style>
  <w:style w:type="character" w:customStyle="1" w:styleId="CommentTextChar">
    <w:name w:val="Comment Text Char"/>
    <w:basedOn w:val="DefaultParagraphFont"/>
    <w:link w:val="CommentText"/>
    <w:uiPriority w:val="99"/>
    <w:rsid w:val="00CC646D"/>
    <w:rPr>
      <w:rFonts w:ascii="Arial" w:eastAsiaTheme="minorHAnsi" w:hAnsi="Arial"/>
      <w:sz w:val="20"/>
      <w:szCs w:val="20"/>
    </w:rPr>
  </w:style>
  <w:style w:type="paragraph" w:customStyle="1" w:styleId="CABParagraph">
    <w:name w:val="CAB Paragraph"/>
    <w:basedOn w:val="BodyText"/>
    <w:link w:val="CABParagraphChar"/>
    <w:uiPriority w:val="98"/>
    <w:qFormat/>
    <w:rsid w:val="00CC646D"/>
    <w:pPr>
      <w:spacing w:before="120" w:after="0" w:line="240" w:lineRule="auto"/>
    </w:pPr>
    <w:rPr>
      <w:rFonts w:ascii="Arial" w:eastAsiaTheme="minorHAnsi" w:hAnsi="Arial"/>
      <w:szCs w:val="22"/>
    </w:rPr>
  </w:style>
  <w:style w:type="character" w:customStyle="1" w:styleId="CABParagraphChar">
    <w:name w:val="CAB Paragraph Char"/>
    <w:basedOn w:val="DefaultParagraphFont"/>
    <w:link w:val="CABParagraph"/>
    <w:uiPriority w:val="98"/>
    <w:rsid w:val="00CC646D"/>
    <w:rPr>
      <w:rFonts w:ascii="Arial" w:eastAsiaTheme="minorHAnsi" w:hAnsi="Arial"/>
      <w:sz w:val="22"/>
      <w:szCs w:val="22"/>
    </w:rPr>
  </w:style>
  <w:style w:type="paragraph" w:customStyle="1" w:styleId="CAB-NumberedParagraph">
    <w:name w:val="CAB - Numbered Paragraph"/>
    <w:basedOn w:val="Normal"/>
    <w:uiPriority w:val="98"/>
    <w:rsid w:val="00CC646D"/>
    <w:pPr>
      <w:spacing w:before="120" w:after="120" w:line="240" w:lineRule="auto"/>
      <w:ind w:left="567" w:hanging="567"/>
    </w:pPr>
    <w:rPr>
      <w:rFonts w:ascii="Arial" w:eastAsiaTheme="minorHAnsi" w:hAnsi="Arial"/>
      <w:szCs w:val="22"/>
    </w:rPr>
  </w:style>
  <w:style w:type="paragraph" w:styleId="BodyText">
    <w:name w:val="Body Text"/>
    <w:basedOn w:val="Normal"/>
    <w:link w:val="BodyTextChar"/>
    <w:uiPriority w:val="99"/>
    <w:semiHidden/>
    <w:unhideWhenUsed/>
    <w:rsid w:val="00CC646D"/>
    <w:pPr>
      <w:spacing w:after="120"/>
    </w:pPr>
  </w:style>
  <w:style w:type="character" w:customStyle="1" w:styleId="BodyTextChar">
    <w:name w:val="Body Text Char"/>
    <w:basedOn w:val="DefaultParagraphFont"/>
    <w:link w:val="BodyText"/>
    <w:uiPriority w:val="99"/>
    <w:semiHidden/>
    <w:rsid w:val="00CC646D"/>
    <w:rPr>
      <w:sz w:val="22"/>
    </w:rPr>
  </w:style>
  <w:style w:type="paragraph" w:styleId="CommentSubject">
    <w:name w:val="annotation subject"/>
    <w:basedOn w:val="CommentText"/>
    <w:next w:val="CommentText"/>
    <w:link w:val="CommentSubjectChar"/>
    <w:uiPriority w:val="99"/>
    <w:semiHidden/>
    <w:unhideWhenUsed/>
    <w:rsid w:val="00CC646D"/>
    <w:pPr>
      <w:spacing w:after="160" w:line="240" w:lineRule="auto"/>
    </w:pPr>
    <w:rPr>
      <w:rFonts w:asciiTheme="minorHAnsi" w:eastAsiaTheme="minorEastAsia" w:hAnsiTheme="minorHAnsi"/>
      <w:b/>
      <w:bCs/>
    </w:rPr>
  </w:style>
  <w:style w:type="character" w:customStyle="1" w:styleId="CommentSubjectChar">
    <w:name w:val="Comment Subject Char"/>
    <w:basedOn w:val="CommentTextChar"/>
    <w:link w:val="CommentSubject"/>
    <w:uiPriority w:val="99"/>
    <w:semiHidden/>
    <w:rsid w:val="00CC646D"/>
    <w:rPr>
      <w:rFonts w:ascii="Arial" w:eastAsiaTheme="minorHAnsi" w:hAnsi="Arial"/>
      <w:b/>
      <w:bCs/>
      <w:sz w:val="20"/>
      <w:szCs w:val="20"/>
    </w:rPr>
  </w:style>
  <w:style w:type="character" w:customStyle="1" w:styleId="NoSpacingChar">
    <w:name w:val="No Spacing Char"/>
    <w:basedOn w:val="DefaultParagraphFont"/>
    <w:link w:val="NoSpacing"/>
    <w:uiPriority w:val="1"/>
    <w:rsid w:val="00CC646D"/>
  </w:style>
  <w:style w:type="character" w:customStyle="1" w:styleId="normaltextrun">
    <w:name w:val="normaltextrun"/>
    <w:basedOn w:val="DefaultParagraphFont"/>
    <w:rsid w:val="00CC646D"/>
  </w:style>
  <w:style w:type="character" w:customStyle="1" w:styleId="eop">
    <w:name w:val="eop"/>
    <w:basedOn w:val="DefaultParagraphFont"/>
    <w:rsid w:val="00CC646D"/>
  </w:style>
  <w:style w:type="table" w:styleId="GridTable2-Accent2">
    <w:name w:val="Grid Table 2 Accent 2"/>
    <w:basedOn w:val="TableNormal"/>
    <w:uiPriority w:val="47"/>
    <w:rsid w:val="00CC646D"/>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2" w:space="0" w:color="07AFFF" w:themeColor="accent2" w:themeTint="99"/>
        <w:bottom w:val="single" w:sz="2" w:space="0" w:color="07AFFF" w:themeColor="accent2" w:themeTint="99"/>
        <w:insideH w:val="single" w:sz="2" w:space="0" w:color="07AFFF" w:themeColor="accent2" w:themeTint="99"/>
        <w:insideV w:val="single" w:sz="2" w:space="0" w:color="07AFFF" w:themeColor="accent2" w:themeTint="99"/>
      </w:tblBorders>
    </w:tblPr>
    <w:tblStylePr w:type="firstRow">
      <w:rPr>
        <w:b/>
        <w:bCs/>
      </w:rPr>
      <w:tblPr/>
      <w:tcPr>
        <w:tcBorders>
          <w:top w:val="nil"/>
          <w:bottom w:val="single" w:sz="12" w:space="0" w:color="07AFFF" w:themeColor="accent2" w:themeTint="99"/>
          <w:insideH w:val="nil"/>
          <w:insideV w:val="nil"/>
        </w:tcBorders>
        <w:shd w:val="clear" w:color="auto" w:fill="FFFFFF" w:themeFill="background1"/>
      </w:tcPr>
    </w:tblStylePr>
    <w:tblStylePr w:type="lastRow">
      <w:rPr>
        <w:b/>
        <w:bCs/>
      </w:rPr>
      <w:tblPr/>
      <w:tcPr>
        <w:tcBorders>
          <w:top w:val="double" w:sz="2" w:space="0" w:color="07AF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CE4FF" w:themeFill="accent2" w:themeFillTint="33"/>
      </w:tcPr>
    </w:tblStylePr>
    <w:tblStylePr w:type="band1Horz">
      <w:tblPr/>
      <w:tcPr>
        <w:shd w:val="clear" w:color="auto" w:fill="ACE4FF" w:themeFill="accent2" w:themeFillTint="33"/>
      </w:tcPr>
    </w:tblStylePr>
  </w:style>
  <w:style w:type="paragraph" w:customStyle="1" w:styleId="Default">
    <w:name w:val="Default"/>
    <w:rsid w:val="00CC646D"/>
    <w:pPr>
      <w:autoSpaceDE w:val="0"/>
      <w:autoSpaceDN w:val="0"/>
      <w:adjustRightInd w:val="0"/>
      <w:spacing w:after="0" w:line="240" w:lineRule="auto"/>
    </w:pPr>
    <w:rPr>
      <w:rFonts w:ascii="Calibri" w:eastAsia="Times New Roman" w:hAnsi="Calibri" w:cs="Calibri"/>
      <w:color w:val="000000"/>
      <w:sz w:val="24"/>
      <w:szCs w:val="24"/>
      <w:lang w:eastAsia="en-AU"/>
    </w:rPr>
  </w:style>
  <w:style w:type="paragraph" w:styleId="Revision">
    <w:name w:val="Revision"/>
    <w:hidden/>
    <w:uiPriority w:val="99"/>
    <w:semiHidden/>
    <w:rsid w:val="00E06D4F"/>
    <w:pPr>
      <w:spacing w:after="0" w:line="240" w:lineRule="auto"/>
    </w:pPr>
    <w:rPr>
      <w:sz w:val="22"/>
    </w:rPr>
  </w:style>
  <w:style w:type="character" w:styleId="UnresolvedMention">
    <w:name w:val="Unresolved Mention"/>
    <w:basedOn w:val="DefaultParagraphFont"/>
    <w:uiPriority w:val="99"/>
    <w:semiHidden/>
    <w:unhideWhenUsed/>
    <w:rsid w:val="00D4624C"/>
    <w:rPr>
      <w:color w:val="605E5C"/>
      <w:shd w:val="clear" w:color="auto" w:fill="E1DFDD"/>
    </w:rPr>
  </w:style>
  <w:style w:type="table" w:customStyle="1" w:styleId="TableGrid1">
    <w:name w:val="Table Grid1"/>
    <w:basedOn w:val="TableNormal"/>
    <w:next w:val="TableGrid"/>
    <w:rsid w:val="003F78D7"/>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D02C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ABHeading2">
    <w:name w:val="CAB Heading 2."/>
    <w:basedOn w:val="Normal"/>
    <w:link w:val="CABHeading2Char"/>
    <w:uiPriority w:val="98"/>
    <w:qFormat/>
    <w:rsid w:val="00D84BA6"/>
    <w:pPr>
      <w:keepNext/>
      <w:keepLines/>
      <w:tabs>
        <w:tab w:val="left" w:pos="567"/>
      </w:tabs>
      <w:spacing w:before="200" w:after="0" w:line="240" w:lineRule="auto"/>
      <w:outlineLvl w:val="0"/>
    </w:pPr>
    <w:rPr>
      <w:rFonts w:ascii="Arial" w:eastAsiaTheme="majorEastAsia" w:hAnsi="Arial" w:cstheme="majorBidi"/>
      <w:b/>
      <w:bCs/>
      <w:color w:val="003865"/>
      <w:sz w:val="24"/>
      <w:szCs w:val="28"/>
    </w:rPr>
  </w:style>
  <w:style w:type="character" w:customStyle="1" w:styleId="CABHeading2Char">
    <w:name w:val="CAB Heading 2. Char"/>
    <w:basedOn w:val="DefaultParagraphFont"/>
    <w:link w:val="CABHeading2"/>
    <w:uiPriority w:val="98"/>
    <w:rsid w:val="00D84BA6"/>
    <w:rPr>
      <w:rFonts w:ascii="Arial" w:eastAsiaTheme="majorEastAsia" w:hAnsi="Arial" w:cstheme="majorBidi"/>
      <w:b/>
      <w:bCs/>
      <w:color w:val="003865"/>
      <w:sz w:val="24"/>
      <w:szCs w:val="28"/>
    </w:rPr>
  </w:style>
  <w:style w:type="character" w:styleId="Mention">
    <w:name w:val="Mention"/>
    <w:basedOn w:val="DefaultParagraphFont"/>
    <w:uiPriority w:val="99"/>
    <w:unhideWhenUsed/>
    <w:rsid w:val="004D3B6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72925">
      <w:bodyDiv w:val="1"/>
      <w:marLeft w:val="0"/>
      <w:marRight w:val="0"/>
      <w:marTop w:val="0"/>
      <w:marBottom w:val="0"/>
      <w:divBdr>
        <w:top w:val="none" w:sz="0" w:space="0" w:color="auto"/>
        <w:left w:val="none" w:sz="0" w:space="0" w:color="auto"/>
        <w:bottom w:val="none" w:sz="0" w:space="0" w:color="auto"/>
        <w:right w:val="none" w:sz="0" w:space="0" w:color="auto"/>
      </w:divBdr>
    </w:div>
    <w:div w:id="141392956">
      <w:bodyDiv w:val="1"/>
      <w:marLeft w:val="0"/>
      <w:marRight w:val="0"/>
      <w:marTop w:val="0"/>
      <w:marBottom w:val="0"/>
      <w:divBdr>
        <w:top w:val="none" w:sz="0" w:space="0" w:color="auto"/>
        <w:left w:val="none" w:sz="0" w:space="0" w:color="auto"/>
        <w:bottom w:val="none" w:sz="0" w:space="0" w:color="auto"/>
        <w:right w:val="none" w:sz="0" w:space="0" w:color="auto"/>
      </w:divBdr>
    </w:div>
    <w:div w:id="252318883">
      <w:bodyDiv w:val="1"/>
      <w:marLeft w:val="0"/>
      <w:marRight w:val="0"/>
      <w:marTop w:val="0"/>
      <w:marBottom w:val="0"/>
      <w:divBdr>
        <w:top w:val="none" w:sz="0" w:space="0" w:color="auto"/>
        <w:left w:val="none" w:sz="0" w:space="0" w:color="auto"/>
        <w:bottom w:val="none" w:sz="0" w:space="0" w:color="auto"/>
        <w:right w:val="none" w:sz="0" w:space="0" w:color="auto"/>
      </w:divBdr>
    </w:div>
    <w:div w:id="793713653">
      <w:bodyDiv w:val="1"/>
      <w:marLeft w:val="0"/>
      <w:marRight w:val="0"/>
      <w:marTop w:val="0"/>
      <w:marBottom w:val="0"/>
      <w:divBdr>
        <w:top w:val="none" w:sz="0" w:space="0" w:color="auto"/>
        <w:left w:val="none" w:sz="0" w:space="0" w:color="auto"/>
        <w:bottom w:val="none" w:sz="0" w:space="0" w:color="auto"/>
        <w:right w:val="none" w:sz="0" w:space="0" w:color="auto"/>
      </w:divBdr>
    </w:div>
    <w:div w:id="803884804">
      <w:bodyDiv w:val="1"/>
      <w:marLeft w:val="0"/>
      <w:marRight w:val="0"/>
      <w:marTop w:val="0"/>
      <w:marBottom w:val="0"/>
      <w:divBdr>
        <w:top w:val="none" w:sz="0" w:space="0" w:color="auto"/>
        <w:left w:val="none" w:sz="0" w:space="0" w:color="auto"/>
        <w:bottom w:val="none" w:sz="0" w:space="0" w:color="auto"/>
        <w:right w:val="none" w:sz="0" w:space="0" w:color="auto"/>
      </w:divBdr>
    </w:div>
    <w:div w:id="860047230">
      <w:bodyDiv w:val="1"/>
      <w:marLeft w:val="0"/>
      <w:marRight w:val="0"/>
      <w:marTop w:val="0"/>
      <w:marBottom w:val="0"/>
      <w:divBdr>
        <w:top w:val="none" w:sz="0" w:space="0" w:color="auto"/>
        <w:left w:val="none" w:sz="0" w:space="0" w:color="auto"/>
        <w:bottom w:val="none" w:sz="0" w:space="0" w:color="auto"/>
        <w:right w:val="none" w:sz="0" w:space="0" w:color="auto"/>
      </w:divBdr>
    </w:div>
    <w:div w:id="878394508">
      <w:bodyDiv w:val="1"/>
      <w:marLeft w:val="0"/>
      <w:marRight w:val="0"/>
      <w:marTop w:val="0"/>
      <w:marBottom w:val="0"/>
      <w:divBdr>
        <w:top w:val="none" w:sz="0" w:space="0" w:color="auto"/>
        <w:left w:val="none" w:sz="0" w:space="0" w:color="auto"/>
        <w:bottom w:val="none" w:sz="0" w:space="0" w:color="auto"/>
        <w:right w:val="none" w:sz="0" w:space="0" w:color="auto"/>
      </w:divBdr>
    </w:div>
    <w:div w:id="971594219">
      <w:bodyDiv w:val="1"/>
      <w:marLeft w:val="0"/>
      <w:marRight w:val="0"/>
      <w:marTop w:val="0"/>
      <w:marBottom w:val="0"/>
      <w:divBdr>
        <w:top w:val="none" w:sz="0" w:space="0" w:color="auto"/>
        <w:left w:val="none" w:sz="0" w:space="0" w:color="auto"/>
        <w:bottom w:val="none" w:sz="0" w:space="0" w:color="auto"/>
        <w:right w:val="none" w:sz="0" w:space="0" w:color="auto"/>
      </w:divBdr>
    </w:div>
    <w:div w:id="1007056499">
      <w:bodyDiv w:val="1"/>
      <w:marLeft w:val="0"/>
      <w:marRight w:val="0"/>
      <w:marTop w:val="0"/>
      <w:marBottom w:val="0"/>
      <w:divBdr>
        <w:top w:val="none" w:sz="0" w:space="0" w:color="auto"/>
        <w:left w:val="none" w:sz="0" w:space="0" w:color="auto"/>
        <w:bottom w:val="none" w:sz="0" w:space="0" w:color="auto"/>
        <w:right w:val="none" w:sz="0" w:space="0" w:color="auto"/>
      </w:divBdr>
    </w:div>
    <w:div w:id="1027291899">
      <w:bodyDiv w:val="1"/>
      <w:marLeft w:val="0"/>
      <w:marRight w:val="0"/>
      <w:marTop w:val="0"/>
      <w:marBottom w:val="0"/>
      <w:divBdr>
        <w:top w:val="none" w:sz="0" w:space="0" w:color="auto"/>
        <w:left w:val="none" w:sz="0" w:space="0" w:color="auto"/>
        <w:bottom w:val="none" w:sz="0" w:space="0" w:color="auto"/>
        <w:right w:val="none" w:sz="0" w:space="0" w:color="auto"/>
      </w:divBdr>
    </w:div>
    <w:div w:id="1128745371">
      <w:bodyDiv w:val="1"/>
      <w:marLeft w:val="0"/>
      <w:marRight w:val="0"/>
      <w:marTop w:val="0"/>
      <w:marBottom w:val="0"/>
      <w:divBdr>
        <w:top w:val="none" w:sz="0" w:space="0" w:color="auto"/>
        <w:left w:val="none" w:sz="0" w:space="0" w:color="auto"/>
        <w:bottom w:val="none" w:sz="0" w:space="0" w:color="auto"/>
        <w:right w:val="none" w:sz="0" w:space="0" w:color="auto"/>
      </w:divBdr>
    </w:div>
    <w:div w:id="1175999715">
      <w:bodyDiv w:val="1"/>
      <w:marLeft w:val="0"/>
      <w:marRight w:val="0"/>
      <w:marTop w:val="0"/>
      <w:marBottom w:val="0"/>
      <w:divBdr>
        <w:top w:val="none" w:sz="0" w:space="0" w:color="auto"/>
        <w:left w:val="none" w:sz="0" w:space="0" w:color="auto"/>
        <w:bottom w:val="none" w:sz="0" w:space="0" w:color="auto"/>
        <w:right w:val="none" w:sz="0" w:space="0" w:color="auto"/>
      </w:divBdr>
    </w:div>
    <w:div w:id="1294755467">
      <w:bodyDiv w:val="1"/>
      <w:marLeft w:val="0"/>
      <w:marRight w:val="0"/>
      <w:marTop w:val="0"/>
      <w:marBottom w:val="0"/>
      <w:divBdr>
        <w:top w:val="none" w:sz="0" w:space="0" w:color="auto"/>
        <w:left w:val="none" w:sz="0" w:space="0" w:color="auto"/>
        <w:bottom w:val="none" w:sz="0" w:space="0" w:color="auto"/>
        <w:right w:val="none" w:sz="0" w:space="0" w:color="auto"/>
      </w:divBdr>
    </w:div>
    <w:div w:id="1394698087">
      <w:bodyDiv w:val="1"/>
      <w:marLeft w:val="0"/>
      <w:marRight w:val="0"/>
      <w:marTop w:val="0"/>
      <w:marBottom w:val="0"/>
      <w:divBdr>
        <w:top w:val="none" w:sz="0" w:space="0" w:color="auto"/>
        <w:left w:val="none" w:sz="0" w:space="0" w:color="auto"/>
        <w:bottom w:val="none" w:sz="0" w:space="0" w:color="auto"/>
        <w:right w:val="none" w:sz="0" w:space="0" w:color="auto"/>
      </w:divBdr>
    </w:div>
    <w:div w:id="1441102385">
      <w:bodyDiv w:val="1"/>
      <w:marLeft w:val="0"/>
      <w:marRight w:val="0"/>
      <w:marTop w:val="0"/>
      <w:marBottom w:val="0"/>
      <w:divBdr>
        <w:top w:val="none" w:sz="0" w:space="0" w:color="auto"/>
        <w:left w:val="none" w:sz="0" w:space="0" w:color="auto"/>
        <w:bottom w:val="none" w:sz="0" w:space="0" w:color="auto"/>
        <w:right w:val="none" w:sz="0" w:space="0" w:color="auto"/>
      </w:divBdr>
    </w:div>
    <w:div w:id="1521431184">
      <w:bodyDiv w:val="1"/>
      <w:marLeft w:val="0"/>
      <w:marRight w:val="0"/>
      <w:marTop w:val="0"/>
      <w:marBottom w:val="0"/>
      <w:divBdr>
        <w:top w:val="none" w:sz="0" w:space="0" w:color="auto"/>
        <w:left w:val="none" w:sz="0" w:space="0" w:color="auto"/>
        <w:bottom w:val="none" w:sz="0" w:space="0" w:color="auto"/>
        <w:right w:val="none" w:sz="0" w:space="0" w:color="auto"/>
      </w:divBdr>
    </w:div>
    <w:div w:id="1557667417">
      <w:bodyDiv w:val="1"/>
      <w:marLeft w:val="0"/>
      <w:marRight w:val="0"/>
      <w:marTop w:val="0"/>
      <w:marBottom w:val="0"/>
      <w:divBdr>
        <w:top w:val="none" w:sz="0" w:space="0" w:color="auto"/>
        <w:left w:val="none" w:sz="0" w:space="0" w:color="auto"/>
        <w:bottom w:val="none" w:sz="0" w:space="0" w:color="auto"/>
        <w:right w:val="none" w:sz="0" w:space="0" w:color="auto"/>
      </w:divBdr>
    </w:div>
    <w:div w:id="1633439937">
      <w:bodyDiv w:val="1"/>
      <w:marLeft w:val="0"/>
      <w:marRight w:val="0"/>
      <w:marTop w:val="0"/>
      <w:marBottom w:val="0"/>
      <w:divBdr>
        <w:top w:val="none" w:sz="0" w:space="0" w:color="auto"/>
        <w:left w:val="none" w:sz="0" w:space="0" w:color="auto"/>
        <w:bottom w:val="none" w:sz="0" w:space="0" w:color="auto"/>
        <w:right w:val="none" w:sz="0" w:space="0" w:color="auto"/>
      </w:divBdr>
    </w:div>
    <w:div w:id="1674185144">
      <w:bodyDiv w:val="1"/>
      <w:marLeft w:val="0"/>
      <w:marRight w:val="0"/>
      <w:marTop w:val="0"/>
      <w:marBottom w:val="0"/>
      <w:divBdr>
        <w:top w:val="none" w:sz="0" w:space="0" w:color="auto"/>
        <w:left w:val="none" w:sz="0" w:space="0" w:color="auto"/>
        <w:bottom w:val="none" w:sz="0" w:space="0" w:color="auto"/>
        <w:right w:val="none" w:sz="0" w:space="0" w:color="auto"/>
      </w:divBdr>
    </w:div>
    <w:div w:id="1788771064">
      <w:bodyDiv w:val="1"/>
      <w:marLeft w:val="0"/>
      <w:marRight w:val="0"/>
      <w:marTop w:val="0"/>
      <w:marBottom w:val="0"/>
      <w:divBdr>
        <w:top w:val="none" w:sz="0" w:space="0" w:color="auto"/>
        <w:left w:val="none" w:sz="0" w:space="0" w:color="auto"/>
        <w:bottom w:val="none" w:sz="0" w:space="0" w:color="auto"/>
        <w:right w:val="none" w:sz="0" w:space="0" w:color="auto"/>
      </w:divBdr>
    </w:div>
    <w:div w:id="1833525040">
      <w:bodyDiv w:val="1"/>
      <w:marLeft w:val="0"/>
      <w:marRight w:val="0"/>
      <w:marTop w:val="0"/>
      <w:marBottom w:val="0"/>
      <w:divBdr>
        <w:top w:val="none" w:sz="0" w:space="0" w:color="auto"/>
        <w:left w:val="none" w:sz="0" w:space="0" w:color="auto"/>
        <w:bottom w:val="none" w:sz="0" w:space="0" w:color="auto"/>
        <w:right w:val="none" w:sz="0" w:space="0" w:color="auto"/>
      </w:divBdr>
    </w:div>
    <w:div w:id="1873834274">
      <w:bodyDiv w:val="1"/>
      <w:marLeft w:val="0"/>
      <w:marRight w:val="0"/>
      <w:marTop w:val="0"/>
      <w:marBottom w:val="0"/>
      <w:divBdr>
        <w:top w:val="none" w:sz="0" w:space="0" w:color="auto"/>
        <w:left w:val="none" w:sz="0" w:space="0" w:color="auto"/>
        <w:bottom w:val="none" w:sz="0" w:space="0" w:color="auto"/>
        <w:right w:val="none" w:sz="0" w:space="0" w:color="auto"/>
      </w:divBdr>
    </w:div>
    <w:div w:id="2017342142">
      <w:bodyDiv w:val="1"/>
      <w:marLeft w:val="0"/>
      <w:marRight w:val="0"/>
      <w:marTop w:val="0"/>
      <w:marBottom w:val="0"/>
      <w:divBdr>
        <w:top w:val="none" w:sz="0" w:space="0" w:color="auto"/>
        <w:left w:val="none" w:sz="0" w:space="0" w:color="auto"/>
        <w:bottom w:val="none" w:sz="0" w:space="0" w:color="auto"/>
        <w:right w:val="none" w:sz="0" w:space="0" w:color="auto"/>
      </w:divBdr>
    </w:div>
    <w:div w:id="2117946491">
      <w:bodyDiv w:val="1"/>
      <w:marLeft w:val="0"/>
      <w:marRight w:val="0"/>
      <w:marTop w:val="0"/>
      <w:marBottom w:val="0"/>
      <w:divBdr>
        <w:top w:val="none" w:sz="0" w:space="0" w:color="auto"/>
        <w:left w:val="none" w:sz="0" w:space="0" w:color="auto"/>
        <w:bottom w:val="none" w:sz="0" w:space="0" w:color="auto"/>
        <w:right w:val="none" w:sz="0" w:space="0" w:color="auto"/>
      </w:divBdr>
    </w:div>
    <w:div w:id="2130970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hyperlink" Target="https://www.health.gov.au/sites/default/files/2025-08/medicare-ucc-operational-guidance_0.pdf" TargetMode="Externa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hpe.servicesaustralia.gov.au/INFO/UCC/UCCINFO7.pdf" TargetMode="External"/><Relationship Id="rId2" Type="http://schemas.openxmlformats.org/officeDocument/2006/relationships/numbering" Target="numbering.xml"/><Relationship Id="rId16" Type="http://schemas.openxmlformats.org/officeDocument/2006/relationships/hyperlink" Target="https://www.health.gov.au/resources/publications/strengthening-medicare-taskforce-report?language=en"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health.gov.au/resources/publications/medicare-urgent-care-clinics-program-evaluation-first-interim-report?language=en" TargetMode="Externa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s://www.health.gov.au/resources/publications/medicare-ucc-operational-guidance?language=en"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3" Type="http://schemas.openxmlformats.org/officeDocument/2006/relationships/hyperlink" Target="https://www.abs.gov.au/statistics/health/health-services/patient-experiences/latest-release" TargetMode="External"/><Relationship Id="rId18" Type="http://schemas.openxmlformats.org/officeDocument/2006/relationships/hyperlink" Target="https://www.aihw.gov.au/hospitals/topics/emergency-departments" TargetMode="External"/><Relationship Id="rId26" Type="http://schemas.openxmlformats.org/officeDocument/2006/relationships/hyperlink" Target="https://www.ihacpa.gov.au/sites/default/files/2022-02/Australian%20Hospital%20Patient%20Costing%20Standards%20Version%204.1%20-%20Part%203%20-%20Costing%20Guidelines.pdf" TargetMode="External"/><Relationship Id="rId39" Type="http://schemas.openxmlformats.org/officeDocument/2006/relationships/hyperlink" Target="https://www.aihw.gov.au/hospitals/topics/emergency-departments" TargetMode="External"/><Relationship Id="rId21" Type="http://schemas.openxmlformats.org/officeDocument/2006/relationships/hyperlink" Target="https://www.aihw.gov.au/reports/workforce/health-workforce" TargetMode="External"/><Relationship Id="rId34" Type="http://schemas.openxmlformats.org/officeDocument/2006/relationships/hyperlink" Target="https://www.health.gov.au/resources/publications/medicare-urgent-care-clinics-program-evaluation-first-interim-report?language=en" TargetMode="External"/><Relationship Id="rId42" Type="http://schemas.openxmlformats.org/officeDocument/2006/relationships/hyperlink" Target="https://www.health.gov.au/resources/publications/medicare-urgent-care-clinics-program-evaluation-first-interim-report?language=en" TargetMode="External"/><Relationship Id="rId7" Type="http://schemas.openxmlformats.org/officeDocument/2006/relationships/hyperlink" Target="https://www.aihw.gov.au/reports/medicare/medicare-bulk-billing-of-gp-attendances-over-time/contents/out-of-pocket-costs-for-gp-attendances/patterns-costs-gp-attendances-states-territories" TargetMode="External"/><Relationship Id="rId2" Type="http://schemas.openxmlformats.org/officeDocument/2006/relationships/hyperlink" Target="https://www.aihw.gov.au/hospitals/topics/emergency-departments" TargetMode="External"/><Relationship Id="rId16" Type="http://schemas.openxmlformats.org/officeDocument/2006/relationships/hyperlink" Target="https://www1.racgp.org.au/newsgp/racgp/record-number-of-gps-in-training-beginning-in-2025" TargetMode="External"/><Relationship Id="rId29" Type="http://schemas.openxmlformats.org/officeDocument/2006/relationships/hyperlink" Target="https://www.health.gov.au/node/51988?language=en" TargetMode="External"/><Relationship Id="rId1" Type="http://schemas.openxmlformats.org/officeDocument/2006/relationships/hyperlink" Target="https://www.pbo.gov.au/elections/2022-general-election/2022-election-commitment-costings/urgent-care-clinics-ecr150" TargetMode="External"/><Relationship Id="rId6" Type="http://schemas.openxmlformats.org/officeDocument/2006/relationships/hyperlink" Target="https://www.health.gov.au/our-work/upcoming-changes-to-bulk-billing-incentives-in-general-practice" TargetMode="External"/><Relationship Id="rId11" Type="http://schemas.openxmlformats.org/officeDocument/2006/relationships/hyperlink" Target="https://www.aihw.gov.au/reports/indigenous-australians/cultural-safety-health-care-framework/contents/summary" TargetMode="External"/><Relationship Id="rId24" Type="http://schemas.openxmlformats.org/officeDocument/2006/relationships/hyperlink" Target="https://www.health.gov.au/our-work/national-health-reform-agreement-nhra" TargetMode="External"/><Relationship Id="rId32" Type="http://schemas.openxmlformats.org/officeDocument/2006/relationships/hyperlink" Target="https://www.health.gov.au/our-work/upcoming-changes-to-bulk-billing-incentives-in-general-practice" TargetMode="External"/><Relationship Id="rId37" Type="http://schemas.openxmlformats.org/officeDocument/2006/relationships/hyperlink" Target="https://www.health.gov.au/resources/publications/budget-2025-26-strengthening-medicare-health-workforce?language=en" TargetMode="External"/><Relationship Id="rId40" Type="http://schemas.openxmlformats.org/officeDocument/2006/relationships/hyperlink" Target="https://www.health.gov.au/resources/publications/medicare-urgent-care-clinics-program-evaluation-first-interim-report?language=en" TargetMode="External"/><Relationship Id="rId45" Type="http://schemas.openxmlformats.org/officeDocument/2006/relationships/hyperlink" Target="https://www1.racgp.org.au/newsgp/professional/racgp-leaders-discuss-future-of-uccs" TargetMode="External"/><Relationship Id="rId5" Type="http://schemas.openxmlformats.org/officeDocument/2006/relationships/hyperlink" Target="https://www.aihw.gov.au/reports/medicare/medicare-bulk-billing-of-gp-attendances-over-time/contents/out-of-pocket-costs-for-gp-attendances/patterns-costs-gp-attendances-states-territories" TargetMode="External"/><Relationship Id="rId15" Type="http://schemas.openxmlformats.org/officeDocument/2006/relationships/hyperlink" Target="https://www.health.gov.au/resources/publications/national-medical-workforce-strategy-2021-2031" TargetMode="External"/><Relationship Id="rId23" Type="http://schemas.openxmlformats.org/officeDocument/2006/relationships/hyperlink" Target="https://www.ama.com.au/sites/default/files/2025-04/Ambulance_Ramping_Report_Card_2025_0.pdf" TargetMode="External"/><Relationship Id="rId28" Type="http://schemas.openxmlformats.org/officeDocument/2006/relationships/hyperlink" Target="https://www.pm.gov.au/media/meeting-national-cabinet-federation-working-australia" TargetMode="External"/><Relationship Id="rId36" Type="http://schemas.openxmlformats.org/officeDocument/2006/relationships/hyperlink" Target="https://www.health.gov.au/our-work/upcoming-changes-to-bulk-billing-incentives-in-general-practice" TargetMode="External"/><Relationship Id="rId10" Type="http://schemas.openxmlformats.org/officeDocument/2006/relationships/hyperlink" Target="https://www.aihw.gov.au/reports/cald-australians/reporting-health-cald-populations/summary" TargetMode="External"/><Relationship Id="rId19" Type="http://schemas.openxmlformats.org/officeDocument/2006/relationships/hyperlink" Target="https://www.pc.gov.au/inquiries/current/quality-care/interim" TargetMode="External"/><Relationship Id="rId31" Type="http://schemas.openxmlformats.org/officeDocument/2006/relationships/hyperlink" Target="https://www.aihw.gov.au/reports/medicare/medicare-bulk-billing-of-gp-attendances-over-time/contents/out-of-pocket-costs-for-gp-attendances/patterns-costs-gp-attendances-states-territories" TargetMode="External"/><Relationship Id="rId44" Type="http://schemas.openxmlformats.org/officeDocument/2006/relationships/hyperlink" Target="https://www.pm.gov.au/media/meeting-national-cabinet-federation-working-australia" TargetMode="External"/><Relationship Id="rId4" Type="http://schemas.openxmlformats.org/officeDocument/2006/relationships/hyperlink" Target="https://www.aihw.gov.au/reports/medicare/medicare-bulk-billing-of-gp-attendances-over-time/contents/out-of-pocket-costs-for-gp-attendances/patterns-costs-gp-attendances-states-territories" TargetMode="External"/><Relationship Id="rId9" Type="http://schemas.openxmlformats.org/officeDocument/2006/relationships/hyperlink" Target="https://www.aihw.gov.au/hospitals/topics/emergency-departments" TargetMode="External"/><Relationship Id="rId14" Type="http://schemas.openxmlformats.org/officeDocument/2006/relationships/hyperlink" Target="https://www.abs.gov.au/statistics/health/health-services/patient-experiences/latest-release" TargetMode="External"/><Relationship Id="rId22" Type="http://schemas.openxmlformats.org/officeDocument/2006/relationships/hyperlink" Target="https://www.ama.com.au/sites/default/files/2025-04/Ambulance_Ramping_Report_Card_2025_0.pdf" TargetMode="External"/><Relationship Id="rId27" Type="http://schemas.openxmlformats.org/officeDocument/2006/relationships/hyperlink" Target="https://www.health.gov.au/resources/publications/budget-2025-26-strengthening-medicare-more-bulk-billing?language=en" TargetMode="External"/><Relationship Id="rId30" Type="http://schemas.openxmlformats.org/officeDocument/2006/relationships/hyperlink" Target="https://www.aihw.gov.au/reports/medicare/medicare-bulk-billing-of-gp-attendances-over-time/contents/out-of-pocket-costs-for-gp-attendances/patterns-costs-gp-attendances-states-territories" TargetMode="External"/><Relationship Id="rId35" Type="http://schemas.openxmlformats.org/officeDocument/2006/relationships/hyperlink" Target="https://www.health.gov.au/resources/publications/medicare-urgent-care-clinics-program-evaluation-first-interim-report?language=en" TargetMode="External"/><Relationship Id="rId43" Type="http://schemas.openxmlformats.org/officeDocument/2006/relationships/hyperlink" Target="https://www.aph.gov.au/-/media/55EEB672CFF74739B8B92FE61BF14470.ashx" TargetMode="External"/><Relationship Id="rId8" Type="http://schemas.openxmlformats.org/officeDocument/2006/relationships/hyperlink" Target="https://www.aihw.gov.au/reports/medicare/medicare-bulk-billing-of-gp-attendances-over-time/contents/out-of-pocket-costs-for-gp-attendances/patterns-costs-gp-attendances-states-territories" TargetMode="External"/><Relationship Id="rId3" Type="http://schemas.openxmlformats.org/officeDocument/2006/relationships/hyperlink" Target="https://www.racgp.org.au/getmedia/714e4ef3-1163-437d-839b-81fb4610c6a3/ID-949-HOTN-21-summary-v4-WEB_1.pdf.aspx" TargetMode="External"/><Relationship Id="rId12" Type="http://schemas.openxmlformats.org/officeDocument/2006/relationships/hyperlink" Target="https://www.abs.gov.au/statistics/health/health-services/patient-experiences/2019-20" TargetMode="External"/><Relationship Id="rId17" Type="http://schemas.openxmlformats.org/officeDocument/2006/relationships/hyperlink" Target="https://www.aihw.gov.au/hospitals/topics/emergency-departments" TargetMode="External"/><Relationship Id="rId25" Type="http://schemas.openxmlformats.org/officeDocument/2006/relationships/hyperlink" Target="https://www.health.gov.au/resources/publications/medicare-urgent-care-clinics-program-evaluation-first-interim-report?language=en" TargetMode="External"/><Relationship Id="rId33" Type="http://schemas.openxmlformats.org/officeDocument/2006/relationships/hyperlink" Target="https://www.health.gov.au/resources/publications/medicare-urgent-care-clinics-program-evaluation-first-interim-report?language=en" TargetMode="External"/><Relationship Id="rId38" Type="http://schemas.openxmlformats.org/officeDocument/2006/relationships/hyperlink" Target="https://www.aihw.gov.au/hospitals/topics/emergency-departments" TargetMode="External"/><Relationship Id="rId46" Type="http://schemas.openxmlformats.org/officeDocument/2006/relationships/hyperlink" Target="https://www.abc.net.au/news/2025-03-01/labor-promises-50-more-urgent-care-clinics/104999118" TargetMode="External"/><Relationship Id="rId20" Type="http://schemas.openxmlformats.org/officeDocument/2006/relationships/hyperlink" Target="https://www.aihw.gov.au/reports/workforce/health-workforce" TargetMode="External"/><Relationship Id="rId41" Type="http://schemas.openxmlformats.org/officeDocument/2006/relationships/hyperlink" Target="https://www.health.gov.au/resources/publications/medicare-urgent-care-clinics-program-evaluation-first-interim-report?language=en"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IA Colours">
      <a:dk1>
        <a:srgbClr val="1C2B39"/>
      </a:dk1>
      <a:lt1>
        <a:srgbClr val="FFFFFF"/>
      </a:lt1>
      <a:dk2>
        <a:srgbClr val="004261"/>
      </a:dk2>
      <a:lt2>
        <a:srgbClr val="FFFFFF"/>
      </a:lt2>
      <a:accent1>
        <a:srgbClr val="1C2B39"/>
      </a:accent1>
      <a:accent2>
        <a:srgbClr val="004261"/>
      </a:accent2>
      <a:accent3>
        <a:srgbClr val="007279"/>
      </a:accent3>
      <a:accent4>
        <a:srgbClr val="DE761C"/>
      </a:accent4>
      <a:accent5>
        <a:srgbClr val="C85C1A"/>
      </a:accent5>
      <a:accent6>
        <a:srgbClr val="BD3432"/>
      </a:accent6>
      <a:hlink>
        <a:srgbClr val="DE761C"/>
      </a:hlink>
      <a:folHlink>
        <a:srgbClr val="DE761C"/>
      </a:folHlink>
    </a:clrScheme>
    <a:fontScheme name="OIA">
      <a:majorFont>
        <a:latin typeface="Segoe UI Semibold"/>
        <a:ea typeface=""/>
        <a:cs typeface=""/>
      </a:majorFont>
      <a:minorFont>
        <a:latin typeface="Segoe UI Symbo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8E54B1-1794-4CCF-88E5-F782B4C1F504}">
  <ds:schemaRefs>
    <ds:schemaRef ds:uri="http://schemas.openxmlformats.org/officeDocument/2006/bibliography"/>
  </ds:schemaRefs>
</ds:datastoreItem>
</file>

<file path=docMetadata/LabelInfo.xml><?xml version="1.0" encoding="utf-8"?>
<clbl:labelList xmlns:clbl="http://schemas.microsoft.com/office/2020/mipLabelMetadata">
  <clbl:label id="{540cdab9-3592-4269-8944-10949a3bf55a}" enabled="1" method="Privileged" siteId="{311f614e-2687-4905-bb5c-f592370e0d41}" removed="0"/>
</clbl:labelList>
</file>

<file path=docProps/app.xml><?xml version="1.0" encoding="utf-8"?>
<Properties xmlns="http://schemas.openxmlformats.org/officeDocument/2006/extended-properties" xmlns:vt="http://schemas.openxmlformats.org/officeDocument/2006/docPropsVTypes">
  <Template>Normal</Template>
  <TotalTime>0</TotalTime>
  <Pages>43</Pages>
  <Words>13805</Words>
  <Characters>77863</Characters>
  <Application>Microsoft Office Word</Application>
  <DocSecurity>0</DocSecurity>
  <Lines>1469</Lines>
  <Paragraphs>583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91085</CharactersWithSpaces>
  <SharedDoc>false</SharedDoc>
  <HLinks>
    <vt:vector size="810" baseType="variant">
      <vt:variant>
        <vt:i4>2162747</vt:i4>
      </vt:variant>
      <vt:variant>
        <vt:i4>399</vt:i4>
      </vt:variant>
      <vt:variant>
        <vt:i4>0</vt:i4>
      </vt:variant>
      <vt:variant>
        <vt:i4>5</vt:i4>
      </vt:variant>
      <vt:variant>
        <vt:lpwstr>https://www.health.gov.au/resources/publications/medicare-ucc-operational-guidance?language=en</vt:lpwstr>
      </vt:variant>
      <vt:variant>
        <vt:lpwstr/>
      </vt:variant>
      <vt:variant>
        <vt:i4>2031696</vt:i4>
      </vt:variant>
      <vt:variant>
        <vt:i4>396</vt:i4>
      </vt:variant>
      <vt:variant>
        <vt:i4>0</vt:i4>
      </vt:variant>
      <vt:variant>
        <vt:i4>5</vt:i4>
      </vt:variant>
      <vt:variant>
        <vt:lpwstr>https://www.health.gov.au/resources/publications/medicare-urgent-care-clinics-program-evaluation-first-interim-report?language=en</vt:lpwstr>
      </vt:variant>
      <vt:variant>
        <vt:lpwstr/>
      </vt:variant>
      <vt:variant>
        <vt:i4>2031696</vt:i4>
      </vt:variant>
      <vt:variant>
        <vt:i4>393</vt:i4>
      </vt:variant>
      <vt:variant>
        <vt:i4>0</vt:i4>
      </vt:variant>
      <vt:variant>
        <vt:i4>5</vt:i4>
      </vt:variant>
      <vt:variant>
        <vt:lpwstr>https://www.health.gov.au/resources/publications/medicare-urgent-care-clinics-program-evaluation-first-interim-report?language=en</vt:lpwstr>
      </vt:variant>
      <vt:variant>
        <vt:lpwstr/>
      </vt:variant>
      <vt:variant>
        <vt:i4>327700</vt:i4>
      </vt:variant>
      <vt:variant>
        <vt:i4>384</vt:i4>
      </vt:variant>
      <vt:variant>
        <vt:i4>0</vt:i4>
      </vt:variant>
      <vt:variant>
        <vt:i4>5</vt:i4>
      </vt:variant>
      <vt:variant>
        <vt:lpwstr>https://www.health.gov.au/resources/publications/strengthening-medicare-taskforce-report?language=en</vt:lpwstr>
      </vt:variant>
      <vt:variant>
        <vt:lpwstr/>
      </vt:variant>
      <vt:variant>
        <vt:i4>1376311</vt:i4>
      </vt:variant>
      <vt:variant>
        <vt:i4>377</vt:i4>
      </vt:variant>
      <vt:variant>
        <vt:i4>0</vt:i4>
      </vt:variant>
      <vt:variant>
        <vt:i4>5</vt:i4>
      </vt:variant>
      <vt:variant>
        <vt:lpwstr/>
      </vt:variant>
      <vt:variant>
        <vt:lpwstr>_Toc208590479</vt:lpwstr>
      </vt:variant>
      <vt:variant>
        <vt:i4>1376311</vt:i4>
      </vt:variant>
      <vt:variant>
        <vt:i4>371</vt:i4>
      </vt:variant>
      <vt:variant>
        <vt:i4>0</vt:i4>
      </vt:variant>
      <vt:variant>
        <vt:i4>5</vt:i4>
      </vt:variant>
      <vt:variant>
        <vt:lpwstr/>
      </vt:variant>
      <vt:variant>
        <vt:lpwstr>_Toc208590478</vt:lpwstr>
      </vt:variant>
      <vt:variant>
        <vt:i4>1376311</vt:i4>
      </vt:variant>
      <vt:variant>
        <vt:i4>365</vt:i4>
      </vt:variant>
      <vt:variant>
        <vt:i4>0</vt:i4>
      </vt:variant>
      <vt:variant>
        <vt:i4>5</vt:i4>
      </vt:variant>
      <vt:variant>
        <vt:lpwstr/>
      </vt:variant>
      <vt:variant>
        <vt:lpwstr>_Toc208590477</vt:lpwstr>
      </vt:variant>
      <vt:variant>
        <vt:i4>1376311</vt:i4>
      </vt:variant>
      <vt:variant>
        <vt:i4>359</vt:i4>
      </vt:variant>
      <vt:variant>
        <vt:i4>0</vt:i4>
      </vt:variant>
      <vt:variant>
        <vt:i4>5</vt:i4>
      </vt:variant>
      <vt:variant>
        <vt:lpwstr/>
      </vt:variant>
      <vt:variant>
        <vt:lpwstr>_Toc208590476</vt:lpwstr>
      </vt:variant>
      <vt:variant>
        <vt:i4>1376311</vt:i4>
      </vt:variant>
      <vt:variant>
        <vt:i4>353</vt:i4>
      </vt:variant>
      <vt:variant>
        <vt:i4>0</vt:i4>
      </vt:variant>
      <vt:variant>
        <vt:i4>5</vt:i4>
      </vt:variant>
      <vt:variant>
        <vt:lpwstr/>
      </vt:variant>
      <vt:variant>
        <vt:lpwstr>_Toc208590475</vt:lpwstr>
      </vt:variant>
      <vt:variant>
        <vt:i4>1376311</vt:i4>
      </vt:variant>
      <vt:variant>
        <vt:i4>347</vt:i4>
      </vt:variant>
      <vt:variant>
        <vt:i4>0</vt:i4>
      </vt:variant>
      <vt:variant>
        <vt:i4>5</vt:i4>
      </vt:variant>
      <vt:variant>
        <vt:lpwstr/>
      </vt:variant>
      <vt:variant>
        <vt:lpwstr>_Toc208590474</vt:lpwstr>
      </vt:variant>
      <vt:variant>
        <vt:i4>1376311</vt:i4>
      </vt:variant>
      <vt:variant>
        <vt:i4>341</vt:i4>
      </vt:variant>
      <vt:variant>
        <vt:i4>0</vt:i4>
      </vt:variant>
      <vt:variant>
        <vt:i4>5</vt:i4>
      </vt:variant>
      <vt:variant>
        <vt:lpwstr/>
      </vt:variant>
      <vt:variant>
        <vt:lpwstr>_Toc208590473</vt:lpwstr>
      </vt:variant>
      <vt:variant>
        <vt:i4>1376311</vt:i4>
      </vt:variant>
      <vt:variant>
        <vt:i4>335</vt:i4>
      </vt:variant>
      <vt:variant>
        <vt:i4>0</vt:i4>
      </vt:variant>
      <vt:variant>
        <vt:i4>5</vt:i4>
      </vt:variant>
      <vt:variant>
        <vt:lpwstr/>
      </vt:variant>
      <vt:variant>
        <vt:lpwstr>_Toc208590472</vt:lpwstr>
      </vt:variant>
      <vt:variant>
        <vt:i4>1376311</vt:i4>
      </vt:variant>
      <vt:variant>
        <vt:i4>329</vt:i4>
      </vt:variant>
      <vt:variant>
        <vt:i4>0</vt:i4>
      </vt:variant>
      <vt:variant>
        <vt:i4>5</vt:i4>
      </vt:variant>
      <vt:variant>
        <vt:lpwstr/>
      </vt:variant>
      <vt:variant>
        <vt:lpwstr>_Toc208590471</vt:lpwstr>
      </vt:variant>
      <vt:variant>
        <vt:i4>1376311</vt:i4>
      </vt:variant>
      <vt:variant>
        <vt:i4>323</vt:i4>
      </vt:variant>
      <vt:variant>
        <vt:i4>0</vt:i4>
      </vt:variant>
      <vt:variant>
        <vt:i4>5</vt:i4>
      </vt:variant>
      <vt:variant>
        <vt:lpwstr/>
      </vt:variant>
      <vt:variant>
        <vt:lpwstr>_Toc208590470</vt:lpwstr>
      </vt:variant>
      <vt:variant>
        <vt:i4>1310775</vt:i4>
      </vt:variant>
      <vt:variant>
        <vt:i4>317</vt:i4>
      </vt:variant>
      <vt:variant>
        <vt:i4>0</vt:i4>
      </vt:variant>
      <vt:variant>
        <vt:i4>5</vt:i4>
      </vt:variant>
      <vt:variant>
        <vt:lpwstr/>
      </vt:variant>
      <vt:variant>
        <vt:lpwstr>_Toc208590469</vt:lpwstr>
      </vt:variant>
      <vt:variant>
        <vt:i4>1310775</vt:i4>
      </vt:variant>
      <vt:variant>
        <vt:i4>311</vt:i4>
      </vt:variant>
      <vt:variant>
        <vt:i4>0</vt:i4>
      </vt:variant>
      <vt:variant>
        <vt:i4>5</vt:i4>
      </vt:variant>
      <vt:variant>
        <vt:lpwstr/>
      </vt:variant>
      <vt:variant>
        <vt:lpwstr>_Toc208590468</vt:lpwstr>
      </vt:variant>
      <vt:variant>
        <vt:i4>1310775</vt:i4>
      </vt:variant>
      <vt:variant>
        <vt:i4>305</vt:i4>
      </vt:variant>
      <vt:variant>
        <vt:i4>0</vt:i4>
      </vt:variant>
      <vt:variant>
        <vt:i4>5</vt:i4>
      </vt:variant>
      <vt:variant>
        <vt:lpwstr/>
      </vt:variant>
      <vt:variant>
        <vt:lpwstr>_Toc208590467</vt:lpwstr>
      </vt:variant>
      <vt:variant>
        <vt:i4>1310775</vt:i4>
      </vt:variant>
      <vt:variant>
        <vt:i4>299</vt:i4>
      </vt:variant>
      <vt:variant>
        <vt:i4>0</vt:i4>
      </vt:variant>
      <vt:variant>
        <vt:i4>5</vt:i4>
      </vt:variant>
      <vt:variant>
        <vt:lpwstr/>
      </vt:variant>
      <vt:variant>
        <vt:lpwstr>_Toc208590466</vt:lpwstr>
      </vt:variant>
      <vt:variant>
        <vt:i4>1310775</vt:i4>
      </vt:variant>
      <vt:variant>
        <vt:i4>293</vt:i4>
      </vt:variant>
      <vt:variant>
        <vt:i4>0</vt:i4>
      </vt:variant>
      <vt:variant>
        <vt:i4>5</vt:i4>
      </vt:variant>
      <vt:variant>
        <vt:lpwstr/>
      </vt:variant>
      <vt:variant>
        <vt:lpwstr>_Toc208590465</vt:lpwstr>
      </vt:variant>
      <vt:variant>
        <vt:i4>1310775</vt:i4>
      </vt:variant>
      <vt:variant>
        <vt:i4>287</vt:i4>
      </vt:variant>
      <vt:variant>
        <vt:i4>0</vt:i4>
      </vt:variant>
      <vt:variant>
        <vt:i4>5</vt:i4>
      </vt:variant>
      <vt:variant>
        <vt:lpwstr/>
      </vt:variant>
      <vt:variant>
        <vt:lpwstr>_Toc208590464</vt:lpwstr>
      </vt:variant>
      <vt:variant>
        <vt:i4>1310775</vt:i4>
      </vt:variant>
      <vt:variant>
        <vt:i4>281</vt:i4>
      </vt:variant>
      <vt:variant>
        <vt:i4>0</vt:i4>
      </vt:variant>
      <vt:variant>
        <vt:i4>5</vt:i4>
      </vt:variant>
      <vt:variant>
        <vt:lpwstr/>
      </vt:variant>
      <vt:variant>
        <vt:lpwstr>_Toc208590463</vt:lpwstr>
      </vt:variant>
      <vt:variant>
        <vt:i4>1310775</vt:i4>
      </vt:variant>
      <vt:variant>
        <vt:i4>275</vt:i4>
      </vt:variant>
      <vt:variant>
        <vt:i4>0</vt:i4>
      </vt:variant>
      <vt:variant>
        <vt:i4>5</vt:i4>
      </vt:variant>
      <vt:variant>
        <vt:lpwstr/>
      </vt:variant>
      <vt:variant>
        <vt:lpwstr>_Toc208590462</vt:lpwstr>
      </vt:variant>
      <vt:variant>
        <vt:i4>1310775</vt:i4>
      </vt:variant>
      <vt:variant>
        <vt:i4>269</vt:i4>
      </vt:variant>
      <vt:variant>
        <vt:i4>0</vt:i4>
      </vt:variant>
      <vt:variant>
        <vt:i4>5</vt:i4>
      </vt:variant>
      <vt:variant>
        <vt:lpwstr/>
      </vt:variant>
      <vt:variant>
        <vt:lpwstr>_Toc208590461</vt:lpwstr>
      </vt:variant>
      <vt:variant>
        <vt:i4>1310775</vt:i4>
      </vt:variant>
      <vt:variant>
        <vt:i4>263</vt:i4>
      </vt:variant>
      <vt:variant>
        <vt:i4>0</vt:i4>
      </vt:variant>
      <vt:variant>
        <vt:i4>5</vt:i4>
      </vt:variant>
      <vt:variant>
        <vt:lpwstr/>
      </vt:variant>
      <vt:variant>
        <vt:lpwstr>_Toc208590460</vt:lpwstr>
      </vt:variant>
      <vt:variant>
        <vt:i4>1507383</vt:i4>
      </vt:variant>
      <vt:variant>
        <vt:i4>257</vt:i4>
      </vt:variant>
      <vt:variant>
        <vt:i4>0</vt:i4>
      </vt:variant>
      <vt:variant>
        <vt:i4>5</vt:i4>
      </vt:variant>
      <vt:variant>
        <vt:lpwstr/>
      </vt:variant>
      <vt:variant>
        <vt:lpwstr>_Toc208590459</vt:lpwstr>
      </vt:variant>
      <vt:variant>
        <vt:i4>1507383</vt:i4>
      </vt:variant>
      <vt:variant>
        <vt:i4>251</vt:i4>
      </vt:variant>
      <vt:variant>
        <vt:i4>0</vt:i4>
      </vt:variant>
      <vt:variant>
        <vt:i4>5</vt:i4>
      </vt:variant>
      <vt:variant>
        <vt:lpwstr/>
      </vt:variant>
      <vt:variant>
        <vt:lpwstr>_Toc208590458</vt:lpwstr>
      </vt:variant>
      <vt:variant>
        <vt:i4>1507383</vt:i4>
      </vt:variant>
      <vt:variant>
        <vt:i4>245</vt:i4>
      </vt:variant>
      <vt:variant>
        <vt:i4>0</vt:i4>
      </vt:variant>
      <vt:variant>
        <vt:i4>5</vt:i4>
      </vt:variant>
      <vt:variant>
        <vt:lpwstr/>
      </vt:variant>
      <vt:variant>
        <vt:lpwstr>_Toc208590457</vt:lpwstr>
      </vt:variant>
      <vt:variant>
        <vt:i4>1507383</vt:i4>
      </vt:variant>
      <vt:variant>
        <vt:i4>239</vt:i4>
      </vt:variant>
      <vt:variant>
        <vt:i4>0</vt:i4>
      </vt:variant>
      <vt:variant>
        <vt:i4>5</vt:i4>
      </vt:variant>
      <vt:variant>
        <vt:lpwstr/>
      </vt:variant>
      <vt:variant>
        <vt:lpwstr>_Toc208590456</vt:lpwstr>
      </vt:variant>
      <vt:variant>
        <vt:i4>1507383</vt:i4>
      </vt:variant>
      <vt:variant>
        <vt:i4>233</vt:i4>
      </vt:variant>
      <vt:variant>
        <vt:i4>0</vt:i4>
      </vt:variant>
      <vt:variant>
        <vt:i4>5</vt:i4>
      </vt:variant>
      <vt:variant>
        <vt:lpwstr/>
      </vt:variant>
      <vt:variant>
        <vt:lpwstr>_Toc208590455</vt:lpwstr>
      </vt:variant>
      <vt:variant>
        <vt:i4>1507383</vt:i4>
      </vt:variant>
      <vt:variant>
        <vt:i4>227</vt:i4>
      </vt:variant>
      <vt:variant>
        <vt:i4>0</vt:i4>
      </vt:variant>
      <vt:variant>
        <vt:i4>5</vt:i4>
      </vt:variant>
      <vt:variant>
        <vt:lpwstr/>
      </vt:variant>
      <vt:variant>
        <vt:lpwstr>_Toc208590454</vt:lpwstr>
      </vt:variant>
      <vt:variant>
        <vt:i4>1507383</vt:i4>
      </vt:variant>
      <vt:variant>
        <vt:i4>221</vt:i4>
      </vt:variant>
      <vt:variant>
        <vt:i4>0</vt:i4>
      </vt:variant>
      <vt:variant>
        <vt:i4>5</vt:i4>
      </vt:variant>
      <vt:variant>
        <vt:lpwstr/>
      </vt:variant>
      <vt:variant>
        <vt:lpwstr>_Toc208590453</vt:lpwstr>
      </vt:variant>
      <vt:variant>
        <vt:i4>1507383</vt:i4>
      </vt:variant>
      <vt:variant>
        <vt:i4>215</vt:i4>
      </vt:variant>
      <vt:variant>
        <vt:i4>0</vt:i4>
      </vt:variant>
      <vt:variant>
        <vt:i4>5</vt:i4>
      </vt:variant>
      <vt:variant>
        <vt:lpwstr/>
      </vt:variant>
      <vt:variant>
        <vt:lpwstr>_Toc208590452</vt:lpwstr>
      </vt:variant>
      <vt:variant>
        <vt:i4>1507383</vt:i4>
      </vt:variant>
      <vt:variant>
        <vt:i4>209</vt:i4>
      </vt:variant>
      <vt:variant>
        <vt:i4>0</vt:i4>
      </vt:variant>
      <vt:variant>
        <vt:i4>5</vt:i4>
      </vt:variant>
      <vt:variant>
        <vt:lpwstr/>
      </vt:variant>
      <vt:variant>
        <vt:lpwstr>_Toc208590451</vt:lpwstr>
      </vt:variant>
      <vt:variant>
        <vt:i4>1507383</vt:i4>
      </vt:variant>
      <vt:variant>
        <vt:i4>203</vt:i4>
      </vt:variant>
      <vt:variant>
        <vt:i4>0</vt:i4>
      </vt:variant>
      <vt:variant>
        <vt:i4>5</vt:i4>
      </vt:variant>
      <vt:variant>
        <vt:lpwstr/>
      </vt:variant>
      <vt:variant>
        <vt:lpwstr>_Toc208590450</vt:lpwstr>
      </vt:variant>
      <vt:variant>
        <vt:i4>1441847</vt:i4>
      </vt:variant>
      <vt:variant>
        <vt:i4>197</vt:i4>
      </vt:variant>
      <vt:variant>
        <vt:i4>0</vt:i4>
      </vt:variant>
      <vt:variant>
        <vt:i4>5</vt:i4>
      </vt:variant>
      <vt:variant>
        <vt:lpwstr/>
      </vt:variant>
      <vt:variant>
        <vt:lpwstr>_Toc208590449</vt:lpwstr>
      </vt:variant>
      <vt:variant>
        <vt:i4>1441847</vt:i4>
      </vt:variant>
      <vt:variant>
        <vt:i4>191</vt:i4>
      </vt:variant>
      <vt:variant>
        <vt:i4>0</vt:i4>
      </vt:variant>
      <vt:variant>
        <vt:i4>5</vt:i4>
      </vt:variant>
      <vt:variant>
        <vt:lpwstr/>
      </vt:variant>
      <vt:variant>
        <vt:lpwstr>_Toc208590448</vt:lpwstr>
      </vt:variant>
      <vt:variant>
        <vt:i4>1441847</vt:i4>
      </vt:variant>
      <vt:variant>
        <vt:i4>185</vt:i4>
      </vt:variant>
      <vt:variant>
        <vt:i4>0</vt:i4>
      </vt:variant>
      <vt:variant>
        <vt:i4>5</vt:i4>
      </vt:variant>
      <vt:variant>
        <vt:lpwstr/>
      </vt:variant>
      <vt:variant>
        <vt:lpwstr>_Toc208590447</vt:lpwstr>
      </vt:variant>
      <vt:variant>
        <vt:i4>1441847</vt:i4>
      </vt:variant>
      <vt:variant>
        <vt:i4>179</vt:i4>
      </vt:variant>
      <vt:variant>
        <vt:i4>0</vt:i4>
      </vt:variant>
      <vt:variant>
        <vt:i4>5</vt:i4>
      </vt:variant>
      <vt:variant>
        <vt:lpwstr/>
      </vt:variant>
      <vt:variant>
        <vt:lpwstr>_Toc208590446</vt:lpwstr>
      </vt:variant>
      <vt:variant>
        <vt:i4>1441847</vt:i4>
      </vt:variant>
      <vt:variant>
        <vt:i4>173</vt:i4>
      </vt:variant>
      <vt:variant>
        <vt:i4>0</vt:i4>
      </vt:variant>
      <vt:variant>
        <vt:i4>5</vt:i4>
      </vt:variant>
      <vt:variant>
        <vt:lpwstr/>
      </vt:variant>
      <vt:variant>
        <vt:lpwstr>_Toc208590445</vt:lpwstr>
      </vt:variant>
      <vt:variant>
        <vt:i4>1441847</vt:i4>
      </vt:variant>
      <vt:variant>
        <vt:i4>167</vt:i4>
      </vt:variant>
      <vt:variant>
        <vt:i4>0</vt:i4>
      </vt:variant>
      <vt:variant>
        <vt:i4>5</vt:i4>
      </vt:variant>
      <vt:variant>
        <vt:lpwstr/>
      </vt:variant>
      <vt:variant>
        <vt:lpwstr>_Toc208590444</vt:lpwstr>
      </vt:variant>
      <vt:variant>
        <vt:i4>1441847</vt:i4>
      </vt:variant>
      <vt:variant>
        <vt:i4>161</vt:i4>
      </vt:variant>
      <vt:variant>
        <vt:i4>0</vt:i4>
      </vt:variant>
      <vt:variant>
        <vt:i4>5</vt:i4>
      </vt:variant>
      <vt:variant>
        <vt:lpwstr/>
      </vt:variant>
      <vt:variant>
        <vt:lpwstr>_Toc208590443</vt:lpwstr>
      </vt:variant>
      <vt:variant>
        <vt:i4>1441847</vt:i4>
      </vt:variant>
      <vt:variant>
        <vt:i4>155</vt:i4>
      </vt:variant>
      <vt:variant>
        <vt:i4>0</vt:i4>
      </vt:variant>
      <vt:variant>
        <vt:i4>5</vt:i4>
      </vt:variant>
      <vt:variant>
        <vt:lpwstr/>
      </vt:variant>
      <vt:variant>
        <vt:lpwstr>_Toc208590442</vt:lpwstr>
      </vt:variant>
      <vt:variant>
        <vt:i4>1441847</vt:i4>
      </vt:variant>
      <vt:variant>
        <vt:i4>149</vt:i4>
      </vt:variant>
      <vt:variant>
        <vt:i4>0</vt:i4>
      </vt:variant>
      <vt:variant>
        <vt:i4>5</vt:i4>
      </vt:variant>
      <vt:variant>
        <vt:lpwstr/>
      </vt:variant>
      <vt:variant>
        <vt:lpwstr>_Toc208590441</vt:lpwstr>
      </vt:variant>
      <vt:variant>
        <vt:i4>1441847</vt:i4>
      </vt:variant>
      <vt:variant>
        <vt:i4>143</vt:i4>
      </vt:variant>
      <vt:variant>
        <vt:i4>0</vt:i4>
      </vt:variant>
      <vt:variant>
        <vt:i4>5</vt:i4>
      </vt:variant>
      <vt:variant>
        <vt:lpwstr/>
      </vt:variant>
      <vt:variant>
        <vt:lpwstr>_Toc208590440</vt:lpwstr>
      </vt:variant>
      <vt:variant>
        <vt:i4>1114167</vt:i4>
      </vt:variant>
      <vt:variant>
        <vt:i4>137</vt:i4>
      </vt:variant>
      <vt:variant>
        <vt:i4>0</vt:i4>
      </vt:variant>
      <vt:variant>
        <vt:i4>5</vt:i4>
      </vt:variant>
      <vt:variant>
        <vt:lpwstr/>
      </vt:variant>
      <vt:variant>
        <vt:lpwstr>_Toc208590439</vt:lpwstr>
      </vt:variant>
      <vt:variant>
        <vt:i4>1114167</vt:i4>
      </vt:variant>
      <vt:variant>
        <vt:i4>131</vt:i4>
      </vt:variant>
      <vt:variant>
        <vt:i4>0</vt:i4>
      </vt:variant>
      <vt:variant>
        <vt:i4>5</vt:i4>
      </vt:variant>
      <vt:variant>
        <vt:lpwstr/>
      </vt:variant>
      <vt:variant>
        <vt:lpwstr>_Toc208590438</vt:lpwstr>
      </vt:variant>
      <vt:variant>
        <vt:i4>1114167</vt:i4>
      </vt:variant>
      <vt:variant>
        <vt:i4>125</vt:i4>
      </vt:variant>
      <vt:variant>
        <vt:i4>0</vt:i4>
      </vt:variant>
      <vt:variant>
        <vt:i4>5</vt:i4>
      </vt:variant>
      <vt:variant>
        <vt:lpwstr/>
      </vt:variant>
      <vt:variant>
        <vt:lpwstr>_Toc208590437</vt:lpwstr>
      </vt:variant>
      <vt:variant>
        <vt:i4>1114167</vt:i4>
      </vt:variant>
      <vt:variant>
        <vt:i4>119</vt:i4>
      </vt:variant>
      <vt:variant>
        <vt:i4>0</vt:i4>
      </vt:variant>
      <vt:variant>
        <vt:i4>5</vt:i4>
      </vt:variant>
      <vt:variant>
        <vt:lpwstr/>
      </vt:variant>
      <vt:variant>
        <vt:lpwstr>_Toc208590436</vt:lpwstr>
      </vt:variant>
      <vt:variant>
        <vt:i4>1114167</vt:i4>
      </vt:variant>
      <vt:variant>
        <vt:i4>113</vt:i4>
      </vt:variant>
      <vt:variant>
        <vt:i4>0</vt:i4>
      </vt:variant>
      <vt:variant>
        <vt:i4>5</vt:i4>
      </vt:variant>
      <vt:variant>
        <vt:lpwstr/>
      </vt:variant>
      <vt:variant>
        <vt:lpwstr>_Toc208590435</vt:lpwstr>
      </vt:variant>
      <vt:variant>
        <vt:i4>1114167</vt:i4>
      </vt:variant>
      <vt:variant>
        <vt:i4>107</vt:i4>
      </vt:variant>
      <vt:variant>
        <vt:i4>0</vt:i4>
      </vt:variant>
      <vt:variant>
        <vt:i4>5</vt:i4>
      </vt:variant>
      <vt:variant>
        <vt:lpwstr/>
      </vt:variant>
      <vt:variant>
        <vt:lpwstr>_Toc208590434</vt:lpwstr>
      </vt:variant>
      <vt:variant>
        <vt:i4>1114167</vt:i4>
      </vt:variant>
      <vt:variant>
        <vt:i4>101</vt:i4>
      </vt:variant>
      <vt:variant>
        <vt:i4>0</vt:i4>
      </vt:variant>
      <vt:variant>
        <vt:i4>5</vt:i4>
      </vt:variant>
      <vt:variant>
        <vt:lpwstr/>
      </vt:variant>
      <vt:variant>
        <vt:lpwstr>_Toc208590433</vt:lpwstr>
      </vt:variant>
      <vt:variant>
        <vt:i4>1114167</vt:i4>
      </vt:variant>
      <vt:variant>
        <vt:i4>95</vt:i4>
      </vt:variant>
      <vt:variant>
        <vt:i4>0</vt:i4>
      </vt:variant>
      <vt:variant>
        <vt:i4>5</vt:i4>
      </vt:variant>
      <vt:variant>
        <vt:lpwstr/>
      </vt:variant>
      <vt:variant>
        <vt:lpwstr>_Toc208590432</vt:lpwstr>
      </vt:variant>
      <vt:variant>
        <vt:i4>1114167</vt:i4>
      </vt:variant>
      <vt:variant>
        <vt:i4>89</vt:i4>
      </vt:variant>
      <vt:variant>
        <vt:i4>0</vt:i4>
      </vt:variant>
      <vt:variant>
        <vt:i4>5</vt:i4>
      </vt:variant>
      <vt:variant>
        <vt:lpwstr/>
      </vt:variant>
      <vt:variant>
        <vt:lpwstr>_Toc208590431</vt:lpwstr>
      </vt:variant>
      <vt:variant>
        <vt:i4>1114167</vt:i4>
      </vt:variant>
      <vt:variant>
        <vt:i4>83</vt:i4>
      </vt:variant>
      <vt:variant>
        <vt:i4>0</vt:i4>
      </vt:variant>
      <vt:variant>
        <vt:i4>5</vt:i4>
      </vt:variant>
      <vt:variant>
        <vt:lpwstr/>
      </vt:variant>
      <vt:variant>
        <vt:lpwstr>_Toc208590430</vt:lpwstr>
      </vt:variant>
      <vt:variant>
        <vt:i4>1048631</vt:i4>
      </vt:variant>
      <vt:variant>
        <vt:i4>77</vt:i4>
      </vt:variant>
      <vt:variant>
        <vt:i4>0</vt:i4>
      </vt:variant>
      <vt:variant>
        <vt:i4>5</vt:i4>
      </vt:variant>
      <vt:variant>
        <vt:lpwstr/>
      </vt:variant>
      <vt:variant>
        <vt:lpwstr>_Toc208590429</vt:lpwstr>
      </vt:variant>
      <vt:variant>
        <vt:i4>1048631</vt:i4>
      </vt:variant>
      <vt:variant>
        <vt:i4>71</vt:i4>
      </vt:variant>
      <vt:variant>
        <vt:i4>0</vt:i4>
      </vt:variant>
      <vt:variant>
        <vt:i4>5</vt:i4>
      </vt:variant>
      <vt:variant>
        <vt:lpwstr/>
      </vt:variant>
      <vt:variant>
        <vt:lpwstr>_Toc208590428</vt:lpwstr>
      </vt:variant>
      <vt:variant>
        <vt:i4>1048631</vt:i4>
      </vt:variant>
      <vt:variant>
        <vt:i4>65</vt:i4>
      </vt:variant>
      <vt:variant>
        <vt:i4>0</vt:i4>
      </vt:variant>
      <vt:variant>
        <vt:i4>5</vt:i4>
      </vt:variant>
      <vt:variant>
        <vt:lpwstr/>
      </vt:variant>
      <vt:variant>
        <vt:lpwstr>_Toc208590427</vt:lpwstr>
      </vt:variant>
      <vt:variant>
        <vt:i4>1048631</vt:i4>
      </vt:variant>
      <vt:variant>
        <vt:i4>59</vt:i4>
      </vt:variant>
      <vt:variant>
        <vt:i4>0</vt:i4>
      </vt:variant>
      <vt:variant>
        <vt:i4>5</vt:i4>
      </vt:variant>
      <vt:variant>
        <vt:lpwstr/>
      </vt:variant>
      <vt:variant>
        <vt:lpwstr>_Toc208590426</vt:lpwstr>
      </vt:variant>
      <vt:variant>
        <vt:i4>1048631</vt:i4>
      </vt:variant>
      <vt:variant>
        <vt:i4>53</vt:i4>
      </vt:variant>
      <vt:variant>
        <vt:i4>0</vt:i4>
      </vt:variant>
      <vt:variant>
        <vt:i4>5</vt:i4>
      </vt:variant>
      <vt:variant>
        <vt:lpwstr/>
      </vt:variant>
      <vt:variant>
        <vt:lpwstr>_Toc208590425</vt:lpwstr>
      </vt:variant>
      <vt:variant>
        <vt:i4>1048631</vt:i4>
      </vt:variant>
      <vt:variant>
        <vt:i4>47</vt:i4>
      </vt:variant>
      <vt:variant>
        <vt:i4>0</vt:i4>
      </vt:variant>
      <vt:variant>
        <vt:i4>5</vt:i4>
      </vt:variant>
      <vt:variant>
        <vt:lpwstr/>
      </vt:variant>
      <vt:variant>
        <vt:lpwstr>_Toc208590424</vt:lpwstr>
      </vt:variant>
      <vt:variant>
        <vt:i4>1048631</vt:i4>
      </vt:variant>
      <vt:variant>
        <vt:i4>41</vt:i4>
      </vt:variant>
      <vt:variant>
        <vt:i4>0</vt:i4>
      </vt:variant>
      <vt:variant>
        <vt:i4>5</vt:i4>
      </vt:variant>
      <vt:variant>
        <vt:lpwstr/>
      </vt:variant>
      <vt:variant>
        <vt:lpwstr>_Toc208590423</vt:lpwstr>
      </vt:variant>
      <vt:variant>
        <vt:i4>1048631</vt:i4>
      </vt:variant>
      <vt:variant>
        <vt:i4>35</vt:i4>
      </vt:variant>
      <vt:variant>
        <vt:i4>0</vt:i4>
      </vt:variant>
      <vt:variant>
        <vt:i4>5</vt:i4>
      </vt:variant>
      <vt:variant>
        <vt:lpwstr/>
      </vt:variant>
      <vt:variant>
        <vt:lpwstr>_Toc208590422</vt:lpwstr>
      </vt:variant>
      <vt:variant>
        <vt:i4>1048631</vt:i4>
      </vt:variant>
      <vt:variant>
        <vt:i4>29</vt:i4>
      </vt:variant>
      <vt:variant>
        <vt:i4>0</vt:i4>
      </vt:variant>
      <vt:variant>
        <vt:i4>5</vt:i4>
      </vt:variant>
      <vt:variant>
        <vt:lpwstr/>
      </vt:variant>
      <vt:variant>
        <vt:lpwstr>_Toc208590421</vt:lpwstr>
      </vt:variant>
      <vt:variant>
        <vt:i4>1048631</vt:i4>
      </vt:variant>
      <vt:variant>
        <vt:i4>23</vt:i4>
      </vt:variant>
      <vt:variant>
        <vt:i4>0</vt:i4>
      </vt:variant>
      <vt:variant>
        <vt:i4>5</vt:i4>
      </vt:variant>
      <vt:variant>
        <vt:lpwstr/>
      </vt:variant>
      <vt:variant>
        <vt:lpwstr>_Toc208590420</vt:lpwstr>
      </vt:variant>
      <vt:variant>
        <vt:i4>1245239</vt:i4>
      </vt:variant>
      <vt:variant>
        <vt:i4>17</vt:i4>
      </vt:variant>
      <vt:variant>
        <vt:i4>0</vt:i4>
      </vt:variant>
      <vt:variant>
        <vt:i4>5</vt:i4>
      </vt:variant>
      <vt:variant>
        <vt:lpwstr/>
      </vt:variant>
      <vt:variant>
        <vt:lpwstr>_Toc208590419</vt:lpwstr>
      </vt:variant>
      <vt:variant>
        <vt:i4>1245239</vt:i4>
      </vt:variant>
      <vt:variant>
        <vt:i4>11</vt:i4>
      </vt:variant>
      <vt:variant>
        <vt:i4>0</vt:i4>
      </vt:variant>
      <vt:variant>
        <vt:i4>5</vt:i4>
      </vt:variant>
      <vt:variant>
        <vt:lpwstr/>
      </vt:variant>
      <vt:variant>
        <vt:lpwstr>_Toc208590418</vt:lpwstr>
      </vt:variant>
      <vt:variant>
        <vt:i4>131132</vt:i4>
      </vt:variant>
      <vt:variant>
        <vt:i4>6</vt:i4>
      </vt:variant>
      <vt:variant>
        <vt:i4>0</vt:i4>
      </vt:variant>
      <vt:variant>
        <vt:i4>5</vt:i4>
      </vt:variant>
      <vt:variant>
        <vt:lpwstr>mailto:Helpdesk-OIA@pmc.gov.au</vt:lpwstr>
      </vt:variant>
      <vt:variant>
        <vt:lpwstr/>
      </vt:variant>
      <vt:variant>
        <vt:i4>3997813</vt:i4>
      </vt:variant>
      <vt:variant>
        <vt:i4>3</vt:i4>
      </vt:variant>
      <vt:variant>
        <vt:i4>0</vt:i4>
      </vt:variant>
      <vt:variant>
        <vt:i4>5</vt:i4>
      </vt:variant>
      <vt:variant>
        <vt:lpwstr>https://oia.pmc.gov.au/resources/guidance-impact-analysis/user-guide-australian-government-guide-regulatory-impact</vt:lpwstr>
      </vt:variant>
      <vt:variant>
        <vt:lpwstr/>
      </vt:variant>
      <vt:variant>
        <vt:i4>2031643</vt:i4>
      </vt:variant>
      <vt:variant>
        <vt:i4>0</vt:i4>
      </vt:variant>
      <vt:variant>
        <vt:i4>0</vt:i4>
      </vt:variant>
      <vt:variant>
        <vt:i4>5</vt:i4>
      </vt:variant>
      <vt:variant>
        <vt:lpwstr>https://oia.pmc.gov.au/resources/guidance-impact-analysis/australian-government-guide-policy-impact-analysis</vt:lpwstr>
      </vt:variant>
      <vt:variant>
        <vt:lpwstr/>
      </vt:variant>
      <vt:variant>
        <vt:i4>7667815</vt:i4>
      </vt:variant>
      <vt:variant>
        <vt:i4>126</vt:i4>
      </vt:variant>
      <vt:variant>
        <vt:i4>0</vt:i4>
      </vt:variant>
      <vt:variant>
        <vt:i4>5</vt:i4>
      </vt:variant>
      <vt:variant>
        <vt:lpwstr>https://www.abc.net.au/news/2025-03-01/labor-promises-50-more-urgent-care-clinics/104999118</vt:lpwstr>
      </vt:variant>
      <vt:variant>
        <vt:lpwstr/>
      </vt:variant>
      <vt:variant>
        <vt:i4>2293818</vt:i4>
      </vt:variant>
      <vt:variant>
        <vt:i4>123</vt:i4>
      </vt:variant>
      <vt:variant>
        <vt:i4>0</vt:i4>
      </vt:variant>
      <vt:variant>
        <vt:i4>5</vt:i4>
      </vt:variant>
      <vt:variant>
        <vt:lpwstr>https://www1.racgp.org.au/newsgp/professional/racgp-leaders-discuss-future-of-uccs</vt:lpwstr>
      </vt:variant>
      <vt:variant>
        <vt:lpwstr>:~:text=An%20RACGP%20roundtable%20last%20week%20brought%20together%20members%2C,and%20their%20potential%20role%20in%20the%20healthcare%20system.</vt:lpwstr>
      </vt:variant>
      <vt:variant>
        <vt:i4>1179740</vt:i4>
      </vt:variant>
      <vt:variant>
        <vt:i4>120</vt:i4>
      </vt:variant>
      <vt:variant>
        <vt:i4>0</vt:i4>
      </vt:variant>
      <vt:variant>
        <vt:i4>5</vt:i4>
      </vt:variant>
      <vt:variant>
        <vt:lpwstr>https://www.pm.gov.au/media/meeting-national-cabinet-federation-working-australia</vt:lpwstr>
      </vt:variant>
      <vt:variant>
        <vt:lpwstr/>
      </vt:variant>
      <vt:variant>
        <vt:i4>4587550</vt:i4>
      </vt:variant>
      <vt:variant>
        <vt:i4>117</vt:i4>
      </vt:variant>
      <vt:variant>
        <vt:i4>0</vt:i4>
      </vt:variant>
      <vt:variant>
        <vt:i4>5</vt:i4>
      </vt:variant>
      <vt:variant>
        <vt:lpwstr>https://www.aph.gov.au/-/media/55EEB672CFF74739B8B92FE61BF14470.ashx</vt:lpwstr>
      </vt:variant>
      <vt:variant>
        <vt:lpwstr/>
      </vt:variant>
      <vt:variant>
        <vt:i4>2031696</vt:i4>
      </vt:variant>
      <vt:variant>
        <vt:i4>114</vt:i4>
      </vt:variant>
      <vt:variant>
        <vt:i4>0</vt:i4>
      </vt:variant>
      <vt:variant>
        <vt:i4>5</vt:i4>
      </vt:variant>
      <vt:variant>
        <vt:lpwstr>https://www.health.gov.au/resources/publications/medicare-urgent-care-clinics-program-evaluation-first-interim-report?language=en</vt:lpwstr>
      </vt:variant>
      <vt:variant>
        <vt:lpwstr/>
      </vt:variant>
      <vt:variant>
        <vt:i4>3735658</vt:i4>
      </vt:variant>
      <vt:variant>
        <vt:i4>111</vt:i4>
      </vt:variant>
      <vt:variant>
        <vt:i4>0</vt:i4>
      </vt:variant>
      <vt:variant>
        <vt:i4>5</vt:i4>
      </vt:variant>
      <vt:variant>
        <vt:lpwstr>https://www.health.gov.au/our-work/upcoming-changes-to-bulk-billing-incentives-in-general-practice</vt:lpwstr>
      </vt:variant>
      <vt:variant>
        <vt:lpwstr/>
      </vt:variant>
      <vt:variant>
        <vt:i4>2031696</vt:i4>
      </vt:variant>
      <vt:variant>
        <vt:i4>108</vt:i4>
      </vt:variant>
      <vt:variant>
        <vt:i4>0</vt:i4>
      </vt:variant>
      <vt:variant>
        <vt:i4>5</vt:i4>
      </vt:variant>
      <vt:variant>
        <vt:lpwstr>https://www.health.gov.au/resources/publications/medicare-urgent-care-clinics-program-evaluation-first-interim-report?language=en</vt:lpwstr>
      </vt:variant>
      <vt:variant>
        <vt:lpwstr/>
      </vt:variant>
      <vt:variant>
        <vt:i4>6750255</vt:i4>
      </vt:variant>
      <vt:variant>
        <vt:i4>105</vt:i4>
      </vt:variant>
      <vt:variant>
        <vt:i4>0</vt:i4>
      </vt:variant>
      <vt:variant>
        <vt:i4>5</vt:i4>
      </vt:variant>
      <vt:variant>
        <vt:lpwstr>https://www1.racgp.org.au/newsgp/professional/first-urgent-care-clinic-evaluation-released</vt:lpwstr>
      </vt:variant>
      <vt:variant>
        <vt:lpwstr/>
      </vt:variant>
      <vt:variant>
        <vt:i4>3735658</vt:i4>
      </vt:variant>
      <vt:variant>
        <vt:i4>93</vt:i4>
      </vt:variant>
      <vt:variant>
        <vt:i4>0</vt:i4>
      </vt:variant>
      <vt:variant>
        <vt:i4>5</vt:i4>
      </vt:variant>
      <vt:variant>
        <vt:lpwstr>https://www.health.gov.au/our-work/upcoming-changes-to-bulk-billing-incentives-in-general-practice</vt:lpwstr>
      </vt:variant>
      <vt:variant>
        <vt:lpwstr/>
      </vt:variant>
      <vt:variant>
        <vt:i4>7340144</vt:i4>
      </vt:variant>
      <vt:variant>
        <vt:i4>90</vt:i4>
      </vt:variant>
      <vt:variant>
        <vt:i4>0</vt:i4>
      </vt:variant>
      <vt:variant>
        <vt:i4>5</vt:i4>
      </vt:variant>
      <vt:variant>
        <vt:lpwstr>https://www.aihw.gov.au/reports/medicare/medicare-bulk-billing-of-gp-attendances-over-time/contents/out-of-pocket-costs-for-gp-attendances/patterns-costs-gp-attendances-states-territories</vt:lpwstr>
      </vt:variant>
      <vt:variant>
        <vt:lpwstr/>
      </vt:variant>
      <vt:variant>
        <vt:i4>7340144</vt:i4>
      </vt:variant>
      <vt:variant>
        <vt:i4>87</vt:i4>
      </vt:variant>
      <vt:variant>
        <vt:i4>0</vt:i4>
      </vt:variant>
      <vt:variant>
        <vt:i4>5</vt:i4>
      </vt:variant>
      <vt:variant>
        <vt:lpwstr>https://www.aihw.gov.au/reports/medicare/medicare-bulk-billing-of-gp-attendances-over-time/contents/out-of-pocket-costs-for-gp-attendances/patterns-costs-gp-attendances-states-territories</vt:lpwstr>
      </vt:variant>
      <vt:variant>
        <vt:lpwstr/>
      </vt:variant>
      <vt:variant>
        <vt:i4>720979</vt:i4>
      </vt:variant>
      <vt:variant>
        <vt:i4>84</vt:i4>
      </vt:variant>
      <vt:variant>
        <vt:i4>0</vt:i4>
      </vt:variant>
      <vt:variant>
        <vt:i4>5</vt:i4>
      </vt:variant>
      <vt:variant>
        <vt:lpwstr>https://www.health.gov.au/node/51988?language=en</vt:lpwstr>
      </vt:variant>
      <vt:variant>
        <vt:lpwstr/>
      </vt:variant>
      <vt:variant>
        <vt:i4>1179740</vt:i4>
      </vt:variant>
      <vt:variant>
        <vt:i4>81</vt:i4>
      </vt:variant>
      <vt:variant>
        <vt:i4>0</vt:i4>
      </vt:variant>
      <vt:variant>
        <vt:i4>5</vt:i4>
      </vt:variant>
      <vt:variant>
        <vt:lpwstr>https://www.pm.gov.au/media/meeting-national-cabinet-federation-working-australia</vt:lpwstr>
      </vt:variant>
      <vt:variant>
        <vt:lpwstr/>
      </vt:variant>
      <vt:variant>
        <vt:i4>1245263</vt:i4>
      </vt:variant>
      <vt:variant>
        <vt:i4>78</vt:i4>
      </vt:variant>
      <vt:variant>
        <vt:i4>0</vt:i4>
      </vt:variant>
      <vt:variant>
        <vt:i4>5</vt:i4>
      </vt:variant>
      <vt:variant>
        <vt:lpwstr>https://www.alp.org.au/news/strengthening-medicare-with-1800medicare-free-urgent-care-on-your-phone-and-in-your-home/</vt:lpwstr>
      </vt:variant>
      <vt:variant>
        <vt:lpwstr/>
      </vt:variant>
      <vt:variant>
        <vt:i4>1048649</vt:i4>
      </vt:variant>
      <vt:variant>
        <vt:i4>75</vt:i4>
      </vt:variant>
      <vt:variant>
        <vt:i4>0</vt:i4>
      </vt:variant>
      <vt:variant>
        <vt:i4>5</vt:i4>
      </vt:variant>
      <vt:variant>
        <vt:lpwstr>https://www.ihacpa.gov.au/sites/default/files/2022-02/Australian Hospital Patient Costing Standards Version 4.1 - Part 3 - Costing Guidelines.pdf</vt:lpwstr>
      </vt:variant>
      <vt:variant>
        <vt:lpwstr/>
      </vt:variant>
      <vt:variant>
        <vt:i4>1835094</vt:i4>
      </vt:variant>
      <vt:variant>
        <vt:i4>72</vt:i4>
      </vt:variant>
      <vt:variant>
        <vt:i4>0</vt:i4>
      </vt:variant>
      <vt:variant>
        <vt:i4>5</vt:i4>
      </vt:variant>
      <vt:variant>
        <vt:lpwstr>https://www.health.gov.au/our-work/national-health-reform-agreement-nhra</vt:lpwstr>
      </vt:variant>
      <vt:variant>
        <vt:lpwstr/>
      </vt:variant>
      <vt:variant>
        <vt:i4>6422605</vt:i4>
      </vt:variant>
      <vt:variant>
        <vt:i4>69</vt:i4>
      </vt:variant>
      <vt:variant>
        <vt:i4>0</vt:i4>
      </vt:variant>
      <vt:variant>
        <vt:i4>5</vt:i4>
      </vt:variant>
      <vt:variant>
        <vt:lpwstr>https://www.ama.com.au/sites/default/files/2025-04/Ambulance_Ramping_Report_Card_2025_0.pdf</vt:lpwstr>
      </vt:variant>
      <vt:variant>
        <vt:lpwstr/>
      </vt:variant>
      <vt:variant>
        <vt:i4>6422605</vt:i4>
      </vt:variant>
      <vt:variant>
        <vt:i4>66</vt:i4>
      </vt:variant>
      <vt:variant>
        <vt:i4>0</vt:i4>
      </vt:variant>
      <vt:variant>
        <vt:i4>5</vt:i4>
      </vt:variant>
      <vt:variant>
        <vt:lpwstr>https://www.ama.com.au/sites/default/files/2025-04/Ambulance_Ramping_Report_Card_2025_0.pdf</vt:lpwstr>
      </vt:variant>
      <vt:variant>
        <vt:lpwstr/>
      </vt:variant>
      <vt:variant>
        <vt:i4>1179654</vt:i4>
      </vt:variant>
      <vt:variant>
        <vt:i4>63</vt:i4>
      </vt:variant>
      <vt:variant>
        <vt:i4>0</vt:i4>
      </vt:variant>
      <vt:variant>
        <vt:i4>5</vt:i4>
      </vt:variant>
      <vt:variant>
        <vt:lpwstr>https://www.aihw.gov.au/reports/workforce/health-workforce</vt:lpwstr>
      </vt:variant>
      <vt:variant>
        <vt:lpwstr>impact</vt:lpwstr>
      </vt:variant>
      <vt:variant>
        <vt:i4>1179654</vt:i4>
      </vt:variant>
      <vt:variant>
        <vt:i4>60</vt:i4>
      </vt:variant>
      <vt:variant>
        <vt:i4>0</vt:i4>
      </vt:variant>
      <vt:variant>
        <vt:i4>5</vt:i4>
      </vt:variant>
      <vt:variant>
        <vt:lpwstr>https://www.aihw.gov.au/reports/workforce/health-workforce</vt:lpwstr>
      </vt:variant>
      <vt:variant>
        <vt:lpwstr>impact</vt:lpwstr>
      </vt:variant>
      <vt:variant>
        <vt:i4>1179654</vt:i4>
      </vt:variant>
      <vt:variant>
        <vt:i4>57</vt:i4>
      </vt:variant>
      <vt:variant>
        <vt:i4>0</vt:i4>
      </vt:variant>
      <vt:variant>
        <vt:i4>5</vt:i4>
      </vt:variant>
      <vt:variant>
        <vt:lpwstr>https://www.aihw.gov.au/reports/workforce/health-workforce</vt:lpwstr>
      </vt:variant>
      <vt:variant>
        <vt:lpwstr>impact</vt:lpwstr>
      </vt:variant>
      <vt:variant>
        <vt:i4>5701661</vt:i4>
      </vt:variant>
      <vt:variant>
        <vt:i4>54</vt:i4>
      </vt:variant>
      <vt:variant>
        <vt:i4>0</vt:i4>
      </vt:variant>
      <vt:variant>
        <vt:i4>5</vt:i4>
      </vt:variant>
      <vt:variant>
        <vt:lpwstr>https://www.pc.gov.au/inquiries/current/quality-care/interim</vt:lpwstr>
      </vt:variant>
      <vt:variant>
        <vt:lpwstr/>
      </vt:variant>
      <vt:variant>
        <vt:i4>2621565</vt:i4>
      </vt:variant>
      <vt:variant>
        <vt:i4>51</vt:i4>
      </vt:variant>
      <vt:variant>
        <vt:i4>0</vt:i4>
      </vt:variant>
      <vt:variant>
        <vt:i4>5</vt:i4>
      </vt:variant>
      <vt:variant>
        <vt:lpwstr>https://www.aihw.gov.au/hospitals/topics/emergency-departments</vt:lpwstr>
      </vt:variant>
      <vt:variant>
        <vt:lpwstr>more-data</vt:lpwstr>
      </vt:variant>
      <vt:variant>
        <vt:i4>2621565</vt:i4>
      </vt:variant>
      <vt:variant>
        <vt:i4>48</vt:i4>
      </vt:variant>
      <vt:variant>
        <vt:i4>0</vt:i4>
      </vt:variant>
      <vt:variant>
        <vt:i4>5</vt:i4>
      </vt:variant>
      <vt:variant>
        <vt:lpwstr>https://www.aihw.gov.au/hospitals/topics/emergency-departments</vt:lpwstr>
      </vt:variant>
      <vt:variant>
        <vt:lpwstr>more-data</vt:lpwstr>
      </vt:variant>
      <vt:variant>
        <vt:i4>5898240</vt:i4>
      </vt:variant>
      <vt:variant>
        <vt:i4>45</vt:i4>
      </vt:variant>
      <vt:variant>
        <vt:i4>0</vt:i4>
      </vt:variant>
      <vt:variant>
        <vt:i4>5</vt:i4>
      </vt:variant>
      <vt:variant>
        <vt:lpwstr>https://www1.racgp.org.au/newsgp/racgp/record-number-of-gps-in-training-beginning-in-2025</vt:lpwstr>
      </vt:variant>
      <vt:variant>
        <vt:lpwstr/>
      </vt:variant>
      <vt:variant>
        <vt:i4>3080246</vt:i4>
      </vt:variant>
      <vt:variant>
        <vt:i4>42</vt:i4>
      </vt:variant>
      <vt:variant>
        <vt:i4>0</vt:i4>
      </vt:variant>
      <vt:variant>
        <vt:i4>5</vt:i4>
      </vt:variant>
      <vt:variant>
        <vt:lpwstr>https://www.health.gov.au/resources/publications/national-medical-workforce-strategy-2021-2031</vt:lpwstr>
      </vt:variant>
      <vt:variant>
        <vt:lpwstr/>
      </vt:variant>
      <vt:variant>
        <vt:i4>7536737</vt:i4>
      </vt:variant>
      <vt:variant>
        <vt:i4>39</vt:i4>
      </vt:variant>
      <vt:variant>
        <vt:i4>0</vt:i4>
      </vt:variant>
      <vt:variant>
        <vt:i4>5</vt:i4>
      </vt:variant>
      <vt:variant>
        <vt:lpwstr>https://www.abs.gov.au/statistics/health/health-services/patient-experiences/latest-release</vt:lpwstr>
      </vt:variant>
      <vt:variant>
        <vt:lpwstr/>
      </vt:variant>
      <vt:variant>
        <vt:i4>7536737</vt:i4>
      </vt:variant>
      <vt:variant>
        <vt:i4>36</vt:i4>
      </vt:variant>
      <vt:variant>
        <vt:i4>0</vt:i4>
      </vt:variant>
      <vt:variant>
        <vt:i4>5</vt:i4>
      </vt:variant>
      <vt:variant>
        <vt:lpwstr>https://www.abs.gov.au/statistics/health/health-services/patient-experiences/latest-release</vt:lpwstr>
      </vt:variant>
      <vt:variant>
        <vt:lpwstr/>
      </vt:variant>
      <vt:variant>
        <vt:i4>131164</vt:i4>
      </vt:variant>
      <vt:variant>
        <vt:i4>33</vt:i4>
      </vt:variant>
      <vt:variant>
        <vt:i4>0</vt:i4>
      </vt:variant>
      <vt:variant>
        <vt:i4>5</vt:i4>
      </vt:variant>
      <vt:variant>
        <vt:lpwstr>https://www.abs.gov.au/statistics/health/health-services/patient-experiences/2019-20</vt:lpwstr>
      </vt:variant>
      <vt:variant>
        <vt:lpwstr>waiting-times</vt:lpwstr>
      </vt:variant>
      <vt:variant>
        <vt:i4>1572870</vt:i4>
      </vt:variant>
      <vt:variant>
        <vt:i4>30</vt:i4>
      </vt:variant>
      <vt:variant>
        <vt:i4>0</vt:i4>
      </vt:variant>
      <vt:variant>
        <vt:i4>5</vt:i4>
      </vt:variant>
      <vt:variant>
        <vt:lpwstr>https://www.aihw.gov.au/reports/indigenous-australians/cultural-safety-health-care-framework/contents/summary</vt:lpwstr>
      </vt:variant>
      <vt:variant>
        <vt:lpwstr/>
      </vt:variant>
      <vt:variant>
        <vt:i4>6946941</vt:i4>
      </vt:variant>
      <vt:variant>
        <vt:i4>27</vt:i4>
      </vt:variant>
      <vt:variant>
        <vt:i4>0</vt:i4>
      </vt:variant>
      <vt:variant>
        <vt:i4>5</vt:i4>
      </vt:variant>
      <vt:variant>
        <vt:lpwstr>https://www.aihw.gov.au/reports/cald-australians/reporting-health-cald-populations/summary</vt:lpwstr>
      </vt:variant>
      <vt:variant>
        <vt:lpwstr/>
      </vt:variant>
      <vt:variant>
        <vt:i4>2621565</vt:i4>
      </vt:variant>
      <vt:variant>
        <vt:i4>24</vt:i4>
      </vt:variant>
      <vt:variant>
        <vt:i4>0</vt:i4>
      </vt:variant>
      <vt:variant>
        <vt:i4>5</vt:i4>
      </vt:variant>
      <vt:variant>
        <vt:lpwstr>https://www.aihw.gov.au/hospitals/topics/emergency-departments</vt:lpwstr>
      </vt:variant>
      <vt:variant>
        <vt:lpwstr>more-data</vt:lpwstr>
      </vt:variant>
      <vt:variant>
        <vt:i4>7340144</vt:i4>
      </vt:variant>
      <vt:variant>
        <vt:i4>21</vt:i4>
      </vt:variant>
      <vt:variant>
        <vt:i4>0</vt:i4>
      </vt:variant>
      <vt:variant>
        <vt:i4>5</vt:i4>
      </vt:variant>
      <vt:variant>
        <vt:lpwstr>https://www.aihw.gov.au/reports/medicare/medicare-bulk-billing-of-gp-attendances-over-time/contents/out-of-pocket-costs-for-gp-attendances/patterns-costs-gp-attendances-states-territories</vt:lpwstr>
      </vt:variant>
      <vt:variant>
        <vt:lpwstr/>
      </vt:variant>
      <vt:variant>
        <vt:i4>7340144</vt:i4>
      </vt:variant>
      <vt:variant>
        <vt:i4>18</vt:i4>
      </vt:variant>
      <vt:variant>
        <vt:i4>0</vt:i4>
      </vt:variant>
      <vt:variant>
        <vt:i4>5</vt:i4>
      </vt:variant>
      <vt:variant>
        <vt:lpwstr>https://www.aihw.gov.au/reports/medicare/medicare-bulk-billing-of-gp-attendances-over-time/contents/out-of-pocket-costs-for-gp-attendances/patterns-costs-gp-attendances-states-territories</vt:lpwstr>
      </vt:variant>
      <vt:variant>
        <vt:lpwstr/>
      </vt:variant>
      <vt:variant>
        <vt:i4>3735658</vt:i4>
      </vt:variant>
      <vt:variant>
        <vt:i4>15</vt:i4>
      </vt:variant>
      <vt:variant>
        <vt:i4>0</vt:i4>
      </vt:variant>
      <vt:variant>
        <vt:i4>5</vt:i4>
      </vt:variant>
      <vt:variant>
        <vt:lpwstr>https://www.health.gov.au/our-work/upcoming-changes-to-bulk-billing-incentives-in-general-practice</vt:lpwstr>
      </vt:variant>
      <vt:variant>
        <vt:lpwstr/>
      </vt:variant>
      <vt:variant>
        <vt:i4>7340144</vt:i4>
      </vt:variant>
      <vt:variant>
        <vt:i4>12</vt:i4>
      </vt:variant>
      <vt:variant>
        <vt:i4>0</vt:i4>
      </vt:variant>
      <vt:variant>
        <vt:i4>5</vt:i4>
      </vt:variant>
      <vt:variant>
        <vt:lpwstr>https://www.aihw.gov.au/reports/medicare/medicare-bulk-billing-of-gp-attendances-over-time/contents/out-of-pocket-costs-for-gp-attendances/patterns-costs-gp-attendances-states-territories</vt:lpwstr>
      </vt:variant>
      <vt:variant>
        <vt:lpwstr/>
      </vt:variant>
      <vt:variant>
        <vt:i4>7340144</vt:i4>
      </vt:variant>
      <vt:variant>
        <vt:i4>9</vt:i4>
      </vt:variant>
      <vt:variant>
        <vt:i4>0</vt:i4>
      </vt:variant>
      <vt:variant>
        <vt:i4>5</vt:i4>
      </vt:variant>
      <vt:variant>
        <vt:lpwstr>https://www.aihw.gov.au/reports/medicare/medicare-bulk-billing-of-gp-attendances-over-time/contents/out-of-pocket-costs-for-gp-attendances/patterns-costs-gp-attendances-states-territories</vt:lpwstr>
      </vt:variant>
      <vt:variant>
        <vt:lpwstr/>
      </vt:variant>
      <vt:variant>
        <vt:i4>6881289</vt:i4>
      </vt:variant>
      <vt:variant>
        <vt:i4>6</vt:i4>
      </vt:variant>
      <vt:variant>
        <vt:i4>0</vt:i4>
      </vt:variant>
      <vt:variant>
        <vt:i4>5</vt:i4>
      </vt:variant>
      <vt:variant>
        <vt:lpwstr>https://www.racgp.org.au/getmedia/714e4ef3-1163-437d-839b-81fb4610c6a3/ID-949-HOTN-21-summary-v4-WEB_1.pdf.aspx</vt:lpwstr>
      </vt:variant>
      <vt:variant>
        <vt:lpwstr/>
      </vt:variant>
      <vt:variant>
        <vt:i4>2621565</vt:i4>
      </vt:variant>
      <vt:variant>
        <vt:i4>3</vt:i4>
      </vt:variant>
      <vt:variant>
        <vt:i4>0</vt:i4>
      </vt:variant>
      <vt:variant>
        <vt:i4>5</vt:i4>
      </vt:variant>
      <vt:variant>
        <vt:lpwstr>https://www.aihw.gov.au/hospitals/topics/emergency-departments</vt:lpwstr>
      </vt:variant>
      <vt:variant>
        <vt:lpwstr>more-data</vt:lpwstr>
      </vt:variant>
      <vt:variant>
        <vt:i4>3932197</vt:i4>
      </vt:variant>
      <vt:variant>
        <vt:i4>0</vt:i4>
      </vt:variant>
      <vt:variant>
        <vt:i4>0</vt:i4>
      </vt:variant>
      <vt:variant>
        <vt:i4>5</vt:i4>
      </vt:variant>
      <vt:variant>
        <vt:lpwstr>https://www.pbo.gov.au/elections/2022-general-election/2022-election-commitment-costings/urgent-care-clinics-ecr150</vt:lpwstr>
      </vt:variant>
      <vt:variant>
        <vt:lpwstr/>
      </vt:variant>
      <vt:variant>
        <vt:i4>7012439</vt:i4>
      </vt:variant>
      <vt:variant>
        <vt:i4>75</vt:i4>
      </vt:variant>
      <vt:variant>
        <vt:i4>0</vt:i4>
      </vt:variant>
      <vt:variant>
        <vt:i4>5</vt:i4>
      </vt:variant>
      <vt:variant>
        <vt:lpwstr>mailto:Tanya.MANNING2@Protected.Health.gov.au</vt:lpwstr>
      </vt:variant>
      <vt:variant>
        <vt:lpwstr/>
      </vt:variant>
      <vt:variant>
        <vt:i4>7012439</vt:i4>
      </vt:variant>
      <vt:variant>
        <vt:i4>72</vt:i4>
      </vt:variant>
      <vt:variant>
        <vt:i4>0</vt:i4>
      </vt:variant>
      <vt:variant>
        <vt:i4>5</vt:i4>
      </vt:variant>
      <vt:variant>
        <vt:lpwstr>mailto:Tanya.MANNING2@Protected.Health.gov.au</vt:lpwstr>
      </vt:variant>
      <vt:variant>
        <vt:lpwstr/>
      </vt:variant>
      <vt:variant>
        <vt:i4>7012439</vt:i4>
      </vt:variant>
      <vt:variant>
        <vt:i4>69</vt:i4>
      </vt:variant>
      <vt:variant>
        <vt:i4>0</vt:i4>
      </vt:variant>
      <vt:variant>
        <vt:i4>5</vt:i4>
      </vt:variant>
      <vt:variant>
        <vt:lpwstr>mailto:Tanya.MANNING2@Protected.Health.gov.au</vt:lpwstr>
      </vt:variant>
      <vt:variant>
        <vt:lpwstr/>
      </vt:variant>
      <vt:variant>
        <vt:i4>2687057</vt:i4>
      </vt:variant>
      <vt:variant>
        <vt:i4>66</vt:i4>
      </vt:variant>
      <vt:variant>
        <vt:i4>0</vt:i4>
      </vt:variant>
      <vt:variant>
        <vt:i4>5</vt:i4>
      </vt:variant>
      <vt:variant>
        <vt:lpwstr>mailto:Kate.FIELD@Protected.Health.gov.au</vt:lpwstr>
      </vt:variant>
      <vt:variant>
        <vt:lpwstr/>
      </vt:variant>
      <vt:variant>
        <vt:i4>852012</vt:i4>
      </vt:variant>
      <vt:variant>
        <vt:i4>63</vt:i4>
      </vt:variant>
      <vt:variant>
        <vt:i4>0</vt:i4>
      </vt:variant>
      <vt:variant>
        <vt:i4>5</vt:i4>
      </vt:variant>
      <vt:variant>
        <vt:lpwstr>mailto:Kim.PACKHAM2@Protected.Health.gov.au</vt:lpwstr>
      </vt:variant>
      <vt:variant>
        <vt:lpwstr/>
      </vt:variant>
      <vt:variant>
        <vt:i4>7012439</vt:i4>
      </vt:variant>
      <vt:variant>
        <vt:i4>60</vt:i4>
      </vt:variant>
      <vt:variant>
        <vt:i4>0</vt:i4>
      </vt:variant>
      <vt:variant>
        <vt:i4>5</vt:i4>
      </vt:variant>
      <vt:variant>
        <vt:lpwstr>mailto:Tanya.MANNING2@Protected.Health.gov.au</vt:lpwstr>
      </vt:variant>
      <vt:variant>
        <vt:lpwstr/>
      </vt:variant>
      <vt:variant>
        <vt:i4>852012</vt:i4>
      </vt:variant>
      <vt:variant>
        <vt:i4>57</vt:i4>
      </vt:variant>
      <vt:variant>
        <vt:i4>0</vt:i4>
      </vt:variant>
      <vt:variant>
        <vt:i4>5</vt:i4>
      </vt:variant>
      <vt:variant>
        <vt:lpwstr>mailto:Kim.PACKHAM2@Protected.Health.gov.au</vt:lpwstr>
      </vt:variant>
      <vt:variant>
        <vt:lpwstr/>
      </vt:variant>
      <vt:variant>
        <vt:i4>2687057</vt:i4>
      </vt:variant>
      <vt:variant>
        <vt:i4>54</vt:i4>
      </vt:variant>
      <vt:variant>
        <vt:i4>0</vt:i4>
      </vt:variant>
      <vt:variant>
        <vt:i4>5</vt:i4>
      </vt:variant>
      <vt:variant>
        <vt:lpwstr>mailto:Kate.FIELD@Protected.Health.gov.au</vt:lpwstr>
      </vt:variant>
      <vt:variant>
        <vt:lpwstr/>
      </vt:variant>
      <vt:variant>
        <vt:i4>4587579</vt:i4>
      </vt:variant>
      <vt:variant>
        <vt:i4>51</vt:i4>
      </vt:variant>
      <vt:variant>
        <vt:i4>0</vt:i4>
      </vt:variant>
      <vt:variant>
        <vt:i4>5</vt:i4>
      </vt:variant>
      <vt:variant>
        <vt:lpwstr>mailto:Kerrie.Waide@Protected.Health.gov.au</vt:lpwstr>
      </vt:variant>
      <vt:variant>
        <vt:lpwstr/>
      </vt:variant>
      <vt:variant>
        <vt:i4>7012439</vt:i4>
      </vt:variant>
      <vt:variant>
        <vt:i4>48</vt:i4>
      </vt:variant>
      <vt:variant>
        <vt:i4>0</vt:i4>
      </vt:variant>
      <vt:variant>
        <vt:i4>5</vt:i4>
      </vt:variant>
      <vt:variant>
        <vt:lpwstr>mailto:Tanya.MANNING2@Protected.Health.gov.au</vt:lpwstr>
      </vt:variant>
      <vt:variant>
        <vt:lpwstr/>
      </vt:variant>
      <vt:variant>
        <vt:i4>2687057</vt:i4>
      </vt:variant>
      <vt:variant>
        <vt:i4>45</vt:i4>
      </vt:variant>
      <vt:variant>
        <vt:i4>0</vt:i4>
      </vt:variant>
      <vt:variant>
        <vt:i4>5</vt:i4>
      </vt:variant>
      <vt:variant>
        <vt:lpwstr>mailto:Kate.FIELD@Protected.Health.gov.au</vt:lpwstr>
      </vt:variant>
      <vt:variant>
        <vt:lpwstr/>
      </vt:variant>
      <vt:variant>
        <vt:i4>852012</vt:i4>
      </vt:variant>
      <vt:variant>
        <vt:i4>42</vt:i4>
      </vt:variant>
      <vt:variant>
        <vt:i4>0</vt:i4>
      </vt:variant>
      <vt:variant>
        <vt:i4>5</vt:i4>
      </vt:variant>
      <vt:variant>
        <vt:lpwstr>mailto:Kim.PACKHAM2@Protected.Health.gov.au</vt:lpwstr>
      </vt:variant>
      <vt:variant>
        <vt:lpwstr/>
      </vt:variant>
      <vt:variant>
        <vt:i4>7012439</vt:i4>
      </vt:variant>
      <vt:variant>
        <vt:i4>39</vt:i4>
      </vt:variant>
      <vt:variant>
        <vt:i4>0</vt:i4>
      </vt:variant>
      <vt:variant>
        <vt:i4>5</vt:i4>
      </vt:variant>
      <vt:variant>
        <vt:lpwstr>mailto:Tanya.MANNING2@Protected.Health.gov.au</vt:lpwstr>
      </vt:variant>
      <vt:variant>
        <vt:lpwstr/>
      </vt:variant>
      <vt:variant>
        <vt:i4>852012</vt:i4>
      </vt:variant>
      <vt:variant>
        <vt:i4>36</vt:i4>
      </vt:variant>
      <vt:variant>
        <vt:i4>0</vt:i4>
      </vt:variant>
      <vt:variant>
        <vt:i4>5</vt:i4>
      </vt:variant>
      <vt:variant>
        <vt:lpwstr>mailto:Kim.PACKHAM2@Protected.Health.gov.au</vt:lpwstr>
      </vt:variant>
      <vt:variant>
        <vt:lpwstr/>
      </vt:variant>
      <vt:variant>
        <vt:i4>2687057</vt:i4>
      </vt:variant>
      <vt:variant>
        <vt:i4>33</vt:i4>
      </vt:variant>
      <vt:variant>
        <vt:i4>0</vt:i4>
      </vt:variant>
      <vt:variant>
        <vt:i4>5</vt:i4>
      </vt:variant>
      <vt:variant>
        <vt:lpwstr>mailto:Kate.FIELD@Protected.Health.gov.au</vt:lpwstr>
      </vt:variant>
      <vt:variant>
        <vt:lpwstr/>
      </vt:variant>
      <vt:variant>
        <vt:i4>4587579</vt:i4>
      </vt:variant>
      <vt:variant>
        <vt:i4>30</vt:i4>
      </vt:variant>
      <vt:variant>
        <vt:i4>0</vt:i4>
      </vt:variant>
      <vt:variant>
        <vt:i4>5</vt:i4>
      </vt:variant>
      <vt:variant>
        <vt:lpwstr>mailto:Kerrie.Waide@Protected.Health.gov.au</vt:lpwstr>
      </vt:variant>
      <vt:variant>
        <vt:lpwstr/>
      </vt:variant>
      <vt:variant>
        <vt:i4>7012439</vt:i4>
      </vt:variant>
      <vt:variant>
        <vt:i4>27</vt:i4>
      </vt:variant>
      <vt:variant>
        <vt:i4>0</vt:i4>
      </vt:variant>
      <vt:variant>
        <vt:i4>5</vt:i4>
      </vt:variant>
      <vt:variant>
        <vt:lpwstr>mailto:Tanya.MANNING2@Protected.Health.gov.au</vt:lpwstr>
      </vt:variant>
      <vt:variant>
        <vt:lpwstr/>
      </vt:variant>
      <vt:variant>
        <vt:i4>7995489</vt:i4>
      </vt:variant>
      <vt:variant>
        <vt:i4>24</vt:i4>
      </vt:variant>
      <vt:variant>
        <vt:i4>0</vt:i4>
      </vt:variant>
      <vt:variant>
        <vt:i4>5</vt:i4>
      </vt:variant>
      <vt:variant>
        <vt:lpwstr>https://oia.pmc.gov.au/resources/guidance-assessing-impacts/regulatory-burden-measurement-framework</vt:lpwstr>
      </vt:variant>
      <vt:variant>
        <vt:lpwstr/>
      </vt:variant>
      <vt:variant>
        <vt:i4>7012439</vt:i4>
      </vt:variant>
      <vt:variant>
        <vt:i4>21</vt:i4>
      </vt:variant>
      <vt:variant>
        <vt:i4>0</vt:i4>
      </vt:variant>
      <vt:variant>
        <vt:i4>5</vt:i4>
      </vt:variant>
      <vt:variant>
        <vt:lpwstr>mailto:Tanya.MANNING2@Protected.Health.gov.au</vt:lpwstr>
      </vt:variant>
      <vt:variant>
        <vt:lpwstr/>
      </vt:variant>
      <vt:variant>
        <vt:i4>7012439</vt:i4>
      </vt:variant>
      <vt:variant>
        <vt:i4>18</vt:i4>
      </vt:variant>
      <vt:variant>
        <vt:i4>0</vt:i4>
      </vt:variant>
      <vt:variant>
        <vt:i4>5</vt:i4>
      </vt:variant>
      <vt:variant>
        <vt:lpwstr>mailto:Tanya.MANNING2@Protected.Health.gov.au</vt:lpwstr>
      </vt:variant>
      <vt:variant>
        <vt:lpwstr/>
      </vt:variant>
      <vt:variant>
        <vt:i4>7012439</vt:i4>
      </vt:variant>
      <vt:variant>
        <vt:i4>15</vt:i4>
      </vt:variant>
      <vt:variant>
        <vt:i4>0</vt:i4>
      </vt:variant>
      <vt:variant>
        <vt:i4>5</vt:i4>
      </vt:variant>
      <vt:variant>
        <vt:lpwstr>mailto:Tanya.MANNING2@Protected.Health.gov.au</vt:lpwstr>
      </vt:variant>
      <vt:variant>
        <vt:lpwstr/>
      </vt:variant>
      <vt:variant>
        <vt:i4>7012439</vt:i4>
      </vt:variant>
      <vt:variant>
        <vt:i4>12</vt:i4>
      </vt:variant>
      <vt:variant>
        <vt:i4>0</vt:i4>
      </vt:variant>
      <vt:variant>
        <vt:i4>5</vt:i4>
      </vt:variant>
      <vt:variant>
        <vt:lpwstr>mailto:Tanya.MANNING2@Protected.Health.gov.au</vt:lpwstr>
      </vt:variant>
      <vt:variant>
        <vt:lpwstr/>
      </vt:variant>
      <vt:variant>
        <vt:i4>7012439</vt:i4>
      </vt:variant>
      <vt:variant>
        <vt:i4>9</vt:i4>
      </vt:variant>
      <vt:variant>
        <vt:i4>0</vt:i4>
      </vt:variant>
      <vt:variant>
        <vt:i4>5</vt:i4>
      </vt:variant>
      <vt:variant>
        <vt:lpwstr>mailto:Tanya.MANNING2@Protected.Health.gov.au</vt:lpwstr>
      </vt:variant>
      <vt:variant>
        <vt:lpwstr/>
      </vt:variant>
      <vt:variant>
        <vt:i4>7012439</vt:i4>
      </vt:variant>
      <vt:variant>
        <vt:i4>6</vt:i4>
      </vt:variant>
      <vt:variant>
        <vt:i4>0</vt:i4>
      </vt:variant>
      <vt:variant>
        <vt:i4>5</vt:i4>
      </vt:variant>
      <vt:variant>
        <vt:lpwstr>mailto:Tanya.MANNING2@Protected.Health.gov.au</vt:lpwstr>
      </vt:variant>
      <vt:variant>
        <vt:lpwstr/>
      </vt:variant>
      <vt:variant>
        <vt:i4>7012439</vt:i4>
      </vt:variant>
      <vt:variant>
        <vt:i4>3</vt:i4>
      </vt:variant>
      <vt:variant>
        <vt:i4>0</vt:i4>
      </vt:variant>
      <vt:variant>
        <vt:i4>5</vt:i4>
      </vt:variant>
      <vt:variant>
        <vt:lpwstr>mailto:Tanya.MANNING2@Protected.Health.gov.au</vt:lpwstr>
      </vt:variant>
      <vt:variant>
        <vt:lpwstr/>
      </vt:variant>
      <vt:variant>
        <vt:i4>5177404</vt:i4>
      </vt:variant>
      <vt:variant>
        <vt:i4>0</vt:i4>
      </vt:variant>
      <vt:variant>
        <vt:i4>0</vt:i4>
      </vt:variant>
      <vt:variant>
        <vt:i4>5</vt:i4>
      </vt:variant>
      <vt:variant>
        <vt:lpwstr>mailto:Martin.ISIDRO@Protected.Health.gov.au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2026-05-08T04:46:00Z</dcterms:created>
  <dcterms:modified xsi:type="dcterms:W3CDTF">2026-05-08T04:46:00Z</dcterms:modified>
  <cp:category/>
</cp:coreProperties>
</file>