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27B" w14:textId="2A9A07B0" w:rsidR="00A62EF3" w:rsidRPr="00FC5955" w:rsidRDefault="009D51D4" w:rsidP="006D71DA">
      <w:pPr>
        <w:pStyle w:val="Title"/>
        <w:spacing w:after="120"/>
        <w:rPr>
          <w:rFonts w:ascii="Calibri" w:hAnsi="Calibri" w:cs="Calibri"/>
          <w:sz w:val="52"/>
        </w:rPr>
      </w:pPr>
      <w:bookmarkStart w:id="0" w:name="_Toc96326909"/>
      <w:r>
        <w:rPr>
          <w:rFonts w:ascii="Calibri" w:hAnsi="Calibri" w:cs="Calibri"/>
          <w:sz w:val="52"/>
        </w:rPr>
        <w:t>Wagering Advertising Reform</w:t>
      </w:r>
    </w:p>
    <w:p w14:paraId="3CE5127C" w14:textId="2DF66942" w:rsidR="00A62EF3" w:rsidRPr="008059CB" w:rsidRDefault="005505E3" w:rsidP="00A62EF3">
      <w:pPr>
        <w:pStyle w:val="Subtitle"/>
        <w:rPr>
          <w:rFonts w:cs="Calibri Light"/>
        </w:rPr>
      </w:pPr>
      <w:r w:rsidRPr="008059CB">
        <w:rPr>
          <w:rFonts w:cs="Calibri Light"/>
        </w:rPr>
        <w:t>Department</w:t>
      </w:r>
      <w:r w:rsidR="009D51D4">
        <w:rPr>
          <w:rFonts w:cs="Calibri Light"/>
        </w:rPr>
        <w:t xml:space="preserve"> of Infrastructure, Transport, Regiona</w:t>
      </w:r>
      <w:r w:rsidR="00C46FD9">
        <w:rPr>
          <w:rFonts w:cs="Calibri Light"/>
        </w:rPr>
        <w:t>l</w:t>
      </w:r>
      <w:r w:rsidR="009D51D4">
        <w:rPr>
          <w:rFonts w:cs="Calibri Light"/>
        </w:rPr>
        <w:t xml:space="preserve"> Development, Communications, Sport and the Arts</w:t>
      </w:r>
    </w:p>
    <w:p w14:paraId="3CE5127D" w14:textId="77777777" w:rsidR="00A62EF3" w:rsidRDefault="00000000" w:rsidP="00C13310">
      <w:pPr>
        <w:pStyle w:val="BOXHeading2"/>
        <w:ind w:firstLine="493"/>
        <w:rPr>
          <w:noProof/>
        </w:rPr>
      </w:pPr>
      <w:r>
        <w:rPr>
          <w:noProof/>
        </w:rPr>
        <w:pict w14:anchorId="3CE51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.3pt;margin-top:82.6pt;width:38.65pt;height:38.65pt;z-index:251658752;mso-position-horizontal-relative:margin;mso-position-vertical-relative:margin">
            <v:imagedata r:id="rId8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</w:p>
    <w:p w14:paraId="759550FD" w14:textId="53742E9F" w:rsidR="00CB6019" w:rsidRDefault="00CB6019" w:rsidP="00C20EA5">
      <w:pPr>
        <w:pStyle w:val="BOXText"/>
        <w:pBdr>
          <w:bottom w:val="single" w:sz="48" w:space="0" w:color="F2F2F2" w:themeColor="background1" w:themeShade="F2"/>
        </w:pBdr>
        <w:spacing w:after="0"/>
      </w:pPr>
      <w:r w:rsidRPr="00CB6019">
        <w:t>Gambling harm is a significant public health concern</w:t>
      </w:r>
      <w:r>
        <w:t>, with A</w:t>
      </w:r>
      <w:r w:rsidRPr="00CB6019">
        <w:t xml:space="preserve">ustralians </w:t>
      </w:r>
      <w:r>
        <w:t>losing</w:t>
      </w:r>
      <w:r w:rsidRPr="00CB6019">
        <w:t xml:space="preserve"> over $32 billion in 202</w:t>
      </w:r>
      <w:r w:rsidR="005E1065">
        <w:t>3-2</w:t>
      </w:r>
      <w:r w:rsidRPr="00CB6019">
        <w:t>4</w:t>
      </w:r>
      <w:r>
        <w:t xml:space="preserve">. Wagering advertising is a key </w:t>
      </w:r>
      <w:r w:rsidRPr="00372370">
        <w:t xml:space="preserve">influence </w:t>
      </w:r>
      <w:r w:rsidR="00372370" w:rsidRPr="00372370">
        <w:t>in</w:t>
      </w:r>
      <w:r w:rsidRPr="00372370">
        <w:t xml:space="preserve"> initiat</w:t>
      </w:r>
      <w:r w:rsidR="00372370" w:rsidRPr="00372370">
        <w:t>ing</w:t>
      </w:r>
      <w:r w:rsidRPr="00372370">
        <w:t xml:space="preserve"> wagering. Research</w:t>
      </w:r>
      <w:r>
        <w:t xml:space="preserve"> has</w:t>
      </w:r>
      <w:r w:rsidRPr="000B6DD1">
        <w:t xml:space="preserve"> found that exposure to wagering advertising had the greatest impact on betting behaviour among young people</w:t>
      </w:r>
      <w:r>
        <w:t xml:space="preserve"> </w:t>
      </w:r>
      <w:r w:rsidRPr="000B6DD1">
        <w:t xml:space="preserve">and people at-risk of gambling </w:t>
      </w:r>
      <w:r w:rsidR="0078127D" w:rsidRPr="000B6DD1">
        <w:t>harm</w:t>
      </w:r>
      <w:r w:rsidR="0078127D">
        <w:t xml:space="preserve"> and contributes to the normalisation of gambling</w:t>
      </w:r>
      <w:r>
        <w:t>.</w:t>
      </w:r>
      <w:r w:rsidRPr="00CB6019">
        <w:t xml:space="preserve"> </w:t>
      </w:r>
    </w:p>
    <w:p w14:paraId="3CE51281" w14:textId="55E96C09" w:rsidR="005E0DC7" w:rsidRPr="00BE0F4D" w:rsidRDefault="00C20EA5" w:rsidP="00C20EA5">
      <w:pPr>
        <w:pStyle w:val="BOXText"/>
        <w:pBdr>
          <w:bottom w:val="single" w:sz="48" w:space="0" w:color="F2F2F2" w:themeColor="background1" w:themeShade="F2"/>
        </w:pBdr>
        <w:spacing w:after="0"/>
      </w:pPr>
      <w:r>
        <w:t>The preferred policy approach will introduce a comprehensive package of reforms to achieve a meaningful reduction in the volume of wagering advertising across broadcast, online and out-of-home.</w:t>
      </w:r>
      <w:r w:rsidR="0078127D" w:rsidRPr="0078127D">
        <w:t xml:space="preserve"> The reforms aim to reduce exposure for children and vulnerable people, break the association between sport and wagering, minimise </w:t>
      </w:r>
      <w:r w:rsidR="0078127D">
        <w:t>the</w:t>
      </w:r>
      <w:r w:rsidR="0078127D" w:rsidRPr="0078127D">
        <w:t xml:space="preserve"> saturation and targeting</w:t>
      </w:r>
      <w:r w:rsidR="0078127D">
        <w:t xml:space="preserve"> of advertising.</w:t>
      </w:r>
    </w:p>
    <w:p w14:paraId="3CE51282" w14:textId="77777777" w:rsidR="005505E3" w:rsidRPr="00D859BB" w:rsidRDefault="00000000" w:rsidP="003C1C2C">
      <w:pPr>
        <w:pStyle w:val="BOXHeading2"/>
        <w:spacing w:before="120"/>
        <w:ind w:firstLine="493"/>
      </w:pPr>
      <w:r>
        <w:rPr>
          <w:noProof/>
        </w:rPr>
        <w:pict w14:anchorId="3CE512A7">
          <v:shape id="_x0000_s2052" type="#_x0000_t75" style="position:absolute;left:0;text-align:left;margin-left:0;margin-top:218.5pt;width:38pt;height:38pt;z-index:251657728;mso-position-horizontal-relative:margin;mso-position-vertical-relative:margin;mso-width-relative:page;mso-height-relative:page">
            <v:imagedata r:id="rId9" o:title="Icons16"/>
            <w10:wrap anchorx="margin" anchory="margin"/>
          </v:shape>
        </w:pict>
      </w:r>
      <w:r w:rsidR="00A57585">
        <w:t xml:space="preserve">  </w:t>
      </w:r>
      <w:r w:rsidR="002002ED"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10776"/>
      </w:tblGrid>
      <w:tr w:rsidR="00152412" w:rsidRPr="005505E3" w14:paraId="3CE51284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3CE51283" w14:textId="77777777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44397A" w:rsidRPr="005505E3" w14:paraId="3CE5128D" w14:textId="77777777" w:rsidTr="00781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tcW w:w="5000" w:type="pct"/>
            <w:tcBorders>
              <w:top w:val="single" w:sz="4" w:space="0" w:color="778E61" w:themeColor="accent2"/>
            </w:tcBorders>
            <w:shd w:val="clear" w:color="auto" w:fill="D8E2EC"/>
          </w:tcPr>
          <w:p w14:paraId="3CE51288" w14:textId="4C8ADD1F" w:rsidR="0044397A" w:rsidRPr="00377E48" w:rsidRDefault="00377E48" w:rsidP="00377E48">
            <w:pPr>
              <w:spacing w:after="0" w:line="240" w:lineRule="auto"/>
              <w:rPr>
                <w:szCs w:val="18"/>
                <w:lang w:val="en-US"/>
              </w:rPr>
            </w:pPr>
            <w:r w:rsidRPr="00377E48">
              <w:rPr>
                <w:szCs w:val="18"/>
                <w:lang w:val="en-US"/>
              </w:rPr>
              <w:t xml:space="preserve">The preferred policy approach </w:t>
            </w:r>
            <w:r w:rsidR="00F72C55">
              <w:rPr>
                <w:szCs w:val="18"/>
                <w:lang w:val="en-US"/>
              </w:rPr>
              <w:t>will deliver</w:t>
            </w:r>
            <w:r w:rsidRPr="00377E48">
              <w:rPr>
                <w:szCs w:val="18"/>
                <w:lang w:val="en-US"/>
              </w:rPr>
              <w:t xml:space="preserve"> a meaningful reduction in wagering advertising exposure</w:t>
            </w:r>
            <w:r w:rsidR="00F72C55">
              <w:rPr>
                <w:szCs w:val="18"/>
                <w:lang w:val="en-US"/>
              </w:rPr>
              <w:t>. The reforms will</w:t>
            </w:r>
            <w:r w:rsidRPr="00377E48">
              <w:rPr>
                <w:szCs w:val="18"/>
                <w:lang w:val="en-US"/>
              </w:rPr>
              <w:t xml:space="preserve"> ban</w:t>
            </w:r>
            <w:r w:rsidR="00F72C55">
              <w:rPr>
                <w:szCs w:val="18"/>
                <w:lang w:val="en-US"/>
              </w:rPr>
              <w:t xml:space="preserve"> wagering advertising</w:t>
            </w:r>
            <w:r w:rsidRPr="00377E48">
              <w:rPr>
                <w:szCs w:val="18"/>
                <w:lang w:val="en-US"/>
              </w:rPr>
              <w:t xml:space="preserve"> during live sporting events</w:t>
            </w:r>
            <w:r w:rsidR="00F72C55">
              <w:rPr>
                <w:szCs w:val="18"/>
                <w:lang w:val="en-US"/>
              </w:rPr>
              <w:t>, during s</w:t>
            </w:r>
            <w:r w:rsidR="00F72C55" w:rsidRPr="00377E48">
              <w:rPr>
                <w:szCs w:val="18"/>
                <w:lang w:val="en-US"/>
              </w:rPr>
              <w:t>chool drop</w:t>
            </w:r>
            <w:r w:rsidR="00F72C55" w:rsidRPr="00377E48">
              <w:rPr>
                <w:rFonts w:ascii="Cambria Math" w:hAnsi="Cambria Math" w:cs="Cambria Math"/>
                <w:szCs w:val="18"/>
                <w:lang w:val="en-US"/>
              </w:rPr>
              <w:t>‑</w:t>
            </w:r>
            <w:r w:rsidR="00F72C55" w:rsidRPr="00377E48">
              <w:rPr>
                <w:szCs w:val="18"/>
                <w:lang w:val="en-US"/>
              </w:rPr>
              <w:t>off and pick</w:t>
            </w:r>
            <w:r w:rsidR="00F72C55" w:rsidRPr="00377E48">
              <w:rPr>
                <w:rFonts w:ascii="Cambria Math" w:hAnsi="Cambria Math" w:cs="Cambria Math"/>
                <w:szCs w:val="18"/>
                <w:lang w:val="en-US"/>
              </w:rPr>
              <w:t>‑</w:t>
            </w:r>
            <w:r w:rsidR="00F72C55" w:rsidRPr="00377E48">
              <w:rPr>
                <w:szCs w:val="18"/>
                <w:lang w:val="en-US"/>
              </w:rPr>
              <w:t>up on radio</w:t>
            </w:r>
            <w:r w:rsidR="00F72C55">
              <w:rPr>
                <w:szCs w:val="18"/>
                <w:lang w:val="en-US"/>
              </w:rPr>
              <w:t xml:space="preserve">, and in </w:t>
            </w:r>
            <w:r w:rsidR="005E1065">
              <w:rPr>
                <w:szCs w:val="18"/>
                <w:lang w:val="en-US"/>
              </w:rPr>
              <w:t>sports venues</w:t>
            </w:r>
            <w:r w:rsidR="00F72C55">
              <w:rPr>
                <w:szCs w:val="18"/>
                <w:lang w:val="en-US"/>
              </w:rPr>
              <w:t xml:space="preserve"> and on player</w:t>
            </w:r>
            <w:r w:rsidR="005E1065">
              <w:rPr>
                <w:szCs w:val="18"/>
                <w:lang w:val="en-US"/>
              </w:rPr>
              <w:t xml:space="preserve"> uniforms</w:t>
            </w:r>
            <w:r w:rsidR="00372370">
              <w:rPr>
                <w:szCs w:val="18"/>
                <w:lang w:val="en-US"/>
              </w:rPr>
              <w:t>.  It will</w:t>
            </w:r>
            <w:r w:rsidR="00F72C55">
              <w:rPr>
                <w:szCs w:val="18"/>
                <w:lang w:val="en-US"/>
              </w:rPr>
              <w:t xml:space="preserve"> provide </w:t>
            </w:r>
            <w:r w:rsidRPr="00377E48">
              <w:rPr>
                <w:szCs w:val="18"/>
                <w:lang w:val="en-US"/>
              </w:rPr>
              <w:t xml:space="preserve">frequency caps on </w:t>
            </w:r>
            <w:r w:rsidR="00772144">
              <w:rPr>
                <w:szCs w:val="18"/>
                <w:lang w:val="en-US"/>
              </w:rPr>
              <w:t xml:space="preserve">advertising on </w:t>
            </w:r>
            <w:r w:rsidRPr="00377E48">
              <w:rPr>
                <w:szCs w:val="18"/>
                <w:lang w:val="en-US"/>
              </w:rPr>
              <w:t>broadcast television</w:t>
            </w:r>
            <w:r w:rsidR="00F72C55">
              <w:rPr>
                <w:szCs w:val="18"/>
                <w:lang w:val="en-US"/>
              </w:rPr>
              <w:t>;</w:t>
            </w:r>
            <w:r w:rsidRPr="00377E48">
              <w:rPr>
                <w:szCs w:val="18"/>
                <w:lang w:val="en-US"/>
              </w:rPr>
              <w:t xml:space="preserve"> </w:t>
            </w:r>
            <w:r w:rsidR="00F72C55">
              <w:rPr>
                <w:szCs w:val="18"/>
                <w:lang w:val="en-US"/>
              </w:rPr>
              <w:t xml:space="preserve">ban </w:t>
            </w:r>
            <w:r w:rsidRPr="00377E48">
              <w:rPr>
                <w:szCs w:val="18"/>
                <w:lang w:val="en-US"/>
              </w:rPr>
              <w:t>wagering advertising</w:t>
            </w:r>
            <w:r w:rsidR="00772144">
              <w:rPr>
                <w:szCs w:val="18"/>
                <w:lang w:val="en-US"/>
              </w:rPr>
              <w:t xml:space="preserve"> online</w:t>
            </w:r>
            <w:r w:rsidRPr="00377E48">
              <w:rPr>
                <w:szCs w:val="18"/>
                <w:lang w:val="en-US"/>
              </w:rPr>
              <w:t xml:space="preserve"> unless triple</w:t>
            </w:r>
            <w:r w:rsidRPr="00377E48">
              <w:rPr>
                <w:rFonts w:ascii="Cambria Math" w:hAnsi="Cambria Math" w:cs="Cambria Math"/>
                <w:szCs w:val="18"/>
                <w:lang w:val="en-US"/>
              </w:rPr>
              <w:t>‑</w:t>
            </w:r>
            <w:r w:rsidRPr="00377E48">
              <w:rPr>
                <w:szCs w:val="18"/>
                <w:lang w:val="en-US"/>
              </w:rPr>
              <w:t>lock functionality is implemented</w:t>
            </w:r>
            <w:r w:rsidR="00F72C55">
              <w:rPr>
                <w:szCs w:val="18"/>
                <w:lang w:val="en-US"/>
              </w:rPr>
              <w:t xml:space="preserve">; and </w:t>
            </w:r>
            <w:r w:rsidR="00772144">
              <w:rPr>
                <w:szCs w:val="18"/>
                <w:lang w:val="en-US"/>
              </w:rPr>
              <w:t xml:space="preserve">other </w:t>
            </w:r>
            <w:r w:rsidR="00F72C55">
              <w:rPr>
                <w:szCs w:val="18"/>
                <w:lang w:val="en-US"/>
              </w:rPr>
              <w:t>general content restrictions</w:t>
            </w:r>
            <w:r w:rsidRPr="00377E48">
              <w:rPr>
                <w:szCs w:val="18"/>
                <w:lang w:val="en-US"/>
              </w:rPr>
              <w:t>.</w:t>
            </w:r>
          </w:p>
          <w:p w14:paraId="3CE5128C" w14:textId="61ECE530" w:rsidR="0044397A" w:rsidRPr="00377E48" w:rsidRDefault="00377E48" w:rsidP="00132887">
            <w:pPr>
              <w:spacing w:after="0" w:line="240" w:lineRule="auto"/>
              <w:rPr>
                <w:szCs w:val="18"/>
                <w:lang w:val="en-US"/>
              </w:rPr>
            </w:pPr>
            <w:r w:rsidRPr="00377E48">
              <w:rPr>
                <w:szCs w:val="18"/>
                <w:lang w:val="en-US"/>
              </w:rPr>
              <w:t xml:space="preserve">The reforms are </w:t>
            </w:r>
            <w:r w:rsidR="00F72C55" w:rsidRPr="00F72C55">
              <w:rPr>
                <w:bCs/>
                <w:szCs w:val="18"/>
              </w:rPr>
              <w:t xml:space="preserve">estimated to achieve a net benefit of $107.1 million per </w:t>
            </w:r>
            <w:proofErr w:type="gramStart"/>
            <w:r w:rsidR="00F72C55" w:rsidRPr="00F72C55">
              <w:rPr>
                <w:bCs/>
                <w:szCs w:val="18"/>
              </w:rPr>
              <w:t>annum</w:t>
            </w:r>
            <w:r w:rsidR="00F72C55">
              <w:rPr>
                <w:bCs/>
                <w:szCs w:val="18"/>
              </w:rPr>
              <w:t>, and</w:t>
            </w:r>
            <w:proofErr w:type="gramEnd"/>
            <w:r w:rsidR="00F72C55">
              <w:rPr>
                <w:bCs/>
                <w:szCs w:val="18"/>
              </w:rPr>
              <w:t xml:space="preserve"> </w:t>
            </w:r>
            <w:r w:rsidR="00F72C55">
              <w:rPr>
                <w:szCs w:val="18"/>
                <w:lang w:val="en-US"/>
              </w:rPr>
              <w:t xml:space="preserve">will </w:t>
            </w:r>
            <w:r w:rsidRPr="00377E48">
              <w:rPr>
                <w:szCs w:val="18"/>
                <w:lang w:val="en-US"/>
              </w:rPr>
              <w:t>deliver socio</w:t>
            </w:r>
            <w:r w:rsidRPr="00377E48">
              <w:rPr>
                <w:szCs w:val="18"/>
                <w:lang w:val="en-US"/>
              </w:rPr>
              <w:noBreakHyphen/>
              <w:t>economic benefits primarily through reductions in gambling</w:t>
            </w:r>
            <w:r w:rsidRPr="00377E48">
              <w:rPr>
                <w:szCs w:val="18"/>
                <w:lang w:val="en-US"/>
              </w:rPr>
              <w:noBreakHyphen/>
              <w:t>related harm</w:t>
            </w:r>
            <w:r w:rsidR="00F72C55">
              <w:rPr>
                <w:bCs/>
                <w:szCs w:val="18"/>
              </w:rPr>
              <w:t>.</w:t>
            </w:r>
          </w:p>
        </w:tc>
      </w:tr>
    </w:tbl>
    <w:p w14:paraId="3CE512A5" w14:textId="5532888D" w:rsidR="002D37AE" w:rsidRPr="005C66F5" w:rsidRDefault="005C66F5" w:rsidP="005C66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1C2B39"/>
        <w:spacing w:before="240" w:after="0"/>
        <w:ind w:left="113" w:right="108"/>
        <w:outlineLvl w:val="2"/>
        <w:rPr>
          <w:rFonts w:ascii="Calibri" w:hAnsi="Calibri" w:cs="Calibri"/>
          <w:b/>
          <w:color w:val="FFFFFF" w:themeColor="background1"/>
          <w:sz w:val="24"/>
        </w:rPr>
      </w:pPr>
      <w:r w:rsidRPr="005C66F5">
        <w:rPr>
          <w:rFonts w:ascii="Calibri" w:hAnsi="Calibri" w:cs="Calibri"/>
          <w:b/>
          <w:color w:val="FFFFFF" w:themeColor="background1"/>
          <w:sz w:val="24"/>
        </w:rPr>
        <w:t>Who is impacted</w:t>
      </w:r>
    </w:p>
    <w:tbl>
      <w:tblPr>
        <w:tblStyle w:val="Custom11"/>
        <w:tblW w:w="5002" w:type="pct"/>
        <w:tblLook w:val="0420" w:firstRow="1" w:lastRow="0" w:firstColumn="0" w:lastColumn="0" w:noHBand="0" w:noVBand="1"/>
      </w:tblPr>
      <w:tblGrid>
        <w:gridCol w:w="3592"/>
        <w:gridCol w:w="3593"/>
        <w:gridCol w:w="3591"/>
      </w:tblGrid>
      <w:tr w:rsidR="005C66F5" w14:paraId="189C75F0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1"/>
          <w:tblHeader/>
        </w:trPr>
        <w:tc>
          <w:tcPr>
            <w:tcW w:w="166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9BE6F48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166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49BFF9D8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1666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4E0A164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5C66F5" w:rsidRPr="00402E24" w14:paraId="0EF0ECA2" w14:textId="77777777" w:rsidTr="00781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9"/>
        </w:trPr>
        <w:tc>
          <w:tcPr>
            <w:tcW w:w="1667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25A03EFC" w14:textId="22BEAED3" w:rsidR="005C66F5" w:rsidRPr="0078127D" w:rsidRDefault="00267CBD" w:rsidP="00506155">
            <w:pPr>
              <w:spacing w:after="0" w:line="240" w:lineRule="auto"/>
              <w:rPr>
                <w:rFonts w:cs="Calibri Light"/>
                <w:szCs w:val="18"/>
              </w:rPr>
            </w:pPr>
            <w:r w:rsidRPr="00267CBD">
              <w:rPr>
                <w:rFonts w:cs="Calibri Light"/>
                <w:szCs w:val="18"/>
              </w:rPr>
              <w:t xml:space="preserve">The preferred policy approach is </w:t>
            </w:r>
            <w:r w:rsidR="00C46FD9">
              <w:rPr>
                <w:rFonts w:cs="Calibri Light"/>
                <w:szCs w:val="18"/>
              </w:rPr>
              <w:t xml:space="preserve">not expected to involve any </w:t>
            </w:r>
            <w:r w:rsidR="00772144" w:rsidRPr="00372370">
              <w:rPr>
                <w:rFonts w:cs="Calibri Light"/>
                <w:szCs w:val="18"/>
              </w:rPr>
              <w:t xml:space="preserve">negative </w:t>
            </w:r>
            <w:r w:rsidR="00C46FD9" w:rsidRPr="00372370">
              <w:rPr>
                <w:rFonts w:cs="Calibri Light"/>
                <w:szCs w:val="18"/>
              </w:rPr>
              <w:t>impacts</w:t>
            </w:r>
            <w:r w:rsidR="00C46FD9">
              <w:rPr>
                <w:rFonts w:cs="Calibri Light"/>
                <w:szCs w:val="18"/>
              </w:rPr>
              <w:t xml:space="preserve"> for individuals. Australians, including children, young people and individuals at risk of gambling harm will benefit from the reforms</w:t>
            </w:r>
            <w:r w:rsidRPr="00267CBD">
              <w:rPr>
                <w:rFonts w:cs="Calibri Light"/>
                <w:szCs w:val="18"/>
              </w:rPr>
              <w:t>.</w:t>
            </w:r>
          </w:p>
        </w:tc>
        <w:tc>
          <w:tcPr>
            <w:tcW w:w="1667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0F9D1B26" w14:textId="4E874EF7" w:rsidR="005C66F5" w:rsidRPr="0078127D" w:rsidRDefault="00267CBD" w:rsidP="00506155">
            <w:pPr>
              <w:spacing w:after="0" w:line="240" w:lineRule="auto"/>
              <w:rPr>
                <w:rFonts w:cs="Calibri Light"/>
                <w:szCs w:val="18"/>
              </w:rPr>
            </w:pPr>
            <w:r w:rsidRPr="00FC26DA">
              <w:rPr>
                <w:rFonts w:cs="Calibri Light"/>
                <w:szCs w:val="18"/>
              </w:rPr>
              <w:t>The preferred policy approach is expected to have the highest comparative regulatory burden on industry,</w:t>
            </w:r>
            <w:r w:rsidR="00FC26DA">
              <w:rPr>
                <w:rFonts w:cs="Calibri Light"/>
                <w:szCs w:val="18"/>
              </w:rPr>
              <w:t xml:space="preserve"> and</w:t>
            </w:r>
            <w:r w:rsidRPr="00FC26DA">
              <w:rPr>
                <w:rFonts w:cs="Calibri Light"/>
                <w:szCs w:val="18"/>
              </w:rPr>
              <w:t xml:space="preserve"> a moderate financial impact</w:t>
            </w:r>
            <w:r w:rsidRPr="007102EE">
              <w:rPr>
                <w:rFonts w:cs="Calibri Light"/>
                <w:szCs w:val="18"/>
              </w:rPr>
              <w:t>.</w:t>
            </w:r>
            <w:r w:rsidR="0078127D" w:rsidRPr="007102EE">
              <w:t xml:space="preserve"> </w:t>
            </w:r>
            <w:r w:rsidR="0078127D" w:rsidRPr="007102EE">
              <w:rPr>
                <w:rFonts w:cs="Calibri Light"/>
                <w:szCs w:val="18"/>
              </w:rPr>
              <w:t>Wagering providers, broadcasters, online platforms and sporting organisations will face new compliance obligations and reduced advertising revenue.</w:t>
            </w:r>
          </w:p>
        </w:tc>
        <w:tc>
          <w:tcPr>
            <w:tcW w:w="1666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19272CDD" w14:textId="1122FE29" w:rsidR="005C66F5" w:rsidRPr="00C46FD9" w:rsidRDefault="00C46FD9" w:rsidP="00506155">
            <w:pPr>
              <w:spacing w:after="0" w:line="240" w:lineRule="auto"/>
              <w:rPr>
                <w:rFonts w:ascii="Calibri" w:hAnsi="Calibri" w:cs="Calibri"/>
                <w:bCs/>
                <w:szCs w:val="18"/>
              </w:rPr>
            </w:pPr>
            <w:r w:rsidRPr="00C46FD9">
              <w:rPr>
                <w:rFonts w:ascii="Calibri" w:hAnsi="Calibri" w:cs="Calibri"/>
                <w:bCs/>
                <w:szCs w:val="18"/>
              </w:rPr>
              <w:t xml:space="preserve">The preferred policy approach is not expected to involve any impacts to community </w:t>
            </w:r>
            <w:r w:rsidR="00F72C55" w:rsidRPr="00C46FD9">
              <w:rPr>
                <w:rFonts w:ascii="Calibri" w:hAnsi="Calibri" w:cs="Calibri"/>
                <w:bCs/>
                <w:szCs w:val="18"/>
              </w:rPr>
              <w:t>organisations</w:t>
            </w:r>
            <w:r w:rsidRPr="00C46FD9">
              <w:rPr>
                <w:rFonts w:ascii="Calibri" w:hAnsi="Calibri" w:cs="Calibri"/>
                <w:bCs/>
                <w:szCs w:val="18"/>
              </w:rPr>
              <w:t>.</w:t>
            </w:r>
          </w:p>
        </w:tc>
      </w:tr>
    </w:tbl>
    <w:p w14:paraId="25C3B3D9" w14:textId="4D925B9E" w:rsidR="005C66F5" w:rsidRPr="005C66F5" w:rsidRDefault="005C66F5" w:rsidP="005C66F5">
      <w:pPr>
        <w:rPr>
          <w:sz w:val="2"/>
        </w:rPr>
      </w:pPr>
    </w:p>
    <w:p w14:paraId="03BE01CA" w14:textId="02D19C89" w:rsidR="005C66F5" w:rsidRPr="00E2196D" w:rsidRDefault="0078127D" w:rsidP="005C66F5">
      <w:pPr>
        <w:pStyle w:val="BOXHeading2"/>
        <w:ind w:firstLine="493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656704" behindDoc="0" locked="0" layoutInCell="1" allowOverlap="1" wp14:anchorId="29119E4E" wp14:editId="15096FD1">
            <wp:simplePos x="0" y="0"/>
            <wp:positionH relativeFrom="margin">
              <wp:align>left</wp:align>
            </wp:positionH>
            <wp:positionV relativeFrom="margin">
              <wp:posOffset>6720646</wp:posOffset>
            </wp:positionV>
            <wp:extent cx="497205" cy="497205"/>
            <wp:effectExtent l="0" t="0" r="0" b="0"/>
            <wp:wrapNone/>
            <wp:docPr id="2" name="Picture 2" descr="Icon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F5">
        <w:rPr>
          <w:noProof/>
        </w:rPr>
        <w:t xml:space="preserve">  Other</w:t>
      </w:r>
      <w:r w:rsidR="005C66F5" w:rsidRPr="00E2196D">
        <w:rPr>
          <w:noProof/>
        </w:rPr>
        <w:t xml:space="preserve"> </w:t>
      </w:r>
      <w:r w:rsidR="005C66F5">
        <w:rPr>
          <w:noProof/>
        </w:rPr>
        <w:t>considerations and i</w:t>
      </w:r>
      <w:r w:rsidR="005C66F5" w:rsidRPr="00534819">
        <w:rPr>
          <w:noProof/>
        </w:rPr>
        <w:t>mplementation</w:t>
      </w:r>
    </w:p>
    <w:p w14:paraId="5110639F" w14:textId="712A6BA6" w:rsidR="0078127D" w:rsidRDefault="00DA6AEB" w:rsidP="00C46FD9">
      <w:pPr>
        <w:pStyle w:val="BOXText"/>
        <w:numPr>
          <w:ilvl w:val="0"/>
          <w:numId w:val="42"/>
        </w:numPr>
        <w:spacing w:after="0"/>
      </w:pPr>
      <w:r>
        <w:t xml:space="preserve">The impact analysis also considered </w:t>
      </w:r>
      <w:r w:rsidRPr="00DA6AEB">
        <w:t>maintaining existing arrangements and introducing a full ban on wagering advertising.</w:t>
      </w:r>
      <w:r>
        <w:t xml:space="preserve"> While a full ban was identified to have a higher net benefit, it would also impose a significant financial burden on industry which would impact Australia’s grassroots sport and media industry. </w:t>
      </w:r>
      <w:r w:rsidRPr="00372370">
        <w:t xml:space="preserve">Maintaining existing arrangements would likely see an increase in the volume of wagering advertising which would not </w:t>
      </w:r>
      <w:r w:rsidR="00377E48" w:rsidRPr="00372370">
        <w:t>address the priority areas for reform.</w:t>
      </w:r>
    </w:p>
    <w:p w14:paraId="4E3F173D" w14:textId="6C3357D4" w:rsidR="005C66F5" w:rsidRPr="00377E48" w:rsidRDefault="00DA6AEB" w:rsidP="00C46FD9">
      <w:pPr>
        <w:pStyle w:val="BOXText"/>
        <w:numPr>
          <w:ilvl w:val="0"/>
          <w:numId w:val="42"/>
        </w:numPr>
        <w:spacing w:after="0"/>
        <w:rPr>
          <w:lang w:val="en-US"/>
        </w:rPr>
      </w:pPr>
      <w:r w:rsidRPr="00DA6AEB">
        <w:rPr>
          <w:lang w:val="en-US"/>
        </w:rPr>
        <w:t xml:space="preserve">Implementation will require amendments to the </w:t>
      </w:r>
      <w:r w:rsidRPr="00DA6AEB">
        <w:rPr>
          <w:i/>
          <w:iCs/>
          <w:lang w:val="en-US"/>
        </w:rPr>
        <w:t>Interactive Gambling Act 2001</w:t>
      </w:r>
      <w:r w:rsidRPr="00DA6AEB">
        <w:rPr>
          <w:lang w:val="en-US"/>
        </w:rPr>
        <w:t xml:space="preserve"> and related legislation</w:t>
      </w:r>
      <w:r>
        <w:rPr>
          <w:lang w:val="en-US"/>
        </w:rPr>
        <w:t>. The</w:t>
      </w:r>
      <w:r w:rsidRPr="00DA6AEB">
        <w:rPr>
          <w:lang w:val="en-US"/>
        </w:rPr>
        <w:t xml:space="preserve"> A</w:t>
      </w:r>
      <w:r>
        <w:rPr>
          <w:lang w:val="en-US"/>
        </w:rPr>
        <w:t xml:space="preserve">ustralian </w:t>
      </w:r>
      <w:r w:rsidRPr="00DA6AEB">
        <w:rPr>
          <w:lang w:val="en-US"/>
        </w:rPr>
        <w:t>C</w:t>
      </w:r>
      <w:r>
        <w:rPr>
          <w:lang w:val="en-US"/>
        </w:rPr>
        <w:t xml:space="preserve">ommunications and Media Authority </w:t>
      </w:r>
      <w:r w:rsidRPr="00DA6AEB">
        <w:rPr>
          <w:lang w:val="en-US"/>
        </w:rPr>
        <w:t>will be responsible for compliance</w:t>
      </w:r>
      <w:r w:rsidR="00C46FD9">
        <w:rPr>
          <w:lang w:val="en-US"/>
        </w:rPr>
        <w:t xml:space="preserve"> and </w:t>
      </w:r>
      <w:r w:rsidRPr="00DA6AEB">
        <w:rPr>
          <w:lang w:val="en-US"/>
        </w:rPr>
        <w:t>monitoring.</w:t>
      </w:r>
    </w:p>
    <w:sectPr w:rsidR="005C66F5" w:rsidRPr="00377E48" w:rsidSect="005C66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276" w:left="567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654A" w14:textId="77777777" w:rsidR="00CC6E18" w:rsidRDefault="00CC6E18" w:rsidP="00F957C6">
      <w:pPr>
        <w:spacing w:after="0" w:line="240" w:lineRule="auto"/>
      </w:pPr>
      <w:r>
        <w:separator/>
      </w:r>
    </w:p>
  </w:endnote>
  <w:endnote w:type="continuationSeparator" w:id="0">
    <w:p w14:paraId="4083168D" w14:textId="77777777" w:rsidR="00CC6E18" w:rsidRDefault="00CC6E18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1042" w14:textId="1D19489E" w:rsidR="009D51D4" w:rsidRDefault="009D51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6E03A545" wp14:editId="25CAFC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29260"/>
              <wp:effectExtent l="0" t="0" r="16510" b="0"/>
              <wp:wrapNone/>
              <wp:docPr id="21256819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B84B1" w14:textId="27AE7051" w:rsidR="009D51D4" w:rsidRPr="009D51D4" w:rsidRDefault="009D51D4" w:rsidP="009D51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D51D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3A5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3.8pt;z-index:25168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" filled="f" stroked="f">
              <v:textbox style="mso-fit-shape-to-text:t" inset="0,0,0,15pt">
                <w:txbxContent>
                  <w:p w14:paraId="71CB84B1" w14:textId="27AE7051" w:rsidR="009D51D4" w:rsidRPr="009D51D4" w:rsidRDefault="009D51D4" w:rsidP="009D51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D51D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1" w14:textId="29B13FF9" w:rsidR="00D10635" w:rsidRPr="00F86700" w:rsidRDefault="009D51D4" w:rsidP="00F86700">
    <w:pPr>
      <w:pStyle w:val="CLASSIFICATION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0FF002CF" wp14:editId="0BC34D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29260"/>
              <wp:effectExtent l="0" t="0" r="16510" b="0"/>
              <wp:wrapNone/>
              <wp:docPr id="19410162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901B2" w14:textId="0832F617" w:rsidR="009D51D4" w:rsidRPr="009D51D4" w:rsidRDefault="009D51D4" w:rsidP="009D51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D51D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002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7.2pt;height:33.8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" filled="f" stroked="f">
              <v:textbox style="mso-fit-shape-to-text:t" inset="0,0,0,15pt">
                <w:txbxContent>
                  <w:p w14:paraId="682901B2" w14:textId="0832F617" w:rsidR="009D51D4" w:rsidRPr="009D51D4" w:rsidRDefault="009D51D4" w:rsidP="009D51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D51D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CLASSIFICATIONChar"/>
          <w:caps/>
        </w:rPr>
        <w:alias w:val="Classification"/>
        <w:tag w:val="Classification"/>
        <w:id w:val="-187692350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Content>
        <w:r w:rsidR="00F64736">
          <w:rPr>
            <w:rStyle w:val="CLASSIFICATIONChar"/>
            <w:caps/>
          </w:rPr>
          <w:t>Classification</w:t>
        </w:r>
      </w:sdtContent>
    </w:sdt>
  </w:p>
  <w:p w14:paraId="3CE512B2" w14:textId="2A5781DE" w:rsidR="00037513" w:rsidRPr="00852F35" w:rsidRDefault="005A3632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="00037513" w:rsidRPr="00852F35">
      <w:rPr>
        <w:color w:val="6E6E6E"/>
        <w:sz w:val="18"/>
        <w:szCs w:val="18"/>
      </w:rPr>
      <w:t xml:space="preserve">| </w:t>
    </w:r>
    <w:r w:rsidR="009D51D4">
      <w:rPr>
        <w:color w:val="6E6E6E"/>
        <w:sz w:val="18"/>
        <w:szCs w:val="18"/>
      </w:rPr>
      <w:t>Wagering Advertising Reform</w:t>
    </w:r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5C66F5">
      <w:rPr>
        <w:rFonts w:ascii="Segoe UI" w:hAnsi="Segoe UI" w:cs="Segoe UI"/>
        <w:noProof/>
        <w:color w:val="6E6E6E"/>
        <w:sz w:val="18"/>
      </w:rPr>
      <w:t>2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4" w14:textId="6A1AC988" w:rsidR="00464D89" w:rsidRPr="00BB1526" w:rsidRDefault="005A3632" w:rsidP="00BB1526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>|</w:t>
    </w:r>
    <w:r w:rsidR="00BB1526" w:rsidRPr="00852F35">
      <w:rPr>
        <w:color w:val="6E6E6E"/>
        <w:sz w:val="18"/>
        <w:szCs w:val="18"/>
      </w:rPr>
      <w:t xml:space="preserve"> </w:t>
    </w:r>
    <w:r w:rsidR="009D51D4">
      <w:rPr>
        <w:color w:val="6E6E6E"/>
        <w:sz w:val="18"/>
        <w:szCs w:val="18"/>
      </w:rPr>
      <w:t>Wagering Advertising Reform</w:t>
    </w:r>
    <w:r w:rsidR="00BB1526" w:rsidRPr="00852F35">
      <w:rPr>
        <w:color w:val="6E6E6E"/>
      </w:rPr>
      <w:ptab w:relativeTo="margin" w:alignment="right" w:leader="none"/>
    </w:r>
    <w:r w:rsidR="00BB1526" w:rsidRPr="00852F35">
      <w:rPr>
        <w:rFonts w:ascii="Segoe UI" w:hAnsi="Segoe UI" w:cs="Segoe UI"/>
        <w:color w:val="6E6E6E"/>
        <w:sz w:val="18"/>
      </w:rPr>
      <w:fldChar w:fldCharType="begin"/>
    </w:r>
    <w:r w:rsidR="00BB1526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BB1526" w:rsidRPr="00852F35">
      <w:rPr>
        <w:rFonts w:ascii="Segoe UI" w:hAnsi="Segoe UI" w:cs="Segoe UI"/>
        <w:color w:val="6E6E6E"/>
        <w:sz w:val="18"/>
      </w:rPr>
      <w:fldChar w:fldCharType="separate"/>
    </w:r>
    <w:r w:rsidR="00F46DB7">
      <w:rPr>
        <w:rFonts w:ascii="Segoe UI" w:hAnsi="Segoe UI" w:cs="Segoe UI"/>
        <w:noProof/>
        <w:color w:val="6E6E6E"/>
        <w:sz w:val="18"/>
      </w:rPr>
      <w:t>1</w:t>
    </w:r>
    <w:r w:rsidR="00BB1526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4650" w14:textId="77777777" w:rsidR="00CC6E18" w:rsidRDefault="00CC6E18" w:rsidP="00F957C6">
      <w:pPr>
        <w:spacing w:after="0" w:line="240" w:lineRule="auto"/>
      </w:pPr>
      <w:r>
        <w:separator/>
      </w:r>
    </w:p>
  </w:footnote>
  <w:footnote w:type="continuationSeparator" w:id="0">
    <w:p w14:paraId="5150BF1F" w14:textId="77777777" w:rsidR="00CC6E18" w:rsidRDefault="00CC6E18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6490" w14:textId="003803ED" w:rsidR="009D51D4" w:rsidRDefault="009D51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7FFB5B3C" wp14:editId="546555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29260"/>
              <wp:effectExtent l="0" t="0" r="16510" b="8890"/>
              <wp:wrapNone/>
              <wp:docPr id="12932636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D55C8" w14:textId="20409BF8" w:rsidR="009D51D4" w:rsidRPr="009D51D4" w:rsidRDefault="009D51D4" w:rsidP="009D51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D51D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B5B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3.8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" filled="f" stroked="f">
              <v:textbox style="mso-fit-shape-to-text:t" inset="0,15pt,0,0">
                <w:txbxContent>
                  <w:p w14:paraId="022D55C8" w14:textId="20409BF8" w:rsidR="009D51D4" w:rsidRPr="009D51D4" w:rsidRDefault="009D51D4" w:rsidP="009D51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D51D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AF" w14:textId="4E466232" w:rsidR="00037513" w:rsidRPr="00D10635" w:rsidRDefault="009D51D4" w:rsidP="00464D89">
    <w:pPr>
      <w:pStyle w:val="Header"/>
      <w:jc w:val="center"/>
    </w:pPr>
    <w:r>
      <w:rPr>
        <w:rFonts w:ascii="Segoe UI" w:hAnsi="Segoe UI"/>
        <w:caps/>
        <w:noProof/>
        <w:color w:val="C00000"/>
        <w:sz w:val="18"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7D31F3CC" wp14:editId="71F9BE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29260"/>
              <wp:effectExtent l="0" t="0" r="16510" b="8890"/>
              <wp:wrapNone/>
              <wp:docPr id="5550323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8023B" w14:textId="42BA5B8A" w:rsidR="009D51D4" w:rsidRPr="009D51D4" w:rsidRDefault="009D51D4" w:rsidP="009D51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D51D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1F3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33.8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" filled="f" stroked="f">
              <v:textbox style="mso-fit-shape-to-text:t" inset="0,15pt,0,0">
                <w:txbxContent>
                  <w:p w14:paraId="1F38023B" w14:textId="42BA5B8A" w:rsidR="009D51D4" w:rsidRPr="009D51D4" w:rsidRDefault="009D51D4" w:rsidP="009D51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D51D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-138865109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Content>
        <w:r w:rsidR="00F64736">
          <w:rPr>
            <w:rStyle w:val="CLASSIFICATIONChar"/>
          </w:rPr>
          <w:t>Classification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3" w14:textId="29161F29" w:rsidR="00037513" w:rsidRDefault="005A3632" w:rsidP="00D75A12">
    <w:pPr>
      <w:pStyle w:val="Header"/>
      <w:jc w:val="center"/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80768" behindDoc="1" locked="0" layoutInCell="1" allowOverlap="1" wp14:anchorId="3CE512B5" wp14:editId="50B64183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4" name="Picture 4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17A4C0A"/>
    <w:multiLevelType w:val="hybridMultilevel"/>
    <w:tmpl w:val="C1C2D7D8"/>
    <w:lvl w:ilvl="0" w:tplc="200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6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A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C21BDF"/>
    <w:multiLevelType w:val="hybridMultilevel"/>
    <w:tmpl w:val="CD140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7CDA"/>
    <w:multiLevelType w:val="hybridMultilevel"/>
    <w:tmpl w:val="108E5D92"/>
    <w:lvl w:ilvl="0" w:tplc="3962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8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761DA0"/>
    <w:multiLevelType w:val="hybridMultilevel"/>
    <w:tmpl w:val="5CEAEDEC"/>
    <w:lvl w:ilvl="0" w:tplc="1D5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4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57CAD"/>
    <w:multiLevelType w:val="hybridMultilevel"/>
    <w:tmpl w:val="824E8604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395007549">
    <w:abstractNumId w:val="11"/>
  </w:num>
  <w:num w:numId="2" w16cid:durableId="1722440542">
    <w:abstractNumId w:val="9"/>
  </w:num>
  <w:num w:numId="3" w16cid:durableId="1018040190">
    <w:abstractNumId w:val="7"/>
  </w:num>
  <w:num w:numId="4" w16cid:durableId="974142093">
    <w:abstractNumId w:val="6"/>
  </w:num>
  <w:num w:numId="5" w16cid:durableId="1165510403">
    <w:abstractNumId w:val="5"/>
  </w:num>
  <w:num w:numId="6" w16cid:durableId="1245602269">
    <w:abstractNumId w:val="4"/>
  </w:num>
  <w:num w:numId="7" w16cid:durableId="1455440265">
    <w:abstractNumId w:val="8"/>
  </w:num>
  <w:num w:numId="8" w16cid:durableId="1506282861">
    <w:abstractNumId w:val="3"/>
  </w:num>
  <w:num w:numId="9" w16cid:durableId="1886213551">
    <w:abstractNumId w:val="2"/>
  </w:num>
  <w:num w:numId="10" w16cid:durableId="1586264301">
    <w:abstractNumId w:val="1"/>
  </w:num>
  <w:num w:numId="11" w16cid:durableId="1674452696">
    <w:abstractNumId w:val="0"/>
  </w:num>
  <w:num w:numId="12" w16cid:durableId="70083758">
    <w:abstractNumId w:val="10"/>
  </w:num>
  <w:num w:numId="13" w16cid:durableId="680350784">
    <w:abstractNumId w:val="24"/>
  </w:num>
  <w:num w:numId="14" w16cid:durableId="65954155">
    <w:abstractNumId w:val="16"/>
  </w:num>
  <w:num w:numId="15" w16cid:durableId="2032218979">
    <w:abstractNumId w:val="16"/>
    <w:lvlOverride w:ilvl="0">
      <w:startOverride w:val="1"/>
    </w:lvlOverride>
  </w:num>
  <w:num w:numId="16" w16cid:durableId="1862159854">
    <w:abstractNumId w:val="16"/>
    <w:lvlOverride w:ilvl="0">
      <w:startOverride w:val="1"/>
    </w:lvlOverride>
  </w:num>
  <w:num w:numId="17" w16cid:durableId="1260869504">
    <w:abstractNumId w:val="16"/>
    <w:lvlOverride w:ilvl="0">
      <w:startOverride w:val="1"/>
    </w:lvlOverride>
  </w:num>
  <w:num w:numId="18" w16cid:durableId="1308586150">
    <w:abstractNumId w:val="16"/>
    <w:lvlOverride w:ilvl="0">
      <w:startOverride w:val="1"/>
    </w:lvlOverride>
  </w:num>
  <w:num w:numId="19" w16cid:durableId="354118247">
    <w:abstractNumId w:val="21"/>
  </w:num>
  <w:num w:numId="20" w16cid:durableId="1951429039">
    <w:abstractNumId w:val="21"/>
    <w:lvlOverride w:ilvl="0">
      <w:startOverride w:val="1"/>
    </w:lvlOverride>
  </w:num>
  <w:num w:numId="21" w16cid:durableId="1567255146">
    <w:abstractNumId w:val="25"/>
  </w:num>
  <w:num w:numId="22" w16cid:durableId="2046052114">
    <w:abstractNumId w:val="23"/>
  </w:num>
  <w:num w:numId="23" w16cid:durableId="712727551">
    <w:abstractNumId w:val="11"/>
    <w:lvlOverride w:ilvl="0">
      <w:startOverride w:val="1"/>
    </w:lvlOverride>
  </w:num>
  <w:num w:numId="24" w16cid:durableId="671220130">
    <w:abstractNumId w:val="25"/>
    <w:lvlOverride w:ilvl="0">
      <w:startOverride w:val="1"/>
    </w:lvlOverride>
  </w:num>
  <w:num w:numId="25" w16cid:durableId="1964114570">
    <w:abstractNumId w:val="23"/>
    <w:lvlOverride w:ilvl="0">
      <w:startOverride w:val="1"/>
    </w:lvlOverride>
  </w:num>
  <w:num w:numId="26" w16cid:durableId="1470660453">
    <w:abstractNumId w:val="23"/>
    <w:lvlOverride w:ilvl="0">
      <w:startOverride w:val="1"/>
    </w:lvlOverride>
  </w:num>
  <w:num w:numId="27" w16cid:durableId="402339257">
    <w:abstractNumId w:val="14"/>
  </w:num>
  <w:num w:numId="28" w16cid:durableId="1622344619">
    <w:abstractNumId w:val="20"/>
  </w:num>
  <w:num w:numId="29" w16cid:durableId="536815607">
    <w:abstractNumId w:val="13"/>
  </w:num>
  <w:num w:numId="30" w16cid:durableId="2140176028">
    <w:abstractNumId w:val="15"/>
  </w:num>
  <w:num w:numId="31" w16cid:durableId="1867256253">
    <w:abstractNumId w:val="12"/>
  </w:num>
  <w:num w:numId="32" w16cid:durableId="321930289">
    <w:abstractNumId w:val="25"/>
    <w:lvlOverride w:ilvl="0">
      <w:startOverride w:val="1"/>
    </w:lvlOverride>
  </w:num>
  <w:num w:numId="33" w16cid:durableId="1621380526">
    <w:abstractNumId w:val="25"/>
    <w:lvlOverride w:ilvl="0">
      <w:startOverride w:val="1"/>
    </w:lvlOverride>
  </w:num>
  <w:num w:numId="34" w16cid:durableId="329715438">
    <w:abstractNumId w:val="25"/>
    <w:lvlOverride w:ilvl="0">
      <w:startOverride w:val="1"/>
    </w:lvlOverride>
  </w:num>
  <w:num w:numId="35" w16cid:durableId="166479220">
    <w:abstractNumId w:val="24"/>
    <w:lvlOverride w:ilvl="0">
      <w:startOverride w:val="1"/>
    </w:lvlOverride>
  </w:num>
  <w:num w:numId="36" w16cid:durableId="779420368">
    <w:abstractNumId w:val="24"/>
    <w:lvlOverride w:ilvl="0">
      <w:startOverride w:val="1"/>
    </w:lvlOverride>
  </w:num>
  <w:num w:numId="37" w16cid:durableId="1491868717">
    <w:abstractNumId w:val="24"/>
    <w:lvlOverride w:ilvl="0">
      <w:startOverride w:val="1"/>
    </w:lvlOverride>
  </w:num>
  <w:num w:numId="38" w16cid:durableId="342971848">
    <w:abstractNumId w:val="22"/>
  </w:num>
  <w:num w:numId="39" w16cid:durableId="691344548">
    <w:abstractNumId w:val="19"/>
  </w:num>
  <w:num w:numId="40" w16cid:durableId="979961941">
    <w:abstractNumId w:val="17"/>
  </w:num>
  <w:num w:numId="41" w16cid:durableId="367948076">
    <w:abstractNumId w:val="18"/>
  </w:num>
  <w:num w:numId="42" w16cid:durableId="8371883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F3"/>
    <w:rsid w:val="00003AF2"/>
    <w:rsid w:val="00027038"/>
    <w:rsid w:val="0003154E"/>
    <w:rsid w:val="00032139"/>
    <w:rsid w:val="00037513"/>
    <w:rsid w:val="0005600E"/>
    <w:rsid w:val="0006501B"/>
    <w:rsid w:val="0006627F"/>
    <w:rsid w:val="000668BB"/>
    <w:rsid w:val="000770FA"/>
    <w:rsid w:val="00080B17"/>
    <w:rsid w:val="000B3417"/>
    <w:rsid w:val="000B6A28"/>
    <w:rsid w:val="000D749D"/>
    <w:rsid w:val="000F5354"/>
    <w:rsid w:val="00115264"/>
    <w:rsid w:val="00117A77"/>
    <w:rsid w:val="00125770"/>
    <w:rsid w:val="00132068"/>
    <w:rsid w:val="00132887"/>
    <w:rsid w:val="00147E4C"/>
    <w:rsid w:val="00152412"/>
    <w:rsid w:val="001611BF"/>
    <w:rsid w:val="0017436A"/>
    <w:rsid w:val="00175841"/>
    <w:rsid w:val="001778D0"/>
    <w:rsid w:val="001954B4"/>
    <w:rsid w:val="001B2134"/>
    <w:rsid w:val="001B2D56"/>
    <w:rsid w:val="001C5831"/>
    <w:rsid w:val="001D16C5"/>
    <w:rsid w:val="001F6E20"/>
    <w:rsid w:val="002002ED"/>
    <w:rsid w:val="00202E07"/>
    <w:rsid w:val="00212443"/>
    <w:rsid w:val="00220DDA"/>
    <w:rsid w:val="00227DB5"/>
    <w:rsid w:val="002336DD"/>
    <w:rsid w:val="00255046"/>
    <w:rsid w:val="00266CCC"/>
    <w:rsid w:val="00267CBD"/>
    <w:rsid w:val="00274D42"/>
    <w:rsid w:val="00285CAF"/>
    <w:rsid w:val="002A137E"/>
    <w:rsid w:val="002B53AF"/>
    <w:rsid w:val="002B661A"/>
    <w:rsid w:val="002C7A05"/>
    <w:rsid w:val="002D37AE"/>
    <w:rsid w:val="002D6B3D"/>
    <w:rsid w:val="002E5916"/>
    <w:rsid w:val="002E61BD"/>
    <w:rsid w:val="002F382A"/>
    <w:rsid w:val="00303C55"/>
    <w:rsid w:val="00304D47"/>
    <w:rsid w:val="00311C2D"/>
    <w:rsid w:val="00316AF7"/>
    <w:rsid w:val="00317030"/>
    <w:rsid w:val="00330A33"/>
    <w:rsid w:val="00346D39"/>
    <w:rsid w:val="00353E5E"/>
    <w:rsid w:val="00361020"/>
    <w:rsid w:val="00372370"/>
    <w:rsid w:val="00374D2A"/>
    <w:rsid w:val="00376FE6"/>
    <w:rsid w:val="00377E48"/>
    <w:rsid w:val="00385BD5"/>
    <w:rsid w:val="00397D1D"/>
    <w:rsid w:val="003A54A7"/>
    <w:rsid w:val="003B05DC"/>
    <w:rsid w:val="003C181D"/>
    <w:rsid w:val="003C1C2C"/>
    <w:rsid w:val="003C1F2E"/>
    <w:rsid w:val="003D51B5"/>
    <w:rsid w:val="003D676D"/>
    <w:rsid w:val="003F12FD"/>
    <w:rsid w:val="003F23E9"/>
    <w:rsid w:val="00402E24"/>
    <w:rsid w:val="004073E7"/>
    <w:rsid w:val="00413312"/>
    <w:rsid w:val="0044397A"/>
    <w:rsid w:val="00443F97"/>
    <w:rsid w:val="00454582"/>
    <w:rsid w:val="00464D89"/>
    <w:rsid w:val="00476A0E"/>
    <w:rsid w:val="00481DB9"/>
    <w:rsid w:val="00490B90"/>
    <w:rsid w:val="00490E25"/>
    <w:rsid w:val="004B088C"/>
    <w:rsid w:val="004B2C90"/>
    <w:rsid w:val="004C17DE"/>
    <w:rsid w:val="004C58F3"/>
    <w:rsid w:val="004D2BF9"/>
    <w:rsid w:val="004F4C4F"/>
    <w:rsid w:val="004F6CF1"/>
    <w:rsid w:val="00500883"/>
    <w:rsid w:val="00516260"/>
    <w:rsid w:val="005226B9"/>
    <w:rsid w:val="00522D9C"/>
    <w:rsid w:val="005272E6"/>
    <w:rsid w:val="0052777A"/>
    <w:rsid w:val="00527EBB"/>
    <w:rsid w:val="00534819"/>
    <w:rsid w:val="005505E3"/>
    <w:rsid w:val="00551CB9"/>
    <w:rsid w:val="0055713D"/>
    <w:rsid w:val="00561FB9"/>
    <w:rsid w:val="00591288"/>
    <w:rsid w:val="005917FD"/>
    <w:rsid w:val="005A3632"/>
    <w:rsid w:val="005A4AA1"/>
    <w:rsid w:val="005B3358"/>
    <w:rsid w:val="005C0F15"/>
    <w:rsid w:val="005C3C13"/>
    <w:rsid w:val="005C5269"/>
    <w:rsid w:val="005C66F5"/>
    <w:rsid w:val="005D4706"/>
    <w:rsid w:val="005E0DC7"/>
    <w:rsid w:val="005E1065"/>
    <w:rsid w:val="005E6E22"/>
    <w:rsid w:val="00610C0F"/>
    <w:rsid w:val="006147EB"/>
    <w:rsid w:val="006200EB"/>
    <w:rsid w:val="00621EA3"/>
    <w:rsid w:val="006324E0"/>
    <w:rsid w:val="00640234"/>
    <w:rsid w:val="0064343A"/>
    <w:rsid w:val="00665FB6"/>
    <w:rsid w:val="00667B5E"/>
    <w:rsid w:val="006949AF"/>
    <w:rsid w:val="006A008F"/>
    <w:rsid w:val="006A2ABA"/>
    <w:rsid w:val="006A2BCA"/>
    <w:rsid w:val="006A5AA6"/>
    <w:rsid w:val="006B349C"/>
    <w:rsid w:val="006D71DA"/>
    <w:rsid w:val="006E170D"/>
    <w:rsid w:val="006E698B"/>
    <w:rsid w:val="006F25A1"/>
    <w:rsid w:val="007102EE"/>
    <w:rsid w:val="0071548B"/>
    <w:rsid w:val="00715A4A"/>
    <w:rsid w:val="007203E4"/>
    <w:rsid w:val="007204A9"/>
    <w:rsid w:val="0072538D"/>
    <w:rsid w:val="00736008"/>
    <w:rsid w:val="00740E77"/>
    <w:rsid w:val="0075249A"/>
    <w:rsid w:val="00756929"/>
    <w:rsid w:val="00767DBB"/>
    <w:rsid w:val="00771DC8"/>
    <w:rsid w:val="00772144"/>
    <w:rsid w:val="00774646"/>
    <w:rsid w:val="00780840"/>
    <w:rsid w:val="0078127D"/>
    <w:rsid w:val="00781695"/>
    <w:rsid w:val="00783EC4"/>
    <w:rsid w:val="007851BE"/>
    <w:rsid w:val="007A02A7"/>
    <w:rsid w:val="007A038F"/>
    <w:rsid w:val="007A3AD4"/>
    <w:rsid w:val="007B1434"/>
    <w:rsid w:val="007C0935"/>
    <w:rsid w:val="007E1C98"/>
    <w:rsid w:val="007E74EE"/>
    <w:rsid w:val="007F4E93"/>
    <w:rsid w:val="007F6CC4"/>
    <w:rsid w:val="008046D4"/>
    <w:rsid w:val="008059CB"/>
    <w:rsid w:val="008173BC"/>
    <w:rsid w:val="008204E7"/>
    <w:rsid w:val="008250D8"/>
    <w:rsid w:val="00833792"/>
    <w:rsid w:val="00835B4D"/>
    <w:rsid w:val="00837A21"/>
    <w:rsid w:val="00852F35"/>
    <w:rsid w:val="00857363"/>
    <w:rsid w:val="0086394C"/>
    <w:rsid w:val="00874998"/>
    <w:rsid w:val="00876109"/>
    <w:rsid w:val="00880485"/>
    <w:rsid w:val="00883248"/>
    <w:rsid w:val="008A0614"/>
    <w:rsid w:val="008B44F5"/>
    <w:rsid w:val="008C0558"/>
    <w:rsid w:val="008C47A1"/>
    <w:rsid w:val="008C738F"/>
    <w:rsid w:val="008D6B9E"/>
    <w:rsid w:val="008E1024"/>
    <w:rsid w:val="008F2BB2"/>
    <w:rsid w:val="008F491B"/>
    <w:rsid w:val="009111F2"/>
    <w:rsid w:val="00913ED0"/>
    <w:rsid w:val="009206EB"/>
    <w:rsid w:val="00927650"/>
    <w:rsid w:val="0093222B"/>
    <w:rsid w:val="009429FD"/>
    <w:rsid w:val="00942CB6"/>
    <w:rsid w:val="00942CE9"/>
    <w:rsid w:val="00954FF2"/>
    <w:rsid w:val="009615D2"/>
    <w:rsid w:val="00962EE8"/>
    <w:rsid w:val="00976EE9"/>
    <w:rsid w:val="009821BE"/>
    <w:rsid w:val="0098267F"/>
    <w:rsid w:val="00984376"/>
    <w:rsid w:val="009A350B"/>
    <w:rsid w:val="009A6D9C"/>
    <w:rsid w:val="009C14AA"/>
    <w:rsid w:val="009C60F6"/>
    <w:rsid w:val="009D51D4"/>
    <w:rsid w:val="009E350A"/>
    <w:rsid w:val="009F0889"/>
    <w:rsid w:val="009F16DE"/>
    <w:rsid w:val="009F62F4"/>
    <w:rsid w:val="009F6A0F"/>
    <w:rsid w:val="00A008E6"/>
    <w:rsid w:val="00A06DF8"/>
    <w:rsid w:val="00A12C83"/>
    <w:rsid w:val="00A12F96"/>
    <w:rsid w:val="00A42517"/>
    <w:rsid w:val="00A57585"/>
    <w:rsid w:val="00A57FF6"/>
    <w:rsid w:val="00A62EF3"/>
    <w:rsid w:val="00A704F3"/>
    <w:rsid w:val="00A759D3"/>
    <w:rsid w:val="00A82A58"/>
    <w:rsid w:val="00A918A7"/>
    <w:rsid w:val="00AA1C38"/>
    <w:rsid w:val="00AA705F"/>
    <w:rsid w:val="00AC2CDC"/>
    <w:rsid w:val="00AD358D"/>
    <w:rsid w:val="00AD7805"/>
    <w:rsid w:val="00AE2B22"/>
    <w:rsid w:val="00B05108"/>
    <w:rsid w:val="00B23B3E"/>
    <w:rsid w:val="00B56736"/>
    <w:rsid w:val="00B6596F"/>
    <w:rsid w:val="00B73343"/>
    <w:rsid w:val="00B81D3E"/>
    <w:rsid w:val="00B92E61"/>
    <w:rsid w:val="00B97D3A"/>
    <w:rsid w:val="00BA7071"/>
    <w:rsid w:val="00BB1526"/>
    <w:rsid w:val="00BC75F1"/>
    <w:rsid w:val="00BC75F3"/>
    <w:rsid w:val="00BD171D"/>
    <w:rsid w:val="00BD57F5"/>
    <w:rsid w:val="00BE0F4D"/>
    <w:rsid w:val="00BE48A4"/>
    <w:rsid w:val="00BE56F0"/>
    <w:rsid w:val="00C034D3"/>
    <w:rsid w:val="00C03CD2"/>
    <w:rsid w:val="00C12D35"/>
    <w:rsid w:val="00C13310"/>
    <w:rsid w:val="00C17F81"/>
    <w:rsid w:val="00C20EA5"/>
    <w:rsid w:val="00C32E9F"/>
    <w:rsid w:val="00C46FD9"/>
    <w:rsid w:val="00C47620"/>
    <w:rsid w:val="00C70947"/>
    <w:rsid w:val="00C909FF"/>
    <w:rsid w:val="00CB6019"/>
    <w:rsid w:val="00CC42EA"/>
    <w:rsid w:val="00CC6110"/>
    <w:rsid w:val="00CC6E18"/>
    <w:rsid w:val="00CD0193"/>
    <w:rsid w:val="00CF55DD"/>
    <w:rsid w:val="00D03799"/>
    <w:rsid w:val="00D04E61"/>
    <w:rsid w:val="00D10635"/>
    <w:rsid w:val="00D11157"/>
    <w:rsid w:val="00D13C0A"/>
    <w:rsid w:val="00D500C1"/>
    <w:rsid w:val="00D525B8"/>
    <w:rsid w:val="00D75A12"/>
    <w:rsid w:val="00D8019E"/>
    <w:rsid w:val="00D859BB"/>
    <w:rsid w:val="00D9417E"/>
    <w:rsid w:val="00DA18A2"/>
    <w:rsid w:val="00DA6AEB"/>
    <w:rsid w:val="00DB61AC"/>
    <w:rsid w:val="00DF2F8D"/>
    <w:rsid w:val="00E05FA4"/>
    <w:rsid w:val="00E12AB4"/>
    <w:rsid w:val="00E13082"/>
    <w:rsid w:val="00E155C1"/>
    <w:rsid w:val="00E2196D"/>
    <w:rsid w:val="00E224F4"/>
    <w:rsid w:val="00E2753F"/>
    <w:rsid w:val="00E27786"/>
    <w:rsid w:val="00E27CA0"/>
    <w:rsid w:val="00E43127"/>
    <w:rsid w:val="00E43E0D"/>
    <w:rsid w:val="00E63FC4"/>
    <w:rsid w:val="00E84F06"/>
    <w:rsid w:val="00E86296"/>
    <w:rsid w:val="00E92551"/>
    <w:rsid w:val="00EB6AA9"/>
    <w:rsid w:val="00EC4A85"/>
    <w:rsid w:val="00EC68BE"/>
    <w:rsid w:val="00ED0697"/>
    <w:rsid w:val="00F03073"/>
    <w:rsid w:val="00F049AA"/>
    <w:rsid w:val="00F135EF"/>
    <w:rsid w:val="00F262A6"/>
    <w:rsid w:val="00F46DB7"/>
    <w:rsid w:val="00F620FD"/>
    <w:rsid w:val="00F64736"/>
    <w:rsid w:val="00F66078"/>
    <w:rsid w:val="00F72C55"/>
    <w:rsid w:val="00F736AF"/>
    <w:rsid w:val="00F83A8A"/>
    <w:rsid w:val="00F86700"/>
    <w:rsid w:val="00F87586"/>
    <w:rsid w:val="00F957C6"/>
    <w:rsid w:val="00FA6219"/>
    <w:rsid w:val="00FB3AF5"/>
    <w:rsid w:val="00FB5249"/>
    <w:rsid w:val="00FB7CAD"/>
    <w:rsid w:val="00FC26DA"/>
    <w:rsid w:val="00FC5955"/>
    <w:rsid w:val="00FD20A5"/>
    <w:rsid w:val="00FD2C22"/>
    <w:rsid w:val="00FE2C7F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E5127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27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FootnoteText">
    <w:name w:val="footnote text"/>
    <w:basedOn w:val="Normal"/>
    <w:link w:val="FootnoteTextChar"/>
    <w:uiPriority w:val="99"/>
    <w:rsid w:val="00CB6019"/>
    <w:pPr>
      <w:suppressAutoHyphens/>
      <w:spacing w:after="0" w:line="240" w:lineRule="auto"/>
      <w:ind w:left="284" w:hanging="284"/>
    </w:pPr>
    <w:rPr>
      <w:rFonts w:asciiTheme="minorHAnsi" w:eastAsiaTheme="minorHAnsi" w:hAnsiTheme="minorHAnsi"/>
      <w:color w:val="000000" w:themeColor="text1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019"/>
    <w:rPr>
      <w:rFonts w:eastAsiaTheme="minorHAnsi"/>
      <w:color w:val="000000" w:themeColor="text1"/>
      <w:sz w:val="18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CB6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91EF-1132-4827-9EED-0B86CC5242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2555</Characters>
  <Application>Microsoft Office Word</Application>
  <DocSecurity>0</DocSecurity>
  <Lines>49</Lines>
  <Paragraphs>22</Paragraphs>
  <ScaleCrop>false</ScaleCrop>
  <Manager/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2026-04-07T04:34:00Z</dcterms:created>
  <dcterms:modified xsi:type="dcterms:W3CDTF">2026-04-07T04:35:00Z</dcterms:modified>
  <cp:category/>
</cp:coreProperties>
</file>