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7FB97631" w:rsidR="00A62EF3" w:rsidRPr="00FC5955" w:rsidRDefault="00A536B1" w:rsidP="006D71DA">
      <w:pPr>
        <w:pStyle w:val="Title"/>
        <w:spacing w:after="120"/>
        <w:rPr>
          <w:rFonts w:ascii="Calibri" w:hAnsi="Calibri" w:cs="Calibri"/>
          <w:sz w:val="52"/>
        </w:rPr>
      </w:pPr>
      <w:bookmarkStart w:id="0" w:name="_Toc96326909"/>
      <w:r>
        <w:rPr>
          <w:rFonts w:ascii="Calibri" w:hAnsi="Calibri" w:cs="Calibri"/>
          <w:sz w:val="52"/>
        </w:rPr>
        <w:t>Options to provide Solar Sharer Offer (SSO)</w:t>
      </w:r>
    </w:p>
    <w:p w14:paraId="3CE5127C" w14:textId="6A1D86CB" w:rsidR="00A62EF3" w:rsidRPr="008059CB" w:rsidRDefault="009D5EF3" w:rsidP="00A62EF3">
      <w:pPr>
        <w:pStyle w:val="Subtitle"/>
        <w:rPr>
          <w:rFonts w:cs="Calibri Light"/>
        </w:rPr>
      </w:pPr>
      <w:r w:rsidRPr="009D5EF3">
        <w:rPr>
          <w:rFonts w:cs="Calibri Light"/>
        </w:rPr>
        <w:t>Department of Climate Change, Energy, the Environment and Water</w:t>
      </w:r>
    </w:p>
    <w:p w14:paraId="3CE5127D" w14:textId="77777777" w:rsidR="00A62EF3" w:rsidRDefault="00000000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.65pt;margin-top:65.7pt;width:38.65pt;height:38.65pt;z-index:251658240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18F3872B" w14:textId="55060312" w:rsidR="006D2E1A" w:rsidRPr="00AB7B8A" w:rsidRDefault="00AB7B8A" w:rsidP="008A383D">
      <w:pPr>
        <w:pStyle w:val="BOXBulletedList"/>
        <w:numPr>
          <w:ilvl w:val="0"/>
          <w:numId w:val="0"/>
        </w:numPr>
        <w:pBdr>
          <w:bottom w:val="single" w:sz="48" w:space="0" w:color="F2F2F2" w:themeColor="background1" w:themeShade="F2"/>
        </w:pBdr>
        <w:spacing w:after="0" w:line="240" w:lineRule="auto"/>
        <w:ind w:left="227"/>
        <w:rPr>
          <w:color w:val="000000" w:themeColor="text1"/>
        </w:rPr>
      </w:pPr>
      <w:r w:rsidRPr="00710E6C">
        <w:rPr>
          <w:color w:val="000000" w:themeColor="text1"/>
        </w:rPr>
        <w:t xml:space="preserve">Australia’s rapid uptake of </w:t>
      </w:r>
      <w:r w:rsidRPr="008A383D">
        <w:rPr>
          <w:color w:val="000000" w:themeColor="text1"/>
        </w:rPr>
        <w:t>rooftop</w:t>
      </w:r>
      <w:r w:rsidRPr="00710E6C">
        <w:rPr>
          <w:color w:val="000000" w:themeColor="text1"/>
        </w:rPr>
        <w:t xml:space="preserve"> solar has materially reshaped electricity demand and wholesale price outcomes in the</w:t>
      </w:r>
      <w:r w:rsidR="005B4EEA">
        <w:rPr>
          <w:color w:val="000000" w:themeColor="text1"/>
        </w:rPr>
        <w:t xml:space="preserve"> </w:t>
      </w:r>
      <w:r w:rsidRPr="00710E6C">
        <w:rPr>
          <w:color w:val="000000" w:themeColor="text1"/>
        </w:rPr>
        <w:t xml:space="preserve">National Electricity Market (NEM). </w:t>
      </w:r>
      <w:r w:rsidR="002F58BF">
        <w:rPr>
          <w:color w:val="000000" w:themeColor="text1"/>
        </w:rPr>
        <w:t>However</w:t>
      </w:r>
      <w:r w:rsidR="00583FC6">
        <w:rPr>
          <w:color w:val="000000" w:themeColor="text1"/>
        </w:rPr>
        <w:t xml:space="preserve">, </w:t>
      </w:r>
      <w:r w:rsidR="002A1F4D">
        <w:rPr>
          <w:color w:val="000000" w:themeColor="text1"/>
        </w:rPr>
        <w:t>m</w:t>
      </w:r>
      <w:r w:rsidR="006D2E1A" w:rsidRPr="00AB7B8A">
        <w:rPr>
          <w:color w:val="000000" w:themeColor="text1"/>
        </w:rPr>
        <w:t>any households cannot access the financial benefits of abundant daytime renewable generation</w:t>
      </w:r>
      <w:r w:rsidR="0064272E">
        <w:rPr>
          <w:color w:val="000000" w:themeColor="text1"/>
        </w:rPr>
        <w:t>, r</w:t>
      </w:r>
      <w:r w:rsidR="006D2E1A" w:rsidRPr="00AB7B8A">
        <w:rPr>
          <w:color w:val="000000" w:themeColor="text1"/>
        </w:rPr>
        <w:t>etail price signals do not consistently incentivise load shifting into low-cost periods</w:t>
      </w:r>
      <w:r w:rsidR="002A1F4D">
        <w:rPr>
          <w:color w:val="000000" w:themeColor="text1"/>
        </w:rPr>
        <w:t>,</w:t>
      </w:r>
      <w:r w:rsidR="0064272E">
        <w:rPr>
          <w:color w:val="000000" w:themeColor="text1"/>
        </w:rPr>
        <w:t xml:space="preserve"> and d</w:t>
      </w:r>
      <w:r w:rsidR="006D2E1A" w:rsidRPr="00AB7B8A">
        <w:rPr>
          <w:color w:val="000000" w:themeColor="text1"/>
        </w:rPr>
        <w:t>emand remains concentrated in higher-cost evening peak periods</w:t>
      </w:r>
      <w:r w:rsidR="0064272E">
        <w:rPr>
          <w:color w:val="000000" w:themeColor="text1"/>
        </w:rPr>
        <w:t>. These all contribute</w:t>
      </w:r>
      <w:r w:rsidR="006D2E1A" w:rsidRPr="00AB7B8A">
        <w:rPr>
          <w:color w:val="000000" w:themeColor="text1"/>
        </w:rPr>
        <w:t xml:space="preserve"> to system inefficiencies and affordability pressures.</w:t>
      </w:r>
    </w:p>
    <w:p w14:paraId="23EA8D05" w14:textId="77777777" w:rsidR="00174FF5" w:rsidRPr="00710E6C" w:rsidRDefault="00174FF5" w:rsidP="008A383D">
      <w:pPr>
        <w:pStyle w:val="BOXBulletedList"/>
        <w:numPr>
          <w:ilvl w:val="0"/>
          <w:numId w:val="0"/>
        </w:numPr>
        <w:pBdr>
          <w:bottom w:val="single" w:sz="48" w:space="0" w:color="F2F2F2" w:themeColor="background1" w:themeShade="F2"/>
        </w:pBdr>
        <w:tabs>
          <w:tab w:val="left" w:pos="284"/>
        </w:tabs>
        <w:spacing w:after="0" w:line="240" w:lineRule="auto"/>
        <w:ind w:left="227"/>
        <w:rPr>
          <w:color w:val="000000" w:themeColor="text1"/>
        </w:rPr>
      </w:pPr>
    </w:p>
    <w:p w14:paraId="533A36F8" w14:textId="01B671DE" w:rsidR="0080474E" w:rsidRPr="0080474E" w:rsidRDefault="0065524E" w:rsidP="008A383D">
      <w:pPr>
        <w:pStyle w:val="BOXBulletedList"/>
        <w:numPr>
          <w:ilvl w:val="0"/>
          <w:numId w:val="0"/>
        </w:numPr>
        <w:pBdr>
          <w:bottom w:val="single" w:sz="48" w:space="0" w:color="F2F2F2" w:themeColor="background1" w:themeShade="F2"/>
        </w:pBdr>
        <w:spacing w:after="0"/>
        <w:ind w:left="227"/>
      </w:pPr>
      <w:r w:rsidRPr="008A383D">
        <w:rPr>
          <w:color w:val="000000" w:themeColor="text1"/>
        </w:rPr>
        <w:t>The p</w:t>
      </w:r>
      <w:r w:rsidR="0080474E" w:rsidRPr="008A383D">
        <w:rPr>
          <w:color w:val="000000" w:themeColor="text1"/>
        </w:rPr>
        <w:t>referred policy approach</w:t>
      </w:r>
      <w:r w:rsidRPr="008A383D">
        <w:rPr>
          <w:color w:val="000000" w:themeColor="text1"/>
        </w:rPr>
        <w:t xml:space="preserve"> is </w:t>
      </w:r>
      <w:r w:rsidR="0073310C">
        <w:rPr>
          <w:color w:val="000000" w:themeColor="text1"/>
        </w:rPr>
        <w:t>Option A</w:t>
      </w:r>
      <w:r w:rsidR="00035FB2">
        <w:rPr>
          <w:color w:val="000000" w:themeColor="text1"/>
        </w:rPr>
        <w:t>1 -</w:t>
      </w:r>
      <w:r>
        <w:rPr>
          <w:color w:val="000000" w:themeColor="text1"/>
        </w:rPr>
        <w:t xml:space="preserve"> </w:t>
      </w:r>
      <w:r w:rsidR="00035FB2">
        <w:rPr>
          <w:color w:val="000000" w:themeColor="text1"/>
        </w:rPr>
        <w:t>I</w:t>
      </w:r>
      <w:r w:rsidR="0080474E" w:rsidRPr="0080474E">
        <w:rPr>
          <w:color w:val="000000" w:themeColor="text1"/>
        </w:rPr>
        <w:t xml:space="preserve">ntroduce a regulated Solar Sharer Offer (SSO) standing offer </w:t>
      </w:r>
      <w:r>
        <w:rPr>
          <w:color w:val="000000" w:themeColor="text1"/>
        </w:rPr>
        <w:t>that</w:t>
      </w:r>
      <w:r w:rsidR="0064272E">
        <w:rPr>
          <w:color w:val="000000" w:themeColor="text1"/>
        </w:rPr>
        <w:t xml:space="preserve"> retailers would be required to offer residential customers</w:t>
      </w:r>
      <w:r w:rsidR="005560AA">
        <w:rPr>
          <w:color w:val="000000" w:themeColor="text1"/>
        </w:rPr>
        <w:t xml:space="preserve">. </w:t>
      </w:r>
      <w:r w:rsidR="005B1D9D">
        <w:rPr>
          <w:color w:val="000000" w:themeColor="text1"/>
        </w:rPr>
        <w:t>This</w:t>
      </w:r>
      <w:r>
        <w:rPr>
          <w:color w:val="000000" w:themeColor="text1"/>
        </w:rPr>
        <w:t xml:space="preserve"> </w:t>
      </w:r>
      <w:r w:rsidR="002A1F4D">
        <w:rPr>
          <w:color w:val="000000" w:themeColor="text1"/>
        </w:rPr>
        <w:t xml:space="preserve">is </w:t>
      </w:r>
      <w:r w:rsidR="0080474E" w:rsidRPr="0080474E">
        <w:rPr>
          <w:color w:val="000000" w:themeColor="text1"/>
        </w:rPr>
        <w:t>an opt-in, three-hour zero-cost daily electricity usage window during solar-abundant periods</w:t>
      </w:r>
      <w:r w:rsidR="002A1F4D">
        <w:rPr>
          <w:color w:val="000000" w:themeColor="text1"/>
        </w:rPr>
        <w:t>.</w:t>
      </w:r>
    </w:p>
    <w:p w14:paraId="3CE51282" w14:textId="4F3B12D6" w:rsidR="005505E3" w:rsidRPr="00D859BB" w:rsidRDefault="002002ED" w:rsidP="003C1C2C">
      <w:pPr>
        <w:pStyle w:val="BOXHeading2"/>
        <w:spacing w:before="120"/>
        <w:ind w:firstLine="493"/>
      </w:pPr>
      <w:r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5C6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1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0FFBC171" w14:textId="59E19FF2" w:rsidR="006B6A5B" w:rsidRPr="006B6A5B" w:rsidRDefault="006B6A5B" w:rsidP="006B6A5B">
            <w:pPr>
              <w:spacing w:after="0" w:line="240" w:lineRule="auto"/>
              <w:rPr>
                <w:rFonts w:ascii="Calibri" w:hAnsi="Calibri" w:cs="Calibri"/>
                <w:b/>
                <w:bCs/>
                <w:szCs w:val="18"/>
              </w:rPr>
            </w:pPr>
            <w:r>
              <w:rPr>
                <w:rFonts w:ascii="Calibri" w:hAnsi="Calibri" w:cs="Calibri"/>
                <w:b/>
                <w:bCs/>
                <w:szCs w:val="18"/>
              </w:rPr>
              <w:t>I</w:t>
            </w:r>
            <w:r w:rsidRPr="006B6A5B">
              <w:rPr>
                <w:rFonts w:ascii="Calibri" w:hAnsi="Calibri" w:cs="Calibri"/>
                <w:b/>
                <w:bCs/>
                <w:szCs w:val="18"/>
              </w:rPr>
              <w:t>mpacts</w:t>
            </w:r>
          </w:p>
          <w:p w14:paraId="4838D2EF" w14:textId="77777777" w:rsidR="006B6A5B" w:rsidRPr="006B6A5B" w:rsidRDefault="006B6A5B" w:rsidP="006B6A5B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6B6A5B">
              <w:rPr>
                <w:rFonts w:ascii="Calibri" w:hAnsi="Calibri" w:cs="Calibri"/>
                <w:b/>
                <w:bCs/>
                <w:szCs w:val="18"/>
              </w:rPr>
              <w:t>Key benefits relative to the status quo</w:t>
            </w:r>
          </w:p>
          <w:p w14:paraId="1F82539F" w14:textId="6529FBFE" w:rsidR="00681289" w:rsidRPr="00681289" w:rsidRDefault="00681289" w:rsidP="008F1709">
            <w:pPr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681289">
              <w:rPr>
                <w:rFonts w:ascii="Calibri" w:hAnsi="Calibri" w:cs="Calibri"/>
                <w:b/>
                <w:bCs/>
                <w:szCs w:val="18"/>
              </w:rPr>
              <w:t>Household</w:t>
            </w:r>
            <w:r w:rsidRPr="00A26969">
              <w:rPr>
                <w:rFonts w:ascii="Calibri" w:hAnsi="Calibri" w:cs="Calibri"/>
                <w:b/>
                <w:bCs/>
                <w:szCs w:val="18"/>
              </w:rPr>
              <w:t>s:</w:t>
            </w:r>
            <w:r w:rsidRPr="00681289">
              <w:rPr>
                <w:rFonts w:ascii="Calibri" w:hAnsi="Calibri" w:cs="Calibri"/>
                <w:szCs w:val="18"/>
              </w:rPr>
              <w:t xml:space="preserve"> bill savings for customers who can shift load into the free period; benefits </w:t>
            </w:r>
            <w:r w:rsidR="002A1F4D">
              <w:rPr>
                <w:rFonts w:ascii="Calibri" w:hAnsi="Calibri" w:cs="Calibri"/>
                <w:szCs w:val="18"/>
              </w:rPr>
              <w:t>households without CER.</w:t>
            </w:r>
          </w:p>
          <w:p w14:paraId="45EF3109" w14:textId="48B56EDD" w:rsidR="00681289" w:rsidRPr="00681289" w:rsidRDefault="00681289" w:rsidP="008F170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681289">
              <w:rPr>
                <w:rFonts w:ascii="Calibri" w:hAnsi="Calibri" w:cs="Calibri"/>
                <w:b/>
                <w:bCs/>
                <w:szCs w:val="18"/>
              </w:rPr>
              <w:t>Networks and the system:</w:t>
            </w:r>
            <w:r w:rsidRPr="00681289">
              <w:rPr>
                <w:rFonts w:ascii="Calibri" w:hAnsi="Calibri" w:cs="Calibri"/>
                <w:szCs w:val="18"/>
              </w:rPr>
              <w:t xml:space="preserve"> potential reduction in operational challenges linked to very low daytime </w:t>
            </w:r>
            <w:proofErr w:type="gramStart"/>
            <w:r w:rsidRPr="00681289">
              <w:rPr>
                <w:rFonts w:ascii="Calibri" w:hAnsi="Calibri" w:cs="Calibri"/>
                <w:szCs w:val="18"/>
              </w:rPr>
              <w:t xml:space="preserve">demand; </w:t>
            </w:r>
            <w:r w:rsidR="00593E1A">
              <w:rPr>
                <w:rFonts w:ascii="Calibri" w:hAnsi="Calibri" w:cs="Calibri"/>
                <w:szCs w:val="18"/>
              </w:rPr>
              <w:t xml:space="preserve"> reduction</w:t>
            </w:r>
            <w:proofErr w:type="gramEnd"/>
            <w:r w:rsidR="00593E1A">
              <w:rPr>
                <w:rFonts w:ascii="Calibri" w:hAnsi="Calibri" w:cs="Calibri"/>
                <w:szCs w:val="18"/>
              </w:rPr>
              <w:t xml:space="preserve"> in network and system costs </w:t>
            </w:r>
            <w:r w:rsidR="002A1F4D">
              <w:rPr>
                <w:rFonts w:ascii="Calibri" w:hAnsi="Calibri" w:cs="Calibri"/>
                <w:szCs w:val="18"/>
              </w:rPr>
              <w:t xml:space="preserve">by avoiding </w:t>
            </w:r>
            <w:r w:rsidR="00697138">
              <w:rPr>
                <w:rFonts w:ascii="Calibri" w:hAnsi="Calibri" w:cs="Calibri"/>
                <w:szCs w:val="18"/>
              </w:rPr>
              <w:t xml:space="preserve">system built out to meet peak demand. </w:t>
            </w:r>
          </w:p>
          <w:p w14:paraId="1D115F70" w14:textId="5B436BB8" w:rsidR="006B6A5B" w:rsidRPr="006B6A5B" w:rsidRDefault="006B6A5B" w:rsidP="006B6A5B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6B6A5B">
              <w:rPr>
                <w:rFonts w:ascii="Calibri" w:hAnsi="Calibri" w:cs="Calibri"/>
                <w:b/>
                <w:bCs/>
                <w:szCs w:val="18"/>
              </w:rPr>
              <w:t>Key costs relative to the status quo</w:t>
            </w:r>
          </w:p>
          <w:p w14:paraId="49EE05A2" w14:textId="4E4EEC90" w:rsidR="00D85DDB" w:rsidRPr="00D85DDB" w:rsidRDefault="00D85DDB" w:rsidP="008F1709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85DDB">
              <w:rPr>
                <w:rFonts w:ascii="Calibri" w:hAnsi="Calibri" w:cs="Calibri"/>
                <w:b/>
                <w:bCs/>
                <w:szCs w:val="18"/>
              </w:rPr>
              <w:t>Retailers:</w:t>
            </w:r>
            <w:r w:rsidRPr="00D85DDB">
              <w:rPr>
                <w:rFonts w:ascii="Calibri" w:hAnsi="Calibri" w:cs="Calibri"/>
                <w:szCs w:val="18"/>
              </w:rPr>
              <w:t xml:space="preserve"> </w:t>
            </w:r>
            <w:r w:rsidR="00697138">
              <w:rPr>
                <w:rFonts w:ascii="Calibri" w:hAnsi="Calibri" w:cs="Calibri"/>
                <w:szCs w:val="18"/>
              </w:rPr>
              <w:t xml:space="preserve">small to moderate regulatory compliance burden costs, declining after the first year of operation. </w:t>
            </w:r>
            <w:r w:rsidRPr="00D85DDB">
              <w:rPr>
                <w:rFonts w:ascii="Calibri" w:hAnsi="Calibri" w:cs="Calibri"/>
                <w:szCs w:val="18"/>
              </w:rPr>
              <w:t xml:space="preserve">Smaller </w:t>
            </w:r>
            <w:r w:rsidR="005F0B9B">
              <w:rPr>
                <w:rFonts w:ascii="Calibri" w:hAnsi="Calibri" w:cs="Calibri"/>
                <w:szCs w:val="18"/>
              </w:rPr>
              <w:t xml:space="preserve">retailers excluded. </w:t>
            </w:r>
          </w:p>
          <w:p w14:paraId="4B5AE733" w14:textId="3C59D5B1" w:rsidR="00D85DDB" w:rsidRPr="00D85DDB" w:rsidRDefault="00D85DDB" w:rsidP="008F1709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85DDB">
              <w:rPr>
                <w:rFonts w:ascii="Calibri" w:hAnsi="Calibri" w:cs="Calibri"/>
                <w:b/>
                <w:bCs/>
                <w:szCs w:val="18"/>
              </w:rPr>
              <w:t>Networks and the system</w:t>
            </w:r>
            <w:r w:rsidRPr="00D85DDB">
              <w:rPr>
                <w:rFonts w:ascii="Calibri" w:hAnsi="Calibri" w:cs="Calibri"/>
                <w:szCs w:val="18"/>
              </w:rPr>
              <w:t>: high</w:t>
            </w:r>
            <w:r w:rsidR="002F54D6">
              <w:rPr>
                <w:rFonts w:ascii="Calibri" w:hAnsi="Calibri" w:cs="Calibri"/>
                <w:szCs w:val="18"/>
              </w:rPr>
              <w:t xml:space="preserve"> uptake</w:t>
            </w:r>
            <w:r w:rsidRPr="00D85DDB">
              <w:rPr>
                <w:rFonts w:ascii="Calibri" w:hAnsi="Calibri" w:cs="Calibri"/>
                <w:szCs w:val="18"/>
              </w:rPr>
              <w:t xml:space="preserve"> could create localised demand spikes. </w:t>
            </w:r>
          </w:p>
          <w:p w14:paraId="3CE5128C" w14:textId="06110EF1" w:rsidR="00881AAB" w:rsidRPr="00147E4C" w:rsidRDefault="00D85DDB" w:rsidP="008A383D">
            <w:pPr>
              <w:pStyle w:val="ListParagraph"/>
            </w:pPr>
            <w:r w:rsidRPr="008A383D">
              <w:rPr>
                <w:rFonts w:ascii="Calibri" w:hAnsi="Calibri" w:cs="Calibri"/>
                <w:b/>
                <w:bCs/>
                <w:szCs w:val="18"/>
              </w:rPr>
              <w:t xml:space="preserve">Government and regulators: </w:t>
            </w:r>
            <w:r w:rsidR="007C05C3" w:rsidRPr="008A383D">
              <w:rPr>
                <w:rFonts w:ascii="Calibri" w:hAnsi="Calibri" w:cs="Calibri"/>
                <w:b/>
                <w:bCs/>
                <w:szCs w:val="18"/>
              </w:rPr>
              <w:t>situated</w:t>
            </w:r>
            <w:r w:rsidR="007C05C3" w:rsidRPr="008A383D">
              <w:rPr>
                <w:rFonts w:ascii="Calibri" w:hAnsi="Calibri" w:cs="Calibri"/>
                <w:szCs w:val="18"/>
              </w:rPr>
              <w:t xml:space="preserve"> within existing regulatory frameworks to minimise regulation, compliance and monitoring by</w:t>
            </w:r>
            <w:r w:rsidRPr="008A383D">
              <w:rPr>
                <w:rFonts w:ascii="Calibri" w:hAnsi="Calibri" w:cs="Calibri"/>
                <w:szCs w:val="18"/>
              </w:rPr>
              <w:t xml:space="preserve"> the AER and ACCC</w:t>
            </w:r>
            <w:r w:rsidR="007C05C3" w:rsidRPr="008A383D">
              <w:rPr>
                <w:rFonts w:ascii="Calibri" w:hAnsi="Calibri" w:cs="Calibri"/>
                <w:szCs w:val="18"/>
              </w:rPr>
              <w:t>, respectively</w:t>
            </w:r>
            <w:r w:rsidRPr="008A383D">
              <w:rPr>
                <w:rFonts w:ascii="Calibri" w:hAnsi="Calibri" w:cs="Calibri"/>
                <w:szCs w:val="18"/>
              </w:rPr>
              <w:t>.</w:t>
            </w:r>
          </w:p>
        </w:tc>
      </w:tr>
    </w:tbl>
    <w:p w14:paraId="3CE512A5" w14:textId="14089AD7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0" w:type="pct"/>
        <w:tblLook w:val="0420" w:firstRow="1" w:lastRow="0" w:firstColumn="0" w:lastColumn="0" w:noHBand="0" w:noVBand="1"/>
      </w:tblPr>
      <w:tblGrid>
        <w:gridCol w:w="3591"/>
        <w:gridCol w:w="3497"/>
        <w:gridCol w:w="3684"/>
      </w:tblGrid>
      <w:tr w:rsidR="005C66F5" w14:paraId="189C75F0" w14:textId="77777777" w:rsidTr="008A3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623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710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8A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FE4A28F" w14:textId="50C69389" w:rsidR="00B02EA1" w:rsidRPr="00B02EA1" w:rsidRDefault="007C05C3" w:rsidP="008F1709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7C05C3">
              <w:rPr>
                <w:rFonts w:ascii="Calibri" w:hAnsi="Calibri" w:cs="Calibri"/>
                <w:szCs w:val="18"/>
              </w:rPr>
              <w:t>Transparent</w:t>
            </w:r>
            <w:r w:rsidRPr="008A383D">
              <w:rPr>
                <w:rFonts w:ascii="Calibri" w:hAnsi="Calibri" w:cs="Calibri"/>
                <w:szCs w:val="18"/>
              </w:rPr>
              <w:t xml:space="preserve"> </w:t>
            </w:r>
            <w:r w:rsidRPr="007C05C3">
              <w:rPr>
                <w:rFonts w:ascii="Calibri" w:hAnsi="Calibri" w:cs="Calibri"/>
                <w:szCs w:val="18"/>
              </w:rPr>
              <w:t>b</w:t>
            </w:r>
            <w:r w:rsidR="00B02EA1" w:rsidRPr="00B02EA1">
              <w:rPr>
                <w:rFonts w:ascii="Calibri" w:hAnsi="Calibri" w:cs="Calibri"/>
                <w:szCs w:val="18"/>
              </w:rPr>
              <w:t>ill savings where consumption is shifted into the free period.</w:t>
            </w:r>
          </w:p>
          <w:p w14:paraId="1DC794A8" w14:textId="77777777" w:rsidR="00B02EA1" w:rsidRPr="00B02EA1" w:rsidRDefault="00B02EA1" w:rsidP="008F1709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02EA1">
              <w:rPr>
                <w:rFonts w:ascii="Calibri" w:hAnsi="Calibri" w:cs="Calibri"/>
                <w:szCs w:val="18"/>
              </w:rPr>
              <w:t>Opt-in structure reduces risk of inadvertent bill increases.</w:t>
            </w:r>
          </w:p>
          <w:p w14:paraId="25A03EFC" w14:textId="5037187E" w:rsidR="005C66F5" w:rsidRPr="00402E24" w:rsidRDefault="00B02EA1" w:rsidP="008A383D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B02EA1">
              <w:rPr>
                <w:rFonts w:ascii="Calibri" w:hAnsi="Calibri" w:cs="Calibri"/>
                <w:szCs w:val="18"/>
              </w:rPr>
              <w:t>Reduced structural inequity over time.</w:t>
            </w:r>
          </w:p>
        </w:tc>
        <w:tc>
          <w:tcPr>
            <w:tcW w:w="1623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72E8F048" w14:textId="67FD2262" w:rsidR="00A3286C" w:rsidRPr="00A3286C" w:rsidRDefault="00A3286C" w:rsidP="00A3286C">
            <w:pPr>
              <w:spacing w:after="0" w:line="240" w:lineRule="auto"/>
              <w:rPr>
                <w:rFonts w:ascii="Calibri" w:hAnsi="Calibri" w:cs="Calibri"/>
                <w:b/>
                <w:bCs/>
                <w:szCs w:val="18"/>
              </w:rPr>
            </w:pPr>
            <w:r w:rsidRPr="00A3286C">
              <w:rPr>
                <w:rFonts w:ascii="Calibri" w:hAnsi="Calibri" w:cs="Calibri"/>
                <w:b/>
                <w:bCs/>
                <w:szCs w:val="18"/>
              </w:rPr>
              <w:t>Electricity Retailers</w:t>
            </w:r>
          </w:p>
          <w:p w14:paraId="6D56FD5A" w14:textId="11B9995D" w:rsidR="00A3286C" w:rsidRPr="00A3286C" w:rsidRDefault="00D23191" w:rsidP="008F1709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Most retailers r</w:t>
            </w:r>
            <w:r w:rsidR="00A3286C" w:rsidRPr="00A3286C">
              <w:rPr>
                <w:rFonts w:ascii="Calibri" w:hAnsi="Calibri" w:cs="Calibri"/>
                <w:szCs w:val="18"/>
              </w:rPr>
              <w:t xml:space="preserve">equired to </w:t>
            </w:r>
            <w:r>
              <w:rPr>
                <w:rFonts w:ascii="Calibri" w:hAnsi="Calibri" w:cs="Calibri"/>
                <w:szCs w:val="18"/>
              </w:rPr>
              <w:t xml:space="preserve">offer a </w:t>
            </w:r>
            <w:r w:rsidR="00A3286C" w:rsidRPr="00A3286C">
              <w:rPr>
                <w:rFonts w:ascii="Calibri" w:hAnsi="Calibri" w:cs="Calibri"/>
                <w:szCs w:val="18"/>
              </w:rPr>
              <w:t>regulated SSO standing offer</w:t>
            </w:r>
          </w:p>
          <w:p w14:paraId="3D4267FF" w14:textId="7FDAD18D" w:rsidR="00A3286C" w:rsidRPr="00A3286C" w:rsidRDefault="003C03DE" w:rsidP="008F1709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S</w:t>
            </w:r>
            <w:r w:rsidR="00A3286C" w:rsidRPr="00A3286C">
              <w:rPr>
                <w:rFonts w:ascii="Calibri" w:hAnsi="Calibri" w:cs="Calibri"/>
                <w:szCs w:val="18"/>
              </w:rPr>
              <w:t>ystem and compliance costs.</w:t>
            </w:r>
          </w:p>
          <w:p w14:paraId="0F9D1B26" w14:textId="3C9D2032" w:rsidR="005C66F5" w:rsidRPr="00402E24" w:rsidRDefault="005C66F5" w:rsidP="008A383D">
            <w:pPr>
              <w:rPr>
                <w:b/>
              </w:rPr>
            </w:pPr>
          </w:p>
        </w:tc>
        <w:tc>
          <w:tcPr>
            <w:tcW w:w="1710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754CB69A" w14:textId="767E85B0" w:rsidR="00F160B5" w:rsidRPr="00F160B5" w:rsidRDefault="00F160B5" w:rsidP="008F1709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F160B5">
              <w:rPr>
                <w:rFonts w:ascii="Calibri" w:hAnsi="Calibri" w:cs="Calibri"/>
                <w:szCs w:val="18"/>
              </w:rPr>
              <w:t>Potential reduction in energy hardship pressures where participating households achieve savings.</w:t>
            </w:r>
          </w:p>
          <w:p w14:paraId="19272CDD" w14:textId="265F69CE" w:rsidR="005C66F5" w:rsidRPr="00F160B5" w:rsidRDefault="00F160B5" w:rsidP="008F1709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F160B5">
              <w:rPr>
                <w:rFonts w:ascii="Calibri" w:hAnsi="Calibri" w:cs="Calibri"/>
                <w:szCs w:val="18"/>
              </w:rPr>
              <w:t>Increased consumer engagement in energy transition initiatives.</w:t>
            </w:r>
          </w:p>
        </w:tc>
      </w:tr>
    </w:tbl>
    <w:p w14:paraId="25C3B3D9" w14:textId="4FEE6A92" w:rsidR="005C66F5" w:rsidRPr="005C66F5" w:rsidRDefault="005C66F5" w:rsidP="005C66F5">
      <w:pPr>
        <w:rPr>
          <w:sz w:val="2"/>
        </w:rPr>
      </w:pPr>
    </w:p>
    <w:p w14:paraId="03BE01CA" w14:textId="356AC9F8" w:rsidR="005C66F5" w:rsidRPr="00E2196D" w:rsidRDefault="005C66F5" w:rsidP="005C66F5">
      <w:pPr>
        <w:pStyle w:val="BOXHeading2"/>
        <w:ind w:firstLine="493"/>
        <w:rPr>
          <w:noProof/>
        </w:rPr>
      </w:pPr>
      <w:r>
        <w:rPr>
          <w:noProof/>
        </w:rPr>
        <w:t>Other</w:t>
      </w:r>
      <w:r w:rsidRPr="00E2196D">
        <w:rPr>
          <w:noProof/>
        </w:rPr>
        <w:t xml:space="preserve"> </w:t>
      </w:r>
      <w:r>
        <w:rPr>
          <w:noProof/>
        </w:rPr>
        <w:t>considerations and i</w:t>
      </w:r>
      <w:r w:rsidRPr="00534819">
        <w:rPr>
          <w:noProof/>
        </w:rPr>
        <w:t>mplementation</w:t>
      </w:r>
    </w:p>
    <w:p w14:paraId="6E3AB1A2" w14:textId="34D9285C" w:rsidR="00D25538" w:rsidRPr="00F772D8" w:rsidRDefault="00F772D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spacing w:after="0" w:line="240" w:lineRule="auto"/>
        <w:ind w:left="511" w:hanging="284"/>
        <w:rPr>
          <w:b/>
          <w:bCs/>
          <w:i/>
          <w:iCs/>
        </w:rPr>
      </w:pPr>
      <w:r w:rsidRPr="00F772D8">
        <w:rPr>
          <w:b/>
          <w:bCs/>
          <w:i/>
          <w:iCs/>
        </w:rPr>
        <w:t>Other policy options considered</w:t>
      </w:r>
    </w:p>
    <w:p w14:paraId="4B84DEE3" w14:textId="77777777" w:rsidR="00F772D8" w:rsidRDefault="00F772D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spacing w:after="0" w:line="240" w:lineRule="auto"/>
        <w:ind w:left="511" w:hanging="284"/>
        <w:rPr>
          <w:b/>
          <w:bCs/>
        </w:rPr>
      </w:pPr>
      <w:r w:rsidRPr="00F772D8">
        <w:rPr>
          <w:b/>
          <w:bCs/>
        </w:rPr>
        <w:t>Option A0 – Status quo (market-led approach</w:t>
      </w:r>
      <w:r>
        <w:rPr>
          <w:b/>
          <w:bCs/>
        </w:rPr>
        <w:t>)</w:t>
      </w:r>
    </w:p>
    <w:p w14:paraId="0AF92BFD" w14:textId="77777777" w:rsidR="00D25538" w:rsidRPr="008A383D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tabs>
          <w:tab w:val="left" w:pos="680"/>
        </w:tabs>
        <w:spacing w:after="0" w:line="240" w:lineRule="auto"/>
        <w:ind w:left="227"/>
      </w:pPr>
      <w:r w:rsidRPr="00D25538">
        <w:rPr>
          <w:b/>
          <w:bCs/>
        </w:rPr>
        <w:t>•</w:t>
      </w:r>
      <w:r w:rsidRPr="00D25538">
        <w:rPr>
          <w:b/>
          <w:bCs/>
        </w:rPr>
        <w:tab/>
      </w:r>
      <w:r w:rsidRPr="008A383D">
        <w:t>No additional regulatory burden.</w:t>
      </w:r>
    </w:p>
    <w:p w14:paraId="14194F1F" w14:textId="77777777" w:rsidR="00D25538" w:rsidRPr="008A383D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tabs>
          <w:tab w:val="left" w:pos="680"/>
        </w:tabs>
        <w:spacing w:after="0" w:line="240" w:lineRule="auto"/>
        <w:ind w:left="227"/>
      </w:pPr>
      <w:r w:rsidRPr="008A383D">
        <w:t>•</w:t>
      </w:r>
      <w:r w:rsidRPr="008A383D">
        <w:tab/>
        <w:t>Benefits remain uneven and concentrated among engaged or CER-enabled households.</w:t>
      </w:r>
    </w:p>
    <w:p w14:paraId="29FD134F" w14:textId="77777777" w:rsidR="00D25538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tabs>
          <w:tab w:val="left" w:pos="680"/>
        </w:tabs>
        <w:spacing w:after="0" w:line="240" w:lineRule="auto"/>
        <w:ind w:left="227"/>
      </w:pPr>
      <w:r w:rsidRPr="008A383D">
        <w:t>•</w:t>
      </w:r>
      <w:r w:rsidRPr="008A383D">
        <w:tab/>
        <w:t>Limited system-level demand shifting.</w:t>
      </w:r>
    </w:p>
    <w:p w14:paraId="72FCF376" w14:textId="6CDA7645" w:rsidR="00D25538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spacing w:after="0" w:line="240" w:lineRule="auto"/>
        <w:ind w:left="227"/>
        <w:rPr>
          <w:b/>
          <w:bCs/>
        </w:rPr>
      </w:pPr>
      <w:r w:rsidRPr="00D25538">
        <w:rPr>
          <w:b/>
          <w:bCs/>
        </w:rPr>
        <w:lastRenderedPageBreak/>
        <w:t>Option A2 – Voluntary industry code or guidance framework</w:t>
      </w:r>
    </w:p>
    <w:p w14:paraId="672EC502" w14:textId="6FC25126" w:rsidR="00D25538" w:rsidRPr="00A91399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tabs>
          <w:tab w:val="left" w:pos="680"/>
        </w:tabs>
        <w:spacing w:after="0" w:line="240" w:lineRule="auto"/>
        <w:ind w:left="227"/>
      </w:pPr>
      <w:r w:rsidRPr="00D25538">
        <w:rPr>
          <w:b/>
          <w:bCs/>
        </w:rPr>
        <w:t>•</w:t>
      </w:r>
      <w:r w:rsidRPr="00D25538">
        <w:rPr>
          <w:b/>
          <w:bCs/>
        </w:rPr>
        <w:tab/>
      </w:r>
      <w:r>
        <w:t>L</w:t>
      </w:r>
      <w:r w:rsidRPr="00F772D8">
        <w:t>ower regulatory burde</w:t>
      </w:r>
      <w:r>
        <w:t>n</w:t>
      </w:r>
      <w:r w:rsidRPr="00A91399">
        <w:t>.</w:t>
      </w:r>
    </w:p>
    <w:p w14:paraId="0848D11F" w14:textId="6465E005" w:rsidR="00D25538" w:rsidRPr="00A91399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tabs>
          <w:tab w:val="left" w:pos="680"/>
        </w:tabs>
        <w:spacing w:after="0" w:line="240" w:lineRule="auto"/>
        <w:ind w:left="227"/>
      </w:pPr>
      <w:r w:rsidRPr="00A91399">
        <w:t>•</w:t>
      </w:r>
      <w:r w:rsidRPr="00A91399">
        <w:tab/>
      </w:r>
      <w:r w:rsidRPr="00F772D8">
        <w:t>No guarantee of universal participation or consistent consumer access</w:t>
      </w:r>
      <w:r w:rsidRPr="00A91399">
        <w:t>.</w:t>
      </w:r>
    </w:p>
    <w:p w14:paraId="54B9E322" w14:textId="514546B0" w:rsidR="003231AF" w:rsidRDefault="00D25538" w:rsidP="008A383D">
      <w:pPr>
        <w:pStyle w:val="BOXBulletedList"/>
        <w:numPr>
          <w:ilvl w:val="0"/>
          <w:numId w:val="0"/>
        </w:numPr>
        <w:pBdr>
          <w:top w:val="single" w:sz="48" w:space="0" w:color="F2F2F2" w:themeColor="background1" w:themeShade="F2"/>
          <w:bottom w:val="single" w:sz="48" w:space="0" w:color="F2F2F2" w:themeColor="background1" w:themeShade="F2"/>
        </w:pBdr>
        <w:tabs>
          <w:tab w:val="left" w:pos="680"/>
        </w:tabs>
        <w:spacing w:after="0" w:line="240" w:lineRule="auto"/>
        <w:ind w:left="227"/>
        <w:rPr>
          <w:b/>
          <w:bCs/>
        </w:rPr>
      </w:pPr>
      <w:r w:rsidRPr="00A91399">
        <w:t>•</w:t>
      </w:r>
      <w:r w:rsidRPr="00A91399">
        <w:tab/>
      </w:r>
      <w:r w:rsidRPr="00F772D8">
        <w:t>Limited enforceability and uncertain scale of impact</w:t>
      </w:r>
      <w:r w:rsidRPr="00A91399">
        <w:t>.</w:t>
      </w:r>
      <w:r>
        <w:br/>
      </w:r>
      <w:r w:rsidRPr="008A383D">
        <w:t>Both alternatives were assessed as unlikely to deliver the scale, equity improvements and system alignment required to address the identified problem</w:t>
      </w:r>
      <w:r w:rsidRPr="00D25538">
        <w:rPr>
          <w:b/>
          <w:bCs/>
        </w:rPr>
        <w:t>.</w:t>
      </w:r>
    </w:p>
    <w:p w14:paraId="30DF4EEE" w14:textId="4245A497" w:rsidR="00D25538" w:rsidRPr="008A383D" w:rsidRDefault="00D25538" w:rsidP="008A383D">
      <w:pPr>
        <w:pStyle w:val="BOXBulletedList"/>
        <w:numPr>
          <w:ilvl w:val="0"/>
          <w:numId w:val="0"/>
        </w:numPr>
        <w:pBdr>
          <w:bottom w:val="single" w:sz="48" w:space="31" w:color="F2F2F2" w:themeColor="background1" w:themeShade="F2"/>
        </w:pBdr>
        <w:spacing w:after="0" w:line="240" w:lineRule="auto"/>
        <w:ind w:left="227"/>
        <w:rPr>
          <w:b/>
          <w:bCs/>
          <w:i/>
          <w:iCs/>
        </w:rPr>
      </w:pPr>
      <w:r w:rsidRPr="008A383D">
        <w:rPr>
          <w:b/>
          <w:bCs/>
          <w:i/>
          <w:iCs/>
        </w:rPr>
        <w:t xml:space="preserve">Implementation Approach </w:t>
      </w:r>
    </w:p>
    <w:p w14:paraId="48F6A10B" w14:textId="66BC02CB" w:rsidR="009B2743" w:rsidRDefault="009B2743" w:rsidP="00020A56">
      <w:pPr>
        <w:pStyle w:val="BOXBulletedList"/>
        <w:numPr>
          <w:ilvl w:val="0"/>
          <w:numId w:val="22"/>
        </w:numPr>
        <w:pBdr>
          <w:bottom w:val="single" w:sz="48" w:space="31" w:color="F2F2F2" w:themeColor="background1" w:themeShade="F2"/>
        </w:pBdr>
        <w:spacing w:after="0" w:line="240" w:lineRule="auto"/>
        <w:ind w:left="587"/>
      </w:pPr>
      <w:r>
        <w:t>The Electricity Retail Code will be amended to incorporate the SSO into the DMO framework.</w:t>
      </w:r>
      <w:r w:rsidR="0010125A" w:rsidRPr="0010125A">
        <w:t xml:space="preserve"> </w:t>
      </w:r>
    </w:p>
    <w:p w14:paraId="72AFA648" w14:textId="4F317696" w:rsidR="0010125A" w:rsidRDefault="009B2743" w:rsidP="008A383D">
      <w:pPr>
        <w:pStyle w:val="BOXBulletedList"/>
        <w:numPr>
          <w:ilvl w:val="0"/>
          <w:numId w:val="22"/>
        </w:numPr>
        <w:pBdr>
          <w:bottom w:val="single" w:sz="48" w:space="31" w:color="F2F2F2" w:themeColor="background1" w:themeShade="F2"/>
        </w:pBdr>
        <w:spacing w:after="0" w:line="240" w:lineRule="auto"/>
        <w:ind w:left="587"/>
      </w:pPr>
      <w:r>
        <w:t>The SSO will commence from</w:t>
      </w:r>
      <w:r w:rsidR="0010125A" w:rsidRPr="0010125A">
        <w:t xml:space="preserve"> 1 July 2026 in DMO jurisdictions</w:t>
      </w:r>
      <w:r>
        <w:t>, with the AER to include its next DMO determination.</w:t>
      </w:r>
    </w:p>
    <w:p w14:paraId="598A1EEE" w14:textId="6E2DBA44" w:rsidR="009B2743" w:rsidRDefault="009B2743" w:rsidP="009B2743">
      <w:pPr>
        <w:pStyle w:val="BOXBulletedList"/>
        <w:numPr>
          <w:ilvl w:val="0"/>
          <w:numId w:val="22"/>
        </w:numPr>
        <w:pBdr>
          <w:bottom w:val="single" w:sz="48" w:space="31" w:color="F2F2F2" w:themeColor="background1" w:themeShade="F2"/>
        </w:pBdr>
        <w:spacing w:after="0" w:line="240" w:lineRule="auto"/>
        <w:ind w:left="587"/>
      </w:pPr>
      <w:r w:rsidRPr="0010125A">
        <w:t>Opt-in participation for customers</w:t>
      </w:r>
      <w:r>
        <w:t xml:space="preserve"> and r</w:t>
      </w:r>
      <w:r w:rsidRPr="0010125A">
        <w:t>etailers with fewer than 1,000 customers</w:t>
      </w:r>
      <w:r>
        <w:t xml:space="preserve"> will be</w:t>
      </w:r>
      <w:r w:rsidRPr="0010125A">
        <w:t xml:space="preserve"> exempt</w:t>
      </w:r>
    </w:p>
    <w:p w14:paraId="7AE88579" w14:textId="694D6409" w:rsidR="00D25538" w:rsidRPr="0010125A" w:rsidRDefault="00D25538" w:rsidP="008A383D">
      <w:pPr>
        <w:pStyle w:val="BOXBulletedList"/>
        <w:numPr>
          <w:ilvl w:val="0"/>
          <w:numId w:val="22"/>
        </w:numPr>
        <w:pBdr>
          <w:bottom w:val="single" w:sz="48" w:space="31" w:color="F2F2F2" w:themeColor="background1" w:themeShade="F2"/>
        </w:pBdr>
        <w:spacing w:after="0"/>
        <w:ind w:left="587"/>
      </w:pPr>
      <w:r w:rsidRPr="0010125A">
        <w:t xml:space="preserve">Post-implementation review within two years </w:t>
      </w:r>
      <w:r w:rsidR="009B2743">
        <w:t>by DCCEEW.</w:t>
      </w:r>
    </w:p>
    <w:p w14:paraId="4E3F173D" w14:textId="54B39D2F" w:rsidR="005C66F5" w:rsidRPr="000770FA" w:rsidRDefault="005C66F5" w:rsidP="008A383D">
      <w:pPr>
        <w:tabs>
          <w:tab w:val="left" w:pos="4032"/>
        </w:tabs>
      </w:pPr>
    </w:p>
    <w:sectPr w:rsidR="005C66F5" w:rsidRPr="000770FA" w:rsidSect="008A3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D6D9" w14:textId="77777777" w:rsidR="00896DCB" w:rsidRDefault="00896DCB" w:rsidP="00F957C6">
      <w:pPr>
        <w:spacing w:after="0" w:line="240" w:lineRule="auto"/>
      </w:pPr>
      <w:r>
        <w:separator/>
      </w:r>
    </w:p>
  </w:endnote>
  <w:endnote w:type="continuationSeparator" w:id="0">
    <w:p w14:paraId="422AF4F4" w14:textId="77777777" w:rsidR="00896DCB" w:rsidRDefault="00896DCB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9318" w14:textId="4474122E" w:rsidR="008C6225" w:rsidRDefault="008C62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3EA52F7" wp14:editId="38D30E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5544592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55A8B" w14:textId="6F3F3519" w:rsidR="008C6225" w:rsidRPr="008C6225" w:rsidRDefault="008C6225" w:rsidP="008C62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622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A52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" filled="f" stroked="f">
              <v:textbox style="mso-fit-shape-to-text:t" inset="0,0,0,15pt">
                <w:txbxContent>
                  <w:p w14:paraId="15155A8B" w14:textId="6F3F3519" w:rsidR="008C6225" w:rsidRPr="008C6225" w:rsidRDefault="008C6225" w:rsidP="008C62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622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1" w14:textId="229658E7" w:rsidR="00D10635" w:rsidRPr="00F86700" w:rsidRDefault="00D10635" w:rsidP="00F86700">
    <w:pPr>
      <w:pStyle w:val="CLASSIFICATION"/>
    </w:pPr>
  </w:p>
  <w:p w14:paraId="3CE512B2" w14:textId="34CF5B07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9D5EF3">
      <w:rPr>
        <w:color w:val="6E6E6E"/>
        <w:sz w:val="18"/>
        <w:szCs w:val="18"/>
      </w:rPr>
      <w:t>Options to provide Solar Sharer Offer (SSO)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6CFC93CE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9D5EF3">
      <w:rPr>
        <w:color w:val="6E6E6E"/>
        <w:sz w:val="18"/>
        <w:szCs w:val="18"/>
      </w:rPr>
      <w:t>Options to provide Solar Sharer Offer (SSO)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F46DB7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849B" w14:textId="77777777" w:rsidR="00896DCB" w:rsidRDefault="00896DCB" w:rsidP="00F957C6">
      <w:pPr>
        <w:spacing w:after="0" w:line="240" w:lineRule="auto"/>
      </w:pPr>
      <w:r>
        <w:separator/>
      </w:r>
    </w:p>
  </w:footnote>
  <w:footnote w:type="continuationSeparator" w:id="0">
    <w:p w14:paraId="796DE9EC" w14:textId="77777777" w:rsidR="00896DCB" w:rsidRDefault="00896DCB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88AA" w14:textId="390D8EFE" w:rsidR="008C6225" w:rsidRDefault="008C62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337A6B" wp14:editId="1557F1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1638281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494C2" w14:textId="2D4BA155" w:rsidR="008C6225" w:rsidRPr="008C6225" w:rsidRDefault="008C6225" w:rsidP="008C62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C622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37A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 filled="f" stroked="f">
              <v:textbox style="mso-fit-shape-to-text:t" inset="0,15pt,0,0">
                <w:txbxContent>
                  <w:p w14:paraId="448494C2" w14:textId="2D4BA155" w:rsidR="008C6225" w:rsidRPr="008C6225" w:rsidRDefault="008C6225" w:rsidP="008C62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C622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AF" w14:textId="07EFDF7D" w:rsidR="00037513" w:rsidRPr="00D10635" w:rsidRDefault="008C6225" w:rsidP="00464D89">
    <w:pPr>
      <w:pStyle w:val="Header"/>
      <w:jc w:val="center"/>
    </w:pPr>
    <w:r>
      <w:rPr>
        <w:rFonts w:ascii="Segoe UI" w:hAnsi="Segoe UI"/>
        <w:caps/>
        <w:noProof/>
        <w:color w:val="C00000"/>
        <w:sz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46C526" wp14:editId="6579F4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4748705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79810" w14:textId="71D81158" w:rsidR="008C6225" w:rsidRPr="008C6225" w:rsidRDefault="008C6225" w:rsidP="008C62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6C5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" filled="f" stroked="f">
              <v:textbox style="mso-fit-shape-to-text:t" inset="0,15pt,0,0">
                <w:txbxContent>
                  <w:p w14:paraId="13679810" w14:textId="71D81158" w:rsidR="008C6225" w:rsidRPr="008C6225" w:rsidRDefault="008C6225" w:rsidP="008C62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0A026187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2BDDF14E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C0B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008B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25F6"/>
    <w:multiLevelType w:val="hybridMultilevel"/>
    <w:tmpl w:val="FB348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B14BB9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B49DE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6C53208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464B7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81E24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FA7DBC"/>
    <w:multiLevelType w:val="hybridMultilevel"/>
    <w:tmpl w:val="5F7A5A2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2EE42691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F3856"/>
    <w:multiLevelType w:val="hybridMultilevel"/>
    <w:tmpl w:val="DD1E45B4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3041712"/>
    <w:multiLevelType w:val="multilevel"/>
    <w:tmpl w:val="7EEC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700992"/>
    <w:multiLevelType w:val="hybridMultilevel"/>
    <w:tmpl w:val="925671B2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1" w15:restartNumberingAfterBreak="0">
    <w:nsid w:val="5AD26F8E"/>
    <w:multiLevelType w:val="hybridMultilevel"/>
    <w:tmpl w:val="BDEC96C2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0BD7"/>
    <w:multiLevelType w:val="hybridMultilevel"/>
    <w:tmpl w:val="ADCE4C8C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707292904">
    <w:abstractNumId w:val="3"/>
  </w:num>
  <w:num w:numId="2" w16cid:durableId="716971524">
    <w:abstractNumId w:val="2"/>
  </w:num>
  <w:num w:numId="3" w16cid:durableId="1053888820">
    <w:abstractNumId w:val="22"/>
  </w:num>
  <w:num w:numId="4" w16cid:durableId="1962807999">
    <w:abstractNumId w:val="15"/>
  </w:num>
  <w:num w:numId="5" w16cid:durableId="661811460">
    <w:abstractNumId w:val="23"/>
  </w:num>
  <w:num w:numId="6" w16cid:durableId="1739204189">
    <w:abstractNumId w:val="11"/>
  </w:num>
  <w:num w:numId="7" w16cid:durableId="1520242111">
    <w:abstractNumId w:val="18"/>
  </w:num>
  <w:num w:numId="8" w16cid:durableId="429593293">
    <w:abstractNumId w:val="8"/>
  </w:num>
  <w:num w:numId="9" w16cid:durableId="918366322">
    <w:abstractNumId w:val="13"/>
  </w:num>
  <w:num w:numId="10" w16cid:durableId="1658921573">
    <w:abstractNumId w:val="5"/>
  </w:num>
  <w:num w:numId="11" w16cid:durableId="839320365">
    <w:abstractNumId w:val="16"/>
  </w:num>
  <w:num w:numId="12" w16cid:durableId="1189948328">
    <w:abstractNumId w:val="19"/>
  </w:num>
  <w:num w:numId="13" w16cid:durableId="571433527">
    <w:abstractNumId w:val="9"/>
  </w:num>
  <w:num w:numId="14" w16cid:durableId="478036754">
    <w:abstractNumId w:val="7"/>
  </w:num>
  <w:num w:numId="15" w16cid:durableId="207644313">
    <w:abstractNumId w:val="10"/>
  </w:num>
  <w:num w:numId="16" w16cid:durableId="1013605362">
    <w:abstractNumId w:val="6"/>
  </w:num>
  <w:num w:numId="17" w16cid:durableId="318509964">
    <w:abstractNumId w:val="1"/>
  </w:num>
  <w:num w:numId="18" w16cid:durableId="73211722">
    <w:abstractNumId w:val="12"/>
  </w:num>
  <w:num w:numId="19" w16cid:durableId="1741058276">
    <w:abstractNumId w:val="0"/>
  </w:num>
  <w:num w:numId="20" w16cid:durableId="1174034345">
    <w:abstractNumId w:val="17"/>
  </w:num>
  <w:num w:numId="21" w16cid:durableId="1173760785">
    <w:abstractNumId w:val="20"/>
  </w:num>
  <w:num w:numId="22" w16cid:durableId="1450734440">
    <w:abstractNumId w:val="14"/>
  </w:num>
  <w:num w:numId="23" w16cid:durableId="1185748982">
    <w:abstractNumId w:val="21"/>
  </w:num>
  <w:num w:numId="24" w16cid:durableId="50538174">
    <w:abstractNumId w:val="24"/>
  </w:num>
  <w:num w:numId="25" w16cid:durableId="32246868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3AF2"/>
    <w:rsid w:val="000202CF"/>
    <w:rsid w:val="00020A56"/>
    <w:rsid w:val="00023115"/>
    <w:rsid w:val="00027038"/>
    <w:rsid w:val="00030B92"/>
    <w:rsid w:val="0003154E"/>
    <w:rsid w:val="00032139"/>
    <w:rsid w:val="0003330D"/>
    <w:rsid w:val="00035FB2"/>
    <w:rsid w:val="00037513"/>
    <w:rsid w:val="00046E9B"/>
    <w:rsid w:val="00062865"/>
    <w:rsid w:val="0006501B"/>
    <w:rsid w:val="0006627F"/>
    <w:rsid w:val="0006639F"/>
    <w:rsid w:val="000668BB"/>
    <w:rsid w:val="00071F8F"/>
    <w:rsid w:val="000770FA"/>
    <w:rsid w:val="00080B17"/>
    <w:rsid w:val="00086F28"/>
    <w:rsid w:val="000967C2"/>
    <w:rsid w:val="000B3417"/>
    <w:rsid w:val="000B6A28"/>
    <w:rsid w:val="000C2A4D"/>
    <w:rsid w:val="000C6F5E"/>
    <w:rsid w:val="000D749D"/>
    <w:rsid w:val="000E2473"/>
    <w:rsid w:val="000E7D31"/>
    <w:rsid w:val="00100B61"/>
    <w:rsid w:val="0010125A"/>
    <w:rsid w:val="00114923"/>
    <w:rsid w:val="00115264"/>
    <w:rsid w:val="00117A77"/>
    <w:rsid w:val="00125770"/>
    <w:rsid w:val="001266A3"/>
    <w:rsid w:val="00132068"/>
    <w:rsid w:val="001320AA"/>
    <w:rsid w:val="00132887"/>
    <w:rsid w:val="001420AF"/>
    <w:rsid w:val="00147E4C"/>
    <w:rsid w:val="00152412"/>
    <w:rsid w:val="001611BF"/>
    <w:rsid w:val="00167934"/>
    <w:rsid w:val="0017436A"/>
    <w:rsid w:val="00174FF5"/>
    <w:rsid w:val="00175841"/>
    <w:rsid w:val="00175C86"/>
    <w:rsid w:val="001778D0"/>
    <w:rsid w:val="00185713"/>
    <w:rsid w:val="00191446"/>
    <w:rsid w:val="00195016"/>
    <w:rsid w:val="001954B4"/>
    <w:rsid w:val="00195A1F"/>
    <w:rsid w:val="001B2134"/>
    <w:rsid w:val="001B2354"/>
    <w:rsid w:val="001B2D56"/>
    <w:rsid w:val="001C5831"/>
    <w:rsid w:val="001D16C5"/>
    <w:rsid w:val="001F6E20"/>
    <w:rsid w:val="002002ED"/>
    <w:rsid w:val="00202E07"/>
    <w:rsid w:val="00212443"/>
    <w:rsid w:val="00213DB1"/>
    <w:rsid w:val="00215C53"/>
    <w:rsid w:val="00220DDA"/>
    <w:rsid w:val="002250E2"/>
    <w:rsid w:val="00225719"/>
    <w:rsid w:val="0022668B"/>
    <w:rsid w:val="00227DB5"/>
    <w:rsid w:val="002336DD"/>
    <w:rsid w:val="00233732"/>
    <w:rsid w:val="00247A83"/>
    <w:rsid w:val="0025184D"/>
    <w:rsid w:val="002519F6"/>
    <w:rsid w:val="00255046"/>
    <w:rsid w:val="00263614"/>
    <w:rsid w:val="00266CCC"/>
    <w:rsid w:val="00274D42"/>
    <w:rsid w:val="002751EE"/>
    <w:rsid w:val="0027663E"/>
    <w:rsid w:val="00285CAF"/>
    <w:rsid w:val="002A137E"/>
    <w:rsid w:val="002A1F4D"/>
    <w:rsid w:val="002A2727"/>
    <w:rsid w:val="002A6B53"/>
    <w:rsid w:val="002B22E9"/>
    <w:rsid w:val="002B4565"/>
    <w:rsid w:val="002B53AF"/>
    <w:rsid w:val="002B661A"/>
    <w:rsid w:val="002C7A05"/>
    <w:rsid w:val="002D07C4"/>
    <w:rsid w:val="002D37AE"/>
    <w:rsid w:val="002D6B3D"/>
    <w:rsid w:val="002E5916"/>
    <w:rsid w:val="002E61BD"/>
    <w:rsid w:val="002F307E"/>
    <w:rsid w:val="002F382A"/>
    <w:rsid w:val="002F4BEE"/>
    <w:rsid w:val="002F54D6"/>
    <w:rsid w:val="002F58BF"/>
    <w:rsid w:val="002F5BB3"/>
    <w:rsid w:val="00300D4B"/>
    <w:rsid w:val="00303C55"/>
    <w:rsid w:val="00304D47"/>
    <w:rsid w:val="00311C2D"/>
    <w:rsid w:val="00316AF7"/>
    <w:rsid w:val="00317030"/>
    <w:rsid w:val="003231AF"/>
    <w:rsid w:val="00330A33"/>
    <w:rsid w:val="00346272"/>
    <w:rsid w:val="00346D39"/>
    <w:rsid w:val="00347382"/>
    <w:rsid w:val="00353E5E"/>
    <w:rsid w:val="0036009B"/>
    <w:rsid w:val="00361020"/>
    <w:rsid w:val="003624A8"/>
    <w:rsid w:val="00374D2A"/>
    <w:rsid w:val="00376FE6"/>
    <w:rsid w:val="00385BD5"/>
    <w:rsid w:val="003929F1"/>
    <w:rsid w:val="0039551A"/>
    <w:rsid w:val="00397D1D"/>
    <w:rsid w:val="003A54A7"/>
    <w:rsid w:val="003A63B7"/>
    <w:rsid w:val="003B05DC"/>
    <w:rsid w:val="003C03DE"/>
    <w:rsid w:val="003C0FDB"/>
    <w:rsid w:val="003C181D"/>
    <w:rsid w:val="003C1C2C"/>
    <w:rsid w:val="003C1F2E"/>
    <w:rsid w:val="003C3797"/>
    <w:rsid w:val="003D51B5"/>
    <w:rsid w:val="003D676D"/>
    <w:rsid w:val="003E10B5"/>
    <w:rsid w:val="003F23E9"/>
    <w:rsid w:val="003F46FE"/>
    <w:rsid w:val="003F5754"/>
    <w:rsid w:val="00402E24"/>
    <w:rsid w:val="004073E7"/>
    <w:rsid w:val="004104EC"/>
    <w:rsid w:val="00413312"/>
    <w:rsid w:val="0044397A"/>
    <w:rsid w:val="00443F97"/>
    <w:rsid w:val="00454582"/>
    <w:rsid w:val="00464D89"/>
    <w:rsid w:val="004718C2"/>
    <w:rsid w:val="00472216"/>
    <w:rsid w:val="00476A0E"/>
    <w:rsid w:val="00490B90"/>
    <w:rsid w:val="00490E25"/>
    <w:rsid w:val="004A18E2"/>
    <w:rsid w:val="004B088C"/>
    <w:rsid w:val="004B2C90"/>
    <w:rsid w:val="004C17DE"/>
    <w:rsid w:val="004C58F3"/>
    <w:rsid w:val="004C62B8"/>
    <w:rsid w:val="004D2BF9"/>
    <w:rsid w:val="004D34A7"/>
    <w:rsid w:val="004D430F"/>
    <w:rsid w:val="004F4C4F"/>
    <w:rsid w:val="004F6CF1"/>
    <w:rsid w:val="00500883"/>
    <w:rsid w:val="00501E40"/>
    <w:rsid w:val="00515E82"/>
    <w:rsid w:val="00516260"/>
    <w:rsid w:val="005226B9"/>
    <w:rsid w:val="00522D9C"/>
    <w:rsid w:val="005272E6"/>
    <w:rsid w:val="0052777A"/>
    <w:rsid w:val="00527EBB"/>
    <w:rsid w:val="00532518"/>
    <w:rsid w:val="00534819"/>
    <w:rsid w:val="00540E3A"/>
    <w:rsid w:val="005505E3"/>
    <w:rsid w:val="00551028"/>
    <w:rsid w:val="00551CB9"/>
    <w:rsid w:val="005560AA"/>
    <w:rsid w:val="0055713D"/>
    <w:rsid w:val="0056092F"/>
    <w:rsid w:val="00561FB9"/>
    <w:rsid w:val="00564E60"/>
    <w:rsid w:val="00566245"/>
    <w:rsid w:val="005803D7"/>
    <w:rsid w:val="00581A03"/>
    <w:rsid w:val="00582722"/>
    <w:rsid w:val="00583FC6"/>
    <w:rsid w:val="005900E8"/>
    <w:rsid w:val="00591288"/>
    <w:rsid w:val="005917FD"/>
    <w:rsid w:val="00593E1A"/>
    <w:rsid w:val="005A1176"/>
    <w:rsid w:val="005A3632"/>
    <w:rsid w:val="005A4AA1"/>
    <w:rsid w:val="005B1D9D"/>
    <w:rsid w:val="005B3358"/>
    <w:rsid w:val="005B4B7C"/>
    <w:rsid w:val="005B4EEA"/>
    <w:rsid w:val="005C0F15"/>
    <w:rsid w:val="005C3C13"/>
    <w:rsid w:val="005C5269"/>
    <w:rsid w:val="005C66F5"/>
    <w:rsid w:val="005C7EA4"/>
    <w:rsid w:val="005D4706"/>
    <w:rsid w:val="005E0DC7"/>
    <w:rsid w:val="005E3E7B"/>
    <w:rsid w:val="005E6E22"/>
    <w:rsid w:val="005F0B9B"/>
    <w:rsid w:val="00610C0F"/>
    <w:rsid w:val="006147EB"/>
    <w:rsid w:val="00614986"/>
    <w:rsid w:val="006200EB"/>
    <w:rsid w:val="00621EA3"/>
    <w:rsid w:val="00632123"/>
    <w:rsid w:val="006324E0"/>
    <w:rsid w:val="00633963"/>
    <w:rsid w:val="00634022"/>
    <w:rsid w:val="00640234"/>
    <w:rsid w:val="00641864"/>
    <w:rsid w:val="0064272E"/>
    <w:rsid w:val="0064343A"/>
    <w:rsid w:val="0065524E"/>
    <w:rsid w:val="00665FB6"/>
    <w:rsid w:val="00667B5E"/>
    <w:rsid w:val="006740BB"/>
    <w:rsid w:val="00681289"/>
    <w:rsid w:val="0068720C"/>
    <w:rsid w:val="006949AF"/>
    <w:rsid w:val="00697138"/>
    <w:rsid w:val="006A008F"/>
    <w:rsid w:val="006A102D"/>
    <w:rsid w:val="006A1FA4"/>
    <w:rsid w:val="006A2ABA"/>
    <w:rsid w:val="006A2BCA"/>
    <w:rsid w:val="006A5AA6"/>
    <w:rsid w:val="006B349C"/>
    <w:rsid w:val="006B6A5B"/>
    <w:rsid w:val="006D2E1A"/>
    <w:rsid w:val="006D71DA"/>
    <w:rsid w:val="006E170D"/>
    <w:rsid w:val="006E698B"/>
    <w:rsid w:val="006F25A1"/>
    <w:rsid w:val="00700CD7"/>
    <w:rsid w:val="00710E6C"/>
    <w:rsid w:val="0071548B"/>
    <w:rsid w:val="00715A4A"/>
    <w:rsid w:val="007203E4"/>
    <w:rsid w:val="007204A9"/>
    <w:rsid w:val="00722C28"/>
    <w:rsid w:val="0072375B"/>
    <w:rsid w:val="0072538D"/>
    <w:rsid w:val="0073310C"/>
    <w:rsid w:val="00736008"/>
    <w:rsid w:val="00740E77"/>
    <w:rsid w:val="0074761E"/>
    <w:rsid w:val="0075249A"/>
    <w:rsid w:val="00756929"/>
    <w:rsid w:val="00761609"/>
    <w:rsid w:val="0076577C"/>
    <w:rsid w:val="00765846"/>
    <w:rsid w:val="00767DBB"/>
    <w:rsid w:val="00771DC8"/>
    <w:rsid w:val="00774646"/>
    <w:rsid w:val="00780840"/>
    <w:rsid w:val="007812AF"/>
    <w:rsid w:val="00781695"/>
    <w:rsid w:val="00783EC4"/>
    <w:rsid w:val="00784FF6"/>
    <w:rsid w:val="007851BE"/>
    <w:rsid w:val="007A02A7"/>
    <w:rsid w:val="007A038F"/>
    <w:rsid w:val="007A3AD4"/>
    <w:rsid w:val="007B1434"/>
    <w:rsid w:val="007C05C3"/>
    <w:rsid w:val="007C0935"/>
    <w:rsid w:val="007D3524"/>
    <w:rsid w:val="007E1C98"/>
    <w:rsid w:val="007E596E"/>
    <w:rsid w:val="007E74EE"/>
    <w:rsid w:val="007F4E93"/>
    <w:rsid w:val="007F6CC4"/>
    <w:rsid w:val="00801786"/>
    <w:rsid w:val="008046D4"/>
    <w:rsid w:val="0080474E"/>
    <w:rsid w:val="008054C0"/>
    <w:rsid w:val="008059CB"/>
    <w:rsid w:val="00812EB8"/>
    <w:rsid w:val="008173BC"/>
    <w:rsid w:val="008204E7"/>
    <w:rsid w:val="008250D8"/>
    <w:rsid w:val="00833792"/>
    <w:rsid w:val="00835B4D"/>
    <w:rsid w:val="00837A21"/>
    <w:rsid w:val="00844C3A"/>
    <w:rsid w:val="0084772A"/>
    <w:rsid w:val="00852F35"/>
    <w:rsid w:val="00853E55"/>
    <w:rsid w:val="00857363"/>
    <w:rsid w:val="0086394C"/>
    <w:rsid w:val="008729A4"/>
    <w:rsid w:val="00874998"/>
    <w:rsid w:val="00876109"/>
    <w:rsid w:val="00877ED7"/>
    <w:rsid w:val="00880485"/>
    <w:rsid w:val="00881AAB"/>
    <w:rsid w:val="00883248"/>
    <w:rsid w:val="00892409"/>
    <w:rsid w:val="008957DD"/>
    <w:rsid w:val="00896DCB"/>
    <w:rsid w:val="008A0614"/>
    <w:rsid w:val="008A1DBF"/>
    <w:rsid w:val="008A383D"/>
    <w:rsid w:val="008B44F5"/>
    <w:rsid w:val="008C0558"/>
    <w:rsid w:val="008C47A1"/>
    <w:rsid w:val="008C6225"/>
    <w:rsid w:val="008C738F"/>
    <w:rsid w:val="008D34BB"/>
    <w:rsid w:val="008D6B9E"/>
    <w:rsid w:val="008E1024"/>
    <w:rsid w:val="008E3C01"/>
    <w:rsid w:val="008F1709"/>
    <w:rsid w:val="008F2BB2"/>
    <w:rsid w:val="008F491B"/>
    <w:rsid w:val="009111F2"/>
    <w:rsid w:val="00913ED0"/>
    <w:rsid w:val="009158A6"/>
    <w:rsid w:val="00927650"/>
    <w:rsid w:val="0093222B"/>
    <w:rsid w:val="009429FD"/>
    <w:rsid w:val="00942CB6"/>
    <w:rsid w:val="00942CE9"/>
    <w:rsid w:val="009508D4"/>
    <w:rsid w:val="00954FF2"/>
    <w:rsid w:val="00960E7F"/>
    <w:rsid w:val="009615D2"/>
    <w:rsid w:val="00962EE8"/>
    <w:rsid w:val="00973580"/>
    <w:rsid w:val="00976EE9"/>
    <w:rsid w:val="00977F31"/>
    <w:rsid w:val="009821BE"/>
    <w:rsid w:val="0098267F"/>
    <w:rsid w:val="00984376"/>
    <w:rsid w:val="009A350B"/>
    <w:rsid w:val="009A6D9C"/>
    <w:rsid w:val="009B2743"/>
    <w:rsid w:val="009C14AA"/>
    <w:rsid w:val="009C60F6"/>
    <w:rsid w:val="009D2942"/>
    <w:rsid w:val="009D5EF3"/>
    <w:rsid w:val="009D6678"/>
    <w:rsid w:val="009D6C55"/>
    <w:rsid w:val="009D7D83"/>
    <w:rsid w:val="009E350A"/>
    <w:rsid w:val="009F0889"/>
    <w:rsid w:val="009F16DE"/>
    <w:rsid w:val="009F62F4"/>
    <w:rsid w:val="009F6A0F"/>
    <w:rsid w:val="00A008E6"/>
    <w:rsid w:val="00A04634"/>
    <w:rsid w:val="00A06DF8"/>
    <w:rsid w:val="00A12C83"/>
    <w:rsid w:val="00A12F96"/>
    <w:rsid w:val="00A14247"/>
    <w:rsid w:val="00A17817"/>
    <w:rsid w:val="00A26969"/>
    <w:rsid w:val="00A3286C"/>
    <w:rsid w:val="00A42517"/>
    <w:rsid w:val="00A46A7E"/>
    <w:rsid w:val="00A501BA"/>
    <w:rsid w:val="00A536B1"/>
    <w:rsid w:val="00A57585"/>
    <w:rsid w:val="00A57FF6"/>
    <w:rsid w:val="00A62EF3"/>
    <w:rsid w:val="00A704F3"/>
    <w:rsid w:val="00A74BE6"/>
    <w:rsid w:val="00A8065B"/>
    <w:rsid w:val="00A81AA5"/>
    <w:rsid w:val="00A82A58"/>
    <w:rsid w:val="00A8491B"/>
    <w:rsid w:val="00A86D5A"/>
    <w:rsid w:val="00A918A7"/>
    <w:rsid w:val="00A9294D"/>
    <w:rsid w:val="00A961AE"/>
    <w:rsid w:val="00AA1B2A"/>
    <w:rsid w:val="00AA1C38"/>
    <w:rsid w:val="00AA705F"/>
    <w:rsid w:val="00AB7B8A"/>
    <w:rsid w:val="00AC0800"/>
    <w:rsid w:val="00AC2CDC"/>
    <w:rsid w:val="00AD358D"/>
    <w:rsid w:val="00AD7805"/>
    <w:rsid w:val="00AE2B22"/>
    <w:rsid w:val="00B02EA1"/>
    <w:rsid w:val="00B05108"/>
    <w:rsid w:val="00B156F4"/>
    <w:rsid w:val="00B23B3E"/>
    <w:rsid w:val="00B37675"/>
    <w:rsid w:val="00B4676B"/>
    <w:rsid w:val="00B50D5D"/>
    <w:rsid w:val="00B53FC3"/>
    <w:rsid w:val="00B54AAB"/>
    <w:rsid w:val="00B55DFE"/>
    <w:rsid w:val="00B561D3"/>
    <w:rsid w:val="00B56736"/>
    <w:rsid w:val="00B63146"/>
    <w:rsid w:val="00B6596F"/>
    <w:rsid w:val="00B73343"/>
    <w:rsid w:val="00B75AD9"/>
    <w:rsid w:val="00B81D3E"/>
    <w:rsid w:val="00B879C4"/>
    <w:rsid w:val="00B92E61"/>
    <w:rsid w:val="00B93E56"/>
    <w:rsid w:val="00B94024"/>
    <w:rsid w:val="00B97D3A"/>
    <w:rsid w:val="00BA1E5A"/>
    <w:rsid w:val="00BA7071"/>
    <w:rsid w:val="00BB1526"/>
    <w:rsid w:val="00BC0347"/>
    <w:rsid w:val="00BC75F1"/>
    <w:rsid w:val="00BC75F3"/>
    <w:rsid w:val="00BD171D"/>
    <w:rsid w:val="00BD207A"/>
    <w:rsid w:val="00BD3FF3"/>
    <w:rsid w:val="00BD57F5"/>
    <w:rsid w:val="00BD6A53"/>
    <w:rsid w:val="00BE081D"/>
    <w:rsid w:val="00BE0F4D"/>
    <w:rsid w:val="00BE1EFB"/>
    <w:rsid w:val="00BE48A4"/>
    <w:rsid w:val="00BE56F0"/>
    <w:rsid w:val="00C034D3"/>
    <w:rsid w:val="00C03CD2"/>
    <w:rsid w:val="00C1127E"/>
    <w:rsid w:val="00C12D35"/>
    <w:rsid w:val="00C13310"/>
    <w:rsid w:val="00C139DC"/>
    <w:rsid w:val="00C17F81"/>
    <w:rsid w:val="00C210B1"/>
    <w:rsid w:val="00C26AF7"/>
    <w:rsid w:val="00C32E9F"/>
    <w:rsid w:val="00C47620"/>
    <w:rsid w:val="00C70947"/>
    <w:rsid w:val="00C909FF"/>
    <w:rsid w:val="00CC42EA"/>
    <w:rsid w:val="00CC6110"/>
    <w:rsid w:val="00CD0193"/>
    <w:rsid w:val="00CE3152"/>
    <w:rsid w:val="00CF4803"/>
    <w:rsid w:val="00CF55DD"/>
    <w:rsid w:val="00CF6A03"/>
    <w:rsid w:val="00D03799"/>
    <w:rsid w:val="00D04E61"/>
    <w:rsid w:val="00D10635"/>
    <w:rsid w:val="00D11157"/>
    <w:rsid w:val="00D13291"/>
    <w:rsid w:val="00D13C0A"/>
    <w:rsid w:val="00D21F56"/>
    <w:rsid w:val="00D23191"/>
    <w:rsid w:val="00D25538"/>
    <w:rsid w:val="00D346E5"/>
    <w:rsid w:val="00D44671"/>
    <w:rsid w:val="00D500C1"/>
    <w:rsid w:val="00D51015"/>
    <w:rsid w:val="00D525B8"/>
    <w:rsid w:val="00D75A12"/>
    <w:rsid w:val="00D77BDE"/>
    <w:rsid w:val="00D8019E"/>
    <w:rsid w:val="00D859BB"/>
    <w:rsid w:val="00D85DDB"/>
    <w:rsid w:val="00D873B6"/>
    <w:rsid w:val="00D91ECC"/>
    <w:rsid w:val="00D9417E"/>
    <w:rsid w:val="00DA044D"/>
    <w:rsid w:val="00DA18A2"/>
    <w:rsid w:val="00DA7308"/>
    <w:rsid w:val="00DB61AC"/>
    <w:rsid w:val="00DC136F"/>
    <w:rsid w:val="00DC52BB"/>
    <w:rsid w:val="00DD4313"/>
    <w:rsid w:val="00DF06E5"/>
    <w:rsid w:val="00DF2F8D"/>
    <w:rsid w:val="00DF33CE"/>
    <w:rsid w:val="00DF3A9C"/>
    <w:rsid w:val="00DF5EBB"/>
    <w:rsid w:val="00E05FA4"/>
    <w:rsid w:val="00E12AB4"/>
    <w:rsid w:val="00E13082"/>
    <w:rsid w:val="00E14417"/>
    <w:rsid w:val="00E155C1"/>
    <w:rsid w:val="00E2196D"/>
    <w:rsid w:val="00E224F4"/>
    <w:rsid w:val="00E23AF6"/>
    <w:rsid w:val="00E2753F"/>
    <w:rsid w:val="00E27786"/>
    <w:rsid w:val="00E27CA0"/>
    <w:rsid w:val="00E43127"/>
    <w:rsid w:val="00E63FC4"/>
    <w:rsid w:val="00E73F03"/>
    <w:rsid w:val="00E749F5"/>
    <w:rsid w:val="00E84F06"/>
    <w:rsid w:val="00E86296"/>
    <w:rsid w:val="00E92449"/>
    <w:rsid w:val="00E92551"/>
    <w:rsid w:val="00E961A7"/>
    <w:rsid w:val="00EB6AA9"/>
    <w:rsid w:val="00EC4A85"/>
    <w:rsid w:val="00EC68BE"/>
    <w:rsid w:val="00ED0697"/>
    <w:rsid w:val="00EE2F92"/>
    <w:rsid w:val="00EE373B"/>
    <w:rsid w:val="00EF0B83"/>
    <w:rsid w:val="00F03073"/>
    <w:rsid w:val="00F049AA"/>
    <w:rsid w:val="00F06F70"/>
    <w:rsid w:val="00F07E58"/>
    <w:rsid w:val="00F105D1"/>
    <w:rsid w:val="00F135EF"/>
    <w:rsid w:val="00F160B5"/>
    <w:rsid w:val="00F253C7"/>
    <w:rsid w:val="00F262A6"/>
    <w:rsid w:val="00F46DB7"/>
    <w:rsid w:val="00F620FD"/>
    <w:rsid w:val="00F64736"/>
    <w:rsid w:val="00F66078"/>
    <w:rsid w:val="00F736AF"/>
    <w:rsid w:val="00F7587D"/>
    <w:rsid w:val="00F772D8"/>
    <w:rsid w:val="00F83A8A"/>
    <w:rsid w:val="00F843E3"/>
    <w:rsid w:val="00F86086"/>
    <w:rsid w:val="00F86700"/>
    <w:rsid w:val="00F87586"/>
    <w:rsid w:val="00F92C83"/>
    <w:rsid w:val="00F957C6"/>
    <w:rsid w:val="00F9658D"/>
    <w:rsid w:val="00FA2E78"/>
    <w:rsid w:val="00FA3D3C"/>
    <w:rsid w:val="00FA6219"/>
    <w:rsid w:val="00FB3AF5"/>
    <w:rsid w:val="00FB3B2F"/>
    <w:rsid w:val="00FB7CAD"/>
    <w:rsid w:val="00FC4899"/>
    <w:rsid w:val="00FC5955"/>
    <w:rsid w:val="00FD20A5"/>
    <w:rsid w:val="00FD2C22"/>
    <w:rsid w:val="00FD2F63"/>
    <w:rsid w:val="00FD7F0B"/>
    <w:rsid w:val="00FE2C7F"/>
    <w:rsid w:val="00FF518D"/>
    <w:rsid w:val="00FF75BA"/>
    <w:rsid w:val="70A1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6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2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F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F63"/>
    <w:rPr>
      <w:rFonts w:ascii="Calibri Light" w:hAnsi="Calibri Light"/>
      <w:color w:val="1C2B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F63"/>
    <w:rPr>
      <w:rFonts w:ascii="Calibri Light" w:hAnsi="Calibri Light"/>
      <w:b/>
      <w:bCs/>
      <w:color w:val="1C2B39"/>
      <w:sz w:val="20"/>
      <w:szCs w:val="20"/>
    </w:rPr>
  </w:style>
  <w:style w:type="paragraph" w:styleId="Revision">
    <w:name w:val="Revision"/>
    <w:hidden/>
    <w:uiPriority w:val="99"/>
    <w:semiHidden/>
    <w:rsid w:val="002250E2"/>
    <w:pPr>
      <w:spacing w:after="0" w:line="240" w:lineRule="auto"/>
    </w:pPr>
    <w:rPr>
      <w:rFonts w:ascii="Calibri Light" w:hAnsi="Calibri Light"/>
      <w:color w:val="1C2B3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D94D-FDE2-4103-AF67-7F0B1A58A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2820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2026-03-06T03:36:00Z</dcterms:created>
  <dcterms:modified xsi:type="dcterms:W3CDTF">2026-03-06T03:37:00Z</dcterms:modified>
  <cp:category/>
</cp:coreProperties>
</file>