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5C37B" w14:textId="426118FD" w:rsidR="00107DD5" w:rsidRDefault="00221D8F" w:rsidP="00CA4815">
      <w:r w:rsidRPr="00CA4815">
        <w:rPr>
          <w:b/>
          <w:noProof/>
          <w:color w:val="2B579A"/>
          <w:shd w:val="clear" w:color="auto" w:fill="E6E6E6"/>
          <w:lang w:eastAsia="en-AU"/>
        </w:rPr>
        <w:drawing>
          <wp:anchor distT="0" distB="0" distL="114300" distR="114300" simplePos="0" relativeHeight="251658240" behindDoc="1" locked="1" layoutInCell="1" allowOverlap="1" wp14:anchorId="402641A8" wp14:editId="7CA73859">
            <wp:simplePos x="0" y="0"/>
            <wp:positionH relativeFrom="column">
              <wp:posOffset>-914400</wp:posOffset>
            </wp:positionH>
            <wp:positionV relativeFrom="paragraph">
              <wp:posOffset>-1151890</wp:posOffset>
            </wp:positionV>
            <wp:extent cx="7542000" cy="1066680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sidR="00107DD5">
        <w:rPr>
          <w:noProof/>
          <w:color w:val="2B579A"/>
          <w:shd w:val="clear" w:color="auto" w:fill="E6E6E6"/>
          <w:lang w:eastAsia="en-AU"/>
        </w:rPr>
        <w:drawing>
          <wp:anchor distT="0" distB="0" distL="114300" distR="114300" simplePos="0" relativeHeight="251658241" behindDoc="0" locked="0" layoutInCell="1" allowOverlap="1" wp14:anchorId="38D14935" wp14:editId="5B9EFBF9">
            <wp:simplePos x="0" y="0"/>
            <wp:positionH relativeFrom="column">
              <wp:posOffset>0</wp:posOffset>
            </wp:positionH>
            <wp:positionV relativeFrom="paragraph">
              <wp:posOffset>-2540</wp:posOffset>
            </wp:positionV>
            <wp:extent cx="2271395" cy="554355"/>
            <wp:effectExtent l="0" t="0" r="0" b="0"/>
            <wp:wrapNone/>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71395" cy="554355"/>
                    </a:xfrm>
                    <a:prstGeom prst="rect">
                      <a:avLst/>
                    </a:prstGeom>
                  </pic:spPr>
                </pic:pic>
              </a:graphicData>
            </a:graphic>
            <wp14:sizeRelH relativeFrom="page">
              <wp14:pctWidth>0</wp14:pctWidth>
            </wp14:sizeRelH>
            <wp14:sizeRelV relativeFrom="page">
              <wp14:pctHeight>0</wp14:pctHeight>
            </wp14:sizeRelV>
          </wp:anchor>
        </w:drawing>
      </w:r>
      <w:r w:rsidR="50D37653">
        <w:t xml:space="preserve">                                        </w:t>
      </w:r>
    </w:p>
    <w:p w14:paraId="5D991EB2" w14:textId="24E783C2" w:rsidR="00221D8F" w:rsidRDefault="00F761A1" w:rsidP="00221D8F">
      <w:pPr>
        <w:pStyle w:val="Heading1"/>
      </w:pPr>
      <w:bookmarkStart w:id="0" w:name="_Toc126923146"/>
      <w:bookmarkStart w:id="1" w:name="_Toc126923157"/>
      <w:r>
        <w:rPr>
          <w:rFonts w:eastAsiaTheme="minorHAnsi"/>
        </w:rPr>
        <w:t>Policy Impact Analysis</w:t>
      </w:r>
      <w:bookmarkEnd w:id="0"/>
      <w:bookmarkEnd w:id="1"/>
    </w:p>
    <w:p w14:paraId="563B8AC6" w14:textId="6548FE84" w:rsidR="0017134D" w:rsidRDefault="00F761A1" w:rsidP="00EB4C2F">
      <w:pPr>
        <w:pStyle w:val="Subtitle"/>
      </w:pPr>
      <w:r>
        <w:t xml:space="preserve">Early Childhood Education and Care Worker </w:t>
      </w:r>
      <w:r w:rsidR="7AA287A4">
        <w:t>Retention Payment</w:t>
      </w:r>
    </w:p>
    <w:p w14:paraId="504C3B5F" w14:textId="77777777" w:rsidR="008F4B59" w:rsidRDefault="008F4B59" w:rsidP="008F4B59">
      <w:pPr>
        <w:rPr>
          <w:b/>
          <w:bCs/>
          <w:i/>
          <w:iCs/>
          <w:color w:val="FF0000"/>
          <w:sz w:val="72"/>
          <w:szCs w:val="72"/>
        </w:rPr>
      </w:pPr>
    </w:p>
    <w:p w14:paraId="4547AE4A" w14:textId="77777777" w:rsidR="00107D87" w:rsidRDefault="00107D87">
      <w:pPr>
        <w:sectPr w:rsidR="00107D87" w:rsidSect="008B4E15">
          <w:headerReference w:type="default" r:id="rId10"/>
          <w:pgSz w:w="11906" w:h="16838"/>
          <w:pgMar w:top="1814" w:right="1440" w:bottom="1440" w:left="1440" w:header="709" w:footer="709" w:gutter="0"/>
          <w:cols w:space="708"/>
          <w:docGrid w:linePitch="360"/>
        </w:sectPr>
      </w:pPr>
    </w:p>
    <w:p w14:paraId="6683CCED" w14:textId="77777777" w:rsidR="006E31CF" w:rsidRDefault="006E31CF" w:rsidP="00107D87">
      <w:pPr>
        <w:spacing w:after="480"/>
        <w:rPr>
          <w:highlight w:val="yellow"/>
        </w:rPr>
      </w:pPr>
    </w:p>
    <w:p w14:paraId="2A6B098F" w14:textId="77777777" w:rsidR="006E31CF" w:rsidRDefault="006E31CF" w:rsidP="00107D87">
      <w:pPr>
        <w:spacing w:after="480"/>
        <w:rPr>
          <w:highlight w:val="yellow"/>
        </w:rPr>
      </w:pPr>
    </w:p>
    <w:p w14:paraId="12CD4D20" w14:textId="77777777" w:rsidR="006E31CF" w:rsidRDefault="006E31CF" w:rsidP="00107D87">
      <w:pPr>
        <w:spacing w:after="480"/>
        <w:rPr>
          <w:highlight w:val="yellow"/>
        </w:rPr>
      </w:pPr>
    </w:p>
    <w:p w14:paraId="52952081" w14:textId="77777777" w:rsidR="006E31CF" w:rsidRDefault="006E31CF" w:rsidP="00107D87">
      <w:pPr>
        <w:spacing w:after="480"/>
        <w:rPr>
          <w:highlight w:val="yellow"/>
        </w:rPr>
      </w:pPr>
    </w:p>
    <w:p w14:paraId="0B854B06" w14:textId="77777777" w:rsidR="006E31CF" w:rsidRDefault="006E31CF" w:rsidP="00107D87">
      <w:pPr>
        <w:spacing w:after="480"/>
        <w:rPr>
          <w:highlight w:val="yellow"/>
        </w:rPr>
      </w:pPr>
    </w:p>
    <w:p w14:paraId="5E51C580" w14:textId="77777777" w:rsidR="006E31CF" w:rsidRDefault="006E31CF" w:rsidP="00107D87">
      <w:pPr>
        <w:spacing w:after="480"/>
        <w:rPr>
          <w:highlight w:val="yellow"/>
        </w:rPr>
      </w:pPr>
    </w:p>
    <w:p w14:paraId="229961DA" w14:textId="77777777" w:rsidR="006E31CF" w:rsidRDefault="006E31CF" w:rsidP="00107D87">
      <w:pPr>
        <w:spacing w:after="480"/>
        <w:rPr>
          <w:highlight w:val="yellow"/>
        </w:rPr>
      </w:pPr>
    </w:p>
    <w:p w14:paraId="7F0FC218" w14:textId="77777777" w:rsidR="006E31CF" w:rsidRDefault="006E31CF" w:rsidP="00107D87">
      <w:pPr>
        <w:spacing w:after="480"/>
        <w:rPr>
          <w:highlight w:val="yellow"/>
        </w:rPr>
      </w:pPr>
    </w:p>
    <w:p w14:paraId="07305E37" w14:textId="77777777" w:rsidR="006E31CF" w:rsidRDefault="006E31CF" w:rsidP="00107D87">
      <w:pPr>
        <w:spacing w:after="480"/>
        <w:rPr>
          <w:highlight w:val="yellow"/>
        </w:rPr>
      </w:pPr>
    </w:p>
    <w:p w14:paraId="08056A85" w14:textId="77777777" w:rsidR="006E31CF" w:rsidRDefault="006E31CF" w:rsidP="00107D87">
      <w:pPr>
        <w:spacing w:after="480"/>
        <w:rPr>
          <w:highlight w:val="yellow"/>
        </w:rPr>
      </w:pPr>
    </w:p>
    <w:p w14:paraId="2DC7676E" w14:textId="77777777" w:rsidR="006E31CF" w:rsidRDefault="006E31CF" w:rsidP="00107D87">
      <w:pPr>
        <w:spacing w:after="480"/>
        <w:rPr>
          <w:highlight w:val="yellow"/>
        </w:rPr>
      </w:pPr>
    </w:p>
    <w:p w14:paraId="20DCB40A" w14:textId="005A5225" w:rsidR="0017134D" w:rsidRDefault="00107D87" w:rsidP="00107D87">
      <w:pPr>
        <w:spacing w:after="480"/>
      </w:pPr>
      <w:r>
        <w:br/>
      </w:r>
      <w:r>
        <w:br/>
      </w:r>
    </w:p>
    <w:p w14:paraId="4DF3AC17" w14:textId="77777777" w:rsidR="0017134D" w:rsidRDefault="00107D87" w:rsidP="0017134D">
      <w:r>
        <w:rPr>
          <w:noProof/>
          <w:color w:val="2B579A"/>
          <w:shd w:val="clear" w:color="auto" w:fill="E6E6E6"/>
          <w:lang w:eastAsia="en-AU"/>
        </w:rPr>
        <w:drawing>
          <wp:inline distT="0" distB="0" distL="0" distR="0" wp14:anchorId="1F9E0762" wp14:editId="0C8DF5A6">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181DBAA3"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2"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478DAF3E"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3"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2188C7EC" w14:textId="47FC0444" w:rsidR="0017134D" w:rsidRDefault="0017134D" w:rsidP="0017134D">
      <w:r>
        <w:t>The document must be attributed as the (</w:t>
      </w:r>
      <w:r w:rsidR="006E31CF">
        <w:t xml:space="preserve">Policy Impact Analysis: ECEC Workers Wage </w:t>
      </w:r>
      <w:r w:rsidR="7FC8064E">
        <w:t>Increase</w:t>
      </w:r>
      <w:r>
        <w:t>).</w:t>
      </w:r>
    </w:p>
    <w:p w14:paraId="176A7FE1" w14:textId="77777777" w:rsidR="00107D87" w:rsidRDefault="00107D87" w:rsidP="0017134D">
      <w:pPr>
        <w:sectPr w:rsidR="00107D87" w:rsidSect="008B4E15">
          <w:pgSz w:w="11906" w:h="16838"/>
          <w:pgMar w:top="1440" w:right="1440" w:bottom="1440" w:left="1440" w:header="708" w:footer="708" w:gutter="0"/>
          <w:cols w:space="708"/>
          <w:docGrid w:linePitch="360"/>
        </w:sectPr>
      </w:pPr>
    </w:p>
    <w:p w14:paraId="6BB897BA" w14:textId="77777777" w:rsidR="00AF1F18" w:rsidRPr="00AD631F" w:rsidRDefault="00AF1F18" w:rsidP="00AF1F18">
      <w:pPr>
        <w:pStyle w:val="TOCHeading"/>
      </w:pPr>
      <w:r w:rsidRPr="00AF1F18">
        <w:lastRenderedPageBreak/>
        <w:t>Contents</w:t>
      </w:r>
    </w:p>
    <w:p w14:paraId="6EBBC590" w14:textId="543C90EA" w:rsidR="007C0AEF" w:rsidRDefault="00AF1F18">
      <w:pPr>
        <w:pStyle w:val="TOC1"/>
        <w:rPr>
          <w:rFonts w:asciiTheme="minorHAnsi" w:eastAsiaTheme="minorEastAsia" w:hAnsiTheme="minorHAnsi"/>
          <w:noProof/>
          <w:kern w:val="2"/>
          <w:sz w:val="24"/>
          <w:szCs w:val="24"/>
          <w:lang w:eastAsia="en-AU"/>
          <w14:ligatures w14:val="standardContextual"/>
        </w:rPr>
      </w:pPr>
      <w:r>
        <w:rPr>
          <w:color w:val="2B579A"/>
          <w:shd w:val="clear" w:color="auto" w:fill="E6E6E6"/>
        </w:rPr>
        <w:fldChar w:fldCharType="begin"/>
      </w:r>
      <w:r>
        <w:instrText xml:space="preserve"> TOC \h \z \u \t "Heading 2,1,Heading 3,2,Heading 4,3" </w:instrText>
      </w:r>
      <w:r>
        <w:rPr>
          <w:color w:val="2B579A"/>
          <w:shd w:val="clear" w:color="auto" w:fill="E6E6E6"/>
        </w:rPr>
        <w:fldChar w:fldCharType="separate"/>
      </w:r>
      <w:hyperlink w:anchor="_Toc219193853" w:history="1">
        <w:r w:rsidR="007C0AEF" w:rsidRPr="00286BD3">
          <w:rPr>
            <w:rStyle w:val="Hyperlink"/>
            <w:noProof/>
          </w:rPr>
          <w:t>Key terms</w:t>
        </w:r>
        <w:r w:rsidR="007C0AEF">
          <w:rPr>
            <w:noProof/>
            <w:webHidden/>
          </w:rPr>
          <w:tab/>
        </w:r>
        <w:r w:rsidR="007C0AEF">
          <w:rPr>
            <w:noProof/>
            <w:webHidden/>
          </w:rPr>
          <w:fldChar w:fldCharType="begin"/>
        </w:r>
        <w:r w:rsidR="007C0AEF">
          <w:rPr>
            <w:noProof/>
            <w:webHidden/>
          </w:rPr>
          <w:instrText xml:space="preserve"> PAGEREF _Toc219193853 \h </w:instrText>
        </w:r>
        <w:r w:rsidR="007C0AEF">
          <w:rPr>
            <w:noProof/>
            <w:webHidden/>
          </w:rPr>
        </w:r>
        <w:r w:rsidR="007C0AEF">
          <w:rPr>
            <w:noProof/>
            <w:webHidden/>
          </w:rPr>
          <w:fldChar w:fldCharType="separate"/>
        </w:r>
        <w:r w:rsidR="00682EDD">
          <w:rPr>
            <w:noProof/>
            <w:webHidden/>
          </w:rPr>
          <w:t>4</w:t>
        </w:r>
        <w:r w:rsidR="007C0AEF">
          <w:rPr>
            <w:noProof/>
            <w:webHidden/>
          </w:rPr>
          <w:fldChar w:fldCharType="end"/>
        </w:r>
      </w:hyperlink>
    </w:p>
    <w:p w14:paraId="34971029" w14:textId="1872277B"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54" w:history="1">
        <w:r w:rsidRPr="00286BD3">
          <w:rPr>
            <w:rStyle w:val="Hyperlink"/>
            <w:noProof/>
          </w:rPr>
          <w:t>Background</w:t>
        </w:r>
        <w:r>
          <w:rPr>
            <w:noProof/>
            <w:webHidden/>
          </w:rPr>
          <w:tab/>
        </w:r>
        <w:r>
          <w:rPr>
            <w:noProof/>
            <w:webHidden/>
          </w:rPr>
          <w:fldChar w:fldCharType="begin"/>
        </w:r>
        <w:r>
          <w:rPr>
            <w:noProof/>
            <w:webHidden/>
          </w:rPr>
          <w:instrText xml:space="preserve"> PAGEREF _Toc219193854 \h </w:instrText>
        </w:r>
        <w:r>
          <w:rPr>
            <w:noProof/>
            <w:webHidden/>
          </w:rPr>
        </w:r>
        <w:r>
          <w:rPr>
            <w:noProof/>
            <w:webHidden/>
          </w:rPr>
          <w:fldChar w:fldCharType="separate"/>
        </w:r>
        <w:r w:rsidR="00682EDD">
          <w:rPr>
            <w:noProof/>
            <w:webHidden/>
          </w:rPr>
          <w:t>6</w:t>
        </w:r>
        <w:r>
          <w:rPr>
            <w:noProof/>
            <w:webHidden/>
          </w:rPr>
          <w:fldChar w:fldCharType="end"/>
        </w:r>
      </w:hyperlink>
    </w:p>
    <w:p w14:paraId="2253CFA3" w14:textId="52111092"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55" w:history="1">
        <w:r w:rsidRPr="00286BD3">
          <w:rPr>
            <w:rStyle w:val="Hyperlink"/>
            <w:noProof/>
          </w:rPr>
          <w:t>The problem</w:t>
        </w:r>
        <w:r>
          <w:rPr>
            <w:noProof/>
            <w:webHidden/>
          </w:rPr>
          <w:tab/>
        </w:r>
        <w:r>
          <w:rPr>
            <w:noProof/>
            <w:webHidden/>
          </w:rPr>
          <w:fldChar w:fldCharType="begin"/>
        </w:r>
        <w:r>
          <w:rPr>
            <w:noProof/>
            <w:webHidden/>
          </w:rPr>
          <w:instrText xml:space="preserve"> PAGEREF _Toc219193855 \h </w:instrText>
        </w:r>
        <w:r>
          <w:rPr>
            <w:noProof/>
            <w:webHidden/>
          </w:rPr>
        </w:r>
        <w:r>
          <w:rPr>
            <w:noProof/>
            <w:webHidden/>
          </w:rPr>
          <w:fldChar w:fldCharType="separate"/>
        </w:r>
        <w:r w:rsidR="00682EDD">
          <w:rPr>
            <w:noProof/>
            <w:webHidden/>
          </w:rPr>
          <w:t>7</w:t>
        </w:r>
        <w:r>
          <w:rPr>
            <w:noProof/>
            <w:webHidden/>
          </w:rPr>
          <w:fldChar w:fldCharType="end"/>
        </w:r>
      </w:hyperlink>
    </w:p>
    <w:p w14:paraId="0451526C" w14:textId="3E6D5620"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56" w:history="1">
        <w:r w:rsidRPr="00286BD3">
          <w:rPr>
            <w:rStyle w:val="Hyperlink"/>
            <w:noProof/>
          </w:rPr>
          <w:t>Workforce</w:t>
        </w:r>
        <w:r>
          <w:rPr>
            <w:noProof/>
            <w:webHidden/>
          </w:rPr>
          <w:tab/>
        </w:r>
        <w:r>
          <w:rPr>
            <w:noProof/>
            <w:webHidden/>
          </w:rPr>
          <w:fldChar w:fldCharType="begin"/>
        </w:r>
        <w:r>
          <w:rPr>
            <w:noProof/>
            <w:webHidden/>
          </w:rPr>
          <w:instrText xml:space="preserve"> PAGEREF _Toc219193856 \h </w:instrText>
        </w:r>
        <w:r>
          <w:rPr>
            <w:noProof/>
            <w:webHidden/>
          </w:rPr>
        </w:r>
        <w:r>
          <w:rPr>
            <w:noProof/>
            <w:webHidden/>
          </w:rPr>
          <w:fldChar w:fldCharType="separate"/>
        </w:r>
        <w:r w:rsidR="00682EDD">
          <w:rPr>
            <w:noProof/>
            <w:webHidden/>
          </w:rPr>
          <w:t>7</w:t>
        </w:r>
        <w:r>
          <w:rPr>
            <w:noProof/>
            <w:webHidden/>
          </w:rPr>
          <w:fldChar w:fldCharType="end"/>
        </w:r>
      </w:hyperlink>
    </w:p>
    <w:p w14:paraId="55578BEE" w14:textId="748F17FB"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60" w:history="1">
        <w:r w:rsidRPr="00286BD3">
          <w:rPr>
            <w:rStyle w:val="Hyperlink"/>
            <w:noProof/>
          </w:rPr>
          <w:t>Affordability</w:t>
        </w:r>
        <w:r>
          <w:rPr>
            <w:noProof/>
            <w:webHidden/>
          </w:rPr>
          <w:tab/>
        </w:r>
        <w:r>
          <w:rPr>
            <w:noProof/>
            <w:webHidden/>
          </w:rPr>
          <w:fldChar w:fldCharType="begin"/>
        </w:r>
        <w:r>
          <w:rPr>
            <w:noProof/>
            <w:webHidden/>
          </w:rPr>
          <w:instrText xml:space="preserve"> PAGEREF _Toc219193860 \h </w:instrText>
        </w:r>
        <w:r>
          <w:rPr>
            <w:noProof/>
            <w:webHidden/>
          </w:rPr>
        </w:r>
        <w:r>
          <w:rPr>
            <w:noProof/>
            <w:webHidden/>
          </w:rPr>
          <w:fldChar w:fldCharType="separate"/>
        </w:r>
        <w:r w:rsidR="00682EDD">
          <w:rPr>
            <w:noProof/>
            <w:webHidden/>
          </w:rPr>
          <w:t>16</w:t>
        </w:r>
        <w:r>
          <w:rPr>
            <w:noProof/>
            <w:webHidden/>
          </w:rPr>
          <w:fldChar w:fldCharType="end"/>
        </w:r>
      </w:hyperlink>
    </w:p>
    <w:p w14:paraId="065841E9" w14:textId="03DB4565"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62" w:history="1">
        <w:r w:rsidRPr="00286BD3">
          <w:rPr>
            <w:rStyle w:val="Hyperlink"/>
            <w:noProof/>
          </w:rPr>
          <w:t>Case for Government intervention</w:t>
        </w:r>
        <w:r>
          <w:rPr>
            <w:noProof/>
            <w:webHidden/>
          </w:rPr>
          <w:tab/>
        </w:r>
        <w:r>
          <w:rPr>
            <w:noProof/>
            <w:webHidden/>
          </w:rPr>
          <w:fldChar w:fldCharType="begin"/>
        </w:r>
        <w:r>
          <w:rPr>
            <w:noProof/>
            <w:webHidden/>
          </w:rPr>
          <w:instrText xml:space="preserve"> PAGEREF _Toc219193862 \h </w:instrText>
        </w:r>
        <w:r>
          <w:rPr>
            <w:noProof/>
            <w:webHidden/>
          </w:rPr>
        </w:r>
        <w:r>
          <w:rPr>
            <w:noProof/>
            <w:webHidden/>
          </w:rPr>
          <w:fldChar w:fldCharType="separate"/>
        </w:r>
        <w:r w:rsidR="00682EDD">
          <w:rPr>
            <w:noProof/>
            <w:webHidden/>
          </w:rPr>
          <w:t>17</w:t>
        </w:r>
        <w:r>
          <w:rPr>
            <w:noProof/>
            <w:webHidden/>
          </w:rPr>
          <w:fldChar w:fldCharType="end"/>
        </w:r>
      </w:hyperlink>
    </w:p>
    <w:p w14:paraId="02E52E3D" w14:textId="45C77A5F"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63" w:history="1">
        <w:r w:rsidRPr="00286BD3">
          <w:rPr>
            <w:rStyle w:val="Hyperlink"/>
            <w:noProof/>
          </w:rPr>
          <w:t>Policy options</w:t>
        </w:r>
        <w:r>
          <w:rPr>
            <w:noProof/>
            <w:webHidden/>
          </w:rPr>
          <w:tab/>
        </w:r>
        <w:r>
          <w:rPr>
            <w:noProof/>
            <w:webHidden/>
          </w:rPr>
          <w:fldChar w:fldCharType="begin"/>
        </w:r>
        <w:r>
          <w:rPr>
            <w:noProof/>
            <w:webHidden/>
          </w:rPr>
          <w:instrText xml:space="preserve"> PAGEREF _Toc219193863 \h </w:instrText>
        </w:r>
        <w:r>
          <w:rPr>
            <w:noProof/>
            <w:webHidden/>
          </w:rPr>
        </w:r>
        <w:r>
          <w:rPr>
            <w:noProof/>
            <w:webHidden/>
          </w:rPr>
          <w:fldChar w:fldCharType="separate"/>
        </w:r>
        <w:r w:rsidR="00682EDD">
          <w:rPr>
            <w:noProof/>
            <w:webHidden/>
          </w:rPr>
          <w:t>22</w:t>
        </w:r>
        <w:r>
          <w:rPr>
            <w:noProof/>
            <w:webHidden/>
          </w:rPr>
          <w:fldChar w:fldCharType="end"/>
        </w:r>
      </w:hyperlink>
    </w:p>
    <w:p w14:paraId="2D2B7C2E" w14:textId="3CD4C606"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64" w:history="1">
        <w:r w:rsidRPr="00286BD3">
          <w:rPr>
            <w:rStyle w:val="Hyperlink"/>
            <w:noProof/>
          </w:rPr>
          <w:t>Option One – Status Quo</w:t>
        </w:r>
        <w:r>
          <w:rPr>
            <w:noProof/>
            <w:webHidden/>
          </w:rPr>
          <w:tab/>
        </w:r>
        <w:r>
          <w:rPr>
            <w:noProof/>
            <w:webHidden/>
          </w:rPr>
          <w:fldChar w:fldCharType="begin"/>
        </w:r>
        <w:r>
          <w:rPr>
            <w:noProof/>
            <w:webHidden/>
          </w:rPr>
          <w:instrText xml:space="preserve"> PAGEREF _Toc219193864 \h </w:instrText>
        </w:r>
        <w:r>
          <w:rPr>
            <w:noProof/>
            <w:webHidden/>
          </w:rPr>
        </w:r>
        <w:r>
          <w:rPr>
            <w:noProof/>
            <w:webHidden/>
          </w:rPr>
          <w:fldChar w:fldCharType="separate"/>
        </w:r>
        <w:r w:rsidR="00682EDD">
          <w:rPr>
            <w:noProof/>
            <w:webHidden/>
          </w:rPr>
          <w:t>22</w:t>
        </w:r>
        <w:r>
          <w:rPr>
            <w:noProof/>
            <w:webHidden/>
          </w:rPr>
          <w:fldChar w:fldCharType="end"/>
        </w:r>
      </w:hyperlink>
    </w:p>
    <w:p w14:paraId="7847B605" w14:textId="0024A056"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65" w:history="1">
        <w:r w:rsidRPr="00286BD3">
          <w:rPr>
            <w:rStyle w:val="Hyperlink"/>
            <w:noProof/>
          </w:rPr>
          <w:t>Option Two</w:t>
        </w:r>
        <w:r>
          <w:rPr>
            <w:noProof/>
            <w:webHidden/>
          </w:rPr>
          <w:tab/>
        </w:r>
        <w:r>
          <w:rPr>
            <w:noProof/>
            <w:webHidden/>
          </w:rPr>
          <w:fldChar w:fldCharType="begin"/>
        </w:r>
        <w:r>
          <w:rPr>
            <w:noProof/>
            <w:webHidden/>
          </w:rPr>
          <w:instrText xml:space="preserve"> PAGEREF _Toc219193865 \h </w:instrText>
        </w:r>
        <w:r>
          <w:rPr>
            <w:noProof/>
            <w:webHidden/>
          </w:rPr>
        </w:r>
        <w:r>
          <w:rPr>
            <w:noProof/>
            <w:webHidden/>
          </w:rPr>
          <w:fldChar w:fldCharType="separate"/>
        </w:r>
        <w:r w:rsidR="00682EDD">
          <w:rPr>
            <w:noProof/>
            <w:webHidden/>
          </w:rPr>
          <w:t>22</w:t>
        </w:r>
        <w:r>
          <w:rPr>
            <w:noProof/>
            <w:webHidden/>
          </w:rPr>
          <w:fldChar w:fldCharType="end"/>
        </w:r>
      </w:hyperlink>
    </w:p>
    <w:p w14:paraId="721ECF54" w14:textId="705C61B9"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66" w:history="1">
        <w:r w:rsidRPr="00286BD3">
          <w:rPr>
            <w:rStyle w:val="Hyperlink"/>
            <w:noProof/>
          </w:rPr>
          <w:t>Option Three</w:t>
        </w:r>
        <w:r>
          <w:rPr>
            <w:noProof/>
            <w:webHidden/>
          </w:rPr>
          <w:tab/>
        </w:r>
        <w:r>
          <w:rPr>
            <w:noProof/>
            <w:webHidden/>
          </w:rPr>
          <w:fldChar w:fldCharType="begin"/>
        </w:r>
        <w:r>
          <w:rPr>
            <w:noProof/>
            <w:webHidden/>
          </w:rPr>
          <w:instrText xml:space="preserve"> PAGEREF _Toc219193866 \h </w:instrText>
        </w:r>
        <w:r>
          <w:rPr>
            <w:noProof/>
            <w:webHidden/>
          </w:rPr>
        </w:r>
        <w:r>
          <w:rPr>
            <w:noProof/>
            <w:webHidden/>
          </w:rPr>
          <w:fldChar w:fldCharType="separate"/>
        </w:r>
        <w:r w:rsidR="00682EDD">
          <w:rPr>
            <w:noProof/>
            <w:webHidden/>
          </w:rPr>
          <w:t>23</w:t>
        </w:r>
        <w:r>
          <w:rPr>
            <w:noProof/>
            <w:webHidden/>
          </w:rPr>
          <w:fldChar w:fldCharType="end"/>
        </w:r>
      </w:hyperlink>
    </w:p>
    <w:p w14:paraId="50365BB7" w14:textId="1A1A0F81"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69" w:history="1">
        <w:r w:rsidRPr="00286BD3">
          <w:rPr>
            <w:rStyle w:val="Hyperlink"/>
            <w:noProof/>
          </w:rPr>
          <w:t>Affordability condition</w:t>
        </w:r>
        <w:r>
          <w:rPr>
            <w:noProof/>
            <w:webHidden/>
          </w:rPr>
          <w:tab/>
        </w:r>
        <w:r>
          <w:rPr>
            <w:noProof/>
            <w:webHidden/>
          </w:rPr>
          <w:fldChar w:fldCharType="begin"/>
        </w:r>
        <w:r>
          <w:rPr>
            <w:noProof/>
            <w:webHidden/>
          </w:rPr>
          <w:instrText xml:space="preserve"> PAGEREF _Toc219193869 \h </w:instrText>
        </w:r>
        <w:r>
          <w:rPr>
            <w:noProof/>
            <w:webHidden/>
          </w:rPr>
        </w:r>
        <w:r>
          <w:rPr>
            <w:noProof/>
            <w:webHidden/>
          </w:rPr>
          <w:fldChar w:fldCharType="separate"/>
        </w:r>
        <w:r w:rsidR="00682EDD">
          <w:rPr>
            <w:noProof/>
            <w:webHidden/>
          </w:rPr>
          <w:t>26</w:t>
        </w:r>
        <w:r>
          <w:rPr>
            <w:noProof/>
            <w:webHidden/>
          </w:rPr>
          <w:fldChar w:fldCharType="end"/>
        </w:r>
      </w:hyperlink>
    </w:p>
    <w:p w14:paraId="4CF7C2BC" w14:textId="518957CD"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72" w:history="1">
        <w:r w:rsidRPr="00286BD3">
          <w:rPr>
            <w:rStyle w:val="Hyperlink"/>
            <w:noProof/>
          </w:rPr>
          <w:t>Cost-benefit analysis</w:t>
        </w:r>
        <w:r>
          <w:rPr>
            <w:noProof/>
            <w:webHidden/>
          </w:rPr>
          <w:tab/>
        </w:r>
        <w:r>
          <w:rPr>
            <w:noProof/>
            <w:webHidden/>
          </w:rPr>
          <w:fldChar w:fldCharType="begin"/>
        </w:r>
        <w:r>
          <w:rPr>
            <w:noProof/>
            <w:webHidden/>
          </w:rPr>
          <w:instrText xml:space="preserve"> PAGEREF _Toc219193872 \h </w:instrText>
        </w:r>
        <w:r>
          <w:rPr>
            <w:noProof/>
            <w:webHidden/>
          </w:rPr>
        </w:r>
        <w:r>
          <w:rPr>
            <w:noProof/>
            <w:webHidden/>
          </w:rPr>
          <w:fldChar w:fldCharType="separate"/>
        </w:r>
        <w:r w:rsidR="00682EDD">
          <w:rPr>
            <w:noProof/>
            <w:webHidden/>
          </w:rPr>
          <w:t>29</w:t>
        </w:r>
        <w:r>
          <w:rPr>
            <w:noProof/>
            <w:webHidden/>
          </w:rPr>
          <w:fldChar w:fldCharType="end"/>
        </w:r>
      </w:hyperlink>
    </w:p>
    <w:p w14:paraId="57F68D06" w14:textId="54EC5BC4"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73" w:history="1">
        <w:r w:rsidRPr="00286BD3">
          <w:rPr>
            <w:rStyle w:val="Hyperlink"/>
            <w:noProof/>
          </w:rPr>
          <w:t>Status Quo</w:t>
        </w:r>
        <w:r>
          <w:rPr>
            <w:noProof/>
            <w:webHidden/>
          </w:rPr>
          <w:tab/>
        </w:r>
        <w:r>
          <w:rPr>
            <w:noProof/>
            <w:webHidden/>
          </w:rPr>
          <w:fldChar w:fldCharType="begin"/>
        </w:r>
        <w:r>
          <w:rPr>
            <w:noProof/>
            <w:webHidden/>
          </w:rPr>
          <w:instrText xml:space="preserve"> PAGEREF _Toc219193873 \h </w:instrText>
        </w:r>
        <w:r>
          <w:rPr>
            <w:noProof/>
            <w:webHidden/>
          </w:rPr>
        </w:r>
        <w:r>
          <w:rPr>
            <w:noProof/>
            <w:webHidden/>
          </w:rPr>
          <w:fldChar w:fldCharType="separate"/>
        </w:r>
        <w:r w:rsidR="00682EDD">
          <w:rPr>
            <w:noProof/>
            <w:webHidden/>
          </w:rPr>
          <w:t>29</w:t>
        </w:r>
        <w:r>
          <w:rPr>
            <w:noProof/>
            <w:webHidden/>
          </w:rPr>
          <w:fldChar w:fldCharType="end"/>
        </w:r>
      </w:hyperlink>
    </w:p>
    <w:p w14:paraId="7011B3BD" w14:textId="356233BE"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77" w:history="1">
        <w:r w:rsidRPr="00286BD3">
          <w:rPr>
            <w:rStyle w:val="Hyperlink"/>
            <w:noProof/>
          </w:rPr>
          <w:t>Option Two</w:t>
        </w:r>
        <w:r>
          <w:rPr>
            <w:noProof/>
            <w:webHidden/>
          </w:rPr>
          <w:tab/>
        </w:r>
        <w:r>
          <w:rPr>
            <w:noProof/>
            <w:webHidden/>
          </w:rPr>
          <w:fldChar w:fldCharType="begin"/>
        </w:r>
        <w:r>
          <w:rPr>
            <w:noProof/>
            <w:webHidden/>
          </w:rPr>
          <w:instrText xml:space="preserve"> PAGEREF _Toc219193877 \h </w:instrText>
        </w:r>
        <w:r>
          <w:rPr>
            <w:noProof/>
            <w:webHidden/>
          </w:rPr>
        </w:r>
        <w:r>
          <w:rPr>
            <w:noProof/>
            <w:webHidden/>
          </w:rPr>
          <w:fldChar w:fldCharType="separate"/>
        </w:r>
        <w:r w:rsidR="00682EDD">
          <w:rPr>
            <w:noProof/>
            <w:webHidden/>
          </w:rPr>
          <w:t>32</w:t>
        </w:r>
        <w:r>
          <w:rPr>
            <w:noProof/>
            <w:webHidden/>
          </w:rPr>
          <w:fldChar w:fldCharType="end"/>
        </w:r>
      </w:hyperlink>
    </w:p>
    <w:p w14:paraId="72293D50" w14:textId="7628303B"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78" w:history="1">
        <w:r w:rsidRPr="00286BD3">
          <w:rPr>
            <w:rStyle w:val="Hyperlink"/>
            <w:noProof/>
          </w:rPr>
          <w:t>Option Three</w:t>
        </w:r>
        <w:r>
          <w:rPr>
            <w:noProof/>
            <w:webHidden/>
          </w:rPr>
          <w:tab/>
        </w:r>
        <w:r>
          <w:rPr>
            <w:noProof/>
            <w:webHidden/>
          </w:rPr>
          <w:fldChar w:fldCharType="begin"/>
        </w:r>
        <w:r>
          <w:rPr>
            <w:noProof/>
            <w:webHidden/>
          </w:rPr>
          <w:instrText xml:space="preserve"> PAGEREF _Toc219193878 \h </w:instrText>
        </w:r>
        <w:r>
          <w:rPr>
            <w:noProof/>
            <w:webHidden/>
          </w:rPr>
        </w:r>
        <w:r>
          <w:rPr>
            <w:noProof/>
            <w:webHidden/>
          </w:rPr>
          <w:fldChar w:fldCharType="separate"/>
        </w:r>
        <w:r w:rsidR="00682EDD">
          <w:rPr>
            <w:noProof/>
            <w:webHidden/>
          </w:rPr>
          <w:t>32</w:t>
        </w:r>
        <w:r>
          <w:rPr>
            <w:noProof/>
            <w:webHidden/>
          </w:rPr>
          <w:fldChar w:fldCharType="end"/>
        </w:r>
      </w:hyperlink>
    </w:p>
    <w:p w14:paraId="70DD19D4" w14:textId="573AA337"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82" w:history="1">
        <w:r w:rsidRPr="00286BD3">
          <w:rPr>
            <w:rStyle w:val="Hyperlink"/>
            <w:noProof/>
          </w:rPr>
          <w:t>Affordability condition</w:t>
        </w:r>
        <w:r>
          <w:rPr>
            <w:noProof/>
            <w:webHidden/>
          </w:rPr>
          <w:tab/>
        </w:r>
        <w:r>
          <w:rPr>
            <w:noProof/>
            <w:webHidden/>
          </w:rPr>
          <w:fldChar w:fldCharType="begin"/>
        </w:r>
        <w:r>
          <w:rPr>
            <w:noProof/>
            <w:webHidden/>
          </w:rPr>
          <w:instrText xml:space="preserve"> PAGEREF _Toc219193882 \h </w:instrText>
        </w:r>
        <w:r>
          <w:rPr>
            <w:noProof/>
            <w:webHidden/>
          </w:rPr>
        </w:r>
        <w:r>
          <w:rPr>
            <w:noProof/>
            <w:webHidden/>
          </w:rPr>
          <w:fldChar w:fldCharType="separate"/>
        </w:r>
        <w:r w:rsidR="00682EDD">
          <w:rPr>
            <w:noProof/>
            <w:webHidden/>
          </w:rPr>
          <w:t>38</w:t>
        </w:r>
        <w:r>
          <w:rPr>
            <w:noProof/>
            <w:webHidden/>
          </w:rPr>
          <w:fldChar w:fldCharType="end"/>
        </w:r>
      </w:hyperlink>
    </w:p>
    <w:p w14:paraId="6DA8B94F" w14:textId="588BBB4E"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86" w:history="1">
        <w:r w:rsidRPr="00286BD3">
          <w:rPr>
            <w:rStyle w:val="Hyperlink"/>
            <w:noProof/>
          </w:rPr>
          <w:t>Other considerations</w:t>
        </w:r>
        <w:r>
          <w:rPr>
            <w:noProof/>
            <w:webHidden/>
          </w:rPr>
          <w:tab/>
        </w:r>
        <w:r>
          <w:rPr>
            <w:noProof/>
            <w:webHidden/>
          </w:rPr>
          <w:fldChar w:fldCharType="begin"/>
        </w:r>
        <w:r>
          <w:rPr>
            <w:noProof/>
            <w:webHidden/>
          </w:rPr>
          <w:instrText xml:space="preserve"> PAGEREF _Toc219193886 \h </w:instrText>
        </w:r>
        <w:r>
          <w:rPr>
            <w:noProof/>
            <w:webHidden/>
          </w:rPr>
        </w:r>
        <w:r>
          <w:rPr>
            <w:noProof/>
            <w:webHidden/>
          </w:rPr>
          <w:fldChar w:fldCharType="separate"/>
        </w:r>
        <w:r w:rsidR="00682EDD">
          <w:rPr>
            <w:noProof/>
            <w:webHidden/>
          </w:rPr>
          <w:t>40</w:t>
        </w:r>
        <w:r>
          <w:rPr>
            <w:noProof/>
            <w:webHidden/>
          </w:rPr>
          <w:fldChar w:fldCharType="end"/>
        </w:r>
      </w:hyperlink>
    </w:p>
    <w:p w14:paraId="26644BCA" w14:textId="7EA16A07"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92" w:history="1">
        <w:r w:rsidRPr="00286BD3">
          <w:rPr>
            <w:rStyle w:val="Hyperlink"/>
            <w:noProof/>
          </w:rPr>
          <w:t>Consultation</w:t>
        </w:r>
        <w:r>
          <w:rPr>
            <w:noProof/>
            <w:webHidden/>
          </w:rPr>
          <w:tab/>
        </w:r>
        <w:r>
          <w:rPr>
            <w:noProof/>
            <w:webHidden/>
          </w:rPr>
          <w:fldChar w:fldCharType="begin"/>
        </w:r>
        <w:r>
          <w:rPr>
            <w:noProof/>
            <w:webHidden/>
          </w:rPr>
          <w:instrText xml:space="preserve"> PAGEREF _Toc219193892 \h </w:instrText>
        </w:r>
        <w:r>
          <w:rPr>
            <w:noProof/>
            <w:webHidden/>
          </w:rPr>
        </w:r>
        <w:r>
          <w:rPr>
            <w:noProof/>
            <w:webHidden/>
          </w:rPr>
          <w:fldChar w:fldCharType="separate"/>
        </w:r>
        <w:r w:rsidR="00682EDD">
          <w:rPr>
            <w:noProof/>
            <w:webHidden/>
          </w:rPr>
          <w:t>45</w:t>
        </w:r>
        <w:r>
          <w:rPr>
            <w:noProof/>
            <w:webHidden/>
          </w:rPr>
          <w:fldChar w:fldCharType="end"/>
        </w:r>
      </w:hyperlink>
    </w:p>
    <w:p w14:paraId="43D2B53C" w14:textId="1C45839C"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95" w:history="1">
        <w:r w:rsidRPr="00286BD3">
          <w:rPr>
            <w:rStyle w:val="Hyperlink"/>
            <w:noProof/>
          </w:rPr>
          <w:t>Option selection</w:t>
        </w:r>
        <w:r>
          <w:rPr>
            <w:noProof/>
            <w:webHidden/>
          </w:rPr>
          <w:tab/>
        </w:r>
        <w:r>
          <w:rPr>
            <w:noProof/>
            <w:webHidden/>
          </w:rPr>
          <w:fldChar w:fldCharType="begin"/>
        </w:r>
        <w:r>
          <w:rPr>
            <w:noProof/>
            <w:webHidden/>
          </w:rPr>
          <w:instrText xml:space="preserve"> PAGEREF _Toc219193895 \h </w:instrText>
        </w:r>
        <w:r>
          <w:rPr>
            <w:noProof/>
            <w:webHidden/>
          </w:rPr>
        </w:r>
        <w:r>
          <w:rPr>
            <w:noProof/>
            <w:webHidden/>
          </w:rPr>
          <w:fldChar w:fldCharType="separate"/>
        </w:r>
        <w:r w:rsidR="00682EDD">
          <w:rPr>
            <w:noProof/>
            <w:webHidden/>
          </w:rPr>
          <w:t>48</w:t>
        </w:r>
        <w:r>
          <w:rPr>
            <w:noProof/>
            <w:webHidden/>
          </w:rPr>
          <w:fldChar w:fldCharType="end"/>
        </w:r>
      </w:hyperlink>
    </w:p>
    <w:p w14:paraId="057F9BB7" w14:textId="186D75AB" w:rsidR="007C0AEF" w:rsidRDefault="007C0AEF">
      <w:pPr>
        <w:pStyle w:val="TOC3"/>
        <w:rPr>
          <w:rFonts w:asciiTheme="minorHAnsi" w:eastAsiaTheme="minorEastAsia" w:hAnsiTheme="minorHAnsi"/>
          <w:noProof/>
          <w:kern w:val="2"/>
          <w:sz w:val="24"/>
          <w:szCs w:val="24"/>
          <w:lang w:eastAsia="en-AU"/>
          <w14:ligatures w14:val="standardContextual"/>
        </w:rPr>
      </w:pPr>
      <w:hyperlink w:anchor="_Toc219193896" w:history="1">
        <w:r w:rsidRPr="00286BD3">
          <w:rPr>
            <w:rStyle w:val="Hyperlink"/>
            <w:noProof/>
          </w:rPr>
          <w:t>Recommended approach</w:t>
        </w:r>
        <w:r>
          <w:rPr>
            <w:noProof/>
            <w:webHidden/>
          </w:rPr>
          <w:tab/>
        </w:r>
        <w:r>
          <w:rPr>
            <w:noProof/>
            <w:webHidden/>
          </w:rPr>
          <w:fldChar w:fldCharType="begin"/>
        </w:r>
        <w:r>
          <w:rPr>
            <w:noProof/>
            <w:webHidden/>
          </w:rPr>
          <w:instrText xml:space="preserve"> PAGEREF _Toc219193896 \h </w:instrText>
        </w:r>
        <w:r>
          <w:rPr>
            <w:noProof/>
            <w:webHidden/>
          </w:rPr>
        </w:r>
        <w:r>
          <w:rPr>
            <w:noProof/>
            <w:webHidden/>
          </w:rPr>
          <w:fldChar w:fldCharType="separate"/>
        </w:r>
        <w:r w:rsidR="00682EDD">
          <w:rPr>
            <w:noProof/>
            <w:webHidden/>
          </w:rPr>
          <w:t>48</w:t>
        </w:r>
        <w:r>
          <w:rPr>
            <w:noProof/>
            <w:webHidden/>
          </w:rPr>
          <w:fldChar w:fldCharType="end"/>
        </w:r>
      </w:hyperlink>
    </w:p>
    <w:p w14:paraId="0B855D0D" w14:textId="63393060" w:rsidR="007C0AEF" w:rsidRDefault="007C0AEF">
      <w:pPr>
        <w:pStyle w:val="TOC1"/>
        <w:rPr>
          <w:rFonts w:asciiTheme="minorHAnsi" w:eastAsiaTheme="minorEastAsia" w:hAnsiTheme="minorHAnsi"/>
          <w:noProof/>
          <w:kern w:val="2"/>
          <w:sz w:val="24"/>
          <w:szCs w:val="24"/>
          <w:lang w:eastAsia="en-AU"/>
          <w14:ligatures w14:val="standardContextual"/>
        </w:rPr>
      </w:pPr>
      <w:hyperlink w:anchor="_Toc219193897" w:history="1">
        <w:r w:rsidRPr="00286BD3">
          <w:rPr>
            <w:rStyle w:val="Hyperlink"/>
            <w:noProof/>
          </w:rPr>
          <w:t>Implementation and review</w:t>
        </w:r>
        <w:r>
          <w:rPr>
            <w:noProof/>
            <w:webHidden/>
          </w:rPr>
          <w:tab/>
        </w:r>
        <w:r>
          <w:rPr>
            <w:noProof/>
            <w:webHidden/>
          </w:rPr>
          <w:fldChar w:fldCharType="begin"/>
        </w:r>
        <w:r>
          <w:rPr>
            <w:noProof/>
            <w:webHidden/>
          </w:rPr>
          <w:instrText xml:space="preserve"> PAGEREF _Toc219193897 \h </w:instrText>
        </w:r>
        <w:r>
          <w:rPr>
            <w:noProof/>
            <w:webHidden/>
          </w:rPr>
        </w:r>
        <w:r>
          <w:rPr>
            <w:noProof/>
            <w:webHidden/>
          </w:rPr>
          <w:fldChar w:fldCharType="separate"/>
        </w:r>
        <w:r w:rsidR="00682EDD">
          <w:rPr>
            <w:noProof/>
            <w:webHidden/>
          </w:rPr>
          <w:t>49</w:t>
        </w:r>
        <w:r>
          <w:rPr>
            <w:noProof/>
            <w:webHidden/>
          </w:rPr>
          <w:fldChar w:fldCharType="end"/>
        </w:r>
      </w:hyperlink>
    </w:p>
    <w:p w14:paraId="164F7D96" w14:textId="29F45006"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898" w:history="1">
        <w:r w:rsidRPr="00286BD3">
          <w:rPr>
            <w:rStyle w:val="Hyperlink"/>
            <w:noProof/>
          </w:rPr>
          <w:t>Implementation</w:t>
        </w:r>
        <w:r>
          <w:rPr>
            <w:noProof/>
            <w:webHidden/>
          </w:rPr>
          <w:tab/>
        </w:r>
        <w:r>
          <w:rPr>
            <w:noProof/>
            <w:webHidden/>
          </w:rPr>
          <w:fldChar w:fldCharType="begin"/>
        </w:r>
        <w:r>
          <w:rPr>
            <w:noProof/>
            <w:webHidden/>
          </w:rPr>
          <w:instrText xml:space="preserve"> PAGEREF _Toc219193898 \h </w:instrText>
        </w:r>
        <w:r>
          <w:rPr>
            <w:noProof/>
            <w:webHidden/>
          </w:rPr>
        </w:r>
        <w:r>
          <w:rPr>
            <w:noProof/>
            <w:webHidden/>
          </w:rPr>
          <w:fldChar w:fldCharType="separate"/>
        </w:r>
        <w:r w:rsidR="00682EDD">
          <w:rPr>
            <w:noProof/>
            <w:webHidden/>
          </w:rPr>
          <w:t>49</w:t>
        </w:r>
        <w:r>
          <w:rPr>
            <w:noProof/>
            <w:webHidden/>
          </w:rPr>
          <w:fldChar w:fldCharType="end"/>
        </w:r>
      </w:hyperlink>
    </w:p>
    <w:p w14:paraId="368AE913" w14:textId="1D14D347"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905" w:history="1">
        <w:r w:rsidRPr="00286BD3">
          <w:rPr>
            <w:rStyle w:val="Hyperlink"/>
            <w:noProof/>
          </w:rPr>
          <w:t>Review</w:t>
        </w:r>
        <w:r>
          <w:rPr>
            <w:noProof/>
            <w:webHidden/>
          </w:rPr>
          <w:tab/>
        </w:r>
        <w:r>
          <w:rPr>
            <w:noProof/>
            <w:webHidden/>
          </w:rPr>
          <w:fldChar w:fldCharType="begin"/>
        </w:r>
        <w:r>
          <w:rPr>
            <w:noProof/>
            <w:webHidden/>
          </w:rPr>
          <w:instrText xml:space="preserve"> PAGEREF _Toc219193905 \h </w:instrText>
        </w:r>
        <w:r>
          <w:rPr>
            <w:noProof/>
            <w:webHidden/>
          </w:rPr>
        </w:r>
        <w:r>
          <w:rPr>
            <w:noProof/>
            <w:webHidden/>
          </w:rPr>
          <w:fldChar w:fldCharType="separate"/>
        </w:r>
        <w:r w:rsidR="00682EDD">
          <w:rPr>
            <w:noProof/>
            <w:webHidden/>
          </w:rPr>
          <w:t>53</w:t>
        </w:r>
        <w:r>
          <w:rPr>
            <w:noProof/>
            <w:webHidden/>
          </w:rPr>
          <w:fldChar w:fldCharType="end"/>
        </w:r>
      </w:hyperlink>
    </w:p>
    <w:p w14:paraId="7CDA8022" w14:textId="3603120C"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907" w:history="1">
        <w:r w:rsidRPr="00286BD3">
          <w:rPr>
            <w:rStyle w:val="Hyperlink"/>
            <w:noProof/>
          </w:rPr>
          <w:t>Appendix A: Workplace instrument types and implementation processes</w:t>
        </w:r>
        <w:r>
          <w:rPr>
            <w:noProof/>
            <w:webHidden/>
          </w:rPr>
          <w:tab/>
        </w:r>
        <w:r>
          <w:rPr>
            <w:noProof/>
            <w:webHidden/>
          </w:rPr>
          <w:fldChar w:fldCharType="begin"/>
        </w:r>
        <w:r>
          <w:rPr>
            <w:noProof/>
            <w:webHidden/>
          </w:rPr>
          <w:instrText xml:space="preserve"> PAGEREF _Toc219193907 \h </w:instrText>
        </w:r>
        <w:r>
          <w:rPr>
            <w:noProof/>
            <w:webHidden/>
          </w:rPr>
        </w:r>
        <w:r>
          <w:rPr>
            <w:noProof/>
            <w:webHidden/>
          </w:rPr>
          <w:fldChar w:fldCharType="separate"/>
        </w:r>
        <w:r w:rsidR="00682EDD">
          <w:rPr>
            <w:noProof/>
            <w:webHidden/>
          </w:rPr>
          <w:t>57</w:t>
        </w:r>
        <w:r>
          <w:rPr>
            <w:noProof/>
            <w:webHidden/>
          </w:rPr>
          <w:fldChar w:fldCharType="end"/>
        </w:r>
      </w:hyperlink>
    </w:p>
    <w:p w14:paraId="6572805A" w14:textId="708DF85F"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908" w:history="1">
        <w:r w:rsidRPr="00286BD3">
          <w:rPr>
            <w:rStyle w:val="Hyperlink"/>
            <w:noProof/>
          </w:rPr>
          <w:t>Appendix B: Enterprise agreement implementation</w:t>
        </w:r>
        <w:r>
          <w:rPr>
            <w:noProof/>
            <w:webHidden/>
          </w:rPr>
          <w:tab/>
        </w:r>
        <w:r>
          <w:rPr>
            <w:noProof/>
            <w:webHidden/>
          </w:rPr>
          <w:fldChar w:fldCharType="begin"/>
        </w:r>
        <w:r>
          <w:rPr>
            <w:noProof/>
            <w:webHidden/>
          </w:rPr>
          <w:instrText xml:space="preserve"> PAGEREF _Toc219193908 \h </w:instrText>
        </w:r>
        <w:r>
          <w:rPr>
            <w:noProof/>
            <w:webHidden/>
          </w:rPr>
        </w:r>
        <w:r>
          <w:rPr>
            <w:noProof/>
            <w:webHidden/>
          </w:rPr>
          <w:fldChar w:fldCharType="separate"/>
        </w:r>
        <w:r w:rsidR="00682EDD">
          <w:rPr>
            <w:noProof/>
            <w:webHidden/>
          </w:rPr>
          <w:t>60</w:t>
        </w:r>
        <w:r>
          <w:rPr>
            <w:noProof/>
            <w:webHidden/>
          </w:rPr>
          <w:fldChar w:fldCharType="end"/>
        </w:r>
      </w:hyperlink>
    </w:p>
    <w:p w14:paraId="74B2DB07" w14:textId="74691435" w:rsidR="007C0AEF" w:rsidRDefault="007C0AEF">
      <w:pPr>
        <w:pStyle w:val="TOC2"/>
        <w:rPr>
          <w:rFonts w:asciiTheme="minorHAnsi" w:eastAsiaTheme="minorEastAsia" w:hAnsiTheme="minorHAnsi"/>
          <w:noProof/>
          <w:kern w:val="2"/>
          <w:sz w:val="24"/>
          <w:szCs w:val="24"/>
          <w:lang w:eastAsia="en-AU"/>
          <w14:ligatures w14:val="standardContextual"/>
        </w:rPr>
      </w:pPr>
      <w:hyperlink w:anchor="_Toc219193909" w:history="1">
        <w:r w:rsidRPr="00286BD3">
          <w:rPr>
            <w:rStyle w:val="Hyperlink"/>
            <w:noProof/>
          </w:rPr>
          <w:t xml:space="preserve">Appendix C: </w:t>
        </w:r>
        <w:r w:rsidRPr="00286BD3">
          <w:rPr>
            <w:rStyle w:val="Hyperlink"/>
            <w:i/>
            <w:iCs/>
            <w:noProof/>
          </w:rPr>
          <w:t xml:space="preserve">Fair Work Act </w:t>
        </w:r>
        <w:r w:rsidRPr="00286BD3">
          <w:rPr>
            <w:rStyle w:val="Hyperlink"/>
            <w:noProof/>
          </w:rPr>
          <w:t>- work value and equal remuneration processes</w:t>
        </w:r>
        <w:r>
          <w:rPr>
            <w:noProof/>
            <w:webHidden/>
          </w:rPr>
          <w:tab/>
        </w:r>
        <w:r>
          <w:rPr>
            <w:noProof/>
            <w:webHidden/>
          </w:rPr>
          <w:fldChar w:fldCharType="begin"/>
        </w:r>
        <w:r>
          <w:rPr>
            <w:noProof/>
            <w:webHidden/>
          </w:rPr>
          <w:instrText xml:space="preserve"> PAGEREF _Toc219193909 \h </w:instrText>
        </w:r>
        <w:r>
          <w:rPr>
            <w:noProof/>
            <w:webHidden/>
          </w:rPr>
        </w:r>
        <w:r>
          <w:rPr>
            <w:noProof/>
            <w:webHidden/>
          </w:rPr>
          <w:fldChar w:fldCharType="separate"/>
        </w:r>
        <w:r w:rsidR="00682EDD">
          <w:rPr>
            <w:noProof/>
            <w:webHidden/>
          </w:rPr>
          <w:t>63</w:t>
        </w:r>
        <w:r>
          <w:rPr>
            <w:noProof/>
            <w:webHidden/>
          </w:rPr>
          <w:fldChar w:fldCharType="end"/>
        </w:r>
      </w:hyperlink>
    </w:p>
    <w:p w14:paraId="15A9CC5B" w14:textId="0C898FAF" w:rsidR="0017134D" w:rsidRDefault="00AF1F18">
      <w:r>
        <w:rPr>
          <w:color w:val="2B579A"/>
          <w:shd w:val="clear" w:color="auto" w:fill="E6E6E6"/>
        </w:rPr>
        <w:fldChar w:fldCharType="end"/>
      </w:r>
      <w:r w:rsidR="0017134D">
        <w:br w:type="page"/>
      </w:r>
    </w:p>
    <w:p w14:paraId="2E11833F" w14:textId="77777777" w:rsidR="0017134D" w:rsidRPr="00AD631F" w:rsidRDefault="00185A52" w:rsidP="00AD631F">
      <w:pPr>
        <w:pStyle w:val="Heading2"/>
      </w:pPr>
      <w:bookmarkStart w:id="2" w:name="_Toc219193853"/>
      <w:r>
        <w:lastRenderedPageBreak/>
        <w:t>Key terms</w:t>
      </w:r>
      <w:bookmarkEnd w:id="2"/>
    </w:p>
    <w:tbl>
      <w:tblPr>
        <w:tblStyle w:val="EDU-Basic"/>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E2415C" w14:paraId="3CD6EA25" w14:textId="77777777" w:rsidTr="009209E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auto"/>
            <w:vAlign w:val="top"/>
          </w:tcPr>
          <w:p w14:paraId="75638AD4" w14:textId="5C50AACD" w:rsidR="00E2415C" w:rsidRPr="008C29EB" w:rsidRDefault="00E2415C" w:rsidP="00B045E3">
            <w:pPr>
              <w:spacing w:beforeAutospacing="0" w:after="100" w:afterAutospacing="0"/>
              <w:rPr>
                <w:rFonts w:asciiTheme="majorHAnsi" w:hAnsiTheme="majorHAnsi" w:cstheme="majorHAnsi"/>
                <w:b/>
                <w:bCs/>
                <w:sz w:val="20"/>
                <w:szCs w:val="20"/>
              </w:rPr>
            </w:pPr>
            <w:r w:rsidRPr="008C29EB">
              <w:rPr>
                <w:rFonts w:asciiTheme="majorHAnsi" w:hAnsiTheme="majorHAnsi" w:cstheme="majorHAnsi"/>
                <w:b/>
                <w:bCs/>
                <w:sz w:val="20"/>
                <w:szCs w:val="20"/>
              </w:rPr>
              <w:t>ACCC</w:t>
            </w:r>
          </w:p>
        </w:tc>
        <w:tc>
          <w:tcPr>
            <w:tcW w:w="0" w:type="dxa"/>
            <w:tcBorders>
              <w:top w:val="none" w:sz="0" w:space="0" w:color="auto"/>
              <w:left w:val="none" w:sz="0" w:space="0" w:color="auto"/>
              <w:bottom w:val="none" w:sz="0" w:space="0" w:color="auto"/>
              <w:right w:val="none" w:sz="0" w:space="0" w:color="auto"/>
            </w:tcBorders>
            <w:shd w:val="clear" w:color="auto" w:fill="auto"/>
            <w:vAlign w:val="top"/>
          </w:tcPr>
          <w:p w14:paraId="06D1E1FA" w14:textId="50D7D2F6" w:rsidR="00E2415C" w:rsidRPr="008C29EB" w:rsidRDefault="00E2415C" w:rsidP="00B045E3">
            <w:pPr>
              <w:spacing w:beforeAutospacing="0" w:after="100" w:afterAutospacing="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29EB">
              <w:rPr>
                <w:rFonts w:asciiTheme="majorHAnsi" w:hAnsiTheme="majorHAnsi" w:cstheme="majorHAnsi"/>
                <w:sz w:val="20"/>
                <w:szCs w:val="20"/>
              </w:rPr>
              <w:t xml:space="preserve">The Australian Competition and Consumer Commission (ACCC) is an independent Commonwealth statutory authority. The ACCC enforces the </w:t>
            </w:r>
            <w:r w:rsidRPr="008C29EB">
              <w:rPr>
                <w:rFonts w:asciiTheme="majorHAnsi" w:hAnsiTheme="majorHAnsi" w:cstheme="majorHAnsi"/>
                <w:i/>
                <w:iCs/>
                <w:sz w:val="20"/>
                <w:szCs w:val="20"/>
              </w:rPr>
              <w:t xml:space="preserve">Competition and Consumer Act 2010 </w:t>
            </w:r>
            <w:r w:rsidRPr="008C29EB">
              <w:rPr>
                <w:rFonts w:asciiTheme="majorHAnsi" w:hAnsiTheme="majorHAnsi" w:cstheme="majorHAnsi"/>
                <w:sz w:val="20"/>
                <w:szCs w:val="20"/>
              </w:rPr>
              <w:t>and other legislation promoting competition and fair trading and regulate national infrastructure, for the benefit of all Australians.</w:t>
            </w:r>
          </w:p>
        </w:tc>
      </w:tr>
      <w:tr w:rsidR="004D72BB" w14:paraId="7AED0BD8" w14:textId="77777777" w:rsidTr="009209EE">
        <w:trPr>
          <w:trHeight w:val="700"/>
        </w:trPr>
        <w:tc>
          <w:tcPr>
            <w:cnfStyle w:val="001000000000" w:firstRow="0" w:lastRow="0" w:firstColumn="1" w:lastColumn="0" w:oddVBand="0" w:evenVBand="0" w:oddHBand="0" w:evenHBand="0" w:firstRowFirstColumn="0" w:firstRowLastColumn="0" w:lastRowFirstColumn="0" w:lastRowLastColumn="0"/>
            <w:tcW w:w="0" w:type="dxa"/>
            <w:vAlign w:val="top"/>
          </w:tcPr>
          <w:p w14:paraId="59C1627B" w14:textId="59146BF4" w:rsidR="004D72BB" w:rsidRPr="008C29EB" w:rsidRDefault="00C35565" w:rsidP="00B045E3">
            <w:pPr>
              <w:spacing w:after="100"/>
              <w:rPr>
                <w:rFonts w:asciiTheme="majorHAnsi" w:hAnsiTheme="majorHAnsi" w:cstheme="majorHAnsi"/>
                <w:b/>
                <w:bCs/>
                <w:sz w:val="20"/>
                <w:szCs w:val="20"/>
              </w:rPr>
            </w:pPr>
            <w:r>
              <w:rPr>
                <w:rFonts w:asciiTheme="majorHAnsi" w:hAnsiTheme="majorHAnsi" w:cstheme="majorHAnsi"/>
                <w:b/>
                <w:bCs/>
                <w:sz w:val="20"/>
                <w:szCs w:val="20"/>
              </w:rPr>
              <w:t>AWR</w:t>
            </w:r>
          </w:p>
        </w:tc>
        <w:tc>
          <w:tcPr>
            <w:tcW w:w="0" w:type="dxa"/>
            <w:vAlign w:val="top"/>
          </w:tcPr>
          <w:p w14:paraId="6AEC00F1" w14:textId="5641C33E" w:rsidR="004D72BB" w:rsidRPr="007D5715" w:rsidRDefault="00C35565" w:rsidP="00B045E3">
            <w:pPr>
              <w:spacing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sz w:val="20"/>
                <w:szCs w:val="20"/>
              </w:rPr>
              <w:t xml:space="preserve">The </w:t>
            </w:r>
            <w:r w:rsidR="00627BA3">
              <w:rPr>
                <w:rFonts w:asciiTheme="majorHAnsi" w:hAnsiTheme="majorHAnsi" w:cstheme="majorHAnsi"/>
                <w:sz w:val="20"/>
                <w:szCs w:val="20"/>
              </w:rPr>
              <w:t>A</w:t>
            </w:r>
            <w:r>
              <w:rPr>
                <w:rFonts w:asciiTheme="majorHAnsi" w:hAnsiTheme="majorHAnsi" w:cstheme="majorHAnsi"/>
                <w:sz w:val="20"/>
                <w:szCs w:val="20"/>
              </w:rPr>
              <w:t xml:space="preserve">nnual </w:t>
            </w:r>
            <w:r w:rsidR="00627BA3">
              <w:rPr>
                <w:rFonts w:asciiTheme="majorHAnsi" w:hAnsiTheme="majorHAnsi" w:cstheme="majorHAnsi"/>
                <w:sz w:val="20"/>
                <w:szCs w:val="20"/>
              </w:rPr>
              <w:t>W</w:t>
            </w:r>
            <w:r>
              <w:rPr>
                <w:rFonts w:asciiTheme="majorHAnsi" w:hAnsiTheme="majorHAnsi" w:cstheme="majorHAnsi"/>
                <w:sz w:val="20"/>
                <w:szCs w:val="20"/>
              </w:rPr>
              <w:t xml:space="preserve">age </w:t>
            </w:r>
            <w:r w:rsidR="00627BA3">
              <w:rPr>
                <w:rFonts w:asciiTheme="majorHAnsi" w:hAnsiTheme="majorHAnsi" w:cstheme="majorHAnsi"/>
                <w:sz w:val="20"/>
                <w:szCs w:val="20"/>
              </w:rPr>
              <w:t>R</w:t>
            </w:r>
            <w:r>
              <w:rPr>
                <w:rFonts w:asciiTheme="majorHAnsi" w:hAnsiTheme="majorHAnsi" w:cstheme="majorHAnsi"/>
                <w:sz w:val="20"/>
                <w:szCs w:val="20"/>
              </w:rPr>
              <w:t>eview</w:t>
            </w:r>
            <w:r w:rsidR="00627BA3">
              <w:rPr>
                <w:rFonts w:asciiTheme="majorHAnsi" w:hAnsiTheme="majorHAnsi" w:cstheme="majorHAnsi"/>
                <w:sz w:val="20"/>
                <w:szCs w:val="20"/>
              </w:rPr>
              <w:t xml:space="preserve"> (AWR)</w:t>
            </w:r>
            <w:r>
              <w:rPr>
                <w:rFonts w:asciiTheme="majorHAnsi" w:hAnsiTheme="majorHAnsi" w:cstheme="majorHAnsi"/>
                <w:sz w:val="20"/>
                <w:szCs w:val="20"/>
              </w:rPr>
              <w:t xml:space="preserve"> is conducted by an expert panel of the Fair Work Commission which sets minimum wages for employees in the national workplace relations system each year.</w:t>
            </w:r>
            <w:r w:rsidR="00447A1C">
              <w:rPr>
                <w:rFonts w:asciiTheme="majorHAnsi" w:hAnsiTheme="majorHAnsi" w:cstheme="majorHAnsi"/>
                <w:sz w:val="20"/>
                <w:szCs w:val="20"/>
              </w:rPr>
              <w:t xml:space="preserve"> The objectives of the review are set out in the </w:t>
            </w:r>
            <w:r w:rsidR="00447A1C">
              <w:rPr>
                <w:rFonts w:asciiTheme="majorHAnsi" w:hAnsiTheme="majorHAnsi" w:cstheme="majorHAnsi"/>
                <w:i/>
                <w:iCs/>
                <w:sz w:val="20"/>
                <w:szCs w:val="20"/>
              </w:rPr>
              <w:t>Fair Work Act 2009.</w:t>
            </w:r>
          </w:p>
        </w:tc>
      </w:tr>
      <w:tr w:rsidR="00C80FC1" w14:paraId="1C0B07CB" w14:textId="77777777" w:rsidTr="00127754">
        <w:trPr>
          <w:trHeight w:val="977"/>
        </w:trPr>
        <w:tc>
          <w:tcPr>
            <w:cnfStyle w:val="001000000000" w:firstRow="0" w:lastRow="0" w:firstColumn="1" w:lastColumn="0" w:oddVBand="0" w:evenVBand="0" w:oddHBand="0" w:evenHBand="0" w:firstRowFirstColumn="0" w:firstRowLastColumn="0" w:lastRowFirstColumn="0" w:lastRowLastColumn="0"/>
            <w:tcW w:w="0" w:type="dxa"/>
            <w:vAlign w:val="top"/>
          </w:tcPr>
          <w:p w14:paraId="1BE15B5F" w14:textId="77777777" w:rsidR="00185A52" w:rsidRPr="008C29EB" w:rsidRDefault="00185A52" w:rsidP="00B045E3">
            <w:pPr>
              <w:spacing w:beforeAutospacing="0" w:after="100" w:afterAutospacing="0"/>
              <w:rPr>
                <w:rFonts w:asciiTheme="majorHAnsi" w:hAnsiTheme="majorHAnsi" w:cstheme="majorHAnsi"/>
                <w:b/>
                <w:bCs/>
                <w:sz w:val="20"/>
                <w:szCs w:val="20"/>
              </w:rPr>
            </w:pPr>
            <w:r w:rsidRPr="008C29EB">
              <w:rPr>
                <w:rFonts w:asciiTheme="majorHAnsi" w:hAnsiTheme="majorHAnsi" w:cstheme="majorHAnsi"/>
                <w:b/>
                <w:bCs/>
                <w:sz w:val="20"/>
                <w:szCs w:val="20"/>
              </w:rPr>
              <w:t>Cheaper Child Care</w:t>
            </w:r>
          </w:p>
        </w:tc>
        <w:tc>
          <w:tcPr>
            <w:tcW w:w="0" w:type="dxa"/>
            <w:vAlign w:val="top"/>
          </w:tcPr>
          <w:p w14:paraId="2F7AFB64" w14:textId="6639BAB2" w:rsidR="00185A52" w:rsidRPr="008C29EB" w:rsidRDefault="00657317"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29EB">
              <w:rPr>
                <w:rFonts w:asciiTheme="majorHAnsi" w:hAnsiTheme="majorHAnsi" w:cstheme="majorHAnsi"/>
                <w:sz w:val="20"/>
                <w:szCs w:val="20"/>
              </w:rPr>
              <w:t xml:space="preserve">The </w:t>
            </w:r>
            <w:r w:rsidR="00185A52" w:rsidRPr="008C29EB">
              <w:rPr>
                <w:rFonts w:asciiTheme="majorHAnsi" w:hAnsiTheme="majorHAnsi" w:cstheme="majorHAnsi"/>
                <w:i/>
                <w:iCs/>
                <w:sz w:val="20"/>
                <w:szCs w:val="20"/>
              </w:rPr>
              <w:t>Family Assistance Legislation Amendment (Cheaper Child Care)</w:t>
            </w:r>
            <w:r w:rsidRPr="008C29EB">
              <w:rPr>
                <w:rFonts w:asciiTheme="majorHAnsi" w:hAnsiTheme="majorHAnsi" w:cstheme="majorHAnsi"/>
                <w:i/>
                <w:iCs/>
                <w:sz w:val="20"/>
                <w:szCs w:val="20"/>
              </w:rPr>
              <w:t xml:space="preserve"> Act 2002 </w:t>
            </w:r>
            <w:r w:rsidR="00495C72">
              <w:rPr>
                <w:rFonts w:asciiTheme="majorHAnsi" w:hAnsiTheme="majorHAnsi" w:cstheme="majorHAnsi"/>
                <w:sz w:val="20"/>
                <w:szCs w:val="20"/>
              </w:rPr>
              <w:t xml:space="preserve">was implemented in 2023, giving </w:t>
            </w:r>
            <w:r w:rsidRPr="008C29EB">
              <w:rPr>
                <w:rFonts w:asciiTheme="majorHAnsi" w:hAnsiTheme="majorHAnsi" w:cstheme="majorHAnsi"/>
                <w:sz w:val="20"/>
                <w:szCs w:val="20"/>
              </w:rPr>
              <w:t>effect to the Australian Government’s plan to make early childhood education and care more affordable for families</w:t>
            </w:r>
            <w:r w:rsidR="00495C72">
              <w:rPr>
                <w:rFonts w:asciiTheme="majorHAnsi" w:hAnsiTheme="majorHAnsi" w:cstheme="majorHAnsi"/>
                <w:sz w:val="20"/>
                <w:szCs w:val="20"/>
              </w:rPr>
              <w:t>.</w:t>
            </w:r>
          </w:p>
        </w:tc>
      </w:tr>
      <w:tr w:rsidR="00C80FC1" w14:paraId="384DE48A" w14:textId="77777777" w:rsidTr="00E2415C">
        <w:trPr>
          <w:trHeight w:val="988"/>
        </w:trPr>
        <w:tc>
          <w:tcPr>
            <w:cnfStyle w:val="001000000000" w:firstRow="0" w:lastRow="0" w:firstColumn="1" w:lastColumn="0" w:oddVBand="0" w:evenVBand="0" w:oddHBand="0" w:evenHBand="0" w:firstRowFirstColumn="0" w:firstRowLastColumn="0" w:lastRowFirstColumn="0" w:lastRowLastColumn="0"/>
            <w:tcW w:w="2263" w:type="dxa"/>
            <w:vAlign w:val="top"/>
          </w:tcPr>
          <w:p w14:paraId="6E36AFC4" w14:textId="77777777" w:rsidR="00185A52" w:rsidRPr="008C29EB" w:rsidRDefault="00657317" w:rsidP="00B045E3">
            <w:pPr>
              <w:spacing w:beforeAutospacing="0" w:after="100" w:afterAutospacing="0"/>
              <w:rPr>
                <w:rFonts w:asciiTheme="majorHAnsi" w:hAnsiTheme="majorHAnsi" w:cstheme="majorHAnsi"/>
                <w:b/>
                <w:bCs/>
                <w:sz w:val="20"/>
                <w:szCs w:val="20"/>
              </w:rPr>
            </w:pPr>
            <w:r w:rsidRPr="008C29EB">
              <w:rPr>
                <w:rFonts w:asciiTheme="majorHAnsi" w:hAnsiTheme="majorHAnsi" w:cstheme="majorHAnsi"/>
                <w:b/>
                <w:bCs/>
                <w:sz w:val="20"/>
                <w:szCs w:val="20"/>
              </w:rPr>
              <w:t>CCS</w:t>
            </w:r>
          </w:p>
        </w:tc>
        <w:tc>
          <w:tcPr>
            <w:tcW w:w="6753" w:type="dxa"/>
            <w:vAlign w:val="top"/>
          </w:tcPr>
          <w:p w14:paraId="4301D4CF" w14:textId="7F0792E4" w:rsidR="0043781E" w:rsidRPr="008C29EB" w:rsidRDefault="00657317"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C29EB">
              <w:rPr>
                <w:rFonts w:asciiTheme="majorHAnsi" w:hAnsiTheme="majorHAnsi" w:cstheme="majorHAnsi"/>
                <w:sz w:val="20"/>
                <w:szCs w:val="20"/>
              </w:rPr>
              <w:t>The Child Care Subsidy (CCS) was introduced in July 2018</w:t>
            </w:r>
            <w:r w:rsidR="00E653AC">
              <w:rPr>
                <w:rFonts w:asciiTheme="majorHAnsi" w:hAnsiTheme="majorHAnsi" w:cstheme="majorHAnsi"/>
                <w:sz w:val="20"/>
                <w:szCs w:val="20"/>
              </w:rPr>
              <w:t xml:space="preserve">. </w:t>
            </w:r>
            <w:r w:rsidR="00EC72FE">
              <w:rPr>
                <w:rFonts w:asciiTheme="majorHAnsi" w:hAnsiTheme="majorHAnsi" w:cstheme="majorHAnsi"/>
                <w:sz w:val="20"/>
                <w:szCs w:val="20"/>
              </w:rPr>
              <w:t>Replacing the</w:t>
            </w:r>
            <w:r w:rsidR="00E653AC">
              <w:rPr>
                <w:rFonts w:asciiTheme="majorHAnsi" w:hAnsiTheme="majorHAnsi" w:cstheme="majorHAnsi"/>
                <w:sz w:val="20"/>
                <w:szCs w:val="20"/>
              </w:rPr>
              <w:t xml:space="preserve"> previous </w:t>
            </w:r>
            <w:r w:rsidR="0043781E">
              <w:rPr>
                <w:rFonts w:asciiTheme="majorHAnsi" w:hAnsiTheme="majorHAnsi" w:cstheme="majorHAnsi"/>
                <w:sz w:val="20"/>
                <w:szCs w:val="20"/>
              </w:rPr>
              <w:t xml:space="preserve">Child Care Benefit and Child Care Rebate </w:t>
            </w:r>
            <w:r w:rsidR="00EC72FE">
              <w:rPr>
                <w:rFonts w:asciiTheme="majorHAnsi" w:hAnsiTheme="majorHAnsi" w:cstheme="majorHAnsi"/>
                <w:sz w:val="20"/>
                <w:szCs w:val="20"/>
              </w:rPr>
              <w:t xml:space="preserve">Government subsidy </w:t>
            </w:r>
            <w:r w:rsidR="0043781E">
              <w:rPr>
                <w:rFonts w:asciiTheme="majorHAnsi" w:hAnsiTheme="majorHAnsi" w:cstheme="majorHAnsi"/>
                <w:sz w:val="20"/>
                <w:szCs w:val="20"/>
              </w:rPr>
              <w:t xml:space="preserve">payments, it </w:t>
            </w:r>
            <w:r w:rsidRPr="008C29EB">
              <w:rPr>
                <w:rFonts w:asciiTheme="majorHAnsi" w:hAnsiTheme="majorHAnsi" w:cstheme="majorHAnsi"/>
                <w:sz w:val="20"/>
                <w:szCs w:val="20"/>
              </w:rPr>
              <w:t xml:space="preserve">helps cover the cost of </w:t>
            </w:r>
            <w:r w:rsidR="001D3D79">
              <w:rPr>
                <w:rFonts w:asciiTheme="majorHAnsi" w:hAnsiTheme="majorHAnsi" w:cstheme="majorHAnsi"/>
                <w:sz w:val="20"/>
                <w:szCs w:val="20"/>
              </w:rPr>
              <w:t>early childhood education and care</w:t>
            </w:r>
            <w:r w:rsidRPr="008C29EB">
              <w:rPr>
                <w:rFonts w:asciiTheme="majorHAnsi" w:hAnsiTheme="majorHAnsi" w:cstheme="majorHAnsi"/>
                <w:sz w:val="20"/>
                <w:szCs w:val="20"/>
              </w:rPr>
              <w:t xml:space="preserve"> for Australian families, with the subsidy amount varying dependant on family income.</w:t>
            </w:r>
          </w:p>
        </w:tc>
      </w:tr>
      <w:tr w:rsidR="00C80FC1" w14:paraId="2446BEDA" w14:textId="77777777" w:rsidTr="00E2415C">
        <w:trPr>
          <w:trHeight w:val="545"/>
        </w:trPr>
        <w:tc>
          <w:tcPr>
            <w:cnfStyle w:val="001000000000" w:firstRow="0" w:lastRow="0" w:firstColumn="1" w:lastColumn="0" w:oddVBand="0" w:evenVBand="0" w:oddHBand="0" w:evenHBand="0" w:firstRowFirstColumn="0" w:firstRowLastColumn="0" w:lastRowFirstColumn="0" w:lastRowLastColumn="0"/>
            <w:tcW w:w="2263" w:type="dxa"/>
            <w:vAlign w:val="top"/>
          </w:tcPr>
          <w:p w14:paraId="1F4545B8" w14:textId="77777777" w:rsidR="000D4F20" w:rsidRPr="008C29EB" w:rsidRDefault="000D4F20"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ECT</w:t>
            </w:r>
          </w:p>
        </w:tc>
        <w:tc>
          <w:tcPr>
            <w:tcW w:w="6753" w:type="dxa"/>
            <w:vAlign w:val="top"/>
          </w:tcPr>
          <w:p w14:paraId="3F90778A" w14:textId="42AC85A2" w:rsidR="000D4F20" w:rsidRPr="008C29EB" w:rsidRDefault="000D4F20"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An Early Childhood Teacher.</w:t>
            </w:r>
          </w:p>
        </w:tc>
      </w:tr>
      <w:tr w:rsidR="00C80FC1" w14:paraId="7DB7574F" w14:textId="77777777" w:rsidTr="00E2415C">
        <w:trPr>
          <w:trHeight w:val="707"/>
        </w:trPr>
        <w:tc>
          <w:tcPr>
            <w:cnfStyle w:val="001000000000" w:firstRow="0" w:lastRow="0" w:firstColumn="1" w:lastColumn="0" w:oddVBand="0" w:evenVBand="0" w:oddHBand="0" w:evenHBand="0" w:firstRowFirstColumn="0" w:firstRowLastColumn="0" w:lastRowFirstColumn="0" w:lastRowLastColumn="0"/>
            <w:tcW w:w="2263" w:type="dxa"/>
            <w:vAlign w:val="top"/>
          </w:tcPr>
          <w:p w14:paraId="4914833E" w14:textId="609B4151" w:rsidR="00F876A5"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FDC</w:t>
            </w:r>
          </w:p>
        </w:tc>
        <w:tc>
          <w:tcPr>
            <w:tcW w:w="6753" w:type="dxa"/>
            <w:vAlign w:val="top"/>
          </w:tcPr>
          <w:p w14:paraId="32FBB764" w14:textId="3F25B072" w:rsidR="00F876A5" w:rsidRDefault="00F876A5"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Family Day Care (FDC) is a type of </w:t>
            </w:r>
            <w:r w:rsidR="0015540C">
              <w:rPr>
                <w:rFonts w:asciiTheme="majorHAnsi" w:hAnsiTheme="majorHAnsi" w:cstheme="majorHAnsi"/>
                <w:sz w:val="20"/>
                <w:szCs w:val="20"/>
              </w:rPr>
              <w:t>early childhood education and care</w:t>
            </w:r>
            <w:r>
              <w:rPr>
                <w:rFonts w:asciiTheme="majorHAnsi" w:hAnsiTheme="majorHAnsi" w:cstheme="majorHAnsi"/>
                <w:sz w:val="20"/>
                <w:szCs w:val="20"/>
              </w:rPr>
              <w:t xml:space="preserve"> usually provided in the home of an educator.</w:t>
            </w:r>
          </w:p>
        </w:tc>
      </w:tr>
      <w:tr w:rsidR="00DD1595" w14:paraId="2C06CDBE" w14:textId="77777777" w:rsidTr="00AC18C1">
        <w:trPr>
          <w:trHeight w:val="1130"/>
        </w:trPr>
        <w:tc>
          <w:tcPr>
            <w:cnfStyle w:val="001000000000" w:firstRow="0" w:lastRow="0" w:firstColumn="1" w:lastColumn="0" w:oddVBand="0" w:evenVBand="0" w:oddHBand="0" w:evenHBand="0" w:firstRowFirstColumn="0" w:firstRowLastColumn="0" w:lastRowFirstColumn="0" w:lastRowLastColumn="0"/>
            <w:tcW w:w="0" w:type="dxa"/>
            <w:vAlign w:val="top"/>
          </w:tcPr>
          <w:p w14:paraId="47356A81" w14:textId="760D9991" w:rsidR="00447A1C" w:rsidRDefault="00447A1C" w:rsidP="00B045E3">
            <w:pPr>
              <w:spacing w:after="100"/>
              <w:rPr>
                <w:rFonts w:asciiTheme="majorHAnsi" w:hAnsiTheme="majorHAnsi" w:cstheme="majorHAnsi"/>
                <w:b/>
                <w:bCs/>
                <w:sz w:val="20"/>
                <w:szCs w:val="20"/>
              </w:rPr>
            </w:pPr>
            <w:r>
              <w:rPr>
                <w:rFonts w:asciiTheme="majorHAnsi" w:hAnsiTheme="majorHAnsi" w:cstheme="majorHAnsi"/>
                <w:b/>
                <w:bCs/>
                <w:sz w:val="20"/>
                <w:szCs w:val="20"/>
              </w:rPr>
              <w:t>Gender pay equity</w:t>
            </w:r>
          </w:p>
        </w:tc>
        <w:tc>
          <w:tcPr>
            <w:tcW w:w="0" w:type="dxa"/>
            <w:vAlign w:val="top"/>
          </w:tcPr>
          <w:p w14:paraId="6743B86B" w14:textId="38127BA9" w:rsidR="00AC18C1" w:rsidRDefault="00447A1C" w:rsidP="00B045E3">
            <w:pPr>
              <w:spacing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Gender pay equity involves ensuring equal remuneration for work of equal or comparable value and eliminating gender-based undervaluation of work. </w:t>
            </w:r>
            <w:r w:rsidR="00DE1425">
              <w:rPr>
                <w:rFonts w:asciiTheme="majorHAnsi" w:hAnsiTheme="majorHAnsi" w:cstheme="majorHAnsi"/>
                <w:sz w:val="20"/>
                <w:szCs w:val="20"/>
              </w:rPr>
              <w:t xml:space="preserve">Under the </w:t>
            </w:r>
            <w:r w:rsidR="00DE1425">
              <w:rPr>
                <w:rFonts w:asciiTheme="majorHAnsi" w:hAnsiTheme="majorHAnsi" w:cstheme="majorHAnsi"/>
                <w:i/>
                <w:iCs/>
                <w:sz w:val="20"/>
                <w:szCs w:val="20"/>
              </w:rPr>
              <w:t xml:space="preserve">Fair Work Act 2009, </w:t>
            </w:r>
            <w:r w:rsidR="00DE1425">
              <w:rPr>
                <w:rFonts w:asciiTheme="majorHAnsi" w:hAnsiTheme="majorHAnsi" w:cstheme="majorHAnsi"/>
                <w:sz w:val="20"/>
                <w:szCs w:val="20"/>
              </w:rPr>
              <w:t>the Fair Work Commission must consider the promotion of gender equality when performing functions and exercising powers.</w:t>
            </w:r>
          </w:p>
        </w:tc>
      </w:tr>
      <w:tr w:rsidR="00DD1595" w14:paraId="5E3D8112" w14:textId="77777777" w:rsidTr="00EA4B24">
        <w:trPr>
          <w:trHeight w:val="565"/>
        </w:trPr>
        <w:tc>
          <w:tcPr>
            <w:cnfStyle w:val="001000000000" w:firstRow="0" w:lastRow="0" w:firstColumn="1" w:lastColumn="0" w:oddVBand="0" w:evenVBand="0" w:oddHBand="0" w:evenHBand="0" w:firstRowFirstColumn="0" w:firstRowLastColumn="0" w:lastRowFirstColumn="0" w:lastRowLastColumn="0"/>
            <w:tcW w:w="0" w:type="dxa"/>
            <w:vAlign w:val="top"/>
          </w:tcPr>
          <w:p w14:paraId="3EE88B7A" w14:textId="1D638AE4" w:rsidR="009561EA" w:rsidRDefault="009561EA" w:rsidP="00B045E3">
            <w:pPr>
              <w:spacing w:after="100"/>
              <w:rPr>
                <w:rFonts w:asciiTheme="majorHAnsi" w:hAnsiTheme="majorHAnsi" w:cstheme="majorHAnsi"/>
                <w:b/>
                <w:bCs/>
                <w:sz w:val="20"/>
                <w:szCs w:val="20"/>
              </w:rPr>
            </w:pPr>
            <w:r>
              <w:rPr>
                <w:rFonts w:asciiTheme="majorHAnsi" w:hAnsiTheme="majorHAnsi" w:cstheme="majorHAnsi"/>
                <w:b/>
                <w:bCs/>
                <w:sz w:val="20"/>
                <w:szCs w:val="20"/>
              </w:rPr>
              <w:t>Gender undervaluation</w:t>
            </w:r>
          </w:p>
        </w:tc>
        <w:tc>
          <w:tcPr>
            <w:tcW w:w="0" w:type="dxa"/>
            <w:vAlign w:val="top"/>
          </w:tcPr>
          <w:p w14:paraId="7A3BABDF" w14:textId="149661A8" w:rsidR="009561EA" w:rsidRDefault="00AC18C1" w:rsidP="00B045E3">
            <w:pPr>
              <w:spacing w:after="10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Work value practices that are impacted by gender and which contribute to </w:t>
            </w:r>
            <w:r w:rsidR="00063E7A">
              <w:rPr>
                <w:rFonts w:asciiTheme="majorHAnsi" w:hAnsiTheme="majorHAnsi" w:cstheme="majorHAnsi"/>
                <w:sz w:val="20"/>
                <w:szCs w:val="20"/>
              </w:rPr>
              <w:t>a failure</w:t>
            </w:r>
            <w:r w:rsidR="00EA4B24">
              <w:rPr>
                <w:rFonts w:asciiTheme="majorHAnsi" w:hAnsiTheme="majorHAnsi" w:cstheme="majorHAnsi"/>
                <w:sz w:val="20"/>
                <w:szCs w:val="20"/>
              </w:rPr>
              <w:t xml:space="preserve"> to recognise work value in assigned wages.</w:t>
            </w:r>
          </w:p>
        </w:tc>
      </w:tr>
      <w:tr w:rsidR="00C80FC1" w14:paraId="7B0E1A23" w14:textId="77777777" w:rsidTr="00E2415C">
        <w:trPr>
          <w:trHeight w:val="993"/>
        </w:trPr>
        <w:tc>
          <w:tcPr>
            <w:cnfStyle w:val="001000000000" w:firstRow="0" w:lastRow="0" w:firstColumn="1" w:lastColumn="0" w:oddVBand="0" w:evenVBand="0" w:oddHBand="0" w:evenHBand="0" w:firstRowFirstColumn="0" w:firstRowLastColumn="0" w:lastRowFirstColumn="0" w:lastRowLastColumn="0"/>
            <w:tcW w:w="2263" w:type="dxa"/>
            <w:vAlign w:val="top"/>
          </w:tcPr>
          <w:p w14:paraId="7D9D65AF" w14:textId="23EECE19" w:rsidR="000D4F20"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HRC</w:t>
            </w:r>
          </w:p>
        </w:tc>
        <w:tc>
          <w:tcPr>
            <w:tcW w:w="6753" w:type="dxa"/>
            <w:vAlign w:val="top"/>
          </w:tcPr>
          <w:p w14:paraId="1A52F1AC" w14:textId="1B654FE7" w:rsidR="000D4F20" w:rsidRDefault="000D4F20"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The hourly rate caps (HRC) place an upper limit on the amount of CCS the Australian Government will provide for sessions of care delivered by each type of approved </w:t>
            </w:r>
            <w:r w:rsidR="0015540C">
              <w:rPr>
                <w:rFonts w:asciiTheme="majorHAnsi" w:hAnsiTheme="majorHAnsi" w:cstheme="majorHAnsi"/>
                <w:sz w:val="20"/>
                <w:szCs w:val="20"/>
              </w:rPr>
              <w:t>early childhood education and care</w:t>
            </w:r>
            <w:r>
              <w:rPr>
                <w:rFonts w:asciiTheme="majorHAnsi" w:hAnsiTheme="majorHAnsi" w:cstheme="majorHAnsi"/>
                <w:sz w:val="20"/>
                <w:szCs w:val="20"/>
              </w:rPr>
              <w:t xml:space="preserve"> service. </w:t>
            </w:r>
          </w:p>
        </w:tc>
      </w:tr>
      <w:tr w:rsidR="00C80FC1" w14:paraId="43FB820E" w14:textId="77777777" w:rsidTr="00E2415C">
        <w:trPr>
          <w:trHeight w:val="993"/>
        </w:trPr>
        <w:tc>
          <w:tcPr>
            <w:cnfStyle w:val="001000000000" w:firstRow="0" w:lastRow="0" w:firstColumn="1" w:lastColumn="0" w:oddVBand="0" w:evenVBand="0" w:oddHBand="0" w:evenHBand="0" w:firstRowFirstColumn="0" w:firstRowLastColumn="0" w:lastRowFirstColumn="0" w:lastRowLastColumn="0"/>
            <w:tcW w:w="2263" w:type="dxa"/>
            <w:vAlign w:val="top"/>
          </w:tcPr>
          <w:p w14:paraId="670DBBEE" w14:textId="18B71AF3" w:rsidR="00F876A5"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IHC</w:t>
            </w:r>
          </w:p>
        </w:tc>
        <w:tc>
          <w:tcPr>
            <w:tcW w:w="6753" w:type="dxa"/>
            <w:vAlign w:val="top"/>
          </w:tcPr>
          <w:p w14:paraId="14EF862F" w14:textId="4391A170" w:rsidR="00F876A5" w:rsidRDefault="00F876A5"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 Home Care (IHC) is a flexible form of early childhood education and care where an educator provides care in the child’s home. It is restricted to families who can’t access other forms of </w:t>
            </w:r>
            <w:r w:rsidR="004344A5">
              <w:rPr>
                <w:rFonts w:asciiTheme="majorHAnsi" w:hAnsiTheme="majorHAnsi" w:cstheme="majorHAnsi"/>
                <w:sz w:val="20"/>
                <w:szCs w:val="20"/>
              </w:rPr>
              <w:t>support.</w:t>
            </w:r>
          </w:p>
        </w:tc>
      </w:tr>
      <w:tr w:rsidR="00205E23" w14:paraId="4CC3F6C1" w14:textId="77777777" w:rsidTr="00E2415C">
        <w:trPr>
          <w:trHeight w:val="993"/>
        </w:trPr>
        <w:tc>
          <w:tcPr>
            <w:cnfStyle w:val="001000000000" w:firstRow="0" w:lastRow="0" w:firstColumn="1" w:lastColumn="0" w:oddVBand="0" w:evenVBand="0" w:oddHBand="0" w:evenHBand="0" w:firstRowFirstColumn="0" w:firstRowLastColumn="0" w:lastRowFirstColumn="0" w:lastRowLastColumn="0"/>
            <w:tcW w:w="2263" w:type="dxa"/>
            <w:vAlign w:val="top"/>
          </w:tcPr>
          <w:p w14:paraId="29483DE8" w14:textId="44EB1244" w:rsidR="00205E23"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LDC</w:t>
            </w:r>
          </w:p>
        </w:tc>
        <w:tc>
          <w:tcPr>
            <w:tcW w:w="6753" w:type="dxa"/>
            <w:vAlign w:val="top"/>
          </w:tcPr>
          <w:p w14:paraId="537BBB0E" w14:textId="75FF3F2C" w:rsidR="00205E23" w:rsidRDefault="000B119E"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Long Day Care</w:t>
            </w:r>
            <w:r w:rsidR="00C5025A">
              <w:rPr>
                <w:rFonts w:asciiTheme="majorHAnsi" w:hAnsiTheme="majorHAnsi" w:cstheme="majorHAnsi"/>
                <w:sz w:val="20"/>
                <w:szCs w:val="20"/>
              </w:rPr>
              <w:t xml:space="preserve"> (LDC)</w:t>
            </w:r>
            <w:r>
              <w:rPr>
                <w:rFonts w:asciiTheme="majorHAnsi" w:hAnsiTheme="majorHAnsi" w:cstheme="majorHAnsi"/>
                <w:sz w:val="20"/>
                <w:szCs w:val="20"/>
              </w:rPr>
              <w:t>, a</w:t>
            </w:r>
            <w:r w:rsidR="00205E23">
              <w:rPr>
                <w:rFonts w:asciiTheme="majorHAnsi" w:hAnsiTheme="majorHAnsi" w:cstheme="majorHAnsi"/>
                <w:sz w:val="20"/>
                <w:szCs w:val="20"/>
              </w:rPr>
              <w:t xml:space="preserve">lso known as Centre-Based Day </w:t>
            </w:r>
            <w:r w:rsidR="00BD4A76">
              <w:rPr>
                <w:rFonts w:asciiTheme="majorHAnsi" w:hAnsiTheme="majorHAnsi" w:cstheme="majorHAnsi"/>
                <w:sz w:val="20"/>
                <w:szCs w:val="20"/>
              </w:rPr>
              <w:t>C</w:t>
            </w:r>
            <w:r w:rsidR="00205E23">
              <w:rPr>
                <w:rFonts w:asciiTheme="majorHAnsi" w:hAnsiTheme="majorHAnsi" w:cstheme="majorHAnsi"/>
                <w:sz w:val="20"/>
                <w:szCs w:val="20"/>
              </w:rPr>
              <w:t>are</w:t>
            </w:r>
            <w:r w:rsidR="00C5025A">
              <w:rPr>
                <w:rFonts w:asciiTheme="majorHAnsi" w:hAnsiTheme="majorHAnsi" w:cstheme="majorHAnsi"/>
                <w:sz w:val="20"/>
                <w:szCs w:val="20"/>
              </w:rPr>
              <w:t xml:space="preserve"> (CBDC)</w:t>
            </w:r>
            <w:r w:rsidR="00205E23">
              <w:rPr>
                <w:rFonts w:asciiTheme="majorHAnsi" w:hAnsiTheme="majorHAnsi" w:cstheme="majorHAnsi"/>
                <w:sz w:val="20"/>
                <w:szCs w:val="20"/>
              </w:rPr>
              <w:t>, is a service that is typically provided in centres approved by regulators to provide quality early childhood education and care.</w:t>
            </w:r>
          </w:p>
        </w:tc>
      </w:tr>
      <w:tr w:rsidR="00C80FC1" w:rsidRPr="008C29EB" w14:paraId="5DA96C8C" w14:textId="77777777" w:rsidTr="00E2415C">
        <w:trPr>
          <w:trHeight w:val="706"/>
        </w:trPr>
        <w:tc>
          <w:tcPr>
            <w:cnfStyle w:val="001000000000" w:firstRow="0" w:lastRow="0" w:firstColumn="1" w:lastColumn="0" w:oddVBand="0" w:evenVBand="0" w:oddHBand="0" w:evenHBand="0" w:firstRowFirstColumn="0" w:firstRowLastColumn="0" w:lastRowFirstColumn="0" w:lastRowLastColumn="0"/>
            <w:tcW w:w="2263" w:type="dxa"/>
            <w:vAlign w:val="top"/>
          </w:tcPr>
          <w:p w14:paraId="22B929C8" w14:textId="72C0C238" w:rsidR="00F876A5"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OSHC</w:t>
            </w:r>
            <w:r w:rsidR="00F876A5">
              <w:rPr>
                <w:rFonts w:asciiTheme="majorHAnsi" w:hAnsiTheme="majorHAnsi" w:cstheme="majorHAnsi"/>
                <w:b/>
                <w:bCs/>
                <w:sz w:val="20"/>
                <w:szCs w:val="20"/>
              </w:rPr>
              <w:t xml:space="preserve"> </w:t>
            </w:r>
          </w:p>
        </w:tc>
        <w:tc>
          <w:tcPr>
            <w:tcW w:w="6753" w:type="dxa"/>
            <w:vAlign w:val="top"/>
          </w:tcPr>
          <w:p w14:paraId="34849734" w14:textId="67E7DD58" w:rsidR="00F876A5" w:rsidRDefault="00F876A5"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Outside School Hours Care (OSHC) provides care before and after school hours and during school </w:t>
            </w:r>
            <w:r w:rsidR="008333A8">
              <w:rPr>
                <w:rFonts w:asciiTheme="majorHAnsi" w:hAnsiTheme="majorHAnsi" w:cstheme="majorHAnsi"/>
                <w:sz w:val="20"/>
                <w:szCs w:val="20"/>
              </w:rPr>
              <w:t xml:space="preserve">holidays </w:t>
            </w:r>
            <w:r>
              <w:rPr>
                <w:rFonts w:asciiTheme="majorHAnsi" w:hAnsiTheme="majorHAnsi" w:cstheme="majorHAnsi"/>
                <w:sz w:val="20"/>
                <w:szCs w:val="20"/>
              </w:rPr>
              <w:t>for children who normally attend school.</w:t>
            </w:r>
          </w:p>
        </w:tc>
      </w:tr>
      <w:tr w:rsidR="00C80FC1" w:rsidRPr="008C29EB" w14:paraId="55179E58" w14:textId="77777777" w:rsidTr="00E2415C">
        <w:trPr>
          <w:trHeight w:val="980"/>
        </w:trPr>
        <w:tc>
          <w:tcPr>
            <w:cnfStyle w:val="001000000000" w:firstRow="0" w:lastRow="0" w:firstColumn="1" w:lastColumn="0" w:oddVBand="0" w:evenVBand="0" w:oddHBand="0" w:evenHBand="0" w:firstRowFirstColumn="0" w:firstRowLastColumn="0" w:lastRowFirstColumn="0" w:lastRowLastColumn="0"/>
            <w:tcW w:w="2263" w:type="dxa"/>
            <w:vAlign w:val="top"/>
          </w:tcPr>
          <w:p w14:paraId="47B61BB6" w14:textId="452374AD" w:rsidR="008C29EB" w:rsidRDefault="008333A8"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PC</w:t>
            </w:r>
          </w:p>
        </w:tc>
        <w:tc>
          <w:tcPr>
            <w:tcW w:w="6753" w:type="dxa"/>
            <w:vAlign w:val="top"/>
          </w:tcPr>
          <w:p w14:paraId="305201B1" w14:textId="77777777" w:rsidR="008C29EB" w:rsidRDefault="008C29EB"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The Productivity Commission (PC) is the Australian Government’s independent research and advisory body on a range of economic, social and environmental issues affecting the welfare of Australians.</w:t>
            </w:r>
          </w:p>
        </w:tc>
      </w:tr>
      <w:tr w:rsidR="00C80FC1" w:rsidRPr="008C29EB" w14:paraId="548F49F7" w14:textId="77777777" w:rsidTr="00E2415C">
        <w:trPr>
          <w:trHeight w:val="980"/>
        </w:trPr>
        <w:tc>
          <w:tcPr>
            <w:cnfStyle w:val="001000000000" w:firstRow="0" w:lastRow="0" w:firstColumn="1" w:lastColumn="0" w:oddVBand="0" w:evenVBand="0" w:oddHBand="0" w:evenHBand="0" w:firstRowFirstColumn="0" w:firstRowLastColumn="0" w:lastRowFirstColumn="0" w:lastRowLastColumn="0"/>
            <w:tcW w:w="2263" w:type="dxa"/>
            <w:vAlign w:val="top"/>
          </w:tcPr>
          <w:p w14:paraId="062274E8" w14:textId="77777777" w:rsidR="000D4F20" w:rsidRDefault="00F876A5"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Provider</w:t>
            </w:r>
          </w:p>
        </w:tc>
        <w:tc>
          <w:tcPr>
            <w:tcW w:w="6753" w:type="dxa"/>
            <w:vAlign w:val="top"/>
          </w:tcPr>
          <w:p w14:paraId="72EBA113" w14:textId="7C3FE66A" w:rsidR="000D4F20" w:rsidRDefault="00F876A5"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The provider is the entity, or organisation, that holds approval to deliver early childhood education and service services. Providers can deliver a range of CCS-eligible services</w:t>
            </w:r>
            <w:r w:rsidR="001565FA">
              <w:rPr>
                <w:rFonts w:asciiTheme="majorHAnsi" w:hAnsiTheme="majorHAnsi" w:cstheme="majorHAnsi"/>
                <w:sz w:val="20"/>
                <w:szCs w:val="20"/>
              </w:rPr>
              <w:t>, and in many instances only operate a single service.</w:t>
            </w:r>
            <w:r w:rsidR="000D4F20">
              <w:rPr>
                <w:rFonts w:asciiTheme="majorHAnsi" w:hAnsiTheme="majorHAnsi" w:cstheme="majorHAnsi"/>
                <w:sz w:val="20"/>
                <w:szCs w:val="20"/>
              </w:rPr>
              <w:t xml:space="preserve"> </w:t>
            </w:r>
          </w:p>
        </w:tc>
      </w:tr>
      <w:tr w:rsidR="00C80FC1" w:rsidRPr="008C29EB" w14:paraId="0C7BAB2C" w14:textId="77777777" w:rsidTr="00E2415C">
        <w:trPr>
          <w:trHeight w:val="980"/>
        </w:trPr>
        <w:tc>
          <w:tcPr>
            <w:cnfStyle w:val="001000000000" w:firstRow="0" w:lastRow="0" w:firstColumn="1" w:lastColumn="0" w:oddVBand="0" w:evenVBand="0" w:oddHBand="0" w:evenHBand="0" w:firstRowFirstColumn="0" w:firstRowLastColumn="0" w:lastRowFirstColumn="0" w:lastRowLastColumn="0"/>
            <w:tcW w:w="2263" w:type="dxa"/>
            <w:vAlign w:val="top"/>
          </w:tcPr>
          <w:p w14:paraId="18157082" w14:textId="77777777" w:rsidR="00F876A5" w:rsidRDefault="00F876A5" w:rsidP="00B045E3">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lastRenderedPageBreak/>
              <w:t>Service</w:t>
            </w:r>
          </w:p>
        </w:tc>
        <w:tc>
          <w:tcPr>
            <w:tcW w:w="6753" w:type="dxa"/>
            <w:vAlign w:val="top"/>
          </w:tcPr>
          <w:p w14:paraId="0989F4A9" w14:textId="5CA72027" w:rsidR="00F876A5" w:rsidRDefault="00F876A5" w:rsidP="00B045E3">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The service </w:t>
            </w:r>
            <w:r w:rsidR="008F1612">
              <w:rPr>
                <w:rFonts w:asciiTheme="majorHAnsi" w:hAnsiTheme="majorHAnsi" w:cstheme="majorHAnsi"/>
                <w:sz w:val="20"/>
                <w:szCs w:val="20"/>
              </w:rPr>
              <w:t xml:space="preserve">usually </w:t>
            </w:r>
            <w:r>
              <w:rPr>
                <w:rFonts w:asciiTheme="majorHAnsi" w:hAnsiTheme="majorHAnsi" w:cstheme="majorHAnsi"/>
                <w:sz w:val="20"/>
                <w:szCs w:val="20"/>
              </w:rPr>
              <w:t xml:space="preserve">delivers early childhood education and care direct to families. The service can be delivered through </w:t>
            </w:r>
            <w:r w:rsidR="00664E49">
              <w:rPr>
                <w:rFonts w:asciiTheme="majorHAnsi" w:hAnsiTheme="majorHAnsi" w:cstheme="majorHAnsi"/>
                <w:sz w:val="20"/>
                <w:szCs w:val="20"/>
              </w:rPr>
              <w:t>a range of service types, including long day care</w:t>
            </w:r>
            <w:r w:rsidR="008F1612">
              <w:rPr>
                <w:rFonts w:asciiTheme="majorHAnsi" w:hAnsiTheme="majorHAnsi" w:cstheme="majorHAnsi"/>
                <w:sz w:val="20"/>
                <w:szCs w:val="20"/>
              </w:rPr>
              <w:t xml:space="preserve"> and </w:t>
            </w:r>
            <w:r w:rsidR="00664E49">
              <w:rPr>
                <w:rFonts w:asciiTheme="majorHAnsi" w:hAnsiTheme="majorHAnsi" w:cstheme="majorHAnsi"/>
                <w:sz w:val="20"/>
                <w:szCs w:val="20"/>
              </w:rPr>
              <w:t>outside school hours care</w:t>
            </w:r>
            <w:r w:rsidR="008F1612">
              <w:rPr>
                <w:rFonts w:asciiTheme="majorHAnsi" w:hAnsiTheme="majorHAnsi" w:cstheme="majorHAnsi"/>
                <w:sz w:val="20"/>
                <w:szCs w:val="20"/>
              </w:rPr>
              <w:t xml:space="preserve">. </w:t>
            </w:r>
            <w:r w:rsidR="002B4497">
              <w:rPr>
                <w:rFonts w:asciiTheme="majorHAnsi" w:hAnsiTheme="majorHAnsi" w:cstheme="majorHAnsi"/>
                <w:sz w:val="20"/>
                <w:szCs w:val="20"/>
              </w:rPr>
              <w:t xml:space="preserve">Family day care and in home care </w:t>
            </w:r>
            <w:r w:rsidR="00275D02">
              <w:rPr>
                <w:rFonts w:asciiTheme="majorHAnsi" w:hAnsiTheme="majorHAnsi" w:cstheme="majorHAnsi"/>
                <w:sz w:val="20"/>
                <w:szCs w:val="20"/>
              </w:rPr>
              <w:t xml:space="preserve">providers also operate services to facilitate approval and the provision of care. </w:t>
            </w:r>
          </w:p>
        </w:tc>
      </w:tr>
      <w:tr w:rsidR="00C80FC1" w:rsidRPr="008C29EB" w14:paraId="09140AD8" w14:textId="77777777" w:rsidTr="00E2415C">
        <w:trPr>
          <w:trHeight w:val="1703"/>
        </w:trPr>
        <w:tc>
          <w:tcPr>
            <w:cnfStyle w:val="001000000000" w:firstRow="0" w:lastRow="0" w:firstColumn="1" w:lastColumn="0" w:oddVBand="0" w:evenVBand="0" w:oddHBand="0" w:evenHBand="0" w:firstRowFirstColumn="0" w:firstRowLastColumn="0" w:lastRowFirstColumn="0" w:lastRowLastColumn="0"/>
            <w:tcW w:w="2263" w:type="dxa"/>
            <w:vAlign w:val="top"/>
          </w:tcPr>
          <w:p w14:paraId="7F627E2A" w14:textId="77777777" w:rsidR="00185A52" w:rsidRPr="008C29EB" w:rsidRDefault="008C29EB" w:rsidP="000B119E">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Supported Bargaining</w:t>
            </w:r>
          </w:p>
        </w:tc>
        <w:tc>
          <w:tcPr>
            <w:tcW w:w="6753" w:type="dxa"/>
            <w:vAlign w:val="top"/>
          </w:tcPr>
          <w:p w14:paraId="008F0088" w14:textId="3DDD1C0C" w:rsidR="00185A52" w:rsidRPr="008C29EB" w:rsidRDefault="008C29EB" w:rsidP="000B119E">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The </w:t>
            </w:r>
            <w:r>
              <w:rPr>
                <w:rFonts w:asciiTheme="majorHAnsi" w:hAnsiTheme="majorHAnsi" w:cstheme="majorHAnsi"/>
                <w:i/>
                <w:iCs/>
                <w:sz w:val="20"/>
                <w:szCs w:val="20"/>
              </w:rPr>
              <w:t xml:space="preserve">Fair Work Legislation Amendment (Secure Jobs, Better Pay) Act 2022 </w:t>
            </w:r>
            <w:r>
              <w:rPr>
                <w:rFonts w:asciiTheme="majorHAnsi" w:hAnsiTheme="majorHAnsi" w:cstheme="majorHAnsi"/>
                <w:sz w:val="20"/>
                <w:szCs w:val="20"/>
              </w:rPr>
              <w:t xml:space="preserve">amended the </w:t>
            </w:r>
            <w:r>
              <w:rPr>
                <w:rFonts w:asciiTheme="majorHAnsi" w:hAnsiTheme="majorHAnsi" w:cstheme="majorHAnsi"/>
                <w:i/>
                <w:iCs/>
                <w:sz w:val="20"/>
                <w:szCs w:val="20"/>
              </w:rPr>
              <w:t xml:space="preserve">Fair Work Act 2009 </w:t>
            </w:r>
            <w:r>
              <w:rPr>
                <w:rFonts w:asciiTheme="majorHAnsi" w:hAnsiTheme="majorHAnsi" w:cstheme="majorHAnsi"/>
                <w:sz w:val="20"/>
                <w:szCs w:val="20"/>
              </w:rPr>
              <w:t xml:space="preserve">to </w:t>
            </w:r>
            <w:r w:rsidR="00DE59BA">
              <w:rPr>
                <w:rFonts w:asciiTheme="majorHAnsi" w:hAnsiTheme="majorHAnsi" w:cstheme="majorHAnsi"/>
                <w:sz w:val="20"/>
                <w:szCs w:val="20"/>
              </w:rPr>
              <w:t xml:space="preserve">reinvigorate </w:t>
            </w:r>
            <w:r>
              <w:rPr>
                <w:rFonts w:asciiTheme="majorHAnsi" w:hAnsiTheme="majorHAnsi" w:cstheme="majorHAnsi"/>
                <w:sz w:val="20"/>
                <w:szCs w:val="20"/>
              </w:rPr>
              <w:t>the</w:t>
            </w:r>
            <w:r w:rsidR="00DE59BA">
              <w:rPr>
                <w:rFonts w:asciiTheme="majorHAnsi" w:hAnsiTheme="majorHAnsi" w:cstheme="majorHAnsi"/>
                <w:sz w:val="20"/>
                <w:szCs w:val="20"/>
              </w:rPr>
              <w:t xml:space="preserve"> previous</w:t>
            </w:r>
            <w:r>
              <w:rPr>
                <w:rFonts w:asciiTheme="majorHAnsi" w:hAnsiTheme="majorHAnsi" w:cstheme="majorHAnsi"/>
                <w:sz w:val="20"/>
                <w:szCs w:val="20"/>
              </w:rPr>
              <w:t xml:space="preserve"> low-paid bargaining stream, to be renamed the supported bargaining stream. The amendments aim to reduce barriers for employees and their employers who require support to bargain to access multi-enterprise bargaining, with enhanced support available throughout the process from the Fair Work Commission. </w:t>
            </w:r>
          </w:p>
        </w:tc>
      </w:tr>
      <w:tr w:rsidR="006F5C8C" w:rsidRPr="008C29EB" w14:paraId="76BB55B4" w14:textId="77777777" w:rsidTr="00E2415C">
        <w:trPr>
          <w:trHeight w:val="1703"/>
        </w:trPr>
        <w:tc>
          <w:tcPr>
            <w:cnfStyle w:val="001000000000" w:firstRow="0" w:lastRow="0" w:firstColumn="1" w:lastColumn="0" w:oddVBand="0" w:evenVBand="0" w:oddHBand="0" w:evenHBand="0" w:firstRowFirstColumn="0" w:firstRowLastColumn="0" w:lastRowFirstColumn="0" w:lastRowLastColumn="0"/>
            <w:tcW w:w="2263" w:type="dxa"/>
            <w:vAlign w:val="top"/>
          </w:tcPr>
          <w:p w14:paraId="225B41D5" w14:textId="4CA3A2E7" w:rsidR="006F5C8C" w:rsidRDefault="006F5C8C" w:rsidP="000B119E">
            <w:pPr>
              <w:spacing w:beforeAutospacing="0" w:after="100" w:afterAutospacing="0"/>
              <w:rPr>
                <w:rFonts w:asciiTheme="majorHAnsi" w:hAnsiTheme="majorHAnsi" w:cstheme="majorHAnsi"/>
                <w:b/>
                <w:bCs/>
                <w:sz w:val="20"/>
                <w:szCs w:val="20"/>
              </w:rPr>
            </w:pPr>
            <w:r>
              <w:rPr>
                <w:rFonts w:asciiTheme="majorHAnsi" w:hAnsiTheme="majorHAnsi" w:cstheme="majorHAnsi"/>
                <w:b/>
                <w:bCs/>
                <w:sz w:val="20"/>
                <w:szCs w:val="20"/>
              </w:rPr>
              <w:t>Waiver</w:t>
            </w:r>
          </w:p>
        </w:tc>
        <w:tc>
          <w:tcPr>
            <w:tcW w:w="6753" w:type="dxa"/>
            <w:vAlign w:val="top"/>
          </w:tcPr>
          <w:p w14:paraId="21F95EEC" w14:textId="23965CFE" w:rsidR="006F5C8C" w:rsidRDefault="00F6307C" w:rsidP="000B119E">
            <w:pPr>
              <w:spacing w:beforeAutospacing="0" w:after="10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Approved providers can apply for a service waiver</w:t>
            </w:r>
            <w:r w:rsidR="001E4935">
              <w:rPr>
                <w:rFonts w:asciiTheme="majorHAnsi" w:hAnsiTheme="majorHAnsi" w:cstheme="majorHAnsi"/>
                <w:sz w:val="20"/>
                <w:szCs w:val="20"/>
              </w:rPr>
              <w:t xml:space="preserve"> </w:t>
            </w:r>
            <w:r w:rsidR="00670E87">
              <w:rPr>
                <w:rFonts w:asciiTheme="majorHAnsi" w:hAnsiTheme="majorHAnsi" w:cstheme="majorHAnsi"/>
                <w:sz w:val="20"/>
                <w:szCs w:val="20"/>
              </w:rPr>
              <w:t>in situations where they are unable to meet legislated requirements in relation to physical environment or staffing arrangements, either on a permanent or temporary basis.</w:t>
            </w:r>
            <w:r w:rsidR="00D75498">
              <w:rPr>
                <w:rFonts w:asciiTheme="majorHAnsi" w:hAnsiTheme="majorHAnsi" w:cstheme="majorHAnsi"/>
                <w:sz w:val="20"/>
                <w:szCs w:val="20"/>
              </w:rPr>
              <w:t xml:space="preserve"> </w:t>
            </w:r>
          </w:p>
        </w:tc>
      </w:tr>
    </w:tbl>
    <w:p w14:paraId="0FC66A7A" w14:textId="3F008DB2" w:rsidR="00C849BA" w:rsidRDefault="00C849BA" w:rsidP="00D26EE2">
      <w:pPr>
        <w:pStyle w:val="Heading2"/>
      </w:pPr>
      <w:r>
        <w:lastRenderedPageBreak/>
        <w:br w:type="page"/>
      </w:r>
    </w:p>
    <w:p w14:paraId="49EF7507" w14:textId="77777777" w:rsidR="00C849BA" w:rsidRDefault="00C849BA" w:rsidP="00C849BA">
      <w:pPr>
        <w:pStyle w:val="Heading2"/>
      </w:pPr>
      <w:bookmarkStart w:id="3" w:name="_Toc219193854"/>
      <w:r>
        <w:lastRenderedPageBreak/>
        <w:t>Background</w:t>
      </w:r>
      <w:bookmarkEnd w:id="3"/>
    </w:p>
    <w:p w14:paraId="21F62E88" w14:textId="73226B20" w:rsidR="001B66C6" w:rsidRPr="002A0B5D" w:rsidRDefault="406C13A2" w:rsidP="002A0B5D">
      <w:pPr>
        <w:spacing w:line="257" w:lineRule="auto"/>
        <w:rPr>
          <w:rFonts w:asciiTheme="majorHAnsi" w:hAnsiTheme="majorHAnsi" w:cstheme="majorBidi"/>
        </w:rPr>
      </w:pPr>
      <w:r w:rsidRPr="0C28BA22">
        <w:rPr>
          <w:rFonts w:eastAsia="Calibri Light" w:cs="Calibri Light"/>
        </w:rPr>
        <w:t xml:space="preserve">From 7 December 2022, the </w:t>
      </w:r>
      <w:r w:rsidRPr="0C28BA22">
        <w:rPr>
          <w:rFonts w:eastAsia="Calibri Light" w:cs="Calibri Light"/>
          <w:i/>
          <w:iCs/>
        </w:rPr>
        <w:t xml:space="preserve">Fair Work Legislation Amendment (Secure Jobs, Better Pay) Act 2022 </w:t>
      </w:r>
      <w:r w:rsidRPr="0C28BA22">
        <w:rPr>
          <w:rFonts w:eastAsia="Calibri Light" w:cs="Calibri Light"/>
        </w:rPr>
        <w:t xml:space="preserve">amended the </w:t>
      </w:r>
      <w:r w:rsidRPr="0C28BA22">
        <w:rPr>
          <w:rFonts w:eastAsia="Calibri Light" w:cs="Calibri Light"/>
          <w:i/>
          <w:iCs/>
        </w:rPr>
        <w:t xml:space="preserve">Fair Work Act 2009 </w:t>
      </w:r>
      <w:r w:rsidRPr="0C28BA22">
        <w:rPr>
          <w:rFonts w:eastAsia="Calibri Light" w:cs="Calibri Light"/>
        </w:rPr>
        <w:t>to embed the principles of job security and gender equality in the Fair Work Commission’s</w:t>
      </w:r>
      <w:r w:rsidR="00D303BB">
        <w:rPr>
          <w:rFonts w:eastAsia="Calibri Light" w:cs="Calibri Light"/>
        </w:rPr>
        <w:t xml:space="preserve"> (FWC)</w:t>
      </w:r>
      <w:r w:rsidRPr="0C28BA22">
        <w:rPr>
          <w:rFonts w:eastAsia="Calibri Light" w:cs="Calibri Light"/>
        </w:rPr>
        <w:t xml:space="preserve"> decision-making processes.</w:t>
      </w:r>
      <w:r w:rsidR="00E03CA9" w:rsidRPr="0C28BA22">
        <w:rPr>
          <w:rStyle w:val="FootnoteReference"/>
          <w:rFonts w:eastAsia="Calibri Light" w:cs="Calibri Light"/>
        </w:rPr>
        <w:footnoteReference w:id="2"/>
      </w:r>
      <w:r w:rsidR="00C160CB">
        <w:rPr>
          <w:rFonts w:eastAsia="Calibri Light" w:cs="Calibri Light"/>
        </w:rPr>
        <w:t xml:space="preserve"> </w:t>
      </w:r>
      <w:r w:rsidR="002C5BC4" w:rsidRPr="5F858890">
        <w:rPr>
          <w:rFonts w:asciiTheme="majorHAnsi" w:hAnsiTheme="majorHAnsi" w:cstheme="majorBidi"/>
        </w:rPr>
        <w:t>As a</w:t>
      </w:r>
      <w:r w:rsidR="00B14845" w:rsidRPr="5F858890">
        <w:rPr>
          <w:rFonts w:asciiTheme="majorHAnsi" w:hAnsiTheme="majorHAnsi" w:cstheme="majorBidi"/>
        </w:rPr>
        <w:t xml:space="preserve"> result,</w:t>
      </w:r>
      <w:r w:rsidR="002C5BC4" w:rsidRPr="5F858890">
        <w:rPr>
          <w:rFonts w:asciiTheme="majorHAnsi" w:hAnsiTheme="majorHAnsi" w:cstheme="majorBidi"/>
        </w:rPr>
        <w:t xml:space="preserve"> the </w:t>
      </w:r>
      <w:r w:rsidR="00CF0996" w:rsidRPr="5F858890">
        <w:rPr>
          <w:rFonts w:asciiTheme="majorHAnsi" w:hAnsiTheme="majorHAnsi" w:cstheme="majorBidi"/>
        </w:rPr>
        <w:t>FWC</w:t>
      </w:r>
      <w:r w:rsidR="002C5BC4" w:rsidRPr="5F858890">
        <w:rPr>
          <w:rFonts w:asciiTheme="majorHAnsi" w:hAnsiTheme="majorHAnsi" w:cstheme="majorBidi"/>
        </w:rPr>
        <w:t xml:space="preserve"> is now required to ensure gender equality is given appropriate weight, alongside other objectives, when varying modern awards and when reviewing and setting minimum rates of pay.</w:t>
      </w:r>
      <w:r w:rsidR="002C5BC4" w:rsidRPr="003C20F9">
        <w:rPr>
          <w:rStyle w:val="FootnoteReference"/>
          <w:rFonts w:asciiTheme="majorHAnsi" w:hAnsiTheme="majorHAnsi" w:cstheme="majorHAnsi"/>
        </w:rPr>
        <w:footnoteReference w:id="3"/>
      </w:r>
      <w:r w:rsidR="002C5BC4" w:rsidRPr="5F858890">
        <w:rPr>
          <w:rFonts w:asciiTheme="majorHAnsi" w:hAnsiTheme="majorHAnsi" w:cstheme="majorBidi"/>
        </w:rPr>
        <w:t xml:space="preserve"> The inclusion of gender equality in the minimum wages objective ensures equal remuneration, eliminating gender-based undervaluation and addressing gender pay gaps in wage related matters, including the Annual Wage Review</w:t>
      </w:r>
      <w:r w:rsidR="2720163D" w:rsidRPr="5F858890">
        <w:rPr>
          <w:rFonts w:asciiTheme="majorHAnsi" w:hAnsiTheme="majorHAnsi" w:cstheme="majorBidi"/>
        </w:rPr>
        <w:t xml:space="preserve"> (AWR)</w:t>
      </w:r>
      <w:r w:rsidR="002C5BC4" w:rsidRPr="5F858890">
        <w:rPr>
          <w:rFonts w:asciiTheme="majorHAnsi" w:hAnsiTheme="majorHAnsi" w:cstheme="majorBidi"/>
        </w:rPr>
        <w:t>.</w:t>
      </w:r>
      <w:r w:rsidR="002C5BC4" w:rsidRPr="003C20F9">
        <w:rPr>
          <w:rStyle w:val="FootnoteReference"/>
          <w:rFonts w:asciiTheme="majorHAnsi" w:hAnsiTheme="majorHAnsi" w:cstheme="majorHAnsi"/>
        </w:rPr>
        <w:footnoteReference w:id="4"/>
      </w:r>
      <w:r w:rsidR="002C5BC4" w:rsidRPr="5F858890">
        <w:rPr>
          <w:rFonts w:asciiTheme="majorHAnsi" w:hAnsiTheme="majorHAnsi" w:cstheme="majorBidi"/>
        </w:rPr>
        <w:t xml:space="preserve"> </w:t>
      </w:r>
    </w:p>
    <w:p w14:paraId="24ABEC5D" w14:textId="0C2725BE" w:rsidR="002A0B5D" w:rsidRDefault="002A0B5D" w:rsidP="002A0B5D">
      <w:pPr>
        <w:rPr>
          <w:rFonts w:asciiTheme="majorHAnsi" w:hAnsiTheme="majorHAnsi" w:cstheme="majorBidi"/>
        </w:rPr>
      </w:pPr>
      <w:r>
        <w:rPr>
          <w:rFonts w:asciiTheme="majorHAnsi" w:hAnsiTheme="majorHAnsi" w:cstheme="majorBidi"/>
        </w:rPr>
        <w:t>T</w:t>
      </w:r>
      <w:r w:rsidR="00017950">
        <w:rPr>
          <w:rFonts w:asciiTheme="majorHAnsi" w:hAnsiTheme="majorHAnsi" w:cstheme="majorBidi"/>
        </w:rPr>
        <w:t xml:space="preserve">he </w:t>
      </w:r>
      <w:r w:rsidR="00017950">
        <w:rPr>
          <w:rFonts w:asciiTheme="majorHAnsi" w:hAnsiTheme="majorHAnsi" w:cstheme="majorBidi"/>
          <w:i/>
          <w:iCs/>
        </w:rPr>
        <w:t>Secure Jobs</w:t>
      </w:r>
      <w:r w:rsidR="00BA0E0C">
        <w:rPr>
          <w:rFonts w:asciiTheme="majorHAnsi" w:hAnsiTheme="majorHAnsi" w:cstheme="majorBidi"/>
          <w:i/>
          <w:iCs/>
        </w:rPr>
        <w:t>,</w:t>
      </w:r>
      <w:r w:rsidR="00017950">
        <w:rPr>
          <w:rFonts w:asciiTheme="majorHAnsi" w:hAnsiTheme="majorHAnsi" w:cstheme="majorBidi"/>
          <w:i/>
          <w:iCs/>
        </w:rPr>
        <w:t xml:space="preserve"> Better Pay </w:t>
      </w:r>
      <w:r w:rsidR="000D76AE" w:rsidRPr="0C28BA22">
        <w:rPr>
          <w:rFonts w:asciiTheme="majorHAnsi" w:hAnsiTheme="majorHAnsi" w:cstheme="majorBidi"/>
        </w:rPr>
        <w:t>reforms also</w:t>
      </w:r>
      <w:r w:rsidR="00153183" w:rsidRPr="0C28BA22">
        <w:rPr>
          <w:rFonts w:asciiTheme="majorHAnsi" w:hAnsiTheme="majorHAnsi" w:cstheme="majorBidi"/>
        </w:rPr>
        <w:t xml:space="preserve"> provide</w:t>
      </w:r>
      <w:r w:rsidR="00017950">
        <w:rPr>
          <w:rFonts w:asciiTheme="majorHAnsi" w:hAnsiTheme="majorHAnsi" w:cstheme="majorBidi"/>
        </w:rPr>
        <w:t>d</w:t>
      </w:r>
      <w:r w:rsidR="00153183" w:rsidRPr="0C28BA22">
        <w:rPr>
          <w:rFonts w:asciiTheme="majorHAnsi" w:hAnsiTheme="majorHAnsi" w:cstheme="majorBidi"/>
        </w:rPr>
        <w:t xml:space="preserve"> greater access to bargaining for lower-paid sectors through the introduction of the supported bargaining stream</w:t>
      </w:r>
      <w:r w:rsidR="00BA0E0C">
        <w:rPr>
          <w:rFonts w:asciiTheme="majorHAnsi" w:hAnsiTheme="majorHAnsi" w:cstheme="majorBidi"/>
        </w:rPr>
        <w:t>.</w:t>
      </w:r>
      <w:r w:rsidR="00FA6FBA">
        <w:rPr>
          <w:rFonts w:asciiTheme="majorHAnsi" w:hAnsiTheme="majorHAnsi" w:cstheme="majorBidi"/>
        </w:rPr>
        <w:t xml:space="preserve"> O</w:t>
      </w:r>
      <w:r w:rsidR="6EF9E870" w:rsidRPr="39540368">
        <w:rPr>
          <w:rFonts w:asciiTheme="majorHAnsi" w:hAnsiTheme="majorHAnsi" w:cstheme="majorBidi"/>
        </w:rPr>
        <w:t xml:space="preserve">n 6 June 2023, the first supported bargaining application was made to the FWC by the United Workers Union, the Australian Education Union, and the </w:t>
      </w:r>
      <w:r w:rsidR="71A25C9F" w:rsidRPr="39540368">
        <w:rPr>
          <w:rFonts w:asciiTheme="majorHAnsi" w:hAnsiTheme="majorHAnsi" w:cstheme="majorBidi"/>
        </w:rPr>
        <w:t>I</w:t>
      </w:r>
      <w:r w:rsidR="6EF9E870" w:rsidRPr="39540368">
        <w:rPr>
          <w:rFonts w:asciiTheme="majorHAnsi" w:hAnsiTheme="majorHAnsi" w:cstheme="majorBidi"/>
        </w:rPr>
        <w:t xml:space="preserve">ndependent Education Union of Australia, with the consent of </w:t>
      </w:r>
      <w:r w:rsidR="00001FF7">
        <w:rPr>
          <w:rFonts w:asciiTheme="majorHAnsi" w:hAnsiTheme="majorHAnsi" w:cstheme="majorBidi"/>
        </w:rPr>
        <w:t xml:space="preserve">approximately </w:t>
      </w:r>
      <w:r w:rsidR="6EF9E870" w:rsidRPr="39540368">
        <w:rPr>
          <w:rFonts w:asciiTheme="majorHAnsi" w:hAnsiTheme="majorHAnsi" w:cstheme="majorBidi"/>
        </w:rPr>
        <w:t>64 Long Day Care (LDC) employers. The application represents around 540 of approximately 14,000 services operating in the</w:t>
      </w:r>
      <w:r w:rsidR="6B9460BE" w:rsidRPr="39540368">
        <w:rPr>
          <w:rFonts w:asciiTheme="majorHAnsi" w:hAnsiTheme="majorHAnsi" w:cstheme="majorBidi"/>
        </w:rPr>
        <w:t xml:space="preserve"> </w:t>
      </w:r>
      <w:r w:rsidR="00FA6FBA">
        <w:rPr>
          <w:rFonts w:asciiTheme="majorHAnsi" w:hAnsiTheme="majorHAnsi" w:cstheme="majorBidi"/>
        </w:rPr>
        <w:t>Early Childhood Education and Care (ECEC)</w:t>
      </w:r>
      <w:r w:rsidR="00FA6FBA" w:rsidRPr="39540368">
        <w:rPr>
          <w:rFonts w:asciiTheme="majorHAnsi" w:hAnsiTheme="majorHAnsi" w:cstheme="majorBidi"/>
        </w:rPr>
        <w:t xml:space="preserve"> </w:t>
      </w:r>
      <w:r w:rsidR="6EF9E870" w:rsidRPr="39540368">
        <w:rPr>
          <w:rFonts w:asciiTheme="majorHAnsi" w:hAnsiTheme="majorHAnsi" w:cstheme="majorBidi"/>
        </w:rPr>
        <w:t xml:space="preserve">sector, </w:t>
      </w:r>
      <w:r w:rsidR="6B9460BE" w:rsidRPr="39540368">
        <w:rPr>
          <w:rFonts w:asciiTheme="majorHAnsi" w:hAnsiTheme="majorHAnsi" w:cstheme="majorBidi"/>
        </w:rPr>
        <w:t>with coverage for</w:t>
      </w:r>
      <w:r w:rsidR="6EF9E870" w:rsidRPr="39540368">
        <w:rPr>
          <w:rFonts w:asciiTheme="majorHAnsi" w:hAnsiTheme="majorHAnsi" w:cstheme="majorBidi"/>
        </w:rPr>
        <w:t xml:space="preserve"> approximately 14,000 workers. </w:t>
      </w:r>
      <w:r w:rsidR="002B015D">
        <w:rPr>
          <w:rFonts w:asciiTheme="majorHAnsi" w:hAnsiTheme="majorHAnsi" w:cstheme="majorBidi"/>
        </w:rPr>
        <w:t>The application was submitted against a</w:t>
      </w:r>
      <w:r w:rsidR="002B015D" w:rsidRPr="002B015D">
        <w:rPr>
          <w:rFonts w:asciiTheme="majorHAnsi" w:hAnsiTheme="majorHAnsi" w:cstheme="majorBidi"/>
        </w:rPr>
        <w:t xml:space="preserve"> backdrop of severe and persistent workforce shortages which continue to constrain the supply of </w:t>
      </w:r>
      <w:r w:rsidR="00B73EB5">
        <w:rPr>
          <w:rFonts w:asciiTheme="majorHAnsi" w:hAnsiTheme="majorHAnsi" w:cstheme="majorBidi"/>
        </w:rPr>
        <w:t>ECEC</w:t>
      </w:r>
      <w:r w:rsidR="002B015D" w:rsidRPr="002B015D">
        <w:rPr>
          <w:rFonts w:asciiTheme="majorHAnsi" w:hAnsiTheme="majorHAnsi" w:cstheme="majorBidi"/>
        </w:rPr>
        <w:t xml:space="preserve">, diminish quality of care, negatively impact gender equality </w:t>
      </w:r>
      <w:r w:rsidR="00105E66" w:rsidRPr="002B015D">
        <w:rPr>
          <w:rFonts w:asciiTheme="majorHAnsi" w:hAnsiTheme="majorHAnsi" w:cstheme="majorBidi"/>
        </w:rPr>
        <w:t>outcomes,</w:t>
      </w:r>
      <w:r w:rsidR="002B015D" w:rsidRPr="002B015D">
        <w:rPr>
          <w:rFonts w:asciiTheme="majorHAnsi" w:hAnsiTheme="majorHAnsi" w:cstheme="majorBidi"/>
        </w:rPr>
        <w:t xml:space="preserve"> and reduce </w:t>
      </w:r>
      <w:r w:rsidR="00FA6FBA">
        <w:rPr>
          <w:rFonts w:asciiTheme="majorHAnsi" w:hAnsiTheme="majorHAnsi" w:cstheme="majorBidi"/>
        </w:rPr>
        <w:t xml:space="preserve">broader </w:t>
      </w:r>
      <w:r w:rsidR="002B015D" w:rsidRPr="002B015D">
        <w:rPr>
          <w:rFonts w:asciiTheme="majorHAnsi" w:hAnsiTheme="majorHAnsi" w:cstheme="majorBidi"/>
        </w:rPr>
        <w:t>workforce participation and productivity.</w:t>
      </w:r>
      <w:r w:rsidR="00CB6CE5">
        <w:rPr>
          <w:rFonts w:asciiTheme="majorHAnsi" w:hAnsiTheme="majorHAnsi" w:cstheme="majorBidi"/>
        </w:rPr>
        <w:t xml:space="preserve"> </w:t>
      </w:r>
      <w:r w:rsidR="00CB6CE5" w:rsidRPr="39540368">
        <w:rPr>
          <w:rFonts w:asciiTheme="majorHAnsi" w:hAnsiTheme="majorHAnsi" w:cstheme="majorBidi"/>
        </w:rPr>
        <w:t>The FWC authorised the supported bargaining application on 27 September 2023</w:t>
      </w:r>
      <w:r w:rsidR="00CB6CE5">
        <w:rPr>
          <w:rFonts w:asciiTheme="majorHAnsi" w:hAnsiTheme="majorHAnsi" w:cstheme="majorBidi"/>
        </w:rPr>
        <w:t>.</w:t>
      </w:r>
      <w:r w:rsidRPr="002A0B5D">
        <w:rPr>
          <w:rFonts w:asciiTheme="majorHAnsi" w:hAnsiTheme="majorHAnsi" w:cstheme="majorBidi"/>
        </w:rPr>
        <w:t xml:space="preserve"> </w:t>
      </w:r>
      <w:r>
        <w:rPr>
          <w:rFonts w:asciiTheme="majorHAnsi" w:hAnsiTheme="majorHAnsi" w:cstheme="majorBidi"/>
        </w:rPr>
        <w:t>Outcomes of the process</w:t>
      </w:r>
      <w:r w:rsidRPr="00D41B9C">
        <w:rPr>
          <w:rFonts w:asciiTheme="majorHAnsi" w:hAnsiTheme="majorHAnsi" w:cstheme="majorBidi"/>
        </w:rPr>
        <w:t xml:space="preserve"> </w:t>
      </w:r>
      <w:r>
        <w:rPr>
          <w:rFonts w:asciiTheme="majorHAnsi" w:hAnsiTheme="majorHAnsi" w:cstheme="majorBidi"/>
        </w:rPr>
        <w:t>are expected to set</w:t>
      </w:r>
      <w:r w:rsidRPr="00D41B9C">
        <w:rPr>
          <w:rFonts w:asciiTheme="majorHAnsi" w:hAnsiTheme="majorHAnsi" w:cstheme="majorBidi"/>
        </w:rPr>
        <w:t xml:space="preserve"> a new standard for pay and conditions in </w:t>
      </w:r>
      <w:r w:rsidR="00E85600">
        <w:rPr>
          <w:rFonts w:asciiTheme="majorHAnsi" w:hAnsiTheme="majorHAnsi" w:cstheme="majorBidi"/>
        </w:rPr>
        <w:t>LDC</w:t>
      </w:r>
      <w:r w:rsidRPr="00D41B9C">
        <w:rPr>
          <w:rFonts w:asciiTheme="majorHAnsi" w:hAnsiTheme="majorHAnsi" w:cstheme="majorBidi"/>
        </w:rPr>
        <w:t xml:space="preserve"> across Australia</w:t>
      </w:r>
      <w:r w:rsidR="00E85600">
        <w:rPr>
          <w:rFonts w:asciiTheme="majorHAnsi" w:hAnsiTheme="majorHAnsi" w:cstheme="majorBidi"/>
        </w:rPr>
        <w:t xml:space="preserve">. </w:t>
      </w:r>
      <w:r w:rsidRPr="00D41B9C">
        <w:rPr>
          <w:rFonts w:asciiTheme="majorHAnsi" w:hAnsiTheme="majorHAnsi" w:cstheme="majorBidi"/>
        </w:rPr>
        <w:t>The Commonwealth Government has been asked to take part in the negotiations.</w:t>
      </w:r>
    </w:p>
    <w:p w14:paraId="1255F326" w14:textId="04B5BC38" w:rsidR="00336D47" w:rsidRDefault="00770053">
      <w:pPr>
        <w:spacing w:after="160"/>
        <w:rPr>
          <w:rFonts w:asciiTheme="majorHAnsi" w:eastAsiaTheme="majorEastAsia" w:hAnsiTheme="majorHAnsi" w:cstheme="majorBidi"/>
          <w:b/>
          <w:color w:val="008599" w:themeColor="accent1"/>
          <w:sz w:val="32"/>
          <w:szCs w:val="24"/>
        </w:rPr>
      </w:pPr>
      <w:r>
        <w:rPr>
          <w:rFonts w:asciiTheme="majorHAnsi" w:hAnsiTheme="majorHAnsi" w:cstheme="majorBidi"/>
        </w:rPr>
        <w:t>Following the stage 3 outcome of the Work value case – Aged care industry</w:t>
      </w:r>
      <w:r w:rsidR="006E634B">
        <w:rPr>
          <w:rFonts w:asciiTheme="majorHAnsi" w:hAnsiTheme="majorHAnsi" w:cstheme="majorBidi"/>
        </w:rPr>
        <w:t>,</w:t>
      </w:r>
      <w:r w:rsidR="00F1719B">
        <w:rPr>
          <w:rStyle w:val="FootnoteReference"/>
          <w:rFonts w:asciiTheme="majorHAnsi" w:hAnsiTheme="majorHAnsi" w:cstheme="majorHAnsi"/>
        </w:rPr>
        <w:footnoteReference w:id="5"/>
      </w:r>
      <w:r w:rsidR="006E634B">
        <w:rPr>
          <w:rFonts w:asciiTheme="majorHAnsi" w:hAnsiTheme="majorHAnsi" w:cstheme="majorBidi"/>
        </w:rPr>
        <w:t xml:space="preserve"> </w:t>
      </w:r>
      <w:r w:rsidR="00387813">
        <w:rPr>
          <w:rFonts w:asciiTheme="majorHAnsi" w:hAnsiTheme="majorHAnsi" w:cstheme="majorBidi"/>
        </w:rPr>
        <w:t>expectations for a 25 per cent wage increase for ECEC workers have strengthened</w:t>
      </w:r>
      <w:r w:rsidR="00D43AE9">
        <w:rPr>
          <w:rFonts w:asciiTheme="majorHAnsi" w:hAnsiTheme="majorHAnsi" w:cstheme="majorBidi"/>
        </w:rPr>
        <w:t>, however</w:t>
      </w:r>
      <w:r w:rsidR="00CF364D">
        <w:rPr>
          <w:rFonts w:asciiTheme="majorHAnsi" w:hAnsiTheme="majorHAnsi" w:cstheme="majorBidi"/>
        </w:rPr>
        <w:t>,</w:t>
      </w:r>
      <w:r w:rsidR="00A00842">
        <w:rPr>
          <w:rFonts w:asciiTheme="majorHAnsi" w:hAnsiTheme="majorHAnsi" w:cstheme="majorBidi"/>
        </w:rPr>
        <w:t xml:space="preserve"> the</w:t>
      </w:r>
      <w:r w:rsidR="002A0B5D">
        <w:rPr>
          <w:rFonts w:asciiTheme="majorHAnsi" w:hAnsiTheme="majorHAnsi" w:cstheme="majorBidi"/>
        </w:rPr>
        <w:t xml:space="preserve"> ECEC</w:t>
      </w:r>
      <w:r w:rsidR="00A00842">
        <w:rPr>
          <w:rFonts w:asciiTheme="majorHAnsi" w:hAnsiTheme="majorHAnsi" w:cstheme="majorBidi"/>
        </w:rPr>
        <w:t xml:space="preserve"> sector alone is reluctant to bea</w:t>
      </w:r>
      <w:r w:rsidR="00AC33B1">
        <w:rPr>
          <w:rFonts w:asciiTheme="majorHAnsi" w:hAnsiTheme="majorHAnsi" w:cstheme="majorBidi"/>
        </w:rPr>
        <w:t>r</w:t>
      </w:r>
      <w:r w:rsidR="00A00842">
        <w:rPr>
          <w:rFonts w:asciiTheme="majorHAnsi" w:hAnsiTheme="majorHAnsi" w:cstheme="majorBidi"/>
        </w:rPr>
        <w:t xml:space="preserve"> the costs of implementing wage increases without Commonwealth investment.</w:t>
      </w:r>
      <w:r w:rsidR="00387813">
        <w:rPr>
          <w:rFonts w:asciiTheme="majorHAnsi" w:hAnsiTheme="majorHAnsi" w:cstheme="majorBidi"/>
        </w:rPr>
        <w:t xml:space="preserve"> </w:t>
      </w:r>
      <w:r w:rsidR="00F0404F">
        <w:rPr>
          <w:rFonts w:asciiTheme="majorHAnsi" w:hAnsiTheme="majorHAnsi" w:cstheme="majorBidi"/>
        </w:rPr>
        <w:t>With</w:t>
      </w:r>
      <w:r w:rsidR="00F86F2C" w:rsidRPr="00B44794">
        <w:rPr>
          <w:rFonts w:asciiTheme="majorHAnsi" w:hAnsiTheme="majorHAnsi" w:cstheme="majorBidi"/>
        </w:rPr>
        <w:t xml:space="preserve"> affordability, safety and quality of </w:t>
      </w:r>
      <w:r w:rsidR="007D1E82">
        <w:rPr>
          <w:rFonts w:asciiTheme="majorHAnsi" w:hAnsiTheme="majorHAnsi" w:cstheme="majorBidi"/>
        </w:rPr>
        <w:t>ECEC</w:t>
      </w:r>
      <w:r w:rsidR="00F86F2C" w:rsidRPr="00B44794">
        <w:rPr>
          <w:rFonts w:asciiTheme="majorHAnsi" w:hAnsiTheme="majorHAnsi" w:cstheme="majorBidi"/>
        </w:rPr>
        <w:t xml:space="preserve"> a priority for the Australian Government</w:t>
      </w:r>
      <w:r w:rsidR="00F0404F">
        <w:rPr>
          <w:rFonts w:asciiTheme="majorHAnsi" w:hAnsiTheme="majorHAnsi" w:cstheme="majorBidi"/>
        </w:rPr>
        <w:t>,</w:t>
      </w:r>
      <w:r w:rsidR="00F86F2C" w:rsidRPr="00B44794">
        <w:rPr>
          <w:rFonts w:asciiTheme="majorHAnsi" w:hAnsiTheme="majorHAnsi" w:cstheme="majorBidi"/>
        </w:rPr>
        <w:t xml:space="preserve"> </w:t>
      </w:r>
      <w:r w:rsidR="00F0404F">
        <w:rPr>
          <w:rFonts w:asciiTheme="majorHAnsi" w:hAnsiTheme="majorHAnsi" w:cstheme="majorBidi"/>
        </w:rPr>
        <w:t>t</w:t>
      </w:r>
      <w:r w:rsidR="00F86F2C" w:rsidRPr="00B44794">
        <w:rPr>
          <w:rFonts w:asciiTheme="majorHAnsi" w:hAnsiTheme="majorHAnsi" w:cstheme="majorBidi"/>
        </w:rPr>
        <w:t>he pay and conditions of its female-dominated, historically low-paid workforce are critical to the sustainability of the sector.</w:t>
      </w:r>
      <w:r w:rsidR="00F86F2C">
        <w:rPr>
          <w:rFonts w:asciiTheme="majorHAnsi" w:hAnsiTheme="majorHAnsi" w:cstheme="majorBidi"/>
        </w:rPr>
        <w:t xml:space="preserve"> </w:t>
      </w:r>
      <w:r w:rsidR="003B1C8F">
        <w:rPr>
          <w:rFonts w:asciiTheme="majorHAnsi" w:hAnsiTheme="majorHAnsi" w:cstheme="majorBidi"/>
        </w:rPr>
        <w:t xml:space="preserve">A </w:t>
      </w:r>
      <w:r w:rsidR="00475223">
        <w:rPr>
          <w:rFonts w:asciiTheme="majorHAnsi" w:hAnsiTheme="majorHAnsi" w:cstheme="majorBidi"/>
        </w:rPr>
        <w:t xml:space="preserve">meaningful </w:t>
      </w:r>
      <w:r w:rsidR="003B1C8F">
        <w:rPr>
          <w:rFonts w:asciiTheme="majorHAnsi" w:hAnsiTheme="majorHAnsi" w:cstheme="majorBidi"/>
        </w:rPr>
        <w:t xml:space="preserve">wage increase </w:t>
      </w:r>
      <w:r w:rsidR="00AF56B0">
        <w:rPr>
          <w:rFonts w:asciiTheme="majorHAnsi" w:hAnsiTheme="majorHAnsi" w:cstheme="majorBidi"/>
        </w:rPr>
        <w:t xml:space="preserve">for </w:t>
      </w:r>
      <w:r w:rsidR="00315F18">
        <w:rPr>
          <w:rFonts w:asciiTheme="majorHAnsi" w:hAnsiTheme="majorHAnsi" w:cstheme="majorBidi"/>
        </w:rPr>
        <w:t xml:space="preserve">ECEC workers </w:t>
      </w:r>
      <w:r w:rsidR="008B0CF7">
        <w:rPr>
          <w:rFonts w:asciiTheme="majorHAnsi" w:hAnsiTheme="majorHAnsi" w:cstheme="majorBidi"/>
        </w:rPr>
        <w:t>is</w:t>
      </w:r>
      <w:r w:rsidR="008527A5">
        <w:rPr>
          <w:rFonts w:asciiTheme="majorHAnsi" w:hAnsiTheme="majorHAnsi" w:cstheme="majorBidi"/>
        </w:rPr>
        <w:t xml:space="preserve"> likely to </w:t>
      </w:r>
      <w:r w:rsidR="00475223">
        <w:rPr>
          <w:rFonts w:asciiTheme="majorHAnsi" w:hAnsiTheme="majorHAnsi" w:cstheme="majorBidi"/>
        </w:rPr>
        <w:t xml:space="preserve">have significant impact on affordability and accessibility </w:t>
      </w:r>
      <w:r w:rsidR="00F44B2A">
        <w:rPr>
          <w:rFonts w:asciiTheme="majorHAnsi" w:hAnsiTheme="majorHAnsi" w:cstheme="majorBidi"/>
        </w:rPr>
        <w:t xml:space="preserve">of ECEC </w:t>
      </w:r>
      <w:r w:rsidR="00475223">
        <w:rPr>
          <w:rFonts w:asciiTheme="majorHAnsi" w:hAnsiTheme="majorHAnsi" w:cstheme="majorBidi"/>
        </w:rPr>
        <w:t>for families</w:t>
      </w:r>
      <w:r w:rsidR="002A1E5B">
        <w:rPr>
          <w:rFonts w:asciiTheme="majorHAnsi" w:hAnsiTheme="majorHAnsi" w:cstheme="majorBidi"/>
        </w:rPr>
        <w:t>.</w:t>
      </w:r>
      <w:r w:rsidR="00475223">
        <w:rPr>
          <w:rFonts w:asciiTheme="majorHAnsi" w:hAnsiTheme="majorHAnsi" w:cstheme="majorBidi"/>
        </w:rPr>
        <w:t xml:space="preserve"> </w:t>
      </w:r>
      <w:r w:rsidR="002A1E5B">
        <w:rPr>
          <w:rFonts w:asciiTheme="majorHAnsi" w:hAnsiTheme="majorHAnsi" w:cstheme="majorBidi"/>
        </w:rPr>
        <w:t>Without</w:t>
      </w:r>
      <w:r w:rsidR="00475223" w:rsidRPr="00241EAD">
        <w:rPr>
          <w:rFonts w:asciiTheme="majorHAnsi" w:hAnsiTheme="majorHAnsi" w:cstheme="majorHAnsi"/>
        </w:rPr>
        <w:t xml:space="preserve"> Government intervention, </w:t>
      </w:r>
      <w:r w:rsidR="002A1E5B">
        <w:rPr>
          <w:rFonts w:asciiTheme="majorHAnsi" w:hAnsiTheme="majorHAnsi" w:cstheme="majorHAnsi"/>
        </w:rPr>
        <w:t>the costs of implementing</w:t>
      </w:r>
      <w:r w:rsidR="00CB52EE">
        <w:rPr>
          <w:rFonts w:asciiTheme="majorHAnsi" w:hAnsiTheme="majorHAnsi" w:cstheme="majorHAnsi"/>
        </w:rPr>
        <w:t xml:space="preserve"> necessary</w:t>
      </w:r>
      <w:r w:rsidR="002A1E5B">
        <w:rPr>
          <w:rFonts w:asciiTheme="majorHAnsi" w:hAnsiTheme="majorHAnsi" w:cstheme="majorHAnsi"/>
        </w:rPr>
        <w:t xml:space="preserve"> </w:t>
      </w:r>
      <w:r w:rsidR="00475223" w:rsidRPr="00241EAD">
        <w:rPr>
          <w:rFonts w:asciiTheme="majorHAnsi" w:hAnsiTheme="majorHAnsi" w:cstheme="majorHAnsi"/>
        </w:rPr>
        <w:t>wage increases</w:t>
      </w:r>
      <w:r w:rsidR="00B94F6E">
        <w:rPr>
          <w:rFonts w:asciiTheme="majorHAnsi" w:hAnsiTheme="majorHAnsi" w:cstheme="majorHAnsi"/>
        </w:rPr>
        <w:t xml:space="preserve"> – including those produced through use of workplace relations processes </w:t>
      </w:r>
      <w:r w:rsidR="00A40FA1">
        <w:rPr>
          <w:rFonts w:asciiTheme="majorHAnsi" w:hAnsiTheme="majorHAnsi" w:cstheme="majorHAnsi"/>
        </w:rPr>
        <w:t>–</w:t>
      </w:r>
      <w:r w:rsidR="00475223" w:rsidRPr="00241EAD">
        <w:rPr>
          <w:rFonts w:asciiTheme="majorHAnsi" w:hAnsiTheme="majorHAnsi" w:cstheme="majorHAnsi"/>
        </w:rPr>
        <w:t xml:space="preserve"> </w:t>
      </w:r>
      <w:r w:rsidR="0062321A">
        <w:rPr>
          <w:rFonts w:asciiTheme="majorHAnsi" w:hAnsiTheme="majorHAnsi" w:cstheme="majorHAnsi"/>
        </w:rPr>
        <w:t xml:space="preserve">are likely to </w:t>
      </w:r>
      <w:r w:rsidR="00475223" w:rsidRPr="00241EAD">
        <w:rPr>
          <w:rFonts w:asciiTheme="majorHAnsi" w:hAnsiTheme="majorHAnsi" w:cstheme="majorHAnsi"/>
        </w:rPr>
        <w:t xml:space="preserve">be passed on to families </w:t>
      </w:r>
      <w:r w:rsidR="0062321A">
        <w:rPr>
          <w:rFonts w:asciiTheme="majorHAnsi" w:hAnsiTheme="majorHAnsi" w:cstheme="majorHAnsi"/>
        </w:rPr>
        <w:t>through</w:t>
      </w:r>
      <w:r w:rsidR="00475223" w:rsidRPr="00241EAD">
        <w:rPr>
          <w:rFonts w:asciiTheme="majorHAnsi" w:hAnsiTheme="majorHAnsi" w:cstheme="majorHAnsi"/>
        </w:rPr>
        <w:t xml:space="preserve"> higher fees</w:t>
      </w:r>
      <w:r w:rsidR="00CB1AA9">
        <w:rPr>
          <w:rFonts w:asciiTheme="majorHAnsi" w:hAnsiTheme="majorHAnsi" w:cstheme="majorHAnsi"/>
        </w:rPr>
        <w:t xml:space="preserve">. </w:t>
      </w:r>
      <w:r w:rsidR="00D579BF">
        <w:rPr>
          <w:rFonts w:asciiTheme="majorHAnsi" w:hAnsiTheme="majorHAnsi" w:cstheme="majorHAnsi"/>
        </w:rPr>
        <w:t>Government intervention is needed to ensure quality care continues to be provided, and ECEC remains affordable and accessible</w:t>
      </w:r>
      <w:r w:rsidR="00F4789F">
        <w:rPr>
          <w:rFonts w:asciiTheme="majorHAnsi" w:hAnsiTheme="majorHAnsi" w:cstheme="majorHAnsi"/>
        </w:rPr>
        <w:t xml:space="preserve"> for Australian</w:t>
      </w:r>
      <w:r w:rsidR="00A40FA1">
        <w:rPr>
          <w:rFonts w:asciiTheme="majorHAnsi" w:hAnsiTheme="majorHAnsi" w:cstheme="majorHAnsi"/>
        </w:rPr>
        <w:t xml:space="preserve"> families</w:t>
      </w:r>
      <w:r w:rsidR="00F4789F">
        <w:rPr>
          <w:rFonts w:asciiTheme="majorHAnsi" w:hAnsiTheme="majorHAnsi" w:cstheme="majorHAnsi"/>
        </w:rPr>
        <w:t xml:space="preserve">. </w:t>
      </w:r>
      <w:r w:rsidR="00D579BF">
        <w:rPr>
          <w:rFonts w:asciiTheme="majorHAnsi" w:hAnsiTheme="majorHAnsi" w:cstheme="majorHAnsi"/>
        </w:rPr>
        <w:t xml:space="preserve"> </w:t>
      </w:r>
      <w:r w:rsidR="00336D47">
        <w:br w:type="page"/>
      </w:r>
    </w:p>
    <w:p w14:paraId="10C7C2A9" w14:textId="0B5FEB9C" w:rsidR="00336D47" w:rsidRDefault="00336D47" w:rsidP="003F6485">
      <w:pPr>
        <w:pStyle w:val="Heading2"/>
        <w:tabs>
          <w:tab w:val="left" w:pos="5620"/>
        </w:tabs>
      </w:pPr>
      <w:bookmarkStart w:id="4" w:name="_Toc219193855"/>
      <w:r>
        <w:lastRenderedPageBreak/>
        <w:t>The problem</w:t>
      </w:r>
      <w:bookmarkEnd w:id="4"/>
      <w:r w:rsidR="003F6485">
        <w:tab/>
      </w:r>
    </w:p>
    <w:p w14:paraId="230F6C1A" w14:textId="6A1C1F9B" w:rsidR="009C3156" w:rsidRDefault="00865AA6" w:rsidP="009C3156">
      <w:pPr>
        <w:pStyle w:val="Heading3"/>
      </w:pPr>
      <w:bookmarkStart w:id="5" w:name="_Toc219193856"/>
      <w:r>
        <w:t>W</w:t>
      </w:r>
      <w:r w:rsidR="00CA266E">
        <w:t>orkforce</w:t>
      </w:r>
      <w:bookmarkEnd w:id="5"/>
    </w:p>
    <w:p w14:paraId="02697BEB" w14:textId="0EE637AC" w:rsidR="00236837" w:rsidRDefault="190347A4" w:rsidP="39540368">
      <w:pPr>
        <w:rPr>
          <w:rFonts w:asciiTheme="majorHAnsi" w:hAnsiTheme="majorHAnsi" w:cstheme="majorBidi"/>
        </w:rPr>
      </w:pPr>
      <w:r w:rsidRPr="39540368">
        <w:rPr>
          <w:rFonts w:asciiTheme="majorHAnsi" w:hAnsiTheme="majorHAnsi" w:cstheme="majorBidi"/>
        </w:rPr>
        <w:t>There is growing evidence that quality ECEC provides children with significant developmental benefits in their early years and can promote children’s readiness to begin school</w:t>
      </w:r>
      <w:r w:rsidR="008139F8">
        <w:rPr>
          <w:rFonts w:asciiTheme="majorHAnsi" w:hAnsiTheme="majorHAnsi" w:cstheme="majorBidi"/>
        </w:rPr>
        <w:t>.</w:t>
      </w:r>
      <w:r w:rsidR="00336D47" w:rsidRPr="39540368">
        <w:rPr>
          <w:rStyle w:val="FootnoteReference"/>
          <w:rFonts w:asciiTheme="majorHAnsi" w:hAnsiTheme="majorHAnsi" w:cstheme="majorBidi"/>
        </w:rPr>
        <w:footnoteReference w:id="6"/>
      </w:r>
      <w:r w:rsidR="00B76A61">
        <w:rPr>
          <w:rFonts w:asciiTheme="majorHAnsi" w:hAnsiTheme="majorHAnsi" w:cstheme="majorBidi"/>
        </w:rPr>
        <w:t xml:space="preserve"> </w:t>
      </w:r>
      <w:r w:rsidR="008139F8">
        <w:rPr>
          <w:rFonts w:asciiTheme="majorHAnsi" w:hAnsiTheme="majorHAnsi" w:cstheme="majorBidi"/>
        </w:rPr>
        <w:t xml:space="preserve">The </w:t>
      </w:r>
      <w:r w:rsidRPr="39540368">
        <w:rPr>
          <w:rFonts w:asciiTheme="majorHAnsi" w:hAnsiTheme="majorHAnsi" w:cstheme="majorBidi"/>
        </w:rPr>
        <w:t>availability of affordable and high-quality ECEC also contributes to an increase in the participation of women in the workforce.</w:t>
      </w:r>
      <w:r w:rsidR="00336D47" w:rsidRPr="39540368">
        <w:rPr>
          <w:rStyle w:val="FootnoteReference"/>
          <w:rFonts w:asciiTheme="majorHAnsi" w:hAnsiTheme="majorHAnsi" w:cstheme="majorBidi"/>
        </w:rPr>
        <w:footnoteReference w:id="7"/>
      </w:r>
      <w:r w:rsidRPr="39540368">
        <w:rPr>
          <w:rFonts w:asciiTheme="majorHAnsi" w:hAnsiTheme="majorHAnsi" w:cstheme="majorBidi"/>
        </w:rPr>
        <w:t xml:space="preserve"> </w:t>
      </w:r>
      <w:r w:rsidR="25411FFA" w:rsidRPr="39540368">
        <w:rPr>
          <w:rFonts w:asciiTheme="majorHAnsi" w:hAnsiTheme="majorHAnsi" w:cstheme="majorBidi"/>
        </w:rPr>
        <w:t>The</w:t>
      </w:r>
      <w:r w:rsidR="1C1052FA" w:rsidRPr="39540368">
        <w:rPr>
          <w:rFonts w:asciiTheme="majorHAnsi" w:hAnsiTheme="majorHAnsi" w:cstheme="majorBidi"/>
        </w:rPr>
        <w:t xml:space="preserve"> Australian Government is committed to charting the course for universal access to ECEC in Australia that is high-quality, equitable, affordable</w:t>
      </w:r>
      <w:r w:rsidR="5F819422" w:rsidRPr="39540368">
        <w:rPr>
          <w:rFonts w:asciiTheme="majorHAnsi" w:hAnsiTheme="majorHAnsi" w:cstheme="majorBidi"/>
        </w:rPr>
        <w:t>,</w:t>
      </w:r>
      <w:r w:rsidR="1C1052FA" w:rsidRPr="39540368">
        <w:rPr>
          <w:rFonts w:asciiTheme="majorHAnsi" w:hAnsiTheme="majorHAnsi" w:cstheme="majorBidi"/>
        </w:rPr>
        <w:t xml:space="preserve"> and accessible in a fiscally responsible and sustainable manner.</w:t>
      </w:r>
      <w:r w:rsidR="004970C4" w:rsidRPr="39540368">
        <w:rPr>
          <w:rStyle w:val="FootnoteReference"/>
          <w:rFonts w:asciiTheme="majorHAnsi" w:hAnsiTheme="majorHAnsi" w:cstheme="majorBidi"/>
        </w:rPr>
        <w:footnoteReference w:id="8"/>
      </w:r>
      <w:r w:rsidR="5F819422" w:rsidRPr="39540368">
        <w:rPr>
          <w:rFonts w:asciiTheme="majorHAnsi" w:hAnsiTheme="majorHAnsi" w:cstheme="majorBidi"/>
        </w:rPr>
        <w:t xml:space="preserve"> Whilst complex, expanding access to ECEC is critical to the Australian Government’s labour market policy objectives </w:t>
      </w:r>
      <w:r w:rsidR="00ED055B">
        <w:rPr>
          <w:rFonts w:asciiTheme="majorHAnsi" w:hAnsiTheme="majorHAnsi" w:cstheme="majorBidi"/>
        </w:rPr>
        <w:t xml:space="preserve">– </w:t>
      </w:r>
      <w:r w:rsidR="7077DD3B" w:rsidRPr="39540368">
        <w:rPr>
          <w:rFonts w:asciiTheme="majorHAnsi" w:hAnsiTheme="majorHAnsi" w:cstheme="majorBidi"/>
        </w:rPr>
        <w:t xml:space="preserve">with a focus on maintaining quality care environments that </w:t>
      </w:r>
      <w:r w:rsidR="4524257E" w:rsidRPr="39540368">
        <w:rPr>
          <w:rFonts w:asciiTheme="majorHAnsi" w:hAnsiTheme="majorHAnsi" w:cstheme="majorBidi"/>
        </w:rPr>
        <w:t>nurtures</w:t>
      </w:r>
      <w:r w:rsidR="7077DD3B" w:rsidRPr="39540368">
        <w:rPr>
          <w:rFonts w:asciiTheme="majorHAnsi" w:hAnsiTheme="majorHAnsi" w:cstheme="majorBidi"/>
        </w:rPr>
        <w:t xml:space="preserve"> children</w:t>
      </w:r>
      <w:r w:rsidR="007814A8">
        <w:rPr>
          <w:rFonts w:asciiTheme="majorHAnsi" w:hAnsiTheme="majorHAnsi" w:cstheme="majorBidi"/>
        </w:rPr>
        <w:t xml:space="preserve"> –</w:t>
      </w:r>
      <w:r w:rsidR="45C27377" w:rsidRPr="5F858890">
        <w:rPr>
          <w:rFonts w:asciiTheme="majorHAnsi" w:hAnsiTheme="majorHAnsi" w:cstheme="majorBidi"/>
        </w:rPr>
        <w:t xml:space="preserve"> and </w:t>
      </w:r>
      <w:r w:rsidR="7077DD3B" w:rsidRPr="39540368">
        <w:rPr>
          <w:rFonts w:asciiTheme="majorHAnsi" w:hAnsiTheme="majorHAnsi" w:cstheme="majorBidi"/>
        </w:rPr>
        <w:t xml:space="preserve">requires a skilled and sustainable workforce that is valued and respected. </w:t>
      </w:r>
      <w:r w:rsidR="00CE7914" w:rsidRPr="39540368">
        <w:rPr>
          <w:rStyle w:val="FootnoteReference"/>
          <w:rFonts w:asciiTheme="majorHAnsi" w:hAnsiTheme="majorHAnsi" w:cstheme="majorBidi"/>
        </w:rPr>
        <w:footnoteReference w:id="9"/>
      </w:r>
    </w:p>
    <w:p w14:paraId="468F27D6" w14:textId="1C447998" w:rsidR="0075103F" w:rsidRDefault="00986335" w:rsidP="39540368">
      <w:pPr>
        <w:rPr>
          <w:rFonts w:asciiTheme="majorHAnsi" w:hAnsiTheme="majorHAnsi" w:cstheme="majorBidi"/>
        </w:rPr>
      </w:pPr>
      <w:r>
        <w:rPr>
          <w:rFonts w:asciiTheme="majorHAnsi" w:hAnsiTheme="majorHAnsi" w:cstheme="majorBidi"/>
        </w:rPr>
        <w:t xml:space="preserve">The ECEC </w:t>
      </w:r>
      <w:r w:rsidR="0024020F">
        <w:rPr>
          <w:rFonts w:asciiTheme="majorHAnsi" w:hAnsiTheme="majorHAnsi" w:cstheme="majorBidi"/>
        </w:rPr>
        <w:t xml:space="preserve">sector </w:t>
      </w:r>
      <w:r>
        <w:rPr>
          <w:rFonts w:asciiTheme="majorHAnsi" w:hAnsiTheme="majorHAnsi" w:cstheme="majorBidi"/>
        </w:rPr>
        <w:t xml:space="preserve">is currently comprised of approximately </w:t>
      </w:r>
      <w:r w:rsidRPr="39540368">
        <w:rPr>
          <w:rFonts w:asciiTheme="majorHAnsi" w:hAnsiTheme="majorHAnsi" w:cstheme="majorBidi"/>
        </w:rPr>
        <w:t>240,000 workers</w:t>
      </w:r>
      <w:r w:rsidR="0095074C">
        <w:rPr>
          <w:rFonts w:asciiTheme="majorHAnsi" w:hAnsiTheme="majorHAnsi" w:cstheme="majorBidi"/>
        </w:rPr>
        <w:t>,</w:t>
      </w:r>
      <w:r w:rsidRPr="39540368">
        <w:rPr>
          <w:rStyle w:val="FootnoteReference"/>
          <w:rFonts w:asciiTheme="majorHAnsi" w:hAnsiTheme="majorHAnsi" w:cstheme="majorBidi"/>
        </w:rPr>
        <w:footnoteReference w:id="10"/>
      </w:r>
      <w:r w:rsidR="0095074C">
        <w:rPr>
          <w:rFonts w:asciiTheme="majorHAnsi" w:hAnsiTheme="majorHAnsi" w:cstheme="majorBidi"/>
        </w:rPr>
        <w:t xml:space="preserve"> with women </w:t>
      </w:r>
      <w:r w:rsidR="00E54D1B">
        <w:rPr>
          <w:rFonts w:asciiTheme="majorHAnsi" w:hAnsiTheme="majorHAnsi" w:cstheme="majorBidi"/>
        </w:rPr>
        <w:t xml:space="preserve">making up approximately 93 per cent of the </w:t>
      </w:r>
      <w:r w:rsidR="0024020F">
        <w:rPr>
          <w:rFonts w:asciiTheme="majorHAnsi" w:hAnsiTheme="majorHAnsi" w:cstheme="majorBidi"/>
        </w:rPr>
        <w:t>broader workforce</w:t>
      </w:r>
      <w:r w:rsidR="00E068FB">
        <w:rPr>
          <w:rFonts w:asciiTheme="majorHAnsi" w:hAnsiTheme="majorHAnsi" w:cstheme="majorBidi"/>
        </w:rPr>
        <w:t xml:space="preserve">, and migrants comprising </w:t>
      </w:r>
      <w:r w:rsidR="003A06B8">
        <w:rPr>
          <w:rFonts w:asciiTheme="majorHAnsi" w:hAnsiTheme="majorHAnsi" w:cstheme="majorBidi"/>
        </w:rPr>
        <w:t>approximately 28 per cent of ECEC staff</w:t>
      </w:r>
      <w:r w:rsidR="0024020F">
        <w:rPr>
          <w:rFonts w:asciiTheme="majorHAnsi" w:hAnsiTheme="majorHAnsi" w:cstheme="majorBidi"/>
        </w:rPr>
        <w:t>.</w:t>
      </w:r>
      <w:r w:rsidR="0024020F">
        <w:rPr>
          <w:rStyle w:val="FootnoteReference"/>
          <w:rFonts w:asciiTheme="majorHAnsi" w:hAnsiTheme="majorHAnsi" w:cstheme="majorBidi"/>
        </w:rPr>
        <w:footnoteReference w:id="11"/>
      </w:r>
      <w:r w:rsidR="000F4C3E">
        <w:rPr>
          <w:rFonts w:asciiTheme="majorHAnsi" w:hAnsiTheme="majorHAnsi" w:cstheme="majorBidi"/>
        </w:rPr>
        <w:t xml:space="preserve"> </w:t>
      </w:r>
      <w:r w:rsidR="080BE698" w:rsidRPr="39540368">
        <w:rPr>
          <w:rFonts w:asciiTheme="majorHAnsi" w:hAnsiTheme="majorHAnsi" w:cstheme="majorBidi"/>
        </w:rPr>
        <w:t>Over the past several years</w:t>
      </w:r>
      <w:r w:rsidR="00D3128F">
        <w:rPr>
          <w:rFonts w:asciiTheme="majorHAnsi" w:hAnsiTheme="majorHAnsi" w:cstheme="majorBidi"/>
        </w:rPr>
        <w:t>,</w:t>
      </w:r>
      <w:r w:rsidR="080BE698" w:rsidRPr="39540368">
        <w:rPr>
          <w:rFonts w:asciiTheme="majorHAnsi" w:hAnsiTheme="majorHAnsi" w:cstheme="majorBidi"/>
        </w:rPr>
        <w:t xml:space="preserve"> workforce shortages in the ECEC sector and the associated impacts have attracted significant media attention</w:t>
      </w:r>
      <w:r w:rsidR="00E40857" w:rsidRPr="39540368">
        <w:rPr>
          <w:rStyle w:val="FootnoteReference"/>
          <w:rFonts w:asciiTheme="majorHAnsi" w:hAnsiTheme="majorHAnsi" w:cstheme="majorBidi"/>
        </w:rPr>
        <w:footnoteReference w:id="12"/>
      </w:r>
      <w:r w:rsidR="4390F2C6" w:rsidRPr="39540368">
        <w:rPr>
          <w:rFonts w:asciiTheme="majorHAnsi" w:hAnsiTheme="majorHAnsi" w:cstheme="majorBidi"/>
        </w:rPr>
        <w:t xml:space="preserve"> with</w:t>
      </w:r>
      <w:r w:rsidR="005E0A26">
        <w:rPr>
          <w:rFonts w:asciiTheme="majorHAnsi" w:hAnsiTheme="majorHAnsi" w:cstheme="majorBidi"/>
        </w:rPr>
        <w:t xml:space="preserve"> the A</w:t>
      </w:r>
      <w:r w:rsidR="00A96093">
        <w:rPr>
          <w:rFonts w:asciiTheme="majorHAnsi" w:hAnsiTheme="majorHAnsi" w:cstheme="majorBidi"/>
        </w:rPr>
        <w:t>ustralian Competition and Consumer Commission (A</w:t>
      </w:r>
      <w:r w:rsidR="005E0A26">
        <w:rPr>
          <w:rFonts w:asciiTheme="majorHAnsi" w:hAnsiTheme="majorHAnsi" w:cstheme="majorBidi"/>
        </w:rPr>
        <w:t>CCC</w:t>
      </w:r>
      <w:r w:rsidR="00A96093">
        <w:rPr>
          <w:rFonts w:asciiTheme="majorHAnsi" w:hAnsiTheme="majorHAnsi" w:cstheme="majorBidi"/>
        </w:rPr>
        <w:t>)</w:t>
      </w:r>
      <w:r w:rsidR="005E0A26">
        <w:rPr>
          <w:rFonts w:asciiTheme="majorHAnsi" w:hAnsiTheme="majorHAnsi" w:cstheme="majorBidi"/>
        </w:rPr>
        <w:t xml:space="preserve"> </w:t>
      </w:r>
      <w:r w:rsidR="005B6A56">
        <w:rPr>
          <w:rFonts w:asciiTheme="majorHAnsi" w:hAnsiTheme="majorHAnsi" w:cstheme="majorBidi"/>
        </w:rPr>
        <w:t xml:space="preserve">finding </w:t>
      </w:r>
      <w:r w:rsidR="00CF7913">
        <w:rPr>
          <w:rFonts w:asciiTheme="majorHAnsi" w:hAnsiTheme="majorHAnsi" w:cstheme="majorBidi"/>
        </w:rPr>
        <w:t>that</w:t>
      </w:r>
      <w:r w:rsidR="009C4469">
        <w:rPr>
          <w:rFonts w:asciiTheme="majorHAnsi" w:hAnsiTheme="majorHAnsi" w:cstheme="majorBidi"/>
        </w:rPr>
        <w:t xml:space="preserve"> </w:t>
      </w:r>
      <w:r w:rsidR="002B2E03">
        <w:rPr>
          <w:rFonts w:asciiTheme="majorHAnsi" w:hAnsiTheme="majorHAnsi" w:cstheme="majorBidi"/>
        </w:rPr>
        <w:t xml:space="preserve">‘labour force shortages </w:t>
      </w:r>
      <w:r w:rsidR="006E5111">
        <w:rPr>
          <w:rFonts w:asciiTheme="majorHAnsi" w:hAnsiTheme="majorHAnsi" w:cstheme="majorBidi"/>
        </w:rPr>
        <w:t>are affecting all childcare markets</w:t>
      </w:r>
      <w:r w:rsidR="002F4531">
        <w:rPr>
          <w:rFonts w:asciiTheme="majorHAnsi" w:hAnsiTheme="majorHAnsi" w:cstheme="majorBidi"/>
        </w:rPr>
        <w:t xml:space="preserve">, in terms of both the supply </w:t>
      </w:r>
      <w:r w:rsidR="0038096C">
        <w:rPr>
          <w:rFonts w:asciiTheme="majorHAnsi" w:hAnsiTheme="majorHAnsi" w:cstheme="majorBidi"/>
        </w:rPr>
        <w:t xml:space="preserve">of childcare services </w:t>
      </w:r>
      <w:r w:rsidR="004021FB">
        <w:rPr>
          <w:rFonts w:asciiTheme="majorHAnsi" w:hAnsiTheme="majorHAnsi" w:cstheme="majorBidi"/>
        </w:rPr>
        <w:t xml:space="preserve">and the costs to supply </w:t>
      </w:r>
      <w:r w:rsidR="00BF129D">
        <w:rPr>
          <w:rFonts w:asciiTheme="majorHAnsi" w:hAnsiTheme="majorHAnsi" w:cstheme="majorBidi"/>
        </w:rPr>
        <w:t>these services</w:t>
      </w:r>
      <w:r w:rsidR="00576491">
        <w:rPr>
          <w:rFonts w:asciiTheme="majorHAnsi" w:hAnsiTheme="majorHAnsi" w:cstheme="majorBidi"/>
        </w:rPr>
        <w:t>’.</w:t>
      </w:r>
      <w:r w:rsidR="00CC0FAE">
        <w:rPr>
          <w:rStyle w:val="FootnoteReference"/>
          <w:rFonts w:asciiTheme="majorHAnsi" w:hAnsiTheme="majorHAnsi" w:cstheme="majorBidi"/>
        </w:rPr>
        <w:footnoteReference w:id="13"/>
      </w:r>
      <w:r w:rsidR="002F0E5E">
        <w:rPr>
          <w:rFonts w:asciiTheme="majorHAnsi" w:hAnsiTheme="majorHAnsi" w:cstheme="majorBidi"/>
        </w:rPr>
        <w:t xml:space="preserve"> </w:t>
      </w:r>
      <w:r w:rsidR="0053016C">
        <w:t xml:space="preserve">Internet Vacancy Index data from Jobs and Skills Australia </w:t>
      </w:r>
      <w:r w:rsidR="00D8225A">
        <w:t>indicates that staff vacancies for</w:t>
      </w:r>
      <w:r w:rsidR="0080489F">
        <w:t xml:space="preserve"> ECEC educators have increased by 13.6 per cent</w:t>
      </w:r>
      <w:r w:rsidR="00D8225A">
        <w:t xml:space="preserve"> between </w:t>
      </w:r>
      <w:r w:rsidR="004A11A0">
        <w:t>December 2022 and December 2023</w:t>
      </w:r>
      <w:r w:rsidR="0080489F">
        <w:t>.</w:t>
      </w:r>
      <w:r w:rsidR="0080489F">
        <w:rPr>
          <w:rStyle w:val="FootnoteReference"/>
        </w:rPr>
        <w:footnoteReference w:id="14"/>
      </w:r>
      <w:r w:rsidR="004A11A0">
        <w:t xml:space="preserve"> </w:t>
      </w:r>
      <w:r w:rsidR="00F043F6">
        <w:rPr>
          <w:rFonts w:asciiTheme="majorHAnsi" w:hAnsiTheme="majorHAnsi" w:cstheme="majorBidi"/>
        </w:rPr>
        <w:t>Using data from</w:t>
      </w:r>
      <w:r w:rsidR="5B3D2771" w:rsidRPr="39540368">
        <w:rPr>
          <w:rFonts w:asciiTheme="majorHAnsi" w:hAnsiTheme="majorHAnsi" w:cstheme="majorBidi"/>
        </w:rPr>
        <w:t xml:space="preserve"> 2015 to 2020, a</w:t>
      </w:r>
      <w:r w:rsidR="00F043F6">
        <w:rPr>
          <w:rFonts w:asciiTheme="majorHAnsi" w:hAnsiTheme="majorHAnsi" w:cstheme="majorBidi"/>
        </w:rPr>
        <w:t>n</w:t>
      </w:r>
      <w:r w:rsidR="5B3D2771" w:rsidRPr="39540368">
        <w:rPr>
          <w:rFonts w:asciiTheme="majorHAnsi" w:hAnsiTheme="majorHAnsi" w:cstheme="majorBidi"/>
        </w:rPr>
        <w:t xml:space="preserve"> article in the Australian Education Researcher found that s</w:t>
      </w:r>
      <w:r w:rsidR="0BA96836" w:rsidRPr="39540368">
        <w:rPr>
          <w:rFonts w:asciiTheme="majorHAnsi" w:hAnsiTheme="majorHAnsi" w:cstheme="majorBidi"/>
        </w:rPr>
        <w:t>taff turnover of early childhood teachers (ECT</w:t>
      </w:r>
      <w:r w:rsidR="3213904B" w:rsidRPr="39540368">
        <w:rPr>
          <w:rFonts w:asciiTheme="majorHAnsi" w:hAnsiTheme="majorHAnsi" w:cstheme="majorBidi"/>
        </w:rPr>
        <w:t>s</w:t>
      </w:r>
      <w:r w:rsidR="0BA96836" w:rsidRPr="39540368">
        <w:rPr>
          <w:rFonts w:asciiTheme="majorHAnsi" w:hAnsiTheme="majorHAnsi" w:cstheme="majorBidi"/>
        </w:rPr>
        <w:t xml:space="preserve">) and educators has </w:t>
      </w:r>
      <w:r w:rsidR="2935FF68" w:rsidRPr="39540368">
        <w:rPr>
          <w:rFonts w:asciiTheme="majorHAnsi" w:hAnsiTheme="majorHAnsi" w:cstheme="majorBidi"/>
        </w:rPr>
        <w:t>ranged</w:t>
      </w:r>
      <w:r w:rsidR="0BA96836" w:rsidRPr="39540368">
        <w:rPr>
          <w:rFonts w:asciiTheme="majorHAnsi" w:hAnsiTheme="majorHAnsi" w:cstheme="majorBidi"/>
        </w:rPr>
        <w:t xml:space="preserve"> between 20 to 37 per cent</w:t>
      </w:r>
      <w:r w:rsidR="0732B653" w:rsidRPr="39540368">
        <w:rPr>
          <w:rFonts w:asciiTheme="majorHAnsi" w:hAnsiTheme="majorHAnsi" w:cstheme="majorBidi"/>
        </w:rPr>
        <w:t xml:space="preserve"> per year, with the lower figure more representative of metropolitan based services, and the higher representative of rural and remote services</w:t>
      </w:r>
      <w:r w:rsidR="002E604D" w:rsidRPr="39540368">
        <w:rPr>
          <w:rStyle w:val="FootnoteReference"/>
          <w:rFonts w:asciiTheme="majorHAnsi" w:hAnsiTheme="majorHAnsi" w:cstheme="majorBidi"/>
        </w:rPr>
        <w:footnoteReference w:id="15"/>
      </w:r>
      <w:r w:rsidR="004A0964">
        <w:rPr>
          <w:rFonts w:asciiTheme="majorHAnsi" w:hAnsiTheme="majorHAnsi" w:cstheme="majorBidi"/>
        </w:rPr>
        <w:t xml:space="preserve">, </w:t>
      </w:r>
      <w:r w:rsidR="0872A0CC" w:rsidRPr="39540368">
        <w:rPr>
          <w:rFonts w:asciiTheme="majorHAnsi" w:hAnsiTheme="majorHAnsi" w:cstheme="majorBidi"/>
        </w:rPr>
        <w:t>compared to an overall Australian workforce turnover rate of 9.5 per cent</w:t>
      </w:r>
      <w:r w:rsidR="002E604D" w:rsidRPr="39540368">
        <w:rPr>
          <w:rStyle w:val="FootnoteReference"/>
          <w:rFonts w:asciiTheme="majorHAnsi" w:hAnsiTheme="majorHAnsi" w:cstheme="majorBidi"/>
        </w:rPr>
        <w:footnoteReference w:id="16"/>
      </w:r>
      <w:r w:rsidR="11FD480E" w:rsidRPr="39540368">
        <w:rPr>
          <w:rFonts w:asciiTheme="majorHAnsi" w:hAnsiTheme="majorHAnsi" w:cstheme="majorBidi"/>
        </w:rPr>
        <w:t>.</w:t>
      </w:r>
      <w:r w:rsidR="65A87E6D" w:rsidRPr="39540368">
        <w:rPr>
          <w:rFonts w:asciiTheme="majorHAnsi" w:hAnsiTheme="majorHAnsi" w:cstheme="majorBidi"/>
        </w:rPr>
        <w:t xml:space="preserve"> </w:t>
      </w:r>
    </w:p>
    <w:p w14:paraId="1C2CF24A" w14:textId="23BC9F56" w:rsidR="00B67EA5" w:rsidRDefault="00475336" w:rsidP="39540368">
      <w:pPr>
        <w:rPr>
          <w:rFonts w:asciiTheme="majorHAnsi" w:hAnsiTheme="majorHAnsi" w:cstheme="majorBidi"/>
        </w:rPr>
      </w:pPr>
      <w:r>
        <w:rPr>
          <w:rFonts w:asciiTheme="majorHAnsi" w:hAnsiTheme="majorHAnsi" w:cstheme="majorBidi"/>
        </w:rPr>
        <w:lastRenderedPageBreak/>
        <w:t>The research attributed high</w:t>
      </w:r>
      <w:r w:rsidR="007F28F4">
        <w:rPr>
          <w:rFonts w:asciiTheme="majorHAnsi" w:hAnsiTheme="majorHAnsi" w:cstheme="majorBidi"/>
        </w:rPr>
        <w:t xml:space="preserve"> turnover and workforce shortages</w:t>
      </w:r>
      <w:r>
        <w:rPr>
          <w:rFonts w:asciiTheme="majorHAnsi" w:hAnsiTheme="majorHAnsi" w:cstheme="majorBidi"/>
        </w:rPr>
        <w:t xml:space="preserve"> to </w:t>
      </w:r>
      <w:r w:rsidR="00BE3D80">
        <w:rPr>
          <w:rFonts w:asciiTheme="majorHAnsi" w:hAnsiTheme="majorHAnsi" w:cstheme="majorBidi"/>
        </w:rPr>
        <w:t>several</w:t>
      </w:r>
      <w:r>
        <w:rPr>
          <w:rFonts w:asciiTheme="majorHAnsi" w:hAnsiTheme="majorHAnsi" w:cstheme="majorBidi"/>
        </w:rPr>
        <w:t xml:space="preserve"> reasons </w:t>
      </w:r>
      <w:r w:rsidR="00472458">
        <w:rPr>
          <w:rFonts w:asciiTheme="majorHAnsi" w:hAnsiTheme="majorHAnsi" w:cstheme="majorBidi"/>
        </w:rPr>
        <w:t xml:space="preserve">including </w:t>
      </w:r>
      <w:r w:rsidR="00E56D1E">
        <w:rPr>
          <w:rFonts w:asciiTheme="majorHAnsi" w:hAnsiTheme="majorHAnsi" w:cstheme="majorBidi"/>
        </w:rPr>
        <w:t>l</w:t>
      </w:r>
      <w:r w:rsidR="005832AF">
        <w:rPr>
          <w:rFonts w:asciiTheme="majorHAnsi" w:hAnsiTheme="majorHAnsi" w:cstheme="majorBidi"/>
        </w:rPr>
        <w:t xml:space="preserve">ack of </w:t>
      </w:r>
      <w:r w:rsidR="000154ED">
        <w:rPr>
          <w:rFonts w:asciiTheme="majorHAnsi" w:hAnsiTheme="majorHAnsi" w:cstheme="majorBidi"/>
        </w:rPr>
        <w:t>liveable</w:t>
      </w:r>
      <w:r w:rsidR="005832AF">
        <w:rPr>
          <w:rFonts w:asciiTheme="majorHAnsi" w:hAnsiTheme="majorHAnsi" w:cstheme="majorBidi"/>
        </w:rPr>
        <w:t xml:space="preserve"> wages</w:t>
      </w:r>
      <w:r w:rsidR="00850EAF">
        <w:rPr>
          <w:rFonts w:asciiTheme="majorHAnsi" w:hAnsiTheme="majorHAnsi" w:cstheme="majorBidi"/>
        </w:rPr>
        <w:t xml:space="preserve"> and the</w:t>
      </w:r>
      <w:r w:rsidR="009B7A54">
        <w:rPr>
          <w:rFonts w:asciiTheme="majorHAnsi" w:hAnsiTheme="majorHAnsi" w:cstheme="majorBidi"/>
        </w:rPr>
        <w:t xml:space="preserve"> demands of the role</w:t>
      </w:r>
      <w:r w:rsidR="00362E34">
        <w:rPr>
          <w:rFonts w:asciiTheme="majorHAnsi" w:hAnsiTheme="majorHAnsi" w:cstheme="majorBidi"/>
        </w:rPr>
        <w:t xml:space="preserve">. </w:t>
      </w:r>
      <w:r w:rsidR="0075103F">
        <w:rPr>
          <w:rFonts w:asciiTheme="majorHAnsi" w:hAnsiTheme="majorHAnsi" w:cstheme="majorBidi"/>
        </w:rPr>
        <w:t>L</w:t>
      </w:r>
      <w:r w:rsidR="00362E34">
        <w:rPr>
          <w:rFonts w:asciiTheme="majorHAnsi" w:hAnsiTheme="majorHAnsi" w:cstheme="majorBidi"/>
        </w:rPr>
        <w:t xml:space="preserve">ow wages, </w:t>
      </w:r>
      <w:r w:rsidR="00DF6B12">
        <w:rPr>
          <w:rFonts w:asciiTheme="majorHAnsi" w:hAnsiTheme="majorHAnsi" w:cstheme="majorBidi"/>
        </w:rPr>
        <w:t xml:space="preserve">low professional status, and lack of pay parity with </w:t>
      </w:r>
      <w:proofErr w:type="gramStart"/>
      <w:r w:rsidR="00DF6B12">
        <w:rPr>
          <w:rFonts w:asciiTheme="majorHAnsi" w:hAnsiTheme="majorHAnsi" w:cstheme="majorBidi"/>
        </w:rPr>
        <w:t>school teac</w:t>
      </w:r>
      <w:r w:rsidR="00D476A8">
        <w:rPr>
          <w:rFonts w:asciiTheme="majorHAnsi" w:hAnsiTheme="majorHAnsi" w:cstheme="majorBidi"/>
        </w:rPr>
        <w:t>hers</w:t>
      </w:r>
      <w:proofErr w:type="gramEnd"/>
      <w:r w:rsidR="00D476A8">
        <w:rPr>
          <w:rFonts w:asciiTheme="majorHAnsi" w:hAnsiTheme="majorHAnsi" w:cstheme="majorBidi"/>
        </w:rPr>
        <w:t xml:space="preserve"> </w:t>
      </w:r>
      <w:r w:rsidR="001F36AF">
        <w:rPr>
          <w:rFonts w:asciiTheme="majorHAnsi" w:hAnsiTheme="majorHAnsi" w:cstheme="majorBidi"/>
        </w:rPr>
        <w:t>are</w:t>
      </w:r>
      <w:r w:rsidR="00D476A8">
        <w:rPr>
          <w:rFonts w:asciiTheme="majorHAnsi" w:hAnsiTheme="majorHAnsi" w:cstheme="majorBidi"/>
        </w:rPr>
        <w:t xml:space="preserve"> among the barriers</w:t>
      </w:r>
      <w:r w:rsidR="00850EAF">
        <w:rPr>
          <w:rFonts w:asciiTheme="majorHAnsi" w:hAnsiTheme="majorHAnsi" w:cstheme="majorBidi"/>
        </w:rPr>
        <w:t xml:space="preserve"> impacting attraction</w:t>
      </w:r>
      <w:r w:rsidR="00D476A8">
        <w:rPr>
          <w:rFonts w:asciiTheme="majorHAnsi" w:hAnsiTheme="majorHAnsi" w:cstheme="majorBidi"/>
        </w:rPr>
        <w:t xml:space="preserve"> and retention</w:t>
      </w:r>
      <w:r w:rsidR="0090402D">
        <w:rPr>
          <w:rFonts w:asciiTheme="majorHAnsi" w:hAnsiTheme="majorHAnsi" w:cstheme="majorBidi"/>
        </w:rPr>
        <w:t>.</w:t>
      </w:r>
      <w:r w:rsidR="00045D56">
        <w:rPr>
          <w:rStyle w:val="FootnoteReference"/>
          <w:rFonts w:asciiTheme="majorHAnsi" w:hAnsiTheme="majorHAnsi" w:cstheme="majorBidi"/>
        </w:rPr>
        <w:footnoteReference w:id="17"/>
      </w:r>
      <w:r w:rsidR="000154ED">
        <w:rPr>
          <w:rFonts w:asciiTheme="majorHAnsi" w:hAnsiTheme="majorHAnsi" w:cstheme="majorBidi"/>
        </w:rPr>
        <w:t xml:space="preserve"> </w:t>
      </w:r>
      <w:r w:rsidR="005832AF">
        <w:rPr>
          <w:rFonts w:asciiTheme="majorHAnsi" w:hAnsiTheme="majorHAnsi" w:cstheme="majorBidi"/>
        </w:rPr>
        <w:t xml:space="preserve"> </w:t>
      </w:r>
    </w:p>
    <w:p w14:paraId="7E334051" w14:textId="5B490AB7" w:rsidR="004A11A0" w:rsidRDefault="6DE55AC5" w:rsidP="39540368">
      <w:pPr>
        <w:rPr>
          <w:rFonts w:asciiTheme="majorHAnsi" w:hAnsiTheme="majorHAnsi" w:cstheme="majorBidi"/>
        </w:rPr>
      </w:pPr>
      <w:r w:rsidRPr="39540368">
        <w:rPr>
          <w:rFonts w:asciiTheme="majorHAnsi" w:hAnsiTheme="majorHAnsi" w:cstheme="majorBidi"/>
        </w:rPr>
        <w:t>These w</w:t>
      </w:r>
      <w:r w:rsidR="51C36795" w:rsidRPr="39540368">
        <w:rPr>
          <w:rFonts w:asciiTheme="majorHAnsi" w:hAnsiTheme="majorHAnsi" w:cstheme="majorBidi"/>
        </w:rPr>
        <w:t xml:space="preserve">orkforce issues are constraining the sector and hinder </w:t>
      </w:r>
      <w:r w:rsidR="11566278" w:rsidRPr="39540368">
        <w:rPr>
          <w:rFonts w:asciiTheme="majorHAnsi" w:hAnsiTheme="majorHAnsi" w:cstheme="majorBidi"/>
        </w:rPr>
        <w:t xml:space="preserve">the ability of Government </w:t>
      </w:r>
      <w:r w:rsidR="5157D0AC" w:rsidRPr="39540368">
        <w:rPr>
          <w:rFonts w:asciiTheme="majorHAnsi" w:hAnsiTheme="majorHAnsi" w:cstheme="majorBidi"/>
        </w:rPr>
        <w:t>to realise the universal ECEC reform agenda.</w:t>
      </w:r>
      <w:r w:rsidR="06ED080E" w:rsidRPr="39540368">
        <w:rPr>
          <w:rFonts w:asciiTheme="majorHAnsi" w:hAnsiTheme="majorHAnsi" w:cstheme="majorBidi"/>
        </w:rPr>
        <w:t xml:space="preserve"> The sector continues to report that workforce shortages are reducing the quality, safety, </w:t>
      </w:r>
      <w:r w:rsidR="64DF259D" w:rsidRPr="39540368">
        <w:rPr>
          <w:rFonts w:asciiTheme="majorHAnsi" w:hAnsiTheme="majorHAnsi" w:cstheme="majorBidi"/>
        </w:rPr>
        <w:t>sustainability,</w:t>
      </w:r>
      <w:r w:rsidR="06ED080E" w:rsidRPr="39540368">
        <w:rPr>
          <w:rFonts w:asciiTheme="majorHAnsi" w:hAnsiTheme="majorHAnsi" w:cstheme="majorBidi"/>
        </w:rPr>
        <w:t xml:space="preserve"> and availability of </w:t>
      </w:r>
      <w:r w:rsidR="548356B9" w:rsidRPr="39540368">
        <w:rPr>
          <w:rFonts w:asciiTheme="majorHAnsi" w:hAnsiTheme="majorHAnsi" w:cstheme="majorBidi"/>
        </w:rPr>
        <w:t>care</w:t>
      </w:r>
      <w:r w:rsidR="1D17EC73" w:rsidRPr="39540368">
        <w:rPr>
          <w:rFonts w:asciiTheme="majorHAnsi" w:hAnsiTheme="majorHAnsi" w:cstheme="majorBidi"/>
        </w:rPr>
        <w:t>.</w:t>
      </w:r>
      <w:r w:rsidR="007F4D7B" w:rsidRPr="39540368">
        <w:rPr>
          <w:rStyle w:val="FootnoteReference"/>
          <w:rFonts w:asciiTheme="majorHAnsi" w:hAnsiTheme="majorHAnsi" w:cstheme="majorBidi"/>
        </w:rPr>
        <w:footnoteReference w:id="18"/>
      </w:r>
      <w:r w:rsidR="1D17EC73" w:rsidRPr="39540368">
        <w:rPr>
          <w:rFonts w:asciiTheme="majorHAnsi" w:hAnsiTheme="majorHAnsi" w:cstheme="majorBidi"/>
        </w:rPr>
        <w:t xml:space="preserve"> </w:t>
      </w:r>
    </w:p>
    <w:p w14:paraId="23C388D7" w14:textId="6E3B90EA" w:rsidR="004970C4" w:rsidRDefault="00FF6C3D" w:rsidP="39540368">
      <w:pPr>
        <w:rPr>
          <w:rFonts w:asciiTheme="majorHAnsi" w:hAnsiTheme="majorHAnsi" w:cstheme="majorBidi"/>
        </w:rPr>
      </w:pPr>
      <w:r>
        <w:rPr>
          <w:rFonts w:asciiTheme="majorHAnsi" w:hAnsiTheme="majorHAnsi" w:cstheme="majorBidi"/>
        </w:rPr>
        <w:t>Additionally, hi</w:t>
      </w:r>
      <w:r w:rsidR="1D17EC73" w:rsidRPr="39540368">
        <w:rPr>
          <w:rFonts w:asciiTheme="majorHAnsi" w:hAnsiTheme="majorHAnsi" w:cstheme="majorBidi"/>
        </w:rPr>
        <w:t>gh staff turnover</w:t>
      </w:r>
      <w:r w:rsidR="2B078C3E" w:rsidRPr="39540368">
        <w:rPr>
          <w:rFonts w:asciiTheme="majorHAnsi" w:hAnsiTheme="majorHAnsi" w:cstheme="majorBidi"/>
        </w:rPr>
        <w:t xml:space="preserve"> has significant consequences for the wellbeing of children</w:t>
      </w:r>
      <w:r w:rsidR="548356B9" w:rsidRPr="39540368">
        <w:rPr>
          <w:rFonts w:asciiTheme="majorHAnsi" w:hAnsiTheme="majorHAnsi" w:cstheme="majorBidi"/>
        </w:rPr>
        <w:t xml:space="preserve"> </w:t>
      </w:r>
      <w:r w:rsidR="2B078C3E" w:rsidRPr="39540368">
        <w:rPr>
          <w:rFonts w:asciiTheme="majorHAnsi" w:hAnsiTheme="majorHAnsi" w:cstheme="majorBidi"/>
        </w:rPr>
        <w:t>in care</w:t>
      </w:r>
      <w:r w:rsidR="40F7EA7D" w:rsidRPr="39540368">
        <w:rPr>
          <w:rFonts w:asciiTheme="majorHAnsi" w:hAnsiTheme="majorHAnsi" w:cstheme="majorBidi"/>
        </w:rPr>
        <w:t>,</w:t>
      </w:r>
      <w:r w:rsidR="00E828F8" w:rsidRPr="39540368">
        <w:rPr>
          <w:rStyle w:val="FootnoteReference"/>
          <w:rFonts w:asciiTheme="majorHAnsi" w:hAnsiTheme="majorHAnsi" w:cstheme="majorBidi"/>
        </w:rPr>
        <w:footnoteReference w:id="19"/>
      </w:r>
      <w:r w:rsidR="40F7EA7D" w:rsidRPr="39540368">
        <w:rPr>
          <w:rFonts w:asciiTheme="majorHAnsi" w:hAnsiTheme="majorHAnsi" w:cstheme="majorBidi"/>
        </w:rPr>
        <w:t xml:space="preserve"> </w:t>
      </w:r>
      <w:r w:rsidR="40CD5F30" w:rsidRPr="39540368">
        <w:rPr>
          <w:rFonts w:asciiTheme="majorHAnsi" w:hAnsiTheme="majorHAnsi" w:cstheme="majorBidi"/>
        </w:rPr>
        <w:t>impact</w:t>
      </w:r>
      <w:r w:rsidR="51FECACD" w:rsidRPr="39540368">
        <w:rPr>
          <w:rFonts w:asciiTheme="majorHAnsi" w:hAnsiTheme="majorHAnsi" w:cstheme="majorBidi"/>
        </w:rPr>
        <w:t>s</w:t>
      </w:r>
      <w:r w:rsidR="40CD5F30" w:rsidRPr="39540368">
        <w:rPr>
          <w:rFonts w:asciiTheme="majorHAnsi" w:hAnsiTheme="majorHAnsi" w:cstheme="majorBidi"/>
        </w:rPr>
        <w:t xml:space="preserve"> the educational benefits of early childhood education</w:t>
      </w:r>
      <w:r>
        <w:rPr>
          <w:rFonts w:asciiTheme="majorHAnsi" w:hAnsiTheme="majorHAnsi" w:cstheme="majorBidi"/>
        </w:rPr>
        <w:t>,</w:t>
      </w:r>
      <w:r w:rsidR="4D38093B" w:rsidRPr="39540368">
        <w:rPr>
          <w:rFonts w:asciiTheme="majorHAnsi" w:hAnsiTheme="majorHAnsi" w:cstheme="majorBidi"/>
        </w:rPr>
        <w:t xml:space="preserve"> and prevents families from engaging in</w:t>
      </w:r>
      <w:r w:rsidR="51FECACD" w:rsidRPr="39540368">
        <w:rPr>
          <w:rFonts w:asciiTheme="majorHAnsi" w:hAnsiTheme="majorHAnsi" w:cstheme="majorBidi"/>
        </w:rPr>
        <w:t xml:space="preserve"> their desired amount of</w:t>
      </w:r>
      <w:r w:rsidR="4D38093B" w:rsidRPr="39540368">
        <w:rPr>
          <w:rFonts w:asciiTheme="majorHAnsi" w:hAnsiTheme="majorHAnsi" w:cstheme="majorBidi"/>
        </w:rPr>
        <w:t xml:space="preserve"> work, study or training</w:t>
      </w:r>
      <w:r>
        <w:rPr>
          <w:rFonts w:asciiTheme="majorHAnsi" w:hAnsiTheme="majorHAnsi" w:cstheme="majorBidi"/>
        </w:rPr>
        <w:t xml:space="preserve">. Recent </w:t>
      </w:r>
      <w:r w:rsidR="52C2DA48" w:rsidRPr="39540368">
        <w:rPr>
          <w:rFonts w:asciiTheme="majorHAnsi" w:hAnsiTheme="majorHAnsi" w:cstheme="majorBidi"/>
        </w:rPr>
        <w:t>data demonstra</w:t>
      </w:r>
      <w:r>
        <w:rPr>
          <w:rFonts w:asciiTheme="majorHAnsi" w:hAnsiTheme="majorHAnsi" w:cstheme="majorBidi"/>
        </w:rPr>
        <w:t>tes</w:t>
      </w:r>
      <w:r w:rsidR="52C2DA48" w:rsidRPr="39540368">
        <w:rPr>
          <w:rFonts w:asciiTheme="majorHAnsi" w:hAnsiTheme="majorHAnsi" w:cstheme="majorBidi"/>
        </w:rPr>
        <w:t xml:space="preserve"> </w:t>
      </w:r>
      <w:r w:rsidR="2372E1E0" w:rsidRPr="39540368">
        <w:rPr>
          <w:rFonts w:asciiTheme="majorHAnsi" w:hAnsiTheme="majorHAnsi" w:cstheme="majorBidi"/>
        </w:rPr>
        <w:t xml:space="preserve">that over 130,000 people, </w:t>
      </w:r>
      <w:r w:rsidR="00C11595">
        <w:rPr>
          <w:rFonts w:asciiTheme="majorHAnsi" w:hAnsiTheme="majorHAnsi" w:cstheme="majorBidi"/>
        </w:rPr>
        <w:t xml:space="preserve">the </w:t>
      </w:r>
      <w:r w:rsidR="2372E1E0" w:rsidRPr="39540368">
        <w:rPr>
          <w:rFonts w:asciiTheme="majorHAnsi" w:hAnsiTheme="majorHAnsi" w:cstheme="majorBidi"/>
        </w:rPr>
        <w:t xml:space="preserve">majority of which are women, were </w:t>
      </w:r>
      <w:r w:rsidR="554CCE84" w:rsidRPr="39540368">
        <w:rPr>
          <w:rFonts w:asciiTheme="majorHAnsi" w:hAnsiTheme="majorHAnsi" w:cstheme="majorBidi"/>
        </w:rPr>
        <w:t>available</w:t>
      </w:r>
      <w:r w:rsidR="2372E1E0" w:rsidRPr="39540368">
        <w:rPr>
          <w:rFonts w:asciiTheme="majorHAnsi" w:hAnsiTheme="majorHAnsi" w:cstheme="majorBidi"/>
        </w:rPr>
        <w:t xml:space="preserve"> to work b</w:t>
      </w:r>
      <w:r w:rsidR="554CCE84" w:rsidRPr="39540368">
        <w:rPr>
          <w:rFonts w:asciiTheme="majorHAnsi" w:hAnsiTheme="majorHAnsi" w:cstheme="majorBidi"/>
        </w:rPr>
        <w:t>ut</w:t>
      </w:r>
      <w:r w:rsidR="2372E1E0" w:rsidRPr="39540368">
        <w:rPr>
          <w:rFonts w:asciiTheme="majorHAnsi" w:hAnsiTheme="majorHAnsi" w:cstheme="majorBidi"/>
        </w:rPr>
        <w:t xml:space="preserve"> unable to </w:t>
      </w:r>
      <w:r w:rsidR="554CCE84" w:rsidRPr="39540368">
        <w:rPr>
          <w:rFonts w:asciiTheme="majorHAnsi" w:hAnsiTheme="majorHAnsi" w:cstheme="majorBidi"/>
        </w:rPr>
        <w:t>because of issues they faced accessing care.</w:t>
      </w:r>
      <w:r w:rsidR="00762294" w:rsidRPr="39540368">
        <w:rPr>
          <w:rStyle w:val="FootnoteReference"/>
          <w:rFonts w:asciiTheme="majorHAnsi" w:hAnsiTheme="majorHAnsi" w:cstheme="majorBidi"/>
        </w:rPr>
        <w:footnoteReference w:id="20"/>
      </w:r>
      <w:r w:rsidR="4081D556" w:rsidRPr="39540368">
        <w:rPr>
          <w:rFonts w:asciiTheme="majorHAnsi" w:hAnsiTheme="majorHAnsi" w:cstheme="majorBidi"/>
        </w:rPr>
        <w:t xml:space="preserve"> </w:t>
      </w:r>
    </w:p>
    <w:p w14:paraId="7951D6E4" w14:textId="6CC57375" w:rsidR="006F49DB" w:rsidRPr="007F3628" w:rsidRDefault="007F3628" w:rsidP="007D5715">
      <w:pPr>
        <w:pStyle w:val="Heading4"/>
      </w:pPr>
      <w:bookmarkStart w:id="6" w:name="_Toc219193857"/>
      <w:r w:rsidRPr="007F3628">
        <w:t>Pay and conditions</w:t>
      </w:r>
      <w:bookmarkEnd w:id="6"/>
    </w:p>
    <w:p w14:paraId="1F6568DE" w14:textId="3C38EA75" w:rsidR="004B0888" w:rsidRDefault="0075140C" w:rsidP="39540368">
      <w:pPr>
        <w:rPr>
          <w:rFonts w:asciiTheme="majorHAnsi" w:hAnsiTheme="majorHAnsi" w:cstheme="majorBidi"/>
        </w:rPr>
      </w:pPr>
      <w:r>
        <w:rPr>
          <w:rFonts w:asciiTheme="majorHAnsi" w:hAnsiTheme="majorHAnsi" w:cstheme="majorBidi"/>
        </w:rPr>
        <w:t>ECEC s</w:t>
      </w:r>
      <w:r w:rsidR="2622D1B5" w:rsidRPr="39540368">
        <w:rPr>
          <w:rFonts w:asciiTheme="majorHAnsi" w:hAnsiTheme="majorHAnsi" w:cstheme="majorBidi"/>
        </w:rPr>
        <w:t xml:space="preserve">ector stakeholders widely agree </w:t>
      </w:r>
      <w:r w:rsidR="3101286E" w:rsidRPr="39540368">
        <w:rPr>
          <w:rFonts w:asciiTheme="majorHAnsi" w:hAnsiTheme="majorHAnsi" w:cstheme="majorBidi"/>
        </w:rPr>
        <w:t>that the pay and conditions of the female-dominated, historically low-paid workforce are critical</w:t>
      </w:r>
      <w:r w:rsidR="4E5025A2" w:rsidRPr="39540368">
        <w:rPr>
          <w:rFonts w:asciiTheme="majorHAnsi" w:hAnsiTheme="majorHAnsi" w:cstheme="majorBidi"/>
        </w:rPr>
        <w:t xml:space="preserve"> to sustaining and growing the sector.</w:t>
      </w:r>
      <w:r w:rsidR="57961DCA" w:rsidRPr="00061262">
        <w:t xml:space="preserve"> </w:t>
      </w:r>
      <w:r w:rsidR="0086403B">
        <w:rPr>
          <w:rFonts w:asciiTheme="majorHAnsi" w:hAnsiTheme="majorHAnsi" w:cstheme="majorBidi"/>
        </w:rPr>
        <w:t xml:space="preserve">The </w:t>
      </w:r>
      <w:r w:rsidR="00780E8F">
        <w:rPr>
          <w:rFonts w:asciiTheme="majorHAnsi" w:hAnsiTheme="majorHAnsi" w:cstheme="majorBidi"/>
        </w:rPr>
        <w:t xml:space="preserve">Stage 3 </w:t>
      </w:r>
      <w:r w:rsidR="0086403B">
        <w:rPr>
          <w:rFonts w:asciiTheme="majorHAnsi" w:hAnsiTheme="majorHAnsi" w:cstheme="majorBidi"/>
        </w:rPr>
        <w:t>outcom</w:t>
      </w:r>
      <w:r w:rsidR="00780E8F">
        <w:rPr>
          <w:rFonts w:asciiTheme="majorHAnsi" w:hAnsiTheme="majorHAnsi" w:cstheme="majorBidi"/>
        </w:rPr>
        <w:t>e</w:t>
      </w:r>
      <w:r w:rsidR="0086403B">
        <w:rPr>
          <w:rFonts w:asciiTheme="majorHAnsi" w:hAnsiTheme="majorHAnsi" w:cstheme="majorBidi"/>
        </w:rPr>
        <w:t xml:space="preserve"> of the </w:t>
      </w:r>
      <w:r w:rsidR="00780E8F">
        <w:rPr>
          <w:rFonts w:asciiTheme="majorHAnsi" w:hAnsiTheme="majorHAnsi" w:cstheme="majorBidi"/>
        </w:rPr>
        <w:t>Work value case – Aged care industry</w:t>
      </w:r>
      <w:r w:rsidR="00DA4883">
        <w:rPr>
          <w:rStyle w:val="FootnoteReference"/>
          <w:rFonts w:asciiTheme="majorHAnsi" w:hAnsiTheme="majorHAnsi" w:cstheme="majorBidi"/>
        </w:rPr>
        <w:footnoteReference w:id="21"/>
      </w:r>
      <w:r w:rsidR="0086403B">
        <w:rPr>
          <w:rFonts w:asciiTheme="majorHAnsi" w:hAnsiTheme="majorHAnsi" w:cstheme="majorBidi"/>
        </w:rPr>
        <w:t xml:space="preserve"> increased </w:t>
      </w:r>
      <w:r w:rsidR="00FF4DC3">
        <w:rPr>
          <w:rFonts w:asciiTheme="majorHAnsi" w:hAnsiTheme="majorHAnsi" w:cstheme="majorBidi"/>
        </w:rPr>
        <w:t xml:space="preserve">minimum award </w:t>
      </w:r>
      <w:r w:rsidR="0086403B">
        <w:rPr>
          <w:rFonts w:asciiTheme="majorHAnsi" w:hAnsiTheme="majorHAnsi" w:cstheme="majorBidi"/>
        </w:rPr>
        <w:t>wages for the</w:t>
      </w:r>
      <w:r w:rsidR="00CB44FA">
        <w:rPr>
          <w:rFonts w:asciiTheme="majorHAnsi" w:hAnsiTheme="majorHAnsi" w:cstheme="majorBidi"/>
        </w:rPr>
        <w:t xml:space="preserve"> Aged Care </w:t>
      </w:r>
      <w:r w:rsidR="00F83D53">
        <w:rPr>
          <w:rFonts w:asciiTheme="majorHAnsi" w:hAnsiTheme="majorHAnsi" w:cstheme="majorBidi"/>
        </w:rPr>
        <w:t xml:space="preserve">workforce by </w:t>
      </w:r>
      <w:r w:rsidR="00FF4DC3">
        <w:rPr>
          <w:rFonts w:asciiTheme="majorHAnsi" w:hAnsiTheme="majorHAnsi" w:cstheme="majorBidi"/>
        </w:rPr>
        <w:t>up to 28.5 per cent</w:t>
      </w:r>
      <w:r w:rsidR="00434AD6">
        <w:rPr>
          <w:rFonts w:asciiTheme="majorHAnsi" w:hAnsiTheme="majorHAnsi" w:cstheme="majorBidi"/>
        </w:rPr>
        <w:t xml:space="preserve">. </w:t>
      </w:r>
      <w:r w:rsidR="00B344BC">
        <w:rPr>
          <w:rFonts w:asciiTheme="majorHAnsi" w:hAnsiTheme="majorHAnsi" w:cstheme="majorBidi"/>
        </w:rPr>
        <w:t>W</w:t>
      </w:r>
      <w:r w:rsidR="57961DCA" w:rsidRPr="39540368">
        <w:rPr>
          <w:rFonts w:asciiTheme="majorHAnsi" w:hAnsiTheme="majorHAnsi" w:cstheme="majorBidi"/>
        </w:rPr>
        <w:t xml:space="preserve">ages in ECEC </w:t>
      </w:r>
      <w:r w:rsidR="00C42AA3">
        <w:rPr>
          <w:rFonts w:asciiTheme="majorHAnsi" w:hAnsiTheme="majorHAnsi" w:cstheme="majorBidi"/>
        </w:rPr>
        <w:t>remain</w:t>
      </w:r>
      <w:r w:rsidR="00C42AA3" w:rsidRPr="39540368">
        <w:rPr>
          <w:rFonts w:asciiTheme="majorHAnsi" w:hAnsiTheme="majorHAnsi" w:cstheme="majorBidi"/>
        </w:rPr>
        <w:t xml:space="preserve"> </w:t>
      </w:r>
      <w:r w:rsidR="57961DCA" w:rsidRPr="39540368">
        <w:rPr>
          <w:rFonts w:asciiTheme="majorHAnsi" w:hAnsiTheme="majorHAnsi" w:cstheme="majorBidi"/>
        </w:rPr>
        <w:t>among the lowest of the caring professions, and often comparable to rates of pay for unqualified workers</w:t>
      </w:r>
      <w:r w:rsidR="008A5D20">
        <w:rPr>
          <w:rFonts w:asciiTheme="majorHAnsi" w:hAnsiTheme="majorHAnsi" w:cstheme="majorBidi"/>
        </w:rPr>
        <w:t xml:space="preserve"> (refer Table 1)</w:t>
      </w:r>
      <w:r w:rsidR="00243DEA">
        <w:rPr>
          <w:rFonts w:asciiTheme="majorHAnsi" w:hAnsiTheme="majorHAnsi" w:cstheme="majorBidi"/>
        </w:rPr>
        <w:t xml:space="preserve">, </w:t>
      </w:r>
      <w:r w:rsidR="57961DCA" w:rsidRPr="39540368">
        <w:rPr>
          <w:rFonts w:asciiTheme="majorHAnsi" w:hAnsiTheme="majorHAnsi" w:cstheme="majorBidi"/>
        </w:rPr>
        <w:t xml:space="preserve">and is a leading reason why staff are leaving the sector or considering leaving the sector </w:t>
      </w:r>
      <w:r w:rsidR="0B361C48" w:rsidRPr="39540368">
        <w:rPr>
          <w:rFonts w:asciiTheme="majorHAnsi" w:hAnsiTheme="majorHAnsi" w:cstheme="majorBidi"/>
        </w:rPr>
        <w:t>in the near future.</w:t>
      </w:r>
      <w:r w:rsidR="00DE3C1C" w:rsidRPr="39540368">
        <w:rPr>
          <w:rStyle w:val="FootnoteReference"/>
          <w:rFonts w:asciiTheme="majorHAnsi" w:hAnsiTheme="majorHAnsi" w:cstheme="majorBidi"/>
        </w:rPr>
        <w:footnoteReference w:id="22"/>
      </w:r>
      <w:r w:rsidR="0B361C48" w:rsidRPr="39540368">
        <w:rPr>
          <w:rFonts w:asciiTheme="majorHAnsi" w:hAnsiTheme="majorHAnsi" w:cstheme="majorBidi"/>
        </w:rPr>
        <w:t xml:space="preserve"> </w:t>
      </w:r>
      <w:r w:rsidR="737A59DA" w:rsidRPr="39540368">
        <w:rPr>
          <w:rFonts w:asciiTheme="majorHAnsi" w:hAnsiTheme="majorHAnsi" w:cstheme="majorBidi"/>
        </w:rPr>
        <w:t xml:space="preserve">The Productivity Commission </w:t>
      </w:r>
      <w:r w:rsidR="00A40FA1">
        <w:rPr>
          <w:rFonts w:asciiTheme="majorHAnsi" w:hAnsiTheme="majorHAnsi" w:cstheme="majorBidi"/>
        </w:rPr>
        <w:t xml:space="preserve">(PC) </w:t>
      </w:r>
      <w:r w:rsidR="737A59DA" w:rsidRPr="39540368">
        <w:rPr>
          <w:rFonts w:asciiTheme="majorHAnsi" w:hAnsiTheme="majorHAnsi" w:cstheme="majorBidi"/>
        </w:rPr>
        <w:t xml:space="preserve">ECEC </w:t>
      </w:r>
      <w:r w:rsidR="2BD37A23" w:rsidRPr="39540368">
        <w:rPr>
          <w:rFonts w:asciiTheme="majorHAnsi" w:hAnsiTheme="majorHAnsi" w:cstheme="majorBidi"/>
        </w:rPr>
        <w:t xml:space="preserve">Inquiry </w:t>
      </w:r>
      <w:r w:rsidR="737A59DA" w:rsidRPr="39540368">
        <w:rPr>
          <w:rFonts w:asciiTheme="majorHAnsi" w:hAnsiTheme="majorHAnsi" w:cstheme="majorBidi"/>
        </w:rPr>
        <w:t>Draft Report highlighted that higher wages and better conditions are likely to lower attrition rates and attract more staff to the sector,</w:t>
      </w:r>
      <w:r w:rsidR="00F56E41" w:rsidRPr="39540368">
        <w:rPr>
          <w:rStyle w:val="FootnoteReference"/>
          <w:rFonts w:asciiTheme="majorHAnsi" w:hAnsiTheme="majorHAnsi" w:cstheme="majorBidi"/>
        </w:rPr>
        <w:footnoteReference w:id="23"/>
      </w:r>
      <w:r w:rsidR="737A59DA" w:rsidRPr="39540368">
        <w:rPr>
          <w:rFonts w:asciiTheme="majorHAnsi" w:hAnsiTheme="majorHAnsi" w:cstheme="majorBidi"/>
        </w:rPr>
        <w:t xml:space="preserve"> aligning with</w:t>
      </w:r>
      <w:r w:rsidR="00635DD0">
        <w:rPr>
          <w:rFonts w:asciiTheme="majorHAnsi" w:hAnsiTheme="majorHAnsi" w:cstheme="majorBidi"/>
        </w:rPr>
        <w:t xml:space="preserve"> the Organisation for Economic Co-operation and Development (OECD) </w:t>
      </w:r>
      <w:r w:rsidR="737A59DA" w:rsidRPr="39540368">
        <w:rPr>
          <w:rFonts w:asciiTheme="majorHAnsi" w:hAnsiTheme="majorHAnsi" w:cstheme="majorBidi"/>
        </w:rPr>
        <w:t>advice that lifting early childhood educator pay to align with the schools sector is the only thing that will attract new educators to the sector and ensure those currently working in the sector do not ‘qualify out’.</w:t>
      </w:r>
      <w:r w:rsidR="0019430D" w:rsidRPr="39540368">
        <w:rPr>
          <w:rStyle w:val="FootnoteReference"/>
          <w:rFonts w:asciiTheme="majorHAnsi" w:hAnsiTheme="majorHAnsi" w:cstheme="majorBidi"/>
        </w:rPr>
        <w:footnoteReference w:id="24"/>
      </w:r>
    </w:p>
    <w:p w14:paraId="199D9DB1" w14:textId="06F7262D" w:rsidR="00B107BE" w:rsidRDefault="00B107BE" w:rsidP="114B4762">
      <w:pPr>
        <w:rPr>
          <w:rFonts w:asciiTheme="majorHAnsi" w:hAnsiTheme="majorHAnsi" w:cstheme="majorBidi"/>
        </w:rPr>
      </w:pPr>
    </w:p>
    <w:p w14:paraId="57FE0A6E" w14:textId="46EA7D67" w:rsidR="0063410C" w:rsidRDefault="001678F0" w:rsidP="007D5715">
      <w:pPr>
        <w:pStyle w:val="Heading5"/>
      </w:pPr>
      <w:r>
        <w:t>History of gender-based wage fixing</w:t>
      </w:r>
    </w:p>
    <w:p w14:paraId="659F7CD2" w14:textId="2C2F24F9" w:rsidR="00D37D52" w:rsidRDefault="00D37D52" w:rsidP="00D37D52">
      <w:pPr>
        <w:rPr>
          <w:rFonts w:asciiTheme="majorHAnsi" w:hAnsiTheme="majorHAnsi" w:cstheme="majorHAnsi"/>
        </w:rPr>
      </w:pPr>
      <w:r w:rsidRPr="003C20F9">
        <w:rPr>
          <w:rFonts w:asciiTheme="majorHAnsi" w:hAnsiTheme="majorHAnsi" w:cstheme="majorHAnsi"/>
        </w:rPr>
        <w:t>The Work value case – Aged care industry stage 3 decision</w:t>
      </w:r>
      <w:r>
        <w:rPr>
          <w:rStyle w:val="FootnoteReference"/>
          <w:rFonts w:asciiTheme="majorHAnsi" w:hAnsiTheme="majorHAnsi" w:cstheme="majorHAnsi"/>
        </w:rPr>
        <w:footnoteReference w:id="25"/>
      </w:r>
      <w:r w:rsidRPr="003C20F9">
        <w:rPr>
          <w:rFonts w:asciiTheme="majorHAnsi" w:hAnsiTheme="majorHAnsi" w:cstheme="majorHAnsi"/>
        </w:rPr>
        <w:t xml:space="preserve"> </w:t>
      </w:r>
      <w:r>
        <w:rPr>
          <w:rFonts w:asciiTheme="majorHAnsi" w:hAnsiTheme="majorHAnsi" w:cstheme="majorHAnsi"/>
        </w:rPr>
        <w:t>provides an in-depth history of</w:t>
      </w:r>
      <w:r w:rsidRPr="003C20F9">
        <w:rPr>
          <w:rFonts w:asciiTheme="majorHAnsi" w:hAnsiTheme="majorHAnsi" w:cstheme="majorHAnsi"/>
        </w:rPr>
        <w:t xml:space="preserve"> how gender assumptions have underpinned the national workplace relations system since the Harvester Decision</w:t>
      </w:r>
      <w:r>
        <w:rPr>
          <w:rFonts w:asciiTheme="majorHAnsi" w:hAnsiTheme="majorHAnsi" w:cstheme="majorHAnsi"/>
        </w:rPr>
        <w:t>.</w:t>
      </w:r>
      <w:r w:rsidRPr="003C20F9">
        <w:rPr>
          <w:rStyle w:val="FootnoteReference"/>
          <w:rFonts w:asciiTheme="majorHAnsi" w:hAnsiTheme="majorHAnsi" w:cstheme="majorHAnsi"/>
        </w:rPr>
        <w:footnoteReference w:id="26"/>
      </w:r>
      <w:r>
        <w:rPr>
          <w:rFonts w:asciiTheme="majorHAnsi" w:hAnsiTheme="majorHAnsi" w:cstheme="majorHAnsi"/>
        </w:rPr>
        <w:t xml:space="preserve"> This decision</w:t>
      </w:r>
      <w:r w:rsidRPr="003C20F9">
        <w:rPr>
          <w:rFonts w:asciiTheme="majorHAnsi" w:hAnsiTheme="majorHAnsi" w:cstheme="majorHAnsi"/>
        </w:rPr>
        <w:t xml:space="preserve"> set the ‘living’ or ‘family’ wage in Australia in 1907</w:t>
      </w:r>
      <w:r w:rsidR="00DB4244">
        <w:rPr>
          <w:rFonts w:asciiTheme="majorHAnsi" w:hAnsiTheme="majorHAnsi" w:cstheme="majorHAnsi"/>
        </w:rPr>
        <w:t>,</w:t>
      </w:r>
      <w:r w:rsidRPr="003C20F9">
        <w:rPr>
          <w:rFonts w:asciiTheme="majorHAnsi" w:hAnsiTheme="majorHAnsi" w:cstheme="majorHAnsi"/>
        </w:rPr>
        <w:t xml:space="preserve"> which would supposedly allow an unskilled male labourer to support a wife, and three children, to feed, house and clothe them.</w:t>
      </w:r>
      <w:r>
        <w:rPr>
          <w:rFonts w:asciiTheme="majorHAnsi" w:hAnsiTheme="majorHAnsi" w:cstheme="majorHAnsi"/>
        </w:rPr>
        <w:t xml:space="preserve"> It was on this basis that a wage was fixed to cover the ‘normal needs of the average employee, </w:t>
      </w:r>
      <w:r>
        <w:rPr>
          <w:rFonts w:asciiTheme="majorHAnsi" w:hAnsiTheme="majorHAnsi" w:cstheme="majorHAnsi"/>
        </w:rPr>
        <w:lastRenderedPageBreak/>
        <w:t>regarded as a human being living in civilised society’,</w:t>
      </w:r>
      <w:r>
        <w:rPr>
          <w:rStyle w:val="FootnoteReference"/>
          <w:rFonts w:asciiTheme="majorHAnsi" w:hAnsiTheme="majorHAnsi" w:cstheme="majorHAnsi"/>
        </w:rPr>
        <w:footnoteReference w:id="27"/>
      </w:r>
      <w:r w:rsidRPr="003C20F9">
        <w:rPr>
          <w:rFonts w:asciiTheme="majorHAnsi" w:hAnsiTheme="majorHAnsi" w:cstheme="majorHAnsi"/>
        </w:rPr>
        <w:t xml:space="preserve"> </w:t>
      </w:r>
      <w:r>
        <w:rPr>
          <w:rFonts w:asciiTheme="majorHAnsi" w:hAnsiTheme="majorHAnsi" w:cstheme="majorHAnsi"/>
        </w:rPr>
        <w:t xml:space="preserve">and became </w:t>
      </w:r>
      <w:r w:rsidRPr="003C20F9">
        <w:rPr>
          <w:rFonts w:asciiTheme="majorHAnsi" w:hAnsiTheme="majorHAnsi" w:cstheme="majorHAnsi"/>
        </w:rPr>
        <w:t>the basis of the national minimum wage system in Australia</w:t>
      </w:r>
      <w:r>
        <w:rPr>
          <w:rFonts w:asciiTheme="majorHAnsi" w:hAnsiTheme="majorHAnsi" w:cstheme="majorHAnsi"/>
        </w:rPr>
        <w:t>.</w:t>
      </w:r>
      <w:r w:rsidR="00F6263B">
        <w:rPr>
          <w:rFonts w:asciiTheme="majorHAnsi" w:hAnsiTheme="majorHAnsi" w:cstheme="majorHAnsi"/>
          <w:noProof/>
        </w:rPr>
        <w:drawing>
          <wp:inline distT="0" distB="0" distL="0" distR="0" wp14:anchorId="52F03A8C" wp14:editId="17E0F54C">
            <wp:extent cx="5487035" cy="3200400"/>
            <wp:effectExtent l="0" t="0" r="0" b="0"/>
            <wp:docPr id="1091353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328462C6" w14:textId="25016EFD" w:rsidR="00D37D52" w:rsidRPr="00692FDB" w:rsidRDefault="00D37D52" w:rsidP="00D37D52">
      <w:pPr>
        <w:rPr>
          <w:rFonts w:asciiTheme="majorHAnsi" w:hAnsiTheme="majorHAnsi" w:cstheme="majorHAnsi"/>
        </w:rPr>
      </w:pPr>
      <w:r>
        <w:rPr>
          <w:rFonts w:asciiTheme="majorHAnsi" w:hAnsiTheme="majorHAnsi" w:cstheme="majorHAnsi"/>
        </w:rPr>
        <w:t>The Fruit Pickers decision in 1912</w:t>
      </w:r>
      <w:r>
        <w:rPr>
          <w:rStyle w:val="FootnoteReference"/>
          <w:rFonts w:asciiTheme="majorHAnsi" w:hAnsiTheme="majorHAnsi" w:cstheme="majorHAnsi"/>
        </w:rPr>
        <w:footnoteReference w:id="28"/>
      </w:r>
      <w:r>
        <w:rPr>
          <w:rFonts w:asciiTheme="majorHAnsi" w:hAnsiTheme="majorHAnsi" w:cstheme="majorHAnsi"/>
        </w:rPr>
        <w:t xml:space="preserve"> established the equal pay for equal work principle, where work performed by men and women should award the same margin for skill for the same work. However, the underlying rationale was more to protect men’s employment from being undercut by women, than on the basis of gender equality. Male fruit pickers wages were set in accordance with the earlier Harvester Decision. However, for fruit packers, who were predominately female, wages were set at 75 per cent of the pickers rate due to</w:t>
      </w:r>
      <w:r w:rsidRPr="00692FDB">
        <w:rPr>
          <w:rFonts w:asciiTheme="majorHAnsi" w:hAnsiTheme="majorHAnsi" w:cstheme="majorHAnsi"/>
        </w:rPr>
        <w:t xml:space="preserve"> four assumptions based on gender</w:t>
      </w:r>
      <w:r>
        <w:rPr>
          <w:rFonts w:asciiTheme="majorHAnsi" w:hAnsiTheme="majorHAnsi" w:cstheme="majorHAnsi"/>
        </w:rPr>
        <w:t xml:space="preserve"> that were made. These are:</w:t>
      </w:r>
    </w:p>
    <w:p w14:paraId="1BCE21A5" w14:textId="642AA9DF" w:rsidR="00D37D52" w:rsidRDefault="00D37D52" w:rsidP="00D37D52">
      <w:pPr>
        <w:pStyle w:val="ListParagraph"/>
        <w:numPr>
          <w:ilvl w:val="0"/>
          <w:numId w:val="68"/>
        </w:numPr>
        <w:spacing w:after="160"/>
        <w:rPr>
          <w:rFonts w:asciiTheme="majorHAnsi" w:hAnsiTheme="majorHAnsi" w:cstheme="majorHAnsi"/>
        </w:rPr>
      </w:pPr>
      <w:r w:rsidRPr="00692FDB">
        <w:rPr>
          <w:rFonts w:asciiTheme="majorHAnsi" w:hAnsiTheme="majorHAnsi" w:cstheme="majorHAnsi"/>
        </w:rPr>
        <w:t>Basi</w:t>
      </w:r>
      <w:r>
        <w:rPr>
          <w:rFonts w:asciiTheme="majorHAnsi" w:hAnsiTheme="majorHAnsi" w:cstheme="majorHAnsi"/>
        </w:rPr>
        <w:t>c</w:t>
      </w:r>
      <w:r w:rsidRPr="00692FDB">
        <w:rPr>
          <w:rFonts w:asciiTheme="majorHAnsi" w:hAnsiTheme="majorHAnsi" w:cstheme="majorHAnsi"/>
        </w:rPr>
        <w:t xml:space="preserve"> wage for any particular category or group of workers was </w:t>
      </w:r>
      <w:r w:rsidR="00581931" w:rsidRPr="00692FDB">
        <w:rPr>
          <w:rFonts w:asciiTheme="majorHAnsi" w:hAnsiTheme="majorHAnsi" w:cstheme="majorHAnsi"/>
        </w:rPr>
        <w:t>dependent</w:t>
      </w:r>
      <w:r w:rsidRPr="00692FDB">
        <w:rPr>
          <w:rFonts w:asciiTheme="majorHAnsi" w:hAnsiTheme="majorHAnsi" w:cstheme="majorHAnsi"/>
        </w:rPr>
        <w:t xml:space="preserve"> upon the predominant gender of the category or group</w:t>
      </w:r>
      <w:r>
        <w:rPr>
          <w:rFonts w:asciiTheme="majorHAnsi" w:hAnsiTheme="majorHAnsi" w:cstheme="majorHAnsi"/>
        </w:rPr>
        <w:t>.</w:t>
      </w:r>
    </w:p>
    <w:p w14:paraId="4DED7701" w14:textId="77777777" w:rsidR="00D37D52" w:rsidRDefault="00D37D52" w:rsidP="00D37D52">
      <w:pPr>
        <w:pStyle w:val="ListParagraph"/>
        <w:numPr>
          <w:ilvl w:val="0"/>
          <w:numId w:val="68"/>
        </w:numPr>
        <w:spacing w:after="160"/>
        <w:rPr>
          <w:rFonts w:asciiTheme="majorHAnsi" w:hAnsiTheme="majorHAnsi" w:cstheme="majorHAnsi"/>
        </w:rPr>
      </w:pPr>
      <w:r>
        <w:rPr>
          <w:rFonts w:asciiTheme="majorHAnsi" w:hAnsiTheme="majorHAnsi" w:cstheme="majorHAnsi"/>
        </w:rPr>
        <w:t>Where the category or group was predominately male, basic wage was set according to the Harvester decision, which would also apply to women in that category or group to ensure there was no undercutting of men by women based on wages.</w:t>
      </w:r>
    </w:p>
    <w:p w14:paraId="29FB46D1" w14:textId="77777777" w:rsidR="00D37D52" w:rsidRDefault="00D37D52" w:rsidP="00D37D52">
      <w:pPr>
        <w:pStyle w:val="ListParagraph"/>
        <w:numPr>
          <w:ilvl w:val="0"/>
          <w:numId w:val="68"/>
        </w:numPr>
        <w:spacing w:after="160"/>
        <w:rPr>
          <w:rFonts w:asciiTheme="majorHAnsi" w:hAnsiTheme="majorHAnsi" w:cstheme="majorHAnsi"/>
        </w:rPr>
      </w:pPr>
      <w:r>
        <w:rPr>
          <w:rFonts w:asciiTheme="majorHAnsi" w:hAnsiTheme="majorHAnsi" w:cstheme="majorHAnsi"/>
        </w:rPr>
        <w:t>Where the gender was predominately female, the basic</w:t>
      </w:r>
      <w:r w:rsidRPr="00692FDB">
        <w:rPr>
          <w:rFonts w:asciiTheme="majorHAnsi" w:hAnsiTheme="majorHAnsi" w:cstheme="majorHAnsi"/>
        </w:rPr>
        <w:t xml:space="preserve"> </w:t>
      </w:r>
      <w:r>
        <w:rPr>
          <w:rFonts w:asciiTheme="majorHAnsi" w:hAnsiTheme="majorHAnsi" w:cstheme="majorHAnsi"/>
        </w:rPr>
        <w:t>wage was set based on the presumption that the worker had no dependents irrespective of their circumstances.</w:t>
      </w:r>
      <w:r>
        <w:rPr>
          <w:rStyle w:val="FootnoteReference"/>
          <w:rFonts w:asciiTheme="majorHAnsi" w:hAnsiTheme="majorHAnsi" w:cstheme="majorHAnsi"/>
        </w:rPr>
        <w:footnoteReference w:id="29"/>
      </w:r>
    </w:p>
    <w:p w14:paraId="27D89785" w14:textId="77777777" w:rsidR="00D37D52" w:rsidRDefault="00D37D52" w:rsidP="00D37D52">
      <w:pPr>
        <w:pStyle w:val="ListParagraph"/>
        <w:numPr>
          <w:ilvl w:val="0"/>
          <w:numId w:val="68"/>
        </w:numPr>
        <w:spacing w:after="160"/>
        <w:rPr>
          <w:rFonts w:asciiTheme="majorHAnsi" w:hAnsiTheme="majorHAnsi" w:cstheme="majorHAnsi"/>
        </w:rPr>
      </w:pPr>
      <w:r>
        <w:rPr>
          <w:rFonts w:asciiTheme="majorHAnsi" w:hAnsiTheme="majorHAnsi" w:cstheme="majorHAnsi"/>
        </w:rPr>
        <w:t>The work performed itself and the skills involved were regarded as being gendered with certain types of work suited to men and others suited to women.</w:t>
      </w:r>
    </w:p>
    <w:p w14:paraId="4E2745A8" w14:textId="67951400" w:rsidR="009A5210" w:rsidRDefault="58B0FB5E" w:rsidP="3D5B9355">
      <w:pPr>
        <w:rPr>
          <w:rFonts w:asciiTheme="majorHAnsi" w:hAnsiTheme="majorHAnsi" w:cstheme="majorBidi"/>
        </w:rPr>
      </w:pPr>
      <w:r w:rsidRPr="3D5B9355">
        <w:rPr>
          <w:rFonts w:asciiTheme="majorHAnsi" w:hAnsiTheme="majorHAnsi" w:cstheme="majorBidi"/>
        </w:rPr>
        <w:t>Over the coming decades</w:t>
      </w:r>
      <w:r w:rsidR="00BE6318">
        <w:rPr>
          <w:rFonts w:asciiTheme="majorHAnsi" w:hAnsiTheme="majorHAnsi" w:cstheme="majorBidi"/>
        </w:rPr>
        <w:t>,</w:t>
      </w:r>
      <w:r w:rsidRPr="3D5B9355">
        <w:rPr>
          <w:rFonts w:asciiTheme="majorHAnsi" w:hAnsiTheme="majorHAnsi" w:cstheme="majorBidi"/>
        </w:rPr>
        <w:t xml:space="preserve"> the Harvester decision basic wage concept and the gender assumptions established in the Fruit Pickers decision were further entrenched into Australia’s workplace relations system when setting female rates of pay,</w:t>
      </w:r>
      <w:r w:rsidR="009A5210" w:rsidRPr="3D5B9355">
        <w:rPr>
          <w:rStyle w:val="FootnoteReference"/>
          <w:rFonts w:asciiTheme="majorHAnsi" w:hAnsiTheme="majorHAnsi" w:cstheme="majorBidi"/>
        </w:rPr>
        <w:footnoteReference w:id="30"/>
      </w:r>
      <w:r w:rsidRPr="3D5B9355">
        <w:rPr>
          <w:rFonts w:asciiTheme="majorHAnsi" w:hAnsiTheme="majorHAnsi" w:cstheme="majorBidi"/>
        </w:rPr>
        <w:t xml:space="preserve"> generally as a result of interstate industrial disputes from ambit claims made by male dominated unions.</w:t>
      </w:r>
      <w:r w:rsidR="009A5210" w:rsidRPr="3D5B9355">
        <w:rPr>
          <w:rStyle w:val="FootnoteReference"/>
          <w:rFonts w:asciiTheme="majorHAnsi" w:hAnsiTheme="majorHAnsi" w:cstheme="majorBidi"/>
        </w:rPr>
        <w:footnoteReference w:id="31"/>
      </w:r>
      <w:r w:rsidRPr="3D5B9355">
        <w:rPr>
          <w:rFonts w:asciiTheme="majorHAnsi" w:hAnsiTheme="majorHAnsi" w:cstheme="majorBidi"/>
        </w:rPr>
        <w:t xml:space="preserve"> While the 1919 Archer Decision</w:t>
      </w:r>
      <w:r w:rsidR="009A5210" w:rsidRPr="3D5B9355">
        <w:rPr>
          <w:rStyle w:val="FootnoteReference"/>
          <w:rFonts w:asciiTheme="majorHAnsi" w:hAnsiTheme="majorHAnsi" w:cstheme="majorBidi"/>
        </w:rPr>
        <w:footnoteReference w:id="32"/>
      </w:r>
      <w:r w:rsidRPr="3D5B9355">
        <w:rPr>
          <w:rFonts w:asciiTheme="majorHAnsi" w:hAnsiTheme="majorHAnsi" w:cstheme="majorBidi"/>
        </w:rPr>
        <w:t xml:space="preserve"> set the female </w:t>
      </w:r>
      <w:r w:rsidRPr="3D5B9355">
        <w:rPr>
          <w:rFonts w:asciiTheme="majorHAnsi" w:hAnsiTheme="majorHAnsi" w:cstheme="majorBidi"/>
        </w:rPr>
        <w:lastRenderedPageBreak/>
        <w:t>basic wage at around 54 per cent of the male basic wage, subsequent decisions that established gender-based margins resulted in female workers performing ‘women’s work’ in a masculine industry being paid well above predominately female industries.</w:t>
      </w:r>
      <w:r w:rsidRPr="3D5B9355">
        <w:rPr>
          <w:rStyle w:val="FootnoteReference"/>
          <w:rFonts w:asciiTheme="majorHAnsi" w:hAnsiTheme="majorHAnsi" w:cstheme="majorBidi"/>
        </w:rPr>
        <w:t xml:space="preserve"> </w:t>
      </w:r>
      <w:r w:rsidR="009A5210" w:rsidRPr="3D5B9355">
        <w:rPr>
          <w:rStyle w:val="FootnoteReference"/>
          <w:rFonts w:asciiTheme="majorHAnsi" w:hAnsiTheme="majorHAnsi" w:cstheme="majorBidi"/>
        </w:rPr>
        <w:footnoteReference w:id="33"/>
      </w:r>
      <w:r w:rsidRPr="3D5B9355">
        <w:rPr>
          <w:rFonts w:asciiTheme="majorHAnsi" w:hAnsiTheme="majorHAnsi" w:cstheme="majorBidi"/>
        </w:rPr>
        <w:t xml:space="preserve"> The basic wage concept was replaced by the total wage in the National Wage Cases 1967</w:t>
      </w:r>
      <w:r w:rsidR="009A5210" w:rsidRPr="3D5B9355">
        <w:rPr>
          <w:rStyle w:val="FootnoteReference"/>
          <w:rFonts w:asciiTheme="majorHAnsi" w:hAnsiTheme="majorHAnsi" w:cstheme="majorBidi"/>
        </w:rPr>
        <w:footnoteReference w:id="34"/>
      </w:r>
      <w:r w:rsidRPr="3D5B9355">
        <w:rPr>
          <w:rFonts w:asciiTheme="majorHAnsi" w:hAnsiTheme="majorHAnsi" w:cstheme="majorBidi"/>
        </w:rPr>
        <w:t xml:space="preserve"> and the differences in pay rates represented by the difference between the former male and female basic wages was re-examined in the Equal Pay Case 1969.</w:t>
      </w:r>
      <w:r w:rsidR="009A5210" w:rsidRPr="3D5B9355">
        <w:rPr>
          <w:rStyle w:val="FootnoteReference"/>
          <w:rFonts w:asciiTheme="majorHAnsi" w:hAnsiTheme="majorHAnsi" w:cstheme="majorBidi"/>
        </w:rPr>
        <w:footnoteReference w:id="35"/>
      </w:r>
      <w:r w:rsidRPr="3D5B9355">
        <w:rPr>
          <w:rFonts w:asciiTheme="majorHAnsi" w:hAnsiTheme="majorHAnsi" w:cstheme="majorBidi"/>
        </w:rPr>
        <w:t xml:space="preserve"> While these cases resulted in equal remuneration outcomes in work performed by both males and females,</w:t>
      </w:r>
      <w:r w:rsidR="009A5210" w:rsidRPr="3D5B9355">
        <w:rPr>
          <w:rStyle w:val="FootnoteReference"/>
          <w:rFonts w:asciiTheme="majorHAnsi" w:hAnsiTheme="majorHAnsi" w:cstheme="majorBidi"/>
        </w:rPr>
        <w:footnoteReference w:id="36"/>
      </w:r>
      <w:r w:rsidRPr="3D5B9355">
        <w:rPr>
          <w:rFonts w:asciiTheme="majorHAnsi" w:hAnsiTheme="majorHAnsi" w:cstheme="majorBidi"/>
        </w:rPr>
        <w:t xml:space="preserve"> it did not seek to address or remedy gender differentials in different awards or in awards where work was predominately performed by females.</w:t>
      </w:r>
      <w:r w:rsidR="009A5210" w:rsidRPr="3D5B9355">
        <w:rPr>
          <w:rStyle w:val="FootnoteReference"/>
          <w:rFonts w:asciiTheme="majorHAnsi" w:hAnsiTheme="majorHAnsi" w:cstheme="majorBidi"/>
        </w:rPr>
        <w:footnoteReference w:id="37"/>
      </w:r>
      <w:r w:rsidRPr="3D5B9355">
        <w:rPr>
          <w:rFonts w:asciiTheme="majorHAnsi" w:hAnsiTheme="majorHAnsi" w:cstheme="majorBidi"/>
        </w:rPr>
        <w:t xml:space="preserve"> The 1972 Equal Pay Case</w:t>
      </w:r>
      <w:r w:rsidR="009A5210" w:rsidRPr="3D5B9355">
        <w:rPr>
          <w:rStyle w:val="FootnoteReference"/>
          <w:rFonts w:asciiTheme="majorHAnsi" w:hAnsiTheme="majorHAnsi" w:cstheme="majorBidi"/>
        </w:rPr>
        <w:footnoteReference w:id="38"/>
      </w:r>
      <w:r w:rsidRPr="3D5B9355">
        <w:rPr>
          <w:rFonts w:asciiTheme="majorHAnsi" w:hAnsiTheme="majorHAnsi" w:cstheme="majorBidi"/>
        </w:rPr>
        <w:t xml:space="preserve"> recognised that in the case of classifications or awards where the work performed was exclusively by females, a work value comparison within and across awards with other female or male classifications would be required, however there is limited evidence that this was ever implemented.</w:t>
      </w:r>
    </w:p>
    <w:p w14:paraId="53A81AF1" w14:textId="77777777" w:rsidR="009A5210" w:rsidRDefault="009A5210" w:rsidP="009A5210">
      <w:pPr>
        <w:rPr>
          <w:rFonts w:asciiTheme="majorHAnsi" w:hAnsiTheme="majorHAnsi" w:cstheme="majorHAnsi"/>
        </w:rPr>
      </w:pPr>
      <w:r>
        <w:rPr>
          <w:rFonts w:asciiTheme="majorHAnsi" w:hAnsiTheme="majorHAnsi" w:cstheme="majorHAnsi"/>
        </w:rPr>
        <w:t>Subsequent wage cases limited wage increases on work value grounds by restricting data points and effectively not allowing for work value reassessments in female-dominated occupations and industries,</w:t>
      </w:r>
      <w:r>
        <w:rPr>
          <w:rStyle w:val="FootnoteReference"/>
          <w:rFonts w:asciiTheme="majorHAnsi" w:hAnsiTheme="majorHAnsi" w:cstheme="majorHAnsi"/>
        </w:rPr>
        <w:footnoteReference w:id="39"/>
      </w:r>
      <w:r>
        <w:rPr>
          <w:rFonts w:asciiTheme="majorHAnsi" w:hAnsiTheme="majorHAnsi" w:cstheme="majorHAnsi"/>
        </w:rPr>
        <w:t xml:space="preserve"> with the National Wage Case August 1989</w:t>
      </w:r>
      <w:r>
        <w:rPr>
          <w:rStyle w:val="FootnoteReference"/>
          <w:rFonts w:asciiTheme="majorHAnsi" w:hAnsiTheme="majorHAnsi" w:cstheme="majorHAnsi"/>
        </w:rPr>
        <w:footnoteReference w:id="40"/>
      </w:r>
      <w:r>
        <w:rPr>
          <w:rFonts w:asciiTheme="majorHAnsi" w:hAnsiTheme="majorHAnsi" w:cstheme="majorHAnsi"/>
        </w:rPr>
        <w:t xml:space="preserve"> then undertaking the minimum rate adjustment process whereby setting across award alignments with the C10 rate of the Metals Framework.</w:t>
      </w:r>
    </w:p>
    <w:p w14:paraId="731E7261" w14:textId="77777777" w:rsidR="009A5210" w:rsidRDefault="009A5210" w:rsidP="009A5210">
      <w:pPr>
        <w:rPr>
          <w:rFonts w:asciiTheme="majorHAnsi" w:hAnsiTheme="majorHAnsi" w:cstheme="majorHAnsi"/>
        </w:rPr>
      </w:pPr>
      <w:r>
        <w:rPr>
          <w:rFonts w:asciiTheme="majorHAnsi" w:hAnsiTheme="majorHAnsi" w:cstheme="majorHAnsi"/>
        </w:rPr>
        <w:t>A comprehensive overview of the history of wage fixing is included in the Work value case – Aged Care industry stage 3 decision,</w:t>
      </w:r>
      <w:r>
        <w:rPr>
          <w:rStyle w:val="FootnoteReference"/>
          <w:rFonts w:asciiTheme="majorHAnsi" w:hAnsiTheme="majorHAnsi" w:cstheme="majorHAnsi"/>
        </w:rPr>
        <w:footnoteReference w:id="41"/>
      </w:r>
      <w:r>
        <w:rPr>
          <w:rFonts w:asciiTheme="majorHAnsi" w:hAnsiTheme="majorHAnsi" w:cstheme="majorHAnsi"/>
        </w:rPr>
        <w:t xml:space="preserve"> and chronological summary is available in the Fair Work Commission’s Stage 2 report on gender pay equity research.</w:t>
      </w:r>
      <w:r>
        <w:rPr>
          <w:rStyle w:val="FootnoteReference"/>
          <w:rFonts w:asciiTheme="majorHAnsi" w:hAnsiTheme="majorHAnsi" w:cstheme="majorHAnsi"/>
        </w:rPr>
        <w:footnoteReference w:id="42"/>
      </w:r>
    </w:p>
    <w:p w14:paraId="4C2A6E51" w14:textId="0DD8DB51" w:rsidR="009A5210" w:rsidRDefault="009A5210" w:rsidP="009A5210">
      <w:pPr>
        <w:pStyle w:val="Heading6"/>
      </w:pPr>
      <w:r>
        <w:t>ACT Child Care decision 2005</w:t>
      </w:r>
      <w:r w:rsidR="0062472F">
        <w:rPr>
          <w:rStyle w:val="FootnoteReference"/>
          <w:rFonts w:cstheme="majorHAnsi"/>
          <w:bCs/>
        </w:rPr>
        <w:footnoteReference w:id="43"/>
      </w:r>
    </w:p>
    <w:p w14:paraId="7B56F656" w14:textId="3E1C70CF" w:rsidR="00F30DD9" w:rsidRDefault="00F30DD9" w:rsidP="00F30DD9">
      <w:pPr>
        <w:rPr>
          <w:rFonts w:asciiTheme="majorHAnsi" w:hAnsiTheme="majorHAnsi" w:cstheme="majorHAnsi"/>
        </w:rPr>
      </w:pPr>
      <w:r>
        <w:rPr>
          <w:rFonts w:asciiTheme="majorHAnsi" w:hAnsiTheme="majorHAnsi" w:cstheme="majorHAnsi"/>
        </w:rPr>
        <w:t>In January 2005, the Australian Industrial Relations Commission (AIRC) undertook a comprehensive review of the work of early childhood education and care workers covered by awards applicable in the ACT and Victoria. The Commission</w:t>
      </w:r>
      <w:r w:rsidR="0064324E">
        <w:rPr>
          <w:rFonts w:asciiTheme="majorHAnsi" w:hAnsiTheme="majorHAnsi" w:cstheme="majorHAnsi"/>
        </w:rPr>
        <w:t>’s</w:t>
      </w:r>
      <w:r>
        <w:rPr>
          <w:rFonts w:asciiTheme="majorHAnsi" w:hAnsiTheme="majorHAnsi" w:cstheme="majorHAnsi"/>
        </w:rPr>
        <w:t xml:space="preserve"> consideration of work value was made pursuant to the then-applicable Work Value Changes Principle, which was confined to the identification of changes occurring from a datum point of 1990.</w:t>
      </w:r>
      <w:r>
        <w:rPr>
          <w:rStyle w:val="FootnoteReference"/>
          <w:rFonts w:asciiTheme="majorHAnsi" w:hAnsiTheme="majorHAnsi" w:cstheme="majorHAnsi"/>
        </w:rPr>
        <w:footnoteReference w:id="44"/>
      </w:r>
      <w:r>
        <w:rPr>
          <w:rFonts w:asciiTheme="majorHAnsi" w:hAnsiTheme="majorHAnsi" w:cstheme="majorHAnsi"/>
        </w:rPr>
        <w:t xml:space="preserve"> </w:t>
      </w:r>
      <w:r w:rsidRPr="004A6588">
        <w:rPr>
          <w:rFonts w:asciiTheme="majorHAnsi" w:hAnsiTheme="majorHAnsi" w:cstheme="majorHAnsi"/>
        </w:rPr>
        <w:t>In assessing work value, the Full Bench consider</w:t>
      </w:r>
      <w:r>
        <w:rPr>
          <w:rFonts w:asciiTheme="majorHAnsi" w:hAnsiTheme="majorHAnsi" w:cstheme="majorHAnsi"/>
        </w:rPr>
        <w:t>ed</w:t>
      </w:r>
      <w:r w:rsidRPr="004A6588">
        <w:rPr>
          <w:rFonts w:asciiTheme="majorHAnsi" w:hAnsiTheme="majorHAnsi" w:cstheme="majorHAnsi"/>
        </w:rPr>
        <w:t xml:space="preserve"> whether there had been a significant net addition to the nature of the work since this datum point in order to justify changes</w:t>
      </w:r>
      <w:r>
        <w:rPr>
          <w:rFonts w:asciiTheme="majorHAnsi" w:hAnsiTheme="majorHAnsi" w:cstheme="majorHAnsi"/>
        </w:rPr>
        <w:t xml:space="preserve"> </w:t>
      </w:r>
      <w:r w:rsidRPr="004A6588">
        <w:rPr>
          <w:rFonts w:asciiTheme="majorHAnsi" w:hAnsiTheme="majorHAnsi" w:cstheme="majorHAnsi"/>
        </w:rPr>
        <w:t>in classifications or rates</w:t>
      </w:r>
      <w:r>
        <w:rPr>
          <w:rFonts w:asciiTheme="majorHAnsi" w:hAnsiTheme="majorHAnsi" w:cstheme="majorHAnsi"/>
        </w:rPr>
        <w:t>, and</w:t>
      </w:r>
      <w:r w:rsidRPr="004A6588">
        <w:rPr>
          <w:rFonts w:asciiTheme="majorHAnsi" w:hAnsiTheme="majorHAnsi" w:cstheme="majorHAnsi"/>
        </w:rPr>
        <w:t xml:space="preserve"> determine</w:t>
      </w:r>
      <w:r>
        <w:rPr>
          <w:rFonts w:asciiTheme="majorHAnsi" w:hAnsiTheme="majorHAnsi" w:cstheme="majorHAnsi"/>
        </w:rPr>
        <w:t>d</w:t>
      </w:r>
      <w:r w:rsidRPr="004A6588">
        <w:rPr>
          <w:rFonts w:asciiTheme="majorHAnsi" w:hAnsiTheme="majorHAnsi" w:cstheme="majorHAnsi"/>
        </w:rPr>
        <w:t xml:space="preserve"> that, there had been significant changes to the content and structure of childcare.</w:t>
      </w:r>
      <w:r>
        <w:rPr>
          <w:rStyle w:val="FootnoteReference"/>
          <w:rFonts w:asciiTheme="majorHAnsi" w:hAnsiTheme="majorHAnsi" w:cstheme="majorHAnsi"/>
        </w:rPr>
        <w:footnoteReference w:id="45"/>
      </w:r>
    </w:p>
    <w:p w14:paraId="52352C64" w14:textId="77777777" w:rsidR="00F30DD9" w:rsidRDefault="00F30DD9" w:rsidP="00F30DD9">
      <w:pPr>
        <w:rPr>
          <w:rFonts w:asciiTheme="majorHAnsi" w:hAnsiTheme="majorHAnsi" w:cstheme="majorHAnsi"/>
        </w:rPr>
      </w:pPr>
      <w:r>
        <w:rPr>
          <w:rFonts w:asciiTheme="majorHAnsi" w:hAnsiTheme="majorHAnsi" w:cstheme="majorHAnsi"/>
        </w:rPr>
        <w:t xml:space="preserve">Under the work value changes principle, the proper fixation of rates was determined based on alignments with classifications requiring equivalent qualifications in the Metal Industry Award. In fixing child care worker rates of pay in alignment with this framework, the Full Bench found that the nature of the work performed by child care workers and the conditions under which that work is performed suggests that they should be paid more, not less, than their Metal Industry Award </w:t>
      </w:r>
      <w:r>
        <w:rPr>
          <w:rFonts w:asciiTheme="majorHAnsi" w:hAnsiTheme="majorHAnsi" w:cstheme="majorHAnsi"/>
        </w:rPr>
        <w:lastRenderedPageBreak/>
        <w:t>counterparts,</w:t>
      </w:r>
      <w:r>
        <w:rPr>
          <w:rStyle w:val="FootnoteReference"/>
          <w:rFonts w:asciiTheme="majorHAnsi" w:hAnsiTheme="majorHAnsi" w:cstheme="majorHAnsi"/>
        </w:rPr>
        <w:footnoteReference w:id="46"/>
      </w:r>
      <w:r>
        <w:rPr>
          <w:rFonts w:asciiTheme="majorHAnsi" w:hAnsiTheme="majorHAnsi" w:cstheme="majorHAnsi"/>
        </w:rPr>
        <w:t xml:space="preserve"> and that child care work is demanding, stressful and intrinsically</w:t>
      </w:r>
      <w:r>
        <w:rPr>
          <w:rStyle w:val="FootnoteReference"/>
          <w:rFonts w:asciiTheme="majorHAnsi" w:hAnsiTheme="majorHAnsi" w:cstheme="majorHAnsi"/>
        </w:rPr>
        <w:footnoteReference w:id="47"/>
      </w:r>
      <w:r>
        <w:rPr>
          <w:rFonts w:asciiTheme="majorHAnsi" w:hAnsiTheme="majorHAnsi" w:cstheme="majorHAnsi"/>
        </w:rPr>
        <w:t xml:space="preserve"> important to the public interest.</w:t>
      </w:r>
    </w:p>
    <w:p w14:paraId="5CF4C893" w14:textId="77777777" w:rsidR="00F30DD9" w:rsidRDefault="00F30DD9" w:rsidP="00F30DD9">
      <w:pPr>
        <w:rPr>
          <w:rFonts w:asciiTheme="majorHAnsi" w:hAnsiTheme="majorHAnsi" w:cstheme="majorHAnsi"/>
        </w:rPr>
      </w:pPr>
      <w:r>
        <w:rPr>
          <w:rFonts w:asciiTheme="majorHAnsi" w:hAnsiTheme="majorHAnsi" w:cstheme="majorHAnsi"/>
        </w:rPr>
        <w:t xml:space="preserve">The Expert Panel in the Work value case – Aged care industry decision observed that the C10 Metals Framework Alignment Approach operated to inhibit the proper valuation of women’s work, and ‘did not permit an </w:t>
      </w:r>
      <w:r>
        <w:rPr>
          <w:rFonts w:asciiTheme="majorHAnsi" w:hAnsiTheme="majorHAnsi" w:cstheme="majorHAnsi"/>
          <w:i/>
          <w:iCs/>
        </w:rPr>
        <w:t xml:space="preserve">ab initio </w:t>
      </w:r>
      <w:r>
        <w:rPr>
          <w:rFonts w:asciiTheme="majorHAnsi" w:hAnsiTheme="majorHAnsi" w:cstheme="majorHAnsi"/>
        </w:rPr>
        <w:t>assessment of the work value of early childhood education and care workers.’</w:t>
      </w:r>
      <w:r>
        <w:rPr>
          <w:rStyle w:val="FootnoteReference"/>
          <w:rFonts w:asciiTheme="majorHAnsi" w:hAnsiTheme="majorHAnsi" w:cstheme="majorHAnsi"/>
        </w:rPr>
        <w:footnoteReference w:id="48"/>
      </w:r>
      <w:r>
        <w:rPr>
          <w:rFonts w:asciiTheme="majorHAnsi" w:hAnsiTheme="majorHAnsi" w:cstheme="majorHAnsi"/>
        </w:rPr>
        <w:t xml:space="preserve"> The Expert Panel further observed that, in their view, the ACT child care decision made it clear that the if unconstrained by the Metals Framework Alignment Approach, the Commission would have assessed the key classifications in the early childhood education and care awards as having higher work value than the identified equivalents in the Metal Industry Award.</w:t>
      </w:r>
      <w:r>
        <w:rPr>
          <w:rStyle w:val="FootnoteReference"/>
          <w:rFonts w:asciiTheme="majorHAnsi" w:hAnsiTheme="majorHAnsi" w:cstheme="majorHAnsi"/>
        </w:rPr>
        <w:footnoteReference w:id="49"/>
      </w:r>
    </w:p>
    <w:p w14:paraId="17ED129C" w14:textId="77777777" w:rsidR="00945BFC" w:rsidRDefault="00945BFC" w:rsidP="007D5715">
      <w:pPr>
        <w:pStyle w:val="Heading6"/>
      </w:pPr>
      <w:r w:rsidRPr="00B5774D">
        <w:t xml:space="preserve">Award modernisation </w:t>
      </w:r>
    </w:p>
    <w:p w14:paraId="313DF648" w14:textId="77777777" w:rsidR="008D33DF" w:rsidRDefault="008D33DF" w:rsidP="008D33DF">
      <w:pPr>
        <w:rPr>
          <w:rFonts w:asciiTheme="majorHAnsi" w:hAnsiTheme="majorHAnsi" w:cstheme="majorHAnsi"/>
        </w:rPr>
      </w:pPr>
      <w:r>
        <w:rPr>
          <w:rFonts w:asciiTheme="majorHAnsi" w:hAnsiTheme="majorHAnsi" w:cstheme="majorHAnsi"/>
        </w:rPr>
        <w:t xml:space="preserve">As summarised in the Work value case – Aged care industry stage 3 decision, the regime of wage-fixing principles came to an end in 2006 when the </w:t>
      </w:r>
      <w:r w:rsidRPr="00BF24AA">
        <w:rPr>
          <w:rFonts w:asciiTheme="majorHAnsi" w:hAnsiTheme="majorHAnsi" w:cstheme="majorHAnsi"/>
          <w:i/>
          <w:iCs/>
        </w:rPr>
        <w:t>Workplace Relations Amendment (Work Choices) Act 2005</w:t>
      </w:r>
      <w:r>
        <w:rPr>
          <w:rFonts w:asciiTheme="majorHAnsi" w:hAnsiTheme="majorHAnsi" w:cstheme="majorHAnsi"/>
          <w:i/>
          <w:iCs/>
        </w:rPr>
        <w:t xml:space="preserve"> </w:t>
      </w:r>
      <w:r>
        <w:rPr>
          <w:rFonts w:asciiTheme="majorHAnsi" w:hAnsiTheme="majorHAnsi" w:cstheme="majorHAnsi"/>
        </w:rPr>
        <w:t xml:space="preserve">commenced. The current modern award system was established by the award modernisation process conducted by the AIRC, pursuant to Part 10A of the </w:t>
      </w:r>
      <w:r>
        <w:rPr>
          <w:rFonts w:asciiTheme="majorHAnsi" w:hAnsiTheme="majorHAnsi" w:cstheme="majorHAnsi"/>
          <w:i/>
          <w:iCs/>
        </w:rPr>
        <w:t xml:space="preserve">Workplace Relations Act 1996 </w:t>
      </w:r>
      <w:r>
        <w:rPr>
          <w:rFonts w:asciiTheme="majorHAnsi" w:hAnsiTheme="majorHAnsi" w:cstheme="majorHAnsi"/>
        </w:rPr>
        <w:t>(</w:t>
      </w:r>
      <w:proofErr w:type="spellStart"/>
      <w:r>
        <w:rPr>
          <w:rFonts w:asciiTheme="majorHAnsi" w:hAnsiTheme="majorHAnsi" w:cstheme="majorHAnsi"/>
        </w:rPr>
        <w:t>Cth</w:t>
      </w:r>
      <w:proofErr w:type="spellEnd"/>
      <w:r>
        <w:rPr>
          <w:rFonts w:asciiTheme="majorHAnsi" w:hAnsiTheme="majorHAnsi" w:cstheme="majorHAnsi"/>
        </w:rPr>
        <w:t xml:space="preserve">), as amended by the </w:t>
      </w:r>
      <w:r>
        <w:rPr>
          <w:rFonts w:asciiTheme="majorHAnsi" w:hAnsiTheme="majorHAnsi" w:cstheme="majorHAnsi"/>
          <w:i/>
          <w:iCs/>
        </w:rPr>
        <w:t xml:space="preserve">Workplace Relations Amendment (Transition to Forward with Fairness) Act 2008 </w:t>
      </w:r>
      <w:r>
        <w:rPr>
          <w:rFonts w:asciiTheme="majorHAnsi" w:hAnsiTheme="majorHAnsi" w:cstheme="majorHAnsi"/>
        </w:rPr>
        <w:t>(</w:t>
      </w:r>
      <w:proofErr w:type="spellStart"/>
      <w:r>
        <w:rPr>
          <w:rFonts w:asciiTheme="majorHAnsi" w:hAnsiTheme="majorHAnsi" w:cstheme="majorHAnsi"/>
        </w:rPr>
        <w:t>Cth</w:t>
      </w:r>
      <w:proofErr w:type="spellEnd"/>
      <w:r>
        <w:rPr>
          <w:rFonts w:asciiTheme="majorHAnsi" w:hAnsiTheme="majorHAnsi" w:cstheme="majorHAnsi"/>
        </w:rPr>
        <w:t>).</w:t>
      </w:r>
      <w:r>
        <w:rPr>
          <w:rStyle w:val="FootnoteReference"/>
          <w:rFonts w:asciiTheme="majorHAnsi" w:hAnsiTheme="majorHAnsi" w:cstheme="majorHAnsi"/>
        </w:rPr>
        <w:footnoteReference w:id="50"/>
      </w:r>
    </w:p>
    <w:p w14:paraId="311E0285" w14:textId="2210989E" w:rsidR="008D33DF" w:rsidRPr="00330161" w:rsidRDefault="008D33DF" w:rsidP="008D33DF">
      <w:r>
        <w:rPr>
          <w:rFonts w:asciiTheme="majorHAnsi" w:hAnsiTheme="majorHAnsi" w:cstheme="majorHAnsi"/>
        </w:rPr>
        <w:t>The Aged Care Expert Panel surmised that t</w:t>
      </w:r>
      <w:r w:rsidRPr="00C14601">
        <w:rPr>
          <w:rFonts w:asciiTheme="majorHAnsi" w:hAnsiTheme="majorHAnsi" w:cstheme="majorHAnsi"/>
        </w:rPr>
        <w:t>he award modernisation process was not constrained by the previous wage-fixing principles</w:t>
      </w:r>
      <w:r w:rsidR="004940C7">
        <w:rPr>
          <w:rFonts w:asciiTheme="majorHAnsi" w:hAnsiTheme="majorHAnsi" w:cstheme="majorHAnsi"/>
        </w:rPr>
        <w:t>.</w:t>
      </w:r>
      <w:r w:rsidRPr="00C14601">
        <w:rPr>
          <w:rFonts w:asciiTheme="majorHAnsi" w:hAnsiTheme="majorHAnsi" w:cstheme="majorHAnsi"/>
        </w:rPr>
        <w:t xml:space="preserve"> </w:t>
      </w:r>
      <w:r w:rsidR="004940C7">
        <w:rPr>
          <w:rFonts w:asciiTheme="majorHAnsi" w:hAnsiTheme="majorHAnsi" w:cstheme="majorHAnsi"/>
        </w:rPr>
        <w:t>I</w:t>
      </w:r>
      <w:r w:rsidRPr="00C14601">
        <w:rPr>
          <w:rFonts w:asciiTheme="majorHAnsi" w:hAnsiTheme="majorHAnsi" w:cstheme="majorHAnsi"/>
        </w:rPr>
        <w:t xml:space="preserve">n theory, </w:t>
      </w:r>
      <w:r w:rsidR="005317A2">
        <w:rPr>
          <w:rFonts w:asciiTheme="majorHAnsi" w:hAnsiTheme="majorHAnsi" w:cstheme="majorHAnsi"/>
        </w:rPr>
        <w:t xml:space="preserve">it </w:t>
      </w:r>
      <w:r w:rsidRPr="00C14601">
        <w:rPr>
          <w:rFonts w:asciiTheme="majorHAnsi" w:hAnsiTheme="majorHAnsi" w:cstheme="majorHAnsi"/>
        </w:rPr>
        <w:t xml:space="preserve">could have involved a full </w:t>
      </w:r>
      <w:r w:rsidRPr="00C14601">
        <w:rPr>
          <w:rFonts w:asciiTheme="majorHAnsi" w:hAnsiTheme="majorHAnsi" w:cstheme="majorHAnsi"/>
          <w:i/>
          <w:iCs/>
        </w:rPr>
        <w:t xml:space="preserve">ab initio </w:t>
      </w:r>
      <w:r w:rsidRPr="00C14601">
        <w:rPr>
          <w:rFonts w:asciiTheme="majorHAnsi" w:hAnsiTheme="majorHAnsi" w:cstheme="majorHAnsi"/>
        </w:rPr>
        <w:t>work value assessment of any female-dominated occupation or industry that was to be the subject of a modern award. However, in practice, this was not possible because the statutorily mandated process required the consolidation and streamlining of thousands of former federal and State awards into what ultimately became 122 modern awards by the end of 2009.</w:t>
      </w:r>
      <w:r>
        <w:rPr>
          <w:rStyle w:val="FootnoteReference"/>
          <w:rFonts w:asciiTheme="majorHAnsi" w:hAnsiTheme="majorHAnsi" w:cstheme="majorHAnsi"/>
        </w:rPr>
        <w:footnoteReference w:id="51"/>
      </w:r>
    </w:p>
    <w:p w14:paraId="67538467" w14:textId="77777777" w:rsidR="008D33DF" w:rsidRDefault="008D33DF" w:rsidP="008D33DF">
      <w:pPr>
        <w:rPr>
          <w:rFonts w:asciiTheme="majorHAnsi" w:hAnsiTheme="majorHAnsi" w:cstheme="majorHAnsi"/>
        </w:rPr>
      </w:pPr>
      <w:r>
        <w:rPr>
          <w:rFonts w:asciiTheme="majorHAnsi" w:hAnsiTheme="majorHAnsi" w:cstheme="majorHAnsi"/>
        </w:rPr>
        <w:t>As such, when</w:t>
      </w:r>
      <w:r w:rsidRPr="00FF077D">
        <w:rPr>
          <w:rFonts w:asciiTheme="majorHAnsi" w:hAnsiTheme="majorHAnsi" w:cstheme="majorHAnsi"/>
        </w:rPr>
        <w:t xml:space="preserve"> the modern </w:t>
      </w:r>
      <w:r>
        <w:rPr>
          <w:rFonts w:asciiTheme="majorHAnsi" w:hAnsiTheme="majorHAnsi" w:cstheme="majorHAnsi"/>
        </w:rPr>
        <w:t>Children’s Services A</w:t>
      </w:r>
      <w:r w:rsidRPr="00FF077D">
        <w:rPr>
          <w:rFonts w:asciiTheme="majorHAnsi" w:hAnsiTheme="majorHAnsi" w:cstheme="majorHAnsi"/>
        </w:rPr>
        <w:t>ward was developed, classifications and rates were largely taken from the awards considered in the 2005 ACT Child Care decision. Consequently, relativity with the C10 and C5 rates established through this decision was maintained in the modern award.</w:t>
      </w:r>
      <w:r>
        <w:rPr>
          <w:rStyle w:val="FootnoteReference"/>
          <w:rFonts w:asciiTheme="majorHAnsi" w:hAnsiTheme="majorHAnsi" w:cstheme="majorHAnsi"/>
        </w:rPr>
        <w:footnoteReference w:id="52"/>
      </w:r>
    </w:p>
    <w:p w14:paraId="0A0B4654" w14:textId="539DE5D0" w:rsidR="008D33DF" w:rsidRDefault="008D33DF" w:rsidP="008D33DF">
      <w:pPr>
        <w:rPr>
          <w:rFonts w:asciiTheme="majorHAnsi" w:hAnsiTheme="majorHAnsi" w:cstheme="majorHAnsi"/>
          <w:i/>
          <w:iCs/>
        </w:rPr>
      </w:pPr>
      <w:r>
        <w:rPr>
          <w:rFonts w:asciiTheme="majorHAnsi" w:hAnsiTheme="majorHAnsi" w:cstheme="majorHAnsi"/>
        </w:rPr>
        <w:t>Federal award coverage of non-tertiary teachers however is relatively recent</w:t>
      </w:r>
      <w:r w:rsidR="005317A2">
        <w:rPr>
          <w:rFonts w:asciiTheme="majorHAnsi" w:hAnsiTheme="majorHAnsi" w:cstheme="majorHAnsi"/>
        </w:rPr>
        <w:t>.</w:t>
      </w:r>
      <w:r>
        <w:rPr>
          <w:rStyle w:val="FootnoteReference"/>
          <w:rFonts w:asciiTheme="majorHAnsi" w:hAnsiTheme="majorHAnsi" w:cstheme="majorHAnsi"/>
        </w:rPr>
        <w:footnoteReference w:id="53"/>
      </w:r>
      <w:r>
        <w:rPr>
          <w:rFonts w:asciiTheme="majorHAnsi" w:hAnsiTheme="majorHAnsi" w:cstheme="majorHAnsi"/>
        </w:rPr>
        <w:t xml:space="preserve">  </w:t>
      </w:r>
      <w:r w:rsidR="005317A2">
        <w:rPr>
          <w:rFonts w:asciiTheme="majorHAnsi" w:hAnsiTheme="majorHAnsi" w:cstheme="majorHAnsi"/>
        </w:rPr>
        <w:t>M</w:t>
      </w:r>
      <w:r>
        <w:rPr>
          <w:rFonts w:asciiTheme="majorHAnsi" w:hAnsiTheme="majorHAnsi" w:cstheme="majorHAnsi"/>
        </w:rPr>
        <w:t>ost teachers, including early childhood or preschool teachers hav</w:t>
      </w:r>
      <w:r w:rsidR="005317A2">
        <w:rPr>
          <w:rFonts w:asciiTheme="majorHAnsi" w:hAnsiTheme="majorHAnsi" w:cstheme="majorHAnsi"/>
        </w:rPr>
        <w:t>e</w:t>
      </w:r>
      <w:r>
        <w:rPr>
          <w:rFonts w:asciiTheme="majorHAnsi" w:hAnsiTheme="majorHAnsi" w:cstheme="majorHAnsi"/>
        </w:rPr>
        <w:t xml:space="preserve"> traditionally been regulated by </w:t>
      </w:r>
      <w:r w:rsidR="004567C8">
        <w:rPr>
          <w:rFonts w:asciiTheme="majorHAnsi" w:hAnsiTheme="majorHAnsi" w:cstheme="majorHAnsi"/>
        </w:rPr>
        <w:t>s</w:t>
      </w:r>
      <w:r>
        <w:rPr>
          <w:rFonts w:asciiTheme="majorHAnsi" w:hAnsiTheme="majorHAnsi" w:cstheme="majorHAnsi"/>
        </w:rPr>
        <w:t>tate</w:t>
      </w:r>
      <w:r w:rsidR="004567C8">
        <w:rPr>
          <w:rFonts w:asciiTheme="majorHAnsi" w:hAnsiTheme="majorHAnsi" w:cstheme="majorHAnsi"/>
        </w:rPr>
        <w:t xml:space="preserve"> and territory</w:t>
      </w:r>
      <w:r>
        <w:rPr>
          <w:rFonts w:asciiTheme="majorHAnsi" w:hAnsiTheme="majorHAnsi" w:cstheme="majorHAnsi"/>
        </w:rPr>
        <w:t xml:space="preserve"> system</w:t>
      </w:r>
      <w:r w:rsidR="004567C8">
        <w:rPr>
          <w:rFonts w:asciiTheme="majorHAnsi" w:hAnsiTheme="majorHAnsi" w:cstheme="majorHAnsi"/>
        </w:rPr>
        <w:t>s</w:t>
      </w:r>
      <w:r>
        <w:rPr>
          <w:rFonts w:asciiTheme="majorHAnsi" w:hAnsiTheme="majorHAnsi" w:cstheme="majorHAnsi"/>
        </w:rPr>
        <w:t>, with various federal and state awards in operation for different educational services prior to modernisation.</w:t>
      </w:r>
      <w:r>
        <w:rPr>
          <w:rStyle w:val="FootnoteReference"/>
          <w:rFonts w:asciiTheme="majorHAnsi" w:hAnsiTheme="majorHAnsi" w:cstheme="majorHAnsi"/>
        </w:rPr>
        <w:footnoteReference w:id="54"/>
      </w:r>
      <w:r w:rsidR="006C0514">
        <w:rPr>
          <w:rFonts w:asciiTheme="majorHAnsi" w:hAnsiTheme="majorHAnsi" w:cstheme="majorHAnsi"/>
        </w:rPr>
        <w:t xml:space="preserve"> </w:t>
      </w:r>
      <w:r w:rsidR="00CA01E6">
        <w:rPr>
          <w:rFonts w:asciiTheme="majorHAnsi" w:hAnsiTheme="majorHAnsi" w:cstheme="majorHAnsi"/>
        </w:rPr>
        <w:t>In late stages of</w:t>
      </w:r>
      <w:r w:rsidR="006C0514">
        <w:rPr>
          <w:rFonts w:asciiTheme="majorHAnsi" w:hAnsiTheme="majorHAnsi" w:cstheme="majorHAnsi"/>
        </w:rPr>
        <w:t xml:space="preserve"> the modernisation process the AIRC</w:t>
      </w:r>
      <w:r w:rsidR="00CA01E6">
        <w:rPr>
          <w:rFonts w:asciiTheme="majorHAnsi" w:hAnsiTheme="majorHAnsi" w:cstheme="majorHAnsi"/>
        </w:rPr>
        <w:t xml:space="preserve"> eventually decided that Early Childhood Educators were best served by coverage under the </w:t>
      </w:r>
      <w:r w:rsidR="00CA01E6">
        <w:rPr>
          <w:rFonts w:asciiTheme="majorHAnsi" w:hAnsiTheme="majorHAnsi" w:cstheme="majorHAnsi"/>
          <w:i/>
          <w:iCs/>
        </w:rPr>
        <w:t>Educational Services (Teachers) Award.</w:t>
      </w:r>
    </w:p>
    <w:p w14:paraId="1FD499B2" w14:textId="73E34C55" w:rsidR="00E504ED" w:rsidRDefault="00E504ED" w:rsidP="00E504ED">
      <w:r>
        <w:rPr>
          <w:rFonts w:asciiTheme="majorHAnsi" w:hAnsiTheme="majorHAnsi" w:cstheme="majorHAnsi"/>
        </w:rPr>
        <w:t xml:space="preserve">Following </w:t>
      </w:r>
      <w:r w:rsidR="00FF1DA1">
        <w:rPr>
          <w:rFonts w:asciiTheme="majorHAnsi" w:hAnsiTheme="majorHAnsi" w:cstheme="majorHAnsi"/>
        </w:rPr>
        <w:t>the introduction of the Teachers Award</w:t>
      </w:r>
      <w:r w:rsidR="00C63A69">
        <w:rPr>
          <w:rFonts w:asciiTheme="majorHAnsi" w:hAnsiTheme="majorHAnsi" w:cstheme="majorHAnsi"/>
        </w:rPr>
        <w:t xml:space="preserve"> </w:t>
      </w:r>
      <w:r>
        <w:rPr>
          <w:rFonts w:asciiTheme="majorHAnsi" w:hAnsiTheme="majorHAnsi" w:cstheme="majorHAnsi"/>
        </w:rPr>
        <w:t>in 2010, t</w:t>
      </w:r>
      <w:r w:rsidRPr="00C33085">
        <w:t xml:space="preserve">wo applications for an </w:t>
      </w:r>
      <w:r>
        <w:t>Equal Remuneration Order</w:t>
      </w:r>
      <w:r w:rsidR="00C63A69">
        <w:t>s</w:t>
      </w:r>
      <w:r>
        <w:t xml:space="preserve"> (ERO)</w:t>
      </w:r>
      <w:r w:rsidRPr="00C33085">
        <w:t xml:space="preserve"> were made in 2013</w:t>
      </w:r>
      <w:r>
        <w:t xml:space="preserve"> and</w:t>
      </w:r>
      <w:r w:rsidRPr="00C33085">
        <w:t xml:space="preserve"> </w:t>
      </w:r>
      <w:r>
        <w:t>a</w:t>
      </w:r>
      <w:r w:rsidRPr="00C33085">
        <w:t xml:space="preserve">n application for a variation to the </w:t>
      </w:r>
      <w:r w:rsidR="00FF1DA1" w:rsidRPr="007D5715">
        <w:t>award</w:t>
      </w:r>
      <w:r w:rsidRPr="00C33085">
        <w:t xml:space="preserve"> was made in 2018. These applications were dealt with by a Full Bench of the FWC</w:t>
      </w:r>
      <w:r>
        <w:t xml:space="preserve"> resulting in the Full </w:t>
      </w:r>
      <w:r>
        <w:lastRenderedPageBreak/>
        <w:t>Bench dismissing the ERO applications</w:t>
      </w:r>
      <w:r w:rsidR="00C63A69">
        <w:t xml:space="preserve"> in 2018</w:t>
      </w:r>
      <w:r>
        <w:t xml:space="preserve"> after several years of proceedings </w:t>
      </w:r>
      <w:r w:rsidR="00C63A69">
        <w:t>citing</w:t>
      </w:r>
      <w:r>
        <w:t xml:space="preserve"> deficiencies in the evidence</w:t>
      </w:r>
      <w:r w:rsidR="00C63A69">
        <w:t xml:space="preserve"> presented</w:t>
      </w:r>
      <w:r>
        <w:rPr>
          <w:rStyle w:val="FootnoteReference"/>
        </w:rPr>
        <w:footnoteReference w:id="55"/>
      </w:r>
      <w:r>
        <w:t>. In 2021</w:t>
      </w:r>
      <w:r w:rsidR="00433F6E">
        <w:t>,</w:t>
      </w:r>
      <w:r>
        <w:t xml:space="preserve"> however, whilst the Full Bench dismissed the Independent Education Union’s application for an ERO, the Full Bench held that it was satisfied that an adjustment of the minimum rates of ECTs was justified by work value reasons</w:t>
      </w:r>
      <w:r w:rsidR="002241A0">
        <w:t>.</w:t>
      </w:r>
      <w:r>
        <w:t xml:space="preserve"> </w:t>
      </w:r>
    </w:p>
    <w:p w14:paraId="657D99D7" w14:textId="51328275" w:rsidR="00D37D52" w:rsidRPr="007F3628" w:rsidRDefault="00FA26E8" w:rsidP="00D37D52">
      <w:pPr>
        <w:pStyle w:val="Heading4"/>
      </w:pPr>
      <w:bookmarkStart w:id="7" w:name="_Toc219193858"/>
      <w:r>
        <w:t>U</w:t>
      </w:r>
      <w:r w:rsidR="00D37D52">
        <w:t>se of staffing waivers</w:t>
      </w:r>
      <w:bookmarkEnd w:id="7"/>
    </w:p>
    <w:p w14:paraId="549088C5" w14:textId="1EE71D1D" w:rsidR="00584A78" w:rsidRDefault="6DD37EC5" w:rsidP="39540368">
      <w:pPr>
        <w:rPr>
          <w:rFonts w:asciiTheme="majorHAnsi" w:hAnsiTheme="majorHAnsi" w:cstheme="majorBidi"/>
        </w:rPr>
      </w:pPr>
      <w:r w:rsidRPr="39540368">
        <w:rPr>
          <w:rFonts w:asciiTheme="majorHAnsi" w:hAnsiTheme="majorHAnsi" w:cstheme="majorBidi"/>
        </w:rPr>
        <w:t xml:space="preserve">National </w:t>
      </w:r>
      <w:r w:rsidR="003F19FE">
        <w:rPr>
          <w:rFonts w:asciiTheme="majorHAnsi" w:hAnsiTheme="majorHAnsi" w:cstheme="majorBidi"/>
        </w:rPr>
        <w:t>Quality Framework</w:t>
      </w:r>
      <w:r w:rsidR="00D92605">
        <w:rPr>
          <w:rFonts w:asciiTheme="majorHAnsi" w:hAnsiTheme="majorHAnsi" w:cstheme="majorBidi"/>
        </w:rPr>
        <w:t xml:space="preserve"> (NQF)</w:t>
      </w:r>
      <w:r w:rsidR="003F19FE">
        <w:rPr>
          <w:rFonts w:asciiTheme="majorHAnsi" w:hAnsiTheme="majorHAnsi" w:cstheme="majorBidi"/>
        </w:rPr>
        <w:t xml:space="preserve"> ECEC </w:t>
      </w:r>
      <w:r w:rsidRPr="39540368">
        <w:rPr>
          <w:rFonts w:asciiTheme="majorHAnsi" w:hAnsiTheme="majorHAnsi" w:cstheme="majorBidi"/>
        </w:rPr>
        <w:t xml:space="preserve">waiver data provides another indicator </w:t>
      </w:r>
      <w:r w:rsidR="008F2148">
        <w:rPr>
          <w:rFonts w:asciiTheme="majorHAnsi" w:hAnsiTheme="majorHAnsi" w:cstheme="majorBidi"/>
        </w:rPr>
        <w:t xml:space="preserve">into the challenges facing the ECEC workforce. </w:t>
      </w:r>
      <w:r w:rsidR="6FE1ABA4" w:rsidRPr="39540368">
        <w:rPr>
          <w:rFonts w:asciiTheme="majorHAnsi" w:hAnsiTheme="majorHAnsi" w:cstheme="majorBidi"/>
        </w:rPr>
        <w:t>Ongoing</w:t>
      </w:r>
      <w:r w:rsidR="00D92605">
        <w:rPr>
          <w:rFonts w:asciiTheme="majorHAnsi" w:hAnsiTheme="majorHAnsi" w:cstheme="majorBidi"/>
        </w:rPr>
        <w:t xml:space="preserve"> use of</w:t>
      </w:r>
      <w:r w:rsidR="479E8D6E" w:rsidRPr="39540368">
        <w:rPr>
          <w:rFonts w:asciiTheme="majorHAnsi" w:hAnsiTheme="majorHAnsi" w:cstheme="majorBidi"/>
        </w:rPr>
        <w:t xml:space="preserve"> s</w:t>
      </w:r>
      <w:r w:rsidR="47FDB59A" w:rsidRPr="39540368">
        <w:rPr>
          <w:rFonts w:asciiTheme="majorHAnsi" w:hAnsiTheme="majorHAnsi" w:cstheme="majorBidi"/>
        </w:rPr>
        <w:t xml:space="preserve">taffing waivers </w:t>
      </w:r>
      <w:r w:rsidR="00D92605">
        <w:rPr>
          <w:rFonts w:asciiTheme="majorHAnsi" w:hAnsiTheme="majorHAnsi" w:cstheme="majorBidi"/>
        </w:rPr>
        <w:t xml:space="preserve">can </w:t>
      </w:r>
      <w:r w:rsidR="47FDB59A" w:rsidRPr="39540368">
        <w:rPr>
          <w:rFonts w:asciiTheme="majorHAnsi" w:hAnsiTheme="majorHAnsi" w:cstheme="majorBidi"/>
        </w:rPr>
        <w:t xml:space="preserve">indicate </w:t>
      </w:r>
      <w:r w:rsidR="00D92605">
        <w:rPr>
          <w:rFonts w:asciiTheme="majorHAnsi" w:hAnsiTheme="majorHAnsi" w:cstheme="majorBidi"/>
        </w:rPr>
        <w:t xml:space="preserve">many services </w:t>
      </w:r>
      <w:r w:rsidR="00542653">
        <w:rPr>
          <w:rFonts w:asciiTheme="majorHAnsi" w:hAnsiTheme="majorHAnsi" w:cstheme="majorBidi"/>
        </w:rPr>
        <w:t xml:space="preserve">may be </w:t>
      </w:r>
      <w:r w:rsidR="5561620A" w:rsidRPr="39540368">
        <w:rPr>
          <w:rFonts w:asciiTheme="majorHAnsi" w:hAnsiTheme="majorHAnsi" w:cstheme="majorBidi"/>
        </w:rPr>
        <w:t xml:space="preserve">unable to find </w:t>
      </w:r>
      <w:r w:rsidR="00D92605">
        <w:rPr>
          <w:rFonts w:asciiTheme="majorHAnsi" w:hAnsiTheme="majorHAnsi" w:cstheme="majorBidi"/>
        </w:rPr>
        <w:t>suitably qualified</w:t>
      </w:r>
      <w:r w:rsidR="00D92605" w:rsidRPr="39540368">
        <w:rPr>
          <w:rFonts w:asciiTheme="majorHAnsi" w:hAnsiTheme="majorHAnsi" w:cstheme="majorBidi"/>
        </w:rPr>
        <w:t xml:space="preserve"> </w:t>
      </w:r>
      <w:r w:rsidR="5561620A" w:rsidRPr="39540368">
        <w:rPr>
          <w:rFonts w:asciiTheme="majorHAnsi" w:hAnsiTheme="majorHAnsi" w:cstheme="majorBidi"/>
        </w:rPr>
        <w:t xml:space="preserve">staff to meet minimum requirements under the </w:t>
      </w:r>
      <w:r w:rsidR="00D92605">
        <w:rPr>
          <w:rFonts w:asciiTheme="majorHAnsi" w:hAnsiTheme="majorHAnsi" w:cstheme="majorBidi"/>
        </w:rPr>
        <w:t>NQF</w:t>
      </w:r>
      <w:r w:rsidR="20141B46" w:rsidRPr="39540368">
        <w:rPr>
          <w:rFonts w:asciiTheme="majorHAnsi" w:hAnsiTheme="majorHAnsi" w:cstheme="majorBidi"/>
        </w:rPr>
        <w:t>.</w:t>
      </w:r>
      <w:r w:rsidR="46513803" w:rsidRPr="39540368">
        <w:rPr>
          <w:rFonts w:asciiTheme="majorHAnsi" w:hAnsiTheme="majorHAnsi" w:cstheme="majorBidi"/>
        </w:rPr>
        <w:t xml:space="preserve"> </w:t>
      </w:r>
      <w:r w:rsidR="00A7539B" w:rsidRPr="007D5715">
        <w:rPr>
          <w:rFonts w:asciiTheme="majorHAnsi" w:hAnsiTheme="majorHAnsi" w:cstheme="majorBidi"/>
        </w:rPr>
        <w:t>However, it should be noted</w:t>
      </w:r>
      <w:r w:rsidR="00067945">
        <w:rPr>
          <w:rFonts w:asciiTheme="majorHAnsi" w:hAnsiTheme="majorHAnsi" w:cstheme="majorBidi"/>
        </w:rPr>
        <w:t xml:space="preserve"> that</w:t>
      </w:r>
      <w:r w:rsidR="00A7539B" w:rsidRPr="007D5715">
        <w:rPr>
          <w:rFonts w:asciiTheme="majorHAnsi" w:hAnsiTheme="majorHAnsi" w:cstheme="majorBidi"/>
        </w:rPr>
        <w:t xml:space="preserve"> the vast majority of staffing waivers are in relation to ECEC services not having access to an </w:t>
      </w:r>
      <w:r w:rsidR="00FC552F">
        <w:rPr>
          <w:rFonts w:asciiTheme="majorHAnsi" w:hAnsiTheme="majorHAnsi" w:cstheme="majorBidi"/>
        </w:rPr>
        <w:t>E</w:t>
      </w:r>
      <w:r w:rsidR="00AB0CDE">
        <w:rPr>
          <w:rFonts w:asciiTheme="majorHAnsi" w:hAnsiTheme="majorHAnsi" w:cstheme="majorBidi"/>
        </w:rPr>
        <w:t>CT</w:t>
      </w:r>
      <w:r w:rsidR="00A7539B" w:rsidRPr="007D5715">
        <w:rPr>
          <w:rFonts w:asciiTheme="majorHAnsi" w:hAnsiTheme="majorHAnsi" w:cstheme="majorBidi"/>
        </w:rPr>
        <w:t>, with very few in relation to services not meeting educator to child ratios</w:t>
      </w:r>
      <w:r w:rsidR="00A7539B">
        <w:rPr>
          <w:rFonts w:asciiTheme="majorHAnsi" w:hAnsiTheme="majorHAnsi" w:cstheme="majorBidi"/>
        </w:rPr>
        <w:t xml:space="preserve">. </w:t>
      </w:r>
      <w:r w:rsidR="55FD8984" w:rsidRPr="39540368">
        <w:rPr>
          <w:rFonts w:asciiTheme="majorHAnsi" w:hAnsiTheme="majorHAnsi" w:cstheme="majorBidi"/>
        </w:rPr>
        <w:t xml:space="preserve">Data published in </w:t>
      </w:r>
      <w:r w:rsidR="00FC552F">
        <w:rPr>
          <w:rFonts w:asciiTheme="majorHAnsi" w:hAnsiTheme="majorHAnsi" w:cstheme="majorBidi"/>
        </w:rPr>
        <w:t>April</w:t>
      </w:r>
      <w:r w:rsidR="00FC552F" w:rsidRPr="39540368">
        <w:rPr>
          <w:rFonts w:asciiTheme="majorHAnsi" w:hAnsiTheme="majorHAnsi" w:cstheme="majorBidi"/>
        </w:rPr>
        <w:t xml:space="preserve"> </w:t>
      </w:r>
      <w:r w:rsidR="55FD8984" w:rsidRPr="39540368">
        <w:rPr>
          <w:rFonts w:asciiTheme="majorHAnsi" w:hAnsiTheme="majorHAnsi" w:cstheme="majorBidi"/>
        </w:rPr>
        <w:t xml:space="preserve">2024 by </w:t>
      </w:r>
      <w:r w:rsidR="4EF33A70" w:rsidRPr="39540368">
        <w:rPr>
          <w:rFonts w:asciiTheme="majorHAnsi" w:hAnsiTheme="majorHAnsi" w:cstheme="majorBidi"/>
        </w:rPr>
        <w:t>the Australian Children’s Education and Care Quality Authority (</w:t>
      </w:r>
      <w:r w:rsidR="55FD8984" w:rsidRPr="39540368">
        <w:rPr>
          <w:rFonts w:asciiTheme="majorHAnsi" w:hAnsiTheme="majorHAnsi" w:cstheme="majorBidi"/>
        </w:rPr>
        <w:t>A</w:t>
      </w:r>
      <w:r w:rsidR="6F2A2F3C" w:rsidRPr="39540368">
        <w:rPr>
          <w:rFonts w:asciiTheme="majorHAnsi" w:hAnsiTheme="majorHAnsi" w:cstheme="majorBidi"/>
        </w:rPr>
        <w:t>CE</w:t>
      </w:r>
      <w:r w:rsidR="28BBC34F" w:rsidRPr="39540368">
        <w:rPr>
          <w:rFonts w:asciiTheme="majorHAnsi" w:hAnsiTheme="majorHAnsi" w:cstheme="majorBidi"/>
        </w:rPr>
        <w:t>CQA</w:t>
      </w:r>
      <w:r w:rsidR="389313D1" w:rsidRPr="39540368">
        <w:rPr>
          <w:rFonts w:asciiTheme="majorHAnsi" w:hAnsiTheme="majorHAnsi" w:cstheme="majorBidi"/>
        </w:rPr>
        <w:t>)</w:t>
      </w:r>
      <w:r w:rsidR="28BBC34F" w:rsidRPr="39540368">
        <w:rPr>
          <w:rFonts w:asciiTheme="majorHAnsi" w:hAnsiTheme="majorHAnsi" w:cstheme="majorBidi"/>
        </w:rPr>
        <w:t xml:space="preserve"> indicates that</w:t>
      </w:r>
      <w:r w:rsidR="20141B46" w:rsidRPr="39540368">
        <w:rPr>
          <w:rFonts w:asciiTheme="majorHAnsi" w:hAnsiTheme="majorHAnsi" w:cstheme="majorBidi"/>
        </w:rPr>
        <w:t xml:space="preserve"> </w:t>
      </w:r>
      <w:r w:rsidR="04CECE77" w:rsidRPr="39540368">
        <w:rPr>
          <w:rFonts w:asciiTheme="majorHAnsi" w:hAnsiTheme="majorHAnsi" w:cstheme="majorBidi"/>
        </w:rPr>
        <w:t>9.</w:t>
      </w:r>
      <w:r w:rsidR="00FC552F">
        <w:rPr>
          <w:rFonts w:asciiTheme="majorHAnsi" w:hAnsiTheme="majorHAnsi" w:cstheme="majorBidi"/>
        </w:rPr>
        <w:t>1</w:t>
      </w:r>
      <w:r w:rsidR="3AC2CCAE" w:rsidRPr="39540368">
        <w:rPr>
          <w:rFonts w:asciiTheme="majorHAnsi" w:hAnsiTheme="majorHAnsi" w:cstheme="majorBidi"/>
        </w:rPr>
        <w:t xml:space="preserve"> per cent</w:t>
      </w:r>
      <w:r w:rsidR="67186ACD" w:rsidRPr="39540368">
        <w:rPr>
          <w:rFonts w:asciiTheme="majorHAnsi" w:hAnsiTheme="majorHAnsi" w:cstheme="majorBidi"/>
        </w:rPr>
        <w:t xml:space="preserve"> of services nation-wide have a</w:t>
      </w:r>
      <w:r w:rsidR="479E8D6E" w:rsidRPr="39540368">
        <w:rPr>
          <w:rFonts w:asciiTheme="majorHAnsi" w:hAnsiTheme="majorHAnsi" w:cstheme="majorBidi"/>
        </w:rPr>
        <w:t xml:space="preserve">n </w:t>
      </w:r>
      <w:r w:rsidR="6FE1ABA4" w:rsidRPr="39540368">
        <w:rPr>
          <w:rFonts w:asciiTheme="majorHAnsi" w:hAnsiTheme="majorHAnsi" w:cstheme="majorBidi"/>
        </w:rPr>
        <w:t>ongoing</w:t>
      </w:r>
      <w:r w:rsidR="67186ACD" w:rsidRPr="39540368">
        <w:rPr>
          <w:rFonts w:asciiTheme="majorHAnsi" w:hAnsiTheme="majorHAnsi" w:cstheme="majorBidi"/>
        </w:rPr>
        <w:t xml:space="preserve"> staffing waiver. </w:t>
      </w:r>
      <w:r w:rsidR="0035146C">
        <w:rPr>
          <w:rFonts w:asciiTheme="majorHAnsi" w:hAnsiTheme="majorHAnsi" w:cstheme="majorBidi"/>
        </w:rPr>
        <w:t xml:space="preserve">Importantly, </w:t>
      </w:r>
      <w:r w:rsidR="66FCF362" w:rsidRPr="39540368">
        <w:rPr>
          <w:rFonts w:asciiTheme="majorHAnsi" w:hAnsiTheme="majorHAnsi" w:cstheme="majorBidi"/>
        </w:rPr>
        <w:t>Victoria</w:t>
      </w:r>
      <w:r w:rsidR="59458765" w:rsidRPr="39540368">
        <w:rPr>
          <w:rFonts w:asciiTheme="majorHAnsi" w:hAnsiTheme="majorHAnsi" w:cstheme="majorBidi"/>
        </w:rPr>
        <w:t>n services record the lowest amount of staffing waivers</w:t>
      </w:r>
      <w:r w:rsidR="004263F9">
        <w:rPr>
          <w:rFonts w:asciiTheme="majorHAnsi" w:hAnsiTheme="majorHAnsi" w:cstheme="majorBidi"/>
        </w:rPr>
        <w:t xml:space="preserve"> (only </w:t>
      </w:r>
      <w:r w:rsidR="002635E9">
        <w:rPr>
          <w:rFonts w:asciiTheme="majorHAnsi" w:hAnsiTheme="majorHAnsi" w:cstheme="majorBidi"/>
        </w:rPr>
        <w:t>2.1</w:t>
      </w:r>
      <w:r w:rsidR="004263F9">
        <w:rPr>
          <w:rFonts w:asciiTheme="majorHAnsi" w:hAnsiTheme="majorHAnsi" w:cstheme="majorBidi"/>
        </w:rPr>
        <w:t xml:space="preserve"> per cent of services)</w:t>
      </w:r>
      <w:r w:rsidR="46F9930E" w:rsidRPr="39540368">
        <w:rPr>
          <w:rFonts w:asciiTheme="majorHAnsi" w:hAnsiTheme="majorHAnsi" w:cstheme="majorBidi"/>
        </w:rPr>
        <w:t>.</w:t>
      </w:r>
      <w:r w:rsidR="00F16E19" w:rsidRPr="39540368">
        <w:rPr>
          <w:rStyle w:val="FootnoteReference"/>
          <w:rFonts w:asciiTheme="majorHAnsi" w:hAnsiTheme="majorHAnsi" w:cstheme="majorBidi"/>
        </w:rPr>
        <w:footnoteReference w:id="56"/>
      </w:r>
      <w:r w:rsidR="592923D7" w:rsidRPr="39540368">
        <w:rPr>
          <w:rFonts w:asciiTheme="majorHAnsi" w:hAnsiTheme="majorHAnsi" w:cstheme="majorBidi"/>
        </w:rPr>
        <w:t xml:space="preserve"> The Victorian Government </w:t>
      </w:r>
      <w:r w:rsidR="3274387C" w:rsidRPr="39540368">
        <w:rPr>
          <w:rFonts w:asciiTheme="majorHAnsi" w:hAnsiTheme="majorHAnsi" w:cstheme="majorBidi"/>
        </w:rPr>
        <w:t>credits</w:t>
      </w:r>
      <w:r w:rsidR="05EB5CCC" w:rsidRPr="39540368">
        <w:rPr>
          <w:rFonts w:asciiTheme="majorHAnsi" w:hAnsiTheme="majorHAnsi" w:cstheme="majorBidi"/>
        </w:rPr>
        <w:t xml:space="preserve"> </w:t>
      </w:r>
      <w:r w:rsidR="57570704" w:rsidRPr="39540368">
        <w:rPr>
          <w:rFonts w:asciiTheme="majorHAnsi" w:hAnsiTheme="majorHAnsi" w:cstheme="majorBidi"/>
        </w:rPr>
        <w:t>its ability to expand the ECEC workforce</w:t>
      </w:r>
      <w:r w:rsidR="004263F9">
        <w:rPr>
          <w:rFonts w:asciiTheme="majorHAnsi" w:hAnsiTheme="majorHAnsi" w:cstheme="majorBidi"/>
        </w:rPr>
        <w:t xml:space="preserve">, and the resulting </w:t>
      </w:r>
      <w:r w:rsidR="72AF75A9" w:rsidRPr="39540368">
        <w:rPr>
          <w:rFonts w:asciiTheme="majorHAnsi" w:hAnsiTheme="majorHAnsi" w:cstheme="majorBidi"/>
        </w:rPr>
        <w:t>lower proportion of staffing waivers</w:t>
      </w:r>
      <w:r w:rsidR="64B63EC4" w:rsidRPr="39540368">
        <w:rPr>
          <w:rFonts w:asciiTheme="majorHAnsi" w:hAnsiTheme="majorHAnsi" w:cstheme="majorBidi"/>
        </w:rPr>
        <w:t xml:space="preserve"> compared to other jurisdictions, to </w:t>
      </w:r>
      <w:r w:rsidR="05EB5CCC" w:rsidRPr="39540368">
        <w:rPr>
          <w:rFonts w:asciiTheme="majorHAnsi" w:hAnsiTheme="majorHAnsi" w:cstheme="majorBidi"/>
        </w:rPr>
        <w:t>the efforts undertaken under its</w:t>
      </w:r>
      <w:r w:rsidR="1A236297" w:rsidRPr="39540368">
        <w:rPr>
          <w:rFonts w:asciiTheme="majorHAnsi" w:hAnsiTheme="majorHAnsi" w:cstheme="majorBidi"/>
        </w:rPr>
        <w:t xml:space="preserve"> Best Start, Best Life Workforce Strategy</w:t>
      </w:r>
      <w:r w:rsidR="6132E8FB" w:rsidRPr="39540368">
        <w:rPr>
          <w:rFonts w:asciiTheme="majorHAnsi" w:hAnsiTheme="majorHAnsi" w:cstheme="majorBidi"/>
        </w:rPr>
        <w:t xml:space="preserve"> and previous </w:t>
      </w:r>
      <w:r w:rsidR="3969A3B9" w:rsidRPr="39540368">
        <w:rPr>
          <w:rFonts w:asciiTheme="majorHAnsi" w:hAnsiTheme="majorHAnsi" w:cstheme="majorBidi"/>
        </w:rPr>
        <w:t>work</w:t>
      </w:r>
      <w:r w:rsidR="041EAEA8" w:rsidRPr="39540368">
        <w:rPr>
          <w:rFonts w:asciiTheme="majorHAnsi" w:hAnsiTheme="majorHAnsi" w:cstheme="majorBidi"/>
        </w:rPr>
        <w:t>force strategies</w:t>
      </w:r>
      <w:r w:rsidR="05EB5CCC" w:rsidRPr="39540368">
        <w:rPr>
          <w:rFonts w:asciiTheme="majorHAnsi" w:hAnsiTheme="majorHAnsi" w:cstheme="majorBidi"/>
        </w:rPr>
        <w:t xml:space="preserve"> </w:t>
      </w:r>
      <w:r w:rsidR="003F43EA">
        <w:rPr>
          <w:rFonts w:asciiTheme="majorHAnsi" w:hAnsiTheme="majorHAnsi" w:cstheme="majorBidi"/>
        </w:rPr>
        <w:t xml:space="preserve">implemented </w:t>
      </w:r>
      <w:r w:rsidR="57570704" w:rsidRPr="39540368">
        <w:rPr>
          <w:rFonts w:asciiTheme="majorHAnsi" w:hAnsiTheme="majorHAnsi" w:cstheme="majorBidi"/>
        </w:rPr>
        <w:t>in collaboration</w:t>
      </w:r>
      <w:r w:rsidR="05EB5CCC" w:rsidRPr="39540368">
        <w:rPr>
          <w:rFonts w:asciiTheme="majorHAnsi" w:hAnsiTheme="majorHAnsi" w:cstheme="majorBidi"/>
        </w:rPr>
        <w:t xml:space="preserve"> with </w:t>
      </w:r>
      <w:r w:rsidR="25C8C7FE" w:rsidRPr="39540368">
        <w:rPr>
          <w:rFonts w:asciiTheme="majorHAnsi" w:hAnsiTheme="majorHAnsi" w:cstheme="majorBidi"/>
        </w:rPr>
        <w:t>Victorian service providers, sector bodies</w:t>
      </w:r>
      <w:r w:rsidR="09580920" w:rsidRPr="39540368">
        <w:rPr>
          <w:rFonts w:asciiTheme="majorHAnsi" w:hAnsiTheme="majorHAnsi" w:cstheme="majorBidi"/>
        </w:rPr>
        <w:t>, tertiary partners</w:t>
      </w:r>
      <w:r w:rsidR="4948240A" w:rsidRPr="39540368">
        <w:rPr>
          <w:rFonts w:asciiTheme="majorHAnsi" w:hAnsiTheme="majorHAnsi" w:cstheme="majorBidi"/>
        </w:rPr>
        <w:t xml:space="preserve">, unions, local </w:t>
      </w:r>
      <w:r w:rsidR="00B34DD6">
        <w:rPr>
          <w:rFonts w:asciiTheme="majorHAnsi" w:hAnsiTheme="majorHAnsi" w:cstheme="majorBidi"/>
        </w:rPr>
        <w:t>g</w:t>
      </w:r>
      <w:r w:rsidR="4948240A" w:rsidRPr="39540368">
        <w:rPr>
          <w:rFonts w:asciiTheme="majorHAnsi" w:hAnsiTheme="majorHAnsi" w:cstheme="majorBidi"/>
        </w:rPr>
        <w:t>overnment and other stakeholders</w:t>
      </w:r>
      <w:r w:rsidR="64B63EC4" w:rsidRPr="39540368">
        <w:rPr>
          <w:rFonts w:asciiTheme="majorHAnsi" w:hAnsiTheme="majorHAnsi" w:cstheme="majorBidi"/>
        </w:rPr>
        <w:t>.</w:t>
      </w:r>
      <w:r w:rsidR="005A22A5" w:rsidRPr="39540368">
        <w:rPr>
          <w:rStyle w:val="FootnoteReference"/>
          <w:rFonts w:asciiTheme="majorHAnsi" w:hAnsiTheme="majorHAnsi" w:cstheme="majorBidi"/>
        </w:rPr>
        <w:footnoteReference w:id="57"/>
      </w:r>
      <w:r w:rsidR="108606F7" w:rsidRPr="39540368">
        <w:rPr>
          <w:rFonts w:asciiTheme="majorHAnsi" w:hAnsiTheme="majorHAnsi" w:cstheme="majorBidi"/>
        </w:rPr>
        <w:t xml:space="preserve"> </w:t>
      </w:r>
    </w:p>
    <w:p w14:paraId="4209089A" w14:textId="3CC0AAD4" w:rsidR="00F90BFF" w:rsidRDefault="00F90BFF" w:rsidP="39540368">
      <w:pPr>
        <w:rPr>
          <w:rFonts w:asciiTheme="majorHAnsi" w:hAnsiTheme="majorHAnsi" w:cstheme="majorBidi"/>
        </w:rPr>
      </w:pPr>
      <w:r w:rsidRPr="007D5715">
        <w:rPr>
          <w:rFonts w:asciiTheme="majorHAnsi" w:hAnsiTheme="majorHAnsi" w:cstheme="majorBidi"/>
        </w:rPr>
        <w:t xml:space="preserve">Jurisdiction-specific rules and regulations may contribute to differences in staffing waiver numbers across states and territories. For example, the availability of ECTs could be impacted by more rigorous teacher registration requirements in some jurisdictions like </w:t>
      </w:r>
      <w:r w:rsidR="003F0191">
        <w:rPr>
          <w:rFonts w:asciiTheme="majorHAnsi" w:hAnsiTheme="majorHAnsi" w:cstheme="majorBidi"/>
        </w:rPr>
        <w:t xml:space="preserve">Western Australia </w:t>
      </w:r>
      <w:r w:rsidRPr="007D5715">
        <w:rPr>
          <w:rFonts w:asciiTheme="majorHAnsi" w:hAnsiTheme="majorHAnsi" w:cstheme="majorBidi"/>
        </w:rPr>
        <w:t xml:space="preserve">or </w:t>
      </w:r>
      <w:r w:rsidR="003F0191">
        <w:rPr>
          <w:rFonts w:asciiTheme="majorHAnsi" w:hAnsiTheme="majorHAnsi" w:cstheme="majorBidi"/>
        </w:rPr>
        <w:t xml:space="preserve">South Australia where they </w:t>
      </w:r>
      <w:r w:rsidR="00EE18C0">
        <w:rPr>
          <w:rFonts w:asciiTheme="majorHAnsi" w:hAnsiTheme="majorHAnsi" w:cstheme="majorBidi"/>
        </w:rPr>
        <w:t xml:space="preserve">have </w:t>
      </w:r>
      <w:r w:rsidRPr="007D5715">
        <w:rPr>
          <w:rFonts w:asciiTheme="majorHAnsi" w:hAnsiTheme="majorHAnsi" w:cstheme="majorBidi"/>
        </w:rPr>
        <w:t xml:space="preserve">higher qualification requirements for OSHC. </w:t>
      </w:r>
      <w:r w:rsidR="00492F24" w:rsidRPr="007D5715">
        <w:rPr>
          <w:rFonts w:asciiTheme="majorHAnsi" w:hAnsiTheme="majorHAnsi" w:cstheme="majorBidi"/>
        </w:rPr>
        <w:t>Additionally, staffing waivers in Queensland have increased since December 2021 following the expiry of several temporary workforce provisions that allowed services to satisfy staffing requirements through means other than a waiver</w:t>
      </w:r>
      <w:r w:rsidR="00492F24" w:rsidRPr="00C94CFB">
        <w:rPr>
          <w:rFonts w:asciiTheme="majorHAnsi" w:hAnsiTheme="majorHAnsi" w:cstheme="majorBidi"/>
        </w:rPr>
        <w:t>.</w:t>
      </w:r>
    </w:p>
    <w:p w14:paraId="59AC24BF" w14:textId="026EE4C2" w:rsidR="007A3508" w:rsidRDefault="007A3508" w:rsidP="007A3508">
      <w:pPr>
        <w:rPr>
          <w:rFonts w:asciiTheme="majorHAnsi" w:hAnsiTheme="majorHAnsi" w:cstheme="majorBidi"/>
        </w:rPr>
      </w:pPr>
      <w:r>
        <w:rPr>
          <w:rFonts w:asciiTheme="majorHAnsi" w:hAnsiTheme="majorHAnsi" w:cstheme="majorBidi"/>
          <w:noProof/>
          <w:lang w:eastAsia="en-AU"/>
        </w:rPr>
        <w:drawing>
          <wp:inline distT="0" distB="0" distL="0" distR="0" wp14:anchorId="7FA78BD3" wp14:editId="651AD2F8">
            <wp:extent cx="4692650" cy="2089150"/>
            <wp:effectExtent l="0" t="0" r="0" b="6350"/>
            <wp:docPr id="229912093"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blue ba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650" cy="2089150"/>
                    </a:xfrm>
                    <a:prstGeom prst="rect">
                      <a:avLst/>
                    </a:prstGeom>
                    <a:noFill/>
                    <a:ln>
                      <a:noFill/>
                    </a:ln>
                  </pic:spPr>
                </pic:pic>
              </a:graphicData>
            </a:graphic>
          </wp:inline>
        </w:drawing>
      </w:r>
    </w:p>
    <w:p w14:paraId="3C0AA068" w14:textId="5556B17D" w:rsidR="007A3508" w:rsidRDefault="007A3508" w:rsidP="007A3508">
      <w:pPr>
        <w:rPr>
          <w:rFonts w:asciiTheme="majorHAnsi" w:hAnsiTheme="majorHAnsi" w:cstheme="majorBidi"/>
          <w:b/>
          <w:bCs/>
          <w:sz w:val="18"/>
          <w:szCs w:val="18"/>
        </w:rPr>
      </w:pPr>
      <w:r>
        <w:rPr>
          <w:rFonts w:asciiTheme="majorHAnsi" w:hAnsiTheme="majorHAnsi" w:cstheme="majorBidi"/>
          <w:b/>
          <w:bCs/>
          <w:sz w:val="18"/>
          <w:szCs w:val="18"/>
        </w:rPr>
        <w:t xml:space="preserve">Source: ACECQA, NQF Snapshot Waivers (staffing). Data as </w:t>
      </w:r>
      <w:proofErr w:type="gramStart"/>
      <w:r>
        <w:rPr>
          <w:rFonts w:asciiTheme="majorHAnsi" w:hAnsiTheme="majorHAnsi" w:cstheme="majorBidi"/>
          <w:b/>
          <w:bCs/>
          <w:sz w:val="18"/>
          <w:szCs w:val="18"/>
        </w:rPr>
        <w:t>at</w:t>
      </w:r>
      <w:proofErr w:type="gramEnd"/>
      <w:r>
        <w:rPr>
          <w:rFonts w:asciiTheme="majorHAnsi" w:hAnsiTheme="majorHAnsi" w:cstheme="majorBidi"/>
          <w:b/>
          <w:bCs/>
          <w:sz w:val="18"/>
          <w:szCs w:val="18"/>
        </w:rPr>
        <w:t xml:space="preserve"> 1 </w:t>
      </w:r>
      <w:r w:rsidR="00F90BFF">
        <w:rPr>
          <w:rFonts w:asciiTheme="majorHAnsi" w:hAnsiTheme="majorHAnsi" w:cstheme="majorBidi"/>
          <w:b/>
          <w:bCs/>
          <w:sz w:val="18"/>
          <w:szCs w:val="18"/>
        </w:rPr>
        <w:t>April</w:t>
      </w:r>
      <w:r>
        <w:rPr>
          <w:rFonts w:asciiTheme="majorHAnsi" w:hAnsiTheme="majorHAnsi" w:cstheme="majorBidi"/>
          <w:b/>
          <w:bCs/>
          <w:sz w:val="18"/>
          <w:szCs w:val="18"/>
        </w:rPr>
        <w:t xml:space="preserve"> 2024</w:t>
      </w:r>
    </w:p>
    <w:p w14:paraId="3641DDFA" w14:textId="77777777" w:rsidR="00A265B2" w:rsidRDefault="00A265B2" w:rsidP="007D5715">
      <w:pPr>
        <w:pStyle w:val="Heading6"/>
      </w:pPr>
      <w:r>
        <w:lastRenderedPageBreak/>
        <w:t>Use of waivers by service type</w:t>
      </w:r>
    </w:p>
    <w:p w14:paraId="17ED8D87" w14:textId="06326AF2" w:rsidR="00A265B2" w:rsidRDefault="00A265B2" w:rsidP="00A265B2">
      <w:pPr>
        <w:spacing w:after="160"/>
        <w:rPr>
          <w:rFonts w:asciiTheme="majorHAnsi" w:hAnsiTheme="majorHAnsi" w:cstheme="majorBidi"/>
        </w:rPr>
      </w:pPr>
      <w:r>
        <w:rPr>
          <w:rFonts w:asciiTheme="majorHAnsi" w:hAnsiTheme="majorHAnsi" w:cstheme="majorBidi"/>
        </w:rPr>
        <w:t xml:space="preserve">Waiver data also shows the most acute usage on a national scale is within the LDC sector, with 16.5 per cent of services having a staffing waiver in place. Whilst the use of staffing waivers in other service types demonstrates that staffing issues may be acute in some jurisdictions, while not recording any use in others, such as in </w:t>
      </w:r>
      <w:r w:rsidR="004E15D0">
        <w:rPr>
          <w:rFonts w:asciiTheme="majorHAnsi" w:hAnsiTheme="majorHAnsi" w:cstheme="majorBidi"/>
        </w:rPr>
        <w:t>FDC</w:t>
      </w:r>
      <w:r>
        <w:rPr>
          <w:rFonts w:asciiTheme="majorHAnsi" w:hAnsiTheme="majorHAnsi" w:cstheme="majorBidi"/>
        </w:rPr>
        <w:t xml:space="preserve"> where the national proportion of services with a staffing waiver is at </w:t>
      </w:r>
      <w:r w:rsidR="008974A9">
        <w:rPr>
          <w:rFonts w:asciiTheme="majorHAnsi" w:hAnsiTheme="majorHAnsi" w:cstheme="majorBidi"/>
        </w:rPr>
        <w:t>0.7</w:t>
      </w:r>
      <w:r>
        <w:rPr>
          <w:rFonts w:asciiTheme="majorHAnsi" w:hAnsiTheme="majorHAnsi" w:cstheme="majorBidi"/>
        </w:rPr>
        <w:t xml:space="preserve"> per cent, whilst 6 jurisdictions record no use of staffing waivers the Northern Territory has a </w:t>
      </w:r>
      <w:r w:rsidR="008974A9">
        <w:rPr>
          <w:rFonts w:asciiTheme="majorHAnsi" w:hAnsiTheme="majorHAnsi" w:cstheme="majorBidi"/>
        </w:rPr>
        <w:t>50</w:t>
      </w:r>
      <w:r>
        <w:rPr>
          <w:rFonts w:asciiTheme="majorHAnsi" w:hAnsiTheme="majorHAnsi" w:cstheme="majorBidi"/>
        </w:rPr>
        <w:t xml:space="preserve"> per cent proportion of use, and Tasmania recorded </w:t>
      </w:r>
      <w:r w:rsidR="008974A9">
        <w:rPr>
          <w:rFonts w:asciiTheme="majorHAnsi" w:hAnsiTheme="majorHAnsi" w:cstheme="majorBidi"/>
        </w:rPr>
        <w:t>16.7</w:t>
      </w:r>
      <w:r>
        <w:rPr>
          <w:rFonts w:asciiTheme="majorHAnsi" w:hAnsiTheme="majorHAnsi" w:cstheme="majorBidi"/>
        </w:rPr>
        <w:t xml:space="preserve"> per cent.</w:t>
      </w:r>
    </w:p>
    <w:p w14:paraId="0F5B2606" w14:textId="1C460D62" w:rsidR="00A265B2" w:rsidRDefault="00A265B2" w:rsidP="00A265B2">
      <w:r>
        <w:rPr>
          <w:noProof/>
          <w:lang w:eastAsia="en-AU"/>
        </w:rPr>
        <w:drawing>
          <wp:inline distT="0" distB="0" distL="0" distR="0" wp14:anchorId="225A6F0F" wp14:editId="6078FB1A">
            <wp:extent cx="5731510" cy="2216785"/>
            <wp:effectExtent l="0" t="0" r="2540" b="0"/>
            <wp:docPr id="13620887" name="Picture 3" descr="A graph of a person with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person with a number of squar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16785"/>
                    </a:xfrm>
                    <a:prstGeom prst="rect">
                      <a:avLst/>
                    </a:prstGeom>
                    <a:noFill/>
                    <a:ln>
                      <a:noFill/>
                    </a:ln>
                  </pic:spPr>
                </pic:pic>
              </a:graphicData>
            </a:graphic>
          </wp:inline>
        </w:drawing>
      </w:r>
    </w:p>
    <w:p w14:paraId="36CE6D93" w14:textId="7E3EF34A" w:rsidR="00A265B2" w:rsidRDefault="00A265B2" w:rsidP="00A265B2">
      <w:pPr>
        <w:rPr>
          <w:rFonts w:asciiTheme="majorHAnsi" w:hAnsiTheme="majorHAnsi" w:cstheme="majorBidi"/>
          <w:b/>
          <w:bCs/>
          <w:sz w:val="18"/>
          <w:szCs w:val="18"/>
        </w:rPr>
      </w:pPr>
      <w:r>
        <w:rPr>
          <w:rFonts w:asciiTheme="majorHAnsi" w:hAnsiTheme="majorHAnsi" w:cstheme="majorBidi"/>
          <w:b/>
          <w:bCs/>
          <w:sz w:val="18"/>
          <w:szCs w:val="18"/>
        </w:rPr>
        <w:t xml:space="preserve">Source: ACECQA, NQF Snapshot Waivers. Data as </w:t>
      </w:r>
      <w:proofErr w:type="gramStart"/>
      <w:r>
        <w:rPr>
          <w:rFonts w:asciiTheme="majorHAnsi" w:hAnsiTheme="majorHAnsi" w:cstheme="majorBidi"/>
          <w:b/>
          <w:bCs/>
          <w:sz w:val="18"/>
          <w:szCs w:val="18"/>
        </w:rPr>
        <w:t>at</w:t>
      </w:r>
      <w:proofErr w:type="gramEnd"/>
      <w:r>
        <w:rPr>
          <w:rFonts w:asciiTheme="majorHAnsi" w:hAnsiTheme="majorHAnsi" w:cstheme="majorBidi"/>
          <w:b/>
          <w:bCs/>
          <w:sz w:val="18"/>
          <w:szCs w:val="18"/>
        </w:rPr>
        <w:t xml:space="preserve"> 1 </w:t>
      </w:r>
      <w:r w:rsidR="008974A9">
        <w:rPr>
          <w:rFonts w:asciiTheme="majorHAnsi" w:hAnsiTheme="majorHAnsi" w:cstheme="majorBidi"/>
          <w:b/>
          <w:bCs/>
          <w:sz w:val="18"/>
          <w:szCs w:val="18"/>
        </w:rPr>
        <w:t>April</w:t>
      </w:r>
      <w:r>
        <w:rPr>
          <w:rFonts w:asciiTheme="majorHAnsi" w:hAnsiTheme="majorHAnsi" w:cstheme="majorBidi"/>
          <w:b/>
          <w:bCs/>
          <w:sz w:val="18"/>
          <w:szCs w:val="18"/>
        </w:rPr>
        <w:t xml:space="preserve"> 2024</w:t>
      </w:r>
    </w:p>
    <w:p w14:paraId="7D3541E6" w14:textId="77777777" w:rsidR="00A265B2" w:rsidRDefault="00A265B2" w:rsidP="007D5715">
      <w:pPr>
        <w:pStyle w:val="Heading6"/>
      </w:pPr>
      <w:r>
        <w:t>Use of waivers by remoteness</w:t>
      </w:r>
    </w:p>
    <w:p w14:paraId="1280A2B2" w14:textId="179CC227" w:rsidR="003A6AFC" w:rsidRDefault="00A265B2" w:rsidP="00A265B2">
      <w:pPr>
        <w:spacing w:after="160"/>
        <w:rPr>
          <w:rFonts w:asciiTheme="majorHAnsi" w:hAnsiTheme="majorHAnsi" w:cstheme="majorBidi"/>
        </w:rPr>
      </w:pPr>
      <w:r>
        <w:rPr>
          <w:rFonts w:asciiTheme="majorHAnsi" w:hAnsiTheme="majorHAnsi" w:cstheme="majorBidi"/>
        </w:rPr>
        <w:t>When examining the use of staffing waivers by remoteness, services in more disadvantaged areas are more likely to experience staffing shortages</w:t>
      </w:r>
      <w:r w:rsidR="0058797D">
        <w:rPr>
          <w:rFonts w:asciiTheme="majorHAnsi" w:hAnsiTheme="majorHAnsi" w:cstheme="majorBidi"/>
        </w:rPr>
        <w:t>.</w:t>
      </w:r>
      <w:r>
        <w:rPr>
          <w:rFonts w:asciiTheme="majorHAnsi" w:hAnsiTheme="majorHAnsi" w:cstheme="majorBidi"/>
        </w:rPr>
        <w:t xml:space="preserve"> </w:t>
      </w:r>
      <w:r w:rsidR="0058797D">
        <w:rPr>
          <w:rFonts w:asciiTheme="majorHAnsi" w:hAnsiTheme="majorHAnsi" w:cstheme="majorBidi"/>
        </w:rPr>
        <w:t xml:space="preserve">This </w:t>
      </w:r>
      <w:r>
        <w:rPr>
          <w:rFonts w:asciiTheme="majorHAnsi" w:hAnsiTheme="majorHAnsi" w:cstheme="majorBidi"/>
        </w:rPr>
        <w:t xml:space="preserve">could provide some further perspective regarding the high use of waivers across some states and territories, due to their vast areas of remoteness. Data shows </w:t>
      </w:r>
      <w:r w:rsidR="008974A9">
        <w:rPr>
          <w:rFonts w:asciiTheme="majorHAnsi" w:hAnsiTheme="majorHAnsi" w:cstheme="majorBidi"/>
        </w:rPr>
        <w:t>16.9</w:t>
      </w:r>
      <w:r>
        <w:rPr>
          <w:rFonts w:asciiTheme="majorHAnsi" w:hAnsiTheme="majorHAnsi" w:cstheme="majorBidi"/>
        </w:rPr>
        <w:t xml:space="preserve"> per cent of services in very remote areas holding a staffing waiver, 1</w:t>
      </w:r>
      <w:r w:rsidR="008974A9">
        <w:rPr>
          <w:rFonts w:asciiTheme="majorHAnsi" w:hAnsiTheme="majorHAnsi" w:cstheme="majorBidi"/>
        </w:rPr>
        <w:t>2.8</w:t>
      </w:r>
      <w:r>
        <w:rPr>
          <w:rFonts w:asciiTheme="majorHAnsi" w:hAnsiTheme="majorHAnsi" w:cstheme="majorBidi"/>
        </w:rPr>
        <w:t xml:space="preserve"> per cent in regional areas, and 1</w:t>
      </w:r>
      <w:r w:rsidR="008974A9">
        <w:rPr>
          <w:rFonts w:asciiTheme="majorHAnsi" w:hAnsiTheme="majorHAnsi" w:cstheme="majorBidi"/>
        </w:rPr>
        <w:t>0.5</w:t>
      </w:r>
      <w:r>
        <w:rPr>
          <w:rFonts w:asciiTheme="majorHAnsi" w:hAnsiTheme="majorHAnsi" w:cstheme="majorBidi"/>
        </w:rPr>
        <w:t xml:space="preserve"> per cent in remote areas.</w:t>
      </w:r>
      <w:r w:rsidR="00CB0799">
        <w:rPr>
          <w:rStyle w:val="FootnoteReference"/>
          <w:rFonts w:asciiTheme="majorHAnsi" w:hAnsiTheme="majorHAnsi" w:cstheme="majorBidi"/>
        </w:rPr>
        <w:footnoteReference w:id="58"/>
      </w:r>
      <w:r>
        <w:rPr>
          <w:rFonts w:asciiTheme="majorHAnsi" w:hAnsiTheme="majorHAnsi" w:cstheme="majorBidi"/>
        </w:rPr>
        <w:t xml:space="preserve"> Services in major cities and inner regional areas by comparison have </w:t>
      </w:r>
      <w:r w:rsidR="008974A9">
        <w:rPr>
          <w:rFonts w:asciiTheme="majorHAnsi" w:hAnsiTheme="majorHAnsi" w:cstheme="majorBidi"/>
        </w:rPr>
        <w:t>12.3</w:t>
      </w:r>
      <w:r>
        <w:rPr>
          <w:rFonts w:asciiTheme="majorHAnsi" w:hAnsiTheme="majorHAnsi" w:cstheme="majorBidi"/>
        </w:rPr>
        <w:t xml:space="preserve"> per cent and </w:t>
      </w:r>
      <w:r w:rsidR="008974A9">
        <w:rPr>
          <w:rFonts w:asciiTheme="majorHAnsi" w:hAnsiTheme="majorHAnsi" w:cstheme="majorBidi"/>
        </w:rPr>
        <w:t>11</w:t>
      </w:r>
      <w:r>
        <w:rPr>
          <w:rFonts w:asciiTheme="majorHAnsi" w:hAnsiTheme="majorHAnsi" w:cstheme="majorBidi"/>
        </w:rPr>
        <w:t xml:space="preserve"> per cent with staffing waivers in place.</w:t>
      </w:r>
      <w:r w:rsidR="005F31A1">
        <w:rPr>
          <w:rFonts w:asciiTheme="majorHAnsi" w:hAnsiTheme="majorHAnsi" w:cstheme="majorBidi"/>
        </w:rPr>
        <w:t xml:space="preserve"> </w:t>
      </w:r>
    </w:p>
    <w:p w14:paraId="71EB6AED" w14:textId="77777777" w:rsidR="003A6AFC" w:rsidRDefault="003A6AFC" w:rsidP="00A265B2">
      <w:pPr>
        <w:spacing w:after="160"/>
        <w:rPr>
          <w:rFonts w:asciiTheme="majorHAnsi" w:hAnsiTheme="majorHAnsi" w:cstheme="majorBidi"/>
          <w:highlight w:val="yellow"/>
        </w:rPr>
      </w:pPr>
    </w:p>
    <w:p w14:paraId="224FF14C" w14:textId="7BF04728" w:rsidR="00A265B2" w:rsidRDefault="00A265B2" w:rsidP="00A265B2">
      <w:pPr>
        <w:rPr>
          <w:rFonts w:asciiTheme="majorHAnsi" w:hAnsiTheme="majorHAnsi" w:cstheme="majorBidi"/>
        </w:rPr>
      </w:pPr>
      <w:r>
        <w:rPr>
          <w:rFonts w:asciiTheme="majorHAnsi" w:hAnsiTheme="majorHAnsi" w:cstheme="majorBidi"/>
          <w:noProof/>
          <w:lang w:eastAsia="en-AU"/>
        </w:rPr>
        <w:lastRenderedPageBreak/>
        <w:drawing>
          <wp:inline distT="0" distB="0" distL="0" distR="0" wp14:anchorId="02634B06" wp14:editId="171E2EA6">
            <wp:extent cx="4616450" cy="3587750"/>
            <wp:effectExtent l="0" t="0" r="0" b="0"/>
            <wp:docPr id="945877128" name="Picture 2" descr="Source: ACECQA, NQF Snapshot Waivers (staffing). Data as at 1 Jan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 ACECQA, NQF Snapshot Waivers (staffing). Data as at 1 January 2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6450" cy="3587750"/>
                    </a:xfrm>
                    <a:prstGeom prst="rect">
                      <a:avLst/>
                    </a:prstGeom>
                    <a:noFill/>
                    <a:ln>
                      <a:noFill/>
                    </a:ln>
                  </pic:spPr>
                </pic:pic>
              </a:graphicData>
            </a:graphic>
          </wp:inline>
        </w:drawing>
      </w:r>
    </w:p>
    <w:p w14:paraId="6FE8B3AB" w14:textId="178056B8" w:rsidR="00A265B2" w:rsidRDefault="00A265B2" w:rsidP="00A265B2">
      <w:pPr>
        <w:rPr>
          <w:rFonts w:asciiTheme="majorHAnsi" w:hAnsiTheme="majorHAnsi" w:cstheme="majorBidi"/>
          <w:b/>
          <w:bCs/>
          <w:sz w:val="18"/>
          <w:szCs w:val="18"/>
        </w:rPr>
      </w:pPr>
      <w:r>
        <w:rPr>
          <w:rFonts w:asciiTheme="majorHAnsi" w:hAnsiTheme="majorHAnsi" w:cstheme="majorBidi"/>
          <w:b/>
          <w:bCs/>
          <w:sz w:val="18"/>
          <w:szCs w:val="18"/>
        </w:rPr>
        <w:t xml:space="preserve">Source: ACECQA, NQF Snapshot Waivers. Data as </w:t>
      </w:r>
      <w:proofErr w:type="gramStart"/>
      <w:r>
        <w:rPr>
          <w:rFonts w:asciiTheme="majorHAnsi" w:hAnsiTheme="majorHAnsi" w:cstheme="majorBidi"/>
          <w:b/>
          <w:bCs/>
          <w:sz w:val="18"/>
          <w:szCs w:val="18"/>
        </w:rPr>
        <w:t>at</w:t>
      </w:r>
      <w:proofErr w:type="gramEnd"/>
      <w:r>
        <w:rPr>
          <w:rFonts w:asciiTheme="majorHAnsi" w:hAnsiTheme="majorHAnsi" w:cstheme="majorBidi"/>
          <w:b/>
          <w:bCs/>
          <w:sz w:val="18"/>
          <w:szCs w:val="18"/>
        </w:rPr>
        <w:t xml:space="preserve"> 1 </w:t>
      </w:r>
      <w:r w:rsidR="008974A9">
        <w:rPr>
          <w:rFonts w:asciiTheme="majorHAnsi" w:hAnsiTheme="majorHAnsi" w:cstheme="majorBidi"/>
          <w:b/>
          <w:bCs/>
          <w:sz w:val="18"/>
          <w:szCs w:val="18"/>
        </w:rPr>
        <w:t>April</w:t>
      </w:r>
      <w:r>
        <w:rPr>
          <w:rFonts w:asciiTheme="majorHAnsi" w:hAnsiTheme="majorHAnsi" w:cstheme="majorBidi"/>
          <w:b/>
          <w:bCs/>
          <w:sz w:val="18"/>
          <w:szCs w:val="18"/>
        </w:rPr>
        <w:t xml:space="preserve"> 2024</w:t>
      </w:r>
    </w:p>
    <w:p w14:paraId="2335AC8F" w14:textId="71AF6A79" w:rsidR="003E2D02" w:rsidRDefault="003E2D02" w:rsidP="003E2D02">
      <w:pPr>
        <w:pStyle w:val="Heading6"/>
      </w:pPr>
      <w:r>
        <w:t>Impact o</w:t>
      </w:r>
      <w:r w:rsidR="008611D5">
        <w:t>f</w:t>
      </w:r>
      <w:r>
        <w:t xml:space="preserve"> the use of waivers</w:t>
      </w:r>
    </w:p>
    <w:p w14:paraId="0A4B76B6" w14:textId="77777777" w:rsidR="00C333E4" w:rsidRDefault="0003252F" w:rsidP="003E2D02">
      <w:pPr>
        <w:spacing w:after="160"/>
        <w:rPr>
          <w:rFonts w:asciiTheme="majorHAnsi" w:hAnsiTheme="majorHAnsi" w:cstheme="majorBidi"/>
        </w:rPr>
      </w:pPr>
      <w:r>
        <w:rPr>
          <w:rFonts w:asciiTheme="majorHAnsi" w:hAnsiTheme="majorHAnsi" w:cstheme="majorBidi"/>
        </w:rPr>
        <w:t xml:space="preserve">As noted, </w:t>
      </w:r>
      <w:r w:rsidRPr="007D5715">
        <w:rPr>
          <w:rFonts w:asciiTheme="majorHAnsi" w:hAnsiTheme="majorHAnsi" w:cstheme="majorBidi"/>
        </w:rPr>
        <w:t xml:space="preserve">the vast majority of staffing waivers are in relation to ECEC services not having access to an </w:t>
      </w:r>
      <w:r>
        <w:rPr>
          <w:rFonts w:asciiTheme="majorHAnsi" w:hAnsiTheme="majorHAnsi" w:cstheme="majorBidi"/>
        </w:rPr>
        <w:t>ECT</w:t>
      </w:r>
      <w:r w:rsidRPr="007D5715">
        <w:rPr>
          <w:rFonts w:asciiTheme="majorHAnsi" w:hAnsiTheme="majorHAnsi" w:cstheme="majorBidi"/>
        </w:rPr>
        <w:t>, with very few in relation to services not meeting educator to child ratios</w:t>
      </w:r>
      <w:r>
        <w:rPr>
          <w:rFonts w:asciiTheme="majorHAnsi" w:hAnsiTheme="majorHAnsi" w:cstheme="majorBidi"/>
        </w:rPr>
        <w:t xml:space="preserve">. Nevertheless, use of staffing waivers </w:t>
      </w:r>
      <w:r w:rsidR="00650348">
        <w:rPr>
          <w:rFonts w:asciiTheme="majorHAnsi" w:hAnsiTheme="majorHAnsi" w:cstheme="majorBidi"/>
        </w:rPr>
        <w:t>could</w:t>
      </w:r>
      <w:r>
        <w:rPr>
          <w:rFonts w:asciiTheme="majorHAnsi" w:hAnsiTheme="majorHAnsi" w:cstheme="majorBidi"/>
        </w:rPr>
        <w:t xml:space="preserve"> potentially </w:t>
      </w:r>
      <w:r w:rsidR="00650348">
        <w:rPr>
          <w:rFonts w:asciiTheme="majorHAnsi" w:hAnsiTheme="majorHAnsi" w:cstheme="majorBidi"/>
        </w:rPr>
        <w:t>be</w:t>
      </w:r>
      <w:r>
        <w:rPr>
          <w:rFonts w:asciiTheme="majorHAnsi" w:hAnsiTheme="majorHAnsi" w:cstheme="majorBidi"/>
        </w:rPr>
        <w:t xml:space="preserve"> one of a number of </w:t>
      </w:r>
      <w:r w:rsidR="00BB3954">
        <w:rPr>
          <w:rFonts w:asciiTheme="majorHAnsi" w:hAnsiTheme="majorHAnsi" w:cstheme="majorBidi"/>
        </w:rPr>
        <w:t xml:space="preserve">markers </w:t>
      </w:r>
      <w:r w:rsidR="0052488F">
        <w:rPr>
          <w:rFonts w:asciiTheme="majorHAnsi" w:hAnsiTheme="majorHAnsi" w:cstheme="majorBidi"/>
        </w:rPr>
        <w:t xml:space="preserve">to measure quality of care, alongside </w:t>
      </w:r>
      <w:r w:rsidR="004B5322">
        <w:rPr>
          <w:rFonts w:asciiTheme="majorHAnsi" w:hAnsiTheme="majorHAnsi" w:cstheme="majorBidi"/>
        </w:rPr>
        <w:t>N</w:t>
      </w:r>
      <w:r w:rsidR="001B6C09">
        <w:rPr>
          <w:rFonts w:asciiTheme="majorHAnsi" w:hAnsiTheme="majorHAnsi" w:cstheme="majorBidi"/>
        </w:rPr>
        <w:t>a</w:t>
      </w:r>
      <w:r w:rsidR="000C3C88">
        <w:rPr>
          <w:rFonts w:asciiTheme="majorHAnsi" w:hAnsiTheme="majorHAnsi" w:cstheme="majorBidi"/>
        </w:rPr>
        <w:t xml:space="preserve">tional Quality Standard </w:t>
      </w:r>
      <w:r w:rsidR="00592E4B">
        <w:rPr>
          <w:rFonts w:asciiTheme="majorHAnsi" w:hAnsiTheme="majorHAnsi" w:cstheme="majorBidi"/>
        </w:rPr>
        <w:t xml:space="preserve">ratings, </w:t>
      </w:r>
      <w:r w:rsidR="00A535D7">
        <w:rPr>
          <w:rFonts w:asciiTheme="majorHAnsi" w:hAnsiTheme="majorHAnsi" w:cstheme="majorBidi"/>
        </w:rPr>
        <w:t>complaints history</w:t>
      </w:r>
      <w:r w:rsidR="006F7FD9">
        <w:rPr>
          <w:rFonts w:asciiTheme="majorHAnsi" w:hAnsiTheme="majorHAnsi" w:cstheme="majorBidi"/>
        </w:rPr>
        <w:t xml:space="preserve">, investment in </w:t>
      </w:r>
      <w:r w:rsidR="00253B80">
        <w:rPr>
          <w:rFonts w:asciiTheme="majorHAnsi" w:hAnsiTheme="majorHAnsi" w:cstheme="majorBidi"/>
        </w:rPr>
        <w:t xml:space="preserve">professional development and inclusion </w:t>
      </w:r>
      <w:r w:rsidR="0035694B">
        <w:rPr>
          <w:rFonts w:asciiTheme="majorHAnsi" w:hAnsiTheme="majorHAnsi" w:cstheme="majorBidi"/>
        </w:rPr>
        <w:t>capability and practices</w:t>
      </w:r>
      <w:r w:rsidR="00473DCF">
        <w:rPr>
          <w:rFonts w:asciiTheme="majorHAnsi" w:hAnsiTheme="majorHAnsi" w:cstheme="majorBidi"/>
        </w:rPr>
        <w:t>.</w:t>
      </w:r>
      <w:r w:rsidR="00473DCF">
        <w:rPr>
          <w:rStyle w:val="FootnoteReference"/>
          <w:rFonts w:asciiTheme="majorHAnsi" w:hAnsiTheme="majorHAnsi" w:cstheme="majorBidi"/>
        </w:rPr>
        <w:footnoteReference w:id="59"/>
      </w:r>
      <w:r w:rsidR="004B5322">
        <w:rPr>
          <w:rFonts w:asciiTheme="majorHAnsi" w:hAnsiTheme="majorHAnsi" w:cstheme="majorBidi"/>
        </w:rPr>
        <w:t xml:space="preserve"> </w:t>
      </w:r>
    </w:p>
    <w:p w14:paraId="161D55B7" w14:textId="0D30BD50" w:rsidR="005F3A1C" w:rsidRDefault="00C333E4" w:rsidP="003E2D02">
      <w:pPr>
        <w:spacing w:after="160"/>
        <w:rPr>
          <w:rFonts w:asciiTheme="majorHAnsi" w:hAnsiTheme="majorHAnsi" w:cstheme="majorBidi"/>
        </w:rPr>
      </w:pPr>
      <w:r>
        <w:rPr>
          <w:rFonts w:asciiTheme="majorHAnsi" w:hAnsiTheme="majorHAnsi" w:cstheme="majorBidi"/>
        </w:rPr>
        <w:t>Whilst</w:t>
      </w:r>
      <w:r w:rsidR="00FD507B">
        <w:rPr>
          <w:rFonts w:asciiTheme="majorHAnsi" w:hAnsiTheme="majorHAnsi" w:cstheme="majorBidi"/>
        </w:rPr>
        <w:t xml:space="preserve"> the use of waivers alone does not </w:t>
      </w:r>
      <w:r w:rsidR="00245866">
        <w:rPr>
          <w:rFonts w:asciiTheme="majorHAnsi" w:hAnsiTheme="majorHAnsi" w:cstheme="majorBidi"/>
        </w:rPr>
        <w:t xml:space="preserve">indicate </w:t>
      </w:r>
      <w:r w:rsidR="00796EB2">
        <w:rPr>
          <w:rFonts w:asciiTheme="majorHAnsi" w:hAnsiTheme="majorHAnsi" w:cstheme="majorBidi"/>
        </w:rPr>
        <w:t>specific issues in relation to</w:t>
      </w:r>
      <w:r w:rsidR="00E51134">
        <w:rPr>
          <w:rFonts w:asciiTheme="majorHAnsi" w:hAnsiTheme="majorHAnsi" w:cstheme="majorBidi"/>
        </w:rPr>
        <w:t xml:space="preserve"> child</w:t>
      </w:r>
      <w:r w:rsidR="00796EB2">
        <w:rPr>
          <w:rFonts w:asciiTheme="majorHAnsi" w:hAnsiTheme="majorHAnsi" w:cstheme="majorBidi"/>
        </w:rPr>
        <w:t xml:space="preserve"> safety or educational or developmental </w:t>
      </w:r>
      <w:r w:rsidR="00E51134">
        <w:rPr>
          <w:rFonts w:asciiTheme="majorHAnsi" w:hAnsiTheme="majorHAnsi" w:cstheme="majorBidi"/>
        </w:rPr>
        <w:t>opportunities</w:t>
      </w:r>
      <w:r>
        <w:rPr>
          <w:rFonts w:asciiTheme="majorHAnsi" w:hAnsiTheme="majorHAnsi" w:cstheme="majorBidi"/>
        </w:rPr>
        <w:t xml:space="preserve">, </w:t>
      </w:r>
      <w:r>
        <w:rPr>
          <w:rFonts w:asciiTheme="majorHAnsi" w:hAnsiTheme="majorHAnsi" w:cstheme="majorHAnsi"/>
        </w:rPr>
        <w:t>a</w:t>
      </w:r>
      <w:r w:rsidRPr="000F56E9">
        <w:rPr>
          <w:rFonts w:asciiTheme="majorHAnsi" w:hAnsiTheme="majorHAnsi" w:cstheme="majorHAnsi"/>
        </w:rPr>
        <w:t xml:space="preserve"> recent </w:t>
      </w:r>
      <w:r>
        <w:rPr>
          <w:rFonts w:asciiTheme="majorHAnsi" w:hAnsiTheme="majorHAnsi" w:cstheme="majorHAnsi"/>
        </w:rPr>
        <w:t>United Workers Union (</w:t>
      </w:r>
      <w:r w:rsidRPr="000F56E9">
        <w:rPr>
          <w:rFonts w:asciiTheme="majorHAnsi" w:hAnsiTheme="majorHAnsi" w:cstheme="majorHAnsi"/>
        </w:rPr>
        <w:t>UWU</w:t>
      </w:r>
      <w:r>
        <w:rPr>
          <w:rFonts w:asciiTheme="majorHAnsi" w:hAnsiTheme="majorHAnsi" w:cstheme="majorHAnsi"/>
        </w:rPr>
        <w:t>)</w:t>
      </w:r>
      <w:r w:rsidRPr="000F56E9">
        <w:rPr>
          <w:rFonts w:asciiTheme="majorHAnsi" w:hAnsiTheme="majorHAnsi" w:cstheme="majorHAnsi"/>
        </w:rPr>
        <w:t xml:space="preserve"> survey of the sector reported that almost two thirds of respondents from across Australia agreed that children’s safety or wellbeing had been impacted by staff shortages over the past twelve months</w:t>
      </w:r>
      <w:r w:rsidR="00CD1C85">
        <w:rPr>
          <w:rFonts w:asciiTheme="majorHAnsi" w:hAnsiTheme="majorHAnsi" w:cstheme="majorHAnsi"/>
        </w:rPr>
        <w:t>.</w:t>
      </w:r>
      <w:r w:rsidRPr="000F56E9">
        <w:rPr>
          <w:rStyle w:val="FootnoteReference"/>
          <w:rFonts w:asciiTheme="majorHAnsi" w:hAnsiTheme="majorHAnsi" w:cstheme="majorHAnsi"/>
        </w:rPr>
        <w:footnoteReference w:id="60"/>
      </w:r>
      <w:r w:rsidRPr="000F56E9">
        <w:rPr>
          <w:rFonts w:asciiTheme="majorHAnsi" w:hAnsiTheme="majorHAnsi" w:cstheme="majorHAnsi"/>
        </w:rPr>
        <w:t xml:space="preserve"> Respondents to the survey reported “a lack of adequate supervision, a higher number of incidents resulting in injuries between children [and] more errors made by staff due to exhaustion and workload” </w:t>
      </w:r>
      <w:r w:rsidR="00CD1C85">
        <w:rPr>
          <w:rFonts w:asciiTheme="majorHAnsi" w:hAnsiTheme="majorHAnsi" w:cstheme="majorHAnsi"/>
        </w:rPr>
        <w:t>resulting from</w:t>
      </w:r>
      <w:r w:rsidRPr="000F56E9">
        <w:rPr>
          <w:rFonts w:asciiTheme="majorHAnsi" w:hAnsiTheme="majorHAnsi" w:cstheme="majorHAnsi"/>
        </w:rPr>
        <w:t xml:space="preserve"> workforce issues.   </w:t>
      </w:r>
      <w:r w:rsidR="00E51134">
        <w:rPr>
          <w:rFonts w:asciiTheme="majorHAnsi" w:hAnsiTheme="majorHAnsi" w:cstheme="majorBidi"/>
        </w:rPr>
        <w:t xml:space="preserve"> </w:t>
      </w:r>
    </w:p>
    <w:p w14:paraId="6A50A3A4" w14:textId="55C2B337" w:rsidR="00E51134" w:rsidRDefault="00F71831" w:rsidP="003E2D02">
      <w:pPr>
        <w:spacing w:after="160"/>
        <w:rPr>
          <w:rFonts w:asciiTheme="majorHAnsi" w:hAnsiTheme="majorHAnsi" w:cstheme="majorBidi"/>
        </w:rPr>
      </w:pPr>
      <w:r>
        <w:rPr>
          <w:rFonts w:asciiTheme="majorHAnsi" w:hAnsiTheme="majorHAnsi" w:cstheme="majorBidi"/>
        </w:rPr>
        <w:t>The use of staffing waivers</w:t>
      </w:r>
      <w:r w:rsidR="00E87AAE">
        <w:rPr>
          <w:rFonts w:asciiTheme="majorHAnsi" w:hAnsiTheme="majorHAnsi" w:cstheme="majorBidi"/>
        </w:rPr>
        <w:t xml:space="preserve">, particularly in </w:t>
      </w:r>
      <w:r w:rsidR="00AE6D8B">
        <w:rPr>
          <w:rFonts w:asciiTheme="majorHAnsi" w:hAnsiTheme="majorHAnsi" w:cstheme="majorBidi"/>
        </w:rPr>
        <w:t xml:space="preserve">regional and remote areas, is symptomatic </w:t>
      </w:r>
      <w:r w:rsidR="00122A06">
        <w:rPr>
          <w:rFonts w:asciiTheme="majorHAnsi" w:hAnsiTheme="majorHAnsi" w:cstheme="majorBidi"/>
        </w:rPr>
        <w:t xml:space="preserve">of significant </w:t>
      </w:r>
      <w:r w:rsidR="0083669A">
        <w:rPr>
          <w:rFonts w:asciiTheme="majorHAnsi" w:hAnsiTheme="majorHAnsi" w:cstheme="majorBidi"/>
        </w:rPr>
        <w:t>issues with workforce availability</w:t>
      </w:r>
      <w:r w:rsidR="00AE7C4F">
        <w:rPr>
          <w:rFonts w:asciiTheme="majorHAnsi" w:hAnsiTheme="majorHAnsi" w:cstheme="majorBidi"/>
        </w:rPr>
        <w:t>.</w:t>
      </w:r>
      <w:r w:rsidR="00AE7C4F">
        <w:rPr>
          <w:rStyle w:val="FootnoteReference"/>
          <w:rFonts w:asciiTheme="majorHAnsi" w:hAnsiTheme="majorHAnsi" w:cstheme="majorBidi"/>
        </w:rPr>
        <w:footnoteReference w:id="61"/>
      </w:r>
      <w:r w:rsidR="00876FB6">
        <w:rPr>
          <w:rFonts w:asciiTheme="majorHAnsi" w:hAnsiTheme="majorHAnsi" w:cstheme="majorBidi"/>
        </w:rPr>
        <w:t xml:space="preserve"> The use of staffing waivers is directly associated with </w:t>
      </w:r>
      <w:r w:rsidR="00BA3837">
        <w:rPr>
          <w:rFonts w:asciiTheme="majorHAnsi" w:hAnsiTheme="majorHAnsi" w:cstheme="majorBidi"/>
        </w:rPr>
        <w:t xml:space="preserve">the closing of service rooms and </w:t>
      </w:r>
      <w:r w:rsidR="00E8223C">
        <w:rPr>
          <w:rFonts w:asciiTheme="majorHAnsi" w:hAnsiTheme="majorHAnsi" w:cstheme="majorBidi"/>
        </w:rPr>
        <w:t xml:space="preserve">capping </w:t>
      </w:r>
      <w:r w:rsidR="002D7471">
        <w:rPr>
          <w:rFonts w:asciiTheme="majorHAnsi" w:hAnsiTheme="majorHAnsi" w:cstheme="majorBidi"/>
        </w:rPr>
        <w:t>of enrolments</w:t>
      </w:r>
      <w:r w:rsidR="00E831C4">
        <w:rPr>
          <w:rFonts w:asciiTheme="majorHAnsi" w:hAnsiTheme="majorHAnsi" w:cstheme="majorBidi"/>
        </w:rPr>
        <w:t xml:space="preserve"> (with services operating below their licensed capacity)</w:t>
      </w:r>
      <w:r w:rsidR="002D7471">
        <w:rPr>
          <w:rFonts w:asciiTheme="majorHAnsi" w:hAnsiTheme="majorHAnsi" w:cstheme="majorBidi"/>
        </w:rPr>
        <w:t xml:space="preserve">, </w:t>
      </w:r>
      <w:r w:rsidR="005E4419">
        <w:rPr>
          <w:rFonts w:asciiTheme="majorHAnsi" w:hAnsiTheme="majorHAnsi" w:cstheme="majorBidi"/>
        </w:rPr>
        <w:t>directly impacting the availability of care</w:t>
      </w:r>
      <w:r w:rsidR="00CC3BE6">
        <w:rPr>
          <w:rFonts w:asciiTheme="majorHAnsi" w:hAnsiTheme="majorHAnsi" w:cstheme="majorBidi"/>
        </w:rPr>
        <w:t xml:space="preserve">, the </w:t>
      </w:r>
      <w:r w:rsidR="00FF74BB">
        <w:rPr>
          <w:rFonts w:asciiTheme="majorHAnsi" w:hAnsiTheme="majorHAnsi" w:cstheme="majorBidi"/>
        </w:rPr>
        <w:t xml:space="preserve">viability and </w:t>
      </w:r>
      <w:r w:rsidR="00CC3BE6">
        <w:rPr>
          <w:rFonts w:asciiTheme="majorHAnsi" w:hAnsiTheme="majorHAnsi" w:cstheme="majorBidi"/>
        </w:rPr>
        <w:t xml:space="preserve">profitability of </w:t>
      </w:r>
      <w:r w:rsidR="00FF74BB">
        <w:rPr>
          <w:rFonts w:asciiTheme="majorHAnsi" w:hAnsiTheme="majorHAnsi" w:cstheme="majorBidi"/>
        </w:rPr>
        <w:t>services</w:t>
      </w:r>
      <w:r w:rsidR="005E4419">
        <w:rPr>
          <w:rFonts w:asciiTheme="majorHAnsi" w:hAnsiTheme="majorHAnsi" w:cstheme="majorBidi"/>
        </w:rPr>
        <w:t xml:space="preserve"> </w:t>
      </w:r>
      <w:r w:rsidR="00A15A7A">
        <w:rPr>
          <w:rFonts w:asciiTheme="majorHAnsi" w:hAnsiTheme="majorHAnsi" w:cstheme="majorBidi"/>
        </w:rPr>
        <w:t xml:space="preserve">and restricting </w:t>
      </w:r>
      <w:r w:rsidR="00E831C4">
        <w:rPr>
          <w:rFonts w:asciiTheme="majorHAnsi" w:hAnsiTheme="majorHAnsi" w:cstheme="majorBidi"/>
        </w:rPr>
        <w:t>the</w:t>
      </w:r>
      <w:r w:rsidR="00A15A7A">
        <w:rPr>
          <w:rFonts w:asciiTheme="majorHAnsi" w:hAnsiTheme="majorHAnsi" w:cstheme="majorBidi"/>
        </w:rPr>
        <w:t xml:space="preserve"> </w:t>
      </w:r>
      <w:r w:rsidR="008E7AB8">
        <w:rPr>
          <w:rFonts w:asciiTheme="majorHAnsi" w:hAnsiTheme="majorHAnsi" w:cstheme="majorBidi"/>
        </w:rPr>
        <w:t xml:space="preserve">economic participation </w:t>
      </w:r>
      <w:r w:rsidR="00287443">
        <w:rPr>
          <w:rFonts w:asciiTheme="majorHAnsi" w:hAnsiTheme="majorHAnsi" w:cstheme="majorBidi"/>
        </w:rPr>
        <w:t>of working families</w:t>
      </w:r>
      <w:r w:rsidR="008E7AB8">
        <w:rPr>
          <w:rFonts w:asciiTheme="majorHAnsi" w:hAnsiTheme="majorHAnsi" w:cstheme="majorBidi"/>
        </w:rPr>
        <w:t xml:space="preserve"> more broadly. </w:t>
      </w:r>
    </w:p>
    <w:p w14:paraId="79A97394" w14:textId="284E3311" w:rsidR="003E2D02" w:rsidRDefault="00287443" w:rsidP="00A265B2">
      <w:pPr>
        <w:rPr>
          <w:rFonts w:asciiTheme="majorHAnsi" w:hAnsiTheme="majorHAnsi" w:cstheme="majorBidi"/>
          <w:b/>
          <w:bCs/>
          <w:sz w:val="18"/>
          <w:szCs w:val="18"/>
        </w:rPr>
      </w:pPr>
      <w:r>
        <w:rPr>
          <w:rFonts w:asciiTheme="majorHAnsi" w:hAnsiTheme="majorHAnsi" w:cstheme="majorBidi"/>
        </w:rPr>
        <w:lastRenderedPageBreak/>
        <w:t xml:space="preserve">It is also important to note that </w:t>
      </w:r>
      <w:r w:rsidR="00E060FF">
        <w:rPr>
          <w:rFonts w:asciiTheme="majorHAnsi" w:hAnsiTheme="majorHAnsi" w:cstheme="majorBidi"/>
        </w:rPr>
        <w:t xml:space="preserve">the use of waivers </w:t>
      </w:r>
      <w:r w:rsidR="004C51C2">
        <w:rPr>
          <w:rFonts w:asciiTheme="majorHAnsi" w:hAnsiTheme="majorHAnsi" w:cstheme="majorBidi"/>
        </w:rPr>
        <w:t xml:space="preserve">has a financial and administrative impact on </w:t>
      </w:r>
      <w:r w:rsidR="003B3292">
        <w:rPr>
          <w:rFonts w:asciiTheme="majorHAnsi" w:hAnsiTheme="majorHAnsi" w:cstheme="majorBidi"/>
        </w:rPr>
        <w:t xml:space="preserve">ECEC </w:t>
      </w:r>
      <w:r w:rsidR="004C51C2">
        <w:rPr>
          <w:rFonts w:asciiTheme="majorHAnsi" w:hAnsiTheme="majorHAnsi" w:cstheme="majorBidi"/>
        </w:rPr>
        <w:t xml:space="preserve">providers. </w:t>
      </w:r>
      <w:r w:rsidR="00CD5D46">
        <w:rPr>
          <w:rFonts w:asciiTheme="majorHAnsi" w:hAnsiTheme="majorHAnsi" w:cstheme="majorBidi"/>
        </w:rPr>
        <w:t>ECEC providers must apply to ACECQA in order to be granted a waiver, at a cost of $124 per application (for a CBDC service).</w:t>
      </w:r>
      <w:r w:rsidR="00861401">
        <w:rPr>
          <w:rStyle w:val="FootnoteReference"/>
          <w:rFonts w:asciiTheme="majorHAnsi" w:hAnsiTheme="majorHAnsi" w:cstheme="majorBidi"/>
        </w:rPr>
        <w:footnoteReference w:id="62"/>
      </w:r>
      <w:r w:rsidR="004C51C2">
        <w:rPr>
          <w:rFonts w:asciiTheme="majorHAnsi" w:hAnsiTheme="majorHAnsi" w:cstheme="majorBidi"/>
        </w:rPr>
        <w:t xml:space="preserve"> </w:t>
      </w:r>
    </w:p>
    <w:p w14:paraId="473F2B28" w14:textId="141E2B1C" w:rsidR="0054753A" w:rsidRDefault="0054753A" w:rsidP="0054753A">
      <w:pPr>
        <w:pStyle w:val="Heading5"/>
      </w:pPr>
      <w:r>
        <w:t>National Workforce Strategy</w:t>
      </w:r>
    </w:p>
    <w:p w14:paraId="4A19DA64" w14:textId="75695A4A" w:rsidR="00D24E3A" w:rsidRDefault="00966762">
      <w:pPr>
        <w:spacing w:after="160"/>
        <w:rPr>
          <w:rFonts w:asciiTheme="majorHAnsi" w:hAnsiTheme="majorHAnsi" w:cstheme="majorHAnsi"/>
        </w:rPr>
      </w:pPr>
      <w:r>
        <w:rPr>
          <w:rFonts w:asciiTheme="majorHAnsi" w:hAnsiTheme="majorHAnsi" w:cstheme="majorHAnsi"/>
        </w:rPr>
        <w:t xml:space="preserve">In recognition of the significant challenges facing the sector, </w:t>
      </w:r>
      <w:r w:rsidR="00544A6E">
        <w:rPr>
          <w:rFonts w:asciiTheme="majorHAnsi" w:hAnsiTheme="majorHAnsi" w:cstheme="majorHAnsi"/>
        </w:rPr>
        <w:t xml:space="preserve">Australian </w:t>
      </w:r>
      <w:r w:rsidR="00171C6A">
        <w:rPr>
          <w:rFonts w:asciiTheme="majorHAnsi" w:hAnsiTheme="majorHAnsi" w:cstheme="majorHAnsi"/>
        </w:rPr>
        <w:t>g</w:t>
      </w:r>
      <w:r w:rsidR="00544A6E">
        <w:rPr>
          <w:rFonts w:asciiTheme="majorHAnsi" w:hAnsiTheme="majorHAnsi" w:cstheme="majorHAnsi"/>
        </w:rPr>
        <w:t>overnments and sector stakeholders</w:t>
      </w:r>
      <w:r>
        <w:rPr>
          <w:rFonts w:asciiTheme="majorHAnsi" w:hAnsiTheme="majorHAnsi" w:cstheme="majorHAnsi"/>
        </w:rPr>
        <w:t xml:space="preserve"> have collaborated to</w:t>
      </w:r>
      <w:r w:rsidR="00061D4F">
        <w:rPr>
          <w:rFonts w:asciiTheme="majorHAnsi" w:hAnsiTheme="majorHAnsi" w:cstheme="majorHAnsi"/>
        </w:rPr>
        <w:t xml:space="preserve"> develop the National Children’s Education and Care Workforce Strategy (2022-2031)</w:t>
      </w:r>
      <w:r w:rsidR="00F36FD6">
        <w:rPr>
          <w:rFonts w:asciiTheme="majorHAnsi" w:hAnsiTheme="majorHAnsi" w:cstheme="majorHAnsi"/>
        </w:rPr>
        <w:t xml:space="preserve">, known as ‘Shaping </w:t>
      </w:r>
      <w:r w:rsidR="00BE23DB">
        <w:rPr>
          <w:rFonts w:asciiTheme="majorHAnsi" w:hAnsiTheme="majorHAnsi" w:cstheme="majorHAnsi"/>
        </w:rPr>
        <w:t>O</w:t>
      </w:r>
      <w:r w:rsidR="00F36FD6">
        <w:rPr>
          <w:rFonts w:asciiTheme="majorHAnsi" w:hAnsiTheme="majorHAnsi" w:cstheme="majorHAnsi"/>
        </w:rPr>
        <w:t>ur Future’,</w:t>
      </w:r>
      <w:r w:rsidR="00ED25D1">
        <w:rPr>
          <w:rFonts w:asciiTheme="majorHAnsi" w:hAnsiTheme="majorHAnsi" w:cstheme="majorHAnsi"/>
        </w:rPr>
        <w:t xml:space="preserve"> to support the recruitment, retention, sustainability, and quality of the sector workforce.</w:t>
      </w:r>
      <w:r w:rsidR="00347CE0">
        <w:rPr>
          <w:rFonts w:asciiTheme="majorHAnsi" w:hAnsiTheme="majorHAnsi" w:cstheme="majorHAnsi"/>
        </w:rPr>
        <w:t xml:space="preserve"> The strategy </w:t>
      </w:r>
      <w:r w:rsidR="00272690">
        <w:rPr>
          <w:rFonts w:asciiTheme="majorHAnsi" w:hAnsiTheme="majorHAnsi" w:cstheme="majorHAnsi"/>
        </w:rPr>
        <w:t>is structured around six interrelated focus areas</w:t>
      </w:r>
      <w:r w:rsidR="0045426C">
        <w:rPr>
          <w:rFonts w:asciiTheme="majorHAnsi" w:hAnsiTheme="majorHAnsi" w:cstheme="majorHAnsi"/>
        </w:rPr>
        <w:t xml:space="preserve"> with</w:t>
      </w:r>
      <w:r w:rsidR="0044063B">
        <w:rPr>
          <w:rFonts w:asciiTheme="majorHAnsi" w:hAnsiTheme="majorHAnsi" w:cstheme="majorHAnsi"/>
        </w:rPr>
        <w:t xml:space="preserve"> ‘Professional recognition’ </w:t>
      </w:r>
      <w:r w:rsidR="002A5225">
        <w:rPr>
          <w:rFonts w:asciiTheme="majorHAnsi" w:hAnsiTheme="majorHAnsi" w:cstheme="majorHAnsi"/>
        </w:rPr>
        <w:t>concentrating initiatives on workforce professional standing, including pay and conditions.</w:t>
      </w:r>
    </w:p>
    <w:p w14:paraId="1C6F3584" w14:textId="64ABBD2F" w:rsidR="00C0328E" w:rsidRDefault="65E8140D" w:rsidP="39540368">
      <w:pPr>
        <w:spacing w:after="160"/>
        <w:rPr>
          <w:rFonts w:asciiTheme="majorHAnsi" w:hAnsiTheme="majorHAnsi" w:cstheme="majorBidi"/>
        </w:rPr>
      </w:pPr>
      <w:r w:rsidRPr="39540368">
        <w:rPr>
          <w:rFonts w:asciiTheme="majorHAnsi" w:hAnsiTheme="majorHAnsi" w:cstheme="majorBidi"/>
        </w:rPr>
        <w:t xml:space="preserve">In accordance with the actions outlined under the </w:t>
      </w:r>
      <w:r w:rsidR="7BE05BD2" w:rsidRPr="39540368">
        <w:rPr>
          <w:rFonts w:asciiTheme="majorHAnsi" w:hAnsiTheme="majorHAnsi" w:cstheme="majorBidi"/>
        </w:rPr>
        <w:t>strategy, Macquarie University was commissioned to undertake research</w:t>
      </w:r>
      <w:r w:rsidR="070C1624" w:rsidRPr="39540368">
        <w:rPr>
          <w:rFonts w:asciiTheme="majorHAnsi" w:hAnsiTheme="majorHAnsi" w:cstheme="majorBidi"/>
        </w:rPr>
        <w:t xml:space="preserve"> to explore and identify the structural barriers to, and strategies for, improving pay and conditions in the sector. </w:t>
      </w:r>
      <w:r w:rsidR="6D369C24" w:rsidRPr="39540368">
        <w:rPr>
          <w:rFonts w:asciiTheme="majorHAnsi" w:hAnsiTheme="majorHAnsi" w:cstheme="majorBidi"/>
        </w:rPr>
        <w:t xml:space="preserve"> </w:t>
      </w:r>
    </w:p>
    <w:p w14:paraId="60CEC5FC" w14:textId="34CDA936" w:rsidR="00C0328E" w:rsidRPr="00E10B98" w:rsidRDefault="00C0328E" w:rsidP="00E10B98">
      <w:pPr>
        <w:pStyle w:val="Heading4"/>
      </w:pPr>
      <w:bookmarkStart w:id="8" w:name="_Toc160571967"/>
      <w:bookmarkStart w:id="9" w:name="_Toc160572087"/>
      <w:bookmarkStart w:id="10" w:name="_Toc160805593"/>
      <w:bookmarkStart w:id="11" w:name="_Toc162963640"/>
      <w:bookmarkStart w:id="12" w:name="_Toc219193859"/>
      <w:r w:rsidRPr="00E10B98">
        <w:rPr>
          <w:rStyle w:val="normaltextrun"/>
        </w:rPr>
        <w:t xml:space="preserve">Objective: </w:t>
      </w:r>
      <w:r w:rsidR="003B6168" w:rsidRPr="00E10B98">
        <w:rPr>
          <w:rStyle w:val="normaltextrun"/>
        </w:rPr>
        <w:t>I</w:t>
      </w:r>
      <w:r w:rsidRPr="00E10B98">
        <w:rPr>
          <w:rStyle w:val="normaltextrun"/>
        </w:rPr>
        <w:t>mprove workforce attraction and retention</w:t>
      </w:r>
      <w:bookmarkEnd w:id="8"/>
      <w:bookmarkEnd w:id="9"/>
      <w:bookmarkEnd w:id="10"/>
      <w:bookmarkEnd w:id="11"/>
      <w:bookmarkEnd w:id="12"/>
      <w:r w:rsidRPr="00E10B98">
        <w:rPr>
          <w:rStyle w:val="normaltextrun"/>
        </w:rPr>
        <w:t> </w:t>
      </w:r>
      <w:r w:rsidRPr="00E10B98">
        <w:rPr>
          <w:rStyle w:val="eop"/>
        </w:rPr>
        <w:t> </w:t>
      </w:r>
    </w:p>
    <w:p w14:paraId="1D530F2D" w14:textId="745EC153" w:rsidR="00F66B9E" w:rsidRPr="00F66B9E" w:rsidRDefault="00D447B9" w:rsidP="00F66B9E">
      <w:pPr>
        <w:rPr>
          <w:rStyle w:val="normaltextrun"/>
          <w:rFonts w:asciiTheme="majorHAnsi" w:hAnsiTheme="majorHAnsi" w:cstheme="majorBidi"/>
        </w:rPr>
      </w:pPr>
      <w:r>
        <w:rPr>
          <w:rStyle w:val="normaltextrun"/>
          <w:rFonts w:asciiTheme="majorHAnsi" w:hAnsiTheme="majorHAnsi" w:cstheme="majorBidi"/>
        </w:rPr>
        <w:t xml:space="preserve">The </w:t>
      </w:r>
      <w:r w:rsidR="003B7514">
        <w:rPr>
          <w:rStyle w:val="normaltextrun"/>
          <w:rFonts w:asciiTheme="majorHAnsi" w:hAnsiTheme="majorHAnsi" w:cstheme="majorBidi"/>
        </w:rPr>
        <w:t>Australian Government</w:t>
      </w:r>
      <w:r w:rsidR="00EA7014">
        <w:rPr>
          <w:rStyle w:val="normaltextrun"/>
          <w:rFonts w:asciiTheme="majorHAnsi" w:hAnsiTheme="majorHAnsi" w:cstheme="majorBidi"/>
        </w:rPr>
        <w:t>’s White Paper on Jobs and Opportunities</w:t>
      </w:r>
      <w:r w:rsidR="006450F2">
        <w:rPr>
          <w:rStyle w:val="normaltextrun"/>
          <w:rFonts w:asciiTheme="majorHAnsi" w:hAnsiTheme="majorHAnsi" w:cstheme="majorBidi"/>
        </w:rPr>
        <w:t xml:space="preserve"> (September 2023)</w:t>
      </w:r>
      <w:r w:rsidR="00EA7014">
        <w:rPr>
          <w:rStyle w:val="normaltextrun"/>
          <w:rFonts w:asciiTheme="majorHAnsi" w:hAnsiTheme="majorHAnsi" w:cstheme="majorBidi"/>
        </w:rPr>
        <w:t xml:space="preserve"> recognises that a</w:t>
      </w:r>
      <w:r w:rsidR="00F66B9E" w:rsidRPr="00F66B9E">
        <w:rPr>
          <w:rStyle w:val="normaltextrun"/>
          <w:rFonts w:asciiTheme="majorHAnsi" w:hAnsiTheme="majorHAnsi" w:cstheme="majorBidi"/>
        </w:rPr>
        <w:t>n accessible</w:t>
      </w:r>
      <w:r w:rsidR="00D92A02">
        <w:rPr>
          <w:rStyle w:val="normaltextrun"/>
          <w:rFonts w:asciiTheme="majorHAnsi" w:hAnsiTheme="majorHAnsi" w:cstheme="majorBidi"/>
        </w:rPr>
        <w:t xml:space="preserve"> and </w:t>
      </w:r>
      <w:r w:rsidR="00F66B9E" w:rsidRPr="00F66B9E">
        <w:rPr>
          <w:rStyle w:val="normaltextrun"/>
          <w:rFonts w:asciiTheme="majorHAnsi" w:hAnsiTheme="majorHAnsi" w:cstheme="majorBidi"/>
        </w:rPr>
        <w:t>affordable ECEC system is a key enabler of workforce participation, especially for women</w:t>
      </w:r>
      <w:r w:rsidR="00F122B2">
        <w:rPr>
          <w:rStyle w:val="normaltextrun"/>
          <w:rFonts w:asciiTheme="majorHAnsi" w:hAnsiTheme="majorHAnsi" w:cstheme="majorBidi"/>
        </w:rPr>
        <w:t xml:space="preserve"> who experience more pronounced barriers to workforce participation and </w:t>
      </w:r>
      <w:r w:rsidR="00F66B9E" w:rsidRPr="00F66B9E">
        <w:rPr>
          <w:rStyle w:val="normaltextrun"/>
          <w:rFonts w:asciiTheme="majorHAnsi" w:hAnsiTheme="majorHAnsi" w:cstheme="majorBidi"/>
        </w:rPr>
        <w:t>are</w:t>
      </w:r>
      <w:r w:rsidR="00F66B9E">
        <w:rPr>
          <w:rStyle w:val="normaltextrun"/>
          <w:rFonts w:asciiTheme="majorHAnsi" w:hAnsiTheme="majorHAnsi" w:cstheme="majorBidi"/>
        </w:rPr>
        <w:t xml:space="preserve"> </w:t>
      </w:r>
      <w:r w:rsidR="00F66B9E" w:rsidRPr="00F66B9E">
        <w:rPr>
          <w:rStyle w:val="normaltextrun"/>
          <w:rFonts w:asciiTheme="majorHAnsi" w:hAnsiTheme="majorHAnsi" w:cstheme="majorBidi"/>
        </w:rPr>
        <w:t>overrepresented in part-time and casual employment</w:t>
      </w:r>
      <w:r w:rsidR="0089287B">
        <w:rPr>
          <w:rStyle w:val="normaltextrun"/>
          <w:rFonts w:asciiTheme="majorHAnsi" w:hAnsiTheme="majorHAnsi" w:cstheme="majorBidi"/>
        </w:rPr>
        <w:t xml:space="preserve">. </w:t>
      </w:r>
      <w:r w:rsidR="00A63CD2">
        <w:rPr>
          <w:rStyle w:val="normaltextrun"/>
          <w:rFonts w:asciiTheme="majorHAnsi" w:hAnsiTheme="majorHAnsi" w:cstheme="majorBidi"/>
        </w:rPr>
        <w:t>Compared to men</w:t>
      </w:r>
      <w:r w:rsidR="006A4397">
        <w:rPr>
          <w:rStyle w:val="normaltextrun"/>
          <w:rFonts w:asciiTheme="majorHAnsi" w:hAnsiTheme="majorHAnsi" w:cstheme="majorBidi"/>
        </w:rPr>
        <w:t xml:space="preserve"> in the workforce, w</w:t>
      </w:r>
      <w:r w:rsidR="0089287B">
        <w:rPr>
          <w:rStyle w:val="normaltextrun"/>
          <w:rFonts w:asciiTheme="majorHAnsi" w:hAnsiTheme="majorHAnsi" w:cstheme="majorBidi"/>
        </w:rPr>
        <w:t xml:space="preserve">omen are </w:t>
      </w:r>
      <w:r w:rsidR="00F66B9E" w:rsidRPr="00F66B9E">
        <w:rPr>
          <w:rStyle w:val="normaltextrun"/>
          <w:rFonts w:asciiTheme="majorHAnsi" w:hAnsiTheme="majorHAnsi" w:cstheme="majorBidi"/>
        </w:rPr>
        <w:t>twice as likely to be working part-time or casually from age 35. Supporting families to access ECEC is integral to Australia’s economic prosperity as a powerful lever for increasing workforce participation.</w:t>
      </w:r>
      <w:r w:rsidR="006450F2">
        <w:rPr>
          <w:rStyle w:val="FootnoteReference"/>
          <w:rFonts w:asciiTheme="majorHAnsi" w:hAnsiTheme="majorHAnsi" w:cstheme="majorBidi"/>
        </w:rPr>
        <w:footnoteReference w:id="63"/>
      </w:r>
    </w:p>
    <w:p w14:paraId="61BF5235" w14:textId="7EFAA445" w:rsidR="00E00F28" w:rsidRDefault="5B3181C6" w:rsidP="39540368">
      <w:pPr>
        <w:rPr>
          <w:rStyle w:val="normaltextrun"/>
          <w:rFonts w:asciiTheme="majorHAnsi" w:hAnsiTheme="majorHAnsi" w:cstheme="majorBidi"/>
        </w:rPr>
      </w:pPr>
      <w:r w:rsidRPr="39540368">
        <w:rPr>
          <w:rStyle w:val="normaltextrun"/>
          <w:rFonts w:asciiTheme="majorHAnsi" w:hAnsiTheme="majorHAnsi" w:cstheme="majorBidi"/>
        </w:rPr>
        <w:t>High-quality ECEC requires that services are delivered by a qualified workforce, are culturally inclusive and responsive, and meet standards in providing learning and development outcomes for children to ensure that they are engaged as lifelong learners. A sustainable ECEC workforce who are valued and respected will be central to maintaining quality ECEC.</w:t>
      </w:r>
    </w:p>
    <w:p w14:paraId="085139D5" w14:textId="722B8452" w:rsidR="00822345" w:rsidRDefault="31FD03B1" w:rsidP="39540368">
      <w:pPr>
        <w:rPr>
          <w:rStyle w:val="normaltextrun"/>
          <w:rFonts w:asciiTheme="majorHAnsi" w:hAnsiTheme="majorHAnsi" w:cstheme="majorBidi"/>
        </w:rPr>
      </w:pPr>
      <w:r w:rsidRPr="39540368">
        <w:rPr>
          <w:rStyle w:val="normaltextrun"/>
          <w:rFonts w:asciiTheme="majorHAnsi" w:hAnsiTheme="majorHAnsi" w:cstheme="majorBidi"/>
        </w:rPr>
        <w:t xml:space="preserve">Addressing workforce shortages through improved pay and conditions is the first step in delivering a broad ECEC reform agenda, including universal access to quality ECEC. </w:t>
      </w:r>
      <w:r w:rsidR="3A0BD8A9" w:rsidRPr="39540368">
        <w:rPr>
          <w:rStyle w:val="normaltextrun"/>
          <w:rFonts w:asciiTheme="majorHAnsi" w:hAnsiTheme="majorHAnsi" w:cstheme="majorBidi"/>
        </w:rPr>
        <w:t xml:space="preserve">The </w:t>
      </w:r>
      <w:r w:rsidR="00A40FA1">
        <w:rPr>
          <w:rStyle w:val="normaltextrun"/>
          <w:rFonts w:asciiTheme="majorHAnsi" w:hAnsiTheme="majorHAnsi" w:cstheme="majorBidi"/>
        </w:rPr>
        <w:t>PC</w:t>
      </w:r>
      <w:r w:rsidR="3A0BD8A9" w:rsidRPr="39540368">
        <w:rPr>
          <w:rStyle w:val="normaltextrun"/>
          <w:rFonts w:asciiTheme="majorHAnsi" w:hAnsiTheme="majorHAnsi" w:cstheme="majorBidi"/>
        </w:rPr>
        <w:t xml:space="preserve"> </w:t>
      </w:r>
      <w:r w:rsidR="6237C16C" w:rsidRPr="39540368">
        <w:rPr>
          <w:rStyle w:val="normaltextrun"/>
          <w:rFonts w:asciiTheme="majorHAnsi" w:hAnsiTheme="majorHAnsi" w:cstheme="majorBidi"/>
        </w:rPr>
        <w:t xml:space="preserve">ECEC Inquiry </w:t>
      </w:r>
      <w:r w:rsidR="300BC376" w:rsidRPr="39540368">
        <w:rPr>
          <w:rStyle w:val="normaltextrun"/>
          <w:rFonts w:asciiTheme="majorHAnsi" w:hAnsiTheme="majorHAnsi" w:cstheme="majorBidi"/>
        </w:rPr>
        <w:t>D</w:t>
      </w:r>
      <w:r w:rsidR="6237C16C" w:rsidRPr="39540368">
        <w:rPr>
          <w:rStyle w:val="normaltextrun"/>
          <w:rFonts w:asciiTheme="majorHAnsi" w:hAnsiTheme="majorHAnsi" w:cstheme="majorBidi"/>
        </w:rPr>
        <w:t xml:space="preserve">raft </w:t>
      </w:r>
      <w:r w:rsidR="70F6DE9B" w:rsidRPr="39540368">
        <w:rPr>
          <w:rStyle w:val="normaltextrun"/>
          <w:rFonts w:asciiTheme="majorHAnsi" w:hAnsiTheme="majorHAnsi" w:cstheme="majorBidi"/>
        </w:rPr>
        <w:t>R</w:t>
      </w:r>
      <w:r w:rsidR="6237C16C" w:rsidRPr="39540368">
        <w:rPr>
          <w:rStyle w:val="normaltextrun"/>
          <w:rFonts w:asciiTheme="majorHAnsi" w:hAnsiTheme="majorHAnsi" w:cstheme="majorBidi"/>
        </w:rPr>
        <w:t>eport</w:t>
      </w:r>
      <w:r w:rsidR="33266080" w:rsidRPr="39540368">
        <w:rPr>
          <w:rStyle w:val="normaltextrun"/>
          <w:rFonts w:asciiTheme="majorHAnsi" w:hAnsiTheme="majorHAnsi" w:cstheme="majorBidi"/>
        </w:rPr>
        <w:t xml:space="preserve"> acknowledges th</w:t>
      </w:r>
      <w:r w:rsidR="5326738D" w:rsidRPr="39540368">
        <w:rPr>
          <w:rStyle w:val="normaltextrun"/>
          <w:rFonts w:asciiTheme="majorHAnsi" w:hAnsiTheme="majorHAnsi" w:cstheme="majorBidi"/>
        </w:rPr>
        <w:t xml:space="preserve">at the ECEC workforce is fundamental to any changes in availability of </w:t>
      </w:r>
      <w:r w:rsidR="5D4E6A21" w:rsidRPr="39540368">
        <w:rPr>
          <w:rStyle w:val="normaltextrun"/>
          <w:rFonts w:asciiTheme="majorHAnsi" w:hAnsiTheme="majorHAnsi" w:cstheme="majorBidi"/>
        </w:rPr>
        <w:t>services and</w:t>
      </w:r>
      <w:r w:rsidR="302EAC7F" w:rsidRPr="39540368">
        <w:rPr>
          <w:rStyle w:val="normaltextrun"/>
          <w:rFonts w:asciiTheme="majorHAnsi" w:hAnsiTheme="majorHAnsi" w:cstheme="majorBidi"/>
        </w:rPr>
        <w:t xml:space="preserve"> reaffirms that the sector is facing s</w:t>
      </w:r>
      <w:r w:rsidR="7E34F782" w:rsidRPr="39540368">
        <w:rPr>
          <w:rStyle w:val="normaltextrun"/>
          <w:rFonts w:asciiTheme="majorHAnsi" w:hAnsiTheme="majorHAnsi" w:cstheme="majorBidi"/>
        </w:rPr>
        <w:t>ubstantial challenges in recruiting and retaining staff</w:t>
      </w:r>
      <w:r w:rsidR="02B3F594" w:rsidRPr="39540368">
        <w:rPr>
          <w:rStyle w:val="normaltextrun"/>
          <w:rFonts w:asciiTheme="majorHAnsi" w:hAnsiTheme="majorHAnsi" w:cstheme="majorBidi"/>
        </w:rPr>
        <w:t xml:space="preserve"> to respond to current demand</w:t>
      </w:r>
      <w:r w:rsidR="1E636EB9" w:rsidRPr="39540368">
        <w:rPr>
          <w:rStyle w:val="normaltextrun"/>
          <w:rFonts w:asciiTheme="majorHAnsi" w:hAnsiTheme="majorHAnsi" w:cstheme="majorBidi"/>
        </w:rPr>
        <w:t xml:space="preserve">. </w:t>
      </w:r>
      <w:r w:rsidR="103B15D2" w:rsidRPr="39540368">
        <w:rPr>
          <w:rStyle w:val="normaltextrun"/>
          <w:rFonts w:asciiTheme="majorHAnsi" w:hAnsiTheme="majorHAnsi" w:cstheme="majorBidi"/>
        </w:rPr>
        <w:t xml:space="preserve">The report references the </w:t>
      </w:r>
      <w:r w:rsidR="43F7CCA4" w:rsidRPr="39540368">
        <w:rPr>
          <w:rStyle w:val="normaltextrun"/>
          <w:rFonts w:asciiTheme="majorHAnsi" w:hAnsiTheme="majorHAnsi" w:cstheme="majorBidi"/>
        </w:rPr>
        <w:t xml:space="preserve">expected </w:t>
      </w:r>
      <w:r w:rsidR="161D9A5D" w:rsidRPr="39540368">
        <w:rPr>
          <w:rStyle w:val="normaltextrun"/>
          <w:rFonts w:asciiTheme="majorHAnsi" w:hAnsiTheme="majorHAnsi" w:cstheme="majorBidi"/>
        </w:rPr>
        <w:t>pressures to the workforce that will be added</w:t>
      </w:r>
      <w:r w:rsidR="554F0407" w:rsidRPr="39540368">
        <w:rPr>
          <w:rStyle w:val="normaltextrun"/>
          <w:rFonts w:asciiTheme="majorHAnsi" w:hAnsiTheme="majorHAnsi" w:cstheme="majorBidi"/>
        </w:rPr>
        <w:t xml:space="preserve"> following the expected </w:t>
      </w:r>
      <w:r w:rsidR="7A066D9E" w:rsidRPr="39540368">
        <w:rPr>
          <w:rStyle w:val="normaltextrun"/>
          <w:rFonts w:asciiTheme="majorHAnsi" w:hAnsiTheme="majorHAnsi" w:cstheme="majorBidi"/>
        </w:rPr>
        <w:t xml:space="preserve">expansion of preschool, as well as </w:t>
      </w:r>
      <w:r w:rsidR="5D4E6A21" w:rsidRPr="39540368">
        <w:rPr>
          <w:rStyle w:val="normaltextrun"/>
          <w:rFonts w:asciiTheme="majorHAnsi" w:hAnsiTheme="majorHAnsi" w:cstheme="majorBidi"/>
        </w:rPr>
        <w:t>further</w:t>
      </w:r>
      <w:r w:rsidR="7A066D9E" w:rsidRPr="39540368">
        <w:rPr>
          <w:rStyle w:val="normaltextrun"/>
          <w:rFonts w:asciiTheme="majorHAnsi" w:hAnsiTheme="majorHAnsi" w:cstheme="majorBidi"/>
        </w:rPr>
        <w:t xml:space="preserve"> increases in availability to enable universal access</w:t>
      </w:r>
      <w:r w:rsidR="5D4E6A21" w:rsidRPr="39540368">
        <w:rPr>
          <w:rStyle w:val="normaltextrun"/>
          <w:rFonts w:asciiTheme="majorHAnsi" w:hAnsiTheme="majorHAnsi" w:cstheme="majorBidi"/>
        </w:rPr>
        <w:t>.</w:t>
      </w:r>
      <w:r w:rsidR="006431AF" w:rsidRPr="39540368">
        <w:rPr>
          <w:rStyle w:val="FootnoteReference"/>
          <w:rFonts w:asciiTheme="majorHAnsi" w:hAnsiTheme="majorHAnsi" w:cstheme="majorBidi"/>
        </w:rPr>
        <w:footnoteReference w:id="64"/>
      </w:r>
      <w:r w:rsidR="0C4FE7A4" w:rsidRPr="39540368">
        <w:rPr>
          <w:rStyle w:val="normaltextrun"/>
          <w:rFonts w:asciiTheme="majorHAnsi" w:hAnsiTheme="majorHAnsi" w:cstheme="majorBidi"/>
        </w:rPr>
        <w:t xml:space="preserve"> </w:t>
      </w:r>
      <w:r w:rsidR="4F5932BB" w:rsidRPr="39540368">
        <w:rPr>
          <w:rStyle w:val="normaltextrun"/>
          <w:rFonts w:asciiTheme="majorHAnsi" w:hAnsiTheme="majorHAnsi" w:cstheme="majorBidi"/>
        </w:rPr>
        <w:t>T</w:t>
      </w:r>
      <w:r w:rsidR="24F1B265" w:rsidRPr="39540368">
        <w:rPr>
          <w:rStyle w:val="normaltextrun"/>
          <w:rFonts w:asciiTheme="majorHAnsi" w:hAnsiTheme="majorHAnsi" w:cstheme="majorBidi"/>
        </w:rPr>
        <w:t xml:space="preserve">he </w:t>
      </w:r>
      <w:r w:rsidR="00A40FA1">
        <w:rPr>
          <w:rStyle w:val="normaltextrun"/>
          <w:rFonts w:asciiTheme="majorHAnsi" w:hAnsiTheme="majorHAnsi" w:cstheme="majorBidi"/>
        </w:rPr>
        <w:t>PC</w:t>
      </w:r>
      <w:r w:rsidR="24F1B265" w:rsidRPr="39540368">
        <w:rPr>
          <w:rStyle w:val="normaltextrun"/>
          <w:rFonts w:asciiTheme="majorHAnsi" w:hAnsiTheme="majorHAnsi" w:cstheme="majorBidi"/>
        </w:rPr>
        <w:t xml:space="preserve"> also notes that without additional Government subsidy</w:t>
      </w:r>
      <w:r w:rsidR="141EEB99" w:rsidRPr="39540368">
        <w:rPr>
          <w:rStyle w:val="normaltextrun"/>
          <w:rFonts w:asciiTheme="majorHAnsi" w:hAnsiTheme="majorHAnsi" w:cstheme="majorBidi"/>
        </w:rPr>
        <w:t>, higher wages would increase costs for providers and families</w:t>
      </w:r>
      <w:r w:rsidR="4B05DBD5" w:rsidRPr="39540368">
        <w:rPr>
          <w:rStyle w:val="normaltextrun"/>
          <w:rFonts w:asciiTheme="majorHAnsi" w:hAnsiTheme="majorHAnsi" w:cstheme="majorBidi"/>
        </w:rPr>
        <w:t>,</w:t>
      </w:r>
      <w:r w:rsidR="464446C1" w:rsidRPr="39540368">
        <w:rPr>
          <w:rStyle w:val="normaltextrun"/>
          <w:rFonts w:asciiTheme="majorHAnsi" w:hAnsiTheme="majorHAnsi" w:cstheme="majorBidi"/>
        </w:rPr>
        <w:t xml:space="preserve"> creating considerable pressure on Government to fund any increase to limit the impact on fees and out-of-pocket expenses.</w:t>
      </w:r>
      <w:r w:rsidR="00FC6DA7" w:rsidRPr="39540368">
        <w:rPr>
          <w:rStyle w:val="FootnoteReference"/>
          <w:rFonts w:asciiTheme="majorHAnsi" w:hAnsiTheme="majorHAnsi" w:cstheme="majorBidi"/>
        </w:rPr>
        <w:footnoteReference w:id="65"/>
      </w:r>
    </w:p>
    <w:p w14:paraId="6BA5452D" w14:textId="2DE8FAEF" w:rsidR="00B53E08" w:rsidRPr="00F73688" w:rsidRDefault="00B53E08" w:rsidP="00E10B98">
      <w:pPr>
        <w:pStyle w:val="Heading3"/>
        <w:rPr>
          <w:sz w:val="18"/>
          <w:szCs w:val="18"/>
        </w:rPr>
      </w:pPr>
      <w:bookmarkStart w:id="13" w:name="_Toc219193860"/>
      <w:r w:rsidRPr="00F73688">
        <w:rPr>
          <w:rStyle w:val="normaltextrun"/>
        </w:rPr>
        <w:lastRenderedPageBreak/>
        <w:t>Affordability</w:t>
      </w:r>
      <w:bookmarkEnd w:id="13"/>
    </w:p>
    <w:p w14:paraId="793FB550" w14:textId="53B0A716" w:rsidR="00865AA6" w:rsidRPr="00241EAD" w:rsidRDefault="00865AA6" w:rsidP="00241EAD">
      <w:pPr>
        <w:rPr>
          <w:rFonts w:asciiTheme="majorHAnsi" w:hAnsiTheme="majorHAnsi" w:cstheme="majorHAnsi"/>
        </w:rPr>
      </w:pPr>
      <w:r w:rsidRPr="00241EAD">
        <w:rPr>
          <w:rFonts w:asciiTheme="majorHAnsi" w:hAnsiTheme="majorHAnsi" w:cstheme="majorHAnsi"/>
        </w:rPr>
        <w:t>Barring Government intervention, wage increases for the ECEC workforce may be passed on to families via higher fees once the supported bargaining process is finalised. Link</w:t>
      </w:r>
      <w:r w:rsidR="00C26150">
        <w:rPr>
          <w:rFonts w:asciiTheme="majorHAnsi" w:hAnsiTheme="majorHAnsi" w:cstheme="majorHAnsi"/>
        </w:rPr>
        <w:t>ing</w:t>
      </w:r>
      <w:r w:rsidRPr="00241EAD">
        <w:rPr>
          <w:rFonts w:asciiTheme="majorHAnsi" w:hAnsiTheme="majorHAnsi" w:cstheme="majorHAnsi"/>
        </w:rPr>
        <w:t xml:space="preserve"> funding to supported bargaining provides the Commonwealth with an opportunity to negotiate conditions, including constraints on fee </w:t>
      </w:r>
      <w:r w:rsidR="00981C76">
        <w:rPr>
          <w:rFonts w:asciiTheme="majorHAnsi" w:hAnsiTheme="majorHAnsi" w:cstheme="majorHAnsi"/>
        </w:rPr>
        <w:t>growth</w:t>
      </w:r>
      <w:r w:rsidRPr="00241EAD">
        <w:rPr>
          <w:rFonts w:asciiTheme="majorHAnsi" w:hAnsiTheme="majorHAnsi" w:cstheme="majorHAnsi"/>
        </w:rPr>
        <w:t xml:space="preserve"> to support affordability for families. </w:t>
      </w:r>
    </w:p>
    <w:p w14:paraId="3DD7A125" w14:textId="0607C895" w:rsidR="00D82534" w:rsidRDefault="00D82534" w:rsidP="00D82534">
      <w:pPr>
        <w:rPr>
          <w:rFonts w:asciiTheme="majorHAnsi" w:hAnsiTheme="majorHAnsi" w:cstheme="majorHAnsi"/>
        </w:rPr>
      </w:pPr>
      <w:r w:rsidRPr="0F5AF2C9">
        <w:rPr>
          <w:rFonts w:asciiTheme="majorHAnsi" w:hAnsiTheme="majorHAnsi" w:cstheme="majorBidi"/>
        </w:rPr>
        <w:t>The</w:t>
      </w:r>
      <w:r w:rsidR="00A40FA1" w:rsidRPr="0F5AF2C9">
        <w:rPr>
          <w:rFonts w:asciiTheme="majorHAnsi" w:hAnsiTheme="majorHAnsi" w:cstheme="majorBidi"/>
        </w:rPr>
        <w:t xml:space="preserve"> ACCC</w:t>
      </w:r>
      <w:r w:rsidR="00274B3E" w:rsidRPr="0F5AF2C9">
        <w:rPr>
          <w:rFonts w:asciiTheme="majorHAnsi" w:hAnsiTheme="majorHAnsi" w:cstheme="majorBidi"/>
        </w:rPr>
        <w:t xml:space="preserve"> found affordability </w:t>
      </w:r>
      <w:r w:rsidR="00F366F6" w:rsidRPr="0F5AF2C9">
        <w:rPr>
          <w:rFonts w:asciiTheme="majorHAnsi" w:hAnsiTheme="majorHAnsi" w:cstheme="majorBidi"/>
        </w:rPr>
        <w:t xml:space="preserve">is </w:t>
      </w:r>
      <w:r w:rsidR="005A273F" w:rsidRPr="0F5AF2C9">
        <w:rPr>
          <w:rFonts w:asciiTheme="majorHAnsi" w:hAnsiTheme="majorHAnsi" w:cstheme="majorBidi"/>
        </w:rPr>
        <w:t>driving parents and guardians’ decisions around</w:t>
      </w:r>
      <w:r w:rsidR="00D14EC8" w:rsidRPr="0F5AF2C9">
        <w:rPr>
          <w:rFonts w:asciiTheme="majorHAnsi" w:hAnsiTheme="majorHAnsi" w:cstheme="majorBidi"/>
        </w:rPr>
        <w:t xml:space="preserve"> how much ECEC to use.</w:t>
      </w:r>
      <w:r w:rsidR="008C1B1C" w:rsidRPr="0F5AF2C9">
        <w:rPr>
          <w:rStyle w:val="FootnoteReference"/>
          <w:rFonts w:asciiTheme="majorHAnsi" w:hAnsiTheme="majorHAnsi" w:cstheme="majorBidi"/>
        </w:rPr>
        <w:footnoteReference w:id="66"/>
      </w:r>
      <w:r w:rsidR="00D14EC8" w:rsidRPr="0F5AF2C9">
        <w:rPr>
          <w:rFonts w:asciiTheme="majorHAnsi" w:hAnsiTheme="majorHAnsi" w:cstheme="majorBidi"/>
        </w:rPr>
        <w:t xml:space="preserve"> </w:t>
      </w:r>
      <w:r w:rsidR="00B1724D" w:rsidRPr="0F5AF2C9">
        <w:rPr>
          <w:rFonts w:asciiTheme="majorHAnsi" w:hAnsiTheme="majorHAnsi" w:cstheme="majorBidi"/>
        </w:rPr>
        <w:t>About 60</w:t>
      </w:r>
      <w:r w:rsidR="001F7CDA" w:rsidRPr="0F5AF2C9">
        <w:rPr>
          <w:rFonts w:asciiTheme="majorHAnsi" w:hAnsiTheme="majorHAnsi" w:cstheme="majorBidi"/>
        </w:rPr>
        <w:t xml:space="preserve"> per cent</w:t>
      </w:r>
      <w:r w:rsidR="00B1724D" w:rsidRPr="0F5AF2C9">
        <w:rPr>
          <w:rFonts w:asciiTheme="majorHAnsi" w:hAnsiTheme="majorHAnsi" w:cstheme="majorBidi"/>
        </w:rPr>
        <w:t xml:space="preserve"> of respondents to the ACCC’s parents and guardians survey said fees are somewhat financially burdensome and a further 14</w:t>
      </w:r>
      <w:r w:rsidR="001F7CDA" w:rsidRPr="0F5AF2C9">
        <w:rPr>
          <w:rFonts w:asciiTheme="majorHAnsi" w:hAnsiTheme="majorHAnsi" w:cstheme="majorBidi"/>
        </w:rPr>
        <w:t xml:space="preserve"> per cent</w:t>
      </w:r>
      <w:r w:rsidR="00B1724D" w:rsidRPr="0F5AF2C9">
        <w:rPr>
          <w:rFonts w:asciiTheme="majorHAnsi" w:hAnsiTheme="majorHAnsi" w:cstheme="majorBidi"/>
        </w:rPr>
        <w:t xml:space="preserve"> said they struggle to pay fees</w:t>
      </w:r>
      <w:r w:rsidR="00596D1F" w:rsidRPr="0F5AF2C9">
        <w:rPr>
          <w:rFonts w:asciiTheme="majorHAnsi" w:hAnsiTheme="majorHAnsi" w:cstheme="majorBidi"/>
        </w:rPr>
        <w:t>.</w:t>
      </w:r>
      <w:r w:rsidR="0090151C" w:rsidRPr="0F5AF2C9">
        <w:rPr>
          <w:rStyle w:val="FootnoteReference"/>
          <w:rFonts w:asciiTheme="majorHAnsi" w:hAnsiTheme="majorHAnsi" w:cstheme="majorBidi"/>
        </w:rPr>
        <w:footnoteReference w:id="67"/>
      </w:r>
      <w:r w:rsidR="000078A8" w:rsidRPr="0F5AF2C9">
        <w:rPr>
          <w:rFonts w:asciiTheme="majorHAnsi" w:hAnsiTheme="majorHAnsi" w:cstheme="majorBidi"/>
        </w:rPr>
        <w:t xml:space="preserve"> </w:t>
      </w:r>
      <w:r w:rsidR="009C6653" w:rsidRPr="0F5AF2C9">
        <w:rPr>
          <w:rFonts w:asciiTheme="majorHAnsi" w:hAnsiTheme="majorHAnsi" w:cstheme="majorBidi"/>
        </w:rPr>
        <w:t xml:space="preserve">This has flow-on impacts on parents and guardians’ employment. </w:t>
      </w:r>
      <w:r w:rsidR="00935488" w:rsidRPr="0F5AF2C9">
        <w:rPr>
          <w:rFonts w:asciiTheme="majorHAnsi" w:hAnsiTheme="majorHAnsi" w:cstheme="majorBidi"/>
        </w:rPr>
        <w:t>Based on the Australian Bureau of Statistics</w:t>
      </w:r>
      <w:r w:rsidR="0093599C" w:rsidRPr="0F5AF2C9">
        <w:rPr>
          <w:rFonts w:asciiTheme="majorHAnsi" w:hAnsiTheme="majorHAnsi" w:cstheme="majorBidi"/>
        </w:rPr>
        <w:t xml:space="preserve">’ (ABS) </w:t>
      </w:r>
      <w:r w:rsidR="00D419A4" w:rsidRPr="0F5AF2C9">
        <w:rPr>
          <w:rFonts w:asciiTheme="majorHAnsi" w:hAnsiTheme="majorHAnsi" w:cstheme="majorBidi"/>
        </w:rPr>
        <w:t xml:space="preserve">2023 survey on barriers and incentives to employment, </w:t>
      </w:r>
      <w:r w:rsidR="00F51D22" w:rsidRPr="0F5AF2C9">
        <w:rPr>
          <w:rFonts w:asciiTheme="majorHAnsi" w:hAnsiTheme="majorHAnsi" w:cstheme="majorBidi"/>
        </w:rPr>
        <w:t xml:space="preserve">the </w:t>
      </w:r>
      <w:r w:rsidR="00A40FA1" w:rsidRPr="0F5AF2C9">
        <w:rPr>
          <w:rFonts w:asciiTheme="majorHAnsi" w:hAnsiTheme="majorHAnsi" w:cstheme="majorBidi"/>
        </w:rPr>
        <w:t>PC</w:t>
      </w:r>
      <w:r w:rsidR="00F51D22" w:rsidRPr="0F5AF2C9">
        <w:rPr>
          <w:rFonts w:asciiTheme="majorHAnsi" w:hAnsiTheme="majorHAnsi" w:cstheme="majorBidi"/>
        </w:rPr>
        <w:t xml:space="preserve"> found </w:t>
      </w:r>
      <w:r w:rsidR="00F67489" w:rsidRPr="0F5AF2C9">
        <w:rPr>
          <w:rFonts w:asciiTheme="majorHAnsi" w:hAnsiTheme="majorHAnsi" w:cstheme="majorBidi"/>
        </w:rPr>
        <w:t xml:space="preserve">affordability is </w:t>
      </w:r>
      <w:r w:rsidR="00473E29" w:rsidRPr="0F5AF2C9">
        <w:rPr>
          <w:rFonts w:asciiTheme="majorHAnsi" w:hAnsiTheme="majorHAnsi" w:cstheme="majorBidi"/>
        </w:rPr>
        <w:t xml:space="preserve">the </w:t>
      </w:r>
      <w:r w:rsidR="009C6653" w:rsidRPr="0F5AF2C9">
        <w:rPr>
          <w:rFonts w:asciiTheme="majorHAnsi" w:hAnsiTheme="majorHAnsi" w:cstheme="majorBidi"/>
        </w:rPr>
        <w:t>most reported</w:t>
      </w:r>
      <w:r w:rsidR="00473E29" w:rsidRPr="0F5AF2C9">
        <w:rPr>
          <w:rFonts w:asciiTheme="majorHAnsi" w:hAnsiTheme="majorHAnsi" w:cstheme="majorBidi"/>
        </w:rPr>
        <w:t xml:space="preserve"> </w:t>
      </w:r>
      <w:r w:rsidR="00D34A22" w:rsidRPr="0F5AF2C9">
        <w:rPr>
          <w:rFonts w:asciiTheme="majorHAnsi" w:hAnsiTheme="majorHAnsi" w:cstheme="majorBidi"/>
        </w:rPr>
        <w:t xml:space="preserve">ECEC-related barrier to </w:t>
      </w:r>
      <w:r w:rsidR="00EB1B98" w:rsidRPr="0F5AF2C9">
        <w:rPr>
          <w:rFonts w:asciiTheme="majorHAnsi" w:hAnsiTheme="majorHAnsi" w:cstheme="majorBidi"/>
        </w:rPr>
        <w:t xml:space="preserve">parents </w:t>
      </w:r>
      <w:r w:rsidR="00D34A22" w:rsidRPr="0F5AF2C9">
        <w:rPr>
          <w:rFonts w:asciiTheme="majorHAnsi" w:hAnsiTheme="majorHAnsi" w:cstheme="majorBidi"/>
        </w:rPr>
        <w:t>returning to work.</w:t>
      </w:r>
      <w:r w:rsidR="00063D09" w:rsidRPr="0F5AF2C9">
        <w:rPr>
          <w:rStyle w:val="FootnoteReference"/>
          <w:rFonts w:asciiTheme="majorHAnsi" w:hAnsiTheme="majorHAnsi" w:cstheme="majorBidi"/>
        </w:rPr>
        <w:footnoteReference w:id="68"/>
      </w:r>
      <w:r w:rsidR="00D34A22" w:rsidRPr="0F5AF2C9">
        <w:rPr>
          <w:rFonts w:asciiTheme="majorHAnsi" w:hAnsiTheme="majorHAnsi" w:cstheme="majorBidi"/>
        </w:rPr>
        <w:t xml:space="preserve"> </w:t>
      </w:r>
      <w:r w:rsidR="00760FA3" w:rsidRPr="0F5AF2C9">
        <w:rPr>
          <w:rFonts w:asciiTheme="majorHAnsi" w:hAnsiTheme="majorHAnsi" w:cstheme="majorBidi"/>
        </w:rPr>
        <w:t xml:space="preserve"> </w:t>
      </w:r>
    </w:p>
    <w:p w14:paraId="6CCB0366" w14:textId="75FB0E46" w:rsidR="00E56A8B" w:rsidRDefault="3D84B65E" w:rsidP="39540368">
      <w:pPr>
        <w:rPr>
          <w:rFonts w:asciiTheme="majorHAnsi" w:hAnsiTheme="majorHAnsi" w:cstheme="majorBidi"/>
        </w:rPr>
      </w:pPr>
      <w:r w:rsidRPr="39540368">
        <w:rPr>
          <w:rFonts w:asciiTheme="majorHAnsi" w:hAnsiTheme="majorHAnsi" w:cstheme="majorBidi"/>
        </w:rPr>
        <w:t xml:space="preserve">The ACCC </w:t>
      </w:r>
      <w:r w:rsidR="629217DD" w:rsidRPr="39540368">
        <w:rPr>
          <w:rFonts w:asciiTheme="majorHAnsi" w:hAnsiTheme="majorHAnsi" w:cstheme="majorBidi"/>
        </w:rPr>
        <w:t xml:space="preserve">Childcare Price </w:t>
      </w:r>
      <w:r w:rsidRPr="39540368">
        <w:rPr>
          <w:rFonts w:asciiTheme="majorHAnsi" w:hAnsiTheme="majorHAnsi" w:cstheme="majorBidi"/>
        </w:rPr>
        <w:t xml:space="preserve">Inquiry found ECEC fees </w:t>
      </w:r>
      <w:r w:rsidR="04B1DADA" w:rsidRPr="39540368">
        <w:rPr>
          <w:rFonts w:asciiTheme="majorHAnsi" w:hAnsiTheme="majorHAnsi" w:cstheme="majorBidi"/>
        </w:rPr>
        <w:t>rose</w:t>
      </w:r>
      <w:r w:rsidRPr="39540368">
        <w:rPr>
          <w:rFonts w:asciiTheme="majorHAnsi" w:hAnsiTheme="majorHAnsi" w:cstheme="majorBidi"/>
        </w:rPr>
        <w:t xml:space="preserve"> faster than inflation</w:t>
      </w:r>
      <w:r w:rsidR="04B1DADA" w:rsidRPr="39540368">
        <w:rPr>
          <w:rFonts w:asciiTheme="majorHAnsi" w:hAnsiTheme="majorHAnsi" w:cstheme="majorBidi"/>
        </w:rPr>
        <w:t xml:space="preserve"> between 2018 and 2022</w:t>
      </w:r>
      <w:r w:rsidRPr="39540368">
        <w:rPr>
          <w:rFonts w:asciiTheme="majorHAnsi" w:hAnsiTheme="majorHAnsi" w:cstheme="majorBidi"/>
        </w:rPr>
        <w:t xml:space="preserve">, with </w:t>
      </w:r>
      <w:r w:rsidR="19829C37" w:rsidRPr="39540368">
        <w:rPr>
          <w:rFonts w:asciiTheme="majorHAnsi" w:hAnsiTheme="majorHAnsi" w:cstheme="majorBidi"/>
        </w:rPr>
        <w:t xml:space="preserve">average daily </w:t>
      </w:r>
      <w:r w:rsidRPr="39540368">
        <w:rPr>
          <w:rFonts w:asciiTheme="majorHAnsi" w:hAnsiTheme="majorHAnsi" w:cstheme="majorBidi"/>
        </w:rPr>
        <w:t xml:space="preserve">fees </w:t>
      </w:r>
      <w:r w:rsidR="2F8B5301" w:rsidRPr="39540368">
        <w:rPr>
          <w:rFonts w:asciiTheme="majorHAnsi" w:hAnsiTheme="majorHAnsi" w:cstheme="majorBidi"/>
        </w:rPr>
        <w:t xml:space="preserve">in </w:t>
      </w:r>
      <w:r w:rsidR="04B1DADA" w:rsidRPr="39540368">
        <w:rPr>
          <w:rFonts w:asciiTheme="majorHAnsi" w:hAnsiTheme="majorHAnsi" w:cstheme="majorBidi"/>
        </w:rPr>
        <w:t>LDC</w:t>
      </w:r>
      <w:r w:rsidRPr="39540368">
        <w:rPr>
          <w:rFonts w:asciiTheme="majorHAnsi" w:hAnsiTheme="majorHAnsi" w:cstheme="majorBidi"/>
        </w:rPr>
        <w:t xml:space="preserve"> increasing by 20</w:t>
      </w:r>
      <w:r w:rsidR="04727479" w:rsidRPr="39540368">
        <w:rPr>
          <w:rFonts w:asciiTheme="majorHAnsi" w:hAnsiTheme="majorHAnsi" w:cstheme="majorBidi"/>
        </w:rPr>
        <w:t>.8</w:t>
      </w:r>
      <w:r w:rsidRPr="39540368">
        <w:rPr>
          <w:rFonts w:asciiTheme="majorHAnsi" w:hAnsiTheme="majorHAnsi" w:cstheme="majorBidi"/>
        </w:rPr>
        <w:t xml:space="preserve"> per cent </w:t>
      </w:r>
      <w:r w:rsidR="04B1DADA" w:rsidRPr="39540368">
        <w:rPr>
          <w:rFonts w:asciiTheme="majorHAnsi" w:hAnsiTheme="majorHAnsi" w:cstheme="majorBidi"/>
        </w:rPr>
        <w:t xml:space="preserve">on average </w:t>
      </w:r>
      <w:r w:rsidRPr="39540368">
        <w:rPr>
          <w:rFonts w:asciiTheme="majorHAnsi" w:hAnsiTheme="majorHAnsi" w:cstheme="majorBidi"/>
        </w:rPr>
        <w:t>(nominally).</w:t>
      </w:r>
      <w:r w:rsidR="005B5136" w:rsidRPr="39540368">
        <w:rPr>
          <w:rStyle w:val="FootnoteReference"/>
          <w:rFonts w:asciiTheme="majorHAnsi" w:hAnsiTheme="majorHAnsi" w:cstheme="majorBidi"/>
        </w:rPr>
        <w:footnoteReference w:id="69"/>
      </w:r>
      <w:r w:rsidRPr="39540368">
        <w:rPr>
          <w:rFonts w:asciiTheme="majorHAnsi" w:hAnsiTheme="majorHAnsi" w:cstheme="majorBidi"/>
        </w:rPr>
        <w:t xml:space="preserve"> The ACCC found </w:t>
      </w:r>
      <w:r w:rsidR="09B99E12" w:rsidRPr="39540368">
        <w:rPr>
          <w:rFonts w:asciiTheme="majorHAnsi" w:hAnsiTheme="majorHAnsi" w:cstheme="majorBidi"/>
        </w:rPr>
        <w:t xml:space="preserve">these increases </w:t>
      </w:r>
      <w:r w:rsidR="04131642" w:rsidRPr="39540368">
        <w:rPr>
          <w:rFonts w:asciiTheme="majorHAnsi" w:hAnsiTheme="majorHAnsi" w:cstheme="majorBidi"/>
        </w:rPr>
        <w:t>likely help to maintain consistent margins</w:t>
      </w:r>
      <w:r w:rsidR="00153027" w:rsidRPr="39540368">
        <w:rPr>
          <w:rStyle w:val="FootnoteReference"/>
          <w:rFonts w:asciiTheme="majorHAnsi" w:hAnsiTheme="majorHAnsi" w:cstheme="majorBidi"/>
        </w:rPr>
        <w:footnoteReference w:id="70"/>
      </w:r>
      <w:r w:rsidR="04131642" w:rsidRPr="39540368">
        <w:rPr>
          <w:rFonts w:asciiTheme="majorHAnsi" w:hAnsiTheme="majorHAnsi" w:cstheme="majorBidi"/>
        </w:rPr>
        <w:t>, since</w:t>
      </w:r>
      <w:r w:rsidRPr="39540368">
        <w:rPr>
          <w:rFonts w:asciiTheme="majorHAnsi" w:hAnsiTheme="majorHAnsi" w:cstheme="majorBidi"/>
        </w:rPr>
        <w:t xml:space="preserve"> the costs of providing ECEC have increased by 27 per cent over the same period</w:t>
      </w:r>
      <w:r w:rsidR="04131642" w:rsidRPr="39540368">
        <w:rPr>
          <w:rFonts w:asciiTheme="majorHAnsi" w:hAnsiTheme="majorHAnsi" w:cstheme="majorBidi"/>
        </w:rPr>
        <w:t>.</w:t>
      </w:r>
      <w:r w:rsidR="00A43CF1" w:rsidRPr="39540368">
        <w:rPr>
          <w:rStyle w:val="FootnoteReference"/>
          <w:rFonts w:asciiTheme="majorHAnsi" w:hAnsiTheme="majorHAnsi" w:cstheme="majorBidi"/>
        </w:rPr>
        <w:footnoteReference w:id="71"/>
      </w:r>
      <w:r w:rsidRPr="39540368">
        <w:rPr>
          <w:rFonts w:asciiTheme="majorHAnsi" w:hAnsiTheme="majorHAnsi" w:cstheme="majorBidi"/>
        </w:rPr>
        <w:t xml:space="preserve"> </w:t>
      </w:r>
      <w:r w:rsidR="5EC1CD82" w:rsidRPr="39540368">
        <w:rPr>
          <w:rFonts w:asciiTheme="majorHAnsi" w:hAnsiTheme="majorHAnsi" w:cstheme="majorBidi"/>
        </w:rPr>
        <w:t>L</w:t>
      </w:r>
      <w:r w:rsidRPr="39540368">
        <w:rPr>
          <w:rFonts w:asciiTheme="majorHAnsi" w:hAnsiTheme="majorHAnsi" w:cstheme="majorBidi"/>
        </w:rPr>
        <w:t>abour is the main driver of cost</w:t>
      </w:r>
      <w:r w:rsidR="5EC1CD82" w:rsidRPr="39540368">
        <w:rPr>
          <w:rFonts w:asciiTheme="majorHAnsi" w:hAnsiTheme="majorHAnsi" w:cstheme="majorBidi"/>
        </w:rPr>
        <w:t xml:space="preserve"> for LDC</w:t>
      </w:r>
      <w:r w:rsidRPr="39540368">
        <w:rPr>
          <w:rFonts w:asciiTheme="majorHAnsi" w:hAnsiTheme="majorHAnsi" w:cstheme="majorBidi"/>
        </w:rPr>
        <w:t>, accounting for 69 per cent of total costs</w:t>
      </w:r>
      <w:r w:rsidR="008F76F6">
        <w:rPr>
          <w:rFonts w:asciiTheme="majorHAnsi" w:hAnsiTheme="majorHAnsi" w:cstheme="majorBidi"/>
        </w:rPr>
        <w:t xml:space="preserve"> on average</w:t>
      </w:r>
      <w:r w:rsidR="00BC61D9" w:rsidRPr="39540368">
        <w:rPr>
          <w:rStyle w:val="FootnoteReference"/>
          <w:rFonts w:asciiTheme="majorHAnsi" w:hAnsiTheme="majorHAnsi" w:cstheme="majorBidi"/>
        </w:rPr>
        <w:footnoteReference w:id="72"/>
      </w:r>
      <w:r w:rsidRPr="39540368">
        <w:rPr>
          <w:rFonts w:asciiTheme="majorHAnsi" w:hAnsiTheme="majorHAnsi" w:cstheme="majorBidi"/>
        </w:rPr>
        <w:t xml:space="preserve"> (or $8.03 per hour</w:t>
      </w:r>
      <w:r w:rsidR="004B3A95" w:rsidRPr="39540368">
        <w:rPr>
          <w:rStyle w:val="FootnoteReference"/>
          <w:rFonts w:asciiTheme="majorHAnsi" w:hAnsiTheme="majorHAnsi" w:cstheme="majorBidi"/>
        </w:rPr>
        <w:footnoteReference w:id="73"/>
      </w:r>
      <w:r w:rsidRPr="39540368">
        <w:rPr>
          <w:rFonts w:asciiTheme="majorHAnsi" w:hAnsiTheme="majorHAnsi" w:cstheme="majorBidi"/>
        </w:rPr>
        <w:t>). In the absence of Government funding, it is likely that wage increase</w:t>
      </w:r>
      <w:r w:rsidR="000E3C24">
        <w:rPr>
          <w:rFonts w:asciiTheme="majorHAnsi" w:hAnsiTheme="majorHAnsi" w:cstheme="majorBidi"/>
        </w:rPr>
        <w:t>s</w:t>
      </w:r>
      <w:r w:rsidRPr="39540368">
        <w:rPr>
          <w:rFonts w:asciiTheme="majorHAnsi" w:hAnsiTheme="majorHAnsi" w:cstheme="majorBidi"/>
        </w:rPr>
        <w:t xml:space="preserve"> will further drive</w:t>
      </w:r>
      <w:r w:rsidR="00B74498">
        <w:rPr>
          <w:rFonts w:asciiTheme="majorHAnsi" w:hAnsiTheme="majorHAnsi" w:cstheme="majorBidi"/>
        </w:rPr>
        <w:t xml:space="preserve"> </w:t>
      </w:r>
      <w:r w:rsidRPr="39540368">
        <w:rPr>
          <w:rFonts w:asciiTheme="majorHAnsi" w:hAnsiTheme="majorHAnsi" w:cstheme="majorBidi"/>
        </w:rPr>
        <w:t>up fees</w:t>
      </w:r>
      <w:r w:rsidR="003D0F7D">
        <w:rPr>
          <w:rFonts w:asciiTheme="majorHAnsi" w:hAnsiTheme="majorHAnsi" w:cstheme="majorBidi"/>
        </w:rPr>
        <w:t>. This will result in higher Government expenditure through the Child Care Subsidy (CCS)</w:t>
      </w:r>
      <w:r w:rsidR="005A598D">
        <w:rPr>
          <w:rFonts w:asciiTheme="majorHAnsi" w:hAnsiTheme="majorHAnsi" w:cstheme="majorBidi"/>
        </w:rPr>
        <w:t xml:space="preserve"> and increased</w:t>
      </w:r>
      <w:r w:rsidRPr="39540368">
        <w:rPr>
          <w:rFonts w:asciiTheme="majorHAnsi" w:hAnsiTheme="majorHAnsi" w:cstheme="majorBidi"/>
        </w:rPr>
        <w:t xml:space="preserve"> </w:t>
      </w:r>
      <w:r w:rsidR="005A598D">
        <w:rPr>
          <w:rFonts w:asciiTheme="majorHAnsi" w:hAnsiTheme="majorHAnsi" w:cstheme="majorBidi"/>
        </w:rPr>
        <w:t>o</w:t>
      </w:r>
      <w:r w:rsidR="00145720">
        <w:rPr>
          <w:rFonts w:asciiTheme="majorHAnsi" w:hAnsiTheme="majorHAnsi" w:cstheme="majorBidi"/>
        </w:rPr>
        <w:t xml:space="preserve">ut-of-pocket </w:t>
      </w:r>
      <w:r w:rsidR="0026231D">
        <w:rPr>
          <w:rFonts w:asciiTheme="majorHAnsi" w:hAnsiTheme="majorHAnsi" w:cstheme="majorBidi"/>
        </w:rPr>
        <w:t>cost</w:t>
      </w:r>
      <w:r w:rsidR="00145720">
        <w:rPr>
          <w:rFonts w:asciiTheme="majorHAnsi" w:hAnsiTheme="majorHAnsi" w:cstheme="majorBidi"/>
        </w:rPr>
        <w:t>s</w:t>
      </w:r>
      <w:r w:rsidR="0026231D">
        <w:rPr>
          <w:rFonts w:asciiTheme="majorHAnsi" w:hAnsiTheme="majorHAnsi" w:cstheme="majorBidi"/>
        </w:rPr>
        <w:t xml:space="preserve"> to families</w:t>
      </w:r>
      <w:r w:rsidR="0061210C">
        <w:rPr>
          <w:rFonts w:asciiTheme="majorHAnsi" w:hAnsiTheme="majorHAnsi" w:cstheme="majorBidi"/>
        </w:rPr>
        <w:t xml:space="preserve">, negating </w:t>
      </w:r>
      <w:r w:rsidR="001D0C82">
        <w:rPr>
          <w:rFonts w:asciiTheme="majorHAnsi" w:hAnsiTheme="majorHAnsi" w:cstheme="majorBidi"/>
        </w:rPr>
        <w:t xml:space="preserve">the Government’s </w:t>
      </w:r>
      <w:r w:rsidR="001E3911">
        <w:rPr>
          <w:rFonts w:asciiTheme="majorHAnsi" w:hAnsiTheme="majorHAnsi" w:cstheme="majorBidi"/>
        </w:rPr>
        <w:t xml:space="preserve">efforts </w:t>
      </w:r>
      <w:r w:rsidR="003B4597">
        <w:rPr>
          <w:rFonts w:asciiTheme="majorHAnsi" w:hAnsiTheme="majorHAnsi" w:cstheme="majorBidi"/>
        </w:rPr>
        <w:t xml:space="preserve">to make ECEC more affordable for families. </w:t>
      </w:r>
    </w:p>
    <w:p w14:paraId="55F9FD08" w14:textId="09C05FD1" w:rsidR="003E748A" w:rsidRDefault="00392EE9" w:rsidP="39540368">
      <w:pPr>
        <w:rPr>
          <w:rFonts w:asciiTheme="majorHAnsi" w:hAnsiTheme="majorHAnsi" w:cstheme="majorBidi"/>
        </w:rPr>
      </w:pPr>
      <w:r>
        <w:rPr>
          <w:rFonts w:asciiTheme="majorHAnsi" w:hAnsiTheme="majorHAnsi" w:cstheme="majorBidi"/>
        </w:rPr>
        <w:t xml:space="preserve">The Government has considered </w:t>
      </w:r>
      <w:r w:rsidR="00D80A60">
        <w:rPr>
          <w:rFonts w:asciiTheme="majorHAnsi" w:hAnsiTheme="majorHAnsi" w:cstheme="majorBidi"/>
        </w:rPr>
        <w:t xml:space="preserve">adjusting the CCS policy settings to address the issue of rising fees in meeting increased wage costs. </w:t>
      </w:r>
      <w:r w:rsidR="006F77F7">
        <w:rPr>
          <w:rFonts w:asciiTheme="majorHAnsi" w:hAnsiTheme="majorHAnsi" w:cstheme="majorBidi"/>
        </w:rPr>
        <w:t>In the context of addressing affordability, a change to CCS settings i</w:t>
      </w:r>
      <w:r w:rsidR="00D80A60">
        <w:rPr>
          <w:rFonts w:asciiTheme="majorHAnsi" w:hAnsiTheme="majorHAnsi" w:cstheme="majorBidi"/>
        </w:rPr>
        <w:t xml:space="preserve">s not preferred. Firstly, </w:t>
      </w:r>
      <w:r w:rsidR="004F2DA3">
        <w:rPr>
          <w:rFonts w:asciiTheme="majorHAnsi" w:hAnsiTheme="majorHAnsi" w:cstheme="majorBidi"/>
        </w:rPr>
        <w:t>adjustments to the CCS settings would be untargeted</w:t>
      </w:r>
      <w:r w:rsidR="004474B8">
        <w:rPr>
          <w:rFonts w:asciiTheme="majorHAnsi" w:hAnsiTheme="majorHAnsi" w:cstheme="majorBidi"/>
        </w:rPr>
        <w:t xml:space="preserve">. </w:t>
      </w:r>
      <w:r w:rsidR="00716E5B">
        <w:rPr>
          <w:rFonts w:asciiTheme="majorHAnsi" w:hAnsiTheme="majorHAnsi" w:cstheme="majorBidi"/>
        </w:rPr>
        <w:t xml:space="preserve">The grant </w:t>
      </w:r>
      <w:r w:rsidR="009D498F">
        <w:rPr>
          <w:rFonts w:asciiTheme="majorHAnsi" w:hAnsiTheme="majorHAnsi" w:cstheme="majorBidi"/>
        </w:rPr>
        <w:t xml:space="preserve">funding </w:t>
      </w:r>
      <w:r w:rsidR="00716E5B">
        <w:rPr>
          <w:rFonts w:asciiTheme="majorHAnsi" w:hAnsiTheme="majorHAnsi" w:cstheme="majorBidi"/>
        </w:rPr>
        <w:t xml:space="preserve">model allows </w:t>
      </w:r>
      <w:r w:rsidR="00C72B38">
        <w:rPr>
          <w:rFonts w:asciiTheme="majorHAnsi" w:hAnsiTheme="majorHAnsi" w:cstheme="majorBidi"/>
        </w:rPr>
        <w:t>the G</w:t>
      </w:r>
      <w:r w:rsidR="00716E5B">
        <w:rPr>
          <w:rFonts w:asciiTheme="majorHAnsi" w:hAnsiTheme="majorHAnsi" w:cstheme="majorBidi"/>
        </w:rPr>
        <w:t xml:space="preserve">overnment to direct funding </w:t>
      </w:r>
      <w:r w:rsidR="00370E63">
        <w:rPr>
          <w:rFonts w:asciiTheme="majorHAnsi" w:hAnsiTheme="majorHAnsi" w:cstheme="majorBidi"/>
        </w:rPr>
        <w:t>to the specific needs and parameters of service</w:t>
      </w:r>
      <w:r w:rsidR="00662296">
        <w:rPr>
          <w:rFonts w:asciiTheme="majorHAnsi" w:hAnsiTheme="majorHAnsi" w:cstheme="majorBidi"/>
        </w:rPr>
        <w:t>s,</w:t>
      </w:r>
      <w:r w:rsidR="00395746">
        <w:rPr>
          <w:rFonts w:asciiTheme="majorHAnsi" w:hAnsiTheme="majorHAnsi" w:cstheme="majorBidi"/>
        </w:rPr>
        <w:t xml:space="preserve"> influenced by the service type, size and profit status</w:t>
      </w:r>
      <w:r w:rsidR="00E11F52">
        <w:rPr>
          <w:rFonts w:asciiTheme="majorHAnsi" w:hAnsiTheme="majorHAnsi" w:cstheme="majorBidi"/>
        </w:rPr>
        <w:t>.</w:t>
      </w:r>
      <w:r w:rsidR="00662296">
        <w:rPr>
          <w:rFonts w:asciiTheme="majorHAnsi" w:hAnsiTheme="majorHAnsi" w:cstheme="majorBidi"/>
        </w:rPr>
        <w:t xml:space="preserve"> </w:t>
      </w:r>
      <w:r w:rsidR="00C910E6">
        <w:rPr>
          <w:rFonts w:asciiTheme="majorHAnsi" w:hAnsiTheme="majorHAnsi" w:cstheme="majorBidi"/>
        </w:rPr>
        <w:t>Ch</w:t>
      </w:r>
      <w:r w:rsidR="00A4193D">
        <w:rPr>
          <w:rFonts w:asciiTheme="majorHAnsi" w:hAnsiTheme="majorHAnsi" w:cstheme="majorBidi"/>
        </w:rPr>
        <w:t>ang</w:t>
      </w:r>
      <w:r w:rsidR="005161CD">
        <w:rPr>
          <w:rFonts w:asciiTheme="majorHAnsi" w:hAnsiTheme="majorHAnsi" w:cstheme="majorBidi"/>
        </w:rPr>
        <w:t xml:space="preserve">ing </w:t>
      </w:r>
      <w:r w:rsidR="00A4193D">
        <w:rPr>
          <w:rFonts w:asciiTheme="majorHAnsi" w:hAnsiTheme="majorHAnsi" w:cstheme="majorBidi"/>
        </w:rPr>
        <w:t>the CCS</w:t>
      </w:r>
      <w:r w:rsidR="003C0B88">
        <w:rPr>
          <w:rFonts w:asciiTheme="majorHAnsi" w:hAnsiTheme="majorHAnsi" w:cstheme="majorBidi"/>
        </w:rPr>
        <w:t xml:space="preserve"> does not allow for th</w:t>
      </w:r>
      <w:r w:rsidR="00C910E6">
        <w:rPr>
          <w:rFonts w:asciiTheme="majorHAnsi" w:hAnsiTheme="majorHAnsi" w:cstheme="majorBidi"/>
        </w:rPr>
        <w:t>e</w:t>
      </w:r>
      <w:r w:rsidR="003C0B88">
        <w:rPr>
          <w:rFonts w:asciiTheme="majorHAnsi" w:hAnsiTheme="majorHAnsi" w:cstheme="majorBidi"/>
        </w:rPr>
        <w:t xml:space="preserve"> </w:t>
      </w:r>
      <w:r w:rsidR="00AB29E7">
        <w:rPr>
          <w:rFonts w:asciiTheme="majorHAnsi" w:hAnsiTheme="majorHAnsi" w:cstheme="majorBidi"/>
        </w:rPr>
        <w:t xml:space="preserve">funding </w:t>
      </w:r>
      <w:r w:rsidR="003C0B88">
        <w:rPr>
          <w:rFonts w:asciiTheme="majorHAnsi" w:hAnsiTheme="majorHAnsi" w:cstheme="majorBidi"/>
        </w:rPr>
        <w:t>specificity</w:t>
      </w:r>
      <w:r w:rsidR="00C910E6">
        <w:rPr>
          <w:rFonts w:asciiTheme="majorHAnsi" w:hAnsiTheme="majorHAnsi" w:cstheme="majorBidi"/>
        </w:rPr>
        <w:t xml:space="preserve"> needed to meet the policy </w:t>
      </w:r>
      <w:r w:rsidR="00B55B03">
        <w:rPr>
          <w:rFonts w:asciiTheme="majorHAnsi" w:hAnsiTheme="majorHAnsi" w:cstheme="majorBidi"/>
        </w:rPr>
        <w:t>intent and</w:t>
      </w:r>
      <w:r w:rsidR="00FB7400">
        <w:rPr>
          <w:rFonts w:asciiTheme="majorHAnsi" w:hAnsiTheme="majorHAnsi" w:cstheme="majorBidi"/>
        </w:rPr>
        <w:t xml:space="preserve"> </w:t>
      </w:r>
      <w:r w:rsidR="00E16979">
        <w:rPr>
          <w:rFonts w:asciiTheme="majorHAnsi" w:hAnsiTheme="majorHAnsi" w:cstheme="majorBidi"/>
        </w:rPr>
        <w:t>mitigate the risk of windfall gains</w:t>
      </w:r>
      <w:r w:rsidR="00567BE8">
        <w:rPr>
          <w:rFonts w:asciiTheme="majorHAnsi" w:hAnsiTheme="majorHAnsi" w:cstheme="majorBidi"/>
        </w:rPr>
        <w:t xml:space="preserve"> feeding sector profits</w:t>
      </w:r>
      <w:r w:rsidR="00AB29E7">
        <w:rPr>
          <w:rFonts w:asciiTheme="majorHAnsi" w:hAnsiTheme="majorHAnsi" w:cstheme="majorBidi"/>
        </w:rPr>
        <w:t>.</w:t>
      </w:r>
      <w:r w:rsidR="00D52E4F">
        <w:rPr>
          <w:rFonts w:asciiTheme="majorHAnsi" w:hAnsiTheme="majorHAnsi" w:cstheme="majorBidi"/>
        </w:rPr>
        <w:t xml:space="preserve"> Efforts to add this level of specificity</w:t>
      </w:r>
      <w:r w:rsidR="0062574F">
        <w:rPr>
          <w:rFonts w:asciiTheme="majorHAnsi" w:hAnsiTheme="majorHAnsi" w:cstheme="majorBidi"/>
        </w:rPr>
        <w:t xml:space="preserve"> would not be possible in the timeframes available, and if attempted, could lead to </w:t>
      </w:r>
      <w:r w:rsidR="00AC4D49">
        <w:rPr>
          <w:rFonts w:asciiTheme="majorHAnsi" w:hAnsiTheme="majorHAnsi" w:cstheme="majorBidi"/>
        </w:rPr>
        <w:t xml:space="preserve">unintended consequences that exacerbate the complexity and function of the CCS system. </w:t>
      </w:r>
      <w:r w:rsidR="00F47803">
        <w:rPr>
          <w:rFonts w:asciiTheme="majorHAnsi" w:hAnsiTheme="majorHAnsi" w:cstheme="majorBidi"/>
        </w:rPr>
        <w:t xml:space="preserve">Secondly, a broader CCS adjustment could </w:t>
      </w:r>
      <w:r w:rsidR="0000373A">
        <w:rPr>
          <w:rFonts w:asciiTheme="majorHAnsi" w:hAnsiTheme="majorHAnsi" w:cstheme="majorBidi"/>
        </w:rPr>
        <w:t xml:space="preserve">incite an additional fee increase. </w:t>
      </w:r>
      <w:r w:rsidR="00866727">
        <w:rPr>
          <w:rFonts w:asciiTheme="majorHAnsi" w:hAnsiTheme="majorHAnsi" w:cstheme="majorBidi"/>
        </w:rPr>
        <w:t xml:space="preserve">Historically, as shown via ACCC analysis, major investments </w:t>
      </w:r>
      <w:r w:rsidR="00594BBC">
        <w:rPr>
          <w:rFonts w:asciiTheme="majorHAnsi" w:hAnsiTheme="majorHAnsi" w:cstheme="majorBidi"/>
        </w:rPr>
        <w:t xml:space="preserve">to </w:t>
      </w:r>
      <w:r w:rsidR="007F0DAB">
        <w:rPr>
          <w:rFonts w:asciiTheme="majorHAnsi" w:hAnsiTheme="majorHAnsi" w:cstheme="majorBidi"/>
        </w:rPr>
        <w:t>make ECEC subsidies more generous</w:t>
      </w:r>
      <w:r w:rsidR="00866727">
        <w:rPr>
          <w:rFonts w:asciiTheme="majorHAnsi" w:hAnsiTheme="majorHAnsi" w:cstheme="majorBidi"/>
        </w:rPr>
        <w:t xml:space="preserve"> </w:t>
      </w:r>
      <w:r w:rsidR="001177FF">
        <w:rPr>
          <w:rFonts w:asciiTheme="majorHAnsi" w:hAnsiTheme="majorHAnsi" w:cstheme="majorBidi"/>
        </w:rPr>
        <w:t>are</w:t>
      </w:r>
      <w:r w:rsidR="00A16D6B">
        <w:rPr>
          <w:rFonts w:asciiTheme="majorHAnsi" w:hAnsiTheme="majorHAnsi" w:cstheme="majorBidi"/>
        </w:rPr>
        <w:t xml:space="preserve"> </w:t>
      </w:r>
      <w:r w:rsidR="001177FF">
        <w:rPr>
          <w:rFonts w:asciiTheme="majorHAnsi" w:hAnsiTheme="majorHAnsi" w:cstheme="majorBidi"/>
        </w:rPr>
        <w:t>followed</w:t>
      </w:r>
      <w:r w:rsidR="00B03771">
        <w:rPr>
          <w:rFonts w:asciiTheme="majorHAnsi" w:hAnsiTheme="majorHAnsi" w:cstheme="majorBidi"/>
        </w:rPr>
        <w:t xml:space="preserve"> </w:t>
      </w:r>
      <w:r w:rsidR="009D03B4">
        <w:rPr>
          <w:rFonts w:asciiTheme="majorHAnsi" w:hAnsiTheme="majorHAnsi" w:cstheme="majorBidi"/>
        </w:rPr>
        <w:t>by successive</w:t>
      </w:r>
      <w:r w:rsidR="00B6684F">
        <w:rPr>
          <w:rFonts w:asciiTheme="majorHAnsi" w:hAnsiTheme="majorHAnsi" w:cstheme="majorBidi"/>
        </w:rPr>
        <w:t>,</w:t>
      </w:r>
      <w:r w:rsidR="009D03B4">
        <w:rPr>
          <w:rFonts w:asciiTheme="majorHAnsi" w:hAnsiTheme="majorHAnsi" w:cstheme="majorBidi"/>
        </w:rPr>
        <w:t xml:space="preserve"> and </w:t>
      </w:r>
      <w:r w:rsidR="00815AB1">
        <w:rPr>
          <w:rFonts w:asciiTheme="majorHAnsi" w:hAnsiTheme="majorHAnsi" w:cstheme="majorBidi"/>
        </w:rPr>
        <w:t>steep</w:t>
      </w:r>
      <w:r w:rsidR="00B6684F">
        <w:rPr>
          <w:rFonts w:asciiTheme="majorHAnsi" w:hAnsiTheme="majorHAnsi" w:cstheme="majorBidi"/>
        </w:rPr>
        <w:t>,</w:t>
      </w:r>
      <w:r w:rsidR="00815AB1">
        <w:rPr>
          <w:rFonts w:asciiTheme="majorHAnsi" w:hAnsiTheme="majorHAnsi" w:cstheme="majorBidi"/>
        </w:rPr>
        <w:t xml:space="preserve"> increases in fee levels </w:t>
      </w:r>
      <w:r w:rsidR="00DA4F8A">
        <w:rPr>
          <w:rFonts w:asciiTheme="majorHAnsi" w:hAnsiTheme="majorHAnsi" w:cstheme="majorBidi"/>
        </w:rPr>
        <w:t xml:space="preserve">that erode the benefits intended by </w:t>
      </w:r>
      <w:r w:rsidR="006A25F9">
        <w:rPr>
          <w:rFonts w:asciiTheme="majorHAnsi" w:hAnsiTheme="majorHAnsi" w:cstheme="majorBidi"/>
        </w:rPr>
        <w:t>the G</w:t>
      </w:r>
      <w:r w:rsidR="00DA4F8A">
        <w:rPr>
          <w:rFonts w:asciiTheme="majorHAnsi" w:hAnsiTheme="majorHAnsi" w:cstheme="majorBidi"/>
        </w:rPr>
        <w:t>overnment</w:t>
      </w:r>
      <w:r w:rsidR="008B674C">
        <w:rPr>
          <w:rFonts w:asciiTheme="majorHAnsi" w:hAnsiTheme="majorHAnsi" w:cstheme="majorBidi"/>
        </w:rPr>
        <w:t>.</w:t>
      </w:r>
      <w:r w:rsidR="008B674C">
        <w:rPr>
          <w:rStyle w:val="FootnoteReference"/>
          <w:rFonts w:asciiTheme="majorHAnsi" w:hAnsiTheme="majorHAnsi" w:cstheme="majorBidi"/>
        </w:rPr>
        <w:footnoteReference w:id="74"/>
      </w:r>
      <w:r w:rsidR="00370E63">
        <w:rPr>
          <w:rFonts w:asciiTheme="majorHAnsi" w:hAnsiTheme="majorHAnsi" w:cstheme="majorBidi"/>
        </w:rPr>
        <w:t xml:space="preserve"> </w:t>
      </w:r>
      <w:r w:rsidR="00A259B2">
        <w:rPr>
          <w:rFonts w:asciiTheme="majorHAnsi" w:hAnsiTheme="majorHAnsi" w:cstheme="majorBidi"/>
        </w:rPr>
        <w:t xml:space="preserve"> </w:t>
      </w:r>
      <w:r w:rsidR="00177215">
        <w:rPr>
          <w:rFonts w:asciiTheme="majorHAnsi" w:hAnsiTheme="majorHAnsi" w:cstheme="majorBidi"/>
        </w:rPr>
        <w:lastRenderedPageBreak/>
        <w:t xml:space="preserve">A form of fee constraint would be required to address this, </w:t>
      </w:r>
      <w:r w:rsidR="00290EE1">
        <w:rPr>
          <w:rFonts w:asciiTheme="majorHAnsi" w:hAnsiTheme="majorHAnsi" w:cstheme="majorBidi"/>
        </w:rPr>
        <w:t>but</w:t>
      </w:r>
      <w:r w:rsidR="00177215">
        <w:rPr>
          <w:rFonts w:asciiTheme="majorHAnsi" w:hAnsiTheme="majorHAnsi" w:cstheme="majorBidi"/>
        </w:rPr>
        <w:t xml:space="preserve"> developing </w:t>
      </w:r>
      <w:r w:rsidR="006945BD">
        <w:rPr>
          <w:rFonts w:asciiTheme="majorHAnsi" w:hAnsiTheme="majorHAnsi" w:cstheme="majorBidi"/>
        </w:rPr>
        <w:t xml:space="preserve">whole-of-market pricing controls in the </w:t>
      </w:r>
      <w:r w:rsidR="00B708FF">
        <w:rPr>
          <w:rFonts w:asciiTheme="majorHAnsi" w:hAnsiTheme="majorHAnsi" w:cstheme="majorBidi"/>
        </w:rPr>
        <w:t>timeframes available</w:t>
      </w:r>
      <w:r w:rsidR="00020FBD">
        <w:rPr>
          <w:rFonts w:asciiTheme="majorHAnsi" w:hAnsiTheme="majorHAnsi" w:cstheme="majorBidi"/>
        </w:rPr>
        <w:t xml:space="preserve"> raises substantial risks in the form of negative unintended consequences. For example, a sector-wide fee constraint could lead to reductions in service quality</w:t>
      </w:r>
      <w:r w:rsidR="00B72927">
        <w:rPr>
          <w:rFonts w:asciiTheme="majorHAnsi" w:hAnsiTheme="majorHAnsi" w:cstheme="majorBidi"/>
        </w:rPr>
        <w:t xml:space="preserve"> and supply growth</w:t>
      </w:r>
      <w:r w:rsidR="00B708FF">
        <w:rPr>
          <w:rFonts w:asciiTheme="majorHAnsi" w:hAnsiTheme="majorHAnsi" w:cstheme="majorBidi"/>
        </w:rPr>
        <w:t xml:space="preserve">. </w:t>
      </w:r>
      <w:r w:rsidR="006945BD">
        <w:rPr>
          <w:rFonts w:asciiTheme="majorHAnsi" w:hAnsiTheme="majorHAnsi" w:cstheme="majorBidi"/>
        </w:rPr>
        <w:t xml:space="preserve"> </w:t>
      </w:r>
    </w:p>
    <w:p w14:paraId="3B4B665A" w14:textId="2EF7DB23" w:rsidR="00865AA6" w:rsidRPr="00241EAD" w:rsidRDefault="0004437D" w:rsidP="0515F98F">
      <w:pPr>
        <w:rPr>
          <w:rFonts w:asciiTheme="majorHAnsi" w:hAnsiTheme="majorHAnsi" w:cstheme="majorBidi"/>
        </w:rPr>
      </w:pPr>
      <w:r>
        <w:rPr>
          <w:rFonts w:asciiTheme="majorHAnsi" w:hAnsiTheme="majorHAnsi" w:cstheme="majorBidi"/>
        </w:rPr>
        <w:t>Finally, a</w:t>
      </w:r>
      <w:r w:rsidR="00807776">
        <w:rPr>
          <w:rFonts w:asciiTheme="majorHAnsi" w:hAnsiTheme="majorHAnsi" w:cstheme="majorBidi"/>
        </w:rPr>
        <w:t xml:space="preserve"> change to the C</w:t>
      </w:r>
      <w:r>
        <w:rPr>
          <w:rFonts w:asciiTheme="majorHAnsi" w:hAnsiTheme="majorHAnsi" w:cstheme="majorBidi"/>
        </w:rPr>
        <w:t xml:space="preserve">CS </w:t>
      </w:r>
      <w:r w:rsidR="00807776">
        <w:rPr>
          <w:rFonts w:asciiTheme="majorHAnsi" w:hAnsiTheme="majorHAnsi" w:cstheme="majorBidi"/>
        </w:rPr>
        <w:t>policy settings</w:t>
      </w:r>
      <w:r>
        <w:rPr>
          <w:rFonts w:asciiTheme="majorHAnsi" w:hAnsiTheme="majorHAnsi" w:cstheme="majorBidi"/>
        </w:rPr>
        <w:t xml:space="preserve"> is more likely to benefit</w:t>
      </w:r>
      <w:r w:rsidR="004219AE">
        <w:rPr>
          <w:rFonts w:asciiTheme="majorHAnsi" w:hAnsiTheme="majorHAnsi" w:cstheme="majorBidi"/>
        </w:rPr>
        <w:t xml:space="preserve"> those on higher incomes more than it will those on lower incomes. </w:t>
      </w:r>
      <w:r w:rsidR="2B125739" w:rsidRPr="0515F98F">
        <w:rPr>
          <w:rFonts w:asciiTheme="majorHAnsi" w:hAnsiTheme="majorHAnsi" w:cstheme="majorBidi"/>
        </w:rPr>
        <w:t>One of the key findings of the ACCC</w:t>
      </w:r>
      <w:r w:rsidR="197B9BBD" w:rsidRPr="0515F98F">
        <w:rPr>
          <w:rFonts w:asciiTheme="majorHAnsi" w:hAnsiTheme="majorHAnsi" w:cstheme="majorBidi"/>
        </w:rPr>
        <w:t xml:space="preserve"> </w:t>
      </w:r>
      <w:r w:rsidR="2B125739" w:rsidRPr="0515F98F" w:rsidDel="0048563D">
        <w:rPr>
          <w:rFonts w:asciiTheme="majorHAnsi" w:hAnsiTheme="majorHAnsi" w:cstheme="majorBidi"/>
        </w:rPr>
        <w:t>’s</w:t>
      </w:r>
      <w:r w:rsidR="2B125739" w:rsidRPr="0515F98F">
        <w:rPr>
          <w:rFonts w:asciiTheme="majorHAnsi" w:hAnsiTheme="majorHAnsi" w:cstheme="majorBidi"/>
        </w:rPr>
        <w:t xml:space="preserve"> first interim report </w:t>
      </w:r>
      <w:r w:rsidR="197B9BBD" w:rsidRPr="0515F98F">
        <w:rPr>
          <w:rFonts w:asciiTheme="majorHAnsi" w:hAnsiTheme="majorHAnsi" w:cstheme="majorBidi"/>
        </w:rPr>
        <w:t>revealed</w:t>
      </w:r>
      <w:r w:rsidR="2B125739" w:rsidRPr="0515F98F">
        <w:rPr>
          <w:rFonts w:asciiTheme="majorHAnsi" w:hAnsiTheme="majorHAnsi" w:cstheme="majorBidi"/>
        </w:rPr>
        <w:t xml:space="preserve"> increasing fees disproportiona</w:t>
      </w:r>
      <w:r w:rsidR="3925D829" w:rsidRPr="0515F98F">
        <w:rPr>
          <w:rFonts w:asciiTheme="majorHAnsi" w:hAnsiTheme="majorHAnsi" w:cstheme="majorBidi"/>
        </w:rPr>
        <w:t>te</w:t>
      </w:r>
      <w:r w:rsidR="2B125739" w:rsidRPr="0515F98F">
        <w:rPr>
          <w:rFonts w:asciiTheme="majorHAnsi" w:hAnsiTheme="majorHAnsi" w:cstheme="majorBidi"/>
        </w:rPr>
        <w:t xml:space="preserve">ly affects disadvantaged households. Families in the lowest income decile spend </w:t>
      </w:r>
      <w:r w:rsidR="612FD11C" w:rsidRPr="0515F98F">
        <w:rPr>
          <w:rFonts w:asciiTheme="majorHAnsi" w:hAnsiTheme="majorHAnsi" w:cstheme="majorBidi"/>
        </w:rPr>
        <w:t>on average 9</w:t>
      </w:r>
      <w:r w:rsidR="7E20A2A1" w:rsidRPr="0515F98F">
        <w:rPr>
          <w:rFonts w:asciiTheme="majorHAnsi" w:hAnsiTheme="majorHAnsi" w:cstheme="majorBidi"/>
        </w:rPr>
        <w:t xml:space="preserve"> per cent</w:t>
      </w:r>
      <w:r w:rsidR="2B125739" w:rsidRPr="0515F98F">
        <w:rPr>
          <w:rFonts w:asciiTheme="majorHAnsi" w:hAnsiTheme="majorHAnsi" w:cstheme="majorBidi"/>
        </w:rPr>
        <w:t xml:space="preserve"> of their disposable income on </w:t>
      </w:r>
      <w:r w:rsidR="7A097B24" w:rsidRPr="0515F98F">
        <w:rPr>
          <w:rFonts w:asciiTheme="majorHAnsi" w:hAnsiTheme="majorHAnsi" w:cstheme="majorBidi"/>
        </w:rPr>
        <w:t>ECEC</w:t>
      </w:r>
      <w:r w:rsidR="2B125739" w:rsidRPr="0515F98F">
        <w:rPr>
          <w:rFonts w:asciiTheme="majorHAnsi" w:hAnsiTheme="majorHAnsi" w:cstheme="majorBidi"/>
        </w:rPr>
        <w:t xml:space="preserve">, compared to families in the highest income bracket, who spend </w:t>
      </w:r>
      <w:r w:rsidR="7E20A2A1" w:rsidRPr="0515F98F">
        <w:rPr>
          <w:rFonts w:asciiTheme="majorHAnsi" w:hAnsiTheme="majorHAnsi" w:cstheme="majorBidi"/>
        </w:rPr>
        <w:t>on average</w:t>
      </w:r>
      <w:r w:rsidR="41B78299" w:rsidRPr="0515F98F">
        <w:rPr>
          <w:rFonts w:asciiTheme="majorHAnsi" w:hAnsiTheme="majorHAnsi" w:cstheme="majorBidi"/>
        </w:rPr>
        <w:t xml:space="preserve"> 5</w:t>
      </w:r>
      <w:r w:rsidR="2B125739" w:rsidRPr="0515F98F">
        <w:rPr>
          <w:rFonts w:asciiTheme="majorHAnsi" w:hAnsiTheme="majorHAnsi" w:cstheme="majorBidi"/>
        </w:rPr>
        <w:t xml:space="preserve"> per cent.</w:t>
      </w:r>
      <w:r w:rsidR="002A6E3C" w:rsidRPr="0515F98F">
        <w:rPr>
          <w:rStyle w:val="FootnoteReference"/>
          <w:rFonts w:asciiTheme="majorHAnsi" w:hAnsiTheme="majorHAnsi" w:cstheme="majorBidi"/>
        </w:rPr>
        <w:footnoteReference w:id="75"/>
      </w:r>
      <w:r w:rsidR="2B125739" w:rsidRPr="0515F98F">
        <w:rPr>
          <w:rFonts w:asciiTheme="majorHAnsi" w:hAnsiTheme="majorHAnsi" w:cstheme="majorBidi"/>
        </w:rPr>
        <w:t xml:space="preserve"> This is despite low-income families receiving a greater </w:t>
      </w:r>
      <w:r w:rsidR="00D10D17">
        <w:rPr>
          <w:rFonts w:asciiTheme="majorHAnsi" w:hAnsiTheme="majorHAnsi" w:cstheme="majorBidi"/>
        </w:rPr>
        <w:t>G</w:t>
      </w:r>
      <w:r w:rsidR="2B125739" w:rsidRPr="0515F98F">
        <w:rPr>
          <w:rFonts w:asciiTheme="majorHAnsi" w:hAnsiTheme="majorHAnsi" w:cstheme="majorBidi"/>
        </w:rPr>
        <w:t xml:space="preserve">overnment contribution through the CCS and paying less out-of-pocket expenses in absolute terms. This is </w:t>
      </w:r>
      <w:r w:rsidR="0DECCC54" w:rsidRPr="0515F98F">
        <w:rPr>
          <w:rFonts w:asciiTheme="majorHAnsi" w:hAnsiTheme="majorHAnsi" w:cstheme="majorBidi"/>
        </w:rPr>
        <w:t>partly due</w:t>
      </w:r>
      <w:r w:rsidR="2B125739" w:rsidRPr="0515F98F">
        <w:rPr>
          <w:rFonts w:asciiTheme="majorHAnsi" w:hAnsiTheme="majorHAnsi" w:cstheme="majorBidi"/>
        </w:rPr>
        <w:t xml:space="preserve"> </w:t>
      </w:r>
      <w:r w:rsidR="09ECEFDD" w:rsidRPr="0515F98F">
        <w:rPr>
          <w:rFonts w:asciiTheme="majorHAnsi" w:hAnsiTheme="majorHAnsi" w:cstheme="majorBidi"/>
        </w:rPr>
        <w:t xml:space="preserve">to </w:t>
      </w:r>
      <w:r w:rsidR="0DECCC54" w:rsidRPr="0515F98F">
        <w:rPr>
          <w:rFonts w:asciiTheme="majorHAnsi" w:hAnsiTheme="majorHAnsi" w:cstheme="majorBidi"/>
        </w:rPr>
        <w:t>the CCS</w:t>
      </w:r>
      <w:r w:rsidR="2B125739" w:rsidRPr="0515F98F">
        <w:rPr>
          <w:rFonts w:asciiTheme="majorHAnsi" w:hAnsiTheme="majorHAnsi" w:cstheme="majorBidi"/>
        </w:rPr>
        <w:t xml:space="preserve"> activity test</w:t>
      </w:r>
      <w:r w:rsidR="0DECCC54" w:rsidRPr="0515F98F">
        <w:rPr>
          <w:rFonts w:asciiTheme="majorHAnsi" w:hAnsiTheme="majorHAnsi" w:cstheme="majorBidi"/>
        </w:rPr>
        <w:t xml:space="preserve">, which </w:t>
      </w:r>
      <w:r w:rsidR="474195B6" w:rsidRPr="0515F98F">
        <w:rPr>
          <w:rFonts w:asciiTheme="majorHAnsi" w:hAnsiTheme="majorHAnsi" w:cstheme="majorBidi"/>
        </w:rPr>
        <w:t>provides subsidised</w:t>
      </w:r>
      <w:r w:rsidR="2B125739" w:rsidRPr="0515F98F">
        <w:rPr>
          <w:rFonts w:asciiTheme="majorHAnsi" w:hAnsiTheme="majorHAnsi" w:cstheme="majorBidi"/>
        </w:rPr>
        <w:t xml:space="preserve"> hours based on the parents</w:t>
      </w:r>
      <w:r w:rsidR="15210886" w:rsidRPr="0515F98F">
        <w:rPr>
          <w:rFonts w:asciiTheme="majorHAnsi" w:hAnsiTheme="majorHAnsi" w:cstheme="majorBidi"/>
        </w:rPr>
        <w:t xml:space="preserve"> or </w:t>
      </w:r>
      <w:r w:rsidR="2B125739" w:rsidRPr="0515F98F">
        <w:rPr>
          <w:rFonts w:asciiTheme="majorHAnsi" w:hAnsiTheme="majorHAnsi" w:cstheme="majorBidi"/>
        </w:rPr>
        <w:t>guardians</w:t>
      </w:r>
      <w:r w:rsidR="0FFCD5C6" w:rsidRPr="0515F98F">
        <w:rPr>
          <w:rFonts w:asciiTheme="majorHAnsi" w:hAnsiTheme="majorHAnsi" w:cstheme="majorBidi"/>
        </w:rPr>
        <w:t>’</w:t>
      </w:r>
      <w:r w:rsidR="2B125739" w:rsidRPr="0515F98F">
        <w:rPr>
          <w:rFonts w:asciiTheme="majorHAnsi" w:hAnsiTheme="majorHAnsi" w:cstheme="majorBidi"/>
        </w:rPr>
        <w:t xml:space="preserve"> level of engagement in work, study, or job search activities. Parents</w:t>
      </w:r>
      <w:r w:rsidR="6E08278C" w:rsidRPr="0515F98F">
        <w:rPr>
          <w:rFonts w:asciiTheme="majorHAnsi" w:hAnsiTheme="majorHAnsi" w:cstheme="majorBidi"/>
        </w:rPr>
        <w:t xml:space="preserve"> or </w:t>
      </w:r>
      <w:r w:rsidR="2B125739" w:rsidRPr="0515F98F">
        <w:rPr>
          <w:rFonts w:asciiTheme="majorHAnsi" w:hAnsiTheme="majorHAnsi" w:cstheme="majorBidi"/>
        </w:rPr>
        <w:t xml:space="preserve">guardians who do not meet these criteria are </w:t>
      </w:r>
      <w:r w:rsidR="0DECCC54" w:rsidRPr="0515F98F">
        <w:rPr>
          <w:rFonts w:asciiTheme="majorHAnsi" w:hAnsiTheme="majorHAnsi" w:cstheme="majorBidi"/>
        </w:rPr>
        <w:t xml:space="preserve">often </w:t>
      </w:r>
      <w:r w:rsidR="2B125739" w:rsidRPr="0515F98F">
        <w:rPr>
          <w:rFonts w:asciiTheme="majorHAnsi" w:hAnsiTheme="majorHAnsi" w:cstheme="majorBidi"/>
        </w:rPr>
        <w:t xml:space="preserve">not eligible to receive CCS payments and, hence, </w:t>
      </w:r>
      <w:r w:rsidR="0DECCC54" w:rsidRPr="0515F98F">
        <w:rPr>
          <w:rFonts w:asciiTheme="majorHAnsi" w:hAnsiTheme="majorHAnsi" w:cstheme="majorBidi"/>
        </w:rPr>
        <w:t xml:space="preserve">may incur higher out of pocket costs. </w:t>
      </w:r>
    </w:p>
    <w:p w14:paraId="293BEF3D" w14:textId="5354735A" w:rsidR="00B41980" w:rsidRPr="00E10B98" w:rsidRDefault="00B41980" w:rsidP="00E10B98">
      <w:pPr>
        <w:pStyle w:val="Heading4"/>
      </w:pPr>
      <w:bookmarkStart w:id="14" w:name="_Toc160571969"/>
      <w:bookmarkStart w:id="15" w:name="_Toc160572089"/>
      <w:bookmarkStart w:id="16" w:name="_Toc160805595"/>
      <w:bookmarkStart w:id="17" w:name="_Toc162963642"/>
      <w:bookmarkStart w:id="18" w:name="_Toc219193861"/>
      <w:r w:rsidRPr="00E10B98">
        <w:rPr>
          <w:rStyle w:val="normaltextrun"/>
        </w:rPr>
        <w:t xml:space="preserve">Objective: </w:t>
      </w:r>
      <w:r w:rsidR="006D0789" w:rsidRPr="00E10B98">
        <w:rPr>
          <w:rStyle w:val="normaltextrun"/>
        </w:rPr>
        <w:t>Ensure</w:t>
      </w:r>
      <w:r w:rsidRPr="00E10B98">
        <w:rPr>
          <w:rStyle w:val="normaltextrun"/>
        </w:rPr>
        <w:t xml:space="preserve"> </w:t>
      </w:r>
      <w:proofErr w:type="gramStart"/>
      <w:r w:rsidRPr="00E10B98">
        <w:rPr>
          <w:rStyle w:val="normaltextrun"/>
        </w:rPr>
        <w:t>child care</w:t>
      </w:r>
      <w:proofErr w:type="gramEnd"/>
      <w:r w:rsidRPr="00E10B98">
        <w:rPr>
          <w:rStyle w:val="normaltextrun"/>
        </w:rPr>
        <w:t xml:space="preserve"> is accessible and affordable</w:t>
      </w:r>
      <w:bookmarkEnd w:id="14"/>
      <w:bookmarkEnd w:id="15"/>
      <w:bookmarkEnd w:id="16"/>
      <w:bookmarkEnd w:id="17"/>
      <w:bookmarkEnd w:id="18"/>
      <w:r w:rsidRPr="00E10B98">
        <w:rPr>
          <w:rStyle w:val="normaltextrun"/>
        </w:rPr>
        <w:t> </w:t>
      </w:r>
      <w:r w:rsidRPr="00E10B98">
        <w:rPr>
          <w:rStyle w:val="eop"/>
        </w:rPr>
        <w:t> </w:t>
      </w:r>
    </w:p>
    <w:p w14:paraId="24CA0F7C" w14:textId="05CC024D" w:rsidR="00B41980" w:rsidRPr="00241EAD" w:rsidRDefault="00B41980" w:rsidP="000E2763">
      <w:pPr>
        <w:rPr>
          <w:rFonts w:asciiTheme="majorHAnsi" w:hAnsiTheme="majorHAnsi" w:cstheme="majorHAnsi"/>
        </w:rPr>
      </w:pPr>
      <w:r w:rsidRPr="0F5AF2C9">
        <w:rPr>
          <w:rFonts w:asciiTheme="majorHAnsi" w:hAnsiTheme="majorHAnsi" w:cstheme="majorBidi"/>
        </w:rPr>
        <w:t xml:space="preserve">Pay and conditions for the ECEC sector directly impact the availability and affordability of quality ECEC. Persistent workforce challenges will impact the ambition for universal access to ECEC </w:t>
      </w:r>
      <w:r w:rsidR="00833046" w:rsidRPr="0F5AF2C9">
        <w:rPr>
          <w:rFonts w:asciiTheme="majorHAnsi" w:hAnsiTheme="majorHAnsi" w:cstheme="majorBidi"/>
        </w:rPr>
        <w:t>and gender equality</w:t>
      </w:r>
      <w:r w:rsidRPr="0F5AF2C9">
        <w:rPr>
          <w:rFonts w:asciiTheme="majorHAnsi" w:hAnsiTheme="majorHAnsi" w:cstheme="majorBidi"/>
        </w:rPr>
        <w:t xml:space="preserve">. Additionally, </w:t>
      </w:r>
      <w:r w:rsidR="00440AAD" w:rsidRPr="0F5AF2C9">
        <w:rPr>
          <w:rFonts w:asciiTheme="majorHAnsi" w:hAnsiTheme="majorHAnsi" w:cstheme="majorBidi"/>
        </w:rPr>
        <w:t xml:space="preserve">when </w:t>
      </w:r>
      <w:r w:rsidRPr="0F5AF2C9">
        <w:rPr>
          <w:rFonts w:asciiTheme="majorHAnsi" w:hAnsiTheme="majorHAnsi" w:cstheme="majorBidi"/>
        </w:rPr>
        <w:t>wage</w:t>
      </w:r>
      <w:r w:rsidR="00440AAD" w:rsidRPr="0F5AF2C9">
        <w:rPr>
          <w:rFonts w:asciiTheme="majorHAnsi" w:hAnsiTheme="majorHAnsi" w:cstheme="majorBidi"/>
        </w:rPr>
        <w:t>s</w:t>
      </w:r>
      <w:r w:rsidRPr="0F5AF2C9">
        <w:rPr>
          <w:rFonts w:asciiTheme="majorHAnsi" w:hAnsiTheme="majorHAnsi" w:cstheme="majorBidi"/>
        </w:rPr>
        <w:t xml:space="preserve"> </w:t>
      </w:r>
      <w:r w:rsidR="00440AAD" w:rsidRPr="0F5AF2C9">
        <w:rPr>
          <w:rFonts w:asciiTheme="majorHAnsi" w:hAnsiTheme="majorHAnsi" w:cstheme="majorBidi"/>
        </w:rPr>
        <w:t xml:space="preserve">rise, and should the Government choose not to intervene, </w:t>
      </w:r>
      <w:r w:rsidRPr="0F5AF2C9">
        <w:rPr>
          <w:rFonts w:asciiTheme="majorHAnsi" w:hAnsiTheme="majorHAnsi" w:cstheme="majorBidi"/>
        </w:rPr>
        <w:t>this would lead to higher out-of-pocket costs for families, making ECEC unaffordable for vulnerable families who need it most. </w:t>
      </w:r>
      <w:r w:rsidR="001B2CBE" w:rsidRPr="0F5AF2C9">
        <w:rPr>
          <w:rFonts w:asciiTheme="majorHAnsi" w:hAnsiTheme="majorHAnsi" w:cstheme="majorBidi"/>
        </w:rPr>
        <w:t xml:space="preserve">Data from the </w:t>
      </w:r>
      <w:r w:rsidR="004C4843" w:rsidRPr="0F5AF2C9">
        <w:rPr>
          <w:rFonts w:asciiTheme="majorHAnsi" w:hAnsiTheme="majorHAnsi" w:cstheme="majorBidi"/>
        </w:rPr>
        <w:t>ABS indicate</w:t>
      </w:r>
      <w:r w:rsidR="00B21496">
        <w:rPr>
          <w:rFonts w:asciiTheme="majorHAnsi" w:hAnsiTheme="majorHAnsi" w:cstheme="majorBidi"/>
        </w:rPr>
        <w:t>s</w:t>
      </w:r>
      <w:r w:rsidR="004C4843" w:rsidRPr="0F5AF2C9">
        <w:rPr>
          <w:rFonts w:asciiTheme="majorHAnsi" w:hAnsiTheme="majorHAnsi" w:cstheme="majorBidi"/>
        </w:rPr>
        <w:t xml:space="preserve"> </w:t>
      </w:r>
      <w:proofErr w:type="gramStart"/>
      <w:r w:rsidR="00083C52" w:rsidRPr="0F5AF2C9">
        <w:rPr>
          <w:rFonts w:asciiTheme="majorHAnsi" w:hAnsiTheme="majorHAnsi" w:cstheme="majorBidi"/>
        </w:rPr>
        <w:t>child</w:t>
      </w:r>
      <w:r w:rsidR="008324C9" w:rsidRPr="0F5AF2C9">
        <w:rPr>
          <w:rFonts w:asciiTheme="majorHAnsi" w:hAnsiTheme="majorHAnsi" w:cstheme="majorBidi"/>
        </w:rPr>
        <w:t xml:space="preserve"> </w:t>
      </w:r>
      <w:r w:rsidR="00083C52" w:rsidRPr="0F5AF2C9">
        <w:rPr>
          <w:rFonts w:asciiTheme="majorHAnsi" w:hAnsiTheme="majorHAnsi" w:cstheme="majorBidi"/>
        </w:rPr>
        <w:t>care</w:t>
      </w:r>
      <w:proofErr w:type="gramEnd"/>
      <w:r w:rsidR="00083C52" w:rsidRPr="0F5AF2C9">
        <w:rPr>
          <w:rFonts w:asciiTheme="majorHAnsi" w:hAnsiTheme="majorHAnsi" w:cstheme="majorBidi"/>
        </w:rPr>
        <w:t xml:space="preserve"> costs increase</w:t>
      </w:r>
      <w:r w:rsidR="006D1176" w:rsidRPr="0F5AF2C9">
        <w:rPr>
          <w:rFonts w:asciiTheme="majorHAnsi" w:hAnsiTheme="majorHAnsi" w:cstheme="majorBidi"/>
        </w:rPr>
        <w:t xml:space="preserve">d </w:t>
      </w:r>
      <w:r w:rsidR="00ED6C20" w:rsidRPr="0F5AF2C9">
        <w:rPr>
          <w:rFonts w:asciiTheme="majorHAnsi" w:hAnsiTheme="majorHAnsi" w:cstheme="majorBidi"/>
        </w:rPr>
        <w:t xml:space="preserve">by 3.2 per cent </w:t>
      </w:r>
      <w:r w:rsidR="00913866" w:rsidRPr="0F5AF2C9">
        <w:rPr>
          <w:rFonts w:asciiTheme="majorHAnsi" w:hAnsiTheme="majorHAnsi" w:cstheme="majorBidi"/>
        </w:rPr>
        <w:t>in the quarter to December 2023.</w:t>
      </w:r>
      <w:r w:rsidR="004D0984" w:rsidRPr="0F5AF2C9">
        <w:rPr>
          <w:rStyle w:val="FootnoteReference"/>
          <w:rFonts w:asciiTheme="majorHAnsi" w:hAnsiTheme="majorHAnsi" w:cstheme="majorBidi"/>
        </w:rPr>
        <w:footnoteReference w:id="76"/>
      </w:r>
      <w:r w:rsidR="00913866" w:rsidRPr="0F5AF2C9">
        <w:rPr>
          <w:rFonts w:asciiTheme="majorHAnsi" w:hAnsiTheme="majorHAnsi" w:cstheme="majorBidi"/>
        </w:rPr>
        <w:t xml:space="preserve"> </w:t>
      </w:r>
      <w:r w:rsidR="00F52B87" w:rsidRPr="0F5AF2C9">
        <w:rPr>
          <w:rFonts w:asciiTheme="majorHAnsi" w:hAnsiTheme="majorHAnsi" w:cstheme="majorBidi"/>
        </w:rPr>
        <w:t>Year-on-year</w:t>
      </w:r>
      <w:r w:rsidR="002474EF" w:rsidRPr="0F5AF2C9">
        <w:rPr>
          <w:rFonts w:asciiTheme="majorHAnsi" w:hAnsiTheme="majorHAnsi" w:cstheme="majorBidi"/>
        </w:rPr>
        <w:t xml:space="preserve"> to December 2023, ABS data shows</w:t>
      </w:r>
      <w:r w:rsidR="00822543" w:rsidRPr="0F5AF2C9">
        <w:rPr>
          <w:rFonts w:asciiTheme="majorHAnsi" w:hAnsiTheme="majorHAnsi" w:cstheme="majorBidi"/>
        </w:rPr>
        <w:t xml:space="preserve"> </w:t>
      </w:r>
      <w:proofErr w:type="gramStart"/>
      <w:r w:rsidR="00CA3650" w:rsidRPr="0F5AF2C9">
        <w:rPr>
          <w:rFonts w:asciiTheme="majorHAnsi" w:hAnsiTheme="majorHAnsi" w:cstheme="majorBidi"/>
        </w:rPr>
        <w:t>child care</w:t>
      </w:r>
      <w:proofErr w:type="gramEnd"/>
      <w:r w:rsidR="00822543" w:rsidRPr="0F5AF2C9">
        <w:rPr>
          <w:rFonts w:asciiTheme="majorHAnsi" w:hAnsiTheme="majorHAnsi" w:cstheme="majorBidi"/>
        </w:rPr>
        <w:t xml:space="preserve"> costs decreased by 7.2 per cent</w:t>
      </w:r>
      <w:r w:rsidR="00EC2FED" w:rsidRPr="0F5AF2C9">
        <w:rPr>
          <w:rFonts w:asciiTheme="majorHAnsi" w:hAnsiTheme="majorHAnsi" w:cstheme="majorBidi"/>
        </w:rPr>
        <w:t>, which is due to</w:t>
      </w:r>
      <w:r w:rsidR="00822543" w:rsidRPr="0F5AF2C9">
        <w:rPr>
          <w:rFonts w:asciiTheme="majorHAnsi" w:hAnsiTheme="majorHAnsi" w:cstheme="majorBidi"/>
        </w:rPr>
        <w:t xml:space="preserve"> </w:t>
      </w:r>
      <w:r w:rsidR="00290F11" w:rsidRPr="0F5AF2C9">
        <w:rPr>
          <w:rFonts w:asciiTheme="majorHAnsi" w:hAnsiTheme="majorHAnsi" w:cstheme="majorBidi"/>
        </w:rPr>
        <w:t xml:space="preserve">the Government’s signature </w:t>
      </w:r>
      <w:r w:rsidR="00A162D2" w:rsidRPr="0F5AF2C9">
        <w:rPr>
          <w:rFonts w:asciiTheme="majorHAnsi" w:hAnsiTheme="majorHAnsi" w:cstheme="majorBidi"/>
        </w:rPr>
        <w:t>Cheaper Child Care measures introduced in July 202</w:t>
      </w:r>
      <w:r w:rsidR="008C49A0" w:rsidRPr="0F5AF2C9">
        <w:rPr>
          <w:rFonts w:asciiTheme="majorHAnsi" w:hAnsiTheme="majorHAnsi" w:cstheme="majorBidi"/>
        </w:rPr>
        <w:t>3</w:t>
      </w:r>
      <w:r w:rsidR="00A162D2" w:rsidRPr="0F5AF2C9">
        <w:rPr>
          <w:rFonts w:asciiTheme="majorHAnsi" w:hAnsiTheme="majorHAnsi" w:cstheme="majorBidi"/>
        </w:rPr>
        <w:t>.</w:t>
      </w:r>
      <w:r w:rsidR="00A87154" w:rsidRPr="0F5AF2C9">
        <w:rPr>
          <w:rStyle w:val="FootnoteReference"/>
          <w:rFonts w:asciiTheme="majorHAnsi" w:hAnsiTheme="majorHAnsi" w:cstheme="majorBidi"/>
        </w:rPr>
        <w:footnoteReference w:id="77"/>
      </w:r>
      <w:r w:rsidRPr="0F5AF2C9">
        <w:rPr>
          <w:rFonts w:asciiTheme="majorHAnsi" w:hAnsiTheme="majorHAnsi" w:cstheme="majorBidi"/>
        </w:rPr>
        <w:t> </w:t>
      </w:r>
    </w:p>
    <w:p w14:paraId="04AFAE75" w14:textId="0AF4403D" w:rsidR="00B41980" w:rsidRDefault="00DA2459" w:rsidP="007D5715">
      <w:pPr>
        <w:pStyle w:val="Heading2"/>
        <w:spacing w:before="240"/>
      </w:pPr>
      <w:bookmarkStart w:id="19" w:name="_Toc219193862"/>
      <w:r>
        <w:t>Case for Government intervention</w:t>
      </w:r>
      <w:bookmarkEnd w:id="19"/>
    </w:p>
    <w:p w14:paraId="78681A13" w14:textId="508014E2" w:rsidR="00133E82" w:rsidRDefault="00133E82" w:rsidP="00133E82">
      <w:pPr>
        <w:rPr>
          <w:rFonts w:asciiTheme="majorHAnsi" w:hAnsiTheme="majorHAnsi" w:cstheme="majorHAnsi"/>
        </w:rPr>
      </w:pPr>
      <w:r w:rsidRPr="00177A09">
        <w:rPr>
          <w:rFonts w:asciiTheme="majorHAnsi" w:hAnsiTheme="majorHAnsi" w:cstheme="majorHAnsi"/>
        </w:rPr>
        <w:t>In charting the course to universal high-quality ECEC, it is critical to improve attraction and retention of the ECEC workforce, whilst ensuring services remain accessible and are affordable for Australian families. Together with a suite of Australian Government workforce and training initiatives,</w:t>
      </w:r>
      <w:r w:rsidRPr="00177A09">
        <w:rPr>
          <w:rStyle w:val="FootnoteReference"/>
          <w:rFonts w:asciiTheme="majorHAnsi" w:hAnsiTheme="majorHAnsi" w:cstheme="majorHAnsi"/>
        </w:rPr>
        <w:footnoteReference w:id="78"/>
      </w:r>
      <w:r w:rsidRPr="00177A09">
        <w:rPr>
          <w:rFonts w:asciiTheme="majorHAnsi" w:hAnsiTheme="majorHAnsi" w:cstheme="majorHAnsi"/>
        </w:rPr>
        <w:t xml:space="preserve"> provision of Commonwealth funding is essential to support an increase in liveable wages for a historically undervalued workforce, whilst</w:t>
      </w:r>
      <w:r w:rsidR="00423895">
        <w:rPr>
          <w:rFonts w:asciiTheme="majorHAnsi" w:hAnsiTheme="majorHAnsi" w:cstheme="majorHAnsi"/>
        </w:rPr>
        <w:t xml:space="preserve"> also</w:t>
      </w:r>
      <w:r w:rsidRPr="00177A09">
        <w:rPr>
          <w:rFonts w:asciiTheme="majorHAnsi" w:hAnsiTheme="majorHAnsi" w:cstheme="majorHAnsi"/>
        </w:rPr>
        <w:t xml:space="preserve"> linked to conditions that maintain </w:t>
      </w:r>
      <w:r w:rsidRPr="00177A09">
        <w:rPr>
          <w:rFonts w:asciiTheme="majorHAnsi" w:hAnsiTheme="majorHAnsi" w:cstheme="majorHAnsi"/>
          <w:i/>
          <w:iCs/>
        </w:rPr>
        <w:t xml:space="preserve">Cheaper Child Care </w:t>
      </w:r>
      <w:r w:rsidRPr="00177A09">
        <w:rPr>
          <w:rFonts w:asciiTheme="majorHAnsi" w:hAnsiTheme="majorHAnsi" w:cstheme="majorHAnsi"/>
        </w:rPr>
        <w:t xml:space="preserve">for Australian families. </w:t>
      </w:r>
      <w:r w:rsidR="00DA5779">
        <w:rPr>
          <w:rFonts w:asciiTheme="majorHAnsi" w:hAnsiTheme="majorHAnsi" w:cstheme="majorHAnsi"/>
        </w:rPr>
        <w:t>T</w:t>
      </w:r>
      <w:r w:rsidR="00DA5779" w:rsidRPr="000F56E9">
        <w:rPr>
          <w:rFonts w:asciiTheme="majorHAnsi" w:hAnsiTheme="majorHAnsi" w:cstheme="majorHAnsi"/>
        </w:rPr>
        <w:t xml:space="preserve">he ACCC </w:t>
      </w:r>
      <w:r w:rsidR="00DA5779">
        <w:rPr>
          <w:rFonts w:asciiTheme="majorHAnsi" w:hAnsiTheme="majorHAnsi" w:cstheme="majorHAnsi"/>
        </w:rPr>
        <w:t xml:space="preserve">Inquiry </w:t>
      </w:r>
      <w:r w:rsidR="00DA5779" w:rsidRPr="000F56E9">
        <w:rPr>
          <w:rFonts w:asciiTheme="majorHAnsi" w:hAnsiTheme="majorHAnsi" w:cstheme="majorHAnsi"/>
        </w:rPr>
        <w:t>emphasised that market forces alone may not achieve all objectives Government has for ECEC.</w:t>
      </w:r>
      <w:r w:rsidR="00DA5779" w:rsidRPr="000F56E9">
        <w:rPr>
          <w:rStyle w:val="FootnoteReference"/>
          <w:rFonts w:asciiTheme="majorHAnsi" w:hAnsiTheme="majorHAnsi" w:cstheme="majorHAnsi"/>
        </w:rPr>
        <w:footnoteReference w:id="79"/>
      </w:r>
      <w:r w:rsidR="00DA5779" w:rsidRPr="000F56E9">
        <w:rPr>
          <w:rFonts w:asciiTheme="majorHAnsi" w:hAnsiTheme="majorHAnsi" w:cstheme="majorHAnsi"/>
        </w:rPr>
        <w:t xml:space="preserve"> Specifically, market forces are unlikely to increase workforce participation for all demographics (particularly for women and essential workers) or to ensure equitable educational or developmental outcomes across all children and households.</w:t>
      </w:r>
      <w:r w:rsidR="00DA5779" w:rsidRPr="000F56E9">
        <w:rPr>
          <w:rStyle w:val="FootnoteReference"/>
          <w:rFonts w:asciiTheme="majorHAnsi" w:hAnsiTheme="majorHAnsi" w:cstheme="majorHAnsi"/>
        </w:rPr>
        <w:footnoteReference w:id="80"/>
      </w:r>
    </w:p>
    <w:p w14:paraId="4189D073" w14:textId="3A3B60A4" w:rsidR="0010370D" w:rsidRDefault="00227F21" w:rsidP="00E80051">
      <w:pPr>
        <w:spacing w:before="240"/>
        <w:rPr>
          <w:rStyle w:val="Emphasis"/>
          <w:i w:val="0"/>
          <w:iCs w:val="0"/>
        </w:rPr>
      </w:pPr>
      <w:r>
        <w:rPr>
          <w:rStyle w:val="Emphasis"/>
          <w:i w:val="0"/>
          <w:iCs w:val="0"/>
        </w:rPr>
        <w:lastRenderedPageBreak/>
        <w:t xml:space="preserve">It </w:t>
      </w:r>
      <w:r w:rsidR="00EA6B45">
        <w:rPr>
          <w:rStyle w:val="Emphasis"/>
          <w:i w:val="0"/>
          <w:iCs w:val="0"/>
        </w:rPr>
        <w:t xml:space="preserve">now appears </w:t>
      </w:r>
      <w:r>
        <w:rPr>
          <w:rStyle w:val="Emphasis"/>
          <w:i w:val="0"/>
          <w:iCs w:val="0"/>
        </w:rPr>
        <w:t xml:space="preserve">inevitable that </w:t>
      </w:r>
      <w:r w:rsidR="00EA6B45">
        <w:rPr>
          <w:rStyle w:val="Emphasis"/>
          <w:i w:val="0"/>
          <w:iCs w:val="0"/>
        </w:rPr>
        <w:t>over the coming years</w:t>
      </w:r>
      <w:r w:rsidR="005718DF">
        <w:rPr>
          <w:rStyle w:val="Emphasis"/>
          <w:i w:val="0"/>
          <w:iCs w:val="0"/>
        </w:rPr>
        <w:t xml:space="preserve">, </w:t>
      </w:r>
      <w:r>
        <w:rPr>
          <w:rStyle w:val="Emphasis"/>
          <w:i w:val="0"/>
          <w:iCs w:val="0"/>
        </w:rPr>
        <w:t xml:space="preserve">wages </w:t>
      </w:r>
      <w:r w:rsidR="005718DF">
        <w:rPr>
          <w:rStyle w:val="Emphasis"/>
          <w:i w:val="0"/>
          <w:iCs w:val="0"/>
        </w:rPr>
        <w:t>for ECEC workers</w:t>
      </w:r>
      <w:r>
        <w:rPr>
          <w:rStyle w:val="Emphasis"/>
          <w:i w:val="0"/>
          <w:iCs w:val="0"/>
        </w:rPr>
        <w:t xml:space="preserve"> will be increasing </w:t>
      </w:r>
      <w:r w:rsidR="005718DF">
        <w:rPr>
          <w:rStyle w:val="Emphasis"/>
          <w:i w:val="0"/>
          <w:iCs w:val="0"/>
        </w:rPr>
        <w:t xml:space="preserve">beyond the </w:t>
      </w:r>
      <w:r w:rsidR="00904168">
        <w:rPr>
          <w:rStyle w:val="Emphasis"/>
          <w:i w:val="0"/>
          <w:iCs w:val="0"/>
        </w:rPr>
        <w:t>usual AWR increase</w:t>
      </w:r>
      <w:r w:rsidR="000C7368">
        <w:rPr>
          <w:rStyle w:val="Emphasis"/>
          <w:i w:val="0"/>
          <w:iCs w:val="0"/>
        </w:rPr>
        <w:t xml:space="preserve"> which</w:t>
      </w:r>
      <w:r w:rsidR="00904168">
        <w:rPr>
          <w:rStyle w:val="Emphasis"/>
          <w:i w:val="0"/>
          <w:iCs w:val="0"/>
        </w:rPr>
        <w:t xml:space="preserve"> </w:t>
      </w:r>
      <w:r w:rsidR="000C7368">
        <w:rPr>
          <w:rStyle w:val="Emphasis"/>
          <w:i w:val="0"/>
          <w:iCs w:val="0"/>
        </w:rPr>
        <w:t>increases</w:t>
      </w:r>
      <w:r w:rsidR="00904168">
        <w:rPr>
          <w:rStyle w:val="Emphasis"/>
          <w:i w:val="0"/>
          <w:iCs w:val="0"/>
        </w:rPr>
        <w:t xml:space="preserve"> the National Minimum Wage and modern award rates of pay. </w:t>
      </w:r>
      <w:r w:rsidR="00182B01">
        <w:rPr>
          <w:rStyle w:val="Emphasis"/>
          <w:i w:val="0"/>
          <w:iCs w:val="0"/>
        </w:rPr>
        <w:t xml:space="preserve">Meaningful wage increases </w:t>
      </w:r>
      <w:r w:rsidR="000C7368">
        <w:rPr>
          <w:rStyle w:val="Emphasis"/>
          <w:i w:val="0"/>
          <w:iCs w:val="0"/>
        </w:rPr>
        <w:t xml:space="preserve">for ECEC workers </w:t>
      </w:r>
      <w:r w:rsidR="00182B01">
        <w:rPr>
          <w:rStyle w:val="Emphasis"/>
          <w:i w:val="0"/>
          <w:iCs w:val="0"/>
        </w:rPr>
        <w:t>could occur as a result</w:t>
      </w:r>
      <w:r w:rsidR="0010370D">
        <w:rPr>
          <w:rStyle w:val="Emphasis"/>
          <w:i w:val="0"/>
          <w:iCs w:val="0"/>
        </w:rPr>
        <w:t>, or a combination of:</w:t>
      </w:r>
    </w:p>
    <w:p w14:paraId="3B4FBF43" w14:textId="1D338C5E" w:rsidR="00227F21" w:rsidRDefault="006E5C3E" w:rsidP="00031FA1">
      <w:pPr>
        <w:pStyle w:val="ListParagraph"/>
        <w:numPr>
          <w:ilvl w:val="0"/>
          <w:numId w:val="72"/>
        </w:numPr>
        <w:ind w:left="765" w:hanging="357"/>
        <w:rPr>
          <w:rStyle w:val="Emphasis"/>
          <w:i w:val="0"/>
          <w:iCs w:val="0"/>
        </w:rPr>
      </w:pPr>
      <w:r>
        <w:rPr>
          <w:rStyle w:val="Emphasis"/>
          <w:i w:val="0"/>
          <w:iCs w:val="0"/>
        </w:rPr>
        <w:t xml:space="preserve">Gender </w:t>
      </w:r>
      <w:proofErr w:type="gramStart"/>
      <w:r>
        <w:rPr>
          <w:rStyle w:val="Emphasis"/>
          <w:i w:val="0"/>
          <w:iCs w:val="0"/>
        </w:rPr>
        <w:t>pay</w:t>
      </w:r>
      <w:proofErr w:type="gramEnd"/>
      <w:r>
        <w:rPr>
          <w:rStyle w:val="Emphasis"/>
          <w:i w:val="0"/>
          <w:iCs w:val="0"/>
        </w:rPr>
        <w:t xml:space="preserve"> equity increases</w:t>
      </w:r>
      <w:r w:rsidR="00473DC3">
        <w:rPr>
          <w:rStyle w:val="Emphasis"/>
          <w:i w:val="0"/>
          <w:iCs w:val="0"/>
        </w:rPr>
        <w:t xml:space="preserve"> to </w:t>
      </w:r>
      <w:r w:rsidR="00232155">
        <w:rPr>
          <w:rStyle w:val="Emphasis"/>
          <w:i w:val="0"/>
          <w:iCs w:val="0"/>
        </w:rPr>
        <w:t>modern award rates of pay</w:t>
      </w:r>
      <w:r>
        <w:rPr>
          <w:rStyle w:val="Emphasis"/>
          <w:i w:val="0"/>
          <w:iCs w:val="0"/>
        </w:rPr>
        <w:t xml:space="preserve"> following </w:t>
      </w:r>
      <w:r w:rsidR="00A07A06">
        <w:rPr>
          <w:rStyle w:val="Emphasis"/>
          <w:i w:val="0"/>
          <w:iCs w:val="0"/>
        </w:rPr>
        <w:t xml:space="preserve">the </w:t>
      </w:r>
      <w:r w:rsidR="00A07A06">
        <w:rPr>
          <w:rStyle w:val="Emphasis"/>
        </w:rPr>
        <w:t xml:space="preserve">Secure Jobs, Better Pay </w:t>
      </w:r>
      <w:r w:rsidR="00A07A06">
        <w:rPr>
          <w:rStyle w:val="Emphasis"/>
          <w:i w:val="0"/>
          <w:iCs w:val="0"/>
        </w:rPr>
        <w:t>reforms which now require the FWC to consider the promotion of gender equity</w:t>
      </w:r>
      <w:r w:rsidR="00C0424B">
        <w:rPr>
          <w:rStyle w:val="Emphasis"/>
          <w:i w:val="0"/>
          <w:iCs w:val="0"/>
        </w:rPr>
        <w:t xml:space="preserve"> when setting modern award rates through the AWR</w:t>
      </w:r>
      <w:r w:rsidR="00473DC3">
        <w:rPr>
          <w:rStyle w:val="Emphasis"/>
          <w:i w:val="0"/>
          <w:iCs w:val="0"/>
        </w:rPr>
        <w:t>.</w:t>
      </w:r>
      <w:r w:rsidR="00472F3A">
        <w:rPr>
          <w:rStyle w:val="Emphasis"/>
          <w:i w:val="0"/>
          <w:iCs w:val="0"/>
        </w:rPr>
        <w:t xml:space="preserve"> This includes the rec</w:t>
      </w:r>
      <w:r w:rsidR="004161A9">
        <w:rPr>
          <w:rStyle w:val="Emphasis"/>
          <w:i w:val="0"/>
          <w:iCs w:val="0"/>
        </w:rPr>
        <w:t xml:space="preserve">ently created </w:t>
      </w:r>
      <w:r w:rsidR="00F16845">
        <w:rPr>
          <w:rStyle w:val="Emphasis"/>
          <w:i w:val="0"/>
          <w:iCs w:val="0"/>
        </w:rPr>
        <w:t>E</w:t>
      </w:r>
      <w:r w:rsidR="004161A9">
        <w:rPr>
          <w:rStyle w:val="Emphasis"/>
          <w:i w:val="0"/>
          <w:iCs w:val="0"/>
        </w:rPr>
        <w:t xml:space="preserve">xpert </w:t>
      </w:r>
      <w:r w:rsidR="00F16845">
        <w:rPr>
          <w:rStyle w:val="Emphasis"/>
          <w:i w:val="0"/>
          <w:iCs w:val="0"/>
        </w:rPr>
        <w:t>P</w:t>
      </w:r>
      <w:r w:rsidR="004161A9">
        <w:rPr>
          <w:rStyle w:val="Emphasis"/>
          <w:i w:val="0"/>
          <w:iCs w:val="0"/>
        </w:rPr>
        <w:t>anel to</w:t>
      </w:r>
      <w:r w:rsidR="00F16845">
        <w:rPr>
          <w:rStyle w:val="Emphasis"/>
          <w:i w:val="0"/>
          <w:iCs w:val="0"/>
        </w:rPr>
        <w:t xml:space="preserve"> review gender </w:t>
      </w:r>
      <w:r w:rsidR="000231E8">
        <w:rPr>
          <w:rStyle w:val="Emphasis"/>
          <w:i w:val="0"/>
          <w:iCs w:val="0"/>
        </w:rPr>
        <w:t xml:space="preserve">undervaluation </w:t>
      </w:r>
      <w:r w:rsidR="002B719F">
        <w:rPr>
          <w:rStyle w:val="Emphasis"/>
          <w:i w:val="0"/>
          <w:iCs w:val="0"/>
        </w:rPr>
        <w:t xml:space="preserve">issues in 5 priority modern awards, including the </w:t>
      </w:r>
      <w:r w:rsidR="002B719F">
        <w:rPr>
          <w:rStyle w:val="Emphasis"/>
        </w:rPr>
        <w:t>Children’s Services Award 2010.</w:t>
      </w:r>
      <w:r w:rsidR="002B719F" w:rsidRPr="00031FA1">
        <w:rPr>
          <w:rStyle w:val="FootnoteReference"/>
        </w:rPr>
        <w:footnoteReference w:id="81"/>
      </w:r>
      <w:r w:rsidR="004161A9" w:rsidRPr="00031FA1">
        <w:rPr>
          <w:rStyle w:val="Emphasis"/>
          <w:iCs w:val="0"/>
        </w:rPr>
        <w:t xml:space="preserve"> </w:t>
      </w:r>
    </w:p>
    <w:p w14:paraId="4B8115AD" w14:textId="7E81036F" w:rsidR="00620D41" w:rsidRDefault="002F7B44" w:rsidP="0010370D">
      <w:pPr>
        <w:pStyle w:val="ListParagraph"/>
        <w:numPr>
          <w:ilvl w:val="0"/>
          <w:numId w:val="72"/>
        </w:numPr>
        <w:rPr>
          <w:rStyle w:val="Emphasis"/>
          <w:i w:val="0"/>
          <w:iCs w:val="0"/>
        </w:rPr>
      </w:pPr>
      <w:r>
        <w:rPr>
          <w:rStyle w:val="Emphasis"/>
          <w:i w:val="0"/>
          <w:iCs w:val="0"/>
        </w:rPr>
        <w:t>Outcomes of the ECEC s</w:t>
      </w:r>
      <w:r w:rsidR="00620D41">
        <w:rPr>
          <w:rStyle w:val="Emphasis"/>
          <w:i w:val="0"/>
          <w:iCs w:val="0"/>
        </w:rPr>
        <w:t xml:space="preserve">upported bargaining </w:t>
      </w:r>
      <w:r>
        <w:rPr>
          <w:rStyle w:val="Emphasis"/>
          <w:i w:val="0"/>
          <w:iCs w:val="0"/>
        </w:rPr>
        <w:t>process</w:t>
      </w:r>
      <w:r w:rsidR="00620D41">
        <w:rPr>
          <w:rStyle w:val="Emphasis"/>
          <w:i w:val="0"/>
          <w:iCs w:val="0"/>
        </w:rPr>
        <w:t xml:space="preserve"> </w:t>
      </w:r>
      <w:r>
        <w:rPr>
          <w:rStyle w:val="Emphasis"/>
          <w:i w:val="0"/>
          <w:iCs w:val="0"/>
        </w:rPr>
        <w:t>that</w:t>
      </w:r>
      <w:r w:rsidR="00620D41">
        <w:rPr>
          <w:rStyle w:val="Emphasis"/>
          <w:i w:val="0"/>
          <w:iCs w:val="0"/>
        </w:rPr>
        <w:t xml:space="preserve"> provide ECEC workers </w:t>
      </w:r>
      <w:r w:rsidR="006875EE">
        <w:rPr>
          <w:rStyle w:val="Emphasis"/>
          <w:i w:val="0"/>
          <w:iCs w:val="0"/>
        </w:rPr>
        <w:t xml:space="preserve">with wage increases </w:t>
      </w:r>
      <w:r w:rsidR="00860A51">
        <w:rPr>
          <w:rStyle w:val="Emphasis"/>
          <w:i w:val="0"/>
          <w:iCs w:val="0"/>
        </w:rPr>
        <w:t>above relevant award rates of pay.</w:t>
      </w:r>
    </w:p>
    <w:p w14:paraId="370355C4" w14:textId="405610D5" w:rsidR="002222F6" w:rsidRPr="0010370D" w:rsidRDefault="002222F6" w:rsidP="007D5715">
      <w:pPr>
        <w:pStyle w:val="ListParagraph"/>
        <w:numPr>
          <w:ilvl w:val="0"/>
          <w:numId w:val="72"/>
        </w:numPr>
        <w:rPr>
          <w:rStyle w:val="Emphasis"/>
          <w:i w:val="0"/>
          <w:iCs w:val="0"/>
        </w:rPr>
      </w:pPr>
      <w:r>
        <w:rPr>
          <w:rStyle w:val="Emphasis"/>
          <w:i w:val="0"/>
          <w:iCs w:val="0"/>
        </w:rPr>
        <w:t xml:space="preserve">FWC or </w:t>
      </w:r>
      <w:r w:rsidR="005E0E8C">
        <w:rPr>
          <w:rStyle w:val="Emphasis"/>
          <w:i w:val="0"/>
          <w:iCs w:val="0"/>
        </w:rPr>
        <w:t xml:space="preserve">union </w:t>
      </w:r>
      <w:r w:rsidR="00D774C0">
        <w:rPr>
          <w:rStyle w:val="Emphasis"/>
          <w:i w:val="0"/>
          <w:iCs w:val="0"/>
        </w:rPr>
        <w:t xml:space="preserve">initiated </w:t>
      </w:r>
      <w:r w:rsidR="0058366D">
        <w:rPr>
          <w:rStyle w:val="Emphasis"/>
          <w:i w:val="0"/>
          <w:iCs w:val="0"/>
        </w:rPr>
        <w:t>work value case for ECEC workers</w:t>
      </w:r>
      <w:r w:rsidR="005533A7">
        <w:rPr>
          <w:rStyle w:val="Emphasis"/>
          <w:i w:val="0"/>
          <w:iCs w:val="0"/>
        </w:rPr>
        <w:t>.</w:t>
      </w:r>
    </w:p>
    <w:p w14:paraId="4CBD4A94" w14:textId="4A838A0B" w:rsidR="00133E82" w:rsidRDefault="002F186B" w:rsidP="00133E82">
      <w:pPr>
        <w:rPr>
          <w:rFonts w:asciiTheme="majorHAnsi" w:hAnsiTheme="majorHAnsi" w:cstheme="majorBidi"/>
        </w:rPr>
      </w:pPr>
      <w:r w:rsidRPr="37FCF8E7">
        <w:rPr>
          <w:rFonts w:asciiTheme="majorHAnsi" w:hAnsiTheme="majorHAnsi" w:cstheme="majorBidi"/>
        </w:rPr>
        <w:t>As stated above, labour is the main driver of costs for supplying childcare, accounting for</w:t>
      </w:r>
      <w:r w:rsidR="00E6670E" w:rsidRPr="37FCF8E7">
        <w:rPr>
          <w:rFonts w:asciiTheme="majorHAnsi" w:hAnsiTheme="majorHAnsi" w:cstheme="majorBidi"/>
        </w:rPr>
        <w:t xml:space="preserve"> 69</w:t>
      </w:r>
      <w:r w:rsidR="00FD77CC" w:rsidRPr="37FCF8E7">
        <w:rPr>
          <w:rFonts w:asciiTheme="majorHAnsi" w:hAnsiTheme="majorHAnsi" w:cstheme="majorBidi"/>
        </w:rPr>
        <w:t xml:space="preserve"> per cent</w:t>
      </w:r>
      <w:r w:rsidR="00E6670E" w:rsidRPr="37FCF8E7">
        <w:rPr>
          <w:rFonts w:asciiTheme="majorHAnsi" w:hAnsiTheme="majorHAnsi" w:cstheme="majorBidi"/>
        </w:rPr>
        <w:t xml:space="preserve"> </w:t>
      </w:r>
      <w:r w:rsidR="00B968FC" w:rsidRPr="37FCF8E7">
        <w:rPr>
          <w:rFonts w:asciiTheme="majorHAnsi" w:hAnsiTheme="majorHAnsi" w:cstheme="majorBidi"/>
        </w:rPr>
        <w:t>or more of total costs</w:t>
      </w:r>
      <w:r w:rsidR="00D605B7" w:rsidRPr="37FCF8E7">
        <w:rPr>
          <w:rFonts w:asciiTheme="majorHAnsi" w:hAnsiTheme="majorHAnsi" w:cstheme="majorBidi"/>
        </w:rPr>
        <w:t xml:space="preserve">, with labour costs increasing significantly for large providers of centre </w:t>
      </w:r>
      <w:r w:rsidR="005C6953" w:rsidRPr="37FCF8E7">
        <w:rPr>
          <w:rFonts w:asciiTheme="majorHAnsi" w:hAnsiTheme="majorHAnsi" w:cstheme="majorBidi"/>
        </w:rPr>
        <w:t>based day care over the past 5 years</w:t>
      </w:r>
      <w:r w:rsidR="00B968FC" w:rsidRPr="37FCF8E7">
        <w:rPr>
          <w:rFonts w:asciiTheme="majorHAnsi" w:hAnsiTheme="majorHAnsi" w:cstheme="majorBidi"/>
        </w:rPr>
        <w:t>.</w:t>
      </w:r>
      <w:r w:rsidR="00B2749B" w:rsidRPr="37FCF8E7">
        <w:rPr>
          <w:rStyle w:val="FootnoteReference"/>
          <w:rFonts w:asciiTheme="majorHAnsi" w:hAnsiTheme="majorHAnsi" w:cstheme="majorBidi"/>
        </w:rPr>
        <w:footnoteReference w:id="82"/>
      </w:r>
      <w:r w:rsidR="00B968FC" w:rsidRPr="37FCF8E7">
        <w:rPr>
          <w:rFonts w:asciiTheme="majorHAnsi" w:hAnsiTheme="majorHAnsi" w:cstheme="majorBidi"/>
        </w:rPr>
        <w:t xml:space="preserve"> </w:t>
      </w:r>
      <w:r w:rsidR="00133E82" w:rsidRPr="37FCF8E7">
        <w:rPr>
          <w:rFonts w:asciiTheme="majorHAnsi" w:hAnsiTheme="majorHAnsi" w:cstheme="majorBidi"/>
        </w:rPr>
        <w:t xml:space="preserve">As the majority funder of the ECEC sector through the CCS, there is a strong legislative basis for government involvement in wage increases that are beyond, and distinct from, the yearly </w:t>
      </w:r>
      <w:r w:rsidR="00FF4A28" w:rsidRPr="37FCF8E7">
        <w:rPr>
          <w:rFonts w:asciiTheme="majorHAnsi" w:hAnsiTheme="majorHAnsi" w:cstheme="majorBidi"/>
        </w:rPr>
        <w:t>AWR</w:t>
      </w:r>
      <w:r w:rsidR="00133E82" w:rsidRPr="37FCF8E7">
        <w:rPr>
          <w:rFonts w:asciiTheme="majorHAnsi" w:hAnsiTheme="majorHAnsi" w:cstheme="majorBidi"/>
        </w:rPr>
        <w:t xml:space="preserve"> wage increases. </w:t>
      </w:r>
    </w:p>
    <w:p w14:paraId="58ABD305" w14:textId="3CBC7CD3" w:rsidR="00B71846" w:rsidRDefault="00133E82" w:rsidP="00133E82">
      <w:pPr>
        <w:rPr>
          <w:rStyle w:val="eop"/>
          <w:rFonts w:cs="Calibri Light"/>
          <w:color w:val="000000"/>
          <w:shd w:val="clear" w:color="auto" w:fill="FFFFFF"/>
        </w:rPr>
      </w:pPr>
      <w:r>
        <w:rPr>
          <w:rStyle w:val="eop"/>
          <w:rFonts w:cs="Calibri Light"/>
          <w:color w:val="000000"/>
          <w:shd w:val="clear" w:color="auto" w:fill="FFFFFF"/>
        </w:rPr>
        <w:t xml:space="preserve">As the ECEC sector continues calls for government funding in support of wage increases aligned with aged care, </w:t>
      </w:r>
      <w:r w:rsidR="00FD77CC">
        <w:rPr>
          <w:rStyle w:val="eop"/>
          <w:rFonts w:cs="Calibri Light"/>
          <w:color w:val="000000"/>
          <w:shd w:val="clear" w:color="auto" w:fill="FFFFFF"/>
        </w:rPr>
        <w:t xml:space="preserve">ECEC </w:t>
      </w:r>
      <w:r>
        <w:rPr>
          <w:rStyle w:val="eop"/>
          <w:rFonts w:cs="Calibri Light"/>
          <w:color w:val="000000"/>
          <w:shd w:val="clear" w:color="auto" w:fill="FFFFFF"/>
        </w:rPr>
        <w:t xml:space="preserve">stakeholders are reporting </w:t>
      </w:r>
      <w:r w:rsidR="00BF59D5">
        <w:rPr>
          <w:rStyle w:val="eop"/>
          <w:rFonts w:cs="Calibri Light"/>
          <w:color w:val="000000"/>
          <w:shd w:val="clear" w:color="auto" w:fill="FFFFFF"/>
        </w:rPr>
        <w:t>anecdotally</w:t>
      </w:r>
      <w:r>
        <w:rPr>
          <w:rStyle w:val="eop"/>
          <w:rFonts w:cs="Calibri Light"/>
          <w:color w:val="000000"/>
          <w:shd w:val="clear" w:color="auto" w:fill="FFFFFF"/>
        </w:rPr>
        <w:t xml:space="preserve"> that workers are leaving the sector for higher paying roles in industries such as in aged care.</w:t>
      </w:r>
      <w:r>
        <w:rPr>
          <w:rStyle w:val="FootnoteReference"/>
          <w:rFonts w:cs="Calibri Light"/>
          <w:color w:val="000000"/>
          <w:shd w:val="clear" w:color="auto" w:fill="FFFFFF"/>
        </w:rPr>
        <w:footnoteReference w:id="83"/>
      </w:r>
      <w:r w:rsidR="005262A5">
        <w:rPr>
          <w:rStyle w:val="eop"/>
          <w:rFonts w:cs="Calibri Light"/>
          <w:color w:val="000000"/>
          <w:shd w:val="clear" w:color="auto" w:fill="FFFFFF"/>
        </w:rPr>
        <w:t xml:space="preserve"> </w:t>
      </w:r>
      <w:r w:rsidR="003523E0">
        <w:rPr>
          <w:rStyle w:val="eop"/>
          <w:rFonts w:cs="Calibri Light"/>
          <w:color w:val="000000"/>
          <w:shd w:val="clear" w:color="auto" w:fill="FFFFFF"/>
        </w:rPr>
        <w:t>On 3 June 2024,</w:t>
      </w:r>
      <w:r>
        <w:rPr>
          <w:rStyle w:val="eop"/>
          <w:rFonts w:cs="Calibri Light"/>
          <w:color w:val="000000"/>
          <w:shd w:val="clear" w:color="auto" w:fill="FFFFFF"/>
        </w:rPr>
        <w:t xml:space="preserve">  the </w:t>
      </w:r>
      <w:r w:rsidR="00D10C89">
        <w:rPr>
          <w:rStyle w:val="eop"/>
          <w:rFonts w:cs="Calibri Light"/>
          <w:color w:val="000000"/>
          <w:shd w:val="clear" w:color="auto" w:fill="FFFFFF"/>
        </w:rPr>
        <w:t>FWC</w:t>
      </w:r>
      <w:r w:rsidR="003523E0">
        <w:rPr>
          <w:rStyle w:val="eop"/>
          <w:rFonts w:cs="Calibri Light"/>
          <w:color w:val="000000"/>
          <w:shd w:val="clear" w:color="auto" w:fill="FFFFFF"/>
        </w:rPr>
        <w:t xml:space="preserve"> announced the establishment of </w:t>
      </w:r>
      <w:r w:rsidR="00BF59D5">
        <w:rPr>
          <w:rStyle w:val="eop"/>
          <w:rFonts w:cs="Calibri Light"/>
          <w:color w:val="000000"/>
          <w:shd w:val="clear" w:color="auto" w:fill="FFFFFF"/>
        </w:rPr>
        <w:t>a</w:t>
      </w:r>
      <w:r w:rsidR="003523E0">
        <w:rPr>
          <w:rStyle w:val="eop"/>
          <w:rFonts w:cs="Calibri Light"/>
          <w:color w:val="000000"/>
          <w:shd w:val="clear" w:color="auto" w:fill="FFFFFF"/>
        </w:rPr>
        <w:t xml:space="preserve"> program </w:t>
      </w:r>
      <w:r w:rsidR="00037DB7">
        <w:rPr>
          <w:rStyle w:val="eop"/>
          <w:rFonts w:cs="Calibri Light"/>
          <w:color w:val="000000"/>
          <w:shd w:val="clear" w:color="auto" w:fill="FFFFFF"/>
        </w:rPr>
        <w:t>for the resolution</w:t>
      </w:r>
      <w:r w:rsidR="00D937EC">
        <w:rPr>
          <w:rStyle w:val="eop"/>
          <w:rFonts w:cs="Calibri Light"/>
          <w:color w:val="000000"/>
          <w:shd w:val="clear" w:color="auto" w:fill="FFFFFF"/>
        </w:rPr>
        <w:t xml:space="preserve"> of gender under</w:t>
      </w:r>
      <w:r w:rsidR="005D188C">
        <w:rPr>
          <w:rStyle w:val="eop"/>
          <w:rFonts w:cs="Calibri Light"/>
          <w:color w:val="000000"/>
          <w:shd w:val="clear" w:color="auto" w:fill="FFFFFF"/>
        </w:rPr>
        <w:t xml:space="preserve">valuation </w:t>
      </w:r>
      <w:r w:rsidR="00490F08">
        <w:rPr>
          <w:rStyle w:val="eop"/>
          <w:rFonts w:cs="Calibri Light"/>
          <w:color w:val="000000"/>
          <w:shd w:val="clear" w:color="auto" w:fill="FFFFFF"/>
        </w:rPr>
        <w:t>issues arising in respect of certain modern awards</w:t>
      </w:r>
      <w:r w:rsidR="008F0848">
        <w:rPr>
          <w:rStyle w:val="eop"/>
          <w:rFonts w:cs="Calibri Light"/>
          <w:color w:val="000000"/>
          <w:shd w:val="clear" w:color="auto" w:fill="FFFFFF"/>
        </w:rPr>
        <w:t xml:space="preserve">. </w:t>
      </w:r>
      <w:r w:rsidR="00E84669">
        <w:rPr>
          <w:rStyle w:val="eop"/>
          <w:rFonts w:cs="Calibri Light"/>
          <w:color w:val="000000"/>
          <w:shd w:val="clear" w:color="auto" w:fill="FFFFFF"/>
        </w:rPr>
        <w:t xml:space="preserve">Importantly, the </w:t>
      </w:r>
      <w:r w:rsidR="008F0848">
        <w:rPr>
          <w:rStyle w:val="eop"/>
          <w:rFonts w:cs="Calibri Light"/>
          <w:color w:val="000000"/>
          <w:shd w:val="clear" w:color="auto" w:fill="FFFFFF"/>
        </w:rPr>
        <w:t>FWC identified</w:t>
      </w:r>
      <w:r w:rsidR="00025E4A">
        <w:rPr>
          <w:rStyle w:val="eop"/>
          <w:rFonts w:cs="Calibri Light"/>
          <w:color w:val="000000"/>
          <w:shd w:val="clear" w:color="auto" w:fill="FFFFFF"/>
        </w:rPr>
        <w:t xml:space="preserve"> </w:t>
      </w:r>
      <w:r w:rsidR="00BF59D5">
        <w:rPr>
          <w:rStyle w:val="eop"/>
          <w:rFonts w:cs="Calibri Light"/>
          <w:color w:val="000000"/>
          <w:shd w:val="clear" w:color="auto" w:fill="FFFFFF"/>
        </w:rPr>
        <w:t xml:space="preserve">the </w:t>
      </w:r>
      <w:r w:rsidR="00BF59D5">
        <w:rPr>
          <w:rStyle w:val="Emphasis"/>
        </w:rPr>
        <w:t xml:space="preserve">Children’s Services Award 2010 </w:t>
      </w:r>
      <w:r w:rsidR="0014122C">
        <w:rPr>
          <w:rStyle w:val="eop"/>
          <w:rFonts w:cs="Calibri Light"/>
          <w:color w:val="000000"/>
          <w:shd w:val="clear" w:color="auto" w:fill="FFFFFF"/>
        </w:rPr>
        <w:t xml:space="preserve">as a priority </w:t>
      </w:r>
      <w:r w:rsidR="008C7CAA">
        <w:rPr>
          <w:rStyle w:val="eop"/>
          <w:rFonts w:cs="Calibri Light"/>
          <w:color w:val="000000"/>
          <w:shd w:val="clear" w:color="auto" w:fill="FFFFFF"/>
        </w:rPr>
        <w:t xml:space="preserve">area </w:t>
      </w:r>
      <w:r w:rsidR="0014122C">
        <w:rPr>
          <w:rStyle w:val="eop"/>
          <w:rFonts w:cs="Calibri Light"/>
          <w:color w:val="000000"/>
          <w:shd w:val="clear" w:color="auto" w:fill="FFFFFF"/>
        </w:rPr>
        <w:t>for</w:t>
      </w:r>
      <w:r w:rsidR="00C20A60">
        <w:rPr>
          <w:rStyle w:val="eop"/>
          <w:rFonts w:cs="Calibri Light"/>
          <w:color w:val="000000"/>
          <w:shd w:val="clear" w:color="auto" w:fill="FFFFFF"/>
        </w:rPr>
        <w:t xml:space="preserve"> this program. The proceedings will take place in the next 12 months and will be completed by </w:t>
      </w:r>
      <w:r w:rsidR="008C7CAA">
        <w:rPr>
          <w:rStyle w:val="eop"/>
          <w:rFonts w:cs="Calibri Light"/>
          <w:color w:val="000000"/>
          <w:shd w:val="clear" w:color="auto" w:fill="FFFFFF"/>
        </w:rPr>
        <w:t xml:space="preserve">the time of the </w:t>
      </w:r>
      <w:r w:rsidR="00BF59D5">
        <w:rPr>
          <w:rStyle w:val="eop"/>
          <w:rFonts w:cs="Calibri Light"/>
          <w:color w:val="000000"/>
          <w:shd w:val="clear" w:color="auto" w:fill="FFFFFF"/>
        </w:rPr>
        <w:t>next</w:t>
      </w:r>
      <w:r w:rsidR="008C7CAA">
        <w:rPr>
          <w:rStyle w:val="eop"/>
          <w:rFonts w:cs="Calibri Light"/>
          <w:color w:val="000000"/>
          <w:shd w:val="clear" w:color="auto" w:fill="FFFFFF"/>
        </w:rPr>
        <w:t xml:space="preserve"> AWR </w:t>
      </w:r>
      <w:r w:rsidR="00BF59D5">
        <w:rPr>
          <w:rStyle w:val="eop"/>
          <w:rFonts w:cs="Calibri Light"/>
          <w:color w:val="000000"/>
          <w:shd w:val="clear" w:color="auto" w:fill="FFFFFF"/>
        </w:rPr>
        <w:t xml:space="preserve">in June </w:t>
      </w:r>
      <w:r w:rsidR="008C7CAA">
        <w:rPr>
          <w:rStyle w:val="eop"/>
          <w:rFonts w:cs="Calibri Light"/>
          <w:color w:val="000000"/>
          <w:shd w:val="clear" w:color="auto" w:fill="FFFFFF"/>
        </w:rPr>
        <w:t xml:space="preserve">2025. </w:t>
      </w:r>
      <w:r w:rsidR="001C73E1">
        <w:rPr>
          <w:rStyle w:val="eop"/>
          <w:rFonts w:cs="Calibri Light"/>
          <w:color w:val="000000"/>
          <w:shd w:val="clear" w:color="auto" w:fill="FFFFFF"/>
        </w:rPr>
        <w:t xml:space="preserve"> </w:t>
      </w:r>
    </w:p>
    <w:p w14:paraId="1974589E" w14:textId="4B347F84" w:rsidR="001D08E0" w:rsidRDefault="001C73E1" w:rsidP="00133E82">
      <w:pPr>
        <w:rPr>
          <w:rStyle w:val="eop"/>
          <w:rFonts w:cs="Calibri Light"/>
          <w:color w:val="000000"/>
          <w:shd w:val="clear" w:color="auto" w:fill="FFFFFF"/>
        </w:rPr>
      </w:pPr>
      <w:r>
        <w:rPr>
          <w:rStyle w:val="eop"/>
          <w:rFonts w:cs="Calibri Light"/>
          <w:color w:val="000000"/>
          <w:shd w:val="clear" w:color="auto" w:fill="FFFFFF"/>
        </w:rPr>
        <w:t>Following the</w:t>
      </w:r>
      <w:r w:rsidR="00241315">
        <w:rPr>
          <w:rStyle w:val="eop"/>
          <w:rFonts w:cs="Calibri Light"/>
          <w:color w:val="000000"/>
          <w:shd w:val="clear" w:color="auto" w:fill="FFFFFF"/>
        </w:rPr>
        <w:t xml:space="preserve"> findings at</w:t>
      </w:r>
      <w:r>
        <w:rPr>
          <w:rStyle w:val="eop"/>
          <w:rFonts w:cs="Calibri Light"/>
          <w:color w:val="000000"/>
          <w:shd w:val="clear" w:color="auto" w:fill="FFFFFF"/>
        </w:rPr>
        <w:t xml:space="preserve"> outcomes of</w:t>
      </w:r>
      <w:r w:rsidR="00241315">
        <w:rPr>
          <w:rStyle w:val="eop"/>
          <w:rFonts w:cs="Calibri Light"/>
          <w:color w:val="000000"/>
          <w:shd w:val="clear" w:color="auto" w:fill="FFFFFF"/>
        </w:rPr>
        <w:t xml:space="preserve"> Stage 3 of</w:t>
      </w:r>
      <w:r>
        <w:rPr>
          <w:rStyle w:val="eop"/>
          <w:rFonts w:cs="Calibri Light"/>
          <w:color w:val="000000"/>
          <w:shd w:val="clear" w:color="auto" w:fill="FFFFFF"/>
        </w:rPr>
        <w:t xml:space="preserve"> the Work Value Case – Aged Care Industry</w:t>
      </w:r>
      <w:r w:rsidR="00241315">
        <w:rPr>
          <w:rStyle w:val="eop"/>
          <w:rFonts w:cs="Calibri Light"/>
          <w:color w:val="000000"/>
          <w:shd w:val="clear" w:color="auto" w:fill="FFFFFF"/>
        </w:rPr>
        <w:t>, together with the</w:t>
      </w:r>
      <w:r w:rsidR="00D93D08">
        <w:rPr>
          <w:rStyle w:val="eop"/>
          <w:rFonts w:cs="Calibri Light"/>
          <w:color w:val="000000"/>
          <w:shd w:val="clear" w:color="auto" w:fill="FFFFFF"/>
        </w:rPr>
        <w:t xml:space="preserve"> findings o</w:t>
      </w:r>
      <w:r w:rsidR="00241315">
        <w:rPr>
          <w:rStyle w:val="eop"/>
          <w:rFonts w:cs="Calibri Light"/>
          <w:color w:val="000000"/>
          <w:shd w:val="clear" w:color="auto" w:fill="FFFFFF"/>
        </w:rPr>
        <w:t>utlined in</w:t>
      </w:r>
      <w:r w:rsidR="00D93D08">
        <w:rPr>
          <w:rStyle w:val="eop"/>
          <w:rFonts w:cs="Calibri Light"/>
          <w:color w:val="000000"/>
          <w:shd w:val="clear" w:color="auto" w:fill="FFFFFF"/>
        </w:rPr>
        <w:t xml:space="preserve"> the Stage 2</w:t>
      </w:r>
      <w:r w:rsidR="00EC5B54">
        <w:rPr>
          <w:rStyle w:val="eop"/>
          <w:rFonts w:cs="Calibri Light"/>
          <w:color w:val="000000"/>
          <w:shd w:val="clear" w:color="auto" w:fill="FFFFFF"/>
        </w:rPr>
        <w:t xml:space="preserve"> </w:t>
      </w:r>
      <w:r w:rsidR="001E766B">
        <w:rPr>
          <w:rStyle w:val="eop"/>
          <w:rFonts w:cs="Calibri Light"/>
          <w:color w:val="000000"/>
          <w:shd w:val="clear" w:color="auto" w:fill="FFFFFF"/>
        </w:rPr>
        <w:t>report: Gender pay equity research</w:t>
      </w:r>
      <w:r w:rsidR="00070EA9">
        <w:rPr>
          <w:rStyle w:val="eop"/>
          <w:rFonts w:cs="Calibri Light"/>
          <w:color w:val="000000"/>
          <w:shd w:val="clear" w:color="auto" w:fill="FFFFFF"/>
        </w:rPr>
        <w:t>,</w:t>
      </w:r>
      <w:r w:rsidR="006B40F9">
        <w:rPr>
          <w:rStyle w:val="FootnoteReference"/>
          <w:rFonts w:cs="Calibri Light"/>
          <w:color w:val="000000"/>
          <w:shd w:val="clear" w:color="auto" w:fill="FFFFFF"/>
        </w:rPr>
        <w:footnoteReference w:id="84"/>
      </w:r>
      <w:r w:rsidR="00070EA9">
        <w:rPr>
          <w:rStyle w:val="eop"/>
          <w:rFonts w:cs="Calibri Light"/>
          <w:color w:val="000000"/>
          <w:shd w:val="clear" w:color="auto" w:fill="FFFFFF"/>
        </w:rPr>
        <w:t xml:space="preserve"> ECEC stakeholders</w:t>
      </w:r>
      <w:r w:rsidR="004E1AF2">
        <w:rPr>
          <w:rStyle w:val="eop"/>
          <w:rFonts w:cs="Calibri Light"/>
          <w:color w:val="000000"/>
          <w:shd w:val="clear" w:color="auto" w:fill="FFFFFF"/>
        </w:rPr>
        <w:t xml:space="preserve"> now expect that an ECEC work value case </w:t>
      </w:r>
      <w:r w:rsidR="00070EA9">
        <w:rPr>
          <w:rStyle w:val="eop"/>
          <w:rFonts w:cs="Calibri Light"/>
          <w:color w:val="000000"/>
          <w:shd w:val="clear" w:color="auto" w:fill="FFFFFF"/>
        </w:rPr>
        <w:t>would</w:t>
      </w:r>
      <w:r w:rsidR="004E1AF2">
        <w:rPr>
          <w:rStyle w:val="eop"/>
          <w:rFonts w:cs="Calibri Light"/>
          <w:color w:val="000000"/>
          <w:shd w:val="clear" w:color="auto" w:fill="FFFFFF"/>
        </w:rPr>
        <w:t xml:space="preserve"> </w:t>
      </w:r>
      <w:r w:rsidR="00241315">
        <w:rPr>
          <w:rStyle w:val="eop"/>
          <w:rFonts w:cs="Calibri Light"/>
          <w:color w:val="000000"/>
          <w:shd w:val="clear" w:color="auto" w:fill="FFFFFF"/>
        </w:rPr>
        <w:t xml:space="preserve">take </w:t>
      </w:r>
      <w:r w:rsidR="00070EA9">
        <w:rPr>
          <w:rStyle w:val="eop"/>
          <w:rFonts w:cs="Calibri Light"/>
          <w:color w:val="000000"/>
          <w:shd w:val="clear" w:color="auto" w:fill="FFFFFF"/>
        </w:rPr>
        <w:t>as little as</w:t>
      </w:r>
      <w:r w:rsidR="00D96C38">
        <w:rPr>
          <w:rStyle w:val="eop"/>
          <w:rFonts w:cs="Calibri Light"/>
          <w:color w:val="000000"/>
          <w:shd w:val="clear" w:color="auto" w:fill="FFFFFF"/>
        </w:rPr>
        <w:t xml:space="preserve"> 8 to 12 months to complete. </w:t>
      </w:r>
      <w:r w:rsidR="00270932">
        <w:rPr>
          <w:rStyle w:val="eop"/>
          <w:rFonts w:cs="Calibri Light"/>
          <w:color w:val="000000"/>
          <w:shd w:val="clear" w:color="auto" w:fill="FFFFFF"/>
        </w:rPr>
        <w:t xml:space="preserve">Whether award wages for ECEC workers are meaningfully lifted as a result of </w:t>
      </w:r>
      <w:r w:rsidR="00DE1CDD">
        <w:rPr>
          <w:rStyle w:val="eop"/>
          <w:rFonts w:cs="Calibri Light"/>
          <w:color w:val="000000"/>
          <w:shd w:val="clear" w:color="auto" w:fill="FFFFFF"/>
        </w:rPr>
        <w:t xml:space="preserve">the </w:t>
      </w:r>
      <w:r w:rsidR="00FB120A">
        <w:rPr>
          <w:rStyle w:val="eop"/>
          <w:rFonts w:cs="Calibri Light"/>
          <w:color w:val="000000"/>
          <w:shd w:val="clear" w:color="auto" w:fill="FFFFFF"/>
        </w:rPr>
        <w:t>gender undervaluation program initiated by the FWC</w:t>
      </w:r>
      <w:r w:rsidR="00270932">
        <w:rPr>
          <w:rStyle w:val="eop"/>
          <w:rFonts w:cs="Calibri Light"/>
          <w:color w:val="000000"/>
          <w:shd w:val="clear" w:color="auto" w:fill="FFFFFF"/>
        </w:rPr>
        <w:t>, or as a result of a</w:t>
      </w:r>
      <w:r w:rsidR="007826A2">
        <w:rPr>
          <w:rStyle w:val="eop"/>
          <w:rFonts w:cs="Calibri Light"/>
          <w:color w:val="000000"/>
          <w:shd w:val="clear" w:color="auto" w:fill="FFFFFF"/>
        </w:rPr>
        <w:t xml:space="preserve"> work value case</w:t>
      </w:r>
      <w:r w:rsidR="008715A1">
        <w:rPr>
          <w:rStyle w:val="eop"/>
          <w:rFonts w:cs="Calibri Light"/>
          <w:color w:val="000000"/>
          <w:shd w:val="clear" w:color="auto" w:fill="FFFFFF"/>
        </w:rPr>
        <w:t>,</w:t>
      </w:r>
      <w:r w:rsidR="005C5521">
        <w:rPr>
          <w:rStyle w:val="eop"/>
          <w:rFonts w:cs="Calibri Light"/>
          <w:color w:val="000000"/>
          <w:shd w:val="clear" w:color="auto" w:fill="FFFFFF"/>
        </w:rPr>
        <w:t xml:space="preserve"> the outcome would have </w:t>
      </w:r>
      <w:r w:rsidR="007D5E9B">
        <w:rPr>
          <w:rStyle w:val="eop"/>
          <w:rFonts w:cs="Calibri Light"/>
          <w:color w:val="000000"/>
          <w:shd w:val="clear" w:color="auto" w:fill="FFFFFF"/>
        </w:rPr>
        <w:t>wide scope, lifting wages sector wide</w:t>
      </w:r>
      <w:r w:rsidR="00D03DA1">
        <w:rPr>
          <w:rStyle w:val="eop"/>
          <w:rFonts w:cs="Calibri Light"/>
          <w:color w:val="000000"/>
          <w:shd w:val="clear" w:color="auto" w:fill="FFFFFF"/>
        </w:rPr>
        <w:t xml:space="preserve"> and potentially in a short period of time</w:t>
      </w:r>
      <w:r w:rsidR="00505475">
        <w:rPr>
          <w:rStyle w:val="eop"/>
          <w:rFonts w:cs="Calibri Light"/>
          <w:color w:val="000000"/>
          <w:shd w:val="clear" w:color="auto" w:fill="FFFFFF"/>
        </w:rPr>
        <w:t xml:space="preserve"> (</w:t>
      </w:r>
      <w:r w:rsidR="005058F9">
        <w:rPr>
          <w:rStyle w:val="eop"/>
          <w:rFonts w:cs="Calibri Light"/>
          <w:color w:val="000000"/>
          <w:shd w:val="clear" w:color="auto" w:fill="FFFFFF"/>
        </w:rPr>
        <w:t>Work Value Cases are</w:t>
      </w:r>
      <w:r w:rsidR="00505475">
        <w:rPr>
          <w:rStyle w:val="eop"/>
          <w:rFonts w:cs="Calibri Light"/>
          <w:color w:val="000000"/>
          <w:shd w:val="clear" w:color="auto" w:fill="FFFFFF"/>
        </w:rPr>
        <w:t xml:space="preserve"> outlined at </w:t>
      </w:r>
      <w:r w:rsidR="00505475">
        <w:rPr>
          <w:rStyle w:val="eop"/>
          <w:rFonts w:cs="Calibri Light"/>
          <w:b/>
          <w:bCs/>
          <w:color w:val="000000"/>
          <w:shd w:val="clear" w:color="auto" w:fill="FFFFFF"/>
        </w:rPr>
        <w:t>Appendix C</w:t>
      </w:r>
      <w:r w:rsidR="00505475" w:rsidRPr="00AE6C3B">
        <w:rPr>
          <w:rStyle w:val="eop"/>
          <w:rFonts w:cs="Calibri Light"/>
          <w:color w:val="000000"/>
          <w:shd w:val="clear" w:color="auto" w:fill="FFFFFF"/>
        </w:rPr>
        <w:t>)</w:t>
      </w:r>
      <w:r w:rsidR="00D76B8E">
        <w:rPr>
          <w:rStyle w:val="eop"/>
          <w:rFonts w:cs="Calibri Light"/>
          <w:color w:val="000000"/>
          <w:shd w:val="clear" w:color="auto" w:fill="FFFFFF"/>
        </w:rPr>
        <w:t>.</w:t>
      </w:r>
      <w:r w:rsidR="0000397A">
        <w:rPr>
          <w:rStyle w:val="eop"/>
          <w:rFonts w:cs="Calibri Light"/>
          <w:color w:val="000000"/>
          <w:shd w:val="clear" w:color="auto" w:fill="FFFFFF"/>
        </w:rPr>
        <w:t xml:space="preserve"> </w:t>
      </w:r>
      <w:r>
        <w:rPr>
          <w:rStyle w:val="eop"/>
          <w:rFonts w:cs="Calibri Light"/>
          <w:color w:val="000000"/>
          <w:shd w:val="clear" w:color="auto" w:fill="FFFFFF"/>
        </w:rPr>
        <w:t>All</w:t>
      </w:r>
      <w:r w:rsidR="00133E82">
        <w:rPr>
          <w:rStyle w:val="eop"/>
          <w:rFonts w:cs="Calibri Light"/>
          <w:color w:val="000000"/>
          <w:shd w:val="clear" w:color="auto" w:fill="FFFFFF"/>
        </w:rPr>
        <w:t xml:space="preserve"> ECEC sector stakeholders including providers, workers and families accessing these services require clarity from government on how the increased wage costs will be met. </w:t>
      </w:r>
    </w:p>
    <w:p w14:paraId="27E8C808" w14:textId="68E1BDFE" w:rsidR="00A24551" w:rsidRDefault="2491632D" w:rsidP="35771FF5">
      <w:pPr>
        <w:rPr>
          <w:rFonts w:asciiTheme="majorHAnsi" w:hAnsiTheme="majorHAnsi" w:cstheme="majorBidi"/>
        </w:rPr>
      </w:pPr>
      <w:r w:rsidRPr="35771FF5">
        <w:rPr>
          <w:rFonts w:asciiTheme="majorHAnsi" w:hAnsiTheme="majorHAnsi" w:cstheme="majorBidi"/>
        </w:rPr>
        <w:t xml:space="preserve">Investment in support of a wage increase also provides </w:t>
      </w:r>
      <w:r w:rsidR="5F39BE8B" w:rsidRPr="35771FF5">
        <w:rPr>
          <w:rFonts w:asciiTheme="majorHAnsi" w:hAnsiTheme="majorHAnsi" w:cstheme="majorBidi"/>
        </w:rPr>
        <w:t>G</w:t>
      </w:r>
      <w:r w:rsidRPr="35771FF5">
        <w:rPr>
          <w:rFonts w:asciiTheme="majorHAnsi" w:hAnsiTheme="majorHAnsi" w:cstheme="majorBidi"/>
        </w:rPr>
        <w:t>overnment with an opportunity to implement conditions such as affordability measures</w:t>
      </w:r>
      <w:r w:rsidR="1895F6B1" w:rsidRPr="35771FF5">
        <w:rPr>
          <w:rFonts w:asciiTheme="majorHAnsi" w:hAnsiTheme="majorHAnsi" w:cstheme="majorBidi"/>
        </w:rPr>
        <w:t xml:space="preserve">. </w:t>
      </w:r>
      <w:r w:rsidRPr="35771FF5">
        <w:rPr>
          <w:rFonts w:asciiTheme="majorHAnsi" w:hAnsiTheme="majorHAnsi" w:cstheme="majorBidi"/>
        </w:rPr>
        <w:t xml:space="preserve">Conversely, if wages are not increased through the </w:t>
      </w:r>
      <w:r w:rsidR="511B0B1B" w:rsidRPr="35771FF5">
        <w:rPr>
          <w:rFonts w:asciiTheme="majorHAnsi" w:hAnsiTheme="majorHAnsi" w:cstheme="majorBidi"/>
        </w:rPr>
        <w:t>AWR</w:t>
      </w:r>
      <w:r w:rsidR="4E815930" w:rsidRPr="35771FF5">
        <w:rPr>
          <w:rFonts w:asciiTheme="majorHAnsi" w:hAnsiTheme="majorHAnsi" w:cstheme="majorBidi"/>
        </w:rPr>
        <w:t xml:space="preserve"> </w:t>
      </w:r>
      <w:r w:rsidRPr="35771FF5">
        <w:rPr>
          <w:rFonts w:asciiTheme="majorHAnsi" w:hAnsiTheme="majorHAnsi" w:cstheme="majorBidi"/>
        </w:rPr>
        <w:t xml:space="preserve">in the short-term, and supported bargaining is utilised as the mechanism to secure wage increases, parties have consistently indicated that government support is required to secure the final </w:t>
      </w:r>
      <w:r w:rsidRPr="35771FF5">
        <w:rPr>
          <w:rFonts w:asciiTheme="majorHAnsi" w:hAnsiTheme="majorHAnsi" w:cstheme="majorBidi"/>
        </w:rPr>
        <w:lastRenderedPageBreak/>
        <w:t>agreement</w:t>
      </w:r>
      <w:r w:rsidR="452B2995" w:rsidRPr="35771FF5">
        <w:rPr>
          <w:rFonts w:asciiTheme="majorHAnsi" w:hAnsiTheme="majorHAnsi" w:cstheme="majorBidi"/>
        </w:rPr>
        <w:t>.</w:t>
      </w:r>
      <w:r w:rsidRPr="35771FF5">
        <w:rPr>
          <w:rFonts w:asciiTheme="majorHAnsi" w:hAnsiTheme="majorHAnsi" w:cstheme="majorBidi"/>
        </w:rPr>
        <w:t xml:space="preserve"> </w:t>
      </w:r>
      <w:r w:rsidR="02C35103" w:rsidRPr="35771FF5">
        <w:rPr>
          <w:rFonts w:asciiTheme="majorHAnsi" w:hAnsiTheme="majorHAnsi" w:cstheme="majorBidi"/>
        </w:rPr>
        <w:t>Government support</w:t>
      </w:r>
      <w:r w:rsidR="452B2995" w:rsidRPr="35771FF5">
        <w:rPr>
          <w:rFonts w:asciiTheme="majorHAnsi" w:hAnsiTheme="majorHAnsi" w:cstheme="majorBidi"/>
        </w:rPr>
        <w:t xml:space="preserve"> will </w:t>
      </w:r>
      <w:r w:rsidRPr="35771FF5">
        <w:rPr>
          <w:rFonts w:asciiTheme="majorHAnsi" w:hAnsiTheme="majorHAnsi" w:cstheme="majorBidi"/>
        </w:rPr>
        <w:t xml:space="preserve">ensure wage costs </w:t>
      </w:r>
      <w:r w:rsidR="21E687A1" w:rsidRPr="35771FF5">
        <w:rPr>
          <w:rFonts w:asciiTheme="majorHAnsi" w:hAnsiTheme="majorHAnsi" w:cstheme="majorBidi"/>
        </w:rPr>
        <w:t>are not</w:t>
      </w:r>
      <w:r w:rsidRPr="35771FF5">
        <w:rPr>
          <w:rFonts w:asciiTheme="majorHAnsi" w:hAnsiTheme="majorHAnsi" w:cstheme="majorBidi"/>
        </w:rPr>
        <w:t xml:space="preserve"> passed on to familie</w:t>
      </w:r>
      <w:r w:rsidR="2B2C2C9A" w:rsidRPr="35771FF5">
        <w:rPr>
          <w:rFonts w:asciiTheme="majorHAnsi" w:hAnsiTheme="majorHAnsi" w:cstheme="majorBidi"/>
        </w:rPr>
        <w:t>s</w:t>
      </w:r>
      <w:r w:rsidRPr="35771FF5">
        <w:rPr>
          <w:rFonts w:asciiTheme="majorHAnsi" w:hAnsiTheme="majorHAnsi" w:cstheme="majorBidi"/>
        </w:rPr>
        <w:t xml:space="preserve"> and have any significant impact on sector wide attraction and retention, </w:t>
      </w:r>
      <w:r w:rsidR="7A8EC1F1" w:rsidRPr="35771FF5">
        <w:rPr>
          <w:rFonts w:asciiTheme="majorHAnsi" w:hAnsiTheme="majorHAnsi" w:cstheme="majorBidi"/>
        </w:rPr>
        <w:t>by incentivising increased uptake of the supported bargaining</w:t>
      </w:r>
      <w:r w:rsidRPr="35771FF5">
        <w:rPr>
          <w:rFonts w:asciiTheme="majorHAnsi" w:hAnsiTheme="majorHAnsi" w:cstheme="majorBidi"/>
        </w:rPr>
        <w:t xml:space="preserve"> agreement</w:t>
      </w:r>
      <w:r w:rsidR="7A8EC1F1" w:rsidRPr="35771FF5">
        <w:rPr>
          <w:rFonts w:asciiTheme="majorHAnsi" w:hAnsiTheme="majorHAnsi" w:cstheme="majorBidi"/>
        </w:rPr>
        <w:t xml:space="preserve"> (if formed)</w:t>
      </w:r>
      <w:r w:rsidRPr="35771FF5">
        <w:rPr>
          <w:rFonts w:asciiTheme="majorHAnsi" w:hAnsiTheme="majorHAnsi" w:cstheme="majorBidi"/>
        </w:rPr>
        <w:t xml:space="preserve">. </w:t>
      </w:r>
    </w:p>
    <w:p w14:paraId="4CB799B5" w14:textId="1EE9B626" w:rsidR="00133E82" w:rsidRDefault="00133E82" w:rsidP="00133E82">
      <w:pPr>
        <w:rPr>
          <w:rFonts w:asciiTheme="majorHAnsi" w:hAnsiTheme="majorHAnsi" w:cstheme="majorHAnsi"/>
        </w:rPr>
      </w:pPr>
      <w:r>
        <w:rPr>
          <w:rFonts w:asciiTheme="majorHAnsi" w:hAnsiTheme="majorHAnsi" w:cstheme="majorHAnsi"/>
        </w:rPr>
        <w:t xml:space="preserve">If the </w:t>
      </w:r>
      <w:r w:rsidR="00A24551">
        <w:rPr>
          <w:rFonts w:asciiTheme="majorHAnsi" w:hAnsiTheme="majorHAnsi" w:cstheme="majorHAnsi"/>
        </w:rPr>
        <w:t>G</w:t>
      </w:r>
      <w:r>
        <w:rPr>
          <w:rFonts w:asciiTheme="majorHAnsi" w:hAnsiTheme="majorHAnsi" w:cstheme="majorHAnsi"/>
        </w:rPr>
        <w:t xml:space="preserve">overnment does not provide financial support, it will likely hinder the supported bargaining process, with workforce attraction and retention issues persisting, or worsening, as ECEC workers continue to leave the sector. This result would limit families’ ability to access care and significantly impact the </w:t>
      </w:r>
      <w:r w:rsidR="00A24551">
        <w:rPr>
          <w:rFonts w:asciiTheme="majorHAnsi" w:hAnsiTheme="majorHAnsi" w:cstheme="majorHAnsi"/>
        </w:rPr>
        <w:t>G</w:t>
      </w:r>
      <w:r>
        <w:rPr>
          <w:rFonts w:asciiTheme="majorHAnsi" w:hAnsiTheme="majorHAnsi" w:cstheme="majorHAnsi"/>
        </w:rPr>
        <w:t xml:space="preserve">overnment's ability to achieve universal ECEC. </w:t>
      </w:r>
      <w:r w:rsidRPr="00177A09">
        <w:rPr>
          <w:rFonts w:asciiTheme="majorHAnsi" w:hAnsiTheme="majorHAnsi" w:cstheme="majorHAnsi"/>
        </w:rPr>
        <w:t>Recent data from the P</w:t>
      </w:r>
      <w:r>
        <w:rPr>
          <w:rFonts w:asciiTheme="majorHAnsi" w:hAnsiTheme="majorHAnsi" w:cstheme="majorHAnsi"/>
        </w:rPr>
        <w:t xml:space="preserve">roductivity </w:t>
      </w:r>
      <w:r w:rsidRPr="00177A09">
        <w:rPr>
          <w:rFonts w:asciiTheme="majorHAnsi" w:hAnsiTheme="majorHAnsi" w:cstheme="majorHAnsi"/>
        </w:rPr>
        <w:t>C</w:t>
      </w:r>
      <w:r>
        <w:rPr>
          <w:rFonts w:asciiTheme="majorHAnsi" w:hAnsiTheme="majorHAnsi" w:cstheme="majorHAnsi"/>
        </w:rPr>
        <w:t>ommission</w:t>
      </w:r>
      <w:r w:rsidRPr="00177A09">
        <w:rPr>
          <w:rFonts w:asciiTheme="majorHAnsi" w:hAnsiTheme="majorHAnsi" w:cstheme="majorHAnsi"/>
        </w:rPr>
        <w:t xml:space="preserve"> shows that workforce shortages are preventing up to 190,000 parents, the majority of whom are women, from accessing the amount of ECEC care they desire and hindering their ability to engage in work, with their modelling indicating that this could equate to 118,000 FTE jobs lost as an opportunity cost</w:t>
      </w:r>
      <w:r w:rsidRPr="00177A09">
        <w:rPr>
          <w:rStyle w:val="FootnoteReference"/>
          <w:rFonts w:asciiTheme="majorHAnsi" w:hAnsiTheme="majorHAnsi" w:cstheme="majorHAnsi"/>
        </w:rPr>
        <w:footnoteReference w:id="85"/>
      </w:r>
      <w:r w:rsidRPr="00177A09">
        <w:rPr>
          <w:rFonts w:asciiTheme="majorHAnsi" w:hAnsiTheme="majorHAnsi" w:cstheme="majorHAnsi"/>
        </w:rPr>
        <w:t>.</w:t>
      </w:r>
      <w:r w:rsidRPr="000F56E9">
        <w:rPr>
          <w:rFonts w:asciiTheme="majorHAnsi" w:hAnsiTheme="majorHAnsi" w:cstheme="majorHAnsi"/>
        </w:rPr>
        <w:t>  </w:t>
      </w:r>
      <w:r w:rsidR="00AA7A35">
        <w:rPr>
          <w:rFonts w:asciiTheme="majorHAnsi" w:hAnsiTheme="majorHAnsi" w:cstheme="majorHAnsi"/>
        </w:rPr>
        <w:t>Further, e</w:t>
      </w:r>
      <w:r w:rsidRPr="000F56E9">
        <w:rPr>
          <w:rFonts w:asciiTheme="majorHAnsi" w:hAnsiTheme="majorHAnsi" w:cstheme="majorHAnsi"/>
        </w:rPr>
        <w:t xml:space="preserve">mployers have indicated that the cost of wage increases, without the provision of </w:t>
      </w:r>
      <w:r w:rsidR="006636E8">
        <w:rPr>
          <w:rFonts w:asciiTheme="majorHAnsi" w:hAnsiTheme="majorHAnsi" w:cstheme="majorHAnsi"/>
        </w:rPr>
        <w:t>G</w:t>
      </w:r>
      <w:r w:rsidRPr="000F56E9">
        <w:rPr>
          <w:rFonts w:asciiTheme="majorHAnsi" w:hAnsiTheme="majorHAnsi" w:cstheme="majorHAnsi"/>
        </w:rPr>
        <w:t xml:space="preserve">overnment funding, are and will continue to be passed on to families through higher out-of-pocket fees. This means that even if no supplementary funding is provided, </w:t>
      </w:r>
      <w:r w:rsidR="0009278D">
        <w:rPr>
          <w:rFonts w:asciiTheme="majorHAnsi" w:hAnsiTheme="majorHAnsi" w:cstheme="majorHAnsi"/>
        </w:rPr>
        <w:t>G</w:t>
      </w:r>
      <w:r w:rsidRPr="000F56E9">
        <w:rPr>
          <w:rFonts w:asciiTheme="majorHAnsi" w:hAnsiTheme="majorHAnsi" w:cstheme="majorHAnsi"/>
        </w:rPr>
        <w:t>overnment would continue to fund increased wages through the CCS. Families will also have higher out of pocket costs resulting from direct fee increases, and many more providers increasing fees in excess of the HRC</w:t>
      </w:r>
      <w:r w:rsidR="009D55FD">
        <w:rPr>
          <w:rFonts w:asciiTheme="majorHAnsi" w:hAnsiTheme="majorHAnsi" w:cstheme="majorHAnsi"/>
        </w:rPr>
        <w:t xml:space="preserve"> (if the HRC is not appropriately adjusted to account for </w:t>
      </w:r>
      <w:r w:rsidR="00C333E4">
        <w:rPr>
          <w:rFonts w:asciiTheme="majorHAnsi" w:hAnsiTheme="majorHAnsi" w:cstheme="majorHAnsi"/>
        </w:rPr>
        <w:t>significant wage increases)</w:t>
      </w:r>
      <w:r w:rsidRPr="000F56E9">
        <w:rPr>
          <w:rFonts w:asciiTheme="majorHAnsi" w:hAnsiTheme="majorHAnsi" w:cstheme="majorHAnsi"/>
        </w:rPr>
        <w:t>.   </w:t>
      </w:r>
    </w:p>
    <w:p w14:paraId="3A909929" w14:textId="479967B5" w:rsidR="00133E82" w:rsidRPr="000F56E9" w:rsidRDefault="00C333E4" w:rsidP="00133E82">
      <w:pPr>
        <w:rPr>
          <w:rFonts w:asciiTheme="majorHAnsi" w:hAnsiTheme="majorHAnsi" w:cstheme="majorHAnsi"/>
        </w:rPr>
      </w:pPr>
      <w:r>
        <w:rPr>
          <w:rFonts w:asciiTheme="majorHAnsi" w:hAnsiTheme="majorHAnsi" w:cstheme="majorHAnsi"/>
        </w:rPr>
        <w:t>Importantly</w:t>
      </w:r>
      <w:r w:rsidR="00133E82" w:rsidRPr="000F56E9">
        <w:rPr>
          <w:rFonts w:asciiTheme="majorHAnsi" w:hAnsiTheme="majorHAnsi" w:cstheme="majorHAnsi"/>
        </w:rPr>
        <w:t>, persistent workforce issues in the ECEC sector are claimed to affect the safety and wellbeing of children. A</w:t>
      </w:r>
      <w:r w:rsidR="008E1319">
        <w:rPr>
          <w:rFonts w:asciiTheme="majorHAnsi" w:hAnsiTheme="majorHAnsi" w:cstheme="majorHAnsi"/>
        </w:rPr>
        <w:t>s noted, a</w:t>
      </w:r>
      <w:r w:rsidR="00133E82" w:rsidRPr="000F56E9">
        <w:rPr>
          <w:rFonts w:asciiTheme="majorHAnsi" w:hAnsiTheme="majorHAnsi" w:cstheme="majorHAnsi"/>
        </w:rPr>
        <w:t xml:space="preserve"> recent UWU survey of the sector reported that almost two thirds of respondents from across Australia agreed that children’s safety or wellbeing had been impacted by staff shortages over the past twelve months</w:t>
      </w:r>
      <w:r w:rsidR="00133E82" w:rsidRPr="000F56E9">
        <w:rPr>
          <w:rStyle w:val="FootnoteReference"/>
          <w:rFonts w:asciiTheme="majorHAnsi" w:hAnsiTheme="majorHAnsi" w:cstheme="majorHAnsi"/>
        </w:rPr>
        <w:footnoteReference w:id="86"/>
      </w:r>
      <w:r w:rsidR="00133E82" w:rsidRPr="000F56E9">
        <w:rPr>
          <w:rFonts w:asciiTheme="majorHAnsi" w:hAnsiTheme="majorHAnsi" w:cstheme="majorHAnsi"/>
        </w:rPr>
        <w:t xml:space="preserve">. </w:t>
      </w:r>
    </w:p>
    <w:p w14:paraId="58507CA8" w14:textId="5F9807C5" w:rsidR="00133E82" w:rsidRDefault="00133E82" w:rsidP="007D5715">
      <w:pPr>
        <w:pStyle w:val="Heading6"/>
      </w:pPr>
      <w:r>
        <w:t>Expected impact of government intervention</w:t>
      </w:r>
    </w:p>
    <w:p w14:paraId="22CB0CCE" w14:textId="77777777" w:rsidR="00133E82" w:rsidRPr="000F56E9" w:rsidRDefault="00133E82" w:rsidP="00133E82">
      <w:pPr>
        <w:rPr>
          <w:rFonts w:asciiTheme="majorHAnsi" w:hAnsiTheme="majorHAnsi" w:cstheme="majorHAnsi"/>
        </w:rPr>
      </w:pPr>
      <w:r w:rsidRPr="000F56E9">
        <w:rPr>
          <w:rFonts w:asciiTheme="majorHAnsi" w:hAnsiTheme="majorHAnsi" w:cstheme="majorHAnsi"/>
        </w:rPr>
        <w:t>Whilst there has been extensive Australian research and analysis in recent years on price elasticity and demand for childcare and the hours worked by Australian parents, quantifying the economic impact of a wage increase on the availability of care is difficult without available modern or Australian economic modelling. Modelling by Blau in 2001 for the United States childcare market calculated a labour supply elasticity in the number of workers as 0.73 and the elasticity of 0.42 in the number of hours worked with respect to wages, for an elasticity of 1.15</w:t>
      </w:r>
      <w:r w:rsidRPr="000F56E9">
        <w:rPr>
          <w:rStyle w:val="FootnoteReference"/>
          <w:rFonts w:asciiTheme="majorHAnsi" w:hAnsiTheme="majorHAnsi" w:cstheme="majorHAnsi"/>
        </w:rPr>
        <w:footnoteReference w:id="87"/>
      </w:r>
      <w:r w:rsidRPr="000F56E9">
        <w:rPr>
          <w:rFonts w:asciiTheme="majorHAnsi" w:hAnsiTheme="majorHAnsi" w:cstheme="majorHAnsi"/>
        </w:rPr>
        <w:t xml:space="preserve"> (an increase in wages of X per cent will equate to an increase of hours of care available of 1.15 times X per cent). </w:t>
      </w:r>
    </w:p>
    <w:p w14:paraId="62B6F128" w14:textId="77777777" w:rsidR="00133E82" w:rsidRPr="000F56E9" w:rsidRDefault="00133E82" w:rsidP="00133E82">
      <w:pPr>
        <w:rPr>
          <w:rFonts w:asciiTheme="majorHAnsi" w:hAnsiTheme="majorHAnsi" w:cstheme="majorHAnsi"/>
        </w:rPr>
      </w:pPr>
      <w:r w:rsidRPr="000F56E9">
        <w:rPr>
          <w:rFonts w:asciiTheme="majorHAnsi" w:hAnsiTheme="majorHAnsi" w:cstheme="majorHAnsi"/>
        </w:rPr>
        <w:t>The elasticity would likely be significantly different for the modern Australian market, but Blau’s analysis can be taken as a foundational estimate. United States data in 2002 showed a 20 per cent difference in turnover rate of ECEC workers (45 per cent versus 25 per cent) in centres with a 20 per cent difference in pay</w:t>
      </w:r>
      <w:r w:rsidRPr="000F56E9">
        <w:rPr>
          <w:rStyle w:val="FootnoteReference"/>
          <w:rFonts w:asciiTheme="majorHAnsi" w:hAnsiTheme="majorHAnsi" w:cstheme="majorHAnsi"/>
        </w:rPr>
        <w:footnoteReference w:id="88"/>
      </w:r>
      <w:r w:rsidRPr="000F56E9">
        <w:rPr>
          <w:rFonts w:asciiTheme="majorHAnsi" w:hAnsiTheme="majorHAnsi" w:cstheme="majorHAnsi"/>
        </w:rPr>
        <w:t xml:space="preserve"> (although this does not account for other correlated factors—a centre that pays more may offer better leave or other conditions, for instance). </w:t>
      </w:r>
    </w:p>
    <w:p w14:paraId="1F4E7FD3" w14:textId="77777777" w:rsidR="00133E82" w:rsidRDefault="00133E82" w:rsidP="00133E82">
      <w:pPr>
        <w:rPr>
          <w:rStyle w:val="eop"/>
          <w:rFonts w:cs="Calibri Light"/>
          <w:color w:val="000000"/>
          <w:shd w:val="clear" w:color="auto" w:fill="FFFFFF"/>
        </w:rPr>
      </w:pPr>
      <w:r>
        <w:rPr>
          <w:rFonts w:asciiTheme="majorHAnsi" w:hAnsiTheme="majorHAnsi" w:cstheme="majorHAnsi"/>
        </w:rPr>
        <w:lastRenderedPageBreak/>
        <w:t>Following the Work value case – Aged care industry Stage 3</w:t>
      </w:r>
      <w:r>
        <w:rPr>
          <w:rStyle w:val="FootnoteReference"/>
          <w:rFonts w:asciiTheme="majorHAnsi" w:hAnsiTheme="majorHAnsi" w:cstheme="majorHAnsi"/>
        </w:rPr>
        <w:footnoteReference w:id="89"/>
      </w:r>
      <w:r>
        <w:rPr>
          <w:rFonts w:asciiTheme="majorHAnsi" w:hAnsiTheme="majorHAnsi" w:cstheme="majorHAnsi"/>
        </w:rPr>
        <w:t xml:space="preserve"> outcomes, a 25 per cent wage increase, in line with the increase aged care workers received, is now considered a new benchmark for undervalued, highly feminised industries. To support the aged care wage increases, the Australian Government has invested $11.3 billion into the Stage 2</w:t>
      </w:r>
      <w:r>
        <w:rPr>
          <w:rStyle w:val="FootnoteReference"/>
          <w:rFonts w:asciiTheme="majorHAnsi" w:hAnsiTheme="majorHAnsi" w:cstheme="majorHAnsi"/>
        </w:rPr>
        <w:footnoteReference w:id="90"/>
      </w:r>
      <w:r>
        <w:rPr>
          <w:rFonts w:asciiTheme="majorHAnsi" w:hAnsiTheme="majorHAnsi" w:cstheme="majorHAnsi"/>
        </w:rPr>
        <w:t xml:space="preserve"> interim 15 per cent pay rise and has committed to fully funding the increases awarded in Stage 3. Together with other measures to increase workforce and skills in the sector,</w:t>
      </w:r>
      <w:r>
        <w:rPr>
          <w:rStyle w:val="FootnoteReference"/>
          <w:rFonts w:asciiTheme="majorHAnsi" w:hAnsiTheme="majorHAnsi" w:cstheme="majorHAnsi"/>
        </w:rPr>
        <w:footnoteReference w:id="91"/>
      </w:r>
      <w:r>
        <w:rPr>
          <w:rFonts w:asciiTheme="majorHAnsi" w:hAnsiTheme="majorHAnsi" w:cstheme="majorHAnsi"/>
        </w:rPr>
        <w:t xml:space="preserve"> </w:t>
      </w:r>
      <w:r>
        <w:rPr>
          <w:rStyle w:val="normaltextrun"/>
          <w:rFonts w:cs="Calibri Light"/>
          <w:color w:val="000000"/>
          <w:shd w:val="clear" w:color="auto" w:fill="FFFFFF"/>
        </w:rPr>
        <w:t>Department of Health and Aged Care (</w:t>
      </w:r>
      <w:proofErr w:type="spellStart"/>
      <w:r>
        <w:rPr>
          <w:rStyle w:val="normaltextrun"/>
          <w:rFonts w:cs="Calibri Light"/>
          <w:color w:val="000000"/>
          <w:shd w:val="clear" w:color="auto" w:fill="FFFFFF"/>
        </w:rPr>
        <w:t>DoHAC</w:t>
      </w:r>
      <w:proofErr w:type="spellEnd"/>
      <w:r>
        <w:rPr>
          <w:rStyle w:val="normaltextrun"/>
          <w:rFonts w:cs="Calibri Light"/>
          <w:color w:val="000000"/>
          <w:shd w:val="clear" w:color="auto" w:fill="FFFFFF"/>
        </w:rPr>
        <w:t xml:space="preserve">) suggests that there are early indicators that the interim wage increase is having, or will have, an impact on staffing levels and the intensity of work. </w:t>
      </w:r>
      <w:proofErr w:type="spellStart"/>
      <w:r>
        <w:rPr>
          <w:rStyle w:val="normaltextrun"/>
          <w:rFonts w:cs="Calibri Light"/>
          <w:color w:val="000000"/>
          <w:shd w:val="clear" w:color="auto" w:fill="FFFFFF"/>
        </w:rPr>
        <w:t>DoHAC</w:t>
      </w:r>
      <w:proofErr w:type="spellEnd"/>
      <w:r>
        <w:rPr>
          <w:rStyle w:val="normaltextrun"/>
          <w:rFonts w:cs="Calibri Light"/>
          <w:color w:val="000000"/>
          <w:shd w:val="clear" w:color="auto" w:fill="FFFFFF"/>
        </w:rPr>
        <w:t xml:space="preserve"> modelling suggests that the workforce gap in aged care has reduced by an estimated 9,233 workers,</w:t>
      </w:r>
      <w:r>
        <w:rPr>
          <w:rStyle w:val="FootnoteReference"/>
          <w:rFonts w:cs="Calibri Light"/>
          <w:color w:val="000000"/>
          <w:shd w:val="clear" w:color="auto" w:fill="FFFFFF"/>
        </w:rPr>
        <w:footnoteReference w:id="92"/>
      </w:r>
      <w:r>
        <w:rPr>
          <w:rStyle w:val="normaltextrun"/>
          <w:rFonts w:cs="Calibri Light"/>
          <w:color w:val="000000"/>
          <w:shd w:val="clear" w:color="auto" w:fill="FFFFFF"/>
        </w:rPr>
        <w:t xml:space="preserve"> demonstrating the government’s capacity to intervene positively to support the care sector improve workforce attraction and retention </w:t>
      </w:r>
      <w:r>
        <w:rPr>
          <w:rStyle w:val="eop"/>
          <w:rFonts w:cs="Calibri Light"/>
          <w:color w:val="000000"/>
          <w:shd w:val="clear" w:color="auto" w:fill="FFFFFF"/>
        </w:rPr>
        <w:t>rates, and working conditions, and access liveable wages.</w:t>
      </w:r>
    </w:p>
    <w:p w14:paraId="56271756" w14:textId="52B50EBA" w:rsidR="007F6AB6" w:rsidRDefault="008569A5" w:rsidP="00133E82">
      <w:pPr>
        <w:rPr>
          <w:rStyle w:val="eop"/>
          <w:rFonts w:cs="Calibri Light"/>
          <w:color w:val="000000"/>
          <w:shd w:val="clear" w:color="auto" w:fill="FFFFFF"/>
        </w:rPr>
      </w:pPr>
      <w:r>
        <w:rPr>
          <w:rStyle w:val="eop"/>
          <w:rFonts w:cs="Calibri Light"/>
          <w:color w:val="000000"/>
          <w:shd w:val="clear" w:color="auto" w:fill="FFFFFF"/>
        </w:rPr>
        <w:t>T</w:t>
      </w:r>
      <w:r w:rsidR="00C466EA">
        <w:rPr>
          <w:rStyle w:val="eop"/>
          <w:rFonts w:cs="Calibri Light"/>
          <w:color w:val="000000"/>
          <w:shd w:val="clear" w:color="auto" w:fill="FFFFFF"/>
        </w:rPr>
        <w:t xml:space="preserve">he affordability condition is expected to have a positive impact </w:t>
      </w:r>
      <w:r w:rsidR="006233F6">
        <w:rPr>
          <w:rStyle w:val="eop"/>
          <w:rFonts w:cs="Calibri Light"/>
          <w:color w:val="000000"/>
          <w:shd w:val="clear" w:color="auto" w:fill="FFFFFF"/>
        </w:rPr>
        <w:t>in easing the rates of fee growth in the ECEC sector, thereby preserving</w:t>
      </w:r>
      <w:r w:rsidR="00084CF1">
        <w:rPr>
          <w:rStyle w:val="eop"/>
          <w:rFonts w:cs="Calibri Light"/>
          <w:color w:val="000000"/>
          <w:shd w:val="clear" w:color="auto" w:fill="FFFFFF"/>
        </w:rPr>
        <w:t xml:space="preserve"> </w:t>
      </w:r>
      <w:r w:rsidR="00C90B4B">
        <w:rPr>
          <w:rStyle w:val="eop"/>
          <w:rFonts w:cs="Calibri Light"/>
          <w:color w:val="000000"/>
          <w:shd w:val="clear" w:color="auto" w:fill="FFFFFF"/>
        </w:rPr>
        <w:t xml:space="preserve">the </w:t>
      </w:r>
      <w:r w:rsidR="006233F6">
        <w:rPr>
          <w:rStyle w:val="eop"/>
          <w:rFonts w:cs="Calibri Light"/>
          <w:color w:val="000000"/>
          <w:shd w:val="clear" w:color="auto" w:fill="FFFFFF"/>
        </w:rPr>
        <w:t xml:space="preserve">benefits </w:t>
      </w:r>
      <w:r w:rsidR="00C90B4B">
        <w:rPr>
          <w:rStyle w:val="eop"/>
          <w:rFonts w:cs="Calibri Light"/>
          <w:color w:val="000000"/>
          <w:shd w:val="clear" w:color="auto" w:fill="FFFFFF"/>
        </w:rPr>
        <w:t>of</w:t>
      </w:r>
      <w:r w:rsidR="006233F6">
        <w:rPr>
          <w:rStyle w:val="eop"/>
          <w:rFonts w:cs="Calibri Light"/>
          <w:color w:val="000000"/>
          <w:shd w:val="clear" w:color="auto" w:fill="FFFFFF"/>
        </w:rPr>
        <w:t xml:space="preserve"> the Cheaper Child Care changes (implemented in July 2023).</w:t>
      </w:r>
      <w:r w:rsidR="00712602">
        <w:rPr>
          <w:rStyle w:val="eop"/>
          <w:rFonts w:cs="Calibri Light"/>
          <w:color w:val="000000"/>
          <w:shd w:val="clear" w:color="auto" w:fill="FFFFFF"/>
        </w:rPr>
        <w:t xml:space="preserve"> </w:t>
      </w:r>
      <w:r w:rsidR="0006526B">
        <w:rPr>
          <w:rStyle w:val="eop"/>
          <w:rFonts w:cs="Calibri Light"/>
          <w:color w:val="000000"/>
          <w:shd w:val="clear" w:color="auto" w:fill="FFFFFF"/>
        </w:rPr>
        <w:t xml:space="preserve">Quantifying this impact </w:t>
      </w:r>
      <w:r w:rsidR="009101B0">
        <w:rPr>
          <w:rStyle w:val="eop"/>
          <w:rFonts w:cs="Calibri Light"/>
          <w:color w:val="000000"/>
          <w:shd w:val="clear" w:color="auto" w:fill="FFFFFF"/>
        </w:rPr>
        <w:t>accurately is not possible</w:t>
      </w:r>
      <w:r w:rsidR="0006526B">
        <w:rPr>
          <w:rStyle w:val="eop"/>
          <w:rFonts w:cs="Calibri Light"/>
          <w:color w:val="000000"/>
          <w:shd w:val="clear" w:color="auto" w:fill="FFFFFF"/>
        </w:rPr>
        <w:t>, given the lack of sufficient data</w:t>
      </w:r>
      <w:r w:rsidR="00CC6D57">
        <w:rPr>
          <w:rStyle w:val="eop"/>
          <w:rFonts w:cs="Calibri Light"/>
          <w:color w:val="000000"/>
          <w:shd w:val="clear" w:color="auto" w:fill="FFFFFF"/>
        </w:rPr>
        <w:t xml:space="preserve"> to determine the behavioural response change from services to the </w:t>
      </w:r>
      <w:r w:rsidR="006D7BD6">
        <w:rPr>
          <w:rStyle w:val="eop"/>
          <w:rFonts w:cs="Calibri Light"/>
          <w:color w:val="000000"/>
          <w:shd w:val="clear" w:color="auto" w:fill="FFFFFF"/>
        </w:rPr>
        <w:t xml:space="preserve">wage subsidy and affordability condition, which in turn will </w:t>
      </w:r>
      <w:r w:rsidR="006A5574">
        <w:rPr>
          <w:rStyle w:val="eop"/>
          <w:rFonts w:cs="Calibri Light"/>
          <w:color w:val="000000"/>
          <w:shd w:val="clear" w:color="auto" w:fill="FFFFFF"/>
        </w:rPr>
        <w:t xml:space="preserve">impact the fees that families pay. </w:t>
      </w:r>
      <w:r w:rsidR="0023149E">
        <w:rPr>
          <w:rStyle w:val="eop"/>
          <w:rFonts w:cs="Calibri Light"/>
          <w:color w:val="000000"/>
          <w:shd w:val="clear" w:color="auto" w:fill="FFFFFF"/>
        </w:rPr>
        <w:t xml:space="preserve">However, recent reporting by the ABS demonstrates that </w:t>
      </w:r>
      <w:r w:rsidR="002B30ED">
        <w:rPr>
          <w:rStyle w:val="eop"/>
          <w:rFonts w:cs="Calibri Light"/>
          <w:color w:val="000000"/>
          <w:shd w:val="clear" w:color="auto" w:fill="FFFFFF"/>
        </w:rPr>
        <w:t>since the</w:t>
      </w:r>
      <w:r w:rsidR="00B027D3">
        <w:rPr>
          <w:rStyle w:val="eop"/>
          <w:rFonts w:cs="Calibri Light"/>
          <w:color w:val="000000"/>
          <w:shd w:val="clear" w:color="auto" w:fill="FFFFFF"/>
        </w:rPr>
        <w:t xml:space="preserve"> positive decrease in out-of-pocket costs incurred by parents </w:t>
      </w:r>
      <w:r w:rsidR="003C2C5F">
        <w:rPr>
          <w:rStyle w:val="eop"/>
          <w:rFonts w:cs="Calibri Light"/>
          <w:color w:val="000000"/>
          <w:shd w:val="clear" w:color="auto" w:fill="FFFFFF"/>
        </w:rPr>
        <w:t>in September Quarter 2023</w:t>
      </w:r>
      <w:r w:rsidR="00A8169A">
        <w:rPr>
          <w:rStyle w:val="eop"/>
          <w:rFonts w:cs="Calibri Light"/>
          <w:color w:val="000000"/>
          <w:shd w:val="clear" w:color="auto" w:fill="FFFFFF"/>
        </w:rPr>
        <w:t xml:space="preserve"> (an average decrease of 11</w:t>
      </w:r>
      <w:r w:rsidR="00100CB7">
        <w:rPr>
          <w:rStyle w:val="eop"/>
          <w:rFonts w:cs="Calibri Light"/>
          <w:color w:val="000000"/>
          <w:shd w:val="clear" w:color="auto" w:fill="FFFFFF"/>
        </w:rPr>
        <w:t xml:space="preserve"> per cent</w:t>
      </w:r>
      <w:r w:rsidR="00A8169A">
        <w:rPr>
          <w:rStyle w:val="eop"/>
          <w:rFonts w:cs="Calibri Light"/>
          <w:color w:val="000000"/>
          <w:shd w:val="clear" w:color="auto" w:fill="FFFFFF"/>
        </w:rPr>
        <w:t xml:space="preserve"> according to the ACCC</w:t>
      </w:r>
      <w:r w:rsidR="00A8169A">
        <w:rPr>
          <w:rStyle w:val="FootnoteReference"/>
          <w:rFonts w:cs="Calibri Light"/>
          <w:color w:val="000000"/>
          <w:shd w:val="clear" w:color="auto" w:fill="FFFFFF"/>
        </w:rPr>
        <w:footnoteReference w:id="93"/>
      </w:r>
      <w:r w:rsidR="00A8169A">
        <w:rPr>
          <w:rStyle w:val="eop"/>
          <w:rFonts w:cs="Calibri Light"/>
          <w:color w:val="000000"/>
          <w:shd w:val="clear" w:color="auto" w:fill="FFFFFF"/>
        </w:rPr>
        <w:t>)</w:t>
      </w:r>
      <w:r w:rsidR="001415BE">
        <w:rPr>
          <w:rStyle w:val="eop"/>
          <w:rFonts w:cs="Calibri Light"/>
          <w:color w:val="000000"/>
          <w:shd w:val="clear" w:color="auto" w:fill="FFFFFF"/>
        </w:rPr>
        <w:t xml:space="preserve">, </w:t>
      </w:r>
      <w:r w:rsidR="00086B55">
        <w:rPr>
          <w:rStyle w:val="eop"/>
          <w:rFonts w:cs="Calibri Light"/>
          <w:color w:val="000000"/>
          <w:shd w:val="clear" w:color="auto" w:fill="FFFFFF"/>
        </w:rPr>
        <w:t xml:space="preserve">child care fees have </w:t>
      </w:r>
      <w:r w:rsidR="001415BE">
        <w:rPr>
          <w:rStyle w:val="eop"/>
          <w:rFonts w:cs="Calibri Light"/>
          <w:color w:val="000000"/>
          <w:shd w:val="clear" w:color="auto" w:fill="FFFFFF"/>
        </w:rPr>
        <w:t>beg</w:t>
      </w:r>
      <w:r w:rsidR="007E5C6F">
        <w:rPr>
          <w:rStyle w:val="eop"/>
          <w:rFonts w:cs="Calibri Light"/>
          <w:color w:val="000000"/>
          <w:shd w:val="clear" w:color="auto" w:fill="FFFFFF"/>
        </w:rPr>
        <w:t>u</w:t>
      </w:r>
      <w:r w:rsidR="001415BE">
        <w:rPr>
          <w:rStyle w:val="eop"/>
          <w:rFonts w:cs="Calibri Light"/>
          <w:color w:val="000000"/>
          <w:shd w:val="clear" w:color="auto" w:fill="FFFFFF"/>
        </w:rPr>
        <w:t>n to rise again</w:t>
      </w:r>
      <w:r w:rsidR="00100CB7">
        <w:rPr>
          <w:rStyle w:val="eop"/>
          <w:rFonts w:cs="Calibri Light"/>
          <w:color w:val="000000"/>
          <w:shd w:val="clear" w:color="auto" w:fill="FFFFFF"/>
        </w:rPr>
        <w:t xml:space="preserve"> with a 3.2 per cent increase in December Quarter 202</w:t>
      </w:r>
      <w:r w:rsidR="0071475F">
        <w:rPr>
          <w:rStyle w:val="eop"/>
          <w:rFonts w:cs="Calibri Light"/>
          <w:color w:val="000000"/>
          <w:shd w:val="clear" w:color="auto" w:fill="FFFFFF"/>
        </w:rPr>
        <w:t>3</w:t>
      </w:r>
      <w:r w:rsidR="00100CB7">
        <w:rPr>
          <w:rStyle w:val="eop"/>
          <w:rFonts w:cs="Calibri Light"/>
          <w:color w:val="000000"/>
          <w:shd w:val="clear" w:color="auto" w:fill="FFFFFF"/>
        </w:rPr>
        <w:t xml:space="preserve"> and a </w:t>
      </w:r>
      <w:r w:rsidR="00C52B5A">
        <w:rPr>
          <w:rStyle w:val="eop"/>
          <w:rFonts w:cs="Calibri Light"/>
          <w:color w:val="000000"/>
          <w:shd w:val="clear" w:color="auto" w:fill="FFFFFF"/>
        </w:rPr>
        <w:t>3.9 per cent increase in March Quarter 2024</w:t>
      </w:r>
      <w:r w:rsidR="00C52B5A">
        <w:rPr>
          <w:rStyle w:val="FootnoteReference"/>
          <w:rFonts w:cs="Calibri Light"/>
          <w:color w:val="000000"/>
          <w:shd w:val="clear" w:color="auto" w:fill="FFFFFF"/>
        </w:rPr>
        <w:footnoteReference w:id="94"/>
      </w:r>
      <w:r w:rsidR="00C52B5A">
        <w:rPr>
          <w:rStyle w:val="eop"/>
          <w:rFonts w:cs="Calibri Light"/>
          <w:color w:val="000000"/>
          <w:shd w:val="clear" w:color="auto" w:fill="FFFFFF"/>
        </w:rPr>
        <w:t xml:space="preserve">. </w:t>
      </w:r>
      <w:r w:rsidR="00C27EBA">
        <w:rPr>
          <w:rStyle w:val="eop"/>
          <w:rFonts w:cs="Calibri Light"/>
          <w:color w:val="000000"/>
          <w:shd w:val="clear" w:color="auto" w:fill="FFFFFF"/>
        </w:rPr>
        <w:t xml:space="preserve">The affordability condition </w:t>
      </w:r>
      <w:r w:rsidR="002F3AFE">
        <w:rPr>
          <w:rStyle w:val="eop"/>
          <w:rFonts w:cs="Calibri Light"/>
          <w:color w:val="000000"/>
          <w:shd w:val="clear" w:color="auto" w:fill="FFFFFF"/>
        </w:rPr>
        <w:t xml:space="preserve">intervention is therefore expected to slow this rate of growth, to the advantage of families who will not incur higher </w:t>
      </w:r>
      <w:r w:rsidR="0043216B">
        <w:rPr>
          <w:rStyle w:val="eop"/>
          <w:rFonts w:cs="Calibri Light"/>
          <w:color w:val="000000"/>
          <w:shd w:val="clear" w:color="auto" w:fill="FFFFFF"/>
        </w:rPr>
        <w:t xml:space="preserve">costs than they might otherwise </w:t>
      </w:r>
      <w:r w:rsidR="00F00C9F">
        <w:rPr>
          <w:rStyle w:val="eop"/>
          <w:rFonts w:cs="Calibri Light"/>
          <w:color w:val="000000"/>
          <w:shd w:val="clear" w:color="auto" w:fill="FFFFFF"/>
        </w:rPr>
        <w:t xml:space="preserve">have experienced (based on historical </w:t>
      </w:r>
      <w:r w:rsidR="00B177DA">
        <w:rPr>
          <w:rStyle w:val="eop"/>
          <w:rFonts w:cs="Calibri Light"/>
          <w:color w:val="000000"/>
          <w:shd w:val="clear" w:color="auto" w:fill="FFFFFF"/>
        </w:rPr>
        <w:t xml:space="preserve">trends that demonstrate </w:t>
      </w:r>
      <w:r w:rsidR="00B00659">
        <w:rPr>
          <w:rStyle w:val="eop"/>
          <w:rFonts w:cs="Calibri Light"/>
          <w:color w:val="000000"/>
          <w:shd w:val="clear" w:color="auto" w:fill="FFFFFF"/>
        </w:rPr>
        <w:t>that unchecked fee growth erodes the benefits of government policy changes)</w:t>
      </w:r>
      <w:r w:rsidR="00D46271">
        <w:rPr>
          <w:rStyle w:val="eop"/>
          <w:rFonts w:cs="Calibri Light"/>
          <w:color w:val="000000"/>
          <w:shd w:val="clear" w:color="auto" w:fill="FFFFFF"/>
        </w:rPr>
        <w:t>.</w:t>
      </w:r>
      <w:r w:rsidR="00B00659">
        <w:rPr>
          <w:rStyle w:val="FootnoteReference"/>
          <w:rFonts w:cs="Calibri Light"/>
          <w:color w:val="000000"/>
          <w:shd w:val="clear" w:color="auto" w:fill="FFFFFF"/>
        </w:rPr>
        <w:footnoteReference w:id="95"/>
      </w:r>
    </w:p>
    <w:p w14:paraId="1B6553D6" w14:textId="22F40212" w:rsidR="00D46271" w:rsidRPr="007D5715" w:rsidRDefault="002D158D" w:rsidP="00D46271">
      <w:r>
        <w:t>The impact on providers</w:t>
      </w:r>
      <w:r w:rsidR="00182B82">
        <w:t xml:space="preserve"> </w:t>
      </w:r>
      <w:r>
        <w:t xml:space="preserve">is contingent entirely on the </w:t>
      </w:r>
      <w:r w:rsidR="008B034C">
        <w:t xml:space="preserve">final design of the </w:t>
      </w:r>
      <w:r w:rsidR="006E07F4">
        <w:t xml:space="preserve">wage subsidy </w:t>
      </w:r>
      <w:r w:rsidR="008B034C">
        <w:t>policy</w:t>
      </w:r>
      <w:r w:rsidR="003D3AE1">
        <w:t>;</w:t>
      </w:r>
      <w:r w:rsidR="000B52C6">
        <w:t xml:space="preserve"> </w:t>
      </w:r>
      <w:r w:rsidR="003D3AE1">
        <w:t>the e</w:t>
      </w:r>
      <w:r w:rsidR="002F4220">
        <w:t xml:space="preserve">xisting revenue, </w:t>
      </w:r>
      <w:r w:rsidR="003D3AE1">
        <w:t>profits,</w:t>
      </w:r>
      <w:r w:rsidR="002F4220">
        <w:t xml:space="preserve"> and costs of </w:t>
      </w:r>
      <w:r w:rsidR="005F135E">
        <w:t>providers</w:t>
      </w:r>
      <w:r w:rsidR="003D3AE1">
        <w:t>; and</w:t>
      </w:r>
      <w:r w:rsidR="005F135E">
        <w:t xml:space="preserve"> the final fee growth constraint level.</w:t>
      </w:r>
      <w:r w:rsidR="00F00D23">
        <w:t xml:space="preserve"> At a high-level, the Department does expect an affordability condition</w:t>
      </w:r>
      <w:r w:rsidR="00AA708A">
        <w:t xml:space="preserve"> may</w:t>
      </w:r>
      <w:r w:rsidR="00F00D23">
        <w:t xml:space="preserve"> pose </w:t>
      </w:r>
      <w:r w:rsidR="00BC5530">
        <w:t xml:space="preserve">some </w:t>
      </w:r>
      <w:r w:rsidR="00F00D23">
        <w:t>risk to providers’ financial viability and the levels of quality in their service delivery. These assumptions are informed by findings by the ACCC and OECD</w:t>
      </w:r>
      <w:r w:rsidR="005A0EED">
        <w:t>. B</w:t>
      </w:r>
      <w:r w:rsidR="000365F0">
        <w:t>oth advi</w:t>
      </w:r>
      <w:r w:rsidR="005A0EED">
        <w:t>se</w:t>
      </w:r>
      <w:r w:rsidR="000365F0">
        <w:t xml:space="preserve"> that </w:t>
      </w:r>
      <w:r w:rsidR="009B4327">
        <w:t>regulations must be carefully designed and implemented</w:t>
      </w:r>
      <w:r w:rsidR="005A0EED">
        <w:t>, to mitigate the negative risks</w:t>
      </w:r>
      <w:r w:rsidR="00C84CDF">
        <w:rPr>
          <w:rStyle w:val="FootnoteReference"/>
        </w:rPr>
        <w:footnoteReference w:id="96"/>
      </w:r>
      <w:r w:rsidR="005A0EED">
        <w:t>.</w:t>
      </w:r>
      <w:r w:rsidR="006012A6">
        <w:t xml:space="preserve"> An exemption process, designed to support providers facing viability concerns, </w:t>
      </w:r>
      <w:r w:rsidR="00434455">
        <w:t xml:space="preserve">is being designed in tandem with an affordability condition to </w:t>
      </w:r>
      <w:r w:rsidR="00184728">
        <w:t>ensure</w:t>
      </w:r>
      <w:r w:rsidR="000824DF">
        <w:t xml:space="preserve"> the supply of ECEC is not diminished as a result of any fee regulation. </w:t>
      </w:r>
    </w:p>
    <w:p w14:paraId="218A7189" w14:textId="77777777" w:rsidR="00133E82" w:rsidRDefault="00133E82" w:rsidP="007D5715">
      <w:pPr>
        <w:pStyle w:val="Heading6"/>
      </w:pPr>
      <w:r>
        <w:t xml:space="preserve">Objectives and measures </w:t>
      </w:r>
    </w:p>
    <w:p w14:paraId="57324ADE" w14:textId="77777777" w:rsidR="00133E82" w:rsidRDefault="00133E82" w:rsidP="00133E82">
      <w:pPr>
        <w:rPr>
          <w:rFonts w:asciiTheme="majorHAnsi" w:hAnsiTheme="majorHAnsi" w:cstheme="majorHAnsi"/>
        </w:rPr>
      </w:pPr>
      <w:r w:rsidRPr="00177A09">
        <w:rPr>
          <w:rFonts w:asciiTheme="majorHAnsi" w:hAnsiTheme="majorHAnsi" w:cstheme="majorHAnsi"/>
        </w:rPr>
        <w:t>Outlined above, contributing Commonwealth funding towards a wage increase for ECEC workforce, complemented by a sensible fee constraint condition is required to achieve the following objectives</w:t>
      </w:r>
      <w:r w:rsidRPr="001E6F8E">
        <w:rPr>
          <w:rFonts w:asciiTheme="majorHAnsi" w:hAnsiTheme="majorHAnsi" w:cstheme="majorHAnsi"/>
        </w:rPr>
        <w:t>:</w:t>
      </w:r>
    </w:p>
    <w:p w14:paraId="3F6F0608"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lastRenderedPageBreak/>
        <w:t xml:space="preserve">improve ECEC workforce attraction and retention rates </w:t>
      </w:r>
    </w:p>
    <w:p w14:paraId="21474384"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improve wages and conditions for ECEC workers, ensuring liveable wages that recognise skills and professionalism</w:t>
      </w:r>
    </w:p>
    <w:p w14:paraId="45F5D3ED"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deliver broad ECEC reform, including universal access to quality ECEC</w:t>
      </w:r>
    </w:p>
    <w:p w14:paraId="02D0150D"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 xml:space="preserve">ensure workforce is positioned to respond to increases in service demand </w:t>
      </w:r>
    </w:p>
    <w:p w14:paraId="03C4410F"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enable greater workforce participation, especially for women</w:t>
      </w:r>
    </w:p>
    <w:p w14:paraId="1B008BCF"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improve access to ECEC services for families that want to use it</w:t>
      </w:r>
    </w:p>
    <w:p w14:paraId="7F0046DF"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limit fee increases and higher out-of-pocket expenses for families</w:t>
      </w:r>
    </w:p>
    <w:p w14:paraId="48ABE34B"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 xml:space="preserve">preserve the benefits of the government’s </w:t>
      </w:r>
      <w:r w:rsidRPr="00AE6C3B">
        <w:rPr>
          <w:rStyle w:val="Emphasis"/>
        </w:rPr>
        <w:t>Cheaper Child Care</w:t>
      </w:r>
      <w:r w:rsidRPr="00AE6C3B">
        <w:rPr>
          <w:rStyle w:val="Emphasis"/>
          <w:i w:val="0"/>
          <w:iCs w:val="0"/>
        </w:rPr>
        <w:t xml:space="preserve"> policy </w:t>
      </w:r>
    </w:p>
    <w:p w14:paraId="053B834D" w14:textId="77777777" w:rsidR="00133E82" w:rsidRPr="00AE6C3B" w:rsidRDefault="00133E82" w:rsidP="00AE6C3B">
      <w:pPr>
        <w:rPr>
          <w:rFonts w:asciiTheme="majorHAnsi" w:hAnsiTheme="majorHAnsi" w:cstheme="majorHAnsi"/>
        </w:rPr>
      </w:pPr>
      <w:r w:rsidRPr="00AE6C3B">
        <w:rPr>
          <w:rFonts w:asciiTheme="majorHAnsi" w:hAnsiTheme="majorHAnsi" w:cstheme="majorHAnsi"/>
        </w:rPr>
        <w:t>The success of workforce outcomes achieved through the implemented workforce and affordability measures would be evident through both short and longer-term indicators. As observed following the Work value case – Aged care industry Interim increase, short-term indicators of success could include:</w:t>
      </w:r>
    </w:p>
    <w:p w14:paraId="5728C649"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positive trends in internet vacancy data and the time that vacancies are advertised for</w:t>
      </w:r>
    </w:p>
    <w:p w14:paraId="524BC9E4"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improvement in workforce modelling that suggests reduction in the estimate of workforce shortages and a positive trend in the number of ECEC workers</w:t>
      </w:r>
    </w:p>
    <w:p w14:paraId="408D14D5"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monitoring of the student pipeline and the movement of students from ECEC courses into the ECEC sector workforce</w:t>
      </w:r>
    </w:p>
    <w:p w14:paraId="7F650385" w14:textId="77777777" w:rsidR="00133E82" w:rsidRPr="00AE6C3B" w:rsidRDefault="00133E82" w:rsidP="00AE6C3B">
      <w:pPr>
        <w:pStyle w:val="ListParagraph"/>
        <w:numPr>
          <w:ilvl w:val="0"/>
          <w:numId w:val="72"/>
        </w:numPr>
        <w:rPr>
          <w:rStyle w:val="Emphasis"/>
          <w:i w:val="0"/>
          <w:iCs w:val="0"/>
        </w:rPr>
      </w:pPr>
      <w:r w:rsidRPr="00AE6C3B">
        <w:rPr>
          <w:rStyle w:val="Emphasis"/>
          <w:i w:val="0"/>
          <w:iCs w:val="0"/>
        </w:rPr>
        <w:t>improvement to the length of time staff remain in the sector</w:t>
      </w:r>
    </w:p>
    <w:p w14:paraId="799E0944" w14:textId="57A58F15" w:rsidR="00AE6C3B" w:rsidRPr="00AE6C3B" w:rsidRDefault="2491632D" w:rsidP="00AE6C3B">
      <w:pPr>
        <w:pStyle w:val="ListParagraph"/>
        <w:numPr>
          <w:ilvl w:val="0"/>
          <w:numId w:val="72"/>
        </w:numPr>
        <w:rPr>
          <w:rStyle w:val="Emphasis"/>
          <w:i w:val="0"/>
          <w:iCs w:val="0"/>
        </w:rPr>
      </w:pPr>
      <w:r w:rsidRPr="00AE6C3B">
        <w:rPr>
          <w:rStyle w:val="Emphasis"/>
          <w:i w:val="0"/>
          <w:iCs w:val="0"/>
        </w:rPr>
        <w:t>reduction in the number of staff indicating an intention to leave the sector</w:t>
      </w:r>
      <w:r w:rsidR="7DE9D459" w:rsidRPr="00AE6C3B">
        <w:rPr>
          <w:rStyle w:val="Emphasis"/>
          <w:i w:val="0"/>
          <w:iCs w:val="0"/>
        </w:rPr>
        <w:t>.</w:t>
      </w:r>
    </w:p>
    <w:p w14:paraId="4F0F0CC7" w14:textId="46FEFE79" w:rsidR="006A061B" w:rsidRPr="00AE6C3B" w:rsidRDefault="00993313" w:rsidP="00AE6C3B">
      <w:pPr>
        <w:rPr>
          <w:rFonts w:asciiTheme="majorHAnsi" w:hAnsiTheme="majorHAnsi" w:cstheme="majorHAnsi"/>
        </w:rPr>
      </w:pPr>
      <w:r w:rsidRPr="00AE6C3B">
        <w:rPr>
          <w:rFonts w:asciiTheme="majorHAnsi" w:hAnsiTheme="majorHAnsi" w:cstheme="majorHAnsi"/>
        </w:rPr>
        <w:t>Longer-term indicators</w:t>
      </w:r>
      <w:r w:rsidR="006A061B" w:rsidRPr="00AE6C3B">
        <w:rPr>
          <w:rFonts w:asciiTheme="majorHAnsi" w:hAnsiTheme="majorHAnsi" w:cstheme="majorHAnsi"/>
        </w:rPr>
        <w:t xml:space="preserve"> of success</w:t>
      </w:r>
      <w:r w:rsidR="00571BFF" w:rsidRPr="00AE6C3B">
        <w:rPr>
          <w:rFonts w:asciiTheme="majorHAnsi" w:hAnsiTheme="majorHAnsi" w:cstheme="majorHAnsi"/>
        </w:rPr>
        <w:t xml:space="preserve"> could include</w:t>
      </w:r>
      <w:r w:rsidR="006A061B" w:rsidRPr="00AE6C3B">
        <w:rPr>
          <w:rFonts w:asciiTheme="majorHAnsi" w:hAnsiTheme="majorHAnsi" w:cstheme="majorHAnsi"/>
        </w:rPr>
        <w:t xml:space="preserve">: </w:t>
      </w:r>
    </w:p>
    <w:p w14:paraId="5C6987B5" w14:textId="5E43A7D6" w:rsidR="00CA1AF4" w:rsidRPr="00AE6C3B" w:rsidRDefault="002C2255" w:rsidP="00AE6C3B">
      <w:pPr>
        <w:pStyle w:val="ListParagraph"/>
        <w:numPr>
          <w:ilvl w:val="0"/>
          <w:numId w:val="72"/>
        </w:numPr>
        <w:rPr>
          <w:rStyle w:val="Emphasis"/>
          <w:i w:val="0"/>
          <w:iCs w:val="0"/>
        </w:rPr>
      </w:pPr>
      <w:r w:rsidRPr="00AE6C3B">
        <w:rPr>
          <w:rStyle w:val="Emphasis"/>
          <w:i w:val="0"/>
          <w:iCs w:val="0"/>
        </w:rPr>
        <w:t>a</w:t>
      </w:r>
      <w:r w:rsidR="0022214B" w:rsidRPr="00AE6C3B">
        <w:rPr>
          <w:rStyle w:val="Emphasis"/>
          <w:i w:val="0"/>
          <w:iCs w:val="0"/>
        </w:rPr>
        <w:t xml:space="preserve"> career in the </w:t>
      </w:r>
      <w:r w:rsidR="00DA75B8" w:rsidRPr="00AE6C3B">
        <w:rPr>
          <w:rStyle w:val="Emphasis"/>
          <w:i w:val="0"/>
          <w:iCs w:val="0"/>
        </w:rPr>
        <w:t>ECEC</w:t>
      </w:r>
      <w:r w:rsidR="0022214B" w:rsidRPr="00AE6C3B">
        <w:rPr>
          <w:rStyle w:val="Emphasis"/>
          <w:i w:val="0"/>
          <w:iCs w:val="0"/>
        </w:rPr>
        <w:t xml:space="preserve"> sector</w:t>
      </w:r>
      <w:r w:rsidR="00DA75B8" w:rsidRPr="00AE6C3B">
        <w:rPr>
          <w:rStyle w:val="Emphasis"/>
          <w:i w:val="0"/>
          <w:iCs w:val="0"/>
        </w:rPr>
        <w:t xml:space="preserve"> is </w:t>
      </w:r>
      <w:r w:rsidR="00975361" w:rsidRPr="00AE6C3B">
        <w:rPr>
          <w:rStyle w:val="Emphasis"/>
          <w:i w:val="0"/>
          <w:iCs w:val="0"/>
        </w:rPr>
        <w:t>recognised</w:t>
      </w:r>
      <w:r w:rsidR="007B7A42" w:rsidRPr="00AE6C3B">
        <w:rPr>
          <w:rStyle w:val="Emphasis"/>
          <w:i w:val="0"/>
          <w:iCs w:val="0"/>
        </w:rPr>
        <w:t xml:space="preserve"> as </w:t>
      </w:r>
      <w:r w:rsidR="0022214B" w:rsidRPr="00AE6C3B">
        <w:rPr>
          <w:rStyle w:val="Emphasis"/>
          <w:i w:val="0"/>
          <w:iCs w:val="0"/>
        </w:rPr>
        <w:t xml:space="preserve">a </w:t>
      </w:r>
      <w:r w:rsidR="007B7A42" w:rsidRPr="00AE6C3B">
        <w:rPr>
          <w:rStyle w:val="Emphasis"/>
          <w:i w:val="0"/>
          <w:iCs w:val="0"/>
        </w:rPr>
        <w:t xml:space="preserve">professional </w:t>
      </w:r>
      <w:r w:rsidR="00AE6C13" w:rsidRPr="00AE6C3B">
        <w:rPr>
          <w:rStyle w:val="Emphasis"/>
          <w:i w:val="0"/>
          <w:iCs w:val="0"/>
        </w:rPr>
        <w:t xml:space="preserve">option of work </w:t>
      </w:r>
      <w:r w:rsidR="00D910CE" w:rsidRPr="00AE6C3B">
        <w:rPr>
          <w:rStyle w:val="Emphasis"/>
          <w:i w:val="0"/>
          <w:iCs w:val="0"/>
        </w:rPr>
        <w:t>choice</w:t>
      </w:r>
      <w:r w:rsidR="00DA75B8" w:rsidRPr="00AE6C3B">
        <w:rPr>
          <w:rStyle w:val="Emphasis"/>
          <w:i w:val="0"/>
          <w:iCs w:val="0"/>
        </w:rPr>
        <w:t xml:space="preserve"> </w:t>
      </w:r>
      <w:r w:rsidR="00CA1AF4" w:rsidRPr="00AE6C3B">
        <w:rPr>
          <w:rStyle w:val="Emphasis"/>
          <w:i w:val="0"/>
          <w:iCs w:val="0"/>
        </w:rPr>
        <w:t>through better pay and conditions</w:t>
      </w:r>
      <w:r w:rsidR="00695740" w:rsidRPr="00AE6C3B">
        <w:rPr>
          <w:rStyle w:val="Emphasis"/>
          <w:i w:val="0"/>
          <w:iCs w:val="0"/>
        </w:rPr>
        <w:t xml:space="preserve"> </w:t>
      </w:r>
    </w:p>
    <w:p w14:paraId="6BEFDD0D" w14:textId="641D72E6" w:rsidR="00001B53" w:rsidRPr="00AE6C3B" w:rsidRDefault="001042BC" w:rsidP="00AE6C3B">
      <w:pPr>
        <w:pStyle w:val="ListParagraph"/>
        <w:numPr>
          <w:ilvl w:val="0"/>
          <w:numId w:val="72"/>
        </w:numPr>
        <w:rPr>
          <w:rStyle w:val="Emphasis"/>
          <w:i w:val="0"/>
          <w:iCs w:val="0"/>
        </w:rPr>
      </w:pPr>
      <w:r w:rsidRPr="00AE6C3B">
        <w:rPr>
          <w:rStyle w:val="Emphasis"/>
          <w:i w:val="0"/>
          <w:iCs w:val="0"/>
        </w:rPr>
        <w:t>i</w:t>
      </w:r>
      <w:r w:rsidR="00495EF3" w:rsidRPr="00AE6C3B">
        <w:rPr>
          <w:rStyle w:val="Emphasis"/>
          <w:i w:val="0"/>
          <w:iCs w:val="0"/>
        </w:rPr>
        <w:t xml:space="preserve">mproved regulatory frameworks to support </w:t>
      </w:r>
      <w:r w:rsidR="00D76E08" w:rsidRPr="00AE6C3B">
        <w:rPr>
          <w:rStyle w:val="Emphasis"/>
          <w:i w:val="0"/>
          <w:iCs w:val="0"/>
        </w:rPr>
        <w:t>the attraction and retention of educators and workforce in the ECEC sector</w:t>
      </w:r>
    </w:p>
    <w:p w14:paraId="58F17870" w14:textId="77777777" w:rsidR="009B3FFE" w:rsidRPr="00AE6C3B" w:rsidRDefault="008C1684" w:rsidP="00AE6C3B">
      <w:pPr>
        <w:pStyle w:val="ListParagraph"/>
        <w:numPr>
          <w:ilvl w:val="0"/>
          <w:numId w:val="72"/>
        </w:numPr>
        <w:rPr>
          <w:rStyle w:val="Emphasis"/>
          <w:i w:val="0"/>
          <w:iCs w:val="0"/>
        </w:rPr>
      </w:pPr>
      <w:r w:rsidRPr="00AE6C3B">
        <w:rPr>
          <w:rStyle w:val="Emphasis"/>
          <w:i w:val="0"/>
          <w:iCs w:val="0"/>
        </w:rPr>
        <w:t xml:space="preserve">ECEC workers </w:t>
      </w:r>
      <w:r w:rsidR="009B3FFE" w:rsidRPr="00AE6C3B">
        <w:rPr>
          <w:rStyle w:val="Emphasis"/>
          <w:i w:val="0"/>
          <w:iCs w:val="0"/>
        </w:rPr>
        <w:t xml:space="preserve">receive adequate professional development opportunities </w:t>
      </w:r>
    </w:p>
    <w:p w14:paraId="6F32FBE4" w14:textId="7B0BA479" w:rsidR="006A061B" w:rsidRPr="00AE6C3B" w:rsidRDefault="5450D8C1" w:rsidP="00AE6C3B">
      <w:pPr>
        <w:pStyle w:val="ListParagraph"/>
        <w:numPr>
          <w:ilvl w:val="0"/>
          <w:numId w:val="72"/>
        </w:numPr>
        <w:rPr>
          <w:rStyle w:val="Emphasis"/>
          <w:i w:val="0"/>
          <w:iCs w:val="0"/>
        </w:rPr>
      </w:pPr>
      <w:r w:rsidRPr="00AE6C3B">
        <w:rPr>
          <w:rStyle w:val="Emphasis"/>
          <w:i w:val="0"/>
          <w:iCs w:val="0"/>
        </w:rPr>
        <w:t>h</w:t>
      </w:r>
      <w:r w:rsidR="66B9823C" w:rsidRPr="00AE6C3B">
        <w:rPr>
          <w:rStyle w:val="Emphasis"/>
          <w:i w:val="0"/>
          <w:iCs w:val="0"/>
        </w:rPr>
        <w:t>igh</w:t>
      </w:r>
      <w:r w:rsidR="49699723" w:rsidRPr="00AE6C3B">
        <w:rPr>
          <w:rStyle w:val="Emphasis"/>
          <w:i w:val="0"/>
          <w:iCs w:val="0"/>
        </w:rPr>
        <w:t>er</w:t>
      </w:r>
      <w:r w:rsidR="66B9823C" w:rsidRPr="00AE6C3B">
        <w:rPr>
          <w:rStyle w:val="Emphasis"/>
          <w:i w:val="0"/>
          <w:iCs w:val="0"/>
        </w:rPr>
        <w:t xml:space="preserve"> ECEC educator qualification completion rates and lower barriers to upskilling</w:t>
      </w:r>
      <w:r w:rsidR="7853173C" w:rsidRPr="00AE6C3B">
        <w:rPr>
          <w:rStyle w:val="Emphasis"/>
          <w:i w:val="0"/>
          <w:iCs w:val="0"/>
        </w:rPr>
        <w:t>.</w:t>
      </w:r>
      <w:r w:rsidR="5AE5BAFE" w:rsidRPr="00AE6C3B">
        <w:rPr>
          <w:rStyle w:val="Emphasis"/>
          <w:i w:val="0"/>
          <w:iCs w:val="0"/>
        </w:rPr>
        <w:t xml:space="preserve"> </w:t>
      </w:r>
    </w:p>
    <w:p w14:paraId="2FD7B24E" w14:textId="77777777" w:rsidR="00133E82" w:rsidRPr="00AE6C3B" w:rsidRDefault="00133E82" w:rsidP="00AE6C3B">
      <w:pPr>
        <w:rPr>
          <w:rFonts w:asciiTheme="majorHAnsi" w:hAnsiTheme="majorHAnsi" w:cstheme="majorHAnsi"/>
        </w:rPr>
      </w:pPr>
      <w:r w:rsidRPr="00AE6C3B">
        <w:rPr>
          <w:rFonts w:asciiTheme="majorHAnsi" w:hAnsiTheme="majorHAnsi" w:cstheme="majorHAnsi"/>
        </w:rPr>
        <w:t>Success in the implementation of an affordability condition would include:</w:t>
      </w:r>
    </w:p>
    <w:p w14:paraId="7D9ABB2E" w14:textId="77777777" w:rsidR="00DD4605" w:rsidRPr="00AE6C3B" w:rsidRDefault="003E1D09" w:rsidP="00AE6C3B">
      <w:pPr>
        <w:pStyle w:val="ListParagraph"/>
        <w:numPr>
          <w:ilvl w:val="0"/>
          <w:numId w:val="72"/>
        </w:numPr>
        <w:rPr>
          <w:rStyle w:val="Emphasis"/>
          <w:i w:val="0"/>
          <w:iCs w:val="0"/>
        </w:rPr>
      </w:pPr>
      <w:r w:rsidRPr="00AE6C3B">
        <w:rPr>
          <w:rStyle w:val="Emphasis"/>
          <w:i w:val="0"/>
          <w:iCs w:val="0"/>
        </w:rPr>
        <w:t xml:space="preserve">the rate of </w:t>
      </w:r>
      <w:proofErr w:type="gramStart"/>
      <w:r w:rsidRPr="00AE6C3B">
        <w:rPr>
          <w:rStyle w:val="Emphasis"/>
          <w:i w:val="0"/>
          <w:iCs w:val="0"/>
        </w:rPr>
        <w:t>child care</w:t>
      </w:r>
      <w:proofErr w:type="gramEnd"/>
      <w:r w:rsidRPr="00AE6C3B">
        <w:rPr>
          <w:rStyle w:val="Emphasis"/>
          <w:i w:val="0"/>
          <w:iCs w:val="0"/>
        </w:rPr>
        <w:t xml:space="preserve"> fee growth is proportionate to </w:t>
      </w:r>
      <w:r w:rsidR="00DD4605" w:rsidRPr="00AE6C3B">
        <w:rPr>
          <w:rStyle w:val="Emphasis"/>
          <w:i w:val="0"/>
          <w:iCs w:val="0"/>
        </w:rPr>
        <w:t>the allowable rate of growth</w:t>
      </w:r>
    </w:p>
    <w:p w14:paraId="4C8599A5" w14:textId="632C5B00" w:rsidR="00B30841" w:rsidRPr="00AE6C3B" w:rsidRDefault="000F0791" w:rsidP="00AE6C3B">
      <w:pPr>
        <w:pStyle w:val="ListParagraph"/>
        <w:numPr>
          <w:ilvl w:val="0"/>
          <w:numId w:val="72"/>
        </w:numPr>
        <w:rPr>
          <w:rStyle w:val="Emphasis"/>
          <w:i w:val="0"/>
          <w:iCs w:val="0"/>
        </w:rPr>
      </w:pPr>
      <w:r w:rsidRPr="00AE6C3B">
        <w:rPr>
          <w:rStyle w:val="Emphasis"/>
          <w:i w:val="0"/>
          <w:iCs w:val="0"/>
        </w:rPr>
        <w:t>out-of-pocket costs to families do not</w:t>
      </w:r>
      <w:r w:rsidR="00367D09" w:rsidRPr="00AE6C3B">
        <w:rPr>
          <w:rStyle w:val="Emphasis"/>
          <w:i w:val="0"/>
          <w:iCs w:val="0"/>
        </w:rPr>
        <w:t xml:space="preserve"> significantly</w:t>
      </w:r>
      <w:r w:rsidRPr="00AE6C3B">
        <w:rPr>
          <w:rStyle w:val="Emphasis"/>
          <w:i w:val="0"/>
          <w:iCs w:val="0"/>
        </w:rPr>
        <w:t xml:space="preserve"> </w:t>
      </w:r>
      <w:r w:rsidR="00367D09" w:rsidRPr="00AE6C3B">
        <w:rPr>
          <w:rStyle w:val="Emphasis"/>
          <w:i w:val="0"/>
          <w:iCs w:val="0"/>
        </w:rPr>
        <w:t xml:space="preserve">increase more than </w:t>
      </w:r>
      <w:r w:rsidR="00306419" w:rsidRPr="00AE6C3B">
        <w:rPr>
          <w:rStyle w:val="Emphasis"/>
          <w:i w:val="0"/>
          <w:iCs w:val="0"/>
        </w:rPr>
        <w:t xml:space="preserve">the levels as at June Quarter 2023 (prior to implementation of the Cheaper Child Care </w:t>
      </w:r>
      <w:r w:rsidR="0005449C" w:rsidRPr="00AE6C3B">
        <w:rPr>
          <w:rStyle w:val="Emphasis"/>
          <w:i w:val="0"/>
          <w:iCs w:val="0"/>
        </w:rPr>
        <w:t>policy)</w:t>
      </w:r>
    </w:p>
    <w:p w14:paraId="6BA272DF" w14:textId="1FB6FBA3" w:rsidR="00B30841" w:rsidRPr="00AE6C3B" w:rsidRDefault="00B35E2C" w:rsidP="00AE6C3B">
      <w:pPr>
        <w:pStyle w:val="ListParagraph"/>
        <w:numPr>
          <w:ilvl w:val="0"/>
          <w:numId w:val="72"/>
        </w:numPr>
        <w:rPr>
          <w:rStyle w:val="Emphasis"/>
          <w:i w:val="0"/>
          <w:iCs w:val="0"/>
        </w:rPr>
      </w:pPr>
      <w:r w:rsidRPr="00AE6C3B">
        <w:rPr>
          <w:rStyle w:val="Emphasis"/>
          <w:i w:val="0"/>
          <w:iCs w:val="0"/>
        </w:rPr>
        <w:t>no</w:t>
      </w:r>
      <w:r w:rsidR="00B62D49" w:rsidRPr="00AE6C3B">
        <w:rPr>
          <w:rStyle w:val="Emphasis"/>
          <w:i w:val="0"/>
          <w:iCs w:val="0"/>
        </w:rPr>
        <w:t xml:space="preserve"> reduction in service quality or</w:t>
      </w:r>
      <w:r w:rsidR="009304FB" w:rsidRPr="00AE6C3B">
        <w:rPr>
          <w:rStyle w:val="Emphasis"/>
          <w:i w:val="0"/>
          <w:iCs w:val="0"/>
        </w:rPr>
        <w:t xml:space="preserve"> </w:t>
      </w:r>
      <w:r w:rsidR="003221DA" w:rsidRPr="00AE6C3B">
        <w:rPr>
          <w:rStyle w:val="Emphasis"/>
          <w:i w:val="0"/>
          <w:iCs w:val="0"/>
        </w:rPr>
        <w:t>service closures</w:t>
      </w:r>
      <w:r w:rsidRPr="00AE6C3B">
        <w:rPr>
          <w:rStyle w:val="Emphasis"/>
          <w:i w:val="0"/>
          <w:iCs w:val="0"/>
        </w:rPr>
        <w:t xml:space="preserve">, as a direct result of the </w:t>
      </w:r>
      <w:r w:rsidR="00B947E0" w:rsidRPr="00AE6C3B">
        <w:rPr>
          <w:rStyle w:val="Emphasis"/>
          <w:i w:val="0"/>
          <w:iCs w:val="0"/>
        </w:rPr>
        <w:t>condition</w:t>
      </w:r>
    </w:p>
    <w:p w14:paraId="04F7615F" w14:textId="3D5B103F" w:rsidR="00133E82" w:rsidRPr="00AE6C3B" w:rsidRDefault="00133E82" w:rsidP="00AE6C3B">
      <w:pPr>
        <w:pStyle w:val="ListParagraph"/>
        <w:numPr>
          <w:ilvl w:val="0"/>
          <w:numId w:val="72"/>
        </w:numPr>
        <w:rPr>
          <w:rStyle w:val="Emphasis"/>
          <w:i w:val="0"/>
          <w:iCs w:val="0"/>
        </w:rPr>
      </w:pPr>
      <w:r w:rsidRPr="00AE6C3B">
        <w:rPr>
          <w:rStyle w:val="Emphasis"/>
          <w:i w:val="0"/>
          <w:iCs w:val="0"/>
        </w:rPr>
        <w:t>providers</w:t>
      </w:r>
      <w:r w:rsidR="00B947E0" w:rsidRPr="00AE6C3B">
        <w:rPr>
          <w:rStyle w:val="Emphasis"/>
          <w:i w:val="0"/>
          <w:iCs w:val="0"/>
        </w:rPr>
        <w:t xml:space="preserve"> are not deterred</w:t>
      </w:r>
      <w:r w:rsidRPr="00AE6C3B">
        <w:rPr>
          <w:rStyle w:val="Emphasis"/>
          <w:i w:val="0"/>
          <w:iCs w:val="0"/>
        </w:rPr>
        <w:t xml:space="preserve"> from engaging in the policy</w:t>
      </w:r>
    </w:p>
    <w:p w14:paraId="76EB1164" w14:textId="6D2BEB17" w:rsidR="008B2D07" w:rsidRPr="00AE6C3B" w:rsidRDefault="2988EA4C" w:rsidP="00AE6C3B">
      <w:pPr>
        <w:pStyle w:val="ListParagraph"/>
        <w:numPr>
          <w:ilvl w:val="0"/>
          <w:numId w:val="72"/>
        </w:numPr>
        <w:rPr>
          <w:rStyle w:val="Emphasis"/>
          <w:i w:val="0"/>
          <w:iCs w:val="0"/>
        </w:rPr>
      </w:pPr>
      <w:r w:rsidRPr="00AE6C3B">
        <w:rPr>
          <w:rStyle w:val="Emphasis"/>
          <w:i w:val="0"/>
          <w:iCs w:val="0"/>
        </w:rPr>
        <w:t xml:space="preserve">growth in ECEC supply </w:t>
      </w:r>
      <w:proofErr w:type="gramStart"/>
      <w:r w:rsidRPr="00AE6C3B">
        <w:rPr>
          <w:rStyle w:val="Emphasis"/>
          <w:i w:val="0"/>
          <w:iCs w:val="0"/>
        </w:rPr>
        <w:t>continues, and</w:t>
      </w:r>
      <w:proofErr w:type="gramEnd"/>
      <w:r w:rsidRPr="00AE6C3B">
        <w:rPr>
          <w:rStyle w:val="Emphasis"/>
          <w:i w:val="0"/>
          <w:iCs w:val="0"/>
        </w:rPr>
        <w:t xml:space="preserve"> does not abate as a direct result of the condition</w:t>
      </w:r>
      <w:r w:rsidR="1A48D60B" w:rsidRPr="00AE6C3B">
        <w:rPr>
          <w:rStyle w:val="Emphasis"/>
          <w:i w:val="0"/>
          <w:iCs w:val="0"/>
        </w:rPr>
        <w:t>.</w:t>
      </w:r>
      <w:r w:rsidR="00E80051">
        <w:rPr>
          <w:rStyle w:val="Emphasis"/>
          <w:i w:val="0"/>
          <w:iCs w:val="0"/>
        </w:rPr>
        <w:br/>
      </w:r>
      <w:r w:rsidR="00E80051">
        <w:rPr>
          <w:rStyle w:val="Emphasis"/>
          <w:i w:val="0"/>
          <w:iCs w:val="0"/>
        </w:rPr>
        <w:br/>
      </w:r>
      <w:r w:rsidR="00E80051">
        <w:rPr>
          <w:rStyle w:val="Emphasis"/>
          <w:i w:val="0"/>
          <w:iCs w:val="0"/>
        </w:rPr>
        <w:br/>
      </w:r>
    </w:p>
    <w:p w14:paraId="4269E545" w14:textId="1A6246F9" w:rsidR="002F53F1" w:rsidRPr="00A84D19" w:rsidRDefault="002F53F1" w:rsidP="002F53F1">
      <w:pPr>
        <w:pStyle w:val="Heading2"/>
      </w:pPr>
      <w:bookmarkStart w:id="20" w:name="_Toc219193863"/>
      <w:r>
        <w:lastRenderedPageBreak/>
        <w:t>Policy options</w:t>
      </w:r>
      <w:bookmarkEnd w:id="20"/>
    </w:p>
    <w:p w14:paraId="0536488E" w14:textId="258690F4" w:rsidR="768AAB74" w:rsidRDefault="513E69CB" w:rsidP="00AE6C3B">
      <w:pPr>
        <w:spacing w:after="0"/>
      </w:pPr>
      <w:r>
        <w:t xml:space="preserve">Three policy options </w:t>
      </w:r>
      <w:r w:rsidR="00F56EC8">
        <w:t>were considered</w:t>
      </w:r>
      <w:r w:rsidR="0B3B8D90">
        <w:t xml:space="preserve"> for Government funding to support a wage increase for workers in the ECEC sector</w:t>
      </w:r>
      <w:r w:rsidR="768AAB74">
        <w:t xml:space="preserve">. </w:t>
      </w:r>
    </w:p>
    <w:p w14:paraId="352B6CF0" w14:textId="6B7DDA22" w:rsidR="768AAB74" w:rsidRPr="00AE6C3B" w:rsidRDefault="768AAB74" w:rsidP="00AE6C3B">
      <w:pPr>
        <w:pStyle w:val="ListParagraph"/>
        <w:numPr>
          <w:ilvl w:val="0"/>
          <w:numId w:val="72"/>
        </w:numPr>
        <w:rPr>
          <w:rStyle w:val="Emphasis"/>
          <w:i w:val="0"/>
          <w:iCs w:val="0"/>
        </w:rPr>
      </w:pPr>
      <w:r w:rsidRPr="00AE6C3B">
        <w:rPr>
          <w:rStyle w:val="Emphasis"/>
          <w:i w:val="0"/>
          <w:iCs w:val="0"/>
        </w:rPr>
        <w:t xml:space="preserve">Option </w:t>
      </w:r>
      <w:r w:rsidR="1F1E4D06" w:rsidRPr="00AE6C3B">
        <w:rPr>
          <w:rStyle w:val="Emphasis"/>
          <w:i w:val="0"/>
          <w:iCs w:val="0"/>
        </w:rPr>
        <w:t>O</w:t>
      </w:r>
      <w:r w:rsidRPr="00AE6C3B">
        <w:rPr>
          <w:rStyle w:val="Emphasis"/>
          <w:i w:val="0"/>
          <w:iCs w:val="0"/>
        </w:rPr>
        <w:t>ne</w:t>
      </w:r>
      <w:r w:rsidR="16EC3C06" w:rsidRPr="00AE6C3B">
        <w:rPr>
          <w:rStyle w:val="Emphasis"/>
          <w:i w:val="0"/>
          <w:iCs w:val="0"/>
        </w:rPr>
        <w:t xml:space="preserve"> – </w:t>
      </w:r>
      <w:r w:rsidR="006777E8" w:rsidRPr="00AE6C3B">
        <w:rPr>
          <w:rStyle w:val="Emphasis"/>
          <w:i w:val="0"/>
          <w:iCs w:val="0"/>
        </w:rPr>
        <w:t>N</w:t>
      </w:r>
      <w:r w:rsidR="16EC3C06" w:rsidRPr="00AE6C3B">
        <w:rPr>
          <w:rStyle w:val="Emphasis"/>
          <w:i w:val="0"/>
          <w:iCs w:val="0"/>
        </w:rPr>
        <w:t xml:space="preserve">o </w:t>
      </w:r>
      <w:r w:rsidR="00B77508" w:rsidRPr="00AE6C3B">
        <w:rPr>
          <w:rStyle w:val="Emphasis"/>
          <w:i w:val="0"/>
          <w:iCs w:val="0"/>
        </w:rPr>
        <w:t xml:space="preserve">additional </w:t>
      </w:r>
      <w:r w:rsidR="16EC3C06" w:rsidRPr="00AE6C3B">
        <w:rPr>
          <w:rStyle w:val="Emphasis"/>
          <w:i w:val="0"/>
          <w:iCs w:val="0"/>
        </w:rPr>
        <w:t>Government funding in support of a wage increase</w:t>
      </w:r>
      <w:r w:rsidR="00C77009" w:rsidRPr="00AE6C3B">
        <w:rPr>
          <w:rStyle w:val="Emphasis"/>
          <w:i w:val="0"/>
          <w:iCs w:val="0"/>
        </w:rPr>
        <w:t xml:space="preserve"> (status quo)</w:t>
      </w:r>
      <w:r w:rsidR="005A22BC" w:rsidRPr="00AE6C3B">
        <w:rPr>
          <w:rStyle w:val="Emphasis"/>
          <w:i w:val="0"/>
          <w:iCs w:val="0"/>
        </w:rPr>
        <w:t>.</w:t>
      </w:r>
    </w:p>
    <w:p w14:paraId="066790D5" w14:textId="43F0C372" w:rsidR="768AAB74" w:rsidRPr="00AE6C3B" w:rsidRDefault="16EC3C06" w:rsidP="00AE6C3B">
      <w:pPr>
        <w:pStyle w:val="ListParagraph"/>
        <w:numPr>
          <w:ilvl w:val="0"/>
          <w:numId w:val="72"/>
        </w:numPr>
        <w:rPr>
          <w:rStyle w:val="Emphasis"/>
          <w:i w:val="0"/>
          <w:iCs w:val="0"/>
        </w:rPr>
      </w:pPr>
      <w:r w:rsidRPr="00AE6C3B">
        <w:rPr>
          <w:rStyle w:val="Emphasis"/>
          <w:i w:val="0"/>
          <w:iCs w:val="0"/>
        </w:rPr>
        <w:t xml:space="preserve">Option Two – </w:t>
      </w:r>
      <w:r w:rsidR="006777E8" w:rsidRPr="00AE6C3B">
        <w:rPr>
          <w:rStyle w:val="Emphasis"/>
          <w:i w:val="0"/>
          <w:iCs w:val="0"/>
        </w:rPr>
        <w:t>F</w:t>
      </w:r>
      <w:r w:rsidRPr="00AE6C3B">
        <w:rPr>
          <w:rStyle w:val="Emphasis"/>
          <w:i w:val="0"/>
          <w:iCs w:val="0"/>
        </w:rPr>
        <w:t>unding a time</w:t>
      </w:r>
      <w:r w:rsidR="3E8163AC" w:rsidRPr="00AE6C3B">
        <w:rPr>
          <w:rStyle w:val="Emphasis"/>
          <w:i w:val="0"/>
          <w:iCs w:val="0"/>
        </w:rPr>
        <w:t>-</w:t>
      </w:r>
      <w:r w:rsidRPr="00AE6C3B">
        <w:rPr>
          <w:rStyle w:val="Emphasis"/>
          <w:i w:val="0"/>
          <w:iCs w:val="0"/>
        </w:rPr>
        <w:t>limited</w:t>
      </w:r>
      <w:r w:rsidR="53F05B88" w:rsidRPr="00AE6C3B">
        <w:rPr>
          <w:rStyle w:val="Emphasis"/>
          <w:i w:val="0"/>
          <w:iCs w:val="0"/>
        </w:rPr>
        <w:t xml:space="preserve"> workforce retention payment to participating ECEC employers</w:t>
      </w:r>
      <w:r w:rsidR="005A22BC" w:rsidRPr="00AE6C3B">
        <w:rPr>
          <w:rStyle w:val="Emphasis"/>
          <w:i w:val="0"/>
          <w:iCs w:val="0"/>
        </w:rPr>
        <w:t>.</w:t>
      </w:r>
    </w:p>
    <w:p w14:paraId="541482B2" w14:textId="3E16761B" w:rsidR="00D23D0E" w:rsidRPr="00AE6C3B" w:rsidRDefault="53F05B88" w:rsidP="00AE6C3B">
      <w:pPr>
        <w:pStyle w:val="ListParagraph"/>
        <w:numPr>
          <w:ilvl w:val="0"/>
          <w:numId w:val="72"/>
        </w:numPr>
        <w:rPr>
          <w:rStyle w:val="Emphasis"/>
          <w:i w:val="0"/>
          <w:iCs w:val="0"/>
        </w:rPr>
      </w:pPr>
      <w:r w:rsidRPr="00AE6C3B">
        <w:rPr>
          <w:rStyle w:val="Emphasis"/>
          <w:i w:val="0"/>
          <w:iCs w:val="0"/>
        </w:rPr>
        <w:t>Option Three – Funding a time-limited workforce retention payment to ECEC employers under a workplace instrument</w:t>
      </w:r>
      <w:r w:rsidR="00D23D0E" w:rsidRPr="00AE6C3B">
        <w:rPr>
          <w:rStyle w:val="Emphasis"/>
          <w:i w:val="0"/>
          <w:iCs w:val="0"/>
        </w:rPr>
        <w:t>.</w:t>
      </w:r>
      <w:r w:rsidRPr="00AE6C3B">
        <w:rPr>
          <w:rStyle w:val="Emphasis"/>
          <w:i w:val="0"/>
          <w:iCs w:val="0"/>
        </w:rPr>
        <w:t xml:space="preserve"> </w:t>
      </w:r>
    </w:p>
    <w:p w14:paraId="239D55BD" w14:textId="19B3887E" w:rsidR="00D23D0E" w:rsidRDefault="00D23D0E" w:rsidP="00D23D0E">
      <w:r>
        <w:t>A</w:t>
      </w:r>
      <w:r w:rsidR="0007308F">
        <w:t xml:space="preserve"> fee constraint </w:t>
      </w:r>
      <w:r>
        <w:t xml:space="preserve">condition </w:t>
      </w:r>
      <w:r w:rsidR="0007308F">
        <w:t>has been considered</w:t>
      </w:r>
      <w:r w:rsidR="00B77508">
        <w:t xml:space="preserve"> </w:t>
      </w:r>
      <w:r w:rsidR="0007308F">
        <w:t>and will apply</w:t>
      </w:r>
      <w:r>
        <w:t xml:space="preserve"> </w:t>
      </w:r>
      <w:r w:rsidR="000D500E">
        <w:t xml:space="preserve">to any </w:t>
      </w:r>
      <w:r w:rsidR="00B77508">
        <w:t xml:space="preserve">additional </w:t>
      </w:r>
      <w:r w:rsidR="000D500E">
        <w:t>funding provided under Option Two or Three.</w:t>
      </w:r>
    </w:p>
    <w:p w14:paraId="375B6450" w14:textId="4F0C5D3D" w:rsidR="4B54DA5D" w:rsidRDefault="05834748" w:rsidP="00B83D5F">
      <w:pPr>
        <w:pStyle w:val="Heading3"/>
      </w:pPr>
      <w:bookmarkStart w:id="21" w:name="_Toc219193864"/>
      <w:r>
        <w:t>Option One</w:t>
      </w:r>
      <w:r w:rsidR="20B5B2A2">
        <w:t xml:space="preserve"> – </w:t>
      </w:r>
      <w:r w:rsidR="00BC680E">
        <w:t>Status Quo</w:t>
      </w:r>
      <w:bookmarkEnd w:id="21"/>
    </w:p>
    <w:p w14:paraId="4F403F97" w14:textId="37ABFD72" w:rsidR="13ADF9D2" w:rsidRDefault="76970F9A" w:rsidP="0D1E1A4D">
      <w:r>
        <w:t>Government does not contribute any</w:t>
      </w:r>
      <w:r w:rsidR="00E44412">
        <w:t xml:space="preserve"> additional</w:t>
      </w:r>
      <w:r>
        <w:t xml:space="preserve"> funding in support of a wage increase for ECEC workers through supported bargaining</w:t>
      </w:r>
      <w:r w:rsidR="00E44412">
        <w:t xml:space="preserve"> or</w:t>
      </w:r>
      <w:r w:rsidR="000757EA">
        <w:t xml:space="preserve"> any</w:t>
      </w:r>
      <w:r w:rsidR="00E44412">
        <w:t xml:space="preserve"> other </w:t>
      </w:r>
      <w:proofErr w:type="gramStart"/>
      <w:r w:rsidR="00E44412">
        <w:t>mechanism,</w:t>
      </w:r>
      <w:r>
        <w:t xml:space="preserve"> and</w:t>
      </w:r>
      <w:proofErr w:type="gramEnd"/>
      <w:r w:rsidR="00E44412">
        <w:t xml:space="preserve"> instead</w:t>
      </w:r>
      <w:r>
        <w:t xml:space="preserve"> continues funding the sector through the current CCS arrangements. Significant risks have been identified should </w:t>
      </w:r>
      <w:r w:rsidR="000757EA">
        <w:t>G</w:t>
      </w:r>
      <w:r>
        <w:t xml:space="preserve">overnment choose to maintain the status quo. </w:t>
      </w:r>
    </w:p>
    <w:p w14:paraId="25480EA6" w14:textId="5041057C" w:rsidR="13ADF9D2" w:rsidRDefault="76970F9A" w:rsidP="69FDC6B4">
      <w:r>
        <w:t xml:space="preserve">If Government funding is not provided, </w:t>
      </w:r>
      <w:r w:rsidR="00154EAA">
        <w:t xml:space="preserve">workforce shortages </w:t>
      </w:r>
      <w:r w:rsidR="00ED3301">
        <w:t>w</w:t>
      </w:r>
      <w:r w:rsidR="00154EAA">
        <w:t xml:space="preserve">ill continue to inhibit the sector, restricting access of care, and </w:t>
      </w:r>
      <w:r w:rsidR="00D56A25">
        <w:t>reducing workforce participation and productivity. Notably, e</w:t>
      </w:r>
      <w:r w:rsidR="17B693F3">
        <w:t xml:space="preserve">ven without </w:t>
      </w:r>
      <w:r w:rsidR="3D183030">
        <w:t xml:space="preserve">the provision of </w:t>
      </w:r>
      <w:r w:rsidR="00D56A25">
        <w:t xml:space="preserve">direct </w:t>
      </w:r>
      <w:r w:rsidR="3D183030">
        <w:t xml:space="preserve">wage </w:t>
      </w:r>
      <w:r w:rsidR="17B693F3">
        <w:t>funding, Government would still end up funding wage increase</w:t>
      </w:r>
      <w:r w:rsidR="00D56A25">
        <w:t>s</w:t>
      </w:r>
      <w:r w:rsidR="17B693F3">
        <w:t xml:space="preserve"> through the CCS as providers pass on costs through higher fees. In this scenario, families would be worse off as they pay the fee gap, with amplified negative impacts for families who attend services which already charge fees either close to, or above the </w:t>
      </w:r>
      <w:r w:rsidR="0093599C">
        <w:t>HRC.</w:t>
      </w:r>
      <w:r w:rsidR="17B693F3">
        <w:t xml:space="preserve"> All families would be worse-off under this option</w:t>
      </w:r>
      <w:r w:rsidR="00670CF1">
        <w:t>, and Government would miss a key opportunity to introduce necessary fee controls</w:t>
      </w:r>
      <w:r w:rsidR="00A27C6B">
        <w:t>, drive growth in the sector,</w:t>
      </w:r>
      <w:r w:rsidR="00670CF1">
        <w:t xml:space="preserve"> </w:t>
      </w:r>
      <w:r w:rsidR="00D706D2">
        <w:t xml:space="preserve">and </w:t>
      </w:r>
      <w:r w:rsidR="00A27C6B">
        <w:t xml:space="preserve">promote consistency in wages. </w:t>
      </w:r>
    </w:p>
    <w:p w14:paraId="4E08C292" w14:textId="1E2AB2DC" w:rsidR="004E47EE" w:rsidRDefault="004E47EE" w:rsidP="735DC66F">
      <w:pPr>
        <w:pStyle w:val="Heading3"/>
      </w:pPr>
      <w:bookmarkStart w:id="22" w:name="_Toc219193865"/>
      <w:r>
        <w:t xml:space="preserve">Option </w:t>
      </w:r>
      <w:r w:rsidR="39C26072">
        <w:t>Two</w:t>
      </w:r>
      <w:r w:rsidR="007E176C">
        <w:t xml:space="preserve"> – Funding </w:t>
      </w:r>
      <w:r w:rsidR="43CEF8F8">
        <w:t>a time-limited workforce retention payment to participating ECEC employers</w:t>
      </w:r>
      <w:bookmarkEnd w:id="22"/>
    </w:p>
    <w:p w14:paraId="28AB0B61" w14:textId="03514C14" w:rsidR="007E176C" w:rsidRPr="00C34893" w:rsidRDefault="2770A053" w:rsidP="3309166A">
      <w:r>
        <w:t xml:space="preserve">This option provides Commonwealth funding, subject to conditions, towards a </w:t>
      </w:r>
      <w:r w:rsidR="3A1ECFF2">
        <w:t>two</w:t>
      </w:r>
      <w:r w:rsidR="005E523D">
        <w:t>-</w:t>
      </w:r>
      <w:r>
        <w:t>year</w:t>
      </w:r>
      <w:r w:rsidR="008C7F86">
        <w:t xml:space="preserve"> universal</w:t>
      </w:r>
      <w:r>
        <w:t xml:space="preserve"> </w:t>
      </w:r>
      <w:r w:rsidR="005E523D">
        <w:t xml:space="preserve">ECEC </w:t>
      </w:r>
      <w:r w:rsidR="00E649C0">
        <w:t>W</w:t>
      </w:r>
      <w:r>
        <w:t>ork</w:t>
      </w:r>
      <w:r w:rsidR="005E523D">
        <w:t>er</w:t>
      </w:r>
      <w:r>
        <w:t xml:space="preserve"> </w:t>
      </w:r>
      <w:r w:rsidR="00E649C0">
        <w:t>R</w:t>
      </w:r>
      <w:r>
        <w:t xml:space="preserve">etention </w:t>
      </w:r>
      <w:r w:rsidR="00E649C0">
        <w:t>P</w:t>
      </w:r>
      <w:r>
        <w:t xml:space="preserve">ayment to ECEC </w:t>
      </w:r>
      <w:r w:rsidR="642A9E76">
        <w:t xml:space="preserve">workers of CCS approved services. </w:t>
      </w:r>
    </w:p>
    <w:p w14:paraId="1428C803" w14:textId="303B191F" w:rsidR="007E176C" w:rsidRDefault="6C820D56">
      <w:r>
        <w:t xml:space="preserve">This option does not incentivise </w:t>
      </w:r>
      <w:r w:rsidR="472200BB">
        <w:t xml:space="preserve">workplace </w:t>
      </w:r>
      <w:r>
        <w:t xml:space="preserve">bargaining or address the </w:t>
      </w:r>
      <w:r w:rsidR="4F861069">
        <w:t>high level of award reliance across the sector</w:t>
      </w:r>
      <w:r>
        <w:t>. Additionally, in the absence of a</w:t>
      </w:r>
      <w:r w:rsidR="5954716A">
        <w:t xml:space="preserve"> workplace instrument, </w:t>
      </w:r>
      <w:r>
        <w:t xml:space="preserve">the only legal basis for the funding conditions and compliance action will be the grant agreement under which funding is delivered. This </w:t>
      </w:r>
      <w:r w:rsidR="002E4C17">
        <w:t>option</w:t>
      </w:r>
      <w:r>
        <w:t xml:space="preserve"> presents a very high-risk of non-compliance and fraud. </w:t>
      </w:r>
      <w:r w:rsidR="4373D894">
        <w:t>It is likely that a</w:t>
      </w:r>
      <w:r w:rsidR="44D6DD77">
        <w:t>dditional</w:t>
      </w:r>
      <w:r w:rsidR="4373D894">
        <w:t xml:space="preserve"> evidentiary and</w:t>
      </w:r>
      <w:r w:rsidR="44D6DD77">
        <w:t xml:space="preserve"> reporting </w:t>
      </w:r>
      <w:r w:rsidR="4373D894">
        <w:t xml:space="preserve">requirements will be required under this option, </w:t>
      </w:r>
      <w:r w:rsidR="5EEADD1E">
        <w:t>such as</w:t>
      </w:r>
      <w:r w:rsidR="6E33C083">
        <w:t xml:space="preserve"> </w:t>
      </w:r>
      <w:r w:rsidR="790D22C6">
        <w:t>declarations</w:t>
      </w:r>
      <w:r w:rsidR="5EEADD1E">
        <w:t xml:space="preserve"> that all funding has been passed on</w:t>
      </w:r>
      <w:r w:rsidR="790D22C6">
        <w:t xml:space="preserve"> and regular financial reporting, contributing to</w:t>
      </w:r>
      <w:r w:rsidR="0C7B6D33">
        <w:t xml:space="preserve"> ongoing administrative burden</w:t>
      </w:r>
      <w:r w:rsidR="5EEADD1E">
        <w:t xml:space="preserve"> for providers. </w:t>
      </w:r>
      <w:r>
        <w:t>Significant Commonwealth resources will be required to ensure appropriate governance, accountability and compliance.</w:t>
      </w:r>
    </w:p>
    <w:p w14:paraId="48F0A30F" w14:textId="5C26CE36" w:rsidR="0A73EF92" w:rsidRDefault="0A73EF92" w:rsidP="3309166A">
      <w:pPr>
        <w:rPr>
          <w:i/>
          <w:iCs/>
        </w:rPr>
      </w:pPr>
      <w:r w:rsidRPr="00F30BFC">
        <w:rPr>
          <w:i/>
        </w:rPr>
        <w:t>Family Day Care and In</w:t>
      </w:r>
      <w:r w:rsidR="00254F4C">
        <w:rPr>
          <w:i/>
        </w:rPr>
        <w:t xml:space="preserve"> </w:t>
      </w:r>
      <w:r w:rsidRPr="00F30BFC">
        <w:rPr>
          <w:i/>
        </w:rPr>
        <w:t>Home Care</w:t>
      </w:r>
    </w:p>
    <w:p w14:paraId="4782B317" w14:textId="539840AE" w:rsidR="00E85BEE" w:rsidRDefault="0A73EF92" w:rsidP="29A029EE">
      <w:r>
        <w:t xml:space="preserve">FDC workers are generally engaged through independent contracting arrangements, with CCS funding for these workers generally flowing through a third-party provider. </w:t>
      </w:r>
      <w:r w:rsidR="009B1ECC">
        <w:t xml:space="preserve">IHC workers may be engaged as </w:t>
      </w:r>
      <w:r w:rsidR="009B1ECC">
        <w:lastRenderedPageBreak/>
        <w:t xml:space="preserve">employees, </w:t>
      </w:r>
      <w:r w:rsidR="00335E4C">
        <w:t>however due to the size and unique characteristics of the sector</w:t>
      </w:r>
      <w:r w:rsidR="00C36DFB">
        <w:t xml:space="preserve">, a bespoke approach towards supporting the sector may be </w:t>
      </w:r>
      <w:r w:rsidR="00731997">
        <w:t>more appropriate.</w:t>
      </w:r>
      <w:r>
        <w:t xml:space="preserve"> </w:t>
      </w:r>
      <w:r w:rsidR="00E85BEE">
        <w:t xml:space="preserve">Options to extend support </w:t>
      </w:r>
      <w:r w:rsidR="00402F44">
        <w:t xml:space="preserve">to </w:t>
      </w:r>
      <w:r w:rsidR="00274F60">
        <w:t>FDC and IHC</w:t>
      </w:r>
      <w:r w:rsidR="00402F44">
        <w:t xml:space="preserve"> </w:t>
      </w:r>
      <w:r>
        <w:t>providers</w:t>
      </w:r>
      <w:r w:rsidR="00E85BEE">
        <w:t xml:space="preserve"> will be explored</w:t>
      </w:r>
      <w:r w:rsidR="00274F60">
        <w:t xml:space="preserve">, however this could potentially be under </w:t>
      </w:r>
      <w:r w:rsidR="003E7C86">
        <w:t>alternative arrangements</w:t>
      </w:r>
      <w:r>
        <w:t>.</w:t>
      </w:r>
      <w:r w:rsidR="00E85BEE">
        <w:t xml:space="preserve"> Different eligibility criteria and evidence requirements may need to be developed to qualify for funding, which will need to be settled through consultation with the sector. </w:t>
      </w:r>
    </w:p>
    <w:p w14:paraId="7237408E" w14:textId="38DB6AE1" w:rsidR="00402F44" w:rsidRPr="009209EE" w:rsidRDefault="00402F44" w:rsidP="735DC66F">
      <w:pPr>
        <w:rPr>
          <w:rStyle w:val="normaltextrun"/>
          <w:i/>
          <w:iCs/>
        </w:rPr>
      </w:pPr>
      <w:r w:rsidRPr="009209EE">
        <w:rPr>
          <w:i/>
        </w:rPr>
        <w:t xml:space="preserve">Take-up rates </w:t>
      </w:r>
    </w:p>
    <w:p w14:paraId="21186EBD" w14:textId="70CBF817" w:rsidR="00374C74" w:rsidRPr="009209EE" w:rsidRDefault="7511C030" w:rsidP="735DC66F">
      <w:r w:rsidRPr="35771FF5">
        <w:rPr>
          <w:rStyle w:val="normaltextrun"/>
          <w:rFonts w:cs="Calibri Light"/>
        </w:rPr>
        <w:t>To limit fiscal and inflationary impacts, Government could phase in its contribution to funding a 15 per cent wage increases over a period of two years</w:t>
      </w:r>
      <w:r w:rsidR="4D53957B">
        <w:t xml:space="preserve">. </w:t>
      </w:r>
      <w:r w:rsidR="20A3F639">
        <w:t xml:space="preserve">If the funding is phased, </w:t>
      </w:r>
      <w:r w:rsidR="26E3138F">
        <w:t>i</w:t>
      </w:r>
      <w:r w:rsidR="4D53957B">
        <w:t xml:space="preserve">t is expected that the take-up rate </w:t>
      </w:r>
      <w:r w:rsidR="31E70F0D">
        <w:t xml:space="preserve">for this option </w:t>
      </w:r>
      <w:r w:rsidR="4D53957B">
        <w:t xml:space="preserve">would be </w:t>
      </w:r>
      <w:r w:rsidR="0D012091">
        <w:t>7</w:t>
      </w:r>
      <w:r w:rsidR="46F0CA12">
        <w:t>5</w:t>
      </w:r>
      <w:r w:rsidR="4D53957B">
        <w:t xml:space="preserve"> per cent of ECEC services </w:t>
      </w:r>
      <w:r w:rsidR="46F0CA12">
        <w:t>on commencement</w:t>
      </w:r>
      <w:r w:rsidR="4D53957B">
        <w:t xml:space="preserve">, </w:t>
      </w:r>
      <w:r w:rsidR="55215B9D">
        <w:t xml:space="preserve">increasing to </w:t>
      </w:r>
      <w:r w:rsidR="24ACD931">
        <w:t>85</w:t>
      </w:r>
      <w:r w:rsidR="46F0CA12">
        <w:t xml:space="preserve"> per cent </w:t>
      </w:r>
      <w:r w:rsidR="2335FC06">
        <w:t>once funding reaches</w:t>
      </w:r>
      <w:r w:rsidR="20D7A2BD">
        <w:t xml:space="preserve"> its second year</w:t>
      </w:r>
      <w:r w:rsidR="4D53957B">
        <w:t>.</w:t>
      </w:r>
      <w:r w:rsidR="03B7EBCD">
        <w:t xml:space="preserve"> If funding is not phased the take-up rate is assumed to be 85 per cent on commencement</w:t>
      </w:r>
      <w:r w:rsidR="16734D56">
        <w:t xml:space="preserve"> and</w:t>
      </w:r>
      <w:r w:rsidR="03B7EBCD">
        <w:t xml:space="preserve"> 90 per cent after 12 months</w:t>
      </w:r>
      <w:r w:rsidR="6864FCAE">
        <w:t xml:space="preserve"> in recognition of the greater incentive for providers to ‘opt-in’ to receive funding</w:t>
      </w:r>
      <w:r w:rsidR="03B7EBCD">
        <w:t>.</w:t>
      </w:r>
      <w:r w:rsidR="4D53957B">
        <w:t xml:space="preserve"> </w:t>
      </w:r>
    </w:p>
    <w:p w14:paraId="3F44A112" w14:textId="3FFA5B98" w:rsidR="00374C74" w:rsidRPr="009209EE" w:rsidRDefault="00374C74" w:rsidP="735DC66F">
      <w:r w:rsidRPr="009209EE">
        <w:t>Take</w:t>
      </w:r>
      <w:r w:rsidR="001F7CDA" w:rsidRPr="009209EE">
        <w:t>-</w:t>
      </w:r>
      <w:r w:rsidRPr="009209EE">
        <w:t xml:space="preserve">up rates have been </w:t>
      </w:r>
      <w:r w:rsidR="002A754F" w:rsidRPr="009209EE">
        <w:t>assumed based on factors including:</w:t>
      </w:r>
    </w:p>
    <w:p w14:paraId="57318B60" w14:textId="79CBE0B1" w:rsidR="002A754F" w:rsidRDefault="0B29A014" w:rsidP="002A754F">
      <w:pPr>
        <w:pStyle w:val="ListParagraph"/>
        <w:numPr>
          <w:ilvl w:val="0"/>
          <w:numId w:val="57"/>
        </w:numPr>
      </w:pPr>
      <w:r w:rsidRPr="009209EE">
        <w:t>A</w:t>
      </w:r>
      <w:r w:rsidR="1509B14A" w:rsidRPr="009209EE">
        <w:t xml:space="preserve">n implementation date </w:t>
      </w:r>
      <w:r w:rsidR="00B832EF" w:rsidRPr="009209EE">
        <w:t xml:space="preserve">in late 2024 or early 2025 </w:t>
      </w:r>
      <w:r w:rsidR="1509B14A" w:rsidRPr="009209EE">
        <w:t xml:space="preserve">giving services approximately six months to prepare for the grant opportunity and meet the corresponding eligibility </w:t>
      </w:r>
      <w:r w:rsidR="3DF1A12C" w:rsidRPr="009209EE">
        <w:t>requirements</w:t>
      </w:r>
      <w:r w:rsidR="3DF1A12C">
        <w:t>.</w:t>
      </w:r>
      <w:r w:rsidR="1509B14A">
        <w:t xml:space="preserve"> </w:t>
      </w:r>
    </w:p>
    <w:p w14:paraId="1AEC01AE" w14:textId="17BC142C" w:rsidR="00DF4BE8" w:rsidRDefault="03CC21FE" w:rsidP="002A754F">
      <w:pPr>
        <w:pStyle w:val="ListParagraph"/>
        <w:numPr>
          <w:ilvl w:val="0"/>
          <w:numId w:val="57"/>
        </w:numPr>
      </w:pPr>
      <w:r>
        <w:t>The expected effectiveness of the Department’s communication strategy in support of increasing uptake</w:t>
      </w:r>
      <w:r w:rsidR="39196235">
        <w:t>.</w:t>
      </w:r>
    </w:p>
    <w:p w14:paraId="562CFD8D" w14:textId="01E9BF7C" w:rsidR="00702DD9" w:rsidRDefault="00702DD9" w:rsidP="002A754F">
      <w:pPr>
        <w:pStyle w:val="ListParagraph"/>
        <w:numPr>
          <w:ilvl w:val="0"/>
          <w:numId w:val="57"/>
        </w:numPr>
      </w:pPr>
      <w:r>
        <w:t>The percentage rate of funding being considered provides a higher incentive for early</w:t>
      </w:r>
      <w:r w:rsidR="001F7CDA">
        <w:t xml:space="preserve"> </w:t>
      </w:r>
      <w:r>
        <w:t>take up</w:t>
      </w:r>
      <w:r w:rsidR="00A7051E">
        <w:t>.</w:t>
      </w:r>
    </w:p>
    <w:p w14:paraId="688C2C42" w14:textId="5A7C1C9D" w:rsidR="00A02584" w:rsidRDefault="00A02584" w:rsidP="00A02584">
      <w:pPr>
        <w:pStyle w:val="Heading3"/>
      </w:pPr>
      <w:bookmarkStart w:id="23" w:name="_Toc219193866"/>
      <w:r>
        <w:t xml:space="preserve">Option </w:t>
      </w:r>
      <w:r w:rsidR="306CA516">
        <w:t>Three</w:t>
      </w:r>
      <w:r>
        <w:t xml:space="preserve"> – Funding </w:t>
      </w:r>
      <w:r w:rsidR="254954B8">
        <w:t>a time-limited workforce retention payment to ECEC employers under a workforce instrument</w:t>
      </w:r>
      <w:bookmarkEnd w:id="23"/>
    </w:p>
    <w:p w14:paraId="3E0B053B" w14:textId="097B7E94" w:rsidR="00A02584" w:rsidRPr="00B44F3F" w:rsidRDefault="6119AF17" w:rsidP="00F30BFC">
      <w:r w:rsidRPr="00B44F3F">
        <w:t xml:space="preserve">Government funds a </w:t>
      </w:r>
      <w:r w:rsidR="00913D8E" w:rsidRPr="00B44F3F">
        <w:t>two</w:t>
      </w:r>
      <w:r w:rsidRPr="00B44F3F">
        <w:t xml:space="preserve">-year </w:t>
      </w:r>
      <w:r w:rsidR="2B0EF6A3" w:rsidRPr="00B44F3F">
        <w:t>workforce retention payment</w:t>
      </w:r>
      <w:r w:rsidRPr="00B44F3F">
        <w:t xml:space="preserve"> </w:t>
      </w:r>
      <w:r w:rsidR="05A8EDA7" w:rsidRPr="00B44F3F">
        <w:t>to CCS approved ECEC services to whom a workplace instrument applies</w:t>
      </w:r>
      <w:r w:rsidR="562CC90A" w:rsidRPr="00B44F3F">
        <w:t>.</w:t>
      </w:r>
      <w:r w:rsidR="1F7052B1" w:rsidRPr="00B44F3F">
        <w:t xml:space="preserve"> The workplace instrument must entitle employees to receive wages that are at least the minimum amount specified in the grant </w:t>
      </w:r>
      <w:r w:rsidR="00FD3CFF" w:rsidRPr="00B44F3F">
        <w:t xml:space="preserve">agreement </w:t>
      </w:r>
      <w:r w:rsidR="1F7052B1" w:rsidRPr="00B44F3F">
        <w:t xml:space="preserve">and must be directly enforceable </w:t>
      </w:r>
      <w:r w:rsidR="00360765" w:rsidRPr="00B44F3F">
        <w:t>by employees to whom the instrument applies.</w:t>
      </w:r>
      <w:r w:rsidR="562CC90A" w:rsidRPr="00B44F3F">
        <w:t xml:space="preserve"> </w:t>
      </w:r>
    </w:p>
    <w:p w14:paraId="3AED73C3" w14:textId="403EE4B6" w:rsidR="00A02584" w:rsidRPr="00B44F3F" w:rsidRDefault="04A939E3" w:rsidP="735DC66F">
      <w:r w:rsidRPr="00B44F3F">
        <w:t xml:space="preserve">The </w:t>
      </w:r>
      <w:r w:rsidR="7F8BFC5A" w:rsidRPr="00B44F3F">
        <w:t>workplace instrument</w:t>
      </w:r>
      <w:r w:rsidRPr="00B44F3F">
        <w:t xml:space="preserve"> requirement will serve to provide Government with assurance that funding is being used to lift wages</w:t>
      </w:r>
      <w:r w:rsidR="6119AF17" w:rsidRPr="00B44F3F">
        <w:t xml:space="preserve"> </w:t>
      </w:r>
      <w:r w:rsidR="4B35BAE4" w:rsidRPr="00B44F3F">
        <w:t xml:space="preserve">and meet its policy intent. </w:t>
      </w:r>
      <w:r w:rsidR="201D5061" w:rsidRPr="00B44F3F">
        <w:t xml:space="preserve">This option also meets expectations from the OSHC sector in addressing anticipated staff loss from OSHC to LDC providers and concerns around the ongoing viability of OSHC. As with Option Two, it is anticipated that contribution of funding will have a positive impact on attraction and retention across LDC and OSHC. </w:t>
      </w:r>
      <w:r w:rsidR="00E45662" w:rsidRPr="00B44F3F">
        <w:t xml:space="preserve">However, it </w:t>
      </w:r>
      <w:r w:rsidR="201D5061" w:rsidRPr="00B44F3F">
        <w:t>is difficult to model the likely impact higher wages will have.</w:t>
      </w:r>
      <w:r w:rsidR="001E5E04" w:rsidRPr="00B44F3F">
        <w:t xml:space="preserve"> </w:t>
      </w:r>
      <w:r w:rsidR="00A930A6" w:rsidRPr="00B44F3F">
        <w:t>Eligible workplace</w:t>
      </w:r>
      <w:r w:rsidR="004F70B8" w:rsidRPr="00B44F3F">
        <w:t xml:space="preserve"> instruments</w:t>
      </w:r>
      <w:r w:rsidR="00FD3CFF" w:rsidRPr="00B44F3F">
        <w:t>,</w:t>
      </w:r>
      <w:r w:rsidR="00A56F24" w:rsidRPr="00B44F3F">
        <w:t xml:space="preserve"> that</w:t>
      </w:r>
      <w:r w:rsidR="004F70B8" w:rsidRPr="00B44F3F">
        <w:t xml:space="preserve"> provide the minimum required </w:t>
      </w:r>
      <w:r w:rsidR="00FD3CFF" w:rsidRPr="00B44F3F">
        <w:t xml:space="preserve">grant agreement </w:t>
      </w:r>
      <w:r w:rsidR="004F70B8" w:rsidRPr="00B44F3F">
        <w:t>terms</w:t>
      </w:r>
      <w:r w:rsidR="00FD3CFF" w:rsidRPr="00B44F3F">
        <w:t xml:space="preserve">, </w:t>
      </w:r>
      <w:r w:rsidR="00A930A6" w:rsidRPr="00B44F3F">
        <w:t>could include:</w:t>
      </w:r>
    </w:p>
    <w:p w14:paraId="4C406A8D" w14:textId="77777777" w:rsidR="0094686D" w:rsidRPr="00B44F3F" w:rsidRDefault="005D62F6" w:rsidP="735DC66F">
      <w:pPr>
        <w:pStyle w:val="ListParagraph"/>
        <w:numPr>
          <w:ilvl w:val="0"/>
          <w:numId w:val="2"/>
        </w:numPr>
      </w:pPr>
      <w:r w:rsidRPr="00B44F3F">
        <w:t>An enterprise agreement</w:t>
      </w:r>
      <w:r w:rsidR="007534A0" w:rsidRPr="00B44F3F">
        <w:t xml:space="preserve">, </w:t>
      </w:r>
      <w:r w:rsidR="0094686D" w:rsidRPr="00B44F3F">
        <w:t>such as:</w:t>
      </w:r>
    </w:p>
    <w:p w14:paraId="64278BD1" w14:textId="392A16A5" w:rsidR="006A6B72" w:rsidRPr="00B44F3F" w:rsidRDefault="00B64848" w:rsidP="009669D5">
      <w:pPr>
        <w:pStyle w:val="ListParagraph"/>
        <w:numPr>
          <w:ilvl w:val="1"/>
          <w:numId w:val="2"/>
        </w:numPr>
      </w:pPr>
      <w:r w:rsidRPr="00B44F3F">
        <w:t>ECEC</w:t>
      </w:r>
      <w:r w:rsidR="254954B8" w:rsidRPr="00B44F3F">
        <w:t xml:space="preserve"> supported bargaining agreement</w:t>
      </w:r>
      <w:r w:rsidR="00310340" w:rsidRPr="00B44F3F">
        <w:t xml:space="preserve"> (LDC providers only</w:t>
      </w:r>
      <w:proofErr w:type="gramStart"/>
      <w:r w:rsidR="00310340" w:rsidRPr="00B44F3F">
        <w:t>)</w:t>
      </w:r>
      <w:r w:rsidR="254954B8" w:rsidRPr="00B44F3F">
        <w:t>;</w:t>
      </w:r>
      <w:proofErr w:type="gramEnd"/>
      <w:r w:rsidR="254954B8" w:rsidRPr="00B44F3F">
        <w:t xml:space="preserve"> </w:t>
      </w:r>
    </w:p>
    <w:p w14:paraId="2306833B" w14:textId="45591545" w:rsidR="00A02584" w:rsidRPr="00B44F3F" w:rsidRDefault="254954B8" w:rsidP="00A800EE">
      <w:pPr>
        <w:pStyle w:val="ListParagraph"/>
        <w:numPr>
          <w:ilvl w:val="1"/>
          <w:numId w:val="2"/>
        </w:numPr>
      </w:pPr>
      <w:r w:rsidRPr="00B44F3F">
        <w:t>an existing in-force EA or</w:t>
      </w:r>
      <w:r w:rsidR="006A6B72" w:rsidRPr="00B44F3F">
        <w:t xml:space="preserve"> one that has been</w:t>
      </w:r>
      <w:r w:rsidRPr="00B44F3F">
        <w:t xml:space="preserve"> var</w:t>
      </w:r>
      <w:r w:rsidR="006A6B72" w:rsidRPr="00B44F3F">
        <w:t>ied</w:t>
      </w:r>
      <w:r w:rsidR="00DB046C" w:rsidRPr="00B44F3F">
        <w:t xml:space="preserve"> to</w:t>
      </w:r>
      <w:r w:rsidRPr="00B44F3F">
        <w:t xml:space="preserve"> </w:t>
      </w:r>
      <w:r w:rsidR="00770E4D" w:rsidRPr="00B44F3F">
        <w:t>meet</w:t>
      </w:r>
      <w:r w:rsidR="00DB046C" w:rsidRPr="00B44F3F">
        <w:t xml:space="preserve"> grant agreement</w:t>
      </w:r>
      <w:r w:rsidR="00770E4D" w:rsidRPr="00B44F3F">
        <w:t xml:space="preserve"> requirements</w:t>
      </w:r>
      <w:r w:rsidR="00184993" w:rsidRPr="00B44F3F">
        <w:t>, including minimum rates of pay</w:t>
      </w:r>
      <w:r w:rsidRPr="00B44F3F">
        <w:t xml:space="preserve">; or </w:t>
      </w:r>
    </w:p>
    <w:p w14:paraId="75BEF49A" w14:textId="7DCBE5A3" w:rsidR="00DB046C" w:rsidRPr="00B44F3F" w:rsidRDefault="7DB0FD4A" w:rsidP="00A800EE">
      <w:pPr>
        <w:pStyle w:val="ListParagraph"/>
        <w:numPr>
          <w:ilvl w:val="1"/>
          <w:numId w:val="2"/>
        </w:numPr>
      </w:pPr>
      <w:r>
        <w:t>a new EA that meets the grant agreement requirements</w:t>
      </w:r>
      <w:r w:rsidR="3C3769D8">
        <w:t>, including minimum rates of pay</w:t>
      </w:r>
      <w:r w:rsidR="25A69DA2">
        <w:t>.</w:t>
      </w:r>
    </w:p>
    <w:p w14:paraId="47A455BB" w14:textId="0F20A54A" w:rsidR="000D2D8E" w:rsidRPr="00B44F3F" w:rsidRDefault="000D2D8E" w:rsidP="000D2D8E">
      <w:pPr>
        <w:pStyle w:val="ListParagraph"/>
        <w:numPr>
          <w:ilvl w:val="0"/>
          <w:numId w:val="2"/>
        </w:numPr>
      </w:pPr>
      <w:r w:rsidRPr="00B44F3F">
        <w:t>Individual flexibility a</w:t>
      </w:r>
      <w:r w:rsidR="006B0852" w:rsidRPr="00B44F3F">
        <w:t xml:space="preserve">rrangements </w:t>
      </w:r>
    </w:p>
    <w:p w14:paraId="72B05256" w14:textId="14FD7ACA" w:rsidR="008A2B00" w:rsidRPr="00B44F3F" w:rsidRDefault="008A2B00" w:rsidP="000D2D8E">
      <w:pPr>
        <w:pStyle w:val="ListParagraph"/>
        <w:numPr>
          <w:ilvl w:val="0"/>
          <w:numId w:val="2"/>
        </w:numPr>
      </w:pPr>
      <w:r w:rsidRPr="00B44F3F">
        <w:lastRenderedPageBreak/>
        <w:t xml:space="preserve">The Award Rate (subject to it </w:t>
      </w:r>
      <w:r w:rsidR="003F5E2A" w:rsidRPr="00B44F3F">
        <w:t>meeting the minimum wage rate threshold, which could be achieved through a Work Value Case</w:t>
      </w:r>
      <w:r w:rsidR="009E14E0">
        <w:t>,</w:t>
      </w:r>
      <w:r w:rsidR="003F5E2A" w:rsidRPr="00B44F3F">
        <w:t xml:space="preserve"> the Annual Wage Review</w:t>
      </w:r>
      <w:r w:rsidR="009E14E0">
        <w:t xml:space="preserve"> or other </w:t>
      </w:r>
      <w:r w:rsidR="009043D9">
        <w:t>gender-based FWC processes</w:t>
      </w:r>
      <w:r w:rsidR="003F5E2A" w:rsidRPr="00B44F3F">
        <w:t>)</w:t>
      </w:r>
    </w:p>
    <w:p w14:paraId="57E48DA3" w14:textId="5F02FD54" w:rsidR="0087653B" w:rsidRPr="00B44F3F" w:rsidRDefault="0087653B" w:rsidP="000D2D8E">
      <w:pPr>
        <w:pStyle w:val="ListParagraph"/>
        <w:numPr>
          <w:ilvl w:val="0"/>
          <w:numId w:val="2"/>
        </w:numPr>
      </w:pPr>
      <w:r w:rsidRPr="00B44F3F">
        <w:t>Equal remuneration order</w:t>
      </w:r>
    </w:p>
    <w:p w14:paraId="399D4576" w14:textId="6FEA0E16" w:rsidR="00E9630B" w:rsidRDefault="00E9630B" w:rsidP="000D2D8E">
      <w:pPr>
        <w:pStyle w:val="ListParagraph"/>
        <w:numPr>
          <w:ilvl w:val="0"/>
          <w:numId w:val="2"/>
        </w:numPr>
      </w:pPr>
      <w:r w:rsidRPr="00B44F3F">
        <w:t>Workplace determinations</w:t>
      </w:r>
    </w:p>
    <w:p w14:paraId="22EE7182" w14:textId="77777777" w:rsidR="009126E6" w:rsidRPr="009209EE" w:rsidRDefault="009126E6" w:rsidP="009126E6">
      <w:pPr>
        <w:pStyle w:val="CABBodyTextBold"/>
        <w:spacing w:after="60"/>
        <w:rPr>
          <w:rFonts w:ascii="Calibri Light" w:hAnsi="Calibri Light"/>
          <w:b w:val="0"/>
          <w:bCs w:val="0"/>
          <w:i/>
          <w:iCs/>
        </w:rPr>
      </w:pPr>
      <w:r w:rsidRPr="009209EE">
        <w:rPr>
          <w:rFonts w:ascii="Calibri Light" w:hAnsi="Calibri Light"/>
          <w:b w:val="0"/>
          <w:bCs w:val="0"/>
          <w:i/>
          <w:iCs/>
        </w:rPr>
        <w:t>Funding will absorb the anticipated gender-based work value increases</w:t>
      </w:r>
    </w:p>
    <w:p w14:paraId="30853E67" w14:textId="77777777" w:rsidR="009126E6" w:rsidRPr="009209EE" w:rsidRDefault="009126E6" w:rsidP="009126E6">
      <w:pPr>
        <w:pStyle w:val="CABBodyTextBold"/>
        <w:numPr>
          <w:ilvl w:val="1"/>
          <w:numId w:val="0"/>
        </w:numPr>
        <w:tabs>
          <w:tab w:val="num" w:pos="0"/>
        </w:tabs>
        <w:spacing w:after="60"/>
        <w:rPr>
          <w:rFonts w:ascii="Calibri Light" w:hAnsi="Calibri Light"/>
          <w:b w:val="0"/>
          <w:bCs w:val="0"/>
        </w:rPr>
      </w:pPr>
      <w:r w:rsidRPr="009209EE">
        <w:rPr>
          <w:rFonts w:ascii="Calibri Light" w:hAnsi="Calibri Light"/>
          <w:b w:val="0"/>
          <w:bCs w:val="0"/>
        </w:rPr>
        <w:t xml:space="preserve">It is critical that the Payment’s funding approach accounts for potentially significant increases to the award rate under these FWC proceedings, and that Government and providers are not paying wages well-above a rapidly increasing base award rate. </w:t>
      </w:r>
    </w:p>
    <w:p w14:paraId="02B7B569" w14:textId="77777777" w:rsidR="009126E6" w:rsidRPr="009209EE" w:rsidRDefault="009126E6" w:rsidP="009126E6">
      <w:pPr>
        <w:pStyle w:val="CABBodyTextBold"/>
        <w:numPr>
          <w:ilvl w:val="1"/>
          <w:numId w:val="0"/>
        </w:numPr>
        <w:tabs>
          <w:tab w:val="num" w:pos="0"/>
        </w:tabs>
        <w:spacing w:after="60"/>
        <w:rPr>
          <w:rFonts w:ascii="Calibri Light" w:hAnsi="Calibri Light"/>
          <w:b w:val="0"/>
          <w:bCs w:val="0"/>
        </w:rPr>
      </w:pPr>
      <w:r w:rsidRPr="009209EE">
        <w:rPr>
          <w:rFonts w:ascii="Calibri Light" w:hAnsi="Calibri Light"/>
          <w:b w:val="0"/>
          <w:bCs w:val="0"/>
        </w:rPr>
        <w:t xml:space="preserve">Accordingly, the above award wage requirement in the grant agreement will be immediately reduced once the gender-based work value outcome comes into effect, acknowledging that the new award rates may be significantly higher than they were previously. </w:t>
      </w:r>
    </w:p>
    <w:p w14:paraId="5CB73544" w14:textId="77777777" w:rsidR="009126E6" w:rsidRPr="009209EE" w:rsidRDefault="009126E6" w:rsidP="009126E6">
      <w:pPr>
        <w:pStyle w:val="CABBodyTextBold"/>
        <w:numPr>
          <w:ilvl w:val="0"/>
          <w:numId w:val="80"/>
        </w:numPr>
        <w:spacing w:after="60"/>
        <w:rPr>
          <w:rFonts w:ascii="Calibri Light" w:hAnsi="Calibri Light"/>
          <w:b w:val="0"/>
          <w:bCs w:val="0"/>
        </w:rPr>
      </w:pPr>
      <w:r w:rsidRPr="009209EE">
        <w:rPr>
          <w:rFonts w:ascii="Calibri Light" w:hAnsi="Calibri Light"/>
          <w:b w:val="0"/>
          <w:bCs w:val="0"/>
        </w:rPr>
        <w:t xml:space="preserve">This will maintain a degree of consistency in wage rates and Government funding, shifting the approach from an entirely ‘above award’ model to absorbing the new higher base award rates. </w:t>
      </w:r>
    </w:p>
    <w:p w14:paraId="7B834D6A" w14:textId="77777777" w:rsidR="009126E6" w:rsidRPr="009209EE" w:rsidRDefault="009126E6" w:rsidP="009126E6">
      <w:pPr>
        <w:pStyle w:val="CABBodyTextBold"/>
        <w:numPr>
          <w:ilvl w:val="1"/>
          <w:numId w:val="0"/>
        </w:numPr>
        <w:tabs>
          <w:tab w:val="num" w:pos="0"/>
        </w:tabs>
        <w:spacing w:after="60"/>
        <w:rPr>
          <w:rFonts w:ascii="Calibri Light" w:hAnsi="Calibri Light"/>
          <w:b w:val="0"/>
          <w:bCs w:val="0"/>
        </w:rPr>
      </w:pPr>
      <w:r w:rsidRPr="009209EE">
        <w:rPr>
          <w:rFonts w:ascii="Calibri Light" w:hAnsi="Calibri Light"/>
          <w:b w:val="0"/>
          <w:bCs w:val="0"/>
        </w:rPr>
        <w:t xml:space="preserve">For example, should the gender-based work value proceedings determine award increases of 10 per cent from 1 July 2025, Government would adjust the eligibility requirement from 15 per cent above award rates, to be only 5 per cent above award rates (15 per cent above previous award under the Payment, minus 10 per cent increase to award rate from the proceedings). </w:t>
      </w:r>
    </w:p>
    <w:p w14:paraId="773DD8EF" w14:textId="77777777" w:rsidR="009126E6" w:rsidRPr="009209EE" w:rsidRDefault="009126E6" w:rsidP="009126E6">
      <w:pPr>
        <w:pStyle w:val="CABBodyTextBold"/>
        <w:numPr>
          <w:ilvl w:val="0"/>
          <w:numId w:val="80"/>
        </w:numPr>
        <w:spacing w:after="60"/>
        <w:rPr>
          <w:rFonts w:ascii="Calibri Light" w:hAnsi="Calibri Light"/>
          <w:b w:val="0"/>
          <w:bCs w:val="0"/>
        </w:rPr>
      </w:pPr>
      <w:r w:rsidRPr="009209EE">
        <w:rPr>
          <w:rFonts w:ascii="Calibri Light" w:hAnsi="Calibri Light"/>
          <w:b w:val="0"/>
          <w:bCs w:val="0"/>
        </w:rPr>
        <w:t xml:space="preserve">Should the award be increased by 15 per cent or more through gender undervaluation proceedings, providers would no longer be required to pay above award wages to be eligible for funding and the award would become an eligible workplace instrument for the purpose of the grant. </w:t>
      </w:r>
    </w:p>
    <w:p w14:paraId="1AB84BBA" w14:textId="03773E09" w:rsidR="009126E6" w:rsidRPr="009209EE" w:rsidRDefault="009126E6" w:rsidP="009126E6">
      <w:pPr>
        <w:pStyle w:val="CABBodyTextBold"/>
        <w:numPr>
          <w:ilvl w:val="1"/>
          <w:numId w:val="0"/>
        </w:numPr>
        <w:tabs>
          <w:tab w:val="num" w:pos="0"/>
        </w:tabs>
        <w:spacing w:after="60"/>
        <w:rPr>
          <w:rFonts w:ascii="Calibri Light" w:hAnsi="Calibri Light"/>
          <w:b w:val="0"/>
          <w:bCs w:val="0"/>
        </w:rPr>
      </w:pPr>
      <w:r w:rsidRPr="009209EE">
        <w:rPr>
          <w:rFonts w:ascii="Calibri Light" w:hAnsi="Calibri Light"/>
          <w:b w:val="0"/>
          <w:bCs w:val="0"/>
        </w:rPr>
        <w:t xml:space="preserve">Initially supporting wages above the award rate will provide immediate impact, promote engagement with the policy and facilitate the supported bargaining process. It manages the uncertainty arising from the gender undervaluation proceedings and will allow Government to fund based on the award rate, if required.  </w:t>
      </w:r>
    </w:p>
    <w:p w14:paraId="2B3DDEA3" w14:textId="77777777" w:rsidR="009126E6" w:rsidRPr="005A6302" w:rsidRDefault="009126E6" w:rsidP="009126E6">
      <w:pPr>
        <w:pStyle w:val="ListParagraph"/>
        <w:numPr>
          <w:ilvl w:val="0"/>
          <w:numId w:val="80"/>
        </w:numPr>
        <w:tabs>
          <w:tab w:val="left" w:pos="851"/>
        </w:tabs>
        <w:spacing w:after="0" w:line="240" w:lineRule="auto"/>
      </w:pPr>
      <w:r w:rsidRPr="005A6302">
        <w:t>The approach will contain costs for Government, employers and families, and provide control over fiscal outlays. It will provide flexibility to shift to an award-based funding approach if required and absorb the fee growth which could otherwise result from additional increases to the award under the gender-undervaluation proceedings.</w:t>
      </w:r>
    </w:p>
    <w:p w14:paraId="4F70AC27" w14:textId="2EA1B074" w:rsidR="009B6434" w:rsidRPr="009209EE" w:rsidRDefault="339B10F5" w:rsidP="35771FF5">
      <w:pPr>
        <w:pStyle w:val="CABBodyTextBold"/>
        <w:spacing w:after="60"/>
        <w:rPr>
          <w:rFonts w:ascii="Calibri Light" w:hAnsi="Calibri Light"/>
          <w:b w:val="0"/>
          <w:bCs w:val="0"/>
        </w:rPr>
      </w:pPr>
      <w:r w:rsidRPr="35771FF5">
        <w:rPr>
          <w:rFonts w:ascii="Calibri Light" w:hAnsi="Calibri Light"/>
          <w:b w:val="0"/>
          <w:bCs w:val="0"/>
        </w:rPr>
        <w:t xml:space="preserve">Conversely, a commitment to fund on top of an unknown future award increase, which could be significant given the FWC’s specific focus on gender undervaluation issues, risks Government losing control over total expenditure and uncertainty in the management of grant arrangements in the later stage of the program (potentially requiring termination or variations to grant agreements).  </w:t>
      </w:r>
    </w:p>
    <w:p w14:paraId="117105FC" w14:textId="043AA5AA" w:rsidR="35771FF5" w:rsidRDefault="35771FF5" w:rsidP="35771FF5">
      <w:pPr>
        <w:pStyle w:val="CABBodyTextBold"/>
        <w:spacing w:after="60"/>
        <w:rPr>
          <w:rFonts w:ascii="Calibri Light" w:hAnsi="Calibri Light"/>
          <w:b w:val="0"/>
          <w:bCs w:val="0"/>
        </w:rPr>
      </w:pPr>
    </w:p>
    <w:p w14:paraId="0CE62327" w14:textId="5B5C4B02" w:rsidR="3EF38F1B" w:rsidRPr="009209EE" w:rsidRDefault="3EF38F1B" w:rsidP="29A029EE">
      <w:pPr>
        <w:rPr>
          <w:i/>
          <w:iCs/>
        </w:rPr>
      </w:pPr>
      <w:r w:rsidRPr="009209EE">
        <w:rPr>
          <w:i/>
          <w:iCs/>
        </w:rPr>
        <w:t>Family Day Care and In</w:t>
      </w:r>
      <w:r w:rsidR="00B6431C" w:rsidRPr="009209EE">
        <w:rPr>
          <w:i/>
          <w:iCs/>
        </w:rPr>
        <w:t xml:space="preserve"> </w:t>
      </w:r>
      <w:r w:rsidRPr="009209EE">
        <w:rPr>
          <w:i/>
          <w:iCs/>
        </w:rPr>
        <w:t>Home Care</w:t>
      </w:r>
    </w:p>
    <w:p w14:paraId="636814E9" w14:textId="483CFA71" w:rsidR="009043D9" w:rsidRPr="009209EE" w:rsidRDefault="009043D9" w:rsidP="009043D9">
      <w:r w:rsidRPr="009209EE">
        <w:t xml:space="preserve">FDC workers are generally engaged through independent contracting arrangements, with CCS funding for these workers generally flowing through a third-party provider. IHC workers may be engaged as employees, however due to the size and unique characteristics of the sector, a bespoke approach towards supporting the sector may be more appropriate. Options to extend support to FDC and IHC providers will be explored, however this could potentially be under alternative arrangements, particularly if such providers are unable to meet the workplace instrument requirement. Different eligibility criteria and evidence requirements may need to be developed to qualify for funding, which will need to be settled through consultation with the sector. </w:t>
      </w:r>
    </w:p>
    <w:p w14:paraId="1BD8DA60" w14:textId="1BF51795" w:rsidR="00F11725" w:rsidRPr="009209EE" w:rsidRDefault="00F11725" w:rsidP="00632325">
      <w:pPr>
        <w:rPr>
          <w:i/>
          <w:iCs/>
        </w:rPr>
      </w:pPr>
      <w:r w:rsidRPr="009209EE">
        <w:rPr>
          <w:i/>
        </w:rPr>
        <w:lastRenderedPageBreak/>
        <w:t xml:space="preserve">Take-up rates </w:t>
      </w:r>
    </w:p>
    <w:p w14:paraId="1B970770" w14:textId="47E0AEAE" w:rsidR="484A5309" w:rsidRPr="009209EE" w:rsidRDefault="1951D633" w:rsidP="009669D5">
      <w:r w:rsidRPr="009209EE">
        <w:t xml:space="preserve">To limit fiscal and inflationary impacts, the Government would contribute funding </w:t>
      </w:r>
      <w:r w:rsidR="003B2FA9">
        <w:t>to</w:t>
      </w:r>
      <w:r w:rsidRPr="009209EE">
        <w:t xml:space="preserve"> support a 15 per cent wage increase</w:t>
      </w:r>
      <w:r w:rsidR="003B2FA9">
        <w:t xml:space="preserve">, </w:t>
      </w:r>
      <w:r w:rsidRPr="009209EE">
        <w:t xml:space="preserve">phased in over two years. </w:t>
      </w:r>
    </w:p>
    <w:p w14:paraId="52B71339" w14:textId="29F49159" w:rsidR="00A7051E" w:rsidRDefault="05A664E9" w:rsidP="735DC66F">
      <w:r w:rsidRPr="009209EE">
        <w:t xml:space="preserve">Option </w:t>
      </w:r>
      <w:r w:rsidR="00841F39" w:rsidRPr="009209EE">
        <w:t>Three</w:t>
      </w:r>
      <w:r w:rsidRPr="009209EE">
        <w:t xml:space="preserve"> assumes </w:t>
      </w:r>
      <w:r w:rsidR="00E12F27" w:rsidRPr="009209EE">
        <w:t xml:space="preserve">a take-up rate of </w:t>
      </w:r>
      <w:r w:rsidR="4D4AFEEE" w:rsidRPr="009209EE">
        <w:t>70</w:t>
      </w:r>
      <w:r w:rsidR="00E12F27" w:rsidRPr="009209EE">
        <w:t xml:space="preserve"> per cent of ECEC services on commencement,</w:t>
      </w:r>
      <w:r w:rsidR="009043D9" w:rsidRPr="009209EE">
        <w:t xml:space="preserve"> increasing to</w:t>
      </w:r>
      <w:r w:rsidR="00E12F27" w:rsidRPr="009209EE">
        <w:t xml:space="preserve"> </w:t>
      </w:r>
      <w:r w:rsidR="79405315" w:rsidRPr="009209EE">
        <w:t>8</w:t>
      </w:r>
      <w:r w:rsidR="00E12F27" w:rsidRPr="009209EE">
        <w:t>0 per cent in year two</w:t>
      </w:r>
      <w:r w:rsidR="00A7051E" w:rsidRPr="009209EE">
        <w:t>.</w:t>
      </w:r>
      <w:r w:rsidRPr="009209EE">
        <w:t xml:space="preserve"> </w:t>
      </w:r>
      <w:r w:rsidR="00DD019F" w:rsidRPr="009209EE">
        <w:t>If the funding is not phased the take-up rate is assumed to be 85 per cent on commencement,</w:t>
      </w:r>
      <w:r w:rsidR="009043D9" w:rsidRPr="009209EE">
        <w:t xml:space="preserve"> increasing to</w:t>
      </w:r>
      <w:r w:rsidR="00DD019F" w:rsidRPr="009209EE">
        <w:t xml:space="preserve"> 90 per cent after 12 months.</w:t>
      </w:r>
      <w:r w:rsidR="00AE6C3B">
        <w:br/>
      </w:r>
      <w:r w:rsidR="00AE6C3B">
        <w:br/>
      </w:r>
      <w:r w:rsidR="00DF4409" w:rsidRPr="004440FF">
        <w:t>Take</w:t>
      </w:r>
      <w:r w:rsidR="001F7CDA" w:rsidRPr="004440FF">
        <w:t>-</w:t>
      </w:r>
      <w:r w:rsidR="00DF4409" w:rsidRPr="004440FF">
        <w:t>up rates have been assumed based on factors including:</w:t>
      </w:r>
    </w:p>
    <w:p w14:paraId="476C3372" w14:textId="299AC8E9" w:rsidR="00DF4409" w:rsidRDefault="00CF265E" w:rsidP="00DF4409">
      <w:pPr>
        <w:pStyle w:val="ListParagraph"/>
        <w:numPr>
          <w:ilvl w:val="0"/>
          <w:numId w:val="57"/>
        </w:numPr>
      </w:pPr>
      <w:r>
        <w:t>An implementation date of either late 2024 or early 2025</w:t>
      </w:r>
      <w:r w:rsidR="41A98DCB">
        <w:t xml:space="preserve"> giving services approximately six months to prepare for the grant opportunity and meet the corresponding eligibility requirements. </w:t>
      </w:r>
    </w:p>
    <w:p w14:paraId="569E4C35" w14:textId="5B763F24" w:rsidR="00D572DE" w:rsidRDefault="4E89EC44" w:rsidP="00DF4409">
      <w:pPr>
        <w:pStyle w:val="ListParagraph"/>
        <w:numPr>
          <w:ilvl w:val="0"/>
          <w:numId w:val="57"/>
        </w:numPr>
      </w:pPr>
      <w:r>
        <w:t xml:space="preserve">The ability of services to apply for backdated </w:t>
      </w:r>
      <w:r w:rsidR="75995E98">
        <w:t>funding</w:t>
      </w:r>
      <w:r w:rsidR="00CF265E">
        <w:t xml:space="preserve"> under Option Three </w:t>
      </w:r>
      <w:r w:rsidR="75995E98">
        <w:t>should they sign up to the grant agreement by 30 June 2025</w:t>
      </w:r>
      <w:r w:rsidR="00CF265E">
        <w:t xml:space="preserve"> (in recognition of the additional workplace instrument requirement).  </w:t>
      </w:r>
    </w:p>
    <w:p w14:paraId="1CFE86F7" w14:textId="77777777" w:rsidR="00DF4409" w:rsidRDefault="00DF4409" w:rsidP="00DF4409">
      <w:pPr>
        <w:pStyle w:val="ListParagraph"/>
        <w:numPr>
          <w:ilvl w:val="0"/>
          <w:numId w:val="57"/>
        </w:numPr>
      </w:pPr>
      <w:r>
        <w:t>The expected effectiveness of the Department’s communication strategy in support of increasing uptake</w:t>
      </w:r>
    </w:p>
    <w:p w14:paraId="40C44534" w14:textId="3D7E189D" w:rsidR="009043D9" w:rsidRDefault="502335FC" w:rsidP="00AE6C3B">
      <w:pPr>
        <w:pStyle w:val="ListParagraph"/>
        <w:numPr>
          <w:ilvl w:val="0"/>
          <w:numId w:val="57"/>
        </w:numPr>
      </w:pPr>
      <w:r>
        <w:t>The take-up rates for this option are 5 per cent lower each year compared to option two in recognition of the additional workplace relations require</w:t>
      </w:r>
      <w:r w:rsidR="7C8752CD">
        <w:t>ment</w:t>
      </w:r>
      <w:r>
        <w:t>.</w:t>
      </w:r>
      <w:r w:rsidR="7CA20573">
        <w:t xml:space="preserve"> </w:t>
      </w:r>
      <w:r w:rsidR="00DF4409">
        <w:t>The per centage rate of funding being considered provides a higher incentive for early-take up.</w:t>
      </w:r>
    </w:p>
    <w:p w14:paraId="223EFF00" w14:textId="77777777" w:rsidR="00AE6C3B" w:rsidRDefault="00AE6C3B" w:rsidP="00AE6C3B"/>
    <w:p w14:paraId="5BD85A13" w14:textId="76ECF714" w:rsidR="11E67963" w:rsidRDefault="11E67963" w:rsidP="00C34893">
      <w:pPr>
        <w:pStyle w:val="Heading5"/>
      </w:pPr>
      <w:r>
        <w:t>Implementing workplace instruments</w:t>
      </w:r>
    </w:p>
    <w:p w14:paraId="6A34C0D0" w14:textId="6AA1ABA5" w:rsidR="31A18EC1" w:rsidRDefault="31A18EC1" w:rsidP="29A029EE">
      <w:pPr>
        <w:rPr>
          <w:b/>
          <w:bCs/>
        </w:rPr>
      </w:pPr>
      <w:r>
        <w:t xml:space="preserve">The process involved </w:t>
      </w:r>
      <w:r w:rsidR="02358599">
        <w:t xml:space="preserve">for employers and employees to implement </w:t>
      </w:r>
      <w:r w:rsidR="00BE5AA5">
        <w:t>workplace instruments</w:t>
      </w:r>
      <w:r>
        <w:t xml:space="preserve"> is outlined</w:t>
      </w:r>
      <w:r w:rsidR="053D8B0E">
        <w:t xml:space="preserve"> in </w:t>
      </w:r>
      <w:r w:rsidR="053D8B0E" w:rsidRPr="29A029EE">
        <w:rPr>
          <w:b/>
          <w:bCs/>
        </w:rPr>
        <w:t>Appendix A.</w:t>
      </w:r>
    </w:p>
    <w:p w14:paraId="52401E49" w14:textId="62E5FB97" w:rsidR="006501F3" w:rsidRDefault="00BE55A9" w:rsidP="006501F3">
      <w:pPr>
        <w:pStyle w:val="Heading4"/>
      </w:pPr>
      <w:bookmarkStart w:id="24" w:name="_Toc160805602"/>
      <w:bookmarkStart w:id="25" w:name="_Toc162963649"/>
      <w:bookmarkStart w:id="26" w:name="_Toc219193867"/>
      <w:r>
        <w:t>Providers paying above</w:t>
      </w:r>
      <w:r w:rsidR="00FC7AFD">
        <w:t xml:space="preserve"> award rates</w:t>
      </w:r>
      <w:bookmarkEnd w:id="24"/>
      <w:bookmarkEnd w:id="25"/>
      <w:bookmarkEnd w:id="26"/>
    </w:p>
    <w:p w14:paraId="5B5A760F" w14:textId="5742CF41" w:rsidR="00660522" w:rsidRDefault="5AAD84B0" w:rsidP="00876F23">
      <w:r>
        <w:t xml:space="preserve">Based on findings from the ACCC </w:t>
      </w:r>
      <w:r w:rsidR="63B5B5A6">
        <w:t>Inquiry</w:t>
      </w:r>
      <w:r w:rsidR="5B8450D1">
        <w:t>,</w:t>
      </w:r>
      <w:r w:rsidR="006141F4">
        <w:rPr>
          <w:rStyle w:val="FootnoteReference"/>
        </w:rPr>
        <w:footnoteReference w:id="97"/>
      </w:r>
      <w:r w:rsidR="63B5B5A6">
        <w:t xml:space="preserve"> </w:t>
      </w:r>
      <w:r w:rsidR="00DFE213">
        <w:t>i</w:t>
      </w:r>
      <w:r>
        <w:t>t is common for individual staff members w</w:t>
      </w:r>
      <w:r w:rsidR="5D9B8F0D">
        <w:t>ith</w:t>
      </w:r>
      <w:r>
        <w:t>in a service to be paid at different rates relative to the Award</w:t>
      </w:r>
      <w:r w:rsidR="53D6441B">
        <w:t>, even in the absence of</w:t>
      </w:r>
      <w:r w:rsidR="68941883">
        <w:t xml:space="preserve"> a workplace instrument, such as</w:t>
      </w:r>
      <w:r w:rsidR="53D6441B">
        <w:t xml:space="preserve"> an </w:t>
      </w:r>
      <w:r w:rsidR="0B301825">
        <w:t>EA</w:t>
      </w:r>
      <w:r w:rsidR="5AED5CE3">
        <w:t xml:space="preserve">. Without access to </w:t>
      </w:r>
      <w:r w:rsidR="6CE50966">
        <w:t>the specific information</w:t>
      </w:r>
      <w:r w:rsidR="5AED5CE3">
        <w:t>, it is assumed that most of these arrangements are conducted through common law contracts</w:t>
      </w:r>
      <w:r w:rsidR="53D6441B">
        <w:t xml:space="preserve">. </w:t>
      </w:r>
      <w:r w:rsidR="263F93CA">
        <w:t xml:space="preserve">As such, </w:t>
      </w:r>
      <w:r w:rsidR="3A2DDB2B">
        <w:t>i</w:t>
      </w:r>
      <w:r w:rsidR="2FBEC10F">
        <w:t>t is not possible to account for the current wage policy of each individual service o</w:t>
      </w:r>
      <w:r w:rsidR="3B98D869">
        <w:t>r</w:t>
      </w:r>
      <w:r w:rsidR="2FBEC10F">
        <w:t xml:space="preserve"> staff member within a service</w:t>
      </w:r>
      <w:r w:rsidR="46615D79">
        <w:t>.</w:t>
      </w:r>
    </w:p>
    <w:p w14:paraId="4D4DB6D8" w14:textId="24947216" w:rsidR="00564F08" w:rsidRDefault="00F23F29" w:rsidP="00876F23">
      <w:r>
        <w:t xml:space="preserve">Under </w:t>
      </w:r>
      <w:r w:rsidR="00170742">
        <w:t xml:space="preserve">options </w:t>
      </w:r>
      <w:r w:rsidR="00FD2F0A">
        <w:t>T</w:t>
      </w:r>
      <w:r w:rsidR="00170742">
        <w:t xml:space="preserve">wo and </w:t>
      </w:r>
      <w:r w:rsidR="00FD2F0A">
        <w:t>T</w:t>
      </w:r>
      <w:r w:rsidR="00170742">
        <w:t>hree</w:t>
      </w:r>
      <w:r>
        <w:t xml:space="preserve">, all Commonwealth funding provided to employers would be required to be passed on to employees </w:t>
      </w:r>
      <w:r w:rsidR="002F730B">
        <w:t xml:space="preserve">in the form of </w:t>
      </w:r>
      <w:r>
        <w:t>higher wages</w:t>
      </w:r>
      <w:r w:rsidR="007E6830">
        <w:t>. Additionally</w:t>
      </w:r>
      <w:r w:rsidR="00525809">
        <w:t>,</w:t>
      </w:r>
      <w:r w:rsidR="007E6830">
        <w:t xml:space="preserve"> employers must not decrease their existing contribution</w:t>
      </w:r>
      <w:r w:rsidR="00057373">
        <w:t xml:space="preserve"> towards wages for eligible employees</w:t>
      </w:r>
      <w:r w:rsidR="00525809">
        <w:t xml:space="preserve"> or use Commonwealth funding to subsidise the cost of their current wage expenditure, even if they are already paying wages above relevant award rates of pay.</w:t>
      </w:r>
    </w:p>
    <w:p w14:paraId="0CA966C0" w14:textId="5E3813B4" w:rsidR="004E3DE0" w:rsidRDefault="1E819EEE" w:rsidP="00876F23">
      <w:r>
        <w:t xml:space="preserve">Following the ACCC Childcare Inquiry Final Report, </w:t>
      </w:r>
      <w:r w:rsidR="50B8AD4F">
        <w:t>the number of staff currently paid above award rates remains unclear</w:t>
      </w:r>
      <w:r w:rsidR="76DFE111">
        <w:t xml:space="preserve"> for the purposes of determining how many services</w:t>
      </w:r>
      <w:r w:rsidR="625DA712">
        <w:t xml:space="preserve"> will be passing on funding to staff already paid above award. This is because the definition of wages utilised by the ACCC </w:t>
      </w:r>
      <w:r w:rsidR="625DA712">
        <w:lastRenderedPageBreak/>
        <w:t>includes the minimum hourly rate of pay plus applicable allowances, loadings and superannuation.</w:t>
      </w:r>
      <w:r w:rsidR="009A7C25">
        <w:rPr>
          <w:rStyle w:val="FootnoteReference"/>
        </w:rPr>
        <w:footnoteReference w:id="98"/>
      </w:r>
      <w:r w:rsidR="625DA712">
        <w:t xml:space="preserve"> </w:t>
      </w:r>
      <w:r w:rsidR="7D9858B1">
        <w:t>However, d</w:t>
      </w:r>
      <w:r w:rsidR="4549059C">
        <w:t xml:space="preserve">ata from the 2021 </w:t>
      </w:r>
      <w:r w:rsidR="7B00CE9A">
        <w:t>workforce census</w:t>
      </w:r>
      <w:r w:rsidR="7D9858B1">
        <w:t xml:space="preserve"> indicates that </w:t>
      </w:r>
      <w:r w:rsidR="0C61A7EA">
        <w:t>57 per cent of</w:t>
      </w:r>
      <w:r w:rsidR="755EC2A3">
        <w:t xml:space="preserve"> contact</w:t>
      </w:r>
      <w:r w:rsidR="0C61A7EA">
        <w:t xml:space="preserve"> LDC staff and 69 per cent of </w:t>
      </w:r>
      <w:r w:rsidR="755EC2A3">
        <w:t xml:space="preserve">contact </w:t>
      </w:r>
      <w:r w:rsidR="0C61A7EA">
        <w:t>OSHC staff we</w:t>
      </w:r>
      <w:r w:rsidR="034B38AE">
        <w:t>r</w:t>
      </w:r>
      <w:r w:rsidR="0C61A7EA">
        <w:t>e paid at award rates</w:t>
      </w:r>
      <w:r w:rsidR="034B38AE">
        <w:t xml:space="preserve">, while </w:t>
      </w:r>
      <w:r w:rsidR="0F298352">
        <w:t>approximately 34 per cent of LDC staff</w:t>
      </w:r>
      <w:r w:rsidR="29036D2C">
        <w:t>, and approximately 19 per cent of OSHC contact staff</w:t>
      </w:r>
      <w:r w:rsidR="0F298352">
        <w:t xml:space="preserve"> were paid over award rates</w:t>
      </w:r>
      <w:r w:rsidR="755EC2A3">
        <w:t>.</w:t>
      </w:r>
    </w:p>
    <w:p w14:paraId="5D328F1B" w14:textId="165F6E4A" w:rsidR="009508CF" w:rsidRDefault="4BBB70AF" w:rsidP="00876F23">
      <w:r>
        <w:t>Whil</w:t>
      </w:r>
      <w:r w:rsidR="525E81DC">
        <w:t>e</w:t>
      </w:r>
      <w:r>
        <w:t xml:space="preserve"> </w:t>
      </w:r>
      <w:r w:rsidR="006D63AB">
        <w:t>compliance</w:t>
      </w:r>
      <w:r>
        <w:t xml:space="preserve"> ris</w:t>
      </w:r>
      <w:r w:rsidR="006D63AB">
        <w:t>ks are</w:t>
      </w:r>
      <w:r>
        <w:t xml:space="preserve"> not as significant under Option Three</w:t>
      </w:r>
      <w:r w:rsidR="4C87786C">
        <w:t>, it is not possible for the FWC or the F</w:t>
      </w:r>
      <w:r w:rsidR="4F241A1D">
        <w:t xml:space="preserve">air </w:t>
      </w:r>
      <w:r w:rsidR="4C87786C">
        <w:t>W</w:t>
      </w:r>
      <w:r w:rsidR="37395462">
        <w:t xml:space="preserve">ork </w:t>
      </w:r>
      <w:r w:rsidR="4C87786C">
        <w:t>O</w:t>
      </w:r>
      <w:r w:rsidR="2920D5E3">
        <w:t>mbudsman (FWO)</w:t>
      </w:r>
      <w:r w:rsidR="4C87786C">
        <w:t xml:space="preserve"> to account for the current wage policy of each individual service. Whilst employers paying above award would still be required to</w:t>
      </w:r>
      <w:r w:rsidR="241FD79B">
        <w:t xml:space="preserve"> pass on all Commonwealth funding to employees as wages, the FWC and the FWO are limited </w:t>
      </w:r>
      <w:r w:rsidR="00A45D0E">
        <w:t>in</w:t>
      </w:r>
      <w:r w:rsidR="241FD79B">
        <w:t xml:space="preserve"> taking compliance and enforcement action based only on the minimum rates of pay in an applicable workplace instrument.</w:t>
      </w:r>
      <w:r w:rsidR="001D67A1">
        <w:t xml:space="preserve"> </w:t>
      </w:r>
      <w:r w:rsidR="00DA2E15">
        <w:t xml:space="preserve">As </w:t>
      </w:r>
      <w:r w:rsidR="00D628D7">
        <w:t>part of the risk mitigation strategy</w:t>
      </w:r>
      <w:r w:rsidR="00DA2E15">
        <w:t xml:space="preserve">, </w:t>
      </w:r>
      <w:r w:rsidR="00D628D7">
        <w:t xml:space="preserve">the Department will require </w:t>
      </w:r>
      <w:r w:rsidR="00350E47">
        <w:t>employers to submit additional reporting</w:t>
      </w:r>
      <w:r w:rsidR="00D628D7">
        <w:t xml:space="preserve"> documentation </w:t>
      </w:r>
      <w:r w:rsidR="00985A8D">
        <w:t>demonstrat</w:t>
      </w:r>
      <w:r w:rsidR="00D628D7">
        <w:t>ing</w:t>
      </w:r>
      <w:r w:rsidR="00985A8D">
        <w:t xml:space="preserve"> that funding has been passed on to employees in full. </w:t>
      </w:r>
      <w:r w:rsidR="00350E47">
        <w:t xml:space="preserve"> </w:t>
      </w:r>
    </w:p>
    <w:p w14:paraId="47CCFE7B" w14:textId="5648B7D5" w:rsidR="00827D82" w:rsidRPr="00094699" w:rsidRDefault="00827D82" w:rsidP="00827D82">
      <w:pPr>
        <w:pStyle w:val="Heading4"/>
      </w:pPr>
      <w:bookmarkStart w:id="27" w:name="_Toc162963650"/>
      <w:bookmarkStart w:id="28" w:name="_Toc219193868"/>
      <w:r w:rsidRPr="00094699">
        <w:t>Interaction with the Annual Wage Review</w:t>
      </w:r>
      <w:r w:rsidR="006845EB" w:rsidRPr="00094699">
        <w:t xml:space="preserve"> (AWR)</w:t>
      </w:r>
      <w:bookmarkEnd w:id="27"/>
      <w:bookmarkEnd w:id="28"/>
    </w:p>
    <w:p w14:paraId="56F57AB5" w14:textId="44E51E72" w:rsidR="00374FE3" w:rsidRPr="00094699" w:rsidRDefault="00B32B5C" w:rsidP="00D00EBE">
      <w:r w:rsidRPr="00094699">
        <w:t xml:space="preserve">In accordance with section 285 of the </w:t>
      </w:r>
      <w:r w:rsidR="00521E95" w:rsidRPr="00094699">
        <w:rPr>
          <w:i/>
          <w:iCs/>
        </w:rPr>
        <w:t xml:space="preserve">Fair Work Act, </w:t>
      </w:r>
      <w:r w:rsidR="00521E95" w:rsidRPr="00094699">
        <w:t xml:space="preserve">each financial year the FWC reviews and sets the National Minimum Wage and the minimum wages of </w:t>
      </w:r>
      <w:r w:rsidR="001E1F34" w:rsidRPr="00094699">
        <w:t>m</w:t>
      </w:r>
      <w:r w:rsidR="00521E95" w:rsidRPr="00094699">
        <w:t xml:space="preserve">odern </w:t>
      </w:r>
      <w:r w:rsidR="001E1F34" w:rsidRPr="00094699">
        <w:t>a</w:t>
      </w:r>
      <w:r w:rsidR="00521E95" w:rsidRPr="00094699">
        <w:t>wards.</w:t>
      </w:r>
      <w:r w:rsidR="00BF486B" w:rsidRPr="00094699">
        <w:t xml:space="preserve"> In recent years</w:t>
      </w:r>
      <w:r w:rsidR="00E45662" w:rsidRPr="00094699">
        <w:t>,</w:t>
      </w:r>
      <w:r w:rsidR="00FC0C66" w:rsidRPr="00094699">
        <w:t xml:space="preserve"> the FWC has </w:t>
      </w:r>
      <w:r w:rsidR="002C66A9" w:rsidRPr="00094699">
        <w:t xml:space="preserve">generally </w:t>
      </w:r>
      <w:r w:rsidR="00FC0C66" w:rsidRPr="00094699">
        <w:t>increased</w:t>
      </w:r>
      <w:r w:rsidR="00C14859" w:rsidRPr="00094699">
        <w:t xml:space="preserve"> all</w:t>
      </w:r>
      <w:r w:rsidR="00FC0C66" w:rsidRPr="00094699">
        <w:t xml:space="preserve"> </w:t>
      </w:r>
      <w:r w:rsidR="00F07775" w:rsidRPr="00094699">
        <w:t>modern award</w:t>
      </w:r>
      <w:r w:rsidR="00FC0C66" w:rsidRPr="00094699">
        <w:t xml:space="preserve"> </w:t>
      </w:r>
      <w:r w:rsidR="007C2F70" w:rsidRPr="00094699">
        <w:t xml:space="preserve">pay </w:t>
      </w:r>
      <w:r w:rsidR="00FC0C66" w:rsidRPr="00094699">
        <w:t xml:space="preserve">rates </w:t>
      </w:r>
      <w:r w:rsidR="00912A98" w:rsidRPr="00094699">
        <w:t>by a percentage amount</w:t>
      </w:r>
      <w:r w:rsidR="00E45662" w:rsidRPr="00094699">
        <w:t>. F</w:t>
      </w:r>
      <w:r w:rsidR="00D400CA" w:rsidRPr="00094699">
        <w:t>or example</w:t>
      </w:r>
      <w:r w:rsidR="00E45662" w:rsidRPr="00094699">
        <w:t>,</w:t>
      </w:r>
      <w:r w:rsidR="00D400CA" w:rsidRPr="00094699">
        <w:t xml:space="preserve"> in 202</w:t>
      </w:r>
      <w:r w:rsidR="00F07775" w:rsidRPr="00094699">
        <w:t>2</w:t>
      </w:r>
      <w:r w:rsidR="008C0DFA" w:rsidRPr="00094699">
        <w:t xml:space="preserve"> all</w:t>
      </w:r>
      <w:r w:rsidR="00D400CA" w:rsidRPr="00094699">
        <w:t xml:space="preserve"> modern awards rates of pay increased by</w:t>
      </w:r>
      <w:r w:rsidR="00F07775" w:rsidRPr="00094699">
        <w:t xml:space="preserve"> 4.6</w:t>
      </w:r>
      <w:r w:rsidR="00F0384B" w:rsidRPr="00094699">
        <w:t xml:space="preserve"> per cent</w:t>
      </w:r>
      <w:r w:rsidR="008C0DFA" w:rsidRPr="00094699">
        <w:t xml:space="preserve">, </w:t>
      </w:r>
      <w:r w:rsidR="00724FF5" w:rsidRPr="00094699">
        <w:t xml:space="preserve">and </w:t>
      </w:r>
      <w:r w:rsidR="008E5BB3" w:rsidRPr="00094699">
        <w:t xml:space="preserve">then </w:t>
      </w:r>
      <w:r w:rsidR="00724FF5" w:rsidRPr="00094699">
        <w:t>in 2023 they increased by 5.75 per cent</w:t>
      </w:r>
      <w:r w:rsidR="00C27572" w:rsidRPr="00094699">
        <w:t xml:space="preserve"> and in 2024</w:t>
      </w:r>
      <w:r w:rsidR="0010087F" w:rsidRPr="00094699">
        <w:t xml:space="preserve"> by 3.75 per cent</w:t>
      </w:r>
      <w:r w:rsidR="00724FF5" w:rsidRPr="00094699">
        <w:t>.</w:t>
      </w:r>
      <w:r w:rsidR="00F0384B" w:rsidRPr="00094699">
        <w:t xml:space="preserve"> </w:t>
      </w:r>
    </w:p>
    <w:p w14:paraId="5A5A6A9E" w14:textId="3F6988BF" w:rsidR="00A463C2" w:rsidRPr="004E2D48" w:rsidRDefault="00E242CE" w:rsidP="00D00EBE">
      <w:r w:rsidRPr="00094699">
        <w:t>Following the introduction of the</w:t>
      </w:r>
      <w:r w:rsidR="00C81062" w:rsidRPr="00094699">
        <w:t xml:space="preserve"> </w:t>
      </w:r>
      <w:r w:rsidR="00C81062" w:rsidRPr="00094699">
        <w:rPr>
          <w:i/>
          <w:iCs/>
        </w:rPr>
        <w:t>Secure Jobs, Better Pay</w:t>
      </w:r>
      <w:r w:rsidR="00C81062" w:rsidRPr="00094699">
        <w:t xml:space="preserve"> reforms</w:t>
      </w:r>
      <w:r w:rsidR="00AE0214" w:rsidRPr="00094699">
        <w:t>,</w:t>
      </w:r>
      <w:r w:rsidR="00306BBD" w:rsidRPr="00094699">
        <w:t xml:space="preserve"> both the modern awards objective</w:t>
      </w:r>
      <w:r w:rsidR="002B6D81" w:rsidRPr="00094699">
        <w:rPr>
          <w:rStyle w:val="FootnoteReference"/>
        </w:rPr>
        <w:footnoteReference w:id="99"/>
      </w:r>
      <w:r w:rsidR="00152E36" w:rsidRPr="00094699">
        <w:t xml:space="preserve"> and the minimum wages objective</w:t>
      </w:r>
      <w:r w:rsidR="002B6D81" w:rsidRPr="00094699">
        <w:rPr>
          <w:rStyle w:val="FootnoteReference"/>
        </w:rPr>
        <w:footnoteReference w:id="100"/>
      </w:r>
      <w:r w:rsidR="00CA7553" w:rsidRPr="00094699">
        <w:t xml:space="preserve"> </w:t>
      </w:r>
      <w:r w:rsidR="00B34D4B" w:rsidRPr="00094699">
        <w:t>were updated</w:t>
      </w:r>
      <w:r w:rsidR="00980262" w:rsidRPr="00094699">
        <w:t xml:space="preserve"> in 2023</w:t>
      </w:r>
      <w:r w:rsidR="00024CAA" w:rsidRPr="00094699">
        <w:t>. Given this, t</w:t>
      </w:r>
      <w:r w:rsidR="00A51298" w:rsidRPr="00094699">
        <w:t xml:space="preserve">he FWC </w:t>
      </w:r>
      <w:r w:rsidR="00024CAA" w:rsidRPr="00094699">
        <w:t xml:space="preserve">is now required </w:t>
      </w:r>
      <w:r w:rsidR="006179BD" w:rsidRPr="00094699">
        <w:t xml:space="preserve">to </w:t>
      </w:r>
      <w:r w:rsidR="00980262" w:rsidRPr="00094699">
        <w:t>focus on</w:t>
      </w:r>
      <w:r w:rsidR="006B299E" w:rsidRPr="00094699">
        <w:t xml:space="preserve"> </w:t>
      </w:r>
      <w:r w:rsidR="00980262" w:rsidRPr="00094699">
        <w:t>pay equity and the care and</w:t>
      </w:r>
      <w:r w:rsidR="006B299E" w:rsidRPr="00094699">
        <w:t xml:space="preserve"> </w:t>
      </w:r>
      <w:r w:rsidR="00980262" w:rsidRPr="00094699">
        <w:t xml:space="preserve">the community sector </w:t>
      </w:r>
      <w:r w:rsidR="006B299E" w:rsidRPr="00094699">
        <w:t xml:space="preserve">when performing </w:t>
      </w:r>
      <w:r w:rsidR="00A51298" w:rsidRPr="00094699">
        <w:t xml:space="preserve">the </w:t>
      </w:r>
      <w:r w:rsidR="006845EB" w:rsidRPr="00094699">
        <w:t>AWR</w:t>
      </w:r>
      <w:r w:rsidR="00A51298" w:rsidRPr="00094699">
        <w:t xml:space="preserve">. </w:t>
      </w:r>
      <w:r w:rsidR="00EB1515" w:rsidRPr="00094699">
        <w:t>As a result, the</w:t>
      </w:r>
      <w:r w:rsidR="006845EB" w:rsidRPr="00094699">
        <w:t xml:space="preserve"> </w:t>
      </w:r>
      <w:r w:rsidR="000A2137" w:rsidRPr="00094699">
        <w:t>Annual Wage Review</w:t>
      </w:r>
      <w:r w:rsidR="007533F1" w:rsidRPr="00094699">
        <w:t xml:space="preserve"> 2022-23</w:t>
      </w:r>
      <w:r w:rsidR="006C6950" w:rsidRPr="00094699">
        <w:t xml:space="preserve"> Decision</w:t>
      </w:r>
      <w:r w:rsidR="000A2137" w:rsidRPr="00094699">
        <w:rPr>
          <w:rStyle w:val="FootnoteReference"/>
        </w:rPr>
        <w:footnoteReference w:id="101"/>
      </w:r>
      <w:r w:rsidR="00EB1515" w:rsidRPr="00094699">
        <w:rPr>
          <w:rStyle w:val="FootnoteReference"/>
        </w:rPr>
        <w:t xml:space="preserve"> </w:t>
      </w:r>
      <w:r w:rsidR="00EB1515" w:rsidRPr="00094699">
        <w:t>considered the new gender equity provisions</w:t>
      </w:r>
      <w:r w:rsidR="002D45A1" w:rsidRPr="00094699">
        <w:t>.</w:t>
      </w:r>
      <w:r w:rsidR="00EB1515" w:rsidRPr="00094699">
        <w:t xml:space="preserve"> </w:t>
      </w:r>
      <w:r w:rsidR="002D45A1" w:rsidRPr="00094699">
        <w:t>In addition,</w:t>
      </w:r>
      <w:r w:rsidR="009F4883" w:rsidRPr="00094699">
        <w:t xml:space="preserve"> the FWC </w:t>
      </w:r>
      <w:r w:rsidR="00860EDD" w:rsidRPr="00094699">
        <w:t>has</w:t>
      </w:r>
      <w:r w:rsidR="009F4883" w:rsidRPr="00094699">
        <w:t xml:space="preserve"> undertak</w:t>
      </w:r>
      <w:r w:rsidR="00860EDD" w:rsidRPr="00094699">
        <w:t>en</w:t>
      </w:r>
      <w:r w:rsidR="009F4883" w:rsidRPr="00094699">
        <w:t xml:space="preserve"> research that identi</w:t>
      </w:r>
      <w:r w:rsidR="0030374E" w:rsidRPr="00094699">
        <w:t>f</w:t>
      </w:r>
      <w:r w:rsidR="00860EDD" w:rsidRPr="00094699">
        <w:t>ied</w:t>
      </w:r>
      <w:r w:rsidR="0030374E" w:rsidRPr="00094699">
        <w:t xml:space="preserve"> occupations</w:t>
      </w:r>
      <w:r w:rsidR="0043458A" w:rsidRPr="00094699">
        <w:t xml:space="preserve"> and industries in which there is gender pay inequity and undervaluation of work and qualifications. </w:t>
      </w:r>
      <w:r w:rsidR="008758F9" w:rsidRPr="00094699">
        <w:t>R</w:t>
      </w:r>
      <w:r w:rsidR="00A750E2" w:rsidRPr="00094699">
        <w:t>elevant</w:t>
      </w:r>
      <w:r w:rsidR="0043458A" w:rsidRPr="00094699">
        <w:t xml:space="preserve"> research</w:t>
      </w:r>
      <w:r w:rsidR="002D45A1" w:rsidRPr="00094699">
        <w:t>, such as that conducted by the University of New South Wales</w:t>
      </w:r>
      <w:r w:rsidR="002D45A1" w:rsidRPr="00094699">
        <w:rPr>
          <w:rStyle w:val="FootnoteReference"/>
        </w:rPr>
        <w:footnoteReference w:id="102"/>
      </w:r>
      <w:r w:rsidR="002D45A1" w:rsidRPr="00094699">
        <w:t xml:space="preserve"> (prepared for the FWC) on the Gender-based Occupational Segregation identified both the </w:t>
      </w:r>
      <w:r w:rsidR="002D45A1" w:rsidRPr="00094699">
        <w:rPr>
          <w:i/>
          <w:iCs/>
        </w:rPr>
        <w:t>Children’s Services Award</w:t>
      </w:r>
      <w:r w:rsidR="006605F0">
        <w:rPr>
          <w:i/>
          <w:iCs/>
        </w:rPr>
        <w:t xml:space="preserve"> 2010</w:t>
      </w:r>
      <w:r w:rsidR="002D45A1" w:rsidRPr="00094699">
        <w:t xml:space="preserve"> and the </w:t>
      </w:r>
      <w:r w:rsidR="002D45A1" w:rsidRPr="00094699">
        <w:rPr>
          <w:i/>
          <w:iCs/>
        </w:rPr>
        <w:t>Educational Services (Teachers) Award</w:t>
      </w:r>
      <w:r w:rsidR="002D45A1" w:rsidRPr="00094699">
        <w:t xml:space="preserve"> as modern awards used to set pay in large, </w:t>
      </w:r>
      <w:proofErr w:type="gramStart"/>
      <w:r w:rsidR="002D45A1" w:rsidRPr="00094699">
        <w:t>highly</w:t>
      </w:r>
      <w:r w:rsidR="008758F9" w:rsidRPr="00094699">
        <w:t>-</w:t>
      </w:r>
      <w:r w:rsidR="002D45A1" w:rsidRPr="00094699">
        <w:t>feminised</w:t>
      </w:r>
      <w:proofErr w:type="gramEnd"/>
      <w:r w:rsidR="002D45A1" w:rsidRPr="00094699">
        <w:t xml:space="preserve"> occupations, </w:t>
      </w:r>
      <w:r w:rsidR="0043458A" w:rsidRPr="00094699">
        <w:t xml:space="preserve">will underpin the consideration and determination of the identified issues. </w:t>
      </w:r>
      <w:r w:rsidR="0012678C">
        <w:t>Further, t</w:t>
      </w:r>
      <w:r w:rsidR="00E23B5B" w:rsidRPr="00094699">
        <w:t xml:space="preserve">he FWC </w:t>
      </w:r>
      <w:r w:rsidR="003462F3" w:rsidRPr="00094699">
        <w:t xml:space="preserve">in their AWR </w:t>
      </w:r>
      <w:r w:rsidR="00AB1DDA" w:rsidRPr="00094699">
        <w:t xml:space="preserve">determination </w:t>
      </w:r>
      <w:r w:rsidR="003462F3" w:rsidRPr="00094699">
        <w:t>announcement on 3 June 2024 confirmed</w:t>
      </w:r>
      <w:r w:rsidR="00AB1DDA" w:rsidRPr="00094699">
        <w:t xml:space="preserve"> the establishment of a program to </w:t>
      </w:r>
      <w:r w:rsidR="00697D51" w:rsidRPr="00094699">
        <w:t xml:space="preserve">examine and address </w:t>
      </w:r>
      <w:r w:rsidR="004C6F42" w:rsidRPr="00094699">
        <w:t xml:space="preserve">gender undervaluation </w:t>
      </w:r>
      <w:r w:rsidR="00A45483" w:rsidRPr="00094699">
        <w:t xml:space="preserve">in a number of </w:t>
      </w:r>
      <w:r w:rsidR="00995B77" w:rsidRPr="00094699">
        <w:t>modern awards</w:t>
      </w:r>
      <w:r w:rsidR="00F51AEB" w:rsidRPr="00094699">
        <w:t>,</w:t>
      </w:r>
      <w:r w:rsidR="006605F0">
        <w:t xml:space="preserve"> including the </w:t>
      </w:r>
      <w:r w:rsidR="006605F0" w:rsidRPr="00094699">
        <w:rPr>
          <w:i/>
          <w:iCs/>
        </w:rPr>
        <w:t>Children’s Services Award</w:t>
      </w:r>
      <w:r w:rsidR="006605F0">
        <w:rPr>
          <w:i/>
          <w:iCs/>
        </w:rPr>
        <w:t xml:space="preserve"> 2010</w:t>
      </w:r>
      <w:r w:rsidR="00A750E2" w:rsidRPr="00094699">
        <w:t>.</w:t>
      </w:r>
      <w:r w:rsidR="005E26F4" w:rsidRPr="00094699">
        <w:t xml:space="preserve"> </w:t>
      </w:r>
      <w:r w:rsidR="008E741E">
        <w:t>T</w:t>
      </w:r>
      <w:r w:rsidR="001D6F29" w:rsidRPr="00094699">
        <w:t xml:space="preserve">he </w:t>
      </w:r>
      <w:r w:rsidR="005E26F4" w:rsidRPr="00094699">
        <w:t>FWC intends that th</w:t>
      </w:r>
      <w:r w:rsidR="00AE5423" w:rsidRPr="00094699">
        <w:t>e proceedings will commence shortly and</w:t>
      </w:r>
      <w:r w:rsidR="005C5978" w:rsidRPr="00094699">
        <w:t xml:space="preserve"> </w:t>
      </w:r>
      <w:r w:rsidR="00F51AEB" w:rsidRPr="00094699">
        <w:t xml:space="preserve">be completed by the time of </w:t>
      </w:r>
      <w:r w:rsidR="00B22281">
        <w:t xml:space="preserve">the 2024-25 AWR in June 2025. </w:t>
      </w:r>
      <w:r w:rsidR="00F51AEB">
        <w:t xml:space="preserve"> </w:t>
      </w:r>
    </w:p>
    <w:p w14:paraId="5CD87F82" w14:textId="2EB16FE8" w:rsidR="007E176C" w:rsidRPr="004E2D48" w:rsidRDefault="00A314A4" w:rsidP="00A02584">
      <w:pPr>
        <w:pStyle w:val="Heading3"/>
      </w:pPr>
      <w:bookmarkStart w:id="29" w:name="_Toc219193869"/>
      <w:r w:rsidRPr="004E2D48">
        <w:t>Affordability condition</w:t>
      </w:r>
      <w:bookmarkEnd w:id="29"/>
    </w:p>
    <w:p w14:paraId="04AC5C92" w14:textId="04C055F2" w:rsidR="00A235AE" w:rsidRPr="004E2D48" w:rsidRDefault="004A7AF1" w:rsidP="00A235AE">
      <w:r w:rsidRPr="004E2D48">
        <w:t xml:space="preserve">Apart from the status quo approach, all options allow Government to make funding a wage increase conditional on a fee </w:t>
      </w:r>
      <w:r w:rsidR="00A07DD2" w:rsidRPr="004E2D48">
        <w:t xml:space="preserve">growth </w:t>
      </w:r>
      <w:r w:rsidRPr="004E2D48">
        <w:t xml:space="preserve">control mechanism. A fee </w:t>
      </w:r>
      <w:r w:rsidR="00D60710" w:rsidRPr="004E2D48">
        <w:t>growth</w:t>
      </w:r>
      <w:r w:rsidRPr="004E2D48">
        <w:t xml:space="preserve"> control mechanism </w:t>
      </w:r>
      <w:r w:rsidR="00175555">
        <w:t>constrains</w:t>
      </w:r>
      <w:r w:rsidR="004D35C9">
        <w:t xml:space="preserve"> </w:t>
      </w:r>
      <w:r w:rsidR="009E269C">
        <w:t xml:space="preserve">fee growth rates </w:t>
      </w:r>
      <w:r w:rsidRPr="004E2D48">
        <w:t>to ensure ECEC remains affordable. </w:t>
      </w:r>
      <w:r w:rsidR="0045543A" w:rsidRPr="004E2D48">
        <w:t>The proposed</w:t>
      </w:r>
      <w:r w:rsidR="00A235AE" w:rsidRPr="004E2D48">
        <w:t xml:space="preserve"> fee growth </w:t>
      </w:r>
      <w:r w:rsidR="0045543A" w:rsidRPr="004E2D48">
        <w:t xml:space="preserve">limit </w:t>
      </w:r>
      <w:r w:rsidR="00F42F43">
        <w:t>will be</w:t>
      </w:r>
      <w:r w:rsidR="0045543A" w:rsidRPr="004E2D48">
        <w:t xml:space="preserve"> consistent </w:t>
      </w:r>
      <w:r w:rsidR="0045543A" w:rsidRPr="004E2D48">
        <w:lastRenderedPageBreak/>
        <w:t>with</w:t>
      </w:r>
      <w:r w:rsidR="00F42F43">
        <w:t xml:space="preserve"> other</w:t>
      </w:r>
      <w:r w:rsidR="00A235AE" w:rsidRPr="004E2D48">
        <w:t xml:space="preserve"> </w:t>
      </w:r>
      <w:r w:rsidR="0008597C">
        <w:t xml:space="preserve">regulatory measures the </w:t>
      </w:r>
      <w:r w:rsidR="00A235AE" w:rsidRPr="004E2D48">
        <w:t xml:space="preserve">Government may impose in response to the ACCC and </w:t>
      </w:r>
      <w:r w:rsidR="00A40FA1" w:rsidRPr="004E2D48">
        <w:t>PC</w:t>
      </w:r>
      <w:r w:rsidR="00A235AE" w:rsidRPr="004E2D48">
        <w:t xml:space="preserve"> Inquiries.</w:t>
      </w:r>
    </w:p>
    <w:p w14:paraId="6EF1282C" w14:textId="4C69910A" w:rsidR="008F0AE5" w:rsidRDefault="008F0AE5" w:rsidP="007D5715">
      <w:pPr>
        <w:pStyle w:val="Heading5"/>
      </w:pPr>
      <w:r>
        <w:t>Design of the affordability condition</w:t>
      </w:r>
    </w:p>
    <w:p w14:paraId="5017A2DA" w14:textId="6B63D1B6" w:rsidR="00DA1BEA" w:rsidRDefault="76C5A535" w:rsidP="00CF0CCA">
      <w:r>
        <w:t>This proposal</w:t>
      </w:r>
      <w:r w:rsidR="5485FAEE">
        <w:t xml:space="preserve"> </w:t>
      </w:r>
      <w:r w:rsidR="27D1553B">
        <w:t>is</w:t>
      </w:r>
      <w:r w:rsidR="68FD4E10">
        <w:t xml:space="preserve"> to implement the affordability condition through a </w:t>
      </w:r>
      <w:r w:rsidR="5485FAEE">
        <w:t xml:space="preserve">uniform </w:t>
      </w:r>
      <w:r w:rsidR="154483E9">
        <w:t xml:space="preserve">fee </w:t>
      </w:r>
      <w:r w:rsidR="5485FAEE">
        <w:t>growth constraint. </w:t>
      </w:r>
      <w:r w:rsidR="0B03A025">
        <w:t>Under</w:t>
      </w:r>
      <w:r w:rsidR="5485FAEE">
        <w:t xml:space="preserve"> a uniform fee growth constraint</w:t>
      </w:r>
      <w:r w:rsidR="154483E9">
        <w:t>,</w:t>
      </w:r>
      <w:r w:rsidR="5485FAEE">
        <w:t xml:space="preserve"> services cannot increase their fees </w:t>
      </w:r>
      <w:r w:rsidR="132DB524">
        <w:t>over a select</w:t>
      </w:r>
      <w:r w:rsidR="2ED56FDC">
        <w:t xml:space="preserve"> period</w:t>
      </w:r>
      <w:r w:rsidR="601CA5A9">
        <w:t>,</w:t>
      </w:r>
      <w:r w:rsidR="2ED56FDC">
        <w:t xml:space="preserve"> </w:t>
      </w:r>
      <w:r w:rsidR="5485FAEE">
        <w:t>by more than a</w:t>
      </w:r>
      <w:r w:rsidR="21D71F67">
        <w:t xml:space="preserve"> </w:t>
      </w:r>
      <w:r w:rsidR="21D71F67" w:rsidRPr="35771FF5">
        <w:rPr>
          <w:rFonts w:eastAsia="Times New Roman"/>
          <w:color w:val="000000" w:themeColor="text1"/>
        </w:rPr>
        <w:t>set percentage</w:t>
      </w:r>
      <w:r w:rsidR="69728D7E" w:rsidRPr="35771FF5">
        <w:rPr>
          <w:rFonts w:eastAsia="Times New Roman"/>
          <w:color w:val="000000" w:themeColor="text1"/>
        </w:rPr>
        <w:t xml:space="preserve">. The </w:t>
      </w:r>
      <w:r w:rsidR="09C826DE" w:rsidRPr="35771FF5">
        <w:rPr>
          <w:rFonts w:eastAsia="Times New Roman"/>
          <w:color w:val="000000" w:themeColor="text1"/>
        </w:rPr>
        <w:t>fee growth percentage cap will be</w:t>
      </w:r>
      <w:r w:rsidR="21D71F67" w:rsidRPr="35771FF5">
        <w:rPr>
          <w:rFonts w:eastAsia="Times New Roman"/>
          <w:color w:val="000000" w:themeColor="text1"/>
        </w:rPr>
        <w:t xml:space="preserve"> based on a</w:t>
      </w:r>
      <w:r w:rsidR="6F714415" w:rsidRPr="35771FF5">
        <w:rPr>
          <w:rFonts w:eastAsia="Times New Roman"/>
          <w:color w:val="000000" w:themeColor="text1"/>
        </w:rPr>
        <w:t>n</w:t>
      </w:r>
      <w:r w:rsidR="21D71F67" w:rsidRPr="35771FF5">
        <w:rPr>
          <w:rFonts w:eastAsia="Times New Roman"/>
          <w:color w:val="000000" w:themeColor="text1"/>
        </w:rPr>
        <w:t xml:space="preserve"> </w:t>
      </w:r>
      <w:r w:rsidR="5485FAEE">
        <w:t>index</w:t>
      </w:r>
      <w:r w:rsidR="014B5F2C">
        <w:t xml:space="preserve"> </w:t>
      </w:r>
      <w:r w:rsidR="207E3AB5">
        <w:t>measure</w:t>
      </w:r>
      <w:r w:rsidR="5485FAEE">
        <w:t xml:space="preserve">. The same </w:t>
      </w:r>
      <w:r w:rsidR="616F1D33">
        <w:t>fee growth percentage cap</w:t>
      </w:r>
      <w:r w:rsidR="5485FAEE">
        <w:t xml:space="preserve"> would apply to all providers regardless of how high or low their fees currently are</w:t>
      </w:r>
      <w:r w:rsidR="2F5B33E0">
        <w:t>. T</w:t>
      </w:r>
      <w:r w:rsidR="15EB6704">
        <w:t>he allowed growth index is independent from past fee growth</w:t>
      </w:r>
      <w:r w:rsidR="5485FAEE">
        <w:t xml:space="preserve">. </w:t>
      </w:r>
    </w:p>
    <w:p w14:paraId="48366C4B" w14:textId="4EAFE69F" w:rsidR="00941967" w:rsidRDefault="00727407" w:rsidP="00CF0CCA">
      <w:r>
        <w:t>For the first year of the policy, f</w:t>
      </w:r>
      <w:r w:rsidR="4FDF213C" w:rsidRPr="00B03ABB">
        <w:t>ee</w:t>
      </w:r>
      <w:r>
        <w:t xml:space="preserve"> levels</w:t>
      </w:r>
      <w:r w:rsidR="4FDF213C" w:rsidRPr="00B03ABB">
        <w:t xml:space="preserve"> would be baselined from </w:t>
      </w:r>
      <w:r w:rsidR="00920B86">
        <w:t xml:space="preserve">the date of announcement of the </w:t>
      </w:r>
      <w:r w:rsidR="00425B9F">
        <w:t>funding</w:t>
      </w:r>
      <w:r w:rsidR="00920B86">
        <w:t xml:space="preserve"> policy. This is to</w:t>
      </w:r>
      <w:r w:rsidR="4FDF213C" w:rsidRPr="00B03ABB">
        <w:t xml:space="preserve"> protect against services trying to ‘game’ the system by pre-emptively increasing fees ahead of formally agreeing to the funding agreement. For example, if the Government</w:t>
      </w:r>
      <w:r w:rsidR="00EA6CEC">
        <w:t>’s policy was</w:t>
      </w:r>
      <w:r w:rsidR="4FDF213C" w:rsidRPr="00B03ABB">
        <w:t xml:space="preserve"> announced </w:t>
      </w:r>
      <w:r w:rsidR="00EA6CEC">
        <w:t>on 8 July</w:t>
      </w:r>
      <w:r w:rsidR="4FDF213C" w:rsidRPr="00B03ABB">
        <w:t xml:space="preserve">, the constraint would apply </w:t>
      </w:r>
      <w:r w:rsidR="00EA6CEC">
        <w:t xml:space="preserve">from </w:t>
      </w:r>
      <w:r w:rsidR="00C0198F">
        <w:t>this date</w:t>
      </w:r>
      <w:r w:rsidR="003C4385">
        <w:t xml:space="preserve"> and the service’s reported fees for the </w:t>
      </w:r>
      <w:r w:rsidR="000B1E2B">
        <w:t>respective CCS fortnight would be used as the baseline from which to measure fee growth</w:t>
      </w:r>
      <w:r w:rsidR="4FDF213C" w:rsidRPr="00B03ABB">
        <w:t>. While this safeguard has the advantage of preventing providers from increasing their fees immediately before the growth constraint comes into effect, it would advantage services who had increased fees recently and disadvantage those who had not, for example those</w:t>
      </w:r>
      <w:r w:rsidR="007D78CD">
        <w:t xml:space="preserve"> that</w:t>
      </w:r>
      <w:r w:rsidR="4FDF213C" w:rsidRPr="00B03ABB">
        <w:t xml:space="preserve"> had planned to increase their fees </w:t>
      </w:r>
      <w:r w:rsidR="007D78CD">
        <w:t>following the Government’s announcement on the wage funding amount</w:t>
      </w:r>
      <w:r w:rsidR="4FDF213C" w:rsidRPr="00B03ABB">
        <w:t xml:space="preserve">. </w:t>
      </w:r>
    </w:p>
    <w:p w14:paraId="72E224D1" w14:textId="2E574C92" w:rsidR="00941967" w:rsidRDefault="004B0428" w:rsidP="00CF0CCA">
      <w:r>
        <w:t>Wage Cost I</w:t>
      </w:r>
      <w:r w:rsidR="00941967">
        <w:t>ndex</w:t>
      </w:r>
      <w:r>
        <w:t xml:space="preserve"> 3 (WCI3) </w:t>
      </w:r>
      <w:r w:rsidR="00F36C25">
        <w:t>is currently tagged as the index that will</w:t>
      </w:r>
      <w:r>
        <w:t xml:space="preserve"> inform the </w:t>
      </w:r>
      <w:r w:rsidR="00941967">
        <w:t xml:space="preserve">fee growth percentage cap </w:t>
      </w:r>
      <w:r>
        <w:t xml:space="preserve">in the first year of this policy. </w:t>
      </w:r>
      <w:r w:rsidR="00494DAD">
        <w:t>However, a final decision on which index will inform the fee growth percentage cap will be determined in the context of the final design of the Worker Retention Payment</w:t>
      </w:r>
      <w:r w:rsidR="00C476E3">
        <w:t xml:space="preserve"> (accounting for</w:t>
      </w:r>
      <w:r w:rsidR="0081036A">
        <w:t xml:space="preserve"> implementation timeframes, the final quantum of funding etc.)</w:t>
      </w:r>
    </w:p>
    <w:p w14:paraId="7FBBC4F4" w14:textId="6DF73AEE" w:rsidR="008F510F" w:rsidRDefault="0735C2C1" w:rsidP="00CF0CCA">
      <w:r>
        <w:t>The</w:t>
      </w:r>
      <w:r w:rsidR="0B2A9906">
        <w:t xml:space="preserve"> preferred</w:t>
      </w:r>
      <w:r>
        <w:t xml:space="preserve"> index </w:t>
      </w:r>
      <w:r w:rsidR="3A32AD0F">
        <w:t xml:space="preserve">would be </w:t>
      </w:r>
      <w:r w:rsidR="0B2A9906" w:rsidRPr="00CF0CCA">
        <w:t xml:space="preserve">a new </w:t>
      </w:r>
      <w:r w:rsidR="00C03E73">
        <w:t>ECEC Price I</w:t>
      </w:r>
      <w:r w:rsidR="0B2A9906" w:rsidRPr="00CF0CCA">
        <w:t>ndex</w:t>
      </w:r>
      <w:r w:rsidR="0B2A9906">
        <w:t xml:space="preserve"> developed by </w:t>
      </w:r>
      <w:r w:rsidR="0B2A9906" w:rsidRPr="00CF0CCA">
        <w:t xml:space="preserve">the </w:t>
      </w:r>
      <w:r w:rsidR="0093599C">
        <w:t>A</w:t>
      </w:r>
      <w:r w:rsidR="000D4B16">
        <w:t>ustralian Bureau of Statistics (</w:t>
      </w:r>
      <w:r w:rsidR="0093599C">
        <w:t>ABS</w:t>
      </w:r>
      <w:r w:rsidR="000D4B16">
        <w:t xml:space="preserve">) </w:t>
      </w:r>
      <w:r w:rsidR="0B2A9906" w:rsidRPr="00CF0CCA">
        <w:t xml:space="preserve">that reflects the actual costs of </w:t>
      </w:r>
      <w:r w:rsidR="00C03E73">
        <w:t xml:space="preserve">ECEC </w:t>
      </w:r>
      <w:r w:rsidR="0B2A9906" w:rsidRPr="00CF0CCA">
        <w:t>delivery</w:t>
      </w:r>
      <w:r w:rsidR="7432D9F5">
        <w:t>. This is in line with a suggestion by the ACCC</w:t>
      </w:r>
      <w:r w:rsidR="7FBEC446">
        <w:t xml:space="preserve"> </w:t>
      </w:r>
      <w:r w:rsidR="6B65DA7D">
        <w:t xml:space="preserve">for </w:t>
      </w:r>
      <w:r w:rsidR="000D4B16">
        <w:t xml:space="preserve">an </w:t>
      </w:r>
      <w:r w:rsidR="004A721B">
        <w:t>ECEC cost</w:t>
      </w:r>
      <w:r w:rsidR="0D9163EB">
        <w:t xml:space="preserve"> index to be used </w:t>
      </w:r>
      <w:r w:rsidR="28F67CAB">
        <w:t xml:space="preserve">to index the </w:t>
      </w:r>
      <w:r w:rsidR="0093599C">
        <w:t>HRC</w:t>
      </w:r>
      <w:r w:rsidR="28F67CAB">
        <w:t>.</w:t>
      </w:r>
      <w:r w:rsidR="002C6A94">
        <w:rPr>
          <w:rStyle w:val="FootnoteReference"/>
        </w:rPr>
        <w:footnoteReference w:id="103"/>
      </w:r>
      <w:r w:rsidR="28F67CAB">
        <w:t xml:space="preserve"> </w:t>
      </w:r>
      <w:r w:rsidR="00EA3E7F">
        <w:t xml:space="preserve">Funding to develop a new ECEC Price Index was included in the 2024-25 Budget, and work has begun to develop this. </w:t>
      </w:r>
      <w:r w:rsidR="00F97B94" w:rsidRPr="00F97B94">
        <w:t xml:space="preserve">It </w:t>
      </w:r>
      <w:r w:rsidR="00EA3E7F">
        <w:t>is expected</w:t>
      </w:r>
      <w:r w:rsidR="00F97B94" w:rsidRPr="00F97B94">
        <w:t xml:space="preserve"> </w:t>
      </w:r>
      <w:r w:rsidR="00E13ED8">
        <w:t xml:space="preserve">a proof of concept will be available in the second half of 2024. </w:t>
      </w:r>
      <w:r w:rsidR="00F97B94" w:rsidRPr="00F97B94">
        <w:t xml:space="preserve"> </w:t>
      </w:r>
    </w:p>
    <w:p w14:paraId="7064D6EE" w14:textId="2422A32E" w:rsidR="00ED0152" w:rsidRDefault="00ED0152" w:rsidP="007D5715">
      <w:pPr>
        <w:pStyle w:val="Heading5"/>
      </w:pPr>
      <w:r>
        <w:t>The policy intent of the affordability condition</w:t>
      </w:r>
    </w:p>
    <w:p w14:paraId="361E6740" w14:textId="4D2F366E" w:rsidR="0025655A" w:rsidRDefault="0025655A" w:rsidP="0025655A">
      <w:r>
        <w:t xml:space="preserve">The purpose of </w:t>
      </w:r>
      <w:r w:rsidR="00ED0152">
        <w:t>a</w:t>
      </w:r>
      <w:r>
        <w:t xml:space="preserve"> uniform </w:t>
      </w:r>
      <w:r w:rsidR="00A33133">
        <w:t>fee</w:t>
      </w:r>
      <w:r>
        <w:t xml:space="preserve"> growth constraint is to limit annual fee </w:t>
      </w:r>
      <w:proofErr w:type="gramStart"/>
      <w:r>
        <w:t>growth</w:t>
      </w:r>
      <w:r w:rsidR="00ED0152">
        <w:t>, and</w:t>
      </w:r>
      <w:proofErr w:type="gramEnd"/>
      <w:r w:rsidR="00ED0152">
        <w:t xml:space="preserve"> better </w:t>
      </w:r>
      <w:r w:rsidR="000E4980">
        <w:t xml:space="preserve">align the indexation of fees with </w:t>
      </w:r>
      <w:r w:rsidR="003328E3">
        <w:t>rising costs</w:t>
      </w:r>
      <w:r>
        <w:t xml:space="preserve">. </w:t>
      </w:r>
      <w:r w:rsidR="003203B0">
        <w:t xml:space="preserve">A fee growth constraint </w:t>
      </w:r>
      <w:r>
        <w:t xml:space="preserve">acknowledges </w:t>
      </w:r>
      <w:r w:rsidR="00EE58CB">
        <w:t>cost drivers are different across ECEC providers</w:t>
      </w:r>
      <w:r>
        <w:t xml:space="preserve">. </w:t>
      </w:r>
      <w:r w:rsidR="00EE58CB">
        <w:t>As opposed to a fee cap, a fee growth constraint is intended t</w:t>
      </w:r>
      <w:r w:rsidR="00AE20FD">
        <w:t>o</w:t>
      </w:r>
      <w:r w:rsidR="00EE58CB">
        <w:t xml:space="preserve"> </w:t>
      </w:r>
      <w:r w:rsidR="000C616B">
        <w:t>enable cost rises for the sake of maintainin</w:t>
      </w:r>
      <w:r w:rsidR="00AE20FD">
        <w:t>g</w:t>
      </w:r>
      <w:r w:rsidR="000C616B">
        <w:t xml:space="preserve"> quality levels and supply</w:t>
      </w:r>
      <w:r w:rsidR="0057762F">
        <w:t xml:space="preserve"> without increasing profits</w:t>
      </w:r>
      <w:r w:rsidR="00AE20FD">
        <w:t>.</w:t>
      </w:r>
      <w:r>
        <w:t xml:space="preserve"> </w:t>
      </w:r>
      <w:r w:rsidR="00E61805">
        <w:t>A fee growth constraint a</w:t>
      </w:r>
      <w:r>
        <w:t>lso means</w:t>
      </w:r>
      <w:r w:rsidR="00FB1FD5">
        <w:t xml:space="preserve"> that</w:t>
      </w:r>
      <w:r>
        <w:t xml:space="preserve"> no </w:t>
      </w:r>
      <w:r w:rsidR="00D727AD">
        <w:t xml:space="preserve">service </w:t>
      </w:r>
      <w:r>
        <w:t>is</w:t>
      </w:r>
      <w:r w:rsidR="00C639AE">
        <w:t xml:space="preserve"> likely</w:t>
      </w:r>
      <w:r>
        <w:t xml:space="preserve"> required to reduce its fees to be eligible for Government funding for a wage increase.</w:t>
      </w:r>
    </w:p>
    <w:p w14:paraId="0A694C6F" w14:textId="0FD68056" w:rsidR="000F1F1F" w:rsidRDefault="000F1F1F" w:rsidP="001A6971">
      <w:r>
        <w:t>A</w:t>
      </w:r>
      <w:r w:rsidR="009261DE">
        <w:t xml:space="preserve"> fee growth constraint</w:t>
      </w:r>
      <w:r w:rsidR="00425B9F">
        <w:t xml:space="preserve"> tied to funding</w:t>
      </w:r>
      <w:r w:rsidR="00D40A00">
        <w:t xml:space="preserve"> </w:t>
      </w:r>
      <w:r w:rsidR="00961741">
        <w:t>has several</w:t>
      </w:r>
      <w:r>
        <w:t xml:space="preserve"> advantages. </w:t>
      </w:r>
      <w:r w:rsidR="00622163">
        <w:t xml:space="preserve">Most importantly, it </w:t>
      </w:r>
      <w:r w:rsidR="00FA7F11">
        <w:t>will</w:t>
      </w:r>
      <w:r w:rsidR="00FF7A2C">
        <w:t xml:space="preserve"> </w:t>
      </w:r>
      <w:r>
        <w:t>limit</w:t>
      </w:r>
      <w:r w:rsidR="00FF7A2C">
        <w:t xml:space="preserve"> the</w:t>
      </w:r>
      <w:r>
        <w:t xml:space="preserve"> growth in out-of-pocket</w:t>
      </w:r>
      <w:r w:rsidR="00FA7F11">
        <w:t xml:space="preserve"> costs</w:t>
      </w:r>
      <w:r>
        <w:t xml:space="preserve"> for families</w:t>
      </w:r>
      <w:r w:rsidR="00FA7F11">
        <w:t xml:space="preserve"> and disince</w:t>
      </w:r>
      <w:r w:rsidR="000D2435">
        <w:t>ntivise providers from taking Government funding and still raising</w:t>
      </w:r>
      <w:r w:rsidR="004B5AEE">
        <w:t xml:space="preserve"> their</w:t>
      </w:r>
      <w:r w:rsidR="000D2435">
        <w:t xml:space="preserve"> fees</w:t>
      </w:r>
      <w:r>
        <w:t>.</w:t>
      </w:r>
      <w:r w:rsidR="00A53052">
        <w:t xml:space="preserve"> It </w:t>
      </w:r>
      <w:r>
        <w:t>accommodate</w:t>
      </w:r>
      <w:r w:rsidR="00A53052">
        <w:t>s</w:t>
      </w:r>
      <w:r>
        <w:t xml:space="preserve"> genuine variability in costs </w:t>
      </w:r>
      <w:r w:rsidR="008328B1">
        <w:t>that</w:t>
      </w:r>
      <w:r>
        <w:t xml:space="preserve"> lead to higher fees</w:t>
      </w:r>
      <w:r w:rsidR="008328B1">
        <w:t>. This is most relevant in areas where the cost of delivery is higher, such as</w:t>
      </w:r>
      <w:r>
        <w:t xml:space="preserve"> in under-served regional and remote areas.</w:t>
      </w:r>
      <w:r w:rsidR="00980AF8">
        <w:t xml:space="preserve"> </w:t>
      </w:r>
      <w:r>
        <w:t xml:space="preserve">Applying a uniform index to all providers is administratively </w:t>
      </w:r>
      <w:r>
        <w:lastRenderedPageBreak/>
        <w:t xml:space="preserve">straightforward and easy to communicate to providers and families. </w:t>
      </w:r>
      <w:r w:rsidR="00980AF8">
        <w:t>It is a</w:t>
      </w:r>
      <w:r>
        <w:t xml:space="preserve"> comparatively soft price regulatory intervention</w:t>
      </w:r>
      <w:r w:rsidR="00BA569A">
        <w:t xml:space="preserve"> and </w:t>
      </w:r>
      <w:r>
        <w:t>distort</w:t>
      </w:r>
      <w:r w:rsidR="00BA569A">
        <w:t>s</w:t>
      </w:r>
      <w:r>
        <w:t xml:space="preserve"> the market </w:t>
      </w:r>
      <w:r w:rsidR="00BA569A">
        <w:t xml:space="preserve">less than </w:t>
      </w:r>
      <w:r w:rsidR="00207725">
        <w:t xml:space="preserve">if </w:t>
      </w:r>
      <w:r w:rsidR="00D07186">
        <w:t xml:space="preserve">a cap </w:t>
      </w:r>
      <w:r w:rsidR="00C917EF">
        <w:t>on fee</w:t>
      </w:r>
      <w:r w:rsidR="00207725">
        <w:t>s</w:t>
      </w:r>
      <w:r w:rsidR="00C917EF">
        <w:t xml:space="preserve"> themselves </w:t>
      </w:r>
      <w:r w:rsidR="00E35811">
        <w:t>was</w:t>
      </w:r>
      <w:r w:rsidR="00C917EF">
        <w:t xml:space="preserve"> introduced.</w:t>
      </w:r>
    </w:p>
    <w:p w14:paraId="04A5EC56" w14:textId="2879B80C" w:rsidR="000F1F1F" w:rsidRDefault="00B54832" w:rsidP="001A6971">
      <w:r>
        <w:t xml:space="preserve">The Government will have </w:t>
      </w:r>
      <w:r w:rsidR="00C917EF">
        <w:t xml:space="preserve">the </w:t>
      </w:r>
      <w:r w:rsidR="000F1F1F">
        <w:t xml:space="preserve">flexibility to select an index that best reflects the cost of delivering </w:t>
      </w:r>
      <w:proofErr w:type="gramStart"/>
      <w:r w:rsidR="00CA3650">
        <w:t>child care</w:t>
      </w:r>
      <w:proofErr w:type="gramEnd"/>
      <w:r w:rsidR="000F1F1F">
        <w:t xml:space="preserve"> services</w:t>
      </w:r>
      <w:r w:rsidR="00F632FD">
        <w:t>, noting t</w:t>
      </w:r>
      <w:r w:rsidR="002453D1">
        <w:t xml:space="preserve">he preferred approach is to task the ABS with the development of a Child Care </w:t>
      </w:r>
      <w:r w:rsidR="00776F5E">
        <w:t xml:space="preserve">Price </w:t>
      </w:r>
      <w:r w:rsidR="002453D1">
        <w:t xml:space="preserve">Index that </w:t>
      </w:r>
      <w:r w:rsidR="002F22CF">
        <w:t xml:space="preserve">mirrors </w:t>
      </w:r>
      <w:r w:rsidR="00776F5E">
        <w:t>the</w:t>
      </w:r>
      <w:r w:rsidR="002F22CF">
        <w:t xml:space="preserve"> actual costs of providing </w:t>
      </w:r>
      <w:proofErr w:type="gramStart"/>
      <w:r w:rsidR="00CA3650">
        <w:t>child care</w:t>
      </w:r>
      <w:proofErr w:type="gramEnd"/>
      <w:r w:rsidR="002F22CF">
        <w:t xml:space="preserve"> services.</w:t>
      </w:r>
    </w:p>
    <w:p w14:paraId="66994FFF" w14:textId="35831231" w:rsidR="000F1F1F" w:rsidRDefault="00DE2887" w:rsidP="00DE2887">
      <w:r>
        <w:t xml:space="preserve">According to </w:t>
      </w:r>
      <w:r w:rsidR="00FB3D57">
        <w:t>D</w:t>
      </w:r>
      <w:r>
        <w:t>epartmental administrative data, a</w:t>
      </w:r>
      <w:r w:rsidR="000F1F1F">
        <w:t xml:space="preserve">verage </w:t>
      </w:r>
      <w:r w:rsidR="009648F8">
        <w:t xml:space="preserve">annual </w:t>
      </w:r>
      <w:r w:rsidR="000F1F1F">
        <w:t xml:space="preserve">fee growth </w:t>
      </w:r>
      <w:r w:rsidR="00F632FD">
        <w:t>in</w:t>
      </w:r>
      <w:r w:rsidR="000F1F1F">
        <w:t xml:space="preserve"> </w:t>
      </w:r>
      <w:r w:rsidR="00842C79">
        <w:t>LDC</w:t>
      </w:r>
      <w:r w:rsidR="000F1F1F">
        <w:t xml:space="preserve"> to September quarter 2023 was 8.9</w:t>
      </w:r>
      <w:r w:rsidR="00BF3B02">
        <w:t xml:space="preserve"> per cent,</w:t>
      </w:r>
      <w:r w:rsidR="000F1F1F">
        <w:t xml:space="preserve"> the 5-year </w:t>
      </w:r>
      <w:r w:rsidR="000E2CAA">
        <w:t xml:space="preserve">annual </w:t>
      </w:r>
      <w:r w:rsidR="000F1F1F">
        <w:t xml:space="preserve">average to September 2023 </w:t>
      </w:r>
      <w:r w:rsidR="00A83F21">
        <w:t>wa</w:t>
      </w:r>
      <w:r w:rsidR="000F1F1F">
        <w:t>s</w:t>
      </w:r>
      <w:r w:rsidR="00A83F21">
        <w:t xml:space="preserve"> about</w:t>
      </w:r>
      <w:r w:rsidR="00BF3B02">
        <w:t xml:space="preserve"> </w:t>
      </w:r>
      <w:r w:rsidR="000F1F1F">
        <w:t>5.6</w:t>
      </w:r>
      <w:r w:rsidR="00BF3B02">
        <w:t xml:space="preserve"> per cent</w:t>
      </w:r>
      <w:r w:rsidR="000F1F1F">
        <w:t xml:space="preserve">, and the 10-year </w:t>
      </w:r>
      <w:r w:rsidR="002C3048">
        <w:t xml:space="preserve">annual </w:t>
      </w:r>
      <w:r w:rsidR="000F1F1F">
        <w:t xml:space="preserve">average </w:t>
      </w:r>
      <w:r w:rsidR="00FD1FC1">
        <w:t xml:space="preserve">was about </w:t>
      </w:r>
      <w:r w:rsidR="000F1F1F">
        <w:t>5</w:t>
      </w:r>
      <w:r w:rsidR="00FD1FC1">
        <w:t xml:space="preserve"> per cent.</w:t>
      </w:r>
      <w:r w:rsidR="000F1F1F">
        <w:t xml:space="preserve"> </w:t>
      </w:r>
      <w:r w:rsidR="004455C6">
        <w:t>F</w:t>
      </w:r>
      <w:r w:rsidR="000F1F1F">
        <w:t>or comparison</w:t>
      </w:r>
      <w:r w:rsidR="005A1E89">
        <w:t>,</w:t>
      </w:r>
      <w:r w:rsidR="000F1F1F">
        <w:t xml:space="preserve"> WCI3 (which weights 60 </w:t>
      </w:r>
      <w:r w:rsidR="001A6971">
        <w:t>per cent</w:t>
      </w:r>
      <w:r w:rsidR="000F1F1F">
        <w:t xml:space="preserve"> wages and 40 </w:t>
      </w:r>
      <w:r w:rsidR="001A6971">
        <w:t>per cent</w:t>
      </w:r>
      <w:r w:rsidR="000F1F1F">
        <w:t xml:space="preserve"> CPI) is forecast to be 4.4 </w:t>
      </w:r>
      <w:r w:rsidR="001A6971">
        <w:t>per cent</w:t>
      </w:r>
      <w:r w:rsidR="000F1F1F">
        <w:t xml:space="preserve"> in June 2024 and then 3.5 </w:t>
      </w:r>
      <w:r w:rsidR="001A6971">
        <w:t>per cent</w:t>
      </w:r>
      <w:r w:rsidR="000F1F1F">
        <w:t xml:space="preserve"> in June 2025 and so it is likely that any applied index would put significant downward pressure on average fees.</w:t>
      </w:r>
    </w:p>
    <w:p w14:paraId="36DB8499" w14:textId="56F34CF4" w:rsidR="00C05E68" w:rsidRDefault="00C05E68" w:rsidP="00C05E68">
      <w:r>
        <w:t xml:space="preserve">With respect to disadvantages, </w:t>
      </w:r>
      <w:r w:rsidR="00287693">
        <w:t xml:space="preserve">the </w:t>
      </w:r>
      <w:r w:rsidR="008E5B09">
        <w:t xml:space="preserve">exact </w:t>
      </w:r>
      <w:r w:rsidR="0087467E">
        <w:t>impact</w:t>
      </w:r>
      <w:r w:rsidR="00287693">
        <w:t xml:space="preserve"> of </w:t>
      </w:r>
      <w:r w:rsidR="00366BE7">
        <w:t xml:space="preserve">restricting future fee growth </w:t>
      </w:r>
      <w:r w:rsidR="0087467E">
        <w:t xml:space="preserve">on out-of-pocket costs to families is indirect and </w:t>
      </w:r>
      <w:r w:rsidR="006E3A3D">
        <w:t xml:space="preserve">uncertain. </w:t>
      </w:r>
      <w:r w:rsidR="00EB655A">
        <w:t>I</w:t>
      </w:r>
      <w:r w:rsidR="006E3A3D">
        <w:t xml:space="preserve">f future fee growth is contained, </w:t>
      </w:r>
      <w:r w:rsidR="006560DA">
        <w:t>this puts downward pressure on fees in the future</w:t>
      </w:r>
      <w:r w:rsidR="0017096B">
        <w:t>, which then</w:t>
      </w:r>
      <w:r w:rsidR="004B036C">
        <w:t xml:space="preserve"> can lead to lower fees</w:t>
      </w:r>
      <w:r w:rsidR="009D1464">
        <w:t xml:space="preserve"> than would have been without the growth limit. However, to what extent this eventuates is </w:t>
      </w:r>
      <w:r w:rsidR="002B1619">
        <w:t xml:space="preserve">difficult to predict. </w:t>
      </w:r>
      <w:r w:rsidR="00960C61">
        <w:t>Furthe</w:t>
      </w:r>
      <w:r w:rsidR="002E05AD">
        <w:t>r</w:t>
      </w:r>
      <w:r w:rsidR="00960C61">
        <w:t>, p</w:t>
      </w:r>
      <w:r>
        <w:t xml:space="preserve">roviders are likely to cross-subsidise the impact by increasing fees up to the </w:t>
      </w:r>
      <w:r w:rsidR="006B570E">
        <w:t xml:space="preserve">allowed growth </w:t>
      </w:r>
      <w:r>
        <w:t>index for all services (whereas previously some services may have increased by more and others by less than the index).</w:t>
      </w:r>
    </w:p>
    <w:p w14:paraId="0FDD2EE6" w14:textId="27D1AA4B" w:rsidR="00776464" w:rsidRDefault="000B6AE2" w:rsidP="00C05E68">
      <w:r>
        <w:t>Inadvertently</w:t>
      </w:r>
      <w:r w:rsidR="001109CA">
        <w:t xml:space="preserve">, a </w:t>
      </w:r>
      <w:r w:rsidR="009E305F">
        <w:t xml:space="preserve">flat-rate </w:t>
      </w:r>
      <w:r w:rsidR="001109CA">
        <w:t>limit on fee growth b</w:t>
      </w:r>
      <w:r w:rsidR="00C05E68">
        <w:t xml:space="preserve">enefits services </w:t>
      </w:r>
      <w:r>
        <w:t>that</w:t>
      </w:r>
      <w:r w:rsidR="00A25CE6">
        <w:t xml:space="preserve"> </w:t>
      </w:r>
      <w:r w:rsidR="00C05E68">
        <w:t>already charg</w:t>
      </w:r>
      <w:r w:rsidR="00A25CE6">
        <w:t>e</w:t>
      </w:r>
      <w:r w:rsidR="00C05E68">
        <w:t xml:space="preserve"> higher fees</w:t>
      </w:r>
      <w:r w:rsidR="00D245D8">
        <w:t>,</w:t>
      </w:r>
      <w:r w:rsidR="00C05E68">
        <w:t xml:space="preserve"> and </w:t>
      </w:r>
      <w:r w:rsidR="009E305F">
        <w:t xml:space="preserve">it </w:t>
      </w:r>
      <w:r w:rsidR="00C05E68">
        <w:t>disadvantages services</w:t>
      </w:r>
      <w:r w:rsidR="009E305F">
        <w:t xml:space="preserve"> </w:t>
      </w:r>
      <w:r>
        <w:t>that</w:t>
      </w:r>
      <w:r w:rsidR="009E305F">
        <w:t xml:space="preserve"> currently</w:t>
      </w:r>
      <w:r w:rsidR="00C05E68">
        <w:t xml:space="preserve"> charg</w:t>
      </w:r>
      <w:r w:rsidR="009E305F">
        <w:t>e</w:t>
      </w:r>
      <w:r w:rsidR="00C05E68">
        <w:t xml:space="preserve"> lower fees.</w:t>
      </w:r>
      <w:r w:rsidR="0027497B">
        <w:t xml:space="preserve"> Further, </w:t>
      </w:r>
      <w:r w:rsidR="00AD7282">
        <w:t xml:space="preserve">a uniform growth limit </w:t>
      </w:r>
      <w:r w:rsidR="00127FAF">
        <w:t>treat</w:t>
      </w:r>
      <w:r>
        <w:t>s</w:t>
      </w:r>
      <w:r w:rsidR="00127FAF">
        <w:t xml:space="preserve"> all providers similarly and </w:t>
      </w:r>
      <w:r w:rsidR="00AD7282">
        <w:t>can</w:t>
      </w:r>
      <w:r w:rsidR="00C05E68">
        <w:t xml:space="preserve">not </w:t>
      </w:r>
      <w:r w:rsidR="00BF3D4B">
        <w:t>target</w:t>
      </w:r>
      <w:r w:rsidR="00C05E68">
        <w:t xml:space="preserve"> “problematic” segments of the market</w:t>
      </w:r>
      <w:r w:rsidR="00127FAF">
        <w:t>, for example</w:t>
      </w:r>
      <w:r w:rsidR="00C05E68">
        <w:t xml:space="preserve"> </w:t>
      </w:r>
      <w:r w:rsidR="00127FAF">
        <w:t>providers</w:t>
      </w:r>
      <w:r w:rsidR="00C05E68">
        <w:t xml:space="preserve"> </w:t>
      </w:r>
      <w:r w:rsidR="00B02EE9">
        <w:t xml:space="preserve">with </w:t>
      </w:r>
      <w:r w:rsidR="00C05E68">
        <w:t xml:space="preserve">high fees and high fee growth. </w:t>
      </w:r>
      <w:r w:rsidR="00DF5911">
        <w:t>Another risk is that f</w:t>
      </w:r>
      <w:r w:rsidR="00C05E68">
        <w:t>ees are likely to grow substantially once the growth constraint expires.</w:t>
      </w:r>
      <w:r w:rsidR="00522277">
        <w:t xml:space="preserve"> </w:t>
      </w:r>
      <w:r w:rsidR="20C3B2ED" w:rsidRPr="796D7536">
        <w:rPr>
          <w:rStyle w:val="ui-provider"/>
        </w:rPr>
        <w:t>However, f</w:t>
      </w:r>
      <w:r w:rsidR="00776464" w:rsidRPr="796D7536">
        <w:rPr>
          <w:rStyle w:val="ui-provider"/>
        </w:rPr>
        <w:t xml:space="preserve">uture reforms </w:t>
      </w:r>
      <w:r w:rsidR="4EF9C4D7" w:rsidRPr="796D7536">
        <w:rPr>
          <w:rStyle w:val="ui-provider"/>
        </w:rPr>
        <w:t>w</w:t>
      </w:r>
      <w:r w:rsidR="00776464" w:rsidRPr="796D7536">
        <w:rPr>
          <w:rStyle w:val="ui-provider"/>
        </w:rPr>
        <w:t xml:space="preserve">ould </w:t>
      </w:r>
      <w:r w:rsidR="30F72CF9" w:rsidRPr="796D7536">
        <w:rPr>
          <w:rStyle w:val="ui-provider"/>
        </w:rPr>
        <w:t xml:space="preserve">aim to </w:t>
      </w:r>
      <w:r w:rsidR="00776464" w:rsidRPr="796D7536">
        <w:rPr>
          <w:rStyle w:val="ui-provider"/>
        </w:rPr>
        <w:t>address the risk of significant future fee growth upon the expiry of the growth constraint. Reforms may include</w:t>
      </w:r>
      <w:r w:rsidR="1A91162B" w:rsidRPr="796D7536">
        <w:rPr>
          <w:rStyle w:val="ui-provider"/>
        </w:rPr>
        <w:t>, for example,</w:t>
      </w:r>
      <w:r w:rsidR="00776464" w:rsidRPr="796D7536">
        <w:rPr>
          <w:rStyle w:val="Strong"/>
        </w:rPr>
        <w:t xml:space="preserve"> </w:t>
      </w:r>
      <w:r w:rsidR="00776464" w:rsidRPr="796D7536">
        <w:rPr>
          <w:rStyle w:val="Strong"/>
          <w:b w:val="0"/>
          <w:bCs w:val="0"/>
        </w:rPr>
        <w:t xml:space="preserve">supply-side funding based on </w:t>
      </w:r>
      <w:r w:rsidR="00776464" w:rsidRPr="796D7536">
        <w:rPr>
          <w:rStyle w:val="ui-provider"/>
        </w:rPr>
        <w:t>an efficient cost of service coupled with stronger fee regulation to restrict excessive future fee growth. </w:t>
      </w:r>
    </w:p>
    <w:p w14:paraId="54F845F4" w14:textId="77777777" w:rsidR="00223873" w:rsidRDefault="00223873" w:rsidP="00E06240">
      <w:pPr>
        <w:pStyle w:val="Heading4"/>
      </w:pPr>
      <w:bookmarkStart w:id="30" w:name="_Toc160805604"/>
      <w:bookmarkStart w:id="31" w:name="_Toc162963652"/>
      <w:bookmarkStart w:id="32" w:name="_Toc219193870"/>
      <w:r>
        <w:t>Exemption mechanism to the affordability condition</w:t>
      </w:r>
      <w:bookmarkEnd w:id="30"/>
      <w:bookmarkEnd w:id="31"/>
      <w:bookmarkEnd w:id="32"/>
    </w:p>
    <w:p w14:paraId="5BA14685" w14:textId="5AD078D2" w:rsidR="00612A11" w:rsidRDefault="004A7AF1" w:rsidP="00612A11">
      <w:r w:rsidRPr="00CF0CCA">
        <w:t xml:space="preserve">An </w:t>
      </w:r>
      <w:r w:rsidR="00410DD5">
        <w:t>affordability condition</w:t>
      </w:r>
      <w:r w:rsidRPr="00CF0CCA">
        <w:t xml:space="preserve"> mechanism would need to </w:t>
      </w:r>
      <w:r w:rsidR="00410DD5">
        <w:t>include</w:t>
      </w:r>
      <w:r w:rsidRPr="00CF0CCA">
        <w:t xml:space="preserve"> an exemption </w:t>
      </w:r>
      <w:r w:rsidR="00410DD5">
        <w:t xml:space="preserve">process for </w:t>
      </w:r>
      <w:r w:rsidRPr="00CF0CCA">
        <w:t>cases of unexpected and unavoidable increases</w:t>
      </w:r>
      <w:r w:rsidR="00410DD5">
        <w:t xml:space="preserve"> to the cost of provision</w:t>
      </w:r>
      <w:r w:rsidRPr="00CF0CCA">
        <w:t xml:space="preserve">. Services would only be eligible for an exemption if they are able to demonstrate they have no capacity to absorb </w:t>
      </w:r>
      <w:r w:rsidR="00716C64">
        <w:t xml:space="preserve">the </w:t>
      </w:r>
      <w:r w:rsidRPr="00CF0CCA">
        <w:t>cost increases without reducing quality or risking viability.</w:t>
      </w:r>
      <w:r w:rsidR="00716C64">
        <w:t xml:space="preserve"> To achieve the objective of affordability for families</w:t>
      </w:r>
      <w:r w:rsidR="00A301D1">
        <w:t xml:space="preserve">, the threshold </w:t>
      </w:r>
      <w:r w:rsidR="00612A11">
        <w:t>for exemptions would be relatively high.</w:t>
      </w:r>
    </w:p>
    <w:p w14:paraId="4A1F6374" w14:textId="6C8D2986" w:rsidR="00FD0721" w:rsidRDefault="00612A11" w:rsidP="00CF0CCA">
      <w:r>
        <w:t xml:space="preserve">Services would need to apply to Government to be able to increase fees by more than the growth constraint. To receive an exemption, services would need to demonstrate where the increased costs have come from and that they have no capacity to absorb these costs without reducing quality or service </w:t>
      </w:r>
      <w:r w:rsidR="00DF15CC">
        <w:t>offering or</w:t>
      </w:r>
      <w:r>
        <w:t xml:space="preserve"> risking viability. </w:t>
      </w:r>
    </w:p>
    <w:p w14:paraId="0406C30B" w14:textId="569AA55E" w:rsidR="00BE667E" w:rsidRDefault="00BE667E" w:rsidP="00E06240">
      <w:pPr>
        <w:pStyle w:val="Heading4"/>
      </w:pPr>
      <w:bookmarkStart w:id="33" w:name="_Toc160805605"/>
      <w:bookmarkStart w:id="34" w:name="_Toc162963653"/>
      <w:bookmarkStart w:id="35" w:name="_Toc219193871"/>
      <w:r w:rsidRPr="009053EC">
        <w:t>Compliance with the affordability condition</w:t>
      </w:r>
      <w:bookmarkEnd w:id="33"/>
      <w:bookmarkEnd w:id="34"/>
      <w:bookmarkEnd w:id="35"/>
    </w:p>
    <w:p w14:paraId="0FCBDDE6" w14:textId="14429313" w:rsidR="009669D5" w:rsidRPr="00E80051" w:rsidRDefault="00612A11" w:rsidP="00E80051">
      <w:r>
        <w:t xml:space="preserve">Providers with services found to have breached </w:t>
      </w:r>
      <w:r w:rsidR="00CA0A91">
        <w:t>the affordability</w:t>
      </w:r>
      <w:r>
        <w:t xml:space="preserve"> conditions could have their grant agreement terminated.</w:t>
      </w:r>
      <w:r w:rsidR="005B3DB7">
        <w:t xml:space="preserve"> </w:t>
      </w:r>
      <w:r>
        <w:t xml:space="preserve">Compliance with the fee </w:t>
      </w:r>
      <w:r w:rsidR="00250C66">
        <w:t>growth</w:t>
      </w:r>
      <w:r>
        <w:t xml:space="preserve"> constraint would be </w:t>
      </w:r>
      <w:r w:rsidR="00946534">
        <w:t>consistently</w:t>
      </w:r>
      <w:r>
        <w:t xml:space="preserve"> monitored </w:t>
      </w:r>
      <w:r w:rsidR="00946534">
        <w:t>throughout the life of the grant agreement. T</w:t>
      </w:r>
      <w:r>
        <w:t>he Department would issue a notice to anyone who appears to have increased fees by more than the allowable limit. Providers would have the opportunity to respond and, for example, correct data entry errors</w:t>
      </w:r>
      <w:r w:rsidR="007337E5">
        <w:t xml:space="preserve">. </w:t>
      </w:r>
      <w:r w:rsidR="009669D5">
        <w:br w:type="page"/>
      </w:r>
    </w:p>
    <w:p w14:paraId="09BB7945" w14:textId="3372EC9F" w:rsidR="004A7AF1" w:rsidRDefault="00701D17" w:rsidP="0050007C">
      <w:pPr>
        <w:pStyle w:val="Heading2"/>
      </w:pPr>
      <w:bookmarkStart w:id="36" w:name="_Toc219193872"/>
      <w:r>
        <w:lastRenderedPageBreak/>
        <w:t>Cost-benefit analysis</w:t>
      </w:r>
      <w:bookmarkEnd w:id="36"/>
    </w:p>
    <w:p w14:paraId="4225F390" w14:textId="2F1D8210" w:rsidR="00A77049" w:rsidRDefault="00A77049" w:rsidP="00A77049">
      <w:pPr>
        <w:pStyle w:val="Heading3"/>
      </w:pPr>
      <w:bookmarkStart w:id="37" w:name="_Toc160037742"/>
      <w:bookmarkStart w:id="38" w:name="_Toc219193873"/>
      <w:r>
        <w:t>Status Quo</w:t>
      </w:r>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EE6FF" w:themeFill="background2" w:themeFillTint="33"/>
        <w:tblLook w:val="04A0" w:firstRow="1" w:lastRow="0" w:firstColumn="1" w:lastColumn="0" w:noHBand="0" w:noVBand="1"/>
      </w:tblPr>
      <w:tblGrid>
        <w:gridCol w:w="9016"/>
      </w:tblGrid>
      <w:tr w:rsidR="00A77049" w14:paraId="6A56BE80" w14:textId="77777777" w:rsidTr="006095D7">
        <w:tc>
          <w:tcPr>
            <w:tcW w:w="9016" w:type="dxa"/>
            <w:shd w:val="clear" w:color="auto" w:fill="AEE6FF" w:themeFill="background2" w:themeFillTint="33"/>
          </w:tcPr>
          <w:p w14:paraId="44FDB959" w14:textId="77777777" w:rsidR="00A77049" w:rsidRDefault="00A77049">
            <w:pPr>
              <w:rPr>
                <w:b/>
                <w:bCs/>
              </w:rPr>
            </w:pPr>
            <w:bookmarkStart w:id="39" w:name="_Hlk160036302"/>
            <w:r>
              <w:rPr>
                <w:b/>
                <w:bCs/>
              </w:rPr>
              <w:t>Key impacts</w:t>
            </w:r>
          </w:p>
          <w:p w14:paraId="54BC6399" w14:textId="77777777" w:rsidR="00A77049" w:rsidRPr="007A026D" w:rsidRDefault="00A77049">
            <w:r w:rsidRPr="007A026D">
              <w:t>This option would:</w:t>
            </w:r>
          </w:p>
          <w:p w14:paraId="5A45BD5F" w14:textId="3EBAD537" w:rsidR="00A77049" w:rsidRPr="007A026D" w:rsidRDefault="00A77049">
            <w:pPr>
              <w:pStyle w:val="ListParagraph"/>
              <w:numPr>
                <w:ilvl w:val="0"/>
                <w:numId w:val="42"/>
              </w:numPr>
              <w:spacing w:line="276" w:lineRule="auto"/>
              <w:rPr>
                <w:b/>
                <w:bCs/>
              </w:rPr>
            </w:pPr>
            <w:r>
              <w:t>likely impact the supported bargaining process which may not proceed or will fail to deliver a meaningful outcome</w:t>
            </w:r>
          </w:p>
          <w:p w14:paraId="407EC8B8" w14:textId="77777777" w:rsidR="00A77049" w:rsidRPr="007A026D" w:rsidRDefault="00A77049">
            <w:pPr>
              <w:pStyle w:val="ListParagraph"/>
              <w:numPr>
                <w:ilvl w:val="0"/>
                <w:numId w:val="42"/>
              </w:numPr>
              <w:spacing w:line="276" w:lineRule="auto"/>
              <w:rPr>
                <w:b/>
                <w:bCs/>
              </w:rPr>
            </w:pPr>
            <w:r>
              <w:t>risk parties accessing protected industrial action leading to short-term disruptions in care access for families</w:t>
            </w:r>
          </w:p>
          <w:p w14:paraId="5AE70133" w14:textId="2C745602" w:rsidR="00A77049" w:rsidRPr="007A026D" w:rsidRDefault="00A77049">
            <w:pPr>
              <w:pStyle w:val="ListParagraph"/>
              <w:numPr>
                <w:ilvl w:val="0"/>
                <w:numId w:val="42"/>
              </w:numPr>
              <w:spacing w:line="276" w:lineRule="auto"/>
              <w:rPr>
                <w:b/>
                <w:bCs/>
              </w:rPr>
            </w:pPr>
            <w:r>
              <w:t>fail to address the workforce issues and staffing shortages across the sector which will continue long-term</w:t>
            </w:r>
          </w:p>
          <w:p w14:paraId="6B25F0DE" w14:textId="77777777" w:rsidR="00A77049" w:rsidRPr="000229D1" w:rsidRDefault="00A77049">
            <w:pPr>
              <w:pStyle w:val="ListParagraph"/>
              <w:numPr>
                <w:ilvl w:val="0"/>
                <w:numId w:val="42"/>
              </w:numPr>
              <w:spacing w:line="276" w:lineRule="auto"/>
              <w:rPr>
                <w:b/>
                <w:bCs/>
              </w:rPr>
            </w:pPr>
            <w:r>
              <w:t xml:space="preserve">risk enduring low pay for the heavily female-dominated workforce, impacting gender equality </w:t>
            </w:r>
          </w:p>
          <w:p w14:paraId="7626C519" w14:textId="1231332F" w:rsidR="00A77049" w:rsidRDefault="00A77049" w:rsidP="009669D5">
            <w:pPr>
              <w:pStyle w:val="ListParagraph"/>
              <w:numPr>
                <w:ilvl w:val="0"/>
                <w:numId w:val="42"/>
              </w:numPr>
              <w:spacing w:line="276" w:lineRule="auto"/>
            </w:pPr>
            <w:r>
              <w:t>have cost implications through the CCS for the Australian Government</w:t>
            </w:r>
            <w:r w:rsidR="004E2D48">
              <w:t xml:space="preserve"> and families</w:t>
            </w:r>
            <w:r>
              <w:t xml:space="preserve"> if</w:t>
            </w:r>
            <w:r w:rsidR="54D3CFBE">
              <w:t xml:space="preserve"> supported bargaining</w:t>
            </w:r>
            <w:r>
              <w:t xml:space="preserve"> parties agree to a wage increase and pass on costs to families</w:t>
            </w:r>
          </w:p>
          <w:p w14:paraId="0B94E661" w14:textId="22877C9B" w:rsidR="000A41AB" w:rsidRPr="007B5D65" w:rsidRDefault="000A41AB" w:rsidP="00C34893">
            <w:pPr>
              <w:pStyle w:val="ListParagraph"/>
              <w:spacing w:before="100" w:beforeAutospacing="1" w:afterAutospacing="1" w:line="276" w:lineRule="auto"/>
            </w:pPr>
          </w:p>
        </w:tc>
      </w:tr>
    </w:tbl>
    <w:p w14:paraId="1CD7153C" w14:textId="77777777" w:rsidR="00A77049" w:rsidRDefault="00A77049" w:rsidP="00A77049">
      <w:pPr>
        <w:pStyle w:val="Heading4"/>
      </w:pPr>
      <w:bookmarkStart w:id="40" w:name="_Toc160037743"/>
      <w:bookmarkStart w:id="41" w:name="_Toc160805608"/>
      <w:bookmarkStart w:id="42" w:name="_Toc162963656"/>
      <w:bookmarkStart w:id="43" w:name="_Toc219193874"/>
      <w:bookmarkEnd w:id="39"/>
      <w:r>
        <w:t>Impacted parties</w:t>
      </w:r>
      <w:bookmarkEnd w:id="40"/>
      <w:bookmarkEnd w:id="41"/>
      <w:bookmarkEnd w:id="42"/>
      <w:bookmarkEnd w:id="43"/>
    </w:p>
    <w:p w14:paraId="02566562" w14:textId="77777777" w:rsidR="00A77049" w:rsidRDefault="00A77049" w:rsidP="00A77049">
      <w:r>
        <w:t>Those directly impacted by this option include:</w:t>
      </w:r>
    </w:p>
    <w:p w14:paraId="477C1820" w14:textId="77777777" w:rsidR="00A77049" w:rsidRDefault="00A77049" w:rsidP="00A77049">
      <w:pPr>
        <w:pStyle w:val="ListParagraph"/>
        <w:numPr>
          <w:ilvl w:val="0"/>
          <w:numId w:val="43"/>
        </w:numPr>
      </w:pPr>
      <w:r>
        <w:t>Parties to the supported bargaining authorisation</w:t>
      </w:r>
    </w:p>
    <w:p w14:paraId="7EB64DF4" w14:textId="77777777" w:rsidR="00A77049" w:rsidRDefault="00A77049" w:rsidP="00A77049">
      <w:pPr>
        <w:pStyle w:val="ListParagraph"/>
        <w:numPr>
          <w:ilvl w:val="0"/>
          <w:numId w:val="43"/>
        </w:numPr>
      </w:pPr>
      <w:r>
        <w:t>ECEC workforce</w:t>
      </w:r>
    </w:p>
    <w:p w14:paraId="32D981AD" w14:textId="52E66630" w:rsidR="00A77049" w:rsidRDefault="00A77049" w:rsidP="00A77049">
      <w:pPr>
        <w:pStyle w:val="ListParagraph"/>
        <w:numPr>
          <w:ilvl w:val="0"/>
          <w:numId w:val="43"/>
        </w:numPr>
      </w:pPr>
      <w:r>
        <w:t>Families using ECEC services</w:t>
      </w:r>
    </w:p>
    <w:p w14:paraId="33D28409" w14:textId="3DB2B645" w:rsidR="00303C01" w:rsidRDefault="41C38A8E" w:rsidP="00C34893">
      <w:pPr>
        <w:pStyle w:val="ListParagraph"/>
        <w:numPr>
          <w:ilvl w:val="1"/>
          <w:numId w:val="43"/>
        </w:numPr>
      </w:pPr>
      <w:r>
        <w:t>Children</w:t>
      </w:r>
      <w:r w:rsidR="4A2032CA">
        <w:t xml:space="preserve"> </w:t>
      </w:r>
      <w:r w:rsidR="000953BD">
        <w:t>–</w:t>
      </w:r>
      <w:r w:rsidR="063B7B44">
        <w:t xml:space="preserve"> </w:t>
      </w:r>
      <w:r w:rsidR="30226221">
        <w:t>primarily</w:t>
      </w:r>
      <w:r w:rsidR="063B7B44">
        <w:t xml:space="preserve"> children experiencing vulnerability or disadvantage</w:t>
      </w:r>
    </w:p>
    <w:p w14:paraId="5D50A363" w14:textId="77777777" w:rsidR="00A77049" w:rsidRDefault="00A77049" w:rsidP="00A77049">
      <w:r>
        <w:t>Should no funding be provided in support of a wage increase this is likely to have a disproportionate effect on women. This is the case for the:</w:t>
      </w:r>
    </w:p>
    <w:p w14:paraId="7998E920" w14:textId="0C074ADD" w:rsidR="00A77049" w:rsidRDefault="00A77049" w:rsidP="00A77049">
      <w:pPr>
        <w:pStyle w:val="ListParagraph"/>
        <w:numPr>
          <w:ilvl w:val="0"/>
          <w:numId w:val="44"/>
        </w:numPr>
      </w:pPr>
      <w:r>
        <w:t xml:space="preserve">ECEC workforce </w:t>
      </w:r>
      <w:r w:rsidR="000953BD">
        <w:t>–</w:t>
      </w:r>
      <w:r>
        <w:t xml:space="preserve"> </w:t>
      </w:r>
      <w:r w:rsidR="00487B41">
        <w:t>a</w:t>
      </w:r>
      <w:r>
        <w:t xml:space="preserve">s it is heavily female-dominated it is likely that low-pay and conditions will continue to endure </w:t>
      </w:r>
    </w:p>
    <w:p w14:paraId="7A345A7F" w14:textId="0ECFB2F1" w:rsidR="00A77049" w:rsidRDefault="162E7496" w:rsidP="00A77049">
      <w:pPr>
        <w:pStyle w:val="ListParagraph"/>
        <w:numPr>
          <w:ilvl w:val="0"/>
          <w:numId w:val="44"/>
        </w:numPr>
      </w:pPr>
      <w:r>
        <w:t>B</w:t>
      </w:r>
      <w:r w:rsidR="10CB36EC">
        <w:t xml:space="preserve">roader female labour force </w:t>
      </w:r>
      <w:r w:rsidR="000953BD">
        <w:t>–</w:t>
      </w:r>
      <w:r w:rsidR="10CB36EC">
        <w:t xml:space="preserve"> recent data sho</w:t>
      </w:r>
      <w:r w:rsidR="149C5EC7">
        <w:t>w</w:t>
      </w:r>
      <w:r w:rsidR="10CB36EC">
        <w:t>s that lack of access to ECEC is restricting families from reaching their preferred level of workforce participation.</w:t>
      </w:r>
      <w:r w:rsidR="00A77049">
        <w:rPr>
          <w:rStyle w:val="FootnoteReference"/>
        </w:rPr>
        <w:footnoteReference w:id="104"/>
      </w:r>
      <w:r w:rsidR="10CB36EC">
        <w:t xml:space="preserve"> As women are overwhelmingly responsible for care,</w:t>
      </w:r>
      <w:r w:rsidR="00A77049">
        <w:rPr>
          <w:rStyle w:val="FootnoteReference"/>
        </w:rPr>
        <w:footnoteReference w:id="105"/>
      </w:r>
      <w:r w:rsidR="10CB36EC">
        <w:t xml:space="preserve"> lack of access to care disproportionately impacts them.</w:t>
      </w:r>
    </w:p>
    <w:p w14:paraId="4580AD4D" w14:textId="77777777" w:rsidR="00A77049" w:rsidRDefault="00A77049" w:rsidP="00A77049">
      <w:pPr>
        <w:pStyle w:val="Heading4"/>
      </w:pPr>
      <w:bookmarkStart w:id="44" w:name="_Toc160037744"/>
      <w:bookmarkStart w:id="45" w:name="_Toc160805609"/>
      <w:bookmarkStart w:id="46" w:name="_Toc162963657"/>
      <w:bookmarkStart w:id="47" w:name="_Toc219193875"/>
      <w:r>
        <w:t>Overall impact</w:t>
      </w:r>
      <w:bookmarkEnd w:id="44"/>
      <w:bookmarkEnd w:id="45"/>
      <w:bookmarkEnd w:id="46"/>
      <w:bookmarkEnd w:id="47"/>
    </w:p>
    <w:p w14:paraId="748543DA" w14:textId="08ED71AF" w:rsidR="00A77049" w:rsidRDefault="00A77049" w:rsidP="00A77049">
      <w:r>
        <w:t xml:space="preserve">Under this option, there would be no funding provided in support of a wage increase for ECEC workers, with the risk of enduring low-pay in this female-dominated industry increasing, along with </w:t>
      </w:r>
      <w:r>
        <w:lastRenderedPageBreak/>
        <w:t xml:space="preserve">long-term workforce attraction and retention issues likely to impact universal </w:t>
      </w:r>
      <w:r w:rsidR="002B1F7C">
        <w:t xml:space="preserve">access to </w:t>
      </w:r>
      <w:r>
        <w:t>high-quality ECEC.</w:t>
      </w:r>
    </w:p>
    <w:p w14:paraId="3788FD14" w14:textId="77777777" w:rsidR="00A77049" w:rsidRDefault="00A77049" w:rsidP="00A77049">
      <w:pPr>
        <w:pStyle w:val="Heading5"/>
      </w:pPr>
      <w:r>
        <w:t>Workforce</w:t>
      </w:r>
    </w:p>
    <w:p w14:paraId="1D61BDE9" w14:textId="77777777" w:rsidR="00A77049" w:rsidRDefault="00A77049" w:rsidP="00A77049">
      <w:pPr>
        <w:pStyle w:val="Heading6"/>
      </w:pPr>
      <w:r>
        <w:t>Benefits</w:t>
      </w:r>
    </w:p>
    <w:p w14:paraId="49BF5EB9" w14:textId="77777777" w:rsidR="00A77049" w:rsidRDefault="00A77049" w:rsidP="00A77049">
      <w:r>
        <w:t>There are no apparent benefits to the ECEC workforce under this option.</w:t>
      </w:r>
    </w:p>
    <w:p w14:paraId="4DA1B932" w14:textId="77777777" w:rsidR="00A77049" w:rsidRDefault="00A77049" w:rsidP="00A77049">
      <w:pPr>
        <w:pStyle w:val="Heading6"/>
      </w:pPr>
      <w:r>
        <w:t>Costs</w:t>
      </w:r>
    </w:p>
    <w:p w14:paraId="504A92C6" w14:textId="20D32B4C" w:rsidR="00A77049" w:rsidRDefault="6CE99EED" w:rsidP="00A77049">
      <w:r>
        <w:t>There are costs for the ECEC workforce if no funding is provided in support of a wage increase</w:t>
      </w:r>
      <w:r w:rsidR="15E1499E">
        <w:t>.</w:t>
      </w:r>
      <w:r>
        <w:t xml:space="preserve"> </w:t>
      </w:r>
      <w:r w:rsidR="15E1499E">
        <w:t xml:space="preserve">This may result in stalling </w:t>
      </w:r>
      <w:r>
        <w:t>the supported bargaining process</w:t>
      </w:r>
      <w:r w:rsidR="15E1499E">
        <w:t>, which</w:t>
      </w:r>
      <w:r>
        <w:t xml:space="preserve"> will </w:t>
      </w:r>
      <w:r w:rsidR="3D52541B">
        <w:t>be a missed opportunity for</w:t>
      </w:r>
      <w:r w:rsidR="037402AF">
        <w:t xml:space="preserve"> </w:t>
      </w:r>
      <w:r>
        <w:t>a meaningful wage uplift</w:t>
      </w:r>
      <w:r w:rsidR="06CCE970">
        <w:t xml:space="preserve"> </w:t>
      </w:r>
      <w:proofErr w:type="gramStart"/>
      <w:r w:rsidR="06CCE970">
        <w:t>sector-wide</w:t>
      </w:r>
      <w:proofErr w:type="gramEnd"/>
      <w:r w:rsidR="3D52541B">
        <w:t>.</w:t>
      </w:r>
      <w:r>
        <w:t xml:space="preserve"> </w:t>
      </w:r>
      <w:r w:rsidR="31893D98">
        <w:t xml:space="preserve">As </w:t>
      </w:r>
      <w:r>
        <w:t xml:space="preserve">the application of any wage increase through supported bargaining will be limited to the parties to the </w:t>
      </w:r>
      <w:r w:rsidR="3AE26787">
        <w:t>supported bargaining agreement</w:t>
      </w:r>
      <w:r>
        <w:t>, representing less than 6 per cent of the ECEC workforce</w:t>
      </w:r>
      <w:r w:rsidR="4F316664">
        <w:t>.</w:t>
      </w:r>
      <w:r>
        <w:t xml:space="preserve"> As a result, </w:t>
      </w:r>
      <w:r w:rsidR="07D8F940">
        <w:t>this will represent</w:t>
      </w:r>
      <w:r>
        <w:t xml:space="preserve"> no flow-through impact on the economic security of the workforce across the sector.</w:t>
      </w:r>
    </w:p>
    <w:p w14:paraId="4E63D93D" w14:textId="341C27E9" w:rsidR="00A77049" w:rsidRDefault="00210CF9" w:rsidP="00A77049">
      <w:r>
        <w:t>O</w:t>
      </w:r>
      <w:r w:rsidR="00A77049">
        <w:t>ngoing engagement with the sector and the feedback provided indicates that enduring low-pay and conditions will see more educators and teachers leaving the sector in pursuit of work that is higher-paid and where they can utilise transferrable skills.</w:t>
      </w:r>
    </w:p>
    <w:p w14:paraId="6791E43B" w14:textId="77777777" w:rsidR="00A77049" w:rsidRDefault="00A77049" w:rsidP="00A77049">
      <w:pPr>
        <w:pStyle w:val="Heading5"/>
      </w:pPr>
      <w:r>
        <w:t>Families</w:t>
      </w:r>
    </w:p>
    <w:p w14:paraId="62ED9AED" w14:textId="77777777" w:rsidR="00A77049" w:rsidRDefault="00A77049" w:rsidP="00A77049">
      <w:pPr>
        <w:pStyle w:val="Heading6"/>
      </w:pPr>
      <w:r>
        <w:t>Benefits</w:t>
      </w:r>
    </w:p>
    <w:p w14:paraId="505D5ABA" w14:textId="7119610F" w:rsidR="00A77049" w:rsidRDefault="00A77049" w:rsidP="00A77049">
      <w:r>
        <w:t xml:space="preserve">Increasing wage costs are one of many determinative factors of the </w:t>
      </w:r>
      <w:r w:rsidR="39E4CD42">
        <w:t>childcare</w:t>
      </w:r>
      <w:r>
        <w:t xml:space="preserve"> fees paid by families, as such, limiting wage increases may have some net benefit for families. However, the resultant burgeoning workforce crisis is likely to have no apparent benefits for families under this option.</w:t>
      </w:r>
    </w:p>
    <w:p w14:paraId="286E693D" w14:textId="77777777" w:rsidR="00A77049" w:rsidRDefault="00A77049" w:rsidP="00A77049">
      <w:pPr>
        <w:pStyle w:val="Heading6"/>
      </w:pPr>
      <w:r>
        <w:t>Costs</w:t>
      </w:r>
    </w:p>
    <w:p w14:paraId="128CD892" w14:textId="6872C2F8" w:rsidR="00277CB6" w:rsidRDefault="10CB36EC" w:rsidP="00A77049">
      <w:r>
        <w:t xml:space="preserve">If the Government </w:t>
      </w:r>
      <w:r w:rsidR="00937017">
        <w:t xml:space="preserve">does not provide additional </w:t>
      </w:r>
      <w:r>
        <w:t xml:space="preserve">funding </w:t>
      </w:r>
      <w:r w:rsidR="00937017">
        <w:t>for</w:t>
      </w:r>
      <w:r>
        <w:t xml:space="preserve"> a wage increase for the ECEC workforce</w:t>
      </w:r>
      <w:r w:rsidR="15590422">
        <w:t>, wages are still anticipated to increase through other uncontrolled measures</w:t>
      </w:r>
      <w:r w:rsidR="00A723AD">
        <w:t>,</w:t>
      </w:r>
      <w:r w:rsidR="15590422">
        <w:t xml:space="preserve"> and fees will continue to rise. </w:t>
      </w:r>
      <w:r w:rsidR="3BBCE118">
        <w:t>Fee increases</w:t>
      </w:r>
      <w:r w:rsidR="4E4BDCC6">
        <w:t xml:space="preserve"> disproportionately impact</w:t>
      </w:r>
      <w:r w:rsidR="6E56F302">
        <w:t xml:space="preserve"> </w:t>
      </w:r>
      <w:r w:rsidR="58391823">
        <w:t>vulnerable children</w:t>
      </w:r>
      <w:r w:rsidR="6EBF8503">
        <w:t xml:space="preserve"> </w:t>
      </w:r>
      <w:r w:rsidR="57DC74E6">
        <w:t>(</w:t>
      </w:r>
      <w:r w:rsidR="6EBF8503">
        <w:t xml:space="preserve">including </w:t>
      </w:r>
      <w:r w:rsidR="0DBC6DD1">
        <w:t>children from low</w:t>
      </w:r>
      <w:r w:rsidR="4CA0815A">
        <w:t>-</w:t>
      </w:r>
      <w:r w:rsidR="0DBC6DD1">
        <w:t xml:space="preserve">income households, </w:t>
      </w:r>
      <w:r w:rsidR="5D697F7D">
        <w:t>at risk of abuse and neglect</w:t>
      </w:r>
      <w:r w:rsidR="20BAAFD4">
        <w:t>, or from a culturally and/or linguistically diverse background</w:t>
      </w:r>
      <w:r w:rsidR="57DC74E6">
        <w:t>) who already face additional challenges accessing care.</w:t>
      </w:r>
      <w:r w:rsidR="009079C4">
        <w:rPr>
          <w:rStyle w:val="FootnoteReference"/>
        </w:rPr>
        <w:footnoteReference w:id="106"/>
      </w:r>
    </w:p>
    <w:p w14:paraId="2EC81091" w14:textId="4A8355BF" w:rsidR="00A77049" w:rsidRDefault="00AA7922" w:rsidP="00A77049">
      <w:r>
        <w:t xml:space="preserve">The CCS is expected to cover approximately 60 to 70 per cent of </w:t>
      </w:r>
      <w:r w:rsidR="00F16D65">
        <w:t xml:space="preserve">fee increases, whilst families will cover the remaining 30 to 40 per cent in out-of-pocket expenses. </w:t>
      </w:r>
      <w:r w:rsidR="00B93A8C">
        <w:t xml:space="preserve">Families may potentially be paying more </w:t>
      </w:r>
      <w:r w:rsidR="008873DF">
        <w:t xml:space="preserve">than they were prior to the introduction of </w:t>
      </w:r>
      <w:r w:rsidR="00387AF4">
        <w:t>Cheaper Child Care,</w:t>
      </w:r>
      <w:r w:rsidR="00EA1A54">
        <w:t xml:space="preserve"> amplified for families using services that already charge fees</w:t>
      </w:r>
      <w:r w:rsidR="00FC2969">
        <w:t xml:space="preserve"> close to, at, or above the HRC.</w:t>
      </w:r>
      <w:r w:rsidR="00277CB6" w:rsidRPr="00277CB6">
        <w:rPr>
          <w:rFonts w:eastAsiaTheme="minorEastAsia" w:cs="Arial"/>
        </w:rPr>
        <w:t xml:space="preserve"> </w:t>
      </w:r>
      <w:r w:rsidR="00277CB6" w:rsidRPr="003E7FE7">
        <w:rPr>
          <w:rFonts w:eastAsiaTheme="minorEastAsia" w:cs="Arial"/>
        </w:rPr>
        <w:t>That is, approximately 400,000 families would incur significantly higher fees, with an additional 200,000 families expected to join this cohort as a result of a wage increase</w:t>
      </w:r>
      <w:r w:rsidR="00B466BF">
        <w:rPr>
          <w:rFonts w:eastAsiaTheme="minorEastAsia" w:cs="Arial"/>
        </w:rPr>
        <w:t>.</w:t>
      </w:r>
    </w:p>
    <w:p w14:paraId="4918D8B8" w14:textId="70DA5C91" w:rsidR="00A77049" w:rsidRDefault="00BC2902" w:rsidP="00CC54F9">
      <w:r>
        <w:t>The impact on families</w:t>
      </w:r>
      <w:r w:rsidR="006904B4">
        <w:t>,</w:t>
      </w:r>
      <w:r>
        <w:t xml:space="preserve"> </w:t>
      </w:r>
      <w:r w:rsidR="0028117D">
        <w:t>should</w:t>
      </w:r>
      <w:r w:rsidR="00287B0C">
        <w:t xml:space="preserve"> there be an unfunded </w:t>
      </w:r>
      <w:r w:rsidR="00CC54F9">
        <w:t>wage increase</w:t>
      </w:r>
      <w:r>
        <w:t xml:space="preserve"> </w:t>
      </w:r>
      <w:r w:rsidR="0005483F">
        <w:t xml:space="preserve">through uncontrolled </w:t>
      </w:r>
      <w:r w:rsidR="0028117D">
        <w:t>measures</w:t>
      </w:r>
      <w:r w:rsidR="006904B4">
        <w:t>,</w:t>
      </w:r>
      <w:r w:rsidR="0028117D">
        <w:t xml:space="preserve"> </w:t>
      </w:r>
      <w:r w:rsidR="006E71D6">
        <w:t xml:space="preserve">would </w:t>
      </w:r>
      <w:r w:rsidR="0036561C">
        <w:t>vary depending on amount</w:t>
      </w:r>
      <w:r w:rsidR="00DC1A62">
        <w:t xml:space="preserve"> of </w:t>
      </w:r>
      <w:r w:rsidR="0036561C">
        <w:t>the increase.</w:t>
      </w:r>
      <w:r w:rsidR="003F4DEF">
        <w:t xml:space="preserve"> </w:t>
      </w:r>
      <w:r w:rsidR="00114884">
        <w:t>Should a 15 per cent wage increase be agreed</w:t>
      </w:r>
      <w:r w:rsidR="002B6076">
        <w:t xml:space="preserve"> through supported bargaining process</w:t>
      </w:r>
      <w:r w:rsidR="00114884">
        <w:t>, out of pocket costs would increase for all families by an average of approximately $600 per year</w:t>
      </w:r>
      <w:r w:rsidR="00562F5B">
        <w:t xml:space="preserve"> </w:t>
      </w:r>
      <w:r w:rsidR="00D72999">
        <w:t>(</w:t>
      </w:r>
      <w:r w:rsidR="00562F5B">
        <w:t>14 per cent increase</w:t>
      </w:r>
      <w:r w:rsidR="00D72999">
        <w:t>)</w:t>
      </w:r>
      <w:r w:rsidR="00562F5B">
        <w:t xml:space="preserve">. For a 25 per cent wage increase </w:t>
      </w:r>
      <w:r w:rsidR="00C6653C">
        <w:t>out</w:t>
      </w:r>
      <w:r w:rsidR="007D6CD5">
        <w:t xml:space="preserve"> of pocket costs would increase by approximately </w:t>
      </w:r>
      <w:r w:rsidR="001627F5">
        <w:t>o</w:t>
      </w:r>
      <w:r w:rsidR="008A241A">
        <w:t>r $</w:t>
      </w:r>
      <w:r w:rsidR="00CB15CF">
        <w:t>1100</w:t>
      </w:r>
      <w:r w:rsidR="001627F5">
        <w:t xml:space="preserve"> per year</w:t>
      </w:r>
      <w:r w:rsidR="009A4DF6">
        <w:t xml:space="preserve"> </w:t>
      </w:r>
      <w:r w:rsidR="00D72999">
        <w:t>(</w:t>
      </w:r>
      <w:r w:rsidR="009A4DF6">
        <w:t xml:space="preserve">26 </w:t>
      </w:r>
      <w:r w:rsidR="00290001">
        <w:t>per cent increase</w:t>
      </w:r>
      <w:r w:rsidR="00007AD6">
        <w:t>)</w:t>
      </w:r>
      <w:r w:rsidR="00B66E1D">
        <w:t xml:space="preserve">. </w:t>
      </w:r>
    </w:p>
    <w:p w14:paraId="7A07C7D6" w14:textId="77777777" w:rsidR="00A77049" w:rsidRDefault="00A77049" w:rsidP="00A77049">
      <w:pPr>
        <w:pStyle w:val="Heading5"/>
      </w:pPr>
      <w:r>
        <w:lastRenderedPageBreak/>
        <w:t>Providers</w:t>
      </w:r>
    </w:p>
    <w:p w14:paraId="178A5B60" w14:textId="77777777" w:rsidR="00A77049" w:rsidRDefault="00A77049" w:rsidP="00A77049">
      <w:pPr>
        <w:pStyle w:val="Heading6"/>
      </w:pPr>
      <w:r>
        <w:t>Benefits</w:t>
      </w:r>
    </w:p>
    <w:p w14:paraId="31E02474" w14:textId="77777777" w:rsidR="00A77049" w:rsidRDefault="00A77049" w:rsidP="00A77049">
      <w:r>
        <w:t>There are no apparent benefits to ECEC providers under this option.</w:t>
      </w:r>
    </w:p>
    <w:p w14:paraId="7EE340EA" w14:textId="77777777" w:rsidR="00A77049" w:rsidRDefault="00A77049" w:rsidP="00A77049">
      <w:pPr>
        <w:pStyle w:val="Heading6"/>
      </w:pPr>
      <w:r>
        <w:t>Costs</w:t>
      </w:r>
    </w:p>
    <w:p w14:paraId="46568400" w14:textId="5FCCD98D" w:rsidR="00A77049" w:rsidRDefault="00A77049" w:rsidP="00A77049">
      <w:r>
        <w:t>As the workforce shortage is likely to continue under this option, providers will continue to encounter difficulties in filling vacancies, impacting their ability to staff services to ratio</w:t>
      </w:r>
      <w:r w:rsidR="00D44749">
        <w:t>, and</w:t>
      </w:r>
      <w:r w:rsidR="00C66E75">
        <w:t xml:space="preserve"> continuing the practice of</w:t>
      </w:r>
      <w:r>
        <w:t xml:space="preserve"> </w:t>
      </w:r>
      <w:r w:rsidR="0013622E">
        <w:t xml:space="preserve">capping places below </w:t>
      </w:r>
      <w:r w:rsidR="006C5F56">
        <w:t xml:space="preserve">service </w:t>
      </w:r>
      <w:r w:rsidR="00E15DB7">
        <w:t>capacity.</w:t>
      </w:r>
      <w:r>
        <w:t xml:space="preserve"> </w:t>
      </w:r>
      <w:r w:rsidR="002848DF">
        <w:t xml:space="preserve">Families cannot get CCS when a service is closed due to staffing issues, as such services are unlikely able to </w:t>
      </w:r>
      <w:r w:rsidR="00F8559F">
        <w:t xml:space="preserve">charge fees for affected day. </w:t>
      </w:r>
    </w:p>
    <w:p w14:paraId="0012CAB2" w14:textId="77777777" w:rsidR="00A77049" w:rsidRDefault="00A77049" w:rsidP="00A77049">
      <w:pPr>
        <w:pStyle w:val="Heading5"/>
      </w:pPr>
      <w:r>
        <w:t>Government</w:t>
      </w:r>
    </w:p>
    <w:p w14:paraId="6BF6C835" w14:textId="77777777" w:rsidR="00A77049" w:rsidRDefault="00A77049" w:rsidP="00A77049">
      <w:pPr>
        <w:pStyle w:val="Heading6"/>
      </w:pPr>
      <w:r>
        <w:t>Benefits</w:t>
      </w:r>
    </w:p>
    <w:p w14:paraId="756B8646" w14:textId="0942E643" w:rsidR="00A77049" w:rsidRDefault="00C66E75" w:rsidP="00A77049">
      <w:r>
        <w:t>T</w:t>
      </w:r>
      <w:r w:rsidR="00A77049">
        <w:t xml:space="preserve">he Government </w:t>
      </w:r>
      <w:r>
        <w:t xml:space="preserve">would </w:t>
      </w:r>
      <w:r w:rsidR="00A77049">
        <w:t xml:space="preserve">benefit from </w:t>
      </w:r>
      <w:r>
        <w:t xml:space="preserve">potential </w:t>
      </w:r>
      <w:r w:rsidR="00A77049">
        <w:t xml:space="preserve">fiscal savings </w:t>
      </w:r>
      <w:r>
        <w:t>from</w:t>
      </w:r>
      <w:r w:rsidR="00A77049">
        <w:t xml:space="preserve"> not funding</w:t>
      </w:r>
      <w:r>
        <w:t xml:space="preserve"> a wage increase.</w:t>
      </w:r>
    </w:p>
    <w:p w14:paraId="390B1DFF" w14:textId="62023555" w:rsidR="00A77049" w:rsidRDefault="0642AF90" w:rsidP="29A029EE">
      <w:r>
        <w:t xml:space="preserve">Should wages increase through uncontrolled measures </w:t>
      </w:r>
      <w:r w:rsidR="41C4ECC2">
        <w:t xml:space="preserve">Government would still fund a portion of the increase through </w:t>
      </w:r>
      <w:r w:rsidR="5BB862DC">
        <w:t>CCS.</w:t>
      </w:r>
      <w:r w:rsidR="0E83FA51">
        <w:t xml:space="preserve"> </w:t>
      </w:r>
      <w:r w:rsidR="41C4ECC2">
        <w:t>As this would</w:t>
      </w:r>
      <w:r w:rsidR="5B069FC3">
        <w:t xml:space="preserve"> not</w:t>
      </w:r>
      <w:r w:rsidR="41C4ECC2">
        <w:t xml:space="preserve"> </w:t>
      </w:r>
      <w:r w:rsidR="5B069FC3">
        <w:t>require a</w:t>
      </w:r>
      <w:r w:rsidR="6CE99EED">
        <w:t xml:space="preserve"> new appropriation</w:t>
      </w:r>
      <w:r w:rsidR="3F851138">
        <w:t>,</w:t>
      </w:r>
      <w:r w:rsidR="6CE99EED">
        <w:t xml:space="preserve"> there are no costly or lengthy system </w:t>
      </w:r>
      <w:proofErr w:type="gramStart"/>
      <w:r w:rsidR="6CE99EED">
        <w:t>builds</w:t>
      </w:r>
      <w:proofErr w:type="gramEnd"/>
      <w:r w:rsidR="6CE99EED">
        <w:t xml:space="preserve"> or implementation approaches required.</w:t>
      </w:r>
    </w:p>
    <w:p w14:paraId="7A8A8F22" w14:textId="0AEE0019" w:rsidR="00A77049" w:rsidRPr="004F0772" w:rsidRDefault="7C7B77F1" w:rsidP="00A77049">
      <w:r>
        <w:t xml:space="preserve">Further, this </w:t>
      </w:r>
      <w:r w:rsidR="4B2B6E7F">
        <w:t xml:space="preserve">option </w:t>
      </w:r>
      <w:r w:rsidR="1E71E2D7">
        <w:t xml:space="preserve">does not </w:t>
      </w:r>
      <w:r w:rsidR="483F9B4C">
        <w:t xml:space="preserve">influence </w:t>
      </w:r>
      <w:r w:rsidR="6066A5E5">
        <w:t xml:space="preserve">final </w:t>
      </w:r>
      <w:r w:rsidR="1E71E2D7">
        <w:t xml:space="preserve">findings of the </w:t>
      </w:r>
      <w:r w:rsidR="12B833CC">
        <w:t>PC</w:t>
      </w:r>
      <w:r w:rsidR="770571B2">
        <w:t xml:space="preserve"> Inquiry</w:t>
      </w:r>
      <w:r w:rsidR="483F9B4C">
        <w:t xml:space="preserve">, expected </w:t>
      </w:r>
      <w:r w:rsidR="6066A5E5">
        <w:t>to be provided to the Government by 30 June 2024</w:t>
      </w:r>
      <w:r w:rsidR="15B886CD">
        <w:t>,</w:t>
      </w:r>
      <w:r w:rsidR="06C4F769">
        <w:t xml:space="preserve"> </w:t>
      </w:r>
      <w:r w:rsidR="1E71E2D7">
        <w:t>and mitigates concerns around the setting of potential funding precedents</w:t>
      </w:r>
      <w:r w:rsidR="39655F8B">
        <w:t>.</w:t>
      </w:r>
    </w:p>
    <w:p w14:paraId="30A200D7" w14:textId="77777777" w:rsidR="00A77049" w:rsidRDefault="00A77049" w:rsidP="00A77049">
      <w:pPr>
        <w:pStyle w:val="Heading6"/>
      </w:pPr>
      <w:r>
        <w:t>Costs</w:t>
      </w:r>
    </w:p>
    <w:p w14:paraId="52070AC0" w14:textId="345406C1" w:rsidR="00A77049" w:rsidRDefault="007F0D3F" w:rsidP="00A77049">
      <w:pPr>
        <w:rPr>
          <w:rStyle w:val="eop"/>
          <w:rFonts w:ascii="Segoe UI Symbol" w:hAnsi="Segoe UI Symbol" w:cs="Segoe UI"/>
        </w:rPr>
      </w:pPr>
      <w:r>
        <w:t xml:space="preserve">Failure for the ECEC sector to achieve a meaningful </w:t>
      </w:r>
      <w:r w:rsidR="006A3B3C">
        <w:t>wage increase</w:t>
      </w:r>
      <w:r w:rsidR="00861D2C">
        <w:t xml:space="preserve"> will</w:t>
      </w:r>
      <w:r w:rsidR="00AA2944">
        <w:t xml:space="preserve"> </w:t>
      </w:r>
      <w:r w:rsidR="001638A7">
        <w:t>cause the</w:t>
      </w:r>
      <w:r w:rsidR="00AA2944">
        <w:t xml:space="preserve"> </w:t>
      </w:r>
      <w:r w:rsidR="00A77049" w:rsidRPr="004F0772">
        <w:t xml:space="preserve">critical workforce shortages </w:t>
      </w:r>
      <w:r w:rsidR="001638A7">
        <w:t xml:space="preserve">to </w:t>
      </w:r>
      <w:proofErr w:type="gramStart"/>
      <w:r w:rsidR="00A77049" w:rsidRPr="004F0772">
        <w:t>persist</w:t>
      </w:r>
      <w:r w:rsidR="00E25E13">
        <w:t>, or</w:t>
      </w:r>
      <w:proofErr w:type="gramEnd"/>
      <w:r w:rsidR="00E25E13">
        <w:t xml:space="preserve"> worsen</w:t>
      </w:r>
      <w:r w:rsidR="00075239">
        <w:t xml:space="preserve"> </w:t>
      </w:r>
      <w:r w:rsidR="0006010B">
        <w:t>service</w:t>
      </w:r>
      <w:r w:rsidR="00075239">
        <w:t xml:space="preserve"> </w:t>
      </w:r>
      <w:r w:rsidR="0006010B">
        <w:t>accessibility issues for families</w:t>
      </w:r>
      <w:r w:rsidR="00487B41">
        <w:t>.</w:t>
      </w:r>
      <w:r w:rsidR="00E25E13">
        <w:t xml:space="preserve"> The </w:t>
      </w:r>
      <w:r w:rsidR="00A77049" w:rsidRPr="004F0772">
        <w:t xml:space="preserve">ability to </w:t>
      </w:r>
      <w:r w:rsidR="00D612A6">
        <w:t>implement</w:t>
      </w:r>
      <w:r w:rsidR="00D612A6" w:rsidRPr="004F0772">
        <w:t xml:space="preserve"> </w:t>
      </w:r>
      <w:r w:rsidR="00A77049" w:rsidRPr="004F0772">
        <w:t>high-quality, universal ECEC</w:t>
      </w:r>
      <w:r w:rsidR="00E25E13">
        <w:t xml:space="preserve"> will be stalled or significantly impacted</w:t>
      </w:r>
      <w:r w:rsidR="00A77049" w:rsidRPr="004F0772">
        <w:t xml:space="preserve">. </w:t>
      </w:r>
      <w:r w:rsidR="003E695B">
        <w:t xml:space="preserve">It is likely </w:t>
      </w:r>
      <w:r w:rsidR="00A77049" w:rsidRPr="004F0772">
        <w:t>the sector</w:t>
      </w:r>
      <w:r w:rsidR="003E695B">
        <w:t xml:space="preserve"> </w:t>
      </w:r>
      <w:r w:rsidR="0065385E">
        <w:t>will perceive a failure of Government</w:t>
      </w:r>
      <w:r w:rsidR="00A77049" w:rsidRPr="004F0772">
        <w:t xml:space="preserve"> </w:t>
      </w:r>
      <w:r w:rsidR="0065385E">
        <w:t>in</w:t>
      </w:r>
      <w:r w:rsidR="00A77049" w:rsidRPr="004F0772">
        <w:t xml:space="preserve"> support</w:t>
      </w:r>
      <w:r w:rsidR="0065385E">
        <w:t>ing</w:t>
      </w:r>
      <w:r w:rsidR="00A77049" w:rsidRPr="004F0772">
        <w:t xml:space="preserve"> </w:t>
      </w:r>
      <w:r w:rsidR="00686D0D" w:rsidRPr="004F0772">
        <w:t>important</w:t>
      </w:r>
      <w:r w:rsidR="00A77049" w:rsidRPr="004F0772">
        <w:t xml:space="preserve"> reform for the ECEC </w:t>
      </w:r>
      <w:r w:rsidR="00020D36" w:rsidRPr="004F0772">
        <w:t>workforce and</w:t>
      </w:r>
      <w:r w:rsidR="001F3D95">
        <w:t xml:space="preserve"> impact</w:t>
      </w:r>
      <w:r w:rsidR="001F3D95" w:rsidRPr="004F0772">
        <w:t xml:space="preserve"> </w:t>
      </w:r>
      <w:r w:rsidR="00A77049" w:rsidRPr="004F0772">
        <w:t>its ability to introduce future sector reforms following the outcomes from the PC Inquiry.</w:t>
      </w:r>
      <w:r w:rsidR="00A77049">
        <w:rPr>
          <w:rStyle w:val="eop"/>
          <w:rFonts w:ascii="Segoe UI Symbol" w:hAnsi="Segoe UI Symbol" w:cs="Segoe UI"/>
        </w:rPr>
        <w:t> </w:t>
      </w:r>
    </w:p>
    <w:p w14:paraId="0B8AAAF9" w14:textId="1693F05C" w:rsidR="00B60F9F" w:rsidRDefault="0006010B" w:rsidP="00A77049">
      <w:pPr>
        <w:rPr>
          <w:rFonts w:eastAsiaTheme="minorEastAsia" w:cs="Arial"/>
        </w:rPr>
      </w:pPr>
      <w:r>
        <w:t>T</w:t>
      </w:r>
      <w:r w:rsidR="00A77049" w:rsidRPr="00DB61D8">
        <w:t>his is not a cost neutral option.</w:t>
      </w:r>
      <w:r>
        <w:t xml:space="preserve"> Government would still provide significant funding for any wage increase through uncontrolled measures</w:t>
      </w:r>
      <w:r w:rsidR="000C43BA">
        <w:t>,</w:t>
      </w:r>
      <w:r>
        <w:rPr>
          <w:rFonts w:eastAsiaTheme="minorEastAsia" w:cs="Arial"/>
        </w:rPr>
        <w:t xml:space="preserve"> as costs flow through to the</w:t>
      </w:r>
      <w:r w:rsidRPr="00DE7C9B">
        <w:rPr>
          <w:rFonts w:eastAsiaTheme="minorEastAsia" w:cs="Arial"/>
        </w:rPr>
        <w:t xml:space="preserve"> CCS</w:t>
      </w:r>
      <w:r w:rsidR="000C43BA">
        <w:rPr>
          <w:rFonts w:eastAsiaTheme="minorEastAsia" w:cs="Arial"/>
        </w:rPr>
        <w:t>.</w:t>
      </w:r>
      <w:r w:rsidR="00A77049" w:rsidRPr="00DB61D8">
        <w:t xml:space="preserve"> </w:t>
      </w:r>
      <w:r w:rsidR="004954B3" w:rsidRPr="00DB61D8">
        <w:t>I</w:t>
      </w:r>
      <w:r w:rsidR="00A77049" w:rsidRPr="00DB61D8">
        <w:t xml:space="preserve">t is expected that the CCS will cover approximately 60-70 per cent of any fee increase associated with </w:t>
      </w:r>
      <w:r w:rsidR="000C43BA">
        <w:t>a</w:t>
      </w:r>
      <w:r w:rsidR="000C43BA" w:rsidRPr="00DB61D8">
        <w:t xml:space="preserve"> </w:t>
      </w:r>
      <w:r w:rsidR="00A77049" w:rsidRPr="00DB61D8">
        <w:t xml:space="preserve">wage increase. </w:t>
      </w:r>
      <w:r w:rsidR="000C43BA">
        <w:rPr>
          <w:rFonts w:eastAsiaTheme="minorEastAsia" w:cs="Arial"/>
        </w:rPr>
        <w:t xml:space="preserve">A 15 per cent wage increase </w:t>
      </w:r>
      <w:r w:rsidR="004954B3">
        <w:rPr>
          <w:rFonts w:eastAsiaTheme="minorEastAsia" w:cs="Arial"/>
        </w:rPr>
        <w:t>funded indirectly through CCS</w:t>
      </w:r>
      <w:r w:rsidR="000C43BA">
        <w:rPr>
          <w:rFonts w:eastAsiaTheme="minorEastAsia" w:cs="Arial"/>
        </w:rPr>
        <w:t xml:space="preserve"> would cost Government approximately $3.1 billion over four years. </w:t>
      </w:r>
    </w:p>
    <w:p w14:paraId="73344F00" w14:textId="20A99717" w:rsidR="00A77049" w:rsidRPr="009209EE" w:rsidRDefault="00131BA4" w:rsidP="00A77049">
      <w:r w:rsidRPr="009209EE">
        <w:t xml:space="preserve">As funding would not be provided under a grant arrangement, </w:t>
      </w:r>
      <w:r w:rsidR="00A77049" w:rsidRPr="009209EE">
        <w:t xml:space="preserve">Government would be unable to </w:t>
      </w:r>
      <w:r w:rsidR="00AA77FA" w:rsidRPr="009209EE">
        <w:t xml:space="preserve">implement any fee control </w:t>
      </w:r>
      <w:r w:rsidR="00CB36D6" w:rsidRPr="009209EE">
        <w:t>mechanism</w:t>
      </w:r>
      <w:r w:rsidR="00AA77FA" w:rsidRPr="009209EE">
        <w:t xml:space="preserve"> </w:t>
      </w:r>
      <w:r w:rsidR="00CB36D6" w:rsidRPr="009209EE">
        <w:t>under this option</w:t>
      </w:r>
      <w:r w:rsidR="00996E52" w:rsidRPr="009209EE">
        <w:t>.</w:t>
      </w:r>
    </w:p>
    <w:p w14:paraId="5C2D91EF" w14:textId="77777777" w:rsidR="00A77049" w:rsidRPr="009209EE" w:rsidRDefault="00A77049" w:rsidP="00A77049">
      <w:pPr>
        <w:pStyle w:val="Heading4"/>
      </w:pPr>
      <w:bookmarkStart w:id="48" w:name="_Toc160805610"/>
      <w:bookmarkStart w:id="49" w:name="_Toc162963658"/>
      <w:bookmarkStart w:id="50" w:name="_Toc219193876"/>
      <w:r w:rsidRPr="009209EE">
        <w:t>Regulatory costs</w:t>
      </w:r>
      <w:bookmarkEnd w:id="48"/>
      <w:bookmarkEnd w:id="49"/>
      <w:bookmarkEnd w:id="50"/>
    </w:p>
    <w:p w14:paraId="5B446FB7" w14:textId="73F853CD" w:rsidR="00A77049" w:rsidRPr="009209EE" w:rsidRDefault="00A77049" w:rsidP="00A77049">
      <w:r w:rsidRPr="009209EE">
        <w:t>The regulatory burden of Option One</w:t>
      </w:r>
      <w:r w:rsidR="00B96035" w:rsidRPr="009209EE">
        <w:t xml:space="preserve"> (Status Quo)</w:t>
      </w:r>
      <w:r w:rsidRPr="009209EE">
        <w:t xml:space="preserve"> is neutral. The existing funding mechanism of the CCS would continue in its current form.</w:t>
      </w:r>
    </w:p>
    <w:p w14:paraId="6B7E9CEA" w14:textId="77777777" w:rsidR="00A77049" w:rsidRPr="009209EE" w:rsidRDefault="00A77049" w:rsidP="00A77049">
      <w:pPr>
        <w:spacing w:after="0"/>
        <w:rPr>
          <w:b/>
          <w:bCs/>
        </w:rPr>
      </w:pPr>
      <w:r w:rsidRPr="009209EE">
        <w:rPr>
          <w:b/>
          <w:bCs/>
        </w:rPr>
        <w:t>Table 1: Regulatory burden estimate table for Option 1 – Average annual regulatory costs</w:t>
      </w:r>
    </w:p>
    <w:tbl>
      <w:tblPr>
        <w:tblStyle w:val="EDU-Basic"/>
        <w:tblW w:w="0" w:type="auto"/>
        <w:tblLook w:val="04A0" w:firstRow="1" w:lastRow="0" w:firstColumn="1" w:lastColumn="0" w:noHBand="0" w:noVBand="1"/>
      </w:tblPr>
      <w:tblGrid>
        <w:gridCol w:w="1696"/>
        <w:gridCol w:w="1910"/>
        <w:gridCol w:w="1803"/>
        <w:gridCol w:w="1803"/>
        <w:gridCol w:w="1804"/>
      </w:tblGrid>
      <w:tr w:rsidR="00A77049" w:rsidRPr="009209EE" w14:paraId="2BCEA7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56AA40" w14:textId="77777777" w:rsidR="00A77049" w:rsidRPr="009209EE" w:rsidRDefault="00A77049">
            <w:pPr>
              <w:spacing w:before="0" w:beforeAutospacing="0" w:after="0" w:afterAutospacing="0"/>
            </w:pPr>
          </w:p>
        </w:tc>
        <w:tc>
          <w:tcPr>
            <w:tcW w:w="1910" w:type="dxa"/>
          </w:tcPr>
          <w:p w14:paraId="5ECE5328"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Individuals (families)</w:t>
            </w:r>
          </w:p>
        </w:tc>
        <w:tc>
          <w:tcPr>
            <w:tcW w:w="1803" w:type="dxa"/>
          </w:tcPr>
          <w:p w14:paraId="2C5913C1"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Business</w:t>
            </w:r>
          </w:p>
        </w:tc>
        <w:tc>
          <w:tcPr>
            <w:tcW w:w="1803" w:type="dxa"/>
          </w:tcPr>
          <w:p w14:paraId="70578E01"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Community organisations</w:t>
            </w:r>
          </w:p>
        </w:tc>
        <w:tc>
          <w:tcPr>
            <w:tcW w:w="1804" w:type="dxa"/>
          </w:tcPr>
          <w:p w14:paraId="69EFB3B9"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Total change in cost</w:t>
            </w:r>
          </w:p>
        </w:tc>
      </w:tr>
      <w:tr w:rsidR="00A77049" w14:paraId="69294F66" w14:textId="77777777">
        <w:tc>
          <w:tcPr>
            <w:cnfStyle w:val="001000000000" w:firstRow="0" w:lastRow="0" w:firstColumn="1" w:lastColumn="0" w:oddVBand="0" w:evenVBand="0" w:oddHBand="0" w:evenHBand="0" w:firstRowFirstColumn="0" w:firstRowLastColumn="0" w:lastRowFirstColumn="0" w:lastRowLastColumn="0"/>
            <w:tcW w:w="1696" w:type="dxa"/>
          </w:tcPr>
          <w:p w14:paraId="3203B87F" w14:textId="77777777" w:rsidR="00A77049" w:rsidRPr="009209EE" w:rsidRDefault="00A77049">
            <w:pPr>
              <w:spacing w:before="0" w:beforeAutospacing="0" w:after="0" w:afterAutospacing="0"/>
            </w:pPr>
            <w:r w:rsidRPr="009209EE">
              <w:t>Status Quo</w:t>
            </w:r>
          </w:p>
        </w:tc>
        <w:tc>
          <w:tcPr>
            <w:tcW w:w="1910" w:type="dxa"/>
          </w:tcPr>
          <w:p w14:paraId="53C9A465" w14:textId="77777777" w:rsidR="00A77049" w:rsidRPr="009209EE" w:rsidRDefault="00A77049">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$0</w:t>
            </w:r>
          </w:p>
        </w:tc>
        <w:tc>
          <w:tcPr>
            <w:tcW w:w="1803" w:type="dxa"/>
          </w:tcPr>
          <w:p w14:paraId="79B4A2BC" w14:textId="77777777" w:rsidR="00A77049" w:rsidRPr="009209EE" w:rsidRDefault="00A77049">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$0</w:t>
            </w:r>
          </w:p>
        </w:tc>
        <w:tc>
          <w:tcPr>
            <w:tcW w:w="1803" w:type="dxa"/>
          </w:tcPr>
          <w:p w14:paraId="21D403A7" w14:textId="77777777" w:rsidR="00A77049" w:rsidRPr="009209EE" w:rsidRDefault="00A77049">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$0</w:t>
            </w:r>
          </w:p>
        </w:tc>
        <w:tc>
          <w:tcPr>
            <w:tcW w:w="1804" w:type="dxa"/>
          </w:tcPr>
          <w:p w14:paraId="5D9CF329" w14:textId="77777777" w:rsidR="00A77049" w:rsidRPr="00D96FC0" w:rsidRDefault="00A77049">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$0</w:t>
            </w:r>
          </w:p>
        </w:tc>
      </w:tr>
    </w:tbl>
    <w:p w14:paraId="70D7DE48" w14:textId="77777777" w:rsidR="00A77049" w:rsidRPr="00E172AB" w:rsidRDefault="00A77049" w:rsidP="00A77049"/>
    <w:p w14:paraId="24777561" w14:textId="77777777" w:rsidR="00A77049" w:rsidRDefault="00A77049" w:rsidP="00A77049">
      <w:pPr>
        <w:pStyle w:val="Heading3"/>
      </w:pPr>
      <w:bookmarkStart w:id="51" w:name="_Toc219193877"/>
      <w:r>
        <w:lastRenderedPageBreak/>
        <w:t>Option Two – Funding a time-limited workforce retention payment to participating ECEC employers</w:t>
      </w:r>
      <w:bookmarkEnd w:id="51"/>
    </w:p>
    <w:p w14:paraId="33372C02" w14:textId="170B25A4" w:rsidR="00451032" w:rsidRPr="004E2D48" w:rsidRDefault="0034203D" w:rsidP="28BFDA2D">
      <w:r w:rsidRPr="004E2D48">
        <w:t>The</w:t>
      </w:r>
      <w:r w:rsidR="001F054B" w:rsidRPr="004E2D48">
        <w:t>re were significant</w:t>
      </w:r>
      <w:r w:rsidR="001F24FD" w:rsidRPr="004E2D48">
        <w:t xml:space="preserve"> risks </w:t>
      </w:r>
      <w:r w:rsidRPr="004E2D48">
        <w:t>identified</w:t>
      </w:r>
      <w:r w:rsidR="001F24FD" w:rsidRPr="004E2D48">
        <w:t xml:space="preserve"> with this optio</w:t>
      </w:r>
      <w:r w:rsidR="00F37598" w:rsidRPr="004E2D48">
        <w:t>n</w:t>
      </w:r>
      <w:r w:rsidR="009B380A" w:rsidRPr="004E2D48">
        <w:t>. As such,</w:t>
      </w:r>
      <w:r w:rsidR="00F37598" w:rsidRPr="004E2D48">
        <w:t xml:space="preserve"> it was not brought forward </w:t>
      </w:r>
      <w:r w:rsidR="00451032" w:rsidRPr="004E2D48">
        <w:t>for further consideration. The identified risks included:</w:t>
      </w:r>
    </w:p>
    <w:p w14:paraId="4B5C1E9B" w14:textId="77B16AEF" w:rsidR="00817F69" w:rsidRPr="004E2D48" w:rsidRDefault="00F82C37" w:rsidP="28BFDA2D">
      <w:pPr>
        <w:pStyle w:val="ListParagraph"/>
        <w:numPr>
          <w:ilvl w:val="0"/>
          <w:numId w:val="59"/>
        </w:numPr>
      </w:pPr>
      <w:r w:rsidRPr="004E2D48">
        <w:t>Non</w:t>
      </w:r>
      <w:r w:rsidR="00A33EE8" w:rsidRPr="004E2D48">
        <w:t xml:space="preserve">-compliance and fraud as there </w:t>
      </w:r>
      <w:r w:rsidRPr="004E2D48">
        <w:t>are</w:t>
      </w:r>
      <w:r w:rsidR="00C52555" w:rsidRPr="004E2D48">
        <w:t xml:space="preserve"> currently</w:t>
      </w:r>
      <w:r w:rsidR="00A33EE8" w:rsidRPr="004E2D48">
        <w:t xml:space="preserve"> no </w:t>
      </w:r>
      <w:r w:rsidR="00694805" w:rsidRPr="004E2D48">
        <w:t>way</w:t>
      </w:r>
      <w:r w:rsidRPr="004E2D48">
        <w:t>s</w:t>
      </w:r>
      <w:r w:rsidR="00694805" w:rsidRPr="004E2D48">
        <w:t xml:space="preserve"> for the Department </w:t>
      </w:r>
      <w:r w:rsidR="00A42202" w:rsidRPr="004E2D48">
        <w:t>to ensure that funding is being passed on as higher wages</w:t>
      </w:r>
      <w:r w:rsidR="007E2CD6" w:rsidRPr="004E2D48">
        <w:t>.</w:t>
      </w:r>
    </w:p>
    <w:p w14:paraId="1FF639A4" w14:textId="3644FC7D" w:rsidR="00FF43ED" w:rsidRPr="004E2D48" w:rsidRDefault="001B5553" w:rsidP="28BFDA2D">
      <w:pPr>
        <w:pStyle w:val="ListParagraph"/>
        <w:numPr>
          <w:ilvl w:val="0"/>
          <w:numId w:val="59"/>
        </w:numPr>
      </w:pPr>
      <w:r w:rsidRPr="004E2D48">
        <w:t>Inability to ensure funding is passed on to workers through the usual workplace relations mechanisms</w:t>
      </w:r>
      <w:r w:rsidR="00497254" w:rsidRPr="004E2D48">
        <w:t xml:space="preserve">, such as the </w:t>
      </w:r>
      <w:r w:rsidR="00C52555" w:rsidRPr="004E2D48">
        <w:t>FWO</w:t>
      </w:r>
      <w:r w:rsidR="00497254" w:rsidRPr="004E2D48">
        <w:t xml:space="preserve"> and the </w:t>
      </w:r>
      <w:r w:rsidR="00C52555" w:rsidRPr="004E2D48">
        <w:t>FWC</w:t>
      </w:r>
      <w:r w:rsidR="00F82C37" w:rsidRPr="004E2D48">
        <w:t xml:space="preserve">. Given this, </w:t>
      </w:r>
      <w:r w:rsidR="00497254" w:rsidRPr="004E2D48">
        <w:t>the</w:t>
      </w:r>
      <w:r w:rsidR="00F82C37" w:rsidRPr="004E2D48">
        <w:t>re is a</w:t>
      </w:r>
      <w:r w:rsidR="00497254" w:rsidRPr="004E2D48">
        <w:t xml:space="preserve"> risk that</w:t>
      </w:r>
      <w:r w:rsidR="006F607C" w:rsidRPr="004E2D48">
        <w:t xml:space="preserve"> the Department’s role</w:t>
      </w:r>
      <w:r w:rsidR="00405D8C" w:rsidRPr="004E2D48">
        <w:t xml:space="preserve"> will mirror the functions of these agencies.</w:t>
      </w:r>
    </w:p>
    <w:p w14:paraId="40D1292B" w14:textId="25161ECE" w:rsidR="0076547F" w:rsidRPr="004E2D48" w:rsidRDefault="0076547F" w:rsidP="28BFDA2D">
      <w:pPr>
        <w:pStyle w:val="ListParagraph"/>
        <w:numPr>
          <w:ilvl w:val="0"/>
          <w:numId w:val="59"/>
        </w:numPr>
      </w:pPr>
      <w:r w:rsidRPr="004E2D48">
        <w:t xml:space="preserve">Workers, and their representatives, generally </w:t>
      </w:r>
      <w:r w:rsidR="00C77D00">
        <w:t xml:space="preserve">do </w:t>
      </w:r>
      <w:r w:rsidRPr="004E2D48">
        <w:t>not hav</w:t>
      </w:r>
      <w:r w:rsidR="00C77D00">
        <w:t>e</w:t>
      </w:r>
      <w:r w:rsidRPr="004E2D48">
        <w:t xml:space="preserve"> any rights under a grant agreement</w:t>
      </w:r>
      <w:r w:rsidR="00A426A0" w:rsidRPr="004E2D48">
        <w:t>, or the ability to enforce obligations under a grant agreement</w:t>
      </w:r>
      <w:r w:rsidR="007E2CD6" w:rsidRPr="004E2D48">
        <w:t>.</w:t>
      </w:r>
    </w:p>
    <w:p w14:paraId="4E081B8D" w14:textId="77777777" w:rsidR="009B380A" w:rsidRPr="004E2D48" w:rsidRDefault="002A119A" w:rsidP="28BFDA2D">
      <w:pPr>
        <w:pStyle w:val="ListParagraph"/>
        <w:numPr>
          <w:ilvl w:val="0"/>
          <w:numId w:val="59"/>
        </w:numPr>
      </w:pPr>
      <w:r w:rsidRPr="004E2D48">
        <w:t xml:space="preserve">The limited enforcement options </w:t>
      </w:r>
      <w:r w:rsidR="00FC0F18" w:rsidRPr="004E2D48">
        <w:t>available to the Commonwealth</w:t>
      </w:r>
      <w:r w:rsidR="000B3604" w:rsidRPr="004E2D48">
        <w:t xml:space="preserve"> under a grant agreement</w:t>
      </w:r>
      <w:r w:rsidR="009B380A" w:rsidRPr="004E2D48">
        <w:t>.</w:t>
      </w:r>
    </w:p>
    <w:p w14:paraId="7F231B3A" w14:textId="20EB6AB4" w:rsidR="002A119A" w:rsidRPr="004E2D48" w:rsidRDefault="009B380A" w:rsidP="009669D5">
      <w:pPr>
        <w:pStyle w:val="ListParagraph"/>
        <w:numPr>
          <w:ilvl w:val="0"/>
          <w:numId w:val="59"/>
        </w:numPr>
      </w:pPr>
      <w:r w:rsidRPr="004E2D48">
        <w:t>C</w:t>
      </w:r>
      <w:r w:rsidR="001520A9" w:rsidRPr="004E2D48">
        <w:t>onsiderable administrative burden on the Department and significant additional Commonwealth resources required to ensure appropriate governance, accountability and compliance.</w:t>
      </w:r>
    </w:p>
    <w:p w14:paraId="571C782C" w14:textId="77777777" w:rsidR="00A77049" w:rsidRDefault="00A77049" w:rsidP="00A77049">
      <w:pPr>
        <w:pStyle w:val="Heading3"/>
      </w:pPr>
      <w:bookmarkStart w:id="52" w:name="_Toc219193878"/>
      <w:r>
        <w:t>Option Three – Funding a time-limited workforce retention payment to ECEC employers under a workforce instrument</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EE6FF" w:themeFill="background2" w:themeFillTint="33"/>
        <w:tblLook w:val="04A0" w:firstRow="1" w:lastRow="0" w:firstColumn="1" w:lastColumn="0" w:noHBand="0" w:noVBand="1"/>
      </w:tblPr>
      <w:tblGrid>
        <w:gridCol w:w="9016"/>
      </w:tblGrid>
      <w:tr w:rsidR="00A77049" w14:paraId="767CE171" w14:textId="77777777" w:rsidTr="29A029EE">
        <w:tc>
          <w:tcPr>
            <w:tcW w:w="9016" w:type="dxa"/>
            <w:shd w:val="clear" w:color="auto" w:fill="AEE6FF" w:themeFill="background2" w:themeFillTint="33"/>
          </w:tcPr>
          <w:p w14:paraId="7A3B11D6" w14:textId="77777777" w:rsidR="00A77049" w:rsidRDefault="00A77049">
            <w:pPr>
              <w:rPr>
                <w:b/>
                <w:bCs/>
              </w:rPr>
            </w:pPr>
            <w:r>
              <w:rPr>
                <w:b/>
                <w:bCs/>
              </w:rPr>
              <w:t>Key impacts</w:t>
            </w:r>
          </w:p>
          <w:p w14:paraId="4728477C" w14:textId="77777777" w:rsidR="00A77049" w:rsidRPr="007A026D" w:rsidRDefault="00A77049">
            <w:r w:rsidRPr="007A026D">
              <w:t>This option would:</w:t>
            </w:r>
          </w:p>
          <w:p w14:paraId="6F4B4CEA" w14:textId="77777777" w:rsidR="00A77049" w:rsidRDefault="10CB36EC">
            <w:pPr>
              <w:pStyle w:val="ListParagraph"/>
              <w:numPr>
                <w:ilvl w:val="0"/>
                <w:numId w:val="42"/>
              </w:numPr>
              <w:spacing w:before="100" w:beforeAutospacing="1" w:afterAutospacing="1" w:line="276" w:lineRule="auto"/>
            </w:pPr>
            <w:r>
              <w:t>likely have a positive impact on ECEC workforce attraction and retention, particularly for LDC and OSHC sectors</w:t>
            </w:r>
          </w:p>
          <w:p w14:paraId="36D2AA4A" w14:textId="5D369E49" w:rsidR="00A77049" w:rsidRDefault="10CB36EC">
            <w:pPr>
              <w:pStyle w:val="ListParagraph"/>
              <w:numPr>
                <w:ilvl w:val="0"/>
                <w:numId w:val="42"/>
              </w:numPr>
              <w:spacing w:before="100" w:beforeAutospacing="1" w:afterAutospacing="1" w:line="276" w:lineRule="auto"/>
            </w:pPr>
            <w:r>
              <w:t>incentivise enterprise bargaining in a traditionally low-paid, award reliant and female</w:t>
            </w:r>
            <w:r w:rsidR="0B301825">
              <w:t>-</w:t>
            </w:r>
            <w:r>
              <w:t xml:space="preserve"> dominated sector</w:t>
            </w:r>
          </w:p>
          <w:p w14:paraId="4ADBA755" w14:textId="5CA88952" w:rsidR="00A77049" w:rsidRDefault="10CB36EC">
            <w:pPr>
              <w:pStyle w:val="ListParagraph"/>
              <w:numPr>
                <w:ilvl w:val="0"/>
                <w:numId w:val="42"/>
              </w:numPr>
              <w:spacing w:before="100" w:beforeAutospacing="1" w:afterAutospacing="1" w:line="276" w:lineRule="auto"/>
            </w:pPr>
            <w:r>
              <w:t xml:space="preserve">deliver improved benefits at the workplace level, including </w:t>
            </w:r>
            <w:r w:rsidR="005B6F42">
              <w:t xml:space="preserve">higher </w:t>
            </w:r>
            <w:r>
              <w:t xml:space="preserve">wages, productivity, culture and engagement </w:t>
            </w:r>
          </w:p>
          <w:p w14:paraId="67AF4889" w14:textId="20E5B0C6" w:rsidR="00A77049" w:rsidRDefault="10CB36EC">
            <w:pPr>
              <w:pStyle w:val="ListParagraph"/>
              <w:numPr>
                <w:ilvl w:val="0"/>
                <w:numId w:val="42"/>
              </w:numPr>
              <w:spacing w:before="100" w:beforeAutospacing="1" w:afterAutospacing="1" w:line="276" w:lineRule="auto"/>
            </w:pPr>
            <w:r>
              <w:t>ensure appropriate safeguards to protect against misuse of funding</w:t>
            </w:r>
          </w:p>
          <w:p w14:paraId="4A7E95BF" w14:textId="305FAE67" w:rsidR="00A77049" w:rsidRDefault="10CB36EC" w:rsidP="29A029EE">
            <w:pPr>
              <w:pStyle w:val="ListParagraph"/>
              <w:numPr>
                <w:ilvl w:val="0"/>
                <w:numId w:val="42"/>
              </w:numPr>
              <w:spacing w:before="100" w:beforeAutospacing="1" w:afterAutospacing="1" w:line="276" w:lineRule="auto"/>
            </w:pPr>
            <w:r>
              <w:t xml:space="preserve">provides workers with a mechanism to seek recourse through the </w:t>
            </w:r>
            <w:r w:rsidR="00F82C37">
              <w:t>FWC</w:t>
            </w:r>
            <w:r>
              <w:t xml:space="preserve"> and the </w:t>
            </w:r>
            <w:r w:rsidR="00F82C37">
              <w:t>FWO</w:t>
            </w:r>
            <w:r w:rsidR="262A6746">
              <w:t xml:space="preserve"> to enforce their entitlements</w:t>
            </w:r>
          </w:p>
          <w:p w14:paraId="7543A264" w14:textId="77777777" w:rsidR="00A77049" w:rsidRDefault="10CB36EC">
            <w:pPr>
              <w:pStyle w:val="ListParagraph"/>
              <w:numPr>
                <w:ilvl w:val="0"/>
                <w:numId w:val="42"/>
              </w:numPr>
              <w:spacing w:before="100" w:beforeAutospacing="1" w:afterAutospacing="1" w:line="276" w:lineRule="auto"/>
            </w:pPr>
            <w:r>
              <w:t>provide the workforce with ‘equivalency’ of minimum pay rates</w:t>
            </w:r>
          </w:p>
          <w:p w14:paraId="3EB9C6A5" w14:textId="7EFE2B1E" w:rsidR="00A77049" w:rsidRDefault="10CB36EC">
            <w:pPr>
              <w:pStyle w:val="ListParagraph"/>
              <w:numPr>
                <w:ilvl w:val="0"/>
                <w:numId w:val="42"/>
              </w:numPr>
              <w:spacing w:before="100" w:beforeAutospacing="1" w:afterAutospacing="1" w:line="276" w:lineRule="auto"/>
            </w:pPr>
            <w:r>
              <w:t>give the workforce transparency and certainty around their minimum safety net of wages and conditions</w:t>
            </w:r>
          </w:p>
          <w:p w14:paraId="78068C91" w14:textId="74DB9C55" w:rsidR="00A77049" w:rsidRDefault="10CB36EC" w:rsidP="29A029EE">
            <w:pPr>
              <w:pStyle w:val="ListParagraph"/>
              <w:numPr>
                <w:ilvl w:val="0"/>
                <w:numId w:val="42"/>
              </w:numPr>
              <w:spacing w:before="100" w:beforeAutospacing="1" w:afterAutospacing="1" w:line="276" w:lineRule="auto"/>
            </w:pPr>
            <w:r>
              <w:t xml:space="preserve">have potentially lower fiscal costs to Government due to the </w:t>
            </w:r>
            <w:r w:rsidR="7F9A759C">
              <w:t xml:space="preserve">workplace </w:t>
            </w:r>
            <w:proofErr w:type="gramStart"/>
            <w:r w:rsidR="7F9A759C">
              <w:t>instrument</w:t>
            </w:r>
            <w:r w:rsidR="0B301825">
              <w:t xml:space="preserve"> </w:t>
            </w:r>
            <w:r w:rsidR="6148998A">
              <w:t xml:space="preserve"> condition</w:t>
            </w:r>
            <w:proofErr w:type="gramEnd"/>
            <w:r>
              <w:t xml:space="preserve"> </w:t>
            </w:r>
          </w:p>
          <w:p w14:paraId="2494AB50" w14:textId="483B7B40" w:rsidR="00A77049" w:rsidRPr="007B5D65" w:rsidRDefault="10CB36EC">
            <w:pPr>
              <w:pStyle w:val="ListParagraph"/>
              <w:numPr>
                <w:ilvl w:val="0"/>
                <w:numId w:val="42"/>
              </w:numPr>
              <w:spacing w:before="100" w:beforeAutospacing="1" w:afterAutospacing="1" w:line="276" w:lineRule="auto"/>
            </w:pPr>
            <w:r>
              <w:t>increase union and employer organisation</w:t>
            </w:r>
            <w:r w:rsidR="003F2E0E">
              <w:t>’s</w:t>
            </w:r>
            <w:r>
              <w:t xml:space="preserve"> engagement with the sector</w:t>
            </w:r>
            <w:r w:rsidR="008D1CE1">
              <w:t>.</w:t>
            </w:r>
          </w:p>
        </w:tc>
      </w:tr>
    </w:tbl>
    <w:p w14:paraId="6C7CBC5A" w14:textId="77777777" w:rsidR="00AE6C3B" w:rsidRDefault="00AE6C3B">
      <w:pPr>
        <w:spacing w:after="160"/>
        <w:rPr>
          <w:rFonts w:asciiTheme="majorHAnsi" w:eastAsiaTheme="majorEastAsia" w:hAnsiTheme="majorHAnsi" w:cstheme="majorBidi"/>
          <w:b/>
          <w:iCs/>
          <w:color w:val="004C6C" w:themeColor="background2"/>
          <w:sz w:val="28"/>
        </w:rPr>
      </w:pPr>
      <w:bookmarkStart w:id="53" w:name="_Toc160805616"/>
      <w:bookmarkStart w:id="54" w:name="_Toc162963661"/>
      <w:r>
        <w:br w:type="page"/>
      </w:r>
    </w:p>
    <w:p w14:paraId="2FE1B3E6" w14:textId="0852ACBA" w:rsidR="00A77049" w:rsidRDefault="00AE6C3B" w:rsidP="00AE6C3B">
      <w:pPr>
        <w:pStyle w:val="Heading4"/>
        <w:spacing w:before="0"/>
      </w:pPr>
      <w:bookmarkStart w:id="55" w:name="_Toc219193879"/>
      <w:r>
        <w:lastRenderedPageBreak/>
        <w:t>Impacted parties</w:t>
      </w:r>
      <w:bookmarkEnd w:id="53"/>
      <w:bookmarkEnd w:id="54"/>
      <w:bookmarkEnd w:id="55"/>
    </w:p>
    <w:p w14:paraId="00BF3E2C" w14:textId="77777777" w:rsidR="00A77049" w:rsidRDefault="00A77049" w:rsidP="00A77049">
      <w:r>
        <w:t>Those directly impacted by this option would include:</w:t>
      </w:r>
    </w:p>
    <w:p w14:paraId="43C0D9A1" w14:textId="52A548A6" w:rsidR="00A77049" w:rsidRPr="009209EE" w:rsidRDefault="10CB36EC" w:rsidP="00A77049">
      <w:pPr>
        <w:pStyle w:val="ListParagraph"/>
        <w:numPr>
          <w:ilvl w:val="0"/>
          <w:numId w:val="42"/>
        </w:numPr>
      </w:pPr>
      <w:r w:rsidRPr="009209EE">
        <w:t xml:space="preserve">The ECEC workforce, particularly in </w:t>
      </w:r>
      <w:r w:rsidR="39B0ACA6" w:rsidRPr="009209EE">
        <w:t>LDC</w:t>
      </w:r>
      <w:r w:rsidRPr="009209EE">
        <w:t xml:space="preserve"> and OSHC</w:t>
      </w:r>
      <w:r w:rsidR="2B8FC9C4" w:rsidRPr="009209EE">
        <w:t xml:space="preserve"> sectors</w:t>
      </w:r>
      <w:r w:rsidRPr="009209EE">
        <w:t xml:space="preserve">. </w:t>
      </w:r>
      <w:r w:rsidR="766A8BD4" w:rsidRPr="009209EE">
        <w:t xml:space="preserve">With separate eligibility criteria </w:t>
      </w:r>
      <w:r w:rsidR="002232DF" w:rsidRPr="009209EE">
        <w:t xml:space="preserve">or a </w:t>
      </w:r>
      <w:r w:rsidR="00822EE0" w:rsidRPr="009209EE">
        <w:t>separate policy option</w:t>
      </w:r>
      <w:r w:rsidR="766A8BD4" w:rsidRPr="009209EE">
        <w:t xml:space="preserve"> to be developed for </w:t>
      </w:r>
      <w:r w:rsidR="768E3A3E" w:rsidRPr="009209EE">
        <w:t>the FDC</w:t>
      </w:r>
      <w:r w:rsidRPr="009209EE">
        <w:t xml:space="preserve"> and IHC </w:t>
      </w:r>
      <w:r w:rsidR="768E3A3E" w:rsidRPr="009209EE">
        <w:t>workforce.</w:t>
      </w:r>
    </w:p>
    <w:p w14:paraId="5869BF71" w14:textId="59E82E39" w:rsidR="00A77049" w:rsidRDefault="10CB36EC" w:rsidP="00A77049">
      <w:pPr>
        <w:pStyle w:val="ListParagraph"/>
        <w:numPr>
          <w:ilvl w:val="0"/>
          <w:numId w:val="42"/>
        </w:numPr>
      </w:pPr>
      <w:r>
        <w:t>CCS approved providers of ECEC services</w:t>
      </w:r>
      <w:r w:rsidR="00663D0B">
        <w:t>.</w:t>
      </w:r>
    </w:p>
    <w:p w14:paraId="6BE24211" w14:textId="3AB511F2" w:rsidR="00A77049" w:rsidRDefault="10CB36EC" w:rsidP="00A77049">
      <w:pPr>
        <w:pStyle w:val="ListParagraph"/>
        <w:numPr>
          <w:ilvl w:val="0"/>
          <w:numId w:val="42"/>
        </w:numPr>
      </w:pPr>
      <w:r>
        <w:t>Registered organisations</w:t>
      </w:r>
      <w:r w:rsidR="007E38D6">
        <w:t>,</w:t>
      </w:r>
      <w:r>
        <w:t xml:space="preserve"> including unions representing ECEC employees and employer organisations who may have a role with assisting stakeholders </w:t>
      </w:r>
      <w:r w:rsidR="0B301825">
        <w:t xml:space="preserve">in </w:t>
      </w:r>
      <w:r>
        <w:t>fulfil</w:t>
      </w:r>
      <w:r w:rsidR="0B301825">
        <w:t>ling</w:t>
      </w:r>
      <w:r>
        <w:t xml:space="preserve"> </w:t>
      </w:r>
      <w:r w:rsidR="70171337">
        <w:t>workplace instrument</w:t>
      </w:r>
      <w:r>
        <w:t xml:space="preserve"> requirements and access the funding through grant agreements</w:t>
      </w:r>
      <w:r w:rsidR="00663D0B">
        <w:t>.</w:t>
      </w:r>
    </w:p>
    <w:p w14:paraId="620D7538" w14:textId="7DB15A5E" w:rsidR="00A77049" w:rsidRDefault="10CB36EC" w:rsidP="00A77049">
      <w:pPr>
        <w:pStyle w:val="ListParagraph"/>
        <w:numPr>
          <w:ilvl w:val="0"/>
          <w:numId w:val="42"/>
        </w:numPr>
      </w:pPr>
      <w:r>
        <w:t xml:space="preserve">Families </w:t>
      </w:r>
      <w:r w:rsidR="73773DB2">
        <w:t>benefiting from greater service accessibility, or potentially increased out-of-pocket costs, however unlikely.</w:t>
      </w:r>
    </w:p>
    <w:p w14:paraId="3956C6AD" w14:textId="63B80241" w:rsidR="00A77049" w:rsidRDefault="10CB36EC" w:rsidP="00A77049">
      <w:r>
        <w:t>As with Option Two, this option would predominantly impact women who make up the vast majority of the ECEC workforce, and as such</w:t>
      </w:r>
      <w:r w:rsidR="00200FF1">
        <w:t>, they</w:t>
      </w:r>
      <w:r>
        <w:t xml:space="preserve"> would be the main beneficiary of government funding for a wage increase. Should funding have the expected impact on ECEC workforce attraction and retention resulting in improved ECEC accessibility for families, it is expected that female workforce participation improves as a result. This is due to women being overwhelmingly responsible for care,</w:t>
      </w:r>
      <w:r w:rsidR="00A77049">
        <w:rPr>
          <w:rStyle w:val="FootnoteReference"/>
        </w:rPr>
        <w:footnoteReference w:id="107"/>
      </w:r>
      <w:r>
        <w:t xml:space="preserve"> and generally reducing workforce participation, or not participating at all, when care is difficult to access.</w:t>
      </w:r>
      <w:r w:rsidR="00A77049">
        <w:rPr>
          <w:rStyle w:val="FootnoteReference"/>
        </w:rPr>
        <w:footnoteReference w:id="108"/>
      </w:r>
    </w:p>
    <w:p w14:paraId="5110B2D0" w14:textId="77777777" w:rsidR="00A77049" w:rsidRDefault="00A77049" w:rsidP="00A77049">
      <w:pPr>
        <w:pStyle w:val="Heading4"/>
        <w:spacing w:before="0"/>
      </w:pPr>
      <w:bookmarkStart w:id="56" w:name="_Toc160805617"/>
      <w:bookmarkStart w:id="57" w:name="_Toc162963662"/>
      <w:bookmarkStart w:id="58" w:name="_Toc219193880"/>
      <w:r>
        <w:t>Overall Impact</w:t>
      </w:r>
      <w:bookmarkEnd w:id="56"/>
      <w:bookmarkEnd w:id="57"/>
      <w:bookmarkEnd w:id="58"/>
    </w:p>
    <w:p w14:paraId="08A8B8D9" w14:textId="77777777" w:rsidR="00A77049" w:rsidRDefault="00A77049" w:rsidP="00A77049">
      <w:pPr>
        <w:spacing w:after="0"/>
      </w:pPr>
    </w:p>
    <w:p w14:paraId="4BC803CB" w14:textId="77777777" w:rsidR="00A77049" w:rsidRDefault="00A77049" w:rsidP="00A77049">
      <w:pPr>
        <w:pStyle w:val="Heading5"/>
        <w:spacing w:before="0"/>
      </w:pPr>
      <w:r>
        <w:t>Workforce</w:t>
      </w:r>
    </w:p>
    <w:p w14:paraId="53466DF8" w14:textId="77777777" w:rsidR="00A77049" w:rsidRDefault="00A77049" w:rsidP="00A77049">
      <w:pPr>
        <w:pStyle w:val="Heading6"/>
      </w:pPr>
      <w:r>
        <w:t>Benefits</w:t>
      </w:r>
    </w:p>
    <w:p w14:paraId="4FF59A29" w14:textId="28096770" w:rsidR="00A77049" w:rsidRDefault="00A77049" w:rsidP="00A77049">
      <w:r>
        <w:t>Increase in both pay and conditions, with</w:t>
      </w:r>
      <w:r w:rsidR="00701A5E">
        <w:t xml:space="preserve"> potential for</w:t>
      </w:r>
      <w:r>
        <w:t xml:space="preserve"> future wage increases built into the workplace instrument for the term of operation.</w:t>
      </w:r>
    </w:p>
    <w:p w14:paraId="1C27F349" w14:textId="77C91182" w:rsidR="00A77049" w:rsidRDefault="00A66308" w:rsidP="00A77049">
      <w:r w:rsidRPr="004E2D48">
        <w:t xml:space="preserve">Should funding be phased </w:t>
      </w:r>
      <w:r w:rsidR="00CE4651" w:rsidRPr="004E2D48">
        <w:t>from a low percentage during the first year</w:t>
      </w:r>
      <w:r w:rsidR="00F82C37" w:rsidRPr="004E2D48">
        <w:t>,</w:t>
      </w:r>
      <w:r w:rsidR="00495043" w:rsidRPr="004E2D48">
        <w:t xml:space="preserve"> improvements to attraction and retention</w:t>
      </w:r>
      <w:r w:rsidR="00AF4F6B" w:rsidRPr="004E2D48">
        <w:t xml:space="preserve"> may potentially </w:t>
      </w:r>
      <w:r w:rsidR="00495043" w:rsidRPr="004E2D48">
        <w:t>remain unrealised until funding increases to 15 per cent.</w:t>
      </w:r>
      <w:r w:rsidR="00A77049">
        <w:t xml:space="preserve">  </w:t>
      </w:r>
    </w:p>
    <w:p w14:paraId="5B896CC4" w14:textId="030E051F" w:rsidR="00A77049" w:rsidRDefault="2DCE3277" w:rsidP="00A77049">
      <w:r>
        <w:t>The workplace instrument requirement</w:t>
      </w:r>
      <w:r w:rsidR="66DAC0D1">
        <w:t xml:space="preserve"> will</w:t>
      </w:r>
      <w:r>
        <w:t xml:space="preserve"> </w:t>
      </w:r>
      <w:r w:rsidR="64663384">
        <w:t xml:space="preserve">potentially </w:t>
      </w:r>
      <w:r>
        <w:t xml:space="preserve">increase </w:t>
      </w:r>
      <w:r w:rsidR="66DAC0D1">
        <w:t>sector workplace bargaining engagement</w:t>
      </w:r>
      <w:r w:rsidR="1E71E2D7">
        <w:t xml:space="preserve"> </w:t>
      </w:r>
      <w:r w:rsidR="099535E8">
        <w:t>f</w:t>
      </w:r>
      <w:r w:rsidR="1E71E2D7">
        <w:t xml:space="preserve">or this traditionally award reliant sector, </w:t>
      </w:r>
      <w:r w:rsidR="73CFBF17">
        <w:t xml:space="preserve">driving professionalism in </w:t>
      </w:r>
      <w:r w:rsidR="1E71E2D7">
        <w:t>the heavily female dominated workforce. There is also a high likelihood that this option will see an uplift in conditions across the sector</w:t>
      </w:r>
      <w:r w:rsidR="21C8FCA5">
        <w:t>.</w:t>
      </w:r>
      <w:r w:rsidR="1E71E2D7">
        <w:t xml:space="preserve"> </w:t>
      </w:r>
    </w:p>
    <w:p w14:paraId="31F676A3" w14:textId="7FD85B29" w:rsidR="00F621A7" w:rsidRPr="00EF127D" w:rsidRDefault="01662706" w:rsidP="00A77049">
      <w:r>
        <w:t xml:space="preserve">Whilst the industry is calling for a minimum 25 per cent wage increase, </w:t>
      </w:r>
      <w:r w:rsidR="00FC08DB">
        <w:t xml:space="preserve">together with the suite of </w:t>
      </w:r>
      <w:r w:rsidR="008947CB">
        <w:t xml:space="preserve">ECEC </w:t>
      </w:r>
      <w:r w:rsidR="00FC08DB">
        <w:t xml:space="preserve">workforce </w:t>
      </w:r>
      <w:r w:rsidR="008947CB">
        <w:t>initiatives currently underway and in place,</w:t>
      </w:r>
      <w:r w:rsidR="007961B0">
        <w:rPr>
          <w:rStyle w:val="FootnoteReference"/>
        </w:rPr>
        <w:footnoteReference w:id="109"/>
      </w:r>
      <w:r w:rsidR="008947CB">
        <w:t xml:space="preserve"> </w:t>
      </w:r>
      <w:r>
        <w:t>a 15 per cent wage increase is expected to positively impact the sector</w:t>
      </w:r>
      <w:r w:rsidR="00D75ABD">
        <w:t xml:space="preserve">. </w:t>
      </w:r>
      <w:r w:rsidR="0039706C">
        <w:t>T</w:t>
      </w:r>
      <w:r w:rsidR="00D75ABD">
        <w:t xml:space="preserve">he increase will </w:t>
      </w:r>
      <w:r w:rsidR="00752118">
        <w:t xml:space="preserve">likely </w:t>
      </w:r>
      <w:r>
        <w:t xml:space="preserve">bring in new entrants and part-time workers picking up additional hours. </w:t>
      </w:r>
    </w:p>
    <w:p w14:paraId="421E762B" w14:textId="77777777" w:rsidR="00A77049" w:rsidRDefault="00A77049" w:rsidP="00A77049">
      <w:pPr>
        <w:pStyle w:val="Heading6"/>
      </w:pPr>
      <w:r>
        <w:t xml:space="preserve">Costs </w:t>
      </w:r>
    </w:p>
    <w:p w14:paraId="25A816BB" w14:textId="77777777" w:rsidR="00A77049" w:rsidRDefault="00A77049" w:rsidP="00A77049">
      <w:r>
        <w:t>There is not expected to be any administrative or regulatory cost to workers under this option.</w:t>
      </w:r>
    </w:p>
    <w:p w14:paraId="3C7CC5DF" w14:textId="77777777" w:rsidR="00A77049" w:rsidRDefault="00A77049" w:rsidP="00A77049">
      <w:pPr>
        <w:pStyle w:val="Heading5"/>
      </w:pPr>
      <w:r>
        <w:lastRenderedPageBreak/>
        <w:t>Families</w:t>
      </w:r>
    </w:p>
    <w:p w14:paraId="19BFCFDC" w14:textId="77777777" w:rsidR="00A77049" w:rsidRDefault="00A77049" w:rsidP="00A77049">
      <w:pPr>
        <w:pStyle w:val="Heading6"/>
      </w:pPr>
      <w:r>
        <w:t>Benefits</w:t>
      </w:r>
    </w:p>
    <w:p w14:paraId="6E95E836" w14:textId="1C1953E0" w:rsidR="00A77049" w:rsidRDefault="00A77049" w:rsidP="00A77049">
      <w:r>
        <w:t xml:space="preserve">A wage increase </w:t>
      </w:r>
      <w:r w:rsidR="00B7182D">
        <w:t>that improves</w:t>
      </w:r>
      <w:r>
        <w:t xml:space="preserve"> ECEC workforce attraction and retention </w:t>
      </w:r>
      <w:r w:rsidR="00B7182D">
        <w:t>would</w:t>
      </w:r>
      <w:r>
        <w:t xml:space="preserve"> benefit families who have not been able to access care in the past because of the workforce shortage.</w:t>
      </w:r>
    </w:p>
    <w:p w14:paraId="07FA4FCA" w14:textId="77777777" w:rsidR="00A77049" w:rsidRDefault="00A77049" w:rsidP="00A77049">
      <w:pPr>
        <w:pStyle w:val="Heading6"/>
      </w:pPr>
      <w:r>
        <w:t>Costs</w:t>
      </w:r>
    </w:p>
    <w:p w14:paraId="28D3A8B7" w14:textId="77777777" w:rsidR="00A77049" w:rsidRDefault="00A77049" w:rsidP="00A77049">
      <w:r>
        <w:t xml:space="preserve">There is not expected to be any administrative or regulatory costs to families under this option. </w:t>
      </w:r>
    </w:p>
    <w:p w14:paraId="14040441" w14:textId="1B2A8AC9" w:rsidR="00121DCD" w:rsidRDefault="00C201B9" w:rsidP="00A77049">
      <w:r>
        <w:t>Whilst it is expected that the wage increase provided to workers will align with the funding provided, t</w:t>
      </w:r>
      <w:r w:rsidR="00B7182D">
        <w:t>here is a</w:t>
      </w:r>
      <w:r w:rsidR="00A77049">
        <w:t xml:space="preserve"> risk that out-of-pocket costs may increase for families</w:t>
      </w:r>
      <w:r w:rsidR="000742F1">
        <w:t xml:space="preserve"> if wage increases are higher than the government funding. As </w:t>
      </w:r>
      <w:r w:rsidR="00A23A69">
        <w:t>any additional wage increase (beyond the funding amount)</w:t>
      </w:r>
      <w:r w:rsidR="002C5615">
        <w:t xml:space="preserve"> </w:t>
      </w:r>
      <w:r w:rsidR="00A23A69">
        <w:t>is</w:t>
      </w:r>
      <w:r w:rsidR="002315B7">
        <w:t xml:space="preserve"> determined at the workplace level</w:t>
      </w:r>
      <w:r w:rsidR="00515F90">
        <w:t>,</w:t>
      </w:r>
      <w:r w:rsidR="002315B7">
        <w:t xml:space="preserve"> it is difficult to model the </w:t>
      </w:r>
      <w:r w:rsidR="00B7559F">
        <w:t xml:space="preserve">scope </w:t>
      </w:r>
      <w:r w:rsidR="002C5615">
        <w:t>of this issue</w:t>
      </w:r>
      <w:r w:rsidR="00121DCD">
        <w:t>.</w:t>
      </w:r>
    </w:p>
    <w:p w14:paraId="739E788D" w14:textId="2A2E3BF7" w:rsidR="00E06508" w:rsidRDefault="00F713FF" w:rsidP="00A77049">
      <w:r>
        <w:t>T</w:t>
      </w:r>
      <w:r w:rsidR="00BC1671">
        <w:t xml:space="preserve">he affordability condition would </w:t>
      </w:r>
      <w:r w:rsidR="002C2EA8">
        <w:t xml:space="preserve">mitigate </w:t>
      </w:r>
      <w:r>
        <w:t xml:space="preserve">the risk of </w:t>
      </w:r>
      <w:r w:rsidR="00F87FFC">
        <w:t>high increases to out-of-pocket costs</w:t>
      </w:r>
      <w:r w:rsidR="00622D98">
        <w:t xml:space="preserve"> for families</w:t>
      </w:r>
      <w:r w:rsidR="00EC44D2">
        <w:t>, as the fee growth constraint will limit the increases that services are allowed to implement</w:t>
      </w:r>
      <w:r w:rsidR="00D82136">
        <w:t xml:space="preserve">, however </w:t>
      </w:r>
      <w:r w:rsidR="007A61F6">
        <w:t>several factors for this condition are yet to be settled</w:t>
      </w:r>
      <w:r w:rsidR="00E06508">
        <w:t xml:space="preserve">. </w:t>
      </w:r>
      <w:r w:rsidR="00A77049">
        <w:t>As such, whil</w:t>
      </w:r>
      <w:r w:rsidR="0097175C">
        <w:t>e</w:t>
      </w:r>
      <w:r w:rsidR="00A77049">
        <w:t xml:space="preserve"> the condition is expected to maintain affordability for families, </w:t>
      </w:r>
      <w:r w:rsidR="006936C6">
        <w:t xml:space="preserve">its actual impact remains unclear. </w:t>
      </w:r>
    </w:p>
    <w:p w14:paraId="6C624E61" w14:textId="584AAF71" w:rsidR="00A77049" w:rsidRDefault="001D6B53" w:rsidP="00A77049">
      <w:r>
        <w:t>Whilst there is still a number of variables that</w:t>
      </w:r>
      <w:r w:rsidR="00521793">
        <w:t xml:space="preserve"> need to be settled, </w:t>
      </w:r>
      <w:r w:rsidR="004E6B26">
        <w:t>a</w:t>
      </w:r>
      <w:r w:rsidR="00BA0A56">
        <w:t>n example of the</w:t>
      </w:r>
      <w:r w:rsidR="004E6B26">
        <w:t xml:space="preserve"> </w:t>
      </w:r>
      <w:r w:rsidR="00A77049">
        <w:t>potential cost</w:t>
      </w:r>
      <w:r w:rsidR="00BA0A56">
        <w:t xml:space="preserve"> increase</w:t>
      </w:r>
      <w:r w:rsidR="00A77049">
        <w:t xml:space="preserve"> to </w:t>
      </w:r>
      <w:r w:rsidR="006D2D30">
        <w:t xml:space="preserve">families </w:t>
      </w:r>
      <w:r w:rsidR="00BA0A56">
        <w:t>is</w:t>
      </w:r>
      <w:r w:rsidR="00A77049">
        <w:t xml:space="preserve"> outlined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EE6FF" w:themeFill="background2" w:themeFillTint="33"/>
        <w:tblLook w:val="04A0" w:firstRow="1" w:lastRow="0" w:firstColumn="1" w:lastColumn="0" w:noHBand="0" w:noVBand="1"/>
      </w:tblPr>
      <w:tblGrid>
        <w:gridCol w:w="9016"/>
      </w:tblGrid>
      <w:tr w:rsidR="00A77049" w14:paraId="0C08EA1E" w14:textId="77777777" w:rsidTr="29A029EE">
        <w:tc>
          <w:tcPr>
            <w:tcW w:w="9016" w:type="dxa"/>
            <w:shd w:val="clear" w:color="auto" w:fill="AEE6FF" w:themeFill="background2" w:themeFillTint="33"/>
          </w:tcPr>
          <w:p w14:paraId="1265CBD0" w14:textId="4ABF472D" w:rsidR="00A77049" w:rsidRPr="004E2D48" w:rsidRDefault="00A77049">
            <w:pPr>
              <w:rPr>
                <w:b/>
                <w:bCs/>
              </w:rPr>
            </w:pPr>
            <w:r w:rsidRPr="004E2D48">
              <w:rPr>
                <w:b/>
                <w:bCs/>
              </w:rPr>
              <w:t xml:space="preserve">Example </w:t>
            </w:r>
            <w:r w:rsidR="000953BD">
              <w:rPr>
                <w:b/>
                <w:bCs/>
              </w:rPr>
              <w:t>–</w:t>
            </w:r>
            <w:r w:rsidRPr="004E2D48">
              <w:rPr>
                <w:b/>
                <w:bCs/>
              </w:rPr>
              <w:t xml:space="preserve"> Impact on Families – 15 per cent initial wage uplift </w:t>
            </w:r>
            <w:r w:rsidR="00BA0A56" w:rsidRPr="004E2D48">
              <w:rPr>
                <w:b/>
                <w:bCs/>
              </w:rPr>
              <w:t>ECEC workers</w:t>
            </w:r>
            <w:r w:rsidRPr="004E2D48">
              <w:rPr>
                <w:b/>
                <w:bCs/>
              </w:rPr>
              <w:t>. Government funding phases from 7.5 per cent in year one to 15 per cent in</w:t>
            </w:r>
            <w:r w:rsidRPr="004E2D48" w:rsidDel="00A77049">
              <w:rPr>
                <w:b/>
                <w:bCs/>
              </w:rPr>
              <w:t xml:space="preserve"> year </w:t>
            </w:r>
            <w:r w:rsidRPr="004E2D48">
              <w:rPr>
                <w:b/>
                <w:bCs/>
              </w:rPr>
              <w:t xml:space="preserve">two and three. </w:t>
            </w:r>
          </w:p>
          <w:p w14:paraId="33B234DF" w14:textId="6695965C" w:rsidR="00A77049" w:rsidRPr="004E2D48" w:rsidRDefault="006A30A1">
            <w:pPr>
              <w:pStyle w:val="ListParagraph"/>
              <w:numPr>
                <w:ilvl w:val="0"/>
                <w:numId w:val="42"/>
              </w:numPr>
              <w:spacing w:before="100" w:beforeAutospacing="1" w:afterAutospacing="1"/>
            </w:pPr>
            <w:r w:rsidRPr="004E2D48">
              <w:rPr>
                <w:i/>
                <w:iCs/>
              </w:rPr>
              <w:t xml:space="preserve">The </w:t>
            </w:r>
            <w:r w:rsidR="009543CB" w:rsidRPr="004E2D48">
              <w:rPr>
                <w:i/>
                <w:iCs/>
              </w:rPr>
              <w:t xml:space="preserve">average </w:t>
            </w:r>
            <w:r w:rsidR="00111D68" w:rsidRPr="004E2D48">
              <w:rPr>
                <w:i/>
                <w:iCs/>
              </w:rPr>
              <w:t xml:space="preserve">annual </w:t>
            </w:r>
            <w:r w:rsidR="009543CB" w:rsidRPr="004E2D48">
              <w:rPr>
                <w:i/>
                <w:iCs/>
              </w:rPr>
              <w:t xml:space="preserve">increase in </w:t>
            </w:r>
            <w:r w:rsidR="001E4804" w:rsidRPr="004E2D48">
              <w:rPr>
                <w:i/>
                <w:iCs/>
              </w:rPr>
              <w:t>out-of-pocket</w:t>
            </w:r>
            <w:r w:rsidR="009543CB" w:rsidRPr="004E2D48">
              <w:rPr>
                <w:i/>
                <w:iCs/>
              </w:rPr>
              <w:t xml:space="preserve"> costs </w:t>
            </w:r>
            <w:r w:rsidR="009770AD" w:rsidRPr="004E2D48">
              <w:rPr>
                <w:i/>
                <w:iCs/>
              </w:rPr>
              <w:t xml:space="preserve">for Australian families </w:t>
            </w:r>
            <w:r w:rsidR="001F63A2" w:rsidRPr="004E2D48">
              <w:rPr>
                <w:i/>
                <w:iCs/>
              </w:rPr>
              <w:t>is approximately $357</w:t>
            </w:r>
            <w:r w:rsidR="001F0FE5" w:rsidRPr="004E2D48">
              <w:rPr>
                <w:i/>
                <w:iCs/>
              </w:rPr>
              <w:t xml:space="preserve"> (averaged across all income thresholds)</w:t>
            </w:r>
          </w:p>
          <w:p w14:paraId="2EC9ACF7" w14:textId="1F003916" w:rsidR="0044273D" w:rsidRPr="004E2D48" w:rsidRDefault="001E6BC9">
            <w:pPr>
              <w:pStyle w:val="ListParagraph"/>
              <w:numPr>
                <w:ilvl w:val="0"/>
                <w:numId w:val="42"/>
              </w:numPr>
              <w:spacing w:before="100" w:beforeAutospacing="1" w:afterAutospacing="1"/>
              <w:rPr>
                <w:i/>
                <w:iCs/>
              </w:rPr>
            </w:pPr>
            <w:r w:rsidRPr="004E2D48">
              <w:rPr>
                <w:i/>
                <w:iCs/>
              </w:rPr>
              <w:t>In accordance with ACCC findings,</w:t>
            </w:r>
            <w:r w:rsidR="00BE11DD" w:rsidRPr="004E2D48">
              <w:rPr>
                <w:rStyle w:val="FootnoteReference"/>
                <w:i/>
                <w:iCs/>
              </w:rPr>
              <w:footnoteReference w:id="110"/>
            </w:r>
            <w:r w:rsidRPr="004E2D48">
              <w:rPr>
                <w:i/>
                <w:iCs/>
              </w:rPr>
              <w:t xml:space="preserve"> </w:t>
            </w:r>
            <w:r w:rsidR="00613035" w:rsidRPr="004E2D48">
              <w:rPr>
                <w:i/>
                <w:iCs/>
              </w:rPr>
              <w:t>any</w:t>
            </w:r>
            <w:r w:rsidRPr="004E2D48">
              <w:rPr>
                <w:i/>
                <w:iCs/>
              </w:rPr>
              <w:t xml:space="preserve"> increase </w:t>
            </w:r>
            <w:r w:rsidR="003A586A" w:rsidRPr="004E2D48">
              <w:rPr>
                <w:i/>
                <w:iCs/>
              </w:rPr>
              <w:t xml:space="preserve">in out-of-pocket expenses </w:t>
            </w:r>
            <w:r w:rsidR="00BE11DD" w:rsidRPr="004E2D48">
              <w:rPr>
                <w:i/>
                <w:iCs/>
              </w:rPr>
              <w:t>distortionary impacts low-income families.</w:t>
            </w:r>
            <w:r w:rsidR="0044273D" w:rsidRPr="004E2D48">
              <w:rPr>
                <w:i/>
                <w:iCs/>
              </w:rPr>
              <w:t xml:space="preserve"> In this example, out-of-pocket costs for f</w:t>
            </w:r>
            <w:r w:rsidR="00BE11DD" w:rsidRPr="004E2D48">
              <w:rPr>
                <w:i/>
                <w:iCs/>
              </w:rPr>
              <w:t>amilies</w:t>
            </w:r>
            <w:r w:rsidR="0044273D" w:rsidRPr="004E2D48">
              <w:rPr>
                <w:i/>
                <w:iCs/>
              </w:rPr>
              <w:t>:</w:t>
            </w:r>
          </w:p>
          <w:p w14:paraId="19ED3CE0" w14:textId="77777777" w:rsidR="0044273D" w:rsidRPr="004E2D48" w:rsidRDefault="0044273D" w:rsidP="0044273D">
            <w:pPr>
              <w:pStyle w:val="ListParagraph"/>
              <w:numPr>
                <w:ilvl w:val="1"/>
                <w:numId w:val="42"/>
              </w:numPr>
              <w:spacing w:before="100" w:beforeAutospacing="1" w:afterAutospacing="1"/>
              <w:rPr>
                <w:i/>
                <w:iCs/>
              </w:rPr>
            </w:pPr>
            <w:r w:rsidRPr="004E2D48">
              <w:rPr>
                <w:i/>
                <w:iCs/>
              </w:rPr>
              <w:t xml:space="preserve">earning </w:t>
            </w:r>
            <w:r w:rsidR="00BE11DD" w:rsidRPr="004E2D48">
              <w:rPr>
                <w:i/>
                <w:iCs/>
              </w:rPr>
              <w:t xml:space="preserve">less than </w:t>
            </w:r>
            <w:r w:rsidR="00CB53C8" w:rsidRPr="004E2D48">
              <w:rPr>
                <w:i/>
                <w:iCs/>
              </w:rPr>
              <w:t>$</w:t>
            </w:r>
            <w:r w:rsidR="00BE11DD" w:rsidRPr="004E2D48">
              <w:rPr>
                <w:i/>
                <w:iCs/>
              </w:rPr>
              <w:t>80</w:t>
            </w:r>
            <w:r w:rsidR="00CB53C8" w:rsidRPr="004E2D48">
              <w:rPr>
                <w:i/>
                <w:iCs/>
              </w:rPr>
              <w:t xml:space="preserve">,000 per year </w:t>
            </w:r>
            <w:r w:rsidRPr="004E2D48">
              <w:rPr>
                <w:i/>
                <w:iCs/>
              </w:rPr>
              <w:t>increase by 7 per cent</w:t>
            </w:r>
            <w:r w:rsidR="006964AF" w:rsidRPr="004E2D48">
              <w:rPr>
                <w:i/>
                <w:iCs/>
              </w:rPr>
              <w:t xml:space="preserve"> </w:t>
            </w:r>
          </w:p>
          <w:p w14:paraId="59503FDE" w14:textId="55348C22" w:rsidR="005E16D8" w:rsidRPr="004E2D48" w:rsidRDefault="005E16D8" w:rsidP="0044273D">
            <w:pPr>
              <w:pStyle w:val="ListParagraph"/>
              <w:numPr>
                <w:ilvl w:val="1"/>
                <w:numId w:val="42"/>
              </w:numPr>
              <w:spacing w:before="100" w:beforeAutospacing="1" w:afterAutospacing="1"/>
              <w:rPr>
                <w:i/>
                <w:iCs/>
              </w:rPr>
            </w:pPr>
            <w:r w:rsidRPr="004E2D48">
              <w:rPr>
                <w:i/>
                <w:iCs/>
              </w:rPr>
              <w:t xml:space="preserve">earning </w:t>
            </w:r>
            <w:r w:rsidR="005A219E" w:rsidRPr="004E2D48">
              <w:rPr>
                <w:i/>
                <w:iCs/>
              </w:rPr>
              <w:t xml:space="preserve">between $183,000 and </w:t>
            </w:r>
            <w:r w:rsidR="008E001E" w:rsidRPr="004E2D48">
              <w:rPr>
                <w:i/>
                <w:iCs/>
              </w:rPr>
              <w:t>$</w:t>
            </w:r>
            <w:r w:rsidR="00993617" w:rsidRPr="004E2D48">
              <w:rPr>
                <w:i/>
                <w:iCs/>
              </w:rPr>
              <w:t>262</w:t>
            </w:r>
            <w:r w:rsidR="008E001E" w:rsidRPr="004E2D48">
              <w:rPr>
                <w:i/>
                <w:iCs/>
              </w:rPr>
              <w:t xml:space="preserve">,000 increase by </w:t>
            </w:r>
            <w:r w:rsidR="00EC1AE4" w:rsidRPr="004E2D48">
              <w:rPr>
                <w:i/>
                <w:iCs/>
              </w:rPr>
              <w:t>5.9 per cent</w:t>
            </w:r>
          </w:p>
          <w:p w14:paraId="6648A5AE" w14:textId="5E38A4DF" w:rsidR="001F0FE5" w:rsidRPr="009669D5" w:rsidRDefault="002623F0" w:rsidP="009669D5">
            <w:pPr>
              <w:pStyle w:val="ListParagraph"/>
              <w:numPr>
                <w:ilvl w:val="1"/>
                <w:numId w:val="42"/>
              </w:numPr>
              <w:spacing w:before="100" w:beforeAutospacing="1" w:afterAutospacing="1"/>
              <w:rPr>
                <w:i/>
                <w:iCs/>
              </w:rPr>
            </w:pPr>
            <w:r w:rsidRPr="004E2D48">
              <w:rPr>
                <w:i/>
                <w:iCs/>
              </w:rPr>
              <w:t xml:space="preserve">earning over </w:t>
            </w:r>
            <w:r w:rsidR="008E3134" w:rsidRPr="004E2D48">
              <w:rPr>
                <w:i/>
                <w:iCs/>
              </w:rPr>
              <w:t>$530,000</w:t>
            </w:r>
            <w:r w:rsidR="005E16D8" w:rsidRPr="004E2D48">
              <w:rPr>
                <w:i/>
                <w:iCs/>
              </w:rPr>
              <w:t xml:space="preserve"> per year</w:t>
            </w:r>
            <w:r w:rsidR="00794226" w:rsidRPr="004E2D48">
              <w:rPr>
                <w:i/>
                <w:iCs/>
              </w:rPr>
              <w:t xml:space="preserve"> </w:t>
            </w:r>
            <w:r w:rsidR="005E16D8" w:rsidRPr="004E2D48">
              <w:rPr>
                <w:i/>
                <w:iCs/>
              </w:rPr>
              <w:t>increase by 3.45 per cent</w:t>
            </w:r>
          </w:p>
        </w:tc>
      </w:tr>
    </w:tbl>
    <w:p w14:paraId="299C40E7" w14:textId="77777777" w:rsidR="002E2B61" w:rsidRPr="002E2B61" w:rsidRDefault="002E2B61" w:rsidP="002E2B61"/>
    <w:p w14:paraId="2DE92062" w14:textId="77777777" w:rsidR="00A77049" w:rsidRDefault="00A77049" w:rsidP="00A77049">
      <w:pPr>
        <w:pStyle w:val="Heading5"/>
      </w:pPr>
      <w:r>
        <w:t>Providers</w:t>
      </w:r>
    </w:p>
    <w:p w14:paraId="638C2817" w14:textId="77777777" w:rsidR="00A77049" w:rsidRDefault="00A77049" w:rsidP="00A77049">
      <w:pPr>
        <w:pStyle w:val="Heading6"/>
      </w:pPr>
      <w:r>
        <w:t>Benefits</w:t>
      </w:r>
    </w:p>
    <w:p w14:paraId="12EAE80E" w14:textId="43C1FF1E" w:rsidR="00A77049" w:rsidRDefault="006D2D30" w:rsidP="00A77049">
      <w:r>
        <w:t>It</w:t>
      </w:r>
      <w:r w:rsidR="00A77049">
        <w:t xml:space="preserve"> is expected that providers would benefit from the impacts that a wage increase has on enhanced attraction, retention, culture and productivity of the ECEC workforce.</w:t>
      </w:r>
    </w:p>
    <w:p w14:paraId="58D51190" w14:textId="77777777" w:rsidR="00A77049" w:rsidRDefault="10CB36EC" w:rsidP="00A77049">
      <w:r>
        <w:t>A 2023 Report by Dandolo Partners for the Australian Childcare Alliance</w:t>
      </w:r>
      <w:r w:rsidR="00A77049">
        <w:rPr>
          <w:rStyle w:val="FootnoteReference"/>
        </w:rPr>
        <w:footnoteReference w:id="111"/>
      </w:r>
      <w:r>
        <w:t xml:space="preserve"> found that a direct wage subsidy significantly mitigates risks to service viability.</w:t>
      </w:r>
    </w:p>
    <w:p w14:paraId="010FAF29" w14:textId="77777777" w:rsidR="00A77049" w:rsidRDefault="00A77049" w:rsidP="00A77049">
      <w:pPr>
        <w:pStyle w:val="Heading6"/>
      </w:pPr>
      <w:r>
        <w:t>Costs</w:t>
      </w:r>
    </w:p>
    <w:p w14:paraId="51BF764F" w14:textId="271A5806" w:rsidR="00A77049" w:rsidRDefault="00A77049" w:rsidP="00A77049">
      <w:r>
        <w:t xml:space="preserve">There is expected to be a regulatory impact for providers in signing up to the grant agreement and complying with all relevant conditions, including the affordability condition. </w:t>
      </w:r>
      <w:r w:rsidRPr="001F21FD">
        <w:t xml:space="preserve">Providers </w:t>
      </w:r>
      <w:r>
        <w:t>would</w:t>
      </w:r>
      <w:r w:rsidRPr="001F21FD">
        <w:t xml:space="preserve"> need to </w:t>
      </w:r>
      <w:r w:rsidRPr="001F21FD">
        <w:lastRenderedPageBreak/>
        <w:t>complete an application form in</w:t>
      </w:r>
      <w:r>
        <w:t xml:space="preserve"> </w:t>
      </w:r>
      <w:r w:rsidRPr="001F21FD">
        <w:t>order to receive funding under the grant agreement. The Department will develop a process allowing providers to apply and will require information</w:t>
      </w:r>
      <w:r w:rsidR="00433CB7">
        <w:t>,</w:t>
      </w:r>
      <w:r w:rsidRPr="001F21FD">
        <w:t xml:space="preserve"> such as provider and individual service C</w:t>
      </w:r>
      <w:r w:rsidR="00922A25">
        <w:t xml:space="preserve">ustomer </w:t>
      </w:r>
      <w:r w:rsidRPr="001F21FD">
        <w:t>R</w:t>
      </w:r>
      <w:r w:rsidR="00922A25">
        <w:t xml:space="preserve">eference </w:t>
      </w:r>
      <w:r w:rsidRPr="001F21FD">
        <w:t>N</w:t>
      </w:r>
      <w:r w:rsidR="00922A25">
        <w:t>umber</w:t>
      </w:r>
      <w:r w:rsidRPr="001F21FD">
        <w:t>s. The application process is not expected to be onerous</w:t>
      </w:r>
      <w:r>
        <w:t>.</w:t>
      </w:r>
    </w:p>
    <w:p w14:paraId="392A9A4E" w14:textId="3C80D049" w:rsidR="00A77049" w:rsidRDefault="00A77049" w:rsidP="00A77049">
      <w:r w:rsidRPr="00216B8D">
        <w:t xml:space="preserve">As ongoing funding will be calculated using data derived from the Childcare Subsidy System, which providers already utilise to report </w:t>
      </w:r>
      <w:proofErr w:type="gramStart"/>
      <w:r w:rsidR="00CA3650">
        <w:t>child care</w:t>
      </w:r>
      <w:proofErr w:type="gramEnd"/>
      <w:r w:rsidRPr="00216B8D">
        <w:t xml:space="preserve"> attendance and enrolment information for CCS purposes, there is not expected to be additional significant ongoing administrative burden.  </w:t>
      </w:r>
    </w:p>
    <w:p w14:paraId="326E6CF7" w14:textId="01690B26" w:rsidR="00A77049" w:rsidRDefault="00274EB8" w:rsidP="00A77049">
      <w:r>
        <w:t>There are additional</w:t>
      </w:r>
      <w:r w:rsidR="00A77049">
        <w:t xml:space="preserve"> regulatory impacts for providers</w:t>
      </w:r>
      <w:r w:rsidR="00047AFE">
        <w:t xml:space="preserve"> as they engage in </w:t>
      </w:r>
      <w:r w:rsidR="00232015">
        <w:t xml:space="preserve">a relevant workplace instrument </w:t>
      </w:r>
      <w:r w:rsidR="00047AFE">
        <w:t xml:space="preserve">process to become eligible for </w:t>
      </w:r>
      <w:r w:rsidR="007A16D2">
        <w:t>funding.</w:t>
      </w:r>
      <w:r w:rsidR="005F036E">
        <w:t xml:space="preserve"> There will be differing regulatory implications across the secto</w:t>
      </w:r>
      <w:r w:rsidR="003A4FA3">
        <w:t>r as</w:t>
      </w:r>
      <w:r w:rsidR="00232015">
        <w:t xml:space="preserve"> providers </w:t>
      </w:r>
      <w:r w:rsidR="001F63C9">
        <w:t xml:space="preserve">and workers select the most suitable instrument for their </w:t>
      </w:r>
      <w:r w:rsidR="00025A56">
        <w:t>circumstances</w:t>
      </w:r>
      <w:r w:rsidR="001048D6">
        <w:t>.</w:t>
      </w:r>
      <w:r w:rsidR="00A77049">
        <w:t xml:space="preserve"> Many smaller providers have </w:t>
      </w:r>
      <w:r w:rsidR="00025A56">
        <w:t>used the relevant award to determine pay and conditions and have</w:t>
      </w:r>
      <w:r w:rsidR="00A77049" w:rsidRPr="00A26435">
        <w:t xml:space="preserve"> limited understanding of how</w:t>
      </w:r>
      <w:r w:rsidR="00025A56">
        <w:t xml:space="preserve"> other</w:t>
      </w:r>
      <w:r w:rsidR="00A77049" w:rsidRPr="00A26435">
        <w:t xml:space="preserve"> </w:t>
      </w:r>
      <w:r w:rsidR="00025A56">
        <w:t>workplace</w:t>
      </w:r>
      <w:r w:rsidR="00025A56" w:rsidRPr="00A26435">
        <w:t xml:space="preserve"> </w:t>
      </w:r>
      <w:r w:rsidR="00A77049" w:rsidRPr="00A26435">
        <w:t>instruments</w:t>
      </w:r>
      <w:r w:rsidR="00025A56">
        <w:t xml:space="preserve"> are implemented and</w:t>
      </w:r>
      <w:r w:rsidR="00A77049" w:rsidRPr="00A26435">
        <w:t xml:space="preserve"> operate. </w:t>
      </w:r>
      <w:r w:rsidR="002B5D81">
        <w:t xml:space="preserve">However, </w:t>
      </w:r>
      <w:r w:rsidR="001A3F61">
        <w:t>the requirement to have a</w:t>
      </w:r>
      <w:r w:rsidR="00025A56">
        <w:t xml:space="preserve"> compliant workplace instrument </w:t>
      </w:r>
      <w:r w:rsidR="001A3F61">
        <w:t xml:space="preserve">is expected to significantly reduce </w:t>
      </w:r>
      <w:r w:rsidR="00C22E1E">
        <w:t xml:space="preserve">ongoing compliance </w:t>
      </w:r>
      <w:r w:rsidR="004B1D03">
        <w:t xml:space="preserve">reporting for providers. </w:t>
      </w:r>
    </w:p>
    <w:p w14:paraId="51571646" w14:textId="469B3BDA" w:rsidR="00A77049" w:rsidRDefault="00A77049" w:rsidP="00A77049">
      <w:r>
        <w:t xml:space="preserve">Should providers seek assistance from employer associations to put in place the required </w:t>
      </w:r>
      <w:r w:rsidR="00025A56">
        <w:t>workplace instruments</w:t>
      </w:r>
      <w:r>
        <w:t xml:space="preserve">, it is expected that there would be costs associated with </w:t>
      </w:r>
      <w:r w:rsidR="00D76AA3">
        <w:t>utilising these services</w:t>
      </w:r>
      <w:r>
        <w:t xml:space="preserve"> of approximately $3</w:t>
      </w:r>
      <w:r w:rsidR="007940C3">
        <w:t>,</w:t>
      </w:r>
      <w:r>
        <w:t>000 to $5</w:t>
      </w:r>
      <w:r w:rsidR="007940C3">
        <w:t>,</w:t>
      </w:r>
      <w:r>
        <w:t>000 to the provider</w:t>
      </w:r>
      <w:r w:rsidR="00D76AA3">
        <w:t>, dependant on the</w:t>
      </w:r>
      <w:r w:rsidR="00EE3105">
        <w:t xml:space="preserve"> type of</w:t>
      </w:r>
      <w:r w:rsidR="00D76AA3">
        <w:t xml:space="preserve"> instrument</w:t>
      </w:r>
      <w:r w:rsidR="00EE3105">
        <w:t>s.</w:t>
      </w:r>
    </w:p>
    <w:p w14:paraId="112AC265" w14:textId="59314417" w:rsidR="00F42DFE" w:rsidRDefault="00F42DFE" w:rsidP="007D5715">
      <w:pPr>
        <w:pStyle w:val="Heading6"/>
      </w:pPr>
      <w:r>
        <w:t>Labour mobility</w:t>
      </w:r>
    </w:p>
    <w:p w14:paraId="7E913767" w14:textId="211C37FA" w:rsidR="002B4BB0" w:rsidRPr="009209EE" w:rsidRDefault="00472095">
      <w:r>
        <w:t>It is</w:t>
      </w:r>
      <w:r w:rsidR="00B918F1">
        <w:t xml:space="preserve"> possible</w:t>
      </w:r>
      <w:r w:rsidR="00F07BFB">
        <w:t xml:space="preserve"> that some workers may move to work for providers that offer </w:t>
      </w:r>
      <w:r w:rsidR="003E6A01">
        <w:t xml:space="preserve">higher wages as a result of </w:t>
      </w:r>
      <w:r w:rsidR="004006D7">
        <w:t>providers’</w:t>
      </w:r>
      <w:r w:rsidR="003E6A01">
        <w:t xml:space="preserve"> participation in the Worker Retention Payment program</w:t>
      </w:r>
      <w:r w:rsidR="002B4BB0">
        <w:t>. However,</w:t>
      </w:r>
      <w:r w:rsidR="005E45BD">
        <w:t xml:space="preserve"> data from the 2021</w:t>
      </w:r>
      <w:r w:rsidR="00DC057F">
        <w:t xml:space="preserve"> ECEC</w:t>
      </w:r>
      <w:r w:rsidR="005E45BD">
        <w:t xml:space="preserve"> </w:t>
      </w:r>
      <w:r w:rsidR="00DC057F">
        <w:t>W</w:t>
      </w:r>
      <w:r w:rsidR="005E45BD">
        <w:t xml:space="preserve">orkforce </w:t>
      </w:r>
      <w:r w:rsidR="00DC057F">
        <w:t>C</w:t>
      </w:r>
      <w:r w:rsidR="005E45BD">
        <w:t>ensus indicates that</w:t>
      </w:r>
      <w:r w:rsidR="0020009A">
        <w:t xml:space="preserve"> notwithstanding the impact of the Worker Retention Payment</w:t>
      </w:r>
      <w:r w:rsidR="00D34C3E">
        <w:t>,</w:t>
      </w:r>
      <w:r w:rsidR="004A570B">
        <w:t xml:space="preserve"> the risk of labour mobility is inherent with</w:t>
      </w:r>
      <w:r w:rsidR="00D34C3E">
        <w:t xml:space="preserve"> </w:t>
      </w:r>
      <w:r w:rsidR="00D21CDD">
        <w:t xml:space="preserve">a range of </w:t>
      </w:r>
      <w:r w:rsidR="00D452C6">
        <w:t>pay rates</w:t>
      </w:r>
      <w:r w:rsidR="00642760">
        <w:t xml:space="preserve"> already</w:t>
      </w:r>
      <w:r w:rsidR="00D452C6">
        <w:t xml:space="preserve"> exist</w:t>
      </w:r>
      <w:r w:rsidR="004A570B">
        <w:t>ing</w:t>
      </w:r>
      <w:r w:rsidR="00642760">
        <w:t xml:space="preserve"> </w:t>
      </w:r>
      <w:r w:rsidR="00015B8A">
        <w:t>with</w:t>
      </w:r>
      <w:r w:rsidR="00B918F1">
        <w:t>in ECEC</w:t>
      </w:r>
      <w:r w:rsidR="004A570B">
        <w:t xml:space="preserve">. For </w:t>
      </w:r>
      <w:r w:rsidR="004A570B" w:rsidRPr="009209EE">
        <w:t>example,</w:t>
      </w:r>
      <w:r w:rsidR="007D5840" w:rsidRPr="009209EE">
        <w:t xml:space="preserve"> </w:t>
      </w:r>
      <w:r w:rsidR="005E45BD" w:rsidRPr="009209EE">
        <w:t xml:space="preserve">57 per cent of contact LDC staff and 69 per cent of contact OSHC staff </w:t>
      </w:r>
      <w:r w:rsidR="00642760" w:rsidRPr="009209EE">
        <w:t>being paid</w:t>
      </w:r>
      <w:r w:rsidR="005E45BD" w:rsidRPr="009209EE">
        <w:t xml:space="preserve"> at award rates, while approximately 34 per cent of LDC staff, and approximately 19 per cent of OSHC contact </w:t>
      </w:r>
      <w:r w:rsidR="00015B8A" w:rsidRPr="009209EE">
        <w:t>being paid above</w:t>
      </w:r>
      <w:r w:rsidR="005E45BD" w:rsidRPr="009209EE">
        <w:t xml:space="preserve"> award rates.</w:t>
      </w:r>
      <w:r w:rsidR="00E4794B" w:rsidRPr="009209EE">
        <w:rPr>
          <w:rStyle w:val="FootnoteReference"/>
        </w:rPr>
        <w:footnoteReference w:id="112"/>
      </w:r>
    </w:p>
    <w:p w14:paraId="7A27D56E" w14:textId="4C53FD53" w:rsidR="00472095" w:rsidRDefault="00365AC3">
      <w:r w:rsidRPr="009209EE">
        <w:t>Additionally</w:t>
      </w:r>
      <w:r w:rsidR="2B3EBC31" w:rsidRPr="009209EE">
        <w:t>,</w:t>
      </w:r>
      <w:r w:rsidR="004006D7" w:rsidRPr="009209EE">
        <w:t xml:space="preserve"> given the take</w:t>
      </w:r>
      <w:r w:rsidR="0043140D" w:rsidRPr="009209EE">
        <w:t>-</w:t>
      </w:r>
      <w:r w:rsidR="004006D7" w:rsidRPr="009209EE">
        <w:t xml:space="preserve">up rate </w:t>
      </w:r>
      <w:r w:rsidR="001204DB" w:rsidRPr="009209EE">
        <w:t xml:space="preserve">is </w:t>
      </w:r>
      <w:r w:rsidR="00277614" w:rsidRPr="009209EE">
        <w:t>expected</w:t>
      </w:r>
      <w:r w:rsidR="00E33BB9" w:rsidRPr="009209EE">
        <w:t xml:space="preserve"> t</w:t>
      </w:r>
      <w:r w:rsidR="008B47B3" w:rsidRPr="009209EE">
        <w:t>o be relatively high</w:t>
      </w:r>
      <w:r w:rsidR="00277614" w:rsidRPr="009209EE">
        <w:t xml:space="preserve"> at 75 per cent for the first year</w:t>
      </w:r>
      <w:r w:rsidR="001204DB" w:rsidRPr="009209EE">
        <w:t>,</w:t>
      </w:r>
      <w:r w:rsidR="00277614" w:rsidRPr="009209EE">
        <w:t xml:space="preserve"> and 85 per cent for the second </w:t>
      </w:r>
      <w:r w:rsidR="00D7348C" w:rsidRPr="009209EE">
        <w:t xml:space="preserve">(if funding is phased), staff movement </w:t>
      </w:r>
      <w:r w:rsidR="001106C4" w:rsidRPr="009209EE">
        <w:t>to higher paying providers</w:t>
      </w:r>
      <w:r w:rsidR="001204DB" w:rsidRPr="009209EE">
        <w:t xml:space="preserve"> </w:t>
      </w:r>
      <w:r w:rsidR="00AA0ED7" w:rsidRPr="009209EE">
        <w:t>is not expected to be exacerbated beyond current levels</w:t>
      </w:r>
      <w:r w:rsidR="001204DB" w:rsidRPr="009209EE">
        <w:t xml:space="preserve"> </w:t>
      </w:r>
      <w:r w:rsidR="00E45125" w:rsidRPr="009209EE">
        <w:t xml:space="preserve">and </w:t>
      </w:r>
      <w:r w:rsidR="006E1221" w:rsidRPr="009209EE">
        <w:t xml:space="preserve">is </w:t>
      </w:r>
      <w:r w:rsidR="00555D59" w:rsidRPr="009209EE">
        <w:t>not likely to cause significant disruptions to LDC and OSHC</w:t>
      </w:r>
      <w:r w:rsidR="00F42DFE" w:rsidRPr="009209EE">
        <w:t xml:space="preserve"> services.</w:t>
      </w:r>
      <w:r w:rsidR="00E45125" w:rsidRPr="009209EE">
        <w:t xml:space="preserve"> </w:t>
      </w:r>
      <w:r w:rsidR="002B2A48" w:rsidRPr="009209EE">
        <w:t xml:space="preserve">The Government will also investigate alternative approaches for managing FDC and IHC providers </w:t>
      </w:r>
      <w:r w:rsidR="00042BE1" w:rsidRPr="009209EE">
        <w:t>which will minimise negative impacts of staff movement from</w:t>
      </w:r>
      <w:r w:rsidR="00042BE1">
        <w:t xml:space="preserve"> these sectors. </w:t>
      </w:r>
      <w:r w:rsidR="00555D59">
        <w:t xml:space="preserve"> </w:t>
      </w:r>
    </w:p>
    <w:p w14:paraId="7AEC3750" w14:textId="77777777" w:rsidR="00A77049" w:rsidRDefault="00A77049" w:rsidP="00A77049">
      <w:pPr>
        <w:pStyle w:val="Heading5"/>
      </w:pPr>
      <w:r>
        <w:t>Government</w:t>
      </w:r>
    </w:p>
    <w:p w14:paraId="53130287" w14:textId="77777777" w:rsidR="00A77049" w:rsidRDefault="00A77049" w:rsidP="00A77049">
      <w:pPr>
        <w:pStyle w:val="Heading6"/>
      </w:pPr>
      <w:r>
        <w:t>Benefits</w:t>
      </w:r>
    </w:p>
    <w:p w14:paraId="4636E5A3" w14:textId="4B967ACD" w:rsidR="004C4D13" w:rsidRDefault="004C4D13" w:rsidP="004C4D13">
      <w:r>
        <w:t xml:space="preserve">Providing funding in support of a wage increase will meet the expectations of stakeholders across the ECEC </w:t>
      </w:r>
      <w:proofErr w:type="gramStart"/>
      <w:r>
        <w:t xml:space="preserve">sector, </w:t>
      </w:r>
      <w:r w:rsidR="00E31799">
        <w:t>and</w:t>
      </w:r>
      <w:proofErr w:type="gramEnd"/>
      <w:r w:rsidR="00E31799">
        <w:t xml:space="preserve"> </w:t>
      </w:r>
      <w:r>
        <w:t xml:space="preserve">support the </w:t>
      </w:r>
      <w:r w:rsidR="008B55D1">
        <w:t>female</w:t>
      </w:r>
      <w:r w:rsidR="00601D69">
        <w:t>-</w:t>
      </w:r>
      <w:r w:rsidR="008B55D1">
        <w:t>dominated</w:t>
      </w:r>
      <w:r>
        <w:t xml:space="preserve"> ECEC sector and the Government’s gender equality agenda. It supports and considers </w:t>
      </w:r>
      <w:r w:rsidR="008B55D1">
        <w:t xml:space="preserve">the </w:t>
      </w:r>
      <w:r>
        <w:t xml:space="preserve">workforce, wage, and provider cost findings of the ACCC Childcare Inquiry and allows time for Government to consider recommendations to broader sector </w:t>
      </w:r>
      <w:r w:rsidR="005B2417">
        <w:t xml:space="preserve">reforms </w:t>
      </w:r>
      <w:r>
        <w:t xml:space="preserve">that arise from the </w:t>
      </w:r>
      <w:r w:rsidR="00A40FA1">
        <w:t>PC</w:t>
      </w:r>
      <w:r>
        <w:t xml:space="preserve"> Inquiry final report.</w:t>
      </w:r>
    </w:p>
    <w:p w14:paraId="43146FE3" w14:textId="77777777" w:rsidR="004C4D13" w:rsidRDefault="004C4D13" w:rsidP="004C4D13">
      <w:r>
        <w:lastRenderedPageBreak/>
        <w:t xml:space="preserve">An increase in ECEC accessibility for families due to increased ECEC workforce attraction and retention will also contribute to increasing broader workforce participation, particularly the participation of women who are more likely to reduce hours or leave the workforce when they cannot secure </w:t>
      </w:r>
      <w:proofErr w:type="gramStart"/>
      <w:r>
        <w:t>child care</w:t>
      </w:r>
      <w:proofErr w:type="gramEnd"/>
      <w:r>
        <w:t>.</w:t>
      </w:r>
    </w:p>
    <w:p w14:paraId="2B479BC4" w14:textId="5639BB9C" w:rsidR="00A77049" w:rsidRDefault="00A77049" w:rsidP="00A77049">
      <w:pPr>
        <w:rPr>
          <w:i/>
          <w:iCs/>
        </w:rPr>
      </w:pPr>
      <w:r>
        <w:t xml:space="preserve">This option incentivises workplace bargaining and would be a positive </w:t>
      </w:r>
      <w:r w:rsidR="00B51045">
        <w:t>step forward</w:t>
      </w:r>
      <w:r>
        <w:t xml:space="preserve"> for the workforce </w:t>
      </w:r>
      <w:r w:rsidR="00C359C1">
        <w:t>since</w:t>
      </w:r>
      <w:r>
        <w:t xml:space="preserve"> the Government’s reforms introduced through the </w:t>
      </w:r>
      <w:r>
        <w:rPr>
          <w:i/>
          <w:iCs/>
        </w:rPr>
        <w:t>Fair Work Legislation Amendment (Secure Jobs, Better Pay) Act 2022.</w:t>
      </w:r>
    </w:p>
    <w:p w14:paraId="5828D482" w14:textId="0D9906D6" w:rsidR="00E756EE" w:rsidRPr="00FF7C5E" w:rsidRDefault="00E756EE" w:rsidP="00A77049">
      <w:r>
        <w:t>The</w:t>
      </w:r>
      <w:r w:rsidRPr="00670EA3">
        <w:t xml:space="preserve"> Victorian Government has had success with a similar policy where additional funding is provided to preschool and kindergarten employers who are either under a prescribed multi-enterprise agreement, or a separate EA offering equivalent wages.</w:t>
      </w:r>
      <w:r w:rsidR="00342B1A">
        <w:rPr>
          <w:rStyle w:val="FootnoteReference"/>
        </w:rPr>
        <w:footnoteReference w:id="113"/>
      </w:r>
      <w:r w:rsidRPr="00670EA3">
        <w:t xml:space="preserve"> Experience with the Victorian approach suggests that it has served to promote enterprise bargaining in the Victorian preschool sector, ensuring Government funding is spent on paying reasonable wages which has the highest impact on the quality of care provided.    </w:t>
      </w:r>
    </w:p>
    <w:p w14:paraId="752F8A23" w14:textId="77777777" w:rsidR="00A77049" w:rsidRDefault="00A77049" w:rsidP="00A77049">
      <w:pPr>
        <w:pStyle w:val="Heading6"/>
      </w:pPr>
      <w:r>
        <w:t>Costs</w:t>
      </w:r>
    </w:p>
    <w:p w14:paraId="367F119A" w14:textId="30590C40" w:rsidR="00A77049" w:rsidRPr="00670EA3" w:rsidRDefault="00574EE7" w:rsidP="00A77049">
      <w:r>
        <w:t xml:space="preserve">It will be critical to </w:t>
      </w:r>
      <w:r w:rsidR="00980EF6">
        <w:t>provide a</w:t>
      </w:r>
      <w:r w:rsidR="00A77049">
        <w:t xml:space="preserve"> w</w:t>
      </w:r>
      <w:r w:rsidR="00A77049" w:rsidRPr="00670EA3">
        <w:t xml:space="preserve">ell-developed communications plan to </w:t>
      </w:r>
      <w:r w:rsidR="00AA79A3">
        <w:t>support</w:t>
      </w:r>
      <w:r w:rsidR="00A77049" w:rsidRPr="00670EA3">
        <w:t xml:space="preserve"> the sector</w:t>
      </w:r>
      <w:r w:rsidR="00AA79A3">
        <w:t>’s</w:t>
      </w:r>
      <w:r w:rsidR="00A77049" w:rsidRPr="00670EA3">
        <w:t xml:space="preserve"> engage</w:t>
      </w:r>
      <w:r w:rsidR="00B5732B">
        <w:t>ment</w:t>
      </w:r>
      <w:r w:rsidR="00A77049" w:rsidRPr="00670EA3">
        <w:t xml:space="preserve"> with </w:t>
      </w:r>
      <w:r w:rsidR="0051501A">
        <w:t>enterprise bargaining</w:t>
      </w:r>
      <w:r w:rsidR="00A77049" w:rsidRPr="00670EA3">
        <w:t xml:space="preserve"> </w:t>
      </w:r>
      <w:r w:rsidR="00B77EA5">
        <w:t>(or</w:t>
      </w:r>
      <w:r w:rsidR="00721B82">
        <w:t xml:space="preserve"> other workplace instruments)</w:t>
      </w:r>
      <w:r w:rsidR="009169A8">
        <w:t xml:space="preserve"> </w:t>
      </w:r>
      <w:r w:rsidR="00416EC9">
        <w:t xml:space="preserve">and understand the purpose of the </w:t>
      </w:r>
      <w:r w:rsidR="0009292A">
        <w:t>Worker R</w:t>
      </w:r>
      <w:r w:rsidR="00416EC9">
        <w:t xml:space="preserve">etention </w:t>
      </w:r>
      <w:r w:rsidR="0009292A">
        <w:t>P</w:t>
      </w:r>
      <w:r w:rsidR="00416EC9">
        <w:t>ayment</w:t>
      </w:r>
      <w:r w:rsidR="00FB3D57">
        <w:t>. This will</w:t>
      </w:r>
      <w:r w:rsidR="00A77049" w:rsidRPr="00670EA3">
        <w:t xml:space="preserve"> </w:t>
      </w:r>
      <w:r w:rsidR="00020D36" w:rsidRPr="00670EA3">
        <w:t>support</w:t>
      </w:r>
      <w:r w:rsidR="00A77049" w:rsidRPr="00670EA3">
        <w:t xml:space="preserve"> providers who face difficulties in navigating the workplace relations system</w:t>
      </w:r>
      <w:r w:rsidR="006D3677">
        <w:t>,</w:t>
      </w:r>
      <w:r w:rsidR="00A77049" w:rsidRPr="00670EA3">
        <w:t xml:space="preserve"> or who see enterprise bargaining as administratively burdensome. Registered organisations and unions have expressed willingness to support the sector through the EA development process.  </w:t>
      </w:r>
    </w:p>
    <w:p w14:paraId="10B22F98" w14:textId="65102C5A" w:rsidR="00561E91" w:rsidRDefault="2F6F214F" w:rsidP="00561E91">
      <w:r>
        <w:t>Option Three has indicative costs of $</w:t>
      </w:r>
      <w:r w:rsidR="47916A3E">
        <w:t>3</w:t>
      </w:r>
      <w:r w:rsidR="0596BA3C">
        <w:t xml:space="preserve"> to 4</w:t>
      </w:r>
      <w:r w:rsidR="47916A3E">
        <w:t xml:space="preserve"> </w:t>
      </w:r>
      <w:r>
        <w:t xml:space="preserve">billion over </w:t>
      </w:r>
      <w:r w:rsidR="26005C2C">
        <w:t>two</w:t>
      </w:r>
      <w:r>
        <w:t xml:space="preserve"> years</w:t>
      </w:r>
      <w:r w:rsidR="25DD61B7">
        <w:t xml:space="preserve"> based on a phased </w:t>
      </w:r>
      <w:r w:rsidR="0596BA3C">
        <w:t>approach</w:t>
      </w:r>
      <w:r w:rsidR="30E6EF1E">
        <w:t xml:space="preserve"> which commences at </w:t>
      </w:r>
      <w:r w:rsidR="78E516D9">
        <w:t>10</w:t>
      </w:r>
      <w:r w:rsidR="30E6EF1E">
        <w:t xml:space="preserve"> per cent for the first year and</w:t>
      </w:r>
      <w:r w:rsidR="65CAA0D3">
        <w:t xml:space="preserve"> at</w:t>
      </w:r>
      <w:r w:rsidR="30E6EF1E">
        <w:t xml:space="preserve"> 15 per cent for the second year</w:t>
      </w:r>
      <w:r w:rsidR="1A052E4A">
        <w:t>.</w:t>
      </w:r>
      <w:r>
        <w:t xml:space="preserve">    </w:t>
      </w:r>
    </w:p>
    <w:p w14:paraId="10E32ECB" w14:textId="626F58B6" w:rsidR="00A77049" w:rsidRPr="00DC723A" w:rsidRDefault="2F6F214F" w:rsidP="00A77049">
      <w:r>
        <w:t>There</w:t>
      </w:r>
      <w:r w:rsidR="1E71E2D7">
        <w:t xml:space="preserve"> </w:t>
      </w:r>
      <w:r w:rsidR="69FF5B58">
        <w:t>are</w:t>
      </w:r>
      <w:r w:rsidR="1E71E2D7">
        <w:t xml:space="preserve"> Departmental costs associated with the additional Commonwealth resources required to ensure appropriate governance, accountability and compliance with the grant agreement.  </w:t>
      </w:r>
      <w:r w:rsidR="117675EE">
        <w:t>There are also</w:t>
      </w:r>
      <w:r w:rsidR="1E71E2D7">
        <w:t xml:space="preserve"> </w:t>
      </w:r>
      <w:r w:rsidR="5CB38775">
        <w:t xml:space="preserve">ICT </w:t>
      </w:r>
      <w:r w:rsidR="1E71E2D7">
        <w:t xml:space="preserve">costs associated </w:t>
      </w:r>
      <w:r w:rsidR="7AB74C02">
        <w:t xml:space="preserve">for </w:t>
      </w:r>
      <w:r w:rsidR="7D183BAF">
        <w:t xml:space="preserve">the Department and </w:t>
      </w:r>
      <w:r w:rsidR="1E71E2D7">
        <w:t>Services Australia to support the</w:t>
      </w:r>
      <w:r w:rsidR="7D183BAF">
        <w:t xml:space="preserve"> delivery of</w:t>
      </w:r>
      <w:r w:rsidR="1E71E2D7">
        <w:t xml:space="preserve"> payment</w:t>
      </w:r>
      <w:r w:rsidR="7D183BAF">
        <w:t>s</w:t>
      </w:r>
      <w:r w:rsidR="1E71E2D7">
        <w:t xml:space="preserve"> to</w:t>
      </w:r>
      <w:r w:rsidR="7D8F23E8">
        <w:t xml:space="preserve"> participating</w:t>
      </w:r>
      <w:r w:rsidR="1E71E2D7">
        <w:t xml:space="preserve"> providers.</w:t>
      </w:r>
    </w:p>
    <w:p w14:paraId="7686ECF9" w14:textId="77777777" w:rsidR="00A77049" w:rsidRDefault="00A77049" w:rsidP="00A77049">
      <w:pPr>
        <w:pStyle w:val="Heading4"/>
      </w:pPr>
      <w:bookmarkStart w:id="59" w:name="_Toc160805618"/>
      <w:bookmarkStart w:id="60" w:name="_Toc162963663"/>
      <w:bookmarkStart w:id="61" w:name="_Toc219193881"/>
      <w:r>
        <w:t>Regulatory costs</w:t>
      </w:r>
      <w:bookmarkEnd w:id="59"/>
      <w:bookmarkEnd w:id="60"/>
      <w:bookmarkEnd w:id="61"/>
    </w:p>
    <w:p w14:paraId="313DF462" w14:textId="04509927" w:rsidR="00A77049" w:rsidRDefault="00A77049" w:rsidP="00A77049">
      <w:r>
        <w:t>The regulatory costs associated with Option Three are provided in Table</w:t>
      </w:r>
      <w:r w:rsidR="00C04646">
        <w:t>s</w:t>
      </w:r>
      <w:r>
        <w:t xml:space="preserve"> 3 </w:t>
      </w:r>
      <w:r w:rsidR="00020D36">
        <w:t xml:space="preserve">and </w:t>
      </w:r>
      <w:r>
        <w:t>4 below</w:t>
      </w:r>
      <w:r w:rsidR="002348F0">
        <w:t>,</w:t>
      </w:r>
      <w:r>
        <w:t xml:space="preserve"> based on the Regulatory Burden Measurement Framework. </w:t>
      </w:r>
    </w:p>
    <w:p w14:paraId="30D52B0B" w14:textId="23101B07" w:rsidR="00A77049" w:rsidRDefault="00A77049" w:rsidP="00A77049">
      <w:r>
        <w:t xml:space="preserve">Table 3 outlines the regulatory costs associated with the adoption of a FWC approved </w:t>
      </w:r>
      <w:r w:rsidR="00FB3D57">
        <w:t>EA</w:t>
      </w:r>
      <w:r>
        <w:t xml:space="preserve"> for providers within the 2024-25 financial year. These costs may be different for LDC providers</w:t>
      </w:r>
      <w:r w:rsidR="007E4D14">
        <w:t>,</w:t>
      </w:r>
      <w:r>
        <w:t xml:space="preserve"> dependant on whether they have an existing EA that needs to be varied, do not have an existing EA and either choose to join the supported bargaining agreement or bargain within the workplace for their own. The OSHC </w:t>
      </w:r>
      <w:r w:rsidR="7BF87E1C">
        <w:t xml:space="preserve">sector </w:t>
      </w:r>
      <w:r>
        <w:t xml:space="preserve">does not have the option to join the supported bargaining </w:t>
      </w:r>
      <w:r w:rsidR="00172C4A">
        <w:t>process</w:t>
      </w:r>
      <w:r>
        <w:t>.</w:t>
      </w:r>
    </w:p>
    <w:p w14:paraId="0FC54DF7" w14:textId="5E2556BB" w:rsidR="00780AED" w:rsidRPr="004E2D48" w:rsidRDefault="000904CC" w:rsidP="009669D5">
      <w:pPr>
        <w:shd w:val="clear" w:color="auto" w:fill="D0F1FC" w:themeFill="accent3" w:themeFillTint="33"/>
        <w:rPr>
          <w:b/>
          <w:bCs/>
        </w:rPr>
      </w:pPr>
      <w:r w:rsidRPr="004E2D48">
        <w:rPr>
          <w:b/>
          <w:bCs/>
        </w:rPr>
        <w:t>Note: r</w:t>
      </w:r>
      <w:r w:rsidR="006D32FE" w:rsidRPr="004E2D48">
        <w:rPr>
          <w:b/>
          <w:bCs/>
        </w:rPr>
        <w:t xml:space="preserve">egulatory costs have not been </w:t>
      </w:r>
      <w:r w:rsidRPr="004E2D48">
        <w:rPr>
          <w:b/>
          <w:bCs/>
        </w:rPr>
        <w:t>included</w:t>
      </w:r>
      <w:r w:rsidR="006D32FE" w:rsidRPr="004E2D48">
        <w:rPr>
          <w:b/>
          <w:bCs/>
        </w:rPr>
        <w:t xml:space="preserve"> for </w:t>
      </w:r>
      <w:r w:rsidR="009D5E25" w:rsidRPr="004E2D48">
        <w:rPr>
          <w:b/>
          <w:bCs/>
        </w:rPr>
        <w:t xml:space="preserve">the implementation of </w:t>
      </w:r>
      <w:r w:rsidR="00F82C37" w:rsidRPr="004E2D48">
        <w:rPr>
          <w:b/>
          <w:bCs/>
        </w:rPr>
        <w:t>I</w:t>
      </w:r>
      <w:r w:rsidR="009D5E25" w:rsidRPr="004E2D48">
        <w:rPr>
          <w:b/>
          <w:bCs/>
        </w:rPr>
        <w:t xml:space="preserve">ndividual </w:t>
      </w:r>
      <w:r w:rsidR="00F82C37" w:rsidRPr="004E2D48">
        <w:rPr>
          <w:b/>
          <w:bCs/>
        </w:rPr>
        <w:t>F</w:t>
      </w:r>
      <w:r w:rsidR="009D5E25" w:rsidRPr="004E2D48">
        <w:rPr>
          <w:b/>
          <w:bCs/>
        </w:rPr>
        <w:t xml:space="preserve">lexibility </w:t>
      </w:r>
      <w:r w:rsidR="00F82C37" w:rsidRPr="004E2D48">
        <w:rPr>
          <w:b/>
          <w:bCs/>
        </w:rPr>
        <w:t>A</w:t>
      </w:r>
      <w:r w:rsidR="009D5E25" w:rsidRPr="004E2D48">
        <w:rPr>
          <w:b/>
          <w:bCs/>
        </w:rPr>
        <w:t xml:space="preserve">rrangements </w:t>
      </w:r>
      <w:r w:rsidR="00FB171E" w:rsidRPr="004E2D48">
        <w:rPr>
          <w:b/>
          <w:bCs/>
        </w:rPr>
        <w:t xml:space="preserve">(IFA) </w:t>
      </w:r>
      <w:r w:rsidR="009D5E25" w:rsidRPr="004E2D48">
        <w:rPr>
          <w:b/>
          <w:bCs/>
        </w:rPr>
        <w:t>under relevant modern award</w:t>
      </w:r>
      <w:r w:rsidR="00C528A3" w:rsidRPr="004E2D48">
        <w:rPr>
          <w:b/>
          <w:bCs/>
        </w:rPr>
        <w:t>s</w:t>
      </w:r>
      <w:r w:rsidR="00241D9A" w:rsidRPr="004E2D48">
        <w:rPr>
          <w:b/>
          <w:bCs/>
        </w:rPr>
        <w:t xml:space="preserve"> or</w:t>
      </w:r>
      <w:r w:rsidR="00453FE6" w:rsidRPr="004E2D48">
        <w:rPr>
          <w:b/>
          <w:bCs/>
        </w:rPr>
        <w:t xml:space="preserve"> for workplace determinations</w:t>
      </w:r>
      <w:r w:rsidRPr="004E2D48">
        <w:rPr>
          <w:b/>
          <w:bCs/>
        </w:rPr>
        <w:t>.</w:t>
      </w:r>
    </w:p>
    <w:p w14:paraId="370EB582" w14:textId="4BA2479D" w:rsidR="006D32FE" w:rsidRPr="004E2D48" w:rsidRDefault="00780AED" w:rsidP="009669D5">
      <w:pPr>
        <w:shd w:val="clear" w:color="auto" w:fill="D0F1FC" w:themeFill="accent3" w:themeFillTint="33"/>
        <w:rPr>
          <w:b/>
          <w:bCs/>
        </w:rPr>
      </w:pPr>
      <w:r w:rsidRPr="004E2D48">
        <w:rPr>
          <w:b/>
          <w:bCs/>
        </w:rPr>
        <w:t>IFAs have not be</w:t>
      </w:r>
      <w:r w:rsidR="008D1466" w:rsidRPr="004E2D48">
        <w:rPr>
          <w:b/>
          <w:bCs/>
        </w:rPr>
        <w:t>en included</w:t>
      </w:r>
      <w:r w:rsidR="00982146">
        <w:rPr>
          <w:b/>
          <w:bCs/>
        </w:rPr>
        <w:t xml:space="preserve"> largely</w:t>
      </w:r>
      <w:r w:rsidR="000741C0" w:rsidRPr="004E2D48">
        <w:rPr>
          <w:b/>
          <w:bCs/>
        </w:rPr>
        <w:t xml:space="preserve"> </w:t>
      </w:r>
      <w:r w:rsidR="008D1466" w:rsidRPr="004E2D48">
        <w:rPr>
          <w:b/>
          <w:bCs/>
        </w:rPr>
        <w:t>d</w:t>
      </w:r>
      <w:r w:rsidR="000741C0" w:rsidRPr="004E2D48">
        <w:rPr>
          <w:b/>
          <w:bCs/>
        </w:rPr>
        <w:t>ue to the individual nature of these arrangements</w:t>
      </w:r>
      <w:r w:rsidR="00D8730E" w:rsidRPr="004E2D48">
        <w:rPr>
          <w:b/>
          <w:bCs/>
        </w:rPr>
        <w:t xml:space="preserve"> </w:t>
      </w:r>
      <w:r w:rsidR="002A02B0" w:rsidRPr="004E2D48">
        <w:rPr>
          <w:b/>
          <w:bCs/>
        </w:rPr>
        <w:t>at the workplace level</w:t>
      </w:r>
      <w:r w:rsidR="008E5861">
        <w:rPr>
          <w:b/>
          <w:bCs/>
        </w:rPr>
        <w:t>.</w:t>
      </w:r>
      <w:r w:rsidR="002A02B0" w:rsidRPr="004E2D48">
        <w:rPr>
          <w:b/>
          <w:bCs/>
        </w:rPr>
        <w:t xml:space="preserve"> </w:t>
      </w:r>
      <w:r w:rsidR="008E5861">
        <w:rPr>
          <w:b/>
          <w:bCs/>
        </w:rPr>
        <w:t>T</w:t>
      </w:r>
      <w:r w:rsidR="00D8730E" w:rsidRPr="004E2D48">
        <w:rPr>
          <w:b/>
          <w:bCs/>
        </w:rPr>
        <w:t xml:space="preserve">ogether with the varying size of businesses and number of </w:t>
      </w:r>
      <w:r w:rsidR="00B55024" w:rsidRPr="004E2D48">
        <w:rPr>
          <w:b/>
          <w:bCs/>
        </w:rPr>
        <w:t>workers</w:t>
      </w:r>
      <w:r w:rsidR="00F82C37" w:rsidRPr="004E2D48">
        <w:rPr>
          <w:b/>
          <w:bCs/>
        </w:rPr>
        <w:t>,</w:t>
      </w:r>
      <w:r w:rsidR="00B55024" w:rsidRPr="004E2D48">
        <w:rPr>
          <w:b/>
          <w:bCs/>
        </w:rPr>
        <w:t xml:space="preserve"> </w:t>
      </w:r>
      <w:r w:rsidR="00EB4904" w:rsidRPr="004E2D48">
        <w:rPr>
          <w:b/>
          <w:bCs/>
        </w:rPr>
        <w:t xml:space="preserve">it is not possible </w:t>
      </w:r>
      <w:r w:rsidR="00EB4904" w:rsidRPr="004E2D48">
        <w:rPr>
          <w:b/>
          <w:bCs/>
        </w:rPr>
        <w:lastRenderedPageBreak/>
        <w:t xml:space="preserve">to estimate </w:t>
      </w:r>
      <w:r w:rsidR="00023D66" w:rsidRPr="004E2D48">
        <w:rPr>
          <w:b/>
          <w:bCs/>
        </w:rPr>
        <w:t>these costs</w:t>
      </w:r>
      <w:r w:rsidR="007C50F7" w:rsidRPr="004E2D48">
        <w:rPr>
          <w:b/>
          <w:bCs/>
        </w:rPr>
        <w:t>. Based on factors such as</w:t>
      </w:r>
      <w:r w:rsidR="00EC65C9" w:rsidRPr="004E2D48">
        <w:rPr>
          <w:b/>
          <w:bCs/>
        </w:rPr>
        <w:t xml:space="preserve"> business size, instrument</w:t>
      </w:r>
      <w:r w:rsidR="007C50F7" w:rsidRPr="004E2D48">
        <w:rPr>
          <w:b/>
          <w:bCs/>
        </w:rPr>
        <w:t xml:space="preserve"> complexity and </w:t>
      </w:r>
      <w:r w:rsidR="00B746D4" w:rsidRPr="004E2D48">
        <w:rPr>
          <w:b/>
          <w:bCs/>
        </w:rPr>
        <w:t>engag</w:t>
      </w:r>
      <w:r w:rsidR="00946232">
        <w:rPr>
          <w:b/>
          <w:bCs/>
        </w:rPr>
        <w:t>ement</w:t>
      </w:r>
      <w:r w:rsidR="00B746D4" w:rsidRPr="004E2D48">
        <w:rPr>
          <w:b/>
          <w:bCs/>
        </w:rPr>
        <w:t xml:space="preserve"> with </w:t>
      </w:r>
      <w:r w:rsidR="007C50F7" w:rsidRPr="004E2D48">
        <w:rPr>
          <w:b/>
          <w:bCs/>
        </w:rPr>
        <w:t>FWC process</w:t>
      </w:r>
      <w:r w:rsidR="00EC65C9" w:rsidRPr="004E2D48">
        <w:rPr>
          <w:b/>
          <w:bCs/>
        </w:rPr>
        <w:t>es</w:t>
      </w:r>
      <w:r w:rsidR="007C50F7" w:rsidRPr="004E2D48">
        <w:rPr>
          <w:b/>
          <w:bCs/>
        </w:rPr>
        <w:t>, it is likely that</w:t>
      </w:r>
      <w:r w:rsidR="00B746D4" w:rsidRPr="004E2D48">
        <w:rPr>
          <w:b/>
          <w:bCs/>
        </w:rPr>
        <w:t xml:space="preserve"> for some business</w:t>
      </w:r>
      <w:r w:rsidR="00151B7E" w:rsidRPr="004E2D48">
        <w:rPr>
          <w:b/>
          <w:bCs/>
        </w:rPr>
        <w:t xml:space="preserve"> types</w:t>
      </w:r>
      <w:r w:rsidR="00A30EBF" w:rsidRPr="004E2D48">
        <w:rPr>
          <w:b/>
          <w:bCs/>
        </w:rPr>
        <w:t>,</w:t>
      </w:r>
      <w:r w:rsidR="007C50F7" w:rsidRPr="004E2D48">
        <w:rPr>
          <w:b/>
          <w:bCs/>
        </w:rPr>
        <w:t xml:space="preserve"> implementing an IFA for each worker</w:t>
      </w:r>
      <w:r w:rsidR="00FB171E" w:rsidRPr="004E2D48">
        <w:rPr>
          <w:b/>
          <w:bCs/>
        </w:rPr>
        <w:t xml:space="preserve"> </w:t>
      </w:r>
      <w:r w:rsidR="002667C2" w:rsidRPr="004E2D48">
        <w:rPr>
          <w:b/>
          <w:bCs/>
        </w:rPr>
        <w:t xml:space="preserve">would </w:t>
      </w:r>
      <w:r w:rsidR="00C25459" w:rsidRPr="004E2D48">
        <w:rPr>
          <w:b/>
          <w:bCs/>
        </w:rPr>
        <w:t xml:space="preserve">have lower regulatory costs </w:t>
      </w:r>
      <w:r w:rsidR="002F4C84" w:rsidRPr="004E2D48">
        <w:rPr>
          <w:b/>
          <w:bCs/>
        </w:rPr>
        <w:t xml:space="preserve">than implementing </w:t>
      </w:r>
      <w:r w:rsidR="00A30EBF" w:rsidRPr="004E2D48">
        <w:rPr>
          <w:b/>
          <w:bCs/>
        </w:rPr>
        <w:t>an EA.</w:t>
      </w:r>
    </w:p>
    <w:p w14:paraId="3C504267" w14:textId="0A8892F0" w:rsidR="008D1466" w:rsidRPr="009669D5" w:rsidRDefault="008D1466" w:rsidP="009669D5">
      <w:pPr>
        <w:shd w:val="clear" w:color="auto" w:fill="D0F1FC" w:themeFill="accent3" w:themeFillTint="33"/>
        <w:rPr>
          <w:b/>
          <w:bCs/>
        </w:rPr>
      </w:pPr>
      <w:r w:rsidRPr="004E2D48">
        <w:rPr>
          <w:b/>
          <w:bCs/>
        </w:rPr>
        <w:t xml:space="preserve">Workplace determinations have not been </w:t>
      </w:r>
      <w:r w:rsidR="005C42A0" w:rsidRPr="004E2D48">
        <w:rPr>
          <w:b/>
          <w:bCs/>
        </w:rPr>
        <w:t xml:space="preserve">separately </w:t>
      </w:r>
      <w:r w:rsidR="00647678" w:rsidRPr="004E2D48">
        <w:rPr>
          <w:b/>
          <w:bCs/>
        </w:rPr>
        <w:t>included as the process generally occurs in the context of enterprise bargaining</w:t>
      </w:r>
      <w:r w:rsidR="00FD53AC" w:rsidRPr="004E2D48">
        <w:rPr>
          <w:b/>
          <w:bCs/>
        </w:rPr>
        <w:t xml:space="preserve"> and is expected to be a</w:t>
      </w:r>
      <w:r w:rsidR="00D74C2B" w:rsidRPr="004E2D48">
        <w:rPr>
          <w:b/>
          <w:bCs/>
        </w:rPr>
        <w:t>n</w:t>
      </w:r>
      <w:r w:rsidR="00FD53AC" w:rsidRPr="004E2D48">
        <w:rPr>
          <w:b/>
          <w:bCs/>
        </w:rPr>
        <w:t xml:space="preserve"> </w:t>
      </w:r>
      <w:r w:rsidR="00D20541" w:rsidRPr="004E2D48">
        <w:rPr>
          <w:b/>
          <w:bCs/>
        </w:rPr>
        <w:t>exceptional occurrence.</w:t>
      </w:r>
      <w:r w:rsidR="00D74C2B" w:rsidRPr="004E2D48">
        <w:rPr>
          <w:b/>
          <w:bCs/>
        </w:rPr>
        <w:t xml:space="preserve"> It is also difficult to predict whether a workplace determination will meet the requirements for Option </w:t>
      </w:r>
      <w:r w:rsidR="0079718B">
        <w:rPr>
          <w:b/>
          <w:bCs/>
        </w:rPr>
        <w:t>Three</w:t>
      </w:r>
      <w:r w:rsidR="00B251C4">
        <w:rPr>
          <w:b/>
          <w:bCs/>
        </w:rPr>
        <w:t>,</w:t>
      </w:r>
      <w:r w:rsidR="00D74C2B" w:rsidRPr="004E2D48">
        <w:rPr>
          <w:b/>
          <w:bCs/>
        </w:rPr>
        <w:t xml:space="preserve"> given their terms are determined by an independent third party.</w:t>
      </w:r>
    </w:p>
    <w:p w14:paraId="7CE11DDC" w14:textId="1590FCC7" w:rsidR="00A77049" w:rsidRDefault="00A77049" w:rsidP="00A77049">
      <w:r>
        <w:t xml:space="preserve">Table 4 outlines the regulatory costs associated with the expected outlays of providers in applying for the funding under a grant agreement from 1 </w:t>
      </w:r>
      <w:r w:rsidR="00633920">
        <w:t>December 2024</w:t>
      </w:r>
      <w:r>
        <w:t>, through to the end of the funding period in the 202</w:t>
      </w:r>
      <w:r w:rsidR="00054B66">
        <w:t>6</w:t>
      </w:r>
      <w:r>
        <w:t>-2</w:t>
      </w:r>
      <w:r w:rsidR="00054B66">
        <w:t>7</w:t>
      </w:r>
      <w:r>
        <w:t xml:space="preserve"> Financial Year.</w:t>
      </w:r>
    </w:p>
    <w:p w14:paraId="63436B18" w14:textId="6EAC095B" w:rsidR="00A77049" w:rsidRDefault="00A77049" w:rsidP="00A77049">
      <w:pPr>
        <w:rPr>
          <w:b/>
          <w:bCs/>
        </w:rPr>
      </w:pPr>
      <w:r>
        <w:rPr>
          <w:b/>
          <w:bCs/>
        </w:rPr>
        <w:t>Table 3: Regulatory burden estimate table for Option Three – Average annual regulatory costs (Adopting an Enterprise Agreement</w:t>
      </w:r>
      <w:r w:rsidR="00527C4D">
        <w:rPr>
          <w:b/>
          <w:bCs/>
        </w:rPr>
        <w:t xml:space="preserve"> – macro impacts</w:t>
      </w:r>
      <w:r>
        <w:rPr>
          <w:b/>
          <w:bCs/>
        </w:rPr>
        <w:t>)</w:t>
      </w:r>
    </w:p>
    <w:tbl>
      <w:tblPr>
        <w:tblStyle w:val="EDU-Basic"/>
        <w:tblW w:w="0" w:type="auto"/>
        <w:tblLook w:val="04A0" w:firstRow="1" w:lastRow="0" w:firstColumn="1" w:lastColumn="0" w:noHBand="0" w:noVBand="1"/>
      </w:tblPr>
      <w:tblGrid>
        <w:gridCol w:w="1696"/>
        <w:gridCol w:w="1910"/>
        <w:gridCol w:w="1803"/>
        <w:gridCol w:w="1803"/>
        <w:gridCol w:w="1804"/>
      </w:tblGrid>
      <w:tr w:rsidR="00A77049" w:rsidRPr="009209EE" w14:paraId="28CCA3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706065" w14:textId="77777777" w:rsidR="00A77049" w:rsidRPr="009209EE" w:rsidRDefault="00A77049">
            <w:r w:rsidRPr="009209EE">
              <w:t>Change in costs ($million)</w:t>
            </w:r>
          </w:p>
        </w:tc>
        <w:tc>
          <w:tcPr>
            <w:tcW w:w="1910" w:type="dxa"/>
          </w:tcPr>
          <w:p w14:paraId="6E2ED303" w14:textId="77777777" w:rsidR="00A77049" w:rsidRPr="009209EE" w:rsidRDefault="00A77049">
            <w:pPr>
              <w:cnfStyle w:val="100000000000" w:firstRow="1" w:lastRow="0" w:firstColumn="0" w:lastColumn="0" w:oddVBand="0" w:evenVBand="0" w:oddHBand="0" w:evenHBand="0" w:firstRowFirstColumn="0" w:firstRowLastColumn="0" w:lastRowFirstColumn="0" w:lastRowLastColumn="0"/>
            </w:pPr>
            <w:r w:rsidRPr="009209EE">
              <w:t>Individuals (families)</w:t>
            </w:r>
          </w:p>
        </w:tc>
        <w:tc>
          <w:tcPr>
            <w:tcW w:w="1803" w:type="dxa"/>
          </w:tcPr>
          <w:p w14:paraId="15620F81" w14:textId="77777777" w:rsidR="00A77049" w:rsidRPr="009209EE" w:rsidRDefault="00A77049">
            <w:pPr>
              <w:cnfStyle w:val="100000000000" w:firstRow="1" w:lastRow="0" w:firstColumn="0" w:lastColumn="0" w:oddVBand="0" w:evenVBand="0" w:oddHBand="0" w:evenHBand="0" w:firstRowFirstColumn="0" w:firstRowLastColumn="0" w:lastRowFirstColumn="0" w:lastRowLastColumn="0"/>
            </w:pPr>
            <w:r w:rsidRPr="009209EE">
              <w:t>Business</w:t>
            </w:r>
          </w:p>
        </w:tc>
        <w:tc>
          <w:tcPr>
            <w:tcW w:w="1803" w:type="dxa"/>
          </w:tcPr>
          <w:p w14:paraId="6DF9939D" w14:textId="77777777" w:rsidR="00A77049" w:rsidRPr="009209EE" w:rsidRDefault="00A77049">
            <w:pPr>
              <w:cnfStyle w:val="100000000000" w:firstRow="1" w:lastRow="0" w:firstColumn="0" w:lastColumn="0" w:oddVBand="0" w:evenVBand="0" w:oddHBand="0" w:evenHBand="0" w:firstRowFirstColumn="0" w:firstRowLastColumn="0" w:lastRowFirstColumn="0" w:lastRowLastColumn="0"/>
            </w:pPr>
            <w:r w:rsidRPr="009209EE">
              <w:t>Community organisations</w:t>
            </w:r>
          </w:p>
        </w:tc>
        <w:tc>
          <w:tcPr>
            <w:tcW w:w="1804" w:type="dxa"/>
          </w:tcPr>
          <w:p w14:paraId="1AA0E061" w14:textId="77777777" w:rsidR="00A77049" w:rsidRPr="009209EE" w:rsidRDefault="00A77049">
            <w:pPr>
              <w:cnfStyle w:val="100000000000" w:firstRow="1" w:lastRow="0" w:firstColumn="0" w:lastColumn="0" w:oddVBand="0" w:evenVBand="0" w:oddHBand="0" w:evenHBand="0" w:firstRowFirstColumn="0" w:firstRowLastColumn="0" w:lastRowFirstColumn="0" w:lastRowLastColumn="0"/>
            </w:pPr>
            <w:r w:rsidRPr="009209EE">
              <w:t>Total change in cost</w:t>
            </w:r>
          </w:p>
        </w:tc>
      </w:tr>
      <w:tr w:rsidR="00A77049" w:rsidRPr="009209EE" w14:paraId="4E00F4D1" w14:textId="77777777">
        <w:tc>
          <w:tcPr>
            <w:cnfStyle w:val="001000000000" w:firstRow="0" w:lastRow="0" w:firstColumn="1" w:lastColumn="0" w:oddVBand="0" w:evenVBand="0" w:oddHBand="0" w:evenHBand="0" w:firstRowFirstColumn="0" w:firstRowLastColumn="0" w:lastRowFirstColumn="0" w:lastRowLastColumn="0"/>
            <w:tcW w:w="1696" w:type="dxa"/>
          </w:tcPr>
          <w:p w14:paraId="4DB8DDBD" w14:textId="25924849" w:rsidR="00A77049" w:rsidRPr="009209EE" w:rsidRDefault="00A77049">
            <w:r w:rsidRPr="009209EE">
              <w:t xml:space="preserve">LDC Sector </w:t>
            </w:r>
          </w:p>
        </w:tc>
        <w:tc>
          <w:tcPr>
            <w:tcW w:w="1910" w:type="dxa"/>
          </w:tcPr>
          <w:p w14:paraId="481F6910" w14:textId="30DCCBAA" w:rsidR="00A77049" w:rsidRPr="009209EE" w:rsidRDefault="00E04F2C">
            <w:pPr>
              <w:cnfStyle w:val="000000000000" w:firstRow="0" w:lastRow="0" w:firstColumn="0" w:lastColumn="0" w:oddVBand="0" w:evenVBand="0" w:oddHBand="0" w:evenHBand="0" w:firstRowFirstColumn="0" w:firstRowLastColumn="0" w:lastRowFirstColumn="0" w:lastRowLastColumn="0"/>
            </w:pPr>
            <w:r w:rsidRPr="009209EE">
              <w:t>$0</w:t>
            </w:r>
          </w:p>
        </w:tc>
        <w:tc>
          <w:tcPr>
            <w:tcW w:w="1803" w:type="dxa"/>
          </w:tcPr>
          <w:p w14:paraId="780E56A3" w14:textId="582F04CD" w:rsidR="00A77049" w:rsidRPr="009209EE" w:rsidRDefault="00E04F2C">
            <w:pPr>
              <w:cnfStyle w:val="000000000000" w:firstRow="0" w:lastRow="0" w:firstColumn="0" w:lastColumn="0" w:oddVBand="0" w:evenVBand="0" w:oddHBand="0" w:evenHBand="0" w:firstRowFirstColumn="0" w:firstRowLastColumn="0" w:lastRowFirstColumn="0" w:lastRowLastColumn="0"/>
            </w:pPr>
            <w:r w:rsidRPr="009209EE">
              <w:t>$21.2</w:t>
            </w:r>
          </w:p>
        </w:tc>
        <w:tc>
          <w:tcPr>
            <w:tcW w:w="1803" w:type="dxa"/>
          </w:tcPr>
          <w:p w14:paraId="591EA486" w14:textId="3CB74B0E" w:rsidR="00A77049" w:rsidRPr="009209EE" w:rsidRDefault="00A77049">
            <w:pPr>
              <w:cnfStyle w:val="000000000000" w:firstRow="0" w:lastRow="0" w:firstColumn="0" w:lastColumn="0" w:oddVBand="0" w:evenVBand="0" w:oddHBand="0" w:evenHBand="0" w:firstRowFirstColumn="0" w:firstRowLastColumn="0" w:lastRowFirstColumn="0" w:lastRowLastColumn="0"/>
            </w:pPr>
            <w:r w:rsidRPr="009209EE">
              <w:t>$</w:t>
            </w:r>
            <w:r w:rsidR="00E04F2C" w:rsidRPr="009209EE">
              <w:t>2.9</w:t>
            </w:r>
          </w:p>
        </w:tc>
        <w:tc>
          <w:tcPr>
            <w:tcW w:w="1804" w:type="dxa"/>
          </w:tcPr>
          <w:p w14:paraId="079A8585" w14:textId="7C242A3B" w:rsidR="00A77049" w:rsidRPr="009209EE" w:rsidRDefault="006F4CFD">
            <w:pPr>
              <w:cnfStyle w:val="000000000000" w:firstRow="0" w:lastRow="0" w:firstColumn="0" w:lastColumn="0" w:oddVBand="0" w:evenVBand="0" w:oddHBand="0" w:evenHBand="0" w:firstRowFirstColumn="0" w:firstRowLastColumn="0" w:lastRowFirstColumn="0" w:lastRowLastColumn="0"/>
            </w:pPr>
            <w:r w:rsidRPr="009209EE">
              <w:t>$24.1</w:t>
            </w:r>
          </w:p>
        </w:tc>
      </w:tr>
      <w:tr w:rsidR="00A77049" w:rsidRPr="009209EE" w14:paraId="71D6F23D" w14:textId="77777777">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tcPr>
          <w:p w14:paraId="15BCC3EE" w14:textId="77EBF08F" w:rsidR="00A77049" w:rsidRPr="009209EE" w:rsidRDefault="00A77049">
            <w:r w:rsidRPr="009209EE">
              <w:t xml:space="preserve">OSHC Sector </w:t>
            </w:r>
          </w:p>
        </w:tc>
        <w:tc>
          <w:tcPr>
            <w:tcW w:w="1910" w:type="dxa"/>
            <w:shd w:val="clear" w:color="auto" w:fill="D9D9D9" w:themeFill="background1" w:themeFillShade="D9"/>
          </w:tcPr>
          <w:p w14:paraId="05B53850" w14:textId="30823E1B" w:rsidR="00A77049" w:rsidRPr="009209EE" w:rsidRDefault="006F4CFD">
            <w:pPr>
              <w:cnfStyle w:val="000000000000" w:firstRow="0" w:lastRow="0" w:firstColumn="0" w:lastColumn="0" w:oddVBand="0" w:evenVBand="0" w:oddHBand="0" w:evenHBand="0" w:firstRowFirstColumn="0" w:firstRowLastColumn="0" w:lastRowFirstColumn="0" w:lastRowLastColumn="0"/>
            </w:pPr>
            <w:r w:rsidRPr="009209EE">
              <w:t>$0</w:t>
            </w:r>
          </w:p>
        </w:tc>
        <w:tc>
          <w:tcPr>
            <w:tcW w:w="1803" w:type="dxa"/>
            <w:shd w:val="clear" w:color="auto" w:fill="D9D9D9" w:themeFill="background1" w:themeFillShade="D9"/>
          </w:tcPr>
          <w:p w14:paraId="143E070B" w14:textId="795741A5" w:rsidR="00A77049" w:rsidRPr="009209EE" w:rsidRDefault="006F4CFD">
            <w:pPr>
              <w:cnfStyle w:val="000000000000" w:firstRow="0" w:lastRow="0" w:firstColumn="0" w:lastColumn="0" w:oddVBand="0" w:evenVBand="0" w:oddHBand="0" w:evenHBand="0" w:firstRowFirstColumn="0" w:firstRowLastColumn="0" w:lastRowFirstColumn="0" w:lastRowLastColumn="0"/>
            </w:pPr>
            <w:r w:rsidRPr="009209EE">
              <w:t>$12.1</w:t>
            </w:r>
          </w:p>
        </w:tc>
        <w:tc>
          <w:tcPr>
            <w:tcW w:w="1803" w:type="dxa"/>
            <w:shd w:val="clear" w:color="auto" w:fill="D9D9D9" w:themeFill="background1" w:themeFillShade="D9"/>
          </w:tcPr>
          <w:p w14:paraId="2AA0EA65" w14:textId="78C96CF9" w:rsidR="00A77049" w:rsidRPr="009209EE" w:rsidRDefault="006F4CFD">
            <w:pPr>
              <w:cnfStyle w:val="000000000000" w:firstRow="0" w:lastRow="0" w:firstColumn="0" w:lastColumn="0" w:oddVBand="0" w:evenVBand="0" w:oddHBand="0" w:evenHBand="0" w:firstRowFirstColumn="0" w:firstRowLastColumn="0" w:lastRowFirstColumn="0" w:lastRowLastColumn="0"/>
            </w:pPr>
            <w:r w:rsidRPr="009209EE">
              <w:t>$2.7</w:t>
            </w:r>
          </w:p>
        </w:tc>
        <w:tc>
          <w:tcPr>
            <w:tcW w:w="1804" w:type="dxa"/>
            <w:shd w:val="clear" w:color="auto" w:fill="D9D9D9" w:themeFill="background1" w:themeFillShade="D9"/>
          </w:tcPr>
          <w:p w14:paraId="7A4CDD69" w14:textId="4F7A34F0" w:rsidR="00A77049" w:rsidRPr="009209EE" w:rsidRDefault="00EA4AC5">
            <w:pPr>
              <w:cnfStyle w:val="000000000000" w:firstRow="0" w:lastRow="0" w:firstColumn="0" w:lastColumn="0" w:oddVBand="0" w:evenVBand="0" w:oddHBand="0" w:evenHBand="0" w:firstRowFirstColumn="0" w:firstRowLastColumn="0" w:lastRowFirstColumn="0" w:lastRowLastColumn="0"/>
            </w:pPr>
            <w:r w:rsidRPr="009209EE">
              <w:t>$14.8</w:t>
            </w:r>
          </w:p>
        </w:tc>
      </w:tr>
    </w:tbl>
    <w:p w14:paraId="4C45131B" w14:textId="12A7C5FD" w:rsidR="00A77049" w:rsidRPr="009209EE" w:rsidRDefault="00E80051" w:rsidP="00A77049">
      <w:pPr>
        <w:spacing w:after="0"/>
        <w:rPr>
          <w:b/>
          <w:bCs/>
        </w:rPr>
      </w:pPr>
      <w:r>
        <w:rPr>
          <w:b/>
          <w:bCs/>
        </w:rPr>
        <w:br/>
      </w:r>
      <w:r w:rsidR="00A378DC">
        <w:rPr>
          <w:b/>
          <w:bCs/>
        </w:rPr>
        <w:br/>
      </w:r>
      <w:r w:rsidR="00A77049" w:rsidRPr="009209EE">
        <w:rPr>
          <w:b/>
          <w:bCs/>
        </w:rPr>
        <w:t>Table 4: Regulatory burden estimate table for Option Three – Average annual regulatory costs (Application and compliance with a grant agreement)</w:t>
      </w:r>
    </w:p>
    <w:tbl>
      <w:tblPr>
        <w:tblStyle w:val="EDU-Basic"/>
        <w:tblW w:w="0" w:type="auto"/>
        <w:tblLook w:val="04A0" w:firstRow="1" w:lastRow="0" w:firstColumn="1" w:lastColumn="0" w:noHBand="0" w:noVBand="1"/>
      </w:tblPr>
      <w:tblGrid>
        <w:gridCol w:w="1696"/>
        <w:gridCol w:w="1910"/>
        <w:gridCol w:w="1803"/>
        <w:gridCol w:w="1803"/>
        <w:gridCol w:w="1804"/>
      </w:tblGrid>
      <w:tr w:rsidR="00A77049" w:rsidRPr="009209EE" w14:paraId="4CF6AB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FAC8E8" w14:textId="77777777" w:rsidR="00A77049" w:rsidRPr="009209EE" w:rsidRDefault="00A77049">
            <w:pPr>
              <w:spacing w:before="0" w:beforeAutospacing="0" w:after="0" w:afterAutospacing="0"/>
            </w:pPr>
            <w:r w:rsidRPr="009209EE">
              <w:t>Change in costs ($million)</w:t>
            </w:r>
          </w:p>
        </w:tc>
        <w:tc>
          <w:tcPr>
            <w:tcW w:w="1910" w:type="dxa"/>
          </w:tcPr>
          <w:p w14:paraId="7FFA1470"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Individuals (families)</w:t>
            </w:r>
          </w:p>
        </w:tc>
        <w:tc>
          <w:tcPr>
            <w:tcW w:w="1803" w:type="dxa"/>
          </w:tcPr>
          <w:p w14:paraId="37EF1AAD"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Business</w:t>
            </w:r>
          </w:p>
        </w:tc>
        <w:tc>
          <w:tcPr>
            <w:tcW w:w="1803" w:type="dxa"/>
          </w:tcPr>
          <w:p w14:paraId="6ADF40C7"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Community organisations</w:t>
            </w:r>
          </w:p>
        </w:tc>
        <w:tc>
          <w:tcPr>
            <w:tcW w:w="1804" w:type="dxa"/>
          </w:tcPr>
          <w:p w14:paraId="11C4FBA5" w14:textId="77777777" w:rsidR="00A77049" w:rsidRPr="009209EE" w:rsidRDefault="00A77049">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rsidRPr="009209EE">
              <w:t>Total change in cost</w:t>
            </w:r>
          </w:p>
        </w:tc>
      </w:tr>
      <w:tr w:rsidR="00A77049" w14:paraId="3ECC5D96" w14:textId="77777777">
        <w:tc>
          <w:tcPr>
            <w:cnfStyle w:val="001000000000" w:firstRow="0" w:lastRow="0" w:firstColumn="1" w:lastColumn="0" w:oddVBand="0" w:evenVBand="0" w:oddHBand="0" w:evenHBand="0" w:firstRowFirstColumn="0" w:firstRowLastColumn="0" w:lastRowFirstColumn="0" w:lastRowLastColumn="0"/>
            <w:tcW w:w="1696" w:type="dxa"/>
          </w:tcPr>
          <w:p w14:paraId="2E1A6CAE" w14:textId="77777777" w:rsidR="00A77049" w:rsidRPr="009209EE" w:rsidRDefault="00A77049" w:rsidP="00B40027">
            <w:pPr>
              <w:spacing w:before="0" w:beforeAutospacing="0" w:after="0" w:afterAutospacing="0"/>
            </w:pPr>
            <w:r w:rsidRPr="009209EE">
              <w:t>ECEC Sector</w:t>
            </w:r>
          </w:p>
        </w:tc>
        <w:tc>
          <w:tcPr>
            <w:tcW w:w="1910" w:type="dxa"/>
          </w:tcPr>
          <w:p w14:paraId="46C81605" w14:textId="77777777" w:rsidR="00A77049" w:rsidRPr="009209EE" w:rsidRDefault="00A77049" w:rsidP="00B40027">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$0</w:t>
            </w:r>
          </w:p>
        </w:tc>
        <w:tc>
          <w:tcPr>
            <w:tcW w:w="1803" w:type="dxa"/>
          </w:tcPr>
          <w:p w14:paraId="05018A3F" w14:textId="149E5112" w:rsidR="00A77049" w:rsidRPr="009209EE" w:rsidRDefault="005C4E5D" w:rsidP="00B40027">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$6.</w:t>
            </w:r>
            <w:r w:rsidR="007A7AEC" w:rsidRPr="009209EE">
              <w:t>8</w:t>
            </w:r>
          </w:p>
        </w:tc>
        <w:tc>
          <w:tcPr>
            <w:tcW w:w="1803" w:type="dxa"/>
          </w:tcPr>
          <w:p w14:paraId="272150DB" w14:textId="3B1A8429" w:rsidR="00A77049" w:rsidRPr="009209EE" w:rsidRDefault="00A77049" w:rsidP="00B40027">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w:t>
            </w:r>
            <w:r w:rsidR="005C4E5D" w:rsidRPr="009209EE">
              <w:t>1.</w:t>
            </w:r>
            <w:r w:rsidR="007A7AEC" w:rsidRPr="009209EE">
              <w:t>1</w:t>
            </w:r>
          </w:p>
        </w:tc>
        <w:tc>
          <w:tcPr>
            <w:tcW w:w="1804" w:type="dxa"/>
          </w:tcPr>
          <w:p w14:paraId="44279D5A" w14:textId="04006E46" w:rsidR="00A77049" w:rsidRPr="009209EE" w:rsidRDefault="005C4E5D" w:rsidP="00B40027">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9209EE">
              <w:t>$7.</w:t>
            </w:r>
            <w:r w:rsidR="00A465C7" w:rsidRPr="009209EE">
              <w:t>9</w:t>
            </w:r>
          </w:p>
        </w:tc>
      </w:tr>
    </w:tbl>
    <w:p w14:paraId="51A5AAF4" w14:textId="77777777" w:rsidR="00B40027" w:rsidRDefault="00B40027" w:rsidP="00B40027">
      <w:pPr>
        <w:spacing w:after="0"/>
      </w:pPr>
    </w:p>
    <w:p w14:paraId="5331AFD3" w14:textId="77777777" w:rsidR="00561A2C" w:rsidRDefault="00561A2C" w:rsidP="00A378DC">
      <w:r>
        <w:t>Explanatory notes relating to Table 3 and Table 4 are as follows:</w:t>
      </w:r>
    </w:p>
    <w:p w14:paraId="0E880B81" w14:textId="18E37B41" w:rsidR="00C35E2A" w:rsidRDefault="6E12E0A6" w:rsidP="00A465C7">
      <w:pPr>
        <w:pStyle w:val="ListParagraph"/>
        <w:numPr>
          <w:ilvl w:val="0"/>
          <w:numId w:val="42"/>
        </w:numPr>
        <w:spacing w:after="0"/>
      </w:pPr>
      <w:r>
        <w:t>The regulatory burden estimate</w:t>
      </w:r>
      <w:r w:rsidR="6A65C024">
        <w:t>s</w:t>
      </w:r>
      <w:r>
        <w:t xml:space="preserve"> </w:t>
      </w:r>
      <w:r w:rsidR="6A65C024">
        <w:t>are</w:t>
      </w:r>
      <w:r>
        <w:t xml:space="preserve"> annualised over a period of </w:t>
      </w:r>
      <w:r w:rsidR="00E250C1">
        <w:rPr>
          <w:b/>
          <w:bCs/>
        </w:rPr>
        <w:t>three</w:t>
      </w:r>
      <w:r w:rsidRPr="29A029EE">
        <w:rPr>
          <w:b/>
          <w:bCs/>
        </w:rPr>
        <w:t xml:space="preserve"> years</w:t>
      </w:r>
      <w:r>
        <w:t xml:space="preserve"> to reflect program duration. Costs only include direct costs to ECEC services. </w:t>
      </w:r>
    </w:p>
    <w:p w14:paraId="59073671" w14:textId="50CE0469" w:rsidR="00FA374B" w:rsidRDefault="6E12E0A6" w:rsidP="006D32FE">
      <w:pPr>
        <w:pStyle w:val="ListParagraph"/>
        <w:numPr>
          <w:ilvl w:val="0"/>
          <w:numId w:val="42"/>
        </w:numPr>
        <w:spacing w:after="0"/>
      </w:pPr>
      <w:r>
        <w:t xml:space="preserve">Community organisations </w:t>
      </w:r>
      <w:proofErr w:type="gramStart"/>
      <w:r>
        <w:t>includes</w:t>
      </w:r>
      <w:proofErr w:type="gramEnd"/>
      <w:r>
        <w:t xml:space="preserve"> the 12 per cent of LDC, 18 per cent of OSHC services and 16 per cent of FDC services that are community managed.</w:t>
      </w:r>
    </w:p>
    <w:p w14:paraId="0C3CF03C" w14:textId="763E1CB5" w:rsidR="00FC7B9E" w:rsidRDefault="2FA8F965" w:rsidP="00A77049">
      <w:pPr>
        <w:pStyle w:val="ListParagraph"/>
        <w:numPr>
          <w:ilvl w:val="0"/>
          <w:numId w:val="42"/>
        </w:numPr>
        <w:spacing w:after="0"/>
      </w:pPr>
      <w:r w:rsidRPr="29A029EE">
        <w:rPr>
          <w:b/>
          <w:bCs/>
        </w:rPr>
        <w:t>Table 3</w:t>
      </w:r>
      <w:r>
        <w:t xml:space="preserve"> reflects the costs </w:t>
      </w:r>
      <w:r w:rsidR="3F458724">
        <w:t>to</w:t>
      </w:r>
      <w:r>
        <w:t xml:space="preserve"> the LDC sector </w:t>
      </w:r>
      <w:r w:rsidR="3A9F89A8">
        <w:t xml:space="preserve">adopting a new </w:t>
      </w:r>
      <w:r w:rsidR="26981321">
        <w:t xml:space="preserve">EA </w:t>
      </w:r>
      <w:r w:rsidR="3A9F89A8">
        <w:t xml:space="preserve">which is assumed to be approximately 30 per cent of the sector, with assumed uptake of the supported bargaining agreement to be approximately 70 per cent. </w:t>
      </w:r>
      <w:r w:rsidR="6E8C0D20">
        <w:t>The estimates relating to the OSHC sector assume 100 per cent</w:t>
      </w:r>
      <w:r w:rsidR="0CA99184">
        <w:t xml:space="preserve"> as there is no ability to join the supported bargaining agreement. It is acknowledged that some services will have an existing </w:t>
      </w:r>
      <w:r w:rsidR="26981321">
        <w:t xml:space="preserve">EA </w:t>
      </w:r>
      <w:r w:rsidR="1D5C4CF0">
        <w:t xml:space="preserve">in place that </w:t>
      </w:r>
      <w:r w:rsidR="0082492D">
        <w:t>may</w:t>
      </w:r>
      <w:r w:rsidR="1429ADE0">
        <w:t xml:space="preserve"> not meet the conditions of Option Three.</w:t>
      </w:r>
    </w:p>
    <w:p w14:paraId="5A9A2D00" w14:textId="69FC299A" w:rsidR="00C35E2A" w:rsidRDefault="59F791C6" w:rsidP="00A77049">
      <w:pPr>
        <w:pStyle w:val="ListParagraph"/>
        <w:numPr>
          <w:ilvl w:val="0"/>
          <w:numId w:val="42"/>
        </w:numPr>
        <w:spacing w:after="0"/>
      </w:pPr>
      <w:r>
        <w:t xml:space="preserve">There is acknowledgement that some providers will have an existing </w:t>
      </w:r>
      <w:r w:rsidR="26981321">
        <w:t>EA</w:t>
      </w:r>
      <w:r>
        <w:t xml:space="preserve"> in place, however </w:t>
      </w:r>
      <w:r w:rsidR="77553BCC">
        <w:t>the number of existing agreements that will not readily meet the requirements of Option Three is unclear</w:t>
      </w:r>
      <w:r w:rsidR="24B4237D">
        <w:t>.</w:t>
      </w:r>
      <w:r w:rsidR="7AC64755">
        <w:t xml:space="preserve"> Whilst there </w:t>
      </w:r>
      <w:r w:rsidR="181378F6">
        <w:t xml:space="preserve">is understanding of the percentage of workers in the sector covered by an </w:t>
      </w:r>
      <w:r w:rsidR="26981321">
        <w:t>EA</w:t>
      </w:r>
      <w:r w:rsidR="181378F6">
        <w:t xml:space="preserve">, there is no reliable source that </w:t>
      </w:r>
      <w:r w:rsidR="563B7E7B">
        <w:t xml:space="preserve">outlines the number of services that will be in this position. </w:t>
      </w:r>
    </w:p>
    <w:p w14:paraId="7957187A" w14:textId="432883DB" w:rsidR="0055022C" w:rsidRDefault="00CE2B48" w:rsidP="0055022C">
      <w:pPr>
        <w:pStyle w:val="ListParagraph"/>
        <w:numPr>
          <w:ilvl w:val="1"/>
          <w:numId w:val="42"/>
        </w:numPr>
        <w:spacing w:after="0"/>
      </w:pPr>
      <w:r>
        <w:t>Costs of</w:t>
      </w:r>
      <w:r w:rsidR="0055022C">
        <w:t xml:space="preserve"> varying an existing agreement or terminating their existing agreement to join the supported bargaining agreement </w:t>
      </w:r>
      <w:r>
        <w:t xml:space="preserve">are not expected to increase the estimates in </w:t>
      </w:r>
      <w:r w:rsidR="0051490D">
        <w:t>Table 3</w:t>
      </w:r>
      <w:r>
        <w:t>.</w:t>
      </w:r>
    </w:p>
    <w:p w14:paraId="34B83C00" w14:textId="66E7FEF6" w:rsidR="00E11095" w:rsidRDefault="00E1349F" w:rsidP="00E11095">
      <w:pPr>
        <w:pStyle w:val="Heading3"/>
      </w:pPr>
      <w:bookmarkStart w:id="62" w:name="_Toc219193882"/>
      <w:r>
        <w:lastRenderedPageBreak/>
        <w:t>Affordability condition</w:t>
      </w:r>
      <w:bookmarkEnd w:id="62"/>
    </w:p>
    <w:p w14:paraId="78830BE0" w14:textId="765F1D60" w:rsidR="00CF0CCA" w:rsidRDefault="00CF0CCA" w:rsidP="00CF0CCA">
      <w:r>
        <w:t xml:space="preserve">Without </w:t>
      </w:r>
      <w:r w:rsidDel="00E1349F">
        <w:t xml:space="preserve">a </w:t>
      </w:r>
      <w:r w:rsidR="00E1349F">
        <w:t>limit</w:t>
      </w:r>
      <w:r>
        <w:t xml:space="preserve"> </w:t>
      </w:r>
      <w:r w:rsidR="006B47E0">
        <w:t xml:space="preserve">on </w:t>
      </w:r>
      <w:r>
        <w:t xml:space="preserve">fee </w:t>
      </w:r>
      <w:r w:rsidR="006B47E0">
        <w:t>growth</w:t>
      </w:r>
      <w:r>
        <w:t xml:space="preserve">, any additional wage increase </w:t>
      </w:r>
      <w:r w:rsidR="008F7864">
        <w:t>incurred by providers</w:t>
      </w:r>
      <w:r>
        <w:t>, including incidentals like oncosts</w:t>
      </w:r>
      <w:r w:rsidR="008F7864">
        <w:t>,</w:t>
      </w:r>
      <w:r>
        <w:t xml:space="preserve"> will likely be passed on to </w:t>
      </w:r>
      <w:r w:rsidR="00E1349F">
        <w:t>families</w:t>
      </w:r>
      <w:r w:rsidR="008F7864">
        <w:t xml:space="preserve"> as higher fees</w:t>
      </w:r>
      <w:r w:rsidR="006652B5">
        <w:t>, eroding some of the benefit of the Cheaper Child Care measure</w:t>
      </w:r>
      <w:r>
        <w:t xml:space="preserve">. </w:t>
      </w:r>
      <w:r w:rsidR="000F2944">
        <w:t>Fee</w:t>
      </w:r>
      <w:r w:rsidR="00041C8C">
        <w:t xml:space="preserve"> increases </w:t>
      </w:r>
      <w:r w:rsidR="000F2944">
        <w:t>would</w:t>
      </w:r>
      <w:r w:rsidR="00041C8C">
        <w:t xml:space="preserve"> be </w:t>
      </w:r>
      <w:r w:rsidR="000F2944">
        <w:t>inconsistent and affect families in an unequal manner.</w:t>
      </w:r>
      <w:r w:rsidR="00041C8C">
        <w:t xml:space="preserve"> </w:t>
      </w:r>
      <w:r>
        <w:t xml:space="preserve">This </w:t>
      </w:r>
      <w:r w:rsidR="00BC1512">
        <w:t xml:space="preserve">would </w:t>
      </w:r>
      <w:r w:rsidR="006652B5">
        <w:t xml:space="preserve">also </w:t>
      </w:r>
      <w:r>
        <w:t>increase CCS costs</w:t>
      </w:r>
      <w:r w:rsidR="00041C8C">
        <w:t xml:space="preserve"> for Government</w:t>
      </w:r>
      <w:r>
        <w:t xml:space="preserve"> </w:t>
      </w:r>
      <w:r w:rsidR="00BC1512">
        <w:t>on top of</w:t>
      </w:r>
      <w:r w:rsidR="00B707ED">
        <w:t xml:space="preserve"> the </w:t>
      </w:r>
      <w:r w:rsidR="00BC1512">
        <w:t>costed</w:t>
      </w:r>
      <w:r w:rsidR="00EF4C16">
        <w:t xml:space="preserve"> wage contribution</w:t>
      </w:r>
      <w:r>
        <w:t xml:space="preserve">. </w:t>
      </w:r>
    </w:p>
    <w:p w14:paraId="74631471" w14:textId="6C0E3EF7" w:rsidR="00CF0CCA" w:rsidRDefault="00CF0CCA" w:rsidP="00CF0CCA">
      <w:r>
        <w:t xml:space="preserve">To reduce these negative impacts, it is suggested to implement a fee growth constraint based around an index. It is recommended to use a uniform </w:t>
      </w:r>
      <w:r w:rsidR="00D731BC">
        <w:t>cost</w:t>
      </w:r>
      <w:r>
        <w:t xml:space="preserve"> index for all providers as it is administratively straightforward (compared to a varied index). Constraining fee growth helps maintain ECEC affordability for families</w:t>
      </w:r>
      <w:r w:rsidR="00184140">
        <w:t>,</w:t>
      </w:r>
      <w:r>
        <w:t xml:space="preserve"> while permitting some fee growth allows services to account for cost increases, remain financially viable, and allows for market growth. </w:t>
      </w:r>
      <w:r w:rsidR="00034A81">
        <w:t>Government w</w:t>
      </w:r>
      <w:r w:rsidR="00C41653">
        <w:t>ill</w:t>
      </w:r>
      <w:r w:rsidR="00034A81">
        <w:t xml:space="preserve"> establish a reference point </w:t>
      </w:r>
      <w:r w:rsidR="00947783">
        <w:t>from which any fee growth is calculated</w:t>
      </w:r>
      <w:r w:rsidR="00467767">
        <w:t>.</w:t>
      </w:r>
    </w:p>
    <w:p w14:paraId="34E75528" w14:textId="0158BA7A" w:rsidR="007E176C" w:rsidRDefault="00CF0CCA" w:rsidP="00CF0CCA">
      <w:r>
        <w:t>Any restrictions on future fee growth would need to be considered in the context of any broader price controls Government may impose in response to the</w:t>
      </w:r>
      <w:r w:rsidR="00F4015A">
        <w:t xml:space="preserve"> recommendations </w:t>
      </w:r>
      <w:r w:rsidR="00BE3DF6">
        <w:t>from</w:t>
      </w:r>
      <w:r>
        <w:t xml:space="preserve"> ACCC </w:t>
      </w:r>
      <w:r w:rsidR="007B26F8">
        <w:t xml:space="preserve">and </w:t>
      </w:r>
      <w:r w:rsidR="008F1FCB">
        <w:t xml:space="preserve">the </w:t>
      </w:r>
      <w:r w:rsidR="00A40FA1">
        <w:t>PC</w:t>
      </w:r>
      <w:r w:rsidR="008F1FCB">
        <w:t xml:space="preserve"> Inquiries</w:t>
      </w:r>
      <w:r>
        <w:t>.</w:t>
      </w:r>
    </w:p>
    <w:p w14:paraId="358525EC" w14:textId="773F443B" w:rsidR="005873BF" w:rsidRDefault="005873BF" w:rsidP="00842C79">
      <w:pPr>
        <w:pStyle w:val="Heading4"/>
      </w:pPr>
      <w:bookmarkStart w:id="63" w:name="_Toc160805620"/>
      <w:bookmarkStart w:id="64" w:name="_Toc162963665"/>
      <w:bookmarkStart w:id="65" w:name="_Toc219193883"/>
      <w:r>
        <w:t>Providers</w:t>
      </w:r>
      <w:bookmarkEnd w:id="63"/>
      <w:bookmarkEnd w:id="64"/>
      <w:bookmarkEnd w:id="65"/>
      <w:r>
        <w:t xml:space="preserve"> </w:t>
      </w:r>
    </w:p>
    <w:p w14:paraId="461F5F9E" w14:textId="3570D786" w:rsidR="005873BF" w:rsidRDefault="005873BF" w:rsidP="005873BF">
      <w:pPr>
        <w:pStyle w:val="Heading6"/>
      </w:pPr>
      <w:r>
        <w:t>Benefits</w:t>
      </w:r>
    </w:p>
    <w:p w14:paraId="27610F73" w14:textId="519575F4" w:rsidR="00594BF7" w:rsidRPr="00594BF7" w:rsidRDefault="5FEF6435" w:rsidP="005F0D60">
      <w:r>
        <w:t>There may be a small increase in occupancy</w:t>
      </w:r>
      <w:r w:rsidR="5D5E7B07">
        <w:t xml:space="preserve">, revenue and profits </w:t>
      </w:r>
      <w:r w:rsidR="1B4014A9">
        <w:t>for some providers</w:t>
      </w:r>
      <w:r w:rsidR="0AA8D6BC">
        <w:t xml:space="preserve"> resulting from out-of-pocket fees</w:t>
      </w:r>
      <w:r w:rsidR="3D55BB7F">
        <w:t xml:space="preserve"> </w:t>
      </w:r>
      <w:r w:rsidR="7CA2484E">
        <w:t xml:space="preserve">that </w:t>
      </w:r>
      <w:r w:rsidR="2A6DBC4E">
        <w:t>will have grown less</w:t>
      </w:r>
      <w:r w:rsidR="3D55BB7F">
        <w:t xml:space="preserve"> than </w:t>
      </w:r>
      <w:r w:rsidR="76A811A6">
        <w:t xml:space="preserve">without the </w:t>
      </w:r>
      <w:r w:rsidR="157ACDC8">
        <w:t>constraint</w:t>
      </w:r>
      <w:r w:rsidR="0AA8D6BC">
        <w:t xml:space="preserve">. </w:t>
      </w:r>
      <w:r w:rsidR="0759082E">
        <w:t>A</w:t>
      </w:r>
      <w:r w:rsidR="0AA8D6BC" w:rsidRPr="00596D38">
        <w:t xml:space="preserve">ffordability </w:t>
      </w:r>
      <w:r w:rsidR="0AA8D6BC">
        <w:t>drives</w:t>
      </w:r>
      <w:r w:rsidR="0AA8D6BC" w:rsidRPr="00596D38">
        <w:t xml:space="preserve"> parents and guardians’ decisions around how much ECEC to use</w:t>
      </w:r>
      <w:r w:rsidR="00596D38" w:rsidRPr="29A029EE">
        <w:rPr>
          <w:rStyle w:val="FootnoteReference"/>
          <w:rFonts w:asciiTheme="majorHAnsi" w:hAnsiTheme="majorHAnsi" w:cstheme="majorBidi"/>
        </w:rPr>
        <w:footnoteReference w:id="114"/>
      </w:r>
      <w:r w:rsidR="3ABBBAED">
        <w:t xml:space="preserve"> and some </w:t>
      </w:r>
      <w:r w:rsidR="0759082E">
        <w:t xml:space="preserve">parents report they are unable to return to work </w:t>
      </w:r>
      <w:r w:rsidR="1F0E1240">
        <w:t>because of issues with affording ECEC</w:t>
      </w:r>
      <w:r w:rsidR="0759082E" w:rsidRPr="29A029EE">
        <w:rPr>
          <w:rFonts w:asciiTheme="majorHAnsi" w:hAnsiTheme="majorHAnsi" w:cstheme="majorBidi"/>
        </w:rPr>
        <w:t>.</w:t>
      </w:r>
      <w:r w:rsidR="00AF7690" w:rsidRPr="29A029EE">
        <w:rPr>
          <w:rStyle w:val="FootnoteReference"/>
          <w:rFonts w:asciiTheme="majorHAnsi" w:hAnsiTheme="majorHAnsi" w:cstheme="majorBidi"/>
        </w:rPr>
        <w:footnoteReference w:id="115"/>
      </w:r>
      <w:r w:rsidR="0759082E" w:rsidRPr="29A029EE">
        <w:rPr>
          <w:rFonts w:asciiTheme="majorHAnsi" w:hAnsiTheme="majorHAnsi" w:cstheme="majorBidi"/>
        </w:rPr>
        <w:t xml:space="preserve">  </w:t>
      </w:r>
      <w:r w:rsidR="65D17CF5" w:rsidRPr="29A029EE">
        <w:rPr>
          <w:rFonts w:asciiTheme="majorHAnsi" w:hAnsiTheme="majorHAnsi" w:cstheme="majorBidi"/>
        </w:rPr>
        <w:t>Lower</w:t>
      </w:r>
      <w:r w:rsidR="5EFB69DB" w:rsidRPr="29A029EE">
        <w:rPr>
          <w:rFonts w:asciiTheme="majorHAnsi" w:hAnsiTheme="majorHAnsi" w:cstheme="majorBidi"/>
        </w:rPr>
        <w:t xml:space="preserve"> </w:t>
      </w:r>
      <w:r w:rsidR="540BC12A" w:rsidRPr="29A029EE">
        <w:rPr>
          <w:rFonts w:asciiTheme="majorHAnsi" w:hAnsiTheme="majorHAnsi" w:cstheme="majorBidi"/>
        </w:rPr>
        <w:t xml:space="preserve">out-of-pocket gap fees </w:t>
      </w:r>
      <w:r w:rsidR="5635F585" w:rsidRPr="29A029EE">
        <w:rPr>
          <w:rFonts w:asciiTheme="majorHAnsi" w:hAnsiTheme="majorHAnsi" w:cstheme="majorBidi"/>
        </w:rPr>
        <w:t xml:space="preserve">may increase </w:t>
      </w:r>
      <w:r w:rsidR="66DB453E" w:rsidRPr="29A029EE">
        <w:rPr>
          <w:rFonts w:asciiTheme="majorHAnsi" w:hAnsiTheme="majorHAnsi" w:cstheme="majorBidi"/>
        </w:rPr>
        <w:t xml:space="preserve">occupancy for some LDC services, and occupancy </w:t>
      </w:r>
      <w:r w:rsidR="1F5488CE" w:rsidRPr="29A029EE">
        <w:rPr>
          <w:rFonts w:asciiTheme="majorHAnsi" w:hAnsiTheme="majorHAnsi" w:cstheme="majorBidi"/>
        </w:rPr>
        <w:t>is a key driver of revenue and therefore profits and viability.</w:t>
      </w:r>
      <w:r w:rsidR="005F0D60" w:rsidRPr="29A029EE">
        <w:rPr>
          <w:rStyle w:val="FootnoteReference"/>
          <w:rFonts w:asciiTheme="majorHAnsi" w:hAnsiTheme="majorHAnsi" w:cstheme="majorBidi"/>
        </w:rPr>
        <w:footnoteReference w:id="116"/>
      </w:r>
    </w:p>
    <w:p w14:paraId="15B90FD2" w14:textId="57F2E923" w:rsidR="005873BF" w:rsidRDefault="005873BF" w:rsidP="005873BF">
      <w:pPr>
        <w:pStyle w:val="Heading6"/>
      </w:pPr>
      <w:r>
        <w:t>Costs</w:t>
      </w:r>
    </w:p>
    <w:p w14:paraId="5C51527F" w14:textId="77777777" w:rsidR="00ED700A" w:rsidRPr="00842C79" w:rsidRDefault="00ED700A" w:rsidP="00842C79">
      <w:pPr>
        <w:rPr>
          <w:rStyle w:val="Strong"/>
        </w:rPr>
      </w:pPr>
      <w:r w:rsidRPr="00842C79">
        <w:rPr>
          <w:rStyle w:val="Strong"/>
        </w:rPr>
        <w:t>Substantive compliance costs</w:t>
      </w:r>
    </w:p>
    <w:p w14:paraId="3B80683C" w14:textId="43F67D50" w:rsidR="005B41A6" w:rsidRDefault="005F1C8A" w:rsidP="005F1C8A">
      <w:r>
        <w:t xml:space="preserve">The proposed affordability condition </w:t>
      </w:r>
      <w:r w:rsidR="00FA2B4F">
        <w:t>may</w:t>
      </w:r>
      <w:r>
        <w:t xml:space="preserve"> have substanti</w:t>
      </w:r>
      <w:r w:rsidR="0042051C">
        <w:t>ve</w:t>
      </w:r>
      <w:r>
        <w:t xml:space="preserve"> compliance costs for providers due to forgone revenue. </w:t>
      </w:r>
      <w:r w:rsidR="00CE30B4">
        <w:t xml:space="preserve">Providers will not be able to increase fees by more than the allowed index. </w:t>
      </w:r>
      <w:r w:rsidR="00A644E7">
        <w:t xml:space="preserve">Providers </w:t>
      </w:r>
      <w:r w:rsidR="007B1B2F">
        <w:t>who would</w:t>
      </w:r>
      <w:r w:rsidR="00D20C19">
        <w:t xml:space="preserve"> have raised fees by more than the allowed index </w:t>
      </w:r>
      <w:r w:rsidR="00443C06">
        <w:t xml:space="preserve">may </w:t>
      </w:r>
      <w:r w:rsidR="00D20C19">
        <w:t xml:space="preserve">have a reduction in (hypothetical) revenue earned. </w:t>
      </w:r>
      <w:r w:rsidR="00805147">
        <w:t xml:space="preserve">Foregone revenue can be calculated as the difference between the </w:t>
      </w:r>
      <w:r w:rsidR="005F2B9B">
        <w:t xml:space="preserve">product of the </w:t>
      </w:r>
      <w:r w:rsidR="00805147">
        <w:t xml:space="preserve">hypothetical, desired raised fees and the </w:t>
      </w:r>
      <w:r w:rsidR="005F2B9B">
        <w:t xml:space="preserve">number of hours charged, </w:t>
      </w:r>
      <w:r w:rsidR="00805147">
        <w:t xml:space="preserve">and the </w:t>
      </w:r>
      <w:r w:rsidR="005F2B9B">
        <w:t xml:space="preserve">product of the </w:t>
      </w:r>
      <w:r w:rsidR="00805147">
        <w:t xml:space="preserve">actual, allowed fees and the number of hours charged. </w:t>
      </w:r>
    </w:p>
    <w:p w14:paraId="5CFD0C90" w14:textId="75FD8DEF" w:rsidR="005F1C8A" w:rsidRPr="005F1C8A" w:rsidRDefault="002022A5" w:rsidP="00842C79">
      <w:r>
        <w:t xml:space="preserve">Departmental administrative data indicates the vast majority of providers would be affected by a fee growth limitation. </w:t>
      </w:r>
      <w:r w:rsidR="00911364">
        <w:t xml:space="preserve">Based on </w:t>
      </w:r>
      <w:r w:rsidR="00FB3D57">
        <w:t>D</w:t>
      </w:r>
      <w:r w:rsidR="006C5FD6">
        <w:t xml:space="preserve">epartmental data of fee growth over the last five years, </w:t>
      </w:r>
      <w:r w:rsidR="00F6507F">
        <w:t xml:space="preserve">it is estimated that approximately </w:t>
      </w:r>
      <w:r w:rsidR="006C5FD6">
        <w:t>7</w:t>
      </w:r>
      <w:r w:rsidR="00F6507F">
        <w:t>0</w:t>
      </w:r>
      <w:r w:rsidR="00D1499B">
        <w:t xml:space="preserve"> per cent</w:t>
      </w:r>
      <w:r w:rsidR="006C5FD6">
        <w:t xml:space="preserve"> of </w:t>
      </w:r>
      <w:r w:rsidR="00485EF1">
        <w:t>services</w:t>
      </w:r>
      <w:r w:rsidR="006C5FD6">
        <w:t xml:space="preserve"> will be impacted by </w:t>
      </w:r>
      <w:r w:rsidR="00B72386">
        <w:t>foregone revenue</w:t>
      </w:r>
      <w:r w:rsidR="00805147">
        <w:t xml:space="preserve"> each year</w:t>
      </w:r>
      <w:r w:rsidR="00B72386">
        <w:t xml:space="preserve">. </w:t>
      </w:r>
      <w:r w:rsidR="00AB42E6">
        <w:t xml:space="preserve"> </w:t>
      </w:r>
      <w:r w:rsidR="00B278C1">
        <w:t xml:space="preserve"> </w:t>
      </w:r>
    </w:p>
    <w:p w14:paraId="7110EA88" w14:textId="6232393B" w:rsidR="00706988" w:rsidRDefault="00992709" w:rsidP="00CF0CCA">
      <w:r>
        <w:lastRenderedPageBreak/>
        <w:t xml:space="preserve">Further, </w:t>
      </w:r>
      <w:r w:rsidR="00CD19FC">
        <w:t xml:space="preserve">the </w:t>
      </w:r>
      <w:proofErr w:type="gramStart"/>
      <w:r w:rsidR="00CD19FC">
        <w:t>child care</w:t>
      </w:r>
      <w:proofErr w:type="gramEnd"/>
      <w:r w:rsidR="00CD19FC">
        <w:t xml:space="preserve"> cost index will </w:t>
      </w:r>
      <w:r w:rsidR="00246FF3">
        <w:t xml:space="preserve">reflect the average </w:t>
      </w:r>
      <w:r w:rsidR="00164559">
        <w:t xml:space="preserve">growth in operating costs, meaning cost increases for 50 per cent of providers will be higher than the index. </w:t>
      </w:r>
      <w:r w:rsidR="00615470">
        <w:t>A</w:t>
      </w:r>
      <w:r w:rsidRPr="00992709">
        <w:t>ssuming all other input cost categories remain the same, occupancy rates are unchanged</w:t>
      </w:r>
      <w:r w:rsidR="00615470">
        <w:t xml:space="preserve"> and no cost efficiencies are found</w:t>
      </w:r>
      <w:r w:rsidRPr="00992709">
        <w:t xml:space="preserve">, </w:t>
      </w:r>
      <w:r w:rsidR="003378B6">
        <w:t>the affordability condition will reduce operating margins for these services</w:t>
      </w:r>
      <w:r w:rsidRPr="00992709" w:rsidDel="00261B08">
        <w:t>.</w:t>
      </w:r>
      <w:r w:rsidRPr="00992709">
        <w:t xml:space="preserve"> This </w:t>
      </w:r>
      <w:r w:rsidR="00FA2B4F">
        <w:t>may</w:t>
      </w:r>
      <w:r w:rsidRPr="00992709">
        <w:t xml:space="preserve"> lead, over time, to </w:t>
      </w:r>
      <w:r w:rsidR="00FA2B4F">
        <w:t xml:space="preserve">a </w:t>
      </w:r>
      <w:r w:rsidRPr="00992709">
        <w:t xml:space="preserve">financial viability risk. </w:t>
      </w:r>
      <w:r w:rsidR="00E027A8">
        <w:t xml:space="preserve">Should </w:t>
      </w:r>
      <w:r w:rsidR="00906205">
        <w:t>revenue</w:t>
      </w:r>
      <w:r w:rsidR="00823456">
        <w:t xml:space="preserve"> not be sufficient to </w:t>
      </w:r>
      <w:r w:rsidR="00AE48EB">
        <w:t xml:space="preserve">cover operating </w:t>
      </w:r>
      <w:r w:rsidR="008728CB">
        <w:t>costs,</w:t>
      </w:r>
      <w:r w:rsidR="00AE48EB">
        <w:t xml:space="preserve"> and should this situation </w:t>
      </w:r>
      <w:r w:rsidRPr="00992709">
        <w:t>persist, some providers may not be able to continue to operate under the</w:t>
      </w:r>
      <w:r w:rsidR="00C74E9D">
        <w:t xml:space="preserve"> </w:t>
      </w:r>
      <w:r w:rsidRPr="00992709">
        <w:t>fee growth limit and may be forced to exit the market.</w:t>
      </w:r>
      <w:r w:rsidR="00C371EB">
        <w:t xml:space="preserve"> </w:t>
      </w:r>
      <w:r w:rsidR="000A7909">
        <w:t xml:space="preserve">To minimise this risk, </w:t>
      </w:r>
      <w:r w:rsidR="00020D36">
        <w:t xml:space="preserve">the Department </w:t>
      </w:r>
      <w:r w:rsidR="000A7909">
        <w:t xml:space="preserve">propose an exemption process </w:t>
      </w:r>
      <w:r w:rsidR="005A4EA1">
        <w:t xml:space="preserve">which allows providers to demonstrate </w:t>
      </w:r>
      <w:r w:rsidR="00BA2528">
        <w:t>that</w:t>
      </w:r>
      <w:r w:rsidR="005A4EA1" w:rsidRPr="005A4EA1">
        <w:t xml:space="preserve"> </w:t>
      </w:r>
      <w:r w:rsidR="005A4EA1">
        <w:t>the fee constraint</w:t>
      </w:r>
      <w:r w:rsidR="005A4EA1" w:rsidRPr="005A4EA1">
        <w:t xml:space="preserve"> would risk their </w:t>
      </w:r>
      <w:r w:rsidR="00672453">
        <w:t xml:space="preserve">financial </w:t>
      </w:r>
      <w:r w:rsidR="005A4EA1" w:rsidRPr="005A4EA1">
        <w:t>viability (regardless of whether costs are foreseen or unforeseen).</w:t>
      </w:r>
    </w:p>
    <w:p w14:paraId="7F1763E1" w14:textId="490AA8EF" w:rsidR="006B4429" w:rsidRPr="00842C79" w:rsidRDefault="006B4429" w:rsidP="00842C79">
      <w:pPr>
        <w:rPr>
          <w:rStyle w:val="Strong"/>
        </w:rPr>
      </w:pPr>
      <w:r w:rsidRPr="00842C79">
        <w:rPr>
          <w:rStyle w:val="Strong"/>
        </w:rPr>
        <w:t>Administrative and delay costs</w:t>
      </w:r>
    </w:p>
    <w:p w14:paraId="76AABE85" w14:textId="446199A5" w:rsidR="0045215E" w:rsidRDefault="0ADCAA95" w:rsidP="00C239EA">
      <w:r>
        <w:t xml:space="preserve">Due to the fee </w:t>
      </w:r>
      <w:r w:rsidR="43F9D92D">
        <w:t>growth</w:t>
      </w:r>
      <w:r>
        <w:t xml:space="preserve"> constraint, </w:t>
      </w:r>
      <w:r w:rsidR="459A3CA3">
        <w:t>providers will face additional administrative compliance costs and some delay costs.</w:t>
      </w:r>
      <w:r w:rsidR="00C239EA">
        <w:rPr>
          <w:rStyle w:val="FootnoteReference"/>
        </w:rPr>
        <w:footnoteReference w:id="117"/>
      </w:r>
      <w:r w:rsidR="459A3CA3">
        <w:t xml:space="preserve"> Administrative costs arise because providers will have to spend time and effort to understand the fee growth restriction, how it works in practice and how they can adhere to the constraint. </w:t>
      </w:r>
    </w:p>
    <w:p w14:paraId="0EDCA924" w14:textId="2D89DC03" w:rsidR="00D018D2" w:rsidRDefault="00C239EA" w:rsidP="00C239EA">
      <w:r>
        <w:t>There may also be administrative and legal cost</w:t>
      </w:r>
      <w:r w:rsidR="00FF637F">
        <w:t>s</w:t>
      </w:r>
      <w:r>
        <w:t xml:space="preserve"> and efforts needed for the preparation and participation in the exemption mechanism. </w:t>
      </w:r>
      <w:r w:rsidR="00D8784C">
        <w:t xml:space="preserve">Some providers </w:t>
      </w:r>
      <w:r w:rsidR="00E265C2">
        <w:t xml:space="preserve">may </w:t>
      </w:r>
      <w:r w:rsidR="00602E36">
        <w:t>f</w:t>
      </w:r>
      <w:r w:rsidR="00E265C2">
        <w:t xml:space="preserve">ace </w:t>
      </w:r>
      <w:r w:rsidR="00C852EE">
        <w:t>unavoidable and unexpected costs</w:t>
      </w:r>
      <w:r w:rsidR="002B61B9">
        <w:t xml:space="preserve"> that</w:t>
      </w:r>
      <w:r w:rsidR="006F2876">
        <w:t xml:space="preserve"> they perceive warrant an application for exemption from </w:t>
      </w:r>
      <w:r w:rsidR="0037307D">
        <w:t xml:space="preserve">the </w:t>
      </w:r>
      <w:r w:rsidR="000516E8">
        <w:t xml:space="preserve">fee growth limit. </w:t>
      </w:r>
      <w:r w:rsidR="006D0EB9">
        <w:t xml:space="preserve">Providers would need to demonstrate </w:t>
      </w:r>
      <w:r w:rsidR="004C4C64">
        <w:t xml:space="preserve">the circumstances and nature </w:t>
      </w:r>
      <w:r w:rsidR="00F92D0D">
        <w:t>of their situation</w:t>
      </w:r>
      <w:r w:rsidR="00432479">
        <w:t xml:space="preserve"> and why </w:t>
      </w:r>
      <w:r w:rsidR="005C159C">
        <w:t>exceptional</w:t>
      </w:r>
      <w:r w:rsidR="00432479">
        <w:t xml:space="preserve"> fee growth is needed</w:t>
      </w:r>
      <w:r w:rsidR="00F92D0D">
        <w:t>, and this effort constitute</w:t>
      </w:r>
      <w:r w:rsidR="007D12BD">
        <w:t>s</w:t>
      </w:r>
      <w:r w:rsidR="0082466A">
        <w:t xml:space="preserve"> </w:t>
      </w:r>
      <w:r w:rsidR="00F92D0D">
        <w:t xml:space="preserve">auxiliary </w:t>
      </w:r>
      <w:r w:rsidR="0082466A">
        <w:t>regulatory costs</w:t>
      </w:r>
      <w:r w:rsidR="00982901">
        <w:t>.</w:t>
      </w:r>
      <w:r w:rsidR="0082466A">
        <w:t xml:space="preserve"> It </w:t>
      </w:r>
      <w:r w:rsidR="00C15969">
        <w:t>is</w:t>
      </w:r>
      <w:r w:rsidR="0082466A">
        <w:t xml:space="preserve"> difficult to predict the number of applications </w:t>
      </w:r>
      <w:r w:rsidR="00432479">
        <w:t xml:space="preserve">that will be </w:t>
      </w:r>
      <w:r w:rsidR="0082466A">
        <w:t>submitted to Government</w:t>
      </w:r>
      <w:r w:rsidR="000648E3">
        <w:t xml:space="preserve">, however as stated above, it is expected that </w:t>
      </w:r>
      <w:r w:rsidR="003928E6">
        <w:t xml:space="preserve">approximately 70 per cent of </w:t>
      </w:r>
      <w:r w:rsidR="00485EF1">
        <w:t>services would be impacted by the fee growth constraint</w:t>
      </w:r>
      <w:r w:rsidR="006D0042">
        <w:t xml:space="preserve"> but only a proportion would consider and </w:t>
      </w:r>
      <w:r w:rsidR="00020D36">
        <w:t>apply</w:t>
      </w:r>
      <w:r w:rsidR="006D0042">
        <w:t xml:space="preserve"> for exemption.</w:t>
      </w:r>
      <w:r w:rsidR="002F585F">
        <w:t xml:space="preserve"> </w:t>
      </w:r>
      <w:r w:rsidR="00F35D0F">
        <w:t xml:space="preserve">Should there be </w:t>
      </w:r>
      <w:r w:rsidR="00901935">
        <w:t xml:space="preserve">material </w:t>
      </w:r>
      <w:r w:rsidR="00F35D0F">
        <w:t>delays in approving exemption applications, p</w:t>
      </w:r>
      <w:r w:rsidR="00D018D2">
        <w:t xml:space="preserve">roviders may incur delay costs </w:t>
      </w:r>
      <w:r w:rsidR="00692713">
        <w:t xml:space="preserve">in the form of lost revenue </w:t>
      </w:r>
      <w:r w:rsidR="00A40EF5">
        <w:t>before</w:t>
      </w:r>
      <w:r w:rsidR="00F35D0F">
        <w:t xml:space="preserve"> fees </w:t>
      </w:r>
      <w:r w:rsidR="00A40EF5">
        <w:t>are able to be increased</w:t>
      </w:r>
      <w:r w:rsidR="00692713">
        <w:t xml:space="preserve">. </w:t>
      </w:r>
    </w:p>
    <w:p w14:paraId="0502FC86" w14:textId="70C54491" w:rsidR="00C239EA" w:rsidRDefault="00C239EA" w:rsidP="00C239EA">
      <w:r>
        <w:t>In sum, this document assumes the administrative compliance and delay cost are negligible in comparison to the substantial compliance costs (foregone revenue) as discussed above.</w:t>
      </w:r>
    </w:p>
    <w:p w14:paraId="1738A855" w14:textId="77777777" w:rsidR="0015646D" w:rsidRDefault="0015646D" w:rsidP="0015646D">
      <w:pPr>
        <w:pStyle w:val="Heading4"/>
      </w:pPr>
      <w:bookmarkStart w:id="66" w:name="_Toc160805621"/>
      <w:bookmarkStart w:id="67" w:name="_Toc162963666"/>
      <w:bookmarkStart w:id="68" w:name="_Toc219193884"/>
      <w:r>
        <w:t>Families</w:t>
      </w:r>
      <w:bookmarkEnd w:id="66"/>
      <w:bookmarkEnd w:id="67"/>
      <w:bookmarkEnd w:id="68"/>
    </w:p>
    <w:p w14:paraId="739E901B" w14:textId="77777777" w:rsidR="0015646D" w:rsidRDefault="0015646D" w:rsidP="0015646D">
      <w:pPr>
        <w:pStyle w:val="Heading6"/>
      </w:pPr>
      <w:r>
        <w:t>Benefits</w:t>
      </w:r>
    </w:p>
    <w:p w14:paraId="5F5F27FB" w14:textId="02B71A25" w:rsidR="00B7612D" w:rsidRDefault="57EE5910" w:rsidP="0015646D">
      <w:r>
        <w:t xml:space="preserve">Families will benefit from a fee growth limit. </w:t>
      </w:r>
      <w:r w:rsidR="2A0050BB">
        <w:t>In line with</w:t>
      </w:r>
      <w:r w:rsidR="4AD088E3">
        <w:t xml:space="preserve"> </w:t>
      </w:r>
      <w:r w:rsidR="27A18BC1">
        <w:t xml:space="preserve">the assertions </w:t>
      </w:r>
      <w:r w:rsidR="4AD088E3">
        <w:t xml:space="preserve">above </w:t>
      </w:r>
      <w:r w:rsidR="27A18BC1">
        <w:t xml:space="preserve">for providers, families will </w:t>
      </w:r>
      <w:r w:rsidR="63278767">
        <w:t xml:space="preserve">be </w:t>
      </w:r>
      <w:r w:rsidR="27A18BC1">
        <w:t xml:space="preserve">better off under a fee growth limit because </w:t>
      </w:r>
      <w:r w:rsidR="3DF401F3">
        <w:t xml:space="preserve">services </w:t>
      </w:r>
      <w:r w:rsidR="27A18BC1">
        <w:t xml:space="preserve">are not allowed </w:t>
      </w:r>
      <w:r w:rsidR="0F07E82E">
        <w:t xml:space="preserve">to raise </w:t>
      </w:r>
      <w:r w:rsidR="005D02BD">
        <w:t xml:space="preserve">ECEC </w:t>
      </w:r>
      <w:r w:rsidR="56713D65">
        <w:t xml:space="preserve">fees </w:t>
      </w:r>
      <w:r w:rsidR="4AD088E3">
        <w:t>above a certain index.</w:t>
      </w:r>
      <w:r w:rsidR="56713D65">
        <w:t xml:space="preserve"> In particular, the substantial regu</w:t>
      </w:r>
      <w:r w:rsidR="163CE460">
        <w:t xml:space="preserve">latory benefit arises from the difference between </w:t>
      </w:r>
      <w:r w:rsidR="576F8484">
        <w:t>hypothetical</w:t>
      </w:r>
      <w:r w:rsidR="0E35962A">
        <w:t xml:space="preserve">, </w:t>
      </w:r>
      <w:r w:rsidR="46F65AC3">
        <w:t>growth-</w:t>
      </w:r>
      <w:r w:rsidR="0E35962A">
        <w:t>unrestricted</w:t>
      </w:r>
      <w:r w:rsidR="4A89D868">
        <w:t xml:space="preserve"> fees</w:t>
      </w:r>
      <w:r w:rsidR="0E35962A">
        <w:t xml:space="preserve"> </w:t>
      </w:r>
      <w:r w:rsidR="3211A50E">
        <w:t>and actual, growth-restricted fees. The exact impact depends on the circumstances</w:t>
      </w:r>
      <w:r w:rsidR="492AA215">
        <w:t xml:space="preserve"> of the provider, the location, and household ch</w:t>
      </w:r>
      <w:r w:rsidR="63187044">
        <w:t xml:space="preserve">aracteristics. </w:t>
      </w:r>
    </w:p>
    <w:p w14:paraId="250B43BC" w14:textId="091AC51B" w:rsidR="0015646D" w:rsidRPr="00E93E15" w:rsidRDefault="002C03E5" w:rsidP="0015646D">
      <w:r>
        <w:t xml:space="preserve">Lower </w:t>
      </w:r>
      <w:r w:rsidR="00C92FBE">
        <w:t xml:space="preserve">fees </w:t>
      </w:r>
      <w:r>
        <w:t xml:space="preserve">(over time) </w:t>
      </w:r>
      <w:r w:rsidR="00C92FBE">
        <w:t>translate in</w:t>
      </w:r>
      <w:r w:rsidR="006E642F">
        <w:t>to</w:t>
      </w:r>
      <w:r w:rsidR="00C92FBE">
        <w:t xml:space="preserve"> lower out-of-pocket costs</w:t>
      </w:r>
      <w:r w:rsidR="00DA27B7">
        <w:t xml:space="preserve"> for families</w:t>
      </w:r>
      <w:r w:rsidR="002064C9">
        <w:t xml:space="preserve"> and reduced CCS payments for Government</w:t>
      </w:r>
      <w:r w:rsidR="00DA27B7">
        <w:t xml:space="preserve">. </w:t>
      </w:r>
      <w:r w:rsidR="0021546E">
        <w:t xml:space="preserve">Assuming </w:t>
      </w:r>
      <w:r w:rsidR="004E3EDE">
        <w:t xml:space="preserve">an </w:t>
      </w:r>
      <w:r w:rsidR="00DA27B7">
        <w:t>average</w:t>
      </w:r>
      <w:r w:rsidR="004F29E2">
        <w:t xml:space="preserve"> </w:t>
      </w:r>
      <w:r w:rsidR="000B3A7B">
        <w:t xml:space="preserve">CCS rate </w:t>
      </w:r>
      <w:r w:rsidR="004E3EDE">
        <w:t xml:space="preserve">of between 60 and </w:t>
      </w:r>
      <w:r w:rsidR="000B3A7B">
        <w:t>70 per cent</w:t>
      </w:r>
      <w:r w:rsidR="004E3EDE">
        <w:t xml:space="preserve">, </w:t>
      </w:r>
      <w:r w:rsidR="001833E3">
        <w:t xml:space="preserve">fees that </w:t>
      </w:r>
      <w:r w:rsidR="009D3975">
        <w:t>increase</w:t>
      </w:r>
      <w:r w:rsidR="001833E3">
        <w:t xml:space="preserve"> by </w:t>
      </w:r>
      <w:r w:rsidR="002064C9">
        <w:t xml:space="preserve">$1 </w:t>
      </w:r>
      <w:r w:rsidR="001833E3">
        <w:t xml:space="preserve">less </w:t>
      </w:r>
      <w:r w:rsidR="00286045">
        <w:t>because of the</w:t>
      </w:r>
      <w:r w:rsidR="000C3F0A">
        <w:t xml:space="preserve"> growth limit</w:t>
      </w:r>
      <w:r w:rsidR="004976CF">
        <w:t xml:space="preserve"> imply </w:t>
      </w:r>
      <w:r w:rsidR="00626A62">
        <w:t xml:space="preserve">a </w:t>
      </w:r>
      <w:r w:rsidR="009640D3">
        <w:t xml:space="preserve">30 </w:t>
      </w:r>
      <w:r w:rsidR="003D4254">
        <w:t>to 40</w:t>
      </w:r>
      <w:r w:rsidR="009640D3">
        <w:t xml:space="preserve"> cent </w:t>
      </w:r>
      <w:r w:rsidR="008B16A5">
        <w:t xml:space="preserve">saving in </w:t>
      </w:r>
      <w:r w:rsidR="002D774C">
        <w:t>out-of-pocket</w:t>
      </w:r>
      <w:r w:rsidR="00810E76">
        <w:t xml:space="preserve"> expenses </w:t>
      </w:r>
      <w:r w:rsidR="008B16A5">
        <w:t>for families</w:t>
      </w:r>
      <w:r w:rsidR="00701417">
        <w:t xml:space="preserve"> (and </w:t>
      </w:r>
      <w:r w:rsidR="003D4254">
        <w:t>60 to</w:t>
      </w:r>
      <w:r w:rsidR="00701417">
        <w:t xml:space="preserve"> 70</w:t>
      </w:r>
      <w:r w:rsidR="00926314">
        <w:t xml:space="preserve"> </w:t>
      </w:r>
      <w:r w:rsidR="003D4254">
        <w:t xml:space="preserve">cent </w:t>
      </w:r>
      <w:r w:rsidR="00611DEB">
        <w:t>reduced</w:t>
      </w:r>
      <w:r w:rsidR="003D4254">
        <w:t xml:space="preserve"> CCS payments</w:t>
      </w:r>
      <w:r w:rsidR="00701417">
        <w:t>)</w:t>
      </w:r>
      <w:r w:rsidR="000B3A7B">
        <w:t xml:space="preserve">. </w:t>
      </w:r>
      <w:r w:rsidR="003226AD">
        <w:t xml:space="preserve">The total benefit </w:t>
      </w:r>
      <w:r w:rsidR="00601AD3">
        <w:t>for families</w:t>
      </w:r>
      <w:r w:rsidR="003226AD">
        <w:t xml:space="preserve"> from a fee growth limit is then the product of the </w:t>
      </w:r>
      <w:r w:rsidR="00441C85">
        <w:t xml:space="preserve">lower out-of-pocket </w:t>
      </w:r>
      <w:r w:rsidR="00851661">
        <w:t>expenses</w:t>
      </w:r>
      <w:r w:rsidR="003226AD">
        <w:t xml:space="preserve"> and the </w:t>
      </w:r>
      <w:r w:rsidR="00594A37">
        <w:t xml:space="preserve">number of </w:t>
      </w:r>
      <w:r w:rsidR="0000232E">
        <w:t>ho</w:t>
      </w:r>
      <w:r w:rsidR="002375A7">
        <w:t xml:space="preserve">urs families use </w:t>
      </w:r>
      <w:proofErr w:type="gramStart"/>
      <w:r w:rsidR="00CA3650">
        <w:t>child care</w:t>
      </w:r>
      <w:proofErr w:type="gramEnd"/>
      <w:r w:rsidR="002375A7">
        <w:t xml:space="preserve"> services.</w:t>
      </w:r>
      <w:r w:rsidR="009B0EA0">
        <w:t xml:space="preserve"> </w:t>
      </w:r>
    </w:p>
    <w:p w14:paraId="3C325ABD" w14:textId="77777777" w:rsidR="0015646D" w:rsidRDefault="0015646D" w:rsidP="0015646D">
      <w:pPr>
        <w:pStyle w:val="Heading6"/>
      </w:pPr>
      <w:r>
        <w:lastRenderedPageBreak/>
        <w:t>Costs</w:t>
      </w:r>
    </w:p>
    <w:p w14:paraId="70B1D619" w14:textId="63C33ADA" w:rsidR="003F6574" w:rsidRDefault="743F2F0F" w:rsidP="0015646D">
      <w:r>
        <w:t xml:space="preserve">The proposed </w:t>
      </w:r>
      <w:r w:rsidR="74FC5263">
        <w:t xml:space="preserve">funding </w:t>
      </w:r>
      <w:r w:rsidR="6BE224CF">
        <w:t xml:space="preserve">is time-limited </w:t>
      </w:r>
      <w:r w:rsidR="39EC229F">
        <w:t>to t</w:t>
      </w:r>
      <w:r w:rsidR="068041AA">
        <w:t>wo</w:t>
      </w:r>
      <w:r w:rsidR="39EC229F">
        <w:t xml:space="preserve"> years with the assumption </w:t>
      </w:r>
      <w:r w:rsidR="4EC3D3ED">
        <w:t>th</w:t>
      </w:r>
      <w:r w:rsidR="79418448">
        <w:t xml:space="preserve">ere will be significant reforms across the ECEC sector following the </w:t>
      </w:r>
      <w:r w:rsidR="12B833CC">
        <w:t>PC</w:t>
      </w:r>
      <w:r w:rsidR="79418448">
        <w:t xml:space="preserve"> Inquiry</w:t>
      </w:r>
      <w:r w:rsidR="5D9EC965">
        <w:t>.</w:t>
      </w:r>
      <w:r w:rsidR="6DD5B442">
        <w:t xml:space="preserve"> The affordability condition will </w:t>
      </w:r>
      <w:r w:rsidR="3C94C0BE">
        <w:t xml:space="preserve">also </w:t>
      </w:r>
      <w:r w:rsidR="04D675EA">
        <w:t>expir</w:t>
      </w:r>
      <w:r w:rsidR="3C94C0BE">
        <w:t>e after t</w:t>
      </w:r>
      <w:r w:rsidR="068041AA">
        <w:t>wo</w:t>
      </w:r>
      <w:r w:rsidR="3C94C0BE">
        <w:t xml:space="preserve"> years, however the </w:t>
      </w:r>
      <w:r w:rsidR="66882CA4">
        <w:t>EA</w:t>
      </w:r>
      <w:r w:rsidR="3C94C0BE">
        <w:t xml:space="preserve"> resulting from the supported bargaining </w:t>
      </w:r>
      <w:r w:rsidR="14875B2E">
        <w:t xml:space="preserve">and other workplace instrument </w:t>
      </w:r>
      <w:r w:rsidR="22782DE4">
        <w:t xml:space="preserve">options </w:t>
      </w:r>
      <w:r w:rsidR="14875B2E">
        <w:t>in place for</w:t>
      </w:r>
      <w:r w:rsidR="22782DE4">
        <w:t xml:space="preserve"> the purposes of</w:t>
      </w:r>
      <w:r w:rsidR="14875B2E">
        <w:t xml:space="preserve"> the grant</w:t>
      </w:r>
      <w:r w:rsidR="3C94C0BE">
        <w:t xml:space="preserve"> </w:t>
      </w:r>
      <w:r w:rsidR="22782DE4">
        <w:t xml:space="preserve">payment </w:t>
      </w:r>
      <w:r w:rsidR="3C94C0BE">
        <w:t xml:space="preserve">will </w:t>
      </w:r>
      <w:r w:rsidR="22782DE4">
        <w:t>likely stay and</w:t>
      </w:r>
      <w:r w:rsidR="3C94C0BE">
        <w:t xml:space="preserve"> be ongoing. </w:t>
      </w:r>
      <w:r w:rsidR="14A0FAD4">
        <w:t xml:space="preserve">Without </w:t>
      </w:r>
      <w:r w:rsidR="73BB5E7B">
        <w:t>further subsidies or other changes to the system, p</w:t>
      </w:r>
      <w:r w:rsidR="3C94C0BE">
        <w:t xml:space="preserve">roviders will </w:t>
      </w:r>
      <w:r w:rsidR="21D7CBC0">
        <w:t xml:space="preserve">likely </w:t>
      </w:r>
      <w:r w:rsidR="1078DA50">
        <w:t xml:space="preserve">pass on the full costs for the </w:t>
      </w:r>
      <w:r w:rsidR="21D7CBC0">
        <w:t xml:space="preserve">higher </w:t>
      </w:r>
      <w:r w:rsidR="1078DA50">
        <w:t>wage</w:t>
      </w:r>
      <w:r w:rsidR="21D7CBC0">
        <w:t>s</w:t>
      </w:r>
      <w:r w:rsidR="1078DA50">
        <w:t xml:space="preserve"> to families at this time and </w:t>
      </w:r>
      <w:r w:rsidR="14A0FAD4">
        <w:t xml:space="preserve">may increase fees </w:t>
      </w:r>
      <w:r w:rsidR="73BB5E7B">
        <w:t xml:space="preserve">more than they otherwise would have to compensate for lost revenue. </w:t>
      </w:r>
    </w:p>
    <w:p w14:paraId="72CFDD86" w14:textId="799FA25A" w:rsidR="0015646D" w:rsidRPr="00E4421C" w:rsidRDefault="0015646D" w:rsidP="0015646D">
      <w:r>
        <w:t>Any administrative and delay</w:t>
      </w:r>
      <w:r w:rsidR="00CE6ACB">
        <w:t>ed</w:t>
      </w:r>
      <w:r>
        <w:t xml:space="preserve"> costs associated with compliance with the fee constraint are negligible</w:t>
      </w:r>
      <w:r w:rsidR="008B7517">
        <w:t xml:space="preserve"> for families</w:t>
      </w:r>
      <w:r>
        <w:t>.</w:t>
      </w:r>
    </w:p>
    <w:p w14:paraId="6E004FFC" w14:textId="275C2A03" w:rsidR="00FE0F8E" w:rsidRDefault="00FE0F8E" w:rsidP="00FE0F8E">
      <w:pPr>
        <w:pStyle w:val="Heading4"/>
      </w:pPr>
      <w:bookmarkStart w:id="69" w:name="_Toc160805622"/>
      <w:bookmarkStart w:id="70" w:name="_Toc162963667"/>
      <w:bookmarkStart w:id="71" w:name="_Toc219193885"/>
      <w:r>
        <w:t>Approximate regulatory burden estimate</w:t>
      </w:r>
      <w:bookmarkEnd w:id="69"/>
      <w:bookmarkEnd w:id="70"/>
      <w:bookmarkEnd w:id="71"/>
    </w:p>
    <w:p w14:paraId="1D0956AF" w14:textId="2147C592" w:rsidR="00FE0F8E" w:rsidRDefault="00FE0F8E" w:rsidP="00FE0F8E">
      <w:pPr>
        <w:rPr>
          <w:b/>
          <w:bCs/>
        </w:rPr>
      </w:pPr>
      <w:r>
        <w:rPr>
          <w:b/>
          <w:bCs/>
        </w:rPr>
        <w:t xml:space="preserve">Table </w:t>
      </w:r>
      <w:r w:rsidR="00A21274">
        <w:rPr>
          <w:b/>
          <w:bCs/>
        </w:rPr>
        <w:t>5</w:t>
      </w:r>
      <w:r>
        <w:rPr>
          <w:b/>
          <w:bCs/>
        </w:rPr>
        <w:t xml:space="preserve">: Annual regulatory costs </w:t>
      </w:r>
      <w:r w:rsidR="00A21274">
        <w:rPr>
          <w:b/>
          <w:bCs/>
        </w:rPr>
        <w:t>of implementing or complying with the affordability condition</w:t>
      </w:r>
    </w:p>
    <w:tbl>
      <w:tblPr>
        <w:tblStyle w:val="EDU-Basic"/>
        <w:tblW w:w="0" w:type="auto"/>
        <w:tblLook w:val="04A0" w:firstRow="1" w:lastRow="0" w:firstColumn="1" w:lastColumn="0" w:noHBand="0" w:noVBand="1"/>
      </w:tblPr>
      <w:tblGrid>
        <w:gridCol w:w="1696"/>
        <w:gridCol w:w="1910"/>
        <w:gridCol w:w="1803"/>
        <w:gridCol w:w="1803"/>
        <w:gridCol w:w="1804"/>
      </w:tblGrid>
      <w:tr w:rsidR="00FE0F8E" w14:paraId="65B0A1CB" w14:textId="77777777" w:rsidTr="00A2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4F2CDA" w14:textId="77777777" w:rsidR="00FE0F8E" w:rsidRDefault="00FE0F8E" w:rsidP="003B6168"/>
        </w:tc>
        <w:tc>
          <w:tcPr>
            <w:tcW w:w="1910" w:type="dxa"/>
          </w:tcPr>
          <w:p w14:paraId="1A78604B" w14:textId="77777777" w:rsidR="00FE0F8E" w:rsidRDefault="00FE0F8E" w:rsidP="003B6168">
            <w:pPr>
              <w:cnfStyle w:val="100000000000" w:firstRow="1" w:lastRow="0" w:firstColumn="0" w:lastColumn="0" w:oddVBand="0" w:evenVBand="0" w:oddHBand="0" w:evenHBand="0" w:firstRowFirstColumn="0" w:firstRowLastColumn="0" w:lastRowFirstColumn="0" w:lastRowLastColumn="0"/>
            </w:pPr>
            <w:r>
              <w:t>Individuals (families)</w:t>
            </w:r>
          </w:p>
        </w:tc>
        <w:tc>
          <w:tcPr>
            <w:tcW w:w="1803" w:type="dxa"/>
          </w:tcPr>
          <w:p w14:paraId="1712E076" w14:textId="77777777" w:rsidR="00FE0F8E" w:rsidRDefault="00FE0F8E" w:rsidP="003B6168">
            <w:pPr>
              <w:cnfStyle w:val="100000000000" w:firstRow="1" w:lastRow="0" w:firstColumn="0" w:lastColumn="0" w:oddVBand="0" w:evenVBand="0" w:oddHBand="0" w:evenHBand="0" w:firstRowFirstColumn="0" w:firstRowLastColumn="0" w:lastRowFirstColumn="0" w:lastRowLastColumn="0"/>
            </w:pPr>
            <w:r>
              <w:t>Business</w:t>
            </w:r>
          </w:p>
        </w:tc>
        <w:tc>
          <w:tcPr>
            <w:tcW w:w="1803" w:type="dxa"/>
          </w:tcPr>
          <w:p w14:paraId="4A39BFB8" w14:textId="77777777" w:rsidR="00FE0F8E" w:rsidRDefault="00FE0F8E" w:rsidP="003B6168">
            <w:pPr>
              <w:cnfStyle w:val="100000000000" w:firstRow="1" w:lastRow="0" w:firstColumn="0" w:lastColumn="0" w:oddVBand="0" w:evenVBand="0" w:oddHBand="0" w:evenHBand="0" w:firstRowFirstColumn="0" w:firstRowLastColumn="0" w:lastRowFirstColumn="0" w:lastRowLastColumn="0"/>
            </w:pPr>
            <w:r>
              <w:t>Community organisations</w:t>
            </w:r>
          </w:p>
        </w:tc>
        <w:tc>
          <w:tcPr>
            <w:tcW w:w="1804" w:type="dxa"/>
          </w:tcPr>
          <w:p w14:paraId="247CE02B" w14:textId="77777777" w:rsidR="00FE0F8E" w:rsidRDefault="00FE0F8E" w:rsidP="003B6168">
            <w:pPr>
              <w:cnfStyle w:val="100000000000" w:firstRow="1" w:lastRow="0" w:firstColumn="0" w:lastColumn="0" w:oddVBand="0" w:evenVBand="0" w:oddHBand="0" w:evenHBand="0" w:firstRowFirstColumn="0" w:firstRowLastColumn="0" w:lastRowFirstColumn="0" w:lastRowLastColumn="0"/>
            </w:pPr>
            <w:r>
              <w:t>Total change in cost</w:t>
            </w:r>
          </w:p>
        </w:tc>
      </w:tr>
      <w:tr w:rsidR="00FE0F8E" w14:paraId="3C3CD2D8" w14:textId="77777777" w:rsidTr="00A21274">
        <w:tc>
          <w:tcPr>
            <w:cnfStyle w:val="001000000000" w:firstRow="0" w:lastRow="0" w:firstColumn="1" w:lastColumn="0" w:oddVBand="0" w:evenVBand="0" w:oddHBand="0" w:evenHBand="0" w:firstRowFirstColumn="0" w:firstRowLastColumn="0" w:lastRowFirstColumn="0" w:lastRowLastColumn="0"/>
            <w:tcW w:w="1696" w:type="dxa"/>
          </w:tcPr>
          <w:p w14:paraId="443BD039" w14:textId="400D1FA5" w:rsidR="00FE0F8E" w:rsidRDefault="00A21274" w:rsidP="003B6168">
            <w:r>
              <w:t>Affordability condition</w:t>
            </w:r>
          </w:p>
        </w:tc>
        <w:tc>
          <w:tcPr>
            <w:tcW w:w="1910" w:type="dxa"/>
          </w:tcPr>
          <w:p w14:paraId="45AFEEA0" w14:textId="77777777" w:rsidR="00FE0F8E" w:rsidRDefault="00FE0F8E" w:rsidP="003B6168">
            <w:pPr>
              <w:cnfStyle w:val="000000000000" w:firstRow="0" w:lastRow="0" w:firstColumn="0" w:lastColumn="0" w:oddVBand="0" w:evenVBand="0" w:oddHBand="0" w:evenHBand="0" w:firstRowFirstColumn="0" w:firstRowLastColumn="0" w:lastRowFirstColumn="0" w:lastRowLastColumn="0"/>
            </w:pPr>
            <w:r>
              <w:t>$0</w:t>
            </w:r>
          </w:p>
        </w:tc>
        <w:tc>
          <w:tcPr>
            <w:tcW w:w="1803" w:type="dxa"/>
          </w:tcPr>
          <w:p w14:paraId="09625AC0" w14:textId="1B21C5BA" w:rsidR="00FE0F8E" w:rsidRPr="003B67D4" w:rsidRDefault="004264D3" w:rsidP="003B6168">
            <w:pPr>
              <w:cnfStyle w:val="000000000000" w:firstRow="0" w:lastRow="0" w:firstColumn="0" w:lastColumn="0" w:oddVBand="0" w:evenVBand="0" w:oddHBand="0" w:evenHBand="0" w:firstRowFirstColumn="0" w:firstRowLastColumn="0" w:lastRowFirstColumn="0" w:lastRowLastColumn="0"/>
              <w:rPr>
                <w:highlight w:val="yellow"/>
              </w:rPr>
            </w:pPr>
            <w:r w:rsidRPr="004264D3">
              <w:t>$0</w:t>
            </w:r>
          </w:p>
        </w:tc>
        <w:tc>
          <w:tcPr>
            <w:tcW w:w="1803" w:type="dxa"/>
          </w:tcPr>
          <w:p w14:paraId="1D403D70" w14:textId="77777777" w:rsidR="00FE0F8E" w:rsidRDefault="00FE0F8E" w:rsidP="003B6168">
            <w:pPr>
              <w:cnfStyle w:val="000000000000" w:firstRow="0" w:lastRow="0" w:firstColumn="0" w:lastColumn="0" w:oddVBand="0" w:evenVBand="0" w:oddHBand="0" w:evenHBand="0" w:firstRowFirstColumn="0" w:firstRowLastColumn="0" w:lastRowFirstColumn="0" w:lastRowLastColumn="0"/>
            </w:pPr>
            <w:r>
              <w:t>$0</w:t>
            </w:r>
          </w:p>
        </w:tc>
        <w:tc>
          <w:tcPr>
            <w:tcW w:w="1804" w:type="dxa"/>
          </w:tcPr>
          <w:p w14:paraId="4481A251" w14:textId="0265ED00" w:rsidR="00FE0F8E" w:rsidRDefault="004264D3" w:rsidP="003B6168">
            <w:pPr>
              <w:cnfStyle w:val="000000000000" w:firstRow="0" w:lastRow="0" w:firstColumn="0" w:lastColumn="0" w:oddVBand="0" w:evenVBand="0" w:oddHBand="0" w:evenHBand="0" w:firstRowFirstColumn="0" w:firstRowLastColumn="0" w:lastRowFirstColumn="0" w:lastRowLastColumn="0"/>
            </w:pPr>
            <w:r>
              <w:t>$0</w:t>
            </w:r>
          </w:p>
        </w:tc>
      </w:tr>
    </w:tbl>
    <w:p w14:paraId="48B23784" w14:textId="77777777" w:rsidR="001A383E" w:rsidRDefault="001A383E" w:rsidP="001A383E">
      <w:pPr>
        <w:pStyle w:val="Heading3"/>
      </w:pPr>
      <w:bookmarkStart w:id="72" w:name="_Toc219193886"/>
      <w:r>
        <w:t>Other considerations</w:t>
      </w:r>
      <w:bookmarkEnd w:id="72"/>
    </w:p>
    <w:p w14:paraId="780895E5" w14:textId="4B8B57CB" w:rsidR="001A383E" w:rsidRDefault="001A383E" w:rsidP="001A383E">
      <w:pPr>
        <w:pStyle w:val="Heading4"/>
      </w:pPr>
      <w:bookmarkStart w:id="73" w:name="_Toc160805624"/>
      <w:bookmarkStart w:id="74" w:name="_Toc162963669"/>
      <w:bookmarkStart w:id="75" w:name="_Toc219193887"/>
      <w:r>
        <w:t xml:space="preserve">First </w:t>
      </w:r>
      <w:r w:rsidR="007B1045">
        <w:t>N</w:t>
      </w:r>
      <w:r>
        <w:t>ations workforce</w:t>
      </w:r>
      <w:bookmarkEnd w:id="73"/>
      <w:bookmarkEnd w:id="74"/>
      <w:bookmarkEnd w:id="75"/>
      <w:r>
        <w:t xml:space="preserve"> </w:t>
      </w:r>
    </w:p>
    <w:p w14:paraId="7C6B7550" w14:textId="45075A56" w:rsidR="001A383E" w:rsidRDefault="208A0486" w:rsidP="001A383E">
      <w:r>
        <w:t>A wage increase for the ECEC workforce would benefit current First Nations people in the ECEC workforce and increase their economic security. However, based on the findings of the ACCC Childcare</w:t>
      </w:r>
      <w:r w:rsidR="000953BD">
        <w:t xml:space="preserve"> Price</w:t>
      </w:r>
      <w:r>
        <w:t xml:space="preserve"> Inquiry, a wage increase for the sector is not likely to have significant impact on the attraction and retention of First Nations people into the ECEC workforce. The </w:t>
      </w:r>
      <w:r w:rsidR="000953BD">
        <w:t>I</w:t>
      </w:r>
      <w:r>
        <w:t xml:space="preserve">nquiry found that finding </w:t>
      </w:r>
      <w:r w:rsidR="798A7269">
        <w:t>First Nations</w:t>
      </w:r>
      <w:r>
        <w:t xml:space="preserve"> staff is particularly challenging for providers and even where providers do find staff, retention can be difficult.</w:t>
      </w:r>
      <w:r w:rsidR="001A383E">
        <w:rPr>
          <w:rStyle w:val="FootnoteReference"/>
        </w:rPr>
        <w:footnoteReference w:id="118"/>
      </w:r>
      <w:r>
        <w:t xml:space="preserve"> A large provider told the ACCC, through a First Nations roundtable, that the turnover of First Nations staff is significantly higher than their average staff turnover. These challenges are heightened in regional and remote areas that lack the availability of local staff training.</w:t>
      </w:r>
      <w:r w:rsidR="001A383E">
        <w:rPr>
          <w:rStyle w:val="FootnoteReference"/>
        </w:rPr>
        <w:footnoteReference w:id="119"/>
      </w:r>
    </w:p>
    <w:p w14:paraId="41807978" w14:textId="40CCFA4E" w:rsidR="001A383E" w:rsidRDefault="208A0486" w:rsidP="001A383E">
      <w:r>
        <w:t>While online training pathways may be available, participants indicated that this often does not meet the needs of First Nations educators and others in remote areas, and that many First Nations people do not have the literacy levels in English required to engage with the learning.</w:t>
      </w:r>
      <w:r w:rsidR="001A383E">
        <w:rPr>
          <w:rStyle w:val="FootnoteReference"/>
        </w:rPr>
        <w:footnoteReference w:id="120"/>
      </w:r>
      <w:r>
        <w:t xml:space="preserve"> </w:t>
      </w:r>
      <w:r w:rsidR="3AEB989A">
        <w:t xml:space="preserve">In addition to increases in pay and conditions, </w:t>
      </w:r>
      <w:r>
        <w:t>improv</w:t>
      </w:r>
      <w:r w:rsidR="1B677AEA">
        <w:t>ing</w:t>
      </w:r>
      <w:r>
        <w:t xml:space="preserve"> the retention and attraction of First Nations people to the ECEC sector, likely </w:t>
      </w:r>
      <w:r w:rsidR="1B677AEA">
        <w:t>requires</w:t>
      </w:r>
      <w:r>
        <w:t xml:space="preserve"> further progress in </w:t>
      </w:r>
      <w:r w:rsidR="798A7269">
        <w:t>C</w:t>
      </w:r>
      <w:r>
        <w:t xml:space="preserve">losing the </w:t>
      </w:r>
      <w:r w:rsidR="798A7269">
        <w:t>G</w:t>
      </w:r>
      <w:r>
        <w:t xml:space="preserve">ap educational targets and outcomes in the first instance. </w:t>
      </w:r>
    </w:p>
    <w:p w14:paraId="78C0D0B9" w14:textId="44F03BA7" w:rsidR="001A383E" w:rsidRDefault="001A383E" w:rsidP="001A383E">
      <w:pPr>
        <w:pStyle w:val="Heading4"/>
      </w:pPr>
      <w:bookmarkStart w:id="76" w:name="_Toc160805625"/>
      <w:bookmarkStart w:id="77" w:name="_Toc162963670"/>
      <w:bookmarkStart w:id="78" w:name="_Toc219193888"/>
      <w:r>
        <w:lastRenderedPageBreak/>
        <w:t xml:space="preserve">First </w:t>
      </w:r>
      <w:r w:rsidR="00CD7278">
        <w:t>N</w:t>
      </w:r>
      <w:r>
        <w:t>ations families</w:t>
      </w:r>
      <w:bookmarkEnd w:id="76"/>
      <w:bookmarkEnd w:id="77"/>
      <w:bookmarkEnd w:id="78"/>
      <w:r>
        <w:t xml:space="preserve"> </w:t>
      </w:r>
    </w:p>
    <w:p w14:paraId="18144B23" w14:textId="46217A78" w:rsidR="001A383E" w:rsidRDefault="208A0486" w:rsidP="001A383E">
      <w:r>
        <w:t>The ACCC Inquiry found that some First Nations households face additional challenges when accessing formal care</w:t>
      </w:r>
      <w:r w:rsidR="00A70820">
        <w:t>.</w:t>
      </w:r>
      <w:r>
        <w:t xml:space="preserve"> </w:t>
      </w:r>
      <w:r w:rsidR="00A70820">
        <w:t>W</w:t>
      </w:r>
      <w:r>
        <w:t xml:space="preserve">hilst workforce measures that assist with accessibility of care are a positive step for these families, further structural barriers will not be resolved under </w:t>
      </w:r>
      <w:r w:rsidR="002F585F">
        <w:t xml:space="preserve">any of the </w:t>
      </w:r>
      <w:r w:rsidR="3AEB989A">
        <w:t xml:space="preserve">options explored in </w:t>
      </w:r>
      <w:r>
        <w:t xml:space="preserve">this policy, such as challenges </w:t>
      </w:r>
      <w:r w:rsidR="002F585F">
        <w:t>relating</w:t>
      </w:r>
      <w:r>
        <w:t xml:space="preserve"> to finding services that cater to cultural needs, as well as accessing the </w:t>
      </w:r>
      <w:r w:rsidR="4FC8984B">
        <w:t>CCS s</w:t>
      </w:r>
      <w:r>
        <w:t>ystem.</w:t>
      </w:r>
      <w:r w:rsidR="001A383E">
        <w:rPr>
          <w:rStyle w:val="FootnoteReference"/>
        </w:rPr>
        <w:footnoteReference w:id="121"/>
      </w:r>
    </w:p>
    <w:p w14:paraId="5D932FFE" w14:textId="589124BE" w:rsidR="001A383E" w:rsidRDefault="208A0486" w:rsidP="001A383E">
      <w:r>
        <w:t xml:space="preserve">The </w:t>
      </w:r>
      <w:r w:rsidR="00BE0095">
        <w:t>ACCC Inquiry</w:t>
      </w:r>
      <w:r>
        <w:t xml:space="preserve"> also found that some First Nations households struggle to afford formal </w:t>
      </w:r>
      <w:r w:rsidR="25E7C62E">
        <w:t>child care</w:t>
      </w:r>
      <w:r>
        <w:t>, even whe</w:t>
      </w:r>
      <w:r w:rsidR="00BE0095">
        <w:t>n</w:t>
      </w:r>
      <w:r>
        <w:t xml:space="preserve"> they have access to financial support.</w:t>
      </w:r>
      <w:r w:rsidR="00C668D2">
        <w:rPr>
          <w:rStyle w:val="FootnoteReference"/>
        </w:rPr>
        <w:footnoteReference w:id="122"/>
      </w:r>
      <w:r>
        <w:t xml:space="preserve"> As this policy seeks to address workforce wages and any affordability impacts that occur as a result, the challenges faced by First Nations families in accessing affordable care are better suited for Government’s consideration of the current sector funding model as a result of recommendations made in both the ACCC and PC Childcare Inquiries in the near future.</w:t>
      </w:r>
    </w:p>
    <w:p w14:paraId="72A4F88A" w14:textId="77777777" w:rsidR="001A383E" w:rsidRDefault="001A383E" w:rsidP="001A383E">
      <w:pPr>
        <w:pStyle w:val="Heading4"/>
      </w:pPr>
      <w:bookmarkStart w:id="79" w:name="_Toc160805626"/>
      <w:bookmarkStart w:id="80" w:name="_Toc162963671"/>
      <w:bookmarkStart w:id="81" w:name="_Toc219193889"/>
      <w:r>
        <w:t>Workforce supply in remote areas</w:t>
      </w:r>
      <w:bookmarkEnd w:id="79"/>
      <w:bookmarkEnd w:id="80"/>
      <w:bookmarkEnd w:id="81"/>
    </w:p>
    <w:p w14:paraId="3DDFBB19" w14:textId="533B6DD4" w:rsidR="001A383E" w:rsidRPr="00B83107" w:rsidRDefault="208A0486" w:rsidP="001A383E">
      <w:r>
        <w:t>The ACCC Inquiry found that staffing is a significant barrier to providing care in regional and remote areas, with labour costs significantly higher in Very Remote areas relative to Major Cities and regional areas.</w:t>
      </w:r>
      <w:r w:rsidR="001A383E">
        <w:rPr>
          <w:rStyle w:val="FootnoteReference"/>
        </w:rPr>
        <w:footnoteReference w:id="123"/>
      </w:r>
      <w:r>
        <w:t xml:space="preserve"> Currently, providers are paying above award wages and providing a range of financial incentives to attract and retain staff in remote areas, however issues such as lack of housing in some areas and having to compete with higher paying industries for staff (such as in mining regions) create additional staffing pressures.</w:t>
      </w:r>
      <w:r w:rsidR="001A383E">
        <w:rPr>
          <w:rStyle w:val="FootnoteReference"/>
        </w:rPr>
        <w:footnoteReference w:id="124"/>
      </w:r>
    </w:p>
    <w:p w14:paraId="2F54A69A" w14:textId="4B718287" w:rsidR="00346D98" w:rsidRDefault="44B960B4" w:rsidP="001A383E">
      <w:r>
        <w:t xml:space="preserve">Workforce pressures are resulting in </w:t>
      </w:r>
      <w:r w:rsidR="2EECD783">
        <w:t xml:space="preserve">‘under-served’ or </w:t>
      </w:r>
      <w:r w:rsidR="223EB11B">
        <w:t>‘</w:t>
      </w:r>
      <w:r w:rsidR="2EECD783">
        <w:t>unserved markets</w:t>
      </w:r>
      <w:r w:rsidR="223EB11B">
        <w:t>’</w:t>
      </w:r>
      <w:r w:rsidR="38D4F0BF">
        <w:t xml:space="preserve"> in many parts of Australia</w:t>
      </w:r>
      <w:r w:rsidR="21178CED">
        <w:t xml:space="preserve">, with the ACCC noting that </w:t>
      </w:r>
      <w:r w:rsidR="32B28992">
        <w:t xml:space="preserve">‘there are fewer childcare places available </w:t>
      </w:r>
      <w:r w:rsidR="18F1A6D5">
        <w:t>per child, on average, as areas become more remote</w:t>
      </w:r>
      <w:r w:rsidR="5C52319E">
        <w:t>’.</w:t>
      </w:r>
      <w:r w:rsidR="002A1A86">
        <w:rPr>
          <w:rStyle w:val="FootnoteReference"/>
        </w:rPr>
        <w:footnoteReference w:id="125"/>
      </w:r>
      <w:r w:rsidR="5B2A772B">
        <w:t xml:space="preserve"> </w:t>
      </w:r>
    </w:p>
    <w:p w14:paraId="7CC7DD76" w14:textId="42C8D681" w:rsidR="00263028" w:rsidRDefault="00263028">
      <w:pPr>
        <w:pStyle w:val="Heading3"/>
      </w:pPr>
      <w:bookmarkStart w:id="82" w:name="_Toc219193890"/>
      <w:r>
        <w:t xml:space="preserve">International </w:t>
      </w:r>
      <w:r w:rsidR="00B8108A">
        <w:t>ECEC wage subsidies</w:t>
      </w:r>
      <w:bookmarkEnd w:id="82"/>
      <w:r w:rsidR="00B8108A">
        <w:t xml:space="preserve"> </w:t>
      </w:r>
    </w:p>
    <w:p w14:paraId="6DB15494" w14:textId="77777777" w:rsidR="003E1719" w:rsidRDefault="00B8108A" w:rsidP="00B8108A">
      <w:r>
        <w:t>ECEC workforce</w:t>
      </w:r>
      <w:r w:rsidRPr="00177A09">
        <w:t xml:space="preserve"> </w:t>
      </w:r>
      <w:r w:rsidR="00D502DB">
        <w:t>attraction and retention issues</w:t>
      </w:r>
      <w:r w:rsidRPr="00177A09">
        <w:t xml:space="preserve"> extend far beyond </w:t>
      </w:r>
      <w:r>
        <w:t>Australian borders,</w:t>
      </w:r>
      <w:r w:rsidRPr="00177A09">
        <w:t xml:space="preserve"> with other </w:t>
      </w:r>
      <w:r w:rsidR="002937BF">
        <w:t xml:space="preserve">countries in the </w:t>
      </w:r>
      <w:r w:rsidR="00D502DB">
        <w:t>O</w:t>
      </w:r>
      <w:r w:rsidR="002937BF">
        <w:t xml:space="preserve">rganisation for </w:t>
      </w:r>
      <w:r w:rsidR="00D502DB">
        <w:t>E</w:t>
      </w:r>
      <w:r w:rsidR="002937BF">
        <w:t xml:space="preserve">conomic </w:t>
      </w:r>
      <w:r w:rsidR="00D502DB">
        <w:t>C</w:t>
      </w:r>
      <w:r w:rsidR="00AA4146">
        <w:t xml:space="preserve">o-operation and </w:t>
      </w:r>
      <w:r w:rsidR="00D502DB">
        <w:t>D</w:t>
      </w:r>
      <w:r w:rsidR="00AA4146">
        <w:t>evelopment (OECD)</w:t>
      </w:r>
      <w:r w:rsidRPr="00177A09">
        <w:t xml:space="preserve"> </w:t>
      </w:r>
      <w:r w:rsidR="00914DC6">
        <w:t>reporting</w:t>
      </w:r>
      <w:r w:rsidRPr="00177A09">
        <w:t xml:space="preserve"> similar challenges</w:t>
      </w:r>
      <w:r>
        <w:t>. Whilst there are examples of international wage subsidies, some</w:t>
      </w:r>
      <w:r w:rsidR="00314AF9">
        <w:t xml:space="preserve"> </w:t>
      </w:r>
      <w:r w:rsidR="004A099F">
        <w:t xml:space="preserve">in place for a </w:t>
      </w:r>
      <w:r w:rsidR="00E2416F">
        <w:t>number of years</w:t>
      </w:r>
      <w:r>
        <w:t>,</w:t>
      </w:r>
      <w:r w:rsidR="00314AF9">
        <w:t xml:space="preserve"> jurisdictions have not made quantitative data</w:t>
      </w:r>
      <w:r w:rsidR="00E37C07">
        <w:t xml:space="preserve"> available on their impact to attraction and retention of ECEC workers.</w:t>
      </w:r>
      <w:r w:rsidR="00E2416F">
        <w:t xml:space="preserve"> </w:t>
      </w:r>
    </w:p>
    <w:p w14:paraId="46B6EB98" w14:textId="3F9ACAA9" w:rsidR="00B8108A" w:rsidRDefault="008075D4" w:rsidP="007D5715">
      <w:r>
        <w:t>Analysis</w:t>
      </w:r>
      <w:r w:rsidR="003E1719">
        <w:t xml:space="preserve"> of wage subsidy models utilised in other jurisdictions</w:t>
      </w:r>
      <w:r>
        <w:t>, and their applicability to the Australian context, would need to consider</w:t>
      </w:r>
      <w:r w:rsidR="000C535F">
        <w:t xml:space="preserve"> viable</w:t>
      </w:r>
      <w:r w:rsidR="00983FC6">
        <w:t xml:space="preserve"> </w:t>
      </w:r>
      <w:r w:rsidR="005E086D">
        <w:t xml:space="preserve">operation </w:t>
      </w:r>
      <w:r w:rsidR="000C535F">
        <w:t>with</w:t>
      </w:r>
      <w:r w:rsidR="005E086D">
        <w:t>in Australia’s complex workplace relations system, and comparative differences in</w:t>
      </w:r>
      <w:r w:rsidR="000C535F">
        <w:t xml:space="preserve"> on-costs and</w:t>
      </w:r>
      <w:r w:rsidR="005E086D">
        <w:t xml:space="preserve"> pension funding schemes </w:t>
      </w:r>
      <w:r w:rsidR="00C76D14">
        <w:t>across jurisdictions</w:t>
      </w:r>
      <w:r w:rsidR="000C535F">
        <w:t>.</w:t>
      </w:r>
      <w:r w:rsidR="00C76D14">
        <w:t xml:space="preserve"> </w:t>
      </w:r>
      <w:r w:rsidR="003E1719">
        <w:t xml:space="preserve"> </w:t>
      </w:r>
      <w:r w:rsidR="006F0A5F">
        <w:t xml:space="preserve"> </w:t>
      </w:r>
    </w:p>
    <w:p w14:paraId="4C7B7AA3" w14:textId="28349F7F" w:rsidR="00B8108A" w:rsidRDefault="00B8108A" w:rsidP="007D5715">
      <w:pPr>
        <w:pStyle w:val="Heading5"/>
      </w:pPr>
      <w:r>
        <w:t xml:space="preserve">United States </w:t>
      </w:r>
    </w:p>
    <w:p w14:paraId="282D5CE1" w14:textId="089AD3CE" w:rsidR="00E92008" w:rsidRDefault="003C384C" w:rsidP="004D3464">
      <w:r>
        <w:t>As</w:t>
      </w:r>
      <w:r w:rsidR="00366EC7" w:rsidRPr="007D5715">
        <w:t xml:space="preserve"> of September 2023, the ECEC sector in the United States of America was</w:t>
      </w:r>
      <w:r w:rsidR="002B67A1" w:rsidRPr="007D5715">
        <w:t xml:space="preserve"> grappling with a significant shortfall of approximately </w:t>
      </w:r>
      <w:r w:rsidR="00BF21BA" w:rsidRPr="007D5715">
        <w:t>40,000 workers compared to</w:t>
      </w:r>
      <w:r w:rsidR="00EF78A2" w:rsidRPr="007D5715">
        <w:t xml:space="preserve"> the</w:t>
      </w:r>
      <w:r w:rsidR="00BF21BA" w:rsidRPr="007D5715">
        <w:t xml:space="preserve"> pre-pandemic </w:t>
      </w:r>
      <w:r w:rsidR="00EF78A2" w:rsidRPr="007D5715">
        <w:t xml:space="preserve">workforce. </w:t>
      </w:r>
      <w:r w:rsidR="00EF78A2" w:rsidRPr="007D5715">
        <w:lastRenderedPageBreak/>
        <w:t>While an initial decline occur</w:t>
      </w:r>
      <w:r w:rsidR="00CB3AA9">
        <w:t>r</w:t>
      </w:r>
      <w:r w:rsidR="00EF78A2" w:rsidRPr="007D5715">
        <w:t xml:space="preserve">ed during the pandemic, ECEC workers have reported not </w:t>
      </w:r>
      <w:r w:rsidR="00E92008" w:rsidRPr="00E92008">
        <w:t>returning</w:t>
      </w:r>
      <w:r w:rsidR="00EF78A2" w:rsidRPr="007D5715">
        <w:t xml:space="preserve"> to their positions </w:t>
      </w:r>
      <w:r w:rsidR="000F317A" w:rsidRPr="007D5715">
        <w:t>due to persistently low pay and a perceived undervaluation of their contributions</w:t>
      </w:r>
      <w:r w:rsidR="00E92008">
        <w:t>.</w:t>
      </w:r>
      <w:r w:rsidR="002A4719">
        <w:rPr>
          <w:rStyle w:val="FootnoteReference"/>
        </w:rPr>
        <w:footnoteReference w:id="126"/>
      </w:r>
      <w:r w:rsidR="000F317A" w:rsidRPr="007D5715">
        <w:t xml:space="preserve"> </w:t>
      </w:r>
    </w:p>
    <w:p w14:paraId="14A574CB" w14:textId="29F151EE" w:rsidR="004D3464" w:rsidRDefault="001A1C7F" w:rsidP="004D3464">
      <w:r w:rsidRPr="007D5715">
        <w:t xml:space="preserve">In response, </w:t>
      </w:r>
      <w:r w:rsidR="000534CE" w:rsidRPr="007D5715">
        <w:t xml:space="preserve">initiatives such as the Early Childhood Educator Pay Equity Fund </w:t>
      </w:r>
      <w:r w:rsidR="009A784E" w:rsidRPr="007D5715">
        <w:t>by the Government of the District of Columbia</w:t>
      </w:r>
      <w:r w:rsidR="00D3592E" w:rsidRPr="007D5715">
        <w:t xml:space="preserve"> have been </w:t>
      </w:r>
      <w:r w:rsidR="00727A40" w:rsidRPr="007D5715">
        <w:t>implemented. The Early Childhood Educator Pay Equity Fund aims at achieving pay parity betwe</w:t>
      </w:r>
      <w:r w:rsidR="006260A2">
        <w:t>e</w:t>
      </w:r>
      <w:r w:rsidR="00727A40" w:rsidRPr="007D5715">
        <w:t>n early childhood educators and their K-12 counterparts</w:t>
      </w:r>
      <w:r w:rsidR="008B1033" w:rsidRPr="007D5715">
        <w:t xml:space="preserve">. </w:t>
      </w:r>
      <w:r w:rsidR="00CE183E" w:rsidRPr="007D5715">
        <w:t xml:space="preserve">Under this funding, eligible educators </w:t>
      </w:r>
      <w:r w:rsidR="00277CFF" w:rsidRPr="007D5715">
        <w:t xml:space="preserve">received </w:t>
      </w:r>
      <w:r w:rsidR="005257C5" w:rsidRPr="007D5715">
        <w:t xml:space="preserve">up to four payments of </w:t>
      </w:r>
      <w:r w:rsidR="0027262B">
        <w:t>US</w:t>
      </w:r>
      <w:r w:rsidR="005257C5" w:rsidRPr="007D5715">
        <w:t>$3,500 each</w:t>
      </w:r>
      <w:r w:rsidR="004668BE" w:rsidRPr="007D5715">
        <w:t xml:space="preserve"> (depending on their st</w:t>
      </w:r>
      <w:r w:rsidR="00F62BBA" w:rsidRPr="007D5715">
        <w:t xml:space="preserve">aff type and employment status). As of </w:t>
      </w:r>
      <w:r w:rsidR="00C924FE" w:rsidRPr="007D5715">
        <w:t xml:space="preserve">June 2023, </w:t>
      </w:r>
      <w:r w:rsidR="004954EC">
        <w:t xml:space="preserve">over </w:t>
      </w:r>
      <w:r w:rsidR="00C924FE" w:rsidRPr="007D5715">
        <w:t>270 child development facilities had opted into the progr</w:t>
      </w:r>
      <w:r w:rsidR="003B12AE">
        <w:t>a</w:t>
      </w:r>
      <w:r w:rsidR="00C924FE" w:rsidRPr="007D5715">
        <w:t>m</w:t>
      </w:r>
      <w:r w:rsidR="004954EC">
        <w:t>,</w:t>
      </w:r>
      <w:r w:rsidR="00C924FE" w:rsidRPr="007D5715">
        <w:t xml:space="preserve"> and as of March 2024, over 4,000 workers have already received a pay increase</w:t>
      </w:r>
      <w:r w:rsidR="00BD47C2">
        <w:t>.</w:t>
      </w:r>
      <w:r w:rsidR="00C924FE" w:rsidRPr="007D5715">
        <w:t xml:space="preserve"> </w:t>
      </w:r>
      <w:r w:rsidR="001A27F1">
        <w:t>Given the infancy of the program</w:t>
      </w:r>
      <w:r w:rsidR="00C23408">
        <w:t>,</w:t>
      </w:r>
      <w:r w:rsidR="001A27F1">
        <w:t xml:space="preserve"> </w:t>
      </w:r>
      <w:r w:rsidR="006963F7">
        <w:t>there is no quantitative data available, however</w:t>
      </w:r>
      <w:r w:rsidR="00C924FE" w:rsidRPr="007D5715">
        <w:t xml:space="preserve"> services </w:t>
      </w:r>
      <w:r w:rsidR="006963F7">
        <w:t>are reporting that</w:t>
      </w:r>
      <w:r w:rsidR="00C924FE" w:rsidRPr="007D5715">
        <w:t xml:space="preserve"> the fund has helped to recruit and retain </w:t>
      </w:r>
      <w:r w:rsidR="006963F7">
        <w:t>ECTs.</w:t>
      </w:r>
      <w:r w:rsidR="00701312">
        <w:rPr>
          <w:rStyle w:val="FootnoteReference"/>
        </w:rPr>
        <w:footnoteReference w:id="127"/>
      </w:r>
      <w:r w:rsidR="00C924FE" w:rsidRPr="007D5715">
        <w:t xml:space="preserve"> </w:t>
      </w:r>
    </w:p>
    <w:p w14:paraId="37C5DB3A" w14:textId="03D2696D" w:rsidR="00B8108A" w:rsidRDefault="00B8108A" w:rsidP="00B8108A">
      <w:pPr>
        <w:pStyle w:val="Heading5"/>
      </w:pPr>
      <w:r>
        <w:t>Canada</w:t>
      </w:r>
    </w:p>
    <w:p w14:paraId="0183CC54" w14:textId="623CD1B1" w:rsidR="0014735E" w:rsidRPr="0014735E" w:rsidRDefault="00132EB5" w:rsidP="007D5715">
      <w:r>
        <w:t xml:space="preserve">The Government of Canada has made an investment of over </w:t>
      </w:r>
      <w:r w:rsidR="00610303">
        <w:t>CA</w:t>
      </w:r>
      <w:r w:rsidR="0027262B">
        <w:t>$</w:t>
      </w:r>
      <w:r>
        <w:t xml:space="preserve">27 billion over 5 years as part of </w:t>
      </w:r>
      <w:r w:rsidR="0073608F">
        <w:t xml:space="preserve">its Budget 2021 to build a Canada-wide early learning and </w:t>
      </w:r>
      <w:proofErr w:type="gramStart"/>
      <w:r w:rsidR="0073608F">
        <w:t>child care</w:t>
      </w:r>
      <w:proofErr w:type="gramEnd"/>
      <w:r w:rsidR="0073608F">
        <w:t xml:space="preserve"> system with</w:t>
      </w:r>
      <w:r w:rsidR="009C6220">
        <w:t xml:space="preserve"> all</w:t>
      </w:r>
      <w:r w:rsidR="0073608F">
        <w:t xml:space="preserve"> provinces and territories</w:t>
      </w:r>
      <w:r w:rsidR="009C6220">
        <w:t>, other than Quebec</w:t>
      </w:r>
      <w:r w:rsidR="007E386E">
        <w:t>,</w:t>
      </w:r>
      <w:r w:rsidR="00C13E62">
        <w:t xml:space="preserve"> which does not adhere to the framework</w:t>
      </w:r>
      <w:r w:rsidR="0073608F">
        <w:t>.</w:t>
      </w:r>
      <w:r w:rsidR="0073608F">
        <w:rPr>
          <w:rStyle w:val="FootnoteReference"/>
        </w:rPr>
        <w:footnoteReference w:id="128"/>
      </w:r>
    </w:p>
    <w:p w14:paraId="4213CF08" w14:textId="2C1A82C9" w:rsidR="0025057B" w:rsidRDefault="00AE6AD9" w:rsidP="00B8108A">
      <w:r>
        <w:t>An example of the funding being utilised to fund wage increases is in the</w:t>
      </w:r>
      <w:r w:rsidR="00136E8D">
        <w:t xml:space="preserve"> Canadian province of Saska</w:t>
      </w:r>
      <w:r w:rsidR="003F6E6F">
        <w:t>tchewan</w:t>
      </w:r>
      <w:r>
        <w:t xml:space="preserve">. </w:t>
      </w:r>
      <w:r w:rsidR="00E334B7">
        <w:t xml:space="preserve">The </w:t>
      </w:r>
      <w:r w:rsidR="00220455">
        <w:t xml:space="preserve">Early Childhood Workforce Agreement, signed in 2017 provides </w:t>
      </w:r>
      <w:r w:rsidR="00AF2F4B">
        <w:t xml:space="preserve">the overarching principles that guide federal investment into regulated early learning and </w:t>
      </w:r>
      <w:proofErr w:type="gramStart"/>
      <w:r w:rsidR="00AF2F4B">
        <w:t>child care</w:t>
      </w:r>
      <w:proofErr w:type="gramEnd"/>
      <w:r w:rsidR="00AF2F4B">
        <w:t xml:space="preserve"> for the province. </w:t>
      </w:r>
      <w:r w:rsidR="00602958">
        <w:t xml:space="preserve">Saskatchewan will receive over </w:t>
      </w:r>
      <w:r w:rsidR="00540D02">
        <w:t>C</w:t>
      </w:r>
      <w:r w:rsidR="001178CF">
        <w:t>A</w:t>
      </w:r>
      <w:r w:rsidR="0027262B">
        <w:t>$</w:t>
      </w:r>
      <w:r w:rsidR="00602958">
        <w:t xml:space="preserve">85.7 million between 2021-22 and 2024-25. This included a one-time investment of </w:t>
      </w:r>
      <w:r w:rsidR="00540D02">
        <w:t>CA</w:t>
      </w:r>
      <w:r w:rsidR="0027262B">
        <w:t>$</w:t>
      </w:r>
      <w:r w:rsidR="00602958">
        <w:t xml:space="preserve">17.1 million through workforce development funding in 2021-22. This workforce development investment supported </w:t>
      </w:r>
      <w:proofErr w:type="gramStart"/>
      <w:r w:rsidR="00602958">
        <w:t>child care</w:t>
      </w:r>
      <w:proofErr w:type="gramEnd"/>
      <w:r w:rsidR="00602958">
        <w:t xml:space="preserve"> centres to address compensation of Early Childhood Educators (ECEs), enhanced qualification levels in the sector and developed professional learning opportunities. In 2021-22, Saskatchewan spent </w:t>
      </w:r>
      <w:r w:rsidR="0027262B">
        <w:t>CA</w:t>
      </w:r>
      <w:r w:rsidR="00602958">
        <w:t xml:space="preserve">$11.5 million and carried over </w:t>
      </w:r>
      <w:r w:rsidR="0027262B">
        <w:t>CA</w:t>
      </w:r>
      <w:r w:rsidR="00602958">
        <w:t>$5.6 million into 2022-23.</w:t>
      </w:r>
      <w:r w:rsidR="002E22B6">
        <w:rPr>
          <w:rStyle w:val="FootnoteReference"/>
        </w:rPr>
        <w:footnoteReference w:id="129"/>
      </w:r>
      <w:r w:rsidR="000A0619">
        <w:t xml:space="preserve"> </w:t>
      </w:r>
      <w:r w:rsidR="00677111">
        <w:t xml:space="preserve">Part of this funding was used </w:t>
      </w:r>
      <w:r w:rsidR="00536ABE">
        <w:t>towards a wage enhancement grant to fund wage increases of up to CA$1 per hour, CA$2 per hour, and CA$3 per hour</w:t>
      </w:r>
      <w:r w:rsidR="00F12878">
        <w:t xml:space="preserve"> dependant on the level of certification held by the worker</w:t>
      </w:r>
      <w:r w:rsidR="00425BF1">
        <w:t>,</w:t>
      </w:r>
      <w:r w:rsidR="00F70DB5">
        <w:rPr>
          <w:rStyle w:val="FootnoteReference"/>
        </w:rPr>
        <w:footnoteReference w:id="130"/>
      </w:r>
      <w:r w:rsidR="00425BF1">
        <w:t xml:space="preserve"> </w:t>
      </w:r>
      <w:r w:rsidR="007A31E1">
        <w:t>From 1 September 2022, the Wage Enhancement Grant was increased up to an additional C</w:t>
      </w:r>
      <w:r w:rsidR="00DB6652">
        <w:t>A$2 per hour, leading to a total of CA$5 per hour wage increases from 2021-22 to 2022-23.</w:t>
      </w:r>
      <w:r w:rsidR="00DB6652">
        <w:rPr>
          <w:rStyle w:val="FootnoteReference"/>
        </w:rPr>
        <w:footnoteReference w:id="131"/>
      </w:r>
      <w:r w:rsidR="00F70DB5">
        <w:t xml:space="preserve"> </w:t>
      </w:r>
    </w:p>
    <w:p w14:paraId="37C8E79D" w14:textId="16CB19C0" w:rsidR="00B8108A" w:rsidRDefault="000A0619" w:rsidP="00B8108A">
      <w:r>
        <w:t xml:space="preserve">The 2021-22 program annual report </w:t>
      </w:r>
      <w:r w:rsidR="00DE5648">
        <w:t>stated that wage enhancements supported the retention of certified educators and encouraged them to become fully certified</w:t>
      </w:r>
      <w:r w:rsidR="00E80BBD">
        <w:t xml:space="preserve"> which contributes to high quality programs</w:t>
      </w:r>
      <w:r w:rsidR="001977CF">
        <w:t>, whilst i</w:t>
      </w:r>
      <w:r w:rsidR="00E80BBD">
        <w:t>ncreasing wages also helps attract new workers to the sector.</w:t>
      </w:r>
      <w:r w:rsidR="00E80BBD">
        <w:rPr>
          <w:rStyle w:val="FootnoteReference"/>
        </w:rPr>
        <w:footnoteReference w:id="132"/>
      </w:r>
      <w:r w:rsidR="00C37112">
        <w:t xml:space="preserve"> However, neither the 2021-22 or 2022-23 annual reports</w:t>
      </w:r>
      <w:r w:rsidR="00795CE5">
        <w:t xml:space="preserve">, or the </w:t>
      </w:r>
      <w:r w:rsidR="00A17E42">
        <w:t>December 2022 Implementation Committee Progress Report</w:t>
      </w:r>
      <w:r w:rsidR="00A17E42">
        <w:rPr>
          <w:rStyle w:val="FootnoteReference"/>
        </w:rPr>
        <w:footnoteReference w:id="133"/>
      </w:r>
      <w:r w:rsidR="00C37112">
        <w:t xml:space="preserve"> provide for evaluation metrics</w:t>
      </w:r>
      <w:r w:rsidR="001E08D0">
        <w:t xml:space="preserve"> that</w:t>
      </w:r>
      <w:r w:rsidR="000C4871">
        <w:t xml:space="preserve"> specifically</w:t>
      </w:r>
      <w:r w:rsidR="001E08D0">
        <w:t xml:space="preserve"> </w:t>
      </w:r>
      <w:r w:rsidR="000C4871">
        <w:t xml:space="preserve">demonstrate the effectiveness of the grant </w:t>
      </w:r>
      <w:r w:rsidR="000C4871">
        <w:lastRenderedPageBreak/>
        <w:t>on workforce attraction and retention</w:t>
      </w:r>
      <w:r w:rsidR="003170F0">
        <w:t>. Statistics Canada notes that there is little publicly available information on the supply and demand of childcare at present.</w:t>
      </w:r>
      <w:r w:rsidR="003170F0">
        <w:rPr>
          <w:rStyle w:val="FootnoteReference"/>
        </w:rPr>
        <w:footnoteReference w:id="134"/>
      </w:r>
      <w:r w:rsidR="00B23A93">
        <w:t xml:space="preserve"> </w:t>
      </w:r>
      <w:r w:rsidR="00AF332F">
        <w:t xml:space="preserve">However, an </w:t>
      </w:r>
      <w:r w:rsidR="007679DB">
        <w:t xml:space="preserve">indicator utilised </w:t>
      </w:r>
      <w:r w:rsidR="00AF332F">
        <w:t>for measuring program success includes</w:t>
      </w:r>
      <w:r w:rsidR="007679DB">
        <w:t xml:space="preserve"> the </w:t>
      </w:r>
      <w:r w:rsidR="007679DB" w:rsidRPr="007D5715">
        <w:rPr>
          <w:i/>
          <w:iCs/>
        </w:rPr>
        <w:t>percentage of current certified child care staff supported</w:t>
      </w:r>
      <w:r w:rsidR="006A08F9">
        <w:t xml:space="preserve">, which for the 2021-22 </w:t>
      </w:r>
      <w:r w:rsidR="009E72C6">
        <w:t xml:space="preserve">year was 78.4 per cent of certified staff, with a funding underspend of </w:t>
      </w:r>
      <w:r w:rsidR="00CC7C8C">
        <w:t>approximately CA$2.5 million</w:t>
      </w:r>
      <w:r w:rsidR="00334BFA">
        <w:t xml:space="preserve">, with the amount carried over into the 2022-23 financial year and </w:t>
      </w:r>
      <w:r w:rsidR="005D7A8A">
        <w:t xml:space="preserve">funding support targets of 78 per cent exceeded with over 90 per cent of </w:t>
      </w:r>
      <w:r w:rsidR="0025057B">
        <w:t>certified workers receiving a wage enhancement grant.</w:t>
      </w:r>
      <w:r w:rsidR="0025057B">
        <w:rPr>
          <w:rStyle w:val="FootnoteReference"/>
        </w:rPr>
        <w:footnoteReference w:id="135"/>
      </w:r>
      <w:r w:rsidR="00447FC3">
        <w:t xml:space="preserve"> </w:t>
      </w:r>
      <w:r w:rsidR="00503482">
        <w:t xml:space="preserve">There does not appear to be any publicly available information on the reason for the take-up rates in the first and second years, or </w:t>
      </w:r>
      <w:r w:rsidR="00CC0F08">
        <w:t>on the</w:t>
      </w:r>
      <w:r w:rsidR="008B2393">
        <w:t xml:space="preserve"> ease or complexity of the</w:t>
      </w:r>
      <w:r w:rsidR="00CC0F08">
        <w:t xml:space="preserve"> grant application process.</w:t>
      </w:r>
    </w:p>
    <w:p w14:paraId="2E8C01D6" w14:textId="785B911C" w:rsidR="006D4375" w:rsidRDefault="006D4375" w:rsidP="00B8108A">
      <w:r>
        <w:t xml:space="preserve">The </w:t>
      </w:r>
      <w:r w:rsidR="00481408">
        <w:t xml:space="preserve">province of </w:t>
      </w:r>
      <w:r>
        <w:t xml:space="preserve">New Brunswick </w:t>
      </w:r>
      <w:r w:rsidR="007D69D6">
        <w:t>has also utilised funding to implement their Wage Support Program for Early Childhood Educators</w:t>
      </w:r>
      <w:r w:rsidR="00012BD6">
        <w:t xml:space="preserve"> (WSP-ECE)</w:t>
      </w:r>
      <w:r w:rsidR="00911388">
        <w:t>, stating that the intention of the program is to support operators of early lea</w:t>
      </w:r>
      <w:r w:rsidR="00EB58CA">
        <w:t>r</w:t>
      </w:r>
      <w:r w:rsidR="00911388">
        <w:t>ning and childcare facilities with the recruitment and retention of trained educators</w:t>
      </w:r>
      <w:r w:rsidR="00307121">
        <w:t>.</w:t>
      </w:r>
      <w:r w:rsidR="00307121">
        <w:rPr>
          <w:rStyle w:val="FootnoteReference"/>
        </w:rPr>
        <w:footnoteReference w:id="136"/>
      </w:r>
      <w:r w:rsidR="00911388">
        <w:t xml:space="preserve"> </w:t>
      </w:r>
      <w:r w:rsidR="00D431A7">
        <w:t>The program eligibility scope is wide, allowing all operators of licenced early learning facilities</w:t>
      </w:r>
      <w:r w:rsidR="003E42D8">
        <w:t>,</w:t>
      </w:r>
      <w:r w:rsidR="00D431A7">
        <w:t xml:space="preserve"> within the province</w:t>
      </w:r>
      <w:r w:rsidR="003E42D8">
        <w:t>, to register for the WSP-ECE and enrol their qualifying educators</w:t>
      </w:r>
      <w:r w:rsidR="00E42D22">
        <w:t>, based on their level of training, qualifications and relevant work experience.</w:t>
      </w:r>
      <w:r w:rsidR="00E42D22">
        <w:rPr>
          <w:rStyle w:val="FootnoteReference"/>
        </w:rPr>
        <w:footnoteReference w:id="137"/>
      </w:r>
      <w:r w:rsidR="00D431A7">
        <w:t xml:space="preserve"> </w:t>
      </w:r>
      <w:r w:rsidR="00C25DEB">
        <w:t>The scheme provides</w:t>
      </w:r>
      <w:r w:rsidR="000747D9">
        <w:t xml:space="preserve"> for a minimum hourly rate of pay that educators must receive based on their</w:t>
      </w:r>
      <w:r w:rsidR="00937C01">
        <w:t xml:space="preserve"> level of</w:t>
      </w:r>
      <w:r w:rsidR="000747D9">
        <w:t xml:space="preserve"> </w:t>
      </w:r>
      <w:r w:rsidR="00937C01">
        <w:t>skill and experience</w:t>
      </w:r>
      <w:r w:rsidR="00CF790B">
        <w:t xml:space="preserve">. Operators must make a minimum hourly contribution </w:t>
      </w:r>
      <w:r w:rsidR="00AA6386">
        <w:t>which is then supported by a wage funding contribution</w:t>
      </w:r>
      <w:r w:rsidR="00BF057C">
        <w:t>,</w:t>
      </w:r>
      <w:r w:rsidR="00032DCB">
        <w:rPr>
          <w:rStyle w:val="FootnoteReference"/>
        </w:rPr>
        <w:footnoteReference w:id="138"/>
      </w:r>
      <w:r w:rsidR="00BF057C">
        <w:t xml:space="preserve"> and additional administrative funding of 14 per cent of the total WSP-ECE funding amount to account for an operator’s administrative responsibilities (on-costs)</w:t>
      </w:r>
      <w:r w:rsidR="00753F41">
        <w:t>.</w:t>
      </w:r>
      <w:r w:rsidR="00E95A46">
        <w:rPr>
          <w:rStyle w:val="FootnoteReference"/>
        </w:rPr>
        <w:footnoteReference w:id="139"/>
      </w:r>
      <w:r w:rsidR="00BF057C">
        <w:t xml:space="preserve"> </w:t>
      </w:r>
      <w:r w:rsidR="00AE39EC">
        <w:t xml:space="preserve"> </w:t>
      </w:r>
      <w:r w:rsidR="00753F41">
        <w:t xml:space="preserve">An </w:t>
      </w:r>
      <w:r w:rsidR="00141DE3">
        <w:t xml:space="preserve">example </w:t>
      </w:r>
      <w:r w:rsidR="00753F41">
        <w:t xml:space="preserve">of the minimum hourly rates afforded to workers through the program with a breakdown of the operator and government funding contribution is </w:t>
      </w:r>
      <w:r w:rsidR="00AE39EC">
        <w:t>outlined in the following table:</w:t>
      </w:r>
    </w:p>
    <w:p w14:paraId="7B3E98CD" w14:textId="63F99C34" w:rsidR="00AE39EC" w:rsidRDefault="00A35CA0" w:rsidP="00A35CA0">
      <w:pPr>
        <w:pStyle w:val="Caption"/>
      </w:pPr>
      <w:r>
        <w:t>New Brunswick ECE Wage Grid with funding amounts</w:t>
      </w:r>
    </w:p>
    <w:p w14:paraId="27D49ECC" w14:textId="0A16ADF4" w:rsidR="00A35CA0" w:rsidRDefault="00A35CA0" w:rsidP="00A378DC">
      <w:pPr>
        <w:spacing w:after="0"/>
      </w:pPr>
      <w:r w:rsidRPr="00A35CA0">
        <w:rPr>
          <w:noProof/>
          <w:lang w:eastAsia="en-AU"/>
        </w:rPr>
        <w:drawing>
          <wp:inline distT="0" distB="0" distL="0" distR="0" wp14:anchorId="231C1E78" wp14:editId="140E4AD6">
            <wp:extent cx="5731510" cy="2048510"/>
            <wp:effectExtent l="0" t="0" r="2540" b="8890"/>
            <wp:docPr id="116671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5645" name=""/>
                    <pic:cNvPicPr/>
                  </pic:nvPicPr>
                  <pic:blipFill>
                    <a:blip r:embed="rId18"/>
                    <a:stretch>
                      <a:fillRect/>
                    </a:stretch>
                  </pic:blipFill>
                  <pic:spPr>
                    <a:xfrm>
                      <a:off x="0" y="0"/>
                      <a:ext cx="5731510" cy="2048510"/>
                    </a:xfrm>
                    <a:prstGeom prst="rect">
                      <a:avLst/>
                    </a:prstGeom>
                  </pic:spPr>
                </pic:pic>
              </a:graphicData>
            </a:graphic>
          </wp:inline>
        </w:drawing>
      </w:r>
    </w:p>
    <w:p w14:paraId="29DD81A8" w14:textId="375D25C0" w:rsidR="00A35CA0" w:rsidRDefault="00A35CA0" w:rsidP="00A35CA0">
      <w:pPr>
        <w:rPr>
          <w:rFonts w:asciiTheme="majorHAnsi" w:hAnsiTheme="majorHAnsi" w:cstheme="majorBidi"/>
          <w:b/>
          <w:bCs/>
          <w:sz w:val="18"/>
          <w:szCs w:val="18"/>
        </w:rPr>
      </w:pPr>
      <w:r>
        <w:rPr>
          <w:rFonts w:asciiTheme="majorHAnsi" w:hAnsiTheme="majorHAnsi" w:cstheme="majorBidi"/>
          <w:b/>
          <w:bCs/>
          <w:sz w:val="18"/>
          <w:szCs w:val="18"/>
        </w:rPr>
        <w:t xml:space="preserve">Source: Government of New Brunswick, </w:t>
      </w:r>
      <w:r w:rsidR="004C1D05">
        <w:rPr>
          <w:rFonts w:asciiTheme="majorHAnsi" w:hAnsiTheme="majorHAnsi" w:cstheme="majorBidi"/>
          <w:b/>
          <w:bCs/>
          <w:sz w:val="18"/>
          <w:szCs w:val="18"/>
        </w:rPr>
        <w:t>WSP-ECE Handbook Insert for: ECE Wage Grid Guidelines</w:t>
      </w:r>
      <w:r>
        <w:rPr>
          <w:rFonts w:asciiTheme="majorHAnsi" w:hAnsiTheme="majorHAnsi" w:cstheme="majorBidi"/>
          <w:b/>
          <w:bCs/>
          <w:sz w:val="18"/>
          <w:szCs w:val="18"/>
        </w:rPr>
        <w:t xml:space="preserve">. </w:t>
      </w:r>
      <w:r w:rsidR="004C1D05">
        <w:rPr>
          <w:rFonts w:asciiTheme="majorHAnsi" w:hAnsiTheme="majorHAnsi" w:cstheme="majorBidi"/>
          <w:b/>
          <w:bCs/>
          <w:sz w:val="18"/>
          <w:szCs w:val="18"/>
        </w:rPr>
        <w:t>A</w:t>
      </w:r>
      <w:r>
        <w:rPr>
          <w:rFonts w:asciiTheme="majorHAnsi" w:hAnsiTheme="majorHAnsi" w:cstheme="majorBidi"/>
          <w:b/>
          <w:bCs/>
          <w:sz w:val="18"/>
          <w:szCs w:val="18"/>
        </w:rPr>
        <w:t xml:space="preserve">s </w:t>
      </w:r>
      <w:proofErr w:type="gramStart"/>
      <w:r>
        <w:rPr>
          <w:rFonts w:asciiTheme="majorHAnsi" w:hAnsiTheme="majorHAnsi" w:cstheme="majorBidi"/>
          <w:b/>
          <w:bCs/>
          <w:sz w:val="18"/>
          <w:szCs w:val="18"/>
        </w:rPr>
        <w:t>at</w:t>
      </w:r>
      <w:proofErr w:type="gramEnd"/>
      <w:r>
        <w:rPr>
          <w:rFonts w:asciiTheme="majorHAnsi" w:hAnsiTheme="majorHAnsi" w:cstheme="majorBidi"/>
          <w:b/>
          <w:bCs/>
          <w:sz w:val="18"/>
          <w:szCs w:val="18"/>
        </w:rPr>
        <w:t xml:space="preserve"> </w:t>
      </w:r>
      <w:r w:rsidR="004C1D05">
        <w:rPr>
          <w:rFonts w:asciiTheme="majorHAnsi" w:hAnsiTheme="majorHAnsi" w:cstheme="majorBidi"/>
          <w:b/>
          <w:bCs/>
          <w:sz w:val="18"/>
          <w:szCs w:val="18"/>
        </w:rPr>
        <w:t>April</w:t>
      </w:r>
      <w:r>
        <w:rPr>
          <w:rFonts w:asciiTheme="majorHAnsi" w:hAnsiTheme="majorHAnsi" w:cstheme="majorBidi"/>
          <w:b/>
          <w:bCs/>
          <w:sz w:val="18"/>
          <w:szCs w:val="18"/>
        </w:rPr>
        <w:t xml:space="preserve"> 2024</w:t>
      </w:r>
    </w:p>
    <w:p w14:paraId="7A42227C" w14:textId="40DCAF63" w:rsidR="00A35CA0" w:rsidRPr="00A35CA0" w:rsidRDefault="004B2ED1" w:rsidP="00A35CA0">
      <w:r>
        <w:t>Noting the infancy of the WSP-ECE,</w:t>
      </w:r>
      <w:r w:rsidR="009F4754">
        <w:t xml:space="preserve"> which implemented the wage increases </w:t>
      </w:r>
      <w:r w:rsidR="00751ECF">
        <w:t>of between 13 and 24 per cent from April 2022,</w:t>
      </w:r>
      <w:r>
        <w:t xml:space="preserve"> </w:t>
      </w:r>
      <w:r w:rsidR="009F4754">
        <w:t xml:space="preserve">there are </w:t>
      </w:r>
      <w:r>
        <w:t xml:space="preserve">early indicators </w:t>
      </w:r>
      <w:r w:rsidR="009F4754">
        <w:t>of success in improving retention and recruitment</w:t>
      </w:r>
      <w:r w:rsidR="00751ECF">
        <w:t xml:space="preserve"> </w:t>
      </w:r>
      <w:r w:rsidR="00751ECF">
        <w:lastRenderedPageBreak/>
        <w:t>outcomes for the sector</w:t>
      </w:r>
      <w:r w:rsidR="00DB6DBF">
        <w:t>. The 2022-23 Annual Report</w:t>
      </w:r>
      <w:r w:rsidR="00F44DB4">
        <w:t>,</w:t>
      </w:r>
      <w:r w:rsidR="00D2460C">
        <w:rPr>
          <w:rStyle w:val="FootnoteReference"/>
        </w:rPr>
        <w:footnoteReference w:id="140"/>
      </w:r>
      <w:r w:rsidR="00F44DB4">
        <w:t xml:space="preserve"> </w:t>
      </w:r>
      <w:r w:rsidR="005E3633">
        <w:t xml:space="preserve">outlines that </w:t>
      </w:r>
      <w:r w:rsidR="009800F2">
        <w:t>New Brunswick is still facing recruitment challenges</w:t>
      </w:r>
      <w:r w:rsidR="003B046F">
        <w:t>, with high turnover rates resulting in a focus on replacing staff instead of expanding the workforce.</w:t>
      </w:r>
      <w:r w:rsidR="0044578C">
        <w:t xml:space="preserve"> However, </w:t>
      </w:r>
      <w:r w:rsidR="005E3633">
        <w:t>the province</w:t>
      </w:r>
      <w:r w:rsidR="0044578C">
        <w:t xml:space="preserve"> has seen the turnover rate decrease by 33 per cent since 31 March 2022</w:t>
      </w:r>
      <w:r w:rsidR="00777FA3">
        <w:t>.</w:t>
      </w:r>
      <w:r w:rsidR="009F1794">
        <w:t xml:space="preserve"> In November 2021, the turnover rate was near 50 per cent.</w:t>
      </w:r>
      <w:r w:rsidR="00DB6DBF">
        <w:t xml:space="preserve"> </w:t>
      </w:r>
      <w:r w:rsidR="00891565">
        <w:t xml:space="preserve">New Brunswick continues </w:t>
      </w:r>
      <w:r w:rsidR="004302D8">
        <w:t xml:space="preserve">to </w:t>
      </w:r>
      <w:r w:rsidR="00891565">
        <w:t>work in this area through the development of a retention strategy in collab</w:t>
      </w:r>
      <w:r w:rsidR="00454605">
        <w:t>oration with the sector.</w:t>
      </w:r>
      <w:r w:rsidR="00454605">
        <w:rPr>
          <w:rStyle w:val="FootnoteReference"/>
        </w:rPr>
        <w:footnoteReference w:id="141"/>
      </w:r>
    </w:p>
    <w:p w14:paraId="0B8D6429" w14:textId="6D7B454C" w:rsidR="00B8108A" w:rsidRDefault="00B8108A" w:rsidP="00B8108A">
      <w:pPr>
        <w:pStyle w:val="Heading3"/>
      </w:pPr>
      <w:bookmarkStart w:id="83" w:name="_Toc219193891"/>
      <w:r>
        <w:t>International ECEC affordability measures</w:t>
      </w:r>
      <w:bookmarkEnd w:id="83"/>
      <w:r>
        <w:t xml:space="preserve">  </w:t>
      </w:r>
    </w:p>
    <w:p w14:paraId="14E54D80" w14:textId="6E8639D7" w:rsidR="005814F2" w:rsidRDefault="0AB9D58E" w:rsidP="35771FF5">
      <w:pPr>
        <w:pStyle w:val="paragraph"/>
        <w:spacing w:before="0" w:beforeAutospacing="0" w:after="0" w:afterAutospacing="0"/>
        <w:textAlignment w:val="baseline"/>
        <w:rPr>
          <w:rStyle w:val="normaltextrun"/>
          <w:rFonts w:ascii="Calibri Light" w:hAnsi="Calibri Light" w:cs="Calibri Light"/>
          <w:sz w:val="22"/>
          <w:szCs w:val="22"/>
        </w:rPr>
      </w:pPr>
      <w:r w:rsidRPr="35771FF5">
        <w:rPr>
          <w:rStyle w:val="normaltextrun"/>
          <w:rFonts w:ascii="Calibri Light" w:hAnsi="Calibri Light" w:cs="Calibri Light"/>
          <w:sz w:val="22"/>
          <w:szCs w:val="22"/>
        </w:rPr>
        <w:t xml:space="preserve">The ACCC consulted with officials from overseas governments to help inform the findings and recommendations of their </w:t>
      </w:r>
      <w:r w:rsidR="27553196" w:rsidRPr="35771FF5">
        <w:rPr>
          <w:rStyle w:val="normaltextrun"/>
          <w:rFonts w:ascii="Calibri Light" w:hAnsi="Calibri Light" w:cs="Calibri Light"/>
          <w:sz w:val="22"/>
          <w:szCs w:val="22"/>
        </w:rPr>
        <w:t>C</w:t>
      </w:r>
      <w:r w:rsidRPr="35771FF5">
        <w:rPr>
          <w:rStyle w:val="normaltextrun"/>
          <w:rFonts w:ascii="Calibri Light" w:hAnsi="Calibri Light" w:cs="Calibri Light"/>
          <w:sz w:val="22"/>
          <w:szCs w:val="22"/>
        </w:rPr>
        <w:t>hild</w:t>
      </w:r>
      <w:r w:rsidR="27553196" w:rsidRPr="35771FF5">
        <w:rPr>
          <w:rStyle w:val="normaltextrun"/>
          <w:rFonts w:ascii="Calibri Light" w:hAnsi="Calibri Light" w:cs="Calibri Light"/>
          <w:sz w:val="22"/>
          <w:szCs w:val="22"/>
        </w:rPr>
        <w:t>care</w:t>
      </w:r>
      <w:r w:rsidRPr="35771FF5">
        <w:rPr>
          <w:rStyle w:val="normaltextrun"/>
          <w:rFonts w:ascii="Calibri Light" w:hAnsi="Calibri Light" w:cs="Calibri Light"/>
          <w:sz w:val="22"/>
          <w:szCs w:val="22"/>
        </w:rPr>
        <w:t xml:space="preserve"> </w:t>
      </w:r>
      <w:r w:rsidR="27553196" w:rsidRPr="35771FF5">
        <w:rPr>
          <w:rStyle w:val="normaltextrun"/>
          <w:rFonts w:ascii="Calibri Light" w:hAnsi="Calibri Light" w:cs="Calibri Light"/>
          <w:sz w:val="22"/>
          <w:szCs w:val="22"/>
        </w:rPr>
        <w:t>Price Inquiry</w:t>
      </w:r>
      <w:r w:rsidRPr="35771FF5">
        <w:rPr>
          <w:rStyle w:val="normaltextrun"/>
          <w:rFonts w:ascii="Calibri Light" w:hAnsi="Calibri Light" w:cs="Calibri Light"/>
          <w:sz w:val="22"/>
          <w:szCs w:val="22"/>
        </w:rPr>
        <w:t xml:space="preserve">. The Department attended these meetings, gleaning </w:t>
      </w:r>
      <w:r w:rsidR="38E202BF" w:rsidRPr="35771FF5">
        <w:rPr>
          <w:rStyle w:val="normaltextrun"/>
          <w:rFonts w:ascii="Calibri Light" w:hAnsi="Calibri Light" w:cs="Calibri Light"/>
          <w:sz w:val="22"/>
          <w:szCs w:val="22"/>
        </w:rPr>
        <w:t xml:space="preserve">information </w:t>
      </w:r>
      <w:r w:rsidRPr="35771FF5">
        <w:rPr>
          <w:rStyle w:val="normaltextrun"/>
          <w:rFonts w:ascii="Calibri Light" w:hAnsi="Calibri Light" w:cs="Calibri Light"/>
          <w:sz w:val="22"/>
          <w:szCs w:val="22"/>
        </w:rPr>
        <w:t>and lessons from other nations regarding policy and regulatory measures to improve ECEC affordability.</w:t>
      </w:r>
    </w:p>
    <w:p w14:paraId="3FA3E77F" w14:textId="77777777" w:rsidR="005814F2" w:rsidRDefault="005814F2" w:rsidP="00407264">
      <w:pPr>
        <w:pStyle w:val="paragraph"/>
        <w:spacing w:before="0" w:beforeAutospacing="0" w:after="0" w:afterAutospacing="0"/>
        <w:textAlignment w:val="baseline"/>
        <w:rPr>
          <w:rStyle w:val="normaltextrun"/>
          <w:rFonts w:ascii="Calibri Light" w:hAnsi="Calibri Light" w:cs="Calibri Light"/>
          <w:sz w:val="22"/>
          <w:szCs w:val="22"/>
        </w:rPr>
      </w:pPr>
    </w:p>
    <w:p w14:paraId="0642A2DE" w14:textId="31BE9AD1" w:rsidR="00407264" w:rsidRDefault="005814F2" w:rsidP="00407264">
      <w:pPr>
        <w:pStyle w:val="paragraph"/>
        <w:spacing w:before="0" w:beforeAutospacing="0" w:after="0" w:afterAutospacing="0"/>
        <w:textAlignment w:val="baseline"/>
        <w:rPr>
          <w:rStyle w:val="normaltextrun"/>
          <w:rFonts w:ascii="Calibri Light" w:hAnsi="Calibri Light" w:cs="Calibri Light"/>
          <w:sz w:val="22"/>
          <w:szCs w:val="22"/>
        </w:rPr>
      </w:pPr>
      <w:r>
        <w:rPr>
          <w:rStyle w:val="normaltextrun"/>
          <w:rFonts w:ascii="Calibri Light" w:hAnsi="Calibri Light" w:cs="Calibri Light"/>
          <w:sz w:val="22"/>
          <w:szCs w:val="22"/>
        </w:rPr>
        <w:t xml:space="preserve">Fee regulation, broadly, can be categorised under two broad streams: indirect pricing controls and direct pricing controls. </w:t>
      </w:r>
      <w:r w:rsidR="00563C24">
        <w:rPr>
          <w:rStyle w:val="normaltextrun"/>
          <w:rFonts w:ascii="Calibri Light" w:hAnsi="Calibri Light" w:cs="Calibri Light"/>
          <w:sz w:val="22"/>
          <w:szCs w:val="22"/>
        </w:rPr>
        <w:t xml:space="preserve">Indirect pricing controls </w:t>
      </w:r>
      <w:r w:rsidR="00EC6B0C">
        <w:rPr>
          <w:rStyle w:val="normaltextrun"/>
          <w:rFonts w:ascii="Calibri Light" w:hAnsi="Calibri Light" w:cs="Calibri Light"/>
          <w:sz w:val="22"/>
          <w:szCs w:val="22"/>
        </w:rPr>
        <w:t>are more prominent and viable</w:t>
      </w:r>
      <w:r w:rsidR="008D4A58">
        <w:rPr>
          <w:rStyle w:val="normaltextrun"/>
          <w:rFonts w:ascii="Calibri Light" w:hAnsi="Calibri Light" w:cs="Calibri Light"/>
          <w:sz w:val="22"/>
          <w:szCs w:val="22"/>
        </w:rPr>
        <w:t xml:space="preserve"> </w:t>
      </w:r>
      <w:r w:rsidR="00D6246A">
        <w:rPr>
          <w:rStyle w:val="normaltextrun"/>
          <w:rFonts w:ascii="Calibri Light" w:hAnsi="Calibri Light" w:cs="Calibri Light"/>
          <w:sz w:val="22"/>
          <w:szCs w:val="22"/>
        </w:rPr>
        <w:t>within</w:t>
      </w:r>
      <w:r w:rsidR="002E2D72">
        <w:rPr>
          <w:rStyle w:val="normaltextrun"/>
          <w:rFonts w:ascii="Calibri Light" w:hAnsi="Calibri Light" w:cs="Calibri Light"/>
          <w:sz w:val="22"/>
          <w:szCs w:val="22"/>
        </w:rPr>
        <w:t xml:space="preserve"> </w:t>
      </w:r>
      <w:r w:rsidR="00563C24">
        <w:rPr>
          <w:rStyle w:val="normaltextrun"/>
          <w:rFonts w:ascii="Calibri Light" w:hAnsi="Calibri Light" w:cs="Calibri Light"/>
          <w:sz w:val="22"/>
          <w:szCs w:val="22"/>
        </w:rPr>
        <w:t>demand-side policy initiatives</w:t>
      </w:r>
      <w:r w:rsidR="002E2D72">
        <w:rPr>
          <w:rStyle w:val="normaltextrun"/>
          <w:rFonts w:ascii="Calibri Light" w:hAnsi="Calibri Light" w:cs="Calibri Light"/>
          <w:sz w:val="22"/>
          <w:szCs w:val="22"/>
        </w:rPr>
        <w:t>,</w:t>
      </w:r>
      <w:r w:rsidR="00D6246A">
        <w:rPr>
          <w:rStyle w:val="normaltextrun"/>
          <w:rFonts w:ascii="Calibri Light" w:hAnsi="Calibri Light" w:cs="Calibri Light"/>
          <w:sz w:val="22"/>
          <w:szCs w:val="22"/>
        </w:rPr>
        <w:t xml:space="preserve"> predominantly found in market-based systems such as</w:t>
      </w:r>
      <w:r w:rsidR="002E2D72">
        <w:rPr>
          <w:rStyle w:val="normaltextrun"/>
          <w:rFonts w:ascii="Calibri Light" w:hAnsi="Calibri Light" w:cs="Calibri Light"/>
          <w:sz w:val="22"/>
          <w:szCs w:val="22"/>
        </w:rPr>
        <w:t xml:space="preserve"> Australia</w:t>
      </w:r>
      <w:r w:rsidR="00563C24">
        <w:rPr>
          <w:rStyle w:val="normaltextrun"/>
          <w:rFonts w:ascii="Calibri Light" w:hAnsi="Calibri Light" w:cs="Calibri Light"/>
          <w:sz w:val="22"/>
          <w:szCs w:val="22"/>
        </w:rPr>
        <w:t>.</w:t>
      </w:r>
      <w:r w:rsidR="000B080A">
        <w:rPr>
          <w:rStyle w:val="normaltextrun"/>
          <w:rFonts w:ascii="Calibri Light" w:hAnsi="Calibri Light" w:cs="Calibri Light"/>
          <w:sz w:val="22"/>
          <w:szCs w:val="22"/>
        </w:rPr>
        <w:t xml:space="preserve"> </w:t>
      </w:r>
      <w:r w:rsidR="00F46CC9">
        <w:rPr>
          <w:rStyle w:val="normaltextrun"/>
          <w:rFonts w:ascii="Calibri Light" w:hAnsi="Calibri Light" w:cs="Calibri Light"/>
          <w:sz w:val="22"/>
          <w:szCs w:val="22"/>
        </w:rPr>
        <w:t xml:space="preserve">International examples include New Zealand, The Netherlands and </w:t>
      </w:r>
      <w:r w:rsidR="00F942F8">
        <w:rPr>
          <w:rStyle w:val="normaltextrun"/>
          <w:rFonts w:ascii="Calibri Light" w:hAnsi="Calibri Light" w:cs="Calibri Light"/>
          <w:sz w:val="22"/>
          <w:szCs w:val="22"/>
        </w:rPr>
        <w:t>Ireland. Direct pricing controls are favoured by systems delivering</w:t>
      </w:r>
      <w:r w:rsidR="00260C8D">
        <w:rPr>
          <w:rStyle w:val="normaltextrun"/>
          <w:rFonts w:ascii="Calibri Light" w:hAnsi="Calibri Light" w:cs="Calibri Light"/>
          <w:sz w:val="22"/>
          <w:szCs w:val="22"/>
        </w:rPr>
        <w:t xml:space="preserve"> predominantly</w:t>
      </w:r>
      <w:r w:rsidR="00F942F8">
        <w:rPr>
          <w:rStyle w:val="normaltextrun"/>
          <w:rFonts w:ascii="Calibri Light" w:hAnsi="Calibri Light" w:cs="Calibri Light"/>
          <w:sz w:val="22"/>
          <w:szCs w:val="22"/>
        </w:rPr>
        <w:t xml:space="preserve"> supply-side</w:t>
      </w:r>
      <w:r w:rsidR="00260C8D">
        <w:rPr>
          <w:rStyle w:val="normaltextrun"/>
          <w:rFonts w:ascii="Calibri Light" w:hAnsi="Calibri Light" w:cs="Calibri Light"/>
          <w:sz w:val="22"/>
          <w:szCs w:val="22"/>
        </w:rPr>
        <w:t xml:space="preserve">-focused policy measures. </w:t>
      </w:r>
      <w:r w:rsidR="000B080A">
        <w:rPr>
          <w:rStyle w:val="normaltextrun"/>
          <w:rFonts w:ascii="Calibri Light" w:hAnsi="Calibri Light" w:cs="Calibri Light"/>
          <w:sz w:val="22"/>
          <w:szCs w:val="22"/>
        </w:rPr>
        <w:t>International examples include the Nordic Countries of Iceland, Sweden, Denmark and Norway, as well as parts of Canada.</w:t>
      </w:r>
      <w:r w:rsidR="00CA7B8C">
        <w:rPr>
          <w:rStyle w:val="FootnoteReference"/>
          <w:rFonts w:ascii="Calibri Light" w:hAnsi="Calibri Light" w:cs="Calibri Light"/>
          <w:sz w:val="22"/>
          <w:szCs w:val="22"/>
        </w:rPr>
        <w:footnoteReference w:id="142"/>
      </w:r>
      <w:r w:rsidR="000B080A">
        <w:rPr>
          <w:rStyle w:val="normaltextrun"/>
          <w:rFonts w:ascii="Calibri Light" w:hAnsi="Calibri Light" w:cs="Calibri Light"/>
          <w:sz w:val="22"/>
          <w:szCs w:val="22"/>
        </w:rPr>
        <w:t xml:space="preserve"> </w:t>
      </w:r>
    </w:p>
    <w:p w14:paraId="6CB91415" w14:textId="77777777" w:rsidR="00230A96" w:rsidRDefault="00230A96" w:rsidP="00407264">
      <w:pPr>
        <w:pStyle w:val="paragraph"/>
        <w:spacing w:before="0" w:beforeAutospacing="0" w:after="0" w:afterAutospacing="0"/>
        <w:textAlignment w:val="baseline"/>
        <w:rPr>
          <w:rStyle w:val="normaltextrun"/>
          <w:rFonts w:ascii="Calibri Light" w:hAnsi="Calibri Light" w:cs="Calibri Light"/>
          <w:sz w:val="22"/>
          <w:szCs w:val="22"/>
        </w:rPr>
      </w:pPr>
    </w:p>
    <w:p w14:paraId="03C5CBB3" w14:textId="44C5689C" w:rsidR="00E4283D" w:rsidRDefault="00230A96" w:rsidP="00E4283D">
      <w:pPr>
        <w:pStyle w:val="paragraph"/>
        <w:spacing w:before="0" w:beforeAutospacing="0" w:after="0" w:afterAutospacing="0"/>
        <w:textAlignment w:val="baseline"/>
        <w:rPr>
          <w:rFonts w:asciiTheme="majorHAnsi" w:hAnsiTheme="majorHAnsi" w:cstheme="majorHAnsi"/>
          <w:sz w:val="22"/>
          <w:szCs w:val="22"/>
        </w:rPr>
      </w:pPr>
      <w:r>
        <w:rPr>
          <w:rStyle w:val="normaltextrun"/>
          <w:rFonts w:ascii="Calibri Light" w:hAnsi="Calibri Light" w:cs="Calibri Light"/>
          <w:sz w:val="22"/>
          <w:szCs w:val="22"/>
        </w:rPr>
        <w:t>In the ACCC’s consultations</w:t>
      </w:r>
      <w:r w:rsidR="0095162D">
        <w:rPr>
          <w:rStyle w:val="normaltextrun"/>
          <w:rFonts w:ascii="Calibri Light" w:hAnsi="Calibri Light" w:cs="Calibri Light"/>
          <w:sz w:val="22"/>
          <w:szCs w:val="22"/>
        </w:rPr>
        <w:t xml:space="preserve"> with countries delivering ECEC in </w:t>
      </w:r>
      <w:r w:rsidR="00303319">
        <w:rPr>
          <w:rStyle w:val="normaltextrun"/>
          <w:rFonts w:ascii="Calibri Light" w:hAnsi="Calibri Light" w:cs="Calibri Light"/>
          <w:sz w:val="22"/>
          <w:szCs w:val="22"/>
        </w:rPr>
        <w:t>predominantly</w:t>
      </w:r>
      <w:r w:rsidR="0095162D">
        <w:rPr>
          <w:rStyle w:val="normaltextrun"/>
          <w:rFonts w:ascii="Calibri Light" w:hAnsi="Calibri Light" w:cs="Calibri Light"/>
          <w:sz w:val="22"/>
          <w:szCs w:val="22"/>
        </w:rPr>
        <w:t xml:space="preserve"> market-based </w:t>
      </w:r>
      <w:r w:rsidR="00303319">
        <w:rPr>
          <w:rStyle w:val="normaltextrun"/>
          <w:rFonts w:ascii="Calibri Light" w:hAnsi="Calibri Light" w:cs="Calibri Light"/>
          <w:sz w:val="22"/>
          <w:szCs w:val="22"/>
        </w:rPr>
        <w:t>systems</w:t>
      </w:r>
      <w:r w:rsidR="0095162D">
        <w:rPr>
          <w:rStyle w:val="normaltextrun"/>
          <w:rFonts w:ascii="Calibri Light" w:hAnsi="Calibri Light" w:cs="Calibri Light"/>
          <w:sz w:val="22"/>
          <w:szCs w:val="22"/>
        </w:rPr>
        <w:t>,</w:t>
      </w:r>
      <w:r w:rsidR="00C0218C">
        <w:rPr>
          <w:rStyle w:val="normaltextrun"/>
          <w:rFonts w:ascii="Calibri Light" w:hAnsi="Calibri Light" w:cs="Calibri Light"/>
          <w:sz w:val="22"/>
          <w:szCs w:val="22"/>
        </w:rPr>
        <w:t xml:space="preserve"> a trend is growing towards </w:t>
      </w:r>
      <w:r w:rsidR="00B50E50">
        <w:rPr>
          <w:rStyle w:val="normaltextrun"/>
          <w:rFonts w:ascii="Calibri Light" w:hAnsi="Calibri Light" w:cs="Calibri Light"/>
          <w:sz w:val="22"/>
          <w:szCs w:val="22"/>
        </w:rPr>
        <w:t>greater regulation of childcare fees</w:t>
      </w:r>
      <w:r w:rsidR="00C0218C">
        <w:rPr>
          <w:rStyle w:val="normaltextrun"/>
          <w:rFonts w:ascii="Calibri Light" w:hAnsi="Calibri Light" w:cs="Calibri Light"/>
          <w:sz w:val="22"/>
          <w:szCs w:val="22"/>
        </w:rPr>
        <w:t>, supported by supply-side funding initiatives</w:t>
      </w:r>
      <w:r w:rsidR="00CB56D7">
        <w:rPr>
          <w:rStyle w:val="normaltextrun"/>
          <w:rFonts w:ascii="Calibri Light" w:hAnsi="Calibri Light" w:cs="Calibri Light"/>
          <w:sz w:val="22"/>
          <w:szCs w:val="22"/>
        </w:rPr>
        <w:t xml:space="preserve">. </w:t>
      </w:r>
      <w:r w:rsidR="00E4283D">
        <w:rPr>
          <w:rStyle w:val="normaltextrun"/>
          <w:rFonts w:ascii="Calibri Light" w:hAnsi="Calibri Light" w:cs="Calibri Light"/>
          <w:sz w:val="22"/>
          <w:szCs w:val="22"/>
        </w:rPr>
        <w:t xml:space="preserve">This is supported by OECD data on the average fees of ECEC across OECD nations. </w:t>
      </w:r>
      <w:r w:rsidR="00E4283D">
        <w:rPr>
          <w:rFonts w:asciiTheme="majorHAnsi" w:hAnsiTheme="majorHAnsi" w:cstheme="majorHAnsi"/>
          <w:sz w:val="22"/>
          <w:szCs w:val="22"/>
        </w:rPr>
        <w:t>Referring to OECD data, the ACCC found that between 2018-2022 the adjusted OECD average in fee growth was minus 9.9</w:t>
      </w:r>
      <w:r w:rsidR="001768C3">
        <w:rPr>
          <w:rFonts w:asciiTheme="majorHAnsi" w:hAnsiTheme="majorHAnsi" w:cstheme="majorHAnsi"/>
          <w:sz w:val="22"/>
          <w:szCs w:val="22"/>
        </w:rPr>
        <w:t xml:space="preserve"> per cent</w:t>
      </w:r>
      <w:r w:rsidR="00E4283D">
        <w:rPr>
          <w:rFonts w:asciiTheme="majorHAnsi" w:hAnsiTheme="majorHAnsi" w:cstheme="majorHAnsi"/>
          <w:sz w:val="22"/>
          <w:szCs w:val="22"/>
        </w:rPr>
        <w:t>. Comparatively, Australia’s adjusted fee growth was an increase of 9.3</w:t>
      </w:r>
      <w:r w:rsidR="001768C3">
        <w:rPr>
          <w:rFonts w:asciiTheme="majorHAnsi" w:hAnsiTheme="majorHAnsi" w:cstheme="majorHAnsi"/>
          <w:sz w:val="22"/>
          <w:szCs w:val="22"/>
        </w:rPr>
        <w:t xml:space="preserve"> per cent</w:t>
      </w:r>
      <w:r w:rsidR="00E4283D">
        <w:rPr>
          <w:rFonts w:asciiTheme="majorHAnsi" w:hAnsiTheme="majorHAnsi" w:cstheme="majorHAnsi"/>
          <w:sz w:val="22"/>
          <w:szCs w:val="22"/>
        </w:rPr>
        <w:t>. This all occurred during a period when the average increase in CPI was 17.8</w:t>
      </w:r>
      <w:r w:rsidR="001768C3">
        <w:rPr>
          <w:rFonts w:asciiTheme="majorHAnsi" w:hAnsiTheme="majorHAnsi" w:cstheme="majorHAnsi"/>
          <w:sz w:val="22"/>
          <w:szCs w:val="22"/>
        </w:rPr>
        <w:t xml:space="preserve"> per cent</w:t>
      </w:r>
      <w:r w:rsidR="00E4283D">
        <w:rPr>
          <w:rStyle w:val="FootnoteReference"/>
          <w:rFonts w:asciiTheme="majorHAnsi" w:hAnsiTheme="majorHAnsi" w:cstheme="majorHAnsi"/>
          <w:sz w:val="22"/>
          <w:szCs w:val="22"/>
        </w:rPr>
        <w:footnoteReference w:id="143"/>
      </w:r>
      <w:r w:rsidR="00E4283D">
        <w:rPr>
          <w:rFonts w:asciiTheme="majorHAnsi" w:hAnsiTheme="majorHAnsi" w:cstheme="majorHAnsi"/>
          <w:sz w:val="22"/>
          <w:szCs w:val="22"/>
        </w:rPr>
        <w:t>.</w:t>
      </w:r>
    </w:p>
    <w:p w14:paraId="75307473" w14:textId="77777777" w:rsidR="006D24B2" w:rsidRDefault="006D24B2" w:rsidP="00E4283D">
      <w:pPr>
        <w:pStyle w:val="paragraph"/>
        <w:spacing w:before="0" w:beforeAutospacing="0" w:after="0" w:afterAutospacing="0"/>
        <w:textAlignment w:val="baseline"/>
        <w:rPr>
          <w:rFonts w:asciiTheme="majorHAnsi" w:hAnsiTheme="majorHAnsi" w:cstheme="majorHAnsi"/>
          <w:sz w:val="22"/>
          <w:szCs w:val="22"/>
        </w:rPr>
      </w:pPr>
    </w:p>
    <w:p w14:paraId="3D80D66C" w14:textId="14F87161" w:rsidR="006D24B2" w:rsidRDefault="00FB6314" w:rsidP="00E4283D">
      <w:pPr>
        <w:pStyle w:val="paragraph"/>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Many stakeholders</w:t>
      </w:r>
      <w:r w:rsidR="00D25E2F">
        <w:rPr>
          <w:rFonts w:asciiTheme="majorHAnsi" w:hAnsiTheme="majorHAnsi" w:cstheme="majorHAnsi"/>
          <w:sz w:val="22"/>
          <w:szCs w:val="22"/>
        </w:rPr>
        <w:t>,</w:t>
      </w:r>
      <w:r>
        <w:rPr>
          <w:rFonts w:asciiTheme="majorHAnsi" w:hAnsiTheme="majorHAnsi" w:cstheme="majorHAnsi"/>
          <w:sz w:val="22"/>
          <w:szCs w:val="22"/>
        </w:rPr>
        <w:t xml:space="preserve"> who responded to the ACCC’s September interim report, noted that </w:t>
      </w:r>
      <w:r w:rsidR="002F68F6">
        <w:rPr>
          <w:rFonts w:asciiTheme="majorHAnsi" w:hAnsiTheme="majorHAnsi" w:cstheme="majorHAnsi"/>
          <w:sz w:val="22"/>
          <w:szCs w:val="22"/>
        </w:rPr>
        <w:t>overseas examples</w:t>
      </w:r>
      <w:r>
        <w:rPr>
          <w:rFonts w:asciiTheme="majorHAnsi" w:hAnsiTheme="majorHAnsi" w:cstheme="majorHAnsi"/>
          <w:sz w:val="22"/>
          <w:szCs w:val="22"/>
        </w:rPr>
        <w:t xml:space="preserve"> of regulatory </w:t>
      </w:r>
      <w:r w:rsidR="004A5D7A">
        <w:rPr>
          <w:rFonts w:asciiTheme="majorHAnsi" w:hAnsiTheme="majorHAnsi" w:cstheme="majorHAnsi"/>
          <w:sz w:val="22"/>
          <w:szCs w:val="22"/>
        </w:rPr>
        <w:t xml:space="preserve">measures in </w:t>
      </w:r>
      <w:r w:rsidR="00013CD3">
        <w:rPr>
          <w:rFonts w:asciiTheme="majorHAnsi" w:hAnsiTheme="majorHAnsi" w:cstheme="majorHAnsi"/>
          <w:sz w:val="22"/>
          <w:szCs w:val="22"/>
        </w:rPr>
        <w:t>comparable</w:t>
      </w:r>
      <w:r w:rsidR="004A5D7A">
        <w:rPr>
          <w:rFonts w:asciiTheme="majorHAnsi" w:hAnsiTheme="majorHAnsi" w:cstheme="majorHAnsi"/>
          <w:sz w:val="22"/>
          <w:szCs w:val="22"/>
        </w:rPr>
        <w:t xml:space="preserve"> market-based systems (specifically pricing controls) are still in their infancy</w:t>
      </w:r>
      <w:r w:rsidR="009725D9">
        <w:rPr>
          <w:rFonts w:asciiTheme="majorHAnsi" w:hAnsiTheme="majorHAnsi" w:cstheme="majorHAnsi"/>
          <w:sz w:val="22"/>
          <w:szCs w:val="22"/>
        </w:rPr>
        <w:t xml:space="preserve"> </w:t>
      </w:r>
      <w:r w:rsidR="00013CD3">
        <w:rPr>
          <w:rFonts w:asciiTheme="majorHAnsi" w:hAnsiTheme="majorHAnsi" w:cstheme="majorHAnsi"/>
          <w:sz w:val="22"/>
          <w:szCs w:val="22"/>
        </w:rPr>
        <w:t xml:space="preserve">and not yet proven to have been effective in meeting </w:t>
      </w:r>
      <w:r w:rsidR="003678F2">
        <w:rPr>
          <w:rFonts w:asciiTheme="majorHAnsi" w:hAnsiTheme="majorHAnsi" w:cstheme="majorHAnsi"/>
          <w:sz w:val="22"/>
          <w:szCs w:val="22"/>
        </w:rPr>
        <w:t>those countries objectives.</w:t>
      </w:r>
      <w:r w:rsidR="005C1BA3">
        <w:rPr>
          <w:rFonts w:asciiTheme="majorHAnsi" w:hAnsiTheme="majorHAnsi" w:cstheme="majorHAnsi"/>
          <w:sz w:val="22"/>
          <w:szCs w:val="22"/>
        </w:rPr>
        <w:t xml:space="preserve"> Specifically, multiple stakeholders noted the concern that regulatory measures </w:t>
      </w:r>
      <w:r w:rsidR="006E67DF">
        <w:rPr>
          <w:rFonts w:asciiTheme="majorHAnsi" w:hAnsiTheme="majorHAnsi" w:cstheme="majorHAnsi"/>
          <w:sz w:val="22"/>
          <w:szCs w:val="22"/>
        </w:rPr>
        <w:t>would not keep pace with rising costs.</w:t>
      </w:r>
      <w:r w:rsidR="002F68F6">
        <w:rPr>
          <w:rStyle w:val="FootnoteReference"/>
          <w:rFonts w:asciiTheme="majorHAnsi" w:hAnsiTheme="majorHAnsi" w:cstheme="majorHAnsi"/>
          <w:sz w:val="22"/>
          <w:szCs w:val="22"/>
        </w:rPr>
        <w:footnoteReference w:id="144"/>
      </w:r>
      <w:r w:rsidR="003678F2">
        <w:rPr>
          <w:rFonts w:asciiTheme="majorHAnsi" w:hAnsiTheme="majorHAnsi" w:cstheme="majorHAnsi"/>
          <w:sz w:val="22"/>
          <w:szCs w:val="22"/>
        </w:rPr>
        <w:t xml:space="preserve"> </w:t>
      </w:r>
      <w:r w:rsidR="00F0069E">
        <w:rPr>
          <w:rFonts w:asciiTheme="majorHAnsi" w:hAnsiTheme="majorHAnsi" w:cstheme="majorHAnsi"/>
          <w:sz w:val="22"/>
          <w:szCs w:val="22"/>
        </w:rPr>
        <w:t xml:space="preserve">The OECD has noted that regardless of the objectives or targets of </w:t>
      </w:r>
      <w:r w:rsidR="003F01B9">
        <w:rPr>
          <w:rFonts w:asciiTheme="majorHAnsi" w:hAnsiTheme="majorHAnsi" w:cstheme="majorHAnsi"/>
          <w:sz w:val="22"/>
          <w:szCs w:val="22"/>
        </w:rPr>
        <w:t>pricing controls</w:t>
      </w:r>
      <w:r w:rsidR="00F0069E">
        <w:rPr>
          <w:rFonts w:asciiTheme="majorHAnsi" w:hAnsiTheme="majorHAnsi" w:cstheme="majorHAnsi"/>
          <w:sz w:val="22"/>
          <w:szCs w:val="22"/>
        </w:rPr>
        <w:t>,</w:t>
      </w:r>
      <w:r w:rsidR="003F01B9">
        <w:rPr>
          <w:rFonts w:asciiTheme="majorHAnsi" w:hAnsiTheme="majorHAnsi" w:cstheme="majorHAnsi"/>
          <w:sz w:val="22"/>
          <w:szCs w:val="22"/>
        </w:rPr>
        <w:t xml:space="preserve"> regulatory measures need to be designed carefully. </w:t>
      </w:r>
      <w:r w:rsidR="00E501D6">
        <w:rPr>
          <w:rFonts w:asciiTheme="majorHAnsi" w:hAnsiTheme="majorHAnsi" w:cstheme="majorHAnsi"/>
          <w:sz w:val="22"/>
          <w:szCs w:val="22"/>
        </w:rPr>
        <w:t xml:space="preserve">Set too low or too bluntly, and there is a heightened risk that regulation could lower quality or lead to market exit of providers. </w:t>
      </w:r>
      <w:r w:rsidR="001964FD">
        <w:rPr>
          <w:rFonts w:asciiTheme="majorHAnsi" w:hAnsiTheme="majorHAnsi" w:cstheme="majorHAnsi"/>
          <w:sz w:val="22"/>
          <w:szCs w:val="22"/>
        </w:rPr>
        <w:t>Set too high, and the risk of windfall gains and an unsustainable, inefficient use of public funds</w:t>
      </w:r>
      <w:r w:rsidR="007B12C8">
        <w:rPr>
          <w:rFonts w:asciiTheme="majorHAnsi" w:hAnsiTheme="majorHAnsi" w:cstheme="majorHAnsi"/>
          <w:sz w:val="22"/>
          <w:szCs w:val="22"/>
        </w:rPr>
        <w:t xml:space="preserve"> threatens the integrity and viability of public schemes. </w:t>
      </w:r>
      <w:r w:rsidR="003F01B9">
        <w:rPr>
          <w:rFonts w:asciiTheme="majorHAnsi" w:hAnsiTheme="majorHAnsi" w:cstheme="majorHAnsi"/>
          <w:sz w:val="22"/>
          <w:szCs w:val="22"/>
        </w:rPr>
        <w:t xml:space="preserve"> </w:t>
      </w:r>
      <w:r w:rsidR="00F0069E">
        <w:rPr>
          <w:rFonts w:asciiTheme="majorHAnsi" w:hAnsiTheme="majorHAnsi" w:cstheme="majorHAnsi"/>
          <w:sz w:val="22"/>
          <w:szCs w:val="22"/>
        </w:rPr>
        <w:t xml:space="preserve"> </w:t>
      </w:r>
      <w:r w:rsidR="00B14E6D">
        <w:rPr>
          <w:rFonts w:asciiTheme="majorHAnsi" w:hAnsiTheme="majorHAnsi" w:cstheme="majorHAnsi"/>
          <w:sz w:val="22"/>
          <w:szCs w:val="22"/>
        </w:rPr>
        <w:t xml:space="preserve"> </w:t>
      </w:r>
      <w:r w:rsidR="00013CD3">
        <w:rPr>
          <w:rFonts w:asciiTheme="majorHAnsi" w:hAnsiTheme="majorHAnsi" w:cstheme="majorHAnsi"/>
          <w:sz w:val="22"/>
          <w:szCs w:val="22"/>
        </w:rPr>
        <w:t xml:space="preserve"> </w:t>
      </w:r>
    </w:p>
    <w:p w14:paraId="456ED0DA" w14:textId="6EE68C9A" w:rsidR="00407264" w:rsidRDefault="00407264" w:rsidP="00407264">
      <w:pPr>
        <w:pStyle w:val="paragraph"/>
        <w:spacing w:before="0" w:beforeAutospacing="0" w:after="0" w:afterAutospacing="0"/>
        <w:textAlignment w:val="baseline"/>
        <w:rPr>
          <w:rStyle w:val="eop"/>
          <w:rFonts w:ascii="Calibri Light" w:hAnsi="Calibri Light" w:cs="Calibri Light"/>
          <w:sz w:val="22"/>
          <w:szCs w:val="22"/>
          <w:lang w:val="en-US"/>
        </w:rPr>
      </w:pPr>
    </w:p>
    <w:p w14:paraId="720AA6B7" w14:textId="78637A2B" w:rsidR="00407264" w:rsidRDefault="009F0D55" w:rsidP="007D5715">
      <w:pPr>
        <w:pStyle w:val="Heading5"/>
        <w:rPr>
          <w:lang w:val="en-US"/>
        </w:rPr>
      </w:pPr>
      <w:r>
        <w:rPr>
          <w:lang w:val="en-US"/>
        </w:rPr>
        <w:t xml:space="preserve">International Example: </w:t>
      </w:r>
      <w:r w:rsidR="00E03E20">
        <w:rPr>
          <w:lang w:val="en-US"/>
        </w:rPr>
        <w:t>Ireland</w:t>
      </w:r>
    </w:p>
    <w:p w14:paraId="5CF174DD" w14:textId="644B0ECC" w:rsidR="006E2BF6" w:rsidRDefault="00407264" w:rsidP="0013182E">
      <w:pPr>
        <w:pStyle w:val="paragraph"/>
        <w:spacing w:before="0" w:beforeAutospacing="0" w:after="0" w:afterAutospacing="0"/>
        <w:textAlignment w:val="baseline"/>
        <w:rPr>
          <w:rStyle w:val="normaltextrun"/>
          <w:rFonts w:ascii="Calibri Light" w:hAnsi="Calibri Light" w:cs="Calibri Light"/>
          <w:sz w:val="22"/>
          <w:szCs w:val="22"/>
        </w:rPr>
      </w:pPr>
      <w:r>
        <w:rPr>
          <w:rStyle w:val="normaltextrun"/>
          <w:rFonts w:ascii="Calibri Light" w:hAnsi="Calibri Light" w:cs="Calibri Light"/>
          <w:sz w:val="22"/>
          <w:szCs w:val="22"/>
        </w:rPr>
        <w:t xml:space="preserve">In 2022, the Government </w:t>
      </w:r>
      <w:r w:rsidR="00EE364E">
        <w:rPr>
          <w:rStyle w:val="normaltextrun"/>
          <w:rFonts w:ascii="Calibri Light" w:hAnsi="Calibri Light" w:cs="Calibri Light"/>
          <w:sz w:val="22"/>
          <w:szCs w:val="22"/>
        </w:rPr>
        <w:t>of</w:t>
      </w:r>
      <w:r>
        <w:rPr>
          <w:rStyle w:val="normaltextrun"/>
          <w:rFonts w:ascii="Calibri Light" w:hAnsi="Calibri Light" w:cs="Calibri Light"/>
          <w:sz w:val="22"/>
          <w:szCs w:val="22"/>
        </w:rPr>
        <w:t xml:space="preserve"> Ireland announced an increase in childcare </w:t>
      </w:r>
      <w:r w:rsidR="000F28B1">
        <w:rPr>
          <w:rStyle w:val="normaltextrun"/>
          <w:rFonts w:ascii="Calibri Light" w:hAnsi="Calibri Light" w:cs="Calibri Light"/>
          <w:sz w:val="22"/>
          <w:szCs w:val="22"/>
        </w:rPr>
        <w:t>subsidies and</w:t>
      </w:r>
      <w:r>
        <w:rPr>
          <w:rStyle w:val="normaltextrun"/>
          <w:rFonts w:ascii="Calibri Light" w:hAnsi="Calibri Light" w:cs="Calibri Light"/>
          <w:sz w:val="22"/>
          <w:szCs w:val="22"/>
        </w:rPr>
        <w:t xml:space="preserve"> pledged to cut childcare costs by 50</w:t>
      </w:r>
      <w:r w:rsidR="001768C3">
        <w:rPr>
          <w:rStyle w:val="normaltextrun"/>
          <w:rFonts w:ascii="Calibri Light" w:hAnsi="Calibri Light" w:cs="Calibri Light"/>
          <w:sz w:val="22"/>
          <w:szCs w:val="22"/>
        </w:rPr>
        <w:t xml:space="preserve"> per cent</w:t>
      </w:r>
      <w:r w:rsidR="008D6531">
        <w:rPr>
          <w:rStyle w:val="normaltextrun"/>
          <w:rFonts w:ascii="Calibri Light" w:hAnsi="Calibri Light" w:cs="Calibri Light"/>
          <w:sz w:val="22"/>
          <w:szCs w:val="22"/>
        </w:rPr>
        <w:t>.</w:t>
      </w:r>
      <w:r w:rsidR="008D6531">
        <w:rPr>
          <w:rStyle w:val="FootnoteReference"/>
          <w:rFonts w:ascii="Calibri Light" w:hAnsi="Calibri Light" w:cs="Calibri Light"/>
          <w:sz w:val="22"/>
          <w:szCs w:val="22"/>
        </w:rPr>
        <w:footnoteReference w:id="145"/>
      </w:r>
      <w:r w:rsidR="00A22A9F">
        <w:rPr>
          <w:rStyle w:val="normaltextrun"/>
          <w:rFonts w:ascii="Calibri Light" w:hAnsi="Calibri Light" w:cs="Calibri Light"/>
          <w:sz w:val="22"/>
          <w:szCs w:val="22"/>
        </w:rPr>
        <w:t xml:space="preserve"> A component of this investment</w:t>
      </w:r>
      <w:r w:rsidR="00521BB3">
        <w:rPr>
          <w:rStyle w:val="normaltextrun"/>
          <w:rFonts w:ascii="Calibri Light" w:hAnsi="Calibri Light" w:cs="Calibri Light"/>
          <w:sz w:val="22"/>
          <w:szCs w:val="22"/>
        </w:rPr>
        <w:t xml:space="preserve"> is</w:t>
      </w:r>
      <w:r w:rsidR="00A22A9F">
        <w:rPr>
          <w:rStyle w:val="normaltextrun"/>
          <w:rFonts w:ascii="Calibri Light" w:hAnsi="Calibri Light" w:cs="Calibri Light"/>
          <w:sz w:val="22"/>
          <w:szCs w:val="22"/>
        </w:rPr>
        <w:t xml:space="preserve"> </w:t>
      </w:r>
      <w:r w:rsidR="00D6069A">
        <w:rPr>
          <w:rStyle w:val="normaltextrun"/>
          <w:rFonts w:ascii="Calibri Light" w:hAnsi="Calibri Light" w:cs="Calibri Light"/>
          <w:sz w:val="22"/>
          <w:szCs w:val="22"/>
        </w:rPr>
        <w:t xml:space="preserve">the </w:t>
      </w:r>
      <w:r w:rsidR="00521BB3">
        <w:rPr>
          <w:rStyle w:val="normaltextrun"/>
          <w:rFonts w:ascii="Calibri Light" w:hAnsi="Calibri Light" w:cs="Calibri Light"/>
          <w:sz w:val="22"/>
          <w:szCs w:val="22"/>
        </w:rPr>
        <w:t>Cor</w:t>
      </w:r>
      <w:r w:rsidR="00A011A4">
        <w:rPr>
          <w:rStyle w:val="normaltextrun"/>
          <w:rFonts w:ascii="Calibri Light" w:hAnsi="Calibri Light" w:cs="Calibri Light"/>
          <w:sz w:val="22"/>
          <w:szCs w:val="22"/>
        </w:rPr>
        <w:t>e</w:t>
      </w:r>
      <w:r w:rsidR="00521BB3">
        <w:rPr>
          <w:rStyle w:val="normaltextrun"/>
          <w:rFonts w:ascii="Calibri Light" w:hAnsi="Calibri Light" w:cs="Calibri Light"/>
          <w:sz w:val="22"/>
          <w:szCs w:val="22"/>
        </w:rPr>
        <w:t xml:space="preserve"> Funding Scheme</w:t>
      </w:r>
      <w:r w:rsidR="00A011A4">
        <w:rPr>
          <w:rStyle w:val="normaltextrun"/>
          <w:rFonts w:ascii="Calibri Light" w:hAnsi="Calibri Light" w:cs="Calibri Light"/>
          <w:sz w:val="22"/>
          <w:szCs w:val="22"/>
        </w:rPr>
        <w:t xml:space="preserve">, where </w:t>
      </w:r>
      <w:r w:rsidR="00A011A4">
        <w:rPr>
          <w:rStyle w:val="normaltextrun"/>
          <w:rFonts w:ascii="Calibri Light" w:hAnsi="Calibri Light" w:cs="Calibri Light"/>
          <w:sz w:val="22"/>
          <w:szCs w:val="22"/>
        </w:rPr>
        <w:lastRenderedPageBreak/>
        <w:t xml:space="preserve">services </w:t>
      </w:r>
      <w:r w:rsidR="003B46C2">
        <w:rPr>
          <w:rStyle w:val="normaltextrun"/>
          <w:rFonts w:ascii="Calibri Light" w:hAnsi="Calibri Light" w:cs="Calibri Light"/>
          <w:sz w:val="22"/>
          <w:szCs w:val="22"/>
        </w:rPr>
        <w:t>are</w:t>
      </w:r>
      <w:r w:rsidR="00A011A4">
        <w:rPr>
          <w:rStyle w:val="normaltextrun"/>
          <w:rFonts w:ascii="Calibri Light" w:hAnsi="Calibri Light" w:cs="Calibri Light"/>
          <w:sz w:val="22"/>
          <w:szCs w:val="22"/>
        </w:rPr>
        <w:t xml:space="preserve"> provided with </w:t>
      </w:r>
      <w:r w:rsidR="003B46C2">
        <w:rPr>
          <w:rStyle w:val="normaltextrun"/>
          <w:rFonts w:ascii="Calibri Light" w:hAnsi="Calibri Light" w:cs="Calibri Light"/>
          <w:sz w:val="22"/>
          <w:szCs w:val="22"/>
        </w:rPr>
        <w:t xml:space="preserve">grant payments </w:t>
      </w:r>
      <w:r w:rsidR="00C408D3">
        <w:rPr>
          <w:rStyle w:val="normaltextrun"/>
          <w:rFonts w:ascii="Calibri Light" w:hAnsi="Calibri Light" w:cs="Calibri Light"/>
          <w:sz w:val="22"/>
          <w:szCs w:val="22"/>
        </w:rPr>
        <w:t xml:space="preserve">to cover operating costs and enhance the quality of care, primarily through the retention and </w:t>
      </w:r>
      <w:r w:rsidR="00426591">
        <w:rPr>
          <w:rStyle w:val="normaltextrun"/>
          <w:rFonts w:ascii="Calibri Light" w:hAnsi="Calibri Light" w:cs="Calibri Light"/>
          <w:sz w:val="22"/>
          <w:szCs w:val="22"/>
        </w:rPr>
        <w:t xml:space="preserve">development of ECEC staff. </w:t>
      </w:r>
      <w:r w:rsidR="00DB71B7">
        <w:rPr>
          <w:rStyle w:val="normaltextrun"/>
          <w:rFonts w:ascii="Calibri Light" w:hAnsi="Calibri Light" w:cs="Calibri Light"/>
          <w:sz w:val="22"/>
          <w:szCs w:val="22"/>
        </w:rPr>
        <w:t xml:space="preserve">These payments are made under a funding agreement </w:t>
      </w:r>
      <w:r w:rsidR="00A7699A">
        <w:rPr>
          <w:rStyle w:val="normaltextrun"/>
          <w:rFonts w:ascii="Calibri Light" w:hAnsi="Calibri Light" w:cs="Calibri Light"/>
          <w:sz w:val="22"/>
          <w:szCs w:val="22"/>
        </w:rPr>
        <w:t>with</w:t>
      </w:r>
      <w:r w:rsidR="00DB71B7">
        <w:rPr>
          <w:rStyle w:val="normaltextrun"/>
          <w:rFonts w:ascii="Calibri Light" w:hAnsi="Calibri Light" w:cs="Calibri Light"/>
          <w:sz w:val="22"/>
          <w:szCs w:val="22"/>
        </w:rPr>
        <w:t xml:space="preserve"> conditions</w:t>
      </w:r>
      <w:r w:rsidR="00B47BA1">
        <w:rPr>
          <w:rStyle w:val="normaltextrun"/>
          <w:rFonts w:ascii="Calibri Light" w:hAnsi="Calibri Light" w:cs="Calibri Light"/>
          <w:sz w:val="22"/>
          <w:szCs w:val="22"/>
        </w:rPr>
        <w:t>, including financial reporting</w:t>
      </w:r>
      <w:r w:rsidR="00DB71B7">
        <w:rPr>
          <w:rStyle w:val="normaltextrun"/>
          <w:rFonts w:ascii="Calibri Light" w:hAnsi="Calibri Light" w:cs="Calibri Light"/>
          <w:sz w:val="22"/>
          <w:szCs w:val="22"/>
        </w:rPr>
        <w:t xml:space="preserve">. </w:t>
      </w:r>
    </w:p>
    <w:p w14:paraId="07487793" w14:textId="77777777" w:rsidR="006E2BF6" w:rsidRDefault="006E2BF6" w:rsidP="0013182E">
      <w:pPr>
        <w:pStyle w:val="paragraph"/>
        <w:spacing w:before="0" w:beforeAutospacing="0" w:after="0" w:afterAutospacing="0"/>
        <w:textAlignment w:val="baseline"/>
        <w:rPr>
          <w:rStyle w:val="normaltextrun"/>
          <w:rFonts w:ascii="Calibri Light" w:hAnsi="Calibri Light" w:cs="Calibri Light"/>
          <w:sz w:val="22"/>
          <w:szCs w:val="22"/>
        </w:rPr>
      </w:pPr>
    </w:p>
    <w:p w14:paraId="3920B634" w14:textId="3877016A" w:rsidR="0013182E" w:rsidRDefault="00DB71B7" w:rsidP="0013182E">
      <w:pPr>
        <w:pStyle w:val="paragraph"/>
        <w:spacing w:before="0" w:beforeAutospacing="0" w:after="0" w:afterAutospacing="0"/>
        <w:textAlignment w:val="baseline"/>
        <w:rPr>
          <w:rFonts w:asciiTheme="majorHAnsi" w:hAnsiTheme="majorHAnsi" w:cstheme="majorHAnsi"/>
          <w:sz w:val="22"/>
          <w:szCs w:val="22"/>
        </w:rPr>
      </w:pPr>
      <w:r>
        <w:rPr>
          <w:rStyle w:val="normaltextrun"/>
          <w:rFonts w:ascii="Calibri Light" w:hAnsi="Calibri Light" w:cs="Calibri Light"/>
          <w:sz w:val="22"/>
          <w:szCs w:val="22"/>
        </w:rPr>
        <w:t>One of the primary conditions is a fee freeze</w:t>
      </w:r>
      <w:r w:rsidR="002053AD">
        <w:rPr>
          <w:rStyle w:val="normaltextrun"/>
          <w:rFonts w:ascii="Calibri Light" w:hAnsi="Calibri Light" w:cs="Calibri Light"/>
          <w:sz w:val="22"/>
          <w:szCs w:val="22"/>
        </w:rPr>
        <w:t>, whereby services in receipt of</w:t>
      </w:r>
      <w:r w:rsidR="007867A9">
        <w:rPr>
          <w:rStyle w:val="normaltextrun"/>
          <w:rFonts w:ascii="Calibri Light" w:hAnsi="Calibri Light" w:cs="Calibri Light"/>
          <w:sz w:val="22"/>
          <w:szCs w:val="22"/>
        </w:rPr>
        <w:t xml:space="preserve"> Core Funding</w:t>
      </w:r>
      <w:r w:rsidR="003873B1">
        <w:rPr>
          <w:rStyle w:val="normaltextrun"/>
          <w:rFonts w:ascii="Calibri Light" w:hAnsi="Calibri Light" w:cs="Calibri Light"/>
          <w:sz w:val="22"/>
          <w:szCs w:val="22"/>
        </w:rPr>
        <w:t xml:space="preserve"> c</w:t>
      </w:r>
      <w:r w:rsidR="00A7699A">
        <w:rPr>
          <w:rStyle w:val="normaltextrun"/>
          <w:rFonts w:ascii="Calibri Light" w:hAnsi="Calibri Light" w:cs="Calibri Light"/>
          <w:sz w:val="22"/>
          <w:szCs w:val="22"/>
        </w:rPr>
        <w:t>an</w:t>
      </w:r>
      <w:r w:rsidR="003873B1">
        <w:rPr>
          <w:rStyle w:val="normaltextrun"/>
          <w:rFonts w:ascii="Calibri Light" w:hAnsi="Calibri Light" w:cs="Calibri Light"/>
          <w:sz w:val="22"/>
          <w:szCs w:val="22"/>
        </w:rPr>
        <w:t xml:space="preserve">not increase their service fees by more than what the services were charging as at September 2021. </w:t>
      </w:r>
      <w:r w:rsidR="00C749DC">
        <w:rPr>
          <w:rStyle w:val="normaltextrun"/>
          <w:rFonts w:ascii="Calibri Light" w:hAnsi="Calibri Light" w:cs="Calibri Light"/>
          <w:sz w:val="22"/>
          <w:szCs w:val="22"/>
        </w:rPr>
        <w:t xml:space="preserve">The intention is to </w:t>
      </w:r>
      <w:r w:rsidR="00EF7ED0">
        <w:rPr>
          <w:rStyle w:val="normaltextrun"/>
          <w:rFonts w:ascii="Calibri Light" w:hAnsi="Calibri Light" w:cs="Calibri Light"/>
          <w:sz w:val="22"/>
          <w:szCs w:val="22"/>
        </w:rPr>
        <w:t xml:space="preserve">stabilise fee levels and ensure the affordability benefits of </w:t>
      </w:r>
      <w:r w:rsidR="000207FF">
        <w:rPr>
          <w:rStyle w:val="normaltextrun"/>
          <w:rFonts w:ascii="Calibri Light" w:hAnsi="Calibri Light" w:cs="Calibri Light"/>
          <w:sz w:val="22"/>
          <w:szCs w:val="22"/>
        </w:rPr>
        <w:t xml:space="preserve">recent increases </w:t>
      </w:r>
      <w:r w:rsidR="00BB1A6A">
        <w:rPr>
          <w:rStyle w:val="normaltextrun"/>
          <w:rFonts w:ascii="Calibri Light" w:hAnsi="Calibri Light" w:cs="Calibri Light"/>
          <w:sz w:val="22"/>
          <w:szCs w:val="22"/>
        </w:rPr>
        <w:t>to Irelan</w:t>
      </w:r>
      <w:r w:rsidR="00014EC5">
        <w:rPr>
          <w:rStyle w:val="normaltextrun"/>
          <w:rFonts w:ascii="Calibri Light" w:hAnsi="Calibri Light" w:cs="Calibri Light"/>
          <w:sz w:val="22"/>
          <w:szCs w:val="22"/>
        </w:rPr>
        <w:t>d</w:t>
      </w:r>
      <w:r w:rsidR="00BB1A6A">
        <w:rPr>
          <w:rStyle w:val="normaltextrun"/>
          <w:rFonts w:ascii="Calibri Light" w:hAnsi="Calibri Light" w:cs="Calibri Light"/>
          <w:sz w:val="22"/>
          <w:szCs w:val="22"/>
        </w:rPr>
        <w:t>’s demand-side subsidy scheme</w:t>
      </w:r>
      <w:r w:rsidR="000207FF">
        <w:rPr>
          <w:rStyle w:val="normaltextrun"/>
          <w:rFonts w:ascii="Calibri Light" w:hAnsi="Calibri Light" w:cs="Calibri Light"/>
          <w:sz w:val="22"/>
          <w:szCs w:val="22"/>
        </w:rPr>
        <w:t xml:space="preserve"> (kno</w:t>
      </w:r>
      <w:r w:rsidR="003A19C6">
        <w:rPr>
          <w:rStyle w:val="normaltextrun"/>
          <w:rFonts w:ascii="Calibri Light" w:hAnsi="Calibri Light" w:cs="Calibri Light"/>
          <w:sz w:val="22"/>
          <w:szCs w:val="22"/>
        </w:rPr>
        <w:t xml:space="preserve">wn as the </w:t>
      </w:r>
      <w:r w:rsidR="00762F8D">
        <w:rPr>
          <w:rStyle w:val="normaltextrun"/>
          <w:rFonts w:ascii="Calibri Light" w:hAnsi="Calibri Light" w:cs="Calibri Light"/>
          <w:sz w:val="22"/>
          <w:szCs w:val="22"/>
        </w:rPr>
        <w:t>National Childcare Scheme</w:t>
      </w:r>
      <w:r w:rsidR="008B7CD4">
        <w:rPr>
          <w:rStyle w:val="normaltextrun"/>
          <w:rFonts w:ascii="Calibri Light" w:hAnsi="Calibri Light" w:cs="Calibri Light"/>
          <w:sz w:val="22"/>
          <w:szCs w:val="22"/>
        </w:rPr>
        <w:t xml:space="preserve"> (NCS</w:t>
      </w:r>
      <w:r w:rsidR="00762F8D">
        <w:rPr>
          <w:rStyle w:val="normaltextrun"/>
          <w:rFonts w:ascii="Calibri Light" w:hAnsi="Calibri Light" w:cs="Calibri Light"/>
          <w:sz w:val="22"/>
          <w:szCs w:val="22"/>
        </w:rPr>
        <w:t>)</w:t>
      </w:r>
      <w:r w:rsidR="008D3995">
        <w:rPr>
          <w:rStyle w:val="normaltextrun"/>
          <w:rFonts w:ascii="Calibri Light" w:hAnsi="Calibri Light" w:cs="Calibri Light"/>
          <w:sz w:val="22"/>
          <w:szCs w:val="22"/>
        </w:rPr>
        <w:t>)</w:t>
      </w:r>
      <w:r w:rsidR="00C41107">
        <w:rPr>
          <w:rStyle w:val="normaltextrun"/>
          <w:rFonts w:ascii="Calibri Light" w:hAnsi="Calibri Light" w:cs="Calibri Light"/>
          <w:sz w:val="22"/>
          <w:szCs w:val="22"/>
        </w:rPr>
        <w:t xml:space="preserve"> were fully </w:t>
      </w:r>
      <w:r w:rsidR="00BA21C7">
        <w:rPr>
          <w:rStyle w:val="normaltextrun"/>
          <w:rFonts w:ascii="Calibri Light" w:hAnsi="Calibri Light" w:cs="Calibri Light"/>
          <w:sz w:val="22"/>
          <w:szCs w:val="22"/>
        </w:rPr>
        <w:t>felt by parents</w:t>
      </w:r>
      <w:r w:rsidR="0018111C">
        <w:rPr>
          <w:rStyle w:val="normaltextrun"/>
          <w:rFonts w:ascii="Calibri Light" w:hAnsi="Calibri Light" w:cs="Calibri Light"/>
          <w:sz w:val="22"/>
          <w:szCs w:val="22"/>
        </w:rPr>
        <w:t>.</w:t>
      </w:r>
      <w:r w:rsidR="00AB3E9E">
        <w:rPr>
          <w:rStyle w:val="FootnoteReference"/>
          <w:rFonts w:ascii="Calibri Light" w:hAnsi="Calibri Light" w:cs="Calibri Light"/>
          <w:sz w:val="22"/>
          <w:szCs w:val="22"/>
        </w:rPr>
        <w:footnoteReference w:id="146"/>
      </w:r>
      <w:r w:rsidR="00BA21C7">
        <w:rPr>
          <w:rStyle w:val="normaltextrun"/>
          <w:rFonts w:ascii="Calibri Light" w:hAnsi="Calibri Light" w:cs="Calibri Light"/>
          <w:sz w:val="22"/>
          <w:szCs w:val="22"/>
        </w:rPr>
        <w:t xml:space="preserve"> </w:t>
      </w:r>
      <w:r w:rsidR="008D3995">
        <w:rPr>
          <w:rStyle w:val="normaltextrun"/>
          <w:rFonts w:ascii="Calibri Light" w:hAnsi="Calibri Light" w:cs="Calibri Light"/>
          <w:sz w:val="22"/>
          <w:szCs w:val="22"/>
        </w:rPr>
        <w:t>It was estimated by the Government of Ireland that when the NCS changes were introduced in January 2023, families would see an average reduction in fees of 25</w:t>
      </w:r>
      <w:r w:rsidR="00C415F8">
        <w:rPr>
          <w:rStyle w:val="normaltextrun"/>
          <w:rFonts w:ascii="Calibri Light" w:hAnsi="Calibri Light" w:cs="Calibri Light"/>
          <w:sz w:val="22"/>
          <w:szCs w:val="22"/>
        </w:rPr>
        <w:t xml:space="preserve"> per cent</w:t>
      </w:r>
      <w:r w:rsidR="005E097E">
        <w:rPr>
          <w:rStyle w:val="normaltextrun"/>
          <w:rFonts w:ascii="Calibri Light" w:hAnsi="Calibri Light" w:cs="Calibri Light"/>
          <w:sz w:val="22"/>
          <w:szCs w:val="22"/>
        </w:rPr>
        <w:t>.</w:t>
      </w:r>
      <w:r w:rsidR="004A2255">
        <w:rPr>
          <w:rStyle w:val="FootnoteReference"/>
          <w:rFonts w:ascii="Calibri Light" w:hAnsi="Calibri Light" w:cs="Calibri Light"/>
          <w:sz w:val="22"/>
          <w:szCs w:val="22"/>
        </w:rPr>
        <w:footnoteReference w:id="147"/>
      </w:r>
      <w:r w:rsidR="005E097E">
        <w:rPr>
          <w:rStyle w:val="normaltextrun"/>
          <w:rFonts w:ascii="Calibri Light" w:hAnsi="Calibri Light" w:cs="Calibri Light"/>
          <w:sz w:val="22"/>
          <w:szCs w:val="22"/>
        </w:rPr>
        <w:t xml:space="preserve"> </w:t>
      </w:r>
      <w:r w:rsidR="00332D7C" w:rsidRPr="007D5715">
        <w:rPr>
          <w:rFonts w:asciiTheme="majorHAnsi" w:hAnsiTheme="majorHAnsi" w:cstheme="majorHAnsi"/>
          <w:sz w:val="22"/>
          <w:szCs w:val="22"/>
        </w:rPr>
        <w:t>Over 90</w:t>
      </w:r>
      <w:r w:rsidR="00C415F8">
        <w:rPr>
          <w:rFonts w:asciiTheme="majorHAnsi" w:hAnsiTheme="majorHAnsi" w:cstheme="majorHAnsi"/>
          <w:sz w:val="22"/>
          <w:szCs w:val="22"/>
        </w:rPr>
        <w:t xml:space="preserve"> per cent</w:t>
      </w:r>
      <w:r w:rsidR="00332D7C" w:rsidRPr="007D5715">
        <w:rPr>
          <w:rFonts w:asciiTheme="majorHAnsi" w:hAnsiTheme="majorHAnsi" w:cstheme="majorHAnsi"/>
          <w:sz w:val="22"/>
          <w:szCs w:val="22"/>
        </w:rPr>
        <w:t xml:space="preserve"> of </w:t>
      </w:r>
      <w:r w:rsidR="00E412CC">
        <w:rPr>
          <w:rFonts w:asciiTheme="majorHAnsi" w:hAnsiTheme="majorHAnsi" w:cstheme="majorHAnsi"/>
          <w:sz w:val="22"/>
          <w:szCs w:val="22"/>
        </w:rPr>
        <w:t>providers</w:t>
      </w:r>
      <w:r w:rsidR="00332D7C" w:rsidRPr="007D5715">
        <w:rPr>
          <w:rFonts w:asciiTheme="majorHAnsi" w:hAnsiTheme="majorHAnsi" w:cstheme="majorHAnsi"/>
          <w:sz w:val="22"/>
          <w:szCs w:val="22"/>
        </w:rPr>
        <w:t xml:space="preserve"> signed up the Core Funding Scheme in its first year</w:t>
      </w:r>
      <w:r w:rsidR="003B33D1">
        <w:rPr>
          <w:rFonts w:asciiTheme="majorHAnsi" w:hAnsiTheme="majorHAnsi" w:cstheme="majorHAnsi"/>
          <w:sz w:val="22"/>
          <w:szCs w:val="22"/>
        </w:rPr>
        <w:t xml:space="preserve"> and 94</w:t>
      </w:r>
      <w:r w:rsidR="00C415F8">
        <w:rPr>
          <w:rFonts w:asciiTheme="majorHAnsi" w:hAnsiTheme="majorHAnsi" w:cstheme="majorHAnsi"/>
          <w:sz w:val="22"/>
          <w:szCs w:val="22"/>
        </w:rPr>
        <w:t xml:space="preserve"> per cent</w:t>
      </w:r>
      <w:r w:rsidR="003B33D1">
        <w:rPr>
          <w:rFonts w:asciiTheme="majorHAnsi" w:hAnsiTheme="majorHAnsi" w:cstheme="majorHAnsi"/>
          <w:sz w:val="22"/>
          <w:szCs w:val="22"/>
        </w:rPr>
        <w:t xml:space="preserve"> have signed up in the second.</w:t>
      </w:r>
      <w:r w:rsidR="00432DEE">
        <w:rPr>
          <w:rStyle w:val="FootnoteReference"/>
          <w:rFonts w:asciiTheme="majorHAnsi" w:hAnsiTheme="majorHAnsi" w:cstheme="majorHAnsi"/>
          <w:sz w:val="22"/>
          <w:szCs w:val="22"/>
        </w:rPr>
        <w:footnoteReference w:id="148"/>
      </w:r>
    </w:p>
    <w:p w14:paraId="2F66DF44" w14:textId="77777777" w:rsidR="0055073B" w:rsidRDefault="0055073B" w:rsidP="0013182E">
      <w:pPr>
        <w:pStyle w:val="paragraph"/>
        <w:spacing w:before="0" w:beforeAutospacing="0" w:after="0" w:afterAutospacing="0"/>
        <w:textAlignment w:val="baseline"/>
        <w:rPr>
          <w:rFonts w:asciiTheme="majorHAnsi" w:hAnsiTheme="majorHAnsi" w:cstheme="majorHAnsi"/>
          <w:sz w:val="22"/>
          <w:szCs w:val="22"/>
        </w:rPr>
      </w:pPr>
    </w:p>
    <w:p w14:paraId="18159EDF" w14:textId="263258F1" w:rsidR="00B50C95" w:rsidRDefault="0016656C" w:rsidP="0013182E">
      <w:pPr>
        <w:pStyle w:val="paragraph"/>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Despite the reductions in fees and the rates of participation in the Core Funding Scheme</w:t>
      </w:r>
      <w:r w:rsidR="0055073B">
        <w:rPr>
          <w:rFonts w:asciiTheme="majorHAnsi" w:hAnsiTheme="majorHAnsi" w:cstheme="majorHAnsi"/>
          <w:sz w:val="22"/>
          <w:szCs w:val="22"/>
        </w:rPr>
        <w:t xml:space="preserve">, </w:t>
      </w:r>
      <w:r w:rsidR="000D22C2">
        <w:rPr>
          <w:rFonts w:asciiTheme="majorHAnsi" w:hAnsiTheme="majorHAnsi" w:cstheme="majorHAnsi"/>
          <w:sz w:val="22"/>
          <w:szCs w:val="22"/>
        </w:rPr>
        <w:t>m</w:t>
      </w:r>
      <w:r w:rsidR="0039375E">
        <w:rPr>
          <w:rFonts w:asciiTheme="majorHAnsi" w:hAnsiTheme="majorHAnsi" w:cstheme="majorHAnsi"/>
          <w:sz w:val="22"/>
          <w:szCs w:val="22"/>
        </w:rPr>
        <w:t xml:space="preserve">edia reports in Ireland </w:t>
      </w:r>
      <w:r w:rsidR="001E4833">
        <w:rPr>
          <w:rFonts w:asciiTheme="majorHAnsi" w:hAnsiTheme="majorHAnsi" w:cstheme="majorHAnsi"/>
          <w:sz w:val="22"/>
          <w:szCs w:val="22"/>
        </w:rPr>
        <w:t xml:space="preserve">highlight </w:t>
      </w:r>
      <w:r w:rsidR="00E536E8">
        <w:rPr>
          <w:rFonts w:asciiTheme="majorHAnsi" w:hAnsiTheme="majorHAnsi" w:cstheme="majorHAnsi"/>
          <w:sz w:val="22"/>
          <w:szCs w:val="22"/>
        </w:rPr>
        <w:t xml:space="preserve">ongoing </w:t>
      </w:r>
      <w:r w:rsidR="001E4833">
        <w:rPr>
          <w:rFonts w:asciiTheme="majorHAnsi" w:hAnsiTheme="majorHAnsi" w:cstheme="majorHAnsi"/>
          <w:sz w:val="22"/>
          <w:szCs w:val="22"/>
        </w:rPr>
        <w:t>concerns from peak ECEC bodies</w:t>
      </w:r>
      <w:r w:rsidR="00493F68">
        <w:rPr>
          <w:rFonts w:asciiTheme="majorHAnsi" w:hAnsiTheme="majorHAnsi" w:cstheme="majorHAnsi"/>
          <w:sz w:val="22"/>
          <w:szCs w:val="22"/>
        </w:rPr>
        <w:t xml:space="preserve"> in Ireland</w:t>
      </w:r>
      <w:r w:rsidR="001E4833">
        <w:rPr>
          <w:rFonts w:asciiTheme="majorHAnsi" w:hAnsiTheme="majorHAnsi" w:cstheme="majorHAnsi"/>
          <w:sz w:val="22"/>
          <w:szCs w:val="22"/>
        </w:rPr>
        <w:t>,</w:t>
      </w:r>
      <w:r w:rsidR="00341838">
        <w:rPr>
          <w:rFonts w:asciiTheme="majorHAnsi" w:hAnsiTheme="majorHAnsi" w:cstheme="majorHAnsi"/>
          <w:sz w:val="22"/>
          <w:szCs w:val="22"/>
        </w:rPr>
        <w:t xml:space="preserve"> that the Government’s funding </w:t>
      </w:r>
      <w:r w:rsidR="00C15C9C">
        <w:rPr>
          <w:rFonts w:asciiTheme="majorHAnsi" w:hAnsiTheme="majorHAnsi" w:cstheme="majorHAnsi"/>
          <w:sz w:val="22"/>
          <w:szCs w:val="22"/>
        </w:rPr>
        <w:t>schemes and fee regulations make it especially onerous on services to remain viable</w:t>
      </w:r>
      <w:r w:rsidR="004C170F">
        <w:rPr>
          <w:rStyle w:val="FootnoteReference"/>
          <w:rFonts w:asciiTheme="majorHAnsi" w:hAnsiTheme="majorHAnsi" w:cstheme="majorHAnsi"/>
          <w:sz w:val="22"/>
          <w:szCs w:val="22"/>
        </w:rPr>
        <w:footnoteReference w:id="149"/>
      </w:r>
      <w:r w:rsidR="00A17154">
        <w:rPr>
          <w:rStyle w:val="FootnoteReference"/>
          <w:rFonts w:asciiTheme="majorHAnsi" w:hAnsiTheme="majorHAnsi" w:cstheme="majorHAnsi"/>
          <w:sz w:val="22"/>
          <w:szCs w:val="22"/>
        </w:rPr>
        <w:footnoteReference w:id="150"/>
      </w:r>
      <w:r w:rsidR="0088140A">
        <w:rPr>
          <w:rFonts w:asciiTheme="majorHAnsi" w:hAnsiTheme="majorHAnsi" w:cstheme="majorHAnsi"/>
          <w:sz w:val="22"/>
          <w:szCs w:val="22"/>
        </w:rPr>
        <w:t>.</w:t>
      </w:r>
      <w:r w:rsidR="00B55AC8">
        <w:rPr>
          <w:rFonts w:asciiTheme="majorHAnsi" w:hAnsiTheme="majorHAnsi" w:cstheme="majorHAnsi"/>
          <w:sz w:val="22"/>
          <w:szCs w:val="22"/>
        </w:rPr>
        <w:t xml:space="preserve"> </w:t>
      </w:r>
      <w:r w:rsidR="00AC7718">
        <w:rPr>
          <w:rFonts w:asciiTheme="majorHAnsi" w:hAnsiTheme="majorHAnsi" w:cstheme="majorHAnsi"/>
          <w:sz w:val="22"/>
          <w:szCs w:val="22"/>
        </w:rPr>
        <w:t>Also</w:t>
      </w:r>
      <w:r w:rsidR="0088140A">
        <w:rPr>
          <w:rFonts w:asciiTheme="majorHAnsi" w:hAnsiTheme="majorHAnsi" w:cstheme="majorHAnsi"/>
          <w:sz w:val="22"/>
          <w:szCs w:val="22"/>
        </w:rPr>
        <w:t xml:space="preserve">, </w:t>
      </w:r>
      <w:r w:rsidR="001C6E58">
        <w:rPr>
          <w:rFonts w:asciiTheme="majorHAnsi" w:hAnsiTheme="majorHAnsi" w:cstheme="majorHAnsi"/>
          <w:sz w:val="22"/>
          <w:szCs w:val="22"/>
        </w:rPr>
        <w:t xml:space="preserve">the </w:t>
      </w:r>
      <w:r w:rsidR="00B668E5">
        <w:rPr>
          <w:rFonts w:asciiTheme="majorHAnsi" w:hAnsiTheme="majorHAnsi" w:cstheme="majorHAnsi"/>
          <w:sz w:val="22"/>
          <w:szCs w:val="22"/>
        </w:rPr>
        <w:t>s</w:t>
      </w:r>
      <w:r w:rsidR="001C6E58">
        <w:rPr>
          <w:rFonts w:asciiTheme="majorHAnsi" w:hAnsiTheme="majorHAnsi" w:cstheme="majorHAnsi"/>
          <w:sz w:val="22"/>
          <w:szCs w:val="22"/>
        </w:rPr>
        <w:t>cheme</w:t>
      </w:r>
      <w:r w:rsidR="0088140A">
        <w:rPr>
          <w:rFonts w:asciiTheme="majorHAnsi" w:hAnsiTheme="majorHAnsi" w:cstheme="majorHAnsi"/>
          <w:sz w:val="22"/>
          <w:szCs w:val="22"/>
        </w:rPr>
        <w:t xml:space="preserve"> </w:t>
      </w:r>
      <w:r w:rsidR="00B55AC8">
        <w:rPr>
          <w:rFonts w:asciiTheme="majorHAnsi" w:hAnsiTheme="majorHAnsi" w:cstheme="majorHAnsi"/>
          <w:sz w:val="22"/>
          <w:szCs w:val="22"/>
        </w:rPr>
        <w:t>fail</w:t>
      </w:r>
      <w:r w:rsidR="0088140A">
        <w:rPr>
          <w:rFonts w:asciiTheme="majorHAnsi" w:hAnsiTheme="majorHAnsi" w:cstheme="majorHAnsi"/>
          <w:sz w:val="22"/>
          <w:szCs w:val="22"/>
        </w:rPr>
        <w:t>s</w:t>
      </w:r>
      <w:r w:rsidR="00B55AC8">
        <w:rPr>
          <w:rFonts w:asciiTheme="majorHAnsi" w:hAnsiTheme="majorHAnsi" w:cstheme="majorHAnsi"/>
          <w:sz w:val="22"/>
          <w:szCs w:val="22"/>
        </w:rPr>
        <w:t xml:space="preserve"> to adequately address the issues in workforce retention and ha</w:t>
      </w:r>
      <w:r w:rsidR="001C6E58">
        <w:rPr>
          <w:rFonts w:asciiTheme="majorHAnsi" w:hAnsiTheme="majorHAnsi" w:cstheme="majorHAnsi"/>
          <w:sz w:val="22"/>
          <w:szCs w:val="22"/>
        </w:rPr>
        <w:t>s</w:t>
      </w:r>
      <w:r w:rsidR="00B55AC8">
        <w:rPr>
          <w:rFonts w:asciiTheme="majorHAnsi" w:hAnsiTheme="majorHAnsi" w:cstheme="majorHAnsi"/>
          <w:sz w:val="22"/>
          <w:szCs w:val="22"/>
        </w:rPr>
        <w:t xml:space="preserve"> not stopped the rate of service closures</w:t>
      </w:r>
      <w:r w:rsidR="00155EF2">
        <w:rPr>
          <w:rFonts w:asciiTheme="majorHAnsi" w:hAnsiTheme="majorHAnsi" w:cstheme="majorHAnsi"/>
          <w:sz w:val="22"/>
          <w:szCs w:val="22"/>
        </w:rPr>
        <w:t xml:space="preserve"> across the country</w:t>
      </w:r>
      <w:r w:rsidR="00FC227D">
        <w:rPr>
          <w:rFonts w:asciiTheme="majorHAnsi" w:hAnsiTheme="majorHAnsi" w:cstheme="majorHAnsi"/>
          <w:sz w:val="22"/>
          <w:szCs w:val="22"/>
        </w:rPr>
        <w:t>, which continue to place strain on access for families</w:t>
      </w:r>
      <w:r w:rsidR="007868C4">
        <w:rPr>
          <w:rFonts w:asciiTheme="majorHAnsi" w:hAnsiTheme="majorHAnsi" w:cstheme="majorHAnsi"/>
          <w:sz w:val="22"/>
          <w:szCs w:val="22"/>
        </w:rPr>
        <w:t>.</w:t>
      </w:r>
      <w:r w:rsidR="007868C4">
        <w:rPr>
          <w:rStyle w:val="FootnoteReference"/>
          <w:rFonts w:asciiTheme="majorHAnsi" w:hAnsiTheme="majorHAnsi" w:cstheme="majorHAnsi"/>
          <w:sz w:val="22"/>
          <w:szCs w:val="22"/>
        </w:rPr>
        <w:footnoteReference w:id="151"/>
      </w:r>
      <w:r w:rsidR="00EF7ECD">
        <w:rPr>
          <w:rStyle w:val="FootnoteReference"/>
          <w:rFonts w:asciiTheme="majorHAnsi" w:hAnsiTheme="majorHAnsi" w:cstheme="majorHAnsi"/>
          <w:sz w:val="22"/>
          <w:szCs w:val="22"/>
        </w:rPr>
        <w:footnoteReference w:id="152"/>
      </w:r>
      <w:r w:rsidR="00E536E8">
        <w:rPr>
          <w:rFonts w:asciiTheme="majorHAnsi" w:hAnsiTheme="majorHAnsi" w:cstheme="majorHAnsi"/>
          <w:sz w:val="22"/>
          <w:szCs w:val="22"/>
        </w:rPr>
        <w:t xml:space="preserve"> The levels of funding have also been criticised for being too low, and the blunt form of implementation has resulted in </w:t>
      </w:r>
      <w:r w:rsidR="003A0835">
        <w:rPr>
          <w:rFonts w:asciiTheme="majorHAnsi" w:hAnsiTheme="majorHAnsi" w:cstheme="majorHAnsi"/>
          <w:sz w:val="22"/>
          <w:szCs w:val="22"/>
        </w:rPr>
        <w:t>widespread variations of regulated fees</w:t>
      </w:r>
      <w:r w:rsidR="000F0A7E">
        <w:rPr>
          <w:rFonts w:asciiTheme="majorHAnsi" w:hAnsiTheme="majorHAnsi" w:cstheme="majorHAnsi"/>
          <w:sz w:val="22"/>
          <w:szCs w:val="22"/>
        </w:rPr>
        <w:t>, with fees not being automatically indexed to inflation, as noted by the ACCC.</w:t>
      </w:r>
      <w:r w:rsidR="000F0A7E">
        <w:rPr>
          <w:rStyle w:val="FootnoteReference"/>
          <w:rFonts w:asciiTheme="majorHAnsi" w:hAnsiTheme="majorHAnsi" w:cstheme="majorHAnsi"/>
          <w:sz w:val="22"/>
          <w:szCs w:val="22"/>
        </w:rPr>
        <w:footnoteReference w:id="153"/>
      </w:r>
    </w:p>
    <w:p w14:paraId="577EB150" w14:textId="002DE214" w:rsidR="00CF0CCA" w:rsidRDefault="00CF0CCA" w:rsidP="00F87452">
      <w:pPr>
        <w:pStyle w:val="Heading2"/>
      </w:pPr>
      <w:bookmarkStart w:id="84" w:name="_Toc219193892"/>
      <w:r>
        <w:t>Consultation</w:t>
      </w:r>
      <w:bookmarkEnd w:id="84"/>
    </w:p>
    <w:p w14:paraId="7399770E" w14:textId="77777777" w:rsidR="00B66888" w:rsidRDefault="00B66888" w:rsidP="00B66888">
      <w:pPr>
        <w:pStyle w:val="Heading3"/>
      </w:pPr>
      <w:bookmarkStart w:id="85" w:name="_Toc160572122"/>
      <w:bookmarkStart w:id="86" w:name="_Toc160805628"/>
      <w:bookmarkStart w:id="87" w:name="_Toc162963673"/>
      <w:bookmarkStart w:id="88" w:name="_Toc219193893"/>
      <w:r>
        <w:t>The pre-design phase</w:t>
      </w:r>
      <w:bookmarkEnd w:id="85"/>
      <w:bookmarkEnd w:id="86"/>
      <w:bookmarkEnd w:id="87"/>
      <w:bookmarkEnd w:id="88"/>
    </w:p>
    <w:p w14:paraId="617946E0" w14:textId="77777777" w:rsidR="00B66888" w:rsidRDefault="00B66888" w:rsidP="00B66888">
      <w:r>
        <w:t>During this phase, the Department took a comprehensive approach in determining an appropriate consultation plan. Acknowledging that stakeholders within the ECEC sector had received supported bargaining authorisation, the Department anticipated that the Government, as a majority funder of ECEC through the CCS, would have the unique opportunity to seek information, feedback and insights to policy design through this process, when directed by the FWC to attend supported bargaining conferences.</w:t>
      </w:r>
    </w:p>
    <w:p w14:paraId="04A0E3B5" w14:textId="267F24F8" w:rsidR="00B66888" w:rsidRDefault="7CB1C1CA" w:rsidP="00B66888">
      <w:r>
        <w:t>The Department considered the submissions made by parties as part of the supported bargaining application process during this stage to gain further insight into stakeholder expectations of Government, agreed facts relevant to the sector, workforce and the outcomes being sought</w:t>
      </w:r>
      <w:r w:rsidR="32135823">
        <w:t>. This process</w:t>
      </w:r>
      <w:r w:rsidR="5EC69CD6">
        <w:t xml:space="preserve"> </w:t>
      </w:r>
      <w:r>
        <w:t>provid</w:t>
      </w:r>
      <w:r w:rsidR="32135823">
        <w:t>ed</w:t>
      </w:r>
      <w:r>
        <w:t xml:space="preserve"> the Department with sufficient basis to commence policy design. The Department </w:t>
      </w:r>
      <w:r>
        <w:lastRenderedPageBreak/>
        <w:t xml:space="preserve">anticipated that these conferences would provide a sufficient level of information to assist with research and policy development. </w:t>
      </w:r>
    </w:p>
    <w:p w14:paraId="68A0D628" w14:textId="51EC549B" w:rsidR="003728F9" w:rsidRDefault="00B66888" w:rsidP="00B66888">
      <w:r>
        <w:t>The Department further acknowledged the significant suite of data collection, consultation and research being undertaken during this period through the ACCC Childcare</w:t>
      </w:r>
      <w:r w:rsidR="00B8722B">
        <w:t xml:space="preserve"> Price</w:t>
      </w:r>
      <w:r>
        <w:t xml:space="preserve"> Inquiry, the </w:t>
      </w:r>
      <w:proofErr w:type="gramStart"/>
      <w:r w:rsidR="00A40FA1">
        <w:t xml:space="preserve">PC </w:t>
      </w:r>
      <w:r>
        <w:t xml:space="preserve"> Inquiry</w:t>
      </w:r>
      <w:proofErr w:type="gramEnd"/>
      <w:r>
        <w:t xml:space="preserve"> </w:t>
      </w:r>
      <w:r w:rsidR="001F604D">
        <w:t xml:space="preserve">into ECEC </w:t>
      </w:r>
      <w:r>
        <w:t xml:space="preserve">and the National Workforce Strategy Research into pay and conditions undertaken by Macquarie University. These processes </w:t>
      </w:r>
      <w:r w:rsidR="002B4B41">
        <w:t>involved</w:t>
      </w:r>
      <w:r>
        <w:t xml:space="preserve"> sector stakeholders and any other interested parties </w:t>
      </w:r>
      <w:r w:rsidR="002B4B41">
        <w:t>making</w:t>
      </w:r>
      <w:r>
        <w:t xml:space="preserve"> multiple submissions, respond</w:t>
      </w:r>
      <w:r w:rsidR="002B4B41">
        <w:t>ing</w:t>
      </w:r>
      <w:r>
        <w:t xml:space="preserve"> to extensive surveying and/or attend</w:t>
      </w:r>
      <w:r w:rsidR="002B4B41">
        <w:t>ing</w:t>
      </w:r>
      <w:r>
        <w:t xml:space="preserve"> in-person or virtual roundtable discussions relating to issues across the sector. The Department was also provided with further research or survey results commissioned by registered organisations to consider during this period. </w:t>
      </w:r>
    </w:p>
    <w:p w14:paraId="2B4C528C" w14:textId="62F01229" w:rsidR="00B66888" w:rsidRPr="00C502CF" w:rsidRDefault="00D7677C" w:rsidP="00B66888">
      <w:r>
        <w:t>With the array of information provided to the Department from the ACCC</w:t>
      </w:r>
      <w:r w:rsidR="005565A8">
        <w:t xml:space="preserve"> </w:t>
      </w:r>
      <w:r>
        <w:t xml:space="preserve">and PC </w:t>
      </w:r>
      <w:r w:rsidR="005770C1">
        <w:t>I</w:t>
      </w:r>
      <w:r>
        <w:t xml:space="preserve">nquiry </w:t>
      </w:r>
      <w:proofErr w:type="gramStart"/>
      <w:r>
        <w:t>processes</w:t>
      </w:r>
      <w:r w:rsidR="00475903">
        <w:t xml:space="preserve"> </w:t>
      </w:r>
      <w:r>
        <w:t>,</w:t>
      </w:r>
      <w:proofErr w:type="gramEnd"/>
      <w:r>
        <w:t xml:space="preserve"> an informed decision was made to refrain from further consultation with the sector to </w:t>
      </w:r>
      <w:r w:rsidR="008D39D8">
        <w:t xml:space="preserve">limit consultation fatigue. </w:t>
      </w:r>
      <w:r w:rsidR="005054BB">
        <w:t xml:space="preserve">Note that the PC </w:t>
      </w:r>
      <w:r w:rsidR="005770C1">
        <w:t>I</w:t>
      </w:r>
      <w:r w:rsidR="005054BB">
        <w:t xml:space="preserve">nquiry will release its final report by 30 June 2024. </w:t>
      </w:r>
    </w:p>
    <w:p w14:paraId="2A079CC0" w14:textId="77777777" w:rsidR="00B66888" w:rsidRDefault="00B66888" w:rsidP="00B66888">
      <w:pPr>
        <w:pStyle w:val="Heading3"/>
      </w:pPr>
      <w:bookmarkStart w:id="89" w:name="_Toc160572123"/>
      <w:bookmarkStart w:id="90" w:name="_Toc160805629"/>
      <w:bookmarkStart w:id="91" w:name="_Toc162963674"/>
      <w:bookmarkStart w:id="92" w:name="_Toc219193894"/>
      <w:r>
        <w:t>The design phase</w:t>
      </w:r>
      <w:bookmarkEnd w:id="89"/>
      <w:bookmarkEnd w:id="90"/>
      <w:bookmarkEnd w:id="91"/>
      <w:bookmarkEnd w:id="92"/>
    </w:p>
    <w:p w14:paraId="01154E11" w14:textId="6018EE03" w:rsidR="00B66888" w:rsidRDefault="7CB1C1CA" w:rsidP="00B66888">
      <w:r>
        <w:t>During the design phase from August 2023 onwards, the Department has continuously consulted with other Commonwealth departments and agencies on the fiscal and regulatory impacts, risks and benefits of this proposal, including the Australian Government</w:t>
      </w:r>
      <w:r w:rsidR="22F5EC11">
        <w:t xml:space="preserve"> </w:t>
      </w:r>
      <w:r>
        <w:t xml:space="preserve">Department of Employment and Workplace Relations, the Department of Finance and </w:t>
      </w:r>
      <w:r w:rsidR="032E5268">
        <w:t xml:space="preserve">the </w:t>
      </w:r>
      <w:r>
        <w:t xml:space="preserve">Treasury. The Department has incorporated their feedback on the policy </w:t>
      </w:r>
      <w:proofErr w:type="gramStart"/>
      <w:r>
        <w:t>options,</w:t>
      </w:r>
      <w:proofErr w:type="gramEnd"/>
      <w:r>
        <w:t xml:space="preserve"> sub options and the wage </w:t>
      </w:r>
      <w:r w:rsidR="6E560091">
        <w:t>increase</w:t>
      </w:r>
      <w:r>
        <w:t xml:space="preserve"> calculation methodology into the policy design. </w:t>
      </w:r>
    </w:p>
    <w:p w14:paraId="06A784F7" w14:textId="08CC8897" w:rsidR="00B66888" w:rsidRDefault="00B66888" w:rsidP="00B66888">
      <w:r>
        <w:t xml:space="preserve">The Department has extensively consulted and considered the findings available in the ACCC Childcare </w:t>
      </w:r>
      <w:r w:rsidR="00181558">
        <w:t>I</w:t>
      </w:r>
      <w:r>
        <w:t xml:space="preserve">nquiry report as they became available. Data from these reports has been considered in determining an appropriate preliminary wage </w:t>
      </w:r>
      <w:r w:rsidR="00F16539">
        <w:t>increase</w:t>
      </w:r>
      <w:r>
        <w:t xml:space="preserve"> calculation methodology and policy design. This includes analysis and consideration of the information and data made available including: </w:t>
      </w:r>
    </w:p>
    <w:p w14:paraId="3CDEDDBB" w14:textId="77777777" w:rsidR="00B66888" w:rsidRDefault="00B66888" w:rsidP="00B66888">
      <w:pPr>
        <w:pStyle w:val="ListParagraph"/>
        <w:numPr>
          <w:ilvl w:val="0"/>
          <w:numId w:val="24"/>
        </w:numPr>
      </w:pPr>
      <w:r>
        <w:t xml:space="preserve">the ECEC workforce,  </w:t>
      </w:r>
    </w:p>
    <w:p w14:paraId="41BDA00A" w14:textId="77777777" w:rsidR="00B66888" w:rsidRDefault="00B66888" w:rsidP="00B66888">
      <w:pPr>
        <w:pStyle w:val="ListParagraph"/>
        <w:numPr>
          <w:ilvl w:val="0"/>
          <w:numId w:val="24"/>
        </w:numPr>
      </w:pPr>
      <w:r>
        <w:t xml:space="preserve">current pay and conditions of the ECEC workforce, and </w:t>
      </w:r>
    </w:p>
    <w:p w14:paraId="0FAD3031" w14:textId="77777777" w:rsidR="00B66888" w:rsidRDefault="00B66888" w:rsidP="00B66888">
      <w:pPr>
        <w:pStyle w:val="ListParagraph"/>
        <w:numPr>
          <w:ilvl w:val="0"/>
          <w:numId w:val="24"/>
        </w:numPr>
      </w:pPr>
      <w:r>
        <w:t xml:space="preserve">the cost and profit data for both for-profit and not-for-profit providers in the sector. </w:t>
      </w:r>
    </w:p>
    <w:p w14:paraId="649D5949" w14:textId="0DEBE54F" w:rsidR="00B66888" w:rsidRDefault="595624A2" w:rsidP="00B66888">
      <w:r>
        <w:t>The Department has considered the recommendations and findings of the PC’s draft report and the ACCC’s final report, including those regarding sector profitability and viability, and workforce, in developing this proposal. This included considering whether the proposal will drive positive workforce outcomes and potential risks</w:t>
      </w:r>
      <w:r w:rsidRPr="35771FF5">
        <w:rPr>
          <w:i/>
          <w:iCs/>
        </w:rPr>
        <w:t>.</w:t>
      </w:r>
      <w:r w:rsidR="7CB1C1CA">
        <w:t xml:space="preserve"> </w:t>
      </w:r>
    </w:p>
    <w:p w14:paraId="0D9BC259" w14:textId="7101CE2B" w:rsidR="00B66888" w:rsidRDefault="6BE56382" w:rsidP="00B66888">
      <w:r>
        <w:t>The ACCC Inquiry</w:t>
      </w:r>
      <w:r w:rsidR="00733371">
        <w:t xml:space="preserve"> (with 94 submissions </w:t>
      </w:r>
      <w:r w:rsidR="00C96234">
        <w:t>in response</w:t>
      </w:r>
      <w:r w:rsidR="00733371">
        <w:t xml:space="preserve"> to its September 2023 interim report</w:t>
      </w:r>
      <w:r w:rsidR="00EA080E">
        <w:t>,</w:t>
      </w:r>
      <w:r w:rsidR="00733371">
        <w:t xml:space="preserve"> and 7 roundtables with educators, providers, First Nation and Culturally and linguistically diverse communities, parents and guardians and In Home Care sector, and parents and guardian surveys)</w:t>
      </w:r>
      <w:r>
        <w:t xml:space="preserve"> has now concluded, however</w:t>
      </w:r>
      <w:r w:rsidR="002F585F">
        <w:t>,</w:t>
      </w:r>
      <w:r>
        <w:t xml:space="preserve"> the Department continues to meet regularly with the PC on their inquiry. The ACCC has provided some insight</w:t>
      </w:r>
      <w:r w:rsidR="00FA3EC1">
        <w:t>s</w:t>
      </w:r>
      <w:r>
        <w:t xml:space="preserve"> regarding what specific forms of market intervention, such as direct and indirect price controls, might look like in practice.</w:t>
      </w:r>
      <w:r w:rsidR="00B66888">
        <w:rPr>
          <w:rStyle w:val="FootnoteReference"/>
        </w:rPr>
        <w:footnoteReference w:id="154"/>
      </w:r>
      <w:r>
        <w:t xml:space="preserve"> </w:t>
      </w:r>
    </w:p>
    <w:p w14:paraId="2F01B8E5" w14:textId="5EB0CE04" w:rsidR="00B66888" w:rsidRDefault="00C96234" w:rsidP="00B66888">
      <w:r>
        <w:lastRenderedPageBreak/>
        <w:t>C</w:t>
      </w:r>
      <w:r w:rsidR="00B66888">
        <w:t xml:space="preserve">onsultation with targeted stakeholders, including the ACCC, ABS and </w:t>
      </w:r>
      <w:r w:rsidR="00F53449">
        <w:t>PC</w:t>
      </w:r>
      <w:r w:rsidR="00A67201">
        <w:t>,</w:t>
      </w:r>
      <w:r w:rsidR="00F53449">
        <w:t xml:space="preserve"> has helped to</w:t>
      </w:r>
      <w:r w:rsidR="00B66888">
        <w:t xml:space="preserve"> </w:t>
      </w:r>
      <w:r w:rsidR="00AE43B5">
        <w:t>inform</w:t>
      </w:r>
      <w:r w:rsidR="00B66888">
        <w:t xml:space="preserve"> policy design and mechanisms of a fee growth condition and exemption process attached to Government funding for a wage increase, including its impact on ECEC sector viability and market dynamics. This proposal </w:t>
      </w:r>
      <w:r w:rsidR="0095682D">
        <w:t>has</w:t>
      </w:r>
      <w:r w:rsidR="00B66888">
        <w:t xml:space="preserve"> take</w:t>
      </w:r>
      <w:r w:rsidR="0095682D">
        <w:t>n</w:t>
      </w:r>
      <w:r w:rsidR="00B66888">
        <w:t xml:space="preserve"> into consideration any findings and recommendations related to the ongoing PC </w:t>
      </w:r>
      <w:r w:rsidR="002359BA">
        <w:t>I</w:t>
      </w:r>
      <w:r w:rsidR="00B66888">
        <w:t>nquiry</w:t>
      </w:r>
      <w:r w:rsidR="00F53449">
        <w:t>, which is due to be handed to the Government by 30 June 2024</w:t>
      </w:r>
      <w:r w:rsidR="00B66888">
        <w:t xml:space="preserve">.  </w:t>
      </w:r>
    </w:p>
    <w:p w14:paraId="2C11B2E0" w14:textId="7C60D661" w:rsidR="000717AD" w:rsidRDefault="002F4C00" w:rsidP="00B66888">
      <w:r>
        <w:t>In addition, f</w:t>
      </w:r>
      <w:r w:rsidR="00B66888">
        <w:t>ollowing direction from the FWC, the Department has attended supported bargaining conferences on 10 November 2023, 19 December 2023 and 23 February 2024 where the bargaining parties were given the opportunity to provide the Commonwealth with information that would assist in reaching a decision</w:t>
      </w:r>
      <w:r w:rsidR="00515453">
        <w:t xml:space="preserve"> for the Government to fund a wage increase</w:t>
      </w:r>
      <w:r w:rsidR="00B66888">
        <w:t xml:space="preserve">. This included evidence </w:t>
      </w:r>
      <w:r w:rsidR="00515453">
        <w:t>and</w:t>
      </w:r>
      <w:r w:rsidR="00B66888">
        <w:t xml:space="preserve"> information which inform</w:t>
      </w:r>
      <w:r w:rsidR="009862FC">
        <w:t>s</w:t>
      </w:r>
      <w:r w:rsidR="00B66888">
        <w:t xml:space="preserve"> the Commonwealth’s position on the parameters for any contribution, the parties’ position on potential conditions, and a summary of the key matters the parties </w:t>
      </w:r>
      <w:r w:rsidR="00CE66F3">
        <w:t>have been</w:t>
      </w:r>
      <w:r w:rsidR="00B66888">
        <w:t xml:space="preserve"> contemplating for inclusion in any agreement.  </w:t>
      </w:r>
      <w:r w:rsidR="008D16DC">
        <w:t xml:space="preserve"> </w:t>
      </w:r>
    </w:p>
    <w:p w14:paraId="41DC972E" w14:textId="5ACA8601" w:rsidR="00016C54" w:rsidRDefault="05A25AFB" w:rsidP="005933DB">
      <w:r>
        <w:t xml:space="preserve">The </w:t>
      </w:r>
      <w:r w:rsidR="59D6C28F">
        <w:t xml:space="preserve">analysis of </w:t>
      </w:r>
      <w:r>
        <w:t>submissions</w:t>
      </w:r>
      <w:r w:rsidR="13445D0A">
        <w:t xml:space="preserve"> (</w:t>
      </w:r>
      <w:r>
        <w:t xml:space="preserve">through ACCC and PC </w:t>
      </w:r>
      <w:r w:rsidR="0E973CD9">
        <w:t>i</w:t>
      </w:r>
      <w:r>
        <w:t>nquiries</w:t>
      </w:r>
      <w:r w:rsidR="13445D0A">
        <w:t>)</w:t>
      </w:r>
      <w:r w:rsidR="0FC42410">
        <w:t xml:space="preserve">, supported bargaining conferences, and </w:t>
      </w:r>
      <w:r>
        <w:t xml:space="preserve">research presented to the </w:t>
      </w:r>
      <w:r w:rsidR="7CB1C1CA">
        <w:t xml:space="preserve">Department </w:t>
      </w:r>
      <w:r>
        <w:t>highlight</w:t>
      </w:r>
      <w:r w:rsidR="043A1B32">
        <w:t>ed</w:t>
      </w:r>
      <w:r>
        <w:t xml:space="preserve"> the consensus among stakeholders – employees, employers and peak bodies – on the necessity of improving the pay and conditions to support recruitment and retention of the ECEC </w:t>
      </w:r>
      <w:r w:rsidR="6F407A87">
        <w:t>workforce</w:t>
      </w:r>
      <w:r>
        <w:t xml:space="preserve">. ECEC educators and providers also uniformly identified staffing as the most significant constraint to increasing supply in the ECEC sector. There was a strong agreement on the need for greater support for education, training and professional development. </w:t>
      </w:r>
    </w:p>
    <w:p w14:paraId="37A5D883" w14:textId="77777777" w:rsidR="00C06E33" w:rsidRDefault="00016C54" w:rsidP="00B66888">
      <w:r>
        <w:t>Importantly</w:t>
      </w:r>
      <w:r w:rsidR="005933DB">
        <w:t xml:space="preserve">, there have been no significant disagreements identified regarding ECEC workplace pay and conditions. However, there were differing views on the specifics of how these improvements should be implemented, such as any conditions applied to Government funding. </w:t>
      </w:r>
      <w:r w:rsidR="00B852F1">
        <w:t>For example, l</w:t>
      </w:r>
      <w:r w:rsidR="005933DB">
        <w:t xml:space="preserve">arge ECEC providers, both for-profit and not-for-profit, welcome price controls on services, however, some highlighted the need to ensure that constraints have no unintended consequences that impact the quality of services provided or financial viability of providers. </w:t>
      </w:r>
    </w:p>
    <w:p w14:paraId="68C4A98B" w14:textId="51820C27" w:rsidR="005933DB" w:rsidRDefault="05A25AFB" w:rsidP="00B66888">
      <w:r>
        <w:t>Further, while majority of the submission to the ACCC and PC support conditions aimed at raising the quality and inclusion of ECEC, large for-profit providers have objected to a condition which would require a minimum quality standard to be achieved to receive funding. This objection is not based on a challenge to achieve but rather</w:t>
      </w:r>
      <w:r w:rsidR="779FEBFC">
        <w:t xml:space="preserve"> on the fact that</w:t>
      </w:r>
      <w:r>
        <w:t xml:space="preserve"> improving quality largely depends on the experience and commitment of the team providing education and care. It is argued that their ability to attract, develop and retain such a team would be severely compromised if they were precluded from receiving any supplementary funding needed for these improvements. </w:t>
      </w:r>
    </w:p>
    <w:p w14:paraId="2BADEFED" w14:textId="32636BF2" w:rsidR="00AA50B0" w:rsidRPr="00094699" w:rsidRDefault="00111E5D" w:rsidP="00AF69D7">
      <w:pPr>
        <w:tabs>
          <w:tab w:val="left" w:pos="340"/>
        </w:tabs>
        <w:spacing w:before="120"/>
      </w:pPr>
      <w:r w:rsidRPr="00094699">
        <w:t xml:space="preserve">The Department considered </w:t>
      </w:r>
      <w:r w:rsidR="008F7833" w:rsidRPr="00094699">
        <w:t xml:space="preserve">consultation findings and </w:t>
      </w:r>
      <w:r w:rsidR="00355086" w:rsidRPr="00094699">
        <w:t xml:space="preserve">feedback and recommended policy </w:t>
      </w:r>
      <w:r w:rsidR="007448E9" w:rsidRPr="00094699">
        <w:t>Options Two and Three</w:t>
      </w:r>
      <w:r w:rsidR="00E03CFE">
        <w:t>,</w:t>
      </w:r>
      <w:r w:rsidR="00355086" w:rsidRPr="00094699">
        <w:t xml:space="preserve"> </w:t>
      </w:r>
      <w:r w:rsidR="00641816" w:rsidRPr="00094699">
        <w:t xml:space="preserve">taking into </w:t>
      </w:r>
      <w:r w:rsidR="0014438E" w:rsidRPr="00094699">
        <w:t>consideration</w:t>
      </w:r>
      <w:r w:rsidR="00641816" w:rsidRPr="00094699">
        <w:t xml:space="preserve"> funding mechanisms</w:t>
      </w:r>
      <w:r w:rsidR="006B23E1" w:rsidRPr="00094699">
        <w:t xml:space="preserve"> to ensure </w:t>
      </w:r>
      <w:r w:rsidR="005D67A3" w:rsidRPr="00094699">
        <w:t>the</w:t>
      </w:r>
      <w:r w:rsidR="006B23E1" w:rsidRPr="00094699">
        <w:t xml:space="preserve"> process is </w:t>
      </w:r>
      <w:r w:rsidR="00E238A2" w:rsidRPr="00094699">
        <w:t xml:space="preserve">not overly complicated with </w:t>
      </w:r>
      <w:r w:rsidR="000D47BB" w:rsidRPr="00094699">
        <w:t>limited</w:t>
      </w:r>
      <w:r w:rsidR="00E238A2" w:rsidRPr="00094699">
        <w:t xml:space="preserve"> administrative burdens</w:t>
      </w:r>
      <w:r w:rsidR="005D67A3" w:rsidRPr="00094699">
        <w:t xml:space="preserve"> on providers</w:t>
      </w:r>
      <w:r w:rsidR="000D47BB" w:rsidRPr="00094699">
        <w:t>,</w:t>
      </w:r>
      <w:r w:rsidR="00E238A2" w:rsidRPr="00094699">
        <w:t xml:space="preserve"> but </w:t>
      </w:r>
      <w:r w:rsidR="00A11CE9" w:rsidRPr="00094699">
        <w:t xml:space="preserve">is still </w:t>
      </w:r>
      <w:r w:rsidR="006227A5" w:rsidRPr="00094699">
        <w:t xml:space="preserve">sufficient to </w:t>
      </w:r>
      <w:r w:rsidR="000D47BB" w:rsidRPr="00094699">
        <w:t>demonstrat</w:t>
      </w:r>
      <w:r w:rsidR="006227A5" w:rsidRPr="00094699">
        <w:t>e</w:t>
      </w:r>
      <w:r w:rsidR="000D47BB" w:rsidRPr="00094699">
        <w:t xml:space="preserve"> </w:t>
      </w:r>
      <w:r w:rsidR="006227A5" w:rsidRPr="00094699">
        <w:t xml:space="preserve">funding compliance and </w:t>
      </w:r>
      <w:r w:rsidR="000D47BB" w:rsidRPr="00094699">
        <w:t>integrity</w:t>
      </w:r>
      <w:r w:rsidR="00A11CE9" w:rsidRPr="00094699">
        <w:t xml:space="preserve">. </w:t>
      </w:r>
      <w:r w:rsidR="00486D30" w:rsidRPr="00094699">
        <w:t>Considering the need for</w:t>
      </w:r>
      <w:r w:rsidR="002C748D">
        <w:t xml:space="preserve"> </w:t>
      </w:r>
      <w:r w:rsidR="00641816" w:rsidRPr="00094699">
        <w:t xml:space="preserve">fee growth constraint to support </w:t>
      </w:r>
      <w:r w:rsidR="00951EF5" w:rsidRPr="00094699">
        <w:t>affordability</w:t>
      </w:r>
      <w:r w:rsidR="00AF69D7">
        <w:t>,</w:t>
      </w:r>
      <w:r w:rsidR="00951EF5" w:rsidRPr="00094699">
        <w:t xml:space="preserve"> </w:t>
      </w:r>
      <w:r w:rsidR="003C2689" w:rsidRPr="00094699">
        <w:t>the policy design</w:t>
      </w:r>
      <w:r w:rsidR="00951EF5" w:rsidRPr="00094699">
        <w:t xml:space="preserve"> highlighted </w:t>
      </w:r>
      <w:r w:rsidR="00EE5BA2" w:rsidRPr="00094699">
        <w:t xml:space="preserve">fee control measures so that the providers and services cannot pass on </w:t>
      </w:r>
      <w:r w:rsidR="008C20AC" w:rsidRPr="00094699">
        <w:t>wage increase funded by the Government to parents and guardians</w:t>
      </w:r>
      <w:r w:rsidR="00A2403F" w:rsidRPr="00094699">
        <w:t xml:space="preserve"> </w:t>
      </w:r>
      <w:r w:rsidR="00BE348C" w:rsidRPr="00094699">
        <w:t xml:space="preserve">under </w:t>
      </w:r>
      <w:r w:rsidR="00A2403F" w:rsidRPr="00094699">
        <w:t>the affordability condition</w:t>
      </w:r>
      <w:r w:rsidR="008C20AC" w:rsidRPr="00094699">
        <w:t>.</w:t>
      </w:r>
      <w:r w:rsidR="009C16F9" w:rsidRPr="00094699">
        <w:t xml:space="preserve"> </w:t>
      </w:r>
      <w:r w:rsidR="00EE5BA2" w:rsidRPr="00094699">
        <w:t xml:space="preserve"> </w:t>
      </w:r>
      <w:r w:rsidR="00641816" w:rsidRPr="00094699">
        <w:t xml:space="preserve">  </w:t>
      </w:r>
      <w:r w:rsidR="008F7833" w:rsidRPr="00094699">
        <w:t xml:space="preserve"> </w:t>
      </w:r>
    </w:p>
    <w:p w14:paraId="5626F405" w14:textId="29E932FD" w:rsidR="00C23ED7" w:rsidRPr="00F06430" w:rsidRDefault="00B66888" w:rsidP="00F06430">
      <w:r w:rsidRPr="00094699">
        <w:t>The Department is developing a</w:t>
      </w:r>
      <w:r w:rsidR="005D1FEB">
        <w:t xml:space="preserve"> further</w:t>
      </w:r>
      <w:r w:rsidRPr="00094699">
        <w:t xml:space="preserve"> consultation and communication plan to ensure the sector understand and have the opportunity to engage with the Government’s </w:t>
      </w:r>
      <w:r w:rsidR="00C54A2B" w:rsidRPr="00094699">
        <w:t>grant funding process</w:t>
      </w:r>
      <w:r w:rsidR="00F34585" w:rsidRPr="00094699">
        <w:t xml:space="preserve"> for the</w:t>
      </w:r>
      <w:r w:rsidR="00F34585">
        <w:t xml:space="preserve"> </w:t>
      </w:r>
      <w:r w:rsidR="0089554C">
        <w:t>W</w:t>
      </w:r>
      <w:r w:rsidR="00F34585">
        <w:t xml:space="preserve">orker </w:t>
      </w:r>
      <w:r w:rsidR="0089554C">
        <w:t>R</w:t>
      </w:r>
      <w:r w:rsidR="00F34585">
        <w:t xml:space="preserve">etention </w:t>
      </w:r>
      <w:r w:rsidR="0089554C">
        <w:t>P</w:t>
      </w:r>
      <w:r w:rsidR="00F34585">
        <w:t>ayment</w:t>
      </w:r>
      <w:r>
        <w:t xml:space="preserve">. The Department will continue to engage with peak bodies, unions and </w:t>
      </w:r>
      <w:r w:rsidR="00C54A2B">
        <w:t>key</w:t>
      </w:r>
      <w:r>
        <w:t xml:space="preserve"> stakeholders to ensure that communication efforts are </w:t>
      </w:r>
      <w:r w:rsidR="00A94A14">
        <w:t xml:space="preserve">consistent and </w:t>
      </w:r>
      <w:r>
        <w:t xml:space="preserve">complementary.  </w:t>
      </w:r>
      <w:bookmarkStart w:id="93" w:name="_Toc160805630"/>
      <w:bookmarkStart w:id="94" w:name="_Toc162963675"/>
      <w:r w:rsidR="00C23ED7">
        <w:br w:type="page"/>
      </w:r>
    </w:p>
    <w:p w14:paraId="51865BD0" w14:textId="1A9AAE20" w:rsidR="00D1435D" w:rsidRDefault="00D1435D" w:rsidP="00A378DC">
      <w:pPr>
        <w:pStyle w:val="Heading2"/>
      </w:pPr>
      <w:bookmarkStart w:id="95" w:name="_Toc219193895"/>
      <w:bookmarkEnd w:id="93"/>
      <w:bookmarkEnd w:id="94"/>
      <w:r>
        <w:lastRenderedPageBreak/>
        <w:t>Option selection</w:t>
      </w:r>
      <w:bookmarkEnd w:id="95"/>
    </w:p>
    <w:p w14:paraId="1C9598CE" w14:textId="3C9B2980" w:rsidR="00D1435D" w:rsidRPr="00253C81" w:rsidRDefault="44106B86" w:rsidP="00AD6698">
      <w:pPr>
        <w:spacing w:after="0" w:line="240" w:lineRule="auto"/>
      </w:pPr>
      <w:r w:rsidRPr="29A029EE">
        <w:t>The Department considered the impact of allowing the status quo to continue in relation to Government funding arrangements for the ECEC sector. Under this option, increases in wages and conditions may eventuate</w:t>
      </w:r>
      <w:r w:rsidR="007102CE">
        <w:t xml:space="preserve"> </w:t>
      </w:r>
      <w:r w:rsidR="007102CE" w:rsidRPr="003B2FA9">
        <w:t>through the supported bargaining process</w:t>
      </w:r>
      <w:r w:rsidR="001E6361" w:rsidRPr="003B2FA9">
        <w:t xml:space="preserve"> and the FWC</w:t>
      </w:r>
      <w:r w:rsidR="00F528F0" w:rsidRPr="003B2FA9">
        <w:rPr>
          <w:rFonts w:eastAsia="Times New Roman"/>
        </w:rPr>
        <w:t xml:space="preserve">-initiated proceedings to examine and address gender undervaluation in several modern awards, including the Children’s Services Award. </w:t>
      </w:r>
      <w:r w:rsidR="008453FA" w:rsidRPr="003B2FA9">
        <w:t>T</w:t>
      </w:r>
      <w:r w:rsidRPr="003B2FA9">
        <w:t>he cost of any wage increase provided in the sector will continue to be passed on</w:t>
      </w:r>
      <w:r w:rsidRPr="003B2FA9">
        <w:rPr>
          <w:b/>
          <w:bCs/>
        </w:rPr>
        <w:t xml:space="preserve"> </w:t>
      </w:r>
      <w:r w:rsidRPr="003B2FA9">
        <w:t xml:space="preserve">to families, increasing </w:t>
      </w:r>
      <w:r w:rsidRPr="003E34FD">
        <w:t xml:space="preserve">out-of-pocket costs and impacting affordability, with low income households disproportionately impacted as they spend relatively more disposable income on </w:t>
      </w:r>
      <w:r w:rsidR="25E7C62E">
        <w:t>child care</w:t>
      </w:r>
      <w:r w:rsidRPr="003E34FD">
        <w:t xml:space="preserve"> expenses compared with other households</w:t>
      </w:r>
      <w:r>
        <w:t>.</w:t>
      </w:r>
      <w:r w:rsidR="00D1435D" w:rsidRPr="00AA55E9">
        <w:rPr>
          <w:rStyle w:val="FootnoteReference"/>
        </w:rPr>
        <w:footnoteReference w:id="155"/>
      </w:r>
      <w:r w:rsidRPr="003E34FD">
        <w:t xml:space="preserve"> As the ACCC Childcare Inquiry found, labour is the largest component of the cost to supply </w:t>
      </w:r>
      <w:r w:rsidR="25E7C62E">
        <w:t>child care</w:t>
      </w:r>
      <w:r w:rsidRPr="003E34FD">
        <w:t xml:space="preserve"> services.</w:t>
      </w:r>
      <w:r w:rsidR="00D1435D" w:rsidRPr="00AA55E9">
        <w:rPr>
          <w:rStyle w:val="FootnoteReference"/>
        </w:rPr>
        <w:footnoteReference w:id="156"/>
      </w:r>
      <w:r w:rsidRPr="00AA55E9">
        <w:rPr>
          <w:rStyle w:val="FootnoteReference"/>
        </w:rPr>
        <w:t xml:space="preserve"> </w:t>
      </w:r>
      <w:r w:rsidRPr="003E34FD">
        <w:t>Whilst it is not the only factor that providers consider, any minimum wage increase will impact on the pricing decisions of providers.</w:t>
      </w:r>
      <w:r w:rsidR="00D1435D" w:rsidRPr="00AA55E9">
        <w:rPr>
          <w:rStyle w:val="FootnoteReference"/>
        </w:rPr>
        <w:footnoteReference w:id="157"/>
      </w:r>
    </w:p>
    <w:p w14:paraId="3213E85C" w14:textId="407BCCB2" w:rsidR="00D1435D" w:rsidRPr="003E34FD" w:rsidRDefault="00CC0C52" w:rsidP="00D1435D">
      <w:r>
        <w:br/>
      </w:r>
      <w:r w:rsidR="5E2E6107">
        <w:t>While maintaining the status quo has no direct cost associated, it is still not regarded as a cost neutral option, as the costs associated with workforce wage increases, whether as a result of enterprise bargaining or increases to the minimum award rate of pay, will still continue to be funded through the CCS as costs are passed on to families through the fees paid. This option will also run at the expense of likely exacerbating, or having no impact, on workforce shortages and the associated accessibility challenges they currently pose to families around Australia. As such, this option does not meet the policy objectives outlined above.</w:t>
      </w:r>
    </w:p>
    <w:p w14:paraId="40C5DCE0" w14:textId="2793D66A" w:rsidR="00D1435D" w:rsidRDefault="00D1435D" w:rsidP="00D1435D">
      <w:r>
        <w:t>When considering the remaining policy option</w:t>
      </w:r>
      <w:r w:rsidR="000F765F">
        <w:t>s</w:t>
      </w:r>
      <w:r>
        <w:t>, the Department considered these by balancing the potential impacts, risks and sensitiv</w:t>
      </w:r>
      <w:r w:rsidR="00B85845">
        <w:t>ities</w:t>
      </w:r>
      <w:r>
        <w:t xml:space="preserve"> of the following points:</w:t>
      </w:r>
    </w:p>
    <w:p w14:paraId="01B753D9" w14:textId="77777777" w:rsidR="00D1435D" w:rsidRDefault="00D1435D" w:rsidP="00D1435D">
      <w:pPr>
        <w:pStyle w:val="ListParagraph"/>
        <w:numPr>
          <w:ilvl w:val="0"/>
          <w:numId w:val="53"/>
        </w:numPr>
      </w:pPr>
      <w:r>
        <w:t>workplace relations outcomes and safety net of entitlements for workers</w:t>
      </w:r>
    </w:p>
    <w:p w14:paraId="71185078" w14:textId="77777777" w:rsidR="00D1435D" w:rsidRDefault="00D1435D" w:rsidP="00D1435D">
      <w:pPr>
        <w:pStyle w:val="ListParagraph"/>
        <w:numPr>
          <w:ilvl w:val="0"/>
          <w:numId w:val="53"/>
        </w:numPr>
      </w:pPr>
      <w:r>
        <w:t>recourse mechanisms available to workers</w:t>
      </w:r>
    </w:p>
    <w:p w14:paraId="4CD404FB" w14:textId="77777777" w:rsidR="00D1435D" w:rsidRDefault="00D1435D" w:rsidP="00D1435D">
      <w:pPr>
        <w:pStyle w:val="ListParagraph"/>
        <w:numPr>
          <w:ilvl w:val="0"/>
          <w:numId w:val="53"/>
        </w:numPr>
      </w:pPr>
      <w:r>
        <w:t>availability of non-compliance and fraud mechanisms associated with implementation</w:t>
      </w:r>
    </w:p>
    <w:p w14:paraId="7CCFE5A0" w14:textId="648F1A40" w:rsidR="00D1435D" w:rsidRPr="0050499D" w:rsidRDefault="00D1435D" w:rsidP="00D1435D">
      <w:pPr>
        <w:pStyle w:val="ListParagraph"/>
        <w:numPr>
          <w:ilvl w:val="0"/>
          <w:numId w:val="53"/>
        </w:numPr>
      </w:pPr>
      <w:r>
        <w:t>ease of access and regulatory burden associated with funding</w:t>
      </w:r>
      <w:r w:rsidR="00BF1F1A">
        <w:t>.</w:t>
      </w:r>
    </w:p>
    <w:p w14:paraId="4EA9202A" w14:textId="44D02DF2" w:rsidR="00D1435D" w:rsidRDefault="00D1435D" w:rsidP="00D1435D">
      <w:r>
        <w:t xml:space="preserve">It is pertinent to note that the funding option selected by Government will </w:t>
      </w:r>
      <w:r w:rsidR="00C35230">
        <w:t>be communicated</w:t>
      </w:r>
      <w:r>
        <w:t xml:space="preserve"> </w:t>
      </w:r>
      <w:r w:rsidR="00253D3A">
        <w:t>to</w:t>
      </w:r>
      <w:r w:rsidR="00C35230">
        <w:t xml:space="preserve"> stakeholders</w:t>
      </w:r>
      <w:r w:rsidR="00253D3A">
        <w:t xml:space="preserve"> </w:t>
      </w:r>
      <w:r w:rsidR="00E5761A">
        <w:t>including</w:t>
      </w:r>
      <w:r w:rsidR="00253D3A">
        <w:t xml:space="preserve"> FWC, </w:t>
      </w:r>
      <w:r w:rsidR="00C73A03">
        <w:t>parties to the supported bargaining process,</w:t>
      </w:r>
      <w:r w:rsidR="00E5761A">
        <w:t xml:space="preserve"> and ECEC peak bodies and communities. </w:t>
      </w:r>
      <w:r>
        <w:t xml:space="preserve">There is potential that the feedback and further insights provided by the sector stakeholders </w:t>
      </w:r>
      <w:r w:rsidR="00E5761A">
        <w:t>will</w:t>
      </w:r>
      <w:r>
        <w:t xml:space="preserve"> further influence </w:t>
      </w:r>
      <w:r w:rsidR="00E5761A">
        <w:t xml:space="preserve">future </w:t>
      </w:r>
      <w:r>
        <w:t xml:space="preserve">policy design </w:t>
      </w:r>
      <w:r w:rsidR="00E5761A">
        <w:t>in the long-term</w:t>
      </w:r>
      <w:r>
        <w:t xml:space="preserve">. </w:t>
      </w:r>
    </w:p>
    <w:p w14:paraId="4943BA9B" w14:textId="77777777" w:rsidR="00D1435D" w:rsidRDefault="00D1435D" w:rsidP="00D1435D">
      <w:pPr>
        <w:pStyle w:val="Heading4"/>
      </w:pPr>
      <w:bookmarkStart w:id="96" w:name="_Toc219193896"/>
      <w:r>
        <w:t>Recommended approach</w:t>
      </w:r>
      <w:bookmarkEnd w:id="96"/>
      <w:r>
        <w:t xml:space="preserve"> </w:t>
      </w:r>
    </w:p>
    <w:p w14:paraId="20B2D9D0" w14:textId="008F003D" w:rsidR="00D1435D" w:rsidRPr="00E2415C" w:rsidRDefault="5E2E6107" w:rsidP="00E2415C">
      <w:r w:rsidRPr="35771FF5">
        <w:rPr>
          <w:b/>
          <w:bCs/>
        </w:rPr>
        <w:t>The Department recommends Government implement Option Three.</w:t>
      </w:r>
      <w:r>
        <w:t xml:space="preserve"> In our view and supported by the Department of Employment and Workplace Relations, this option best achieves the policy objectives in support of increasing ECEC workforce attraction and retention, whil</w:t>
      </w:r>
      <w:r w:rsidR="5222FB3F">
        <w:t>e</w:t>
      </w:r>
      <w:r>
        <w:t xml:space="preserve"> maintaining affordability for families. This option will set the basis for ongoing engagement in workplace bargaining </w:t>
      </w:r>
      <w:r w:rsidR="7B27FAEF">
        <w:t xml:space="preserve">and workplace relations system </w:t>
      </w:r>
      <w:r>
        <w:t xml:space="preserve">across the sector, achieving a </w:t>
      </w:r>
      <w:r w:rsidR="33E02D4A">
        <w:t>much</w:t>
      </w:r>
      <w:r w:rsidR="3DF21218">
        <w:t xml:space="preserve"> </w:t>
      </w:r>
      <w:r w:rsidR="33E02D4A">
        <w:t>required</w:t>
      </w:r>
      <w:r>
        <w:t xml:space="preserve"> pay and </w:t>
      </w:r>
      <w:r>
        <w:lastRenderedPageBreak/>
        <w:t>condition</w:t>
      </w:r>
      <w:r w:rsidR="7C8C5A96">
        <w:t>s</w:t>
      </w:r>
      <w:r>
        <w:t xml:space="preserve"> uplift for the long-term. This option provides a stronger workforce footing for achieving the Government’s objective of universal ECEC.</w:t>
      </w:r>
    </w:p>
    <w:p w14:paraId="085AC0B4" w14:textId="0F80585F" w:rsidR="00D1435D" w:rsidRPr="00E2415C" w:rsidRDefault="00724EB1" w:rsidP="00E2415C">
      <w:pPr>
        <w:rPr>
          <w:bCs/>
        </w:rPr>
      </w:pPr>
      <w:r>
        <w:rPr>
          <w:bCs/>
        </w:rPr>
        <w:t xml:space="preserve">This option meets the policy </w:t>
      </w:r>
      <w:r w:rsidR="00D1435D" w:rsidRPr="00E2415C">
        <w:rPr>
          <w:bCs/>
        </w:rPr>
        <w:t xml:space="preserve">objective to increase wages for ECEC educators and teachers to improve workforce attraction and retention and minimising risks of </w:t>
      </w:r>
      <w:r w:rsidR="00F15FCF">
        <w:rPr>
          <w:bCs/>
        </w:rPr>
        <w:t>non-compliance and fraud</w:t>
      </w:r>
      <w:r w:rsidR="00193F36">
        <w:rPr>
          <w:bCs/>
        </w:rPr>
        <w:t>, whilst maintaining enforcement options for workers</w:t>
      </w:r>
      <w:r w:rsidR="00D1435D" w:rsidRPr="00E2415C">
        <w:rPr>
          <w:bCs/>
        </w:rPr>
        <w:t xml:space="preserve">. Option </w:t>
      </w:r>
      <w:r w:rsidR="00E6467C">
        <w:rPr>
          <w:bCs/>
        </w:rPr>
        <w:t>Three</w:t>
      </w:r>
      <w:r w:rsidR="00E6467C" w:rsidRPr="00E2415C">
        <w:rPr>
          <w:bCs/>
        </w:rPr>
        <w:t xml:space="preserve"> </w:t>
      </w:r>
      <w:r w:rsidR="00D1435D" w:rsidRPr="00E2415C">
        <w:rPr>
          <w:bCs/>
        </w:rPr>
        <w:t>strikes the appropriate balance between the costs and benefits of providing funding in support of a wage increase for this sector. Whil</w:t>
      </w:r>
      <w:r w:rsidR="00D4607D">
        <w:rPr>
          <w:bCs/>
        </w:rPr>
        <w:t>e</w:t>
      </w:r>
      <w:r w:rsidR="00D1435D" w:rsidRPr="00E2415C">
        <w:rPr>
          <w:bCs/>
        </w:rPr>
        <w:t xml:space="preserve"> there is a higher regulatory burden on providers under this option, due to the </w:t>
      </w:r>
      <w:r w:rsidR="00F312D4">
        <w:rPr>
          <w:bCs/>
        </w:rPr>
        <w:t>workplace instrument</w:t>
      </w:r>
      <w:r w:rsidR="00D1435D" w:rsidRPr="00E2415C">
        <w:rPr>
          <w:bCs/>
        </w:rPr>
        <w:t xml:space="preserve"> requirement, it substantially reduces the risks associated with potential non-compliance and fraud whilst providing the important ability for workers to seek recourse </w:t>
      </w:r>
      <w:r w:rsidR="000571CA">
        <w:rPr>
          <w:bCs/>
        </w:rPr>
        <w:t>in relation to pay and conditions matters</w:t>
      </w:r>
      <w:r w:rsidR="00D1435D" w:rsidRPr="00E2415C">
        <w:rPr>
          <w:bCs/>
        </w:rPr>
        <w:t>.</w:t>
      </w:r>
    </w:p>
    <w:p w14:paraId="2DE93240" w14:textId="75AF63F7" w:rsidR="00D1435D" w:rsidRPr="00E2415C" w:rsidRDefault="1A1548B2" w:rsidP="00E2415C">
      <w:r>
        <w:t>T</w:t>
      </w:r>
      <w:r w:rsidR="5E2E6107">
        <w:t>his option supports the Government’s gender equality agenda through its broader application of lifting pay and conditions for the low</w:t>
      </w:r>
      <w:r w:rsidR="611E4FE6">
        <w:t>-</w:t>
      </w:r>
      <w:r w:rsidR="5E2E6107">
        <w:t>paid, heavily female</w:t>
      </w:r>
      <w:r w:rsidR="66882CA4">
        <w:t>-</w:t>
      </w:r>
      <w:r w:rsidR="5E2E6107">
        <w:t>dominated ECEC workforce, providing an opportunity for the Government’s workplace relations reforms and supported bargaining to achieve the intended positive outcomes that low-paid sectors previously struggled to access.</w:t>
      </w:r>
    </w:p>
    <w:p w14:paraId="70DB9753" w14:textId="4DB9341F" w:rsidR="00D1435D" w:rsidRPr="00E2415C" w:rsidRDefault="5E2E6107" w:rsidP="00E2415C">
      <w:r>
        <w:t>The</w:t>
      </w:r>
      <w:r w:rsidR="2F8EC83C">
        <w:t xml:space="preserve"> financial</w:t>
      </w:r>
      <w:r>
        <w:t xml:space="preserve"> impact of the policy on families </w:t>
      </w:r>
      <w:r w:rsidR="65B81FF8">
        <w:t xml:space="preserve">is expected to be </w:t>
      </w:r>
      <w:r w:rsidR="2F8EC83C">
        <w:t>relatively small or</w:t>
      </w:r>
      <w:r w:rsidR="1A109BC8">
        <w:t xml:space="preserve"> have</w:t>
      </w:r>
      <w:r w:rsidR="2F8EC83C">
        <w:t xml:space="preserve"> no impact</w:t>
      </w:r>
      <w:r w:rsidR="1A109BC8">
        <w:t>.</w:t>
      </w:r>
      <w:r w:rsidR="2F8EC83C">
        <w:t xml:space="preserve"> </w:t>
      </w:r>
      <w:r w:rsidR="1A109BC8">
        <w:t>It is</w:t>
      </w:r>
      <w:r w:rsidR="2F8EC83C">
        <w:t xml:space="preserve"> expected that wage increases will be aligned with funding.</w:t>
      </w:r>
      <w:r w:rsidR="09607182">
        <w:t xml:space="preserve"> </w:t>
      </w:r>
      <w:r w:rsidR="1A109BC8">
        <w:t>However, b</w:t>
      </w:r>
      <w:r w:rsidR="09607182">
        <w:t>ased on</w:t>
      </w:r>
      <w:r w:rsidR="0BA1A3C9">
        <w:t xml:space="preserve"> the</w:t>
      </w:r>
      <w:r w:rsidR="09607182">
        <w:t xml:space="preserve"> Department</w:t>
      </w:r>
      <w:r w:rsidR="1CBA0A19">
        <w:t xml:space="preserve">’s </w:t>
      </w:r>
      <w:r w:rsidR="09607182">
        <w:t>modelling</w:t>
      </w:r>
      <w:r w:rsidR="48399FBD">
        <w:t xml:space="preserve">, </w:t>
      </w:r>
      <w:r w:rsidR="1A109BC8">
        <w:t>if</w:t>
      </w:r>
      <w:r w:rsidR="1424FFE4">
        <w:t xml:space="preserve"> the wage increase for workers is 15 per cent</w:t>
      </w:r>
      <w:r w:rsidR="1CBA0A19">
        <w:t>,</w:t>
      </w:r>
      <w:r w:rsidR="1424FFE4">
        <w:t xml:space="preserve"> </w:t>
      </w:r>
      <w:r w:rsidR="1A109BC8">
        <w:t xml:space="preserve">yet </w:t>
      </w:r>
      <w:r w:rsidR="1424FFE4">
        <w:t xml:space="preserve">the funding percentage is half of this amount, the average impact to </w:t>
      </w:r>
      <w:r w:rsidR="721ECCA4">
        <w:t>families through increased out-of-pocket costs will be approximately $3</w:t>
      </w:r>
      <w:r w:rsidR="39152768">
        <w:t>5</w:t>
      </w:r>
      <w:r w:rsidR="721ECCA4">
        <w:t>7 per year</w:t>
      </w:r>
      <w:r w:rsidR="1CBA0A19">
        <w:t>. However, t</w:t>
      </w:r>
      <w:r w:rsidR="1A109BC8">
        <w:t xml:space="preserve">here is potential for this to be mitigated by the application of the </w:t>
      </w:r>
      <w:r w:rsidR="19A9E0E0">
        <w:t>fee constraint</w:t>
      </w:r>
      <w:r w:rsidR="1A109BC8">
        <w:t xml:space="preserve"> condition.</w:t>
      </w:r>
    </w:p>
    <w:p w14:paraId="19CC22A0" w14:textId="06B884B0" w:rsidR="00D1435D" w:rsidRPr="00E2415C" w:rsidRDefault="00D1435D" w:rsidP="00E2415C">
      <w:pPr>
        <w:rPr>
          <w:bCs/>
        </w:rPr>
      </w:pPr>
      <w:r w:rsidRPr="00E2415C">
        <w:rPr>
          <w:bCs/>
        </w:rPr>
        <w:t xml:space="preserve">Requiring providers to have a current </w:t>
      </w:r>
      <w:r w:rsidR="00F20367">
        <w:rPr>
          <w:bCs/>
        </w:rPr>
        <w:t>workplace instrument,</w:t>
      </w:r>
      <w:r w:rsidRPr="00E2415C">
        <w:rPr>
          <w:bCs/>
        </w:rPr>
        <w:t xml:space="preserve"> which meets the minimum pay </w:t>
      </w:r>
      <w:r w:rsidR="00BD3BE5">
        <w:rPr>
          <w:bCs/>
        </w:rPr>
        <w:t xml:space="preserve">and condition </w:t>
      </w:r>
      <w:r w:rsidRPr="00E2415C">
        <w:rPr>
          <w:bCs/>
        </w:rPr>
        <w:t xml:space="preserve">requirements, will give assurance that providers are passing on Commonwealth funding to staff </w:t>
      </w:r>
      <w:r w:rsidRPr="00BD3BE5">
        <w:rPr>
          <w:bCs/>
        </w:rPr>
        <w:t xml:space="preserve">in the form of a wage increase. </w:t>
      </w:r>
      <w:r w:rsidRPr="00BD3BE5">
        <w:t xml:space="preserve">Should this not be the case, </w:t>
      </w:r>
      <w:r w:rsidR="00F20367" w:rsidRPr="009669D5">
        <w:t>workplace instruments</w:t>
      </w:r>
      <w:r w:rsidR="00F20367" w:rsidRPr="00BD3BE5">
        <w:t xml:space="preserve"> </w:t>
      </w:r>
      <w:r w:rsidRPr="00BD3BE5">
        <w:t xml:space="preserve">give employees the ability to seek recourse through the FWC and </w:t>
      </w:r>
      <w:r w:rsidR="00F82C37">
        <w:t>FWO</w:t>
      </w:r>
      <w:r w:rsidRPr="00BD3BE5">
        <w:t>.</w:t>
      </w:r>
      <w:r w:rsidR="439582C4" w:rsidRPr="00BD3BE5">
        <w:t> Whilst</w:t>
      </w:r>
      <w:r w:rsidRPr="00BD3BE5">
        <w:rPr>
          <w:bCs/>
        </w:rPr>
        <w:t xml:space="preserve"> there is some concern regarding the potential administrative and legal burden and costs associated with </w:t>
      </w:r>
      <w:r w:rsidR="00BD3BE5" w:rsidRPr="00BD3BE5">
        <w:rPr>
          <w:bCs/>
        </w:rPr>
        <w:t>implementing workplace instruments</w:t>
      </w:r>
      <w:r w:rsidRPr="00BD3BE5">
        <w:rPr>
          <w:bCs/>
        </w:rPr>
        <w:t xml:space="preserve">, the similar policy in place in Victoria has proven successful and has served to promote </w:t>
      </w:r>
      <w:r w:rsidR="00BD3BE5" w:rsidRPr="009669D5">
        <w:t>workplace</w:t>
      </w:r>
      <w:r w:rsidR="00BD3BE5" w:rsidRPr="00BD3BE5">
        <w:t xml:space="preserve"> </w:t>
      </w:r>
      <w:r w:rsidRPr="00BD3BE5">
        <w:t>bargaining</w:t>
      </w:r>
      <w:r w:rsidRPr="00BD3BE5">
        <w:rPr>
          <w:bCs/>
        </w:rPr>
        <w:t xml:space="preserve"> </w:t>
      </w:r>
      <w:r w:rsidR="00BD3BE5" w:rsidRPr="00BD3BE5">
        <w:rPr>
          <w:bCs/>
        </w:rPr>
        <w:t xml:space="preserve">and better conditions for workers </w:t>
      </w:r>
      <w:r w:rsidRPr="00BD3BE5">
        <w:rPr>
          <w:bCs/>
        </w:rPr>
        <w:t>in the Victorian Preschool sector.</w:t>
      </w:r>
      <w:r w:rsidR="439582C4">
        <w:t> </w:t>
      </w:r>
    </w:p>
    <w:p w14:paraId="46AD98B3" w14:textId="12F46FD8" w:rsidR="007543DC" w:rsidRDefault="00D673A0" w:rsidP="00D673A0">
      <w:pPr>
        <w:pStyle w:val="Heading2"/>
      </w:pPr>
      <w:bookmarkStart w:id="97" w:name="_Toc219193897"/>
      <w:r>
        <w:t>Implementation and review</w:t>
      </w:r>
      <w:bookmarkEnd w:id="97"/>
    </w:p>
    <w:p w14:paraId="390A67B0" w14:textId="14389969" w:rsidR="00D673A0" w:rsidRDefault="00D673A0" w:rsidP="00D673A0">
      <w:pPr>
        <w:pStyle w:val="Heading3"/>
      </w:pPr>
      <w:bookmarkStart w:id="98" w:name="_Toc219193898"/>
      <w:r>
        <w:t>Implementation</w:t>
      </w:r>
      <w:bookmarkEnd w:id="98"/>
    </w:p>
    <w:p w14:paraId="5CBF9CA4" w14:textId="08ECE6C2" w:rsidR="00F84AAA" w:rsidRDefault="001401E9" w:rsidP="00F84AAA">
      <w:r>
        <w:t>Implementing</w:t>
      </w:r>
      <w:r w:rsidR="00861A15">
        <w:t xml:space="preserve"> </w:t>
      </w:r>
      <w:r w:rsidR="00CF3836">
        <w:t xml:space="preserve">funding in support of a wage increase will require clear communication and implementation arrangements for </w:t>
      </w:r>
      <w:r w:rsidR="00057DF8">
        <w:t>ECEC providers</w:t>
      </w:r>
      <w:r w:rsidR="00AD3907">
        <w:t xml:space="preserve">, </w:t>
      </w:r>
      <w:r w:rsidR="00057DF8">
        <w:t>the workforce</w:t>
      </w:r>
      <w:r w:rsidR="00C92A17">
        <w:t>, unions, employer associations and other stakeholders</w:t>
      </w:r>
      <w:r w:rsidR="00057DF8">
        <w:t>.</w:t>
      </w:r>
      <w:r>
        <w:t xml:space="preserve"> </w:t>
      </w:r>
      <w:r w:rsidR="00F84AAA" w:rsidRPr="00375C91">
        <w:t xml:space="preserve">The Department </w:t>
      </w:r>
      <w:r w:rsidR="00F84AAA" w:rsidRPr="000F765F">
        <w:t>has canvassed several implementation options for</w:t>
      </w:r>
      <w:r w:rsidR="00F84AAA" w:rsidRPr="00375C91">
        <w:t xml:space="preserve"> delivering funding to support a wage increase for the ECEC sector with the grants-based mechanism </w:t>
      </w:r>
      <w:r w:rsidR="121ED40A">
        <w:t xml:space="preserve">as </w:t>
      </w:r>
      <w:r w:rsidR="0CD3165D">
        <w:t>the</w:t>
      </w:r>
      <w:r w:rsidR="00F84AAA" w:rsidRPr="00375C91">
        <w:t xml:space="preserve"> preferred approach. </w:t>
      </w:r>
      <w:r w:rsidR="00C92A17">
        <w:t>Departmental staff will manage implementation processes</w:t>
      </w:r>
      <w:r w:rsidR="000F765F">
        <w:t>.</w:t>
      </w:r>
    </w:p>
    <w:p w14:paraId="3DE929E7" w14:textId="6FC70337" w:rsidR="00F84AAA" w:rsidRPr="00493C7E" w:rsidRDefault="00F84AAA" w:rsidP="00F84AAA">
      <w:r>
        <w:t xml:space="preserve">A grants-based mechanism, </w:t>
      </w:r>
      <w:r w:rsidRPr="00F55073">
        <w:t xml:space="preserve">developed in accordance with the </w:t>
      </w:r>
      <w:r w:rsidRPr="00493C7E">
        <w:rPr>
          <w:i/>
          <w:iCs/>
        </w:rPr>
        <w:t>Commonwealth Grants Rules and Guidelines 2017</w:t>
      </w:r>
      <w:r w:rsidRPr="00F55073">
        <w:t>,</w:t>
      </w:r>
      <w:r>
        <w:t xml:space="preserve"> is broadly consistent with </w:t>
      </w:r>
      <w:r w:rsidR="0005696C">
        <w:t>which was</w:t>
      </w:r>
      <w:r>
        <w:t xml:space="preserve"> used by the Department throughout 2020 and 2021 to deliver COVID-19 emergency payment</w:t>
      </w:r>
      <w:r w:rsidR="00E359DA">
        <w:t>s</w:t>
      </w:r>
      <w:r>
        <w:t xml:space="preserve"> to support the ECEC sector. </w:t>
      </w:r>
      <w:r w:rsidRPr="00493C7E">
        <w:t>This mechanism will utilise currently available administrative data to calculate payments.</w:t>
      </w:r>
    </w:p>
    <w:p w14:paraId="34F95318" w14:textId="0D604A0B" w:rsidR="00F84AAA" w:rsidRDefault="00F84AAA" w:rsidP="00F84AAA">
      <w:pPr>
        <w:rPr>
          <w:b/>
          <w:color w:val="FF0000"/>
        </w:rPr>
      </w:pPr>
      <w:r w:rsidRPr="00F55073">
        <w:lastRenderedPageBreak/>
        <w:t>The processes for delivering grant payments are well</w:t>
      </w:r>
      <w:r w:rsidR="2FABBB58">
        <w:t>-</w:t>
      </w:r>
      <w:r w:rsidR="000F765F" w:rsidRPr="00F55073">
        <w:t>established and</w:t>
      </w:r>
      <w:r>
        <w:t xml:space="preserve"> </w:t>
      </w:r>
      <w:r w:rsidR="07542D39">
        <w:t xml:space="preserve">will </w:t>
      </w:r>
      <w:r w:rsidR="0CD3165D">
        <w:t>allow</w:t>
      </w:r>
      <w:r w:rsidRPr="00DD3711">
        <w:t xml:space="preserve"> </w:t>
      </w:r>
      <w:r>
        <w:t>the Commonwealth</w:t>
      </w:r>
      <w:r w:rsidRPr="00DD3711">
        <w:t xml:space="preserve"> to impose and enforce conditions on funding </w:t>
      </w:r>
      <w:r>
        <w:t xml:space="preserve">and </w:t>
      </w:r>
      <w:r w:rsidRPr="007D26D8">
        <w:t xml:space="preserve">determine eligibility by confirming the applicant </w:t>
      </w:r>
      <w:r w:rsidR="006A3FFB" w:rsidRPr="007D26D8">
        <w:t xml:space="preserve">meets the conditions </w:t>
      </w:r>
      <w:r w:rsidR="00A45CEE" w:rsidRPr="007D26D8">
        <w:t>set out within the grant agreement.</w:t>
      </w:r>
      <w:r w:rsidR="00A45CEE">
        <w:rPr>
          <w:b/>
          <w:bCs/>
          <w:color w:val="FF0000"/>
        </w:rPr>
        <w:t xml:space="preserve"> </w:t>
      </w:r>
    </w:p>
    <w:p w14:paraId="22AE94B4" w14:textId="10A67FB4" w:rsidR="006C5A2B" w:rsidRDefault="0B31A345" w:rsidP="00F84AAA">
      <w:r>
        <w:t>As the</w:t>
      </w:r>
      <w:r w:rsidR="00E46C4A">
        <w:t xml:space="preserve"> wage</w:t>
      </w:r>
      <w:r w:rsidR="00950B3D">
        <w:t xml:space="preserve"> </w:t>
      </w:r>
      <w:r w:rsidR="00EE7C75" w:rsidRPr="00EE7C75">
        <w:t xml:space="preserve">payments </w:t>
      </w:r>
      <w:r w:rsidR="00950B3D">
        <w:t>are</w:t>
      </w:r>
      <w:r w:rsidR="00EC1477">
        <w:t xml:space="preserve"> </w:t>
      </w:r>
      <w:r w:rsidR="006125BC">
        <w:t>being</w:t>
      </w:r>
      <w:r w:rsidR="00EC1477">
        <w:t xml:space="preserve"> delivered via a grants-based mechanism</w:t>
      </w:r>
      <w:r w:rsidR="00950B3D">
        <w:t>,</w:t>
      </w:r>
      <w:r w:rsidR="00EC1477">
        <w:t xml:space="preserve"> </w:t>
      </w:r>
      <w:r w:rsidR="00B95508">
        <w:t xml:space="preserve">an affordability </w:t>
      </w:r>
      <w:r w:rsidR="00EE7C75" w:rsidRPr="00EE7C75">
        <w:t>condition</w:t>
      </w:r>
      <w:r w:rsidR="00B95508">
        <w:t xml:space="preserve"> </w:t>
      </w:r>
      <w:r w:rsidR="41FB9D54">
        <w:t xml:space="preserve">to </w:t>
      </w:r>
      <w:r w:rsidR="00D72F09">
        <w:t>limit</w:t>
      </w:r>
      <w:r w:rsidR="41FB9D54">
        <w:t xml:space="preserve"> fee growth </w:t>
      </w:r>
      <w:r w:rsidR="00EC1477">
        <w:t>would be included in the grant agreement</w:t>
      </w:r>
      <w:r w:rsidR="00A94757">
        <w:t>,</w:t>
      </w:r>
      <w:r w:rsidR="00EC1477">
        <w:t xml:space="preserve"> and providers would be obligated to comply. Compliance with a fee growth grant condition would be monitored </w:t>
      </w:r>
      <w:r w:rsidR="00E4433F">
        <w:t>regularly,</w:t>
      </w:r>
      <w:r w:rsidR="00EC1477">
        <w:t xml:space="preserve"> given the proposed restriction is to annual growth. Grant agreements would provide that notices be issued to any providers with services found to have </w:t>
      </w:r>
      <w:r w:rsidR="00B23BB3">
        <w:t>exceeded the fee growth percentage cap</w:t>
      </w:r>
      <w:r w:rsidR="00EC1477">
        <w:t>, giving opportunity to correct for any data entry errors.</w:t>
      </w:r>
    </w:p>
    <w:p w14:paraId="1DEE9B15" w14:textId="40D3466C" w:rsidR="00E74588" w:rsidRDefault="00440594" w:rsidP="00E74588">
      <w:r w:rsidRPr="00440594">
        <w:t xml:space="preserve">The </w:t>
      </w:r>
      <w:r w:rsidR="62E65356">
        <w:t xml:space="preserve">grant </w:t>
      </w:r>
      <w:r w:rsidRPr="00440594">
        <w:t>delivery mechanism will include multiple verification steps</w:t>
      </w:r>
      <w:r w:rsidR="29A0599B">
        <w:t>,</w:t>
      </w:r>
      <w:r w:rsidRPr="00440594">
        <w:t xml:space="preserve"> including provider approval checks ensuring that payments are only made to services approved under the Family Assistance Law.</w:t>
      </w:r>
      <w:r w:rsidR="000F100C">
        <w:t xml:space="preserve"> </w:t>
      </w:r>
      <w:r w:rsidR="00ED7E0C">
        <w:t>F</w:t>
      </w:r>
      <w:r w:rsidRPr="00440594">
        <w:t>unctionality built into the CCS</w:t>
      </w:r>
      <w:r w:rsidR="00292792">
        <w:t xml:space="preserve"> s</w:t>
      </w:r>
      <w:r w:rsidRPr="00440594">
        <w:t>ystem</w:t>
      </w:r>
      <w:r w:rsidR="00ED7E0C">
        <w:t xml:space="preserve"> will be utilised to deliver payments</w:t>
      </w:r>
      <w:r w:rsidRPr="00440594">
        <w:t xml:space="preserve">, </w:t>
      </w:r>
      <w:r w:rsidR="00ED7E0C">
        <w:t xml:space="preserve">as it </w:t>
      </w:r>
      <w:r w:rsidRPr="00440594">
        <w:t>support</w:t>
      </w:r>
      <w:r w:rsidR="00ED7E0C">
        <w:t>s</w:t>
      </w:r>
      <w:r w:rsidRPr="00440594">
        <w:t xml:space="preserve"> monthly payments, requiring minimal additional system modifications.</w:t>
      </w:r>
      <w:r>
        <w:t> Services</w:t>
      </w:r>
      <w:r w:rsidRPr="00440594">
        <w:t xml:space="preserve"> Australia will support the </w:t>
      </w:r>
      <w:r w:rsidR="00FB3D57">
        <w:t>D</w:t>
      </w:r>
      <w:r w:rsidRPr="00440594">
        <w:t xml:space="preserve">epartment to implement this process by validating the payment file prepared by the </w:t>
      </w:r>
      <w:r w:rsidR="00FB3D57">
        <w:t>D</w:t>
      </w:r>
      <w:r w:rsidRPr="00440594">
        <w:t xml:space="preserve">epartment and issuing the grant payment to services. As payments will be made two months in arrears, </w:t>
      </w:r>
      <w:r>
        <w:t>th</w:t>
      </w:r>
      <w:r w:rsidR="502CC6E6">
        <w:t>e Department will be able</w:t>
      </w:r>
      <w:r w:rsidRPr="00440594">
        <w:t xml:space="preserve"> to confirm the service was open and provided care during the payment period.</w:t>
      </w:r>
    </w:p>
    <w:p w14:paraId="0849D085" w14:textId="1470F4C6" w:rsidR="00474831" w:rsidRDefault="3BC8784E" w:rsidP="00E74588">
      <w:r>
        <w:t xml:space="preserve">In the </w:t>
      </w:r>
      <w:r w:rsidR="7C093971">
        <w:t xml:space="preserve">2024-25 Budget, the Government has committed </w:t>
      </w:r>
      <w:r w:rsidR="4F30A296">
        <w:t>to providing</w:t>
      </w:r>
      <w:r w:rsidR="2A6FA10D">
        <w:t xml:space="preserve"> funding towards a wage increase for the ECEC workforce.</w:t>
      </w:r>
      <w:r>
        <w:t xml:space="preserve"> </w:t>
      </w:r>
      <w:r w:rsidR="015DE318">
        <w:t>Th</w:t>
      </w:r>
      <w:r w:rsidR="14C78741">
        <w:t xml:space="preserve">e Budget included </w:t>
      </w:r>
      <w:r w:rsidR="57542102">
        <w:t>$30 million over two years for IT and payment services to enable the Department to deliver on this commitment.</w:t>
      </w:r>
      <w:r w:rsidR="4F30A296">
        <w:t xml:space="preserve"> </w:t>
      </w:r>
      <w:r w:rsidR="4945F10D">
        <w:t>Following the Budget announcement, t</w:t>
      </w:r>
      <w:r w:rsidR="253BA68E">
        <w:t xml:space="preserve">he Department has </w:t>
      </w:r>
      <w:r w:rsidR="0440B5DA">
        <w:t>established</w:t>
      </w:r>
      <w:r w:rsidR="253BA68E">
        <w:t xml:space="preserve"> a Project Board to over</w:t>
      </w:r>
      <w:r w:rsidR="1FA966AD">
        <w:t>see the implementation of the</w:t>
      </w:r>
      <w:r w:rsidR="27E57498">
        <w:t xml:space="preserve"> policy.</w:t>
      </w:r>
      <w:r w:rsidR="0AAF0B9F">
        <w:t xml:space="preserve"> T</w:t>
      </w:r>
      <w:r w:rsidR="1FA966AD">
        <w:t>he Project Board</w:t>
      </w:r>
      <w:r w:rsidR="655BDF58">
        <w:t xml:space="preserve">’s </w:t>
      </w:r>
      <w:r w:rsidR="6FEAAF8D">
        <w:t>key</w:t>
      </w:r>
      <w:r w:rsidR="655BDF58">
        <w:t xml:space="preserve"> role is to</w:t>
      </w:r>
      <w:r w:rsidR="1FA966AD">
        <w:t xml:space="preserve"> monitor and support </w:t>
      </w:r>
      <w:r w:rsidR="6E2C51F0">
        <w:t>implementation</w:t>
      </w:r>
      <w:r w:rsidR="1FA966AD">
        <w:t xml:space="preserve"> progress and delivery of the </w:t>
      </w:r>
      <w:r w:rsidR="65709FFA">
        <w:t xml:space="preserve">grant </w:t>
      </w:r>
      <w:r w:rsidR="2CB98D9E">
        <w:t>to ensure the outcomes and benefits of the grant program are realised.</w:t>
      </w:r>
      <w:r w:rsidR="65709FFA">
        <w:t xml:space="preserve"> </w:t>
      </w:r>
      <w:r w:rsidR="6FEAAF8D">
        <w:t xml:space="preserve">A supporting working group </w:t>
      </w:r>
      <w:r w:rsidR="7E3C9A50">
        <w:t>has</w:t>
      </w:r>
      <w:r w:rsidR="6FEAAF8D">
        <w:t xml:space="preserve"> also</w:t>
      </w:r>
      <w:r w:rsidR="7E3C9A50">
        <w:t xml:space="preserve"> been</w:t>
      </w:r>
      <w:r w:rsidR="6FEAAF8D">
        <w:t xml:space="preserve"> established to provide policy advice and program</w:t>
      </w:r>
      <w:r w:rsidR="485E972E">
        <w:t xml:space="preserve"> delivery </w:t>
      </w:r>
      <w:r w:rsidR="0882F632">
        <w:t>support</w:t>
      </w:r>
      <w:r w:rsidR="485E972E">
        <w:t xml:space="preserve">. </w:t>
      </w:r>
    </w:p>
    <w:p w14:paraId="7165B05E" w14:textId="2655A7C9" w:rsidR="008703B8" w:rsidRDefault="007D72C1" w:rsidP="00E74588">
      <w:r>
        <w:t xml:space="preserve">To support implementation, a project management plan and a risk assessment plan have been prepared to </w:t>
      </w:r>
      <w:r w:rsidR="00185ECA">
        <w:t>guide the Department’s implementation efforts</w:t>
      </w:r>
      <w:r w:rsidR="00934F74">
        <w:t xml:space="preserve">, with </w:t>
      </w:r>
      <w:r w:rsidR="1F0F0A67">
        <w:t>milestones</w:t>
      </w:r>
      <w:r w:rsidR="00934F74">
        <w:t>,</w:t>
      </w:r>
      <w:r w:rsidR="1F0F0A67">
        <w:t xml:space="preserve"> deliverables</w:t>
      </w:r>
      <w:r w:rsidR="00934F74">
        <w:t xml:space="preserve">, risks and mitigation strategies </w:t>
      </w:r>
      <w:r w:rsidR="00577335">
        <w:t>outlined in these plans</w:t>
      </w:r>
      <w:r w:rsidR="00D14D3C">
        <w:t>,</w:t>
      </w:r>
      <w:r w:rsidR="33AAFA70">
        <w:t xml:space="preserve"> as well as</w:t>
      </w:r>
      <w:r w:rsidR="005E70C4">
        <w:t xml:space="preserve"> a comprehensive communication strategy</w:t>
      </w:r>
      <w:r w:rsidR="469B1D2A">
        <w:t xml:space="preserve"> to ensure stakeholders are appropriately engaged</w:t>
      </w:r>
      <w:r w:rsidR="005E70C4">
        <w:t>.</w:t>
      </w:r>
      <w:r w:rsidR="00DC2FF2">
        <w:t xml:space="preserve"> </w:t>
      </w:r>
      <w:r w:rsidR="00C251B5">
        <w:t xml:space="preserve">In addition, the Department has commenced work on a compliance strategy </w:t>
      </w:r>
      <w:r w:rsidR="00D22325">
        <w:t xml:space="preserve">and plan to ensure </w:t>
      </w:r>
      <w:r w:rsidR="00043685">
        <w:t xml:space="preserve">the intention of the policy and grant delivery will meet their intended purposes to benefit ECEC </w:t>
      </w:r>
      <w:r w:rsidR="00954274">
        <w:t xml:space="preserve">workers, </w:t>
      </w:r>
      <w:r w:rsidR="00043685">
        <w:t xml:space="preserve">educators and </w:t>
      </w:r>
      <w:r w:rsidR="00954274">
        <w:t>teachers</w:t>
      </w:r>
      <w:r w:rsidR="00043685">
        <w:t>.</w:t>
      </w:r>
      <w:r w:rsidR="00C251B5">
        <w:t xml:space="preserve"> </w:t>
      </w:r>
      <w:r w:rsidR="00DC2FF2">
        <w:t xml:space="preserve">The </w:t>
      </w:r>
      <w:r w:rsidR="00C30A6E">
        <w:t>plans</w:t>
      </w:r>
      <w:r w:rsidR="00954274">
        <w:t>,</w:t>
      </w:r>
      <w:r w:rsidR="00DC2FF2">
        <w:t xml:space="preserve"> </w:t>
      </w:r>
      <w:r w:rsidR="00FC644B">
        <w:t>as outlined</w:t>
      </w:r>
      <w:r w:rsidR="00DC2FF2">
        <w:t xml:space="preserve"> </w:t>
      </w:r>
      <w:r w:rsidR="00C30A6E">
        <w:t>above</w:t>
      </w:r>
      <w:r w:rsidR="00954274">
        <w:t>,</w:t>
      </w:r>
      <w:r w:rsidR="00DC2FF2">
        <w:t xml:space="preserve"> </w:t>
      </w:r>
      <w:r w:rsidR="00C67A80">
        <w:t>are</w:t>
      </w:r>
      <w:r w:rsidR="00DC2FF2">
        <w:t xml:space="preserve"> informed by feedback from </w:t>
      </w:r>
      <w:r w:rsidR="00E25E5C">
        <w:t>stakeholders</w:t>
      </w:r>
      <w:r w:rsidR="0098666B">
        <w:t xml:space="preserve"> </w:t>
      </w:r>
      <w:r w:rsidR="002A06DF">
        <w:t xml:space="preserve">and </w:t>
      </w:r>
      <w:r w:rsidR="00083B9A">
        <w:t xml:space="preserve">previous </w:t>
      </w:r>
      <w:r w:rsidR="00D10382">
        <w:t>experience</w:t>
      </w:r>
      <w:r w:rsidR="0010609A">
        <w:t xml:space="preserve"> in introducing other </w:t>
      </w:r>
      <w:r w:rsidR="00886909">
        <w:t>grant-based</w:t>
      </w:r>
      <w:r w:rsidR="0047430B">
        <w:t xml:space="preserve"> payments</w:t>
      </w:r>
      <w:r w:rsidR="002A06DF">
        <w:t xml:space="preserve"> (such as COVID</w:t>
      </w:r>
      <w:r w:rsidR="009F03DB">
        <w:t>-19</w:t>
      </w:r>
      <w:r w:rsidR="002A06DF">
        <w:t xml:space="preserve"> </w:t>
      </w:r>
      <w:r w:rsidR="009F03DB">
        <w:t>emergency</w:t>
      </w:r>
      <w:r w:rsidR="00D86091">
        <w:t xml:space="preserve"> </w:t>
      </w:r>
      <w:r w:rsidR="002A06DF">
        <w:t>payments)</w:t>
      </w:r>
      <w:r w:rsidR="0047430B">
        <w:t>.</w:t>
      </w:r>
    </w:p>
    <w:p w14:paraId="048F1F79" w14:textId="3843A068" w:rsidR="00022C5F" w:rsidRDefault="00EF67CE" w:rsidP="00E74588">
      <w:r>
        <w:t>K</w:t>
      </w:r>
      <w:r w:rsidR="00022C5F">
        <w:t xml:space="preserve">ey </w:t>
      </w:r>
      <w:r w:rsidR="003B2FF5">
        <w:t>e</w:t>
      </w:r>
      <w:r w:rsidR="00022C5F">
        <w:t xml:space="preserve">lements of the implementation approach </w:t>
      </w:r>
      <w:proofErr w:type="gramStart"/>
      <w:r w:rsidR="00022C5F">
        <w:t>include</w:t>
      </w:r>
      <w:r w:rsidR="00BE3BB0">
        <w:t>s</w:t>
      </w:r>
      <w:proofErr w:type="gramEnd"/>
      <w:r w:rsidR="00022C5F">
        <w:t>:</w:t>
      </w:r>
    </w:p>
    <w:tbl>
      <w:tblPr>
        <w:tblStyle w:val="TableGrid"/>
        <w:tblW w:w="0" w:type="auto"/>
        <w:tblLayout w:type="fixed"/>
        <w:tblLook w:val="06A0" w:firstRow="1" w:lastRow="0" w:firstColumn="1" w:lastColumn="0" w:noHBand="1" w:noVBand="1"/>
      </w:tblPr>
      <w:tblGrid>
        <w:gridCol w:w="3005"/>
        <w:gridCol w:w="6123"/>
      </w:tblGrid>
      <w:tr w:rsidR="63163CB4" w:rsidRPr="007D5715" w14:paraId="3AFA72E6" w14:textId="77777777" w:rsidTr="35771FF5">
        <w:trPr>
          <w:trHeight w:val="300"/>
        </w:trPr>
        <w:tc>
          <w:tcPr>
            <w:tcW w:w="3005" w:type="dxa"/>
          </w:tcPr>
          <w:p w14:paraId="26594C9A" w14:textId="453545A3" w:rsidR="32D6045A" w:rsidRPr="007D5715" w:rsidRDefault="32D6045A" w:rsidP="63163CB4">
            <w:pPr>
              <w:rPr>
                <w:b/>
                <w:bCs/>
              </w:rPr>
            </w:pPr>
            <w:r w:rsidRPr="007D5715">
              <w:rPr>
                <w:b/>
                <w:bCs/>
              </w:rPr>
              <w:t>A</w:t>
            </w:r>
            <w:r w:rsidR="10DB1F6A" w:rsidRPr="007D5715">
              <w:rPr>
                <w:b/>
                <w:bCs/>
              </w:rPr>
              <w:t>rea of implementation</w:t>
            </w:r>
          </w:p>
        </w:tc>
        <w:tc>
          <w:tcPr>
            <w:tcW w:w="6123" w:type="dxa"/>
          </w:tcPr>
          <w:p w14:paraId="1E114D5E" w14:textId="3043C330" w:rsidR="535E2473" w:rsidRPr="007D5715" w:rsidRDefault="10DB1F6A" w:rsidP="63163CB4">
            <w:pPr>
              <w:rPr>
                <w:b/>
                <w:bCs/>
              </w:rPr>
            </w:pPr>
            <w:r w:rsidRPr="007D5715">
              <w:rPr>
                <w:b/>
                <w:bCs/>
              </w:rPr>
              <w:t>Activities and d</w:t>
            </w:r>
            <w:r w:rsidR="535E2473" w:rsidRPr="007D5715">
              <w:rPr>
                <w:b/>
                <w:bCs/>
              </w:rPr>
              <w:t>eliverables</w:t>
            </w:r>
          </w:p>
        </w:tc>
      </w:tr>
      <w:tr w:rsidR="63163CB4" w14:paraId="5A167A88" w14:textId="77777777" w:rsidTr="35771FF5">
        <w:trPr>
          <w:trHeight w:val="300"/>
        </w:trPr>
        <w:tc>
          <w:tcPr>
            <w:tcW w:w="3005" w:type="dxa"/>
          </w:tcPr>
          <w:p w14:paraId="7B33E825" w14:textId="08AF00FD" w:rsidR="32D6045A" w:rsidRDefault="32D6045A" w:rsidP="63163CB4">
            <w:r>
              <w:t>Governance arrangement</w:t>
            </w:r>
          </w:p>
        </w:tc>
        <w:tc>
          <w:tcPr>
            <w:tcW w:w="6123" w:type="dxa"/>
          </w:tcPr>
          <w:p w14:paraId="039EB05D" w14:textId="33FF7209" w:rsidR="17326624" w:rsidRDefault="7A9F2641" w:rsidP="007D5715">
            <w:pPr>
              <w:pStyle w:val="ListParagraph"/>
              <w:numPr>
                <w:ilvl w:val="0"/>
                <w:numId w:val="74"/>
              </w:numPr>
            </w:pPr>
            <w:r>
              <w:t>Established</w:t>
            </w:r>
            <w:r w:rsidR="5B5F29BC">
              <w:t xml:space="preserve"> a</w:t>
            </w:r>
            <w:r>
              <w:t xml:space="preserve"> Project </w:t>
            </w:r>
            <w:r w:rsidR="57A789DA">
              <w:t>B</w:t>
            </w:r>
            <w:r>
              <w:t xml:space="preserve">oard with </w:t>
            </w:r>
            <w:r w:rsidR="04DE6458">
              <w:t>a S</w:t>
            </w:r>
            <w:r>
              <w:t xml:space="preserve">enior </w:t>
            </w:r>
            <w:r w:rsidR="4D4E2F95">
              <w:t>R</w:t>
            </w:r>
            <w:r>
              <w:t xml:space="preserve">esponsible </w:t>
            </w:r>
            <w:r w:rsidR="08487685">
              <w:t>O</w:t>
            </w:r>
            <w:r>
              <w:t>fficer</w:t>
            </w:r>
            <w:r w:rsidR="2DB09022">
              <w:t xml:space="preserve"> (at First Assistant Secretary level)</w:t>
            </w:r>
            <w:r>
              <w:t xml:space="preserve"> and </w:t>
            </w:r>
            <w:r w:rsidR="19EF3AF7">
              <w:t>a P</w:t>
            </w:r>
            <w:r>
              <w:t xml:space="preserve">roject </w:t>
            </w:r>
            <w:r w:rsidR="59A29B4F">
              <w:t>M</w:t>
            </w:r>
            <w:r>
              <w:t>anager</w:t>
            </w:r>
            <w:r w:rsidR="1557E1F0">
              <w:t xml:space="preserve"> (at Assistant Secretary level)</w:t>
            </w:r>
          </w:p>
          <w:p w14:paraId="5C41FAD1" w14:textId="532AA35C" w:rsidR="17326624" w:rsidRDefault="7A9F2641" w:rsidP="007D5715">
            <w:pPr>
              <w:pStyle w:val="ListParagraph"/>
              <w:numPr>
                <w:ilvl w:val="0"/>
                <w:numId w:val="74"/>
              </w:numPr>
            </w:pPr>
            <w:r>
              <w:t xml:space="preserve">Regular </w:t>
            </w:r>
            <w:r w:rsidR="6A63B857">
              <w:t xml:space="preserve">fortnightly </w:t>
            </w:r>
            <w:r>
              <w:t>meetings</w:t>
            </w:r>
            <w:r w:rsidR="197A0B5B">
              <w:t>, with out of session meetings as required</w:t>
            </w:r>
            <w:r w:rsidR="267DD1A9">
              <w:t xml:space="preserve"> </w:t>
            </w:r>
          </w:p>
          <w:p w14:paraId="07F3EED3" w14:textId="35B9B973" w:rsidR="17326624" w:rsidRDefault="17326624" w:rsidP="007D5715">
            <w:pPr>
              <w:pStyle w:val="ListParagraph"/>
              <w:numPr>
                <w:ilvl w:val="0"/>
                <w:numId w:val="74"/>
              </w:numPr>
            </w:pPr>
            <w:r>
              <w:t xml:space="preserve">Regular </w:t>
            </w:r>
            <w:r w:rsidR="4E6443CA">
              <w:t xml:space="preserve">monthly </w:t>
            </w:r>
            <w:r w:rsidR="7A9F2641">
              <w:t xml:space="preserve">reporting to the </w:t>
            </w:r>
            <w:r w:rsidR="4AA1491A">
              <w:t>D</w:t>
            </w:r>
            <w:r w:rsidR="7A9F2641">
              <w:t>epartment</w:t>
            </w:r>
            <w:r w:rsidR="02D4552F">
              <w:t xml:space="preserve"> through the Department’s project management system</w:t>
            </w:r>
          </w:p>
        </w:tc>
      </w:tr>
      <w:tr w:rsidR="63163CB4" w14:paraId="33CDDA45" w14:textId="77777777" w:rsidTr="35771FF5">
        <w:trPr>
          <w:trHeight w:val="300"/>
        </w:trPr>
        <w:tc>
          <w:tcPr>
            <w:tcW w:w="3005" w:type="dxa"/>
          </w:tcPr>
          <w:p w14:paraId="110448C3" w14:textId="6BC8C16B" w:rsidR="32D6045A" w:rsidRDefault="32D6045A" w:rsidP="63163CB4">
            <w:r>
              <w:lastRenderedPageBreak/>
              <w:t>Legislative framework</w:t>
            </w:r>
          </w:p>
        </w:tc>
        <w:tc>
          <w:tcPr>
            <w:tcW w:w="6123" w:type="dxa"/>
          </w:tcPr>
          <w:p w14:paraId="25982F16" w14:textId="676E0405" w:rsidR="4346CF32" w:rsidRDefault="4346CF32" w:rsidP="007D5715">
            <w:pPr>
              <w:pStyle w:val="ListParagraph"/>
              <w:numPr>
                <w:ilvl w:val="0"/>
                <w:numId w:val="73"/>
              </w:numPr>
            </w:pPr>
            <w:r>
              <w:t xml:space="preserve">Amendments </w:t>
            </w:r>
            <w:r w:rsidR="38BBA8C5">
              <w:t xml:space="preserve">are to be </w:t>
            </w:r>
            <w:r>
              <w:t>made to the Minister’s Rules (2017) to ensure legal requirements are met to provide funding to the sector</w:t>
            </w:r>
          </w:p>
        </w:tc>
      </w:tr>
      <w:tr w:rsidR="63163CB4" w14:paraId="3E64327E" w14:textId="77777777" w:rsidTr="35771FF5">
        <w:trPr>
          <w:trHeight w:val="300"/>
        </w:trPr>
        <w:tc>
          <w:tcPr>
            <w:tcW w:w="3005" w:type="dxa"/>
          </w:tcPr>
          <w:p w14:paraId="5F197914" w14:textId="7DD91FD4" w:rsidR="32D6045A" w:rsidRDefault="32D6045A" w:rsidP="63163CB4">
            <w:r>
              <w:t>Information technology</w:t>
            </w:r>
          </w:p>
        </w:tc>
        <w:tc>
          <w:tcPr>
            <w:tcW w:w="6123" w:type="dxa"/>
          </w:tcPr>
          <w:p w14:paraId="42EDDDA0" w14:textId="27E0B04A" w:rsidR="45D1D816" w:rsidRDefault="45D1D816" w:rsidP="63163CB4">
            <w:pPr>
              <w:pStyle w:val="ListParagraph"/>
              <w:numPr>
                <w:ilvl w:val="0"/>
                <w:numId w:val="41"/>
              </w:numPr>
            </w:pPr>
            <w:r>
              <w:t>Work involving the development of selected IT platforms for grant application process, payment delivery and grants management, including Services Australia’s IT infrastructure, has begun and is planned to deliver on indicative grant start date.</w:t>
            </w:r>
          </w:p>
        </w:tc>
      </w:tr>
      <w:tr w:rsidR="63163CB4" w14:paraId="25915D84" w14:textId="77777777" w:rsidTr="35771FF5">
        <w:trPr>
          <w:trHeight w:val="300"/>
        </w:trPr>
        <w:tc>
          <w:tcPr>
            <w:tcW w:w="3005" w:type="dxa"/>
          </w:tcPr>
          <w:p w14:paraId="7AEF2FF8" w14:textId="49CA1C51" w:rsidR="32D6045A" w:rsidRDefault="32D6045A" w:rsidP="63163CB4">
            <w:r>
              <w:t>Communications</w:t>
            </w:r>
          </w:p>
        </w:tc>
        <w:tc>
          <w:tcPr>
            <w:tcW w:w="6123" w:type="dxa"/>
          </w:tcPr>
          <w:p w14:paraId="0FA24563" w14:textId="3F1287B0" w:rsidR="7540B09C" w:rsidRDefault="0065079B" w:rsidP="63163CB4">
            <w:pPr>
              <w:pStyle w:val="ListParagraph"/>
              <w:numPr>
                <w:ilvl w:val="0"/>
                <w:numId w:val="41"/>
              </w:numPr>
            </w:pPr>
            <w:r>
              <w:t>D</w:t>
            </w:r>
            <w:r w:rsidR="7540B09C">
              <w:t>etailed communication approach and engagement with key stakeholders, providers and services, and clear channels of communication as well as the provision of sectoral training materials to ensure key information for the sector is clear and user-friendly</w:t>
            </w:r>
          </w:p>
        </w:tc>
      </w:tr>
      <w:tr w:rsidR="63163CB4" w14:paraId="60676EF7" w14:textId="77777777" w:rsidTr="35771FF5">
        <w:trPr>
          <w:trHeight w:val="300"/>
        </w:trPr>
        <w:tc>
          <w:tcPr>
            <w:tcW w:w="3005" w:type="dxa"/>
          </w:tcPr>
          <w:p w14:paraId="0A629F4A" w14:textId="3038FC57" w:rsidR="32D6045A" w:rsidRDefault="32D6045A" w:rsidP="63163CB4">
            <w:r>
              <w:t>Guidelines and agreement</w:t>
            </w:r>
          </w:p>
        </w:tc>
        <w:tc>
          <w:tcPr>
            <w:tcW w:w="6123" w:type="dxa"/>
          </w:tcPr>
          <w:p w14:paraId="59CA82E5" w14:textId="7D59FE7A" w:rsidR="699B4936" w:rsidRDefault="699B4936" w:rsidP="63163CB4">
            <w:pPr>
              <w:pStyle w:val="ListParagraph"/>
              <w:numPr>
                <w:ilvl w:val="0"/>
                <w:numId w:val="41"/>
              </w:numPr>
            </w:pPr>
            <w:r>
              <w:t xml:space="preserve">Development of terms and conditions of funding, eligibility, application processes, start date and payment back-dating arrangements (as appropriate dependant on determined start date) and fee growth </w:t>
            </w:r>
            <w:r w:rsidR="001D1784">
              <w:t xml:space="preserve">limitation </w:t>
            </w:r>
            <w:r>
              <w:t>mechanisms to be clearly outlined for providers and services to be fully aware of before acceptance of the grant payments</w:t>
            </w:r>
          </w:p>
        </w:tc>
      </w:tr>
      <w:tr w:rsidR="63163CB4" w14:paraId="426E720F" w14:textId="77777777" w:rsidTr="35771FF5">
        <w:trPr>
          <w:trHeight w:val="300"/>
        </w:trPr>
        <w:tc>
          <w:tcPr>
            <w:tcW w:w="3005" w:type="dxa"/>
          </w:tcPr>
          <w:p w14:paraId="32FC2F81" w14:textId="1078A396" w:rsidR="6610DE13" w:rsidRDefault="6610DE13" w:rsidP="63163CB4">
            <w:r>
              <w:t>Compliance</w:t>
            </w:r>
          </w:p>
        </w:tc>
        <w:tc>
          <w:tcPr>
            <w:tcW w:w="6123" w:type="dxa"/>
          </w:tcPr>
          <w:p w14:paraId="57E1369C" w14:textId="44EC3138" w:rsidR="6610DE13" w:rsidRDefault="6610DE13" w:rsidP="63163CB4">
            <w:pPr>
              <w:pStyle w:val="ListParagraph"/>
              <w:numPr>
                <w:ilvl w:val="0"/>
                <w:numId w:val="41"/>
              </w:numPr>
            </w:pPr>
            <w:r>
              <w:t>Development of a compliance strategy and plan specific to the grant program to ensure funding governance, accountability and complian</w:t>
            </w:r>
            <w:r w:rsidR="535F0EAD">
              <w:t>ce</w:t>
            </w:r>
          </w:p>
        </w:tc>
      </w:tr>
      <w:tr w:rsidR="63163CB4" w14:paraId="451D17CE" w14:textId="77777777" w:rsidTr="35771FF5">
        <w:trPr>
          <w:trHeight w:val="300"/>
        </w:trPr>
        <w:tc>
          <w:tcPr>
            <w:tcW w:w="3005" w:type="dxa"/>
          </w:tcPr>
          <w:p w14:paraId="21E32C59" w14:textId="09CB8B96" w:rsidR="699B4936" w:rsidRDefault="699B4936" w:rsidP="63163CB4">
            <w:r>
              <w:t>Stakeholder engagement</w:t>
            </w:r>
          </w:p>
        </w:tc>
        <w:tc>
          <w:tcPr>
            <w:tcW w:w="6123" w:type="dxa"/>
          </w:tcPr>
          <w:p w14:paraId="70433517" w14:textId="78E3CE3F" w:rsidR="699B4936" w:rsidRDefault="699B4936" w:rsidP="63163CB4">
            <w:pPr>
              <w:pStyle w:val="ListParagraph"/>
              <w:numPr>
                <w:ilvl w:val="0"/>
                <w:numId w:val="41"/>
              </w:numPr>
            </w:pPr>
            <w:r>
              <w:t>Consultation with key stakeholders will continue as the program is being implemented to gain insights and feedback</w:t>
            </w:r>
          </w:p>
        </w:tc>
      </w:tr>
      <w:tr w:rsidR="00F01CE6" w14:paraId="2A261D70" w14:textId="77777777" w:rsidTr="35771FF5">
        <w:trPr>
          <w:trHeight w:val="300"/>
        </w:trPr>
        <w:tc>
          <w:tcPr>
            <w:tcW w:w="3005" w:type="dxa"/>
          </w:tcPr>
          <w:p w14:paraId="703AAB93" w14:textId="2021DD9D" w:rsidR="00F01CE6" w:rsidRDefault="00F01CE6" w:rsidP="63163CB4">
            <w:r>
              <w:t>Regular reporting</w:t>
            </w:r>
          </w:p>
        </w:tc>
        <w:tc>
          <w:tcPr>
            <w:tcW w:w="6123" w:type="dxa"/>
          </w:tcPr>
          <w:p w14:paraId="3A305E4A" w14:textId="4953E9AC" w:rsidR="008354B5" w:rsidRDefault="00AC1EA6" w:rsidP="00FA76F0">
            <w:pPr>
              <w:pStyle w:val="ListParagraph"/>
              <w:numPr>
                <w:ilvl w:val="0"/>
                <w:numId w:val="41"/>
              </w:numPr>
            </w:pPr>
            <w:r>
              <w:t>The Department is to undertake assurance assessment</w:t>
            </w:r>
            <w:r w:rsidR="00910011">
              <w:t xml:space="preserve"> once a year</w:t>
            </w:r>
            <w:r w:rsidR="00503846">
              <w:t xml:space="preserve"> (at the end of fund year 1 and 2)</w:t>
            </w:r>
            <w:r w:rsidR="0065079B">
              <w:t>.</w:t>
            </w:r>
            <w:r>
              <w:t xml:space="preserve"> </w:t>
            </w:r>
          </w:p>
          <w:p w14:paraId="2C36C169" w14:textId="77777777" w:rsidR="008354B5" w:rsidRDefault="009155A4" w:rsidP="008354B5">
            <w:pPr>
              <w:pStyle w:val="ListParagraph"/>
              <w:numPr>
                <w:ilvl w:val="0"/>
                <w:numId w:val="41"/>
              </w:numPr>
              <w:rPr>
                <w:rFonts w:cs="Calibri Light"/>
              </w:rPr>
            </w:pPr>
            <w:r w:rsidRPr="008354B5">
              <w:rPr>
                <w:rStyle w:val="normaltextrun"/>
                <w:rFonts w:cs="Calibri Light"/>
              </w:rPr>
              <w:t>Regular monthly reporting through the Department’s project management portal</w:t>
            </w:r>
            <w:r w:rsidRPr="008354B5">
              <w:rPr>
                <w:rStyle w:val="eop"/>
                <w:rFonts w:cs="Calibri Light"/>
              </w:rPr>
              <w:t> </w:t>
            </w:r>
          </w:p>
          <w:p w14:paraId="15D51227" w14:textId="3DC0E5A5" w:rsidR="009155A4" w:rsidRPr="008354B5" w:rsidRDefault="009155A4" w:rsidP="008354B5">
            <w:pPr>
              <w:pStyle w:val="ListParagraph"/>
              <w:numPr>
                <w:ilvl w:val="0"/>
                <w:numId w:val="41"/>
              </w:numPr>
            </w:pPr>
            <w:r w:rsidRPr="008354B5">
              <w:rPr>
                <w:rStyle w:val="normaltextrun"/>
                <w:rFonts w:cs="Calibri Light"/>
              </w:rPr>
              <w:t>Regular health checks and deep dives into risk areas every year</w:t>
            </w:r>
            <w:r w:rsidRPr="008354B5">
              <w:rPr>
                <w:rStyle w:val="eop"/>
                <w:rFonts w:cs="Calibri Light"/>
              </w:rPr>
              <w:t> </w:t>
            </w:r>
          </w:p>
        </w:tc>
      </w:tr>
      <w:tr w:rsidR="00D04B42" w14:paraId="266C606F" w14:textId="77777777" w:rsidTr="35771FF5">
        <w:trPr>
          <w:trHeight w:val="300"/>
        </w:trPr>
        <w:tc>
          <w:tcPr>
            <w:tcW w:w="3005" w:type="dxa"/>
          </w:tcPr>
          <w:p w14:paraId="5D5FA5D4" w14:textId="4B3A2C46" w:rsidR="00D04B42" w:rsidRDefault="00D04B42" w:rsidP="63163CB4">
            <w:r>
              <w:t xml:space="preserve">Risk </w:t>
            </w:r>
            <w:r w:rsidR="0018730C">
              <w:t>management arrangements</w:t>
            </w:r>
          </w:p>
        </w:tc>
        <w:tc>
          <w:tcPr>
            <w:tcW w:w="6123" w:type="dxa"/>
          </w:tcPr>
          <w:p w14:paraId="3969AF07" w14:textId="3ED153AC" w:rsidR="00D04B42" w:rsidRDefault="16C1B36D" w:rsidP="00FA76F0">
            <w:pPr>
              <w:pStyle w:val="ListParagraph"/>
              <w:numPr>
                <w:ilvl w:val="0"/>
                <w:numId w:val="41"/>
              </w:numPr>
            </w:pPr>
            <w:r>
              <w:t xml:space="preserve">The Department has developed a </w:t>
            </w:r>
            <w:r w:rsidR="297B7A31">
              <w:t xml:space="preserve">detailed </w:t>
            </w:r>
            <w:r>
              <w:t xml:space="preserve">risk plan </w:t>
            </w:r>
            <w:r w:rsidR="297B7A31">
              <w:t xml:space="preserve">identifying </w:t>
            </w:r>
            <w:r w:rsidR="30448FC9">
              <w:t xml:space="preserve">risks, </w:t>
            </w:r>
            <w:r w:rsidR="78A83543">
              <w:t xml:space="preserve">causes and </w:t>
            </w:r>
            <w:r w:rsidR="30448FC9">
              <w:t>treatments</w:t>
            </w:r>
            <w:r w:rsidR="7FF89EFC">
              <w:t>. This plan will be reviewed regularly</w:t>
            </w:r>
            <w:r w:rsidR="54429204">
              <w:t>,</w:t>
            </w:r>
            <w:r w:rsidR="1A27B17B">
              <w:t xml:space="preserve"> with</w:t>
            </w:r>
            <w:r w:rsidR="374B68EF">
              <w:t xml:space="preserve"> appropriate treatments </w:t>
            </w:r>
            <w:r w:rsidR="6E5CE3DC">
              <w:t xml:space="preserve">and reporting </w:t>
            </w:r>
            <w:r w:rsidR="5B10C4F0">
              <w:t xml:space="preserve">to </w:t>
            </w:r>
            <w:r w:rsidR="374B68EF">
              <w:t xml:space="preserve">be </w:t>
            </w:r>
            <w:r w:rsidR="6E5CE3DC">
              <w:t>undertaken</w:t>
            </w:r>
            <w:r w:rsidR="374B68EF">
              <w:t xml:space="preserve"> </w:t>
            </w:r>
            <w:r w:rsidR="6E5CE3DC">
              <w:t>as needed</w:t>
            </w:r>
            <w:r w:rsidR="7FF89EFC">
              <w:t xml:space="preserve">. </w:t>
            </w:r>
            <w:r w:rsidR="78A83543">
              <w:t xml:space="preserve"> </w:t>
            </w:r>
            <w:r w:rsidR="30448FC9">
              <w:t xml:space="preserve"> </w:t>
            </w:r>
            <w:r>
              <w:t xml:space="preserve"> </w:t>
            </w:r>
          </w:p>
        </w:tc>
      </w:tr>
    </w:tbl>
    <w:p w14:paraId="30BCFB05" w14:textId="3A07638B" w:rsidR="00FC539E" w:rsidRDefault="00D04DB2" w:rsidP="007D5715">
      <w:r>
        <w:t xml:space="preserve"> </w:t>
      </w:r>
    </w:p>
    <w:p w14:paraId="7B999875" w14:textId="65C7248B" w:rsidR="001D347F" w:rsidRDefault="004C481B" w:rsidP="004C481B">
      <w:pPr>
        <w:pStyle w:val="Heading4"/>
      </w:pPr>
      <w:bookmarkStart w:id="99" w:name="_Toc160572128"/>
      <w:bookmarkStart w:id="100" w:name="_Toc160805635"/>
      <w:bookmarkStart w:id="101" w:name="_Toc162963680"/>
      <w:bookmarkStart w:id="102" w:name="_Toc219193899"/>
      <w:r>
        <w:t>Payment calculation methodology</w:t>
      </w:r>
      <w:bookmarkEnd w:id="99"/>
      <w:bookmarkEnd w:id="100"/>
      <w:bookmarkEnd w:id="101"/>
      <w:bookmarkEnd w:id="102"/>
    </w:p>
    <w:p w14:paraId="0C907665" w14:textId="11208D8D" w:rsidR="00022C5F" w:rsidRDefault="007B5478" w:rsidP="00E74588">
      <w:r>
        <w:t>The Department will use administrative data from the CCS to develop a calculation methodology for delivering payments.</w:t>
      </w:r>
    </w:p>
    <w:p w14:paraId="7BE2B111" w14:textId="77777777" w:rsidR="006F3521" w:rsidRDefault="00FF6101" w:rsidP="00FF6101">
      <w:r>
        <w:t xml:space="preserve">The methodology will aim to calculate </w:t>
      </w:r>
      <w:r w:rsidR="00324F0B">
        <w:t>an average cost of award wages per hour of care</w:t>
      </w:r>
      <w:r w:rsidR="00674281">
        <w:t xml:space="preserve"> </w:t>
      </w:r>
      <w:r w:rsidR="00C17CE0">
        <w:t>charged</w:t>
      </w:r>
      <w:r w:rsidR="00B44FDC">
        <w:t>, however not a precise figure related to the individual circumstances of each service or employee</w:t>
      </w:r>
      <w:r w:rsidR="001F09FF">
        <w:t>.</w:t>
      </w:r>
      <w:r w:rsidR="00887E37">
        <w:t xml:space="preserve"> </w:t>
      </w:r>
      <w:r w:rsidR="008F1E09">
        <w:t xml:space="preserve">This approach </w:t>
      </w:r>
      <w:r w:rsidR="004A572F">
        <w:t>will ensure timely implementation of funding</w:t>
      </w:r>
      <w:r w:rsidR="00412EEF">
        <w:t xml:space="preserve">, minimise complexity </w:t>
      </w:r>
      <w:r w:rsidR="005C68D1">
        <w:t xml:space="preserve">and cost of </w:t>
      </w:r>
      <w:r w:rsidR="005C68D1">
        <w:lastRenderedPageBreak/>
        <w:t>implementation</w:t>
      </w:r>
      <w:r w:rsidR="00C74CF0">
        <w:t xml:space="preserve"> and </w:t>
      </w:r>
      <w:r w:rsidR="0003145F">
        <w:t xml:space="preserve">mitigate the risk </w:t>
      </w:r>
      <w:r w:rsidR="000F34FC">
        <w:t xml:space="preserve">of perverse incentives </w:t>
      </w:r>
      <w:r w:rsidR="00654AB7">
        <w:t xml:space="preserve">such as subsidising </w:t>
      </w:r>
      <w:r w:rsidR="00E52F44">
        <w:t xml:space="preserve">less efficient rostering </w:t>
      </w:r>
      <w:r w:rsidR="006A7288">
        <w:t>or higher fees</w:t>
      </w:r>
      <w:r w:rsidR="00D5398E">
        <w:t>.</w:t>
      </w:r>
      <w:r w:rsidR="00887E37">
        <w:t xml:space="preserve"> </w:t>
      </w:r>
    </w:p>
    <w:p w14:paraId="66466A15" w14:textId="140FA7EA" w:rsidR="00FF6101" w:rsidRDefault="00887E37" w:rsidP="00FF6101">
      <w:r>
        <w:t xml:space="preserve">The formula may be </w:t>
      </w:r>
      <w:r w:rsidR="00D45CED">
        <w:t>varied</w:t>
      </w:r>
      <w:r w:rsidR="00EA677A">
        <w:t xml:space="preserve"> to ensure </w:t>
      </w:r>
      <w:r w:rsidR="002A61A7">
        <w:t>effective</w:t>
      </w:r>
      <w:r w:rsidR="00EA677A">
        <w:t xml:space="preserve"> </w:t>
      </w:r>
      <w:r w:rsidR="002A61A7">
        <w:t xml:space="preserve">targeting </w:t>
      </w:r>
      <w:r w:rsidR="00710033">
        <w:t xml:space="preserve">to </w:t>
      </w:r>
      <w:r w:rsidR="00B41CE7">
        <w:t>parts of the sector while retaining a common structure</w:t>
      </w:r>
      <w:r w:rsidR="00F95E5F">
        <w:t xml:space="preserve"> – reflecting the </w:t>
      </w:r>
      <w:r w:rsidR="00C2289E">
        <w:t>varying</w:t>
      </w:r>
      <w:r w:rsidR="00F95E5F">
        <w:t xml:space="preserve"> labour and operating costs for different</w:t>
      </w:r>
      <w:r w:rsidR="00C2289E">
        <w:t xml:space="preserve"> service types such as </w:t>
      </w:r>
      <w:r w:rsidR="00D104F4">
        <w:t xml:space="preserve">LDC and OSHC. </w:t>
      </w:r>
      <w:r w:rsidR="00F95E5F">
        <w:t xml:space="preserve">  </w:t>
      </w:r>
    </w:p>
    <w:p w14:paraId="01600B02" w14:textId="175E7657" w:rsidR="00D673A0" w:rsidRDefault="00D673A0" w:rsidP="001A6971">
      <w:pPr>
        <w:pStyle w:val="Heading3"/>
        <w:spacing w:before="0" w:after="0"/>
      </w:pPr>
      <w:bookmarkStart w:id="103" w:name="_Toc160805636"/>
      <w:bookmarkStart w:id="104" w:name="_Toc162963681"/>
      <w:bookmarkStart w:id="105" w:name="_Toc219193900"/>
      <w:r>
        <w:t>Risks to implementation</w:t>
      </w:r>
      <w:bookmarkEnd w:id="103"/>
      <w:bookmarkEnd w:id="104"/>
      <w:bookmarkEnd w:id="105"/>
      <w:r>
        <w:t xml:space="preserve"> </w:t>
      </w:r>
    </w:p>
    <w:p w14:paraId="23D82BEC" w14:textId="3620AE1E" w:rsidR="00146662" w:rsidRDefault="00146662" w:rsidP="001A6971">
      <w:pPr>
        <w:pStyle w:val="Heading4"/>
        <w:spacing w:before="0"/>
      </w:pPr>
      <w:bookmarkStart w:id="106" w:name="_Toc160572130"/>
      <w:bookmarkStart w:id="107" w:name="_Toc160805637"/>
      <w:bookmarkStart w:id="108" w:name="_Toc162963682"/>
      <w:bookmarkStart w:id="109" w:name="_Toc219193901"/>
      <w:r>
        <w:t>Compliance</w:t>
      </w:r>
      <w:bookmarkEnd w:id="106"/>
      <w:bookmarkEnd w:id="107"/>
      <w:bookmarkEnd w:id="108"/>
      <w:bookmarkEnd w:id="109"/>
      <w:r>
        <w:t xml:space="preserve"> </w:t>
      </w:r>
    </w:p>
    <w:p w14:paraId="763C8A0A" w14:textId="52BB44C0" w:rsidR="00E02EE7" w:rsidRDefault="5B3970A4" w:rsidP="009F2BC1">
      <w:r>
        <w:t>T</w:t>
      </w:r>
      <w:r w:rsidR="7AAFEE75">
        <w:t>he Department is fully aware of the risks associated with non-compliance and fraud in the ECEC sector</w:t>
      </w:r>
      <w:r w:rsidR="00967A74">
        <w:t>.</w:t>
      </w:r>
      <w:r w:rsidR="7AAFEE75">
        <w:t xml:space="preserve"> </w:t>
      </w:r>
      <w:r w:rsidR="00967A74">
        <w:t xml:space="preserve">Given this, the Department </w:t>
      </w:r>
      <w:r w:rsidR="03AD0A3E">
        <w:t>has sought</w:t>
      </w:r>
      <w:r w:rsidR="7BF67F50">
        <w:t xml:space="preserve"> </w:t>
      </w:r>
      <w:r w:rsidR="549360EB">
        <w:t xml:space="preserve">appropriate </w:t>
      </w:r>
      <w:r w:rsidR="03AD0A3E">
        <w:t xml:space="preserve">resources to </w:t>
      </w:r>
      <w:r w:rsidR="49C4479D">
        <w:t>undertake work relating to compliance</w:t>
      </w:r>
      <w:r w:rsidR="7DF8A7D3">
        <w:t>,</w:t>
      </w:r>
      <w:r w:rsidR="03AD0A3E">
        <w:t xml:space="preserve"> ensur</w:t>
      </w:r>
      <w:r w:rsidR="3424BD0B">
        <w:t>ing</w:t>
      </w:r>
      <w:r w:rsidR="03AD0A3E">
        <w:t xml:space="preserve"> funding accountability will be</w:t>
      </w:r>
      <w:r w:rsidR="69E74CCC">
        <w:t xml:space="preserve"> </w:t>
      </w:r>
      <w:r w:rsidR="4D30A4B5">
        <w:t xml:space="preserve">met by participating </w:t>
      </w:r>
      <w:r w:rsidR="00967A74">
        <w:t>p</w:t>
      </w:r>
      <w:r w:rsidR="4D30A4B5">
        <w:t xml:space="preserve">roviders and </w:t>
      </w:r>
      <w:r w:rsidR="00967A74">
        <w:t>s</w:t>
      </w:r>
      <w:r w:rsidR="4D30A4B5">
        <w:t>ervices</w:t>
      </w:r>
      <w:r w:rsidR="03AD0A3E">
        <w:t xml:space="preserve"> and </w:t>
      </w:r>
      <w:r w:rsidR="4D30A4B5">
        <w:t xml:space="preserve">that the funding is </w:t>
      </w:r>
      <w:r w:rsidR="30B96BAF">
        <w:t xml:space="preserve">fully passed on to their employees. </w:t>
      </w:r>
    </w:p>
    <w:p w14:paraId="42B8832D" w14:textId="176F43AC" w:rsidR="005B75CC" w:rsidRPr="007D5715" w:rsidRDefault="00E36810" w:rsidP="007D5715">
      <w:r>
        <w:t>There is a risk that ECEC p</w:t>
      </w:r>
      <w:r w:rsidR="0032511D">
        <w:t xml:space="preserve">roviders and services </w:t>
      </w:r>
      <w:r w:rsidR="00C23F61">
        <w:t>w</w:t>
      </w:r>
      <w:r w:rsidR="1DE726C3">
        <w:t>ill</w:t>
      </w:r>
      <w:r w:rsidR="00C23F61">
        <w:t xml:space="preserve"> receive the funding from the Government but </w:t>
      </w:r>
      <w:r w:rsidR="0032511D">
        <w:t xml:space="preserve">do not pass on the </w:t>
      </w:r>
      <w:r>
        <w:t xml:space="preserve">full </w:t>
      </w:r>
      <w:r w:rsidR="0032511D">
        <w:t xml:space="preserve">funding to their employees </w:t>
      </w:r>
      <w:r w:rsidR="00C23F61">
        <w:t>in the form of higher wages</w:t>
      </w:r>
      <w:r w:rsidR="001A513A">
        <w:t xml:space="preserve">. This </w:t>
      </w:r>
      <w:r w:rsidR="0087261B">
        <w:t>may result in Government funding being utilised</w:t>
      </w:r>
      <w:r w:rsidR="001B6938">
        <w:t xml:space="preserve"> in fraudulent </w:t>
      </w:r>
      <w:r w:rsidR="008C2D0B">
        <w:t>activit</w:t>
      </w:r>
      <w:r w:rsidR="6E834676">
        <w:t>y</w:t>
      </w:r>
      <w:r w:rsidR="008C2D0B">
        <w:t xml:space="preserve"> and</w:t>
      </w:r>
      <w:r w:rsidR="0087261B">
        <w:t xml:space="preserve"> does</w:t>
      </w:r>
      <w:r w:rsidR="00381F8F">
        <w:t xml:space="preserve"> not meet the policy intention of the </w:t>
      </w:r>
      <w:r w:rsidR="00EC24FE">
        <w:t>funding – which is to support low-paid</w:t>
      </w:r>
      <w:r w:rsidR="00CF45A4">
        <w:t>, highly-feminised</w:t>
      </w:r>
      <w:r w:rsidR="00EC24FE">
        <w:t xml:space="preserve"> workers in the ECEC sector.  </w:t>
      </w:r>
      <w:r w:rsidR="0087261B">
        <w:t xml:space="preserve"> </w:t>
      </w:r>
      <w:r w:rsidR="008C2D0B">
        <w:t xml:space="preserve"> </w:t>
      </w:r>
    </w:p>
    <w:p w14:paraId="5D5A55AE" w14:textId="77777777" w:rsidR="00E02EE7" w:rsidRDefault="00CF45A4" w:rsidP="009F2BC1">
      <w:r>
        <w:t xml:space="preserve">To mitigate this risk, the </w:t>
      </w:r>
      <w:r w:rsidR="00E1178D">
        <w:t>funding guidelines will stipulate that f</w:t>
      </w:r>
      <w:r w:rsidR="0C654D56" w:rsidRPr="007D5715">
        <w:t>ailure to comply with the terms and conditions of the grant agreement could result in the termination of the agreement and/or require repayment of funds to the Commonwealth. </w:t>
      </w:r>
      <w:r w:rsidR="00E1178D">
        <w:t>Further, t</w:t>
      </w:r>
      <w:r w:rsidR="0C654D56" w:rsidRPr="007D5715">
        <w:t>he delivery mechanism will include multiple verification steps</w:t>
      </w:r>
      <w:r w:rsidR="03E56532" w:rsidRPr="007D5715">
        <w:t>,</w:t>
      </w:r>
      <w:r w:rsidR="0C654D56" w:rsidRPr="007D5715">
        <w:t xml:space="preserve"> including service approval checks ensuring that payments are only made to services approved under the Family Assistance Law. </w:t>
      </w:r>
    </w:p>
    <w:p w14:paraId="184B3015" w14:textId="56016381" w:rsidR="005B75CC" w:rsidRDefault="12595A97" w:rsidP="005B75CC">
      <w:r w:rsidRPr="007D5715">
        <w:t xml:space="preserve">The Department will work </w:t>
      </w:r>
      <w:r w:rsidR="00A66FE1" w:rsidRPr="007D5715">
        <w:t xml:space="preserve">with </w:t>
      </w:r>
      <w:r w:rsidRPr="007D5715">
        <w:t>Services Australia</w:t>
      </w:r>
      <w:r w:rsidR="0C654D56" w:rsidRPr="007D5715">
        <w:t xml:space="preserve"> to utilise the CCS System</w:t>
      </w:r>
      <w:r w:rsidR="2508EBA1" w:rsidRPr="007D5715">
        <w:t xml:space="preserve"> to deliver</w:t>
      </w:r>
      <w:r w:rsidR="0C654D56" w:rsidRPr="007D5715">
        <w:t xml:space="preserve"> monthly payments, requiring minimal additional system modifications. </w:t>
      </w:r>
      <w:r w:rsidR="009D30C7">
        <w:t>As part of the risk management controls,</w:t>
      </w:r>
      <w:r w:rsidR="0C654D56" w:rsidRPr="007D5715">
        <w:t xml:space="preserve"> payments will be made two months in arrears, the</w:t>
      </w:r>
      <w:r w:rsidR="00B93273">
        <w:t xml:space="preserve"> Department</w:t>
      </w:r>
      <w:r w:rsidR="0C654D56" w:rsidRPr="007D5715">
        <w:t xml:space="preserve"> will be</w:t>
      </w:r>
      <w:r w:rsidR="00B93273">
        <w:t xml:space="preserve"> able</w:t>
      </w:r>
      <w:r w:rsidR="0C654D56" w:rsidRPr="007D5715">
        <w:t xml:space="preserve"> to confirm the service was open and provided care during the payment period.</w:t>
      </w:r>
      <w:r w:rsidR="0C654D56" w:rsidRPr="007D5715">
        <w:rPr>
          <w:rStyle w:val="normaltextrun"/>
          <w:rFonts w:asciiTheme="majorHAnsi" w:eastAsiaTheme="majorEastAsia" w:hAnsiTheme="majorHAnsi" w:cstheme="majorBidi"/>
          <w:color w:val="000000" w:themeColor="text1"/>
        </w:rPr>
        <w:t>  </w:t>
      </w:r>
    </w:p>
    <w:p w14:paraId="4AAE4B54" w14:textId="6EE242AF" w:rsidR="00C81C1A" w:rsidRDefault="002C505A" w:rsidP="002C505A">
      <w:pPr>
        <w:pStyle w:val="Heading4"/>
      </w:pPr>
      <w:bookmarkStart w:id="110" w:name="_Toc160572131"/>
      <w:bookmarkStart w:id="111" w:name="_Toc160805638"/>
      <w:bookmarkStart w:id="112" w:name="_Toc162963683"/>
      <w:bookmarkStart w:id="113" w:name="_Toc219193902"/>
      <w:r>
        <w:t>Resourcing</w:t>
      </w:r>
      <w:bookmarkEnd w:id="110"/>
      <w:bookmarkEnd w:id="111"/>
      <w:bookmarkEnd w:id="112"/>
      <w:bookmarkEnd w:id="113"/>
    </w:p>
    <w:p w14:paraId="1EFA9D78" w14:textId="01AB3D8B" w:rsidR="001E1C82" w:rsidRDefault="005B75CC" w:rsidP="005B75CC">
      <w:r>
        <w:t xml:space="preserve">The </w:t>
      </w:r>
      <w:r w:rsidR="00FB3D57">
        <w:t>D</w:t>
      </w:r>
      <w:r>
        <w:t xml:space="preserve">epartment </w:t>
      </w:r>
      <w:r w:rsidR="3F4D8985">
        <w:t xml:space="preserve">will leverage Services </w:t>
      </w:r>
      <w:r w:rsidR="6BD1242C">
        <w:t>Australia’s</w:t>
      </w:r>
      <w:r>
        <w:t xml:space="preserve"> established </w:t>
      </w:r>
      <w:r w:rsidR="1E389838">
        <w:t xml:space="preserve">IT </w:t>
      </w:r>
      <w:r>
        <w:t>system</w:t>
      </w:r>
      <w:r w:rsidR="4F07753D">
        <w:t>,</w:t>
      </w:r>
      <w:r>
        <w:t xml:space="preserve"> which w</w:t>
      </w:r>
      <w:r w:rsidR="003D29FD">
        <w:t>ill</w:t>
      </w:r>
      <w:r>
        <w:t xml:space="preserve"> be utilised to deliver payments, however</w:t>
      </w:r>
      <w:r w:rsidR="24C3FDFE">
        <w:t>,</w:t>
      </w:r>
      <w:r>
        <w:t xml:space="preserve"> it will require a largely manual process and significant additional resources, especially in the short</w:t>
      </w:r>
      <w:r w:rsidR="673A3E6B">
        <w:t>-</w:t>
      </w:r>
      <w:r>
        <w:t xml:space="preserve">term. </w:t>
      </w:r>
    </w:p>
    <w:p w14:paraId="2A20D341" w14:textId="0E643395" w:rsidR="00146662" w:rsidRPr="00094699" w:rsidRDefault="30A1AF25" w:rsidP="005B75CC">
      <w:r>
        <w:t>D</w:t>
      </w:r>
      <w:r w:rsidR="00971FA3">
        <w:t xml:space="preserve">ue diligence checks on grant applications and possible workplace instrument </w:t>
      </w:r>
      <w:r w:rsidR="009B14EC">
        <w:t>assessment</w:t>
      </w:r>
      <w:r w:rsidR="2727B72A">
        <w:t>s</w:t>
      </w:r>
      <w:r w:rsidR="009B14EC">
        <w:t xml:space="preserve"> </w:t>
      </w:r>
      <w:r w:rsidR="1572D741">
        <w:t xml:space="preserve">will form </w:t>
      </w:r>
      <w:r w:rsidR="009B14EC">
        <w:t xml:space="preserve">part of </w:t>
      </w:r>
      <w:r w:rsidR="238E73E6">
        <w:t xml:space="preserve">the </w:t>
      </w:r>
      <w:r w:rsidR="009B14EC">
        <w:t>grants processing</w:t>
      </w:r>
      <w:r w:rsidR="001E1C82">
        <w:t xml:space="preserve"> requirement</w:t>
      </w:r>
      <w:r w:rsidR="701D1021">
        <w:t>s</w:t>
      </w:r>
      <w:r w:rsidR="2F4CF494">
        <w:t>.</w:t>
      </w:r>
      <w:r w:rsidR="009B14EC">
        <w:t xml:space="preserve"> </w:t>
      </w:r>
      <w:r w:rsidR="037C16CF">
        <w:t>However, i</w:t>
      </w:r>
      <w:r w:rsidR="00D370B8">
        <w:t>f th</w:t>
      </w:r>
      <w:r w:rsidR="009B14EC">
        <w:t xml:space="preserve">e Department is unable to </w:t>
      </w:r>
      <w:r w:rsidR="00143E7C">
        <w:t>recruit suitable and qualified grants assessors and IT professionals to undertake</w:t>
      </w:r>
      <w:r w:rsidR="00D370B8">
        <w:t xml:space="preserve"> </w:t>
      </w:r>
      <w:r w:rsidR="000D26BF">
        <w:t>the work in time</w:t>
      </w:r>
      <w:r w:rsidR="00D370B8">
        <w:t xml:space="preserve">, </w:t>
      </w:r>
      <w:r w:rsidR="00DB2037">
        <w:t>the grant program</w:t>
      </w:r>
      <w:r w:rsidR="000D26BF">
        <w:t xml:space="preserve"> will </w:t>
      </w:r>
      <w:r w:rsidR="00DB2037">
        <w:t>experience</w:t>
      </w:r>
      <w:r w:rsidR="008B3FB8">
        <w:t xml:space="preserve"> significant delays in grant agreement finalisation</w:t>
      </w:r>
      <w:r w:rsidR="00263E31">
        <w:t xml:space="preserve"> and in payment delivery.</w:t>
      </w:r>
      <w:r w:rsidR="008518EC">
        <w:t xml:space="preserve"> This may </w:t>
      </w:r>
      <w:r w:rsidR="000A621D">
        <w:t xml:space="preserve">cause </w:t>
      </w:r>
      <w:r w:rsidR="000A621D" w:rsidRPr="00094699">
        <w:t xml:space="preserve">considerable reputational damage to the Government and the Department. </w:t>
      </w:r>
      <w:r w:rsidR="005B75CC" w:rsidRPr="00094699">
        <w:t>This is particularly</w:t>
      </w:r>
      <w:r w:rsidR="009506E2" w:rsidRPr="00094699">
        <w:t xml:space="preserve"> relevant in the case where variations are made to the payment each service receives, </w:t>
      </w:r>
      <w:r w:rsidR="00E166B4" w:rsidRPr="00094699">
        <w:t xml:space="preserve">adoption of a </w:t>
      </w:r>
      <w:r w:rsidR="009506E2" w:rsidRPr="00094699">
        <w:t xml:space="preserve">phased funding </w:t>
      </w:r>
      <w:r w:rsidR="00E166B4" w:rsidRPr="00094699">
        <w:t>approach</w:t>
      </w:r>
      <w:r w:rsidR="009506E2" w:rsidRPr="00094699">
        <w:t xml:space="preserve">, and </w:t>
      </w:r>
      <w:r w:rsidR="00E166B4" w:rsidRPr="00094699">
        <w:t xml:space="preserve">use of </w:t>
      </w:r>
      <w:r w:rsidR="009506E2" w:rsidRPr="00094699">
        <w:t xml:space="preserve">differing funding formulas for each care type. Additionally, </w:t>
      </w:r>
      <w:r w:rsidR="00010E4C" w:rsidRPr="00094699">
        <w:t xml:space="preserve">given funding </w:t>
      </w:r>
      <w:r w:rsidR="005B75CC" w:rsidRPr="00094699">
        <w:t xml:space="preserve">will </w:t>
      </w:r>
      <w:r w:rsidR="00010E4C" w:rsidRPr="00094699">
        <w:t>likely</w:t>
      </w:r>
      <w:r w:rsidR="005B75CC" w:rsidRPr="00094699">
        <w:t xml:space="preserve"> rapidly extend to a large number of providers</w:t>
      </w:r>
      <w:r w:rsidR="00010E4C" w:rsidRPr="00094699">
        <w:t>,</w:t>
      </w:r>
      <w:r w:rsidR="005B75CC" w:rsidRPr="00094699">
        <w:t xml:space="preserve"> there </w:t>
      </w:r>
      <w:r w:rsidR="00010E4C" w:rsidRPr="00094699">
        <w:t xml:space="preserve">may be a </w:t>
      </w:r>
      <w:r w:rsidR="005B75CC" w:rsidRPr="00094699">
        <w:t xml:space="preserve">need to assess </w:t>
      </w:r>
      <w:r w:rsidR="00A63BB6" w:rsidRPr="00094699">
        <w:t xml:space="preserve">workplace instruments </w:t>
      </w:r>
      <w:r w:rsidR="005B75CC" w:rsidRPr="00094699">
        <w:t xml:space="preserve">for equivalency. </w:t>
      </w:r>
      <w:r w:rsidR="008B1C5D" w:rsidRPr="00094699">
        <w:t>To mitigate this risk,</w:t>
      </w:r>
      <w:r w:rsidR="005B75CC" w:rsidRPr="00094699">
        <w:t xml:space="preserve"> </w:t>
      </w:r>
      <w:r w:rsidR="008B1C5D" w:rsidRPr="00094699">
        <w:t>t</w:t>
      </w:r>
      <w:r w:rsidR="005B75CC" w:rsidRPr="00094699">
        <w:t xml:space="preserve">he </w:t>
      </w:r>
      <w:r w:rsidR="00FB3D57" w:rsidRPr="00094699">
        <w:t>D</w:t>
      </w:r>
      <w:r w:rsidR="005B75CC" w:rsidRPr="00094699">
        <w:t xml:space="preserve">epartment </w:t>
      </w:r>
      <w:r w:rsidR="008B1C5D" w:rsidRPr="00094699">
        <w:t>has</w:t>
      </w:r>
      <w:r w:rsidR="004B670F" w:rsidRPr="00094699">
        <w:t xml:space="preserve"> commence</w:t>
      </w:r>
      <w:r w:rsidR="008B1C5D" w:rsidRPr="00094699">
        <w:t>d the process to</w:t>
      </w:r>
      <w:r w:rsidR="004B670F" w:rsidRPr="00094699">
        <w:t xml:space="preserve"> </w:t>
      </w:r>
      <w:r w:rsidR="008B1C5D" w:rsidRPr="00094699">
        <w:t>recruit</w:t>
      </w:r>
      <w:r w:rsidR="004B670F" w:rsidRPr="00094699">
        <w:t xml:space="preserve"> </w:t>
      </w:r>
      <w:r w:rsidR="003136F8" w:rsidRPr="00094699">
        <w:t>suitable and qualified professionals to undertake these duties.</w:t>
      </w:r>
    </w:p>
    <w:p w14:paraId="0F65A039" w14:textId="0F8572D9" w:rsidR="00975EED" w:rsidRDefault="004B4354" w:rsidP="00AD14B4">
      <w:pPr>
        <w:pStyle w:val="Heading4"/>
      </w:pPr>
      <w:bookmarkStart w:id="114" w:name="_Toc160572132"/>
      <w:bookmarkStart w:id="115" w:name="_Toc160805639"/>
      <w:bookmarkStart w:id="116" w:name="_Toc162963684"/>
      <w:bookmarkStart w:id="117" w:name="_Toc219193903"/>
      <w:r>
        <w:lastRenderedPageBreak/>
        <w:t>Funding methodology</w:t>
      </w:r>
      <w:bookmarkEnd w:id="114"/>
      <w:bookmarkEnd w:id="115"/>
      <w:bookmarkEnd w:id="116"/>
      <w:bookmarkEnd w:id="117"/>
    </w:p>
    <w:p w14:paraId="13E713F2" w14:textId="03D6F2B4" w:rsidR="00DB661E" w:rsidRDefault="006D103E" w:rsidP="00DB661E">
      <w:r>
        <w:t xml:space="preserve">To be able to meet implementation timeframes, </w:t>
      </w:r>
      <w:r w:rsidR="00990C99">
        <w:t>administrative data</w:t>
      </w:r>
      <w:r w:rsidR="00B55332">
        <w:t xml:space="preserve"> </w:t>
      </w:r>
      <w:r w:rsidR="005803E4">
        <w:t>will be used to</w:t>
      </w:r>
      <w:r w:rsidR="00B55332">
        <w:t xml:space="preserve"> calculate payments</w:t>
      </w:r>
      <w:r w:rsidR="006849EA">
        <w:t>. As the</w:t>
      </w:r>
      <w:r w:rsidR="00701E1A">
        <w:t xml:space="preserve"> </w:t>
      </w:r>
      <w:r w:rsidR="00933410">
        <w:t xml:space="preserve">formula is based on averages, rather than providing a precise amount based on individual </w:t>
      </w:r>
      <w:r w:rsidR="005803E4">
        <w:t>services</w:t>
      </w:r>
      <w:r w:rsidR="00933410">
        <w:t>’</w:t>
      </w:r>
      <w:r w:rsidR="00895CBE">
        <w:t xml:space="preserve"> circumstances</w:t>
      </w:r>
      <w:r w:rsidR="005803E4">
        <w:t xml:space="preserve">, there is the possibility that some services may </w:t>
      </w:r>
      <w:r w:rsidR="009E7AF8">
        <w:t xml:space="preserve">ultimately </w:t>
      </w:r>
      <w:r w:rsidR="005803E4">
        <w:t xml:space="preserve">be </w:t>
      </w:r>
      <w:r w:rsidR="009E7AF8">
        <w:t>under or over-compensate</w:t>
      </w:r>
      <w:r w:rsidR="005803E4">
        <w:t xml:space="preserve">d. </w:t>
      </w:r>
    </w:p>
    <w:p w14:paraId="57FF232D" w14:textId="001A80E1" w:rsidR="00DA5426" w:rsidRDefault="00DA5426" w:rsidP="00DB661E">
      <w:r>
        <w:t>A more accurate payment methodology</w:t>
      </w:r>
      <w:r w:rsidR="003C7326">
        <w:t>,</w:t>
      </w:r>
      <w:r>
        <w:t xml:space="preserve"> </w:t>
      </w:r>
      <w:r w:rsidR="00866A15">
        <w:t>based on actual wage costs</w:t>
      </w:r>
      <w:r w:rsidR="003C7326">
        <w:t>,</w:t>
      </w:r>
      <w:r w:rsidR="00866A15">
        <w:t xml:space="preserve"> would require significant investment in </w:t>
      </w:r>
      <w:r w:rsidR="00B46097">
        <w:t>new systems</w:t>
      </w:r>
      <w:r w:rsidR="004251A1">
        <w:t xml:space="preserve">, </w:t>
      </w:r>
      <w:r w:rsidR="00E60820">
        <w:t xml:space="preserve">and will </w:t>
      </w:r>
      <w:r w:rsidR="004251A1">
        <w:t>considerabl</w:t>
      </w:r>
      <w:r w:rsidR="00E60820">
        <w:t>y</w:t>
      </w:r>
      <w:r w:rsidR="004251A1">
        <w:t xml:space="preserve"> delay implementation timeframes. As noted above, </w:t>
      </w:r>
      <w:r w:rsidR="00E27028">
        <w:t xml:space="preserve">an approach based on averages </w:t>
      </w:r>
      <w:r w:rsidR="00866A15">
        <w:t>mitigate</w:t>
      </w:r>
      <w:r w:rsidR="00E27028">
        <w:t>s</w:t>
      </w:r>
      <w:r w:rsidR="00866A15">
        <w:t xml:space="preserve"> the risk of perverse incentives</w:t>
      </w:r>
      <w:r w:rsidR="00C13D3A">
        <w:t>,</w:t>
      </w:r>
      <w:r w:rsidR="00866A15">
        <w:t xml:space="preserve"> such as subsidising less efficient rostering or </w:t>
      </w:r>
      <w:r w:rsidR="00E27028">
        <w:t>increasing</w:t>
      </w:r>
      <w:r w:rsidR="00866A15">
        <w:t xml:space="preserve"> fees</w:t>
      </w:r>
      <w:r w:rsidR="00E27028">
        <w:t xml:space="preserve"> to maximise </w:t>
      </w:r>
      <w:r w:rsidR="00EC1A36">
        <w:t>subsidy payments</w:t>
      </w:r>
      <w:r w:rsidR="00866A15">
        <w:t xml:space="preserve">. </w:t>
      </w:r>
    </w:p>
    <w:p w14:paraId="07A6749E" w14:textId="066F2FE6" w:rsidR="007232B5" w:rsidRDefault="007232B5" w:rsidP="00AD14B4">
      <w:pPr>
        <w:pStyle w:val="Heading4"/>
      </w:pPr>
      <w:bookmarkStart w:id="118" w:name="_Toc160572133"/>
      <w:bookmarkStart w:id="119" w:name="_Toc160805640"/>
      <w:bookmarkStart w:id="120" w:name="_Toc162963685"/>
      <w:bookmarkStart w:id="121" w:name="_Toc219193904"/>
      <w:r>
        <w:t>Timeframes</w:t>
      </w:r>
      <w:bookmarkEnd w:id="118"/>
      <w:bookmarkEnd w:id="119"/>
      <w:bookmarkEnd w:id="120"/>
      <w:bookmarkEnd w:id="121"/>
    </w:p>
    <w:p w14:paraId="12106E60" w14:textId="053AB484" w:rsidR="00426C1A" w:rsidRDefault="541152AB" w:rsidP="00090B2D">
      <w:r>
        <w:t>Employee representative groups</w:t>
      </w:r>
      <w:r w:rsidR="003202E1">
        <w:t xml:space="preserve"> have indicated </w:t>
      </w:r>
      <w:r w:rsidR="00933C63">
        <w:t xml:space="preserve">a desire </w:t>
      </w:r>
      <w:r w:rsidR="006E4307">
        <w:t>for</w:t>
      </w:r>
      <w:r w:rsidR="00113A0E">
        <w:t xml:space="preserve"> </w:t>
      </w:r>
      <w:r w:rsidR="003A5732">
        <w:t xml:space="preserve">a wage increase to take effect </w:t>
      </w:r>
      <w:r w:rsidR="003B2FA9">
        <w:t>imminently</w:t>
      </w:r>
      <w:r w:rsidR="003A5732" w:rsidRPr="00D32269">
        <w:t>.</w:t>
      </w:r>
      <w:r w:rsidR="00933C63" w:rsidRPr="00D32269">
        <w:t xml:space="preserve"> </w:t>
      </w:r>
      <w:r w:rsidR="00090B2D" w:rsidRPr="00D32269">
        <w:t>This</w:t>
      </w:r>
      <w:r w:rsidR="003B2FA9">
        <w:t xml:space="preserve"> will condense</w:t>
      </w:r>
      <w:r w:rsidR="00090B2D" w:rsidRPr="00D32269">
        <w:t xml:space="preserve"> timeframe</w:t>
      </w:r>
      <w:r w:rsidR="003B2FA9">
        <w:t>s</w:t>
      </w:r>
      <w:r w:rsidR="476D2269" w:rsidRPr="00D32269">
        <w:t xml:space="preserve"> for implementation and </w:t>
      </w:r>
      <w:r w:rsidR="00090B2D" w:rsidRPr="00D32269">
        <w:t>does not provide the</w:t>
      </w:r>
      <w:r w:rsidR="00090B2D">
        <w:t xml:space="preserve"> Commonwealth with adequate time to </w:t>
      </w:r>
      <w:r w:rsidR="00090B2D" w:rsidRPr="00C72545">
        <w:t>establish payment systems and processes</w:t>
      </w:r>
      <w:r w:rsidR="0427C48F">
        <w:t>.</w:t>
      </w:r>
      <w:r w:rsidR="7C4BF9AD">
        <w:t xml:space="preserve"> </w:t>
      </w:r>
      <w:r w:rsidR="00196004">
        <w:t>To manage the expectation of the sector</w:t>
      </w:r>
      <w:r w:rsidR="00BA3948">
        <w:t xml:space="preserve"> and to minimise criticism of a start date that is </w:t>
      </w:r>
      <w:r w:rsidR="005B378A">
        <w:t>not what the sector expected</w:t>
      </w:r>
      <w:r w:rsidR="00196004">
        <w:t xml:space="preserve">, the Department will communicate clearly the start date of the program and to </w:t>
      </w:r>
      <w:r w:rsidR="00BA3948">
        <w:t>advise interested applicants of essential eligibility for the funding and funding processes</w:t>
      </w:r>
      <w:r w:rsidR="00BB538F">
        <w:t>.</w:t>
      </w:r>
      <w:r w:rsidR="005B378A">
        <w:t xml:space="preserve"> </w:t>
      </w:r>
      <w:r w:rsidR="00F70A1C">
        <w:t>U</w:t>
      </w:r>
      <w:r w:rsidR="005B378A">
        <w:t xml:space="preserve">nder </w:t>
      </w:r>
      <w:r w:rsidR="008354B5">
        <w:t>O</w:t>
      </w:r>
      <w:r w:rsidR="005B378A">
        <w:t xml:space="preserve">ption </w:t>
      </w:r>
      <w:r w:rsidR="008354B5">
        <w:t>T</w:t>
      </w:r>
      <w:r w:rsidR="00250046">
        <w:t>hree</w:t>
      </w:r>
      <w:r w:rsidR="005B378A">
        <w:t xml:space="preserve">, providers and services will be required to </w:t>
      </w:r>
      <w:r w:rsidR="00F1007A">
        <w:t>present workplace instruments as part of grants assessment.</w:t>
      </w:r>
      <w:r w:rsidR="00680943">
        <w:t xml:space="preserve"> Proposed</w:t>
      </w:r>
      <w:r w:rsidR="00F1007A">
        <w:t xml:space="preserve"> commencement date </w:t>
      </w:r>
      <w:r w:rsidR="00250046">
        <w:t>in late 2024 or early 2025</w:t>
      </w:r>
      <w:r w:rsidR="00F1007A">
        <w:t xml:space="preserve"> will </w:t>
      </w:r>
      <w:r w:rsidR="00250046">
        <w:t>allow for</w:t>
      </w:r>
      <w:r w:rsidR="00F1007A">
        <w:t xml:space="preserve"> sufficient time </w:t>
      </w:r>
      <w:r w:rsidR="005E79D7">
        <w:t>to support</w:t>
      </w:r>
      <w:r w:rsidR="00250046">
        <w:t xml:space="preserve"> </w:t>
      </w:r>
      <w:r w:rsidR="006C55BA">
        <w:t>providers and services</w:t>
      </w:r>
      <w:r w:rsidR="00250046">
        <w:t>,</w:t>
      </w:r>
      <w:r w:rsidR="006C55BA">
        <w:t xml:space="preserve"> and educators</w:t>
      </w:r>
      <w:r w:rsidR="005E79D7">
        <w:t xml:space="preserve"> to</w:t>
      </w:r>
      <w:r w:rsidR="00613928">
        <w:t xml:space="preserve"> prepare for</w:t>
      </w:r>
      <w:r w:rsidR="00250046">
        <w:t xml:space="preserve"> </w:t>
      </w:r>
      <w:r w:rsidR="00613928">
        <w:t>required workplace instrument</w:t>
      </w:r>
      <w:r w:rsidR="009701D8">
        <w:t>s.</w:t>
      </w:r>
      <w:r w:rsidR="00BA3948">
        <w:t xml:space="preserve"> </w:t>
      </w:r>
    </w:p>
    <w:p w14:paraId="46E3F94B" w14:textId="0444FF1F" w:rsidR="00090B2D" w:rsidRDefault="65EA59F6" w:rsidP="35771FF5">
      <w:pPr>
        <w:rPr>
          <w:highlight w:val="yellow"/>
        </w:rPr>
      </w:pPr>
      <w:r>
        <w:t>To minimise the risk for the Department</w:t>
      </w:r>
      <w:r w:rsidR="5DFFDA67">
        <w:t>, the 2024-25 Budget ha</w:t>
      </w:r>
      <w:r w:rsidR="73DE7A71">
        <w:t>s committed</w:t>
      </w:r>
      <w:r w:rsidR="5DFFDA67">
        <w:t xml:space="preserve"> to </w:t>
      </w:r>
      <w:r w:rsidR="297B5A6B">
        <w:t>provid</w:t>
      </w:r>
      <w:r w:rsidR="6738635E">
        <w:t>ing</w:t>
      </w:r>
      <w:r w:rsidR="5DFFDA67">
        <w:t xml:space="preserve"> resources to commence </w:t>
      </w:r>
      <w:r w:rsidR="1043A213">
        <w:t xml:space="preserve">wage increase </w:t>
      </w:r>
      <w:r w:rsidR="5DFFDA67">
        <w:t xml:space="preserve">implementation work on IT and payment </w:t>
      </w:r>
      <w:r w:rsidR="120FDAB1">
        <w:t>services</w:t>
      </w:r>
      <w:r w:rsidR="5483B551">
        <w:t xml:space="preserve">. Following the </w:t>
      </w:r>
      <w:r w:rsidR="3D058A54">
        <w:t>Budget announcement</w:t>
      </w:r>
      <w:r w:rsidR="5483B551">
        <w:t xml:space="preserve">, the Department has commenced relevant work to ensure implementation </w:t>
      </w:r>
      <w:r w:rsidR="606D74A5">
        <w:t>is</w:t>
      </w:r>
      <w:r w:rsidR="669C50AE">
        <w:t xml:space="preserve"> under </w:t>
      </w:r>
      <w:r w:rsidR="3F673667">
        <w:t>w</w:t>
      </w:r>
      <w:r w:rsidR="4A178C42">
        <w:t>ay</w:t>
      </w:r>
      <w:r w:rsidR="7B9F63AB">
        <w:t xml:space="preserve"> </w:t>
      </w:r>
      <w:r w:rsidR="0781FD41">
        <w:t>to</w:t>
      </w:r>
      <w:r w:rsidR="7B9F63AB">
        <w:t xml:space="preserve"> meet the timeframe</w:t>
      </w:r>
      <w:r w:rsidR="72096743">
        <w:t>s</w:t>
      </w:r>
      <w:r w:rsidR="7B9F63AB">
        <w:t xml:space="preserve"> </w:t>
      </w:r>
      <w:r w:rsidR="09978C0A">
        <w:t>with a program start date in</w:t>
      </w:r>
      <w:r w:rsidR="5B6BD8C4">
        <w:t xml:space="preserve"> </w:t>
      </w:r>
      <w:r w:rsidR="0781FD41">
        <w:t>late</w:t>
      </w:r>
      <w:r w:rsidR="7B9F63AB">
        <w:t xml:space="preserve"> 2024</w:t>
      </w:r>
      <w:r w:rsidR="73EC2233">
        <w:t xml:space="preserve"> or early 2025</w:t>
      </w:r>
      <w:r w:rsidR="3F673667">
        <w:t>.</w:t>
      </w:r>
      <w:r w:rsidR="669C50AE">
        <w:t xml:space="preserve"> </w:t>
      </w:r>
    </w:p>
    <w:p w14:paraId="384D58F1" w14:textId="54B04532" w:rsidR="00A13172" w:rsidRDefault="00F964C7" w:rsidP="00F964C7">
      <w:pPr>
        <w:pStyle w:val="Heading5"/>
      </w:pPr>
      <w:r>
        <w:t>Long</w:t>
      </w:r>
      <w:r w:rsidR="0054660F">
        <w:t>-</w:t>
      </w:r>
      <w:r>
        <w:t>term funding approaches</w:t>
      </w:r>
    </w:p>
    <w:p w14:paraId="53794C97" w14:textId="3DFEA397" w:rsidR="000E7A71" w:rsidRDefault="006A174F" w:rsidP="006A174F">
      <w:r>
        <w:t xml:space="preserve">Should Government </w:t>
      </w:r>
      <w:r w:rsidR="008F009D">
        <w:t xml:space="preserve">look to </w:t>
      </w:r>
      <w:r>
        <w:t xml:space="preserve">extend funding beyond the initial scope, </w:t>
      </w:r>
      <w:r w:rsidR="00437265">
        <w:t>the</w:t>
      </w:r>
      <w:r w:rsidR="000E7A71">
        <w:t>re</w:t>
      </w:r>
      <w:r w:rsidR="00437265">
        <w:t xml:space="preserve"> may be an opportunity to develop a more automated payment delivery system. Such a system could allow</w:t>
      </w:r>
      <w:r>
        <w:t xml:space="preserve"> providers to regularly supply information </w:t>
      </w:r>
      <w:r w:rsidR="00437265">
        <w:t>on</w:t>
      </w:r>
      <w:r>
        <w:t xml:space="preserve"> staff </w:t>
      </w:r>
      <w:r w:rsidR="00437265">
        <w:t xml:space="preserve">working hours </w:t>
      </w:r>
      <w:r>
        <w:t xml:space="preserve">and accompanying qualification level or award rate, allowing </w:t>
      </w:r>
      <w:r w:rsidR="00650EB2">
        <w:t xml:space="preserve">for a </w:t>
      </w:r>
      <w:r w:rsidR="0065148D">
        <w:t xml:space="preserve">much more </w:t>
      </w:r>
      <w:r>
        <w:t>precise calculation of payments</w:t>
      </w:r>
      <w:r w:rsidR="007379B4">
        <w:t xml:space="preserve"> tha</w:t>
      </w:r>
      <w:r w:rsidR="00C22E6E">
        <w:t xml:space="preserve">n </w:t>
      </w:r>
      <w:r w:rsidR="007379B4">
        <w:t xml:space="preserve">what is </w:t>
      </w:r>
      <w:r w:rsidR="00282064">
        <w:t>currently</w:t>
      </w:r>
      <w:r w:rsidR="007379B4">
        <w:t xml:space="preserve"> available</w:t>
      </w:r>
      <w:r w:rsidR="007056A8">
        <w:t xml:space="preserve"> </w:t>
      </w:r>
      <w:r w:rsidR="00C22E6E">
        <w:t xml:space="preserve">to be </w:t>
      </w:r>
      <w:r>
        <w:t xml:space="preserve">delivered </w:t>
      </w:r>
      <w:r w:rsidR="00C22E6E">
        <w:t xml:space="preserve">automatically </w:t>
      </w:r>
      <w:r>
        <w:t>by the CCS System.</w:t>
      </w:r>
      <w:r w:rsidR="00437265">
        <w:t xml:space="preserve"> </w:t>
      </w:r>
    </w:p>
    <w:p w14:paraId="5F1AF723" w14:textId="53DF58A6" w:rsidR="00F964C7" w:rsidRPr="00F964C7" w:rsidRDefault="00795EF4" w:rsidP="006A174F">
      <w:r>
        <w:t>Changes to</w:t>
      </w:r>
      <w:r w:rsidR="007D05BD">
        <w:t xml:space="preserve"> the CCS System</w:t>
      </w:r>
      <w:r w:rsidR="006A174F">
        <w:t xml:space="preserve"> to support th</w:t>
      </w:r>
      <w:r w:rsidR="007D05BD">
        <w:t xml:space="preserve">e </w:t>
      </w:r>
      <w:r w:rsidR="453EAB5A">
        <w:t>wage increase</w:t>
      </w:r>
      <w:r w:rsidR="007D05BD">
        <w:t xml:space="preserve"> </w:t>
      </w:r>
      <w:r w:rsidR="00DA16AB">
        <w:t>would take an estimated</w:t>
      </w:r>
      <w:r w:rsidR="006A174F">
        <w:t xml:space="preserve"> 12-18 months and </w:t>
      </w:r>
      <w:r>
        <w:t>would</w:t>
      </w:r>
      <w:r w:rsidR="006A174F">
        <w:t xml:space="preserve"> likely </w:t>
      </w:r>
      <w:r w:rsidR="00B52173">
        <w:t>require</w:t>
      </w:r>
      <w:r w:rsidR="006A174F">
        <w:t xml:space="preserve"> changes to primary legislation and policy</w:t>
      </w:r>
      <w:r w:rsidR="00315FC7">
        <w:t xml:space="preserve"> with</w:t>
      </w:r>
      <w:r w:rsidR="00B52173">
        <w:t xml:space="preserve"> </w:t>
      </w:r>
      <w:r w:rsidR="006A174F">
        <w:t>a large upfront investment to develop. Th</w:t>
      </w:r>
      <w:r>
        <w:t>e</w:t>
      </w:r>
      <w:r w:rsidR="006A174F">
        <w:t xml:space="preserve"> timeframe means the </w:t>
      </w:r>
      <w:r w:rsidR="3D2F970E">
        <w:t>IT</w:t>
      </w:r>
      <w:r w:rsidR="006A174F">
        <w:t xml:space="preserve"> build </w:t>
      </w:r>
      <w:r>
        <w:t xml:space="preserve">could </w:t>
      </w:r>
      <w:r w:rsidR="006A174F">
        <w:t>incorporate</w:t>
      </w:r>
      <w:r w:rsidR="008D7530">
        <w:t xml:space="preserve"> other capabilities</w:t>
      </w:r>
      <w:r w:rsidR="006A174F">
        <w:t xml:space="preserve">, for example, collecting information that could be used to drive improvements to quality and child-safety, and integrating findings under </w:t>
      </w:r>
      <w:r w:rsidR="002F585F">
        <w:t>the P</w:t>
      </w:r>
      <w:r w:rsidR="00A97998">
        <w:t>C</w:t>
      </w:r>
      <w:r w:rsidR="006A174F">
        <w:t xml:space="preserve"> and </w:t>
      </w:r>
      <w:r w:rsidR="25DC4C47">
        <w:t xml:space="preserve">the </w:t>
      </w:r>
      <w:r w:rsidR="006A174F">
        <w:t>A</w:t>
      </w:r>
      <w:r w:rsidR="00A97998">
        <w:t>CCC</w:t>
      </w:r>
      <w:r w:rsidR="006A174F">
        <w:t xml:space="preserve"> </w:t>
      </w:r>
      <w:r w:rsidR="00E25B83">
        <w:t>i</w:t>
      </w:r>
      <w:r w:rsidR="006A174F">
        <w:t>nquiries.</w:t>
      </w:r>
      <w:r w:rsidR="07536F4B">
        <w:t> </w:t>
      </w:r>
      <w:r w:rsidR="1A0D5EE5">
        <w:t>Such</w:t>
      </w:r>
      <w:r w:rsidR="008D7530">
        <w:t xml:space="preserve"> capabilities would need to be</w:t>
      </w:r>
      <w:r w:rsidR="00816082">
        <w:t xml:space="preserve"> developed as separate policy options.</w:t>
      </w:r>
    </w:p>
    <w:p w14:paraId="32DF35AF" w14:textId="512D802D" w:rsidR="00DB0592" w:rsidRDefault="00DB0592" w:rsidP="00DB0592">
      <w:pPr>
        <w:pStyle w:val="Heading3"/>
      </w:pPr>
      <w:bookmarkStart w:id="122" w:name="_Toc219193905"/>
      <w:r>
        <w:t>Re</w:t>
      </w:r>
      <w:r w:rsidR="00612C5F">
        <w:t>view</w:t>
      </w:r>
      <w:bookmarkEnd w:id="122"/>
    </w:p>
    <w:p w14:paraId="690F9BF1" w14:textId="3DDE3512" w:rsidR="00B73AF4" w:rsidRDefault="00B73AF4" w:rsidP="00B73AF4">
      <w:r>
        <w:t xml:space="preserve">The overall success metrics include the accessibility, affordability, and quality of ECEC. This proposal seeks to support a motivated and skilled workforce essential to the provision of </w:t>
      </w:r>
      <w:r w:rsidR="00CF043B">
        <w:t xml:space="preserve">ECEC </w:t>
      </w:r>
      <w:r>
        <w:t xml:space="preserve">services. Educators, </w:t>
      </w:r>
      <w:r w:rsidR="002F585F">
        <w:t>ECTs</w:t>
      </w:r>
      <w:r>
        <w:t xml:space="preserve"> and centre managers drive the quality, reputation and viability of providers through the education, care and connections they provide. Government support will mitigate the impact that current educator shortages have on the supply and cost of </w:t>
      </w:r>
      <w:r w:rsidR="00735FEB">
        <w:t>ECEC</w:t>
      </w:r>
      <w:r>
        <w:t xml:space="preserve">. </w:t>
      </w:r>
    </w:p>
    <w:p w14:paraId="6913F26D" w14:textId="37D15182" w:rsidR="00B73AF4" w:rsidRDefault="46E439F5" w:rsidP="00B73AF4">
      <w:r>
        <w:lastRenderedPageBreak/>
        <w:t xml:space="preserve">The </w:t>
      </w:r>
      <w:r w:rsidR="66882CA4">
        <w:t>D</w:t>
      </w:r>
      <w:r>
        <w:t>epartment will continue to closely monitor the ECEC market using a mix of indicators</w:t>
      </w:r>
      <w:r w:rsidR="7E0113D6">
        <w:t>, including</w:t>
      </w:r>
      <w:r>
        <w:t xml:space="preserve"> existing monitoring and evaluation mechanisms</w:t>
      </w:r>
      <w:r w:rsidR="18670DC9">
        <w:t xml:space="preserve">, such as </w:t>
      </w:r>
      <w:r>
        <w:t>regular monitoring of the workforce and fees in</w:t>
      </w:r>
      <w:r w:rsidR="5F737494">
        <w:t xml:space="preserve"> </w:t>
      </w:r>
      <w:r w:rsidR="18670DC9">
        <w:t>service</w:t>
      </w:r>
      <w:r w:rsidR="1DEA8F8D">
        <w:t>s</w:t>
      </w:r>
      <w:r>
        <w:t xml:space="preserve">. As noted above, success will be measured against a number of targets including workforce retention, workforce supply, reducing workforce shortages and increasing affordability of care.  </w:t>
      </w:r>
    </w:p>
    <w:p w14:paraId="17FDEA90" w14:textId="77777777" w:rsidR="00B73AF4" w:rsidRDefault="00B73AF4" w:rsidP="00B73AF4">
      <w:r>
        <w:t xml:space="preserve"> Other considerations include: </w:t>
      </w:r>
    </w:p>
    <w:p w14:paraId="6E5BE6A8" w14:textId="73F021AF" w:rsidR="00B73AF4" w:rsidRDefault="00B73AF4" w:rsidP="00294347">
      <w:pPr>
        <w:pStyle w:val="ListParagraph"/>
        <w:numPr>
          <w:ilvl w:val="0"/>
          <w:numId w:val="79"/>
        </w:numPr>
      </w:pPr>
      <w:r>
        <w:t>conducting sensitivity analysis on fee increases and thresholds</w:t>
      </w:r>
      <w:r w:rsidR="00294347">
        <w:t>,</w:t>
      </w:r>
      <w:r>
        <w:t xml:space="preserve"> </w:t>
      </w:r>
    </w:p>
    <w:p w14:paraId="3A6CE2EC" w14:textId="13FD6DF3" w:rsidR="00B73AF4" w:rsidRDefault="00B73AF4" w:rsidP="00294347">
      <w:pPr>
        <w:pStyle w:val="ListParagraph"/>
        <w:numPr>
          <w:ilvl w:val="0"/>
          <w:numId w:val="79"/>
        </w:numPr>
      </w:pPr>
      <w:r>
        <w:t>economic modelling of fee increases for families and providers</w:t>
      </w:r>
      <w:r w:rsidR="00294347">
        <w:t>,</w:t>
      </w:r>
      <w:r>
        <w:t xml:space="preserve"> </w:t>
      </w:r>
    </w:p>
    <w:p w14:paraId="03B82B1F" w14:textId="7A5CC653" w:rsidR="00B73AF4" w:rsidRDefault="00B73AF4" w:rsidP="00294347">
      <w:pPr>
        <w:pStyle w:val="ListParagraph"/>
        <w:numPr>
          <w:ilvl w:val="0"/>
          <w:numId w:val="79"/>
        </w:numPr>
      </w:pPr>
      <w:r>
        <w:t xml:space="preserve">using </w:t>
      </w:r>
      <w:r w:rsidR="00FB3D57">
        <w:t>D</w:t>
      </w:r>
      <w:r>
        <w:t>epartmental administrative data to analyse cost trends</w:t>
      </w:r>
      <w:r w:rsidR="00294347">
        <w:t>,</w:t>
      </w:r>
      <w:r>
        <w:t xml:space="preserve"> </w:t>
      </w:r>
    </w:p>
    <w:p w14:paraId="7CE7536E" w14:textId="77777777" w:rsidR="00B73AF4" w:rsidRDefault="00B73AF4" w:rsidP="00294347">
      <w:pPr>
        <w:pStyle w:val="ListParagraph"/>
        <w:numPr>
          <w:ilvl w:val="0"/>
          <w:numId w:val="79"/>
        </w:numPr>
      </w:pPr>
      <w:r>
        <w:t xml:space="preserve">testing impacts of different indexation rates (e.g., CPI, WPI, earnings etc.), and </w:t>
      </w:r>
    </w:p>
    <w:p w14:paraId="68C4C923" w14:textId="5DF18938" w:rsidR="00B73AF4" w:rsidRPr="00B73AF4" w:rsidRDefault="00B73AF4" w:rsidP="00294347">
      <w:pPr>
        <w:pStyle w:val="ListParagraph"/>
        <w:numPr>
          <w:ilvl w:val="0"/>
          <w:numId w:val="79"/>
        </w:numPr>
      </w:pPr>
      <w:r>
        <w:t>investigating other conditions that could be imposed to support affordability for families</w:t>
      </w:r>
      <w:r w:rsidR="00294347">
        <w:t>.</w:t>
      </w:r>
    </w:p>
    <w:p w14:paraId="1D4B39E2" w14:textId="1F90A235" w:rsidR="00E50C88" w:rsidRPr="00E50C88" w:rsidRDefault="00E50C88" w:rsidP="00E50C88">
      <w:pPr>
        <w:pStyle w:val="Heading4"/>
        <w:rPr>
          <w:rFonts w:ascii="Segoe UI Symbol" w:eastAsia="Times New Roman" w:hAnsi="Segoe UI Symbol" w:cs="Times New Roman"/>
          <w:sz w:val="18"/>
          <w:szCs w:val="18"/>
          <w:lang w:eastAsia="en-AU"/>
        </w:rPr>
      </w:pPr>
      <w:bookmarkStart w:id="123" w:name="_Toc160572135"/>
      <w:bookmarkStart w:id="124" w:name="_Toc162963687"/>
      <w:bookmarkStart w:id="125" w:name="_Toc219193906"/>
      <w:r>
        <w:rPr>
          <w:rFonts w:eastAsia="Times New Roman"/>
          <w:lang w:eastAsia="en-AU"/>
        </w:rPr>
        <w:t>H</w:t>
      </w:r>
      <w:r w:rsidRPr="00E50C88">
        <w:rPr>
          <w:rFonts w:eastAsia="Times New Roman"/>
          <w:lang w:eastAsia="en-AU"/>
        </w:rPr>
        <w:t>ow success will be measured </w:t>
      </w:r>
      <w:bookmarkEnd w:id="123"/>
      <w:bookmarkEnd w:id="124"/>
      <w:bookmarkEnd w:id="125"/>
      <w:r w:rsidRPr="00E50C88">
        <w:rPr>
          <w:rFonts w:eastAsia="Times New Roman"/>
          <w:lang w:eastAsia="en-AU"/>
        </w:rPr>
        <w:t> </w:t>
      </w:r>
    </w:p>
    <w:p w14:paraId="69F8678B" w14:textId="0B347302" w:rsidR="00E50C88" w:rsidRDefault="38559DB4" w:rsidP="35771FF5">
      <w:pPr>
        <w:spacing w:after="0" w:line="240" w:lineRule="auto"/>
        <w:textAlignment w:val="baseline"/>
        <w:rPr>
          <w:rFonts w:asciiTheme="majorHAnsi" w:eastAsia="Times New Roman" w:hAnsiTheme="majorHAnsi" w:cstheme="majorBidi"/>
          <w:lang w:eastAsia="en-AU"/>
        </w:rPr>
      </w:pPr>
      <w:r w:rsidRPr="35771FF5">
        <w:rPr>
          <w:rFonts w:asciiTheme="majorHAnsi" w:eastAsia="Times New Roman" w:hAnsiTheme="majorHAnsi" w:cstheme="majorBidi"/>
          <w:lang w:eastAsia="en-AU"/>
        </w:rPr>
        <w:t xml:space="preserve">Achieving high quality, universal </w:t>
      </w:r>
      <w:r w:rsidR="77E28620" w:rsidRPr="35771FF5">
        <w:rPr>
          <w:rFonts w:asciiTheme="majorHAnsi" w:eastAsia="Times New Roman" w:hAnsiTheme="majorHAnsi" w:cstheme="majorBidi"/>
          <w:lang w:eastAsia="en-AU"/>
        </w:rPr>
        <w:t>ECEC</w:t>
      </w:r>
      <w:r w:rsidRPr="35771FF5">
        <w:rPr>
          <w:rFonts w:asciiTheme="majorHAnsi" w:eastAsia="Times New Roman" w:hAnsiTheme="majorHAnsi" w:cstheme="majorBidi"/>
          <w:lang w:eastAsia="en-AU"/>
        </w:rPr>
        <w:t xml:space="preserve"> through workforce and affordability measures includes recognising the value of the work done by ECTs and educators in ECEC, </w:t>
      </w:r>
      <w:r w:rsidR="47457B2A" w:rsidRPr="35771FF5">
        <w:rPr>
          <w:rFonts w:asciiTheme="majorHAnsi" w:eastAsia="Times New Roman" w:hAnsiTheme="majorHAnsi" w:cstheme="majorBidi"/>
          <w:lang w:eastAsia="en-AU"/>
        </w:rPr>
        <w:t>provid</w:t>
      </w:r>
      <w:r w:rsidR="582F0404" w:rsidRPr="35771FF5">
        <w:rPr>
          <w:rFonts w:asciiTheme="majorHAnsi" w:eastAsia="Times New Roman" w:hAnsiTheme="majorHAnsi" w:cstheme="majorBidi"/>
          <w:lang w:eastAsia="en-AU"/>
        </w:rPr>
        <w:t>ing</w:t>
      </w:r>
      <w:r w:rsidRPr="35771FF5">
        <w:rPr>
          <w:rFonts w:asciiTheme="majorHAnsi" w:eastAsia="Times New Roman" w:hAnsiTheme="majorHAnsi" w:cstheme="majorBidi"/>
          <w:lang w:eastAsia="en-AU"/>
        </w:rPr>
        <w:t xml:space="preserve"> better pay and conditions, and improving the approach to qualification pathways that would enable</w:t>
      </w:r>
      <w:r w:rsidR="389005E9" w:rsidRPr="35771FF5">
        <w:rPr>
          <w:rFonts w:asciiTheme="majorHAnsi" w:eastAsia="Times New Roman" w:hAnsiTheme="majorHAnsi" w:cstheme="majorBidi"/>
          <w:lang w:eastAsia="en-AU"/>
        </w:rPr>
        <w:t xml:space="preserve"> new entrants</w:t>
      </w:r>
      <w:r w:rsidRPr="35771FF5">
        <w:rPr>
          <w:rFonts w:asciiTheme="majorHAnsi" w:eastAsia="Times New Roman" w:hAnsiTheme="majorHAnsi" w:cstheme="majorBidi"/>
          <w:lang w:eastAsia="en-AU"/>
        </w:rPr>
        <w:t xml:space="preserve"> to </w:t>
      </w:r>
      <w:r w:rsidR="389005E9" w:rsidRPr="35771FF5">
        <w:rPr>
          <w:rFonts w:asciiTheme="majorHAnsi" w:eastAsia="Times New Roman" w:hAnsiTheme="majorHAnsi" w:cstheme="majorBidi"/>
          <w:lang w:eastAsia="en-AU"/>
        </w:rPr>
        <w:t>join the workforce.</w:t>
      </w:r>
      <w:r w:rsidRPr="35771FF5">
        <w:rPr>
          <w:rFonts w:asciiTheme="majorHAnsi" w:eastAsia="Times New Roman" w:hAnsiTheme="majorHAnsi" w:cstheme="majorBidi"/>
          <w:lang w:eastAsia="en-AU"/>
        </w:rPr>
        <w:t xml:space="preserve"> While this</w:t>
      </w:r>
      <w:r w:rsidR="7F262717" w:rsidRPr="35771FF5">
        <w:rPr>
          <w:rFonts w:asciiTheme="majorHAnsi" w:eastAsia="Times New Roman" w:hAnsiTheme="majorHAnsi" w:cstheme="majorBidi"/>
          <w:lang w:eastAsia="en-AU"/>
        </w:rPr>
        <w:t xml:space="preserve"> is</w:t>
      </w:r>
      <w:r w:rsidRPr="35771FF5">
        <w:rPr>
          <w:rFonts w:asciiTheme="majorHAnsi" w:eastAsia="Times New Roman" w:hAnsiTheme="majorHAnsi" w:cstheme="majorBidi"/>
          <w:lang w:eastAsia="en-AU"/>
        </w:rPr>
        <w:t xml:space="preserve"> the immediate priority, the results of policy reform in this area will only be evident in the medium term.  </w:t>
      </w:r>
    </w:p>
    <w:p w14:paraId="2512E808" w14:textId="77777777" w:rsidR="00430C84" w:rsidRDefault="00430C84" w:rsidP="00E50C88">
      <w:pPr>
        <w:spacing w:after="0" w:line="240" w:lineRule="auto"/>
        <w:textAlignment w:val="baseline"/>
        <w:rPr>
          <w:rFonts w:asciiTheme="majorHAnsi" w:eastAsia="Times New Roman" w:hAnsiTheme="majorHAnsi" w:cstheme="majorHAnsi"/>
          <w:lang w:eastAsia="en-AU"/>
        </w:rPr>
      </w:pPr>
    </w:p>
    <w:p w14:paraId="3C1B9086" w14:textId="01E41FEC" w:rsidR="005B399D" w:rsidRDefault="05CE1A35" w:rsidP="35771FF5">
      <w:pPr>
        <w:spacing w:after="0" w:line="240" w:lineRule="auto"/>
        <w:textAlignment w:val="baseline"/>
        <w:rPr>
          <w:rFonts w:asciiTheme="majorHAnsi" w:eastAsia="Times New Roman" w:hAnsiTheme="majorHAnsi" w:cstheme="majorBidi"/>
          <w:lang w:eastAsia="en-AU"/>
        </w:rPr>
      </w:pPr>
      <w:r w:rsidRPr="35771FF5">
        <w:rPr>
          <w:rFonts w:asciiTheme="majorHAnsi" w:eastAsia="Times New Roman" w:hAnsiTheme="majorHAnsi" w:cstheme="majorBidi"/>
          <w:lang w:eastAsia="en-AU"/>
        </w:rPr>
        <w:t xml:space="preserve">Targets include </w:t>
      </w:r>
      <w:r w:rsidR="0C558909" w:rsidRPr="35771FF5">
        <w:rPr>
          <w:rFonts w:asciiTheme="majorHAnsi" w:eastAsia="Times New Roman" w:hAnsiTheme="majorHAnsi" w:cstheme="majorBidi"/>
          <w:lang w:eastAsia="en-AU"/>
        </w:rPr>
        <w:t>impr</w:t>
      </w:r>
      <w:r w:rsidR="1F30E109" w:rsidRPr="35771FF5">
        <w:rPr>
          <w:rFonts w:asciiTheme="majorHAnsi" w:eastAsia="Times New Roman" w:hAnsiTheme="majorHAnsi" w:cstheme="majorBidi"/>
          <w:lang w:eastAsia="en-AU"/>
        </w:rPr>
        <w:t xml:space="preserve">ovements </w:t>
      </w:r>
      <w:r w:rsidR="359CDE4B" w:rsidRPr="35771FF5">
        <w:rPr>
          <w:rFonts w:asciiTheme="majorHAnsi" w:eastAsia="Times New Roman" w:hAnsiTheme="majorHAnsi" w:cstheme="majorBidi"/>
          <w:lang w:eastAsia="en-AU"/>
        </w:rPr>
        <w:t xml:space="preserve">to </w:t>
      </w:r>
      <w:r w:rsidR="2EFB54DC" w:rsidRPr="35771FF5">
        <w:rPr>
          <w:rFonts w:asciiTheme="majorHAnsi" w:eastAsia="Times New Roman" w:hAnsiTheme="majorHAnsi" w:cstheme="majorBidi"/>
          <w:lang w:eastAsia="en-AU"/>
        </w:rPr>
        <w:t>workforce retention and supply</w:t>
      </w:r>
      <w:r w:rsidR="12026D40" w:rsidRPr="35771FF5">
        <w:rPr>
          <w:rFonts w:asciiTheme="majorHAnsi" w:eastAsia="Times New Roman" w:hAnsiTheme="majorHAnsi" w:cstheme="majorBidi"/>
          <w:lang w:eastAsia="en-AU"/>
        </w:rPr>
        <w:t>,</w:t>
      </w:r>
      <w:r w:rsidR="3716C590" w:rsidRPr="35771FF5">
        <w:rPr>
          <w:rFonts w:asciiTheme="majorHAnsi" w:eastAsia="Times New Roman" w:hAnsiTheme="majorHAnsi" w:cstheme="majorBidi"/>
          <w:lang w:eastAsia="en-AU"/>
        </w:rPr>
        <w:t xml:space="preserve"> and a reduction in workforce shortages</w:t>
      </w:r>
      <w:r w:rsidR="14673B7A" w:rsidRPr="35771FF5">
        <w:rPr>
          <w:rFonts w:asciiTheme="majorHAnsi" w:eastAsia="Times New Roman" w:hAnsiTheme="majorHAnsi" w:cstheme="majorBidi"/>
          <w:lang w:eastAsia="en-AU"/>
        </w:rPr>
        <w:t xml:space="preserve">, as well as </w:t>
      </w:r>
      <w:r w:rsidR="13E04416" w:rsidRPr="35771FF5">
        <w:rPr>
          <w:rFonts w:asciiTheme="majorHAnsi" w:eastAsia="Times New Roman" w:hAnsiTheme="majorHAnsi" w:cstheme="majorBidi"/>
          <w:lang w:eastAsia="en-AU"/>
        </w:rPr>
        <w:t>ensuring affordability of childcare</w:t>
      </w:r>
      <w:r w:rsidR="04939BFE" w:rsidRPr="35771FF5">
        <w:rPr>
          <w:rFonts w:asciiTheme="majorHAnsi" w:eastAsia="Times New Roman" w:hAnsiTheme="majorHAnsi" w:cstheme="majorBidi"/>
          <w:lang w:eastAsia="en-AU"/>
        </w:rPr>
        <w:t>.</w:t>
      </w:r>
      <w:r w:rsidR="01E45EDF" w:rsidRPr="35771FF5">
        <w:rPr>
          <w:rFonts w:asciiTheme="majorHAnsi" w:eastAsia="Times New Roman" w:hAnsiTheme="majorHAnsi" w:cstheme="majorBidi"/>
          <w:lang w:eastAsia="en-AU"/>
        </w:rPr>
        <w:t xml:space="preserve"> </w:t>
      </w:r>
      <w:r w:rsidR="04939BFE" w:rsidRPr="35771FF5">
        <w:rPr>
          <w:rFonts w:asciiTheme="majorHAnsi" w:eastAsia="Times New Roman" w:hAnsiTheme="majorHAnsi" w:cstheme="majorBidi"/>
          <w:lang w:eastAsia="en-AU"/>
        </w:rPr>
        <w:t>Q</w:t>
      </w:r>
      <w:r w:rsidR="01E45EDF" w:rsidRPr="35771FF5">
        <w:rPr>
          <w:rFonts w:asciiTheme="majorHAnsi" w:eastAsia="Times New Roman" w:hAnsiTheme="majorHAnsi" w:cstheme="majorBidi"/>
          <w:lang w:eastAsia="en-AU"/>
        </w:rPr>
        <w:t xml:space="preserve">uantitative data </w:t>
      </w:r>
      <w:r w:rsidR="04939BFE" w:rsidRPr="35771FF5">
        <w:rPr>
          <w:rFonts w:asciiTheme="majorHAnsi" w:eastAsia="Times New Roman" w:hAnsiTheme="majorHAnsi" w:cstheme="majorBidi"/>
          <w:lang w:eastAsia="en-AU"/>
        </w:rPr>
        <w:t xml:space="preserve">for assessing the outcomes </w:t>
      </w:r>
      <w:r w:rsidR="01E45EDF" w:rsidRPr="35771FF5">
        <w:rPr>
          <w:rFonts w:asciiTheme="majorHAnsi" w:eastAsia="Times New Roman" w:hAnsiTheme="majorHAnsi" w:cstheme="majorBidi"/>
          <w:lang w:eastAsia="en-AU"/>
        </w:rPr>
        <w:t xml:space="preserve">can be captured through a </w:t>
      </w:r>
      <w:r w:rsidR="4600EA6A" w:rsidRPr="35771FF5">
        <w:rPr>
          <w:rFonts w:asciiTheme="majorHAnsi" w:eastAsia="Times New Roman" w:hAnsiTheme="majorHAnsi" w:cstheme="majorBidi"/>
          <w:lang w:eastAsia="en-AU"/>
        </w:rPr>
        <w:t>mixture of existing r</w:t>
      </w:r>
      <w:r w:rsidR="00E3215E" w:rsidRPr="35771FF5">
        <w:rPr>
          <w:rFonts w:asciiTheme="majorHAnsi" w:eastAsia="Times New Roman" w:hAnsiTheme="majorHAnsi" w:cstheme="majorBidi"/>
          <w:lang w:eastAsia="en-AU"/>
        </w:rPr>
        <w:t xml:space="preserve">eporting mechanisms and </w:t>
      </w:r>
      <w:r w:rsidR="0A8DAC3C" w:rsidRPr="35771FF5">
        <w:rPr>
          <w:rFonts w:asciiTheme="majorHAnsi" w:eastAsia="Times New Roman" w:hAnsiTheme="majorHAnsi" w:cstheme="majorBidi"/>
          <w:lang w:eastAsia="en-AU"/>
        </w:rPr>
        <w:t xml:space="preserve">through the </w:t>
      </w:r>
      <w:r w:rsidR="12026D40" w:rsidRPr="35771FF5">
        <w:rPr>
          <w:rFonts w:asciiTheme="majorHAnsi" w:eastAsia="Times New Roman" w:hAnsiTheme="majorHAnsi" w:cstheme="majorBidi"/>
          <w:lang w:eastAsia="en-AU"/>
        </w:rPr>
        <w:t>evaluation of</w:t>
      </w:r>
      <w:r w:rsidR="4BF081BA" w:rsidRPr="35771FF5">
        <w:rPr>
          <w:rFonts w:asciiTheme="majorHAnsi" w:eastAsia="Times New Roman" w:hAnsiTheme="majorHAnsi" w:cstheme="majorBidi"/>
          <w:lang w:eastAsia="en-AU"/>
        </w:rPr>
        <w:t xml:space="preserve"> policy </w:t>
      </w:r>
      <w:r w:rsidR="0A8DAC3C" w:rsidRPr="35771FF5">
        <w:rPr>
          <w:rFonts w:asciiTheme="majorHAnsi" w:eastAsia="Times New Roman" w:hAnsiTheme="majorHAnsi" w:cstheme="majorBidi"/>
          <w:lang w:eastAsia="en-AU"/>
        </w:rPr>
        <w:t>implementation</w:t>
      </w:r>
      <w:r w:rsidR="48168474" w:rsidRPr="35771FF5">
        <w:rPr>
          <w:rFonts w:asciiTheme="majorHAnsi" w:eastAsia="Times New Roman" w:hAnsiTheme="majorHAnsi" w:cstheme="majorBidi"/>
          <w:lang w:eastAsia="en-AU"/>
        </w:rPr>
        <w:t xml:space="preserve">. </w:t>
      </w:r>
      <w:r w:rsidR="075B34CB" w:rsidRPr="35771FF5">
        <w:rPr>
          <w:rFonts w:asciiTheme="majorHAnsi" w:eastAsia="Times New Roman" w:hAnsiTheme="majorHAnsi" w:cstheme="majorBidi"/>
          <w:lang w:eastAsia="en-AU"/>
        </w:rPr>
        <w:t xml:space="preserve">Success factors </w:t>
      </w:r>
      <w:r w:rsidR="2998590E" w:rsidRPr="35771FF5">
        <w:rPr>
          <w:rFonts w:asciiTheme="majorHAnsi" w:eastAsia="Times New Roman" w:hAnsiTheme="majorHAnsi" w:cstheme="majorBidi"/>
          <w:lang w:eastAsia="en-AU"/>
        </w:rPr>
        <w:t>have</w:t>
      </w:r>
      <w:r w:rsidR="38E68B9B" w:rsidRPr="35771FF5">
        <w:rPr>
          <w:rFonts w:asciiTheme="majorHAnsi" w:eastAsia="Times New Roman" w:hAnsiTheme="majorHAnsi" w:cstheme="majorBidi"/>
          <w:lang w:eastAsia="en-AU"/>
        </w:rPr>
        <w:t xml:space="preserve"> been carefully selected to incorporate </w:t>
      </w:r>
      <w:r w:rsidR="24F6F26D" w:rsidRPr="35771FF5">
        <w:rPr>
          <w:rFonts w:asciiTheme="majorHAnsi" w:eastAsia="Times New Roman" w:hAnsiTheme="majorHAnsi" w:cstheme="majorBidi"/>
          <w:lang w:eastAsia="en-AU"/>
        </w:rPr>
        <w:t xml:space="preserve">a variety of outcomes for which </w:t>
      </w:r>
      <w:r w:rsidR="4B72038C" w:rsidRPr="35771FF5">
        <w:rPr>
          <w:rFonts w:asciiTheme="majorHAnsi" w:eastAsia="Times New Roman" w:hAnsiTheme="majorHAnsi" w:cstheme="majorBidi"/>
          <w:lang w:eastAsia="en-AU"/>
        </w:rPr>
        <w:t xml:space="preserve">the data </w:t>
      </w:r>
      <w:r w:rsidR="2E918503" w:rsidRPr="35771FF5">
        <w:rPr>
          <w:rFonts w:asciiTheme="majorHAnsi" w:eastAsia="Times New Roman" w:hAnsiTheme="majorHAnsi" w:cstheme="majorBidi"/>
          <w:lang w:eastAsia="en-AU"/>
        </w:rPr>
        <w:t xml:space="preserve">will </w:t>
      </w:r>
      <w:r w:rsidR="1F3AD50F" w:rsidRPr="35771FF5">
        <w:rPr>
          <w:rFonts w:asciiTheme="majorHAnsi" w:eastAsia="Times New Roman" w:hAnsiTheme="majorHAnsi" w:cstheme="majorBidi"/>
          <w:lang w:eastAsia="en-AU"/>
        </w:rPr>
        <w:t xml:space="preserve">provide both an insight into the relative success of the policy implementation, </w:t>
      </w:r>
      <w:r w:rsidR="32C8BBD7" w:rsidRPr="35771FF5">
        <w:rPr>
          <w:rFonts w:asciiTheme="majorHAnsi" w:eastAsia="Times New Roman" w:hAnsiTheme="majorHAnsi" w:cstheme="majorBidi"/>
          <w:lang w:eastAsia="en-AU"/>
        </w:rPr>
        <w:t>and the</w:t>
      </w:r>
      <w:r w:rsidR="1F3AD50F" w:rsidRPr="35771FF5">
        <w:rPr>
          <w:rFonts w:asciiTheme="majorHAnsi" w:eastAsia="Times New Roman" w:hAnsiTheme="majorHAnsi" w:cstheme="majorBidi"/>
          <w:lang w:eastAsia="en-AU"/>
        </w:rPr>
        <w:t xml:space="preserve"> </w:t>
      </w:r>
      <w:r w:rsidR="0DC94DA0" w:rsidRPr="35771FF5">
        <w:rPr>
          <w:rFonts w:asciiTheme="majorHAnsi" w:eastAsia="Times New Roman" w:hAnsiTheme="majorHAnsi" w:cstheme="majorBidi"/>
          <w:lang w:eastAsia="en-AU"/>
        </w:rPr>
        <w:t>information required to further shape</w:t>
      </w:r>
      <w:r w:rsidR="114A69B9" w:rsidRPr="35771FF5">
        <w:rPr>
          <w:rFonts w:asciiTheme="majorHAnsi" w:eastAsia="Times New Roman" w:hAnsiTheme="majorHAnsi" w:cstheme="majorBidi"/>
          <w:lang w:eastAsia="en-AU"/>
        </w:rPr>
        <w:t xml:space="preserve"> and inform</w:t>
      </w:r>
      <w:r w:rsidR="0DC94DA0" w:rsidRPr="35771FF5">
        <w:rPr>
          <w:rFonts w:asciiTheme="majorHAnsi" w:eastAsia="Times New Roman" w:hAnsiTheme="majorHAnsi" w:cstheme="majorBidi"/>
          <w:lang w:eastAsia="en-AU"/>
        </w:rPr>
        <w:t xml:space="preserve"> future wage funding policy or </w:t>
      </w:r>
      <w:r w:rsidR="6B0D2510" w:rsidRPr="35771FF5">
        <w:rPr>
          <w:rFonts w:asciiTheme="majorHAnsi" w:eastAsia="Times New Roman" w:hAnsiTheme="majorHAnsi" w:cstheme="majorBidi"/>
          <w:lang w:eastAsia="en-AU"/>
        </w:rPr>
        <w:t xml:space="preserve">a </w:t>
      </w:r>
      <w:r w:rsidR="0DC94DA0" w:rsidRPr="35771FF5">
        <w:rPr>
          <w:rFonts w:asciiTheme="majorHAnsi" w:eastAsia="Times New Roman" w:hAnsiTheme="majorHAnsi" w:cstheme="majorBidi"/>
          <w:lang w:eastAsia="en-AU"/>
        </w:rPr>
        <w:t xml:space="preserve">broader ECEC reform </w:t>
      </w:r>
      <w:r w:rsidR="6B0D2510" w:rsidRPr="35771FF5">
        <w:rPr>
          <w:rFonts w:asciiTheme="majorHAnsi" w:eastAsia="Times New Roman" w:hAnsiTheme="majorHAnsi" w:cstheme="majorBidi"/>
          <w:lang w:eastAsia="en-AU"/>
        </w:rPr>
        <w:t>agenda</w:t>
      </w:r>
      <w:r w:rsidR="0F7C4690" w:rsidRPr="35771FF5">
        <w:rPr>
          <w:rFonts w:asciiTheme="majorHAnsi" w:eastAsia="Times New Roman" w:hAnsiTheme="majorHAnsi" w:cstheme="majorBidi"/>
          <w:lang w:eastAsia="en-AU"/>
        </w:rPr>
        <w:t>,</w:t>
      </w:r>
      <w:r w:rsidR="0DC94DA0" w:rsidRPr="35771FF5">
        <w:rPr>
          <w:rFonts w:asciiTheme="majorHAnsi" w:eastAsia="Times New Roman" w:hAnsiTheme="majorHAnsi" w:cstheme="majorBidi"/>
          <w:lang w:eastAsia="en-AU"/>
        </w:rPr>
        <w:t xml:space="preserve"> following</w:t>
      </w:r>
      <w:r w:rsidR="114A69B9" w:rsidRPr="35771FF5">
        <w:rPr>
          <w:rFonts w:asciiTheme="majorHAnsi" w:eastAsia="Times New Roman" w:hAnsiTheme="majorHAnsi" w:cstheme="majorBidi"/>
          <w:lang w:eastAsia="en-AU"/>
        </w:rPr>
        <w:t xml:space="preserve"> recommendations of the </w:t>
      </w:r>
      <w:r w:rsidR="0DC94DA0" w:rsidRPr="35771FF5">
        <w:rPr>
          <w:rFonts w:asciiTheme="majorHAnsi" w:eastAsia="Times New Roman" w:hAnsiTheme="majorHAnsi" w:cstheme="majorBidi"/>
          <w:lang w:eastAsia="en-AU"/>
        </w:rPr>
        <w:t xml:space="preserve">final </w:t>
      </w:r>
      <w:r w:rsidR="32BA7FE7" w:rsidRPr="35771FF5">
        <w:rPr>
          <w:rFonts w:asciiTheme="majorHAnsi" w:eastAsia="Times New Roman" w:hAnsiTheme="majorHAnsi" w:cstheme="majorBidi"/>
          <w:lang w:eastAsia="en-AU"/>
        </w:rPr>
        <w:t xml:space="preserve">Productivity Commission Inquiry report due </w:t>
      </w:r>
      <w:r w:rsidR="0F7C4690" w:rsidRPr="35771FF5">
        <w:rPr>
          <w:rFonts w:asciiTheme="majorHAnsi" w:eastAsia="Times New Roman" w:hAnsiTheme="majorHAnsi" w:cstheme="majorBidi"/>
          <w:lang w:eastAsia="en-AU"/>
        </w:rPr>
        <w:t xml:space="preserve">at the end of </w:t>
      </w:r>
      <w:r w:rsidR="32BA7FE7" w:rsidRPr="35771FF5">
        <w:rPr>
          <w:rFonts w:asciiTheme="majorHAnsi" w:eastAsia="Times New Roman" w:hAnsiTheme="majorHAnsi" w:cstheme="majorBidi"/>
          <w:lang w:eastAsia="en-AU"/>
        </w:rPr>
        <w:t>June 2024.</w:t>
      </w:r>
      <w:r w:rsidR="5A411399" w:rsidRPr="35771FF5">
        <w:rPr>
          <w:rFonts w:asciiTheme="majorHAnsi" w:eastAsia="Times New Roman" w:hAnsiTheme="majorHAnsi" w:cstheme="majorBidi"/>
          <w:lang w:eastAsia="en-AU"/>
        </w:rPr>
        <w:t xml:space="preserve"> </w:t>
      </w:r>
    </w:p>
    <w:p w14:paraId="71BEC550" w14:textId="77777777" w:rsidR="005B399D" w:rsidRDefault="005B399D" w:rsidP="00E50C88">
      <w:pPr>
        <w:spacing w:after="0" w:line="240" w:lineRule="auto"/>
        <w:textAlignment w:val="baseline"/>
        <w:rPr>
          <w:rFonts w:asciiTheme="majorHAnsi" w:eastAsia="Times New Roman" w:hAnsiTheme="majorHAnsi" w:cstheme="majorHAnsi"/>
          <w:lang w:eastAsia="en-AU"/>
        </w:rPr>
      </w:pPr>
    </w:p>
    <w:p w14:paraId="01387B98" w14:textId="77777777" w:rsidR="00332987" w:rsidRDefault="005B399D" w:rsidP="00E50C88">
      <w:pPr>
        <w:spacing w:after="0" w:line="240" w:lineRule="auto"/>
        <w:textAlignment w:val="baseline"/>
        <w:rPr>
          <w:rFonts w:asciiTheme="majorHAnsi" w:eastAsia="Times New Roman" w:hAnsiTheme="majorHAnsi" w:cstheme="majorHAnsi"/>
          <w:lang w:eastAsia="en-AU"/>
        </w:rPr>
      </w:pPr>
      <w:r>
        <w:rPr>
          <w:rFonts w:asciiTheme="majorHAnsi" w:eastAsia="Times New Roman" w:hAnsiTheme="majorHAnsi" w:cstheme="majorHAnsi"/>
          <w:lang w:eastAsia="en-AU"/>
        </w:rPr>
        <w:t>In relation to the workforce related targets, c</w:t>
      </w:r>
      <w:r w:rsidR="00EC289A">
        <w:rPr>
          <w:rFonts w:asciiTheme="majorHAnsi" w:eastAsia="Times New Roman" w:hAnsiTheme="majorHAnsi" w:cstheme="majorHAnsi"/>
          <w:lang w:eastAsia="en-AU"/>
        </w:rPr>
        <w:t xml:space="preserve">onsidering </w:t>
      </w:r>
      <w:r w:rsidR="00090BF3">
        <w:rPr>
          <w:rFonts w:asciiTheme="majorHAnsi" w:eastAsia="Times New Roman" w:hAnsiTheme="majorHAnsi" w:cstheme="majorHAnsi"/>
          <w:lang w:eastAsia="en-AU"/>
        </w:rPr>
        <w:t xml:space="preserve">the </w:t>
      </w:r>
      <w:r w:rsidR="00DB3429">
        <w:rPr>
          <w:rFonts w:asciiTheme="majorHAnsi" w:eastAsia="Times New Roman" w:hAnsiTheme="majorHAnsi" w:cstheme="majorHAnsi"/>
          <w:lang w:eastAsia="en-AU"/>
        </w:rPr>
        <w:t xml:space="preserve">time-limited length of </w:t>
      </w:r>
      <w:r w:rsidR="00222398">
        <w:rPr>
          <w:rFonts w:asciiTheme="majorHAnsi" w:eastAsia="Times New Roman" w:hAnsiTheme="majorHAnsi" w:cstheme="majorHAnsi"/>
          <w:lang w:eastAsia="en-AU"/>
        </w:rPr>
        <w:t xml:space="preserve">the </w:t>
      </w:r>
      <w:r w:rsidR="009653C6">
        <w:rPr>
          <w:rFonts w:asciiTheme="majorHAnsi" w:eastAsia="Times New Roman" w:hAnsiTheme="majorHAnsi" w:cstheme="majorHAnsi"/>
          <w:lang w:eastAsia="en-AU"/>
        </w:rPr>
        <w:t>wage funding available under this policy</w:t>
      </w:r>
      <w:r w:rsidR="009A3A66">
        <w:rPr>
          <w:rFonts w:asciiTheme="majorHAnsi" w:eastAsia="Times New Roman" w:hAnsiTheme="majorHAnsi" w:cstheme="majorHAnsi"/>
          <w:lang w:eastAsia="en-AU"/>
        </w:rPr>
        <w:t xml:space="preserve">, </w:t>
      </w:r>
      <w:r w:rsidR="00BA159C">
        <w:rPr>
          <w:rFonts w:asciiTheme="majorHAnsi" w:eastAsia="Times New Roman" w:hAnsiTheme="majorHAnsi" w:cstheme="majorHAnsi"/>
          <w:lang w:eastAsia="en-AU"/>
        </w:rPr>
        <w:t>early</w:t>
      </w:r>
      <w:r w:rsidR="00733B77">
        <w:rPr>
          <w:rFonts w:asciiTheme="majorHAnsi" w:eastAsia="Times New Roman" w:hAnsiTheme="majorHAnsi" w:cstheme="majorHAnsi"/>
          <w:lang w:eastAsia="en-AU"/>
        </w:rPr>
        <w:t xml:space="preserve"> workforce </w:t>
      </w:r>
      <w:r w:rsidR="00BA159C">
        <w:rPr>
          <w:rFonts w:asciiTheme="majorHAnsi" w:eastAsia="Times New Roman" w:hAnsiTheme="majorHAnsi" w:cstheme="majorHAnsi"/>
          <w:lang w:eastAsia="en-AU"/>
        </w:rPr>
        <w:t>outcomes from the Aged Care</w:t>
      </w:r>
      <w:r w:rsidR="00546A24">
        <w:rPr>
          <w:rFonts w:asciiTheme="majorHAnsi" w:eastAsia="Times New Roman" w:hAnsiTheme="majorHAnsi" w:cstheme="majorHAnsi"/>
          <w:lang w:eastAsia="en-AU"/>
        </w:rPr>
        <w:t xml:space="preserve"> Work Value Case, </w:t>
      </w:r>
      <w:r>
        <w:rPr>
          <w:rFonts w:asciiTheme="majorHAnsi" w:eastAsia="Times New Roman" w:hAnsiTheme="majorHAnsi" w:cstheme="majorHAnsi"/>
          <w:lang w:eastAsia="en-AU"/>
        </w:rPr>
        <w:t>early indicators from</w:t>
      </w:r>
      <w:r w:rsidR="00546A24">
        <w:rPr>
          <w:rFonts w:asciiTheme="majorHAnsi" w:eastAsia="Times New Roman" w:hAnsiTheme="majorHAnsi" w:cstheme="majorHAnsi"/>
          <w:lang w:eastAsia="en-AU"/>
        </w:rPr>
        <w:t xml:space="preserve"> international wage funding programs</w:t>
      </w:r>
      <w:r w:rsidR="00877CCF">
        <w:rPr>
          <w:rFonts w:asciiTheme="majorHAnsi" w:eastAsia="Times New Roman" w:hAnsiTheme="majorHAnsi" w:cstheme="majorHAnsi"/>
          <w:lang w:eastAsia="en-AU"/>
        </w:rPr>
        <w:t xml:space="preserve">, and the </w:t>
      </w:r>
      <w:r w:rsidR="00D66E77">
        <w:rPr>
          <w:rFonts w:asciiTheme="majorHAnsi" w:eastAsia="Times New Roman" w:hAnsiTheme="majorHAnsi" w:cstheme="majorHAnsi"/>
          <w:lang w:eastAsia="en-AU"/>
        </w:rPr>
        <w:t xml:space="preserve">requirement for </w:t>
      </w:r>
      <w:r w:rsidR="00B20559">
        <w:rPr>
          <w:rFonts w:asciiTheme="majorHAnsi" w:eastAsia="Times New Roman" w:hAnsiTheme="majorHAnsi" w:cstheme="majorHAnsi"/>
          <w:lang w:eastAsia="en-AU"/>
        </w:rPr>
        <w:t xml:space="preserve">further workforce initiatives </w:t>
      </w:r>
      <w:r w:rsidR="00B51920">
        <w:rPr>
          <w:rFonts w:asciiTheme="majorHAnsi" w:eastAsia="Times New Roman" w:hAnsiTheme="majorHAnsi" w:cstheme="majorHAnsi"/>
          <w:lang w:eastAsia="en-AU"/>
        </w:rPr>
        <w:t xml:space="preserve">besides wage funding, it is expected that </w:t>
      </w:r>
      <w:r w:rsidR="002E35C4">
        <w:rPr>
          <w:rFonts w:asciiTheme="majorHAnsi" w:eastAsia="Times New Roman" w:hAnsiTheme="majorHAnsi" w:cstheme="majorHAnsi"/>
          <w:lang w:eastAsia="en-AU"/>
        </w:rPr>
        <w:t xml:space="preserve">initial </w:t>
      </w:r>
      <w:r w:rsidR="00B51920">
        <w:rPr>
          <w:rFonts w:asciiTheme="majorHAnsi" w:eastAsia="Times New Roman" w:hAnsiTheme="majorHAnsi" w:cstheme="majorHAnsi"/>
          <w:lang w:eastAsia="en-AU"/>
        </w:rPr>
        <w:t>outcomes</w:t>
      </w:r>
      <w:r w:rsidR="007819AC">
        <w:rPr>
          <w:rFonts w:asciiTheme="majorHAnsi" w:eastAsia="Times New Roman" w:hAnsiTheme="majorHAnsi" w:cstheme="majorHAnsi"/>
          <w:lang w:eastAsia="en-AU"/>
        </w:rPr>
        <w:t>, within the first 12 months</w:t>
      </w:r>
      <w:r w:rsidR="00565BB8">
        <w:rPr>
          <w:rFonts w:asciiTheme="majorHAnsi" w:eastAsia="Times New Roman" w:hAnsiTheme="majorHAnsi" w:cstheme="majorHAnsi"/>
          <w:lang w:eastAsia="en-AU"/>
        </w:rPr>
        <w:t xml:space="preserve"> from implementation,</w:t>
      </w:r>
      <w:r w:rsidR="00B51920">
        <w:rPr>
          <w:rFonts w:asciiTheme="majorHAnsi" w:eastAsia="Times New Roman" w:hAnsiTheme="majorHAnsi" w:cstheme="majorHAnsi"/>
          <w:lang w:eastAsia="en-AU"/>
        </w:rPr>
        <w:t xml:space="preserve"> will </w:t>
      </w:r>
      <w:r w:rsidR="00C15C30">
        <w:rPr>
          <w:rFonts w:asciiTheme="majorHAnsi" w:eastAsia="Times New Roman" w:hAnsiTheme="majorHAnsi" w:cstheme="majorHAnsi"/>
          <w:lang w:eastAsia="en-AU"/>
        </w:rPr>
        <w:t xml:space="preserve">be </w:t>
      </w:r>
      <w:r w:rsidR="002E35C4">
        <w:rPr>
          <w:rFonts w:asciiTheme="majorHAnsi" w:eastAsia="Times New Roman" w:hAnsiTheme="majorHAnsi" w:cstheme="majorHAnsi"/>
          <w:lang w:eastAsia="en-AU"/>
        </w:rPr>
        <w:t xml:space="preserve">modest improvements to </w:t>
      </w:r>
      <w:r w:rsidR="001A0256">
        <w:rPr>
          <w:rFonts w:asciiTheme="majorHAnsi" w:eastAsia="Times New Roman" w:hAnsiTheme="majorHAnsi" w:cstheme="majorHAnsi"/>
          <w:lang w:eastAsia="en-AU"/>
        </w:rPr>
        <w:t>the targets</w:t>
      </w:r>
      <w:r w:rsidR="001E0733">
        <w:rPr>
          <w:rFonts w:asciiTheme="majorHAnsi" w:eastAsia="Times New Roman" w:hAnsiTheme="majorHAnsi" w:cstheme="majorHAnsi"/>
          <w:lang w:eastAsia="en-AU"/>
        </w:rPr>
        <w:t>.</w:t>
      </w:r>
      <w:r>
        <w:rPr>
          <w:rFonts w:asciiTheme="majorHAnsi" w:eastAsia="Times New Roman" w:hAnsiTheme="majorHAnsi" w:cstheme="majorHAnsi"/>
          <w:lang w:eastAsia="en-AU"/>
        </w:rPr>
        <w:t xml:space="preserve"> </w:t>
      </w:r>
    </w:p>
    <w:p w14:paraId="50208093" w14:textId="77777777" w:rsidR="003C04BE" w:rsidRDefault="003C04BE" w:rsidP="00E50C88">
      <w:pPr>
        <w:spacing w:after="0" w:line="240" w:lineRule="auto"/>
        <w:textAlignment w:val="baseline"/>
        <w:rPr>
          <w:rFonts w:asciiTheme="majorHAnsi" w:eastAsia="Times New Roman" w:hAnsiTheme="majorHAnsi" w:cstheme="majorHAnsi"/>
          <w:lang w:eastAsia="en-AU"/>
        </w:rPr>
      </w:pPr>
    </w:p>
    <w:p w14:paraId="0007680E" w14:textId="40584F32" w:rsidR="003C04BE" w:rsidRDefault="63361953" w:rsidP="35771FF5">
      <w:pPr>
        <w:spacing w:after="0" w:line="240" w:lineRule="auto"/>
        <w:textAlignment w:val="baseline"/>
        <w:rPr>
          <w:rFonts w:asciiTheme="majorHAnsi" w:eastAsia="Times New Roman" w:hAnsiTheme="majorHAnsi" w:cstheme="majorBidi"/>
          <w:lang w:eastAsia="en-AU"/>
        </w:rPr>
      </w:pPr>
      <w:r w:rsidRPr="35771FF5">
        <w:rPr>
          <w:rFonts w:asciiTheme="majorHAnsi" w:eastAsia="Times New Roman" w:hAnsiTheme="majorHAnsi" w:cstheme="majorBidi"/>
          <w:lang w:eastAsia="en-AU"/>
        </w:rPr>
        <w:t>Increasing the wages of ECEC workers without significantly contributing to the cost burden on families</w:t>
      </w:r>
      <w:r w:rsidR="7E4FB325" w:rsidRPr="35771FF5">
        <w:rPr>
          <w:rFonts w:asciiTheme="majorHAnsi" w:eastAsia="Times New Roman" w:hAnsiTheme="majorHAnsi" w:cstheme="majorBidi"/>
          <w:lang w:eastAsia="en-AU"/>
        </w:rPr>
        <w:t xml:space="preserve"> </w:t>
      </w:r>
      <w:r w:rsidR="5346A184" w:rsidRPr="35771FF5">
        <w:rPr>
          <w:rFonts w:asciiTheme="majorHAnsi" w:eastAsia="Times New Roman" w:hAnsiTheme="majorHAnsi" w:cstheme="majorBidi"/>
          <w:lang w:eastAsia="en-AU"/>
        </w:rPr>
        <w:t xml:space="preserve">is vital to </w:t>
      </w:r>
      <w:r w:rsidR="1B7A7BEF" w:rsidRPr="35771FF5">
        <w:rPr>
          <w:rFonts w:asciiTheme="majorHAnsi" w:eastAsia="Times New Roman" w:hAnsiTheme="majorHAnsi" w:cstheme="majorBidi"/>
          <w:lang w:eastAsia="en-AU"/>
        </w:rPr>
        <w:t>shoring up ECEC supply</w:t>
      </w:r>
      <w:r w:rsidR="55913026" w:rsidRPr="35771FF5">
        <w:rPr>
          <w:rFonts w:asciiTheme="majorHAnsi" w:eastAsia="Times New Roman" w:hAnsiTheme="majorHAnsi" w:cstheme="majorBidi"/>
          <w:lang w:eastAsia="en-AU"/>
        </w:rPr>
        <w:t>,</w:t>
      </w:r>
      <w:r w:rsidR="1B7A7BEF" w:rsidRPr="35771FF5">
        <w:rPr>
          <w:rFonts w:asciiTheme="majorHAnsi" w:eastAsia="Times New Roman" w:hAnsiTheme="majorHAnsi" w:cstheme="majorBidi"/>
          <w:lang w:eastAsia="en-AU"/>
        </w:rPr>
        <w:t xml:space="preserve"> while simultaneously</w:t>
      </w:r>
      <w:r w:rsidR="661018FD" w:rsidRPr="35771FF5">
        <w:rPr>
          <w:rFonts w:asciiTheme="majorHAnsi" w:eastAsia="Times New Roman" w:hAnsiTheme="majorHAnsi" w:cstheme="majorBidi"/>
          <w:lang w:eastAsia="en-AU"/>
        </w:rPr>
        <w:t xml:space="preserve"> </w:t>
      </w:r>
      <w:r w:rsidR="4EA38608" w:rsidRPr="35771FF5">
        <w:rPr>
          <w:rFonts w:asciiTheme="majorHAnsi" w:eastAsia="Times New Roman" w:hAnsiTheme="majorHAnsi" w:cstheme="majorBidi"/>
          <w:lang w:eastAsia="en-AU"/>
        </w:rPr>
        <w:t xml:space="preserve">maintaining the Government’s commitment to making ECEC more affordable for Australian families. </w:t>
      </w:r>
      <w:r w:rsidR="3EBA2E9E" w:rsidRPr="35771FF5">
        <w:rPr>
          <w:rFonts w:asciiTheme="majorHAnsi" w:eastAsia="Times New Roman" w:hAnsiTheme="majorHAnsi" w:cstheme="majorBidi"/>
          <w:lang w:eastAsia="en-AU"/>
        </w:rPr>
        <w:t xml:space="preserve">The success of </w:t>
      </w:r>
      <w:r w:rsidR="26E129F5" w:rsidRPr="35771FF5">
        <w:rPr>
          <w:rFonts w:asciiTheme="majorHAnsi" w:eastAsia="Times New Roman" w:hAnsiTheme="majorHAnsi" w:cstheme="majorBidi"/>
          <w:lang w:eastAsia="en-AU"/>
        </w:rPr>
        <w:t>the</w:t>
      </w:r>
      <w:r w:rsidR="0845CF56" w:rsidRPr="35771FF5">
        <w:rPr>
          <w:rFonts w:asciiTheme="majorHAnsi" w:eastAsia="Times New Roman" w:hAnsiTheme="majorHAnsi" w:cstheme="majorBidi"/>
          <w:lang w:eastAsia="en-AU"/>
        </w:rPr>
        <w:t xml:space="preserve"> affordability condition will be measured </w:t>
      </w:r>
      <w:r w:rsidR="26E129F5" w:rsidRPr="35771FF5">
        <w:rPr>
          <w:rFonts w:asciiTheme="majorHAnsi" w:eastAsia="Times New Roman" w:hAnsiTheme="majorHAnsi" w:cstheme="majorBidi"/>
          <w:lang w:eastAsia="en-AU"/>
        </w:rPr>
        <w:t xml:space="preserve">by </w:t>
      </w:r>
      <w:r w:rsidR="7B2F613F" w:rsidRPr="35771FF5">
        <w:rPr>
          <w:rFonts w:asciiTheme="majorHAnsi" w:eastAsia="Times New Roman" w:hAnsiTheme="majorHAnsi" w:cstheme="majorBidi"/>
          <w:lang w:eastAsia="en-AU"/>
        </w:rPr>
        <w:t>the level of</w:t>
      </w:r>
      <w:r w:rsidR="0845CF56" w:rsidRPr="35771FF5">
        <w:rPr>
          <w:rFonts w:asciiTheme="majorHAnsi" w:eastAsia="Times New Roman" w:hAnsiTheme="majorHAnsi" w:cstheme="majorBidi"/>
          <w:lang w:eastAsia="en-AU"/>
        </w:rPr>
        <w:t xml:space="preserve"> fee</w:t>
      </w:r>
      <w:r w:rsidR="7B2F613F" w:rsidRPr="35771FF5">
        <w:rPr>
          <w:rFonts w:asciiTheme="majorHAnsi" w:eastAsia="Times New Roman" w:hAnsiTheme="majorHAnsi" w:cstheme="majorBidi"/>
          <w:lang w:eastAsia="en-AU"/>
        </w:rPr>
        <w:t xml:space="preserve"> growth over the life of the</w:t>
      </w:r>
      <w:r w:rsidR="55913026" w:rsidRPr="35771FF5">
        <w:rPr>
          <w:rFonts w:asciiTheme="majorHAnsi" w:eastAsia="Times New Roman" w:hAnsiTheme="majorHAnsi" w:cstheme="majorBidi"/>
          <w:lang w:eastAsia="en-AU"/>
        </w:rPr>
        <w:t xml:space="preserve"> funding</w:t>
      </w:r>
      <w:r w:rsidR="7B2F613F" w:rsidRPr="35771FF5">
        <w:rPr>
          <w:rFonts w:asciiTheme="majorHAnsi" w:eastAsia="Times New Roman" w:hAnsiTheme="majorHAnsi" w:cstheme="majorBidi"/>
          <w:lang w:eastAsia="en-AU"/>
        </w:rPr>
        <w:t xml:space="preserve">. </w:t>
      </w:r>
      <w:r w:rsidR="1A77D715" w:rsidRPr="35771FF5">
        <w:rPr>
          <w:rFonts w:asciiTheme="majorHAnsi" w:eastAsia="Times New Roman" w:hAnsiTheme="majorHAnsi" w:cstheme="majorBidi"/>
          <w:lang w:eastAsia="en-AU"/>
        </w:rPr>
        <w:t>A successful outcome will be a rise in fees commensurate with, or below the fee growth percentage cap for each respective year of the policy.</w:t>
      </w:r>
      <w:r w:rsidR="7C9E7CB9" w:rsidRPr="35771FF5">
        <w:rPr>
          <w:rFonts w:asciiTheme="majorHAnsi" w:eastAsia="Times New Roman" w:hAnsiTheme="majorHAnsi" w:cstheme="majorBidi"/>
          <w:lang w:eastAsia="en-AU"/>
        </w:rPr>
        <w:t xml:space="preserve"> </w:t>
      </w:r>
      <w:r w:rsidR="74F7CDB5" w:rsidRPr="35771FF5">
        <w:rPr>
          <w:rFonts w:asciiTheme="majorHAnsi" w:eastAsia="Times New Roman" w:hAnsiTheme="majorHAnsi" w:cstheme="majorBidi"/>
          <w:lang w:eastAsia="en-AU"/>
        </w:rPr>
        <w:t xml:space="preserve">The </w:t>
      </w:r>
      <w:r w:rsidR="3D6ED253" w:rsidRPr="35771FF5">
        <w:rPr>
          <w:rFonts w:asciiTheme="majorHAnsi" w:eastAsia="Times New Roman" w:hAnsiTheme="majorHAnsi" w:cstheme="majorBidi"/>
          <w:lang w:eastAsia="en-AU"/>
        </w:rPr>
        <w:t>G</w:t>
      </w:r>
      <w:r w:rsidR="74F7CDB5" w:rsidRPr="35771FF5">
        <w:rPr>
          <w:rFonts w:asciiTheme="majorHAnsi" w:eastAsia="Times New Roman" w:hAnsiTheme="majorHAnsi" w:cstheme="majorBidi"/>
          <w:lang w:eastAsia="en-AU"/>
        </w:rPr>
        <w:t xml:space="preserve">overnment will be able to monitor </w:t>
      </w:r>
      <w:r w:rsidR="52155B61" w:rsidRPr="35771FF5">
        <w:rPr>
          <w:rFonts w:asciiTheme="majorHAnsi" w:eastAsia="Times New Roman" w:hAnsiTheme="majorHAnsi" w:cstheme="majorBidi"/>
          <w:lang w:eastAsia="en-AU"/>
        </w:rPr>
        <w:t xml:space="preserve">Australian-wide </w:t>
      </w:r>
      <w:r w:rsidR="74F7CDB5" w:rsidRPr="35771FF5">
        <w:rPr>
          <w:rFonts w:asciiTheme="majorHAnsi" w:eastAsia="Times New Roman" w:hAnsiTheme="majorHAnsi" w:cstheme="majorBidi"/>
          <w:lang w:eastAsia="en-AU"/>
        </w:rPr>
        <w:t xml:space="preserve">fee growth </w:t>
      </w:r>
      <w:r w:rsidR="3D6ED253" w:rsidRPr="35771FF5">
        <w:rPr>
          <w:rFonts w:asciiTheme="majorHAnsi" w:eastAsia="Times New Roman" w:hAnsiTheme="majorHAnsi" w:cstheme="majorBidi"/>
          <w:lang w:eastAsia="en-AU"/>
        </w:rPr>
        <w:t>regularly (</w:t>
      </w:r>
      <w:r w:rsidR="065449EE" w:rsidRPr="35771FF5">
        <w:rPr>
          <w:rFonts w:asciiTheme="majorHAnsi" w:eastAsia="Times New Roman" w:hAnsiTheme="majorHAnsi" w:cstheme="majorBidi"/>
          <w:lang w:eastAsia="en-AU"/>
        </w:rPr>
        <w:t xml:space="preserve">on </w:t>
      </w:r>
      <w:r w:rsidR="74F7CDB5" w:rsidRPr="35771FF5">
        <w:rPr>
          <w:rFonts w:asciiTheme="majorHAnsi" w:eastAsia="Times New Roman" w:hAnsiTheme="majorHAnsi" w:cstheme="majorBidi"/>
          <w:lang w:eastAsia="en-AU"/>
        </w:rPr>
        <w:t>a quarterly basis</w:t>
      </w:r>
      <w:r w:rsidR="3D6ED253" w:rsidRPr="35771FF5">
        <w:rPr>
          <w:rFonts w:asciiTheme="majorHAnsi" w:eastAsia="Times New Roman" w:hAnsiTheme="majorHAnsi" w:cstheme="majorBidi"/>
          <w:lang w:eastAsia="en-AU"/>
        </w:rPr>
        <w:t>)</w:t>
      </w:r>
      <w:r w:rsidR="3387AF05" w:rsidRPr="35771FF5">
        <w:rPr>
          <w:rFonts w:asciiTheme="majorHAnsi" w:eastAsia="Times New Roman" w:hAnsiTheme="majorHAnsi" w:cstheme="majorBidi"/>
          <w:lang w:eastAsia="en-AU"/>
        </w:rPr>
        <w:t xml:space="preserve"> </w:t>
      </w:r>
      <w:r w:rsidR="62E4609B" w:rsidRPr="35771FF5">
        <w:rPr>
          <w:rFonts w:asciiTheme="majorHAnsi" w:eastAsia="Times New Roman" w:hAnsiTheme="majorHAnsi" w:cstheme="majorBidi"/>
          <w:lang w:eastAsia="en-AU"/>
        </w:rPr>
        <w:t xml:space="preserve">and should be able to see the early effects of the policy within the first 12 months of implementation. </w:t>
      </w:r>
    </w:p>
    <w:p w14:paraId="679AB94A" w14:textId="59EE74ED" w:rsidR="001924DC" w:rsidRDefault="001924DC" w:rsidP="35771FF5">
      <w:pPr>
        <w:spacing w:after="0" w:line="240" w:lineRule="auto"/>
        <w:textAlignment w:val="baseline"/>
        <w:rPr>
          <w:rFonts w:asciiTheme="majorHAnsi" w:eastAsia="Times New Roman" w:hAnsiTheme="majorHAnsi" w:cstheme="majorBidi"/>
          <w:lang w:eastAsia="en-AU"/>
        </w:rPr>
      </w:pPr>
    </w:p>
    <w:p w14:paraId="6B513AF7" w14:textId="09679C5B" w:rsidR="00E50C88" w:rsidRPr="00E50C88" w:rsidRDefault="00E50C88" w:rsidP="00E50C88">
      <w:pPr>
        <w:spacing w:after="0" w:line="240" w:lineRule="auto"/>
        <w:textAlignment w:val="baseline"/>
        <w:rPr>
          <w:rFonts w:asciiTheme="majorHAnsi" w:eastAsia="Times New Roman" w:hAnsiTheme="majorHAnsi" w:cstheme="majorHAnsi"/>
          <w:sz w:val="18"/>
          <w:szCs w:val="18"/>
          <w:lang w:eastAsia="en-AU"/>
        </w:rPr>
      </w:pPr>
      <w:r w:rsidRPr="00E50C88">
        <w:rPr>
          <w:rFonts w:asciiTheme="majorHAnsi" w:eastAsia="Times New Roman" w:hAnsiTheme="majorHAnsi" w:cstheme="majorHAnsi"/>
          <w:color w:val="000000"/>
          <w:lang w:eastAsia="en-AU"/>
        </w:rPr>
        <w:t>The table below outlines targets, outcomes and metrics to measure the impact of the policy on the ECEC workforce and families.</w:t>
      </w:r>
      <w:r w:rsidR="00432DC0">
        <w:rPr>
          <w:rFonts w:asciiTheme="majorHAnsi" w:eastAsia="Times New Roman" w:hAnsiTheme="majorHAnsi" w:cstheme="majorHAnsi"/>
          <w:color w:val="000000"/>
          <w:lang w:eastAsia="en-AU"/>
        </w:rPr>
        <w:t xml:space="preserve"> </w:t>
      </w:r>
      <w:r w:rsidR="00A378DC">
        <w:rPr>
          <w:rFonts w:asciiTheme="majorHAnsi" w:eastAsia="Times New Roman" w:hAnsiTheme="majorHAnsi" w:cstheme="majorHAnsi"/>
          <w:color w:val="000000"/>
          <w:lang w:eastAsia="en-AU"/>
        </w:rPr>
        <w:br/>
      </w:r>
      <w:r w:rsidR="00A378DC">
        <w:rPr>
          <w:rFonts w:asciiTheme="majorHAnsi" w:eastAsia="Times New Roman" w:hAnsiTheme="majorHAnsi" w:cstheme="majorHAnsi"/>
          <w:color w:val="000000"/>
          <w:lang w:eastAsia="en-AU"/>
        </w:rPr>
        <w:br/>
      </w:r>
      <w:r w:rsidR="00A378DC">
        <w:rPr>
          <w:rFonts w:asciiTheme="majorHAnsi" w:eastAsia="Times New Roman" w:hAnsiTheme="majorHAnsi" w:cstheme="majorHAnsi"/>
          <w:color w:val="000000"/>
          <w:lang w:eastAsia="en-AU"/>
        </w:rPr>
        <w:br/>
      </w:r>
    </w:p>
    <w:p w14:paraId="265015C9" w14:textId="77777777" w:rsidR="00E50C88" w:rsidRPr="00E50C88" w:rsidRDefault="00E50C88" w:rsidP="00E50C88">
      <w:pPr>
        <w:spacing w:after="0" w:line="240" w:lineRule="auto"/>
        <w:textAlignment w:val="baseline"/>
        <w:rPr>
          <w:rFonts w:asciiTheme="majorHAnsi" w:eastAsia="Times New Roman" w:hAnsiTheme="majorHAnsi" w:cstheme="majorHAnsi"/>
          <w:sz w:val="18"/>
          <w:szCs w:val="18"/>
          <w:lang w:eastAsia="en-AU"/>
        </w:rPr>
      </w:pPr>
      <w:r w:rsidRPr="00E50C88">
        <w:rPr>
          <w:rFonts w:asciiTheme="majorHAnsi" w:eastAsia="Times New Roman" w:hAnsiTheme="majorHAnsi" w:cstheme="majorHAnsi"/>
          <w:color w:val="000000"/>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8"/>
        <w:gridCol w:w="4892"/>
      </w:tblGrid>
      <w:tr w:rsidR="00E50C88" w:rsidRPr="00E50C88" w14:paraId="568B2AC1" w14:textId="77777777" w:rsidTr="29A029EE">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E1E9F0"/>
            <w:hideMark/>
          </w:tcPr>
          <w:p w14:paraId="696083D4" w14:textId="77777777" w:rsidR="00E50C88" w:rsidRPr="00E50C88" w:rsidRDefault="00E50C88" w:rsidP="00E50C88">
            <w:pPr>
              <w:spacing w:after="0" w:line="240" w:lineRule="auto"/>
              <w:textAlignment w:val="baseline"/>
              <w:rPr>
                <w:rFonts w:asciiTheme="majorHAnsi" w:eastAsia="Times New Roman" w:hAnsiTheme="majorHAnsi" w:cstheme="majorHAnsi"/>
                <w:sz w:val="24"/>
                <w:szCs w:val="24"/>
                <w:lang w:eastAsia="en-AU"/>
              </w:rPr>
            </w:pPr>
            <w:r w:rsidRPr="00E50C88">
              <w:rPr>
                <w:rFonts w:asciiTheme="majorHAnsi" w:eastAsia="Times New Roman" w:hAnsiTheme="majorHAnsi" w:cstheme="majorHAnsi"/>
                <w:b/>
                <w:bCs/>
                <w:sz w:val="24"/>
                <w:szCs w:val="24"/>
                <w:lang w:eastAsia="en-AU"/>
              </w:rPr>
              <w:lastRenderedPageBreak/>
              <w:t>Targets</w:t>
            </w:r>
            <w:r w:rsidRPr="00E50C88">
              <w:rPr>
                <w:rFonts w:asciiTheme="majorHAnsi" w:eastAsia="Times New Roman" w:hAnsiTheme="majorHAnsi" w:cstheme="majorHAnsi"/>
                <w:sz w:val="24"/>
                <w:szCs w:val="24"/>
                <w:lang w:eastAsia="en-AU"/>
              </w:rPr>
              <w:t> </w:t>
            </w:r>
          </w:p>
        </w:tc>
        <w:tc>
          <w:tcPr>
            <w:tcW w:w="5220" w:type="dxa"/>
            <w:tcBorders>
              <w:top w:val="single" w:sz="6" w:space="0" w:color="auto"/>
              <w:left w:val="single" w:sz="6" w:space="0" w:color="auto"/>
              <w:bottom w:val="single" w:sz="6" w:space="0" w:color="auto"/>
              <w:right w:val="single" w:sz="6" w:space="0" w:color="auto"/>
            </w:tcBorders>
            <w:shd w:val="clear" w:color="auto" w:fill="E1E9F0"/>
            <w:hideMark/>
          </w:tcPr>
          <w:p w14:paraId="36AE449E" w14:textId="77777777" w:rsidR="00E50C88" w:rsidRPr="00E50C88" w:rsidRDefault="00E50C88" w:rsidP="00E50C88">
            <w:pPr>
              <w:spacing w:after="0" w:line="240" w:lineRule="auto"/>
              <w:textAlignment w:val="baseline"/>
              <w:rPr>
                <w:rFonts w:asciiTheme="majorHAnsi" w:eastAsia="Times New Roman" w:hAnsiTheme="majorHAnsi" w:cstheme="majorHAnsi"/>
                <w:sz w:val="24"/>
                <w:szCs w:val="24"/>
                <w:lang w:eastAsia="en-AU"/>
              </w:rPr>
            </w:pPr>
            <w:r w:rsidRPr="00E50C88">
              <w:rPr>
                <w:rFonts w:asciiTheme="majorHAnsi" w:eastAsia="Times New Roman" w:hAnsiTheme="majorHAnsi" w:cstheme="majorHAnsi"/>
                <w:b/>
                <w:bCs/>
                <w:sz w:val="24"/>
                <w:szCs w:val="24"/>
                <w:lang w:eastAsia="en-AU"/>
              </w:rPr>
              <w:t>Outcomes and Metrics</w:t>
            </w:r>
            <w:r w:rsidRPr="00E50C88">
              <w:rPr>
                <w:rFonts w:asciiTheme="majorHAnsi" w:eastAsia="Times New Roman" w:hAnsiTheme="majorHAnsi" w:cstheme="majorHAnsi"/>
                <w:sz w:val="24"/>
                <w:szCs w:val="24"/>
                <w:lang w:eastAsia="en-AU"/>
              </w:rPr>
              <w:t> </w:t>
            </w:r>
          </w:p>
        </w:tc>
      </w:tr>
      <w:tr w:rsidR="00E50C88" w:rsidRPr="00E50C88" w14:paraId="4CAB4154" w14:textId="77777777" w:rsidTr="29A029EE">
        <w:trPr>
          <w:trHeight w:val="300"/>
        </w:trPr>
        <w:tc>
          <w:tcPr>
            <w:tcW w:w="4500" w:type="dxa"/>
            <w:tcBorders>
              <w:top w:val="single" w:sz="6" w:space="0" w:color="auto"/>
              <w:left w:val="single" w:sz="6" w:space="0" w:color="auto"/>
              <w:bottom w:val="single" w:sz="6" w:space="0" w:color="auto"/>
              <w:right w:val="single" w:sz="6" w:space="0" w:color="auto"/>
            </w:tcBorders>
            <w:hideMark/>
          </w:tcPr>
          <w:p w14:paraId="33F40149"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b/>
                <w:bCs/>
                <w:sz w:val="20"/>
                <w:szCs w:val="20"/>
                <w:lang w:eastAsia="en-AU"/>
              </w:rPr>
              <w:t>ECEC workforce retention</w:t>
            </w:r>
            <w:r w:rsidRPr="00E50C88">
              <w:rPr>
                <w:rFonts w:asciiTheme="majorHAnsi" w:eastAsia="Times New Roman" w:hAnsiTheme="majorHAnsi" w:cstheme="majorHAnsi"/>
                <w:sz w:val="20"/>
                <w:szCs w:val="20"/>
                <w:lang w:eastAsia="en-AU"/>
              </w:rPr>
              <w:t>: There is a reduction in the rate of ECEC educators who leave the ECEC workforce  </w:t>
            </w:r>
          </w:p>
        </w:tc>
        <w:tc>
          <w:tcPr>
            <w:tcW w:w="5220" w:type="dxa"/>
            <w:tcBorders>
              <w:top w:val="single" w:sz="6" w:space="0" w:color="auto"/>
              <w:left w:val="single" w:sz="6" w:space="0" w:color="auto"/>
              <w:bottom w:val="single" w:sz="6" w:space="0" w:color="auto"/>
              <w:right w:val="single" w:sz="6" w:space="0" w:color="auto"/>
            </w:tcBorders>
            <w:hideMark/>
          </w:tcPr>
          <w:p w14:paraId="32E218D3"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Workforce retention outcomes, including:</w:t>
            </w:r>
            <w:r w:rsidRPr="00E50C88">
              <w:rPr>
                <w:rFonts w:asciiTheme="majorHAnsi" w:eastAsia="Times New Roman" w:hAnsiTheme="majorHAnsi" w:cstheme="majorHAnsi"/>
                <w:sz w:val="20"/>
                <w:szCs w:val="20"/>
                <w:lang w:eastAsia="en-AU"/>
              </w:rPr>
              <w:t>  </w:t>
            </w:r>
          </w:p>
          <w:p w14:paraId="26DF1F2F" w14:textId="77777777" w:rsidR="00E50C88" w:rsidRPr="00E50C88" w:rsidRDefault="00E50C88" w:rsidP="001A6971">
            <w:pPr>
              <w:pStyle w:val="ListParagraph"/>
              <w:numPr>
                <w:ilvl w:val="0"/>
                <w:numId w:val="45"/>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Time to leaving occupation (by reason: retirement, new occupation) </w:t>
            </w:r>
          </w:p>
          <w:p w14:paraId="58BC2152" w14:textId="77777777" w:rsidR="00E50C88" w:rsidRPr="00E50C88" w:rsidRDefault="00E50C88" w:rsidP="001A6971">
            <w:pPr>
              <w:pStyle w:val="ListParagraph"/>
              <w:numPr>
                <w:ilvl w:val="0"/>
                <w:numId w:val="45"/>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Time in profession (by time: within first five years, after first five years) </w:t>
            </w:r>
          </w:p>
          <w:p w14:paraId="4457190F" w14:textId="77777777" w:rsidR="00E50C88" w:rsidRPr="00E50C88" w:rsidRDefault="00E50C88" w:rsidP="001A6971">
            <w:pPr>
              <w:pStyle w:val="ListParagraph"/>
              <w:numPr>
                <w:ilvl w:val="0"/>
                <w:numId w:val="45"/>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Staff intention to leave occupation (by reason, including pay) </w:t>
            </w:r>
          </w:p>
          <w:p w14:paraId="5C693F38" w14:textId="77777777" w:rsidR="00E50C88" w:rsidRPr="00E50C88" w:rsidRDefault="00E50C88" w:rsidP="001A6971">
            <w:pPr>
              <w:pStyle w:val="ListParagraph"/>
              <w:numPr>
                <w:ilvl w:val="0"/>
                <w:numId w:val="45"/>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Length of time staff have been employed in a particular service </w:t>
            </w:r>
          </w:p>
        </w:tc>
      </w:tr>
      <w:tr w:rsidR="00E50C88" w:rsidRPr="00E50C88" w14:paraId="17FC1894" w14:textId="77777777" w:rsidTr="29A029EE">
        <w:trPr>
          <w:trHeight w:val="300"/>
        </w:trPr>
        <w:tc>
          <w:tcPr>
            <w:tcW w:w="4500" w:type="dxa"/>
            <w:tcBorders>
              <w:top w:val="single" w:sz="6" w:space="0" w:color="auto"/>
              <w:left w:val="single" w:sz="6" w:space="0" w:color="auto"/>
              <w:bottom w:val="single" w:sz="6" w:space="0" w:color="auto"/>
              <w:right w:val="single" w:sz="6" w:space="0" w:color="auto"/>
            </w:tcBorders>
            <w:hideMark/>
          </w:tcPr>
          <w:p w14:paraId="60F60243"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b/>
                <w:bCs/>
                <w:sz w:val="20"/>
                <w:szCs w:val="20"/>
                <w:lang w:eastAsia="en-AU"/>
              </w:rPr>
              <w:t>ECEC workforce supply</w:t>
            </w:r>
            <w:r w:rsidRPr="00E50C88">
              <w:rPr>
                <w:rFonts w:asciiTheme="majorHAnsi" w:eastAsia="Times New Roman" w:hAnsiTheme="majorHAnsi" w:cstheme="majorHAnsi"/>
                <w:sz w:val="20"/>
                <w:szCs w:val="20"/>
                <w:lang w:eastAsia="en-AU"/>
              </w:rPr>
              <w:t>: There is an increase in the rate of new or returning educators entering the ECEC workforce </w:t>
            </w:r>
          </w:p>
        </w:tc>
        <w:tc>
          <w:tcPr>
            <w:tcW w:w="5220" w:type="dxa"/>
            <w:tcBorders>
              <w:top w:val="single" w:sz="6" w:space="0" w:color="auto"/>
              <w:left w:val="single" w:sz="6" w:space="0" w:color="auto"/>
              <w:bottom w:val="single" w:sz="6" w:space="0" w:color="auto"/>
              <w:right w:val="single" w:sz="6" w:space="0" w:color="auto"/>
            </w:tcBorders>
            <w:hideMark/>
          </w:tcPr>
          <w:p w14:paraId="58C1C0DF"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Workforce supply outcomes, including:</w:t>
            </w:r>
            <w:r w:rsidRPr="00E50C88">
              <w:rPr>
                <w:rFonts w:asciiTheme="majorHAnsi" w:eastAsia="Times New Roman" w:hAnsiTheme="majorHAnsi" w:cstheme="majorHAnsi"/>
                <w:sz w:val="20"/>
                <w:szCs w:val="20"/>
                <w:lang w:eastAsia="en-AU"/>
              </w:rPr>
              <w:t>  </w:t>
            </w:r>
          </w:p>
          <w:p w14:paraId="1C110082" w14:textId="77777777" w:rsidR="00E50C88" w:rsidRPr="00E50C88" w:rsidRDefault="00E50C88" w:rsidP="001A6971">
            <w:pPr>
              <w:pStyle w:val="ListParagraph"/>
              <w:numPr>
                <w:ilvl w:val="0"/>
                <w:numId w:val="46"/>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Number of workers returning to profession (previously employed and returning following time in other profession) </w:t>
            </w:r>
          </w:p>
          <w:p w14:paraId="534D385E" w14:textId="56C34A94" w:rsidR="00E50C88" w:rsidRPr="00E50C88" w:rsidRDefault="00E50C88" w:rsidP="001A6971">
            <w:pPr>
              <w:pStyle w:val="ListParagraph"/>
              <w:numPr>
                <w:ilvl w:val="0"/>
                <w:numId w:val="46"/>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Qualified workers choosing</w:t>
            </w:r>
            <w:r w:rsidR="0001346C">
              <w:rPr>
                <w:rFonts w:asciiTheme="majorHAnsi" w:eastAsia="Times New Roman" w:hAnsiTheme="majorHAnsi" w:cstheme="majorHAnsi"/>
                <w:sz w:val="20"/>
                <w:szCs w:val="20"/>
                <w:lang w:eastAsia="en-AU"/>
              </w:rPr>
              <w:t>/entering</w:t>
            </w:r>
            <w:r w:rsidRPr="00E50C88">
              <w:rPr>
                <w:rFonts w:asciiTheme="majorHAnsi" w:eastAsia="Times New Roman" w:hAnsiTheme="majorHAnsi" w:cstheme="majorHAnsi"/>
                <w:sz w:val="20"/>
                <w:szCs w:val="20"/>
                <w:lang w:eastAsia="en-AU"/>
              </w:rPr>
              <w:t xml:space="preserve"> this profession </w:t>
            </w:r>
          </w:p>
          <w:p w14:paraId="54785061"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Higher Education (HE) outcomes, including:</w:t>
            </w:r>
            <w:r w:rsidRPr="00E50C88">
              <w:rPr>
                <w:rFonts w:asciiTheme="majorHAnsi" w:eastAsia="Times New Roman" w:hAnsiTheme="majorHAnsi" w:cstheme="majorHAnsi"/>
                <w:sz w:val="20"/>
                <w:szCs w:val="20"/>
                <w:lang w:eastAsia="en-AU"/>
              </w:rPr>
              <w:t> </w:t>
            </w:r>
          </w:p>
          <w:p w14:paraId="26B07819" w14:textId="77777777" w:rsidR="00E50C88" w:rsidRPr="00E50C88" w:rsidRDefault="00E50C88" w:rsidP="001A6971">
            <w:pPr>
              <w:pStyle w:val="ListParagraph"/>
              <w:numPr>
                <w:ilvl w:val="0"/>
                <w:numId w:val="47"/>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Participation rate in HE courses that lead to sector employment </w:t>
            </w:r>
          </w:p>
          <w:p w14:paraId="5AFC2F45" w14:textId="77777777" w:rsidR="00E50C88" w:rsidRPr="00E50C88" w:rsidRDefault="00E50C88" w:rsidP="001A6971">
            <w:pPr>
              <w:pStyle w:val="ListParagraph"/>
              <w:numPr>
                <w:ilvl w:val="0"/>
                <w:numId w:val="47"/>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Attainment rate in HE courses that lead to sector employment </w:t>
            </w:r>
          </w:p>
          <w:p w14:paraId="17AE6241" w14:textId="77777777" w:rsidR="00E50C88" w:rsidRPr="00E50C88" w:rsidRDefault="00E50C88" w:rsidP="001A6971">
            <w:pPr>
              <w:pStyle w:val="ListParagraph"/>
              <w:numPr>
                <w:ilvl w:val="0"/>
                <w:numId w:val="47"/>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Number of qualified graduates  </w:t>
            </w:r>
          </w:p>
        </w:tc>
      </w:tr>
      <w:tr w:rsidR="00E50C88" w:rsidRPr="00E50C88" w14:paraId="3A3C0E99" w14:textId="77777777" w:rsidTr="29A029EE">
        <w:trPr>
          <w:trHeight w:val="300"/>
        </w:trPr>
        <w:tc>
          <w:tcPr>
            <w:tcW w:w="4500" w:type="dxa"/>
            <w:tcBorders>
              <w:top w:val="single" w:sz="6" w:space="0" w:color="auto"/>
              <w:left w:val="single" w:sz="6" w:space="0" w:color="auto"/>
              <w:bottom w:val="single" w:sz="6" w:space="0" w:color="auto"/>
              <w:right w:val="single" w:sz="6" w:space="0" w:color="auto"/>
            </w:tcBorders>
            <w:hideMark/>
          </w:tcPr>
          <w:p w14:paraId="3D47ABC0"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b/>
                <w:bCs/>
                <w:sz w:val="20"/>
                <w:szCs w:val="20"/>
                <w:lang w:eastAsia="en-AU"/>
              </w:rPr>
              <w:t xml:space="preserve">Reducing workforce shortages: </w:t>
            </w:r>
            <w:r w:rsidRPr="00E50C88">
              <w:rPr>
                <w:rFonts w:asciiTheme="majorHAnsi" w:eastAsia="Times New Roman" w:hAnsiTheme="majorHAnsi" w:cstheme="majorHAnsi"/>
                <w:sz w:val="20"/>
                <w:szCs w:val="20"/>
                <w:lang w:eastAsia="en-AU"/>
              </w:rPr>
              <w:t>There is a reduction in the gap between demand and supply of ECEC educators  </w:t>
            </w:r>
          </w:p>
        </w:tc>
        <w:tc>
          <w:tcPr>
            <w:tcW w:w="5220" w:type="dxa"/>
            <w:tcBorders>
              <w:top w:val="single" w:sz="6" w:space="0" w:color="auto"/>
              <w:left w:val="single" w:sz="6" w:space="0" w:color="auto"/>
              <w:bottom w:val="single" w:sz="6" w:space="0" w:color="auto"/>
              <w:right w:val="single" w:sz="6" w:space="0" w:color="auto"/>
            </w:tcBorders>
            <w:hideMark/>
          </w:tcPr>
          <w:p w14:paraId="0194B142"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Workforce demand outcomes, including:</w:t>
            </w:r>
            <w:r w:rsidRPr="00E50C88">
              <w:rPr>
                <w:rFonts w:asciiTheme="majorHAnsi" w:eastAsia="Times New Roman" w:hAnsiTheme="majorHAnsi" w:cstheme="majorHAnsi"/>
                <w:sz w:val="20"/>
                <w:szCs w:val="20"/>
                <w:lang w:eastAsia="en-AU"/>
              </w:rPr>
              <w:t> </w:t>
            </w:r>
          </w:p>
          <w:p w14:paraId="4060CF8C" w14:textId="77777777" w:rsidR="00E50C88" w:rsidRPr="00E50C88" w:rsidRDefault="00E50C88" w:rsidP="001A6971">
            <w:pPr>
              <w:pStyle w:val="ListParagraph"/>
              <w:numPr>
                <w:ilvl w:val="0"/>
                <w:numId w:val="48"/>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Number of vacant positions in sector (absolute, and compared to national rates as per the ABS Job Vacancy Survey) </w:t>
            </w:r>
          </w:p>
          <w:p w14:paraId="5D070BE5" w14:textId="77777777" w:rsidR="00E50C88" w:rsidRPr="00E50C88" w:rsidRDefault="00E50C88" w:rsidP="001A6971">
            <w:pPr>
              <w:pStyle w:val="ListParagraph"/>
              <w:numPr>
                <w:ilvl w:val="0"/>
                <w:numId w:val="48"/>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Length of time taken to fill vacancies in sector  </w:t>
            </w:r>
          </w:p>
          <w:p w14:paraId="726033EB"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Service provider, including:</w:t>
            </w:r>
            <w:r w:rsidRPr="00E50C88">
              <w:rPr>
                <w:rFonts w:asciiTheme="majorHAnsi" w:eastAsia="Times New Roman" w:hAnsiTheme="majorHAnsi" w:cstheme="majorHAnsi"/>
                <w:sz w:val="20"/>
                <w:szCs w:val="20"/>
                <w:lang w:eastAsia="en-AU"/>
              </w:rPr>
              <w:t>  </w:t>
            </w:r>
          </w:p>
          <w:p w14:paraId="6FB4B581" w14:textId="77777777" w:rsidR="00E50C88" w:rsidRPr="00E50C88" w:rsidRDefault="00E50C88" w:rsidP="001A6971">
            <w:pPr>
              <w:pStyle w:val="ListParagraph"/>
              <w:numPr>
                <w:ilvl w:val="0"/>
                <w:numId w:val="49"/>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 xml:space="preserve">Management of staffing gaps, </w:t>
            </w:r>
            <w:proofErr w:type="gramStart"/>
            <w:r w:rsidRPr="00E50C88">
              <w:rPr>
                <w:rFonts w:asciiTheme="majorHAnsi" w:eastAsia="Times New Roman" w:hAnsiTheme="majorHAnsi" w:cstheme="majorHAnsi"/>
                <w:sz w:val="20"/>
                <w:szCs w:val="20"/>
                <w:lang w:eastAsia="en-AU"/>
              </w:rPr>
              <w:t>including:</w:t>
            </w:r>
            <w:proofErr w:type="gramEnd"/>
            <w:r w:rsidRPr="00E50C88">
              <w:rPr>
                <w:rFonts w:asciiTheme="majorHAnsi" w:eastAsia="Times New Roman" w:hAnsiTheme="majorHAnsi" w:cstheme="majorHAnsi"/>
                <w:sz w:val="20"/>
                <w:szCs w:val="20"/>
                <w:lang w:eastAsia="en-AU"/>
              </w:rPr>
              <w:t xml:space="preserve"> agency and relief staff usage; limits or caps of children attending the service due to staffing shortages </w:t>
            </w:r>
          </w:p>
          <w:p w14:paraId="02A40EE0" w14:textId="77777777" w:rsidR="00E50C88" w:rsidRPr="00E50C88" w:rsidRDefault="00E50C88" w:rsidP="001A6971">
            <w:pPr>
              <w:pStyle w:val="ListParagraph"/>
              <w:numPr>
                <w:ilvl w:val="0"/>
                <w:numId w:val="49"/>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Number of unfilled educator positions at service </w:t>
            </w:r>
          </w:p>
          <w:p w14:paraId="6ADB6856"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Accessibility outcomes for families, including:</w:t>
            </w:r>
            <w:r w:rsidRPr="00E50C88">
              <w:rPr>
                <w:rFonts w:asciiTheme="majorHAnsi" w:eastAsia="Times New Roman" w:hAnsiTheme="majorHAnsi" w:cstheme="majorHAnsi"/>
                <w:sz w:val="20"/>
                <w:szCs w:val="20"/>
                <w:lang w:eastAsia="en-AU"/>
              </w:rPr>
              <w:t> </w:t>
            </w:r>
          </w:p>
          <w:p w14:paraId="7E3E9796" w14:textId="77777777" w:rsidR="00E50C88" w:rsidRPr="00E50C88" w:rsidRDefault="00E50C88" w:rsidP="001A6971">
            <w:pPr>
              <w:pStyle w:val="ListParagraph"/>
              <w:numPr>
                <w:ilvl w:val="0"/>
                <w:numId w:val="50"/>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Limits or caps of children attending the service </w:t>
            </w:r>
          </w:p>
          <w:p w14:paraId="424A5F6F" w14:textId="77777777" w:rsidR="00E50C88" w:rsidRPr="00E50C88" w:rsidRDefault="00E50C88" w:rsidP="001A6971">
            <w:pPr>
              <w:pStyle w:val="ListParagraph"/>
              <w:numPr>
                <w:ilvl w:val="0"/>
                <w:numId w:val="50"/>
              </w:num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Available places within services </w:t>
            </w:r>
          </w:p>
        </w:tc>
      </w:tr>
      <w:tr w:rsidR="00E50C88" w:rsidRPr="00E50C88" w14:paraId="311FDD9E" w14:textId="77777777" w:rsidTr="29A029EE">
        <w:trPr>
          <w:trHeight w:val="300"/>
        </w:trPr>
        <w:tc>
          <w:tcPr>
            <w:tcW w:w="4500" w:type="dxa"/>
            <w:tcBorders>
              <w:top w:val="single" w:sz="6" w:space="0" w:color="auto"/>
              <w:left w:val="single" w:sz="6" w:space="0" w:color="auto"/>
              <w:bottom w:val="single" w:sz="6" w:space="0" w:color="auto"/>
              <w:right w:val="single" w:sz="6" w:space="0" w:color="auto"/>
            </w:tcBorders>
            <w:hideMark/>
          </w:tcPr>
          <w:p w14:paraId="2D08E54A" w14:textId="63B7A6B6" w:rsidR="00E50C88" w:rsidRPr="00E50C88" w:rsidRDefault="00426ADB" w:rsidP="00E50C88">
            <w:pPr>
              <w:spacing w:after="0" w:line="240" w:lineRule="auto"/>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b/>
                <w:bCs/>
                <w:sz w:val="20"/>
                <w:szCs w:val="20"/>
                <w:lang w:eastAsia="en-AU"/>
              </w:rPr>
              <w:t>Maintaining the</w:t>
            </w:r>
            <w:r w:rsidRPr="00E50C88">
              <w:rPr>
                <w:rFonts w:asciiTheme="majorHAnsi" w:eastAsia="Times New Roman" w:hAnsiTheme="majorHAnsi" w:cstheme="majorHAnsi"/>
                <w:b/>
                <w:bCs/>
                <w:sz w:val="20"/>
                <w:szCs w:val="20"/>
                <w:lang w:eastAsia="en-AU"/>
              </w:rPr>
              <w:t xml:space="preserve"> </w:t>
            </w:r>
            <w:r w:rsidR="00E50C88" w:rsidRPr="00E50C88">
              <w:rPr>
                <w:rFonts w:asciiTheme="majorHAnsi" w:eastAsia="Times New Roman" w:hAnsiTheme="majorHAnsi" w:cstheme="majorHAnsi"/>
                <w:b/>
                <w:bCs/>
                <w:sz w:val="20"/>
                <w:szCs w:val="20"/>
                <w:lang w:eastAsia="en-AU"/>
              </w:rPr>
              <w:t xml:space="preserve">affordability of </w:t>
            </w:r>
            <w:proofErr w:type="gramStart"/>
            <w:r w:rsidR="00CA3650">
              <w:rPr>
                <w:rFonts w:asciiTheme="majorHAnsi" w:eastAsia="Times New Roman" w:hAnsiTheme="majorHAnsi" w:cstheme="majorHAnsi"/>
                <w:b/>
                <w:bCs/>
                <w:sz w:val="20"/>
                <w:szCs w:val="20"/>
                <w:lang w:eastAsia="en-AU"/>
              </w:rPr>
              <w:t>child care</w:t>
            </w:r>
            <w:proofErr w:type="gramEnd"/>
            <w:r w:rsidR="00E50C88" w:rsidRPr="00E50C88">
              <w:rPr>
                <w:rFonts w:asciiTheme="majorHAnsi" w:eastAsia="Times New Roman" w:hAnsiTheme="majorHAnsi" w:cstheme="majorHAnsi"/>
                <w:b/>
                <w:bCs/>
                <w:sz w:val="20"/>
                <w:szCs w:val="20"/>
                <w:lang w:eastAsia="en-AU"/>
              </w:rPr>
              <w:t>:</w:t>
            </w:r>
            <w:r w:rsidR="00E50C88" w:rsidRPr="00E50C88">
              <w:rPr>
                <w:rFonts w:asciiTheme="majorHAnsi" w:eastAsia="Times New Roman" w:hAnsiTheme="majorHAnsi" w:cstheme="majorHAnsi"/>
                <w:sz w:val="20"/>
                <w:szCs w:val="20"/>
                <w:lang w:eastAsia="en-AU"/>
              </w:rPr>
              <w:t xml:space="preserve"> Families can afford </w:t>
            </w:r>
            <w:proofErr w:type="gramStart"/>
            <w:r w:rsidR="00CA3650">
              <w:rPr>
                <w:rFonts w:asciiTheme="majorHAnsi" w:eastAsia="Times New Roman" w:hAnsiTheme="majorHAnsi" w:cstheme="majorHAnsi"/>
                <w:sz w:val="20"/>
                <w:szCs w:val="20"/>
                <w:lang w:eastAsia="en-AU"/>
              </w:rPr>
              <w:t>child care</w:t>
            </w:r>
            <w:proofErr w:type="gramEnd"/>
            <w:r w:rsidR="00E50C88" w:rsidRPr="00E50C88">
              <w:rPr>
                <w:rFonts w:asciiTheme="majorHAnsi" w:eastAsia="Times New Roman" w:hAnsiTheme="majorHAnsi" w:cstheme="majorHAnsi"/>
                <w:sz w:val="20"/>
                <w:szCs w:val="20"/>
                <w:lang w:eastAsia="en-AU"/>
              </w:rPr>
              <w:t xml:space="preserve"> services</w:t>
            </w:r>
          </w:p>
          <w:p w14:paraId="49511C54"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lang w:eastAsia="en-AU"/>
              </w:rPr>
              <w:t> </w:t>
            </w:r>
          </w:p>
        </w:tc>
        <w:tc>
          <w:tcPr>
            <w:tcW w:w="5220" w:type="dxa"/>
            <w:tcBorders>
              <w:top w:val="single" w:sz="6" w:space="0" w:color="auto"/>
              <w:left w:val="single" w:sz="6" w:space="0" w:color="auto"/>
              <w:bottom w:val="single" w:sz="6" w:space="0" w:color="auto"/>
              <w:right w:val="single" w:sz="6" w:space="0" w:color="auto"/>
            </w:tcBorders>
            <w:hideMark/>
          </w:tcPr>
          <w:p w14:paraId="47B89131" w14:textId="77777777" w:rsidR="00E50C88" w:rsidRPr="00E50C88" w:rsidRDefault="00E50C88" w:rsidP="00E50C88">
            <w:pPr>
              <w:spacing w:after="0" w:line="240" w:lineRule="auto"/>
              <w:textAlignment w:val="baseline"/>
              <w:rPr>
                <w:rFonts w:asciiTheme="majorHAnsi" w:eastAsia="Times New Roman" w:hAnsiTheme="majorHAnsi" w:cstheme="majorHAnsi"/>
                <w:sz w:val="20"/>
                <w:szCs w:val="20"/>
                <w:lang w:eastAsia="en-AU"/>
              </w:rPr>
            </w:pPr>
            <w:r w:rsidRPr="00E50C88">
              <w:rPr>
                <w:rFonts w:asciiTheme="majorHAnsi" w:eastAsia="Times New Roman" w:hAnsiTheme="majorHAnsi" w:cstheme="majorHAnsi"/>
                <w:sz w:val="20"/>
                <w:szCs w:val="20"/>
                <w:u w:val="single"/>
                <w:lang w:eastAsia="en-AU"/>
              </w:rPr>
              <w:t>Affordability outcomes, including:</w:t>
            </w:r>
            <w:r w:rsidRPr="00E50C88">
              <w:rPr>
                <w:rFonts w:asciiTheme="majorHAnsi" w:eastAsia="Times New Roman" w:hAnsiTheme="majorHAnsi" w:cstheme="majorHAnsi"/>
                <w:sz w:val="20"/>
                <w:szCs w:val="20"/>
                <w:lang w:eastAsia="en-AU"/>
              </w:rPr>
              <w:t> </w:t>
            </w:r>
          </w:p>
          <w:p w14:paraId="1BA5F25E" w14:textId="30FD451F" w:rsidR="00E50C88" w:rsidRDefault="00E50C88" w:rsidP="001A6971">
            <w:pPr>
              <w:pStyle w:val="ListParagraph"/>
              <w:numPr>
                <w:ilvl w:val="0"/>
                <w:numId w:val="51"/>
              </w:numPr>
              <w:spacing w:after="0" w:line="240" w:lineRule="auto"/>
              <w:textAlignment w:val="baseline"/>
              <w:rPr>
                <w:rFonts w:asciiTheme="majorHAnsi" w:eastAsia="Times New Roman" w:hAnsiTheme="majorHAnsi" w:cstheme="majorHAnsi"/>
                <w:sz w:val="20"/>
                <w:szCs w:val="20"/>
                <w:lang w:eastAsia="en-AU"/>
              </w:rPr>
            </w:pPr>
            <w:proofErr w:type="gramStart"/>
            <w:r w:rsidRPr="00E50C88">
              <w:rPr>
                <w:rFonts w:asciiTheme="majorHAnsi" w:eastAsia="Times New Roman" w:hAnsiTheme="majorHAnsi" w:cstheme="majorHAnsi"/>
                <w:sz w:val="20"/>
                <w:szCs w:val="20"/>
                <w:lang w:eastAsia="en-AU"/>
              </w:rPr>
              <w:t>Child care</w:t>
            </w:r>
            <w:proofErr w:type="gramEnd"/>
            <w:r w:rsidRPr="00E50C88">
              <w:rPr>
                <w:rFonts w:asciiTheme="majorHAnsi" w:eastAsia="Times New Roman" w:hAnsiTheme="majorHAnsi" w:cstheme="majorHAnsi"/>
                <w:sz w:val="20"/>
                <w:szCs w:val="20"/>
                <w:lang w:eastAsia="en-AU"/>
              </w:rPr>
              <w:t xml:space="preserve"> fees do not increase </w:t>
            </w:r>
            <w:r w:rsidR="008E2288">
              <w:rPr>
                <w:rFonts w:asciiTheme="majorHAnsi" w:eastAsia="Times New Roman" w:hAnsiTheme="majorHAnsi" w:cstheme="majorHAnsi"/>
                <w:sz w:val="20"/>
                <w:szCs w:val="20"/>
                <w:lang w:eastAsia="en-AU"/>
              </w:rPr>
              <w:t xml:space="preserve">by more than the </w:t>
            </w:r>
            <w:r w:rsidR="007253AC">
              <w:rPr>
                <w:rFonts w:asciiTheme="majorHAnsi" w:eastAsia="Times New Roman" w:hAnsiTheme="majorHAnsi" w:cstheme="majorHAnsi"/>
                <w:sz w:val="20"/>
                <w:szCs w:val="20"/>
                <w:lang w:eastAsia="en-AU"/>
              </w:rPr>
              <w:t>allowed growth rate</w:t>
            </w:r>
            <w:r w:rsidRPr="00E50C88">
              <w:rPr>
                <w:rFonts w:asciiTheme="majorHAnsi" w:eastAsia="Times New Roman" w:hAnsiTheme="majorHAnsi" w:cstheme="majorHAnsi"/>
                <w:sz w:val="20"/>
                <w:szCs w:val="20"/>
                <w:lang w:eastAsia="en-AU"/>
              </w:rPr>
              <w:t>. </w:t>
            </w:r>
          </w:p>
          <w:p w14:paraId="0EA6D401" w14:textId="298D8957" w:rsidR="00E50C88" w:rsidRPr="00E50C88" w:rsidRDefault="005D4D54" w:rsidP="001A6971">
            <w:pPr>
              <w:pStyle w:val="ListParagraph"/>
              <w:numPr>
                <w:ilvl w:val="0"/>
                <w:numId w:val="51"/>
              </w:numPr>
              <w:spacing w:after="0" w:line="240" w:lineRule="auto"/>
              <w:textAlignment w:val="baseline"/>
              <w:rPr>
                <w:rFonts w:asciiTheme="majorHAnsi" w:eastAsia="Times New Roman" w:hAnsiTheme="majorHAnsi" w:cstheme="majorHAnsi"/>
                <w:sz w:val="20"/>
                <w:szCs w:val="20"/>
                <w:lang w:eastAsia="en-AU"/>
              </w:rPr>
            </w:pPr>
            <w:r w:rsidRPr="00D26EBC">
              <w:rPr>
                <w:rFonts w:asciiTheme="majorHAnsi" w:eastAsia="Times New Roman" w:hAnsiTheme="majorHAnsi" w:cstheme="majorHAnsi"/>
                <w:sz w:val="20"/>
                <w:szCs w:val="20"/>
                <w:lang w:eastAsia="en-AU"/>
              </w:rPr>
              <w:t xml:space="preserve">Fee </w:t>
            </w:r>
            <w:r w:rsidR="00E01FD7" w:rsidRPr="00D26EBC">
              <w:rPr>
                <w:rFonts w:asciiTheme="majorHAnsi" w:eastAsia="Times New Roman" w:hAnsiTheme="majorHAnsi" w:cstheme="majorHAnsi"/>
                <w:sz w:val="20"/>
                <w:szCs w:val="20"/>
                <w:lang w:eastAsia="en-AU"/>
              </w:rPr>
              <w:t xml:space="preserve">growth </w:t>
            </w:r>
            <w:r w:rsidR="000671D0">
              <w:rPr>
                <w:rFonts w:asciiTheme="majorHAnsi" w:eastAsia="Times New Roman" w:hAnsiTheme="majorHAnsi" w:cstheme="majorHAnsi"/>
                <w:sz w:val="20"/>
                <w:szCs w:val="20"/>
                <w:lang w:eastAsia="en-AU"/>
              </w:rPr>
              <w:t>rates</w:t>
            </w:r>
            <w:r w:rsidR="00E01FD7" w:rsidRPr="00D26EBC">
              <w:rPr>
                <w:rFonts w:asciiTheme="majorHAnsi" w:eastAsia="Times New Roman" w:hAnsiTheme="majorHAnsi" w:cstheme="majorHAnsi"/>
                <w:sz w:val="20"/>
                <w:szCs w:val="20"/>
                <w:lang w:eastAsia="en-AU"/>
              </w:rPr>
              <w:t xml:space="preserve"> </w:t>
            </w:r>
            <w:r w:rsidRPr="00D26EBC">
              <w:rPr>
                <w:rFonts w:asciiTheme="majorHAnsi" w:eastAsia="Times New Roman" w:hAnsiTheme="majorHAnsi" w:cstheme="majorHAnsi"/>
                <w:sz w:val="20"/>
                <w:szCs w:val="20"/>
                <w:lang w:eastAsia="en-AU"/>
              </w:rPr>
              <w:t xml:space="preserve">for </w:t>
            </w:r>
            <w:r w:rsidR="00E01FD7" w:rsidRPr="00D26EBC">
              <w:rPr>
                <w:rFonts w:asciiTheme="majorHAnsi" w:eastAsia="Times New Roman" w:hAnsiTheme="majorHAnsi" w:cstheme="majorHAnsi"/>
                <w:sz w:val="20"/>
                <w:szCs w:val="20"/>
                <w:lang w:eastAsia="en-AU"/>
              </w:rPr>
              <w:t xml:space="preserve">providers </w:t>
            </w:r>
            <w:r w:rsidR="00FB7621" w:rsidRPr="00D26EBC">
              <w:rPr>
                <w:rFonts w:asciiTheme="majorHAnsi" w:eastAsia="Times New Roman" w:hAnsiTheme="majorHAnsi" w:cstheme="majorHAnsi"/>
                <w:sz w:val="20"/>
                <w:szCs w:val="20"/>
                <w:lang w:eastAsia="en-AU"/>
              </w:rPr>
              <w:t>partaking in the</w:t>
            </w:r>
            <w:r w:rsidR="00BE4AF6">
              <w:rPr>
                <w:rFonts w:asciiTheme="majorHAnsi" w:eastAsia="Times New Roman" w:hAnsiTheme="majorHAnsi" w:cstheme="majorHAnsi"/>
                <w:sz w:val="20"/>
                <w:szCs w:val="20"/>
                <w:lang w:eastAsia="en-AU"/>
              </w:rPr>
              <w:t xml:space="preserve"> grants program</w:t>
            </w:r>
            <w:r w:rsidR="00255154" w:rsidRPr="00D26EBC">
              <w:rPr>
                <w:rFonts w:asciiTheme="majorHAnsi" w:eastAsia="Times New Roman" w:hAnsiTheme="majorHAnsi" w:cstheme="majorHAnsi"/>
                <w:sz w:val="20"/>
                <w:szCs w:val="20"/>
                <w:lang w:eastAsia="en-AU"/>
              </w:rPr>
              <w:t xml:space="preserve"> </w:t>
            </w:r>
            <w:r w:rsidRPr="00D26EBC">
              <w:rPr>
                <w:rFonts w:asciiTheme="majorHAnsi" w:eastAsia="Times New Roman" w:hAnsiTheme="majorHAnsi" w:cstheme="majorHAnsi"/>
                <w:sz w:val="20"/>
                <w:szCs w:val="20"/>
                <w:lang w:eastAsia="en-AU"/>
              </w:rPr>
              <w:t>are</w:t>
            </w:r>
            <w:r w:rsidR="00804355" w:rsidRPr="00D26EBC">
              <w:rPr>
                <w:rFonts w:asciiTheme="majorHAnsi" w:eastAsia="Times New Roman" w:hAnsiTheme="majorHAnsi" w:cstheme="majorHAnsi"/>
                <w:sz w:val="20"/>
                <w:szCs w:val="20"/>
                <w:lang w:eastAsia="en-AU"/>
              </w:rPr>
              <w:t>, on average,</w:t>
            </w:r>
            <w:r w:rsidRPr="00D26EBC">
              <w:rPr>
                <w:rFonts w:asciiTheme="majorHAnsi" w:eastAsia="Times New Roman" w:hAnsiTheme="majorHAnsi" w:cstheme="majorHAnsi"/>
                <w:sz w:val="20"/>
                <w:szCs w:val="20"/>
                <w:lang w:eastAsia="en-AU"/>
              </w:rPr>
              <w:t xml:space="preserve"> below </w:t>
            </w:r>
            <w:r w:rsidR="00273C71" w:rsidRPr="00D26EBC">
              <w:rPr>
                <w:rFonts w:asciiTheme="majorHAnsi" w:eastAsia="Times New Roman" w:hAnsiTheme="majorHAnsi" w:cstheme="majorHAnsi"/>
                <w:sz w:val="20"/>
                <w:szCs w:val="20"/>
                <w:lang w:eastAsia="en-AU"/>
              </w:rPr>
              <w:t xml:space="preserve">the growth rates of </w:t>
            </w:r>
            <w:r w:rsidR="00255154" w:rsidRPr="00D26EBC">
              <w:rPr>
                <w:rFonts w:asciiTheme="majorHAnsi" w:eastAsia="Times New Roman" w:hAnsiTheme="majorHAnsi" w:cstheme="majorHAnsi"/>
                <w:sz w:val="20"/>
                <w:szCs w:val="20"/>
                <w:lang w:eastAsia="en-AU"/>
              </w:rPr>
              <w:t xml:space="preserve">providers who are not part of </w:t>
            </w:r>
            <w:r w:rsidR="00DF1CF5">
              <w:rPr>
                <w:rFonts w:asciiTheme="majorHAnsi" w:eastAsia="Times New Roman" w:hAnsiTheme="majorHAnsi" w:cstheme="majorHAnsi"/>
                <w:sz w:val="20"/>
                <w:szCs w:val="20"/>
                <w:lang w:eastAsia="en-AU"/>
              </w:rPr>
              <w:t>grants program</w:t>
            </w:r>
            <w:r w:rsidR="00432576" w:rsidRPr="00D26EBC">
              <w:rPr>
                <w:rFonts w:asciiTheme="majorHAnsi" w:eastAsia="Times New Roman" w:hAnsiTheme="majorHAnsi" w:cstheme="majorHAnsi"/>
                <w:sz w:val="20"/>
                <w:szCs w:val="20"/>
                <w:lang w:eastAsia="en-AU"/>
              </w:rPr>
              <w:t>.</w:t>
            </w:r>
          </w:p>
        </w:tc>
      </w:tr>
    </w:tbl>
    <w:p w14:paraId="616ECC41" w14:textId="07D2ED2C" w:rsidR="35771FF5" w:rsidRDefault="00486DB0" w:rsidP="00A378DC">
      <w:pPr>
        <w:shd w:val="clear" w:color="auto" w:fill="FFFFFF"/>
        <w:spacing w:after="100" w:afterAutospacing="1" w:line="240" w:lineRule="auto"/>
      </w:pPr>
      <w:r>
        <w:br/>
      </w:r>
      <w:r w:rsidR="6AF2A50C">
        <w:t>In the event that the set targets are not met, particularly with a time-limited funding</w:t>
      </w:r>
      <w:r w:rsidR="08570540">
        <w:t xml:space="preserve"> program</w:t>
      </w:r>
      <w:r w:rsidR="6AF2A50C">
        <w:t xml:space="preserve">, </w:t>
      </w:r>
      <w:r w:rsidR="4608126F">
        <w:t xml:space="preserve">broader structural changes will need to be </w:t>
      </w:r>
      <w:r w:rsidR="23A17ACC">
        <w:t xml:space="preserve">proposed and further </w:t>
      </w:r>
      <w:r w:rsidR="4608126F">
        <w:t xml:space="preserve">considered by the Government. </w:t>
      </w:r>
      <w:r w:rsidR="03F94BC8">
        <w:t>It is worth noting that o</w:t>
      </w:r>
      <w:r w:rsidR="6B80F417">
        <w:t xml:space="preserve">n 3 June 2024, the FWC announced the </w:t>
      </w:r>
      <w:r w:rsidR="7B089A19">
        <w:t>establishment</w:t>
      </w:r>
      <w:r w:rsidR="1AD19A19">
        <w:t xml:space="preserve"> of a program to investigate </w:t>
      </w:r>
      <w:r w:rsidR="0B5C6EED">
        <w:t>identified priority</w:t>
      </w:r>
      <w:r w:rsidR="51A97935">
        <w:t xml:space="preserve"> awards</w:t>
      </w:r>
      <w:r w:rsidR="03F94BC8">
        <w:t>, in</w:t>
      </w:r>
      <w:r w:rsidR="1266DE54">
        <w:t>cluding for ECEC workers,</w:t>
      </w:r>
      <w:r w:rsidR="51A97935">
        <w:t xml:space="preserve"> </w:t>
      </w:r>
      <w:r w:rsidR="0B5C6EED">
        <w:t>to resolve long-term gender undervaluation</w:t>
      </w:r>
      <w:r w:rsidR="0831B0B5">
        <w:t xml:space="preserve"> issues.</w:t>
      </w:r>
      <w:r w:rsidR="758E3B9B">
        <w:t xml:space="preserve"> </w:t>
      </w:r>
    </w:p>
    <w:p w14:paraId="24D10B00" w14:textId="17D46DB1" w:rsidR="00846C87" w:rsidRPr="00E01E7D" w:rsidRDefault="758E3B9B" w:rsidP="35771FF5">
      <w:pPr>
        <w:shd w:val="clear" w:color="auto" w:fill="FFFFFF" w:themeFill="background1"/>
        <w:spacing w:after="100" w:afterAutospacing="1" w:line="240" w:lineRule="auto"/>
      </w:pPr>
      <w:r>
        <w:t>This</w:t>
      </w:r>
      <w:r w:rsidR="419F2DFA">
        <w:t xml:space="preserve"> FWC review</w:t>
      </w:r>
      <w:r w:rsidR="456310D8">
        <w:t xml:space="preserve"> for gender </w:t>
      </w:r>
      <w:r w:rsidR="6598DAA8">
        <w:t>undervaluation (which is to be completed by 2024-25 AWR outcome</w:t>
      </w:r>
      <w:r w:rsidR="527289A5">
        <w:t>, expected in June 2025</w:t>
      </w:r>
      <w:r w:rsidR="6598DAA8">
        <w:t>)</w:t>
      </w:r>
      <w:r w:rsidR="419F2DFA">
        <w:t xml:space="preserve">, combined with </w:t>
      </w:r>
      <w:r w:rsidR="78FEDA75">
        <w:t>a</w:t>
      </w:r>
      <w:r w:rsidR="3C893D03">
        <w:t xml:space="preserve"> suite of workforce programs</w:t>
      </w:r>
      <w:r w:rsidR="78FEDA75">
        <w:t xml:space="preserve"> (such as for </w:t>
      </w:r>
      <w:r w:rsidR="6598DAA8">
        <w:t xml:space="preserve">workforce </w:t>
      </w:r>
      <w:r w:rsidR="78FEDA75">
        <w:t>Professional Development</w:t>
      </w:r>
      <w:r w:rsidR="7F3FE18F">
        <w:t xml:space="preserve"> initiatives</w:t>
      </w:r>
      <w:r w:rsidR="78FEDA75">
        <w:t>),</w:t>
      </w:r>
      <w:r w:rsidR="29C85A0A">
        <w:t xml:space="preserve"> will </w:t>
      </w:r>
      <w:r w:rsidR="118B82C1">
        <w:t>provide</w:t>
      </w:r>
      <w:r w:rsidR="6585BBE0">
        <w:t xml:space="preserve"> the</w:t>
      </w:r>
      <w:r w:rsidR="6598DAA8">
        <w:t xml:space="preserve"> </w:t>
      </w:r>
      <w:r w:rsidR="1C996419">
        <w:t xml:space="preserve">ECEC </w:t>
      </w:r>
      <w:r w:rsidR="6598DAA8">
        <w:t xml:space="preserve">workforce </w:t>
      </w:r>
      <w:r w:rsidR="2164FAA2">
        <w:t xml:space="preserve">further regulatory </w:t>
      </w:r>
      <w:r w:rsidR="1C67816B">
        <w:t>mechanism</w:t>
      </w:r>
      <w:r w:rsidR="1302FC5C">
        <w:t>s</w:t>
      </w:r>
      <w:r w:rsidR="1C67816B">
        <w:t xml:space="preserve"> </w:t>
      </w:r>
      <w:r w:rsidR="411A68EF">
        <w:t xml:space="preserve">and sectoral incentives </w:t>
      </w:r>
      <w:r w:rsidR="1C67816B">
        <w:t>to support better pay and condition</w:t>
      </w:r>
      <w:r w:rsidR="1302FC5C">
        <w:t>s</w:t>
      </w:r>
      <w:r w:rsidR="5FC88D79">
        <w:t>.</w:t>
      </w:r>
      <w:r w:rsidR="4EA3EA0D">
        <w:t xml:space="preserve"> </w:t>
      </w:r>
      <w:r w:rsidR="504DFDAA">
        <w:t>Addressing</w:t>
      </w:r>
      <w:r w:rsidR="24E0B3C3">
        <w:t xml:space="preserve"> wage issues </w:t>
      </w:r>
      <w:r w:rsidR="0F6D8065">
        <w:t>through</w:t>
      </w:r>
      <w:r w:rsidR="24E0B3C3">
        <w:t xml:space="preserve"> a structural</w:t>
      </w:r>
      <w:r w:rsidR="0F6D8065">
        <w:t xml:space="preserve"> change</w:t>
      </w:r>
      <w:r w:rsidR="4EA3EA0D">
        <w:t xml:space="preserve"> will likely </w:t>
      </w:r>
      <w:r w:rsidR="4F584B97">
        <w:t xml:space="preserve">support the retention </w:t>
      </w:r>
      <w:r w:rsidR="4F4C41E3">
        <w:t xml:space="preserve">existing quality workforce and </w:t>
      </w:r>
      <w:r w:rsidR="00501D40">
        <w:t xml:space="preserve">attract new entrants </w:t>
      </w:r>
      <w:r w:rsidR="527289A5">
        <w:lastRenderedPageBreak/>
        <w:t xml:space="preserve">to the sector. </w:t>
      </w:r>
      <w:r w:rsidR="781AC611">
        <w:t>Not</w:t>
      </w:r>
      <w:r w:rsidR="52B5EC22">
        <w:t>ing</w:t>
      </w:r>
      <w:r w:rsidR="781AC611">
        <w:t xml:space="preserve"> that the P</w:t>
      </w:r>
      <w:r w:rsidR="51E55529">
        <w:t>C</w:t>
      </w:r>
      <w:r w:rsidR="781AC611">
        <w:t xml:space="preserve"> </w:t>
      </w:r>
      <w:r w:rsidR="5D76CCB8">
        <w:t xml:space="preserve">Inquiry process will </w:t>
      </w:r>
      <w:r w:rsidR="52B5EC22">
        <w:t>publish its final report by 30 June 2024, it is possible further reform</w:t>
      </w:r>
      <w:r w:rsidR="4985B8AA">
        <w:t xml:space="preserve">s </w:t>
      </w:r>
      <w:r w:rsidR="07AAD169">
        <w:t>for</w:t>
      </w:r>
      <w:r w:rsidR="4985B8AA">
        <w:t xml:space="preserve"> </w:t>
      </w:r>
      <w:r w:rsidR="4987C967">
        <w:t xml:space="preserve">the </w:t>
      </w:r>
      <w:r w:rsidR="07AAD169">
        <w:t xml:space="preserve">attraction and retention of </w:t>
      </w:r>
      <w:r w:rsidR="4985B8AA">
        <w:t>ECEC workforc</w:t>
      </w:r>
      <w:r w:rsidR="3785314D">
        <w:t xml:space="preserve">e </w:t>
      </w:r>
      <w:r w:rsidR="4985B8AA">
        <w:t>will form part of PC’s recommendations</w:t>
      </w:r>
      <w:r w:rsidR="3785314D">
        <w:t xml:space="preserve">, highlighting workforce is </w:t>
      </w:r>
      <w:r w:rsidR="745D2400">
        <w:t>the</w:t>
      </w:r>
      <w:r w:rsidR="3785314D">
        <w:t xml:space="preserve"> key enabler of ECEC</w:t>
      </w:r>
      <w:r w:rsidR="4985B8AA">
        <w:t xml:space="preserve">. Further, the metrics collected during the implementation of the </w:t>
      </w:r>
      <w:r w:rsidR="745D2400">
        <w:t>grants</w:t>
      </w:r>
      <w:r w:rsidR="4985B8AA">
        <w:t xml:space="preserve"> program will be extremely valuable in better informing future policy and planning efforts and drive future targeted solution going forward.</w:t>
      </w:r>
    </w:p>
    <w:p w14:paraId="1F2AD42A" w14:textId="029FC4B0" w:rsidR="00086257" w:rsidRDefault="00086257"/>
    <w:p w14:paraId="61B7F66E" w14:textId="17838A35" w:rsidR="29A029EE" w:rsidRDefault="29A029EE"/>
    <w:p w14:paraId="2E33F5BB" w14:textId="77777777" w:rsidR="00820F56" w:rsidRDefault="00820F56" w:rsidP="00C34893">
      <w:pPr>
        <w:pStyle w:val="Heading3"/>
        <w:sectPr w:rsidR="00820F56" w:rsidSect="008B4E15">
          <w:footerReference w:type="default" r:id="rId19"/>
          <w:pgSz w:w="11906" w:h="16838"/>
          <w:pgMar w:top="1440" w:right="1440" w:bottom="1440" w:left="1440" w:header="708" w:footer="708" w:gutter="0"/>
          <w:cols w:space="708"/>
          <w:docGrid w:linePitch="360"/>
        </w:sectPr>
      </w:pPr>
    </w:p>
    <w:p w14:paraId="6913D573" w14:textId="32486BAA" w:rsidR="00726CAF" w:rsidRPr="00726CAF" w:rsidRDefault="43A52458" w:rsidP="00C34893">
      <w:pPr>
        <w:pStyle w:val="Heading3"/>
      </w:pPr>
      <w:bookmarkStart w:id="126" w:name="_Toc219193907"/>
      <w:r>
        <w:lastRenderedPageBreak/>
        <w:t>Appendix A: Workplace instrument</w:t>
      </w:r>
      <w:r w:rsidR="00874827">
        <w:t xml:space="preserve"> </w:t>
      </w:r>
      <w:r w:rsidR="00925804">
        <w:t>types and</w:t>
      </w:r>
      <w:r w:rsidR="73BDAE7D">
        <w:t xml:space="preserve"> implementation</w:t>
      </w:r>
      <w:r>
        <w:t xml:space="preserve"> </w:t>
      </w:r>
      <w:r w:rsidR="1A2E2B9D">
        <w:t>processes</w:t>
      </w:r>
      <w:bookmarkEnd w:id="126"/>
    </w:p>
    <w:p w14:paraId="53FAC573" w14:textId="7C8C031D" w:rsidR="37EC7EF6" w:rsidRDefault="37EC7EF6" w:rsidP="00C34893">
      <w:r>
        <w:t xml:space="preserve">The </w:t>
      </w:r>
      <w:r w:rsidR="7FE3CEBA">
        <w:t xml:space="preserve">processes associated for workplaces to implement each </w:t>
      </w:r>
      <w:r w:rsidR="4F7DFAE0">
        <w:t>type of workplace instrument are outlined below.</w:t>
      </w:r>
    </w:p>
    <w:p w14:paraId="4A095D93" w14:textId="77777777" w:rsidR="003913EE" w:rsidRDefault="003913EE" w:rsidP="003913EE">
      <w:r>
        <w:t xml:space="preserve">Section 12 of the </w:t>
      </w:r>
      <w:r w:rsidRPr="3D6873E4">
        <w:rPr>
          <w:i/>
          <w:iCs/>
        </w:rPr>
        <w:t>Fair Work Act 2009</w:t>
      </w:r>
      <w:r w:rsidRPr="3D6873E4">
        <w:t xml:space="preserve"> (Fair Work Act) provides the definition of “workplace instrument”. A workplace instrument means an instrument that is made under, or recognised by, a workplace law; and concerns the relationships between employers and employees. </w:t>
      </w:r>
      <w:r>
        <w:t>In this context, a workplace law means the Fair Work Act.</w:t>
      </w:r>
      <w:r>
        <w:rPr>
          <w:rStyle w:val="FootnoteReference"/>
        </w:rPr>
        <w:footnoteReference w:id="158"/>
      </w:r>
      <w:r>
        <w:t xml:space="preserve"> </w:t>
      </w:r>
    </w:p>
    <w:p w14:paraId="6457BFBE" w14:textId="77777777" w:rsidR="003913EE" w:rsidRPr="00EE523B" w:rsidRDefault="003913EE" w:rsidP="003913EE">
      <w:pPr>
        <w:rPr>
          <w:u w:val="single"/>
        </w:rPr>
      </w:pPr>
      <w:r w:rsidRPr="3D6873E4">
        <w:t>The term ‘workplace instrument’ does not apply to the contract of employment itself.</w:t>
      </w:r>
      <w:r w:rsidRPr="3D6873E4">
        <w:rPr>
          <w:rStyle w:val="FootnoteReference"/>
        </w:rPr>
        <w:footnoteReference w:id="159"/>
      </w:r>
      <w:r w:rsidRPr="3D6873E4">
        <w:t xml:space="preserve"> A workplace instrument usually refers to an enterprise agreement or an award.</w:t>
      </w:r>
    </w:p>
    <w:tbl>
      <w:tblPr>
        <w:tblStyle w:val="TableGrid"/>
        <w:tblW w:w="14879" w:type="dxa"/>
        <w:tblLook w:val="04A0" w:firstRow="1" w:lastRow="0" w:firstColumn="1" w:lastColumn="0" w:noHBand="0" w:noVBand="1"/>
      </w:tblPr>
      <w:tblGrid>
        <w:gridCol w:w="3633"/>
        <w:gridCol w:w="4159"/>
        <w:gridCol w:w="3685"/>
        <w:gridCol w:w="3402"/>
      </w:tblGrid>
      <w:tr w:rsidR="003913EE" w:rsidRPr="006A6D96" w14:paraId="42531A8D" w14:textId="77777777" w:rsidTr="003913EE">
        <w:trPr>
          <w:trHeight w:val="20"/>
          <w:tblHeader/>
        </w:trPr>
        <w:tc>
          <w:tcPr>
            <w:tcW w:w="3633" w:type="dxa"/>
          </w:tcPr>
          <w:p w14:paraId="1563D915" w14:textId="77777777" w:rsidR="003913EE" w:rsidRPr="006A6D96" w:rsidRDefault="003913EE" w:rsidP="007D7762">
            <w:pPr>
              <w:spacing w:after="120"/>
              <w:rPr>
                <w:b/>
                <w:bCs/>
                <w:sz w:val="20"/>
                <w:szCs w:val="20"/>
              </w:rPr>
            </w:pPr>
            <w:r w:rsidRPr="006A6D96">
              <w:rPr>
                <w:b/>
                <w:bCs/>
                <w:sz w:val="20"/>
                <w:szCs w:val="20"/>
              </w:rPr>
              <w:t>Workplace instrument type</w:t>
            </w:r>
          </w:p>
        </w:tc>
        <w:tc>
          <w:tcPr>
            <w:tcW w:w="4159" w:type="dxa"/>
          </w:tcPr>
          <w:p w14:paraId="328BB42D" w14:textId="77777777" w:rsidR="003913EE" w:rsidRPr="006A6D96" w:rsidRDefault="003913EE" w:rsidP="007D7762">
            <w:pPr>
              <w:spacing w:after="120"/>
              <w:rPr>
                <w:b/>
                <w:bCs/>
                <w:sz w:val="20"/>
                <w:szCs w:val="20"/>
              </w:rPr>
            </w:pPr>
            <w:r w:rsidRPr="006A6D96">
              <w:rPr>
                <w:b/>
                <w:bCs/>
                <w:sz w:val="20"/>
                <w:szCs w:val="20"/>
              </w:rPr>
              <w:t>Suitability</w:t>
            </w:r>
          </w:p>
        </w:tc>
        <w:tc>
          <w:tcPr>
            <w:tcW w:w="3685" w:type="dxa"/>
          </w:tcPr>
          <w:p w14:paraId="348BE902" w14:textId="77777777" w:rsidR="003913EE" w:rsidRPr="006A6D96" w:rsidRDefault="003913EE" w:rsidP="007D7762">
            <w:pPr>
              <w:spacing w:after="120"/>
              <w:rPr>
                <w:b/>
                <w:bCs/>
                <w:sz w:val="20"/>
                <w:szCs w:val="20"/>
              </w:rPr>
            </w:pPr>
            <w:r w:rsidRPr="006A6D96">
              <w:rPr>
                <w:b/>
                <w:bCs/>
                <w:sz w:val="20"/>
                <w:szCs w:val="20"/>
              </w:rPr>
              <w:t>How the instrument is made</w:t>
            </w:r>
          </w:p>
        </w:tc>
        <w:tc>
          <w:tcPr>
            <w:tcW w:w="3402" w:type="dxa"/>
          </w:tcPr>
          <w:p w14:paraId="7676B037" w14:textId="77777777" w:rsidR="003913EE" w:rsidRPr="006A6D96" w:rsidRDefault="003913EE" w:rsidP="007D7762">
            <w:pPr>
              <w:spacing w:after="120"/>
              <w:rPr>
                <w:b/>
                <w:bCs/>
                <w:sz w:val="20"/>
                <w:szCs w:val="20"/>
              </w:rPr>
            </w:pPr>
            <w:r w:rsidRPr="006A6D96">
              <w:rPr>
                <w:b/>
                <w:bCs/>
                <w:sz w:val="20"/>
                <w:szCs w:val="20"/>
              </w:rPr>
              <w:t>Background</w:t>
            </w:r>
          </w:p>
        </w:tc>
      </w:tr>
      <w:tr w:rsidR="003913EE" w:rsidRPr="00EE523B" w14:paraId="1A1A1259" w14:textId="77777777" w:rsidTr="003913EE">
        <w:trPr>
          <w:trHeight w:val="20"/>
        </w:trPr>
        <w:tc>
          <w:tcPr>
            <w:tcW w:w="3633" w:type="dxa"/>
          </w:tcPr>
          <w:p w14:paraId="092E74B5" w14:textId="77777777" w:rsidR="003913EE" w:rsidRPr="00EE523B" w:rsidRDefault="003913EE" w:rsidP="007D7762">
            <w:pPr>
              <w:spacing w:after="120"/>
              <w:rPr>
                <w:sz w:val="16"/>
                <w:szCs w:val="16"/>
              </w:rPr>
            </w:pPr>
            <w:r w:rsidRPr="00EE523B">
              <w:rPr>
                <w:sz w:val="16"/>
                <w:szCs w:val="16"/>
              </w:rPr>
              <w:t>Single enterprise agreement</w:t>
            </w:r>
          </w:p>
        </w:tc>
        <w:tc>
          <w:tcPr>
            <w:tcW w:w="4159" w:type="dxa"/>
          </w:tcPr>
          <w:p w14:paraId="5640034B" w14:textId="0583A525" w:rsidR="003913EE" w:rsidRDefault="003913EE" w:rsidP="003913EE">
            <w:pPr>
              <w:pStyle w:val="ListParagraph"/>
              <w:numPr>
                <w:ilvl w:val="0"/>
                <w:numId w:val="60"/>
              </w:numPr>
              <w:spacing w:after="120"/>
              <w:ind w:left="279" w:hanging="279"/>
              <w:rPr>
                <w:sz w:val="16"/>
                <w:szCs w:val="16"/>
              </w:rPr>
            </w:pPr>
            <w:r w:rsidRPr="007E7E22">
              <w:rPr>
                <w:sz w:val="16"/>
                <w:szCs w:val="16"/>
              </w:rPr>
              <w:t xml:space="preserve">New enterprise agreements designed to meet the required terms of Option </w:t>
            </w:r>
            <w:r w:rsidR="00F4364E">
              <w:rPr>
                <w:sz w:val="16"/>
                <w:szCs w:val="16"/>
              </w:rPr>
              <w:t>3</w:t>
            </w:r>
            <w:r w:rsidRPr="007E7E22">
              <w:rPr>
                <w:sz w:val="16"/>
                <w:szCs w:val="16"/>
              </w:rPr>
              <w:t xml:space="preserve"> are </w:t>
            </w:r>
            <w:r w:rsidRPr="007E7E22">
              <w:rPr>
                <w:b/>
                <w:bCs/>
                <w:sz w:val="16"/>
                <w:szCs w:val="16"/>
              </w:rPr>
              <w:t>highly suitable</w:t>
            </w:r>
            <w:r w:rsidRPr="007E7E22">
              <w:rPr>
                <w:sz w:val="16"/>
                <w:szCs w:val="16"/>
              </w:rPr>
              <w:t xml:space="preserve"> workplace instruments.</w:t>
            </w:r>
          </w:p>
          <w:p w14:paraId="70CB2F48" w14:textId="7943DDF1" w:rsidR="003913EE" w:rsidRDefault="003913EE" w:rsidP="003913EE">
            <w:pPr>
              <w:pStyle w:val="ListParagraph"/>
              <w:numPr>
                <w:ilvl w:val="0"/>
                <w:numId w:val="60"/>
              </w:numPr>
              <w:spacing w:after="120"/>
              <w:ind w:left="279" w:hanging="279"/>
              <w:rPr>
                <w:sz w:val="16"/>
                <w:szCs w:val="16"/>
              </w:rPr>
            </w:pPr>
            <w:r>
              <w:rPr>
                <w:sz w:val="16"/>
                <w:szCs w:val="16"/>
              </w:rPr>
              <w:t xml:space="preserve">Existing enterprise agreements are </w:t>
            </w:r>
            <w:r w:rsidRPr="007E7E22">
              <w:rPr>
                <w:b/>
                <w:bCs/>
                <w:sz w:val="16"/>
                <w:szCs w:val="16"/>
              </w:rPr>
              <w:t>unlikely</w:t>
            </w:r>
            <w:r>
              <w:rPr>
                <w:sz w:val="16"/>
                <w:szCs w:val="16"/>
              </w:rPr>
              <w:t xml:space="preserve"> to meet the required terms of Option </w:t>
            </w:r>
            <w:r w:rsidR="00F4364E">
              <w:rPr>
                <w:sz w:val="16"/>
                <w:szCs w:val="16"/>
              </w:rPr>
              <w:t>3</w:t>
            </w:r>
            <w:r>
              <w:rPr>
                <w:sz w:val="16"/>
                <w:szCs w:val="16"/>
              </w:rPr>
              <w:t xml:space="preserve">. </w:t>
            </w:r>
          </w:p>
          <w:p w14:paraId="3DE1D198" w14:textId="77777777" w:rsidR="003913EE" w:rsidRPr="00EE523B" w:rsidRDefault="003913EE" w:rsidP="003913EE">
            <w:pPr>
              <w:pStyle w:val="ListParagraph"/>
              <w:numPr>
                <w:ilvl w:val="1"/>
                <w:numId w:val="61"/>
              </w:numPr>
              <w:spacing w:after="120"/>
              <w:ind w:left="704"/>
              <w:rPr>
                <w:sz w:val="16"/>
                <w:szCs w:val="16"/>
              </w:rPr>
            </w:pPr>
            <w:r>
              <w:rPr>
                <w:sz w:val="16"/>
                <w:szCs w:val="16"/>
              </w:rPr>
              <w:t xml:space="preserve">An employer can vary an existing single enterprise agreement. This is a simple way to make it compliant with Option 2’s requirements. </w:t>
            </w:r>
          </w:p>
        </w:tc>
        <w:tc>
          <w:tcPr>
            <w:tcW w:w="3685" w:type="dxa"/>
          </w:tcPr>
          <w:p w14:paraId="1B32988D" w14:textId="0199ADD1" w:rsidR="003913EE" w:rsidRPr="00EE523B" w:rsidRDefault="00BA1821" w:rsidP="007D7762">
            <w:pPr>
              <w:spacing w:after="120"/>
              <w:rPr>
                <w:sz w:val="16"/>
                <w:szCs w:val="16"/>
              </w:rPr>
            </w:pPr>
            <w:r>
              <w:rPr>
                <w:sz w:val="16"/>
                <w:szCs w:val="16"/>
              </w:rPr>
              <w:t>See Appendix B</w:t>
            </w:r>
            <w:r w:rsidR="003913EE">
              <w:rPr>
                <w:sz w:val="16"/>
                <w:szCs w:val="16"/>
              </w:rPr>
              <w:t xml:space="preserve"> </w:t>
            </w:r>
          </w:p>
        </w:tc>
        <w:tc>
          <w:tcPr>
            <w:tcW w:w="3402" w:type="dxa"/>
          </w:tcPr>
          <w:p w14:paraId="7F131503" w14:textId="77777777" w:rsidR="003913EE" w:rsidRPr="00EE523B" w:rsidRDefault="003913EE" w:rsidP="007D7762">
            <w:pPr>
              <w:spacing w:after="120"/>
              <w:rPr>
                <w:sz w:val="16"/>
                <w:szCs w:val="16"/>
              </w:rPr>
            </w:pPr>
          </w:p>
        </w:tc>
      </w:tr>
      <w:tr w:rsidR="003913EE" w:rsidRPr="00EE523B" w14:paraId="11A63CA9" w14:textId="77777777" w:rsidTr="003913EE">
        <w:trPr>
          <w:trHeight w:val="20"/>
        </w:trPr>
        <w:tc>
          <w:tcPr>
            <w:tcW w:w="3633" w:type="dxa"/>
          </w:tcPr>
          <w:p w14:paraId="753E965A" w14:textId="77777777" w:rsidR="003913EE" w:rsidRPr="00EE523B" w:rsidRDefault="003913EE" w:rsidP="007D7762">
            <w:pPr>
              <w:spacing w:after="120"/>
              <w:rPr>
                <w:sz w:val="16"/>
                <w:szCs w:val="16"/>
              </w:rPr>
            </w:pPr>
            <w:r w:rsidRPr="00EE523B">
              <w:rPr>
                <w:sz w:val="16"/>
                <w:szCs w:val="16"/>
              </w:rPr>
              <w:t>Supported bargaining agreement</w:t>
            </w:r>
          </w:p>
        </w:tc>
        <w:tc>
          <w:tcPr>
            <w:tcW w:w="4159" w:type="dxa"/>
          </w:tcPr>
          <w:p w14:paraId="7D1AF978" w14:textId="5C854EB2" w:rsidR="003913EE" w:rsidRDefault="003913EE" w:rsidP="003913EE">
            <w:pPr>
              <w:pStyle w:val="ListParagraph"/>
              <w:numPr>
                <w:ilvl w:val="0"/>
                <w:numId w:val="62"/>
              </w:numPr>
              <w:spacing w:after="120"/>
              <w:ind w:left="283"/>
              <w:rPr>
                <w:sz w:val="16"/>
                <w:szCs w:val="16"/>
              </w:rPr>
            </w:pPr>
            <w:r>
              <w:rPr>
                <w:sz w:val="16"/>
                <w:szCs w:val="16"/>
              </w:rPr>
              <w:t xml:space="preserve">Employers covered by the current supported bargaining agreement will meet the required terms of Option </w:t>
            </w:r>
            <w:r w:rsidR="00F4364E">
              <w:rPr>
                <w:sz w:val="16"/>
                <w:szCs w:val="16"/>
              </w:rPr>
              <w:t>3</w:t>
            </w:r>
            <w:r>
              <w:rPr>
                <w:sz w:val="16"/>
                <w:szCs w:val="16"/>
              </w:rPr>
              <w:t xml:space="preserve"> if that agreement ultimately contains those terms. The current supported bargaining agreement is </w:t>
            </w:r>
            <w:r w:rsidRPr="00596C34">
              <w:rPr>
                <w:b/>
                <w:bCs/>
                <w:sz w:val="16"/>
                <w:szCs w:val="16"/>
              </w:rPr>
              <w:t>highly suitable</w:t>
            </w:r>
            <w:r>
              <w:rPr>
                <w:sz w:val="16"/>
                <w:szCs w:val="16"/>
              </w:rPr>
              <w:t>.</w:t>
            </w:r>
          </w:p>
          <w:p w14:paraId="0EE17DB0" w14:textId="77777777" w:rsidR="003913EE" w:rsidRDefault="003913EE" w:rsidP="003913EE">
            <w:pPr>
              <w:pStyle w:val="ListParagraph"/>
              <w:numPr>
                <w:ilvl w:val="1"/>
                <w:numId w:val="62"/>
              </w:numPr>
              <w:spacing w:after="120"/>
              <w:ind w:left="704"/>
              <w:rPr>
                <w:sz w:val="16"/>
                <w:szCs w:val="16"/>
              </w:rPr>
            </w:pPr>
            <w:r>
              <w:rPr>
                <w:sz w:val="16"/>
                <w:szCs w:val="16"/>
              </w:rPr>
              <w:t xml:space="preserve">The supported bargaining agreement can be varied to add new employers. This mechanism is the simplest way for employers to have a compliant workplace instrument. </w:t>
            </w:r>
          </w:p>
          <w:p w14:paraId="7B9F7D9C" w14:textId="6AC2E1B0" w:rsidR="003913EE" w:rsidRPr="00596C34" w:rsidRDefault="003913EE" w:rsidP="003913EE">
            <w:pPr>
              <w:pStyle w:val="ListParagraph"/>
              <w:numPr>
                <w:ilvl w:val="0"/>
                <w:numId w:val="62"/>
              </w:numPr>
              <w:spacing w:after="120"/>
              <w:ind w:left="279" w:hanging="279"/>
              <w:rPr>
                <w:sz w:val="16"/>
                <w:szCs w:val="16"/>
              </w:rPr>
            </w:pPr>
            <w:r>
              <w:rPr>
                <w:sz w:val="16"/>
                <w:szCs w:val="16"/>
              </w:rPr>
              <w:t xml:space="preserve">Employers could make a new supported bargaining agreement for a different scope of employers. This </w:t>
            </w:r>
            <w:r>
              <w:rPr>
                <w:sz w:val="16"/>
                <w:szCs w:val="16"/>
              </w:rPr>
              <w:lastRenderedPageBreak/>
              <w:t xml:space="preserve">would need ultimately to meet the required terms of Option </w:t>
            </w:r>
            <w:r w:rsidR="00F4364E">
              <w:rPr>
                <w:sz w:val="16"/>
                <w:szCs w:val="16"/>
              </w:rPr>
              <w:t>3</w:t>
            </w:r>
            <w:r>
              <w:rPr>
                <w:sz w:val="16"/>
                <w:szCs w:val="16"/>
              </w:rPr>
              <w:t xml:space="preserve"> to be suitable. </w:t>
            </w:r>
          </w:p>
        </w:tc>
        <w:tc>
          <w:tcPr>
            <w:tcW w:w="3685" w:type="dxa"/>
          </w:tcPr>
          <w:p w14:paraId="30A2BE1D" w14:textId="3C2399CB" w:rsidR="003913EE" w:rsidRPr="00EE523B" w:rsidRDefault="00BA1821" w:rsidP="007D7762">
            <w:pPr>
              <w:spacing w:after="120"/>
              <w:rPr>
                <w:sz w:val="16"/>
                <w:szCs w:val="16"/>
              </w:rPr>
            </w:pPr>
            <w:r>
              <w:rPr>
                <w:sz w:val="16"/>
                <w:szCs w:val="16"/>
              </w:rPr>
              <w:lastRenderedPageBreak/>
              <w:t>See Appendix B</w:t>
            </w:r>
          </w:p>
        </w:tc>
        <w:tc>
          <w:tcPr>
            <w:tcW w:w="3402" w:type="dxa"/>
          </w:tcPr>
          <w:p w14:paraId="6E641C80" w14:textId="77777777" w:rsidR="003913EE" w:rsidRPr="00EE523B" w:rsidRDefault="003913EE" w:rsidP="007D7762">
            <w:pPr>
              <w:spacing w:after="120"/>
              <w:rPr>
                <w:sz w:val="16"/>
                <w:szCs w:val="16"/>
              </w:rPr>
            </w:pPr>
          </w:p>
        </w:tc>
      </w:tr>
      <w:tr w:rsidR="003913EE" w:rsidRPr="00EE523B" w14:paraId="367B1C85" w14:textId="77777777" w:rsidTr="003913EE">
        <w:trPr>
          <w:trHeight w:val="20"/>
        </w:trPr>
        <w:tc>
          <w:tcPr>
            <w:tcW w:w="3633" w:type="dxa"/>
          </w:tcPr>
          <w:p w14:paraId="3171D113" w14:textId="77777777" w:rsidR="003913EE" w:rsidRPr="00EE523B" w:rsidRDefault="003913EE" w:rsidP="007D7762">
            <w:pPr>
              <w:spacing w:after="120"/>
              <w:rPr>
                <w:sz w:val="16"/>
                <w:szCs w:val="16"/>
              </w:rPr>
            </w:pPr>
            <w:r w:rsidRPr="00EE523B">
              <w:rPr>
                <w:sz w:val="16"/>
                <w:szCs w:val="16"/>
              </w:rPr>
              <w:t>Workplace determination</w:t>
            </w:r>
          </w:p>
        </w:tc>
        <w:tc>
          <w:tcPr>
            <w:tcW w:w="4159" w:type="dxa"/>
          </w:tcPr>
          <w:p w14:paraId="766E89C9" w14:textId="37EE2DF5" w:rsidR="003913EE" w:rsidRDefault="003913EE" w:rsidP="007D7762">
            <w:pPr>
              <w:spacing w:after="120"/>
              <w:rPr>
                <w:sz w:val="16"/>
                <w:szCs w:val="16"/>
              </w:rPr>
            </w:pPr>
            <w:r>
              <w:rPr>
                <w:sz w:val="16"/>
                <w:szCs w:val="16"/>
              </w:rPr>
              <w:t>I</w:t>
            </w:r>
            <w:r w:rsidRPr="00EB51C1">
              <w:rPr>
                <w:sz w:val="16"/>
                <w:szCs w:val="16"/>
              </w:rPr>
              <w:t xml:space="preserve">n certain circumstances the </w:t>
            </w:r>
            <w:r w:rsidR="00F82C37">
              <w:rPr>
                <w:sz w:val="16"/>
                <w:szCs w:val="16"/>
              </w:rPr>
              <w:t>FWC</w:t>
            </w:r>
            <w:r w:rsidRPr="00EB51C1">
              <w:rPr>
                <w:sz w:val="16"/>
                <w:szCs w:val="16"/>
              </w:rPr>
              <w:t xml:space="preserve"> may arbitrate the terms and conditions of employment through a workplace determination</w:t>
            </w:r>
            <w:r>
              <w:rPr>
                <w:sz w:val="16"/>
                <w:szCs w:val="16"/>
              </w:rPr>
              <w:t xml:space="preserve">. This occurs in the context of enterprise bargaining. </w:t>
            </w:r>
          </w:p>
          <w:p w14:paraId="09A8D397" w14:textId="77777777" w:rsidR="003913EE" w:rsidRDefault="003913EE" w:rsidP="007D7762">
            <w:pPr>
              <w:spacing w:after="120"/>
              <w:rPr>
                <w:sz w:val="16"/>
                <w:szCs w:val="16"/>
              </w:rPr>
            </w:pPr>
            <w:r>
              <w:rPr>
                <w:sz w:val="16"/>
                <w:szCs w:val="16"/>
              </w:rPr>
              <w:t xml:space="preserve">Workplace determinations are </w:t>
            </w:r>
            <w:r w:rsidRPr="00EB51C1">
              <w:rPr>
                <w:sz w:val="16"/>
                <w:szCs w:val="16"/>
              </w:rPr>
              <w:t>unusual and the legislative criteria provides a high bar when seeking to access arbitration.</w:t>
            </w:r>
          </w:p>
          <w:p w14:paraId="2CCA0D2A" w14:textId="154265C0" w:rsidR="003913EE" w:rsidRPr="00EE523B" w:rsidRDefault="003913EE" w:rsidP="007D7762">
            <w:pPr>
              <w:spacing w:after="120"/>
              <w:rPr>
                <w:sz w:val="16"/>
                <w:szCs w:val="16"/>
              </w:rPr>
            </w:pPr>
            <w:r>
              <w:rPr>
                <w:sz w:val="16"/>
                <w:szCs w:val="16"/>
              </w:rPr>
              <w:t xml:space="preserve">Terms that are agreed between the parties must be included in a </w:t>
            </w:r>
            <w:r w:rsidR="008C2841">
              <w:rPr>
                <w:sz w:val="16"/>
                <w:szCs w:val="16"/>
              </w:rPr>
              <w:t>workplace</w:t>
            </w:r>
            <w:r>
              <w:rPr>
                <w:sz w:val="16"/>
                <w:szCs w:val="16"/>
              </w:rPr>
              <w:t xml:space="preserve"> determination. Terms in dispute are determined by the FWC. It is difficult to predict whether a workplace determination will meet the requirements for Option </w:t>
            </w:r>
            <w:r w:rsidR="009B627B">
              <w:rPr>
                <w:sz w:val="16"/>
                <w:szCs w:val="16"/>
              </w:rPr>
              <w:t>3</w:t>
            </w:r>
            <w:r>
              <w:rPr>
                <w:sz w:val="16"/>
                <w:szCs w:val="16"/>
              </w:rPr>
              <w:t xml:space="preserve"> given their terms are determined by an independent third party.</w:t>
            </w:r>
          </w:p>
        </w:tc>
        <w:tc>
          <w:tcPr>
            <w:tcW w:w="3685" w:type="dxa"/>
          </w:tcPr>
          <w:p w14:paraId="5E67DEC5" w14:textId="4765F4A2" w:rsidR="003913EE" w:rsidRPr="00EE523B" w:rsidRDefault="003913EE" w:rsidP="007D7762">
            <w:pPr>
              <w:spacing w:after="120"/>
              <w:rPr>
                <w:sz w:val="16"/>
                <w:szCs w:val="16"/>
              </w:rPr>
            </w:pPr>
            <w:r>
              <w:rPr>
                <w:sz w:val="16"/>
                <w:szCs w:val="16"/>
              </w:rPr>
              <w:t>If</w:t>
            </w:r>
            <w:r w:rsidRPr="00EB51C1">
              <w:rPr>
                <w:sz w:val="16"/>
                <w:szCs w:val="16"/>
              </w:rPr>
              <w:t xml:space="preserve"> satisfied that there are no reasonable prospects of the parties reaching agreement or a termination of industrial action instrument has been made</w:t>
            </w:r>
            <w:r>
              <w:rPr>
                <w:sz w:val="16"/>
                <w:szCs w:val="16"/>
              </w:rPr>
              <w:t xml:space="preserve">, the </w:t>
            </w:r>
            <w:r w:rsidR="00F82C37">
              <w:rPr>
                <w:sz w:val="16"/>
                <w:szCs w:val="16"/>
              </w:rPr>
              <w:t>FWC</w:t>
            </w:r>
            <w:r>
              <w:rPr>
                <w:sz w:val="16"/>
                <w:szCs w:val="16"/>
              </w:rPr>
              <w:t xml:space="preserve"> must make a workplace determination</w:t>
            </w:r>
            <w:r w:rsidRPr="00EB51C1">
              <w:rPr>
                <w:sz w:val="16"/>
                <w:szCs w:val="16"/>
              </w:rPr>
              <w:t xml:space="preserve">. </w:t>
            </w:r>
          </w:p>
        </w:tc>
        <w:tc>
          <w:tcPr>
            <w:tcW w:w="3402" w:type="dxa"/>
          </w:tcPr>
          <w:p w14:paraId="51DA1597" w14:textId="77777777" w:rsidR="003913EE" w:rsidRPr="00EE523B" w:rsidRDefault="003913EE" w:rsidP="007D7762">
            <w:pPr>
              <w:spacing w:after="120"/>
              <w:rPr>
                <w:sz w:val="16"/>
                <w:szCs w:val="16"/>
              </w:rPr>
            </w:pPr>
          </w:p>
        </w:tc>
      </w:tr>
      <w:tr w:rsidR="003913EE" w:rsidRPr="00EE523B" w14:paraId="0690A407" w14:textId="77777777" w:rsidTr="003913EE">
        <w:trPr>
          <w:trHeight w:val="20"/>
        </w:trPr>
        <w:tc>
          <w:tcPr>
            <w:tcW w:w="3633" w:type="dxa"/>
          </w:tcPr>
          <w:p w14:paraId="2C01EBEA" w14:textId="77777777" w:rsidR="003913EE" w:rsidRPr="00EE523B" w:rsidRDefault="003913EE" w:rsidP="007D7762">
            <w:pPr>
              <w:spacing w:after="120"/>
              <w:rPr>
                <w:sz w:val="16"/>
                <w:szCs w:val="16"/>
              </w:rPr>
            </w:pPr>
            <w:r w:rsidRPr="00EE523B">
              <w:rPr>
                <w:sz w:val="16"/>
                <w:szCs w:val="16"/>
              </w:rPr>
              <w:t>Modern Award</w:t>
            </w:r>
          </w:p>
        </w:tc>
        <w:tc>
          <w:tcPr>
            <w:tcW w:w="4159" w:type="dxa"/>
          </w:tcPr>
          <w:p w14:paraId="60C4426D" w14:textId="77777777" w:rsidR="003913EE" w:rsidRDefault="003913EE" w:rsidP="007D7762">
            <w:pPr>
              <w:spacing w:after="120"/>
              <w:rPr>
                <w:sz w:val="16"/>
                <w:szCs w:val="16"/>
              </w:rPr>
            </w:pPr>
            <w:r>
              <w:rPr>
                <w:sz w:val="16"/>
                <w:szCs w:val="16"/>
              </w:rPr>
              <w:t>A Modern Award could be varied to meet the required grant conditions. This process is lengthy and complex. The terms of any variation are at the discretion of the FWC.</w:t>
            </w:r>
          </w:p>
          <w:p w14:paraId="6435484E" w14:textId="755E77A0" w:rsidR="003913EE" w:rsidRPr="00EE523B" w:rsidRDefault="003913EE" w:rsidP="007D7762">
            <w:pPr>
              <w:spacing w:after="120"/>
              <w:rPr>
                <w:sz w:val="16"/>
                <w:szCs w:val="16"/>
              </w:rPr>
            </w:pPr>
            <w:r>
              <w:rPr>
                <w:sz w:val="16"/>
                <w:szCs w:val="16"/>
              </w:rPr>
              <w:t xml:space="preserve">Without a variation, it is unlikely that the terms of modern awards with meet the conditions for Option </w:t>
            </w:r>
            <w:r w:rsidR="009B627B">
              <w:rPr>
                <w:sz w:val="16"/>
                <w:szCs w:val="16"/>
              </w:rPr>
              <w:t>3</w:t>
            </w:r>
            <w:r>
              <w:rPr>
                <w:sz w:val="16"/>
                <w:szCs w:val="16"/>
              </w:rPr>
              <w:t>.</w:t>
            </w:r>
          </w:p>
        </w:tc>
        <w:tc>
          <w:tcPr>
            <w:tcW w:w="3685" w:type="dxa"/>
          </w:tcPr>
          <w:p w14:paraId="6B23CA13" w14:textId="2D66C285" w:rsidR="003913EE" w:rsidRDefault="003913EE" w:rsidP="007D7762">
            <w:pPr>
              <w:spacing w:after="120"/>
              <w:rPr>
                <w:sz w:val="16"/>
                <w:szCs w:val="16"/>
              </w:rPr>
            </w:pPr>
            <w:r>
              <w:rPr>
                <w:sz w:val="16"/>
                <w:szCs w:val="16"/>
              </w:rPr>
              <w:t xml:space="preserve">The </w:t>
            </w:r>
            <w:r w:rsidR="00F82C37">
              <w:rPr>
                <w:sz w:val="16"/>
                <w:szCs w:val="16"/>
              </w:rPr>
              <w:t>FWC</w:t>
            </w:r>
            <w:r>
              <w:rPr>
                <w:sz w:val="16"/>
                <w:szCs w:val="16"/>
              </w:rPr>
              <w:t xml:space="preserve"> is responsible for making and varying Modern Awards. </w:t>
            </w:r>
          </w:p>
          <w:p w14:paraId="570C30C3" w14:textId="77777777" w:rsidR="003913EE" w:rsidRPr="00EE523B" w:rsidRDefault="003913EE" w:rsidP="007D7762">
            <w:pPr>
              <w:spacing w:after="120"/>
              <w:rPr>
                <w:sz w:val="16"/>
                <w:szCs w:val="16"/>
              </w:rPr>
            </w:pPr>
            <w:r>
              <w:rPr>
                <w:sz w:val="16"/>
                <w:szCs w:val="16"/>
              </w:rPr>
              <w:t xml:space="preserve">A person or organisation covered by an award may apply to vary it. An organisation with the authority to represent a covered person or organisation may also apply. </w:t>
            </w:r>
          </w:p>
        </w:tc>
        <w:tc>
          <w:tcPr>
            <w:tcW w:w="3402" w:type="dxa"/>
          </w:tcPr>
          <w:p w14:paraId="09B79E68" w14:textId="77777777" w:rsidR="003913EE" w:rsidRDefault="003913EE" w:rsidP="007D7762">
            <w:pPr>
              <w:spacing w:after="120"/>
              <w:rPr>
                <w:sz w:val="16"/>
                <w:szCs w:val="16"/>
              </w:rPr>
            </w:pPr>
            <w:r w:rsidRPr="0040223D">
              <w:rPr>
                <w:sz w:val="16"/>
                <w:szCs w:val="16"/>
              </w:rPr>
              <w:t xml:space="preserve">Modern Awards are the underpinning workplace instrument for almost all National System employees. Modern Awards form a safety net of pay and conditions for most industries and occupations. </w:t>
            </w:r>
          </w:p>
          <w:p w14:paraId="6444AF08" w14:textId="77777777" w:rsidR="003913EE" w:rsidRPr="0040223D" w:rsidRDefault="003913EE" w:rsidP="007D7762">
            <w:pPr>
              <w:spacing w:after="120"/>
              <w:rPr>
                <w:i/>
                <w:sz w:val="16"/>
                <w:szCs w:val="16"/>
              </w:rPr>
            </w:pPr>
            <w:r w:rsidRPr="0040223D">
              <w:rPr>
                <w:sz w:val="16"/>
                <w:szCs w:val="16"/>
              </w:rPr>
              <w:t xml:space="preserve">In the ECEC sector, the relevant Modern Awards are the </w:t>
            </w:r>
            <w:proofErr w:type="spellStart"/>
            <w:r w:rsidRPr="0040223D">
              <w:rPr>
                <w:i/>
                <w:iCs/>
                <w:sz w:val="16"/>
                <w:szCs w:val="16"/>
              </w:rPr>
              <w:t>Childrens</w:t>
            </w:r>
            <w:proofErr w:type="spellEnd"/>
            <w:r w:rsidRPr="0040223D">
              <w:rPr>
                <w:i/>
                <w:iCs/>
                <w:sz w:val="16"/>
                <w:szCs w:val="16"/>
              </w:rPr>
              <w:t xml:space="preserve"> Services Award 2010 </w:t>
            </w:r>
            <w:r w:rsidRPr="0040223D">
              <w:rPr>
                <w:sz w:val="16"/>
                <w:szCs w:val="16"/>
              </w:rPr>
              <w:t xml:space="preserve">and </w:t>
            </w:r>
            <w:r w:rsidRPr="0040223D">
              <w:rPr>
                <w:i/>
                <w:iCs/>
                <w:sz w:val="16"/>
                <w:szCs w:val="16"/>
              </w:rPr>
              <w:t xml:space="preserve">Educational Services (Teachers) Award 2020. </w:t>
            </w:r>
          </w:p>
          <w:p w14:paraId="39FBA909" w14:textId="77777777" w:rsidR="003913EE" w:rsidRPr="00EE523B" w:rsidRDefault="003913EE" w:rsidP="007D7762">
            <w:pPr>
              <w:spacing w:after="120"/>
              <w:rPr>
                <w:sz w:val="16"/>
                <w:szCs w:val="16"/>
              </w:rPr>
            </w:pPr>
            <w:r>
              <w:rPr>
                <w:sz w:val="16"/>
                <w:szCs w:val="16"/>
              </w:rPr>
              <w:t>Once an enterprise agreement covers an employee, the employee’s Modern Award ceases to apply to them.</w:t>
            </w:r>
          </w:p>
        </w:tc>
      </w:tr>
      <w:tr w:rsidR="003913EE" w:rsidRPr="00EE523B" w14:paraId="027961AC" w14:textId="77777777" w:rsidTr="003913EE">
        <w:trPr>
          <w:trHeight w:val="20"/>
        </w:trPr>
        <w:tc>
          <w:tcPr>
            <w:tcW w:w="3633" w:type="dxa"/>
          </w:tcPr>
          <w:p w14:paraId="75F14747" w14:textId="77777777" w:rsidR="003913EE" w:rsidRPr="00EE523B" w:rsidRDefault="003913EE" w:rsidP="007D7762">
            <w:pPr>
              <w:spacing w:after="120"/>
              <w:rPr>
                <w:sz w:val="16"/>
                <w:szCs w:val="16"/>
              </w:rPr>
            </w:pPr>
            <w:r w:rsidRPr="00EE523B">
              <w:rPr>
                <w:sz w:val="16"/>
                <w:szCs w:val="16"/>
              </w:rPr>
              <w:t>Individual flexibility arrangement (Modern Award)</w:t>
            </w:r>
          </w:p>
        </w:tc>
        <w:tc>
          <w:tcPr>
            <w:tcW w:w="4159" w:type="dxa"/>
          </w:tcPr>
          <w:p w14:paraId="44486B79" w14:textId="1FC3556C" w:rsidR="003913EE" w:rsidRDefault="003913EE" w:rsidP="007D7762">
            <w:pPr>
              <w:spacing w:after="120"/>
              <w:rPr>
                <w:sz w:val="16"/>
                <w:szCs w:val="16"/>
              </w:rPr>
            </w:pPr>
            <w:r w:rsidRPr="00BC420A">
              <w:rPr>
                <w:sz w:val="16"/>
                <w:szCs w:val="16"/>
              </w:rPr>
              <w:t xml:space="preserve">An IFA could be used to overcome the limitations of Modern Awards by providing for the specific terms and conditions required to satisfy Option </w:t>
            </w:r>
            <w:r w:rsidR="009B627B">
              <w:rPr>
                <w:sz w:val="16"/>
                <w:szCs w:val="16"/>
              </w:rPr>
              <w:t>3</w:t>
            </w:r>
            <w:r w:rsidRPr="00BC420A">
              <w:rPr>
                <w:sz w:val="16"/>
                <w:szCs w:val="16"/>
              </w:rPr>
              <w:t>.</w:t>
            </w:r>
          </w:p>
          <w:p w14:paraId="294FE463" w14:textId="6B311494" w:rsidR="003913EE" w:rsidRDefault="003913EE" w:rsidP="007D7762">
            <w:pPr>
              <w:spacing w:after="120"/>
              <w:rPr>
                <w:sz w:val="16"/>
                <w:szCs w:val="16"/>
              </w:rPr>
            </w:pPr>
            <w:r w:rsidRPr="00BC420A">
              <w:rPr>
                <w:sz w:val="16"/>
                <w:szCs w:val="16"/>
              </w:rPr>
              <w:t xml:space="preserve">The likelihood of an award with an IFA satisfying the conditions of Option </w:t>
            </w:r>
            <w:r w:rsidR="009B627B">
              <w:rPr>
                <w:sz w:val="16"/>
                <w:szCs w:val="16"/>
              </w:rPr>
              <w:t>3</w:t>
            </w:r>
            <w:r w:rsidRPr="00BC420A">
              <w:rPr>
                <w:sz w:val="16"/>
                <w:szCs w:val="16"/>
              </w:rPr>
              <w:t xml:space="preserve"> is entirely fact dependent, based on the terms contained within it.</w:t>
            </w:r>
          </w:p>
          <w:p w14:paraId="78F98539" w14:textId="35DA85FB" w:rsidR="003913EE" w:rsidRPr="00EE523B" w:rsidRDefault="003913EE" w:rsidP="007D7762">
            <w:pPr>
              <w:spacing w:after="120"/>
              <w:rPr>
                <w:sz w:val="16"/>
                <w:szCs w:val="16"/>
              </w:rPr>
            </w:pPr>
            <w:r>
              <w:rPr>
                <w:sz w:val="16"/>
                <w:szCs w:val="16"/>
              </w:rPr>
              <w:t xml:space="preserve">Further legal advice will be sought to ensure grant </w:t>
            </w:r>
            <w:r w:rsidR="0062767D">
              <w:rPr>
                <w:sz w:val="16"/>
                <w:szCs w:val="16"/>
              </w:rPr>
              <w:t>conditions</w:t>
            </w:r>
            <w:r>
              <w:rPr>
                <w:sz w:val="16"/>
                <w:szCs w:val="16"/>
              </w:rPr>
              <w:t xml:space="preserve"> are applied correctly.</w:t>
            </w:r>
          </w:p>
        </w:tc>
        <w:tc>
          <w:tcPr>
            <w:tcW w:w="3685" w:type="dxa"/>
          </w:tcPr>
          <w:p w14:paraId="1778E50E" w14:textId="1B52B614" w:rsidR="003913EE" w:rsidRDefault="003913EE" w:rsidP="007D7762">
            <w:pPr>
              <w:spacing w:after="120"/>
              <w:rPr>
                <w:sz w:val="16"/>
                <w:szCs w:val="16"/>
              </w:rPr>
            </w:pPr>
            <w:r w:rsidRPr="00BC420A">
              <w:rPr>
                <w:sz w:val="16"/>
                <w:szCs w:val="16"/>
              </w:rPr>
              <w:t>The process to make an IFA is</w:t>
            </w:r>
            <w:r>
              <w:rPr>
                <w:sz w:val="16"/>
                <w:szCs w:val="16"/>
              </w:rPr>
              <w:t xml:space="preserve"> determined by the relevant flexibility term. Generally, an IFA is made</w:t>
            </w:r>
            <w:r w:rsidRPr="00BC420A">
              <w:rPr>
                <w:sz w:val="16"/>
                <w:szCs w:val="16"/>
              </w:rPr>
              <w:t xml:space="preserve"> by written agreement between an employer and employee. It varies the effect of an award on an individual basis to meet the genuine needs of the employer and employee. </w:t>
            </w:r>
          </w:p>
          <w:p w14:paraId="13F7FB9E" w14:textId="77777777" w:rsidR="003913EE" w:rsidRPr="00EE523B" w:rsidRDefault="003913EE" w:rsidP="007D7762">
            <w:pPr>
              <w:spacing w:after="120"/>
              <w:rPr>
                <w:sz w:val="16"/>
                <w:szCs w:val="16"/>
              </w:rPr>
            </w:pPr>
            <w:r w:rsidRPr="00BC420A">
              <w:rPr>
                <w:sz w:val="16"/>
                <w:szCs w:val="16"/>
              </w:rPr>
              <w:t xml:space="preserve">An IFA must be in writing and signed by the employer and employee. It must identify the terms of the award which the IFA will </w:t>
            </w:r>
            <w:proofErr w:type="gramStart"/>
            <w:r w:rsidRPr="00BC420A">
              <w:rPr>
                <w:sz w:val="16"/>
                <w:szCs w:val="16"/>
              </w:rPr>
              <w:t>vary, and</w:t>
            </w:r>
            <w:proofErr w:type="gramEnd"/>
            <w:r w:rsidRPr="00BC420A">
              <w:rPr>
                <w:sz w:val="16"/>
                <w:szCs w:val="16"/>
              </w:rPr>
              <w:t xml:space="preserve"> also set out how the arrangement may be terminated by either the employee or the employer.</w:t>
            </w:r>
          </w:p>
        </w:tc>
        <w:tc>
          <w:tcPr>
            <w:tcW w:w="3402" w:type="dxa"/>
          </w:tcPr>
          <w:p w14:paraId="2B7C9259" w14:textId="77777777" w:rsidR="003913EE" w:rsidRDefault="003913EE" w:rsidP="007D7762">
            <w:pPr>
              <w:spacing w:after="120"/>
              <w:rPr>
                <w:sz w:val="16"/>
                <w:szCs w:val="16"/>
              </w:rPr>
            </w:pPr>
            <w:r w:rsidRPr="00BC420A">
              <w:rPr>
                <w:sz w:val="16"/>
                <w:szCs w:val="16"/>
              </w:rPr>
              <w:t>All Modern Awards are required to contain a flexibility term enabling an employee and their employer to agree on an individual flexibility arrangement (IFA) varying the effect of the award in relation to the employee</w:t>
            </w:r>
            <w:r>
              <w:rPr>
                <w:sz w:val="16"/>
                <w:szCs w:val="16"/>
              </w:rPr>
              <w:t>.</w:t>
            </w:r>
          </w:p>
          <w:p w14:paraId="650731C7" w14:textId="77777777" w:rsidR="003913EE" w:rsidRDefault="003913EE" w:rsidP="007D7762">
            <w:pPr>
              <w:spacing w:after="120"/>
              <w:rPr>
                <w:sz w:val="16"/>
                <w:szCs w:val="16"/>
              </w:rPr>
            </w:pPr>
            <w:r w:rsidRPr="00BC420A">
              <w:rPr>
                <w:sz w:val="16"/>
                <w:szCs w:val="16"/>
              </w:rPr>
              <w:t xml:space="preserve">Given the IFA occurs at an individual level, it would be dependent on each and every employee agreeing to the terms of the IFA. </w:t>
            </w:r>
          </w:p>
          <w:p w14:paraId="600D8A24" w14:textId="4F1FEEC9" w:rsidR="003913EE" w:rsidRPr="00EE523B" w:rsidRDefault="003913EE" w:rsidP="007D7762">
            <w:pPr>
              <w:spacing w:after="120"/>
              <w:rPr>
                <w:sz w:val="16"/>
                <w:szCs w:val="16"/>
              </w:rPr>
            </w:pPr>
            <w:r w:rsidRPr="00BC420A">
              <w:rPr>
                <w:sz w:val="16"/>
                <w:szCs w:val="16"/>
              </w:rPr>
              <w:t xml:space="preserve">A </w:t>
            </w:r>
            <w:r>
              <w:rPr>
                <w:sz w:val="16"/>
                <w:szCs w:val="16"/>
              </w:rPr>
              <w:t>party to an IFA</w:t>
            </w:r>
            <w:r w:rsidRPr="00BC420A">
              <w:rPr>
                <w:sz w:val="16"/>
                <w:szCs w:val="16"/>
              </w:rPr>
              <w:t xml:space="preserve"> is able to terminate an IFA </w:t>
            </w:r>
            <w:r>
              <w:rPr>
                <w:sz w:val="16"/>
                <w:szCs w:val="16"/>
              </w:rPr>
              <w:t xml:space="preserve">generally </w:t>
            </w:r>
            <w:r w:rsidRPr="00BC420A">
              <w:rPr>
                <w:sz w:val="16"/>
                <w:szCs w:val="16"/>
              </w:rPr>
              <w:t>with no more than 28 days' notice</w:t>
            </w:r>
            <w:r>
              <w:rPr>
                <w:sz w:val="16"/>
                <w:szCs w:val="16"/>
              </w:rPr>
              <w:t xml:space="preserve"> (this </w:t>
            </w:r>
            <w:proofErr w:type="gramStart"/>
            <w:r>
              <w:rPr>
                <w:sz w:val="16"/>
                <w:szCs w:val="16"/>
              </w:rPr>
              <w:lastRenderedPageBreak/>
              <w:t>notice</w:t>
            </w:r>
            <w:proofErr w:type="gramEnd"/>
            <w:r>
              <w:rPr>
                <w:sz w:val="16"/>
                <w:szCs w:val="16"/>
              </w:rPr>
              <w:t xml:space="preserve"> period can vary depending on the flexibility term).</w:t>
            </w:r>
          </w:p>
        </w:tc>
      </w:tr>
      <w:tr w:rsidR="003913EE" w:rsidRPr="00EE523B" w14:paraId="2385513F" w14:textId="77777777" w:rsidTr="003913EE">
        <w:trPr>
          <w:trHeight w:val="20"/>
        </w:trPr>
        <w:tc>
          <w:tcPr>
            <w:tcW w:w="3633" w:type="dxa"/>
          </w:tcPr>
          <w:p w14:paraId="05A4A7C1" w14:textId="77777777" w:rsidR="003913EE" w:rsidRPr="00EE523B" w:rsidRDefault="003913EE" w:rsidP="007D7762">
            <w:pPr>
              <w:spacing w:after="120"/>
              <w:rPr>
                <w:sz w:val="16"/>
                <w:szCs w:val="16"/>
              </w:rPr>
            </w:pPr>
            <w:r w:rsidRPr="00EE523B">
              <w:rPr>
                <w:sz w:val="16"/>
                <w:szCs w:val="16"/>
              </w:rPr>
              <w:lastRenderedPageBreak/>
              <w:t>Individual flexibility arrangement (enterprise agreement)</w:t>
            </w:r>
          </w:p>
        </w:tc>
        <w:tc>
          <w:tcPr>
            <w:tcW w:w="4159" w:type="dxa"/>
          </w:tcPr>
          <w:p w14:paraId="18C4474C" w14:textId="77777777" w:rsidR="003913EE" w:rsidRDefault="003913EE" w:rsidP="007D7762">
            <w:pPr>
              <w:spacing w:after="120"/>
              <w:rPr>
                <w:sz w:val="16"/>
                <w:szCs w:val="16"/>
              </w:rPr>
            </w:pPr>
            <w:r w:rsidRPr="00BC420A">
              <w:rPr>
                <w:sz w:val="16"/>
                <w:szCs w:val="16"/>
              </w:rPr>
              <w:t xml:space="preserve">An employer with an enterprise </w:t>
            </w:r>
            <w:r>
              <w:rPr>
                <w:sz w:val="16"/>
                <w:szCs w:val="16"/>
              </w:rPr>
              <w:t xml:space="preserve">agreement </w:t>
            </w:r>
            <w:r w:rsidRPr="00BC420A">
              <w:rPr>
                <w:sz w:val="16"/>
                <w:szCs w:val="16"/>
              </w:rPr>
              <w:t>might use an IFA to avoid varying their current agreement, making a new one, or joining the supported bargaining agreement.</w:t>
            </w:r>
          </w:p>
          <w:p w14:paraId="3CEFF136" w14:textId="3776B73E" w:rsidR="003913EE" w:rsidRPr="00EE523B" w:rsidRDefault="003913EE" w:rsidP="007D7762">
            <w:pPr>
              <w:spacing w:after="120"/>
              <w:rPr>
                <w:sz w:val="16"/>
                <w:szCs w:val="16"/>
              </w:rPr>
            </w:pPr>
            <w:r w:rsidRPr="00BC420A">
              <w:rPr>
                <w:sz w:val="16"/>
                <w:szCs w:val="16"/>
              </w:rPr>
              <w:t xml:space="preserve">The likelihood of an enterprise agreement with an </w:t>
            </w:r>
            <w:proofErr w:type="gramStart"/>
            <w:r w:rsidRPr="00BC420A">
              <w:rPr>
                <w:sz w:val="16"/>
                <w:szCs w:val="16"/>
              </w:rPr>
              <w:t>IFA  satisfying</w:t>
            </w:r>
            <w:proofErr w:type="gramEnd"/>
            <w:r w:rsidRPr="00BC420A">
              <w:rPr>
                <w:sz w:val="16"/>
                <w:szCs w:val="16"/>
              </w:rPr>
              <w:t xml:space="preserve"> the conditions of Option </w:t>
            </w:r>
            <w:r w:rsidR="009B627B">
              <w:rPr>
                <w:sz w:val="16"/>
                <w:szCs w:val="16"/>
              </w:rPr>
              <w:t xml:space="preserve">3 </w:t>
            </w:r>
            <w:r w:rsidRPr="00BC420A">
              <w:rPr>
                <w:sz w:val="16"/>
                <w:szCs w:val="16"/>
              </w:rPr>
              <w:t>is entirely fact dependent, based on the terms contained within it.</w:t>
            </w:r>
          </w:p>
        </w:tc>
        <w:tc>
          <w:tcPr>
            <w:tcW w:w="3685" w:type="dxa"/>
          </w:tcPr>
          <w:p w14:paraId="5C058190" w14:textId="77777777" w:rsidR="003913EE" w:rsidRPr="00EE523B" w:rsidRDefault="003913EE" w:rsidP="007D7762">
            <w:pPr>
              <w:spacing w:after="120"/>
              <w:rPr>
                <w:sz w:val="16"/>
                <w:szCs w:val="16"/>
              </w:rPr>
            </w:pPr>
            <w:r w:rsidRPr="00BC420A">
              <w:rPr>
                <w:sz w:val="16"/>
                <w:szCs w:val="16"/>
              </w:rPr>
              <w:t xml:space="preserve">This approach </w:t>
            </w:r>
            <w:r>
              <w:rPr>
                <w:sz w:val="16"/>
                <w:szCs w:val="16"/>
              </w:rPr>
              <w:t xml:space="preserve">is broadly the same as with IFAs in Modern </w:t>
            </w:r>
            <w:proofErr w:type="gramStart"/>
            <w:r>
              <w:rPr>
                <w:sz w:val="16"/>
                <w:szCs w:val="16"/>
              </w:rPr>
              <w:t>Awards, but</w:t>
            </w:r>
            <w:proofErr w:type="gramEnd"/>
            <w:r>
              <w:rPr>
                <w:sz w:val="16"/>
                <w:szCs w:val="16"/>
              </w:rPr>
              <w:t xml:space="preserve"> are </w:t>
            </w:r>
            <w:r w:rsidRPr="00BC420A">
              <w:rPr>
                <w:sz w:val="16"/>
                <w:szCs w:val="16"/>
              </w:rPr>
              <w:t>sometimes subject to the terms of a specific agreement.</w:t>
            </w:r>
          </w:p>
        </w:tc>
        <w:tc>
          <w:tcPr>
            <w:tcW w:w="3402" w:type="dxa"/>
          </w:tcPr>
          <w:p w14:paraId="5A486AD8" w14:textId="77777777" w:rsidR="003913EE" w:rsidRDefault="003913EE" w:rsidP="007D7762">
            <w:pPr>
              <w:spacing w:after="120"/>
              <w:rPr>
                <w:sz w:val="16"/>
                <w:szCs w:val="16"/>
              </w:rPr>
            </w:pPr>
            <w:r w:rsidRPr="00BC420A">
              <w:rPr>
                <w:sz w:val="16"/>
                <w:szCs w:val="16"/>
              </w:rPr>
              <w:t xml:space="preserve">Enterprise agreements are required to contain a flexibility term enabling an employee and their employer to agree on an IFA varying the effect of the agreement in relation to the employee. </w:t>
            </w:r>
          </w:p>
          <w:p w14:paraId="2737D223" w14:textId="77777777" w:rsidR="003913EE" w:rsidRPr="00EE523B" w:rsidRDefault="003913EE" w:rsidP="007D7762">
            <w:pPr>
              <w:spacing w:after="120"/>
              <w:rPr>
                <w:sz w:val="16"/>
                <w:szCs w:val="16"/>
              </w:rPr>
            </w:pPr>
          </w:p>
        </w:tc>
      </w:tr>
      <w:tr w:rsidR="003913EE" w:rsidRPr="00EE523B" w14:paraId="6A78FAF2" w14:textId="77777777" w:rsidTr="003913EE">
        <w:trPr>
          <w:trHeight w:val="20"/>
        </w:trPr>
        <w:tc>
          <w:tcPr>
            <w:tcW w:w="3633" w:type="dxa"/>
          </w:tcPr>
          <w:p w14:paraId="4C8AB122" w14:textId="77777777" w:rsidR="003913EE" w:rsidRPr="00EE523B" w:rsidRDefault="003913EE" w:rsidP="007D7762">
            <w:pPr>
              <w:spacing w:after="120"/>
              <w:rPr>
                <w:sz w:val="16"/>
                <w:szCs w:val="16"/>
              </w:rPr>
            </w:pPr>
            <w:r w:rsidRPr="00EE523B">
              <w:rPr>
                <w:sz w:val="16"/>
                <w:szCs w:val="16"/>
              </w:rPr>
              <w:t>Common law contract</w:t>
            </w:r>
          </w:p>
        </w:tc>
        <w:tc>
          <w:tcPr>
            <w:tcW w:w="4159" w:type="dxa"/>
          </w:tcPr>
          <w:p w14:paraId="7FBA379F" w14:textId="2534275F" w:rsidR="003913EE" w:rsidRPr="00EE523B" w:rsidRDefault="003913EE" w:rsidP="007D7762">
            <w:pPr>
              <w:spacing w:after="120"/>
              <w:rPr>
                <w:sz w:val="16"/>
                <w:szCs w:val="16"/>
              </w:rPr>
            </w:pPr>
            <w:r w:rsidRPr="006A6D96">
              <w:rPr>
                <w:sz w:val="16"/>
                <w:szCs w:val="16"/>
              </w:rPr>
              <w:t xml:space="preserve">Common law contracts are not workplace </w:t>
            </w:r>
            <w:proofErr w:type="gramStart"/>
            <w:r w:rsidRPr="006A6D96">
              <w:rPr>
                <w:sz w:val="16"/>
                <w:szCs w:val="16"/>
              </w:rPr>
              <w:t>instruments, and</w:t>
            </w:r>
            <w:proofErr w:type="gramEnd"/>
            <w:r w:rsidRPr="006A6D96">
              <w:rPr>
                <w:sz w:val="16"/>
                <w:szCs w:val="16"/>
              </w:rPr>
              <w:t xml:space="preserve"> therefore would be ineligible under Option </w:t>
            </w:r>
            <w:r w:rsidR="009B627B">
              <w:rPr>
                <w:sz w:val="16"/>
                <w:szCs w:val="16"/>
              </w:rPr>
              <w:t>3</w:t>
            </w:r>
            <w:r w:rsidRPr="006A6D96">
              <w:rPr>
                <w:sz w:val="16"/>
                <w:szCs w:val="16"/>
              </w:rPr>
              <w:t>.</w:t>
            </w:r>
          </w:p>
        </w:tc>
        <w:tc>
          <w:tcPr>
            <w:tcW w:w="3685" w:type="dxa"/>
          </w:tcPr>
          <w:p w14:paraId="25F4B989" w14:textId="77777777" w:rsidR="003913EE" w:rsidRPr="00EE523B" w:rsidRDefault="003913EE" w:rsidP="007D7762">
            <w:pPr>
              <w:spacing w:after="120"/>
              <w:rPr>
                <w:sz w:val="16"/>
                <w:szCs w:val="16"/>
              </w:rPr>
            </w:pPr>
          </w:p>
        </w:tc>
        <w:tc>
          <w:tcPr>
            <w:tcW w:w="3402" w:type="dxa"/>
          </w:tcPr>
          <w:p w14:paraId="387E9077" w14:textId="77777777" w:rsidR="003913EE" w:rsidRPr="00EE523B" w:rsidRDefault="003913EE" w:rsidP="007D7762">
            <w:pPr>
              <w:spacing w:after="120"/>
              <w:rPr>
                <w:sz w:val="16"/>
                <w:szCs w:val="16"/>
              </w:rPr>
            </w:pPr>
          </w:p>
        </w:tc>
      </w:tr>
    </w:tbl>
    <w:p w14:paraId="3E400E53" w14:textId="77777777" w:rsidR="003913EE" w:rsidRDefault="003913EE" w:rsidP="003913EE"/>
    <w:p w14:paraId="1919AF8C" w14:textId="641D5FA0" w:rsidR="008D3E60" w:rsidRDefault="008D3E60" w:rsidP="35771FF5">
      <w:pPr>
        <w:pStyle w:val="Heading4"/>
        <w:spacing w:after="160"/>
        <w:sectPr w:rsidR="008D3E60" w:rsidSect="008B4E15">
          <w:pgSz w:w="16838" w:h="11906" w:orient="landscape"/>
          <w:pgMar w:top="1440" w:right="1440" w:bottom="1440" w:left="1440" w:header="709" w:footer="709" w:gutter="0"/>
          <w:cols w:space="708"/>
          <w:docGrid w:linePitch="360"/>
        </w:sectPr>
      </w:pPr>
    </w:p>
    <w:p w14:paraId="5FDE1990" w14:textId="549B2330" w:rsidR="008D3E60" w:rsidRPr="00726CAF" w:rsidRDefault="008D3E60" w:rsidP="008D3E60">
      <w:pPr>
        <w:pStyle w:val="Heading3"/>
      </w:pPr>
      <w:bookmarkStart w:id="127" w:name="_Toc219193908"/>
      <w:r>
        <w:lastRenderedPageBreak/>
        <w:t xml:space="preserve">Appendix B: </w:t>
      </w:r>
      <w:r w:rsidR="00CA314B">
        <w:t>Enterprise agreement implementation</w:t>
      </w:r>
      <w:bookmarkEnd w:id="127"/>
    </w:p>
    <w:p w14:paraId="21705397" w14:textId="2B865E7A" w:rsidR="26D8148E" w:rsidRDefault="26D8148E" w:rsidP="009669D5">
      <w:pPr>
        <w:pStyle w:val="Heading5"/>
      </w:pPr>
      <w:r>
        <w:t>Joining the supported bargaining agreement</w:t>
      </w:r>
    </w:p>
    <w:p w14:paraId="018D3CF4" w14:textId="171886D7" w:rsidR="26D8148E" w:rsidRDefault="26D8148E">
      <w:r>
        <w:t>Services within the LDC sector</w:t>
      </w:r>
      <w:r w:rsidR="00A00FD7">
        <w:t xml:space="preserve"> wh</w:t>
      </w:r>
      <w:r w:rsidR="003358EB">
        <w:t>ich</w:t>
      </w:r>
      <w:r w:rsidR="00A00FD7">
        <w:t xml:space="preserve"> do not have a current enterprise agreement in </w:t>
      </w:r>
      <w:r w:rsidR="002F585F">
        <w:t>place,</w:t>
      </w:r>
      <w:r w:rsidR="00A00FD7">
        <w:t xml:space="preserve"> or their </w:t>
      </w:r>
      <w:r w:rsidR="00B01E47">
        <w:t>agreement has passed the nominal expiry date</w:t>
      </w:r>
      <w:r w:rsidR="00C856D8">
        <w:t>, and</w:t>
      </w:r>
      <w:r>
        <w:t xml:space="preserve"> who wish to join the supported bargaining agreement may be able to do so through a variation to the agreement. A variation may be made:</w:t>
      </w:r>
    </w:p>
    <w:p w14:paraId="49C4F31A" w14:textId="4E0B4408" w:rsidR="26D8148E" w:rsidRDefault="26D8148E" w:rsidP="29A029EE">
      <w:pPr>
        <w:pStyle w:val="ListParagraph"/>
        <w:numPr>
          <w:ilvl w:val="0"/>
          <w:numId w:val="55"/>
        </w:numPr>
      </w:pPr>
      <w:r>
        <w:t>jointly by the employers and their employees, or</w:t>
      </w:r>
    </w:p>
    <w:p w14:paraId="723C111A" w14:textId="26CB247C" w:rsidR="26D8148E" w:rsidRDefault="26D8148E" w:rsidP="29A029EE">
      <w:pPr>
        <w:pStyle w:val="ListParagraph"/>
        <w:numPr>
          <w:ilvl w:val="0"/>
          <w:numId w:val="55"/>
        </w:numPr>
      </w:pPr>
      <w:r>
        <w:t>by a union, if a majority of the employees to be covered want to be covered.</w:t>
      </w:r>
    </w:p>
    <w:p w14:paraId="033BB2C9" w14:textId="7915537E" w:rsidR="26D8148E" w:rsidRDefault="26D8148E">
      <w:r>
        <w:t>When varying by agreement between employers and their employees</w:t>
      </w:r>
      <w:r w:rsidR="00083697">
        <w:t>,</w:t>
      </w:r>
      <w:r>
        <w:t xml:space="preserve"> the employer holds a vote for the affected employees to indicate agreement, with a majority needing to genuinely agree to the variation. The employer has 14 days to apply to the FWC to approve the variation. The FWC must approve the </w:t>
      </w:r>
      <w:r w:rsidR="002F585F">
        <w:t>application unless</w:t>
      </w:r>
      <w:r>
        <w:t xml:space="preserve"> there are serious public interest grounds for rejection.</w:t>
      </w:r>
      <w:r w:rsidRPr="29A029EE">
        <w:rPr>
          <w:rStyle w:val="FootnoteReference"/>
        </w:rPr>
        <w:footnoteReference w:id="160"/>
      </w:r>
    </w:p>
    <w:p w14:paraId="024D1CD0" w14:textId="3509C9F1" w:rsidR="26D8148E" w:rsidRDefault="26D8148E">
      <w:r>
        <w:t>Alternatively, a union covered by a supported bargaining agreement can apply to vary the agreement to cover additional employers and their employees. A majority of the additional employees must want to be covered by that agreement. The FWC must determine if it is appropriate for the employees to be covered by the agreement, taking into consideration several factors including the views of the employer.</w:t>
      </w:r>
      <w:r w:rsidRPr="29A029EE">
        <w:rPr>
          <w:rStyle w:val="FootnoteReference"/>
        </w:rPr>
        <w:footnoteReference w:id="161"/>
      </w:r>
    </w:p>
    <w:p w14:paraId="19003CDC" w14:textId="4ECB1A3A" w:rsidR="26D8148E" w:rsidRDefault="26D8148E">
      <w:r>
        <w:t>Unions to the supported bargaining process have indicated that they will likely seek the variation and broaden coverage across the sector in the event that EA coverage is a condition of funding.</w:t>
      </w:r>
    </w:p>
    <w:p w14:paraId="7E6BA957" w14:textId="64A6001B" w:rsidR="00F91229" w:rsidRDefault="00F91229" w:rsidP="00F91229">
      <w:pPr>
        <w:pStyle w:val="Heading6"/>
      </w:pPr>
      <w:r>
        <w:t>Terminating an agreement to join a supported bargaining agreement</w:t>
      </w:r>
      <w:r w:rsidR="00761599">
        <w:t xml:space="preserve"> – Agreement has not passed </w:t>
      </w:r>
      <w:r w:rsidR="00BB3B3D">
        <w:t>its</w:t>
      </w:r>
      <w:r w:rsidR="00761599">
        <w:t xml:space="preserve"> nominal expiry </w:t>
      </w:r>
      <w:r w:rsidR="00C856D8">
        <w:t>date.</w:t>
      </w:r>
    </w:p>
    <w:p w14:paraId="06206A07" w14:textId="633582A8" w:rsidR="00091412" w:rsidRDefault="00761599" w:rsidP="009669D5">
      <w:r>
        <w:t xml:space="preserve">The FWC must not make a supported bargaining authorisation specifying an employee who is covered by a single-enterprise agreement that has not passed its nominal expiry date. </w:t>
      </w:r>
      <w:r w:rsidR="00CA31EA">
        <w:t>As such, in this situation e</w:t>
      </w:r>
      <w:r w:rsidR="00091412">
        <w:t xml:space="preserve">mployers may request employees approve a proposed termination of an agreement by asking them to vote on it and must give the employees a reasonable opportunity to decide whether they want to approve the proposed termination. </w:t>
      </w:r>
    </w:p>
    <w:p w14:paraId="4B0B44F7" w14:textId="77777777" w:rsidR="00091412" w:rsidRDefault="00091412" w:rsidP="009669D5">
      <w:pPr>
        <w:spacing w:after="0" w:line="240" w:lineRule="auto"/>
      </w:pPr>
      <w:r>
        <w:t>If the employer and their employees agree to terminate the agreement, someone covered by the agreement must apply to the FWC for approval. If approved, termination operates from the day specified in FWC’s decision to approve the termination. FWC must approve the application to terminate if:</w:t>
      </w:r>
    </w:p>
    <w:p w14:paraId="0A619758" w14:textId="77777777" w:rsidR="00091412" w:rsidRPr="009875FC" w:rsidRDefault="00091412" w:rsidP="009669D5">
      <w:pPr>
        <w:pStyle w:val="ListParagraph"/>
        <w:numPr>
          <w:ilvl w:val="0"/>
          <w:numId w:val="65"/>
        </w:numPr>
        <w:spacing w:after="0" w:line="240" w:lineRule="auto"/>
      </w:pPr>
      <w:r w:rsidRPr="009875FC">
        <w:t>the FWC is satisfied that each </w:t>
      </w:r>
      <w:hyperlink r:id="rId20" w:anchor="employer" w:history="1">
        <w:r w:rsidRPr="009875FC">
          <w:t>employer</w:t>
        </w:r>
      </w:hyperlink>
      <w:r w:rsidRPr="009875FC">
        <w:t> covered by the agreement complied with </w:t>
      </w:r>
      <w:hyperlink r:id="rId21" w:anchor="subsection" w:history="1">
        <w:r w:rsidRPr="009875FC">
          <w:t>subsection</w:t>
        </w:r>
      </w:hyperlink>
      <w:r w:rsidRPr="009875FC">
        <w:t> 220(2) (which deals with giving </w:t>
      </w:r>
      <w:hyperlink r:id="rId22" w:anchor="employee" w:history="1">
        <w:r w:rsidRPr="009875FC">
          <w:t>employees</w:t>
        </w:r>
      </w:hyperlink>
      <w:r w:rsidRPr="009875FC">
        <w:t> a reasonable opportunity to decide etc.) in relation to the agreement; and</w:t>
      </w:r>
    </w:p>
    <w:p w14:paraId="5CF7B5C0" w14:textId="77777777" w:rsidR="00091412" w:rsidRPr="009875FC" w:rsidRDefault="00091412" w:rsidP="009669D5">
      <w:pPr>
        <w:pStyle w:val="ListParagraph"/>
        <w:numPr>
          <w:ilvl w:val="0"/>
          <w:numId w:val="65"/>
        </w:numPr>
        <w:spacing w:after="0" w:line="240" w:lineRule="auto"/>
      </w:pPr>
      <w:bookmarkStart w:id="128" w:name="paragraph"/>
      <w:r w:rsidRPr="009875FC">
        <w:t>the FWC is satisfied that the termination was </w:t>
      </w:r>
      <w:hyperlink r:id="rId23" w:anchor="agreed_to" w:history="1">
        <w:r w:rsidRPr="009875FC">
          <w:t>agreed to</w:t>
        </w:r>
      </w:hyperlink>
      <w:r w:rsidRPr="009875FC">
        <w:t> in accordance with whichever of </w:t>
      </w:r>
      <w:hyperlink r:id="rId24" w:anchor="subsection" w:history="1">
        <w:r w:rsidRPr="009875FC">
          <w:t>subsection</w:t>
        </w:r>
      </w:hyperlink>
      <w:r w:rsidRPr="009875FC">
        <w:t> 221(1) or (2) </w:t>
      </w:r>
      <w:hyperlink r:id="rId25" w:anchor="applies" w:history="1">
        <w:r w:rsidRPr="009875FC">
          <w:t>applies</w:t>
        </w:r>
      </w:hyperlink>
      <w:r w:rsidRPr="009875FC">
        <w:t> (those </w:t>
      </w:r>
      <w:hyperlink r:id="rId26" w:anchor="subsection" w:history="1">
        <w:r w:rsidRPr="009875FC">
          <w:t>subsections</w:t>
        </w:r>
      </w:hyperlink>
      <w:r w:rsidRPr="009875FC">
        <w:t> deal with agreement to the termination of different kinds of </w:t>
      </w:r>
      <w:hyperlink r:id="rId27" w:anchor="enterprise_agreement" w:history="1">
        <w:r w:rsidRPr="009875FC">
          <w:t>enterprise agreements</w:t>
        </w:r>
      </w:hyperlink>
      <w:r w:rsidRPr="009875FC">
        <w:t> by </w:t>
      </w:r>
      <w:hyperlink r:id="rId28" w:anchor="employee" w:history="1">
        <w:r w:rsidRPr="009875FC">
          <w:t>employee</w:t>
        </w:r>
      </w:hyperlink>
      <w:r w:rsidRPr="009875FC">
        <w:t> vote); and</w:t>
      </w:r>
    </w:p>
    <w:p w14:paraId="26047C17" w14:textId="77777777" w:rsidR="00091412" w:rsidRPr="009875FC" w:rsidRDefault="00091412" w:rsidP="009669D5">
      <w:pPr>
        <w:pStyle w:val="ListParagraph"/>
        <w:numPr>
          <w:ilvl w:val="0"/>
          <w:numId w:val="65"/>
        </w:numPr>
        <w:spacing w:after="0" w:line="240" w:lineRule="auto"/>
      </w:pPr>
      <w:r w:rsidRPr="009875FC">
        <w:t>the FWC is satisfied that there are no other reasonable grounds for believing that the </w:t>
      </w:r>
      <w:hyperlink r:id="rId29" w:anchor="employee" w:history="1">
        <w:r w:rsidRPr="009875FC">
          <w:t>employees</w:t>
        </w:r>
      </w:hyperlink>
      <w:r w:rsidRPr="009875FC">
        <w:t> have not </w:t>
      </w:r>
      <w:hyperlink r:id="rId30" w:anchor="agreed_to" w:history="1">
        <w:r w:rsidRPr="009875FC">
          <w:t>agreed to</w:t>
        </w:r>
      </w:hyperlink>
      <w:r w:rsidRPr="009875FC">
        <w:t> the termination; and</w:t>
      </w:r>
    </w:p>
    <w:bookmarkEnd w:id="128"/>
    <w:p w14:paraId="15194311" w14:textId="77777777" w:rsidR="00091412" w:rsidRDefault="00091412" w:rsidP="009669D5">
      <w:pPr>
        <w:pStyle w:val="ListParagraph"/>
        <w:numPr>
          <w:ilvl w:val="0"/>
          <w:numId w:val="65"/>
        </w:numPr>
        <w:spacing w:after="0" w:line="240" w:lineRule="auto"/>
      </w:pPr>
      <w:r w:rsidRPr="009875FC">
        <w:t>the FWC considers that it is appropriate to approve the termination taking into account the views of the </w:t>
      </w:r>
      <w:hyperlink r:id="rId31" w:anchor="employee" w:history="1">
        <w:r w:rsidRPr="009875FC">
          <w:t>employee</w:t>
        </w:r>
      </w:hyperlink>
      <w:r w:rsidRPr="009875FC">
        <w:t> </w:t>
      </w:r>
      <w:hyperlink r:id="rId32" w:anchor="organisation" w:history="1">
        <w:r w:rsidRPr="009875FC">
          <w:t>organisation</w:t>
        </w:r>
      </w:hyperlink>
      <w:r w:rsidRPr="009875FC">
        <w:t> or </w:t>
      </w:r>
      <w:hyperlink r:id="rId33" w:anchor="employee" w:history="1">
        <w:r w:rsidRPr="009875FC">
          <w:t>employee</w:t>
        </w:r>
      </w:hyperlink>
      <w:r w:rsidRPr="009875FC">
        <w:t> </w:t>
      </w:r>
      <w:hyperlink r:id="rId34" w:anchor="organisation" w:history="1">
        <w:r w:rsidRPr="009875FC">
          <w:t>organisations</w:t>
        </w:r>
      </w:hyperlink>
      <w:r w:rsidRPr="009875FC">
        <w:t> (if any) covered by the agreement.</w:t>
      </w:r>
    </w:p>
    <w:p w14:paraId="31F29052" w14:textId="77777777" w:rsidR="00CA31EA" w:rsidRDefault="00CA31EA" w:rsidP="00CA31EA">
      <w:pPr>
        <w:spacing w:after="0" w:line="240" w:lineRule="auto"/>
      </w:pPr>
    </w:p>
    <w:p w14:paraId="73B8AB65" w14:textId="79152CB6" w:rsidR="00091412" w:rsidRDefault="00091412" w:rsidP="00CA31EA">
      <w:pPr>
        <w:spacing w:after="0" w:line="240" w:lineRule="auto"/>
      </w:pPr>
      <w:r>
        <w:t>The employers and their employees would then need to follow the process for joining an existing supported bargaining agreement</w:t>
      </w:r>
      <w:r w:rsidR="00CA31EA">
        <w:t xml:space="preserve"> as outlined above.</w:t>
      </w:r>
      <w:r>
        <w:t xml:space="preserve"> </w:t>
      </w:r>
    </w:p>
    <w:p w14:paraId="521E1274" w14:textId="77777777" w:rsidR="00CA31EA" w:rsidRDefault="00CA31EA" w:rsidP="00CA31EA">
      <w:pPr>
        <w:spacing w:after="0" w:line="240" w:lineRule="auto"/>
      </w:pPr>
    </w:p>
    <w:p w14:paraId="513AA3A1" w14:textId="77777777" w:rsidR="006B64E7" w:rsidRPr="00385167" w:rsidRDefault="00CA31EA" w:rsidP="009669D5">
      <w:pPr>
        <w:spacing w:after="0" w:line="240" w:lineRule="auto"/>
      </w:pPr>
      <w:r>
        <w:t xml:space="preserve">A </w:t>
      </w:r>
      <w:r w:rsidR="007E1643">
        <w:t xml:space="preserve">consideration </w:t>
      </w:r>
      <w:r w:rsidR="00180C45">
        <w:t xml:space="preserve">for this process </w:t>
      </w:r>
      <w:r w:rsidR="006B64E7">
        <w:t>i</w:t>
      </w:r>
      <w:r w:rsidR="00947559">
        <w:t>s that</w:t>
      </w:r>
      <w:r w:rsidR="00091412">
        <w:t xml:space="preserve"> once the previous single-enterprise agreement has been terminated, pay and conditions are set by the relevant award until the employer and employees have been added to the supported bargaining agreement. </w:t>
      </w:r>
      <w:r w:rsidR="006B64E7" w:rsidRPr="006B64E7">
        <w:rPr>
          <w:rFonts w:eastAsia="Times New Roman"/>
        </w:rPr>
        <w:t>This risk may be able to be mitigated by lodging concurrent applications to the FWC and asking FWC to consider them and to issue their decisions at the same time.</w:t>
      </w:r>
    </w:p>
    <w:p w14:paraId="07B73F15" w14:textId="77777777" w:rsidR="007573EF" w:rsidRDefault="007573EF" w:rsidP="0076441D">
      <w:pPr>
        <w:pStyle w:val="Heading5"/>
      </w:pPr>
    </w:p>
    <w:p w14:paraId="0AF49C45" w14:textId="4BCCB7E2" w:rsidR="26D8148E" w:rsidRPr="0076441D" w:rsidRDefault="26D8148E" w:rsidP="009669D5">
      <w:pPr>
        <w:pStyle w:val="Heading5"/>
      </w:pPr>
      <w:r w:rsidRPr="0076441D">
        <w:t>Varying an existing agreement</w:t>
      </w:r>
    </w:p>
    <w:p w14:paraId="76ADD4B7" w14:textId="2FAFD13A" w:rsidR="26D8148E" w:rsidRDefault="26D8148E">
      <w:r>
        <w:t xml:space="preserve">Should a service need to vary an existing agreement to meet </w:t>
      </w:r>
      <w:r w:rsidR="003745D0">
        <w:t>grant agreement conditions</w:t>
      </w:r>
      <w:r>
        <w:t xml:space="preserve"> the employer can make a joint variation of the EA with their covered employees. An employer may request the affected employees to approve the proposed variation by voting for it.</w:t>
      </w:r>
    </w:p>
    <w:p w14:paraId="45DE0DF6" w14:textId="0D17452E" w:rsidR="26D8148E" w:rsidRDefault="26D8148E">
      <w:r>
        <w:t xml:space="preserve">For existing single-enterprise agreements the variation is made when a majority of the affected employees who cast a valid vote approving the variation. If a variation of an EA has been made, a person covered by the agreement must apply to the Commission for approval of the variation within 14 days. Section 211 of the </w:t>
      </w:r>
      <w:r w:rsidRPr="29A029EE">
        <w:rPr>
          <w:i/>
          <w:iCs/>
        </w:rPr>
        <w:t xml:space="preserve">Fair Work Act </w:t>
      </w:r>
      <w:r>
        <w:t xml:space="preserve">outlines when the FWC must approve the variation. The process for existing multi-enterprise agreements is the same. The variation will only be made when the majority of the affected employees - of </w:t>
      </w:r>
      <w:r w:rsidR="002F585F">
        <w:t>all employer</w:t>
      </w:r>
      <w:r>
        <w:t xml:space="preserve"> - who cast a valid vote approving the variation.</w:t>
      </w:r>
      <w:r w:rsidRPr="29A029EE">
        <w:rPr>
          <w:rStyle w:val="FootnoteReference"/>
        </w:rPr>
        <w:footnoteReference w:id="162"/>
      </w:r>
    </w:p>
    <w:p w14:paraId="39EB26FA" w14:textId="4F3375B5" w:rsidR="26D8148E" w:rsidRDefault="26D8148E">
      <w:r>
        <w:t xml:space="preserve">To meet the requirements of Option Three, it is most likely that EAs would need to be varied to include minimum wage rates </w:t>
      </w:r>
      <w:r w:rsidR="00F91229">
        <w:t xml:space="preserve">and conditions </w:t>
      </w:r>
      <w:r w:rsidR="00630060">
        <w:t>as outlined in the grant agreement</w:t>
      </w:r>
      <w:r w:rsidR="00F91229">
        <w:t>.</w:t>
      </w:r>
      <w:r>
        <w:t xml:space="preserve"> </w:t>
      </w:r>
    </w:p>
    <w:p w14:paraId="1107C1C4" w14:textId="0C6872CC" w:rsidR="26D8148E" w:rsidRDefault="26D8148E">
      <w:r>
        <w:t xml:space="preserve">LDC and OSHC services </w:t>
      </w:r>
      <w:r w:rsidR="00F91229">
        <w:t xml:space="preserve">within current in force agreements </w:t>
      </w:r>
      <w:r>
        <w:t>are likely to utilise this option to be eligible for funding. It is also an accessible option for services that have existing EAs covering both LDC and OSHC workers.</w:t>
      </w:r>
    </w:p>
    <w:p w14:paraId="3A510290" w14:textId="010CA00F" w:rsidR="26D8148E" w:rsidRDefault="26D8148E" w:rsidP="009669D5">
      <w:pPr>
        <w:pStyle w:val="Heading5"/>
      </w:pPr>
      <w:r>
        <w:t>Making a new enterprise agreement</w:t>
      </w:r>
    </w:p>
    <w:p w14:paraId="0242B320" w14:textId="04378383" w:rsidR="26D8148E" w:rsidRDefault="00F7291A">
      <w:r>
        <w:t>Making a new enterprise agreement requires</w:t>
      </w:r>
      <w:r w:rsidR="006B710B">
        <w:t xml:space="preserve"> a</w:t>
      </w:r>
      <w:r w:rsidR="26D8148E">
        <w:t xml:space="preserve"> series of steps throughout the three stages of agreement making, bargaining and then approval. The table below represents the process in general terms that employers must take.</w:t>
      </w:r>
    </w:p>
    <w:p w14:paraId="17B8D420" w14:textId="09959815" w:rsidR="26D8148E" w:rsidRDefault="26D8148E">
      <w:r>
        <w:rPr>
          <w:noProof/>
          <w:lang w:eastAsia="en-AU"/>
        </w:rPr>
        <w:lastRenderedPageBreak/>
        <w:drawing>
          <wp:inline distT="0" distB="0" distL="0" distR="0" wp14:anchorId="64660E90" wp14:editId="52B84AAE">
            <wp:extent cx="4356100" cy="2362408"/>
            <wp:effectExtent l="0" t="0" r="6350" b="0"/>
            <wp:docPr id="1753919087" name="Picture 1"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4356100" cy="2362408"/>
                    </a:xfrm>
                    <a:prstGeom prst="rect">
                      <a:avLst/>
                    </a:prstGeom>
                  </pic:spPr>
                </pic:pic>
              </a:graphicData>
            </a:graphic>
          </wp:inline>
        </w:drawing>
      </w:r>
    </w:p>
    <w:p w14:paraId="01D20A88" w14:textId="683A3A01" w:rsidR="26D8148E" w:rsidRDefault="26D8148E" w:rsidP="29A029EE">
      <w:pPr>
        <w:rPr>
          <w:b/>
          <w:bCs/>
          <w:sz w:val="18"/>
          <w:szCs w:val="18"/>
        </w:rPr>
      </w:pPr>
      <w:r w:rsidRPr="29A029EE">
        <w:rPr>
          <w:b/>
          <w:bCs/>
          <w:sz w:val="18"/>
          <w:szCs w:val="18"/>
        </w:rPr>
        <w:t xml:space="preserve">Source: Fair Work Commission, Enterprise Agreements </w:t>
      </w:r>
      <w:proofErr w:type="spellStart"/>
      <w:r w:rsidRPr="29A029EE">
        <w:rPr>
          <w:b/>
          <w:bCs/>
          <w:sz w:val="18"/>
          <w:szCs w:val="18"/>
        </w:rPr>
        <w:t>Benchbook</w:t>
      </w:r>
      <w:proofErr w:type="spellEnd"/>
    </w:p>
    <w:p w14:paraId="577C62BD" w14:textId="311B4DC9" w:rsidR="26D8148E" w:rsidRDefault="26D8148E">
      <w:r>
        <w:t xml:space="preserve">The process for making an EA is set out in the </w:t>
      </w:r>
      <w:r w:rsidRPr="29A029EE">
        <w:rPr>
          <w:i/>
          <w:iCs/>
        </w:rPr>
        <w:t>Fair Work Act</w:t>
      </w:r>
      <w:r>
        <w:t xml:space="preserve"> and meeting the requirements of the Act is critical. The point at which parties start the process, whether by agreement or order of the FWC, is the ’notification time’. Following this, there are certain requirements including employers giving notice to employees of their representational rights prior to the good faith bargaining period commencing. The length of bargaining will vary depending on the individual circumstances of the </w:t>
      </w:r>
      <w:proofErr w:type="gramStart"/>
      <w:r>
        <w:t>workplace,</w:t>
      </w:r>
      <w:proofErr w:type="gramEnd"/>
      <w:r>
        <w:t xml:space="preserve"> however a minimum of 21 clear days must pass between the issue of the last notice of employee representational rights and the employer requesting that employees approve the agreement.</w:t>
      </w:r>
      <w:r w:rsidRPr="29A029EE">
        <w:rPr>
          <w:rStyle w:val="FootnoteReference"/>
        </w:rPr>
        <w:footnoteReference w:id="163"/>
      </w:r>
      <w:r>
        <w:t xml:space="preserve"> Following the bargaining period the employer may put the proposed agreement to vote. An EA is made if the employees who will be covered by the agreement approve it with a majority vote. Failed votes would return to the bargaining process. Following a successful majority vote, the agreement is lodged with the FWC for approval.</w:t>
      </w:r>
    </w:p>
    <w:p w14:paraId="54AE1E3C" w14:textId="11D51B0E" w:rsidR="707FA51C" w:rsidRDefault="26D8148E">
      <w:r>
        <w:t>Although this option is initially the most resource intensive for a provider, it is likely to be less administratively burdensome once an EA has been formed, as the assurance provided by an in-force enterprise agreement negates the proposed additional evidentiary and reporting requirements required under Option Two. This option is likely the most suitable for OSHC services that do not have a current in force enterprise agreement, or LDC services that also operate OSHC services who would prefer to keep their workforce covered by one workplace instrument. Importantly, under Option Two, providers would need to comply with more rigorous reporting requirements, including for example annual declarations and preparation of six-monthly financial reports to provide Government with assurance that all funding has been passed on as increased wages. This would require significant ongoing administrative resources.</w:t>
      </w:r>
    </w:p>
    <w:p w14:paraId="680B9972" w14:textId="2B1EA706" w:rsidR="26D8148E" w:rsidRDefault="26D8148E">
      <w:r>
        <w:t>Employer organisations would be able to assist services with the agreement making process for a fee. Noting that a separate Department of Education policy proposal will consider funding arrangements to assist services with meeting these costs.</w:t>
      </w:r>
    </w:p>
    <w:p w14:paraId="12C5DEFA" w14:textId="48045C91" w:rsidR="003373E1" w:rsidRDefault="003373E1">
      <w:pPr>
        <w:spacing w:after="160"/>
      </w:pPr>
      <w:r>
        <w:br w:type="page"/>
      </w:r>
    </w:p>
    <w:p w14:paraId="6A5FFA71" w14:textId="037796A1" w:rsidR="29A029EE" w:rsidRDefault="000B1746" w:rsidP="000B1746">
      <w:pPr>
        <w:pStyle w:val="Heading3"/>
      </w:pPr>
      <w:bookmarkStart w:id="129" w:name="_Toc219193909"/>
      <w:r>
        <w:lastRenderedPageBreak/>
        <w:t xml:space="preserve">Appendix C: </w:t>
      </w:r>
      <w:r w:rsidRPr="00541707">
        <w:rPr>
          <w:i/>
          <w:iCs/>
        </w:rPr>
        <w:t xml:space="preserve">Fair Work Act </w:t>
      </w:r>
      <w:r w:rsidR="001377C6">
        <w:t>- w</w:t>
      </w:r>
      <w:r>
        <w:t>ork value and equal remuneration processes</w:t>
      </w:r>
      <w:bookmarkEnd w:id="129"/>
    </w:p>
    <w:p w14:paraId="1877A95B" w14:textId="77777777" w:rsidR="00313B4E" w:rsidRDefault="00313B4E" w:rsidP="00313B4E">
      <w:r>
        <w:t>The Fair Work legislative framework provides several workplace relations streams that can result in increased wages and/or conditions for workers in a particular sector. These include:</w:t>
      </w:r>
    </w:p>
    <w:p w14:paraId="41A8BCF5" w14:textId="77777777" w:rsidR="00313B4E" w:rsidRDefault="00313B4E" w:rsidP="00313B4E">
      <w:pPr>
        <w:pStyle w:val="ListParagraph"/>
        <w:numPr>
          <w:ilvl w:val="0"/>
          <w:numId w:val="54"/>
        </w:numPr>
      </w:pPr>
      <w:r>
        <w:t>Enterprise bargaining</w:t>
      </w:r>
    </w:p>
    <w:p w14:paraId="0165E5FD" w14:textId="77777777" w:rsidR="00313B4E" w:rsidRDefault="00313B4E" w:rsidP="00313B4E">
      <w:pPr>
        <w:pStyle w:val="ListParagraph"/>
        <w:numPr>
          <w:ilvl w:val="0"/>
          <w:numId w:val="54"/>
        </w:numPr>
      </w:pPr>
      <w:r>
        <w:t>Work Value Case</w:t>
      </w:r>
    </w:p>
    <w:p w14:paraId="3D34CC5D" w14:textId="77777777" w:rsidR="00313B4E" w:rsidRDefault="00313B4E" w:rsidP="00313B4E">
      <w:pPr>
        <w:pStyle w:val="ListParagraph"/>
        <w:numPr>
          <w:ilvl w:val="0"/>
          <w:numId w:val="54"/>
        </w:numPr>
      </w:pPr>
      <w:r>
        <w:t>Equal Renumeration Orders (ERO)</w:t>
      </w:r>
    </w:p>
    <w:p w14:paraId="2D90E122" w14:textId="495EF26F" w:rsidR="00313B4E" w:rsidRDefault="00313B4E" w:rsidP="00313B4E">
      <w:r>
        <w:t xml:space="preserve">These processes are facilitated differently to each other and facilitate different outcomes for the workers and employers for which a particular workplace instrument covers. </w:t>
      </w:r>
      <w:r w:rsidR="00AD066E">
        <w:t>E</w:t>
      </w:r>
      <w:r>
        <w:t>nterprise bargaining is the process of making an E</w:t>
      </w:r>
      <w:r w:rsidR="00AD066E">
        <w:t xml:space="preserve">nterprise </w:t>
      </w:r>
      <w:r>
        <w:t>A</w:t>
      </w:r>
      <w:r w:rsidR="00AD066E">
        <w:t>greement (EA)</w:t>
      </w:r>
      <w:r>
        <w:t>, generally between the employer (or employers), their employees and their bargaining representatives (often unions). Enterprise bargaining facilitates the creation of an EA which is an agreement that contains terms and conditions of employment, including wages, for a period of up to four years. Enterprise bargaining has no impact on award wages and generally works to lift wages and conditions for the workers who are covered by the agreement. The length of time bargaining can take will vary and negotiations generally continue until an agreement is reached, however it is generally considered an efficient process for lifting wages and conditions.</w:t>
      </w:r>
    </w:p>
    <w:p w14:paraId="2A199006" w14:textId="78DC064E" w:rsidR="00313B4E" w:rsidRDefault="00313B4E" w:rsidP="00313B4E">
      <w:r>
        <w:t xml:space="preserve">In a work value case, the FWC can </w:t>
      </w:r>
      <w:proofErr w:type="gramStart"/>
      <w:r>
        <w:t>make a determination</w:t>
      </w:r>
      <w:proofErr w:type="gramEnd"/>
      <w:r>
        <w:t xml:space="preserve"> to vary the minimum wages under the modern award, if </w:t>
      </w:r>
      <w:r w:rsidR="00AD066E">
        <w:t>it</w:t>
      </w:r>
      <w:r>
        <w:t xml:space="preserve"> </w:t>
      </w:r>
      <w:r w:rsidR="00AD066E">
        <w:t>is</w:t>
      </w:r>
      <w:r>
        <w:t xml:space="preserve"> satisfied that the variation is justified by work value reasons. Work value reasons include the nature of the work, the level of skill or responsibility involved in doing the work, or the conditions under which the work is done. The FWC must also consider whether historically the work has been undervalued because of assumptions based on gender. Work value cases are initiated when the applicant believes the classification descriptors and remuneration paid to employees under a specific award no longer reflects the work being performed. Parties that can apply to vary a modern award include employers, employees or unions. Alternatively, the FWC itself can initiate a variation to a modern award. Following an application by a party (or FWC initiation), the FWC may receive evidence by written submissions or through hearings with interested parties and expert witnesses. Work value cases can take several years to complete as they can require significant evidence from those with experience in relevant industries, supported by appropriate experts. As the potential outcome is a lift to the minimum award rate the potential scope is significantly wider than enterprise bargaining.</w:t>
      </w:r>
    </w:p>
    <w:p w14:paraId="44E3A8D7" w14:textId="18FE5870" w:rsidR="00313B4E" w:rsidRPr="00313B4E" w:rsidRDefault="00313B4E" w:rsidP="00BF6F3A">
      <w:r>
        <w:t xml:space="preserve">An </w:t>
      </w:r>
      <w:r w:rsidR="00FF4620">
        <w:t>equal remuneration order (ERO)</w:t>
      </w:r>
      <w:r>
        <w:t xml:space="preserve"> is an order that ensures there will be equal remuneration for men and women workers for work of equal or comparable value. The FWC can issue an ERO by application or on their own initiative and must </w:t>
      </w:r>
      <w:proofErr w:type="gramStart"/>
      <w:r>
        <w:t>make a determination</w:t>
      </w:r>
      <w:proofErr w:type="gramEnd"/>
      <w:r>
        <w:t xml:space="preserve"> if they find there has not been equal remuneration. New provisions under the </w:t>
      </w:r>
      <w:r w:rsidRPr="00B44F3F">
        <w:rPr>
          <w:i/>
          <w:iCs/>
        </w:rPr>
        <w:t>Secure Jobs, Better Pay</w:t>
      </w:r>
      <w:r>
        <w:t xml:space="preserve"> Bill clarify there does not need to be a male comparator group, and the FWC may consider whether work has been historically undervalued on the basis of gender. An application can be made by an employee who would be affected by the order, a union, or the Sex Discrimination Commissioner. An Expert Panel of the FWC will be formed and may consider comparisons within and between occupations and industries to establish whether historically the work has been undervalued on the basis of gender, and any fair work instrument or State industrial instrument. While an ERO does not lift the minimum award rate, it could provide a sector-wide wage increase, noting the process takes significant time to finalise. </w:t>
      </w:r>
    </w:p>
    <w:sectPr w:rsidR="00313B4E" w:rsidRPr="00313B4E" w:rsidSect="008B4E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5E7C3" w14:textId="77777777" w:rsidR="00BD3401" w:rsidRDefault="00BD3401" w:rsidP="000A6228">
      <w:pPr>
        <w:spacing w:after="0" w:line="240" w:lineRule="auto"/>
      </w:pPr>
      <w:r>
        <w:separator/>
      </w:r>
    </w:p>
  </w:endnote>
  <w:endnote w:type="continuationSeparator" w:id="0">
    <w:p w14:paraId="68F96C77" w14:textId="77777777" w:rsidR="00BD3401" w:rsidRDefault="00BD3401" w:rsidP="000A6228">
      <w:pPr>
        <w:spacing w:after="0" w:line="240" w:lineRule="auto"/>
      </w:pPr>
      <w:r>
        <w:continuationSeparator/>
      </w:r>
    </w:p>
  </w:endnote>
  <w:endnote w:type="continuationNotice" w:id="1">
    <w:p w14:paraId="2C5E4E0F" w14:textId="77777777" w:rsidR="00BD3401" w:rsidRDefault="00BD3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80E0F" w14:textId="39A9FE38" w:rsidR="00483271" w:rsidRDefault="00682EDD">
    <w:pPr>
      <w:pStyle w:val="Footer"/>
    </w:pPr>
    <w:fldSimple w:instr="DOCPROPERTY  Title  \* MERGEFORMAT">
      <w:r>
        <w:t>Policy Impact Analysis</w:t>
      </w:r>
    </w:fldSimple>
    <w:r w:rsidR="00483271">
      <w:t xml:space="preserve"> | </w:t>
    </w:r>
    <w:r w:rsidR="00483271" w:rsidRPr="00AF1F18">
      <w:rPr>
        <w:color w:val="2B579A"/>
        <w:shd w:val="clear" w:color="auto" w:fill="E6E6E6"/>
      </w:rPr>
      <w:fldChar w:fldCharType="begin"/>
    </w:r>
    <w:r w:rsidR="00483271" w:rsidRPr="00AF1F18">
      <w:instrText xml:space="preserve"> PAGE   \* MERGEFORMAT </w:instrText>
    </w:r>
    <w:r w:rsidR="00483271" w:rsidRPr="00AF1F18">
      <w:rPr>
        <w:color w:val="2B579A"/>
        <w:shd w:val="clear" w:color="auto" w:fill="E6E6E6"/>
      </w:rPr>
      <w:fldChar w:fldCharType="separate"/>
    </w:r>
    <w:r w:rsidR="00063326">
      <w:rPr>
        <w:noProof/>
      </w:rPr>
      <w:t>55</w:t>
    </w:r>
    <w:r w:rsidR="00483271" w:rsidRPr="00AF1F18">
      <w:rPr>
        <w:color w:val="2B579A"/>
        <w:shd w:val="clear" w:color="auto" w:fill="E6E6E6"/>
      </w:rPr>
      <w:fldChar w:fldCharType="end"/>
    </w:r>
    <w:r w:rsidR="00483271">
      <w:rPr>
        <w:noProof/>
        <w:color w:val="2B579A"/>
        <w:shd w:val="clear" w:color="auto" w:fill="E6E6E6"/>
        <w:lang w:eastAsia="en-AU"/>
      </w:rPr>
      <w:drawing>
        <wp:anchor distT="0" distB="0" distL="114300" distR="114300" simplePos="0" relativeHeight="251658240" behindDoc="1" locked="1" layoutInCell="1" allowOverlap="1" wp14:anchorId="62E9FE82" wp14:editId="45D5A22F">
          <wp:simplePos x="0" y="0"/>
          <wp:positionH relativeFrom="page">
            <wp:align>right</wp:align>
          </wp:positionH>
          <wp:positionV relativeFrom="page">
            <wp:align>bottom</wp:align>
          </wp:positionV>
          <wp:extent cx="1220400" cy="651600"/>
          <wp:effectExtent l="0" t="0" r="0" b="0"/>
          <wp:wrapNone/>
          <wp:docPr id="1097657758" name="Picture 1097657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819AD" w14:textId="77777777" w:rsidR="00BD3401" w:rsidRDefault="00BD3401" w:rsidP="000A6228">
      <w:pPr>
        <w:spacing w:after="0" w:line="240" w:lineRule="auto"/>
      </w:pPr>
      <w:r>
        <w:separator/>
      </w:r>
    </w:p>
  </w:footnote>
  <w:footnote w:type="continuationSeparator" w:id="0">
    <w:p w14:paraId="76FE1DE4" w14:textId="77777777" w:rsidR="00BD3401" w:rsidRDefault="00BD3401" w:rsidP="000A6228">
      <w:pPr>
        <w:spacing w:after="0" w:line="240" w:lineRule="auto"/>
      </w:pPr>
      <w:r>
        <w:continuationSeparator/>
      </w:r>
    </w:p>
  </w:footnote>
  <w:footnote w:type="continuationNotice" w:id="1">
    <w:p w14:paraId="25F69A73" w14:textId="77777777" w:rsidR="00BD3401" w:rsidRDefault="00BD3401">
      <w:pPr>
        <w:spacing w:after="0" w:line="240" w:lineRule="auto"/>
      </w:pPr>
    </w:p>
  </w:footnote>
  <w:footnote w:id="2">
    <w:p w14:paraId="6E2F7BDE" w14:textId="062C0355" w:rsidR="00483271" w:rsidRPr="00A80548" w:rsidRDefault="00483271" w:rsidP="007D5715">
      <w:pPr>
        <w:pStyle w:val="FootnoteText"/>
        <w:rPr>
          <w:sz w:val="18"/>
          <w:szCs w:val="18"/>
        </w:rPr>
      </w:pPr>
      <w:r w:rsidRPr="00A80548">
        <w:rPr>
          <w:rStyle w:val="FootnoteReference"/>
          <w:sz w:val="18"/>
          <w:szCs w:val="18"/>
        </w:rPr>
        <w:footnoteRef/>
      </w:r>
      <w:r w:rsidRPr="00A80548">
        <w:rPr>
          <w:sz w:val="18"/>
          <w:szCs w:val="18"/>
        </w:rPr>
        <w:t xml:space="preserve"> Australian Government, Treasury, ‘Working Future: The Australian Government’s White Paper on Jobs and Opportunities’, (Canberra, Commonwealth of Australia, 2023), 193.</w:t>
      </w:r>
    </w:p>
  </w:footnote>
  <w:footnote w:id="3">
    <w:p w14:paraId="713619BF" w14:textId="77777777" w:rsidR="00483271" w:rsidRPr="00A80548" w:rsidRDefault="00483271" w:rsidP="002C5BC4">
      <w:pPr>
        <w:pStyle w:val="FootnoteText"/>
        <w:rPr>
          <w:sz w:val="18"/>
          <w:szCs w:val="18"/>
        </w:rPr>
      </w:pPr>
      <w:r w:rsidRPr="00A80548">
        <w:rPr>
          <w:rStyle w:val="FootnoteReference"/>
          <w:sz w:val="18"/>
          <w:szCs w:val="18"/>
        </w:rPr>
        <w:footnoteRef/>
      </w:r>
      <w:r w:rsidRPr="00A80548">
        <w:rPr>
          <w:sz w:val="18"/>
          <w:szCs w:val="18"/>
        </w:rPr>
        <w:t xml:space="preserve"> Department of Employment and Workplace Relations, </w:t>
      </w:r>
      <w:hyperlink r:id="rId1" w:history="1">
        <w:r w:rsidRPr="00A80548">
          <w:rPr>
            <w:rStyle w:val="Hyperlink"/>
            <w:i/>
            <w:iCs/>
            <w:sz w:val="18"/>
            <w:szCs w:val="18"/>
          </w:rPr>
          <w:t>Secure Jobs Better Pay: Job security and gender equality</w:t>
        </w:r>
      </w:hyperlink>
      <w:r w:rsidRPr="00A80548">
        <w:rPr>
          <w:i/>
          <w:iCs/>
          <w:sz w:val="18"/>
          <w:szCs w:val="18"/>
        </w:rPr>
        <w:t>, &lt;</w:t>
      </w:r>
      <w:r w:rsidRPr="00A80548">
        <w:rPr>
          <w:sz w:val="18"/>
          <w:szCs w:val="18"/>
        </w:rPr>
        <w:t>www.dewr.gov.au&gt;.</w:t>
      </w:r>
    </w:p>
  </w:footnote>
  <w:footnote w:id="4">
    <w:p w14:paraId="4386ACDF" w14:textId="77777777" w:rsidR="00483271" w:rsidRPr="00A80548" w:rsidRDefault="00483271" w:rsidP="002C5BC4">
      <w:pPr>
        <w:pStyle w:val="FootnoteText"/>
        <w:rPr>
          <w:sz w:val="18"/>
          <w:szCs w:val="18"/>
        </w:rPr>
      </w:pPr>
      <w:r w:rsidRPr="00A80548">
        <w:rPr>
          <w:rStyle w:val="FootnoteReference"/>
          <w:sz w:val="18"/>
          <w:szCs w:val="18"/>
        </w:rPr>
        <w:footnoteRef/>
      </w:r>
      <w:r w:rsidRPr="00A80548">
        <w:rPr>
          <w:sz w:val="18"/>
          <w:szCs w:val="18"/>
        </w:rPr>
        <w:t xml:space="preserve"> Department of Employment and Workplace Relations, </w:t>
      </w:r>
      <w:hyperlink r:id="rId2" w:history="1">
        <w:r w:rsidRPr="00A80548">
          <w:rPr>
            <w:rStyle w:val="Hyperlink"/>
            <w:i/>
            <w:iCs/>
            <w:sz w:val="18"/>
            <w:szCs w:val="18"/>
          </w:rPr>
          <w:t>Secure Jobs Better Pay: Job security and gender equality</w:t>
        </w:r>
      </w:hyperlink>
      <w:r w:rsidRPr="00A80548">
        <w:rPr>
          <w:i/>
          <w:iCs/>
          <w:sz w:val="18"/>
          <w:szCs w:val="18"/>
        </w:rPr>
        <w:t>, &lt;</w:t>
      </w:r>
      <w:r w:rsidRPr="00A80548">
        <w:rPr>
          <w:sz w:val="18"/>
          <w:szCs w:val="18"/>
        </w:rPr>
        <w:t>www.dewr.gov.au&gt;</w:t>
      </w:r>
    </w:p>
  </w:footnote>
  <w:footnote w:id="5">
    <w:p w14:paraId="25476166" w14:textId="77777777" w:rsidR="00483271" w:rsidRPr="007D5715" w:rsidRDefault="00483271" w:rsidP="00F1719B">
      <w:pPr>
        <w:pStyle w:val="FootnoteText"/>
        <w:rPr>
          <w:sz w:val="18"/>
          <w:szCs w:val="18"/>
        </w:rPr>
      </w:pPr>
      <w:r w:rsidRPr="00A80548">
        <w:rPr>
          <w:rStyle w:val="FootnoteReference"/>
          <w:sz w:val="18"/>
          <w:szCs w:val="18"/>
        </w:rPr>
        <w:footnoteRef/>
      </w:r>
      <w:r w:rsidRPr="00A80548">
        <w:rPr>
          <w:sz w:val="18"/>
          <w:szCs w:val="18"/>
        </w:rPr>
        <w:t xml:space="preserve"> [2024] FWCFB 150</w:t>
      </w:r>
    </w:p>
  </w:footnote>
  <w:footnote w:id="6">
    <w:p w14:paraId="019DF09D" w14:textId="77777777" w:rsidR="00483271" w:rsidRPr="00A80548" w:rsidRDefault="00483271" w:rsidP="00336D47">
      <w:pPr>
        <w:pStyle w:val="FootnoteText"/>
        <w:rPr>
          <w:sz w:val="18"/>
          <w:szCs w:val="18"/>
        </w:rPr>
      </w:pPr>
      <w:r w:rsidRPr="00A80548">
        <w:rPr>
          <w:rStyle w:val="FootnoteReference"/>
          <w:sz w:val="18"/>
          <w:szCs w:val="18"/>
        </w:rPr>
        <w:footnoteRef/>
      </w:r>
      <w:r w:rsidRPr="00A80548">
        <w:rPr>
          <w:sz w:val="18"/>
          <w:szCs w:val="18"/>
          <w:lang w:val="de-DE"/>
        </w:rPr>
        <w:t xml:space="preserve"> Warren D, Daraganova G &amp; O’Connor M 2018. </w:t>
      </w:r>
      <w:r w:rsidRPr="00A80548">
        <w:rPr>
          <w:sz w:val="18"/>
          <w:szCs w:val="18"/>
        </w:rPr>
        <w:t>Preschool and children’s readiness for school. In LSAC Annual Statistical Report 2017 Melbourne: Australian Institute of Family Studies.</w:t>
      </w:r>
    </w:p>
  </w:footnote>
  <w:footnote w:id="7">
    <w:p w14:paraId="232471C8" w14:textId="79FC6899" w:rsidR="00483271" w:rsidRPr="00A80548" w:rsidRDefault="00483271" w:rsidP="00336D47">
      <w:pPr>
        <w:pStyle w:val="FootnoteText"/>
        <w:rPr>
          <w:sz w:val="18"/>
          <w:szCs w:val="18"/>
          <w:u w:val="single"/>
        </w:rPr>
      </w:pPr>
      <w:r w:rsidRPr="00A80548">
        <w:rPr>
          <w:rStyle w:val="FootnoteReference"/>
          <w:sz w:val="18"/>
          <w:szCs w:val="18"/>
        </w:rPr>
        <w:footnoteRef/>
      </w:r>
      <w:r w:rsidRPr="00A80548">
        <w:rPr>
          <w:sz w:val="18"/>
          <w:szCs w:val="18"/>
        </w:rPr>
        <w:t xml:space="preserve"> OECD, </w:t>
      </w:r>
      <w:hyperlink r:id="rId3" w:history="1">
        <w:r w:rsidRPr="00A80548">
          <w:rPr>
            <w:rStyle w:val="Hyperlink"/>
            <w:i/>
            <w:iCs/>
            <w:sz w:val="18"/>
            <w:szCs w:val="18"/>
          </w:rPr>
          <w:t>Starting Strong 2017: Key OECD Indicators on Early Childhood Education and Care</w:t>
        </w:r>
      </w:hyperlink>
      <w:r w:rsidRPr="00A80548">
        <w:rPr>
          <w:i/>
          <w:iCs/>
          <w:sz w:val="18"/>
          <w:szCs w:val="18"/>
        </w:rPr>
        <w:t xml:space="preserve">, </w:t>
      </w:r>
      <w:r w:rsidRPr="00A80548">
        <w:rPr>
          <w:sz w:val="18"/>
          <w:szCs w:val="18"/>
        </w:rPr>
        <w:t>OECD Publishing (2017) Paris &lt; www.oecd-ilibrary.org &gt;.</w:t>
      </w:r>
    </w:p>
  </w:footnote>
  <w:footnote w:id="8">
    <w:p w14:paraId="2FBBC090" w14:textId="77777777"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Australian Government, Treasury, ‘Working Future: The Australian Government’s White Paper on Jobs and Opportunities’, (Canberra, Commonwealth of Australia, 2023), p. 211.</w:t>
      </w:r>
    </w:p>
  </w:footnote>
  <w:footnote w:id="9">
    <w:p w14:paraId="50D725D5" w14:textId="77777777"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Ibid 210.</w:t>
      </w:r>
    </w:p>
  </w:footnote>
  <w:footnote w:id="10">
    <w:p w14:paraId="66753BF9" w14:textId="77777777" w:rsidR="00483271" w:rsidRPr="00A80548" w:rsidRDefault="00483271" w:rsidP="00986335">
      <w:pPr>
        <w:pStyle w:val="FootnoteText"/>
        <w:rPr>
          <w:sz w:val="18"/>
          <w:szCs w:val="18"/>
        </w:rPr>
      </w:pPr>
      <w:r w:rsidRPr="00A80548">
        <w:rPr>
          <w:rStyle w:val="FootnoteReference"/>
          <w:sz w:val="18"/>
          <w:szCs w:val="18"/>
        </w:rPr>
        <w:footnoteRef/>
      </w:r>
      <w:r w:rsidRPr="00A80548">
        <w:rPr>
          <w:sz w:val="18"/>
          <w:szCs w:val="18"/>
        </w:rPr>
        <w:t xml:space="preserve"> November 2023, Detailed Labour Force Survey (Table EQ08), ABS, Data trended by Jobs and Skills Australia. Figures represent total persons employed under the ANZSCO unit level codes 4211 Child Carers, 2411 Early Childhood (Pre-Primary) Teachers and 1341 Child Care Centre Managers</w:t>
      </w:r>
    </w:p>
  </w:footnote>
  <w:footnote w:id="11">
    <w:p w14:paraId="14713C8B" w14:textId="33EEF27E" w:rsidR="0024020F" w:rsidRPr="009209EE" w:rsidRDefault="0024020F">
      <w:pPr>
        <w:pStyle w:val="FootnoteText"/>
        <w:rPr>
          <w:sz w:val="18"/>
          <w:szCs w:val="18"/>
        </w:rPr>
      </w:pPr>
      <w:r w:rsidRPr="009209EE">
        <w:rPr>
          <w:rStyle w:val="FootnoteReference"/>
          <w:sz w:val="18"/>
          <w:szCs w:val="18"/>
        </w:rPr>
        <w:footnoteRef/>
      </w:r>
      <w:r w:rsidR="0046022C" w:rsidRPr="009209EE">
        <w:rPr>
          <w:sz w:val="18"/>
          <w:szCs w:val="18"/>
        </w:rPr>
        <w:t xml:space="preserve"> </w:t>
      </w:r>
      <w:r w:rsidR="0046022C" w:rsidRPr="00A80548">
        <w:rPr>
          <w:rFonts w:asciiTheme="majorHAnsi" w:hAnsiTheme="majorHAnsi" w:cstheme="majorHAnsi"/>
          <w:sz w:val="18"/>
          <w:szCs w:val="18"/>
        </w:rPr>
        <w:t xml:space="preserve">Productivity Commission, </w:t>
      </w:r>
      <w:hyperlink r:id="rId4" w:history="1">
        <w:r w:rsidR="0046022C" w:rsidRPr="00A80548">
          <w:rPr>
            <w:rStyle w:val="Hyperlink"/>
            <w:rFonts w:asciiTheme="majorHAnsi" w:hAnsiTheme="majorHAnsi" w:cstheme="majorHAnsi"/>
            <w:i/>
            <w:iCs/>
            <w:sz w:val="18"/>
            <w:szCs w:val="18"/>
          </w:rPr>
          <w:t>A path to universal early education and care: Draft Report</w:t>
        </w:r>
      </w:hyperlink>
      <w:r w:rsidR="0046022C" w:rsidRPr="00A80548">
        <w:rPr>
          <w:rFonts w:asciiTheme="majorHAnsi" w:hAnsiTheme="majorHAnsi" w:cstheme="majorHAnsi"/>
          <w:i/>
          <w:iCs/>
          <w:sz w:val="18"/>
          <w:szCs w:val="18"/>
        </w:rPr>
        <w:t xml:space="preserve">, </w:t>
      </w:r>
      <w:r w:rsidR="0046022C" w:rsidRPr="00A80548">
        <w:rPr>
          <w:rFonts w:asciiTheme="majorHAnsi" w:hAnsiTheme="majorHAnsi" w:cstheme="majorHAnsi"/>
          <w:sz w:val="18"/>
          <w:szCs w:val="18"/>
        </w:rPr>
        <w:t xml:space="preserve">November 2023 </w:t>
      </w:r>
      <w:r w:rsidR="0054195B" w:rsidRPr="00A80548">
        <w:rPr>
          <w:rFonts w:asciiTheme="majorHAnsi" w:hAnsiTheme="majorHAnsi" w:cstheme="majorHAnsi"/>
          <w:sz w:val="18"/>
          <w:szCs w:val="18"/>
        </w:rPr>
        <w:t>&lt;</w:t>
      </w:r>
      <w:hyperlink r:id="rId5" w:history="1">
        <w:r w:rsidR="0054195B" w:rsidRPr="00A80548">
          <w:rPr>
            <w:rStyle w:val="Hyperlink"/>
            <w:rFonts w:asciiTheme="majorHAnsi" w:hAnsiTheme="majorHAnsi" w:cstheme="majorHAnsi"/>
            <w:sz w:val="18"/>
            <w:szCs w:val="18"/>
          </w:rPr>
          <w:t>www.pc.gov.au</w:t>
        </w:r>
      </w:hyperlink>
      <w:r w:rsidR="0054195B" w:rsidRPr="00A80548">
        <w:rPr>
          <w:rFonts w:asciiTheme="majorHAnsi" w:hAnsiTheme="majorHAnsi" w:cstheme="majorHAnsi"/>
          <w:sz w:val="18"/>
          <w:szCs w:val="18"/>
        </w:rPr>
        <w:t>&gt;</w:t>
      </w:r>
      <w:r w:rsidR="0055630D" w:rsidRPr="00A80548">
        <w:rPr>
          <w:rFonts w:asciiTheme="majorHAnsi" w:hAnsiTheme="majorHAnsi" w:cstheme="majorHAnsi"/>
          <w:sz w:val="18"/>
          <w:szCs w:val="18"/>
        </w:rPr>
        <w:t>,</w:t>
      </w:r>
      <w:r w:rsidR="0054195B" w:rsidRPr="00A80548">
        <w:rPr>
          <w:rFonts w:asciiTheme="majorHAnsi" w:hAnsiTheme="majorHAnsi" w:cstheme="majorHAnsi"/>
          <w:sz w:val="18"/>
          <w:szCs w:val="18"/>
        </w:rPr>
        <w:t xml:space="preserve"> 21. </w:t>
      </w:r>
      <w:r w:rsidR="0055630D" w:rsidRPr="00A80548">
        <w:rPr>
          <w:rFonts w:asciiTheme="majorHAnsi" w:hAnsiTheme="majorHAnsi" w:cstheme="majorHAnsi"/>
          <w:sz w:val="18"/>
          <w:szCs w:val="18"/>
        </w:rPr>
        <w:t xml:space="preserve"> </w:t>
      </w:r>
      <w:r w:rsidRPr="009209EE">
        <w:rPr>
          <w:sz w:val="18"/>
          <w:szCs w:val="18"/>
        </w:rPr>
        <w:t xml:space="preserve"> </w:t>
      </w:r>
    </w:p>
  </w:footnote>
  <w:footnote w:id="12">
    <w:p w14:paraId="4D098E12" w14:textId="674AB10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See, eg, Euan Black, ‘Childcare centres turning away parents because of staff shortages’, </w:t>
      </w:r>
      <w:r w:rsidRPr="00A80548">
        <w:rPr>
          <w:i/>
          <w:iCs/>
          <w:sz w:val="18"/>
          <w:szCs w:val="18"/>
        </w:rPr>
        <w:t xml:space="preserve">Australian Financial Review </w:t>
      </w:r>
      <w:r w:rsidRPr="00A80548">
        <w:rPr>
          <w:sz w:val="18"/>
          <w:szCs w:val="18"/>
        </w:rPr>
        <w:t>(online), 25 August 2023 &lt;https://www.afr.com/work-and-careers/workplace/childcare-centres-turning-away-parents-due-to-worker-shortage-20230824-p5dz69&gt;.</w:t>
      </w:r>
    </w:p>
  </w:footnote>
  <w:footnote w:id="13">
    <w:p w14:paraId="638DB4B7" w14:textId="40E837B4"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6"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xml:space="preserve">, December 2023, 1 &lt;www.accc.gov.au&gt;. </w:t>
      </w:r>
    </w:p>
  </w:footnote>
  <w:footnote w:id="14">
    <w:p w14:paraId="19EDAC87" w14:textId="77777777" w:rsidR="00483271" w:rsidRPr="00A80548" w:rsidRDefault="00483271" w:rsidP="0080489F">
      <w:pPr>
        <w:pStyle w:val="FootnoteText"/>
        <w:rPr>
          <w:sz w:val="18"/>
          <w:szCs w:val="18"/>
        </w:rPr>
      </w:pPr>
      <w:r w:rsidRPr="00A80548">
        <w:rPr>
          <w:rStyle w:val="FootnoteReference"/>
          <w:sz w:val="18"/>
          <w:szCs w:val="18"/>
        </w:rPr>
        <w:footnoteRef/>
      </w:r>
      <w:r w:rsidRPr="00A80548">
        <w:rPr>
          <w:sz w:val="18"/>
          <w:szCs w:val="18"/>
        </w:rPr>
        <w:t xml:space="preserve"> Jobs and Skills Australia, Labour Market Insights, Internet Vacancy Index, December 2023.</w:t>
      </w:r>
    </w:p>
  </w:footnote>
  <w:footnote w:id="15">
    <w:p w14:paraId="1E4979E4" w14:textId="69FFD184" w:rsidR="00483271" w:rsidRPr="00A80548" w:rsidRDefault="00483271" w:rsidP="08E0AFA5">
      <w:pPr>
        <w:pStyle w:val="FootnoteText"/>
        <w:rPr>
          <w:sz w:val="18"/>
          <w:szCs w:val="18"/>
        </w:rPr>
      </w:pPr>
      <w:r w:rsidRPr="00A80548">
        <w:rPr>
          <w:rStyle w:val="FootnoteReference"/>
          <w:sz w:val="18"/>
          <w:szCs w:val="18"/>
        </w:rPr>
        <w:footnoteRef/>
      </w:r>
      <w:r w:rsidRPr="00A80548">
        <w:rPr>
          <w:sz w:val="18"/>
          <w:szCs w:val="18"/>
        </w:rPr>
        <w:t xml:space="preserve"> Marianne Fenech et al, ‘Attracting, Retaining and Sustaining Early Childhood Teachers: An Ecological Conceptualisation of Workforce Issues and Future Research Directions’ (2022) 49 (1) </w:t>
      </w:r>
      <w:r w:rsidRPr="00A80548">
        <w:rPr>
          <w:i/>
          <w:iCs/>
          <w:sz w:val="18"/>
          <w:szCs w:val="18"/>
        </w:rPr>
        <w:t>The Australian Educational Researcher</w:t>
      </w:r>
    </w:p>
  </w:footnote>
  <w:footnote w:id="16">
    <w:p w14:paraId="7F03621E" w14:textId="058911A7" w:rsidR="00483271" w:rsidRPr="00F337AA" w:rsidRDefault="00483271" w:rsidP="08E0AFA5">
      <w:pPr>
        <w:pStyle w:val="FootnoteText"/>
        <w:rPr>
          <w:sz w:val="18"/>
          <w:szCs w:val="18"/>
        </w:rPr>
      </w:pPr>
      <w:r w:rsidRPr="00A80548">
        <w:rPr>
          <w:rStyle w:val="FootnoteReference"/>
          <w:sz w:val="18"/>
          <w:szCs w:val="18"/>
        </w:rPr>
        <w:footnoteRef/>
      </w:r>
      <w:r w:rsidRPr="00A80548">
        <w:rPr>
          <w:sz w:val="18"/>
          <w:szCs w:val="18"/>
        </w:rPr>
        <w:t xml:space="preserve"> Australian Bureau of Statistics (February 2023) Job Mobility, ABS Website, accessed 14 February 2024.</w:t>
      </w:r>
    </w:p>
  </w:footnote>
  <w:footnote w:id="17">
    <w:p w14:paraId="007AE117" w14:textId="6913EA16"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Marianne Fenech et al, ‘Attracting, Retaining and Sustaining Early Childhood Teachers: An Ecological Conceptualisation of Workforce Issues and Future Research Directions’ (2022) 49 (1) </w:t>
      </w:r>
      <w:r w:rsidRPr="00A80548">
        <w:rPr>
          <w:i/>
          <w:iCs/>
          <w:sz w:val="18"/>
          <w:szCs w:val="18"/>
        </w:rPr>
        <w:t>The Australian Educational Researcher</w:t>
      </w:r>
      <w:r w:rsidR="00BE6318">
        <w:rPr>
          <w:i/>
          <w:iCs/>
          <w:sz w:val="18"/>
          <w:szCs w:val="18"/>
        </w:rPr>
        <w:t>.</w:t>
      </w:r>
    </w:p>
  </w:footnote>
  <w:footnote w:id="18">
    <w:p w14:paraId="3BB8C172" w14:textId="1F796744"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United Workers Union, </w:t>
      </w:r>
      <w:hyperlink r:id="rId7" w:history="1">
        <w:r w:rsidRPr="00A80548">
          <w:rPr>
            <w:rStyle w:val="Hyperlink"/>
            <w:i/>
            <w:iCs/>
            <w:sz w:val="18"/>
            <w:szCs w:val="18"/>
          </w:rPr>
          <w:t>Exhausted, Undervalued and Leaving: The Crisis in Early Education</w:t>
        </w:r>
      </w:hyperlink>
      <w:r w:rsidRPr="00A80548">
        <w:rPr>
          <w:i/>
          <w:iCs/>
          <w:sz w:val="18"/>
          <w:szCs w:val="18"/>
        </w:rPr>
        <w:t>, August 2021, &lt;www.unitedworkers.org.au&gt;.</w:t>
      </w:r>
    </w:p>
  </w:footnote>
  <w:footnote w:id="19">
    <w:p w14:paraId="3456235A" w14:textId="6A4959DC" w:rsidR="00483271" w:rsidRPr="00A80548" w:rsidRDefault="00483271" w:rsidP="007F685E">
      <w:pPr>
        <w:pStyle w:val="FootnoteText"/>
        <w:rPr>
          <w:i/>
          <w:iCs/>
          <w:sz w:val="18"/>
          <w:szCs w:val="18"/>
        </w:rPr>
      </w:pPr>
      <w:r w:rsidRPr="00A80548">
        <w:rPr>
          <w:rStyle w:val="FootnoteReference"/>
          <w:sz w:val="18"/>
          <w:szCs w:val="18"/>
        </w:rPr>
        <w:footnoteRef/>
      </w:r>
      <w:r w:rsidRPr="00A80548">
        <w:rPr>
          <w:sz w:val="18"/>
          <w:szCs w:val="18"/>
        </w:rPr>
        <w:t xml:space="preserve"> Whitebook, M., Phillips, D., &amp; Howes, C, </w:t>
      </w:r>
      <w:r w:rsidRPr="00A80548">
        <w:rPr>
          <w:i/>
          <w:iCs/>
          <w:sz w:val="18"/>
          <w:szCs w:val="18"/>
        </w:rPr>
        <w:t xml:space="preserve">Worthy work, STILL unliveable wages: The early childhood workforce 25 years after the National Child Care Staffing Study, </w:t>
      </w:r>
      <w:r w:rsidRPr="00A80548">
        <w:rPr>
          <w:sz w:val="18"/>
          <w:szCs w:val="18"/>
        </w:rPr>
        <w:t>(2014)</w:t>
      </w:r>
      <w:r w:rsidRPr="00A80548">
        <w:rPr>
          <w:i/>
          <w:iCs/>
          <w:sz w:val="18"/>
          <w:szCs w:val="18"/>
        </w:rPr>
        <w:t xml:space="preserve"> </w:t>
      </w:r>
      <w:r w:rsidRPr="00A80548">
        <w:rPr>
          <w:sz w:val="18"/>
          <w:szCs w:val="18"/>
        </w:rPr>
        <w:t>Center for the Study of Child Care Employment, University of California, Berkeley, 6.</w:t>
      </w:r>
    </w:p>
  </w:footnote>
  <w:footnote w:id="20">
    <w:p w14:paraId="493786BB" w14:textId="27ADBA9A"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Productivity Commission, </w:t>
      </w:r>
      <w:hyperlink r:id="rId8" w:history="1">
        <w:r w:rsidRPr="00A80548">
          <w:rPr>
            <w:rStyle w:val="Hyperlink"/>
            <w:rFonts w:asciiTheme="majorHAnsi" w:hAnsiTheme="majorHAnsi" w:cstheme="majorHAnsi"/>
            <w:i/>
            <w:iCs/>
            <w:sz w:val="18"/>
            <w:szCs w:val="18"/>
          </w:rPr>
          <w:t>A path to universal early education and care: Draft Report</w:t>
        </w:r>
      </w:hyperlink>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November 2023 &lt;www.pc.gov.au&gt;.</w:t>
      </w:r>
    </w:p>
  </w:footnote>
  <w:footnote w:id="21">
    <w:p w14:paraId="161819EB" w14:textId="3C0848C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[2024] FWCFB 150</w:t>
      </w:r>
      <w:r w:rsidR="00BE6318">
        <w:rPr>
          <w:sz w:val="18"/>
          <w:szCs w:val="18"/>
        </w:rPr>
        <w:t>.</w:t>
      </w:r>
    </w:p>
  </w:footnote>
  <w:footnote w:id="22">
    <w:p w14:paraId="32D7EEA4" w14:textId="77777777" w:rsidR="00483271" w:rsidRPr="00A80548" w:rsidRDefault="00483271" w:rsidP="00DE3C1C">
      <w:pPr>
        <w:pStyle w:val="FootnoteText"/>
        <w:rPr>
          <w:i/>
          <w:iCs/>
          <w:sz w:val="18"/>
          <w:szCs w:val="18"/>
        </w:rPr>
      </w:pPr>
      <w:r w:rsidRPr="00A80548">
        <w:rPr>
          <w:rStyle w:val="FootnoteReference"/>
          <w:sz w:val="18"/>
          <w:szCs w:val="18"/>
        </w:rPr>
        <w:footnoteRef/>
      </w:r>
      <w:r w:rsidRPr="00A80548">
        <w:rPr>
          <w:sz w:val="18"/>
          <w:szCs w:val="18"/>
        </w:rPr>
        <w:t xml:space="preserve"> Ibid.</w:t>
      </w:r>
    </w:p>
  </w:footnote>
  <w:footnote w:id="23">
    <w:p w14:paraId="2C0CFB19" w14:textId="24DDAF26"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Productivity Commission, </w:t>
      </w:r>
      <w:r w:rsidRPr="00A80548">
        <w:rPr>
          <w:i/>
          <w:iCs/>
          <w:sz w:val="18"/>
          <w:szCs w:val="18"/>
        </w:rPr>
        <w:t xml:space="preserve">A path to universal early education and care: Draft Report, </w:t>
      </w:r>
      <w:r w:rsidRPr="00A80548">
        <w:rPr>
          <w:sz w:val="18"/>
          <w:szCs w:val="18"/>
        </w:rPr>
        <w:t>November 2023</w:t>
      </w:r>
      <w:r w:rsidR="00BE6318">
        <w:rPr>
          <w:sz w:val="18"/>
          <w:szCs w:val="18"/>
        </w:rPr>
        <w:t>.</w:t>
      </w:r>
    </w:p>
  </w:footnote>
  <w:footnote w:id="24">
    <w:p w14:paraId="7F2A38FA" w14:textId="4EDC60FD" w:rsidR="00483271" w:rsidRPr="00F337AA"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Organisation for Economic Co-operation and Development, </w:t>
      </w:r>
      <w:hyperlink r:id="rId9" w:history="1">
        <w:r w:rsidRPr="00A80548">
          <w:rPr>
            <w:rStyle w:val="Hyperlink"/>
            <w:i/>
            <w:iCs/>
            <w:sz w:val="18"/>
            <w:szCs w:val="18"/>
          </w:rPr>
          <w:t>Good Practice for Good Jobs in Early Childhood and Care</w:t>
        </w:r>
      </w:hyperlink>
      <w:r w:rsidRPr="00A80548">
        <w:rPr>
          <w:rFonts w:asciiTheme="majorHAnsi" w:hAnsiTheme="majorHAnsi" w:cstheme="majorHAnsi"/>
          <w:sz w:val="18"/>
          <w:szCs w:val="18"/>
        </w:rPr>
        <w:t>, OECD Publishing, Paris, &lt;www.oecd.org&gt;.</w:t>
      </w:r>
    </w:p>
  </w:footnote>
  <w:footnote w:id="25">
    <w:p w14:paraId="3B3989C1" w14:textId="35B238AA" w:rsidR="00483271" w:rsidRPr="00A80548" w:rsidRDefault="00483271" w:rsidP="00D37D52">
      <w:pPr>
        <w:pStyle w:val="FootnoteText"/>
        <w:rPr>
          <w:sz w:val="18"/>
          <w:szCs w:val="18"/>
        </w:rPr>
      </w:pPr>
      <w:r w:rsidRPr="00A80548">
        <w:rPr>
          <w:rStyle w:val="FootnoteReference"/>
          <w:sz w:val="18"/>
          <w:szCs w:val="18"/>
        </w:rPr>
        <w:footnoteRef/>
      </w:r>
      <w:r w:rsidRPr="00A80548">
        <w:rPr>
          <w:sz w:val="18"/>
          <w:szCs w:val="18"/>
        </w:rPr>
        <w:t xml:space="preserve"> [2024] FWCFB 150</w:t>
      </w:r>
      <w:r w:rsidR="00532C9D">
        <w:rPr>
          <w:sz w:val="18"/>
          <w:szCs w:val="18"/>
        </w:rPr>
        <w:t>.</w:t>
      </w:r>
    </w:p>
  </w:footnote>
  <w:footnote w:id="26">
    <w:p w14:paraId="2966930C" w14:textId="77777777" w:rsidR="00483271" w:rsidRPr="00A80548" w:rsidRDefault="00483271" w:rsidP="00D37D52">
      <w:pPr>
        <w:pStyle w:val="FootnoteText"/>
        <w:rPr>
          <w:sz w:val="18"/>
          <w:szCs w:val="18"/>
        </w:rPr>
      </w:pPr>
      <w:r w:rsidRPr="00A80548">
        <w:rPr>
          <w:rStyle w:val="FootnoteReference"/>
          <w:sz w:val="18"/>
          <w:szCs w:val="18"/>
        </w:rPr>
        <w:footnoteRef/>
      </w:r>
      <w:r w:rsidRPr="00A80548">
        <w:rPr>
          <w:sz w:val="18"/>
          <w:szCs w:val="18"/>
        </w:rPr>
        <w:t xml:space="preserve"> [1907] CthArbRp12, 2 CAR 1.</w:t>
      </w:r>
    </w:p>
  </w:footnote>
  <w:footnote w:id="27">
    <w:p w14:paraId="5F23F658" w14:textId="77777777" w:rsidR="00483271" w:rsidRPr="00A80548" w:rsidRDefault="00483271" w:rsidP="00D37D52">
      <w:pPr>
        <w:pStyle w:val="FootnoteText"/>
        <w:rPr>
          <w:sz w:val="18"/>
          <w:szCs w:val="18"/>
        </w:rPr>
      </w:pPr>
      <w:r w:rsidRPr="00A80548">
        <w:rPr>
          <w:rStyle w:val="FootnoteReference"/>
          <w:sz w:val="18"/>
          <w:szCs w:val="18"/>
        </w:rPr>
        <w:footnoteRef/>
      </w:r>
      <w:r w:rsidRPr="00A80548">
        <w:rPr>
          <w:sz w:val="18"/>
          <w:szCs w:val="18"/>
        </w:rPr>
        <w:t xml:space="preserve"> [1907] CthArbRp12, 2 CAR 1 at 3.</w:t>
      </w:r>
    </w:p>
  </w:footnote>
  <w:footnote w:id="28">
    <w:p w14:paraId="01AE76A6" w14:textId="77777777" w:rsidR="00483271" w:rsidRPr="00A80548" w:rsidRDefault="00483271" w:rsidP="00D37D52">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 xml:space="preserve">Rural Workers’ Union and United Labourers’ Union v Mildura Branch of the Australian Dried Fruits Association and Others </w:t>
      </w:r>
      <w:r w:rsidRPr="00A80548">
        <w:rPr>
          <w:sz w:val="18"/>
          <w:szCs w:val="18"/>
        </w:rPr>
        <w:t>[1912] CthArbRp, 6 CAR 61.</w:t>
      </w:r>
    </w:p>
  </w:footnote>
  <w:footnote w:id="29">
    <w:p w14:paraId="1D0A6844" w14:textId="77777777" w:rsidR="00483271" w:rsidRPr="007D5715" w:rsidRDefault="00483271" w:rsidP="00D37D52">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10"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17 &lt;www.fwc.gov.au&gt;.</w:t>
      </w:r>
    </w:p>
  </w:footnote>
  <w:footnote w:id="30">
    <w:p w14:paraId="7216E37A"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 xml:space="preserve">The Federated Clothing Trades of the Commonwealth of Australia v J A Archer and Others </w:t>
      </w:r>
      <w:r w:rsidRPr="00A80548">
        <w:rPr>
          <w:sz w:val="18"/>
          <w:szCs w:val="18"/>
        </w:rPr>
        <w:t>[1919] CthArbRp 99, 13 CAR 647</w:t>
      </w:r>
      <w:r w:rsidRPr="00A80548">
        <w:rPr>
          <w:i/>
          <w:iCs/>
          <w:sz w:val="18"/>
          <w:szCs w:val="18"/>
        </w:rPr>
        <w:t xml:space="preserve">; Amalgamated Society of Engineers and the Adelaide Steam-ship Company Limited </w:t>
      </w:r>
      <w:r w:rsidRPr="00A80548">
        <w:rPr>
          <w:sz w:val="18"/>
          <w:szCs w:val="18"/>
        </w:rPr>
        <w:t>(1921) CthArbRp, 15 CAR 297.</w:t>
      </w:r>
    </w:p>
  </w:footnote>
  <w:footnote w:id="31">
    <w:p w14:paraId="7321C36B"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[2024] FWCFB 150 at [36].</w:t>
      </w:r>
    </w:p>
  </w:footnote>
  <w:footnote w:id="32">
    <w:p w14:paraId="7152C2B3"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 xml:space="preserve">The Federated Clothing Trades of the Commonwealth of Australia v J A Archer and Others </w:t>
      </w:r>
      <w:r w:rsidRPr="00A80548">
        <w:rPr>
          <w:sz w:val="18"/>
          <w:szCs w:val="18"/>
        </w:rPr>
        <w:t>[1919] CthArbRp 99.</w:t>
      </w:r>
    </w:p>
  </w:footnote>
  <w:footnote w:id="33">
    <w:p w14:paraId="0F043D59"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Amalgamated Society of Engineers and The Adelaide Steam-ship Company Limited</w:t>
      </w:r>
      <w:r w:rsidRPr="00A80548">
        <w:rPr>
          <w:sz w:val="18"/>
          <w:szCs w:val="18"/>
        </w:rPr>
        <w:t xml:space="preserve"> (1921) CthArbRp 57, 15 CAR 297; </w:t>
      </w:r>
      <w:r w:rsidRPr="00A80548">
        <w:rPr>
          <w:i/>
          <w:iCs/>
          <w:sz w:val="18"/>
          <w:szCs w:val="18"/>
        </w:rPr>
        <w:t xml:space="preserve">Clothing and Allied Trades Union of Australia re Clothing Trades Award 1964 </w:t>
      </w:r>
      <w:r w:rsidRPr="00A80548">
        <w:rPr>
          <w:sz w:val="18"/>
          <w:szCs w:val="18"/>
        </w:rPr>
        <w:t>[1967] CthArbRp 406, 118 CAR 286.</w:t>
      </w:r>
    </w:p>
  </w:footnote>
  <w:footnote w:id="34">
    <w:p w14:paraId="30B23D99"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[1967] CthArbRp 504, 118 CAR 655.</w:t>
      </w:r>
    </w:p>
  </w:footnote>
  <w:footnote w:id="35">
    <w:p w14:paraId="40F1EE40"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[1969] CthArbRp 278, 127 CAR 1142.</w:t>
      </w:r>
    </w:p>
  </w:footnote>
  <w:footnote w:id="36">
    <w:p w14:paraId="1C4DD4A9"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[2024] FWCFB 150 at [60].</w:t>
      </w:r>
    </w:p>
  </w:footnote>
  <w:footnote w:id="37">
    <w:p w14:paraId="70E40ED7"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[2024] FWCFB 150 at [66] to [67].</w:t>
      </w:r>
    </w:p>
  </w:footnote>
  <w:footnote w:id="38">
    <w:p w14:paraId="781A37D4"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[1972] CthArbRp 1420, 147 CAR 172.</w:t>
      </w:r>
    </w:p>
  </w:footnote>
  <w:footnote w:id="39">
    <w:p w14:paraId="20DCA53F"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[1975] CthArbRp 1544, 171 CAR at 79; [1983] CthArbRp 400, 291 CAR 3, 4 IR</w:t>
      </w:r>
    </w:p>
  </w:footnote>
  <w:footnote w:id="40">
    <w:p w14:paraId="4BBC24A6"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[1989] AIRC 525, 30 IR 81, Print H9100</w:t>
      </w:r>
    </w:p>
  </w:footnote>
  <w:footnote w:id="41">
    <w:p w14:paraId="0BD6C814"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[2024] FWCBC 150 at [25] to [95].</w:t>
      </w:r>
    </w:p>
  </w:footnote>
  <w:footnote w:id="42">
    <w:p w14:paraId="49C65D97" w14:textId="77777777" w:rsidR="00483271" w:rsidRPr="00A80548" w:rsidRDefault="00483271" w:rsidP="009A5210">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11"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13 – 33 &lt;www.fwc.gov.au&gt;.</w:t>
      </w:r>
    </w:p>
  </w:footnote>
  <w:footnote w:id="43">
    <w:p w14:paraId="53625DE2" w14:textId="77777777" w:rsidR="00483271" w:rsidRPr="00A80548" w:rsidRDefault="00483271" w:rsidP="0062472F">
      <w:pPr>
        <w:pStyle w:val="FootnoteText"/>
        <w:rPr>
          <w:sz w:val="18"/>
          <w:szCs w:val="18"/>
        </w:rPr>
      </w:pPr>
      <w:r w:rsidRPr="00A80548">
        <w:rPr>
          <w:rStyle w:val="FootnoteReference"/>
          <w:sz w:val="18"/>
          <w:szCs w:val="18"/>
        </w:rPr>
        <w:footnoteRef/>
      </w:r>
      <w:r w:rsidRPr="00A80548">
        <w:rPr>
          <w:sz w:val="18"/>
          <w:szCs w:val="18"/>
        </w:rPr>
        <w:t xml:space="preserve"> Re Australian Liquor, Hospitality and Miscellaneous Workers Union [2005] AIRC 28, PR954938.</w:t>
      </w:r>
    </w:p>
  </w:footnote>
  <w:footnote w:id="44">
    <w:p w14:paraId="35BF9DD9" w14:textId="77777777" w:rsidR="00483271" w:rsidRPr="007D5715"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12"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29 &lt;www.fwc.gov.au&gt;.</w:t>
      </w:r>
    </w:p>
  </w:footnote>
  <w:footnote w:id="45">
    <w:p w14:paraId="13175DA2" w14:textId="77777777" w:rsidR="00483271" w:rsidRPr="00A80548"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Ibid at [120], 74.</w:t>
      </w:r>
    </w:p>
  </w:footnote>
  <w:footnote w:id="46">
    <w:p w14:paraId="026FD47D" w14:textId="77777777" w:rsidR="00483271" w:rsidRPr="00A80548"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[2005] AIRCFB 28 PR954938 at [183].</w:t>
      </w:r>
    </w:p>
  </w:footnote>
  <w:footnote w:id="47">
    <w:p w14:paraId="17378193" w14:textId="77777777" w:rsidR="00483271" w:rsidRPr="00A80548"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Ibid at [372]</w:t>
      </w:r>
    </w:p>
  </w:footnote>
  <w:footnote w:id="48">
    <w:p w14:paraId="4772A6CB" w14:textId="77777777" w:rsidR="00483271" w:rsidRPr="00A80548"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[2024] FWCFB 150 at [90]</w:t>
      </w:r>
    </w:p>
  </w:footnote>
  <w:footnote w:id="49">
    <w:p w14:paraId="147581AE" w14:textId="77777777" w:rsidR="00483271" w:rsidRPr="00A80548" w:rsidRDefault="00483271" w:rsidP="00F30DD9">
      <w:pPr>
        <w:pStyle w:val="FootnoteText"/>
        <w:rPr>
          <w:sz w:val="18"/>
          <w:szCs w:val="18"/>
        </w:rPr>
      </w:pPr>
      <w:r w:rsidRPr="00A80548">
        <w:rPr>
          <w:rStyle w:val="FootnoteReference"/>
          <w:sz w:val="18"/>
          <w:szCs w:val="18"/>
        </w:rPr>
        <w:footnoteRef/>
      </w:r>
      <w:r w:rsidRPr="00A80548">
        <w:rPr>
          <w:sz w:val="18"/>
          <w:szCs w:val="18"/>
        </w:rPr>
        <w:t xml:space="preserve"> Ibid at [92]</w:t>
      </w:r>
    </w:p>
  </w:footnote>
  <w:footnote w:id="50">
    <w:p w14:paraId="6D95AEFF" w14:textId="77777777" w:rsidR="00483271" w:rsidRPr="00A80548" w:rsidRDefault="00483271" w:rsidP="008D33DF">
      <w:pPr>
        <w:pStyle w:val="FootnoteText"/>
        <w:rPr>
          <w:sz w:val="18"/>
          <w:szCs w:val="18"/>
        </w:rPr>
      </w:pPr>
      <w:r w:rsidRPr="00A80548">
        <w:rPr>
          <w:rStyle w:val="FootnoteReference"/>
          <w:sz w:val="18"/>
          <w:szCs w:val="18"/>
        </w:rPr>
        <w:footnoteRef/>
      </w:r>
      <w:r w:rsidRPr="00A80548">
        <w:rPr>
          <w:sz w:val="18"/>
          <w:szCs w:val="18"/>
        </w:rPr>
        <w:t xml:space="preserve"> Ibid at [95]</w:t>
      </w:r>
    </w:p>
  </w:footnote>
  <w:footnote w:id="51">
    <w:p w14:paraId="22676C77" w14:textId="77777777" w:rsidR="00483271" w:rsidRPr="00A80548" w:rsidRDefault="00483271" w:rsidP="008D33DF">
      <w:pPr>
        <w:pStyle w:val="FootnoteText"/>
        <w:rPr>
          <w:sz w:val="18"/>
          <w:szCs w:val="18"/>
        </w:rPr>
      </w:pPr>
      <w:r w:rsidRPr="00A80548">
        <w:rPr>
          <w:rStyle w:val="FootnoteReference"/>
          <w:sz w:val="18"/>
          <w:szCs w:val="18"/>
        </w:rPr>
        <w:footnoteRef/>
      </w:r>
      <w:r w:rsidRPr="00A80548">
        <w:rPr>
          <w:sz w:val="18"/>
          <w:szCs w:val="18"/>
        </w:rPr>
        <w:t xml:space="preserve"> Ibid.</w:t>
      </w:r>
    </w:p>
  </w:footnote>
  <w:footnote w:id="52">
    <w:p w14:paraId="74B8E692" w14:textId="5ED4C1B2" w:rsidR="00483271" w:rsidRPr="007D5715" w:rsidRDefault="00483271" w:rsidP="008D33DF">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13"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at [132] &lt;www.fwc.gov.au&gt;</w:t>
      </w:r>
    </w:p>
  </w:footnote>
  <w:footnote w:id="53">
    <w:p w14:paraId="74726AF8" w14:textId="77777777" w:rsidR="00483271" w:rsidRPr="00A80548" w:rsidRDefault="00483271" w:rsidP="008D33DF">
      <w:pPr>
        <w:pStyle w:val="FootnoteText"/>
        <w:rPr>
          <w:sz w:val="18"/>
          <w:szCs w:val="18"/>
        </w:rPr>
      </w:pPr>
      <w:r w:rsidRPr="00A80548">
        <w:rPr>
          <w:rStyle w:val="FootnoteReference"/>
          <w:sz w:val="18"/>
          <w:szCs w:val="18"/>
        </w:rPr>
        <w:footnoteRef/>
      </w:r>
      <w:r w:rsidRPr="00A80548">
        <w:rPr>
          <w:sz w:val="18"/>
          <w:szCs w:val="18"/>
        </w:rPr>
        <w:t xml:space="preserve"> [2021] FWCFB 2051 at [540].</w:t>
      </w:r>
    </w:p>
  </w:footnote>
  <w:footnote w:id="54">
    <w:p w14:paraId="647E96B7" w14:textId="77777777" w:rsidR="00483271" w:rsidRPr="00A80548" w:rsidRDefault="00483271" w:rsidP="008D33DF">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14"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at [165] &lt;www.fwc.gov.au&gt;.</w:t>
      </w:r>
    </w:p>
  </w:footnote>
  <w:footnote w:id="55">
    <w:p w14:paraId="6B1C70C4" w14:textId="77777777" w:rsidR="00483271" w:rsidRPr="00A80548" w:rsidRDefault="00483271" w:rsidP="00E504ED">
      <w:pPr>
        <w:pStyle w:val="FootnoteText"/>
        <w:rPr>
          <w:sz w:val="18"/>
          <w:szCs w:val="18"/>
        </w:rPr>
      </w:pPr>
      <w:r w:rsidRPr="00A80548">
        <w:rPr>
          <w:rStyle w:val="FootnoteReference"/>
          <w:sz w:val="18"/>
          <w:szCs w:val="18"/>
        </w:rPr>
        <w:footnoteRef/>
      </w:r>
      <w:r w:rsidRPr="00A80548">
        <w:rPr>
          <w:sz w:val="18"/>
          <w:szCs w:val="18"/>
        </w:rPr>
        <w:t xml:space="preserve"> Fair Work Commission</w:t>
      </w:r>
      <w:r w:rsidRPr="00A80548">
        <w:rPr>
          <w:i/>
          <w:iCs/>
          <w:sz w:val="18"/>
          <w:szCs w:val="18"/>
        </w:rPr>
        <w:t xml:space="preserve">, </w:t>
      </w:r>
      <w:hyperlink r:id="rId15" w:history="1">
        <w:r w:rsidRPr="00A80548">
          <w:rPr>
            <w:rStyle w:val="Hyperlink"/>
            <w:i/>
            <w:iCs/>
            <w:sz w:val="18"/>
            <w:szCs w:val="18"/>
          </w:rPr>
          <w:t>Equal Remuneration and Work Value Case</w:t>
        </w:r>
      </w:hyperlink>
      <w:r w:rsidRPr="00A80548">
        <w:rPr>
          <w:sz w:val="18"/>
          <w:szCs w:val="18"/>
        </w:rPr>
        <w:t xml:space="preserve">, Commonwealth of Australia 2022, &lt;www.fwc.gov.au&gt; </w:t>
      </w:r>
    </w:p>
  </w:footnote>
  <w:footnote w:id="56">
    <w:p w14:paraId="0420A481" w14:textId="1776FF57" w:rsidR="00483271" w:rsidRPr="009209EE" w:rsidRDefault="00483271">
      <w:pPr>
        <w:pStyle w:val="FootnoteText"/>
        <w:rPr>
          <w:rStyle w:val="Hyperlink"/>
          <w:sz w:val="18"/>
          <w:szCs w:val="18"/>
        </w:rPr>
      </w:pPr>
      <w:r w:rsidRPr="00A80548">
        <w:rPr>
          <w:rStyle w:val="FootnoteReference"/>
          <w:sz w:val="18"/>
          <w:szCs w:val="18"/>
        </w:rPr>
        <w:footnoteRef/>
      </w:r>
      <w:r w:rsidRPr="00A80548">
        <w:rPr>
          <w:sz w:val="18"/>
          <w:szCs w:val="18"/>
        </w:rPr>
        <w:t xml:space="preserve"> ACECQA, </w:t>
      </w:r>
      <w:r w:rsidRPr="00A80548">
        <w:rPr>
          <w:i/>
          <w:sz w:val="18"/>
          <w:szCs w:val="18"/>
        </w:rPr>
        <w:t>NQF Snapshot Q1 2024</w:t>
      </w:r>
      <w:r w:rsidRPr="00A80548">
        <w:rPr>
          <w:sz w:val="18"/>
          <w:szCs w:val="18"/>
        </w:rPr>
        <w:t xml:space="preserve">, April 2024, </w:t>
      </w:r>
      <w:hyperlink r:id="rId16" w:history="1">
        <w:r w:rsidRPr="00A80548">
          <w:rPr>
            <w:rStyle w:val="Hyperlink"/>
            <w:sz w:val="18"/>
            <w:szCs w:val="18"/>
          </w:rPr>
          <w:t>NQF Snapshot Q4 2023 (acecqa.gov.au)</w:t>
        </w:r>
      </w:hyperlink>
      <w:r w:rsidRPr="00A80548">
        <w:rPr>
          <w:rStyle w:val="Hyperlink"/>
          <w:sz w:val="18"/>
          <w:szCs w:val="18"/>
        </w:rPr>
        <w:t xml:space="preserve"> – NQF Online Snapshot Q1 2024 DRAFT (acecqa.gov.au)</w:t>
      </w:r>
    </w:p>
  </w:footnote>
  <w:footnote w:id="57">
    <w:p w14:paraId="46143418" w14:textId="5E406488" w:rsidR="00483271" w:rsidRPr="00F337AA" w:rsidRDefault="00483271">
      <w:pPr>
        <w:pStyle w:val="FootnoteText"/>
        <w:rPr>
          <w:sz w:val="18"/>
          <w:szCs w:val="18"/>
        </w:rPr>
      </w:pPr>
      <w:r w:rsidRPr="00A80548">
        <w:rPr>
          <w:rStyle w:val="FootnoteReference"/>
          <w:sz w:val="18"/>
          <w:szCs w:val="18"/>
        </w:rPr>
        <w:footnoteRef/>
      </w:r>
      <w:r w:rsidRPr="00A80548">
        <w:rPr>
          <w:sz w:val="18"/>
          <w:szCs w:val="18"/>
        </w:rPr>
        <w:t xml:space="preserve"> State of Victoria (Department of Education), </w:t>
      </w:r>
      <w:hyperlink r:id="rId17" w:history="1">
        <w:r w:rsidRPr="00A80548">
          <w:rPr>
            <w:rStyle w:val="Hyperlink"/>
            <w:i/>
            <w:iCs/>
            <w:sz w:val="18"/>
            <w:szCs w:val="18"/>
          </w:rPr>
          <w:t>Best Start, Best Life Workforce Strategy</w:t>
        </w:r>
      </w:hyperlink>
      <w:r w:rsidRPr="00A80548">
        <w:rPr>
          <w:i/>
          <w:iCs/>
          <w:sz w:val="18"/>
          <w:szCs w:val="18"/>
        </w:rPr>
        <w:t xml:space="preserve">, </w:t>
      </w:r>
      <w:r w:rsidRPr="00A80548">
        <w:rPr>
          <w:sz w:val="18"/>
          <w:szCs w:val="18"/>
        </w:rPr>
        <w:t>2023 &lt;www.vic.gov.au&gt;</w:t>
      </w:r>
    </w:p>
  </w:footnote>
  <w:footnote w:id="58">
    <w:p w14:paraId="769D79FE" w14:textId="0C0B3423" w:rsidR="00CB0799" w:rsidRPr="009209EE" w:rsidRDefault="00CB0799">
      <w:pPr>
        <w:pStyle w:val="FootnoteText"/>
        <w:rPr>
          <w:sz w:val="18"/>
          <w:szCs w:val="18"/>
        </w:rPr>
      </w:pPr>
      <w:r w:rsidRPr="009209EE">
        <w:rPr>
          <w:rStyle w:val="FootnoteReference"/>
          <w:sz w:val="18"/>
          <w:szCs w:val="18"/>
        </w:rPr>
        <w:footnoteRef/>
      </w:r>
      <w:r w:rsidRPr="009209EE">
        <w:rPr>
          <w:sz w:val="18"/>
          <w:szCs w:val="18"/>
        </w:rPr>
        <w:t xml:space="preserve"> </w:t>
      </w:r>
      <w:r w:rsidR="003C43F0" w:rsidRPr="00A80548">
        <w:rPr>
          <w:sz w:val="18"/>
          <w:szCs w:val="18"/>
        </w:rPr>
        <w:t xml:space="preserve">ACECQA, </w:t>
      </w:r>
      <w:r w:rsidR="003C43F0" w:rsidRPr="00A80548">
        <w:rPr>
          <w:i/>
          <w:sz w:val="18"/>
          <w:szCs w:val="18"/>
        </w:rPr>
        <w:t>NQF Snapshot Q1 2024</w:t>
      </w:r>
      <w:r w:rsidR="003C43F0" w:rsidRPr="00A80548">
        <w:rPr>
          <w:sz w:val="18"/>
          <w:szCs w:val="18"/>
        </w:rPr>
        <w:t xml:space="preserve">, April 2024, </w:t>
      </w:r>
      <w:hyperlink r:id="rId18" w:history="1">
        <w:r w:rsidR="003C43F0" w:rsidRPr="00A80548">
          <w:rPr>
            <w:rStyle w:val="Hyperlink"/>
            <w:sz w:val="18"/>
            <w:szCs w:val="18"/>
          </w:rPr>
          <w:t>NQF Snapshot Q4 2023 (acecqa.gov.au)</w:t>
        </w:r>
      </w:hyperlink>
      <w:r w:rsidR="003C43F0" w:rsidRPr="00A80548">
        <w:rPr>
          <w:rStyle w:val="Hyperlink"/>
          <w:sz w:val="18"/>
          <w:szCs w:val="18"/>
        </w:rPr>
        <w:t xml:space="preserve"> – NQF Online Snapshot Q1 2024 DRAFT (acecqa.gov.au)</w:t>
      </w:r>
    </w:p>
  </w:footnote>
  <w:footnote w:id="59">
    <w:p w14:paraId="31FD5C96" w14:textId="72907E88" w:rsidR="00473DCF" w:rsidRPr="009209EE" w:rsidRDefault="00473DCF">
      <w:pPr>
        <w:pStyle w:val="FootnoteText"/>
        <w:rPr>
          <w:sz w:val="18"/>
          <w:szCs w:val="18"/>
        </w:rPr>
      </w:pPr>
      <w:r w:rsidRPr="009209EE">
        <w:rPr>
          <w:rStyle w:val="FootnoteReference"/>
          <w:sz w:val="18"/>
          <w:szCs w:val="18"/>
        </w:rPr>
        <w:footnoteRef/>
      </w:r>
      <w:r w:rsidRPr="009209EE">
        <w:rPr>
          <w:sz w:val="18"/>
          <w:szCs w:val="18"/>
        </w:rPr>
        <w:t xml:space="preserve"> </w:t>
      </w:r>
      <w:r w:rsidR="00551A90" w:rsidRPr="009209EE">
        <w:rPr>
          <w:sz w:val="18"/>
          <w:szCs w:val="18"/>
        </w:rPr>
        <w:t>Goodstart Early Learning, ‘</w:t>
      </w:r>
      <w:r w:rsidR="00563298" w:rsidRPr="009209EE">
        <w:rPr>
          <w:sz w:val="18"/>
          <w:szCs w:val="18"/>
        </w:rPr>
        <w:t xml:space="preserve">Productivity Commission Inquiry into Early Childhood Education and Care </w:t>
      </w:r>
      <w:r w:rsidR="004B6530" w:rsidRPr="009209EE">
        <w:rPr>
          <w:sz w:val="18"/>
          <w:szCs w:val="18"/>
        </w:rPr>
        <w:t>– Goodstart Submission</w:t>
      </w:r>
      <w:r w:rsidR="00F3012A" w:rsidRPr="009209EE">
        <w:rPr>
          <w:sz w:val="18"/>
          <w:szCs w:val="18"/>
        </w:rPr>
        <w:t>’</w:t>
      </w:r>
      <w:r w:rsidR="004B6530" w:rsidRPr="009209EE">
        <w:rPr>
          <w:sz w:val="18"/>
          <w:szCs w:val="18"/>
        </w:rPr>
        <w:t>, May 2023</w:t>
      </w:r>
      <w:r w:rsidR="00AA7DF4" w:rsidRPr="009209EE">
        <w:rPr>
          <w:sz w:val="18"/>
          <w:szCs w:val="18"/>
        </w:rPr>
        <w:t>, 28.</w:t>
      </w:r>
      <w:r w:rsidR="004B6530" w:rsidRPr="009209EE">
        <w:rPr>
          <w:sz w:val="18"/>
          <w:szCs w:val="18"/>
        </w:rPr>
        <w:t xml:space="preserve"> </w:t>
      </w:r>
    </w:p>
  </w:footnote>
  <w:footnote w:id="60">
    <w:p w14:paraId="1EE1CEA0" w14:textId="77777777" w:rsidR="00C333E4" w:rsidRPr="00A80548" w:rsidRDefault="00C333E4" w:rsidP="00C333E4">
      <w:pPr>
        <w:pStyle w:val="FootnoteText"/>
        <w:rPr>
          <w:sz w:val="18"/>
          <w:szCs w:val="18"/>
        </w:rPr>
      </w:pPr>
      <w:r w:rsidRPr="00A80548">
        <w:rPr>
          <w:rStyle w:val="FootnoteReference"/>
          <w:sz w:val="18"/>
          <w:szCs w:val="18"/>
        </w:rPr>
        <w:footnoteRef/>
      </w:r>
      <w:r w:rsidRPr="00A80548">
        <w:rPr>
          <w:sz w:val="18"/>
          <w:szCs w:val="18"/>
        </w:rPr>
        <w:t xml:space="preserve"> The Sector, “</w:t>
      </w:r>
      <w:hyperlink r:id="rId19" w:history="1">
        <w:r w:rsidRPr="00A80548">
          <w:rPr>
            <w:rStyle w:val="Hyperlink"/>
            <w:sz w:val="18"/>
            <w:szCs w:val="18"/>
          </w:rPr>
          <w:t>UWU snap poll of 500 educators says half are ready to walk without action wages</w:t>
        </w:r>
      </w:hyperlink>
      <w:r w:rsidRPr="00A80548">
        <w:rPr>
          <w:sz w:val="18"/>
          <w:szCs w:val="18"/>
        </w:rPr>
        <w:t>”, 26 February 2024, &lt;thesector.com.au&gt;</w:t>
      </w:r>
    </w:p>
  </w:footnote>
  <w:footnote w:id="61">
    <w:p w14:paraId="23BA4562" w14:textId="3B1DDC4C" w:rsidR="00AE7C4F" w:rsidRDefault="00AE7C4F">
      <w:pPr>
        <w:pStyle w:val="FootnoteText"/>
      </w:pPr>
      <w:r w:rsidRPr="009209EE">
        <w:rPr>
          <w:rStyle w:val="FootnoteReference"/>
          <w:sz w:val="18"/>
          <w:szCs w:val="18"/>
        </w:rPr>
        <w:footnoteRef/>
      </w:r>
      <w:r w:rsidRPr="009209EE">
        <w:rPr>
          <w:sz w:val="18"/>
          <w:szCs w:val="18"/>
        </w:rPr>
        <w:t xml:space="preserve"> </w:t>
      </w:r>
      <w:r w:rsidR="00B1046F" w:rsidRPr="00A80548">
        <w:rPr>
          <w:rFonts w:asciiTheme="majorHAnsi" w:hAnsiTheme="majorHAnsi" w:cstheme="majorHAnsi"/>
          <w:sz w:val="18"/>
          <w:szCs w:val="18"/>
        </w:rPr>
        <w:t xml:space="preserve">Australian Competition and Consumer Commission, </w:t>
      </w:r>
      <w:hyperlink r:id="rId20" w:history="1">
        <w:r w:rsidR="00B1046F" w:rsidRPr="00A80548">
          <w:rPr>
            <w:rStyle w:val="Hyperlink"/>
            <w:rFonts w:asciiTheme="majorHAnsi" w:hAnsiTheme="majorHAnsi" w:cstheme="majorHAnsi"/>
            <w:i/>
            <w:iCs/>
            <w:sz w:val="18"/>
            <w:szCs w:val="18"/>
          </w:rPr>
          <w:t>Childcare inquiry – Final report</w:t>
        </w:r>
      </w:hyperlink>
      <w:r w:rsidR="00B1046F" w:rsidRPr="00A80548">
        <w:rPr>
          <w:rFonts w:asciiTheme="majorHAnsi" w:hAnsiTheme="majorHAnsi" w:cstheme="majorHAnsi"/>
          <w:sz w:val="18"/>
          <w:szCs w:val="18"/>
        </w:rPr>
        <w:t>, December 2023, 138 &lt;www.accc.gov.au&gt;.</w:t>
      </w:r>
    </w:p>
  </w:footnote>
  <w:footnote w:id="62">
    <w:p w14:paraId="3BB739E4" w14:textId="163BC1DE" w:rsidR="00861401" w:rsidRPr="009209EE" w:rsidRDefault="00861401">
      <w:pPr>
        <w:pStyle w:val="FootnoteText"/>
        <w:rPr>
          <w:sz w:val="18"/>
          <w:szCs w:val="18"/>
        </w:rPr>
      </w:pPr>
      <w:r w:rsidRPr="009209EE">
        <w:rPr>
          <w:rStyle w:val="FootnoteReference"/>
          <w:sz w:val="18"/>
          <w:szCs w:val="18"/>
        </w:rPr>
        <w:footnoteRef/>
      </w:r>
      <w:r w:rsidRPr="009209EE">
        <w:rPr>
          <w:sz w:val="18"/>
          <w:szCs w:val="18"/>
        </w:rPr>
        <w:t xml:space="preserve"> </w:t>
      </w:r>
      <w:r w:rsidR="005B4436" w:rsidRPr="00A80548">
        <w:rPr>
          <w:sz w:val="18"/>
          <w:szCs w:val="18"/>
        </w:rPr>
        <w:t xml:space="preserve">ACECQA, </w:t>
      </w:r>
      <w:r w:rsidR="005B4436" w:rsidRPr="00A80548">
        <w:rPr>
          <w:i/>
          <w:sz w:val="18"/>
          <w:szCs w:val="18"/>
        </w:rPr>
        <w:t>Indexed fees</w:t>
      </w:r>
      <w:r w:rsidR="005B4436" w:rsidRPr="00A80548">
        <w:rPr>
          <w:sz w:val="18"/>
          <w:szCs w:val="18"/>
        </w:rPr>
        <w:t xml:space="preserve">, </w:t>
      </w:r>
      <w:r w:rsidR="004F5D2F" w:rsidRPr="00A80548">
        <w:rPr>
          <w:sz w:val="18"/>
          <w:szCs w:val="18"/>
        </w:rPr>
        <w:t>July 2023</w:t>
      </w:r>
      <w:r w:rsidR="005B4436" w:rsidRPr="00A80548">
        <w:rPr>
          <w:sz w:val="18"/>
          <w:szCs w:val="18"/>
        </w:rPr>
        <w:t xml:space="preserve">, </w:t>
      </w:r>
      <w:hyperlink r:id="rId21" w:history="1">
        <w:r w:rsidR="00E8509A" w:rsidRPr="00A80548">
          <w:rPr>
            <w:rStyle w:val="Hyperlink"/>
            <w:sz w:val="18"/>
            <w:szCs w:val="18"/>
          </w:rPr>
          <w:t>Indexed fees | ACECQA</w:t>
        </w:r>
      </w:hyperlink>
      <w:r w:rsidR="00AF1EE3" w:rsidRPr="00A80548">
        <w:rPr>
          <w:sz w:val="18"/>
          <w:szCs w:val="18"/>
        </w:rPr>
        <w:t>.</w:t>
      </w:r>
      <w:r w:rsidR="00AF1EE3" w:rsidRPr="009209EE">
        <w:rPr>
          <w:sz w:val="18"/>
          <w:szCs w:val="18"/>
        </w:rPr>
        <w:t xml:space="preserve"> </w:t>
      </w:r>
    </w:p>
  </w:footnote>
  <w:footnote w:id="63">
    <w:p w14:paraId="3D9BA762" w14:textId="501E3D66" w:rsidR="00483271" w:rsidRPr="00F337AA" w:rsidRDefault="00483271">
      <w:pPr>
        <w:pStyle w:val="FootnoteText"/>
        <w:rPr>
          <w:sz w:val="18"/>
          <w:szCs w:val="18"/>
        </w:rPr>
      </w:pPr>
      <w:r w:rsidRPr="00A80548">
        <w:rPr>
          <w:rStyle w:val="FootnoteReference"/>
          <w:sz w:val="18"/>
          <w:szCs w:val="18"/>
        </w:rPr>
        <w:footnoteRef/>
      </w:r>
      <w:r w:rsidRPr="00A80548">
        <w:rPr>
          <w:sz w:val="18"/>
          <w:szCs w:val="18"/>
        </w:rPr>
        <w:t xml:space="preserve"> Australian Government, Treasury, ‘Working Future: The Australian Government’s White Paper on Jobs and Opportunities’, (Canberra, Commonwealth of Australia, 2023), 211.</w:t>
      </w:r>
    </w:p>
  </w:footnote>
  <w:footnote w:id="64">
    <w:p w14:paraId="482F3C63" w14:textId="02E3F3C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Productivity Commission, </w:t>
      </w:r>
      <w:hyperlink r:id="rId22" w:history="1">
        <w:r w:rsidRPr="00A80548">
          <w:rPr>
            <w:rStyle w:val="Hyperlink"/>
            <w:rFonts w:asciiTheme="majorHAnsi" w:hAnsiTheme="majorHAnsi" w:cstheme="majorHAnsi"/>
            <w:i/>
            <w:iCs/>
            <w:sz w:val="18"/>
            <w:szCs w:val="18"/>
          </w:rPr>
          <w:t>A path to universal early education and care: Draft Report</w:t>
        </w:r>
      </w:hyperlink>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November 2023, 34 &lt;www.pc.gov.au&gt;.</w:t>
      </w:r>
    </w:p>
  </w:footnote>
  <w:footnote w:id="65">
    <w:p w14:paraId="4122080D" w14:textId="77777777" w:rsidR="00483271" w:rsidRPr="00A80548" w:rsidRDefault="00483271" w:rsidP="00FC6DA7">
      <w:pPr>
        <w:pStyle w:val="FootnoteText"/>
        <w:rPr>
          <w:sz w:val="18"/>
          <w:szCs w:val="18"/>
        </w:rPr>
      </w:pPr>
      <w:r w:rsidRPr="00A80548">
        <w:rPr>
          <w:rStyle w:val="FootnoteReference"/>
          <w:sz w:val="18"/>
          <w:szCs w:val="18"/>
        </w:rPr>
        <w:footnoteRef/>
      </w:r>
      <w:r w:rsidRPr="00A80548">
        <w:rPr>
          <w:sz w:val="18"/>
          <w:szCs w:val="18"/>
        </w:rPr>
        <w:t xml:space="preserve"> Ibid, 35.</w:t>
      </w:r>
    </w:p>
  </w:footnote>
  <w:footnote w:id="66">
    <w:p w14:paraId="7C1F65E8" w14:textId="155361D1"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3"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14 &lt;www.accc.gov.au&gt;</w:t>
      </w:r>
    </w:p>
  </w:footnote>
  <w:footnote w:id="67">
    <w:p w14:paraId="5D980835" w14:textId="31C71EEA"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4"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58 &lt;www.accc.gov.au&gt;</w:t>
      </w:r>
    </w:p>
  </w:footnote>
  <w:footnote w:id="68">
    <w:p w14:paraId="312D9A36" w14:textId="7FA6D83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Productivity Commission, </w:t>
      </w:r>
      <w:hyperlink r:id="rId25" w:history="1">
        <w:r w:rsidRPr="00A80548">
          <w:rPr>
            <w:rStyle w:val="Hyperlink"/>
            <w:rFonts w:asciiTheme="majorHAnsi" w:hAnsiTheme="majorHAnsi" w:cstheme="majorHAnsi"/>
            <w:i/>
            <w:iCs/>
            <w:sz w:val="18"/>
            <w:szCs w:val="18"/>
          </w:rPr>
          <w:t>A path to universal early education and care: Draft Report</w:t>
        </w:r>
      </w:hyperlink>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November 2023, 292 &lt;www.pc.gov.au&gt;.</w:t>
      </w:r>
    </w:p>
  </w:footnote>
  <w:footnote w:id="69">
    <w:p w14:paraId="2B2C5872" w14:textId="3872921A"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6"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209 &lt;www.accc.gov.au&gt;.</w:t>
      </w:r>
    </w:p>
  </w:footnote>
  <w:footnote w:id="70">
    <w:p w14:paraId="2447A37F" w14:textId="5C9D6441"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7"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111 &lt;www.accc.gov.au&gt;.</w:t>
      </w:r>
    </w:p>
  </w:footnote>
  <w:footnote w:id="71">
    <w:p w14:paraId="069C5664" w14:textId="2638B25C" w:rsidR="00483271" w:rsidRPr="00A80548" w:rsidRDefault="00483271" w:rsidP="00A43CF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8"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50 &lt;www.accc.gov.au&gt;</w:t>
      </w:r>
    </w:p>
  </w:footnote>
  <w:footnote w:id="72">
    <w:p w14:paraId="381BF65F" w14:textId="15507930"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29"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 &lt;www.accc.gov.au&gt;.</w:t>
      </w:r>
    </w:p>
  </w:footnote>
  <w:footnote w:id="73">
    <w:p w14:paraId="397967AA" w14:textId="7F7FC20D" w:rsidR="00483271" w:rsidRPr="00F337AA" w:rsidRDefault="00483271" w:rsidP="00E4738D">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30"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44 &lt;www.accc.gov.au&gt;</w:t>
      </w:r>
      <w:r w:rsidR="00A80548">
        <w:rPr>
          <w:rFonts w:asciiTheme="majorHAnsi" w:hAnsiTheme="majorHAnsi" w:cstheme="majorHAnsi"/>
          <w:sz w:val="18"/>
          <w:szCs w:val="18"/>
        </w:rPr>
        <w:t>.</w:t>
      </w:r>
    </w:p>
  </w:footnote>
  <w:footnote w:id="74">
    <w:p w14:paraId="22CA75EC" w14:textId="3C197ADB" w:rsidR="00483271" w:rsidRPr="009209EE" w:rsidRDefault="00483271">
      <w:pPr>
        <w:pStyle w:val="FootnoteText"/>
        <w:rPr>
          <w:sz w:val="18"/>
          <w:szCs w:val="18"/>
        </w:rPr>
      </w:pPr>
      <w:r>
        <w:rPr>
          <w:rStyle w:val="FootnoteReference"/>
        </w:rPr>
        <w:footnoteRef/>
      </w:r>
      <w:r>
        <w:t xml:space="preserve"> </w:t>
      </w:r>
      <w:r w:rsidRPr="002359BA">
        <w:rPr>
          <w:rFonts w:asciiTheme="majorHAnsi" w:hAnsiTheme="majorHAnsi" w:cstheme="majorHAnsi"/>
          <w:sz w:val="18"/>
          <w:szCs w:val="18"/>
        </w:rPr>
        <w:t xml:space="preserve">Australian Competition and Consumer Commission, </w:t>
      </w:r>
      <w:hyperlink r:id="rId31" w:history="1">
        <w:r w:rsidRPr="002359BA">
          <w:rPr>
            <w:rStyle w:val="Hyperlink"/>
            <w:rFonts w:asciiTheme="majorHAnsi" w:hAnsiTheme="majorHAnsi" w:cstheme="majorHAnsi"/>
            <w:i/>
            <w:iCs/>
            <w:sz w:val="18"/>
            <w:szCs w:val="18"/>
          </w:rPr>
          <w:t>Childcare inquiry – Final report</w:t>
        </w:r>
      </w:hyperlink>
      <w:r w:rsidRPr="002359BA">
        <w:rPr>
          <w:rFonts w:asciiTheme="majorHAnsi" w:hAnsiTheme="majorHAnsi" w:cstheme="majorHAnsi"/>
          <w:sz w:val="18"/>
          <w:szCs w:val="18"/>
        </w:rPr>
        <w:t>, December 2023, 36  &lt;www.accc.gov.au&gt;.</w:t>
      </w:r>
    </w:p>
  </w:footnote>
  <w:footnote w:id="75">
    <w:p w14:paraId="680C6DF9" w14:textId="19469D57" w:rsidR="00483271" w:rsidRPr="002359BA" w:rsidDel="00D82534" w:rsidRDefault="00483271">
      <w:pPr>
        <w:pStyle w:val="FootnoteText"/>
        <w:rPr>
          <w:sz w:val="18"/>
          <w:szCs w:val="18"/>
        </w:rPr>
      </w:pPr>
      <w:r w:rsidRPr="002359BA">
        <w:rPr>
          <w:rStyle w:val="FootnoteReference"/>
          <w:sz w:val="18"/>
          <w:szCs w:val="18"/>
        </w:rPr>
        <w:footnoteRef/>
      </w:r>
      <w:r w:rsidRPr="009209EE">
        <w:rPr>
          <w:rStyle w:val="FootnoteReference"/>
          <w:sz w:val="18"/>
          <w:szCs w:val="18"/>
        </w:rPr>
        <w:t xml:space="preserve"> </w:t>
      </w:r>
      <w:r w:rsidRPr="002359BA">
        <w:rPr>
          <w:sz w:val="18"/>
          <w:szCs w:val="18"/>
        </w:rPr>
        <w:t>Productivity Commission, A Path to Universal Early Childhood Education and Care: Draft Report, November 2023.</w:t>
      </w:r>
    </w:p>
  </w:footnote>
  <w:footnote w:id="76">
    <w:p w14:paraId="3F4B9D1D" w14:textId="77205128" w:rsidR="00483271" w:rsidRPr="00F337AA" w:rsidRDefault="00483271">
      <w:pPr>
        <w:pStyle w:val="FootnoteText"/>
        <w:rPr>
          <w:sz w:val="18"/>
          <w:szCs w:val="18"/>
        </w:rPr>
      </w:pPr>
      <w:r w:rsidRPr="002359BA">
        <w:rPr>
          <w:rStyle w:val="FootnoteReference"/>
          <w:sz w:val="18"/>
          <w:szCs w:val="18"/>
        </w:rPr>
        <w:footnoteRef/>
      </w:r>
      <w:r w:rsidRPr="002359BA">
        <w:rPr>
          <w:sz w:val="18"/>
          <w:szCs w:val="18"/>
        </w:rPr>
        <w:t xml:space="preserve"> ABS Consumer Price Index, Australia (December 2023), Table 11. CPI: Group, Sub-group and Expenditure Class, Percentage change from previous quarter by Capital City, accessed 29 February 2024.</w:t>
      </w:r>
    </w:p>
  </w:footnote>
  <w:footnote w:id="77">
    <w:p w14:paraId="153D32DE" w14:textId="165FF814" w:rsidR="00483271" w:rsidRPr="00A80548" w:rsidRDefault="00483271">
      <w:pPr>
        <w:pStyle w:val="FootnoteText"/>
        <w:rPr>
          <w:sz w:val="18"/>
          <w:szCs w:val="18"/>
        </w:rPr>
      </w:pPr>
      <w:r w:rsidRPr="00F337AA">
        <w:rPr>
          <w:rStyle w:val="FootnoteReference"/>
          <w:sz w:val="18"/>
          <w:szCs w:val="18"/>
        </w:rPr>
        <w:footnoteRef/>
      </w:r>
      <w:r w:rsidRPr="00F337AA">
        <w:rPr>
          <w:sz w:val="18"/>
          <w:szCs w:val="18"/>
        </w:rPr>
        <w:t xml:space="preserve"> </w:t>
      </w:r>
      <w:r w:rsidRPr="00A80548">
        <w:rPr>
          <w:sz w:val="18"/>
          <w:szCs w:val="18"/>
        </w:rPr>
        <w:t>ABS Consumer Price Index, Australia (December 2023), Table 10. CPI: Group, Sub-group and Expenditure Class, Percentage change from corresponding quarter of previous year by Capital City, accessed 29 February 2024.</w:t>
      </w:r>
    </w:p>
  </w:footnote>
  <w:footnote w:id="78">
    <w:p w14:paraId="22A29689" w14:textId="3E1D53F5"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See, eg, </w:t>
      </w:r>
      <w:r w:rsidRPr="00A80548">
        <w:rPr>
          <w:i/>
          <w:iCs/>
          <w:sz w:val="18"/>
          <w:szCs w:val="18"/>
        </w:rPr>
        <w:t xml:space="preserve">Shaping our Future: National Children’s Education and Care Workforce Strategy (2022-2031); </w:t>
      </w:r>
      <w:hyperlink r:id="rId32" w:history="1">
        <w:r w:rsidRPr="00A80548">
          <w:rPr>
            <w:rStyle w:val="Hyperlink"/>
            <w:sz w:val="18"/>
            <w:szCs w:val="18"/>
          </w:rPr>
          <w:t>Fee-Free TAFE Skills Agreement</w:t>
        </w:r>
      </w:hyperlink>
      <w:r w:rsidRPr="00A80548">
        <w:rPr>
          <w:sz w:val="18"/>
          <w:szCs w:val="18"/>
        </w:rPr>
        <w:t xml:space="preserve"> &lt;www.dewr.gov.au&gt;; </w:t>
      </w:r>
      <w:hyperlink r:id="rId33" w:history="1">
        <w:r w:rsidRPr="00A80548">
          <w:rPr>
            <w:rStyle w:val="Hyperlink"/>
            <w:sz w:val="18"/>
            <w:szCs w:val="18"/>
          </w:rPr>
          <w:t>ECEC Professional development opportunities</w:t>
        </w:r>
      </w:hyperlink>
      <w:r w:rsidRPr="00A80548">
        <w:rPr>
          <w:sz w:val="18"/>
          <w:szCs w:val="18"/>
        </w:rPr>
        <w:t xml:space="preserve"> &lt;www.education.gov.au&gt;</w:t>
      </w:r>
      <w:r w:rsidR="00A06F2E">
        <w:rPr>
          <w:sz w:val="18"/>
          <w:szCs w:val="18"/>
        </w:rPr>
        <w:t>.</w:t>
      </w:r>
      <w:r w:rsidRPr="00A80548">
        <w:rPr>
          <w:sz w:val="18"/>
          <w:szCs w:val="18"/>
        </w:rPr>
        <w:t xml:space="preserve"> </w:t>
      </w:r>
    </w:p>
  </w:footnote>
  <w:footnote w:id="79">
    <w:p w14:paraId="0431902B" w14:textId="6BBB0D3D" w:rsidR="00483271" w:rsidRPr="00A80548" w:rsidRDefault="00483271" w:rsidP="00DA5779">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34"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1 &lt;www.accc.gov.au&gt;.</w:t>
      </w:r>
    </w:p>
  </w:footnote>
  <w:footnote w:id="80">
    <w:p w14:paraId="7C7484D4" w14:textId="46FACD7E" w:rsidR="00483271" w:rsidRPr="00A80548" w:rsidRDefault="00483271" w:rsidP="00DA5779">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35"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17 &lt;www.accc.gov.au&gt;</w:t>
      </w:r>
      <w:r w:rsidR="00A06F2E">
        <w:rPr>
          <w:rFonts w:asciiTheme="majorHAnsi" w:hAnsiTheme="majorHAnsi" w:cstheme="majorHAnsi"/>
          <w:sz w:val="18"/>
          <w:szCs w:val="18"/>
        </w:rPr>
        <w:t>.</w:t>
      </w:r>
    </w:p>
  </w:footnote>
  <w:footnote w:id="81">
    <w:p w14:paraId="5D9CC0C0" w14:textId="206F2EC7" w:rsidR="002B719F" w:rsidRDefault="002B719F">
      <w:pPr>
        <w:pStyle w:val="FootnoteText"/>
      </w:pPr>
      <w:r w:rsidRPr="009209EE">
        <w:rPr>
          <w:rStyle w:val="FootnoteReference"/>
          <w:sz w:val="18"/>
          <w:szCs w:val="18"/>
        </w:rPr>
        <w:footnoteRef/>
      </w:r>
      <w:r w:rsidRPr="009209EE">
        <w:rPr>
          <w:sz w:val="18"/>
          <w:szCs w:val="18"/>
        </w:rPr>
        <w:t xml:space="preserve"> </w:t>
      </w:r>
      <w:r w:rsidR="003E5B87" w:rsidRPr="009209EE">
        <w:rPr>
          <w:sz w:val="18"/>
          <w:szCs w:val="18"/>
        </w:rPr>
        <w:t xml:space="preserve">Fair Work Commission, </w:t>
      </w:r>
      <w:r w:rsidR="00D61360" w:rsidRPr="009209EE">
        <w:rPr>
          <w:sz w:val="18"/>
          <w:szCs w:val="18"/>
        </w:rPr>
        <w:t>Gender undervaluation</w:t>
      </w:r>
      <w:r w:rsidR="00783CC9" w:rsidRPr="009209EE">
        <w:rPr>
          <w:sz w:val="18"/>
          <w:szCs w:val="18"/>
        </w:rPr>
        <w:t xml:space="preserve"> – Expert Panel to review 5 priority awards</w:t>
      </w:r>
      <w:r w:rsidR="00F507BE" w:rsidRPr="009209EE">
        <w:rPr>
          <w:sz w:val="18"/>
          <w:szCs w:val="18"/>
        </w:rPr>
        <w:t xml:space="preserve">, </w:t>
      </w:r>
      <w:r w:rsidR="007767F4" w:rsidRPr="009209EE">
        <w:rPr>
          <w:sz w:val="18"/>
          <w:szCs w:val="18"/>
        </w:rPr>
        <w:t xml:space="preserve">7 June 2024 </w:t>
      </w:r>
      <w:r w:rsidR="003D177A" w:rsidRPr="009209EE">
        <w:rPr>
          <w:sz w:val="18"/>
          <w:szCs w:val="18"/>
        </w:rPr>
        <w:t xml:space="preserve"> </w:t>
      </w:r>
      <w:r w:rsidR="001473A0" w:rsidRPr="009209EE">
        <w:rPr>
          <w:sz w:val="18"/>
          <w:szCs w:val="18"/>
        </w:rPr>
        <w:t>&lt;</w:t>
      </w:r>
      <w:hyperlink r:id="rId36" w:history="1">
        <w:r w:rsidR="003D177A" w:rsidRPr="009209EE">
          <w:rPr>
            <w:rStyle w:val="Hyperlink"/>
            <w:sz w:val="18"/>
            <w:szCs w:val="18"/>
          </w:rPr>
          <w:t>Gender undervaluation – Expert Panel to review 5 priority awards | Fair Work Commission (fwc.gov.au)</w:t>
        </w:r>
      </w:hyperlink>
      <w:r w:rsidR="001473A0" w:rsidRPr="009209EE">
        <w:rPr>
          <w:sz w:val="18"/>
          <w:szCs w:val="18"/>
        </w:rPr>
        <w:t>&gt;</w:t>
      </w:r>
      <w:r w:rsidR="00A06F2E">
        <w:rPr>
          <w:sz w:val="18"/>
          <w:szCs w:val="18"/>
        </w:rPr>
        <w:t>.</w:t>
      </w:r>
    </w:p>
  </w:footnote>
  <w:footnote w:id="82">
    <w:p w14:paraId="7D124684" w14:textId="7A116A6E"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37"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 &lt;www.accc.gov.au&gt;.</w:t>
      </w:r>
    </w:p>
  </w:footnote>
  <w:footnote w:id="83">
    <w:p w14:paraId="2785985E" w14:textId="77777777"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See, eg, Black, E. (2024) ‘Childcare workers desert industry for higher wages in aged care’, Australian Financial Review, 19 April. Available at: </w:t>
      </w:r>
      <w:hyperlink r:id="rId38" w:anchor=":~:text=The%20country%27s%20largest%20childcare%20operator,risk%20its%20early%20childhood%20agenda" w:history="1">
        <w:r w:rsidRPr="00A80548">
          <w:rPr>
            <w:rStyle w:val="Hyperlink"/>
            <w:sz w:val="18"/>
            <w:szCs w:val="18"/>
          </w:rPr>
          <w:t>&lt;www.afr.com&gt;</w:t>
        </w:r>
      </w:hyperlink>
    </w:p>
  </w:footnote>
  <w:footnote w:id="84">
    <w:p w14:paraId="40A70EE2" w14:textId="617807AB" w:rsidR="00483271" w:rsidRPr="007D5715" w:rsidRDefault="00483271">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39" w:history="1">
        <w:r w:rsidRPr="00A80548">
          <w:rPr>
            <w:rStyle w:val="Hyperlink"/>
            <w:i/>
            <w:iCs/>
            <w:sz w:val="18"/>
            <w:szCs w:val="18"/>
          </w:rPr>
          <w:t>Stage 2 report: Gender pay equity research</w:t>
        </w:r>
      </w:hyperlink>
      <w:r w:rsidRPr="00A80548">
        <w:rPr>
          <w:i/>
          <w:iCs/>
          <w:sz w:val="18"/>
          <w:szCs w:val="18"/>
        </w:rPr>
        <w:t xml:space="preserve">, </w:t>
      </w:r>
      <w:r w:rsidRPr="00A80548">
        <w:rPr>
          <w:sz w:val="18"/>
          <w:szCs w:val="18"/>
        </w:rPr>
        <w:t>4 April 2024, 17 &lt;www.fwc.gov.au&gt;.</w:t>
      </w:r>
    </w:p>
  </w:footnote>
  <w:footnote w:id="85">
    <w:p w14:paraId="4B33248A" w14:textId="29315D92"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Productivity Commission, </w:t>
      </w:r>
      <w:r w:rsidRPr="00A80548">
        <w:rPr>
          <w:i/>
          <w:sz w:val="18"/>
          <w:szCs w:val="18"/>
        </w:rPr>
        <w:t>Supplementary Paper 4: ECEC and labour force participation</w:t>
      </w:r>
      <w:r w:rsidRPr="00A80548">
        <w:rPr>
          <w:sz w:val="18"/>
          <w:szCs w:val="18"/>
        </w:rPr>
        <w:t>, Commonwealth of Australia 2024, 263-264</w:t>
      </w:r>
      <w:r w:rsidR="001534F3">
        <w:rPr>
          <w:sz w:val="18"/>
          <w:szCs w:val="18"/>
        </w:rPr>
        <w:t>.</w:t>
      </w:r>
    </w:p>
  </w:footnote>
  <w:footnote w:id="86">
    <w:p w14:paraId="040DAC89" w14:textId="2A691F33"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The Sector, “</w:t>
      </w:r>
      <w:hyperlink r:id="rId40" w:history="1">
        <w:r w:rsidRPr="00A80548">
          <w:rPr>
            <w:rStyle w:val="Hyperlink"/>
            <w:sz w:val="18"/>
            <w:szCs w:val="18"/>
          </w:rPr>
          <w:t>UWU snap poll of 500 educators says half are ready to walk without action wages</w:t>
        </w:r>
      </w:hyperlink>
      <w:r w:rsidRPr="00A80548">
        <w:rPr>
          <w:sz w:val="18"/>
          <w:szCs w:val="18"/>
        </w:rPr>
        <w:t>”, 26 February 2024, &lt;thesector.com.au&gt;</w:t>
      </w:r>
      <w:r w:rsidR="001534F3">
        <w:rPr>
          <w:sz w:val="18"/>
          <w:szCs w:val="18"/>
        </w:rPr>
        <w:t>.</w:t>
      </w:r>
    </w:p>
  </w:footnote>
  <w:footnote w:id="87">
    <w:p w14:paraId="1BA0B48D" w14:textId="2D06D5A9"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The Centre for Spatial Economics (prepared for the Child Care Human Resources Sector Council), “Literature Review of ECEC Labour Market,” Ottawa 2009, citing Blau, D. “The Child Care Problem: An Economic Analysis”, New York: Russell Sage Foundation 2001</w:t>
      </w:r>
      <w:r w:rsidR="001534F3">
        <w:rPr>
          <w:sz w:val="18"/>
          <w:szCs w:val="18"/>
        </w:rPr>
        <w:t>.</w:t>
      </w:r>
    </w:p>
  </w:footnote>
  <w:footnote w:id="88">
    <w:p w14:paraId="7F3B4236" w14:textId="5D2C4F69"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Moon J and Burbank J, “The Early Childhood Education Career and Wage Ladder: a Model for Improving Quality in Early Learning and Care Programs”, Economic Opportunity Institute Seattle 2004 citing 2002 data provided by Washington State Department of Social and Health Services, Division of Child Care and Early Learning</w:t>
      </w:r>
      <w:r w:rsidR="001534F3">
        <w:rPr>
          <w:sz w:val="18"/>
          <w:szCs w:val="18"/>
        </w:rPr>
        <w:t>.</w:t>
      </w:r>
    </w:p>
  </w:footnote>
  <w:footnote w:id="89">
    <w:p w14:paraId="1F680C47" w14:textId="79F5B0C2"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[2024] FWCFB 150</w:t>
      </w:r>
      <w:r w:rsidR="001534F3">
        <w:rPr>
          <w:sz w:val="18"/>
          <w:szCs w:val="18"/>
        </w:rPr>
        <w:t>.</w:t>
      </w:r>
    </w:p>
  </w:footnote>
  <w:footnote w:id="90">
    <w:p w14:paraId="75ABC09A" w14:textId="60502749" w:rsidR="00483271" w:rsidRPr="007D5715"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[2023] FWCFB 40</w:t>
      </w:r>
      <w:r w:rsidR="001534F3">
        <w:rPr>
          <w:sz w:val="18"/>
          <w:szCs w:val="18"/>
        </w:rPr>
        <w:t>.</w:t>
      </w:r>
    </w:p>
  </w:footnote>
  <w:footnote w:id="91">
    <w:p w14:paraId="5908D8B8" w14:textId="77777777"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See, eg, </w:t>
      </w:r>
      <w:r w:rsidRPr="00A80548">
        <w:rPr>
          <w:rStyle w:val="normaltextrun"/>
          <w:rFonts w:cs="Calibri Light"/>
          <w:color w:val="000000"/>
          <w:sz w:val="18"/>
          <w:szCs w:val="18"/>
          <w:shd w:val="clear" w:color="auto" w:fill="FFFFFF"/>
        </w:rPr>
        <w:t>Commonwealth of Australia, Submission in reply – Stage 3 to Fair Work Commission, </w:t>
      </w:r>
      <w:r w:rsidRPr="00A80548">
        <w:rPr>
          <w:rStyle w:val="normaltextrun"/>
          <w:rFonts w:cs="Calibri Light"/>
          <w:i/>
          <w:iCs/>
          <w:color w:val="000000"/>
          <w:sz w:val="18"/>
          <w:szCs w:val="18"/>
          <w:shd w:val="clear" w:color="auto" w:fill="FFFFFF"/>
        </w:rPr>
        <w:t>Work Value Case – Aged Care industry </w:t>
      </w:r>
      <w:r w:rsidRPr="00A80548">
        <w:rPr>
          <w:rStyle w:val="normaltextrun"/>
          <w:rFonts w:cs="Calibri Light"/>
          <w:color w:val="000000"/>
          <w:sz w:val="18"/>
          <w:szCs w:val="18"/>
          <w:shd w:val="clear" w:color="auto" w:fill="FFFFFF"/>
        </w:rPr>
        <w:t>(31 October 2023) 2 – 4.</w:t>
      </w:r>
    </w:p>
  </w:footnote>
  <w:footnote w:id="92">
    <w:p w14:paraId="436EDF96" w14:textId="77777777" w:rsidR="00483271" w:rsidRPr="00A80548" w:rsidRDefault="00483271" w:rsidP="00133E82">
      <w:pPr>
        <w:pStyle w:val="FootnoteText"/>
        <w:rPr>
          <w:sz w:val="18"/>
          <w:szCs w:val="18"/>
        </w:rPr>
      </w:pPr>
      <w:r w:rsidRPr="00A80548">
        <w:rPr>
          <w:rStyle w:val="FootnoteReference"/>
          <w:sz w:val="18"/>
          <w:szCs w:val="18"/>
        </w:rPr>
        <w:footnoteRef/>
      </w:r>
      <w:r w:rsidRPr="00A80548">
        <w:rPr>
          <w:sz w:val="18"/>
          <w:szCs w:val="18"/>
        </w:rPr>
        <w:t xml:space="preserve"> </w:t>
      </w:r>
      <w:r w:rsidRPr="00A80548">
        <w:rPr>
          <w:rStyle w:val="normaltextrun"/>
          <w:rFonts w:cs="Calibri Light"/>
          <w:color w:val="000000"/>
          <w:sz w:val="18"/>
          <w:szCs w:val="18"/>
          <w:shd w:val="clear" w:color="auto" w:fill="FFFFFF"/>
        </w:rPr>
        <w:t>Commonwealth of Australia, Submission in reply – Stage 3 to Fair Work Commission, </w:t>
      </w:r>
      <w:r w:rsidRPr="00A80548">
        <w:rPr>
          <w:rStyle w:val="normaltextrun"/>
          <w:rFonts w:cs="Calibri Light"/>
          <w:i/>
          <w:iCs/>
          <w:color w:val="000000"/>
          <w:sz w:val="18"/>
          <w:szCs w:val="18"/>
          <w:shd w:val="clear" w:color="auto" w:fill="FFFFFF"/>
        </w:rPr>
        <w:t>Work Value Case – Aged Care industry </w:t>
      </w:r>
      <w:r w:rsidRPr="00A80548">
        <w:rPr>
          <w:rStyle w:val="normaltextrun"/>
          <w:rFonts w:cs="Calibri Light"/>
          <w:color w:val="000000"/>
          <w:sz w:val="18"/>
          <w:szCs w:val="18"/>
          <w:shd w:val="clear" w:color="auto" w:fill="FFFFFF"/>
        </w:rPr>
        <w:t>(31 October 2023) 4.</w:t>
      </w:r>
    </w:p>
  </w:footnote>
  <w:footnote w:id="93">
    <w:p w14:paraId="75DFB38E" w14:textId="633BC76E"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Australian Competition and Consumer Commission, </w:t>
      </w:r>
      <w:hyperlink r:id="rId41"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44 &lt;www.accc.gov.au&gt;.</w:t>
      </w:r>
    </w:p>
  </w:footnote>
  <w:footnote w:id="94">
    <w:p w14:paraId="362D6E71" w14:textId="2A849C13"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Australian Bureau of Statistics, </w:t>
      </w:r>
      <w:hyperlink r:id="rId42" w:history="1">
        <w:r w:rsidRPr="00A80548">
          <w:rPr>
            <w:rStyle w:val="Hyperlink"/>
            <w:i/>
            <w:iCs/>
            <w:sz w:val="18"/>
            <w:szCs w:val="18"/>
          </w:rPr>
          <w:t>Consumer Price Index, Australia, March Quarter 2024</w:t>
        </w:r>
      </w:hyperlink>
      <w:r w:rsidRPr="00A80548">
        <w:rPr>
          <w:i/>
          <w:iCs/>
          <w:sz w:val="18"/>
          <w:szCs w:val="18"/>
        </w:rPr>
        <w:t xml:space="preserve">, </w:t>
      </w:r>
      <w:r w:rsidRPr="00A80548">
        <w:rPr>
          <w:sz w:val="18"/>
          <w:szCs w:val="18"/>
        </w:rPr>
        <w:t xml:space="preserve">March 2024, </w:t>
      </w:r>
      <w:hyperlink r:id="rId43" w:history="1">
        <w:r w:rsidR="001534F3" w:rsidRPr="008A49A2">
          <w:rPr>
            <w:rStyle w:val="Hyperlink"/>
            <w:sz w:val="18"/>
            <w:szCs w:val="18"/>
          </w:rPr>
          <w:t>www.abs.gov.au</w:t>
        </w:r>
      </w:hyperlink>
      <w:r w:rsidR="001534F3">
        <w:rPr>
          <w:sz w:val="18"/>
          <w:szCs w:val="18"/>
        </w:rPr>
        <w:t>.</w:t>
      </w:r>
    </w:p>
  </w:footnote>
  <w:footnote w:id="95">
    <w:p w14:paraId="6A7EEC40" w14:textId="1A5531B8"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Australian Competition and Consumer Commission, </w:t>
      </w:r>
      <w:hyperlink r:id="rId44"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36 &lt;www.accc.gov.au&gt;.</w:t>
      </w:r>
    </w:p>
  </w:footnote>
  <w:footnote w:id="96">
    <w:p w14:paraId="51495CA3" w14:textId="47991F30" w:rsidR="00483271" w:rsidRDefault="00483271">
      <w:pPr>
        <w:pStyle w:val="FootnoteText"/>
      </w:pPr>
      <w:r w:rsidRPr="009209EE">
        <w:rPr>
          <w:rStyle w:val="FootnoteReference"/>
          <w:sz w:val="18"/>
          <w:szCs w:val="18"/>
        </w:rPr>
        <w:footnoteRef/>
      </w:r>
      <w:r w:rsidRPr="009209EE">
        <w:rPr>
          <w:sz w:val="18"/>
          <w:szCs w:val="18"/>
        </w:rPr>
        <w:t xml:space="preserve"> </w:t>
      </w:r>
      <w:r w:rsidRPr="00A80548">
        <w:rPr>
          <w:sz w:val="18"/>
          <w:szCs w:val="18"/>
        </w:rPr>
        <w:t>Ibid, 212</w:t>
      </w:r>
      <w:r w:rsidR="001534F3">
        <w:rPr>
          <w:sz w:val="18"/>
          <w:szCs w:val="18"/>
        </w:rPr>
        <w:t>.</w:t>
      </w:r>
    </w:p>
  </w:footnote>
  <w:footnote w:id="97">
    <w:p w14:paraId="78C0961B" w14:textId="7705F77B" w:rsidR="00483271" w:rsidRPr="00F337AA" w:rsidRDefault="00483271">
      <w:pPr>
        <w:pStyle w:val="FootnoteText"/>
        <w:rPr>
          <w:sz w:val="18"/>
          <w:szCs w:val="18"/>
        </w:rPr>
      </w:pPr>
      <w:r w:rsidRPr="00F337AA">
        <w:rPr>
          <w:rStyle w:val="FootnoteReference"/>
          <w:sz w:val="18"/>
          <w:szCs w:val="18"/>
        </w:rPr>
        <w:footnoteRef/>
      </w:r>
      <w:r w:rsidRPr="00F337AA">
        <w:rPr>
          <w:sz w:val="18"/>
          <w:szCs w:val="18"/>
        </w:rPr>
        <w:t xml:space="preserve"> </w:t>
      </w:r>
      <w:r w:rsidRPr="007D5715">
        <w:rPr>
          <w:rFonts w:asciiTheme="majorHAnsi" w:hAnsiTheme="majorHAnsi" w:cstheme="majorHAnsi"/>
          <w:sz w:val="18"/>
          <w:szCs w:val="18"/>
        </w:rPr>
        <w:t xml:space="preserve">Australian Competition and Consumer Commission, </w:t>
      </w:r>
      <w:hyperlink r:id="rId45" w:history="1">
        <w:r w:rsidRPr="007D5715">
          <w:rPr>
            <w:rStyle w:val="Hyperlink"/>
            <w:rFonts w:asciiTheme="majorHAnsi" w:hAnsiTheme="majorHAnsi" w:cstheme="majorHAnsi"/>
            <w:i/>
            <w:iCs/>
            <w:sz w:val="18"/>
            <w:szCs w:val="18"/>
          </w:rPr>
          <w:t>Childcare inquiry September interim report</w:t>
        </w:r>
      </w:hyperlink>
      <w:r w:rsidRPr="007D5715">
        <w:rPr>
          <w:rFonts w:asciiTheme="majorHAnsi" w:hAnsiTheme="majorHAnsi" w:cstheme="majorHAnsi"/>
          <w:sz w:val="18"/>
          <w:szCs w:val="18"/>
        </w:rPr>
        <w:t>,</w:t>
      </w:r>
      <w:r w:rsidRPr="007D5715">
        <w:rPr>
          <w:rFonts w:asciiTheme="majorHAnsi" w:hAnsiTheme="majorHAnsi" w:cstheme="majorHAnsi"/>
          <w:i/>
          <w:iCs/>
          <w:sz w:val="18"/>
          <w:szCs w:val="18"/>
        </w:rPr>
        <w:t xml:space="preserve"> </w:t>
      </w:r>
      <w:r w:rsidRPr="007D5715">
        <w:rPr>
          <w:rFonts w:asciiTheme="majorHAnsi" w:hAnsiTheme="majorHAnsi" w:cstheme="majorHAnsi"/>
          <w:sz w:val="18"/>
          <w:szCs w:val="18"/>
        </w:rPr>
        <w:t>September 2023,</w:t>
      </w:r>
      <w:r w:rsidRPr="007D5715">
        <w:rPr>
          <w:rFonts w:asciiTheme="majorHAnsi" w:hAnsiTheme="majorHAnsi" w:cstheme="majorHAnsi"/>
          <w:i/>
          <w:iCs/>
          <w:sz w:val="18"/>
          <w:szCs w:val="18"/>
        </w:rPr>
        <w:t xml:space="preserve"> </w:t>
      </w:r>
      <w:r w:rsidRPr="007D5715">
        <w:rPr>
          <w:rFonts w:asciiTheme="majorHAnsi" w:hAnsiTheme="majorHAnsi" w:cstheme="majorHAnsi"/>
          <w:sz w:val="18"/>
          <w:szCs w:val="18"/>
        </w:rPr>
        <w:t>118 &lt;www.accc.gov.au&gt;</w:t>
      </w:r>
      <w:r w:rsidR="001534F3">
        <w:rPr>
          <w:rFonts w:asciiTheme="majorHAnsi" w:hAnsiTheme="majorHAnsi" w:cstheme="majorHAnsi"/>
          <w:sz w:val="18"/>
          <w:szCs w:val="18"/>
        </w:rPr>
        <w:t>.</w:t>
      </w:r>
    </w:p>
  </w:footnote>
  <w:footnote w:id="98">
    <w:p w14:paraId="28D1AE2D" w14:textId="3E569F3B" w:rsidR="00483271" w:rsidRPr="007D5715" w:rsidRDefault="00483271">
      <w:pPr>
        <w:pStyle w:val="FootnoteText"/>
        <w:rPr>
          <w:rFonts w:asciiTheme="majorHAnsi" w:hAnsiTheme="majorHAnsi" w:cstheme="majorHAnsi"/>
          <w:sz w:val="18"/>
          <w:szCs w:val="18"/>
        </w:rPr>
      </w:pPr>
      <w:r w:rsidRPr="00F337AA">
        <w:rPr>
          <w:rStyle w:val="FootnoteReference"/>
          <w:sz w:val="18"/>
          <w:szCs w:val="18"/>
        </w:rPr>
        <w:footnoteRef/>
      </w:r>
      <w:r w:rsidRPr="00F337AA">
        <w:rPr>
          <w:sz w:val="18"/>
          <w:szCs w:val="18"/>
        </w:rPr>
        <w:t xml:space="preserve"> </w:t>
      </w:r>
      <w:r w:rsidRPr="007D5715">
        <w:rPr>
          <w:rFonts w:asciiTheme="majorHAnsi" w:hAnsiTheme="majorHAnsi" w:cstheme="majorHAnsi"/>
          <w:sz w:val="18"/>
          <w:szCs w:val="18"/>
        </w:rPr>
        <w:t xml:space="preserve">Australian Competition and Consumer Commission, </w:t>
      </w:r>
      <w:hyperlink r:id="rId46" w:history="1">
        <w:r w:rsidRPr="007D5715">
          <w:rPr>
            <w:rStyle w:val="Hyperlink"/>
            <w:rFonts w:asciiTheme="majorHAnsi" w:hAnsiTheme="majorHAnsi" w:cstheme="majorHAnsi"/>
            <w:i/>
            <w:iCs/>
            <w:sz w:val="18"/>
            <w:szCs w:val="18"/>
          </w:rPr>
          <w:t>Childcare inquiry – Final report</w:t>
        </w:r>
      </w:hyperlink>
      <w:r w:rsidRPr="007D5715">
        <w:rPr>
          <w:rFonts w:asciiTheme="majorHAnsi" w:hAnsiTheme="majorHAnsi" w:cstheme="majorHAnsi"/>
          <w:sz w:val="18"/>
          <w:szCs w:val="18"/>
        </w:rPr>
        <w:t>, December 2023, 153 &lt;www.accc.gov.au&gt;.</w:t>
      </w:r>
    </w:p>
  </w:footnote>
  <w:footnote w:id="99">
    <w:p w14:paraId="346B4C44" w14:textId="7FD69E8C"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 xml:space="preserve">Fair Work Act 2009, </w:t>
      </w:r>
      <w:r w:rsidRPr="00A80548">
        <w:rPr>
          <w:sz w:val="18"/>
          <w:szCs w:val="18"/>
        </w:rPr>
        <w:t>s134.</w:t>
      </w:r>
    </w:p>
  </w:footnote>
  <w:footnote w:id="100">
    <w:p w14:paraId="4F30A19D" w14:textId="0A9E4CF1"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 xml:space="preserve">Fair Work Act 2009, </w:t>
      </w:r>
      <w:r w:rsidRPr="00A80548">
        <w:rPr>
          <w:sz w:val="18"/>
          <w:szCs w:val="18"/>
        </w:rPr>
        <w:t>s284.</w:t>
      </w:r>
    </w:p>
  </w:footnote>
  <w:footnote w:id="101">
    <w:p w14:paraId="5F52757A" w14:textId="256BC6F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[2023] FWCFB 3500</w:t>
      </w:r>
      <w:r w:rsidR="001534F3">
        <w:rPr>
          <w:sz w:val="18"/>
          <w:szCs w:val="18"/>
        </w:rPr>
        <w:t>.</w:t>
      </w:r>
    </w:p>
  </w:footnote>
  <w:footnote w:id="102">
    <w:p w14:paraId="75C6324C" w14:textId="0A75B471" w:rsidR="00483271" w:rsidRPr="007D5715" w:rsidRDefault="00483271" w:rsidP="002D45A1">
      <w:pPr>
        <w:pStyle w:val="FootnoteText"/>
        <w:rPr>
          <w:sz w:val="18"/>
          <w:szCs w:val="18"/>
        </w:rPr>
      </w:pPr>
      <w:r w:rsidRPr="00A80548">
        <w:rPr>
          <w:rStyle w:val="FootnoteReference"/>
          <w:sz w:val="18"/>
          <w:szCs w:val="18"/>
        </w:rPr>
        <w:footnoteRef/>
      </w:r>
      <w:r w:rsidRPr="00A80548">
        <w:rPr>
          <w:sz w:val="18"/>
          <w:szCs w:val="18"/>
        </w:rPr>
        <w:t xml:space="preserve"> Natasha Cortis et al, </w:t>
      </w:r>
      <w:hyperlink r:id="rId47" w:history="1">
        <w:r w:rsidRPr="00A80548">
          <w:rPr>
            <w:rStyle w:val="Hyperlink"/>
            <w:i/>
            <w:iCs/>
            <w:sz w:val="18"/>
            <w:szCs w:val="18"/>
          </w:rPr>
          <w:t>Gender-based Occupational Segregation: A National Data Profile</w:t>
        </w:r>
      </w:hyperlink>
      <w:r w:rsidRPr="00A80548">
        <w:rPr>
          <w:i/>
          <w:iCs/>
          <w:sz w:val="18"/>
          <w:szCs w:val="18"/>
        </w:rPr>
        <w:t xml:space="preserve"> </w:t>
      </w:r>
      <w:r w:rsidRPr="00A80548">
        <w:rPr>
          <w:sz w:val="18"/>
          <w:szCs w:val="18"/>
        </w:rPr>
        <w:t>(6 November 2023) &lt;fwc.gov.au&gt;</w:t>
      </w:r>
      <w:r w:rsidR="001534F3">
        <w:rPr>
          <w:sz w:val="18"/>
          <w:szCs w:val="18"/>
        </w:rPr>
        <w:t>.</w:t>
      </w:r>
    </w:p>
  </w:footnote>
  <w:footnote w:id="103">
    <w:p w14:paraId="3152EB7A" w14:textId="1FDB6744" w:rsidR="00483271" w:rsidRPr="007D5715" w:rsidRDefault="00483271">
      <w:pPr>
        <w:pStyle w:val="FootnoteText"/>
        <w:rPr>
          <w:rFonts w:asciiTheme="majorHAnsi" w:hAnsiTheme="majorHAnsi" w:cstheme="majorHAnsi"/>
          <w:sz w:val="18"/>
          <w:szCs w:val="18"/>
        </w:rPr>
      </w:pPr>
      <w:r w:rsidRPr="00F337AA">
        <w:rPr>
          <w:rStyle w:val="FootnoteReference"/>
          <w:sz w:val="18"/>
          <w:szCs w:val="18"/>
        </w:rPr>
        <w:footnoteRef/>
      </w:r>
      <w:r w:rsidRPr="00F337AA">
        <w:rPr>
          <w:sz w:val="18"/>
          <w:szCs w:val="18"/>
        </w:rPr>
        <w:t xml:space="preserve"> </w:t>
      </w:r>
      <w:r w:rsidRPr="007D5715">
        <w:rPr>
          <w:rFonts w:asciiTheme="majorHAnsi" w:hAnsiTheme="majorHAnsi" w:cstheme="majorHAnsi"/>
          <w:sz w:val="18"/>
          <w:szCs w:val="18"/>
        </w:rPr>
        <w:t xml:space="preserve">Australian Competition and Consumer Commission, </w:t>
      </w:r>
      <w:hyperlink r:id="rId48" w:history="1">
        <w:r w:rsidRPr="007D5715">
          <w:rPr>
            <w:rStyle w:val="Hyperlink"/>
            <w:rFonts w:asciiTheme="majorHAnsi" w:hAnsiTheme="majorHAnsi" w:cstheme="majorHAnsi"/>
            <w:i/>
            <w:iCs/>
            <w:sz w:val="18"/>
            <w:szCs w:val="18"/>
          </w:rPr>
          <w:t>Childcare inquiry September interim report</w:t>
        </w:r>
      </w:hyperlink>
      <w:r w:rsidRPr="007D5715">
        <w:rPr>
          <w:rFonts w:asciiTheme="majorHAnsi" w:hAnsiTheme="majorHAnsi" w:cstheme="majorHAnsi"/>
          <w:sz w:val="18"/>
          <w:szCs w:val="18"/>
        </w:rPr>
        <w:t>,</w:t>
      </w:r>
      <w:r w:rsidRPr="007D5715">
        <w:rPr>
          <w:rFonts w:asciiTheme="majorHAnsi" w:hAnsiTheme="majorHAnsi" w:cstheme="majorHAnsi"/>
          <w:i/>
          <w:iCs/>
          <w:sz w:val="18"/>
          <w:szCs w:val="18"/>
        </w:rPr>
        <w:t xml:space="preserve"> </w:t>
      </w:r>
      <w:r w:rsidRPr="007D5715">
        <w:rPr>
          <w:rFonts w:asciiTheme="majorHAnsi" w:hAnsiTheme="majorHAnsi" w:cstheme="majorHAnsi"/>
          <w:sz w:val="18"/>
          <w:szCs w:val="18"/>
        </w:rPr>
        <w:t>September 2023,</w:t>
      </w:r>
      <w:r w:rsidRPr="007D5715">
        <w:rPr>
          <w:rFonts w:asciiTheme="majorHAnsi" w:hAnsiTheme="majorHAnsi" w:cstheme="majorHAnsi"/>
          <w:i/>
          <w:iCs/>
          <w:sz w:val="18"/>
          <w:szCs w:val="18"/>
        </w:rPr>
        <w:t xml:space="preserve"> </w:t>
      </w:r>
      <w:r w:rsidRPr="007D5715">
        <w:rPr>
          <w:rFonts w:asciiTheme="majorHAnsi" w:hAnsiTheme="majorHAnsi" w:cstheme="majorHAnsi"/>
          <w:sz w:val="18"/>
          <w:szCs w:val="18"/>
        </w:rPr>
        <w:t>30 &lt;www.accc.gov.au&gt;</w:t>
      </w:r>
      <w:r w:rsidR="001534F3">
        <w:rPr>
          <w:rFonts w:asciiTheme="majorHAnsi" w:hAnsiTheme="majorHAnsi" w:cstheme="majorHAnsi"/>
          <w:sz w:val="18"/>
          <w:szCs w:val="18"/>
        </w:rPr>
        <w:t>.</w:t>
      </w:r>
    </w:p>
  </w:footnote>
  <w:footnote w:id="104">
    <w:p w14:paraId="6FCA82B3" w14:textId="77777777" w:rsidR="00483271" w:rsidRPr="00A80548" w:rsidRDefault="00483271" w:rsidP="00A77049">
      <w:pPr>
        <w:pStyle w:val="FootnoteText"/>
        <w:rPr>
          <w:sz w:val="18"/>
          <w:szCs w:val="18"/>
        </w:rPr>
      </w:pPr>
      <w:r w:rsidRPr="00A80548">
        <w:rPr>
          <w:rStyle w:val="FootnoteReference"/>
          <w:sz w:val="18"/>
          <w:szCs w:val="18"/>
        </w:rPr>
        <w:footnoteRef/>
      </w:r>
      <w:r w:rsidRPr="00A80548">
        <w:rPr>
          <w:sz w:val="18"/>
          <w:szCs w:val="18"/>
        </w:rPr>
        <w:t xml:space="preserve"> Participation, Job Search and Mobility Survey, Australian Bureau of Statistics, 2023.</w:t>
      </w:r>
    </w:p>
  </w:footnote>
  <w:footnote w:id="105">
    <w:p w14:paraId="47050669" w14:textId="77777777" w:rsidR="00483271" w:rsidRPr="00F337AA" w:rsidRDefault="00483271" w:rsidP="00A77049">
      <w:pPr>
        <w:pStyle w:val="FootnoteText"/>
        <w:rPr>
          <w:sz w:val="18"/>
          <w:szCs w:val="18"/>
        </w:rPr>
      </w:pPr>
      <w:r w:rsidRPr="00A80548">
        <w:rPr>
          <w:rStyle w:val="FootnoteReference"/>
          <w:sz w:val="18"/>
          <w:szCs w:val="18"/>
        </w:rPr>
        <w:footnoteRef/>
      </w:r>
      <w:r w:rsidRPr="00A80548">
        <w:rPr>
          <w:sz w:val="18"/>
          <w:szCs w:val="18"/>
        </w:rPr>
        <w:t xml:space="preserve"> Department of Prime Minister and Cabinet (2023), </w:t>
      </w:r>
      <w:hyperlink r:id="rId49" w:anchor=":~:text=This%20pattern%20continues%20for%20other,care%20workforces%20are%20highly%20feminised." w:history="1">
        <w:r w:rsidRPr="00A80548">
          <w:rPr>
            <w:rStyle w:val="Hyperlink"/>
            <w:sz w:val="18"/>
            <w:szCs w:val="18"/>
          </w:rPr>
          <w:t>National Strategy to Achieve Gender Equality – Discussion Paper</w:t>
        </w:r>
      </w:hyperlink>
      <w:r w:rsidRPr="00A80548">
        <w:rPr>
          <w:sz w:val="18"/>
          <w:szCs w:val="18"/>
        </w:rPr>
        <w:t>, Department of Prime Minister and Cabinet, Australian Government (pmc.gov.au)</w:t>
      </w:r>
    </w:p>
  </w:footnote>
  <w:footnote w:id="106">
    <w:p w14:paraId="085A0CA2" w14:textId="3A1ADCD7"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A</w:t>
      </w:r>
      <w:r w:rsidRPr="00A80548">
        <w:rPr>
          <w:rFonts w:asciiTheme="majorHAnsi" w:hAnsiTheme="majorHAnsi" w:cstheme="majorHAnsi"/>
          <w:sz w:val="18"/>
          <w:szCs w:val="18"/>
        </w:rPr>
        <w:t xml:space="preserve">ustralian Competition and Consumer Commission, </w:t>
      </w:r>
      <w:hyperlink r:id="rId50"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153 &lt;www.accc.gov.au&gt;.</w:t>
      </w:r>
    </w:p>
  </w:footnote>
  <w:footnote w:id="107">
    <w:p w14:paraId="157A4A4A" w14:textId="77777777" w:rsidR="00483271" w:rsidRPr="00A80548" w:rsidRDefault="00483271" w:rsidP="00A77049">
      <w:pPr>
        <w:pStyle w:val="FootnoteText"/>
        <w:rPr>
          <w:sz w:val="18"/>
          <w:szCs w:val="18"/>
        </w:rPr>
      </w:pPr>
      <w:r w:rsidRPr="00A80548">
        <w:rPr>
          <w:rStyle w:val="FootnoteReference"/>
          <w:sz w:val="18"/>
          <w:szCs w:val="18"/>
        </w:rPr>
        <w:footnoteRef/>
      </w:r>
      <w:r w:rsidRPr="00A80548">
        <w:rPr>
          <w:sz w:val="18"/>
          <w:szCs w:val="18"/>
        </w:rPr>
        <w:t xml:space="preserve"> Department of Prime Minister and Cabinet, above n, 26.</w:t>
      </w:r>
    </w:p>
  </w:footnote>
  <w:footnote w:id="108">
    <w:p w14:paraId="0F80C025" w14:textId="77777777" w:rsidR="00483271" w:rsidRPr="00A80548" w:rsidRDefault="00483271" w:rsidP="00A77049">
      <w:pPr>
        <w:pStyle w:val="FootnoteText"/>
        <w:rPr>
          <w:sz w:val="18"/>
          <w:szCs w:val="18"/>
        </w:rPr>
      </w:pPr>
      <w:r w:rsidRPr="00A80548">
        <w:rPr>
          <w:rStyle w:val="FootnoteReference"/>
          <w:sz w:val="18"/>
          <w:szCs w:val="18"/>
        </w:rPr>
        <w:footnoteRef/>
      </w:r>
      <w:r w:rsidRPr="00A80548">
        <w:rPr>
          <w:sz w:val="18"/>
          <w:szCs w:val="18"/>
        </w:rPr>
        <w:t xml:space="preserve"> </w:t>
      </w:r>
      <w:r w:rsidRPr="00A80548">
        <w:rPr>
          <w:i/>
          <w:iCs/>
          <w:sz w:val="18"/>
          <w:szCs w:val="18"/>
        </w:rPr>
        <w:t>Australian Bureau of Statistics</w:t>
      </w:r>
      <w:r w:rsidRPr="00A80548">
        <w:rPr>
          <w:sz w:val="18"/>
          <w:szCs w:val="18"/>
        </w:rPr>
        <w:t>, above n 25.</w:t>
      </w:r>
    </w:p>
  </w:footnote>
  <w:footnote w:id="109">
    <w:p w14:paraId="6BEAE9B0" w14:textId="7CF8F0A9" w:rsidR="00483271" w:rsidRPr="007D5715" w:rsidRDefault="00483271">
      <w:pPr>
        <w:pStyle w:val="FootnoteText"/>
        <w:rPr>
          <w:sz w:val="18"/>
          <w:szCs w:val="18"/>
        </w:rPr>
      </w:pPr>
      <w:r w:rsidRPr="00A80548">
        <w:rPr>
          <w:rStyle w:val="FootnoteReference"/>
          <w:sz w:val="18"/>
          <w:szCs w:val="18"/>
        </w:rPr>
        <w:footnoteRef/>
      </w:r>
      <w:r w:rsidRPr="00A80548">
        <w:rPr>
          <w:sz w:val="18"/>
          <w:szCs w:val="18"/>
        </w:rPr>
        <w:t xml:space="preserve"> This includes initiatives under the National Workforce Strategy (2022-2031)</w:t>
      </w:r>
      <w:r w:rsidR="009C665E">
        <w:rPr>
          <w:sz w:val="18"/>
          <w:szCs w:val="18"/>
        </w:rPr>
        <w:t>.</w:t>
      </w:r>
    </w:p>
  </w:footnote>
  <w:footnote w:id="110">
    <w:p w14:paraId="0FA4ECE7" w14:textId="78E9258F" w:rsidR="00483271" w:rsidRPr="00A80548" w:rsidRDefault="00483271">
      <w:pPr>
        <w:pStyle w:val="FootnoteText"/>
        <w:rPr>
          <w:rFonts w:asciiTheme="majorHAnsi" w:hAnsiTheme="majorHAnsi" w:cstheme="majorHAnsi"/>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51"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50 &lt;www.accc.gov.au&gt;.</w:t>
      </w:r>
    </w:p>
  </w:footnote>
  <w:footnote w:id="111">
    <w:p w14:paraId="1E5D003F" w14:textId="020DE083" w:rsidR="00483271" w:rsidRPr="00F337AA" w:rsidRDefault="00483271" w:rsidP="00A77049">
      <w:pPr>
        <w:pStyle w:val="FootnoteText"/>
        <w:rPr>
          <w:sz w:val="18"/>
          <w:szCs w:val="18"/>
        </w:rPr>
      </w:pPr>
      <w:r w:rsidRPr="00A80548">
        <w:rPr>
          <w:rStyle w:val="FootnoteReference"/>
          <w:sz w:val="18"/>
          <w:szCs w:val="18"/>
        </w:rPr>
        <w:footnoteRef/>
      </w:r>
      <w:r w:rsidRPr="00A80548">
        <w:rPr>
          <w:sz w:val="18"/>
          <w:szCs w:val="18"/>
        </w:rPr>
        <w:t xml:space="preserve"> Dandolo Partners, </w:t>
      </w:r>
      <w:hyperlink r:id="rId52" w:history="1">
        <w:r w:rsidRPr="00A80548">
          <w:rPr>
            <w:rStyle w:val="Hyperlink"/>
            <w:i/>
            <w:iCs/>
            <w:sz w:val="18"/>
            <w:szCs w:val="18"/>
          </w:rPr>
          <w:t>The cost and impact of different funding approaches to increase ECEC sector wages: Report for the Australian Childcare Alliance</w:t>
        </w:r>
      </w:hyperlink>
      <w:r w:rsidRPr="00A80548">
        <w:rPr>
          <w:i/>
          <w:iCs/>
          <w:sz w:val="18"/>
          <w:szCs w:val="18"/>
        </w:rPr>
        <w:t xml:space="preserve">, </w:t>
      </w:r>
      <w:r w:rsidRPr="00A80548">
        <w:rPr>
          <w:sz w:val="18"/>
          <w:szCs w:val="18"/>
        </w:rPr>
        <w:t>June 2023 &lt;childcarealliance.org.au&gt;</w:t>
      </w:r>
      <w:r w:rsidR="009C665E">
        <w:rPr>
          <w:sz w:val="18"/>
          <w:szCs w:val="18"/>
        </w:rPr>
        <w:t>.</w:t>
      </w:r>
    </w:p>
  </w:footnote>
  <w:footnote w:id="112">
    <w:p w14:paraId="206C13F4" w14:textId="28AD5CF0"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Department of Education, Skills and Employment, </w:t>
      </w:r>
      <w:hyperlink r:id="rId53" w:history="1">
        <w:r w:rsidRPr="00A80548">
          <w:rPr>
            <w:rStyle w:val="Hyperlink"/>
            <w:i/>
            <w:iCs/>
            <w:sz w:val="18"/>
            <w:szCs w:val="18"/>
          </w:rPr>
          <w:t>2021 Early Childhood Education and Care National Workforce Census report - Department of Education, Australian Government</w:t>
        </w:r>
      </w:hyperlink>
      <w:r w:rsidRPr="00A80548">
        <w:rPr>
          <w:i/>
          <w:iCs/>
          <w:sz w:val="18"/>
          <w:szCs w:val="18"/>
        </w:rPr>
        <w:t xml:space="preserve">, </w:t>
      </w:r>
      <w:r w:rsidRPr="00A80548">
        <w:rPr>
          <w:sz w:val="18"/>
          <w:szCs w:val="18"/>
        </w:rPr>
        <w:t>August 2022, 50 &lt;h ttps://www.education.gov.au/early-childhood/resources/2021-early-childhood-education-and-care-national-workforce-census-report&gt;</w:t>
      </w:r>
      <w:r w:rsidR="009C665E">
        <w:rPr>
          <w:sz w:val="18"/>
          <w:szCs w:val="18"/>
        </w:rPr>
        <w:t>.</w:t>
      </w:r>
      <w:r w:rsidRPr="009209EE">
        <w:rPr>
          <w:sz w:val="18"/>
          <w:szCs w:val="18"/>
        </w:rPr>
        <w:t xml:space="preserve"> </w:t>
      </w:r>
      <w:r w:rsidRPr="009209EE">
        <w:rPr>
          <w:i/>
          <w:iCs/>
          <w:sz w:val="18"/>
          <w:szCs w:val="18"/>
        </w:rPr>
        <w:t xml:space="preserve"> </w:t>
      </w:r>
    </w:p>
  </w:footnote>
  <w:footnote w:id="113">
    <w:p w14:paraId="42A7FB9C" w14:textId="63419F22" w:rsidR="00342B1A" w:rsidRPr="009209EE" w:rsidRDefault="00342B1A">
      <w:pPr>
        <w:pStyle w:val="FootnoteText"/>
        <w:rPr>
          <w:sz w:val="18"/>
          <w:szCs w:val="18"/>
        </w:rPr>
      </w:pPr>
      <w:r w:rsidRPr="009209EE">
        <w:rPr>
          <w:rStyle w:val="FootnoteReference"/>
          <w:sz w:val="18"/>
          <w:szCs w:val="18"/>
        </w:rPr>
        <w:footnoteRef/>
      </w:r>
      <w:r w:rsidRPr="009209EE">
        <w:rPr>
          <w:sz w:val="18"/>
          <w:szCs w:val="18"/>
        </w:rPr>
        <w:t xml:space="preserve"> </w:t>
      </w:r>
      <w:r w:rsidR="00482061" w:rsidRPr="00A80548">
        <w:rPr>
          <w:sz w:val="18"/>
          <w:szCs w:val="18"/>
        </w:rPr>
        <w:t>Victorian DoE (Victorian Department of Education) 2023, Kindergarten funding guide, https://www.education.vic.gov.au/</w:t>
      </w:r>
      <w:r w:rsidR="009C665E">
        <w:rPr>
          <w:sz w:val="18"/>
          <w:szCs w:val="18"/>
        </w:rPr>
        <w:t>.</w:t>
      </w:r>
    </w:p>
  </w:footnote>
  <w:footnote w:id="114">
    <w:p w14:paraId="231CE296" w14:textId="28AE1DB1" w:rsidR="00483271" w:rsidRPr="00A80548" w:rsidRDefault="00483271" w:rsidP="00596D38">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54"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14 &lt;www.accc.gov.au&gt;</w:t>
      </w:r>
      <w:r w:rsidR="009C665E">
        <w:rPr>
          <w:rFonts w:asciiTheme="majorHAnsi" w:hAnsiTheme="majorHAnsi" w:cstheme="majorHAnsi"/>
          <w:sz w:val="18"/>
          <w:szCs w:val="18"/>
        </w:rPr>
        <w:t>.</w:t>
      </w:r>
    </w:p>
  </w:footnote>
  <w:footnote w:id="115">
    <w:p w14:paraId="5782E3A3" w14:textId="58087284" w:rsidR="00483271" w:rsidRPr="00A80548" w:rsidRDefault="00483271" w:rsidP="00AF7690">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Productivity Commission, </w:t>
      </w:r>
      <w:r w:rsidRPr="00A80548">
        <w:rPr>
          <w:rFonts w:asciiTheme="majorHAnsi" w:hAnsiTheme="majorHAnsi" w:cstheme="majorHAnsi"/>
          <w:i/>
          <w:iCs/>
          <w:sz w:val="18"/>
          <w:szCs w:val="18"/>
        </w:rPr>
        <w:t xml:space="preserve">A path to universal early education and care: Draft Report, </w:t>
      </w:r>
      <w:r w:rsidRPr="00A80548">
        <w:rPr>
          <w:rFonts w:asciiTheme="majorHAnsi" w:hAnsiTheme="majorHAnsi" w:cstheme="majorHAnsi"/>
          <w:sz w:val="18"/>
          <w:szCs w:val="18"/>
        </w:rPr>
        <w:t>November 2023, 292 &lt;www.pc.gov.au&gt;</w:t>
      </w:r>
      <w:r w:rsidR="009C665E">
        <w:rPr>
          <w:rFonts w:asciiTheme="majorHAnsi" w:hAnsiTheme="majorHAnsi" w:cstheme="majorHAnsi"/>
          <w:sz w:val="18"/>
          <w:szCs w:val="18"/>
        </w:rPr>
        <w:t>.</w:t>
      </w:r>
    </w:p>
  </w:footnote>
  <w:footnote w:id="116">
    <w:p w14:paraId="0A601333" w14:textId="24630FB8" w:rsidR="00483271" w:rsidRPr="007D5715" w:rsidRDefault="00483271">
      <w:pPr>
        <w:pStyle w:val="FootnoteText"/>
        <w:rPr>
          <w:rFonts w:asciiTheme="majorHAnsi" w:hAnsiTheme="majorHAnsi" w:cstheme="majorHAnsi"/>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55"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 &lt;www.accc.gov.au&gt;.</w:t>
      </w:r>
    </w:p>
  </w:footnote>
  <w:footnote w:id="117">
    <w:p w14:paraId="5E9E665D" w14:textId="04BB1585" w:rsidR="00483271" w:rsidRPr="00F337AA" w:rsidRDefault="00483271" w:rsidP="00C239EA">
      <w:pPr>
        <w:pStyle w:val="FootnoteText"/>
        <w:rPr>
          <w:sz w:val="18"/>
          <w:szCs w:val="18"/>
        </w:rPr>
      </w:pPr>
      <w:r w:rsidRPr="00F337AA">
        <w:rPr>
          <w:rStyle w:val="FootnoteReference"/>
          <w:sz w:val="18"/>
          <w:szCs w:val="18"/>
        </w:rPr>
        <w:footnoteRef/>
      </w:r>
      <w:r w:rsidRPr="00F337AA">
        <w:rPr>
          <w:sz w:val="18"/>
          <w:szCs w:val="18"/>
        </w:rPr>
        <w:t xml:space="preserve"> Office of Impact Analysis, </w:t>
      </w:r>
      <w:r w:rsidRPr="00F337AA">
        <w:rPr>
          <w:i/>
          <w:iCs/>
          <w:sz w:val="18"/>
          <w:szCs w:val="18"/>
        </w:rPr>
        <w:t>Regulatory Impact Analysis Guide for Ministers’ Meetings and National Standard Setting Bodies</w:t>
      </w:r>
      <w:r w:rsidRPr="00F337AA">
        <w:rPr>
          <w:sz w:val="18"/>
          <w:szCs w:val="18"/>
        </w:rPr>
        <w:t>, January 2024.</w:t>
      </w:r>
    </w:p>
  </w:footnote>
  <w:footnote w:id="118">
    <w:p w14:paraId="2ADF98AC" w14:textId="5B622925" w:rsidR="00483271" w:rsidRPr="00F337AA" w:rsidRDefault="00483271" w:rsidP="001A383E">
      <w:pPr>
        <w:pStyle w:val="FootnoteText"/>
        <w:rPr>
          <w:sz w:val="18"/>
          <w:szCs w:val="18"/>
        </w:rPr>
      </w:pPr>
      <w:r w:rsidRPr="00F337AA">
        <w:rPr>
          <w:rStyle w:val="FootnoteReference"/>
          <w:sz w:val="18"/>
          <w:szCs w:val="18"/>
        </w:rPr>
        <w:footnoteRef/>
      </w:r>
      <w:r w:rsidRPr="00F337AA">
        <w:rPr>
          <w:sz w:val="18"/>
          <w:szCs w:val="18"/>
        </w:rPr>
        <w:t xml:space="preserve"> </w:t>
      </w:r>
      <w:r w:rsidRPr="007D5715">
        <w:rPr>
          <w:rFonts w:asciiTheme="majorHAnsi" w:hAnsiTheme="majorHAnsi" w:cstheme="majorHAnsi"/>
          <w:sz w:val="18"/>
          <w:szCs w:val="18"/>
        </w:rPr>
        <w:t xml:space="preserve">Australian Competition and Consumer Commission, </w:t>
      </w:r>
      <w:hyperlink r:id="rId56" w:history="1">
        <w:r w:rsidRPr="007D5715">
          <w:rPr>
            <w:rStyle w:val="Hyperlink"/>
            <w:rFonts w:asciiTheme="majorHAnsi" w:hAnsiTheme="majorHAnsi" w:cstheme="majorHAnsi"/>
            <w:i/>
            <w:iCs/>
            <w:sz w:val="18"/>
            <w:szCs w:val="18"/>
          </w:rPr>
          <w:t>Childcare inquiry – Final report</w:t>
        </w:r>
      </w:hyperlink>
      <w:r w:rsidRPr="007D5715">
        <w:rPr>
          <w:rFonts w:asciiTheme="majorHAnsi" w:hAnsiTheme="majorHAnsi" w:cstheme="majorHAnsi"/>
          <w:sz w:val="18"/>
          <w:szCs w:val="18"/>
        </w:rPr>
        <w:t>, December 2023, 157 &lt;www.accc.gov.au&gt;.</w:t>
      </w:r>
    </w:p>
  </w:footnote>
  <w:footnote w:id="119">
    <w:p w14:paraId="5EF0B6C1" w14:textId="77777777" w:rsidR="00483271" w:rsidRPr="00F337AA" w:rsidRDefault="00483271" w:rsidP="001A383E">
      <w:pPr>
        <w:pStyle w:val="FootnoteText"/>
        <w:rPr>
          <w:sz w:val="18"/>
          <w:szCs w:val="18"/>
        </w:rPr>
      </w:pPr>
      <w:r w:rsidRPr="00F337AA">
        <w:rPr>
          <w:rStyle w:val="FootnoteReference"/>
          <w:sz w:val="18"/>
          <w:szCs w:val="18"/>
        </w:rPr>
        <w:footnoteRef/>
      </w:r>
      <w:r w:rsidRPr="00F337AA">
        <w:rPr>
          <w:sz w:val="18"/>
          <w:szCs w:val="18"/>
        </w:rPr>
        <w:t xml:space="preserve"> Ibid, 157.</w:t>
      </w:r>
    </w:p>
  </w:footnote>
  <w:footnote w:id="120">
    <w:p w14:paraId="539FF3C3" w14:textId="237958D2" w:rsidR="00483271" w:rsidRPr="00F337AA" w:rsidRDefault="00483271" w:rsidP="001A383E">
      <w:pPr>
        <w:pStyle w:val="FootnoteText"/>
        <w:rPr>
          <w:sz w:val="18"/>
          <w:szCs w:val="18"/>
        </w:rPr>
      </w:pPr>
      <w:r w:rsidRPr="00F337AA">
        <w:rPr>
          <w:rStyle w:val="FootnoteReference"/>
          <w:sz w:val="18"/>
          <w:szCs w:val="18"/>
        </w:rPr>
        <w:footnoteRef/>
      </w:r>
      <w:r w:rsidRPr="00F337AA">
        <w:rPr>
          <w:sz w:val="18"/>
          <w:szCs w:val="18"/>
        </w:rPr>
        <w:t xml:space="preserve"> </w:t>
      </w:r>
      <w:r w:rsidRPr="007D5715">
        <w:rPr>
          <w:rFonts w:asciiTheme="majorHAnsi" w:hAnsiTheme="majorHAnsi" w:cstheme="majorHAnsi"/>
          <w:sz w:val="18"/>
          <w:szCs w:val="18"/>
        </w:rPr>
        <w:t xml:space="preserve">Australian Competition and Consumer Commission, </w:t>
      </w:r>
      <w:hyperlink r:id="rId57" w:history="1">
        <w:r w:rsidRPr="007D5715">
          <w:rPr>
            <w:rStyle w:val="Hyperlink"/>
            <w:rFonts w:asciiTheme="majorHAnsi" w:hAnsiTheme="majorHAnsi" w:cstheme="majorHAnsi"/>
            <w:i/>
            <w:iCs/>
            <w:sz w:val="18"/>
            <w:szCs w:val="18"/>
          </w:rPr>
          <w:t>Childcare inquiry – Final report</w:t>
        </w:r>
      </w:hyperlink>
      <w:r w:rsidRPr="007D5715">
        <w:rPr>
          <w:rFonts w:asciiTheme="majorHAnsi" w:hAnsiTheme="majorHAnsi" w:cstheme="majorHAnsi"/>
          <w:sz w:val="18"/>
          <w:szCs w:val="18"/>
        </w:rPr>
        <w:t>, December 2023, 7 &lt;www.accc.gov.au&gt;.</w:t>
      </w:r>
    </w:p>
  </w:footnote>
  <w:footnote w:id="121">
    <w:p w14:paraId="3A575E06" w14:textId="22E6D015" w:rsidR="00483271" w:rsidRPr="00A80548" w:rsidRDefault="00483271" w:rsidP="001A383E">
      <w:pPr>
        <w:pStyle w:val="FootnoteText"/>
        <w:rPr>
          <w:sz w:val="18"/>
          <w:szCs w:val="18"/>
        </w:rPr>
      </w:pPr>
      <w:r w:rsidRPr="00A80548">
        <w:rPr>
          <w:rStyle w:val="FootnoteReference"/>
          <w:sz w:val="18"/>
          <w:szCs w:val="18"/>
        </w:rPr>
        <w:footnoteRef/>
      </w:r>
      <w:r w:rsidRPr="00A80548">
        <w:rPr>
          <w:sz w:val="18"/>
          <w:szCs w:val="18"/>
        </w:rPr>
        <w:t xml:space="preserve"> Ibid, 154.</w:t>
      </w:r>
    </w:p>
  </w:footnote>
  <w:footnote w:id="122">
    <w:p w14:paraId="080CCF2B" w14:textId="3C543AC6" w:rsidR="00483271" w:rsidRPr="00A80548" w:rsidRDefault="00483271" w:rsidP="00FD1350">
      <w:pPr>
        <w:spacing w:after="0"/>
        <w:rPr>
          <w:sz w:val="18"/>
          <w:szCs w:val="18"/>
        </w:rPr>
      </w:pPr>
      <w:r w:rsidRPr="00A80548">
        <w:rPr>
          <w:rStyle w:val="FootnoteReference"/>
          <w:sz w:val="18"/>
          <w:szCs w:val="18"/>
        </w:rPr>
        <w:footnoteRef/>
      </w:r>
      <w:r w:rsidRPr="00A80548">
        <w:rPr>
          <w:sz w:val="18"/>
          <w:szCs w:val="18"/>
        </w:rPr>
        <w:t xml:space="preserve"> Ibid, 155</w:t>
      </w:r>
      <w:r w:rsidR="009C665E">
        <w:rPr>
          <w:sz w:val="18"/>
          <w:szCs w:val="18"/>
        </w:rPr>
        <w:t>.</w:t>
      </w:r>
    </w:p>
  </w:footnote>
  <w:footnote w:id="123">
    <w:p w14:paraId="44BEF262" w14:textId="0C46F3CB" w:rsidR="00483271" w:rsidRPr="00A80548" w:rsidRDefault="00483271" w:rsidP="001A383E">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58"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12 &lt;www.accc.gov.au&gt;</w:t>
      </w:r>
      <w:r w:rsidR="009C665E">
        <w:rPr>
          <w:rFonts w:asciiTheme="majorHAnsi" w:hAnsiTheme="majorHAnsi" w:cstheme="majorHAnsi"/>
          <w:sz w:val="18"/>
          <w:szCs w:val="18"/>
        </w:rPr>
        <w:t>.</w:t>
      </w:r>
    </w:p>
  </w:footnote>
  <w:footnote w:id="124">
    <w:p w14:paraId="6C656A26" w14:textId="112013BC" w:rsidR="00483271" w:rsidRPr="00A80548" w:rsidRDefault="00483271" w:rsidP="001A383E">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59"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159 &lt;www.accc.gov.au&gt;.</w:t>
      </w:r>
    </w:p>
  </w:footnote>
  <w:footnote w:id="125">
    <w:p w14:paraId="1C32324B" w14:textId="4EBB5CC3" w:rsidR="00483271" w:rsidRPr="00F337AA" w:rsidRDefault="00483271">
      <w:pPr>
        <w:pStyle w:val="FootnoteText"/>
        <w:rPr>
          <w:sz w:val="18"/>
          <w:szCs w:val="18"/>
        </w:rPr>
      </w:pPr>
      <w:r w:rsidRPr="00A80548">
        <w:rPr>
          <w:rStyle w:val="FootnoteReference"/>
          <w:sz w:val="18"/>
          <w:szCs w:val="18"/>
        </w:rPr>
        <w:footnoteRef/>
      </w:r>
      <w:r w:rsidRPr="00A80548">
        <w:rPr>
          <w:sz w:val="18"/>
          <w:szCs w:val="18"/>
        </w:rPr>
        <w:t xml:space="preserve"> Ibid, 26.</w:t>
      </w:r>
    </w:p>
  </w:footnote>
  <w:footnote w:id="126">
    <w:p w14:paraId="67FBBD34" w14:textId="3E1243D4"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Centre for American Progress, </w:t>
      </w:r>
      <w:hyperlink r:id="rId60" w:history="1">
        <w:r w:rsidRPr="00A80548">
          <w:rPr>
            <w:rStyle w:val="Hyperlink"/>
            <w:sz w:val="18"/>
            <w:szCs w:val="18"/>
          </w:rPr>
          <w:t>https://www.americanprogress.org/article/the-child-care-sector-is-still-struggling-to-hire-workers/</w:t>
        </w:r>
      </w:hyperlink>
      <w:r w:rsidRPr="00A80548">
        <w:rPr>
          <w:sz w:val="18"/>
          <w:szCs w:val="18"/>
        </w:rPr>
        <w:t>, October 2023</w:t>
      </w:r>
    </w:p>
  </w:footnote>
  <w:footnote w:id="127">
    <w:p w14:paraId="1B14D95F" w14:textId="7BA73FC9"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Office of the State Superintendent of Education,</w:t>
      </w:r>
      <w:r w:rsidRPr="009209EE">
        <w:rPr>
          <w:rStyle w:val="Hyperlink"/>
          <w:sz w:val="18"/>
          <w:szCs w:val="18"/>
        </w:rPr>
        <w:t xml:space="preserve"> </w:t>
      </w:r>
      <w:hyperlink r:id="rId61" w:history="1">
        <w:r w:rsidRPr="00A80548">
          <w:rPr>
            <w:rStyle w:val="Hyperlink"/>
            <w:sz w:val="18"/>
            <w:szCs w:val="18"/>
          </w:rPr>
          <w:t>Early Childhood Educator Pay Equity Fund | osse (dc.gov)</w:t>
        </w:r>
      </w:hyperlink>
    </w:p>
  </w:footnote>
  <w:footnote w:id="128">
    <w:p w14:paraId="588223F8" w14:textId="419B2A7D"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Canada, Early Learning and Child Care Agreements, &lt;https://www.canada.ca/en/early-learning-child-care-agreement/agreements-provinces-territories.html&gt; </w:t>
      </w:r>
    </w:p>
  </w:footnote>
  <w:footnote w:id="129">
    <w:p w14:paraId="093072B6" w14:textId="35FE154A" w:rsidR="00483271" w:rsidRPr="00A80548" w:rsidRDefault="00483271" w:rsidP="007D5715">
      <w:pPr>
        <w:spacing w:after="0"/>
        <w:rPr>
          <w:i/>
          <w:iCs/>
          <w:sz w:val="18"/>
          <w:szCs w:val="18"/>
        </w:rPr>
      </w:pPr>
      <w:r w:rsidRPr="00A80548">
        <w:rPr>
          <w:rStyle w:val="FootnoteReference"/>
          <w:sz w:val="18"/>
          <w:szCs w:val="18"/>
        </w:rPr>
        <w:footnoteRef/>
      </w:r>
      <w:r w:rsidRPr="00A80548">
        <w:rPr>
          <w:sz w:val="18"/>
          <w:szCs w:val="18"/>
        </w:rPr>
        <w:t xml:space="preserve"> Government of Saskatchewan, </w:t>
      </w:r>
      <w:hyperlink r:id="rId62" w:history="1">
        <w:r w:rsidRPr="00A80548">
          <w:rPr>
            <w:rStyle w:val="Hyperlink"/>
            <w:i/>
            <w:iCs/>
            <w:sz w:val="18"/>
            <w:szCs w:val="18"/>
          </w:rPr>
          <w:t>Canada-Saskatchewan Early Childhood Workforce Agreement: 2022-2023 Annual Report</w:t>
        </w:r>
      </w:hyperlink>
      <w:r w:rsidRPr="00A80548">
        <w:rPr>
          <w:i/>
          <w:iCs/>
          <w:sz w:val="18"/>
          <w:szCs w:val="18"/>
        </w:rPr>
        <w:t xml:space="preserve"> </w:t>
      </w:r>
      <w:r w:rsidRPr="00A80548">
        <w:rPr>
          <w:sz w:val="18"/>
          <w:szCs w:val="18"/>
        </w:rPr>
        <w:t>&lt;www.saskatchewan.ca&gt;.</w:t>
      </w:r>
      <w:r w:rsidRPr="00A80548">
        <w:rPr>
          <w:i/>
          <w:iCs/>
          <w:sz w:val="18"/>
          <w:szCs w:val="18"/>
        </w:rPr>
        <w:t xml:space="preserve"> </w:t>
      </w:r>
    </w:p>
  </w:footnote>
  <w:footnote w:id="130">
    <w:p w14:paraId="689F3F59" w14:textId="169E4712"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Saskatchewan, </w:t>
      </w:r>
      <w:hyperlink r:id="rId63" w:history="1">
        <w:r w:rsidRPr="00A80548">
          <w:rPr>
            <w:rStyle w:val="Hyperlink"/>
            <w:i/>
            <w:iCs/>
            <w:sz w:val="18"/>
            <w:szCs w:val="18"/>
          </w:rPr>
          <w:t>Canada-Saskatchewan Early Childhood Workforce Agreement: 2021-2022 Annual Report</w:t>
        </w:r>
      </w:hyperlink>
      <w:r w:rsidRPr="00A80548">
        <w:rPr>
          <w:i/>
          <w:iCs/>
          <w:sz w:val="18"/>
          <w:szCs w:val="18"/>
        </w:rPr>
        <w:t xml:space="preserve"> </w:t>
      </w:r>
      <w:r w:rsidRPr="00A80548">
        <w:rPr>
          <w:sz w:val="18"/>
          <w:szCs w:val="18"/>
        </w:rPr>
        <w:t>&lt;www.saskatchewan.ca&gt;.</w:t>
      </w:r>
    </w:p>
  </w:footnote>
  <w:footnote w:id="131">
    <w:p w14:paraId="42F84FFA" w14:textId="52868B5E"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Saskatchewan, </w:t>
      </w:r>
      <w:hyperlink r:id="rId64" w:history="1">
        <w:r w:rsidRPr="00A80548">
          <w:rPr>
            <w:rStyle w:val="Hyperlink"/>
            <w:i/>
            <w:iCs/>
            <w:sz w:val="18"/>
            <w:szCs w:val="18"/>
          </w:rPr>
          <w:t>Canada-Saskatchewan Early Childhood Workforce Agreement: 2022-2023 Annual Report</w:t>
        </w:r>
      </w:hyperlink>
      <w:r w:rsidRPr="00A80548">
        <w:rPr>
          <w:i/>
          <w:iCs/>
          <w:sz w:val="18"/>
          <w:szCs w:val="18"/>
        </w:rPr>
        <w:t xml:space="preserve"> </w:t>
      </w:r>
      <w:r w:rsidRPr="00A80548">
        <w:rPr>
          <w:sz w:val="18"/>
          <w:szCs w:val="18"/>
        </w:rPr>
        <w:t>&lt;www.saskatchewan.ca&gt;.</w:t>
      </w:r>
    </w:p>
  </w:footnote>
  <w:footnote w:id="132">
    <w:p w14:paraId="130D4E96" w14:textId="026D1081" w:rsidR="00483271" w:rsidRPr="007D5715" w:rsidRDefault="00483271" w:rsidP="00E80BBD">
      <w:pPr>
        <w:pStyle w:val="FootnoteText"/>
        <w:rPr>
          <w:i/>
          <w:iCs/>
          <w:sz w:val="18"/>
          <w:szCs w:val="18"/>
        </w:rPr>
      </w:pPr>
      <w:r w:rsidRPr="00A80548">
        <w:rPr>
          <w:rStyle w:val="FootnoteReference"/>
          <w:sz w:val="18"/>
          <w:szCs w:val="18"/>
        </w:rPr>
        <w:footnoteRef/>
      </w:r>
      <w:r w:rsidRPr="00A80548">
        <w:rPr>
          <w:sz w:val="18"/>
          <w:szCs w:val="18"/>
        </w:rPr>
        <w:t xml:space="preserve"> Government of Saskatchewan, </w:t>
      </w:r>
      <w:hyperlink r:id="rId65" w:history="1">
        <w:r w:rsidRPr="00A80548">
          <w:rPr>
            <w:rStyle w:val="Hyperlink"/>
            <w:i/>
            <w:iCs/>
            <w:sz w:val="18"/>
            <w:szCs w:val="18"/>
          </w:rPr>
          <w:t>Canada-Saskatchewan Early Childhood Workforce Agreement: 2021-2022 Annual Report</w:t>
        </w:r>
      </w:hyperlink>
      <w:r w:rsidRPr="00A80548">
        <w:rPr>
          <w:i/>
          <w:iCs/>
          <w:sz w:val="18"/>
          <w:szCs w:val="18"/>
        </w:rPr>
        <w:t xml:space="preserve"> </w:t>
      </w:r>
      <w:r w:rsidRPr="00A80548">
        <w:rPr>
          <w:sz w:val="18"/>
          <w:szCs w:val="18"/>
        </w:rPr>
        <w:t>&lt;www.saskatchewan.ca&gt;.</w:t>
      </w:r>
    </w:p>
  </w:footnote>
  <w:footnote w:id="133">
    <w:p w14:paraId="18D9D6BE" w14:textId="2490DDA5"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Saskatchewan, </w:t>
      </w:r>
      <w:hyperlink r:id="rId66" w:history="1">
        <w:r w:rsidRPr="00A80548">
          <w:rPr>
            <w:rStyle w:val="Hyperlink"/>
            <w:i/>
            <w:iCs/>
            <w:sz w:val="18"/>
            <w:szCs w:val="18"/>
          </w:rPr>
          <w:t>Implementation Committee Progress Report on the Canada-Saskatchewan Canada-Wide Early Learning and Child Care Agreement</w:t>
        </w:r>
      </w:hyperlink>
      <w:r w:rsidRPr="00A80548">
        <w:rPr>
          <w:i/>
          <w:iCs/>
          <w:sz w:val="18"/>
          <w:szCs w:val="18"/>
        </w:rPr>
        <w:t xml:space="preserve"> &lt;</w:t>
      </w:r>
      <w:r w:rsidRPr="00A80548">
        <w:rPr>
          <w:sz w:val="18"/>
          <w:szCs w:val="18"/>
        </w:rPr>
        <w:t>www.saskatchewan.ca&gt;</w:t>
      </w:r>
    </w:p>
  </w:footnote>
  <w:footnote w:id="134">
    <w:p w14:paraId="2D46FE17" w14:textId="3A1C8083"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Statistics Canada, </w:t>
      </w:r>
      <w:hyperlink r:id="rId67" w:history="1">
        <w:r w:rsidRPr="00A80548">
          <w:rPr>
            <w:rStyle w:val="Hyperlink"/>
            <w:i/>
            <w:iCs/>
            <w:sz w:val="18"/>
            <w:szCs w:val="18"/>
          </w:rPr>
          <w:t>Child care in Canada: A Snapshot</w:t>
        </w:r>
      </w:hyperlink>
      <w:r w:rsidRPr="00A80548">
        <w:rPr>
          <w:sz w:val="18"/>
          <w:szCs w:val="18"/>
        </w:rPr>
        <w:t xml:space="preserve"> &lt;www.statcan.gc.ca&gt;</w:t>
      </w:r>
    </w:p>
  </w:footnote>
  <w:footnote w:id="135">
    <w:p w14:paraId="43E2C374" w14:textId="6FA4F051"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Saskatchewan, </w:t>
      </w:r>
      <w:hyperlink r:id="rId68" w:history="1">
        <w:r w:rsidRPr="00A80548">
          <w:rPr>
            <w:rStyle w:val="Hyperlink"/>
            <w:i/>
            <w:iCs/>
            <w:sz w:val="18"/>
            <w:szCs w:val="18"/>
          </w:rPr>
          <w:t>Canada-Saskatchewan Early Childhood Workforce Agreement: 2022-2023 Annual Report</w:t>
        </w:r>
      </w:hyperlink>
      <w:r w:rsidRPr="00A80548">
        <w:rPr>
          <w:i/>
          <w:iCs/>
          <w:sz w:val="18"/>
          <w:szCs w:val="18"/>
        </w:rPr>
        <w:t xml:space="preserve"> </w:t>
      </w:r>
      <w:r w:rsidRPr="00A80548">
        <w:rPr>
          <w:sz w:val="18"/>
          <w:szCs w:val="18"/>
        </w:rPr>
        <w:t>&lt;www.saskatchewan.ca&gt;.</w:t>
      </w:r>
    </w:p>
  </w:footnote>
  <w:footnote w:id="136">
    <w:p w14:paraId="1683445D" w14:textId="2F93E3C2"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Government of New Brunswick, </w:t>
      </w:r>
      <w:hyperlink r:id="rId69" w:history="1">
        <w:r w:rsidRPr="00A80548">
          <w:rPr>
            <w:rStyle w:val="Hyperlink"/>
            <w:i/>
            <w:iCs/>
            <w:sz w:val="18"/>
            <w:szCs w:val="18"/>
          </w:rPr>
          <w:t>Wage Support Program for Early Childhood Educators (WSP-ECE)</w:t>
        </w:r>
      </w:hyperlink>
      <w:r w:rsidRPr="00A80548">
        <w:rPr>
          <w:i/>
          <w:iCs/>
          <w:sz w:val="18"/>
          <w:szCs w:val="18"/>
        </w:rPr>
        <w:t xml:space="preserve"> </w:t>
      </w:r>
      <w:r w:rsidRPr="00A80548">
        <w:rPr>
          <w:sz w:val="18"/>
          <w:szCs w:val="18"/>
        </w:rPr>
        <w:t>&lt;www.gnb.ca&gt;</w:t>
      </w:r>
    </w:p>
  </w:footnote>
  <w:footnote w:id="137">
    <w:p w14:paraId="1B2F2B54" w14:textId="63E58F84"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Ibid.</w:t>
      </w:r>
    </w:p>
  </w:footnote>
  <w:footnote w:id="138">
    <w:p w14:paraId="586D8FDF" w14:textId="6710FAB7" w:rsidR="00483271" w:rsidRPr="00A80548" w:rsidRDefault="00483271">
      <w:pPr>
        <w:pStyle w:val="FootnoteText"/>
        <w:rPr>
          <w:i/>
          <w:iCs/>
          <w:sz w:val="18"/>
          <w:szCs w:val="18"/>
        </w:rPr>
      </w:pPr>
      <w:r w:rsidRPr="00A80548">
        <w:rPr>
          <w:rStyle w:val="FootnoteReference"/>
          <w:sz w:val="18"/>
          <w:szCs w:val="18"/>
        </w:rPr>
        <w:footnoteRef/>
      </w:r>
      <w:r w:rsidRPr="00A80548">
        <w:rPr>
          <w:sz w:val="18"/>
          <w:szCs w:val="18"/>
        </w:rPr>
        <w:t xml:space="preserve"> Government of New Brunswick, </w:t>
      </w:r>
      <w:hyperlink r:id="rId70" w:history="1">
        <w:r w:rsidRPr="00A80548">
          <w:rPr>
            <w:rStyle w:val="Hyperlink"/>
            <w:i/>
            <w:iCs/>
            <w:sz w:val="18"/>
            <w:szCs w:val="18"/>
          </w:rPr>
          <w:t>WSP-ECE Handbook Insert for: ECE Wage Grid Guidelines</w:t>
        </w:r>
      </w:hyperlink>
      <w:r w:rsidRPr="00A80548">
        <w:rPr>
          <w:i/>
          <w:iCs/>
          <w:sz w:val="18"/>
          <w:szCs w:val="18"/>
        </w:rPr>
        <w:t xml:space="preserve"> &lt;www.gnb.ca&gt;</w:t>
      </w:r>
    </w:p>
  </w:footnote>
  <w:footnote w:id="139">
    <w:p w14:paraId="3B079D2A" w14:textId="2AB01802" w:rsidR="00483271" w:rsidRPr="007D5715" w:rsidRDefault="00483271">
      <w:pPr>
        <w:pStyle w:val="FootnoteText"/>
        <w:rPr>
          <w:i/>
          <w:iCs/>
          <w:sz w:val="18"/>
          <w:szCs w:val="18"/>
        </w:rPr>
      </w:pPr>
      <w:r w:rsidRPr="00A80548">
        <w:rPr>
          <w:rStyle w:val="FootnoteReference"/>
          <w:sz w:val="18"/>
          <w:szCs w:val="18"/>
        </w:rPr>
        <w:footnoteRef/>
      </w:r>
      <w:r w:rsidRPr="00A80548">
        <w:rPr>
          <w:sz w:val="18"/>
          <w:szCs w:val="18"/>
        </w:rPr>
        <w:t xml:space="preserve"> Government of New Brunswick, </w:t>
      </w:r>
      <w:hyperlink r:id="rId71" w:history="1">
        <w:r w:rsidRPr="00A80548">
          <w:rPr>
            <w:rStyle w:val="Hyperlink"/>
            <w:i/>
            <w:iCs/>
            <w:sz w:val="18"/>
            <w:szCs w:val="18"/>
          </w:rPr>
          <w:t>Wage Support Program for Early Childhood Educators (WSP-ECE): Program Handbook</w:t>
        </w:r>
      </w:hyperlink>
      <w:r w:rsidRPr="00A80548">
        <w:rPr>
          <w:i/>
          <w:iCs/>
          <w:sz w:val="18"/>
          <w:szCs w:val="18"/>
        </w:rPr>
        <w:t>, &lt;www.gnb.ca&gt;</w:t>
      </w:r>
    </w:p>
  </w:footnote>
  <w:footnote w:id="140">
    <w:p w14:paraId="059BC2CE" w14:textId="7D553953" w:rsidR="00483271" w:rsidRPr="00A80548" w:rsidRDefault="00483271">
      <w:pPr>
        <w:pStyle w:val="FootnoteText"/>
        <w:rPr>
          <w:i/>
          <w:iCs/>
          <w:sz w:val="18"/>
          <w:szCs w:val="18"/>
        </w:rPr>
      </w:pPr>
      <w:r w:rsidRPr="00A80548">
        <w:rPr>
          <w:rStyle w:val="FootnoteReference"/>
          <w:sz w:val="18"/>
          <w:szCs w:val="18"/>
        </w:rPr>
        <w:footnoteRef/>
      </w:r>
      <w:r w:rsidRPr="00A80548">
        <w:rPr>
          <w:sz w:val="18"/>
          <w:szCs w:val="18"/>
        </w:rPr>
        <w:t xml:space="preserve"> Government of New Brunswick, </w:t>
      </w:r>
      <w:hyperlink r:id="rId72" w:history="1">
        <w:r w:rsidRPr="00A80548">
          <w:rPr>
            <w:rStyle w:val="Hyperlink"/>
            <w:i/>
            <w:iCs/>
            <w:sz w:val="18"/>
            <w:szCs w:val="18"/>
          </w:rPr>
          <w:t>Canada-New Brunswick Canada-wide Early Learning and Child Care Agreement: Annual Report for Fiscal Year 2022-2023</w:t>
        </w:r>
      </w:hyperlink>
      <w:r w:rsidRPr="00A80548">
        <w:rPr>
          <w:i/>
          <w:iCs/>
          <w:sz w:val="18"/>
          <w:szCs w:val="18"/>
        </w:rPr>
        <w:t xml:space="preserve"> &lt;www.gnb.ca&gt;</w:t>
      </w:r>
      <w:r w:rsidR="004C7681" w:rsidRPr="00A80548">
        <w:rPr>
          <w:i/>
          <w:iCs/>
          <w:sz w:val="18"/>
          <w:szCs w:val="18"/>
        </w:rPr>
        <w:t>.</w:t>
      </w:r>
    </w:p>
  </w:footnote>
  <w:footnote w:id="141">
    <w:p w14:paraId="665171B5" w14:textId="1BA16791" w:rsidR="00483271" w:rsidRPr="00A80548" w:rsidRDefault="00483271">
      <w:pPr>
        <w:pStyle w:val="FootnoteText"/>
        <w:rPr>
          <w:sz w:val="18"/>
          <w:szCs w:val="18"/>
        </w:rPr>
      </w:pPr>
      <w:r w:rsidRPr="00A80548">
        <w:rPr>
          <w:rStyle w:val="FootnoteReference"/>
          <w:sz w:val="18"/>
          <w:szCs w:val="18"/>
        </w:rPr>
        <w:footnoteRef/>
      </w:r>
      <w:r w:rsidRPr="00A80548">
        <w:rPr>
          <w:sz w:val="18"/>
          <w:szCs w:val="18"/>
        </w:rPr>
        <w:t xml:space="preserve"> Ibid.</w:t>
      </w:r>
    </w:p>
  </w:footnote>
  <w:footnote w:id="142">
    <w:p w14:paraId="6E6FE562" w14:textId="4123CA47" w:rsidR="00483271" w:rsidRPr="009209EE" w:rsidRDefault="00483271">
      <w:pPr>
        <w:pStyle w:val="FootnoteText"/>
        <w:rPr>
          <w:i/>
          <w:iCs/>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Australian Competition and Consumer Commission, </w:t>
      </w:r>
      <w:hyperlink r:id="rId73"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 &lt;www.accc.gov.au&gt;.</w:t>
      </w:r>
    </w:p>
  </w:footnote>
  <w:footnote w:id="143">
    <w:p w14:paraId="46ED4A28" w14:textId="218B98B7" w:rsidR="00483271" w:rsidRPr="009209EE" w:rsidRDefault="00483271" w:rsidP="00E4283D">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Australian Competition and Consumer Commission, </w:t>
      </w:r>
      <w:hyperlink r:id="rId74"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w:t>
      </w:r>
      <w:r w:rsidRPr="00A80548">
        <w:rPr>
          <w:sz w:val="18"/>
          <w:szCs w:val="18"/>
        </w:rPr>
        <w:t xml:space="preserve">, 209, </w:t>
      </w:r>
      <w:r w:rsidRPr="00A80548">
        <w:rPr>
          <w:rFonts w:asciiTheme="majorHAnsi" w:hAnsiTheme="majorHAnsi" w:cstheme="majorHAnsi"/>
          <w:sz w:val="18"/>
          <w:szCs w:val="18"/>
        </w:rPr>
        <w:t>&lt;www.accc.gov.au&gt;.</w:t>
      </w:r>
    </w:p>
  </w:footnote>
  <w:footnote w:id="144">
    <w:p w14:paraId="760228C7" w14:textId="78E13F00" w:rsidR="00483271" w:rsidRDefault="00483271">
      <w:pPr>
        <w:pStyle w:val="FootnoteText"/>
      </w:pPr>
      <w:r w:rsidRPr="009209EE">
        <w:rPr>
          <w:rStyle w:val="FootnoteReference"/>
          <w:sz w:val="18"/>
          <w:szCs w:val="18"/>
        </w:rPr>
        <w:footnoteRef/>
      </w:r>
      <w:r w:rsidRPr="009209EE">
        <w:rPr>
          <w:sz w:val="18"/>
          <w:szCs w:val="18"/>
        </w:rPr>
        <w:t xml:space="preserve"> Ibid, 214</w:t>
      </w:r>
    </w:p>
  </w:footnote>
  <w:footnote w:id="145">
    <w:p w14:paraId="7E0E503D" w14:textId="44799D75" w:rsidR="00483271" w:rsidRPr="00A80548" w:rsidRDefault="00483271">
      <w:pPr>
        <w:pStyle w:val="FootnoteText"/>
        <w:rPr>
          <w:i/>
          <w:iCs/>
          <w:sz w:val="18"/>
          <w:szCs w:val="18"/>
        </w:rPr>
      </w:pPr>
      <w:r w:rsidRPr="009209EE">
        <w:rPr>
          <w:rStyle w:val="FootnoteReference"/>
          <w:sz w:val="18"/>
          <w:szCs w:val="18"/>
        </w:rPr>
        <w:footnoteRef/>
      </w:r>
      <w:r w:rsidRPr="009209EE">
        <w:rPr>
          <w:sz w:val="18"/>
          <w:szCs w:val="18"/>
        </w:rPr>
        <w:t xml:space="preserve"> </w:t>
      </w:r>
      <w:r w:rsidRPr="00A80548">
        <w:rPr>
          <w:sz w:val="18"/>
          <w:szCs w:val="18"/>
        </w:rPr>
        <w:t>Government of Ireland, “</w:t>
      </w:r>
      <w:hyperlink r:id="rId75" w:history="1">
        <w:r w:rsidRPr="00A80548">
          <w:rPr>
            <w:rStyle w:val="Hyperlink"/>
            <w:i/>
            <w:iCs/>
            <w:sz w:val="18"/>
            <w:szCs w:val="18"/>
          </w:rPr>
          <w:t>Minister O’Gorman secures €1 billion investment in early learning and childcare</w:t>
        </w:r>
      </w:hyperlink>
      <w:r w:rsidRPr="00A80548">
        <w:rPr>
          <w:i/>
          <w:iCs/>
          <w:sz w:val="18"/>
          <w:szCs w:val="18"/>
        </w:rPr>
        <w:t>” &lt;www.gov.ie/en&gt;</w:t>
      </w:r>
    </w:p>
  </w:footnote>
  <w:footnote w:id="146">
    <w:p w14:paraId="40C3D675" w14:textId="160BEB70"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Government of Ireland, ‘</w:t>
      </w:r>
      <w:hyperlink r:id="rId76" w:history="1">
        <w:r w:rsidRPr="00A80548">
          <w:rPr>
            <w:rStyle w:val="Hyperlink"/>
            <w:i/>
            <w:iCs/>
            <w:sz w:val="18"/>
            <w:szCs w:val="18"/>
          </w:rPr>
          <w:t>First 5 Funding Model – Core Funding</w:t>
        </w:r>
      </w:hyperlink>
      <w:r w:rsidRPr="00A80548">
        <w:rPr>
          <w:i/>
          <w:iCs/>
          <w:sz w:val="18"/>
          <w:szCs w:val="18"/>
        </w:rPr>
        <w:t>’</w:t>
      </w:r>
      <w:r w:rsidRPr="00A80548">
        <w:rPr>
          <w:sz w:val="18"/>
          <w:szCs w:val="18"/>
        </w:rPr>
        <w:t xml:space="preserve"> &lt;www.first5fundingmodel.gov.ie/&gt; </w:t>
      </w:r>
    </w:p>
  </w:footnote>
  <w:footnote w:id="147">
    <w:p w14:paraId="595AE8C4" w14:textId="369FAA3B"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Government of Ireland, “</w:t>
      </w:r>
      <w:hyperlink r:id="rId77" w:history="1">
        <w:r w:rsidRPr="00A80548">
          <w:rPr>
            <w:rStyle w:val="Hyperlink"/>
            <w:i/>
            <w:iCs/>
            <w:sz w:val="18"/>
            <w:szCs w:val="18"/>
          </w:rPr>
          <w:t>Minister O’Gorman secures €1 billion investment in early learning and childcare</w:t>
        </w:r>
      </w:hyperlink>
      <w:r w:rsidRPr="00A80548">
        <w:rPr>
          <w:i/>
          <w:iCs/>
          <w:sz w:val="18"/>
          <w:szCs w:val="18"/>
        </w:rPr>
        <w:t xml:space="preserve">” </w:t>
      </w:r>
      <w:r w:rsidRPr="00A80548">
        <w:rPr>
          <w:sz w:val="18"/>
          <w:szCs w:val="18"/>
        </w:rPr>
        <w:t>&lt;www.gov.ie/en&gt;</w:t>
      </w:r>
    </w:p>
  </w:footnote>
  <w:footnote w:id="148">
    <w:p w14:paraId="00B652CA" w14:textId="57271336"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Government of Ireland, “</w:t>
      </w:r>
      <w:hyperlink r:id="rId78" w:history="1">
        <w:r w:rsidRPr="00A80548">
          <w:rPr>
            <w:rStyle w:val="Hyperlink"/>
            <w:sz w:val="18"/>
            <w:szCs w:val="18"/>
          </w:rPr>
          <w:t>Over 90% of Early Learning and Care and School-Age Childcare providers introduce fee freeze for parents</w:t>
        </w:r>
      </w:hyperlink>
      <w:r w:rsidRPr="00A80548">
        <w:rPr>
          <w:i/>
          <w:iCs/>
          <w:sz w:val="18"/>
          <w:szCs w:val="18"/>
        </w:rPr>
        <w:t>”</w:t>
      </w:r>
      <w:r w:rsidRPr="00A80548">
        <w:rPr>
          <w:sz w:val="18"/>
          <w:szCs w:val="18"/>
        </w:rPr>
        <w:t xml:space="preserve"> &lt;www.gov.ie/en&gt;</w:t>
      </w:r>
    </w:p>
  </w:footnote>
  <w:footnote w:id="149">
    <w:p w14:paraId="19374295" w14:textId="77777777" w:rsidR="00483271" w:rsidRPr="009209EE" w:rsidRDefault="00483271" w:rsidP="004C170F">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The Irish Times, </w:t>
      </w:r>
      <w:r w:rsidRPr="00A80548">
        <w:rPr>
          <w:i/>
          <w:iCs/>
          <w:sz w:val="18"/>
          <w:szCs w:val="18"/>
        </w:rPr>
        <w:t>“</w:t>
      </w:r>
      <w:hyperlink r:id="rId79" w:history="1">
        <w:r w:rsidRPr="00A80548">
          <w:rPr>
            <w:rStyle w:val="Hyperlink"/>
            <w:i/>
            <w:iCs/>
            <w:sz w:val="18"/>
            <w:szCs w:val="18"/>
          </w:rPr>
          <w:t>Childcare providers may withdraw from funding scheme over reporting rules – The Irish Times</w:t>
        </w:r>
      </w:hyperlink>
      <w:r w:rsidRPr="00A80548">
        <w:rPr>
          <w:i/>
          <w:iCs/>
          <w:sz w:val="18"/>
          <w:szCs w:val="18"/>
        </w:rPr>
        <w:t>”</w:t>
      </w:r>
    </w:p>
  </w:footnote>
  <w:footnote w:id="150">
    <w:p w14:paraId="5EA661D4" w14:textId="19DCB067"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The Journal, </w:t>
      </w:r>
      <w:r w:rsidRPr="00A80548">
        <w:rPr>
          <w:i/>
          <w:iCs/>
          <w:sz w:val="18"/>
          <w:szCs w:val="18"/>
        </w:rPr>
        <w:t>“</w:t>
      </w:r>
      <w:hyperlink r:id="rId80" w:anchor=":~:text=Childcare%20providers%20agreed%20to%20continue,for%20them%20to%20do%20business." w:history="1">
        <w:r w:rsidRPr="00A80548">
          <w:rPr>
            <w:rStyle w:val="Hyperlink"/>
            <w:i/>
            <w:iCs/>
            <w:sz w:val="18"/>
            <w:szCs w:val="18"/>
          </w:rPr>
          <w:t>O'Gorman doubles down on need for fee freeze as childcare providers protest at Leinster House (thejournal.ie)</w:t>
        </w:r>
      </w:hyperlink>
      <w:r w:rsidRPr="00A80548">
        <w:rPr>
          <w:i/>
          <w:iCs/>
          <w:sz w:val="18"/>
          <w:szCs w:val="18"/>
        </w:rPr>
        <w:t>”</w:t>
      </w:r>
    </w:p>
  </w:footnote>
  <w:footnote w:id="151">
    <w:p w14:paraId="6D1A5F27" w14:textId="77777777" w:rsidR="00483271" w:rsidRPr="009209EE" w:rsidRDefault="00483271" w:rsidP="007868C4">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The Irish Examiner, </w:t>
      </w:r>
      <w:r w:rsidRPr="00A80548">
        <w:rPr>
          <w:i/>
          <w:iCs/>
          <w:sz w:val="18"/>
          <w:szCs w:val="18"/>
        </w:rPr>
        <w:t>“</w:t>
      </w:r>
      <w:hyperlink r:id="rId81" w:history="1">
        <w:r w:rsidRPr="00A80548">
          <w:rPr>
            <w:rStyle w:val="Hyperlink"/>
            <w:i/>
            <w:iCs/>
            <w:sz w:val="18"/>
            <w:szCs w:val="18"/>
          </w:rPr>
          <w:t>Parents trying to find creche places for children who have yet to be born  (irishexaminer.com)</w:t>
        </w:r>
      </w:hyperlink>
      <w:r w:rsidRPr="00A80548">
        <w:rPr>
          <w:i/>
          <w:iCs/>
          <w:sz w:val="18"/>
          <w:szCs w:val="18"/>
        </w:rPr>
        <w:t>”</w:t>
      </w:r>
    </w:p>
  </w:footnote>
  <w:footnote w:id="152">
    <w:p w14:paraId="55631F80" w14:textId="36B5B7E5" w:rsidR="00483271" w:rsidRPr="009209EE" w:rsidRDefault="00483271">
      <w:pPr>
        <w:pStyle w:val="FootnoteText"/>
        <w:rPr>
          <w:sz w:val="18"/>
          <w:szCs w:val="18"/>
        </w:rPr>
      </w:pPr>
      <w:r w:rsidRPr="009209EE">
        <w:rPr>
          <w:rStyle w:val="FootnoteReference"/>
          <w:sz w:val="18"/>
          <w:szCs w:val="18"/>
        </w:rPr>
        <w:footnoteRef/>
      </w:r>
      <w:r w:rsidRPr="009209EE">
        <w:rPr>
          <w:sz w:val="18"/>
          <w:szCs w:val="18"/>
        </w:rPr>
        <w:t xml:space="preserve"> </w:t>
      </w:r>
      <w:r w:rsidRPr="00A80548">
        <w:rPr>
          <w:sz w:val="18"/>
          <w:szCs w:val="18"/>
        </w:rPr>
        <w:t xml:space="preserve">The Irish Times, </w:t>
      </w:r>
      <w:r w:rsidRPr="00A80548">
        <w:rPr>
          <w:i/>
          <w:iCs/>
          <w:sz w:val="18"/>
          <w:szCs w:val="18"/>
        </w:rPr>
        <w:t>“</w:t>
      </w:r>
      <w:hyperlink r:id="rId82" w:history="1">
        <w:r w:rsidRPr="00A80548">
          <w:rPr>
            <w:rStyle w:val="Hyperlink"/>
            <w:i/>
            <w:iCs/>
            <w:sz w:val="18"/>
            <w:szCs w:val="18"/>
          </w:rPr>
          <w:t>Why so many creches have been closing and what can be done about it – The Irish Times</w:t>
        </w:r>
      </w:hyperlink>
      <w:r w:rsidRPr="00A80548">
        <w:rPr>
          <w:i/>
          <w:iCs/>
          <w:sz w:val="18"/>
          <w:szCs w:val="18"/>
        </w:rPr>
        <w:t>”</w:t>
      </w:r>
    </w:p>
  </w:footnote>
  <w:footnote w:id="153">
    <w:p w14:paraId="58BDBC84" w14:textId="0B1FB164" w:rsidR="00483271" w:rsidRPr="00FE387A" w:rsidRDefault="00483271">
      <w:pPr>
        <w:pStyle w:val="FootnoteText"/>
      </w:pPr>
      <w:r w:rsidRPr="009209EE">
        <w:rPr>
          <w:rStyle w:val="FootnoteReference"/>
          <w:sz w:val="18"/>
          <w:szCs w:val="18"/>
        </w:rPr>
        <w:footnoteRef/>
      </w:r>
      <w:r w:rsidRPr="009209EE">
        <w:rPr>
          <w:sz w:val="18"/>
          <w:szCs w:val="18"/>
        </w:rPr>
        <w:t xml:space="preserve"> </w:t>
      </w:r>
      <w:r w:rsidRPr="00A80548">
        <w:rPr>
          <w:sz w:val="18"/>
          <w:szCs w:val="18"/>
        </w:rPr>
        <w:t xml:space="preserve">Australian Competition and Consumer Commission, </w:t>
      </w:r>
      <w:hyperlink r:id="rId83"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 196 &lt;www.accc.gov.au&gt;</w:t>
      </w:r>
      <w:r w:rsidRPr="007D5715">
        <w:rPr>
          <w:sz w:val="18"/>
          <w:szCs w:val="18"/>
        </w:rPr>
        <w:t xml:space="preserve"> </w:t>
      </w:r>
    </w:p>
  </w:footnote>
  <w:footnote w:id="154">
    <w:p w14:paraId="3D512409" w14:textId="03217309" w:rsidR="00483271" w:rsidRPr="00A80548" w:rsidRDefault="00483271" w:rsidP="00B66888">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84"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211 &lt;www.accc.gov.au&gt;.</w:t>
      </w:r>
    </w:p>
  </w:footnote>
  <w:footnote w:id="155">
    <w:p w14:paraId="475909C6" w14:textId="1F9E553F" w:rsidR="00483271" w:rsidRPr="00A80548" w:rsidRDefault="00483271" w:rsidP="00D1435D">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85"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50 &lt;www.accc.gov.au&gt;.</w:t>
      </w:r>
    </w:p>
  </w:footnote>
  <w:footnote w:id="156">
    <w:p w14:paraId="3DD8CCDE" w14:textId="1CF6C8E8" w:rsidR="00483271" w:rsidRPr="00A80548" w:rsidRDefault="00483271" w:rsidP="00D1435D">
      <w:pPr>
        <w:pStyle w:val="FootnoteText"/>
        <w:rPr>
          <w:rFonts w:asciiTheme="majorHAnsi" w:hAnsiTheme="majorHAnsi" w:cstheme="majorHAnsi"/>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86" w:history="1">
        <w:r w:rsidRPr="00A80548">
          <w:rPr>
            <w:rStyle w:val="Hyperlink"/>
            <w:rFonts w:asciiTheme="majorHAnsi" w:hAnsiTheme="majorHAnsi" w:cstheme="majorHAnsi"/>
            <w:i/>
            <w:iCs/>
            <w:sz w:val="18"/>
            <w:szCs w:val="18"/>
          </w:rPr>
          <w:t>Childcare inquiry September interim report</w:t>
        </w:r>
      </w:hyperlink>
      <w:r w:rsidRPr="00A80548">
        <w:rPr>
          <w:rFonts w:asciiTheme="majorHAnsi" w:hAnsiTheme="majorHAnsi" w:cstheme="majorHAnsi"/>
          <w:sz w:val="18"/>
          <w:szCs w:val="18"/>
        </w:rPr>
        <w:t>,</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September 2023,</w:t>
      </w:r>
      <w:r w:rsidRPr="00A80548">
        <w:rPr>
          <w:rFonts w:asciiTheme="majorHAnsi" w:hAnsiTheme="majorHAnsi" w:cstheme="majorHAnsi"/>
          <w:i/>
          <w:iCs/>
          <w:sz w:val="18"/>
          <w:szCs w:val="18"/>
        </w:rPr>
        <w:t xml:space="preserve"> </w:t>
      </w:r>
      <w:r w:rsidRPr="00A80548">
        <w:rPr>
          <w:rFonts w:asciiTheme="majorHAnsi" w:hAnsiTheme="majorHAnsi" w:cstheme="majorHAnsi"/>
          <w:sz w:val="18"/>
          <w:szCs w:val="18"/>
        </w:rPr>
        <w:t>42 &lt;www.accc.gov.au&gt;</w:t>
      </w:r>
    </w:p>
  </w:footnote>
  <w:footnote w:id="157">
    <w:p w14:paraId="4138359E" w14:textId="6C1FDA29" w:rsidR="00483271" w:rsidRPr="00F337AA" w:rsidRDefault="00483271" w:rsidP="00D1435D">
      <w:pPr>
        <w:pStyle w:val="FootnoteText"/>
        <w:rPr>
          <w:sz w:val="18"/>
          <w:szCs w:val="18"/>
        </w:rPr>
      </w:pPr>
      <w:r w:rsidRPr="00A80548">
        <w:rPr>
          <w:rStyle w:val="FootnoteReference"/>
          <w:sz w:val="18"/>
          <w:szCs w:val="18"/>
        </w:rPr>
        <w:footnoteRef/>
      </w:r>
      <w:r w:rsidRPr="00A80548">
        <w:rPr>
          <w:sz w:val="18"/>
          <w:szCs w:val="18"/>
        </w:rPr>
        <w:t xml:space="preserve"> </w:t>
      </w:r>
      <w:r w:rsidRPr="00A80548">
        <w:rPr>
          <w:rFonts w:asciiTheme="majorHAnsi" w:hAnsiTheme="majorHAnsi" w:cstheme="majorHAnsi"/>
          <w:sz w:val="18"/>
          <w:szCs w:val="18"/>
        </w:rPr>
        <w:t xml:space="preserve">Australian Competition and Consumer Commission, </w:t>
      </w:r>
      <w:hyperlink r:id="rId87" w:history="1">
        <w:r w:rsidRPr="00A80548">
          <w:rPr>
            <w:rStyle w:val="Hyperlink"/>
            <w:rFonts w:asciiTheme="majorHAnsi" w:hAnsiTheme="majorHAnsi" w:cstheme="majorHAnsi"/>
            <w:i/>
            <w:iCs/>
            <w:sz w:val="18"/>
            <w:szCs w:val="18"/>
          </w:rPr>
          <w:t>Childcare inquiry – Final report</w:t>
        </w:r>
      </w:hyperlink>
      <w:r w:rsidRPr="00A80548">
        <w:rPr>
          <w:rFonts w:asciiTheme="majorHAnsi" w:hAnsiTheme="majorHAnsi" w:cstheme="majorHAnsi"/>
          <w:sz w:val="18"/>
          <w:szCs w:val="18"/>
        </w:rPr>
        <w:t>, December 2023, 50 &lt;www.accc.gov.au&gt;.</w:t>
      </w:r>
    </w:p>
  </w:footnote>
  <w:footnote w:id="158">
    <w:p w14:paraId="6A6E8519" w14:textId="77777777" w:rsidR="00483271" w:rsidRPr="00A80548" w:rsidRDefault="00483271" w:rsidP="003913EE">
      <w:pPr>
        <w:pStyle w:val="FootnoteText"/>
        <w:rPr>
          <w:sz w:val="18"/>
          <w:szCs w:val="18"/>
        </w:rPr>
      </w:pPr>
      <w:r w:rsidRPr="00A80548">
        <w:rPr>
          <w:rStyle w:val="FootnoteReference"/>
          <w:sz w:val="18"/>
          <w:szCs w:val="18"/>
        </w:rPr>
        <w:footnoteRef/>
      </w:r>
      <w:r w:rsidRPr="00A80548">
        <w:rPr>
          <w:sz w:val="18"/>
          <w:szCs w:val="18"/>
        </w:rPr>
        <w:t xml:space="preserve"> It also includes the </w:t>
      </w:r>
      <w:r w:rsidRPr="00A80548">
        <w:rPr>
          <w:i/>
          <w:iCs/>
          <w:sz w:val="18"/>
          <w:szCs w:val="18"/>
        </w:rPr>
        <w:t>Fair Work (Registered Organisations) Act 2009</w:t>
      </w:r>
      <w:r w:rsidRPr="00A80548">
        <w:rPr>
          <w:sz w:val="18"/>
          <w:szCs w:val="18"/>
        </w:rPr>
        <w:t xml:space="preserve">, the </w:t>
      </w:r>
      <w:r w:rsidRPr="00A80548">
        <w:rPr>
          <w:i/>
          <w:iCs/>
          <w:sz w:val="18"/>
          <w:szCs w:val="18"/>
        </w:rPr>
        <w:t>Independent Contractors Act 2006</w:t>
      </w:r>
      <w:r w:rsidRPr="00A80548">
        <w:rPr>
          <w:sz w:val="18"/>
          <w:szCs w:val="18"/>
        </w:rPr>
        <w:t>, or any other law of the Commonwealth, a State or Territory that regulates the relationships between employers and employees (including by dealing with occupational health and safety matter).</w:t>
      </w:r>
    </w:p>
  </w:footnote>
  <w:footnote w:id="159">
    <w:p w14:paraId="2CF4F0D1" w14:textId="77777777" w:rsidR="00483271" w:rsidRPr="007D5715" w:rsidRDefault="00483271" w:rsidP="003913EE">
      <w:pPr>
        <w:pStyle w:val="FootnoteText"/>
        <w:rPr>
          <w:sz w:val="18"/>
          <w:szCs w:val="18"/>
        </w:rPr>
      </w:pPr>
      <w:r w:rsidRPr="00A80548">
        <w:rPr>
          <w:rStyle w:val="FootnoteReference"/>
          <w:sz w:val="18"/>
          <w:szCs w:val="18"/>
        </w:rPr>
        <w:footnoteRef/>
      </w:r>
      <w:r w:rsidRPr="00A80548">
        <w:rPr>
          <w:sz w:val="18"/>
          <w:szCs w:val="18"/>
        </w:rPr>
        <w:t xml:space="preserve"> </w:t>
      </w:r>
      <w:hyperlink r:id="rId88">
        <w:r w:rsidRPr="00A80548">
          <w:rPr>
            <w:rStyle w:val="Hyperlink"/>
            <w:rFonts w:eastAsia="Lato" w:cstheme="minorHAnsi"/>
            <w:color w:val="313131"/>
            <w:sz w:val="18"/>
            <w:szCs w:val="18"/>
          </w:rPr>
          <w:t>Barnett v Territory Insurance Office (2011) 211 IR 439</w:t>
        </w:r>
      </w:hyperlink>
      <w:r w:rsidRPr="00A80548">
        <w:rPr>
          <w:rFonts w:eastAsia="Lato" w:cstheme="minorHAnsi"/>
          <w:color w:val="000000" w:themeColor="text1"/>
          <w:sz w:val="18"/>
          <w:szCs w:val="18"/>
        </w:rPr>
        <w:t xml:space="preserve">; cited in </w:t>
      </w:r>
      <w:hyperlink r:id="rId89">
        <w:r w:rsidRPr="00A80548">
          <w:rPr>
            <w:rStyle w:val="Hyperlink"/>
            <w:rFonts w:eastAsia="Lato" w:cstheme="minorHAnsi"/>
            <w:color w:val="313131"/>
            <w:sz w:val="18"/>
            <w:szCs w:val="18"/>
          </w:rPr>
          <w:t>Atkinson v Vmoto Limited [2012] FWA 9043</w:t>
        </w:r>
      </w:hyperlink>
      <w:r w:rsidRPr="00A80548">
        <w:rPr>
          <w:rFonts w:eastAsia="Lato" w:cstheme="minorHAnsi"/>
          <w:color w:val="000000" w:themeColor="text1"/>
          <w:sz w:val="18"/>
          <w:szCs w:val="18"/>
        </w:rPr>
        <w:t xml:space="preserve"> (unreported, Spencer C, 26 October 2012) [57]; </w:t>
      </w:r>
      <w:hyperlink r:id="rId90">
        <w:r w:rsidRPr="00A80548">
          <w:rPr>
            <w:rStyle w:val="Hyperlink"/>
            <w:rFonts w:eastAsia="Lato" w:cstheme="minorHAnsi"/>
            <w:color w:val="313131"/>
            <w:sz w:val="18"/>
            <w:szCs w:val="18"/>
          </w:rPr>
          <w:t>Bayford v Maxxia Pty Ltd (2011) 207 IR 50</w:t>
        </w:r>
      </w:hyperlink>
      <w:r w:rsidRPr="00A80548">
        <w:rPr>
          <w:rFonts w:eastAsia="Lato" w:cstheme="minorHAnsi"/>
          <w:color w:val="000000" w:themeColor="text1"/>
          <w:sz w:val="18"/>
          <w:szCs w:val="18"/>
        </w:rPr>
        <w:t xml:space="preserve"> [155].</w:t>
      </w:r>
    </w:p>
  </w:footnote>
  <w:footnote w:id="160">
    <w:p w14:paraId="208CA976" w14:textId="64444950" w:rsidR="00483271" w:rsidRPr="00A80548" w:rsidRDefault="00483271" w:rsidP="29A029EE">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91">
        <w:r w:rsidRPr="00A80548">
          <w:rPr>
            <w:rStyle w:val="Hyperlink"/>
            <w:i/>
            <w:iCs/>
            <w:sz w:val="18"/>
            <w:szCs w:val="18"/>
          </w:rPr>
          <w:t>Adding employers and their employees to a supported bargaining agreement</w:t>
        </w:r>
      </w:hyperlink>
      <w:r w:rsidRPr="00A80548">
        <w:rPr>
          <w:i/>
          <w:iCs/>
          <w:sz w:val="18"/>
          <w:szCs w:val="18"/>
        </w:rPr>
        <w:t xml:space="preserve"> </w:t>
      </w:r>
      <w:r w:rsidRPr="00A80548">
        <w:rPr>
          <w:sz w:val="18"/>
          <w:szCs w:val="18"/>
        </w:rPr>
        <w:t>&lt;www.fwc.gov.au&gt;</w:t>
      </w:r>
    </w:p>
  </w:footnote>
  <w:footnote w:id="161">
    <w:p w14:paraId="69F4AC24" w14:textId="5E1DAE17" w:rsidR="00483271" w:rsidRPr="00F337AA" w:rsidRDefault="00483271" w:rsidP="29A029EE">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92">
        <w:r w:rsidRPr="00A80548">
          <w:rPr>
            <w:rStyle w:val="Hyperlink"/>
            <w:i/>
            <w:iCs/>
            <w:sz w:val="18"/>
            <w:szCs w:val="18"/>
          </w:rPr>
          <w:t>Adding employers and their employees to a supported bargaining agreement</w:t>
        </w:r>
      </w:hyperlink>
      <w:r w:rsidRPr="00A80548">
        <w:rPr>
          <w:i/>
          <w:iCs/>
          <w:sz w:val="18"/>
          <w:szCs w:val="18"/>
        </w:rPr>
        <w:t xml:space="preserve"> </w:t>
      </w:r>
      <w:r w:rsidRPr="00A80548">
        <w:rPr>
          <w:sz w:val="18"/>
          <w:szCs w:val="18"/>
        </w:rPr>
        <w:t>&lt;www.fwc.gov.au&gt;</w:t>
      </w:r>
    </w:p>
  </w:footnote>
  <w:footnote w:id="162">
    <w:p w14:paraId="44D418EE" w14:textId="36E268DE" w:rsidR="00483271" w:rsidRPr="00A80548" w:rsidRDefault="00483271" w:rsidP="29A029EE">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93">
        <w:r w:rsidRPr="00A80548">
          <w:rPr>
            <w:rStyle w:val="Hyperlink"/>
            <w:i/>
            <w:iCs/>
            <w:sz w:val="18"/>
            <w:szCs w:val="18"/>
          </w:rPr>
          <w:t>Benchbook: Enterprise Agreements</w:t>
        </w:r>
      </w:hyperlink>
      <w:r w:rsidRPr="00A80548">
        <w:rPr>
          <w:i/>
          <w:iCs/>
          <w:sz w:val="18"/>
          <w:szCs w:val="18"/>
        </w:rPr>
        <w:t xml:space="preserve">, </w:t>
      </w:r>
      <w:r w:rsidRPr="00A80548">
        <w:rPr>
          <w:sz w:val="18"/>
          <w:szCs w:val="18"/>
        </w:rPr>
        <w:t>August 2023, 220 &lt;www.fwc.gov.au&gt;</w:t>
      </w:r>
    </w:p>
  </w:footnote>
  <w:footnote w:id="163">
    <w:p w14:paraId="5AC9EAAB" w14:textId="3D3F625B" w:rsidR="00483271" w:rsidRPr="00A80548" w:rsidRDefault="00483271" w:rsidP="29A029EE">
      <w:pPr>
        <w:pStyle w:val="FootnoteText"/>
        <w:rPr>
          <w:sz w:val="18"/>
          <w:szCs w:val="18"/>
        </w:rPr>
      </w:pPr>
      <w:r w:rsidRPr="00A80548">
        <w:rPr>
          <w:rStyle w:val="FootnoteReference"/>
          <w:sz w:val="18"/>
          <w:szCs w:val="18"/>
        </w:rPr>
        <w:footnoteRef/>
      </w:r>
      <w:r w:rsidRPr="00A80548">
        <w:rPr>
          <w:sz w:val="18"/>
          <w:szCs w:val="18"/>
        </w:rPr>
        <w:t xml:space="preserve"> Fair Work Commission, </w:t>
      </w:r>
      <w:hyperlink r:id="rId94">
        <w:r w:rsidRPr="00A80548">
          <w:rPr>
            <w:rStyle w:val="Hyperlink"/>
            <w:i/>
            <w:iCs/>
            <w:sz w:val="18"/>
            <w:szCs w:val="18"/>
          </w:rPr>
          <w:t>Benchbook: Enterprise Agreements</w:t>
        </w:r>
      </w:hyperlink>
      <w:r w:rsidRPr="00A80548">
        <w:rPr>
          <w:i/>
          <w:iCs/>
          <w:sz w:val="18"/>
          <w:szCs w:val="18"/>
        </w:rPr>
        <w:t xml:space="preserve">, </w:t>
      </w:r>
      <w:r w:rsidRPr="00A80548">
        <w:rPr>
          <w:sz w:val="18"/>
          <w:szCs w:val="18"/>
        </w:rPr>
        <w:t>August 2023, 81 &lt;www.fwc.gov.au&gt;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13B5" w14:textId="36C6FE14" w:rsidR="00483271" w:rsidRPr="005147FB" w:rsidRDefault="00483271" w:rsidP="005147FB">
    <w:pPr>
      <w:spacing w:after="0"/>
      <w:jc w:val="center"/>
      <w:rPr>
        <w:rFonts w:ascii="Arial" w:eastAsia="Arial" w:hAnsi="Arial" w:cs="Arial"/>
        <w:noProof/>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515E8D"/>
    <w:multiLevelType w:val="multilevel"/>
    <w:tmpl w:val="1AD4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C6026A"/>
    <w:multiLevelType w:val="hybridMultilevel"/>
    <w:tmpl w:val="A9A4703C"/>
    <w:lvl w:ilvl="0" w:tplc="0A302A20">
      <w:start w:val="1"/>
      <w:numFmt w:val="bullet"/>
      <w:lvlText w:val=""/>
      <w:lvlJc w:val="left"/>
      <w:pPr>
        <w:ind w:left="360" w:hanging="360"/>
      </w:pPr>
      <w:rPr>
        <w:rFonts w:ascii="Symbol" w:hAnsi="Symbol" w:hint="default"/>
      </w:rPr>
    </w:lvl>
    <w:lvl w:ilvl="1" w:tplc="88E67034">
      <w:start w:val="1"/>
      <w:numFmt w:val="bullet"/>
      <w:lvlText w:val="o"/>
      <w:lvlJc w:val="left"/>
      <w:pPr>
        <w:ind w:left="1080" w:hanging="360"/>
      </w:pPr>
      <w:rPr>
        <w:rFonts w:ascii="Courier New" w:hAnsi="Courier New" w:hint="default"/>
      </w:rPr>
    </w:lvl>
    <w:lvl w:ilvl="2" w:tplc="D674C81C">
      <w:start w:val="1"/>
      <w:numFmt w:val="bullet"/>
      <w:lvlText w:val=""/>
      <w:lvlJc w:val="left"/>
      <w:pPr>
        <w:ind w:left="1800" w:hanging="360"/>
      </w:pPr>
      <w:rPr>
        <w:rFonts w:ascii="Wingdings" w:hAnsi="Wingdings" w:hint="default"/>
      </w:rPr>
    </w:lvl>
    <w:lvl w:ilvl="3" w:tplc="858CE900">
      <w:start w:val="1"/>
      <w:numFmt w:val="bullet"/>
      <w:lvlText w:val=""/>
      <w:lvlJc w:val="left"/>
      <w:pPr>
        <w:ind w:left="2520" w:hanging="360"/>
      </w:pPr>
      <w:rPr>
        <w:rFonts w:ascii="Symbol" w:hAnsi="Symbol" w:hint="default"/>
      </w:rPr>
    </w:lvl>
    <w:lvl w:ilvl="4" w:tplc="5816A24A">
      <w:start w:val="1"/>
      <w:numFmt w:val="bullet"/>
      <w:lvlText w:val="o"/>
      <w:lvlJc w:val="left"/>
      <w:pPr>
        <w:ind w:left="3240" w:hanging="360"/>
      </w:pPr>
      <w:rPr>
        <w:rFonts w:ascii="Courier New" w:hAnsi="Courier New" w:hint="default"/>
      </w:rPr>
    </w:lvl>
    <w:lvl w:ilvl="5" w:tplc="85CA04D0">
      <w:start w:val="1"/>
      <w:numFmt w:val="bullet"/>
      <w:lvlText w:val=""/>
      <w:lvlJc w:val="left"/>
      <w:pPr>
        <w:ind w:left="3960" w:hanging="360"/>
      </w:pPr>
      <w:rPr>
        <w:rFonts w:ascii="Wingdings" w:hAnsi="Wingdings" w:hint="default"/>
      </w:rPr>
    </w:lvl>
    <w:lvl w:ilvl="6" w:tplc="FD5C5EF0">
      <w:start w:val="1"/>
      <w:numFmt w:val="bullet"/>
      <w:lvlText w:val=""/>
      <w:lvlJc w:val="left"/>
      <w:pPr>
        <w:ind w:left="4680" w:hanging="360"/>
      </w:pPr>
      <w:rPr>
        <w:rFonts w:ascii="Symbol" w:hAnsi="Symbol" w:hint="default"/>
      </w:rPr>
    </w:lvl>
    <w:lvl w:ilvl="7" w:tplc="A336D0F4">
      <w:start w:val="1"/>
      <w:numFmt w:val="bullet"/>
      <w:lvlText w:val="o"/>
      <w:lvlJc w:val="left"/>
      <w:pPr>
        <w:ind w:left="5400" w:hanging="360"/>
      </w:pPr>
      <w:rPr>
        <w:rFonts w:ascii="Courier New" w:hAnsi="Courier New" w:hint="default"/>
      </w:rPr>
    </w:lvl>
    <w:lvl w:ilvl="8" w:tplc="B4023D52">
      <w:start w:val="1"/>
      <w:numFmt w:val="bullet"/>
      <w:lvlText w:val=""/>
      <w:lvlJc w:val="left"/>
      <w:pPr>
        <w:ind w:left="6120" w:hanging="360"/>
      </w:pPr>
      <w:rPr>
        <w:rFonts w:ascii="Wingdings" w:hAnsi="Wingdings" w:hint="default"/>
      </w:rPr>
    </w:lvl>
  </w:abstractNum>
  <w:abstractNum w:abstractNumId="9" w15:restartNumberingAfterBreak="0">
    <w:nsid w:val="01E44587"/>
    <w:multiLevelType w:val="hybridMultilevel"/>
    <w:tmpl w:val="725E1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F80C15"/>
    <w:multiLevelType w:val="hybridMultilevel"/>
    <w:tmpl w:val="A12E1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D516FF"/>
    <w:multiLevelType w:val="hybridMultilevel"/>
    <w:tmpl w:val="3AF2E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3"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9FA7812"/>
    <w:multiLevelType w:val="hybridMultilevel"/>
    <w:tmpl w:val="4FB2E5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9C3656"/>
    <w:multiLevelType w:val="hybridMultilevel"/>
    <w:tmpl w:val="6BC2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AC511B"/>
    <w:multiLevelType w:val="hybridMultilevel"/>
    <w:tmpl w:val="7E4EE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0D1520CA"/>
    <w:multiLevelType w:val="hybridMultilevel"/>
    <w:tmpl w:val="4FB2E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18D0746"/>
    <w:multiLevelType w:val="multilevel"/>
    <w:tmpl w:val="4C64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4C2423"/>
    <w:multiLevelType w:val="hybridMultilevel"/>
    <w:tmpl w:val="2250AA1C"/>
    <w:lvl w:ilvl="0" w:tplc="A92205A6">
      <w:start w:val="1"/>
      <w:numFmt w:val="bullet"/>
      <w:lvlText w:val=""/>
      <w:lvlJc w:val="left"/>
      <w:pPr>
        <w:ind w:left="720" w:hanging="360"/>
      </w:pPr>
      <w:rPr>
        <w:rFonts w:ascii="Symbol" w:hAnsi="Symbol" w:hint="default"/>
      </w:rPr>
    </w:lvl>
    <w:lvl w:ilvl="1" w:tplc="FE8E4B80">
      <w:start w:val="1"/>
      <w:numFmt w:val="bullet"/>
      <w:lvlText w:val="o"/>
      <w:lvlJc w:val="left"/>
      <w:pPr>
        <w:ind w:left="1440" w:hanging="360"/>
      </w:pPr>
      <w:rPr>
        <w:rFonts w:ascii="Courier New" w:hAnsi="Courier New" w:hint="default"/>
      </w:rPr>
    </w:lvl>
    <w:lvl w:ilvl="2" w:tplc="C4DCA552">
      <w:start w:val="1"/>
      <w:numFmt w:val="bullet"/>
      <w:lvlText w:val=""/>
      <w:lvlJc w:val="left"/>
      <w:pPr>
        <w:ind w:left="2160" w:hanging="360"/>
      </w:pPr>
      <w:rPr>
        <w:rFonts w:ascii="Wingdings" w:hAnsi="Wingdings" w:hint="default"/>
      </w:rPr>
    </w:lvl>
    <w:lvl w:ilvl="3" w:tplc="AD40123E">
      <w:start w:val="1"/>
      <w:numFmt w:val="bullet"/>
      <w:lvlText w:val=""/>
      <w:lvlJc w:val="left"/>
      <w:pPr>
        <w:ind w:left="2880" w:hanging="360"/>
      </w:pPr>
      <w:rPr>
        <w:rFonts w:ascii="Symbol" w:hAnsi="Symbol" w:hint="default"/>
      </w:rPr>
    </w:lvl>
    <w:lvl w:ilvl="4" w:tplc="15D29B62">
      <w:start w:val="1"/>
      <w:numFmt w:val="bullet"/>
      <w:lvlText w:val="o"/>
      <w:lvlJc w:val="left"/>
      <w:pPr>
        <w:ind w:left="3600" w:hanging="360"/>
      </w:pPr>
      <w:rPr>
        <w:rFonts w:ascii="Courier New" w:hAnsi="Courier New" w:hint="default"/>
      </w:rPr>
    </w:lvl>
    <w:lvl w:ilvl="5" w:tplc="9896341E">
      <w:start w:val="1"/>
      <w:numFmt w:val="bullet"/>
      <w:lvlText w:val=""/>
      <w:lvlJc w:val="left"/>
      <w:pPr>
        <w:ind w:left="4320" w:hanging="360"/>
      </w:pPr>
      <w:rPr>
        <w:rFonts w:ascii="Wingdings" w:hAnsi="Wingdings" w:hint="default"/>
      </w:rPr>
    </w:lvl>
    <w:lvl w:ilvl="6" w:tplc="C43E2CF0">
      <w:start w:val="1"/>
      <w:numFmt w:val="bullet"/>
      <w:lvlText w:val=""/>
      <w:lvlJc w:val="left"/>
      <w:pPr>
        <w:ind w:left="5040" w:hanging="360"/>
      </w:pPr>
      <w:rPr>
        <w:rFonts w:ascii="Symbol" w:hAnsi="Symbol" w:hint="default"/>
      </w:rPr>
    </w:lvl>
    <w:lvl w:ilvl="7" w:tplc="64882AF8">
      <w:start w:val="1"/>
      <w:numFmt w:val="bullet"/>
      <w:lvlText w:val="o"/>
      <w:lvlJc w:val="left"/>
      <w:pPr>
        <w:ind w:left="5760" w:hanging="360"/>
      </w:pPr>
      <w:rPr>
        <w:rFonts w:ascii="Courier New" w:hAnsi="Courier New" w:hint="default"/>
      </w:rPr>
    </w:lvl>
    <w:lvl w:ilvl="8" w:tplc="EC0C2376">
      <w:start w:val="1"/>
      <w:numFmt w:val="bullet"/>
      <w:lvlText w:val=""/>
      <w:lvlJc w:val="left"/>
      <w:pPr>
        <w:ind w:left="6480" w:hanging="360"/>
      </w:pPr>
      <w:rPr>
        <w:rFonts w:ascii="Wingdings" w:hAnsi="Wingdings" w:hint="default"/>
      </w:rPr>
    </w:lvl>
  </w:abstractNum>
  <w:abstractNum w:abstractNumId="21" w15:restartNumberingAfterBreak="0">
    <w:nsid w:val="13D21E5D"/>
    <w:multiLevelType w:val="hybridMultilevel"/>
    <w:tmpl w:val="75164F26"/>
    <w:lvl w:ilvl="0" w:tplc="B002A9E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580065"/>
    <w:multiLevelType w:val="hybridMultilevel"/>
    <w:tmpl w:val="9CBA36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68A6D60"/>
    <w:multiLevelType w:val="hybridMultilevel"/>
    <w:tmpl w:val="03CC0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70602CA"/>
    <w:multiLevelType w:val="hybridMultilevel"/>
    <w:tmpl w:val="489278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17FD86A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27" w15:restartNumberingAfterBreak="0">
    <w:nsid w:val="18D84F5C"/>
    <w:multiLevelType w:val="multilevel"/>
    <w:tmpl w:val="9AB8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918A5F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97D74A3"/>
    <w:multiLevelType w:val="hybridMultilevel"/>
    <w:tmpl w:val="FFFFFFFF"/>
    <w:lvl w:ilvl="0" w:tplc="B2FE331A">
      <w:start w:val="1"/>
      <w:numFmt w:val="bullet"/>
      <w:lvlText w:val="o"/>
      <w:lvlJc w:val="left"/>
      <w:pPr>
        <w:ind w:left="800" w:hanging="360"/>
      </w:pPr>
      <w:rPr>
        <w:rFonts w:ascii="Courier New" w:hAnsi="Courier New" w:hint="default"/>
      </w:rPr>
    </w:lvl>
    <w:lvl w:ilvl="1" w:tplc="C074ABC8">
      <w:start w:val="1"/>
      <w:numFmt w:val="bullet"/>
      <w:lvlText w:val="o"/>
      <w:lvlJc w:val="left"/>
      <w:pPr>
        <w:ind w:left="1440" w:hanging="360"/>
      </w:pPr>
      <w:rPr>
        <w:rFonts w:ascii="Courier New" w:hAnsi="Courier New" w:hint="default"/>
      </w:rPr>
    </w:lvl>
    <w:lvl w:ilvl="2" w:tplc="CA4C64AE">
      <w:start w:val="1"/>
      <w:numFmt w:val="bullet"/>
      <w:lvlText w:val=""/>
      <w:lvlJc w:val="left"/>
      <w:pPr>
        <w:ind w:left="2160" w:hanging="360"/>
      </w:pPr>
      <w:rPr>
        <w:rFonts w:ascii="Wingdings" w:hAnsi="Wingdings" w:hint="default"/>
      </w:rPr>
    </w:lvl>
    <w:lvl w:ilvl="3" w:tplc="E3220DE2">
      <w:start w:val="1"/>
      <w:numFmt w:val="bullet"/>
      <w:lvlText w:val=""/>
      <w:lvlJc w:val="left"/>
      <w:pPr>
        <w:ind w:left="2880" w:hanging="360"/>
      </w:pPr>
      <w:rPr>
        <w:rFonts w:ascii="Symbol" w:hAnsi="Symbol" w:hint="default"/>
      </w:rPr>
    </w:lvl>
    <w:lvl w:ilvl="4" w:tplc="E166B57A">
      <w:start w:val="1"/>
      <w:numFmt w:val="bullet"/>
      <w:lvlText w:val="o"/>
      <w:lvlJc w:val="left"/>
      <w:pPr>
        <w:ind w:left="3600" w:hanging="360"/>
      </w:pPr>
      <w:rPr>
        <w:rFonts w:ascii="Courier New" w:hAnsi="Courier New" w:hint="default"/>
      </w:rPr>
    </w:lvl>
    <w:lvl w:ilvl="5" w:tplc="9A62349A">
      <w:start w:val="1"/>
      <w:numFmt w:val="bullet"/>
      <w:lvlText w:val=""/>
      <w:lvlJc w:val="left"/>
      <w:pPr>
        <w:ind w:left="4320" w:hanging="360"/>
      </w:pPr>
      <w:rPr>
        <w:rFonts w:ascii="Wingdings" w:hAnsi="Wingdings" w:hint="default"/>
      </w:rPr>
    </w:lvl>
    <w:lvl w:ilvl="6" w:tplc="41F6D540">
      <w:start w:val="1"/>
      <w:numFmt w:val="bullet"/>
      <w:lvlText w:val=""/>
      <w:lvlJc w:val="left"/>
      <w:pPr>
        <w:ind w:left="5040" w:hanging="360"/>
      </w:pPr>
      <w:rPr>
        <w:rFonts w:ascii="Symbol" w:hAnsi="Symbol" w:hint="default"/>
      </w:rPr>
    </w:lvl>
    <w:lvl w:ilvl="7" w:tplc="9F60A592">
      <w:start w:val="1"/>
      <w:numFmt w:val="bullet"/>
      <w:lvlText w:val="o"/>
      <w:lvlJc w:val="left"/>
      <w:pPr>
        <w:ind w:left="5760" w:hanging="360"/>
      </w:pPr>
      <w:rPr>
        <w:rFonts w:ascii="Courier New" w:hAnsi="Courier New" w:hint="default"/>
      </w:rPr>
    </w:lvl>
    <w:lvl w:ilvl="8" w:tplc="538ED7BC">
      <w:start w:val="1"/>
      <w:numFmt w:val="bullet"/>
      <w:lvlText w:val=""/>
      <w:lvlJc w:val="left"/>
      <w:pPr>
        <w:ind w:left="6480" w:hanging="360"/>
      </w:pPr>
      <w:rPr>
        <w:rFonts w:ascii="Wingdings" w:hAnsi="Wingdings" w:hint="default"/>
      </w:rPr>
    </w:lvl>
  </w:abstractNum>
  <w:abstractNum w:abstractNumId="31" w15:restartNumberingAfterBreak="0">
    <w:nsid w:val="1C175D89"/>
    <w:multiLevelType w:val="hybridMultilevel"/>
    <w:tmpl w:val="432EC5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1C5B04D5"/>
    <w:multiLevelType w:val="multilevel"/>
    <w:tmpl w:val="2110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B21FDF"/>
    <w:multiLevelType w:val="hybridMultilevel"/>
    <w:tmpl w:val="CCF42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356E75"/>
    <w:multiLevelType w:val="hybridMultilevel"/>
    <w:tmpl w:val="7C9E19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E5021B"/>
    <w:multiLevelType w:val="hybridMultilevel"/>
    <w:tmpl w:val="FD7C3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906622"/>
    <w:multiLevelType w:val="hybridMultilevel"/>
    <w:tmpl w:val="C3E47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2BC854A1"/>
    <w:multiLevelType w:val="hybridMultilevel"/>
    <w:tmpl w:val="FCF26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F5777D"/>
    <w:multiLevelType w:val="hybridMultilevel"/>
    <w:tmpl w:val="8D7650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4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E7F9A25"/>
    <w:multiLevelType w:val="hybridMultilevel"/>
    <w:tmpl w:val="FFFFFFFF"/>
    <w:lvl w:ilvl="0" w:tplc="E3200392">
      <w:start w:val="1"/>
      <w:numFmt w:val="bullet"/>
      <w:lvlText w:val=""/>
      <w:lvlJc w:val="left"/>
      <w:pPr>
        <w:ind w:left="720" w:hanging="360"/>
      </w:pPr>
      <w:rPr>
        <w:rFonts w:ascii="Symbol" w:hAnsi="Symbol" w:hint="default"/>
      </w:rPr>
    </w:lvl>
    <w:lvl w:ilvl="1" w:tplc="3B76748C">
      <w:start w:val="1"/>
      <w:numFmt w:val="bullet"/>
      <w:lvlText w:val="o"/>
      <w:lvlJc w:val="left"/>
      <w:pPr>
        <w:ind w:left="1440" w:hanging="360"/>
      </w:pPr>
      <w:rPr>
        <w:rFonts w:ascii="Courier New" w:hAnsi="Courier New" w:hint="default"/>
      </w:rPr>
    </w:lvl>
    <w:lvl w:ilvl="2" w:tplc="A61E5782">
      <w:start w:val="1"/>
      <w:numFmt w:val="bullet"/>
      <w:lvlText w:val=""/>
      <w:lvlJc w:val="left"/>
      <w:pPr>
        <w:ind w:left="2160" w:hanging="360"/>
      </w:pPr>
      <w:rPr>
        <w:rFonts w:ascii="Wingdings" w:hAnsi="Wingdings" w:hint="default"/>
      </w:rPr>
    </w:lvl>
    <w:lvl w:ilvl="3" w:tplc="6EA66C40">
      <w:start w:val="1"/>
      <w:numFmt w:val="bullet"/>
      <w:lvlText w:val=""/>
      <w:lvlJc w:val="left"/>
      <w:pPr>
        <w:ind w:left="2880" w:hanging="360"/>
      </w:pPr>
      <w:rPr>
        <w:rFonts w:ascii="Symbol" w:hAnsi="Symbol" w:hint="default"/>
      </w:rPr>
    </w:lvl>
    <w:lvl w:ilvl="4" w:tplc="6BE0FD9E">
      <w:start w:val="1"/>
      <w:numFmt w:val="bullet"/>
      <w:lvlText w:val="o"/>
      <w:lvlJc w:val="left"/>
      <w:pPr>
        <w:ind w:left="3600" w:hanging="360"/>
      </w:pPr>
      <w:rPr>
        <w:rFonts w:ascii="Courier New" w:hAnsi="Courier New" w:hint="default"/>
      </w:rPr>
    </w:lvl>
    <w:lvl w:ilvl="5" w:tplc="19448618">
      <w:start w:val="1"/>
      <w:numFmt w:val="bullet"/>
      <w:lvlText w:val=""/>
      <w:lvlJc w:val="left"/>
      <w:pPr>
        <w:ind w:left="4320" w:hanging="360"/>
      </w:pPr>
      <w:rPr>
        <w:rFonts w:ascii="Wingdings" w:hAnsi="Wingdings" w:hint="default"/>
      </w:rPr>
    </w:lvl>
    <w:lvl w:ilvl="6" w:tplc="E6725454">
      <w:start w:val="1"/>
      <w:numFmt w:val="bullet"/>
      <w:lvlText w:val=""/>
      <w:lvlJc w:val="left"/>
      <w:pPr>
        <w:ind w:left="5040" w:hanging="360"/>
      </w:pPr>
      <w:rPr>
        <w:rFonts w:ascii="Symbol" w:hAnsi="Symbol" w:hint="default"/>
      </w:rPr>
    </w:lvl>
    <w:lvl w:ilvl="7" w:tplc="7862E320">
      <w:start w:val="1"/>
      <w:numFmt w:val="bullet"/>
      <w:lvlText w:val="o"/>
      <w:lvlJc w:val="left"/>
      <w:pPr>
        <w:ind w:left="5760" w:hanging="360"/>
      </w:pPr>
      <w:rPr>
        <w:rFonts w:ascii="Courier New" w:hAnsi="Courier New" w:hint="default"/>
      </w:rPr>
    </w:lvl>
    <w:lvl w:ilvl="8" w:tplc="0024A094">
      <w:start w:val="1"/>
      <w:numFmt w:val="bullet"/>
      <w:lvlText w:val=""/>
      <w:lvlJc w:val="left"/>
      <w:pPr>
        <w:ind w:left="6480" w:hanging="360"/>
      </w:pPr>
      <w:rPr>
        <w:rFonts w:ascii="Wingdings" w:hAnsi="Wingdings" w:hint="default"/>
      </w:rPr>
    </w:lvl>
  </w:abstractNum>
  <w:abstractNum w:abstractNumId="42" w15:restartNumberingAfterBreak="0">
    <w:nsid w:val="3037E5EF"/>
    <w:multiLevelType w:val="hybridMultilevel"/>
    <w:tmpl w:val="FFFFFFFF"/>
    <w:lvl w:ilvl="0" w:tplc="49E0965C">
      <w:start w:val="1"/>
      <w:numFmt w:val="bullet"/>
      <w:lvlText w:val=""/>
      <w:lvlJc w:val="left"/>
      <w:pPr>
        <w:ind w:left="720" w:hanging="360"/>
      </w:pPr>
      <w:rPr>
        <w:rFonts w:ascii="Symbol" w:hAnsi="Symbol" w:hint="default"/>
      </w:rPr>
    </w:lvl>
    <w:lvl w:ilvl="1" w:tplc="D472CF9A">
      <w:start w:val="1"/>
      <w:numFmt w:val="bullet"/>
      <w:lvlText w:val="o"/>
      <w:lvlJc w:val="left"/>
      <w:pPr>
        <w:ind w:left="1440" w:hanging="360"/>
      </w:pPr>
      <w:rPr>
        <w:rFonts w:ascii="Courier New" w:hAnsi="Courier New" w:hint="default"/>
      </w:rPr>
    </w:lvl>
    <w:lvl w:ilvl="2" w:tplc="FE1E6F4E">
      <w:start w:val="1"/>
      <w:numFmt w:val="bullet"/>
      <w:lvlText w:val=""/>
      <w:lvlJc w:val="left"/>
      <w:pPr>
        <w:ind w:left="2160" w:hanging="360"/>
      </w:pPr>
      <w:rPr>
        <w:rFonts w:ascii="Wingdings" w:hAnsi="Wingdings" w:hint="default"/>
      </w:rPr>
    </w:lvl>
    <w:lvl w:ilvl="3" w:tplc="82883746">
      <w:start w:val="1"/>
      <w:numFmt w:val="bullet"/>
      <w:lvlText w:val=""/>
      <w:lvlJc w:val="left"/>
      <w:pPr>
        <w:ind w:left="2880" w:hanging="360"/>
      </w:pPr>
      <w:rPr>
        <w:rFonts w:ascii="Symbol" w:hAnsi="Symbol" w:hint="default"/>
      </w:rPr>
    </w:lvl>
    <w:lvl w:ilvl="4" w:tplc="E14472F0">
      <w:start w:val="1"/>
      <w:numFmt w:val="bullet"/>
      <w:lvlText w:val="o"/>
      <w:lvlJc w:val="left"/>
      <w:pPr>
        <w:ind w:left="3600" w:hanging="360"/>
      </w:pPr>
      <w:rPr>
        <w:rFonts w:ascii="Courier New" w:hAnsi="Courier New" w:hint="default"/>
      </w:rPr>
    </w:lvl>
    <w:lvl w:ilvl="5" w:tplc="CE74B296">
      <w:start w:val="1"/>
      <w:numFmt w:val="bullet"/>
      <w:lvlText w:val=""/>
      <w:lvlJc w:val="left"/>
      <w:pPr>
        <w:ind w:left="4320" w:hanging="360"/>
      </w:pPr>
      <w:rPr>
        <w:rFonts w:ascii="Wingdings" w:hAnsi="Wingdings" w:hint="default"/>
      </w:rPr>
    </w:lvl>
    <w:lvl w:ilvl="6" w:tplc="99B0694A">
      <w:start w:val="1"/>
      <w:numFmt w:val="bullet"/>
      <w:lvlText w:val=""/>
      <w:lvlJc w:val="left"/>
      <w:pPr>
        <w:ind w:left="5040" w:hanging="360"/>
      </w:pPr>
      <w:rPr>
        <w:rFonts w:ascii="Symbol" w:hAnsi="Symbol" w:hint="default"/>
      </w:rPr>
    </w:lvl>
    <w:lvl w:ilvl="7" w:tplc="B138277A">
      <w:start w:val="1"/>
      <w:numFmt w:val="bullet"/>
      <w:lvlText w:val="o"/>
      <w:lvlJc w:val="left"/>
      <w:pPr>
        <w:ind w:left="5760" w:hanging="360"/>
      </w:pPr>
      <w:rPr>
        <w:rFonts w:ascii="Courier New" w:hAnsi="Courier New" w:hint="default"/>
      </w:rPr>
    </w:lvl>
    <w:lvl w:ilvl="8" w:tplc="CD306114">
      <w:start w:val="1"/>
      <w:numFmt w:val="bullet"/>
      <w:lvlText w:val=""/>
      <w:lvlJc w:val="left"/>
      <w:pPr>
        <w:ind w:left="6480" w:hanging="360"/>
      </w:pPr>
      <w:rPr>
        <w:rFonts w:ascii="Wingdings" w:hAnsi="Wingdings" w:hint="default"/>
      </w:rPr>
    </w:lvl>
  </w:abstractNum>
  <w:abstractNum w:abstractNumId="43" w15:restartNumberingAfterBreak="0">
    <w:nsid w:val="30FC692A"/>
    <w:multiLevelType w:val="hybridMultilevel"/>
    <w:tmpl w:val="8A8A3376"/>
    <w:lvl w:ilvl="0" w:tplc="0C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1CB078F"/>
    <w:multiLevelType w:val="hybridMultilevel"/>
    <w:tmpl w:val="A36E5596"/>
    <w:lvl w:ilvl="0" w:tplc="C4BE2518">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958181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A0E322A"/>
    <w:multiLevelType w:val="hybridMultilevel"/>
    <w:tmpl w:val="FFFFFFFF"/>
    <w:lvl w:ilvl="0" w:tplc="B6E87F68">
      <w:start w:val="1"/>
      <w:numFmt w:val="bullet"/>
      <w:lvlText w:val=""/>
      <w:lvlJc w:val="left"/>
      <w:pPr>
        <w:ind w:left="720" w:hanging="360"/>
      </w:pPr>
      <w:rPr>
        <w:rFonts w:ascii="Symbol" w:hAnsi="Symbol" w:hint="default"/>
      </w:rPr>
    </w:lvl>
    <w:lvl w:ilvl="1" w:tplc="1B34163A">
      <w:start w:val="1"/>
      <w:numFmt w:val="bullet"/>
      <w:lvlText w:val="o"/>
      <w:lvlJc w:val="left"/>
      <w:pPr>
        <w:ind w:left="1440" w:hanging="360"/>
      </w:pPr>
      <w:rPr>
        <w:rFonts w:ascii="Courier New" w:hAnsi="Courier New" w:hint="default"/>
      </w:rPr>
    </w:lvl>
    <w:lvl w:ilvl="2" w:tplc="388492AA">
      <w:start w:val="1"/>
      <w:numFmt w:val="bullet"/>
      <w:lvlText w:val=""/>
      <w:lvlJc w:val="left"/>
      <w:pPr>
        <w:ind w:left="2160" w:hanging="360"/>
      </w:pPr>
      <w:rPr>
        <w:rFonts w:ascii="Wingdings" w:hAnsi="Wingdings" w:hint="default"/>
      </w:rPr>
    </w:lvl>
    <w:lvl w:ilvl="3" w:tplc="F00A6230">
      <w:start w:val="1"/>
      <w:numFmt w:val="bullet"/>
      <w:lvlText w:val=""/>
      <w:lvlJc w:val="left"/>
      <w:pPr>
        <w:ind w:left="2880" w:hanging="360"/>
      </w:pPr>
      <w:rPr>
        <w:rFonts w:ascii="Symbol" w:hAnsi="Symbol" w:hint="default"/>
      </w:rPr>
    </w:lvl>
    <w:lvl w:ilvl="4" w:tplc="5A944FC4">
      <w:start w:val="1"/>
      <w:numFmt w:val="bullet"/>
      <w:lvlText w:val="o"/>
      <w:lvlJc w:val="left"/>
      <w:pPr>
        <w:ind w:left="3600" w:hanging="360"/>
      </w:pPr>
      <w:rPr>
        <w:rFonts w:ascii="Courier New" w:hAnsi="Courier New" w:hint="default"/>
      </w:rPr>
    </w:lvl>
    <w:lvl w:ilvl="5" w:tplc="8CB6AC6C">
      <w:start w:val="1"/>
      <w:numFmt w:val="bullet"/>
      <w:lvlText w:val=""/>
      <w:lvlJc w:val="left"/>
      <w:pPr>
        <w:ind w:left="4320" w:hanging="360"/>
      </w:pPr>
      <w:rPr>
        <w:rFonts w:ascii="Wingdings" w:hAnsi="Wingdings" w:hint="default"/>
      </w:rPr>
    </w:lvl>
    <w:lvl w:ilvl="6" w:tplc="4D04F1D2">
      <w:start w:val="1"/>
      <w:numFmt w:val="bullet"/>
      <w:lvlText w:val=""/>
      <w:lvlJc w:val="left"/>
      <w:pPr>
        <w:ind w:left="5040" w:hanging="360"/>
      </w:pPr>
      <w:rPr>
        <w:rFonts w:ascii="Symbol" w:hAnsi="Symbol" w:hint="default"/>
      </w:rPr>
    </w:lvl>
    <w:lvl w:ilvl="7" w:tplc="B19C39C8">
      <w:start w:val="1"/>
      <w:numFmt w:val="bullet"/>
      <w:lvlText w:val="o"/>
      <w:lvlJc w:val="left"/>
      <w:pPr>
        <w:ind w:left="5760" w:hanging="360"/>
      </w:pPr>
      <w:rPr>
        <w:rFonts w:ascii="Courier New" w:hAnsi="Courier New" w:hint="default"/>
      </w:rPr>
    </w:lvl>
    <w:lvl w:ilvl="8" w:tplc="2A1E475E">
      <w:start w:val="1"/>
      <w:numFmt w:val="bullet"/>
      <w:lvlText w:val=""/>
      <w:lvlJc w:val="left"/>
      <w:pPr>
        <w:ind w:left="6480" w:hanging="360"/>
      </w:pPr>
      <w:rPr>
        <w:rFonts w:ascii="Wingdings" w:hAnsi="Wingdings" w:hint="default"/>
      </w:rPr>
    </w:lvl>
  </w:abstractNum>
  <w:abstractNum w:abstractNumId="48" w15:restartNumberingAfterBreak="0">
    <w:nsid w:val="3FC946D9"/>
    <w:multiLevelType w:val="hybridMultilevel"/>
    <w:tmpl w:val="71068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520592"/>
    <w:multiLevelType w:val="multilevel"/>
    <w:tmpl w:val="FFFFFFFF"/>
    <w:lvl w:ilvl="0">
      <w:start w:val="1"/>
      <w:numFmt w:val="decimal"/>
      <w:lvlText w:val="%1."/>
      <w:lvlJc w:val="left"/>
      <w:pPr>
        <w:ind w:left="720" w:hanging="360"/>
      </w:pPr>
    </w:lvl>
    <w:lvl w:ilvl="1">
      <w:start w:val="18"/>
      <w:numFmt w:val="decimal"/>
      <w:lvlText w:val="%1.%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5980C33"/>
    <w:multiLevelType w:val="hybridMultilevel"/>
    <w:tmpl w:val="5D16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9B4308"/>
    <w:multiLevelType w:val="hybridMultilevel"/>
    <w:tmpl w:val="9712F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7850B7"/>
    <w:multiLevelType w:val="hybridMultilevel"/>
    <w:tmpl w:val="9D262B84"/>
    <w:lvl w:ilvl="0" w:tplc="E3944328">
      <w:start w:val="1"/>
      <w:numFmt w:val="bullet"/>
      <w:lvlText w:val=""/>
      <w:lvlJc w:val="left"/>
      <w:pPr>
        <w:ind w:left="1440" w:hanging="360"/>
      </w:pPr>
      <w:rPr>
        <w:rFonts w:ascii="Symbol" w:hAnsi="Symbol"/>
      </w:rPr>
    </w:lvl>
    <w:lvl w:ilvl="1" w:tplc="DEA4B75A">
      <w:start w:val="1"/>
      <w:numFmt w:val="bullet"/>
      <w:lvlText w:val=""/>
      <w:lvlJc w:val="left"/>
      <w:pPr>
        <w:ind w:left="1440" w:hanging="360"/>
      </w:pPr>
      <w:rPr>
        <w:rFonts w:ascii="Symbol" w:hAnsi="Symbol"/>
      </w:rPr>
    </w:lvl>
    <w:lvl w:ilvl="2" w:tplc="918C14B2">
      <w:start w:val="1"/>
      <w:numFmt w:val="bullet"/>
      <w:lvlText w:val=""/>
      <w:lvlJc w:val="left"/>
      <w:pPr>
        <w:ind w:left="1440" w:hanging="360"/>
      </w:pPr>
      <w:rPr>
        <w:rFonts w:ascii="Symbol" w:hAnsi="Symbol"/>
      </w:rPr>
    </w:lvl>
    <w:lvl w:ilvl="3" w:tplc="43685DFA">
      <w:start w:val="1"/>
      <w:numFmt w:val="bullet"/>
      <w:lvlText w:val=""/>
      <w:lvlJc w:val="left"/>
      <w:pPr>
        <w:ind w:left="1440" w:hanging="360"/>
      </w:pPr>
      <w:rPr>
        <w:rFonts w:ascii="Symbol" w:hAnsi="Symbol"/>
      </w:rPr>
    </w:lvl>
    <w:lvl w:ilvl="4" w:tplc="C54A3FB4">
      <w:start w:val="1"/>
      <w:numFmt w:val="bullet"/>
      <w:lvlText w:val=""/>
      <w:lvlJc w:val="left"/>
      <w:pPr>
        <w:ind w:left="1440" w:hanging="360"/>
      </w:pPr>
      <w:rPr>
        <w:rFonts w:ascii="Symbol" w:hAnsi="Symbol"/>
      </w:rPr>
    </w:lvl>
    <w:lvl w:ilvl="5" w:tplc="615EC006">
      <w:start w:val="1"/>
      <w:numFmt w:val="bullet"/>
      <w:lvlText w:val=""/>
      <w:lvlJc w:val="left"/>
      <w:pPr>
        <w:ind w:left="1440" w:hanging="360"/>
      </w:pPr>
      <w:rPr>
        <w:rFonts w:ascii="Symbol" w:hAnsi="Symbol"/>
      </w:rPr>
    </w:lvl>
    <w:lvl w:ilvl="6" w:tplc="4DF87DCE">
      <w:start w:val="1"/>
      <w:numFmt w:val="bullet"/>
      <w:lvlText w:val=""/>
      <w:lvlJc w:val="left"/>
      <w:pPr>
        <w:ind w:left="1440" w:hanging="360"/>
      </w:pPr>
      <w:rPr>
        <w:rFonts w:ascii="Symbol" w:hAnsi="Symbol"/>
      </w:rPr>
    </w:lvl>
    <w:lvl w:ilvl="7" w:tplc="AC6295CA">
      <w:start w:val="1"/>
      <w:numFmt w:val="bullet"/>
      <w:lvlText w:val=""/>
      <w:lvlJc w:val="left"/>
      <w:pPr>
        <w:ind w:left="1440" w:hanging="360"/>
      </w:pPr>
      <w:rPr>
        <w:rFonts w:ascii="Symbol" w:hAnsi="Symbol"/>
      </w:rPr>
    </w:lvl>
    <w:lvl w:ilvl="8" w:tplc="CE449592">
      <w:start w:val="1"/>
      <w:numFmt w:val="bullet"/>
      <w:lvlText w:val=""/>
      <w:lvlJc w:val="left"/>
      <w:pPr>
        <w:ind w:left="1440" w:hanging="360"/>
      </w:pPr>
      <w:rPr>
        <w:rFonts w:ascii="Symbol" w:hAnsi="Symbol"/>
      </w:rPr>
    </w:lvl>
  </w:abstractNum>
  <w:abstractNum w:abstractNumId="53" w15:restartNumberingAfterBreak="0">
    <w:nsid w:val="4B73518B"/>
    <w:multiLevelType w:val="hybridMultilevel"/>
    <w:tmpl w:val="337697AC"/>
    <w:lvl w:ilvl="0" w:tplc="B002A9E0">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F9A162F"/>
    <w:multiLevelType w:val="hybridMultilevel"/>
    <w:tmpl w:val="643A6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09117FC"/>
    <w:multiLevelType w:val="hybridMultilevel"/>
    <w:tmpl w:val="92E49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11D1E97"/>
    <w:multiLevelType w:val="hybridMultilevel"/>
    <w:tmpl w:val="97262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5210043E"/>
    <w:multiLevelType w:val="hybridMultilevel"/>
    <w:tmpl w:val="BD1E9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25A17C3"/>
    <w:multiLevelType w:val="hybridMultilevel"/>
    <w:tmpl w:val="B3ECD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5F72D6A"/>
    <w:multiLevelType w:val="hybridMultilevel"/>
    <w:tmpl w:val="4FB2E5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7F92631"/>
    <w:multiLevelType w:val="hybridMultilevel"/>
    <w:tmpl w:val="D212A63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1" w15:restartNumberingAfterBreak="0">
    <w:nsid w:val="590B47A2"/>
    <w:multiLevelType w:val="hybridMultilevel"/>
    <w:tmpl w:val="876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CD3005"/>
    <w:multiLevelType w:val="hybridMultilevel"/>
    <w:tmpl w:val="C3CCE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EE61BB"/>
    <w:multiLevelType w:val="multilevel"/>
    <w:tmpl w:val="2BD6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42941E7"/>
    <w:multiLevelType w:val="hybridMultilevel"/>
    <w:tmpl w:val="EDB8325A"/>
    <w:lvl w:ilvl="0" w:tplc="4E883A0C">
      <w:start w:val="1"/>
      <w:numFmt w:val="bullet"/>
      <w:lvlText w:val=""/>
      <w:lvlJc w:val="left"/>
      <w:pPr>
        <w:ind w:left="360" w:hanging="360"/>
      </w:pPr>
      <w:rPr>
        <w:rFonts w:ascii="Symbol" w:hAnsi="Symbol" w:hint="default"/>
      </w:rPr>
    </w:lvl>
    <w:lvl w:ilvl="1" w:tplc="2A4E78A0" w:tentative="1">
      <w:start w:val="1"/>
      <w:numFmt w:val="bullet"/>
      <w:lvlText w:val="o"/>
      <w:lvlJc w:val="left"/>
      <w:pPr>
        <w:ind w:left="1080" w:hanging="360"/>
      </w:pPr>
      <w:rPr>
        <w:rFonts w:ascii="Courier New" w:hAnsi="Courier New" w:hint="default"/>
      </w:rPr>
    </w:lvl>
    <w:lvl w:ilvl="2" w:tplc="18DC073E" w:tentative="1">
      <w:start w:val="1"/>
      <w:numFmt w:val="bullet"/>
      <w:lvlText w:val=""/>
      <w:lvlJc w:val="left"/>
      <w:pPr>
        <w:ind w:left="1800" w:hanging="360"/>
      </w:pPr>
      <w:rPr>
        <w:rFonts w:ascii="Wingdings" w:hAnsi="Wingdings" w:hint="default"/>
      </w:rPr>
    </w:lvl>
    <w:lvl w:ilvl="3" w:tplc="449EB614" w:tentative="1">
      <w:start w:val="1"/>
      <w:numFmt w:val="bullet"/>
      <w:lvlText w:val=""/>
      <w:lvlJc w:val="left"/>
      <w:pPr>
        <w:ind w:left="2520" w:hanging="360"/>
      </w:pPr>
      <w:rPr>
        <w:rFonts w:ascii="Symbol" w:hAnsi="Symbol" w:hint="default"/>
      </w:rPr>
    </w:lvl>
    <w:lvl w:ilvl="4" w:tplc="BFD86132" w:tentative="1">
      <w:start w:val="1"/>
      <w:numFmt w:val="bullet"/>
      <w:lvlText w:val="o"/>
      <w:lvlJc w:val="left"/>
      <w:pPr>
        <w:ind w:left="3240" w:hanging="360"/>
      </w:pPr>
      <w:rPr>
        <w:rFonts w:ascii="Courier New" w:hAnsi="Courier New" w:hint="default"/>
      </w:rPr>
    </w:lvl>
    <w:lvl w:ilvl="5" w:tplc="4AC6F552" w:tentative="1">
      <w:start w:val="1"/>
      <w:numFmt w:val="bullet"/>
      <w:lvlText w:val=""/>
      <w:lvlJc w:val="left"/>
      <w:pPr>
        <w:ind w:left="3960" w:hanging="360"/>
      </w:pPr>
      <w:rPr>
        <w:rFonts w:ascii="Wingdings" w:hAnsi="Wingdings" w:hint="default"/>
      </w:rPr>
    </w:lvl>
    <w:lvl w:ilvl="6" w:tplc="12B4CED6" w:tentative="1">
      <w:start w:val="1"/>
      <w:numFmt w:val="bullet"/>
      <w:lvlText w:val=""/>
      <w:lvlJc w:val="left"/>
      <w:pPr>
        <w:ind w:left="4680" w:hanging="360"/>
      </w:pPr>
      <w:rPr>
        <w:rFonts w:ascii="Symbol" w:hAnsi="Symbol" w:hint="default"/>
      </w:rPr>
    </w:lvl>
    <w:lvl w:ilvl="7" w:tplc="6CF0D5C8" w:tentative="1">
      <w:start w:val="1"/>
      <w:numFmt w:val="bullet"/>
      <w:lvlText w:val="o"/>
      <w:lvlJc w:val="left"/>
      <w:pPr>
        <w:ind w:left="5400" w:hanging="360"/>
      </w:pPr>
      <w:rPr>
        <w:rFonts w:ascii="Courier New" w:hAnsi="Courier New" w:hint="default"/>
      </w:rPr>
    </w:lvl>
    <w:lvl w:ilvl="8" w:tplc="1B6E99E8" w:tentative="1">
      <w:start w:val="1"/>
      <w:numFmt w:val="bullet"/>
      <w:lvlText w:val=""/>
      <w:lvlJc w:val="left"/>
      <w:pPr>
        <w:ind w:left="6120" w:hanging="360"/>
      </w:pPr>
      <w:rPr>
        <w:rFonts w:ascii="Wingdings" w:hAnsi="Wingdings" w:hint="default"/>
      </w:rPr>
    </w:lvl>
  </w:abstractNum>
  <w:abstractNum w:abstractNumId="66" w15:restartNumberingAfterBreak="0">
    <w:nsid w:val="676C76C9"/>
    <w:multiLevelType w:val="hybridMultilevel"/>
    <w:tmpl w:val="FFFFFFFF"/>
    <w:lvl w:ilvl="0" w:tplc="8FF06AE2">
      <w:start w:val="1"/>
      <w:numFmt w:val="bullet"/>
      <w:lvlText w:val=""/>
      <w:lvlJc w:val="left"/>
      <w:pPr>
        <w:ind w:left="720" w:hanging="360"/>
      </w:pPr>
      <w:rPr>
        <w:rFonts w:ascii="Symbol" w:hAnsi="Symbol" w:hint="default"/>
      </w:rPr>
    </w:lvl>
    <w:lvl w:ilvl="1" w:tplc="C9BE2920">
      <w:start w:val="1"/>
      <w:numFmt w:val="bullet"/>
      <w:lvlText w:val="o"/>
      <w:lvlJc w:val="left"/>
      <w:pPr>
        <w:ind w:left="1440" w:hanging="360"/>
      </w:pPr>
      <w:rPr>
        <w:rFonts w:ascii="Courier New" w:hAnsi="Courier New" w:hint="default"/>
      </w:rPr>
    </w:lvl>
    <w:lvl w:ilvl="2" w:tplc="13F87DFC">
      <w:start w:val="1"/>
      <w:numFmt w:val="bullet"/>
      <w:lvlText w:val=""/>
      <w:lvlJc w:val="left"/>
      <w:pPr>
        <w:ind w:left="2160" w:hanging="360"/>
      </w:pPr>
      <w:rPr>
        <w:rFonts w:ascii="Wingdings" w:hAnsi="Wingdings" w:hint="default"/>
      </w:rPr>
    </w:lvl>
    <w:lvl w:ilvl="3" w:tplc="A7086420">
      <w:start w:val="1"/>
      <w:numFmt w:val="bullet"/>
      <w:lvlText w:val=""/>
      <w:lvlJc w:val="left"/>
      <w:pPr>
        <w:ind w:left="2880" w:hanging="360"/>
      </w:pPr>
      <w:rPr>
        <w:rFonts w:ascii="Symbol" w:hAnsi="Symbol" w:hint="default"/>
      </w:rPr>
    </w:lvl>
    <w:lvl w:ilvl="4" w:tplc="89646A02">
      <w:start w:val="1"/>
      <w:numFmt w:val="bullet"/>
      <w:lvlText w:val="o"/>
      <w:lvlJc w:val="left"/>
      <w:pPr>
        <w:ind w:left="3600" w:hanging="360"/>
      </w:pPr>
      <w:rPr>
        <w:rFonts w:ascii="Courier New" w:hAnsi="Courier New" w:hint="default"/>
      </w:rPr>
    </w:lvl>
    <w:lvl w:ilvl="5" w:tplc="66E4AEF2">
      <w:start w:val="1"/>
      <w:numFmt w:val="bullet"/>
      <w:lvlText w:val=""/>
      <w:lvlJc w:val="left"/>
      <w:pPr>
        <w:ind w:left="4320" w:hanging="360"/>
      </w:pPr>
      <w:rPr>
        <w:rFonts w:ascii="Wingdings" w:hAnsi="Wingdings" w:hint="default"/>
      </w:rPr>
    </w:lvl>
    <w:lvl w:ilvl="6" w:tplc="21843E7C">
      <w:start w:val="1"/>
      <w:numFmt w:val="bullet"/>
      <w:lvlText w:val=""/>
      <w:lvlJc w:val="left"/>
      <w:pPr>
        <w:ind w:left="5040" w:hanging="360"/>
      </w:pPr>
      <w:rPr>
        <w:rFonts w:ascii="Symbol" w:hAnsi="Symbol" w:hint="default"/>
      </w:rPr>
    </w:lvl>
    <w:lvl w:ilvl="7" w:tplc="7E1A2770">
      <w:start w:val="1"/>
      <w:numFmt w:val="bullet"/>
      <w:lvlText w:val="o"/>
      <w:lvlJc w:val="left"/>
      <w:pPr>
        <w:ind w:left="5760" w:hanging="360"/>
      </w:pPr>
      <w:rPr>
        <w:rFonts w:ascii="Courier New" w:hAnsi="Courier New" w:hint="default"/>
      </w:rPr>
    </w:lvl>
    <w:lvl w:ilvl="8" w:tplc="3656ED26">
      <w:start w:val="1"/>
      <w:numFmt w:val="bullet"/>
      <w:lvlText w:val=""/>
      <w:lvlJc w:val="left"/>
      <w:pPr>
        <w:ind w:left="6480" w:hanging="360"/>
      </w:pPr>
      <w:rPr>
        <w:rFonts w:ascii="Wingdings" w:hAnsi="Wingdings" w:hint="default"/>
      </w:rPr>
    </w:lvl>
  </w:abstractNum>
  <w:abstractNum w:abstractNumId="67" w15:restartNumberingAfterBreak="0">
    <w:nsid w:val="6CEE3032"/>
    <w:multiLevelType w:val="hybridMultilevel"/>
    <w:tmpl w:val="0E2612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8" w15:restartNumberingAfterBreak="0">
    <w:nsid w:val="6D396F6C"/>
    <w:multiLevelType w:val="multilevel"/>
    <w:tmpl w:val="A1D4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1" w15:restartNumberingAfterBreak="0">
    <w:nsid w:val="74220464"/>
    <w:multiLevelType w:val="hybridMultilevel"/>
    <w:tmpl w:val="B484AC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745C3E84"/>
    <w:multiLevelType w:val="hybridMultilevel"/>
    <w:tmpl w:val="2D04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B318D8"/>
    <w:multiLevelType w:val="hybridMultilevel"/>
    <w:tmpl w:val="DD2C7F22"/>
    <w:lvl w:ilvl="0" w:tplc="AF9C8C4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5E30DF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306E3B"/>
    <w:multiLevelType w:val="hybridMultilevel"/>
    <w:tmpl w:val="7B88A2C4"/>
    <w:lvl w:ilvl="0" w:tplc="E9EA483E">
      <w:start w:val="1"/>
      <w:numFmt w:val="bullet"/>
      <w:lvlText w:val=""/>
      <w:lvlJc w:val="left"/>
      <w:pPr>
        <w:ind w:left="360" w:hanging="360"/>
      </w:pPr>
      <w:rPr>
        <w:rFonts w:ascii="Symbol" w:hAnsi="Symbol" w:hint="default"/>
      </w:rPr>
    </w:lvl>
    <w:lvl w:ilvl="1" w:tplc="D07E1570">
      <w:start w:val="1"/>
      <w:numFmt w:val="bullet"/>
      <w:lvlText w:val="o"/>
      <w:lvlJc w:val="left"/>
      <w:pPr>
        <w:ind w:left="1080" w:hanging="360"/>
      </w:pPr>
      <w:rPr>
        <w:rFonts w:ascii="Courier New" w:hAnsi="Courier New" w:hint="default"/>
      </w:rPr>
    </w:lvl>
    <w:lvl w:ilvl="2" w:tplc="E45EAD28">
      <w:start w:val="1"/>
      <w:numFmt w:val="bullet"/>
      <w:lvlText w:val=""/>
      <w:lvlJc w:val="left"/>
      <w:pPr>
        <w:ind w:left="1800" w:hanging="360"/>
      </w:pPr>
      <w:rPr>
        <w:rFonts w:ascii="Wingdings" w:hAnsi="Wingdings" w:hint="default"/>
      </w:rPr>
    </w:lvl>
    <w:lvl w:ilvl="3" w:tplc="532651D6">
      <w:start w:val="1"/>
      <w:numFmt w:val="bullet"/>
      <w:lvlText w:val=""/>
      <w:lvlJc w:val="left"/>
      <w:pPr>
        <w:ind w:left="2520" w:hanging="360"/>
      </w:pPr>
      <w:rPr>
        <w:rFonts w:ascii="Symbol" w:hAnsi="Symbol" w:hint="default"/>
      </w:rPr>
    </w:lvl>
    <w:lvl w:ilvl="4" w:tplc="10F85B6E">
      <w:start w:val="1"/>
      <w:numFmt w:val="bullet"/>
      <w:lvlText w:val="o"/>
      <w:lvlJc w:val="left"/>
      <w:pPr>
        <w:ind w:left="3240" w:hanging="360"/>
      </w:pPr>
      <w:rPr>
        <w:rFonts w:ascii="Courier New" w:hAnsi="Courier New" w:hint="default"/>
      </w:rPr>
    </w:lvl>
    <w:lvl w:ilvl="5" w:tplc="E3D88244">
      <w:start w:val="1"/>
      <w:numFmt w:val="bullet"/>
      <w:lvlText w:val=""/>
      <w:lvlJc w:val="left"/>
      <w:pPr>
        <w:ind w:left="3960" w:hanging="360"/>
      </w:pPr>
      <w:rPr>
        <w:rFonts w:ascii="Wingdings" w:hAnsi="Wingdings" w:hint="default"/>
      </w:rPr>
    </w:lvl>
    <w:lvl w:ilvl="6" w:tplc="056C572E">
      <w:start w:val="1"/>
      <w:numFmt w:val="bullet"/>
      <w:lvlText w:val=""/>
      <w:lvlJc w:val="left"/>
      <w:pPr>
        <w:ind w:left="4680" w:hanging="360"/>
      </w:pPr>
      <w:rPr>
        <w:rFonts w:ascii="Symbol" w:hAnsi="Symbol" w:hint="default"/>
      </w:rPr>
    </w:lvl>
    <w:lvl w:ilvl="7" w:tplc="F1AAC77C">
      <w:start w:val="1"/>
      <w:numFmt w:val="bullet"/>
      <w:lvlText w:val="o"/>
      <w:lvlJc w:val="left"/>
      <w:pPr>
        <w:ind w:left="5400" w:hanging="360"/>
      </w:pPr>
      <w:rPr>
        <w:rFonts w:ascii="Courier New" w:hAnsi="Courier New" w:hint="default"/>
      </w:rPr>
    </w:lvl>
    <w:lvl w:ilvl="8" w:tplc="8800EA20">
      <w:start w:val="1"/>
      <w:numFmt w:val="bullet"/>
      <w:lvlText w:val=""/>
      <w:lvlJc w:val="left"/>
      <w:pPr>
        <w:ind w:left="6120" w:hanging="360"/>
      </w:pPr>
      <w:rPr>
        <w:rFonts w:ascii="Wingdings" w:hAnsi="Wingdings" w:hint="default"/>
      </w:rPr>
    </w:lvl>
  </w:abstractNum>
  <w:abstractNum w:abstractNumId="76" w15:restartNumberingAfterBreak="0">
    <w:nsid w:val="784F35E0"/>
    <w:multiLevelType w:val="hybridMultilevel"/>
    <w:tmpl w:val="475637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9156EB5"/>
    <w:multiLevelType w:val="multilevel"/>
    <w:tmpl w:val="D84A25E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7BAA06A5"/>
    <w:multiLevelType w:val="multilevel"/>
    <w:tmpl w:val="49BAC59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1637954139">
    <w:abstractNumId w:val="20"/>
  </w:num>
  <w:num w:numId="2" w16cid:durableId="1358584425">
    <w:abstractNumId w:val="66"/>
  </w:num>
  <w:num w:numId="3" w16cid:durableId="1539245514">
    <w:abstractNumId w:val="47"/>
  </w:num>
  <w:num w:numId="4" w16cid:durableId="2051873994">
    <w:abstractNumId w:val="42"/>
  </w:num>
  <w:num w:numId="5" w16cid:durableId="1518810693">
    <w:abstractNumId w:val="28"/>
  </w:num>
  <w:num w:numId="6" w16cid:durableId="1973486840">
    <w:abstractNumId w:val="5"/>
  </w:num>
  <w:num w:numId="7" w16cid:durableId="89550279">
    <w:abstractNumId w:val="4"/>
  </w:num>
  <w:num w:numId="8" w16cid:durableId="1096711620">
    <w:abstractNumId w:val="3"/>
  </w:num>
  <w:num w:numId="9" w16cid:durableId="1164928940">
    <w:abstractNumId w:val="40"/>
  </w:num>
  <w:num w:numId="10" w16cid:durableId="2125422109">
    <w:abstractNumId w:val="2"/>
  </w:num>
  <w:num w:numId="11" w16cid:durableId="476649624">
    <w:abstractNumId w:val="1"/>
  </w:num>
  <w:num w:numId="12" w16cid:durableId="523707857">
    <w:abstractNumId w:val="0"/>
  </w:num>
  <w:num w:numId="13" w16cid:durableId="1672367184">
    <w:abstractNumId w:val="39"/>
  </w:num>
  <w:num w:numId="14" w16cid:durableId="1623150280">
    <w:abstractNumId w:val="12"/>
  </w:num>
  <w:num w:numId="15" w16cid:durableId="765006185">
    <w:abstractNumId w:val="69"/>
  </w:num>
  <w:num w:numId="16" w16cid:durableId="1589000467">
    <w:abstractNumId w:val="26"/>
  </w:num>
  <w:num w:numId="17" w16cid:durableId="7285750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2145901">
    <w:abstractNumId w:val="17"/>
  </w:num>
  <w:num w:numId="19" w16cid:durableId="1242715873">
    <w:abstractNumId w:val="6"/>
  </w:num>
  <w:num w:numId="20" w16cid:durableId="974915567">
    <w:abstractNumId w:val="70"/>
  </w:num>
  <w:num w:numId="21" w16cid:durableId="575669488">
    <w:abstractNumId w:val="45"/>
  </w:num>
  <w:num w:numId="22" w16cid:durableId="206575244">
    <w:abstractNumId w:val="13"/>
  </w:num>
  <w:num w:numId="23" w16cid:durableId="740903317">
    <w:abstractNumId w:val="63"/>
  </w:num>
  <w:num w:numId="24" w16cid:durableId="733550673">
    <w:abstractNumId w:val="16"/>
  </w:num>
  <w:num w:numId="25" w16cid:durableId="296451124">
    <w:abstractNumId w:val="21"/>
  </w:num>
  <w:num w:numId="26" w16cid:durableId="398796960">
    <w:abstractNumId w:val="53"/>
  </w:num>
  <w:num w:numId="27" w16cid:durableId="1787767734">
    <w:abstractNumId w:val="27"/>
  </w:num>
  <w:num w:numId="28" w16cid:durableId="260767800">
    <w:abstractNumId w:val="64"/>
  </w:num>
  <w:num w:numId="29" w16cid:durableId="128523094">
    <w:abstractNumId w:val="7"/>
  </w:num>
  <w:num w:numId="30" w16cid:durableId="1124084416">
    <w:abstractNumId w:val="19"/>
  </w:num>
  <w:num w:numId="31" w16cid:durableId="137770967">
    <w:abstractNumId w:val="78"/>
  </w:num>
  <w:num w:numId="32" w16cid:durableId="1497961727">
    <w:abstractNumId w:val="77"/>
  </w:num>
  <w:num w:numId="33" w16cid:durableId="1913737572">
    <w:abstractNumId w:val="68"/>
  </w:num>
  <w:num w:numId="34" w16cid:durableId="782768697">
    <w:abstractNumId w:val="41"/>
  </w:num>
  <w:num w:numId="35" w16cid:durableId="1326477728">
    <w:abstractNumId w:val="30"/>
  </w:num>
  <w:num w:numId="36" w16cid:durableId="1022050522">
    <w:abstractNumId w:val="49"/>
  </w:num>
  <w:num w:numId="37" w16cid:durableId="1883007885">
    <w:abstractNumId w:val="25"/>
  </w:num>
  <w:num w:numId="38" w16cid:durableId="1144657626">
    <w:abstractNumId w:val="74"/>
  </w:num>
  <w:num w:numId="39" w16cid:durableId="1242911630">
    <w:abstractNumId w:val="29"/>
  </w:num>
  <w:num w:numId="40" w16cid:durableId="1491824404">
    <w:abstractNumId w:val="46"/>
  </w:num>
  <w:num w:numId="41" w16cid:durableId="1981959996">
    <w:abstractNumId w:val="65"/>
  </w:num>
  <w:num w:numId="42" w16cid:durableId="1584534776">
    <w:abstractNumId w:val="11"/>
  </w:num>
  <w:num w:numId="43" w16cid:durableId="588386771">
    <w:abstractNumId w:val="51"/>
  </w:num>
  <w:num w:numId="44" w16cid:durableId="1019086104">
    <w:abstractNumId w:val="33"/>
  </w:num>
  <w:num w:numId="45" w16cid:durableId="1725637898">
    <w:abstractNumId w:val="55"/>
  </w:num>
  <w:num w:numId="46" w16cid:durableId="723913598">
    <w:abstractNumId w:val="48"/>
  </w:num>
  <w:num w:numId="47" w16cid:durableId="852114987">
    <w:abstractNumId w:val="72"/>
  </w:num>
  <w:num w:numId="48" w16cid:durableId="1938908087">
    <w:abstractNumId w:val="57"/>
  </w:num>
  <w:num w:numId="49" w16cid:durableId="1158575296">
    <w:abstractNumId w:val="9"/>
  </w:num>
  <w:num w:numId="50" w16cid:durableId="1793671891">
    <w:abstractNumId w:val="54"/>
  </w:num>
  <w:num w:numId="51" w16cid:durableId="1306858640">
    <w:abstractNumId w:val="61"/>
  </w:num>
  <w:num w:numId="52" w16cid:durableId="1290358499">
    <w:abstractNumId w:val="35"/>
  </w:num>
  <w:num w:numId="53" w16cid:durableId="2072842458">
    <w:abstractNumId w:val="31"/>
  </w:num>
  <w:num w:numId="54" w16cid:durableId="762720397">
    <w:abstractNumId w:val="50"/>
  </w:num>
  <w:num w:numId="55" w16cid:durableId="2090422237">
    <w:abstractNumId w:val="62"/>
  </w:num>
  <w:num w:numId="56" w16cid:durableId="2093624938">
    <w:abstractNumId w:val="36"/>
  </w:num>
  <w:num w:numId="57" w16cid:durableId="1258097484">
    <w:abstractNumId w:val="15"/>
  </w:num>
  <w:num w:numId="58" w16cid:durableId="1621570783">
    <w:abstractNumId w:val="56"/>
  </w:num>
  <w:num w:numId="59" w16cid:durableId="1928734539">
    <w:abstractNumId w:val="24"/>
  </w:num>
  <w:num w:numId="60" w16cid:durableId="424347340">
    <w:abstractNumId w:val="18"/>
  </w:num>
  <w:num w:numId="61" w16cid:durableId="81950165">
    <w:abstractNumId w:val="14"/>
  </w:num>
  <w:num w:numId="62" w16cid:durableId="1764762209">
    <w:abstractNumId w:val="59"/>
  </w:num>
  <w:num w:numId="63" w16cid:durableId="342558012">
    <w:abstractNumId w:val="44"/>
  </w:num>
  <w:num w:numId="64" w16cid:durableId="1024206367">
    <w:abstractNumId w:val="43"/>
  </w:num>
  <w:num w:numId="65" w16cid:durableId="1830899181">
    <w:abstractNumId w:val="34"/>
  </w:num>
  <w:num w:numId="66" w16cid:durableId="455176783">
    <w:abstractNumId w:val="52"/>
  </w:num>
  <w:num w:numId="67" w16cid:durableId="1184242622">
    <w:abstractNumId w:val="10"/>
  </w:num>
  <w:num w:numId="68" w16cid:durableId="60832945">
    <w:abstractNumId w:val="23"/>
  </w:num>
  <w:num w:numId="69" w16cid:durableId="184561042">
    <w:abstractNumId w:val="58"/>
  </w:num>
  <w:num w:numId="70" w16cid:durableId="1723825024">
    <w:abstractNumId w:val="67"/>
  </w:num>
  <w:num w:numId="71" w16cid:durableId="1061977267">
    <w:abstractNumId w:val="73"/>
  </w:num>
  <w:num w:numId="72" w16cid:durableId="318929464">
    <w:abstractNumId w:val="60"/>
  </w:num>
  <w:num w:numId="73" w16cid:durableId="880360087">
    <w:abstractNumId w:val="75"/>
  </w:num>
  <w:num w:numId="74" w16cid:durableId="426851771">
    <w:abstractNumId w:val="8"/>
  </w:num>
  <w:num w:numId="75" w16cid:durableId="1331375929">
    <w:abstractNumId w:val="32"/>
  </w:num>
  <w:num w:numId="76" w16cid:durableId="977297427">
    <w:abstractNumId w:val="76"/>
  </w:num>
  <w:num w:numId="77" w16cid:durableId="1669819900">
    <w:abstractNumId w:val="37"/>
  </w:num>
  <w:num w:numId="78" w16cid:durableId="1213157096">
    <w:abstractNumId w:val="71"/>
  </w:num>
  <w:num w:numId="79" w16cid:durableId="1453479826">
    <w:abstractNumId w:val="22"/>
  </w:num>
  <w:num w:numId="80" w16cid:durableId="1278491382">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47"/>
    <w:rsid w:val="00000257"/>
    <w:rsid w:val="000004A9"/>
    <w:rsid w:val="000005DC"/>
    <w:rsid w:val="00000659"/>
    <w:rsid w:val="00000A10"/>
    <w:rsid w:val="00000DAA"/>
    <w:rsid w:val="00001774"/>
    <w:rsid w:val="00001B53"/>
    <w:rsid w:val="00001FF7"/>
    <w:rsid w:val="0000232E"/>
    <w:rsid w:val="00002C86"/>
    <w:rsid w:val="00002F8F"/>
    <w:rsid w:val="00002F94"/>
    <w:rsid w:val="00003385"/>
    <w:rsid w:val="00003464"/>
    <w:rsid w:val="0000373A"/>
    <w:rsid w:val="00003775"/>
    <w:rsid w:val="000037CB"/>
    <w:rsid w:val="0000397A"/>
    <w:rsid w:val="00003B08"/>
    <w:rsid w:val="000044D0"/>
    <w:rsid w:val="000047A7"/>
    <w:rsid w:val="00004A8C"/>
    <w:rsid w:val="00004E8C"/>
    <w:rsid w:val="000058E0"/>
    <w:rsid w:val="00005A94"/>
    <w:rsid w:val="00005B69"/>
    <w:rsid w:val="00005CCB"/>
    <w:rsid w:val="00006226"/>
    <w:rsid w:val="00006447"/>
    <w:rsid w:val="000067A6"/>
    <w:rsid w:val="00006AF6"/>
    <w:rsid w:val="0000709E"/>
    <w:rsid w:val="00007255"/>
    <w:rsid w:val="000072B8"/>
    <w:rsid w:val="0000737C"/>
    <w:rsid w:val="000076D4"/>
    <w:rsid w:val="000077B1"/>
    <w:rsid w:val="000078A8"/>
    <w:rsid w:val="00007AD6"/>
    <w:rsid w:val="00007C80"/>
    <w:rsid w:val="00007E3D"/>
    <w:rsid w:val="00007E69"/>
    <w:rsid w:val="00007E70"/>
    <w:rsid w:val="00007EB6"/>
    <w:rsid w:val="00007FED"/>
    <w:rsid w:val="000102EF"/>
    <w:rsid w:val="0001050B"/>
    <w:rsid w:val="0001067E"/>
    <w:rsid w:val="00010991"/>
    <w:rsid w:val="00010AFE"/>
    <w:rsid w:val="00010D55"/>
    <w:rsid w:val="00010E4C"/>
    <w:rsid w:val="00010EE0"/>
    <w:rsid w:val="000117E5"/>
    <w:rsid w:val="00011EF9"/>
    <w:rsid w:val="00012366"/>
    <w:rsid w:val="0001279B"/>
    <w:rsid w:val="00012B85"/>
    <w:rsid w:val="00012BC4"/>
    <w:rsid w:val="00012BD6"/>
    <w:rsid w:val="000131C3"/>
    <w:rsid w:val="0001346C"/>
    <w:rsid w:val="00013575"/>
    <w:rsid w:val="00013618"/>
    <w:rsid w:val="00013AE2"/>
    <w:rsid w:val="00013C87"/>
    <w:rsid w:val="00013CD3"/>
    <w:rsid w:val="0001426B"/>
    <w:rsid w:val="000145C6"/>
    <w:rsid w:val="000148B4"/>
    <w:rsid w:val="00014981"/>
    <w:rsid w:val="00014AEF"/>
    <w:rsid w:val="00014D62"/>
    <w:rsid w:val="00014EC5"/>
    <w:rsid w:val="000154ED"/>
    <w:rsid w:val="00015603"/>
    <w:rsid w:val="0001597E"/>
    <w:rsid w:val="00015B8A"/>
    <w:rsid w:val="00015F51"/>
    <w:rsid w:val="00015F87"/>
    <w:rsid w:val="00016C54"/>
    <w:rsid w:val="0001733C"/>
    <w:rsid w:val="0001784F"/>
    <w:rsid w:val="000178C7"/>
    <w:rsid w:val="00017950"/>
    <w:rsid w:val="00017B1A"/>
    <w:rsid w:val="00017BE1"/>
    <w:rsid w:val="0002047E"/>
    <w:rsid w:val="000207FF"/>
    <w:rsid w:val="00020D25"/>
    <w:rsid w:val="00020D36"/>
    <w:rsid w:val="00020FBD"/>
    <w:rsid w:val="000216D8"/>
    <w:rsid w:val="00021778"/>
    <w:rsid w:val="000217F0"/>
    <w:rsid w:val="000218BC"/>
    <w:rsid w:val="00021FBE"/>
    <w:rsid w:val="0002217A"/>
    <w:rsid w:val="00022368"/>
    <w:rsid w:val="000229D1"/>
    <w:rsid w:val="00022A16"/>
    <w:rsid w:val="00022A83"/>
    <w:rsid w:val="00022C5F"/>
    <w:rsid w:val="0002319A"/>
    <w:rsid w:val="000231B1"/>
    <w:rsid w:val="000231E8"/>
    <w:rsid w:val="000231F6"/>
    <w:rsid w:val="000237CF"/>
    <w:rsid w:val="00023CC8"/>
    <w:rsid w:val="00023D15"/>
    <w:rsid w:val="00023D65"/>
    <w:rsid w:val="00023D66"/>
    <w:rsid w:val="00023D82"/>
    <w:rsid w:val="00023EB1"/>
    <w:rsid w:val="000243F0"/>
    <w:rsid w:val="00024CAA"/>
    <w:rsid w:val="00024F4E"/>
    <w:rsid w:val="000250E1"/>
    <w:rsid w:val="000250EA"/>
    <w:rsid w:val="00025A36"/>
    <w:rsid w:val="00025A56"/>
    <w:rsid w:val="00025E4A"/>
    <w:rsid w:val="00025ED9"/>
    <w:rsid w:val="00026010"/>
    <w:rsid w:val="00026593"/>
    <w:rsid w:val="0002678F"/>
    <w:rsid w:val="000269FE"/>
    <w:rsid w:val="00026AB5"/>
    <w:rsid w:val="00026C00"/>
    <w:rsid w:val="00027144"/>
    <w:rsid w:val="000272DE"/>
    <w:rsid w:val="00027440"/>
    <w:rsid w:val="00027802"/>
    <w:rsid w:val="00027DD1"/>
    <w:rsid w:val="0003027C"/>
    <w:rsid w:val="0003041F"/>
    <w:rsid w:val="000306D3"/>
    <w:rsid w:val="000307EC"/>
    <w:rsid w:val="00030839"/>
    <w:rsid w:val="0003087E"/>
    <w:rsid w:val="00030DBE"/>
    <w:rsid w:val="00030E72"/>
    <w:rsid w:val="0003111E"/>
    <w:rsid w:val="00031120"/>
    <w:rsid w:val="0003145F"/>
    <w:rsid w:val="0003152B"/>
    <w:rsid w:val="00031A47"/>
    <w:rsid w:val="00031DFF"/>
    <w:rsid w:val="00031ED8"/>
    <w:rsid w:val="00031FA1"/>
    <w:rsid w:val="0003252F"/>
    <w:rsid w:val="00032ABE"/>
    <w:rsid w:val="00032BBC"/>
    <w:rsid w:val="00032C54"/>
    <w:rsid w:val="00032DC8"/>
    <w:rsid w:val="00032DCB"/>
    <w:rsid w:val="00032F9D"/>
    <w:rsid w:val="00033017"/>
    <w:rsid w:val="00033121"/>
    <w:rsid w:val="000332A0"/>
    <w:rsid w:val="00033398"/>
    <w:rsid w:val="000335AA"/>
    <w:rsid w:val="00033613"/>
    <w:rsid w:val="0003383D"/>
    <w:rsid w:val="00034309"/>
    <w:rsid w:val="00034425"/>
    <w:rsid w:val="000345D4"/>
    <w:rsid w:val="0003475E"/>
    <w:rsid w:val="000349E9"/>
    <w:rsid w:val="00034A38"/>
    <w:rsid w:val="00034A4C"/>
    <w:rsid w:val="00034A81"/>
    <w:rsid w:val="00035160"/>
    <w:rsid w:val="00035698"/>
    <w:rsid w:val="00035E8E"/>
    <w:rsid w:val="000360C1"/>
    <w:rsid w:val="0003620E"/>
    <w:rsid w:val="000365F0"/>
    <w:rsid w:val="00036AD8"/>
    <w:rsid w:val="00036DBE"/>
    <w:rsid w:val="00036DD7"/>
    <w:rsid w:val="00036F14"/>
    <w:rsid w:val="00037104"/>
    <w:rsid w:val="0003755F"/>
    <w:rsid w:val="00037875"/>
    <w:rsid w:val="000378AB"/>
    <w:rsid w:val="00037C38"/>
    <w:rsid w:val="00037D1D"/>
    <w:rsid w:val="00037DB7"/>
    <w:rsid w:val="00037EBD"/>
    <w:rsid w:val="000400A6"/>
    <w:rsid w:val="00040605"/>
    <w:rsid w:val="0004127C"/>
    <w:rsid w:val="000416F3"/>
    <w:rsid w:val="0004178E"/>
    <w:rsid w:val="00041C8C"/>
    <w:rsid w:val="00041FA8"/>
    <w:rsid w:val="00041FEB"/>
    <w:rsid w:val="000423EE"/>
    <w:rsid w:val="00042429"/>
    <w:rsid w:val="000424ED"/>
    <w:rsid w:val="0004263A"/>
    <w:rsid w:val="00042941"/>
    <w:rsid w:val="00042A37"/>
    <w:rsid w:val="00042B48"/>
    <w:rsid w:val="00042BE1"/>
    <w:rsid w:val="00042E0F"/>
    <w:rsid w:val="00042E6B"/>
    <w:rsid w:val="00043505"/>
    <w:rsid w:val="0004351F"/>
    <w:rsid w:val="00043685"/>
    <w:rsid w:val="0004371E"/>
    <w:rsid w:val="00043B11"/>
    <w:rsid w:val="0004400D"/>
    <w:rsid w:val="000440E5"/>
    <w:rsid w:val="0004416A"/>
    <w:rsid w:val="00044304"/>
    <w:rsid w:val="00044324"/>
    <w:rsid w:val="0004436A"/>
    <w:rsid w:val="0004437D"/>
    <w:rsid w:val="0004462B"/>
    <w:rsid w:val="00044D3B"/>
    <w:rsid w:val="00044E67"/>
    <w:rsid w:val="00045039"/>
    <w:rsid w:val="0004538E"/>
    <w:rsid w:val="00045844"/>
    <w:rsid w:val="000458C2"/>
    <w:rsid w:val="00045A77"/>
    <w:rsid w:val="00045CC1"/>
    <w:rsid w:val="00045D56"/>
    <w:rsid w:val="00045EC2"/>
    <w:rsid w:val="00046143"/>
    <w:rsid w:val="0004633B"/>
    <w:rsid w:val="000464EB"/>
    <w:rsid w:val="000466A1"/>
    <w:rsid w:val="00046D68"/>
    <w:rsid w:val="00046E48"/>
    <w:rsid w:val="00046F34"/>
    <w:rsid w:val="000470E7"/>
    <w:rsid w:val="00047A53"/>
    <w:rsid w:val="00047AFE"/>
    <w:rsid w:val="00047BBB"/>
    <w:rsid w:val="00047D5E"/>
    <w:rsid w:val="00050064"/>
    <w:rsid w:val="000501EA"/>
    <w:rsid w:val="0005022E"/>
    <w:rsid w:val="0005042F"/>
    <w:rsid w:val="0005069C"/>
    <w:rsid w:val="00050781"/>
    <w:rsid w:val="00050887"/>
    <w:rsid w:val="00050B15"/>
    <w:rsid w:val="00051177"/>
    <w:rsid w:val="000513BC"/>
    <w:rsid w:val="00051460"/>
    <w:rsid w:val="000516E8"/>
    <w:rsid w:val="000518A3"/>
    <w:rsid w:val="0005190E"/>
    <w:rsid w:val="00051B28"/>
    <w:rsid w:val="00051C73"/>
    <w:rsid w:val="00051CCA"/>
    <w:rsid w:val="00051CCD"/>
    <w:rsid w:val="000521D7"/>
    <w:rsid w:val="000523D7"/>
    <w:rsid w:val="000523EC"/>
    <w:rsid w:val="00052515"/>
    <w:rsid w:val="000528D5"/>
    <w:rsid w:val="00052BD0"/>
    <w:rsid w:val="00052D16"/>
    <w:rsid w:val="00052ECD"/>
    <w:rsid w:val="00053344"/>
    <w:rsid w:val="000534B8"/>
    <w:rsid w:val="000534CE"/>
    <w:rsid w:val="000539B8"/>
    <w:rsid w:val="0005407D"/>
    <w:rsid w:val="0005449C"/>
    <w:rsid w:val="0005458B"/>
    <w:rsid w:val="000546E4"/>
    <w:rsid w:val="00054792"/>
    <w:rsid w:val="0005483F"/>
    <w:rsid w:val="00054B66"/>
    <w:rsid w:val="00054B98"/>
    <w:rsid w:val="000550A2"/>
    <w:rsid w:val="00055152"/>
    <w:rsid w:val="000552F1"/>
    <w:rsid w:val="000554C6"/>
    <w:rsid w:val="00055592"/>
    <w:rsid w:val="000559B0"/>
    <w:rsid w:val="00055C11"/>
    <w:rsid w:val="00055E30"/>
    <w:rsid w:val="00055F0C"/>
    <w:rsid w:val="0005601D"/>
    <w:rsid w:val="000566B7"/>
    <w:rsid w:val="0005696C"/>
    <w:rsid w:val="00056E33"/>
    <w:rsid w:val="00056F8F"/>
    <w:rsid w:val="00056FB2"/>
    <w:rsid w:val="000571CA"/>
    <w:rsid w:val="00057263"/>
    <w:rsid w:val="00057373"/>
    <w:rsid w:val="00057479"/>
    <w:rsid w:val="000575DB"/>
    <w:rsid w:val="000577FF"/>
    <w:rsid w:val="00057837"/>
    <w:rsid w:val="000578E9"/>
    <w:rsid w:val="00057DF8"/>
    <w:rsid w:val="00057E81"/>
    <w:rsid w:val="00057FFE"/>
    <w:rsid w:val="0006010B"/>
    <w:rsid w:val="00060604"/>
    <w:rsid w:val="00060744"/>
    <w:rsid w:val="0006082E"/>
    <w:rsid w:val="00060BC3"/>
    <w:rsid w:val="00060D0F"/>
    <w:rsid w:val="00061262"/>
    <w:rsid w:val="000613AE"/>
    <w:rsid w:val="0006190C"/>
    <w:rsid w:val="00061A33"/>
    <w:rsid w:val="00061B25"/>
    <w:rsid w:val="00061CE6"/>
    <w:rsid w:val="00061D4F"/>
    <w:rsid w:val="0006209E"/>
    <w:rsid w:val="00062205"/>
    <w:rsid w:val="0006224B"/>
    <w:rsid w:val="00062648"/>
    <w:rsid w:val="00063057"/>
    <w:rsid w:val="000630D7"/>
    <w:rsid w:val="000632D1"/>
    <w:rsid w:val="00063326"/>
    <w:rsid w:val="000634BC"/>
    <w:rsid w:val="000638F4"/>
    <w:rsid w:val="00063905"/>
    <w:rsid w:val="0006393A"/>
    <w:rsid w:val="00063A0F"/>
    <w:rsid w:val="00063C4F"/>
    <w:rsid w:val="00063D09"/>
    <w:rsid w:val="00063E7A"/>
    <w:rsid w:val="00064140"/>
    <w:rsid w:val="00064498"/>
    <w:rsid w:val="000644BD"/>
    <w:rsid w:val="0006465D"/>
    <w:rsid w:val="000647E5"/>
    <w:rsid w:val="000648E3"/>
    <w:rsid w:val="000649C8"/>
    <w:rsid w:val="00064B0F"/>
    <w:rsid w:val="000650C8"/>
    <w:rsid w:val="0006526B"/>
    <w:rsid w:val="0006546B"/>
    <w:rsid w:val="000654E9"/>
    <w:rsid w:val="00065716"/>
    <w:rsid w:val="000658CE"/>
    <w:rsid w:val="00065FE8"/>
    <w:rsid w:val="0006615D"/>
    <w:rsid w:val="000661A2"/>
    <w:rsid w:val="00066230"/>
    <w:rsid w:val="0006629F"/>
    <w:rsid w:val="000662A7"/>
    <w:rsid w:val="00066385"/>
    <w:rsid w:val="0006657C"/>
    <w:rsid w:val="00066848"/>
    <w:rsid w:val="000669A4"/>
    <w:rsid w:val="000669C7"/>
    <w:rsid w:val="00066A7A"/>
    <w:rsid w:val="000670D5"/>
    <w:rsid w:val="000671D0"/>
    <w:rsid w:val="000672C0"/>
    <w:rsid w:val="000677B5"/>
    <w:rsid w:val="00067945"/>
    <w:rsid w:val="000679F8"/>
    <w:rsid w:val="00067BB9"/>
    <w:rsid w:val="00067BC6"/>
    <w:rsid w:val="00067EAD"/>
    <w:rsid w:val="0007036D"/>
    <w:rsid w:val="0007067C"/>
    <w:rsid w:val="00070715"/>
    <w:rsid w:val="00070928"/>
    <w:rsid w:val="00070C32"/>
    <w:rsid w:val="00070CEE"/>
    <w:rsid w:val="00070EA9"/>
    <w:rsid w:val="00070F18"/>
    <w:rsid w:val="00071130"/>
    <w:rsid w:val="000712CE"/>
    <w:rsid w:val="000712E4"/>
    <w:rsid w:val="000714B2"/>
    <w:rsid w:val="00071585"/>
    <w:rsid w:val="000717AD"/>
    <w:rsid w:val="000719AD"/>
    <w:rsid w:val="000719B6"/>
    <w:rsid w:val="00071B1B"/>
    <w:rsid w:val="00071FD8"/>
    <w:rsid w:val="000720D1"/>
    <w:rsid w:val="00072244"/>
    <w:rsid w:val="0007238B"/>
    <w:rsid w:val="0007278A"/>
    <w:rsid w:val="000728D7"/>
    <w:rsid w:val="00072946"/>
    <w:rsid w:val="00072C57"/>
    <w:rsid w:val="00072F9C"/>
    <w:rsid w:val="0007307D"/>
    <w:rsid w:val="0007308F"/>
    <w:rsid w:val="0007356A"/>
    <w:rsid w:val="00073593"/>
    <w:rsid w:val="00073B14"/>
    <w:rsid w:val="00073C37"/>
    <w:rsid w:val="00073ECD"/>
    <w:rsid w:val="00073ECE"/>
    <w:rsid w:val="000740A3"/>
    <w:rsid w:val="000741C0"/>
    <w:rsid w:val="00074263"/>
    <w:rsid w:val="000742F1"/>
    <w:rsid w:val="000747D9"/>
    <w:rsid w:val="00074930"/>
    <w:rsid w:val="00074981"/>
    <w:rsid w:val="000750F9"/>
    <w:rsid w:val="00075239"/>
    <w:rsid w:val="00075250"/>
    <w:rsid w:val="000756F5"/>
    <w:rsid w:val="000757EA"/>
    <w:rsid w:val="00075F40"/>
    <w:rsid w:val="00076010"/>
    <w:rsid w:val="0007609E"/>
    <w:rsid w:val="00076AE3"/>
    <w:rsid w:val="00076BA2"/>
    <w:rsid w:val="00076F3C"/>
    <w:rsid w:val="00077036"/>
    <w:rsid w:val="000771BD"/>
    <w:rsid w:val="00077309"/>
    <w:rsid w:val="00077593"/>
    <w:rsid w:val="0007769B"/>
    <w:rsid w:val="00077B14"/>
    <w:rsid w:val="00080653"/>
    <w:rsid w:val="00080925"/>
    <w:rsid w:val="00080D2A"/>
    <w:rsid w:val="00080E78"/>
    <w:rsid w:val="00081040"/>
    <w:rsid w:val="000815F1"/>
    <w:rsid w:val="00081B42"/>
    <w:rsid w:val="0008228B"/>
    <w:rsid w:val="000822D3"/>
    <w:rsid w:val="000824A3"/>
    <w:rsid w:val="000824DF"/>
    <w:rsid w:val="0008279D"/>
    <w:rsid w:val="00082877"/>
    <w:rsid w:val="00082CFF"/>
    <w:rsid w:val="00082F02"/>
    <w:rsid w:val="00082F37"/>
    <w:rsid w:val="000831C1"/>
    <w:rsid w:val="00083697"/>
    <w:rsid w:val="000837F6"/>
    <w:rsid w:val="00083B9A"/>
    <w:rsid w:val="00083C52"/>
    <w:rsid w:val="00083E05"/>
    <w:rsid w:val="00083F2C"/>
    <w:rsid w:val="00084259"/>
    <w:rsid w:val="000842F9"/>
    <w:rsid w:val="000844A2"/>
    <w:rsid w:val="000844C1"/>
    <w:rsid w:val="00084AED"/>
    <w:rsid w:val="00084CEE"/>
    <w:rsid w:val="00084CF1"/>
    <w:rsid w:val="00084DE5"/>
    <w:rsid w:val="00084DF9"/>
    <w:rsid w:val="0008501F"/>
    <w:rsid w:val="000851B6"/>
    <w:rsid w:val="000854B5"/>
    <w:rsid w:val="00085667"/>
    <w:rsid w:val="000856EA"/>
    <w:rsid w:val="0008571F"/>
    <w:rsid w:val="0008597C"/>
    <w:rsid w:val="00085C8A"/>
    <w:rsid w:val="00085C98"/>
    <w:rsid w:val="00086257"/>
    <w:rsid w:val="000863EB"/>
    <w:rsid w:val="0008689E"/>
    <w:rsid w:val="00086B55"/>
    <w:rsid w:val="00086DB8"/>
    <w:rsid w:val="00086EA3"/>
    <w:rsid w:val="00087396"/>
    <w:rsid w:val="000873BD"/>
    <w:rsid w:val="000873EC"/>
    <w:rsid w:val="00087509"/>
    <w:rsid w:val="00087943"/>
    <w:rsid w:val="00087A8E"/>
    <w:rsid w:val="000903AA"/>
    <w:rsid w:val="00090452"/>
    <w:rsid w:val="000904CC"/>
    <w:rsid w:val="0009059F"/>
    <w:rsid w:val="00090A17"/>
    <w:rsid w:val="00090B2D"/>
    <w:rsid w:val="00090BF3"/>
    <w:rsid w:val="000911AB"/>
    <w:rsid w:val="00091299"/>
    <w:rsid w:val="0009133A"/>
    <w:rsid w:val="00091412"/>
    <w:rsid w:val="0009181D"/>
    <w:rsid w:val="00091848"/>
    <w:rsid w:val="0009228D"/>
    <w:rsid w:val="000922C1"/>
    <w:rsid w:val="000923EA"/>
    <w:rsid w:val="000924BE"/>
    <w:rsid w:val="0009278D"/>
    <w:rsid w:val="0009292A"/>
    <w:rsid w:val="00092BA9"/>
    <w:rsid w:val="00092C0F"/>
    <w:rsid w:val="00092C18"/>
    <w:rsid w:val="00092E92"/>
    <w:rsid w:val="00093118"/>
    <w:rsid w:val="00093DC9"/>
    <w:rsid w:val="00093FDA"/>
    <w:rsid w:val="00094083"/>
    <w:rsid w:val="000941F0"/>
    <w:rsid w:val="00094699"/>
    <w:rsid w:val="00094929"/>
    <w:rsid w:val="00094E21"/>
    <w:rsid w:val="00094E79"/>
    <w:rsid w:val="0009539E"/>
    <w:rsid w:val="000953BD"/>
    <w:rsid w:val="00095F0B"/>
    <w:rsid w:val="0009618F"/>
    <w:rsid w:val="000963C1"/>
    <w:rsid w:val="0009693D"/>
    <w:rsid w:val="00096AEF"/>
    <w:rsid w:val="00096C8D"/>
    <w:rsid w:val="00096E5E"/>
    <w:rsid w:val="00096ED5"/>
    <w:rsid w:val="000972A6"/>
    <w:rsid w:val="000974AE"/>
    <w:rsid w:val="000978D2"/>
    <w:rsid w:val="00097EF4"/>
    <w:rsid w:val="00097FB8"/>
    <w:rsid w:val="000A02C3"/>
    <w:rsid w:val="000A02DB"/>
    <w:rsid w:val="000A0619"/>
    <w:rsid w:val="000A079B"/>
    <w:rsid w:val="000A095D"/>
    <w:rsid w:val="000A09F4"/>
    <w:rsid w:val="000A0B40"/>
    <w:rsid w:val="000A0B58"/>
    <w:rsid w:val="000A0BAF"/>
    <w:rsid w:val="000A1098"/>
    <w:rsid w:val="000A12DE"/>
    <w:rsid w:val="000A18EA"/>
    <w:rsid w:val="000A1A67"/>
    <w:rsid w:val="000A1CBC"/>
    <w:rsid w:val="000A201A"/>
    <w:rsid w:val="000A2137"/>
    <w:rsid w:val="000A2228"/>
    <w:rsid w:val="000A259F"/>
    <w:rsid w:val="000A26DA"/>
    <w:rsid w:val="000A2B90"/>
    <w:rsid w:val="000A2E9E"/>
    <w:rsid w:val="000A30DC"/>
    <w:rsid w:val="000A3264"/>
    <w:rsid w:val="000A35F5"/>
    <w:rsid w:val="000A37A7"/>
    <w:rsid w:val="000A388B"/>
    <w:rsid w:val="000A3A21"/>
    <w:rsid w:val="000A3AA1"/>
    <w:rsid w:val="000A3C95"/>
    <w:rsid w:val="000A41AB"/>
    <w:rsid w:val="000A42E2"/>
    <w:rsid w:val="000A4406"/>
    <w:rsid w:val="000A46E3"/>
    <w:rsid w:val="000A48CA"/>
    <w:rsid w:val="000A496B"/>
    <w:rsid w:val="000A4F5C"/>
    <w:rsid w:val="000A51F6"/>
    <w:rsid w:val="000A521C"/>
    <w:rsid w:val="000A530A"/>
    <w:rsid w:val="000A547D"/>
    <w:rsid w:val="000A57FE"/>
    <w:rsid w:val="000A5D9C"/>
    <w:rsid w:val="000A5ECF"/>
    <w:rsid w:val="000A5F5D"/>
    <w:rsid w:val="000A616D"/>
    <w:rsid w:val="000A621D"/>
    <w:rsid w:val="000A6228"/>
    <w:rsid w:val="000A66A9"/>
    <w:rsid w:val="000A67BD"/>
    <w:rsid w:val="000A6B0F"/>
    <w:rsid w:val="000A6E7A"/>
    <w:rsid w:val="000A7009"/>
    <w:rsid w:val="000A7507"/>
    <w:rsid w:val="000A77A3"/>
    <w:rsid w:val="000A7909"/>
    <w:rsid w:val="000A79B0"/>
    <w:rsid w:val="000B00D3"/>
    <w:rsid w:val="000B080A"/>
    <w:rsid w:val="000B0DC7"/>
    <w:rsid w:val="000B0E37"/>
    <w:rsid w:val="000B119E"/>
    <w:rsid w:val="000B13B1"/>
    <w:rsid w:val="000B1746"/>
    <w:rsid w:val="000B1862"/>
    <w:rsid w:val="000B1BAF"/>
    <w:rsid w:val="000B1E2B"/>
    <w:rsid w:val="000B2059"/>
    <w:rsid w:val="000B2256"/>
    <w:rsid w:val="000B24F1"/>
    <w:rsid w:val="000B2675"/>
    <w:rsid w:val="000B2808"/>
    <w:rsid w:val="000B2B93"/>
    <w:rsid w:val="000B2C7E"/>
    <w:rsid w:val="000B31E4"/>
    <w:rsid w:val="000B323A"/>
    <w:rsid w:val="000B3259"/>
    <w:rsid w:val="000B32B0"/>
    <w:rsid w:val="000B33E9"/>
    <w:rsid w:val="000B3604"/>
    <w:rsid w:val="000B3791"/>
    <w:rsid w:val="000B3A2F"/>
    <w:rsid w:val="000B3A7B"/>
    <w:rsid w:val="000B3C20"/>
    <w:rsid w:val="000B426F"/>
    <w:rsid w:val="000B44EB"/>
    <w:rsid w:val="000B4547"/>
    <w:rsid w:val="000B4697"/>
    <w:rsid w:val="000B4797"/>
    <w:rsid w:val="000B4812"/>
    <w:rsid w:val="000B52C6"/>
    <w:rsid w:val="000B5305"/>
    <w:rsid w:val="000B5398"/>
    <w:rsid w:val="000B546A"/>
    <w:rsid w:val="000B58FE"/>
    <w:rsid w:val="000B5B78"/>
    <w:rsid w:val="000B5BCF"/>
    <w:rsid w:val="000B5D40"/>
    <w:rsid w:val="000B5DBC"/>
    <w:rsid w:val="000B5EF6"/>
    <w:rsid w:val="000B652F"/>
    <w:rsid w:val="000B6893"/>
    <w:rsid w:val="000B6985"/>
    <w:rsid w:val="000B6AE2"/>
    <w:rsid w:val="000B7235"/>
    <w:rsid w:val="000B73C6"/>
    <w:rsid w:val="000B7955"/>
    <w:rsid w:val="000B7EC6"/>
    <w:rsid w:val="000B7F67"/>
    <w:rsid w:val="000C03CE"/>
    <w:rsid w:val="000C0527"/>
    <w:rsid w:val="000C05FD"/>
    <w:rsid w:val="000C0CD2"/>
    <w:rsid w:val="000C0D90"/>
    <w:rsid w:val="000C1079"/>
    <w:rsid w:val="000C1115"/>
    <w:rsid w:val="000C19A6"/>
    <w:rsid w:val="000C1B7C"/>
    <w:rsid w:val="000C2539"/>
    <w:rsid w:val="000C3471"/>
    <w:rsid w:val="000C351A"/>
    <w:rsid w:val="000C3541"/>
    <w:rsid w:val="000C3ABA"/>
    <w:rsid w:val="000C3C88"/>
    <w:rsid w:val="000C3F0A"/>
    <w:rsid w:val="000C400E"/>
    <w:rsid w:val="000C428D"/>
    <w:rsid w:val="000C43BA"/>
    <w:rsid w:val="000C45B0"/>
    <w:rsid w:val="000C4871"/>
    <w:rsid w:val="000C48CB"/>
    <w:rsid w:val="000C4A99"/>
    <w:rsid w:val="000C4BA3"/>
    <w:rsid w:val="000C535F"/>
    <w:rsid w:val="000C54EA"/>
    <w:rsid w:val="000C557A"/>
    <w:rsid w:val="000C5634"/>
    <w:rsid w:val="000C5A80"/>
    <w:rsid w:val="000C5AEC"/>
    <w:rsid w:val="000C5F35"/>
    <w:rsid w:val="000C616B"/>
    <w:rsid w:val="000C64B7"/>
    <w:rsid w:val="000C66AD"/>
    <w:rsid w:val="000C6C7D"/>
    <w:rsid w:val="000C6CEC"/>
    <w:rsid w:val="000C6EC3"/>
    <w:rsid w:val="000C70C8"/>
    <w:rsid w:val="000C7368"/>
    <w:rsid w:val="000C73A9"/>
    <w:rsid w:val="000D0166"/>
    <w:rsid w:val="000D06C2"/>
    <w:rsid w:val="000D09E3"/>
    <w:rsid w:val="000D1927"/>
    <w:rsid w:val="000D197D"/>
    <w:rsid w:val="000D1CE1"/>
    <w:rsid w:val="000D1FD0"/>
    <w:rsid w:val="000D224A"/>
    <w:rsid w:val="000D22C2"/>
    <w:rsid w:val="000D2435"/>
    <w:rsid w:val="000D25D7"/>
    <w:rsid w:val="000D25FD"/>
    <w:rsid w:val="000D26BF"/>
    <w:rsid w:val="000D2D27"/>
    <w:rsid w:val="000D2D8E"/>
    <w:rsid w:val="000D2DD6"/>
    <w:rsid w:val="000D2FD5"/>
    <w:rsid w:val="000D301E"/>
    <w:rsid w:val="000D333B"/>
    <w:rsid w:val="000D3722"/>
    <w:rsid w:val="000D37E7"/>
    <w:rsid w:val="000D3C3F"/>
    <w:rsid w:val="000D3FA1"/>
    <w:rsid w:val="000D4553"/>
    <w:rsid w:val="000D4630"/>
    <w:rsid w:val="000D47BB"/>
    <w:rsid w:val="000D49D7"/>
    <w:rsid w:val="000D4B16"/>
    <w:rsid w:val="000D4F20"/>
    <w:rsid w:val="000D500E"/>
    <w:rsid w:val="000D5811"/>
    <w:rsid w:val="000D5BB5"/>
    <w:rsid w:val="000D5DB3"/>
    <w:rsid w:val="000D5E2E"/>
    <w:rsid w:val="000D5F41"/>
    <w:rsid w:val="000D6277"/>
    <w:rsid w:val="000D660E"/>
    <w:rsid w:val="000D6CCD"/>
    <w:rsid w:val="000D6F75"/>
    <w:rsid w:val="000D71A4"/>
    <w:rsid w:val="000D72FD"/>
    <w:rsid w:val="000D7498"/>
    <w:rsid w:val="000D7618"/>
    <w:rsid w:val="000D76AE"/>
    <w:rsid w:val="000D7729"/>
    <w:rsid w:val="000D7F22"/>
    <w:rsid w:val="000E03D8"/>
    <w:rsid w:val="000E06B5"/>
    <w:rsid w:val="000E0864"/>
    <w:rsid w:val="000E09E7"/>
    <w:rsid w:val="000E0DF0"/>
    <w:rsid w:val="000E0EBA"/>
    <w:rsid w:val="000E1334"/>
    <w:rsid w:val="000E1446"/>
    <w:rsid w:val="000E1663"/>
    <w:rsid w:val="000E18E4"/>
    <w:rsid w:val="000E19DA"/>
    <w:rsid w:val="000E1C0D"/>
    <w:rsid w:val="000E1D5C"/>
    <w:rsid w:val="000E1DC3"/>
    <w:rsid w:val="000E1EF3"/>
    <w:rsid w:val="000E214E"/>
    <w:rsid w:val="000E22E1"/>
    <w:rsid w:val="000E2546"/>
    <w:rsid w:val="000E2648"/>
    <w:rsid w:val="000E2763"/>
    <w:rsid w:val="000E2CAA"/>
    <w:rsid w:val="000E2EF4"/>
    <w:rsid w:val="000E315D"/>
    <w:rsid w:val="000E3465"/>
    <w:rsid w:val="000E39AF"/>
    <w:rsid w:val="000E3C24"/>
    <w:rsid w:val="000E3EB4"/>
    <w:rsid w:val="000E3FD3"/>
    <w:rsid w:val="000E4047"/>
    <w:rsid w:val="000E4400"/>
    <w:rsid w:val="000E444B"/>
    <w:rsid w:val="000E45D7"/>
    <w:rsid w:val="000E4980"/>
    <w:rsid w:val="000E4C5C"/>
    <w:rsid w:val="000E50E5"/>
    <w:rsid w:val="000E586A"/>
    <w:rsid w:val="000E5A72"/>
    <w:rsid w:val="000E5A88"/>
    <w:rsid w:val="000E5DE6"/>
    <w:rsid w:val="000E5F82"/>
    <w:rsid w:val="000E6106"/>
    <w:rsid w:val="000E62E2"/>
    <w:rsid w:val="000E65BA"/>
    <w:rsid w:val="000E6711"/>
    <w:rsid w:val="000E6807"/>
    <w:rsid w:val="000E69A8"/>
    <w:rsid w:val="000E6C22"/>
    <w:rsid w:val="000E6D08"/>
    <w:rsid w:val="000E6FEB"/>
    <w:rsid w:val="000E7290"/>
    <w:rsid w:val="000E76ED"/>
    <w:rsid w:val="000E79B1"/>
    <w:rsid w:val="000E7A71"/>
    <w:rsid w:val="000E7AA2"/>
    <w:rsid w:val="000E7BAE"/>
    <w:rsid w:val="000E7CB1"/>
    <w:rsid w:val="000F0370"/>
    <w:rsid w:val="000F0791"/>
    <w:rsid w:val="000F0A7E"/>
    <w:rsid w:val="000F0AA8"/>
    <w:rsid w:val="000F0B07"/>
    <w:rsid w:val="000F0BC2"/>
    <w:rsid w:val="000F0DF7"/>
    <w:rsid w:val="000F100C"/>
    <w:rsid w:val="000F1252"/>
    <w:rsid w:val="000F1863"/>
    <w:rsid w:val="000F1D24"/>
    <w:rsid w:val="000F1F1F"/>
    <w:rsid w:val="000F1F88"/>
    <w:rsid w:val="000F2821"/>
    <w:rsid w:val="000F28B1"/>
    <w:rsid w:val="000F2944"/>
    <w:rsid w:val="000F2B5F"/>
    <w:rsid w:val="000F2FB5"/>
    <w:rsid w:val="000F317A"/>
    <w:rsid w:val="000F317F"/>
    <w:rsid w:val="000F34FC"/>
    <w:rsid w:val="000F353C"/>
    <w:rsid w:val="000F36A2"/>
    <w:rsid w:val="000F385C"/>
    <w:rsid w:val="000F399F"/>
    <w:rsid w:val="000F3C2D"/>
    <w:rsid w:val="000F3C34"/>
    <w:rsid w:val="000F3EC9"/>
    <w:rsid w:val="000F41D7"/>
    <w:rsid w:val="000F4244"/>
    <w:rsid w:val="000F4376"/>
    <w:rsid w:val="000F4A22"/>
    <w:rsid w:val="000F4AAC"/>
    <w:rsid w:val="000F4B72"/>
    <w:rsid w:val="000F4BA9"/>
    <w:rsid w:val="000F4C3E"/>
    <w:rsid w:val="000F4F80"/>
    <w:rsid w:val="000F4F8B"/>
    <w:rsid w:val="000F509B"/>
    <w:rsid w:val="000F5664"/>
    <w:rsid w:val="000F5930"/>
    <w:rsid w:val="000F5B05"/>
    <w:rsid w:val="000F5BB2"/>
    <w:rsid w:val="000F5C2B"/>
    <w:rsid w:val="000F6096"/>
    <w:rsid w:val="000F6212"/>
    <w:rsid w:val="000F6779"/>
    <w:rsid w:val="000F6884"/>
    <w:rsid w:val="000F6D4C"/>
    <w:rsid w:val="000F6DE8"/>
    <w:rsid w:val="000F6FD7"/>
    <w:rsid w:val="000F6FED"/>
    <w:rsid w:val="000F765F"/>
    <w:rsid w:val="000F7877"/>
    <w:rsid w:val="000F7944"/>
    <w:rsid w:val="001004F1"/>
    <w:rsid w:val="00100857"/>
    <w:rsid w:val="0010087F"/>
    <w:rsid w:val="00100CB7"/>
    <w:rsid w:val="00100E6D"/>
    <w:rsid w:val="00100EC0"/>
    <w:rsid w:val="00100F54"/>
    <w:rsid w:val="00101196"/>
    <w:rsid w:val="00101537"/>
    <w:rsid w:val="001017C2"/>
    <w:rsid w:val="00101C21"/>
    <w:rsid w:val="00101D4D"/>
    <w:rsid w:val="00102252"/>
    <w:rsid w:val="00102518"/>
    <w:rsid w:val="00102A81"/>
    <w:rsid w:val="00102D4C"/>
    <w:rsid w:val="00103430"/>
    <w:rsid w:val="00103588"/>
    <w:rsid w:val="001035E0"/>
    <w:rsid w:val="0010370D"/>
    <w:rsid w:val="00103858"/>
    <w:rsid w:val="00103CDA"/>
    <w:rsid w:val="001042BC"/>
    <w:rsid w:val="001048D6"/>
    <w:rsid w:val="00104BC8"/>
    <w:rsid w:val="00104D91"/>
    <w:rsid w:val="00105173"/>
    <w:rsid w:val="00105303"/>
    <w:rsid w:val="001059D1"/>
    <w:rsid w:val="001059D9"/>
    <w:rsid w:val="00105BFE"/>
    <w:rsid w:val="00105E66"/>
    <w:rsid w:val="00105FE9"/>
    <w:rsid w:val="0010609A"/>
    <w:rsid w:val="00106557"/>
    <w:rsid w:val="00106624"/>
    <w:rsid w:val="00106B6E"/>
    <w:rsid w:val="001071AD"/>
    <w:rsid w:val="001078DE"/>
    <w:rsid w:val="00107961"/>
    <w:rsid w:val="00107BC6"/>
    <w:rsid w:val="00107D87"/>
    <w:rsid w:val="00107DD5"/>
    <w:rsid w:val="001106C4"/>
    <w:rsid w:val="001106C8"/>
    <w:rsid w:val="001109CA"/>
    <w:rsid w:val="00110B9A"/>
    <w:rsid w:val="00110CA4"/>
    <w:rsid w:val="00110DCD"/>
    <w:rsid w:val="00110E69"/>
    <w:rsid w:val="00111081"/>
    <w:rsid w:val="001111BF"/>
    <w:rsid w:val="001116E6"/>
    <w:rsid w:val="00111949"/>
    <w:rsid w:val="001119B6"/>
    <w:rsid w:val="00111B24"/>
    <w:rsid w:val="00111B27"/>
    <w:rsid w:val="00111C6F"/>
    <w:rsid w:val="00111D68"/>
    <w:rsid w:val="00111D70"/>
    <w:rsid w:val="00111E03"/>
    <w:rsid w:val="00111E5D"/>
    <w:rsid w:val="00112134"/>
    <w:rsid w:val="001122AF"/>
    <w:rsid w:val="00112406"/>
    <w:rsid w:val="00112864"/>
    <w:rsid w:val="00112C3B"/>
    <w:rsid w:val="0011305F"/>
    <w:rsid w:val="00113418"/>
    <w:rsid w:val="00113783"/>
    <w:rsid w:val="001139AB"/>
    <w:rsid w:val="00113A0E"/>
    <w:rsid w:val="00113C10"/>
    <w:rsid w:val="00114356"/>
    <w:rsid w:val="00114421"/>
    <w:rsid w:val="0011444D"/>
    <w:rsid w:val="00114536"/>
    <w:rsid w:val="001145EA"/>
    <w:rsid w:val="0011462F"/>
    <w:rsid w:val="001146B2"/>
    <w:rsid w:val="00114884"/>
    <w:rsid w:val="00114943"/>
    <w:rsid w:val="00114D68"/>
    <w:rsid w:val="00114FF8"/>
    <w:rsid w:val="00115084"/>
    <w:rsid w:val="0011556C"/>
    <w:rsid w:val="001155D5"/>
    <w:rsid w:val="0011560D"/>
    <w:rsid w:val="00115C8F"/>
    <w:rsid w:val="00115DA8"/>
    <w:rsid w:val="00115E2E"/>
    <w:rsid w:val="001160EA"/>
    <w:rsid w:val="00116278"/>
    <w:rsid w:val="0011659D"/>
    <w:rsid w:val="001169D0"/>
    <w:rsid w:val="00116A34"/>
    <w:rsid w:val="00116ACD"/>
    <w:rsid w:val="00116DF5"/>
    <w:rsid w:val="0011721B"/>
    <w:rsid w:val="001177FF"/>
    <w:rsid w:val="001178CF"/>
    <w:rsid w:val="00117DDC"/>
    <w:rsid w:val="00117EE5"/>
    <w:rsid w:val="00120199"/>
    <w:rsid w:val="0012034D"/>
    <w:rsid w:val="001204DB"/>
    <w:rsid w:val="001206B1"/>
    <w:rsid w:val="00121056"/>
    <w:rsid w:val="001211DD"/>
    <w:rsid w:val="0012123D"/>
    <w:rsid w:val="0012179F"/>
    <w:rsid w:val="00121CD5"/>
    <w:rsid w:val="00121DCD"/>
    <w:rsid w:val="001221EF"/>
    <w:rsid w:val="0012226B"/>
    <w:rsid w:val="001222C2"/>
    <w:rsid w:val="00122594"/>
    <w:rsid w:val="001227BE"/>
    <w:rsid w:val="0012281C"/>
    <w:rsid w:val="00122A06"/>
    <w:rsid w:val="00122B5D"/>
    <w:rsid w:val="00122B60"/>
    <w:rsid w:val="00122E8B"/>
    <w:rsid w:val="001232B4"/>
    <w:rsid w:val="0012343A"/>
    <w:rsid w:val="00123860"/>
    <w:rsid w:val="00123A3B"/>
    <w:rsid w:val="00123B52"/>
    <w:rsid w:val="00123B67"/>
    <w:rsid w:val="001243C5"/>
    <w:rsid w:val="00124723"/>
    <w:rsid w:val="00124D28"/>
    <w:rsid w:val="00125510"/>
    <w:rsid w:val="00125D48"/>
    <w:rsid w:val="00126643"/>
    <w:rsid w:val="0012678C"/>
    <w:rsid w:val="00126A32"/>
    <w:rsid w:val="00126FCB"/>
    <w:rsid w:val="001271C0"/>
    <w:rsid w:val="00127273"/>
    <w:rsid w:val="001274A9"/>
    <w:rsid w:val="001275B1"/>
    <w:rsid w:val="00127754"/>
    <w:rsid w:val="0012775B"/>
    <w:rsid w:val="00127875"/>
    <w:rsid w:val="00127F6C"/>
    <w:rsid w:val="00127FAF"/>
    <w:rsid w:val="0012BF0D"/>
    <w:rsid w:val="00130079"/>
    <w:rsid w:val="00130355"/>
    <w:rsid w:val="001307E1"/>
    <w:rsid w:val="00131812"/>
    <w:rsid w:val="0013182E"/>
    <w:rsid w:val="00131BA4"/>
    <w:rsid w:val="001325B8"/>
    <w:rsid w:val="0013286D"/>
    <w:rsid w:val="00132ACF"/>
    <w:rsid w:val="00132EB5"/>
    <w:rsid w:val="00132FE0"/>
    <w:rsid w:val="0013311B"/>
    <w:rsid w:val="00133445"/>
    <w:rsid w:val="001335A3"/>
    <w:rsid w:val="00133862"/>
    <w:rsid w:val="00133B8D"/>
    <w:rsid w:val="00133DD9"/>
    <w:rsid w:val="00133E82"/>
    <w:rsid w:val="00134010"/>
    <w:rsid w:val="00134108"/>
    <w:rsid w:val="00134993"/>
    <w:rsid w:val="00134A42"/>
    <w:rsid w:val="00134C4B"/>
    <w:rsid w:val="00134EBF"/>
    <w:rsid w:val="00134F53"/>
    <w:rsid w:val="00135418"/>
    <w:rsid w:val="001357A4"/>
    <w:rsid w:val="0013594C"/>
    <w:rsid w:val="001359FE"/>
    <w:rsid w:val="00135A26"/>
    <w:rsid w:val="00135A74"/>
    <w:rsid w:val="00135B65"/>
    <w:rsid w:val="001360EA"/>
    <w:rsid w:val="0013611E"/>
    <w:rsid w:val="0013622E"/>
    <w:rsid w:val="00136994"/>
    <w:rsid w:val="00136C17"/>
    <w:rsid w:val="00136E8D"/>
    <w:rsid w:val="001371EB"/>
    <w:rsid w:val="001373BC"/>
    <w:rsid w:val="001373F0"/>
    <w:rsid w:val="00137578"/>
    <w:rsid w:val="001377C6"/>
    <w:rsid w:val="00137C55"/>
    <w:rsid w:val="001401E9"/>
    <w:rsid w:val="0014036D"/>
    <w:rsid w:val="0014049F"/>
    <w:rsid w:val="00140887"/>
    <w:rsid w:val="00140A8A"/>
    <w:rsid w:val="00140B7A"/>
    <w:rsid w:val="00140C4D"/>
    <w:rsid w:val="00140D52"/>
    <w:rsid w:val="0014103B"/>
    <w:rsid w:val="00141090"/>
    <w:rsid w:val="0014122C"/>
    <w:rsid w:val="001415BE"/>
    <w:rsid w:val="001419EE"/>
    <w:rsid w:val="00141A67"/>
    <w:rsid w:val="00141DE3"/>
    <w:rsid w:val="0014208B"/>
    <w:rsid w:val="001425B5"/>
    <w:rsid w:val="00142937"/>
    <w:rsid w:val="00143787"/>
    <w:rsid w:val="00143BD3"/>
    <w:rsid w:val="00143E7C"/>
    <w:rsid w:val="00143F80"/>
    <w:rsid w:val="001440FA"/>
    <w:rsid w:val="0014438E"/>
    <w:rsid w:val="0014453A"/>
    <w:rsid w:val="00144992"/>
    <w:rsid w:val="0014506F"/>
    <w:rsid w:val="00145281"/>
    <w:rsid w:val="00145301"/>
    <w:rsid w:val="00145720"/>
    <w:rsid w:val="00146662"/>
    <w:rsid w:val="00146C36"/>
    <w:rsid w:val="001472BA"/>
    <w:rsid w:val="0014735E"/>
    <w:rsid w:val="00147390"/>
    <w:rsid w:val="001473A0"/>
    <w:rsid w:val="00147694"/>
    <w:rsid w:val="00147977"/>
    <w:rsid w:val="00147A33"/>
    <w:rsid w:val="00147A65"/>
    <w:rsid w:val="00147A97"/>
    <w:rsid w:val="00147B41"/>
    <w:rsid w:val="00147D76"/>
    <w:rsid w:val="00147D79"/>
    <w:rsid w:val="00147E24"/>
    <w:rsid w:val="00147F8A"/>
    <w:rsid w:val="00150007"/>
    <w:rsid w:val="00150011"/>
    <w:rsid w:val="001506BA"/>
    <w:rsid w:val="00150ABE"/>
    <w:rsid w:val="00151012"/>
    <w:rsid w:val="001512AF"/>
    <w:rsid w:val="001513E9"/>
    <w:rsid w:val="001515BF"/>
    <w:rsid w:val="001517C4"/>
    <w:rsid w:val="00151B7E"/>
    <w:rsid w:val="00151CD7"/>
    <w:rsid w:val="001520A9"/>
    <w:rsid w:val="00152564"/>
    <w:rsid w:val="00152779"/>
    <w:rsid w:val="001528C5"/>
    <w:rsid w:val="00152A3A"/>
    <w:rsid w:val="00152E36"/>
    <w:rsid w:val="00153027"/>
    <w:rsid w:val="00153183"/>
    <w:rsid w:val="00153403"/>
    <w:rsid w:val="001534F3"/>
    <w:rsid w:val="001536AB"/>
    <w:rsid w:val="0015381E"/>
    <w:rsid w:val="00153B5A"/>
    <w:rsid w:val="00154268"/>
    <w:rsid w:val="001542CE"/>
    <w:rsid w:val="0015489B"/>
    <w:rsid w:val="0015495B"/>
    <w:rsid w:val="00154BBE"/>
    <w:rsid w:val="00154C46"/>
    <w:rsid w:val="00154EAA"/>
    <w:rsid w:val="0015535F"/>
    <w:rsid w:val="0015540C"/>
    <w:rsid w:val="00155475"/>
    <w:rsid w:val="0015589A"/>
    <w:rsid w:val="00155A32"/>
    <w:rsid w:val="00155EF2"/>
    <w:rsid w:val="00156088"/>
    <w:rsid w:val="0015646D"/>
    <w:rsid w:val="001565FA"/>
    <w:rsid w:val="00156A49"/>
    <w:rsid w:val="00156EDE"/>
    <w:rsid w:val="00157112"/>
    <w:rsid w:val="00157142"/>
    <w:rsid w:val="0015731F"/>
    <w:rsid w:val="001573C8"/>
    <w:rsid w:val="00157514"/>
    <w:rsid w:val="001575D2"/>
    <w:rsid w:val="001575EC"/>
    <w:rsid w:val="001577F0"/>
    <w:rsid w:val="00160219"/>
    <w:rsid w:val="001602E2"/>
    <w:rsid w:val="001603CE"/>
    <w:rsid w:val="001603F0"/>
    <w:rsid w:val="00160908"/>
    <w:rsid w:val="00160BA7"/>
    <w:rsid w:val="00160C70"/>
    <w:rsid w:val="00160F22"/>
    <w:rsid w:val="00161099"/>
    <w:rsid w:val="001611C4"/>
    <w:rsid w:val="00161539"/>
    <w:rsid w:val="00161CAE"/>
    <w:rsid w:val="00161DC0"/>
    <w:rsid w:val="00162099"/>
    <w:rsid w:val="001620A2"/>
    <w:rsid w:val="00162169"/>
    <w:rsid w:val="001626EC"/>
    <w:rsid w:val="001627F5"/>
    <w:rsid w:val="0016283E"/>
    <w:rsid w:val="00162CE0"/>
    <w:rsid w:val="00163265"/>
    <w:rsid w:val="0016363C"/>
    <w:rsid w:val="001636DB"/>
    <w:rsid w:val="001638A7"/>
    <w:rsid w:val="001638CE"/>
    <w:rsid w:val="00163D02"/>
    <w:rsid w:val="00163E5B"/>
    <w:rsid w:val="0016400C"/>
    <w:rsid w:val="001640ED"/>
    <w:rsid w:val="001641A7"/>
    <w:rsid w:val="001643A7"/>
    <w:rsid w:val="00164559"/>
    <w:rsid w:val="001645CB"/>
    <w:rsid w:val="00164937"/>
    <w:rsid w:val="00164F53"/>
    <w:rsid w:val="00165090"/>
    <w:rsid w:val="001657AF"/>
    <w:rsid w:val="001658DF"/>
    <w:rsid w:val="00165BFF"/>
    <w:rsid w:val="001664A9"/>
    <w:rsid w:val="0016656C"/>
    <w:rsid w:val="00166964"/>
    <w:rsid w:val="00166A1A"/>
    <w:rsid w:val="00166D47"/>
    <w:rsid w:val="00166F93"/>
    <w:rsid w:val="00167052"/>
    <w:rsid w:val="00167171"/>
    <w:rsid w:val="001678F0"/>
    <w:rsid w:val="001679CE"/>
    <w:rsid w:val="00167A39"/>
    <w:rsid w:val="00167D57"/>
    <w:rsid w:val="00167F7E"/>
    <w:rsid w:val="00170059"/>
    <w:rsid w:val="001705A6"/>
    <w:rsid w:val="00170742"/>
    <w:rsid w:val="0017096B"/>
    <w:rsid w:val="00170B08"/>
    <w:rsid w:val="00170CD1"/>
    <w:rsid w:val="0017107D"/>
    <w:rsid w:val="0017134D"/>
    <w:rsid w:val="00171C6A"/>
    <w:rsid w:val="001721FA"/>
    <w:rsid w:val="00172BCE"/>
    <w:rsid w:val="00172C4A"/>
    <w:rsid w:val="00172ED7"/>
    <w:rsid w:val="0017373D"/>
    <w:rsid w:val="0017382A"/>
    <w:rsid w:val="00173F5D"/>
    <w:rsid w:val="00174027"/>
    <w:rsid w:val="001741AB"/>
    <w:rsid w:val="0017441C"/>
    <w:rsid w:val="001745C5"/>
    <w:rsid w:val="001747A7"/>
    <w:rsid w:val="00174DF3"/>
    <w:rsid w:val="00175085"/>
    <w:rsid w:val="0017535C"/>
    <w:rsid w:val="00175555"/>
    <w:rsid w:val="00175605"/>
    <w:rsid w:val="00175BB7"/>
    <w:rsid w:val="00175F49"/>
    <w:rsid w:val="00176100"/>
    <w:rsid w:val="00176120"/>
    <w:rsid w:val="00176281"/>
    <w:rsid w:val="00176517"/>
    <w:rsid w:val="00176549"/>
    <w:rsid w:val="001766E6"/>
    <w:rsid w:val="001768C3"/>
    <w:rsid w:val="00176AF8"/>
    <w:rsid w:val="00177215"/>
    <w:rsid w:val="001776EA"/>
    <w:rsid w:val="00177C09"/>
    <w:rsid w:val="00180312"/>
    <w:rsid w:val="001807E6"/>
    <w:rsid w:val="00180C45"/>
    <w:rsid w:val="00180F8F"/>
    <w:rsid w:val="0018111C"/>
    <w:rsid w:val="00181558"/>
    <w:rsid w:val="00181831"/>
    <w:rsid w:val="00181963"/>
    <w:rsid w:val="00181981"/>
    <w:rsid w:val="00182B01"/>
    <w:rsid w:val="00182B82"/>
    <w:rsid w:val="00182C0C"/>
    <w:rsid w:val="00182FD2"/>
    <w:rsid w:val="00183249"/>
    <w:rsid w:val="001833E3"/>
    <w:rsid w:val="001836C2"/>
    <w:rsid w:val="00183DD8"/>
    <w:rsid w:val="00183E80"/>
    <w:rsid w:val="00184140"/>
    <w:rsid w:val="00184360"/>
    <w:rsid w:val="001843E7"/>
    <w:rsid w:val="00184728"/>
    <w:rsid w:val="00184932"/>
    <w:rsid w:val="00184939"/>
    <w:rsid w:val="00184993"/>
    <w:rsid w:val="00184AD1"/>
    <w:rsid w:val="00184CB7"/>
    <w:rsid w:val="00185041"/>
    <w:rsid w:val="00185059"/>
    <w:rsid w:val="00185699"/>
    <w:rsid w:val="001856BA"/>
    <w:rsid w:val="001858BB"/>
    <w:rsid w:val="0018592F"/>
    <w:rsid w:val="00185A52"/>
    <w:rsid w:val="00185D00"/>
    <w:rsid w:val="00185DCE"/>
    <w:rsid w:val="00185E96"/>
    <w:rsid w:val="00185ECA"/>
    <w:rsid w:val="0018615A"/>
    <w:rsid w:val="0018638C"/>
    <w:rsid w:val="00186531"/>
    <w:rsid w:val="00186A92"/>
    <w:rsid w:val="00186AB0"/>
    <w:rsid w:val="00186AD7"/>
    <w:rsid w:val="00186B4A"/>
    <w:rsid w:val="00187200"/>
    <w:rsid w:val="0018730C"/>
    <w:rsid w:val="00187589"/>
    <w:rsid w:val="001875F0"/>
    <w:rsid w:val="00187BBE"/>
    <w:rsid w:val="00187C3F"/>
    <w:rsid w:val="00187E5A"/>
    <w:rsid w:val="00187F8A"/>
    <w:rsid w:val="0019000C"/>
    <w:rsid w:val="001901B3"/>
    <w:rsid w:val="00190BB9"/>
    <w:rsid w:val="001910B6"/>
    <w:rsid w:val="001911E6"/>
    <w:rsid w:val="00191F76"/>
    <w:rsid w:val="00191F7B"/>
    <w:rsid w:val="00192219"/>
    <w:rsid w:val="00192379"/>
    <w:rsid w:val="001924AB"/>
    <w:rsid w:val="001924DC"/>
    <w:rsid w:val="001925C4"/>
    <w:rsid w:val="001926E6"/>
    <w:rsid w:val="00192770"/>
    <w:rsid w:val="0019290F"/>
    <w:rsid w:val="00192A8E"/>
    <w:rsid w:val="00192BAF"/>
    <w:rsid w:val="0019308D"/>
    <w:rsid w:val="00193234"/>
    <w:rsid w:val="001933C3"/>
    <w:rsid w:val="0019340F"/>
    <w:rsid w:val="001934A5"/>
    <w:rsid w:val="00193572"/>
    <w:rsid w:val="00193B9C"/>
    <w:rsid w:val="00193C64"/>
    <w:rsid w:val="00193D4B"/>
    <w:rsid w:val="00193EB8"/>
    <w:rsid w:val="00193F36"/>
    <w:rsid w:val="0019430D"/>
    <w:rsid w:val="00194480"/>
    <w:rsid w:val="001945F3"/>
    <w:rsid w:val="00194660"/>
    <w:rsid w:val="00194D02"/>
    <w:rsid w:val="00195000"/>
    <w:rsid w:val="001958C7"/>
    <w:rsid w:val="00195B42"/>
    <w:rsid w:val="00195C95"/>
    <w:rsid w:val="00195F59"/>
    <w:rsid w:val="00195F5D"/>
    <w:rsid w:val="00196004"/>
    <w:rsid w:val="00196487"/>
    <w:rsid w:val="001964FD"/>
    <w:rsid w:val="00196799"/>
    <w:rsid w:val="00196933"/>
    <w:rsid w:val="001970DD"/>
    <w:rsid w:val="0019752E"/>
    <w:rsid w:val="00197583"/>
    <w:rsid w:val="001977CF"/>
    <w:rsid w:val="00197AA3"/>
    <w:rsid w:val="00197CD2"/>
    <w:rsid w:val="00197EF8"/>
    <w:rsid w:val="001A0139"/>
    <w:rsid w:val="001A0256"/>
    <w:rsid w:val="001A0590"/>
    <w:rsid w:val="001A0C73"/>
    <w:rsid w:val="001A0CC4"/>
    <w:rsid w:val="001A1595"/>
    <w:rsid w:val="001A1C7F"/>
    <w:rsid w:val="001A1E09"/>
    <w:rsid w:val="001A24C0"/>
    <w:rsid w:val="001A262D"/>
    <w:rsid w:val="001A27F1"/>
    <w:rsid w:val="001A2B9F"/>
    <w:rsid w:val="001A33BB"/>
    <w:rsid w:val="001A359F"/>
    <w:rsid w:val="001A383E"/>
    <w:rsid w:val="001A3B9B"/>
    <w:rsid w:val="001A3E32"/>
    <w:rsid w:val="001A3F61"/>
    <w:rsid w:val="001A4060"/>
    <w:rsid w:val="001A4065"/>
    <w:rsid w:val="001A424F"/>
    <w:rsid w:val="001A47B6"/>
    <w:rsid w:val="001A4B8C"/>
    <w:rsid w:val="001A4EC2"/>
    <w:rsid w:val="001A513A"/>
    <w:rsid w:val="001A52D8"/>
    <w:rsid w:val="001A54BF"/>
    <w:rsid w:val="001A54C1"/>
    <w:rsid w:val="001A5D1E"/>
    <w:rsid w:val="001A5F10"/>
    <w:rsid w:val="001A60D0"/>
    <w:rsid w:val="001A6890"/>
    <w:rsid w:val="001A68DC"/>
    <w:rsid w:val="001A6971"/>
    <w:rsid w:val="001A6D13"/>
    <w:rsid w:val="001A70F8"/>
    <w:rsid w:val="001A71FD"/>
    <w:rsid w:val="001A728F"/>
    <w:rsid w:val="001A72BB"/>
    <w:rsid w:val="001A731D"/>
    <w:rsid w:val="001A75DA"/>
    <w:rsid w:val="001A7A75"/>
    <w:rsid w:val="001A7D8C"/>
    <w:rsid w:val="001B04B8"/>
    <w:rsid w:val="001B06B2"/>
    <w:rsid w:val="001B0994"/>
    <w:rsid w:val="001B0E70"/>
    <w:rsid w:val="001B1110"/>
    <w:rsid w:val="001B11AF"/>
    <w:rsid w:val="001B124F"/>
    <w:rsid w:val="001B13F8"/>
    <w:rsid w:val="001B1BC1"/>
    <w:rsid w:val="001B1E72"/>
    <w:rsid w:val="001B1F27"/>
    <w:rsid w:val="001B227D"/>
    <w:rsid w:val="001B272A"/>
    <w:rsid w:val="001B2990"/>
    <w:rsid w:val="001B2ADE"/>
    <w:rsid w:val="001B2CBE"/>
    <w:rsid w:val="001B3850"/>
    <w:rsid w:val="001B38CF"/>
    <w:rsid w:val="001B3B2D"/>
    <w:rsid w:val="001B3CDA"/>
    <w:rsid w:val="001B4137"/>
    <w:rsid w:val="001B438B"/>
    <w:rsid w:val="001B4449"/>
    <w:rsid w:val="001B469F"/>
    <w:rsid w:val="001B4C5C"/>
    <w:rsid w:val="001B4D65"/>
    <w:rsid w:val="001B5553"/>
    <w:rsid w:val="001B55F4"/>
    <w:rsid w:val="001B56AE"/>
    <w:rsid w:val="001B62BA"/>
    <w:rsid w:val="001B66C6"/>
    <w:rsid w:val="001B6938"/>
    <w:rsid w:val="001B6C09"/>
    <w:rsid w:val="001B6D0D"/>
    <w:rsid w:val="001B6DCB"/>
    <w:rsid w:val="001B70EC"/>
    <w:rsid w:val="001B7359"/>
    <w:rsid w:val="001B7BBC"/>
    <w:rsid w:val="001C02EE"/>
    <w:rsid w:val="001C058C"/>
    <w:rsid w:val="001C07D7"/>
    <w:rsid w:val="001C0A31"/>
    <w:rsid w:val="001C0AEA"/>
    <w:rsid w:val="001C0CA4"/>
    <w:rsid w:val="001C0EFC"/>
    <w:rsid w:val="001C0F15"/>
    <w:rsid w:val="001C11A7"/>
    <w:rsid w:val="001C1523"/>
    <w:rsid w:val="001C1710"/>
    <w:rsid w:val="001C1796"/>
    <w:rsid w:val="001C1B0F"/>
    <w:rsid w:val="001C1D27"/>
    <w:rsid w:val="001C1EA1"/>
    <w:rsid w:val="001C215D"/>
    <w:rsid w:val="001C21CB"/>
    <w:rsid w:val="001C241B"/>
    <w:rsid w:val="001C296F"/>
    <w:rsid w:val="001C2A8A"/>
    <w:rsid w:val="001C2CBC"/>
    <w:rsid w:val="001C2FEE"/>
    <w:rsid w:val="001C30D2"/>
    <w:rsid w:val="001C316F"/>
    <w:rsid w:val="001C33F2"/>
    <w:rsid w:val="001C3A40"/>
    <w:rsid w:val="001C3D5C"/>
    <w:rsid w:val="001C4244"/>
    <w:rsid w:val="001C4320"/>
    <w:rsid w:val="001C4380"/>
    <w:rsid w:val="001C438E"/>
    <w:rsid w:val="001C45DC"/>
    <w:rsid w:val="001C4691"/>
    <w:rsid w:val="001C4723"/>
    <w:rsid w:val="001C4832"/>
    <w:rsid w:val="001C4A8E"/>
    <w:rsid w:val="001C4C62"/>
    <w:rsid w:val="001C4EF9"/>
    <w:rsid w:val="001C4FEA"/>
    <w:rsid w:val="001C51FC"/>
    <w:rsid w:val="001C5441"/>
    <w:rsid w:val="001C589A"/>
    <w:rsid w:val="001C599B"/>
    <w:rsid w:val="001C5C1E"/>
    <w:rsid w:val="001C5DF7"/>
    <w:rsid w:val="001C60B0"/>
    <w:rsid w:val="001C627A"/>
    <w:rsid w:val="001C635A"/>
    <w:rsid w:val="001C63BB"/>
    <w:rsid w:val="001C6937"/>
    <w:rsid w:val="001C6D61"/>
    <w:rsid w:val="001C6E58"/>
    <w:rsid w:val="001C7358"/>
    <w:rsid w:val="001C73E1"/>
    <w:rsid w:val="001C763B"/>
    <w:rsid w:val="001C7A5C"/>
    <w:rsid w:val="001C7F74"/>
    <w:rsid w:val="001D019F"/>
    <w:rsid w:val="001D0276"/>
    <w:rsid w:val="001D08E0"/>
    <w:rsid w:val="001D0B3C"/>
    <w:rsid w:val="001D0C81"/>
    <w:rsid w:val="001D0C82"/>
    <w:rsid w:val="001D14F0"/>
    <w:rsid w:val="001D1784"/>
    <w:rsid w:val="001D1925"/>
    <w:rsid w:val="001D19C2"/>
    <w:rsid w:val="001D1ABE"/>
    <w:rsid w:val="001D1F7F"/>
    <w:rsid w:val="001D2124"/>
    <w:rsid w:val="001D2228"/>
    <w:rsid w:val="001D2570"/>
    <w:rsid w:val="001D2AD7"/>
    <w:rsid w:val="001D2C9E"/>
    <w:rsid w:val="001D2D49"/>
    <w:rsid w:val="001D2F25"/>
    <w:rsid w:val="001D31C0"/>
    <w:rsid w:val="001D347F"/>
    <w:rsid w:val="001D3D79"/>
    <w:rsid w:val="001D3E63"/>
    <w:rsid w:val="001D3EA9"/>
    <w:rsid w:val="001D3EE3"/>
    <w:rsid w:val="001D3F1D"/>
    <w:rsid w:val="001D40BA"/>
    <w:rsid w:val="001D4555"/>
    <w:rsid w:val="001D480E"/>
    <w:rsid w:val="001D5724"/>
    <w:rsid w:val="001D5F94"/>
    <w:rsid w:val="001D5FC3"/>
    <w:rsid w:val="001D6142"/>
    <w:rsid w:val="001D651D"/>
    <w:rsid w:val="001D67A1"/>
    <w:rsid w:val="001D6B53"/>
    <w:rsid w:val="001D6C31"/>
    <w:rsid w:val="001D6C33"/>
    <w:rsid w:val="001D6EE3"/>
    <w:rsid w:val="001D6F29"/>
    <w:rsid w:val="001D6FB2"/>
    <w:rsid w:val="001D7088"/>
    <w:rsid w:val="001D7232"/>
    <w:rsid w:val="001D773E"/>
    <w:rsid w:val="001E026E"/>
    <w:rsid w:val="001E0733"/>
    <w:rsid w:val="001E080C"/>
    <w:rsid w:val="001E08D0"/>
    <w:rsid w:val="001E096A"/>
    <w:rsid w:val="001E098C"/>
    <w:rsid w:val="001E0A10"/>
    <w:rsid w:val="001E0B38"/>
    <w:rsid w:val="001E0BA9"/>
    <w:rsid w:val="001E0BAB"/>
    <w:rsid w:val="001E0C13"/>
    <w:rsid w:val="001E0D61"/>
    <w:rsid w:val="001E1537"/>
    <w:rsid w:val="001E1557"/>
    <w:rsid w:val="001E172A"/>
    <w:rsid w:val="001E190E"/>
    <w:rsid w:val="001E197F"/>
    <w:rsid w:val="001E1A70"/>
    <w:rsid w:val="001E1AC3"/>
    <w:rsid w:val="001E1B36"/>
    <w:rsid w:val="001E1C82"/>
    <w:rsid w:val="001E1F34"/>
    <w:rsid w:val="001E278A"/>
    <w:rsid w:val="001E2818"/>
    <w:rsid w:val="001E2F22"/>
    <w:rsid w:val="001E2F27"/>
    <w:rsid w:val="001E2F41"/>
    <w:rsid w:val="001E31DA"/>
    <w:rsid w:val="001E3201"/>
    <w:rsid w:val="001E33C9"/>
    <w:rsid w:val="001E35B7"/>
    <w:rsid w:val="001E3608"/>
    <w:rsid w:val="001E3911"/>
    <w:rsid w:val="001E3C7B"/>
    <w:rsid w:val="001E3DD1"/>
    <w:rsid w:val="001E4309"/>
    <w:rsid w:val="001E43EE"/>
    <w:rsid w:val="001E471F"/>
    <w:rsid w:val="001E4804"/>
    <w:rsid w:val="001E4833"/>
    <w:rsid w:val="001E4935"/>
    <w:rsid w:val="001E4A4F"/>
    <w:rsid w:val="001E4C1E"/>
    <w:rsid w:val="001E4F31"/>
    <w:rsid w:val="001E559B"/>
    <w:rsid w:val="001E5B42"/>
    <w:rsid w:val="001E5E04"/>
    <w:rsid w:val="001E5F13"/>
    <w:rsid w:val="001E602A"/>
    <w:rsid w:val="001E604E"/>
    <w:rsid w:val="001E622D"/>
    <w:rsid w:val="001E6361"/>
    <w:rsid w:val="001E6870"/>
    <w:rsid w:val="001E68B0"/>
    <w:rsid w:val="001E6BC9"/>
    <w:rsid w:val="001E6D33"/>
    <w:rsid w:val="001E6EC8"/>
    <w:rsid w:val="001E74EA"/>
    <w:rsid w:val="001E7630"/>
    <w:rsid w:val="001E766B"/>
    <w:rsid w:val="001E773E"/>
    <w:rsid w:val="001E79E8"/>
    <w:rsid w:val="001E7D61"/>
    <w:rsid w:val="001E7FD5"/>
    <w:rsid w:val="001E7FDE"/>
    <w:rsid w:val="001F014A"/>
    <w:rsid w:val="001F0390"/>
    <w:rsid w:val="001F054B"/>
    <w:rsid w:val="001F0607"/>
    <w:rsid w:val="001F09FF"/>
    <w:rsid w:val="001F0C40"/>
    <w:rsid w:val="001F0DE5"/>
    <w:rsid w:val="001F0EE4"/>
    <w:rsid w:val="001F0FE5"/>
    <w:rsid w:val="001F10BB"/>
    <w:rsid w:val="001F15A0"/>
    <w:rsid w:val="001F16F8"/>
    <w:rsid w:val="001F1DFD"/>
    <w:rsid w:val="001F236A"/>
    <w:rsid w:val="001F24FD"/>
    <w:rsid w:val="001F253D"/>
    <w:rsid w:val="001F2AC8"/>
    <w:rsid w:val="001F2BA9"/>
    <w:rsid w:val="001F2FB7"/>
    <w:rsid w:val="001F3137"/>
    <w:rsid w:val="001F34B1"/>
    <w:rsid w:val="001F3547"/>
    <w:rsid w:val="001F36AF"/>
    <w:rsid w:val="001F37A0"/>
    <w:rsid w:val="001F3839"/>
    <w:rsid w:val="001F3AA7"/>
    <w:rsid w:val="001F3D95"/>
    <w:rsid w:val="001F41B5"/>
    <w:rsid w:val="001F42EF"/>
    <w:rsid w:val="001F4412"/>
    <w:rsid w:val="001F4515"/>
    <w:rsid w:val="001F4A48"/>
    <w:rsid w:val="001F4BB2"/>
    <w:rsid w:val="001F4C2F"/>
    <w:rsid w:val="001F54A1"/>
    <w:rsid w:val="001F5897"/>
    <w:rsid w:val="001F596B"/>
    <w:rsid w:val="001F5DA2"/>
    <w:rsid w:val="001F604D"/>
    <w:rsid w:val="001F626E"/>
    <w:rsid w:val="001F63A2"/>
    <w:rsid w:val="001F63C9"/>
    <w:rsid w:val="001F68BB"/>
    <w:rsid w:val="001F70D6"/>
    <w:rsid w:val="001F735F"/>
    <w:rsid w:val="001F7BD0"/>
    <w:rsid w:val="001F7BD9"/>
    <w:rsid w:val="001F7CDA"/>
    <w:rsid w:val="001F7FF7"/>
    <w:rsid w:val="0020009A"/>
    <w:rsid w:val="0020013B"/>
    <w:rsid w:val="00200289"/>
    <w:rsid w:val="002006FA"/>
    <w:rsid w:val="00200892"/>
    <w:rsid w:val="00200FF1"/>
    <w:rsid w:val="00201168"/>
    <w:rsid w:val="00201359"/>
    <w:rsid w:val="002017C5"/>
    <w:rsid w:val="00201E1B"/>
    <w:rsid w:val="002022A5"/>
    <w:rsid w:val="002023E1"/>
    <w:rsid w:val="00202546"/>
    <w:rsid w:val="00202A01"/>
    <w:rsid w:val="00202E61"/>
    <w:rsid w:val="00202EB7"/>
    <w:rsid w:val="00203518"/>
    <w:rsid w:val="0020382E"/>
    <w:rsid w:val="00203EBE"/>
    <w:rsid w:val="002041DB"/>
    <w:rsid w:val="0020472E"/>
    <w:rsid w:val="00204F3C"/>
    <w:rsid w:val="0020516A"/>
    <w:rsid w:val="00205314"/>
    <w:rsid w:val="00205318"/>
    <w:rsid w:val="002053AD"/>
    <w:rsid w:val="002057BF"/>
    <w:rsid w:val="00205922"/>
    <w:rsid w:val="00205BB9"/>
    <w:rsid w:val="00205E23"/>
    <w:rsid w:val="00205F4C"/>
    <w:rsid w:val="0020607F"/>
    <w:rsid w:val="00206427"/>
    <w:rsid w:val="002064C9"/>
    <w:rsid w:val="002065ED"/>
    <w:rsid w:val="00206677"/>
    <w:rsid w:val="00206816"/>
    <w:rsid w:val="00206A58"/>
    <w:rsid w:val="00206B80"/>
    <w:rsid w:val="00206C33"/>
    <w:rsid w:val="00206E9E"/>
    <w:rsid w:val="00207725"/>
    <w:rsid w:val="0020772E"/>
    <w:rsid w:val="0020790B"/>
    <w:rsid w:val="00207A02"/>
    <w:rsid w:val="00207C11"/>
    <w:rsid w:val="00207CD0"/>
    <w:rsid w:val="00207EBE"/>
    <w:rsid w:val="00207FD0"/>
    <w:rsid w:val="002102F3"/>
    <w:rsid w:val="0021037F"/>
    <w:rsid w:val="002105DF"/>
    <w:rsid w:val="00210626"/>
    <w:rsid w:val="002106F2"/>
    <w:rsid w:val="00210AEA"/>
    <w:rsid w:val="00210CF9"/>
    <w:rsid w:val="00210FD9"/>
    <w:rsid w:val="00210FE5"/>
    <w:rsid w:val="00211052"/>
    <w:rsid w:val="00211343"/>
    <w:rsid w:val="00211585"/>
    <w:rsid w:val="002127DE"/>
    <w:rsid w:val="002131BD"/>
    <w:rsid w:val="00213529"/>
    <w:rsid w:val="00213549"/>
    <w:rsid w:val="002144D7"/>
    <w:rsid w:val="0021459E"/>
    <w:rsid w:val="00214D2E"/>
    <w:rsid w:val="00214E99"/>
    <w:rsid w:val="0021506A"/>
    <w:rsid w:val="00215129"/>
    <w:rsid w:val="0021546E"/>
    <w:rsid w:val="00215570"/>
    <w:rsid w:val="00215737"/>
    <w:rsid w:val="00215792"/>
    <w:rsid w:val="002157F7"/>
    <w:rsid w:val="002158B3"/>
    <w:rsid w:val="0021595B"/>
    <w:rsid w:val="00215AA0"/>
    <w:rsid w:val="00215DF5"/>
    <w:rsid w:val="00216D78"/>
    <w:rsid w:val="00216F7E"/>
    <w:rsid w:val="00217609"/>
    <w:rsid w:val="00217E1D"/>
    <w:rsid w:val="00220455"/>
    <w:rsid w:val="00220870"/>
    <w:rsid w:val="0022095B"/>
    <w:rsid w:val="00220B5D"/>
    <w:rsid w:val="00220C6A"/>
    <w:rsid w:val="002217BA"/>
    <w:rsid w:val="0022187E"/>
    <w:rsid w:val="00221996"/>
    <w:rsid w:val="00221C79"/>
    <w:rsid w:val="00221D8F"/>
    <w:rsid w:val="00221EA8"/>
    <w:rsid w:val="00221FEE"/>
    <w:rsid w:val="002220C2"/>
    <w:rsid w:val="002220E9"/>
    <w:rsid w:val="0022214B"/>
    <w:rsid w:val="002222F6"/>
    <w:rsid w:val="00222398"/>
    <w:rsid w:val="002223A2"/>
    <w:rsid w:val="00222D8E"/>
    <w:rsid w:val="00222FA3"/>
    <w:rsid w:val="00223040"/>
    <w:rsid w:val="002231A7"/>
    <w:rsid w:val="002232DF"/>
    <w:rsid w:val="00223873"/>
    <w:rsid w:val="002238CE"/>
    <w:rsid w:val="00223C0D"/>
    <w:rsid w:val="00223E68"/>
    <w:rsid w:val="00223ED6"/>
    <w:rsid w:val="00224157"/>
    <w:rsid w:val="002241A0"/>
    <w:rsid w:val="002248FF"/>
    <w:rsid w:val="00224B00"/>
    <w:rsid w:val="002256BB"/>
    <w:rsid w:val="002258F2"/>
    <w:rsid w:val="00225EFF"/>
    <w:rsid w:val="00225F2E"/>
    <w:rsid w:val="002262F8"/>
    <w:rsid w:val="002264A7"/>
    <w:rsid w:val="002265D8"/>
    <w:rsid w:val="002271C3"/>
    <w:rsid w:val="002272DB"/>
    <w:rsid w:val="00227F21"/>
    <w:rsid w:val="00230120"/>
    <w:rsid w:val="002301B5"/>
    <w:rsid w:val="002304E0"/>
    <w:rsid w:val="0023056B"/>
    <w:rsid w:val="00230655"/>
    <w:rsid w:val="002308A4"/>
    <w:rsid w:val="00230A96"/>
    <w:rsid w:val="00230B88"/>
    <w:rsid w:val="00230BA0"/>
    <w:rsid w:val="00230BDF"/>
    <w:rsid w:val="00230C23"/>
    <w:rsid w:val="0023117D"/>
    <w:rsid w:val="0023140F"/>
    <w:rsid w:val="0023149E"/>
    <w:rsid w:val="002315B7"/>
    <w:rsid w:val="0023171C"/>
    <w:rsid w:val="002319C0"/>
    <w:rsid w:val="00232015"/>
    <w:rsid w:val="00232155"/>
    <w:rsid w:val="00232279"/>
    <w:rsid w:val="002326B8"/>
    <w:rsid w:val="002326CF"/>
    <w:rsid w:val="002327E7"/>
    <w:rsid w:val="00232833"/>
    <w:rsid w:val="002328D3"/>
    <w:rsid w:val="00232A26"/>
    <w:rsid w:val="00232A74"/>
    <w:rsid w:val="00232D44"/>
    <w:rsid w:val="00232D59"/>
    <w:rsid w:val="00232E97"/>
    <w:rsid w:val="00233E80"/>
    <w:rsid w:val="00234647"/>
    <w:rsid w:val="002348F0"/>
    <w:rsid w:val="00234D3A"/>
    <w:rsid w:val="00234D43"/>
    <w:rsid w:val="00235619"/>
    <w:rsid w:val="002357D7"/>
    <w:rsid w:val="002359BA"/>
    <w:rsid w:val="00235CAC"/>
    <w:rsid w:val="00235CB4"/>
    <w:rsid w:val="00235D8C"/>
    <w:rsid w:val="00236083"/>
    <w:rsid w:val="002363FC"/>
    <w:rsid w:val="002364C9"/>
    <w:rsid w:val="00236837"/>
    <w:rsid w:val="00236CE0"/>
    <w:rsid w:val="00236CE7"/>
    <w:rsid w:val="002375A7"/>
    <w:rsid w:val="00237B04"/>
    <w:rsid w:val="00237CFE"/>
    <w:rsid w:val="00237F7B"/>
    <w:rsid w:val="0024020F"/>
    <w:rsid w:val="00240836"/>
    <w:rsid w:val="00240C99"/>
    <w:rsid w:val="00240D6D"/>
    <w:rsid w:val="0024116C"/>
    <w:rsid w:val="002412F1"/>
    <w:rsid w:val="00241315"/>
    <w:rsid w:val="0024134C"/>
    <w:rsid w:val="002417BC"/>
    <w:rsid w:val="00241D9A"/>
    <w:rsid w:val="00241E37"/>
    <w:rsid w:val="00241EAD"/>
    <w:rsid w:val="00242115"/>
    <w:rsid w:val="0024256D"/>
    <w:rsid w:val="00242A2D"/>
    <w:rsid w:val="00242B31"/>
    <w:rsid w:val="00242D5B"/>
    <w:rsid w:val="0024381D"/>
    <w:rsid w:val="002438CF"/>
    <w:rsid w:val="00243AE1"/>
    <w:rsid w:val="00243DEA"/>
    <w:rsid w:val="00244168"/>
    <w:rsid w:val="002442EE"/>
    <w:rsid w:val="00244721"/>
    <w:rsid w:val="00244825"/>
    <w:rsid w:val="002449E7"/>
    <w:rsid w:val="00244CAD"/>
    <w:rsid w:val="002451A4"/>
    <w:rsid w:val="00245269"/>
    <w:rsid w:val="002453D1"/>
    <w:rsid w:val="00245451"/>
    <w:rsid w:val="00245509"/>
    <w:rsid w:val="00245866"/>
    <w:rsid w:val="00245D2A"/>
    <w:rsid w:val="00245F07"/>
    <w:rsid w:val="002463AD"/>
    <w:rsid w:val="002466CA"/>
    <w:rsid w:val="00246748"/>
    <w:rsid w:val="002469C3"/>
    <w:rsid w:val="00246C1D"/>
    <w:rsid w:val="00246C77"/>
    <w:rsid w:val="00246CF8"/>
    <w:rsid w:val="00246E04"/>
    <w:rsid w:val="00246E90"/>
    <w:rsid w:val="00246FF3"/>
    <w:rsid w:val="002470A2"/>
    <w:rsid w:val="00247181"/>
    <w:rsid w:val="002471D5"/>
    <w:rsid w:val="00247366"/>
    <w:rsid w:val="002474EF"/>
    <w:rsid w:val="00247B5F"/>
    <w:rsid w:val="00247D01"/>
    <w:rsid w:val="00247E50"/>
    <w:rsid w:val="00250046"/>
    <w:rsid w:val="002500CB"/>
    <w:rsid w:val="0025057B"/>
    <w:rsid w:val="00250703"/>
    <w:rsid w:val="00250798"/>
    <w:rsid w:val="002507F4"/>
    <w:rsid w:val="002508B4"/>
    <w:rsid w:val="00250B36"/>
    <w:rsid w:val="00250C66"/>
    <w:rsid w:val="00251111"/>
    <w:rsid w:val="00251532"/>
    <w:rsid w:val="002517AF"/>
    <w:rsid w:val="00251D74"/>
    <w:rsid w:val="00251DC8"/>
    <w:rsid w:val="0025200B"/>
    <w:rsid w:val="00252126"/>
    <w:rsid w:val="00252178"/>
    <w:rsid w:val="0025227E"/>
    <w:rsid w:val="0025239D"/>
    <w:rsid w:val="002524F2"/>
    <w:rsid w:val="00252526"/>
    <w:rsid w:val="00252769"/>
    <w:rsid w:val="00252A11"/>
    <w:rsid w:val="00252C93"/>
    <w:rsid w:val="00252FB6"/>
    <w:rsid w:val="002534B1"/>
    <w:rsid w:val="00253525"/>
    <w:rsid w:val="00253698"/>
    <w:rsid w:val="002536CB"/>
    <w:rsid w:val="00253837"/>
    <w:rsid w:val="00253B0A"/>
    <w:rsid w:val="00253B80"/>
    <w:rsid w:val="00253C4E"/>
    <w:rsid w:val="00253C81"/>
    <w:rsid w:val="00253C90"/>
    <w:rsid w:val="00253D3A"/>
    <w:rsid w:val="002543FA"/>
    <w:rsid w:val="002545ED"/>
    <w:rsid w:val="00254951"/>
    <w:rsid w:val="00254B6A"/>
    <w:rsid w:val="00254CD2"/>
    <w:rsid w:val="00254E23"/>
    <w:rsid w:val="00254EF9"/>
    <w:rsid w:val="00254F4C"/>
    <w:rsid w:val="00254F57"/>
    <w:rsid w:val="00255154"/>
    <w:rsid w:val="00255294"/>
    <w:rsid w:val="002555E1"/>
    <w:rsid w:val="0025569D"/>
    <w:rsid w:val="00255846"/>
    <w:rsid w:val="00255DAD"/>
    <w:rsid w:val="0025619E"/>
    <w:rsid w:val="002561A9"/>
    <w:rsid w:val="0025655A"/>
    <w:rsid w:val="00256994"/>
    <w:rsid w:val="00256ED4"/>
    <w:rsid w:val="0025709F"/>
    <w:rsid w:val="002576DA"/>
    <w:rsid w:val="002576FE"/>
    <w:rsid w:val="00257977"/>
    <w:rsid w:val="002604B5"/>
    <w:rsid w:val="00260AA1"/>
    <w:rsid w:val="00260AF4"/>
    <w:rsid w:val="00260C52"/>
    <w:rsid w:val="00260C8D"/>
    <w:rsid w:val="00260F28"/>
    <w:rsid w:val="002612A9"/>
    <w:rsid w:val="00261653"/>
    <w:rsid w:val="00261813"/>
    <w:rsid w:val="0026192F"/>
    <w:rsid w:val="00261B08"/>
    <w:rsid w:val="00261BF8"/>
    <w:rsid w:val="00261C87"/>
    <w:rsid w:val="00261D54"/>
    <w:rsid w:val="0026219C"/>
    <w:rsid w:val="00262288"/>
    <w:rsid w:val="0026231D"/>
    <w:rsid w:val="002623F0"/>
    <w:rsid w:val="00262AEF"/>
    <w:rsid w:val="00263028"/>
    <w:rsid w:val="002633A1"/>
    <w:rsid w:val="00263427"/>
    <w:rsid w:val="002635E9"/>
    <w:rsid w:val="00263A22"/>
    <w:rsid w:val="00263E27"/>
    <w:rsid w:val="00263E31"/>
    <w:rsid w:val="00263F52"/>
    <w:rsid w:val="002640AA"/>
    <w:rsid w:val="002640E9"/>
    <w:rsid w:val="0026474C"/>
    <w:rsid w:val="00265032"/>
    <w:rsid w:val="00265045"/>
    <w:rsid w:val="002650CB"/>
    <w:rsid w:val="002651E7"/>
    <w:rsid w:val="002651ED"/>
    <w:rsid w:val="002652CF"/>
    <w:rsid w:val="0026549F"/>
    <w:rsid w:val="002654D1"/>
    <w:rsid w:val="00265989"/>
    <w:rsid w:val="00266287"/>
    <w:rsid w:val="002667BB"/>
    <w:rsid w:val="002667C2"/>
    <w:rsid w:val="002667EA"/>
    <w:rsid w:val="00266B4D"/>
    <w:rsid w:val="00266D87"/>
    <w:rsid w:val="00266DE3"/>
    <w:rsid w:val="00267989"/>
    <w:rsid w:val="00267EFB"/>
    <w:rsid w:val="0027014E"/>
    <w:rsid w:val="0027036A"/>
    <w:rsid w:val="00270604"/>
    <w:rsid w:val="00270932"/>
    <w:rsid w:val="00270F60"/>
    <w:rsid w:val="00270F91"/>
    <w:rsid w:val="0027175B"/>
    <w:rsid w:val="002719B4"/>
    <w:rsid w:val="00271CA2"/>
    <w:rsid w:val="00271D7B"/>
    <w:rsid w:val="002725F1"/>
    <w:rsid w:val="0027262B"/>
    <w:rsid w:val="00272690"/>
    <w:rsid w:val="00272904"/>
    <w:rsid w:val="002732F5"/>
    <w:rsid w:val="00273450"/>
    <w:rsid w:val="002736C8"/>
    <w:rsid w:val="002737B4"/>
    <w:rsid w:val="002737BD"/>
    <w:rsid w:val="002739CD"/>
    <w:rsid w:val="00273C71"/>
    <w:rsid w:val="00273CB1"/>
    <w:rsid w:val="00273CEE"/>
    <w:rsid w:val="00274252"/>
    <w:rsid w:val="0027488C"/>
    <w:rsid w:val="0027497B"/>
    <w:rsid w:val="00274B3E"/>
    <w:rsid w:val="00274EB8"/>
    <w:rsid w:val="00274F60"/>
    <w:rsid w:val="00275616"/>
    <w:rsid w:val="0027599E"/>
    <w:rsid w:val="00275D02"/>
    <w:rsid w:val="00275DE6"/>
    <w:rsid w:val="00275F74"/>
    <w:rsid w:val="00276047"/>
    <w:rsid w:val="0027610F"/>
    <w:rsid w:val="00276234"/>
    <w:rsid w:val="00276250"/>
    <w:rsid w:val="00276842"/>
    <w:rsid w:val="00276BB2"/>
    <w:rsid w:val="00276D85"/>
    <w:rsid w:val="00276DCA"/>
    <w:rsid w:val="00276E45"/>
    <w:rsid w:val="00276FCD"/>
    <w:rsid w:val="0027702D"/>
    <w:rsid w:val="002771B2"/>
    <w:rsid w:val="002771DC"/>
    <w:rsid w:val="002772D8"/>
    <w:rsid w:val="002774E1"/>
    <w:rsid w:val="00277524"/>
    <w:rsid w:val="002775B8"/>
    <w:rsid w:val="002775D1"/>
    <w:rsid w:val="00277614"/>
    <w:rsid w:val="0027775D"/>
    <w:rsid w:val="00277AEF"/>
    <w:rsid w:val="00277B69"/>
    <w:rsid w:val="00277CB6"/>
    <w:rsid w:val="00277CFF"/>
    <w:rsid w:val="00277DAD"/>
    <w:rsid w:val="00277DC9"/>
    <w:rsid w:val="00277E6C"/>
    <w:rsid w:val="002805D3"/>
    <w:rsid w:val="002805D6"/>
    <w:rsid w:val="002806C3"/>
    <w:rsid w:val="00280D40"/>
    <w:rsid w:val="00280EA7"/>
    <w:rsid w:val="0028117D"/>
    <w:rsid w:val="00281254"/>
    <w:rsid w:val="00281690"/>
    <w:rsid w:val="0028186F"/>
    <w:rsid w:val="00281A91"/>
    <w:rsid w:val="00281C13"/>
    <w:rsid w:val="00282064"/>
    <w:rsid w:val="00282983"/>
    <w:rsid w:val="00282A43"/>
    <w:rsid w:val="00282CDC"/>
    <w:rsid w:val="00282FF1"/>
    <w:rsid w:val="00283216"/>
    <w:rsid w:val="002833A1"/>
    <w:rsid w:val="00283653"/>
    <w:rsid w:val="00283726"/>
    <w:rsid w:val="002838DA"/>
    <w:rsid w:val="0028391C"/>
    <w:rsid w:val="00283AC5"/>
    <w:rsid w:val="00283CE1"/>
    <w:rsid w:val="00283E22"/>
    <w:rsid w:val="002843B5"/>
    <w:rsid w:val="002848DF"/>
    <w:rsid w:val="00284FFB"/>
    <w:rsid w:val="002859BB"/>
    <w:rsid w:val="00286045"/>
    <w:rsid w:val="002866A1"/>
    <w:rsid w:val="00286EB4"/>
    <w:rsid w:val="002872DB"/>
    <w:rsid w:val="002873B5"/>
    <w:rsid w:val="0028741B"/>
    <w:rsid w:val="00287429"/>
    <w:rsid w:val="00287443"/>
    <w:rsid w:val="00287693"/>
    <w:rsid w:val="002877F1"/>
    <w:rsid w:val="00287913"/>
    <w:rsid w:val="00287B0C"/>
    <w:rsid w:val="00287C58"/>
    <w:rsid w:val="00290001"/>
    <w:rsid w:val="00290A09"/>
    <w:rsid w:val="00290C6F"/>
    <w:rsid w:val="00290E54"/>
    <w:rsid w:val="00290EE1"/>
    <w:rsid w:val="00290F11"/>
    <w:rsid w:val="00290F6A"/>
    <w:rsid w:val="00291325"/>
    <w:rsid w:val="00291412"/>
    <w:rsid w:val="0029168B"/>
    <w:rsid w:val="00292076"/>
    <w:rsid w:val="0029211F"/>
    <w:rsid w:val="00292792"/>
    <w:rsid w:val="00292895"/>
    <w:rsid w:val="00292C79"/>
    <w:rsid w:val="00292E60"/>
    <w:rsid w:val="00292F9F"/>
    <w:rsid w:val="0029365F"/>
    <w:rsid w:val="002936C5"/>
    <w:rsid w:val="002937BF"/>
    <w:rsid w:val="00293D79"/>
    <w:rsid w:val="002940B0"/>
    <w:rsid w:val="0029425B"/>
    <w:rsid w:val="00294347"/>
    <w:rsid w:val="0029435C"/>
    <w:rsid w:val="00294C8D"/>
    <w:rsid w:val="002953A9"/>
    <w:rsid w:val="002953C2"/>
    <w:rsid w:val="0029548F"/>
    <w:rsid w:val="00295850"/>
    <w:rsid w:val="0029590D"/>
    <w:rsid w:val="002962EE"/>
    <w:rsid w:val="002964F3"/>
    <w:rsid w:val="0029677E"/>
    <w:rsid w:val="00297635"/>
    <w:rsid w:val="002976F2"/>
    <w:rsid w:val="00297B05"/>
    <w:rsid w:val="00297D32"/>
    <w:rsid w:val="002A023C"/>
    <w:rsid w:val="002A02B0"/>
    <w:rsid w:val="002A04CF"/>
    <w:rsid w:val="002A058D"/>
    <w:rsid w:val="002A06DF"/>
    <w:rsid w:val="002A0928"/>
    <w:rsid w:val="002A0B5D"/>
    <w:rsid w:val="002A0C04"/>
    <w:rsid w:val="002A0D80"/>
    <w:rsid w:val="002A1063"/>
    <w:rsid w:val="002A119A"/>
    <w:rsid w:val="002A1990"/>
    <w:rsid w:val="002A1A86"/>
    <w:rsid w:val="002A1E40"/>
    <w:rsid w:val="002A1E5B"/>
    <w:rsid w:val="002A2057"/>
    <w:rsid w:val="002A2350"/>
    <w:rsid w:val="002A23E0"/>
    <w:rsid w:val="002A23F5"/>
    <w:rsid w:val="002A2569"/>
    <w:rsid w:val="002A2756"/>
    <w:rsid w:val="002A29C4"/>
    <w:rsid w:val="002A2AFA"/>
    <w:rsid w:val="002A2AFE"/>
    <w:rsid w:val="002A2C84"/>
    <w:rsid w:val="002A2D76"/>
    <w:rsid w:val="002A2E3B"/>
    <w:rsid w:val="002A3486"/>
    <w:rsid w:val="002A36FD"/>
    <w:rsid w:val="002A39F3"/>
    <w:rsid w:val="002A3B2E"/>
    <w:rsid w:val="002A3CC6"/>
    <w:rsid w:val="002A4458"/>
    <w:rsid w:val="002A45BD"/>
    <w:rsid w:val="002A4719"/>
    <w:rsid w:val="002A5159"/>
    <w:rsid w:val="002A5207"/>
    <w:rsid w:val="002A5225"/>
    <w:rsid w:val="002A525B"/>
    <w:rsid w:val="002A5710"/>
    <w:rsid w:val="002A5D86"/>
    <w:rsid w:val="002A5F0E"/>
    <w:rsid w:val="002A5F72"/>
    <w:rsid w:val="002A61A7"/>
    <w:rsid w:val="002A61AF"/>
    <w:rsid w:val="002A64E8"/>
    <w:rsid w:val="002A6648"/>
    <w:rsid w:val="002A680A"/>
    <w:rsid w:val="002A68C5"/>
    <w:rsid w:val="002A6932"/>
    <w:rsid w:val="002A6D47"/>
    <w:rsid w:val="002A6E3C"/>
    <w:rsid w:val="002A7195"/>
    <w:rsid w:val="002A74BD"/>
    <w:rsid w:val="002A754F"/>
    <w:rsid w:val="002A7BBA"/>
    <w:rsid w:val="002A7ECF"/>
    <w:rsid w:val="002B015D"/>
    <w:rsid w:val="002B1080"/>
    <w:rsid w:val="002B12E7"/>
    <w:rsid w:val="002B1619"/>
    <w:rsid w:val="002B1643"/>
    <w:rsid w:val="002B1692"/>
    <w:rsid w:val="002B179A"/>
    <w:rsid w:val="002B1A47"/>
    <w:rsid w:val="002B1C43"/>
    <w:rsid w:val="002B1F7C"/>
    <w:rsid w:val="002B1FC6"/>
    <w:rsid w:val="002B2086"/>
    <w:rsid w:val="002B25AA"/>
    <w:rsid w:val="002B2A14"/>
    <w:rsid w:val="002B2A48"/>
    <w:rsid w:val="002B2E03"/>
    <w:rsid w:val="002B3039"/>
    <w:rsid w:val="002B30ED"/>
    <w:rsid w:val="002B3453"/>
    <w:rsid w:val="002B3471"/>
    <w:rsid w:val="002B3949"/>
    <w:rsid w:val="002B3CEE"/>
    <w:rsid w:val="002B3F3B"/>
    <w:rsid w:val="002B4222"/>
    <w:rsid w:val="002B4453"/>
    <w:rsid w:val="002B448E"/>
    <w:rsid w:val="002B4497"/>
    <w:rsid w:val="002B4973"/>
    <w:rsid w:val="002B4B40"/>
    <w:rsid w:val="002B4B41"/>
    <w:rsid w:val="002B4BB0"/>
    <w:rsid w:val="002B4C2B"/>
    <w:rsid w:val="002B4C4A"/>
    <w:rsid w:val="002B5024"/>
    <w:rsid w:val="002B545B"/>
    <w:rsid w:val="002B55D8"/>
    <w:rsid w:val="002B58C3"/>
    <w:rsid w:val="002B5D81"/>
    <w:rsid w:val="002B6076"/>
    <w:rsid w:val="002B61A4"/>
    <w:rsid w:val="002B61B9"/>
    <w:rsid w:val="002B61DA"/>
    <w:rsid w:val="002B635D"/>
    <w:rsid w:val="002B67A1"/>
    <w:rsid w:val="002B6A48"/>
    <w:rsid w:val="002B6D81"/>
    <w:rsid w:val="002B719F"/>
    <w:rsid w:val="002B743F"/>
    <w:rsid w:val="002B786A"/>
    <w:rsid w:val="002C0037"/>
    <w:rsid w:val="002C02E2"/>
    <w:rsid w:val="002C03E5"/>
    <w:rsid w:val="002C04B7"/>
    <w:rsid w:val="002C0603"/>
    <w:rsid w:val="002C09A5"/>
    <w:rsid w:val="002C0AC6"/>
    <w:rsid w:val="002C1024"/>
    <w:rsid w:val="002C1042"/>
    <w:rsid w:val="002C1047"/>
    <w:rsid w:val="002C11AD"/>
    <w:rsid w:val="002C11D4"/>
    <w:rsid w:val="002C1423"/>
    <w:rsid w:val="002C1877"/>
    <w:rsid w:val="002C1DDF"/>
    <w:rsid w:val="002C2186"/>
    <w:rsid w:val="002C2255"/>
    <w:rsid w:val="002C23AE"/>
    <w:rsid w:val="002C2670"/>
    <w:rsid w:val="002C2BF2"/>
    <w:rsid w:val="002C2EA8"/>
    <w:rsid w:val="002C2F96"/>
    <w:rsid w:val="002C2FB3"/>
    <w:rsid w:val="002C3048"/>
    <w:rsid w:val="002C31B6"/>
    <w:rsid w:val="002C322F"/>
    <w:rsid w:val="002C345B"/>
    <w:rsid w:val="002C3838"/>
    <w:rsid w:val="002C38AA"/>
    <w:rsid w:val="002C3D97"/>
    <w:rsid w:val="002C41AD"/>
    <w:rsid w:val="002C42D9"/>
    <w:rsid w:val="002C44DF"/>
    <w:rsid w:val="002C454B"/>
    <w:rsid w:val="002C4659"/>
    <w:rsid w:val="002C46E7"/>
    <w:rsid w:val="002C492F"/>
    <w:rsid w:val="002C4C39"/>
    <w:rsid w:val="002C505A"/>
    <w:rsid w:val="002C535C"/>
    <w:rsid w:val="002C5615"/>
    <w:rsid w:val="002C5917"/>
    <w:rsid w:val="002C5BC4"/>
    <w:rsid w:val="002C5E3F"/>
    <w:rsid w:val="002C60DA"/>
    <w:rsid w:val="002C6158"/>
    <w:rsid w:val="002C6574"/>
    <w:rsid w:val="002C65A4"/>
    <w:rsid w:val="002C66A9"/>
    <w:rsid w:val="002C687C"/>
    <w:rsid w:val="002C6A94"/>
    <w:rsid w:val="002C72E9"/>
    <w:rsid w:val="002C7380"/>
    <w:rsid w:val="002C748D"/>
    <w:rsid w:val="002C78CC"/>
    <w:rsid w:val="002C7961"/>
    <w:rsid w:val="002C7D33"/>
    <w:rsid w:val="002C7E13"/>
    <w:rsid w:val="002D0371"/>
    <w:rsid w:val="002D05EB"/>
    <w:rsid w:val="002D06A8"/>
    <w:rsid w:val="002D08C3"/>
    <w:rsid w:val="002D09A6"/>
    <w:rsid w:val="002D0B96"/>
    <w:rsid w:val="002D1282"/>
    <w:rsid w:val="002D1374"/>
    <w:rsid w:val="002D1559"/>
    <w:rsid w:val="002D158D"/>
    <w:rsid w:val="002D1616"/>
    <w:rsid w:val="002D1675"/>
    <w:rsid w:val="002D186D"/>
    <w:rsid w:val="002D20E0"/>
    <w:rsid w:val="002D22A5"/>
    <w:rsid w:val="002D22C7"/>
    <w:rsid w:val="002D25BC"/>
    <w:rsid w:val="002D2703"/>
    <w:rsid w:val="002D293E"/>
    <w:rsid w:val="002D2C46"/>
    <w:rsid w:val="002D2D22"/>
    <w:rsid w:val="002D301E"/>
    <w:rsid w:val="002D30A0"/>
    <w:rsid w:val="002D30E6"/>
    <w:rsid w:val="002D31D2"/>
    <w:rsid w:val="002D324A"/>
    <w:rsid w:val="002D33D8"/>
    <w:rsid w:val="002D33E8"/>
    <w:rsid w:val="002D37CE"/>
    <w:rsid w:val="002D3AC9"/>
    <w:rsid w:val="002D3F6A"/>
    <w:rsid w:val="002D420C"/>
    <w:rsid w:val="002D447C"/>
    <w:rsid w:val="002D4516"/>
    <w:rsid w:val="002D45A1"/>
    <w:rsid w:val="002D4D7D"/>
    <w:rsid w:val="002D517C"/>
    <w:rsid w:val="002D5826"/>
    <w:rsid w:val="002D589A"/>
    <w:rsid w:val="002D5C14"/>
    <w:rsid w:val="002D5C5A"/>
    <w:rsid w:val="002D5D08"/>
    <w:rsid w:val="002D5D14"/>
    <w:rsid w:val="002D627D"/>
    <w:rsid w:val="002D650C"/>
    <w:rsid w:val="002D67A9"/>
    <w:rsid w:val="002D6A01"/>
    <w:rsid w:val="002D7428"/>
    <w:rsid w:val="002D7471"/>
    <w:rsid w:val="002D74D2"/>
    <w:rsid w:val="002D751D"/>
    <w:rsid w:val="002D774C"/>
    <w:rsid w:val="002E05AD"/>
    <w:rsid w:val="002E0629"/>
    <w:rsid w:val="002E085C"/>
    <w:rsid w:val="002E0B30"/>
    <w:rsid w:val="002E0C1E"/>
    <w:rsid w:val="002E0CB3"/>
    <w:rsid w:val="002E0ED1"/>
    <w:rsid w:val="002E10B3"/>
    <w:rsid w:val="002E1399"/>
    <w:rsid w:val="002E14AB"/>
    <w:rsid w:val="002E1BA7"/>
    <w:rsid w:val="002E1C1A"/>
    <w:rsid w:val="002E1CB8"/>
    <w:rsid w:val="002E20CB"/>
    <w:rsid w:val="002E22B6"/>
    <w:rsid w:val="002E251E"/>
    <w:rsid w:val="002E2B61"/>
    <w:rsid w:val="002E2D72"/>
    <w:rsid w:val="002E330F"/>
    <w:rsid w:val="002E35C4"/>
    <w:rsid w:val="002E3B46"/>
    <w:rsid w:val="002E3D9C"/>
    <w:rsid w:val="002E4085"/>
    <w:rsid w:val="002E4C17"/>
    <w:rsid w:val="002E51C3"/>
    <w:rsid w:val="002E552E"/>
    <w:rsid w:val="002E59F6"/>
    <w:rsid w:val="002E5BC9"/>
    <w:rsid w:val="002E5C99"/>
    <w:rsid w:val="002E5D48"/>
    <w:rsid w:val="002E5D5C"/>
    <w:rsid w:val="002E5DF5"/>
    <w:rsid w:val="002E604D"/>
    <w:rsid w:val="002E63F8"/>
    <w:rsid w:val="002E65E0"/>
    <w:rsid w:val="002E6985"/>
    <w:rsid w:val="002E6F1F"/>
    <w:rsid w:val="002E6FC1"/>
    <w:rsid w:val="002E7095"/>
    <w:rsid w:val="002E7C45"/>
    <w:rsid w:val="002F0584"/>
    <w:rsid w:val="002F0612"/>
    <w:rsid w:val="002F0E5E"/>
    <w:rsid w:val="002F12C3"/>
    <w:rsid w:val="002F1382"/>
    <w:rsid w:val="002F186B"/>
    <w:rsid w:val="002F18DD"/>
    <w:rsid w:val="002F1935"/>
    <w:rsid w:val="002F1A23"/>
    <w:rsid w:val="002F1C55"/>
    <w:rsid w:val="002F1F75"/>
    <w:rsid w:val="002F22CF"/>
    <w:rsid w:val="002F2626"/>
    <w:rsid w:val="002F2A4A"/>
    <w:rsid w:val="002F2B31"/>
    <w:rsid w:val="002F2B90"/>
    <w:rsid w:val="002F2BB4"/>
    <w:rsid w:val="002F310C"/>
    <w:rsid w:val="002F3578"/>
    <w:rsid w:val="002F38AE"/>
    <w:rsid w:val="002F3AFE"/>
    <w:rsid w:val="002F3F64"/>
    <w:rsid w:val="002F4195"/>
    <w:rsid w:val="002F4220"/>
    <w:rsid w:val="002F4270"/>
    <w:rsid w:val="002F4531"/>
    <w:rsid w:val="002F4C00"/>
    <w:rsid w:val="002F4C84"/>
    <w:rsid w:val="002F4E5D"/>
    <w:rsid w:val="002F53F1"/>
    <w:rsid w:val="002F545D"/>
    <w:rsid w:val="002F585F"/>
    <w:rsid w:val="002F5C77"/>
    <w:rsid w:val="002F60A3"/>
    <w:rsid w:val="002F614F"/>
    <w:rsid w:val="002F68F6"/>
    <w:rsid w:val="002F6967"/>
    <w:rsid w:val="002F6C7A"/>
    <w:rsid w:val="002F6EE3"/>
    <w:rsid w:val="002F6F28"/>
    <w:rsid w:val="002F72F3"/>
    <w:rsid w:val="002F730B"/>
    <w:rsid w:val="002F74DC"/>
    <w:rsid w:val="002F7B44"/>
    <w:rsid w:val="00300362"/>
    <w:rsid w:val="0030066A"/>
    <w:rsid w:val="003007AE"/>
    <w:rsid w:val="0030082D"/>
    <w:rsid w:val="00300DD8"/>
    <w:rsid w:val="00301279"/>
    <w:rsid w:val="00301370"/>
    <w:rsid w:val="00301659"/>
    <w:rsid w:val="003016E5"/>
    <w:rsid w:val="003017A9"/>
    <w:rsid w:val="00301B6C"/>
    <w:rsid w:val="00301D7F"/>
    <w:rsid w:val="003025D3"/>
    <w:rsid w:val="00302710"/>
    <w:rsid w:val="0030277B"/>
    <w:rsid w:val="00302A3E"/>
    <w:rsid w:val="00302D2E"/>
    <w:rsid w:val="00303319"/>
    <w:rsid w:val="00303466"/>
    <w:rsid w:val="0030374E"/>
    <w:rsid w:val="00303B4B"/>
    <w:rsid w:val="00303BC4"/>
    <w:rsid w:val="00303C01"/>
    <w:rsid w:val="00303D57"/>
    <w:rsid w:val="00303E45"/>
    <w:rsid w:val="00303EF3"/>
    <w:rsid w:val="003043EC"/>
    <w:rsid w:val="00304418"/>
    <w:rsid w:val="0030459A"/>
    <w:rsid w:val="00304ADA"/>
    <w:rsid w:val="00305783"/>
    <w:rsid w:val="00305DCB"/>
    <w:rsid w:val="00305DF0"/>
    <w:rsid w:val="00305F8C"/>
    <w:rsid w:val="00306067"/>
    <w:rsid w:val="003061B9"/>
    <w:rsid w:val="003061BB"/>
    <w:rsid w:val="00306342"/>
    <w:rsid w:val="003063A4"/>
    <w:rsid w:val="00306419"/>
    <w:rsid w:val="00306465"/>
    <w:rsid w:val="003068B3"/>
    <w:rsid w:val="00306BBD"/>
    <w:rsid w:val="00306C7B"/>
    <w:rsid w:val="00306E69"/>
    <w:rsid w:val="00307121"/>
    <w:rsid w:val="00307499"/>
    <w:rsid w:val="00307966"/>
    <w:rsid w:val="00307B26"/>
    <w:rsid w:val="00307B90"/>
    <w:rsid w:val="00307C2B"/>
    <w:rsid w:val="00310122"/>
    <w:rsid w:val="00310340"/>
    <w:rsid w:val="00310797"/>
    <w:rsid w:val="0031091E"/>
    <w:rsid w:val="00310C92"/>
    <w:rsid w:val="00310E4F"/>
    <w:rsid w:val="00310F09"/>
    <w:rsid w:val="00311025"/>
    <w:rsid w:val="00311179"/>
    <w:rsid w:val="003111B0"/>
    <w:rsid w:val="003111B6"/>
    <w:rsid w:val="00311252"/>
    <w:rsid w:val="003112AF"/>
    <w:rsid w:val="00311C5C"/>
    <w:rsid w:val="00311FA0"/>
    <w:rsid w:val="0031216C"/>
    <w:rsid w:val="00312261"/>
    <w:rsid w:val="003122F2"/>
    <w:rsid w:val="0031277F"/>
    <w:rsid w:val="00312CE9"/>
    <w:rsid w:val="003130F8"/>
    <w:rsid w:val="0031360D"/>
    <w:rsid w:val="00313681"/>
    <w:rsid w:val="003136F8"/>
    <w:rsid w:val="003137BF"/>
    <w:rsid w:val="00313835"/>
    <w:rsid w:val="00313B4E"/>
    <w:rsid w:val="00313B65"/>
    <w:rsid w:val="00313BA1"/>
    <w:rsid w:val="00313BFB"/>
    <w:rsid w:val="00313C0F"/>
    <w:rsid w:val="00313CC7"/>
    <w:rsid w:val="00313F96"/>
    <w:rsid w:val="00314643"/>
    <w:rsid w:val="00314812"/>
    <w:rsid w:val="00314AF9"/>
    <w:rsid w:val="00314B75"/>
    <w:rsid w:val="00315464"/>
    <w:rsid w:val="00315A11"/>
    <w:rsid w:val="00315B33"/>
    <w:rsid w:val="00315CAD"/>
    <w:rsid w:val="00315F18"/>
    <w:rsid w:val="00315FC7"/>
    <w:rsid w:val="00316083"/>
    <w:rsid w:val="003161CE"/>
    <w:rsid w:val="0031662E"/>
    <w:rsid w:val="003169A9"/>
    <w:rsid w:val="00316C86"/>
    <w:rsid w:val="0031708F"/>
    <w:rsid w:val="003170F0"/>
    <w:rsid w:val="00317283"/>
    <w:rsid w:val="0031736C"/>
    <w:rsid w:val="00317815"/>
    <w:rsid w:val="00317A5A"/>
    <w:rsid w:val="00317C76"/>
    <w:rsid w:val="003202E1"/>
    <w:rsid w:val="003203B0"/>
    <w:rsid w:val="00320438"/>
    <w:rsid w:val="00320950"/>
    <w:rsid w:val="00320DCC"/>
    <w:rsid w:val="00320F23"/>
    <w:rsid w:val="00320FCB"/>
    <w:rsid w:val="00321271"/>
    <w:rsid w:val="00321E0F"/>
    <w:rsid w:val="00321E82"/>
    <w:rsid w:val="00321EBD"/>
    <w:rsid w:val="0032219D"/>
    <w:rsid w:val="003221DA"/>
    <w:rsid w:val="0032221F"/>
    <w:rsid w:val="00322316"/>
    <w:rsid w:val="003226AD"/>
    <w:rsid w:val="00322FBB"/>
    <w:rsid w:val="00323437"/>
    <w:rsid w:val="00323616"/>
    <w:rsid w:val="00323630"/>
    <w:rsid w:val="003237C3"/>
    <w:rsid w:val="00323872"/>
    <w:rsid w:val="003238F7"/>
    <w:rsid w:val="00323AE8"/>
    <w:rsid w:val="003240F9"/>
    <w:rsid w:val="00324792"/>
    <w:rsid w:val="00324858"/>
    <w:rsid w:val="003248F0"/>
    <w:rsid w:val="00324939"/>
    <w:rsid w:val="003249BF"/>
    <w:rsid w:val="00324DAC"/>
    <w:rsid w:val="00324F0B"/>
    <w:rsid w:val="00325001"/>
    <w:rsid w:val="00325007"/>
    <w:rsid w:val="003250C8"/>
    <w:rsid w:val="0032511D"/>
    <w:rsid w:val="00325C89"/>
    <w:rsid w:val="003269A8"/>
    <w:rsid w:val="00326BB2"/>
    <w:rsid w:val="00327155"/>
    <w:rsid w:val="00327724"/>
    <w:rsid w:val="00330258"/>
    <w:rsid w:val="003304A7"/>
    <w:rsid w:val="003304BB"/>
    <w:rsid w:val="003304D3"/>
    <w:rsid w:val="0033082C"/>
    <w:rsid w:val="00330A4C"/>
    <w:rsid w:val="00330BBE"/>
    <w:rsid w:val="00330D47"/>
    <w:rsid w:val="00331109"/>
    <w:rsid w:val="003313F0"/>
    <w:rsid w:val="0033156F"/>
    <w:rsid w:val="00331A6A"/>
    <w:rsid w:val="00331BE4"/>
    <w:rsid w:val="00331D33"/>
    <w:rsid w:val="0033221D"/>
    <w:rsid w:val="003325DC"/>
    <w:rsid w:val="0033287E"/>
    <w:rsid w:val="003328E3"/>
    <w:rsid w:val="00332987"/>
    <w:rsid w:val="00332BB2"/>
    <w:rsid w:val="00332D7C"/>
    <w:rsid w:val="00332E0F"/>
    <w:rsid w:val="00332FA1"/>
    <w:rsid w:val="003333C2"/>
    <w:rsid w:val="0033370D"/>
    <w:rsid w:val="00333B5F"/>
    <w:rsid w:val="00333E99"/>
    <w:rsid w:val="00333FE8"/>
    <w:rsid w:val="00334256"/>
    <w:rsid w:val="003345F2"/>
    <w:rsid w:val="00334AAC"/>
    <w:rsid w:val="00334AAE"/>
    <w:rsid w:val="00334BFA"/>
    <w:rsid w:val="003354AD"/>
    <w:rsid w:val="003358EB"/>
    <w:rsid w:val="0033593C"/>
    <w:rsid w:val="00335C6E"/>
    <w:rsid w:val="00335E4C"/>
    <w:rsid w:val="00335E9B"/>
    <w:rsid w:val="00335ED1"/>
    <w:rsid w:val="00335EE4"/>
    <w:rsid w:val="00336126"/>
    <w:rsid w:val="003363FF"/>
    <w:rsid w:val="0033645D"/>
    <w:rsid w:val="003364F6"/>
    <w:rsid w:val="003364FB"/>
    <w:rsid w:val="00336607"/>
    <w:rsid w:val="0033663F"/>
    <w:rsid w:val="00336874"/>
    <w:rsid w:val="00336D47"/>
    <w:rsid w:val="00336D72"/>
    <w:rsid w:val="00336DBE"/>
    <w:rsid w:val="00336E2B"/>
    <w:rsid w:val="003373E1"/>
    <w:rsid w:val="0033749B"/>
    <w:rsid w:val="0033751D"/>
    <w:rsid w:val="003377E9"/>
    <w:rsid w:val="003378B6"/>
    <w:rsid w:val="00337B9B"/>
    <w:rsid w:val="00337CAA"/>
    <w:rsid w:val="00337EDA"/>
    <w:rsid w:val="003402B5"/>
    <w:rsid w:val="00340DEF"/>
    <w:rsid w:val="00341380"/>
    <w:rsid w:val="00341424"/>
    <w:rsid w:val="00341562"/>
    <w:rsid w:val="0034167E"/>
    <w:rsid w:val="00341838"/>
    <w:rsid w:val="00341AE9"/>
    <w:rsid w:val="0034203D"/>
    <w:rsid w:val="00342139"/>
    <w:rsid w:val="003422A8"/>
    <w:rsid w:val="00342697"/>
    <w:rsid w:val="003428A8"/>
    <w:rsid w:val="00342AAF"/>
    <w:rsid w:val="00342B1A"/>
    <w:rsid w:val="003433C7"/>
    <w:rsid w:val="003438A0"/>
    <w:rsid w:val="00343985"/>
    <w:rsid w:val="00343A99"/>
    <w:rsid w:val="00343AA7"/>
    <w:rsid w:val="00343AC9"/>
    <w:rsid w:val="00344089"/>
    <w:rsid w:val="00344231"/>
    <w:rsid w:val="0034489C"/>
    <w:rsid w:val="00345337"/>
    <w:rsid w:val="0034535B"/>
    <w:rsid w:val="00345371"/>
    <w:rsid w:val="003453E8"/>
    <w:rsid w:val="003457BB"/>
    <w:rsid w:val="00345AC5"/>
    <w:rsid w:val="00345BE6"/>
    <w:rsid w:val="0034604A"/>
    <w:rsid w:val="003461DC"/>
    <w:rsid w:val="003462B6"/>
    <w:rsid w:val="003462F3"/>
    <w:rsid w:val="003466D8"/>
    <w:rsid w:val="003467AC"/>
    <w:rsid w:val="0034685A"/>
    <w:rsid w:val="0034699D"/>
    <w:rsid w:val="00346D98"/>
    <w:rsid w:val="003470E2"/>
    <w:rsid w:val="0034770F"/>
    <w:rsid w:val="00347843"/>
    <w:rsid w:val="00347A08"/>
    <w:rsid w:val="00347CE0"/>
    <w:rsid w:val="00347D11"/>
    <w:rsid w:val="00347F19"/>
    <w:rsid w:val="00350389"/>
    <w:rsid w:val="003507A0"/>
    <w:rsid w:val="00350E47"/>
    <w:rsid w:val="00350F81"/>
    <w:rsid w:val="0035102D"/>
    <w:rsid w:val="00351057"/>
    <w:rsid w:val="0035129A"/>
    <w:rsid w:val="00351325"/>
    <w:rsid w:val="0035146C"/>
    <w:rsid w:val="00351993"/>
    <w:rsid w:val="00351DFB"/>
    <w:rsid w:val="00351F59"/>
    <w:rsid w:val="00351F83"/>
    <w:rsid w:val="003523E0"/>
    <w:rsid w:val="0035277C"/>
    <w:rsid w:val="00352C69"/>
    <w:rsid w:val="00352C86"/>
    <w:rsid w:val="00353072"/>
    <w:rsid w:val="003532E2"/>
    <w:rsid w:val="0035348B"/>
    <w:rsid w:val="003536F9"/>
    <w:rsid w:val="00353750"/>
    <w:rsid w:val="00353971"/>
    <w:rsid w:val="00353A23"/>
    <w:rsid w:val="00353BD6"/>
    <w:rsid w:val="00353D07"/>
    <w:rsid w:val="00353FF6"/>
    <w:rsid w:val="00354303"/>
    <w:rsid w:val="003544B9"/>
    <w:rsid w:val="003546C3"/>
    <w:rsid w:val="003549A1"/>
    <w:rsid w:val="00354ABE"/>
    <w:rsid w:val="00355086"/>
    <w:rsid w:val="0035511A"/>
    <w:rsid w:val="003552AC"/>
    <w:rsid w:val="0035551D"/>
    <w:rsid w:val="00355866"/>
    <w:rsid w:val="00355D90"/>
    <w:rsid w:val="00355DDE"/>
    <w:rsid w:val="003564FF"/>
    <w:rsid w:val="00356567"/>
    <w:rsid w:val="00356649"/>
    <w:rsid w:val="00356896"/>
    <w:rsid w:val="0035694B"/>
    <w:rsid w:val="0035766D"/>
    <w:rsid w:val="00357761"/>
    <w:rsid w:val="00357A54"/>
    <w:rsid w:val="00357B2E"/>
    <w:rsid w:val="00357BC3"/>
    <w:rsid w:val="0036011C"/>
    <w:rsid w:val="003602CE"/>
    <w:rsid w:val="0036048A"/>
    <w:rsid w:val="0036068C"/>
    <w:rsid w:val="00360765"/>
    <w:rsid w:val="00360A85"/>
    <w:rsid w:val="00360AB6"/>
    <w:rsid w:val="00360BDA"/>
    <w:rsid w:val="00360E19"/>
    <w:rsid w:val="00360F39"/>
    <w:rsid w:val="00361246"/>
    <w:rsid w:val="00361314"/>
    <w:rsid w:val="00361491"/>
    <w:rsid w:val="003614D7"/>
    <w:rsid w:val="00361821"/>
    <w:rsid w:val="00361BA8"/>
    <w:rsid w:val="00361C57"/>
    <w:rsid w:val="00361F97"/>
    <w:rsid w:val="00362397"/>
    <w:rsid w:val="00362663"/>
    <w:rsid w:val="003629E9"/>
    <w:rsid w:val="00362CDE"/>
    <w:rsid w:val="00362E34"/>
    <w:rsid w:val="00362FCE"/>
    <w:rsid w:val="003635B2"/>
    <w:rsid w:val="00363E92"/>
    <w:rsid w:val="00363ED5"/>
    <w:rsid w:val="003642D1"/>
    <w:rsid w:val="00364588"/>
    <w:rsid w:val="003645C9"/>
    <w:rsid w:val="00364838"/>
    <w:rsid w:val="00364889"/>
    <w:rsid w:val="00364896"/>
    <w:rsid w:val="00364DA1"/>
    <w:rsid w:val="00365585"/>
    <w:rsid w:val="0036561C"/>
    <w:rsid w:val="00365720"/>
    <w:rsid w:val="00365A00"/>
    <w:rsid w:val="00365AC3"/>
    <w:rsid w:val="00365AFF"/>
    <w:rsid w:val="00365BFB"/>
    <w:rsid w:val="00365DAF"/>
    <w:rsid w:val="00366239"/>
    <w:rsid w:val="003667CF"/>
    <w:rsid w:val="0036696B"/>
    <w:rsid w:val="00366BE3"/>
    <w:rsid w:val="00366BE7"/>
    <w:rsid w:val="00366C72"/>
    <w:rsid w:val="00366EC7"/>
    <w:rsid w:val="00366F98"/>
    <w:rsid w:val="00366FE9"/>
    <w:rsid w:val="003678AC"/>
    <w:rsid w:val="003678F2"/>
    <w:rsid w:val="00367D09"/>
    <w:rsid w:val="00367F20"/>
    <w:rsid w:val="00367F48"/>
    <w:rsid w:val="003701B1"/>
    <w:rsid w:val="00370238"/>
    <w:rsid w:val="00370397"/>
    <w:rsid w:val="00370ACB"/>
    <w:rsid w:val="00370D9B"/>
    <w:rsid w:val="00370E63"/>
    <w:rsid w:val="0037100D"/>
    <w:rsid w:val="00371106"/>
    <w:rsid w:val="003713FE"/>
    <w:rsid w:val="003718EE"/>
    <w:rsid w:val="00371D40"/>
    <w:rsid w:val="00371F3D"/>
    <w:rsid w:val="003720F9"/>
    <w:rsid w:val="00372189"/>
    <w:rsid w:val="0037281C"/>
    <w:rsid w:val="003728F9"/>
    <w:rsid w:val="00372E93"/>
    <w:rsid w:val="0037307D"/>
    <w:rsid w:val="003730E3"/>
    <w:rsid w:val="0037335E"/>
    <w:rsid w:val="00373589"/>
    <w:rsid w:val="00373805"/>
    <w:rsid w:val="00373EB8"/>
    <w:rsid w:val="003742D8"/>
    <w:rsid w:val="003745D0"/>
    <w:rsid w:val="003746CC"/>
    <w:rsid w:val="00374A1D"/>
    <w:rsid w:val="00374C74"/>
    <w:rsid w:val="00374F8C"/>
    <w:rsid w:val="00374FE3"/>
    <w:rsid w:val="003750A8"/>
    <w:rsid w:val="003750E7"/>
    <w:rsid w:val="003758CF"/>
    <w:rsid w:val="00375ADF"/>
    <w:rsid w:val="00375AF8"/>
    <w:rsid w:val="00375C91"/>
    <w:rsid w:val="00375E26"/>
    <w:rsid w:val="00375F63"/>
    <w:rsid w:val="00375F69"/>
    <w:rsid w:val="0037600D"/>
    <w:rsid w:val="00376188"/>
    <w:rsid w:val="00376397"/>
    <w:rsid w:val="003765DD"/>
    <w:rsid w:val="0037688A"/>
    <w:rsid w:val="003768DF"/>
    <w:rsid w:val="00376BB7"/>
    <w:rsid w:val="0037701C"/>
    <w:rsid w:val="003773F5"/>
    <w:rsid w:val="0037758B"/>
    <w:rsid w:val="00377786"/>
    <w:rsid w:val="00377F3C"/>
    <w:rsid w:val="0038096C"/>
    <w:rsid w:val="00380F9E"/>
    <w:rsid w:val="003812AF"/>
    <w:rsid w:val="00381A04"/>
    <w:rsid w:val="00381B04"/>
    <w:rsid w:val="00381F8F"/>
    <w:rsid w:val="0038283D"/>
    <w:rsid w:val="00382849"/>
    <w:rsid w:val="00382C0A"/>
    <w:rsid w:val="003834DD"/>
    <w:rsid w:val="00383844"/>
    <w:rsid w:val="00383A9A"/>
    <w:rsid w:val="00383AE0"/>
    <w:rsid w:val="00383D2F"/>
    <w:rsid w:val="00383F70"/>
    <w:rsid w:val="00384019"/>
    <w:rsid w:val="00384058"/>
    <w:rsid w:val="003840EE"/>
    <w:rsid w:val="003848EC"/>
    <w:rsid w:val="0038492D"/>
    <w:rsid w:val="00384C6A"/>
    <w:rsid w:val="00384D5F"/>
    <w:rsid w:val="0038507A"/>
    <w:rsid w:val="00385198"/>
    <w:rsid w:val="003851F7"/>
    <w:rsid w:val="003853FA"/>
    <w:rsid w:val="00385885"/>
    <w:rsid w:val="00385EC8"/>
    <w:rsid w:val="00386521"/>
    <w:rsid w:val="0038677E"/>
    <w:rsid w:val="003867B8"/>
    <w:rsid w:val="00386A7A"/>
    <w:rsid w:val="00386BB5"/>
    <w:rsid w:val="00386D3D"/>
    <w:rsid w:val="00386D73"/>
    <w:rsid w:val="00387349"/>
    <w:rsid w:val="003873B1"/>
    <w:rsid w:val="00387473"/>
    <w:rsid w:val="0038753D"/>
    <w:rsid w:val="003875D3"/>
    <w:rsid w:val="00387691"/>
    <w:rsid w:val="00387813"/>
    <w:rsid w:val="0038781E"/>
    <w:rsid w:val="003879E0"/>
    <w:rsid w:val="00387A35"/>
    <w:rsid w:val="00387AF4"/>
    <w:rsid w:val="00387D37"/>
    <w:rsid w:val="00387D4B"/>
    <w:rsid w:val="0039020D"/>
    <w:rsid w:val="003902AE"/>
    <w:rsid w:val="003903D4"/>
    <w:rsid w:val="003905FB"/>
    <w:rsid w:val="0039071B"/>
    <w:rsid w:val="003907C9"/>
    <w:rsid w:val="00390899"/>
    <w:rsid w:val="00390F83"/>
    <w:rsid w:val="003913EE"/>
    <w:rsid w:val="003914B7"/>
    <w:rsid w:val="00391584"/>
    <w:rsid w:val="00391E66"/>
    <w:rsid w:val="003924F4"/>
    <w:rsid w:val="003928E4"/>
    <w:rsid w:val="003928E6"/>
    <w:rsid w:val="00392A86"/>
    <w:rsid w:val="00392C04"/>
    <w:rsid w:val="00392EE9"/>
    <w:rsid w:val="00393562"/>
    <w:rsid w:val="003935F8"/>
    <w:rsid w:val="0039375E"/>
    <w:rsid w:val="003937A9"/>
    <w:rsid w:val="00393854"/>
    <w:rsid w:val="00393C73"/>
    <w:rsid w:val="00393F58"/>
    <w:rsid w:val="003940FA"/>
    <w:rsid w:val="00394712"/>
    <w:rsid w:val="00394852"/>
    <w:rsid w:val="00394AC8"/>
    <w:rsid w:val="00394D0C"/>
    <w:rsid w:val="00394D1E"/>
    <w:rsid w:val="003952EE"/>
    <w:rsid w:val="00395436"/>
    <w:rsid w:val="00395746"/>
    <w:rsid w:val="00395B49"/>
    <w:rsid w:val="00395CA6"/>
    <w:rsid w:val="00395FAA"/>
    <w:rsid w:val="003960F4"/>
    <w:rsid w:val="003963B7"/>
    <w:rsid w:val="003968C9"/>
    <w:rsid w:val="00396B82"/>
    <w:rsid w:val="00396D5B"/>
    <w:rsid w:val="00396D92"/>
    <w:rsid w:val="00397029"/>
    <w:rsid w:val="0039706C"/>
    <w:rsid w:val="00397386"/>
    <w:rsid w:val="00397A90"/>
    <w:rsid w:val="00397A9E"/>
    <w:rsid w:val="00397ABD"/>
    <w:rsid w:val="00397C6D"/>
    <w:rsid w:val="003A001A"/>
    <w:rsid w:val="003A0412"/>
    <w:rsid w:val="003A06B8"/>
    <w:rsid w:val="003A06D9"/>
    <w:rsid w:val="003A0835"/>
    <w:rsid w:val="003A097C"/>
    <w:rsid w:val="003A0F4E"/>
    <w:rsid w:val="003A1194"/>
    <w:rsid w:val="003A138B"/>
    <w:rsid w:val="003A19C6"/>
    <w:rsid w:val="003A2036"/>
    <w:rsid w:val="003A2154"/>
    <w:rsid w:val="003A2320"/>
    <w:rsid w:val="003A24A8"/>
    <w:rsid w:val="003A2544"/>
    <w:rsid w:val="003A2E9B"/>
    <w:rsid w:val="003A305C"/>
    <w:rsid w:val="003A3553"/>
    <w:rsid w:val="003A35CC"/>
    <w:rsid w:val="003A38F2"/>
    <w:rsid w:val="003A3AF4"/>
    <w:rsid w:val="003A3F5D"/>
    <w:rsid w:val="003A4417"/>
    <w:rsid w:val="003A453A"/>
    <w:rsid w:val="003A46A7"/>
    <w:rsid w:val="003A4A5B"/>
    <w:rsid w:val="003A4CD9"/>
    <w:rsid w:val="003A4E52"/>
    <w:rsid w:val="003A4FA3"/>
    <w:rsid w:val="003A4FE0"/>
    <w:rsid w:val="003A5119"/>
    <w:rsid w:val="003A53A3"/>
    <w:rsid w:val="003A54D1"/>
    <w:rsid w:val="003A56F7"/>
    <w:rsid w:val="003A5732"/>
    <w:rsid w:val="003A586A"/>
    <w:rsid w:val="003A5901"/>
    <w:rsid w:val="003A5ABE"/>
    <w:rsid w:val="003A5C25"/>
    <w:rsid w:val="003A5E33"/>
    <w:rsid w:val="003A5E96"/>
    <w:rsid w:val="003A5ECB"/>
    <w:rsid w:val="003A5FAF"/>
    <w:rsid w:val="003A6178"/>
    <w:rsid w:val="003A63DA"/>
    <w:rsid w:val="003A6549"/>
    <w:rsid w:val="003A6A37"/>
    <w:rsid w:val="003A6A47"/>
    <w:rsid w:val="003A6A6A"/>
    <w:rsid w:val="003A6AFC"/>
    <w:rsid w:val="003A6BA1"/>
    <w:rsid w:val="003A6BE8"/>
    <w:rsid w:val="003A6D53"/>
    <w:rsid w:val="003A6D87"/>
    <w:rsid w:val="003A6EE8"/>
    <w:rsid w:val="003A6F4A"/>
    <w:rsid w:val="003A75E5"/>
    <w:rsid w:val="003A7628"/>
    <w:rsid w:val="003A7856"/>
    <w:rsid w:val="003A79C8"/>
    <w:rsid w:val="003A7A67"/>
    <w:rsid w:val="003A7ACD"/>
    <w:rsid w:val="003A7B8D"/>
    <w:rsid w:val="003B03A7"/>
    <w:rsid w:val="003B046F"/>
    <w:rsid w:val="003B05B5"/>
    <w:rsid w:val="003B0DD1"/>
    <w:rsid w:val="003B10FC"/>
    <w:rsid w:val="003B126C"/>
    <w:rsid w:val="003B12AE"/>
    <w:rsid w:val="003B1356"/>
    <w:rsid w:val="003B1736"/>
    <w:rsid w:val="003B192C"/>
    <w:rsid w:val="003B1B06"/>
    <w:rsid w:val="003B1B92"/>
    <w:rsid w:val="003B1C8F"/>
    <w:rsid w:val="003B1E16"/>
    <w:rsid w:val="003B1F36"/>
    <w:rsid w:val="003B1FDA"/>
    <w:rsid w:val="003B1FFE"/>
    <w:rsid w:val="003B24BD"/>
    <w:rsid w:val="003B2616"/>
    <w:rsid w:val="003B267B"/>
    <w:rsid w:val="003B290D"/>
    <w:rsid w:val="003B2AFB"/>
    <w:rsid w:val="003B2CB2"/>
    <w:rsid w:val="003B2FA9"/>
    <w:rsid w:val="003B2FF5"/>
    <w:rsid w:val="003B3175"/>
    <w:rsid w:val="003B3292"/>
    <w:rsid w:val="003B33D1"/>
    <w:rsid w:val="003B3942"/>
    <w:rsid w:val="003B3947"/>
    <w:rsid w:val="003B410C"/>
    <w:rsid w:val="003B42A9"/>
    <w:rsid w:val="003B4597"/>
    <w:rsid w:val="003B45EA"/>
    <w:rsid w:val="003B46C2"/>
    <w:rsid w:val="003B4ABC"/>
    <w:rsid w:val="003B4EB2"/>
    <w:rsid w:val="003B4EEF"/>
    <w:rsid w:val="003B4F42"/>
    <w:rsid w:val="003B51F3"/>
    <w:rsid w:val="003B5437"/>
    <w:rsid w:val="003B553B"/>
    <w:rsid w:val="003B56EC"/>
    <w:rsid w:val="003B5B34"/>
    <w:rsid w:val="003B602E"/>
    <w:rsid w:val="003B6168"/>
    <w:rsid w:val="003B61AB"/>
    <w:rsid w:val="003B67D4"/>
    <w:rsid w:val="003B68BD"/>
    <w:rsid w:val="003B6D31"/>
    <w:rsid w:val="003B7272"/>
    <w:rsid w:val="003B7514"/>
    <w:rsid w:val="003B77A1"/>
    <w:rsid w:val="003B7881"/>
    <w:rsid w:val="003B789A"/>
    <w:rsid w:val="003B79AA"/>
    <w:rsid w:val="003B79E8"/>
    <w:rsid w:val="003B7ADA"/>
    <w:rsid w:val="003B7BCF"/>
    <w:rsid w:val="003C0003"/>
    <w:rsid w:val="003C019D"/>
    <w:rsid w:val="003C04BE"/>
    <w:rsid w:val="003C060C"/>
    <w:rsid w:val="003C0955"/>
    <w:rsid w:val="003C0B1F"/>
    <w:rsid w:val="003C0B88"/>
    <w:rsid w:val="003C0C8B"/>
    <w:rsid w:val="003C0EF2"/>
    <w:rsid w:val="003C1215"/>
    <w:rsid w:val="003C13B5"/>
    <w:rsid w:val="003C15F2"/>
    <w:rsid w:val="003C1988"/>
    <w:rsid w:val="003C1A4B"/>
    <w:rsid w:val="003C1FCE"/>
    <w:rsid w:val="003C200D"/>
    <w:rsid w:val="003C20AE"/>
    <w:rsid w:val="003C2535"/>
    <w:rsid w:val="003C266F"/>
    <w:rsid w:val="003C2689"/>
    <w:rsid w:val="003C26A1"/>
    <w:rsid w:val="003C26DA"/>
    <w:rsid w:val="003C27A3"/>
    <w:rsid w:val="003C2831"/>
    <w:rsid w:val="003C29E2"/>
    <w:rsid w:val="003C2C5F"/>
    <w:rsid w:val="003C2C91"/>
    <w:rsid w:val="003C384C"/>
    <w:rsid w:val="003C392C"/>
    <w:rsid w:val="003C3A29"/>
    <w:rsid w:val="003C3D0F"/>
    <w:rsid w:val="003C423A"/>
    <w:rsid w:val="003C4335"/>
    <w:rsid w:val="003C4385"/>
    <w:rsid w:val="003C43F0"/>
    <w:rsid w:val="003C4980"/>
    <w:rsid w:val="003C49A6"/>
    <w:rsid w:val="003C4D80"/>
    <w:rsid w:val="003C5127"/>
    <w:rsid w:val="003C55A7"/>
    <w:rsid w:val="003C5A2B"/>
    <w:rsid w:val="003C5A7B"/>
    <w:rsid w:val="003C5B6D"/>
    <w:rsid w:val="003C6087"/>
    <w:rsid w:val="003C651A"/>
    <w:rsid w:val="003C6B23"/>
    <w:rsid w:val="003C6EA7"/>
    <w:rsid w:val="003C6FB0"/>
    <w:rsid w:val="003C71A6"/>
    <w:rsid w:val="003C7326"/>
    <w:rsid w:val="003C7B0E"/>
    <w:rsid w:val="003D02F5"/>
    <w:rsid w:val="003D05AF"/>
    <w:rsid w:val="003D0659"/>
    <w:rsid w:val="003D0909"/>
    <w:rsid w:val="003D0B69"/>
    <w:rsid w:val="003D0F7D"/>
    <w:rsid w:val="003D1014"/>
    <w:rsid w:val="003D14A6"/>
    <w:rsid w:val="003D16D6"/>
    <w:rsid w:val="003D177A"/>
    <w:rsid w:val="003D19B9"/>
    <w:rsid w:val="003D1D6C"/>
    <w:rsid w:val="003D1E08"/>
    <w:rsid w:val="003D1E3E"/>
    <w:rsid w:val="003D2126"/>
    <w:rsid w:val="003D2151"/>
    <w:rsid w:val="003D2969"/>
    <w:rsid w:val="003D29F1"/>
    <w:rsid w:val="003D29FD"/>
    <w:rsid w:val="003D2C63"/>
    <w:rsid w:val="003D2E02"/>
    <w:rsid w:val="003D3048"/>
    <w:rsid w:val="003D30A4"/>
    <w:rsid w:val="003D3623"/>
    <w:rsid w:val="003D36C4"/>
    <w:rsid w:val="003D36DB"/>
    <w:rsid w:val="003D38A8"/>
    <w:rsid w:val="003D38D4"/>
    <w:rsid w:val="003D3AE1"/>
    <w:rsid w:val="003D416F"/>
    <w:rsid w:val="003D4254"/>
    <w:rsid w:val="003D42E4"/>
    <w:rsid w:val="003D447B"/>
    <w:rsid w:val="003D474B"/>
    <w:rsid w:val="003D482F"/>
    <w:rsid w:val="003D4F43"/>
    <w:rsid w:val="003D5101"/>
    <w:rsid w:val="003D54C0"/>
    <w:rsid w:val="003D5680"/>
    <w:rsid w:val="003D59E3"/>
    <w:rsid w:val="003D5A09"/>
    <w:rsid w:val="003D5EAE"/>
    <w:rsid w:val="003D6303"/>
    <w:rsid w:val="003D64D7"/>
    <w:rsid w:val="003D6842"/>
    <w:rsid w:val="003D684F"/>
    <w:rsid w:val="003D6BAE"/>
    <w:rsid w:val="003D6F43"/>
    <w:rsid w:val="003D75D8"/>
    <w:rsid w:val="003D7A32"/>
    <w:rsid w:val="003D7D53"/>
    <w:rsid w:val="003D7FAE"/>
    <w:rsid w:val="003E0469"/>
    <w:rsid w:val="003E07C8"/>
    <w:rsid w:val="003E09B0"/>
    <w:rsid w:val="003E1039"/>
    <w:rsid w:val="003E12A2"/>
    <w:rsid w:val="003E14A4"/>
    <w:rsid w:val="003E1719"/>
    <w:rsid w:val="003E1AD0"/>
    <w:rsid w:val="003E1B40"/>
    <w:rsid w:val="003E1D09"/>
    <w:rsid w:val="003E227D"/>
    <w:rsid w:val="003E28D8"/>
    <w:rsid w:val="003E2D02"/>
    <w:rsid w:val="003E2DD1"/>
    <w:rsid w:val="003E322E"/>
    <w:rsid w:val="003E3345"/>
    <w:rsid w:val="003E343C"/>
    <w:rsid w:val="003E394B"/>
    <w:rsid w:val="003E3A89"/>
    <w:rsid w:val="003E3C3A"/>
    <w:rsid w:val="003E3EDF"/>
    <w:rsid w:val="003E42D8"/>
    <w:rsid w:val="003E45E1"/>
    <w:rsid w:val="003E478D"/>
    <w:rsid w:val="003E4873"/>
    <w:rsid w:val="003E49DA"/>
    <w:rsid w:val="003E4B6E"/>
    <w:rsid w:val="003E4C6B"/>
    <w:rsid w:val="003E4F6E"/>
    <w:rsid w:val="003E5B64"/>
    <w:rsid w:val="003E5B87"/>
    <w:rsid w:val="003E5DAC"/>
    <w:rsid w:val="003E613A"/>
    <w:rsid w:val="003E639D"/>
    <w:rsid w:val="003E643F"/>
    <w:rsid w:val="003E6582"/>
    <w:rsid w:val="003E695B"/>
    <w:rsid w:val="003E6A01"/>
    <w:rsid w:val="003E6A12"/>
    <w:rsid w:val="003E73DC"/>
    <w:rsid w:val="003E748A"/>
    <w:rsid w:val="003E7C86"/>
    <w:rsid w:val="003F0191"/>
    <w:rsid w:val="003F01B9"/>
    <w:rsid w:val="003F02D4"/>
    <w:rsid w:val="003F062A"/>
    <w:rsid w:val="003F0903"/>
    <w:rsid w:val="003F103D"/>
    <w:rsid w:val="003F11C9"/>
    <w:rsid w:val="003F15A1"/>
    <w:rsid w:val="003F15EF"/>
    <w:rsid w:val="003F1826"/>
    <w:rsid w:val="003F19FE"/>
    <w:rsid w:val="003F2275"/>
    <w:rsid w:val="003F276A"/>
    <w:rsid w:val="003F29B7"/>
    <w:rsid w:val="003F2A15"/>
    <w:rsid w:val="003F2E0E"/>
    <w:rsid w:val="003F2F02"/>
    <w:rsid w:val="003F317A"/>
    <w:rsid w:val="003F3190"/>
    <w:rsid w:val="003F32EE"/>
    <w:rsid w:val="003F3360"/>
    <w:rsid w:val="003F3394"/>
    <w:rsid w:val="003F36B6"/>
    <w:rsid w:val="003F36BB"/>
    <w:rsid w:val="003F37BE"/>
    <w:rsid w:val="003F3B4B"/>
    <w:rsid w:val="003F3C07"/>
    <w:rsid w:val="003F43EA"/>
    <w:rsid w:val="003F477C"/>
    <w:rsid w:val="003F4B4E"/>
    <w:rsid w:val="003F4DEF"/>
    <w:rsid w:val="003F5016"/>
    <w:rsid w:val="003F5349"/>
    <w:rsid w:val="003F5E2A"/>
    <w:rsid w:val="003F6485"/>
    <w:rsid w:val="003F6574"/>
    <w:rsid w:val="003F65E7"/>
    <w:rsid w:val="003F66EB"/>
    <w:rsid w:val="003F67A7"/>
    <w:rsid w:val="003F6A57"/>
    <w:rsid w:val="003F6DC9"/>
    <w:rsid w:val="003F6E6F"/>
    <w:rsid w:val="003F6EF5"/>
    <w:rsid w:val="003F72F0"/>
    <w:rsid w:val="003F79D1"/>
    <w:rsid w:val="003F7A61"/>
    <w:rsid w:val="003F7B7B"/>
    <w:rsid w:val="003F7C79"/>
    <w:rsid w:val="004003DE"/>
    <w:rsid w:val="004006D7"/>
    <w:rsid w:val="00400751"/>
    <w:rsid w:val="004007C5"/>
    <w:rsid w:val="004009AA"/>
    <w:rsid w:val="00400B71"/>
    <w:rsid w:val="00400D57"/>
    <w:rsid w:val="00400EBE"/>
    <w:rsid w:val="00400ED9"/>
    <w:rsid w:val="004010A5"/>
    <w:rsid w:val="004012E6"/>
    <w:rsid w:val="0040155D"/>
    <w:rsid w:val="004016C2"/>
    <w:rsid w:val="00401FA6"/>
    <w:rsid w:val="004020A4"/>
    <w:rsid w:val="004020B2"/>
    <w:rsid w:val="004021FB"/>
    <w:rsid w:val="0040251C"/>
    <w:rsid w:val="00402726"/>
    <w:rsid w:val="004029B0"/>
    <w:rsid w:val="00402BBF"/>
    <w:rsid w:val="00402F12"/>
    <w:rsid w:val="00402F44"/>
    <w:rsid w:val="00402FB4"/>
    <w:rsid w:val="004031B9"/>
    <w:rsid w:val="004036AA"/>
    <w:rsid w:val="00403B8D"/>
    <w:rsid w:val="00403D3F"/>
    <w:rsid w:val="00403FB5"/>
    <w:rsid w:val="004040BE"/>
    <w:rsid w:val="004049CD"/>
    <w:rsid w:val="00404CA3"/>
    <w:rsid w:val="004050DC"/>
    <w:rsid w:val="0040523B"/>
    <w:rsid w:val="00405264"/>
    <w:rsid w:val="00405670"/>
    <w:rsid w:val="004056AB"/>
    <w:rsid w:val="00405705"/>
    <w:rsid w:val="00405D8C"/>
    <w:rsid w:val="00405FAB"/>
    <w:rsid w:val="004060E6"/>
    <w:rsid w:val="00406222"/>
    <w:rsid w:val="004065D6"/>
    <w:rsid w:val="00406699"/>
    <w:rsid w:val="00407264"/>
    <w:rsid w:val="0040726C"/>
    <w:rsid w:val="00407381"/>
    <w:rsid w:val="00407452"/>
    <w:rsid w:val="0041028A"/>
    <w:rsid w:val="00410779"/>
    <w:rsid w:val="00410B9D"/>
    <w:rsid w:val="00410DD5"/>
    <w:rsid w:val="00411002"/>
    <w:rsid w:val="00411406"/>
    <w:rsid w:val="00411ACE"/>
    <w:rsid w:val="00411C3C"/>
    <w:rsid w:val="00411FFF"/>
    <w:rsid w:val="00412188"/>
    <w:rsid w:val="0041222E"/>
    <w:rsid w:val="0041256E"/>
    <w:rsid w:val="00412714"/>
    <w:rsid w:val="00412836"/>
    <w:rsid w:val="00412CB0"/>
    <w:rsid w:val="00412E27"/>
    <w:rsid w:val="00412EEF"/>
    <w:rsid w:val="00412FBC"/>
    <w:rsid w:val="004130C9"/>
    <w:rsid w:val="00413111"/>
    <w:rsid w:val="004134FD"/>
    <w:rsid w:val="00413699"/>
    <w:rsid w:val="00413738"/>
    <w:rsid w:val="00413D5D"/>
    <w:rsid w:val="00413E3D"/>
    <w:rsid w:val="00413E47"/>
    <w:rsid w:val="00413F36"/>
    <w:rsid w:val="004140EA"/>
    <w:rsid w:val="00414937"/>
    <w:rsid w:val="004149EA"/>
    <w:rsid w:val="00414B17"/>
    <w:rsid w:val="0041576C"/>
    <w:rsid w:val="00416024"/>
    <w:rsid w:val="004160B0"/>
    <w:rsid w:val="004161A9"/>
    <w:rsid w:val="004163A4"/>
    <w:rsid w:val="00416C0E"/>
    <w:rsid w:val="00416E05"/>
    <w:rsid w:val="00416EC9"/>
    <w:rsid w:val="00416F8A"/>
    <w:rsid w:val="004170F1"/>
    <w:rsid w:val="0041713E"/>
    <w:rsid w:val="00417488"/>
    <w:rsid w:val="004174A3"/>
    <w:rsid w:val="004174EA"/>
    <w:rsid w:val="00417984"/>
    <w:rsid w:val="00417EE7"/>
    <w:rsid w:val="00417EFD"/>
    <w:rsid w:val="0042045B"/>
    <w:rsid w:val="004204A1"/>
    <w:rsid w:val="0042051C"/>
    <w:rsid w:val="004219AE"/>
    <w:rsid w:val="00421B7D"/>
    <w:rsid w:val="00421BD1"/>
    <w:rsid w:val="00421C90"/>
    <w:rsid w:val="00421D3F"/>
    <w:rsid w:val="00422147"/>
    <w:rsid w:val="0042252F"/>
    <w:rsid w:val="00422550"/>
    <w:rsid w:val="0042273B"/>
    <w:rsid w:val="00422C5A"/>
    <w:rsid w:val="00422D8E"/>
    <w:rsid w:val="00423124"/>
    <w:rsid w:val="004233F6"/>
    <w:rsid w:val="00423785"/>
    <w:rsid w:val="00423895"/>
    <w:rsid w:val="00423A21"/>
    <w:rsid w:val="00423CBD"/>
    <w:rsid w:val="00424402"/>
    <w:rsid w:val="00424552"/>
    <w:rsid w:val="004246FA"/>
    <w:rsid w:val="0042479E"/>
    <w:rsid w:val="00424E90"/>
    <w:rsid w:val="00424F80"/>
    <w:rsid w:val="004251A1"/>
    <w:rsid w:val="00425414"/>
    <w:rsid w:val="004259BA"/>
    <w:rsid w:val="00425B9F"/>
    <w:rsid w:val="00425BF1"/>
    <w:rsid w:val="004263F9"/>
    <w:rsid w:val="0042641A"/>
    <w:rsid w:val="004264D3"/>
    <w:rsid w:val="00426591"/>
    <w:rsid w:val="00426ADB"/>
    <w:rsid w:val="00426C1A"/>
    <w:rsid w:val="00426EF4"/>
    <w:rsid w:val="00426F38"/>
    <w:rsid w:val="00427050"/>
    <w:rsid w:val="00427668"/>
    <w:rsid w:val="004276FA"/>
    <w:rsid w:val="0042780C"/>
    <w:rsid w:val="00427D6B"/>
    <w:rsid w:val="00427D7C"/>
    <w:rsid w:val="00427DFC"/>
    <w:rsid w:val="0043007F"/>
    <w:rsid w:val="004300C8"/>
    <w:rsid w:val="004302D8"/>
    <w:rsid w:val="00430458"/>
    <w:rsid w:val="0043081C"/>
    <w:rsid w:val="004309D8"/>
    <w:rsid w:val="00430ADC"/>
    <w:rsid w:val="00430C09"/>
    <w:rsid w:val="00430C84"/>
    <w:rsid w:val="00430D6E"/>
    <w:rsid w:val="0043130A"/>
    <w:rsid w:val="0043140D"/>
    <w:rsid w:val="0043141D"/>
    <w:rsid w:val="004316D0"/>
    <w:rsid w:val="004316EE"/>
    <w:rsid w:val="00431CC8"/>
    <w:rsid w:val="00432033"/>
    <w:rsid w:val="0043206F"/>
    <w:rsid w:val="0043216B"/>
    <w:rsid w:val="00432479"/>
    <w:rsid w:val="00432576"/>
    <w:rsid w:val="00432763"/>
    <w:rsid w:val="00432C68"/>
    <w:rsid w:val="00432D9B"/>
    <w:rsid w:val="00432DC0"/>
    <w:rsid w:val="00432DEE"/>
    <w:rsid w:val="00432EAB"/>
    <w:rsid w:val="00432EF0"/>
    <w:rsid w:val="00432F40"/>
    <w:rsid w:val="004330BB"/>
    <w:rsid w:val="00433161"/>
    <w:rsid w:val="00433198"/>
    <w:rsid w:val="00433554"/>
    <w:rsid w:val="004338FA"/>
    <w:rsid w:val="00433CB7"/>
    <w:rsid w:val="00433CBF"/>
    <w:rsid w:val="00433E67"/>
    <w:rsid w:val="00433F6E"/>
    <w:rsid w:val="00434455"/>
    <w:rsid w:val="004344A5"/>
    <w:rsid w:val="0043458A"/>
    <w:rsid w:val="004345F6"/>
    <w:rsid w:val="004347E4"/>
    <w:rsid w:val="004349F6"/>
    <w:rsid w:val="00434AD6"/>
    <w:rsid w:val="00434BBA"/>
    <w:rsid w:val="00434C6B"/>
    <w:rsid w:val="004352AD"/>
    <w:rsid w:val="00435631"/>
    <w:rsid w:val="0043570C"/>
    <w:rsid w:val="00435A2C"/>
    <w:rsid w:val="00435B4D"/>
    <w:rsid w:val="00435E49"/>
    <w:rsid w:val="00436A57"/>
    <w:rsid w:val="0043709A"/>
    <w:rsid w:val="004370E9"/>
    <w:rsid w:val="004370EB"/>
    <w:rsid w:val="00437178"/>
    <w:rsid w:val="004371AA"/>
    <w:rsid w:val="00437265"/>
    <w:rsid w:val="004372FF"/>
    <w:rsid w:val="004374CF"/>
    <w:rsid w:val="004377F5"/>
    <w:rsid w:val="0043781E"/>
    <w:rsid w:val="00437AFB"/>
    <w:rsid w:val="00437D37"/>
    <w:rsid w:val="00437E7E"/>
    <w:rsid w:val="00440594"/>
    <w:rsid w:val="0044063B"/>
    <w:rsid w:val="00440712"/>
    <w:rsid w:val="00440AAD"/>
    <w:rsid w:val="00441356"/>
    <w:rsid w:val="0044160E"/>
    <w:rsid w:val="004417AB"/>
    <w:rsid w:val="00441C85"/>
    <w:rsid w:val="004425A1"/>
    <w:rsid w:val="0044273D"/>
    <w:rsid w:val="00442805"/>
    <w:rsid w:val="0044298C"/>
    <w:rsid w:val="00442A87"/>
    <w:rsid w:val="00442AAD"/>
    <w:rsid w:val="00442B40"/>
    <w:rsid w:val="00442BE6"/>
    <w:rsid w:val="00443032"/>
    <w:rsid w:val="00443346"/>
    <w:rsid w:val="00443496"/>
    <w:rsid w:val="004434F1"/>
    <w:rsid w:val="00443586"/>
    <w:rsid w:val="00443639"/>
    <w:rsid w:val="00443725"/>
    <w:rsid w:val="00443AAE"/>
    <w:rsid w:val="00443C06"/>
    <w:rsid w:val="0044401C"/>
    <w:rsid w:val="004440FF"/>
    <w:rsid w:val="004443E4"/>
    <w:rsid w:val="00444427"/>
    <w:rsid w:val="004446B7"/>
    <w:rsid w:val="004446E1"/>
    <w:rsid w:val="004449E9"/>
    <w:rsid w:val="00445436"/>
    <w:rsid w:val="004455C6"/>
    <w:rsid w:val="0044578C"/>
    <w:rsid w:val="004458C7"/>
    <w:rsid w:val="004459CF"/>
    <w:rsid w:val="00445AE8"/>
    <w:rsid w:val="00445B10"/>
    <w:rsid w:val="00445D7A"/>
    <w:rsid w:val="00446109"/>
    <w:rsid w:val="004461AC"/>
    <w:rsid w:val="00446268"/>
    <w:rsid w:val="00446358"/>
    <w:rsid w:val="0044658E"/>
    <w:rsid w:val="00446728"/>
    <w:rsid w:val="00446732"/>
    <w:rsid w:val="00446867"/>
    <w:rsid w:val="00446998"/>
    <w:rsid w:val="00446B08"/>
    <w:rsid w:val="0044707A"/>
    <w:rsid w:val="004473D0"/>
    <w:rsid w:val="004474B8"/>
    <w:rsid w:val="00447817"/>
    <w:rsid w:val="00447934"/>
    <w:rsid w:val="0044793B"/>
    <w:rsid w:val="004479AB"/>
    <w:rsid w:val="004479FD"/>
    <w:rsid w:val="00447A1C"/>
    <w:rsid w:val="00447A2B"/>
    <w:rsid w:val="00447B4A"/>
    <w:rsid w:val="00447BA8"/>
    <w:rsid w:val="00447FC3"/>
    <w:rsid w:val="004501C0"/>
    <w:rsid w:val="00450207"/>
    <w:rsid w:val="00450503"/>
    <w:rsid w:val="00451032"/>
    <w:rsid w:val="00451069"/>
    <w:rsid w:val="004512EE"/>
    <w:rsid w:val="004515F9"/>
    <w:rsid w:val="0045186B"/>
    <w:rsid w:val="00451C8F"/>
    <w:rsid w:val="00451F29"/>
    <w:rsid w:val="00451FFE"/>
    <w:rsid w:val="00452151"/>
    <w:rsid w:val="0045215E"/>
    <w:rsid w:val="004523E6"/>
    <w:rsid w:val="00452434"/>
    <w:rsid w:val="004525A9"/>
    <w:rsid w:val="00452A07"/>
    <w:rsid w:val="00452D26"/>
    <w:rsid w:val="00452E79"/>
    <w:rsid w:val="004534BC"/>
    <w:rsid w:val="00453500"/>
    <w:rsid w:val="00453BE7"/>
    <w:rsid w:val="00453D65"/>
    <w:rsid w:val="00453FD7"/>
    <w:rsid w:val="00453FE6"/>
    <w:rsid w:val="0045426C"/>
    <w:rsid w:val="004544BC"/>
    <w:rsid w:val="00454519"/>
    <w:rsid w:val="004545BF"/>
    <w:rsid w:val="00454605"/>
    <w:rsid w:val="00454B30"/>
    <w:rsid w:val="00454D51"/>
    <w:rsid w:val="004553AA"/>
    <w:rsid w:val="0045543A"/>
    <w:rsid w:val="004555AC"/>
    <w:rsid w:val="00455743"/>
    <w:rsid w:val="0045583E"/>
    <w:rsid w:val="004559D1"/>
    <w:rsid w:val="00455D3A"/>
    <w:rsid w:val="00455DE9"/>
    <w:rsid w:val="004561C9"/>
    <w:rsid w:val="0045629E"/>
    <w:rsid w:val="004567C8"/>
    <w:rsid w:val="00456806"/>
    <w:rsid w:val="00456C47"/>
    <w:rsid w:val="00456CDC"/>
    <w:rsid w:val="00456F3F"/>
    <w:rsid w:val="00456FEA"/>
    <w:rsid w:val="004571E1"/>
    <w:rsid w:val="00457541"/>
    <w:rsid w:val="0045761E"/>
    <w:rsid w:val="004576BC"/>
    <w:rsid w:val="00460221"/>
    <w:rsid w:val="0046022C"/>
    <w:rsid w:val="004607BA"/>
    <w:rsid w:val="00460B05"/>
    <w:rsid w:val="00460FC7"/>
    <w:rsid w:val="0046111E"/>
    <w:rsid w:val="004611D2"/>
    <w:rsid w:val="004611DE"/>
    <w:rsid w:val="00461260"/>
    <w:rsid w:val="00461BE1"/>
    <w:rsid w:val="00461C46"/>
    <w:rsid w:val="00461F65"/>
    <w:rsid w:val="00462520"/>
    <w:rsid w:val="00462B72"/>
    <w:rsid w:val="00462DC6"/>
    <w:rsid w:val="0046342E"/>
    <w:rsid w:val="00463608"/>
    <w:rsid w:val="0046376B"/>
    <w:rsid w:val="00463A71"/>
    <w:rsid w:val="00463A80"/>
    <w:rsid w:val="00463B78"/>
    <w:rsid w:val="004643C9"/>
    <w:rsid w:val="0046447D"/>
    <w:rsid w:val="00464566"/>
    <w:rsid w:val="00464BB8"/>
    <w:rsid w:val="00464C33"/>
    <w:rsid w:val="00464F9C"/>
    <w:rsid w:val="004653D6"/>
    <w:rsid w:val="00465764"/>
    <w:rsid w:val="00465AD0"/>
    <w:rsid w:val="00465B8F"/>
    <w:rsid w:val="00465F72"/>
    <w:rsid w:val="004662CA"/>
    <w:rsid w:val="0046635A"/>
    <w:rsid w:val="004666D2"/>
    <w:rsid w:val="004666E6"/>
    <w:rsid w:val="004668BE"/>
    <w:rsid w:val="00466EC2"/>
    <w:rsid w:val="00467729"/>
    <w:rsid w:val="00467767"/>
    <w:rsid w:val="00467897"/>
    <w:rsid w:val="00467B5F"/>
    <w:rsid w:val="00467E93"/>
    <w:rsid w:val="00467EE0"/>
    <w:rsid w:val="0047037C"/>
    <w:rsid w:val="00470750"/>
    <w:rsid w:val="00470F89"/>
    <w:rsid w:val="004710B0"/>
    <w:rsid w:val="00471375"/>
    <w:rsid w:val="00471575"/>
    <w:rsid w:val="0047193B"/>
    <w:rsid w:val="00471EEC"/>
    <w:rsid w:val="00471FC0"/>
    <w:rsid w:val="00472095"/>
    <w:rsid w:val="004722B6"/>
    <w:rsid w:val="00472458"/>
    <w:rsid w:val="004725E3"/>
    <w:rsid w:val="00472F3A"/>
    <w:rsid w:val="00473185"/>
    <w:rsid w:val="004732BC"/>
    <w:rsid w:val="00473514"/>
    <w:rsid w:val="00473A1A"/>
    <w:rsid w:val="00473B7B"/>
    <w:rsid w:val="00473DC3"/>
    <w:rsid w:val="00473DCF"/>
    <w:rsid w:val="00473E29"/>
    <w:rsid w:val="00473EA0"/>
    <w:rsid w:val="00474234"/>
    <w:rsid w:val="0047430B"/>
    <w:rsid w:val="00474330"/>
    <w:rsid w:val="00474495"/>
    <w:rsid w:val="004744F1"/>
    <w:rsid w:val="004745CD"/>
    <w:rsid w:val="00474674"/>
    <w:rsid w:val="004747CF"/>
    <w:rsid w:val="00474831"/>
    <w:rsid w:val="004748C3"/>
    <w:rsid w:val="00474AB4"/>
    <w:rsid w:val="00475223"/>
    <w:rsid w:val="00475336"/>
    <w:rsid w:val="00475381"/>
    <w:rsid w:val="004754D1"/>
    <w:rsid w:val="004754D4"/>
    <w:rsid w:val="00475903"/>
    <w:rsid w:val="00475AA2"/>
    <w:rsid w:val="00475B84"/>
    <w:rsid w:val="00476270"/>
    <w:rsid w:val="0047628A"/>
    <w:rsid w:val="00476639"/>
    <w:rsid w:val="004766DF"/>
    <w:rsid w:val="0047678E"/>
    <w:rsid w:val="00476884"/>
    <w:rsid w:val="00476A84"/>
    <w:rsid w:val="00477155"/>
    <w:rsid w:val="0047747F"/>
    <w:rsid w:val="00477705"/>
    <w:rsid w:val="0047783B"/>
    <w:rsid w:val="004779C7"/>
    <w:rsid w:val="004800B6"/>
    <w:rsid w:val="004800EF"/>
    <w:rsid w:val="00480102"/>
    <w:rsid w:val="00480484"/>
    <w:rsid w:val="004804B9"/>
    <w:rsid w:val="0048050D"/>
    <w:rsid w:val="004807CF"/>
    <w:rsid w:val="0048090E"/>
    <w:rsid w:val="00480D18"/>
    <w:rsid w:val="00480D61"/>
    <w:rsid w:val="00480F7B"/>
    <w:rsid w:val="00480FA8"/>
    <w:rsid w:val="00481408"/>
    <w:rsid w:val="00481512"/>
    <w:rsid w:val="00481812"/>
    <w:rsid w:val="00481BE5"/>
    <w:rsid w:val="00481CD9"/>
    <w:rsid w:val="00481D6E"/>
    <w:rsid w:val="00481FD3"/>
    <w:rsid w:val="00482061"/>
    <w:rsid w:val="00482448"/>
    <w:rsid w:val="00482550"/>
    <w:rsid w:val="00482603"/>
    <w:rsid w:val="004828A2"/>
    <w:rsid w:val="00483271"/>
    <w:rsid w:val="00483418"/>
    <w:rsid w:val="0048346E"/>
    <w:rsid w:val="004835C3"/>
    <w:rsid w:val="00483B53"/>
    <w:rsid w:val="00483B90"/>
    <w:rsid w:val="00483C37"/>
    <w:rsid w:val="00483DE4"/>
    <w:rsid w:val="00484270"/>
    <w:rsid w:val="004849EA"/>
    <w:rsid w:val="00485125"/>
    <w:rsid w:val="0048551C"/>
    <w:rsid w:val="0048563D"/>
    <w:rsid w:val="004858F9"/>
    <w:rsid w:val="00485EF1"/>
    <w:rsid w:val="00486027"/>
    <w:rsid w:val="00486079"/>
    <w:rsid w:val="0048634A"/>
    <w:rsid w:val="004868D0"/>
    <w:rsid w:val="004868F3"/>
    <w:rsid w:val="00486A3F"/>
    <w:rsid w:val="00486D30"/>
    <w:rsid w:val="00486D72"/>
    <w:rsid w:val="00486DB0"/>
    <w:rsid w:val="004874D0"/>
    <w:rsid w:val="004878C9"/>
    <w:rsid w:val="00487B41"/>
    <w:rsid w:val="00487CED"/>
    <w:rsid w:val="0048A1F0"/>
    <w:rsid w:val="00490439"/>
    <w:rsid w:val="0049048F"/>
    <w:rsid w:val="00490F08"/>
    <w:rsid w:val="00491062"/>
    <w:rsid w:val="00491615"/>
    <w:rsid w:val="00492202"/>
    <w:rsid w:val="00492218"/>
    <w:rsid w:val="0049235E"/>
    <w:rsid w:val="00492371"/>
    <w:rsid w:val="00492AE4"/>
    <w:rsid w:val="00492E33"/>
    <w:rsid w:val="00492EDD"/>
    <w:rsid w:val="00492F24"/>
    <w:rsid w:val="00492F4C"/>
    <w:rsid w:val="00493053"/>
    <w:rsid w:val="004930E4"/>
    <w:rsid w:val="0049315F"/>
    <w:rsid w:val="00493185"/>
    <w:rsid w:val="00493309"/>
    <w:rsid w:val="00493441"/>
    <w:rsid w:val="00493F68"/>
    <w:rsid w:val="004940C7"/>
    <w:rsid w:val="004941E6"/>
    <w:rsid w:val="004944DC"/>
    <w:rsid w:val="004945CC"/>
    <w:rsid w:val="0049472F"/>
    <w:rsid w:val="004948C0"/>
    <w:rsid w:val="00494B30"/>
    <w:rsid w:val="00494DAD"/>
    <w:rsid w:val="00494E3A"/>
    <w:rsid w:val="00495043"/>
    <w:rsid w:val="00495178"/>
    <w:rsid w:val="004952B8"/>
    <w:rsid w:val="004954B3"/>
    <w:rsid w:val="004954EC"/>
    <w:rsid w:val="00495AFD"/>
    <w:rsid w:val="00495B42"/>
    <w:rsid w:val="00495BC2"/>
    <w:rsid w:val="00495C72"/>
    <w:rsid w:val="00495C74"/>
    <w:rsid w:val="00495E54"/>
    <w:rsid w:val="00495EF3"/>
    <w:rsid w:val="0049618C"/>
    <w:rsid w:val="004970C4"/>
    <w:rsid w:val="0049719E"/>
    <w:rsid w:val="004971F7"/>
    <w:rsid w:val="00497254"/>
    <w:rsid w:val="004973EE"/>
    <w:rsid w:val="004974A5"/>
    <w:rsid w:val="004974E5"/>
    <w:rsid w:val="00497522"/>
    <w:rsid w:val="004976CF"/>
    <w:rsid w:val="004977DD"/>
    <w:rsid w:val="00497DF7"/>
    <w:rsid w:val="00497F38"/>
    <w:rsid w:val="004A04E8"/>
    <w:rsid w:val="004A0599"/>
    <w:rsid w:val="004A06CD"/>
    <w:rsid w:val="004A0964"/>
    <w:rsid w:val="004A099F"/>
    <w:rsid w:val="004A11A0"/>
    <w:rsid w:val="004A125E"/>
    <w:rsid w:val="004A15B8"/>
    <w:rsid w:val="004A170B"/>
    <w:rsid w:val="004A1853"/>
    <w:rsid w:val="004A1C32"/>
    <w:rsid w:val="004A1CF5"/>
    <w:rsid w:val="004A1D24"/>
    <w:rsid w:val="004A2255"/>
    <w:rsid w:val="004A267B"/>
    <w:rsid w:val="004A27EB"/>
    <w:rsid w:val="004A28B6"/>
    <w:rsid w:val="004A2FF9"/>
    <w:rsid w:val="004A3647"/>
    <w:rsid w:val="004A36CF"/>
    <w:rsid w:val="004A36DE"/>
    <w:rsid w:val="004A3702"/>
    <w:rsid w:val="004A3C2D"/>
    <w:rsid w:val="004A3F27"/>
    <w:rsid w:val="004A3FA6"/>
    <w:rsid w:val="004A4089"/>
    <w:rsid w:val="004A419B"/>
    <w:rsid w:val="004A4605"/>
    <w:rsid w:val="004A49C2"/>
    <w:rsid w:val="004A4B3A"/>
    <w:rsid w:val="004A4B6F"/>
    <w:rsid w:val="004A4CF9"/>
    <w:rsid w:val="004A4DFC"/>
    <w:rsid w:val="004A5512"/>
    <w:rsid w:val="004A5588"/>
    <w:rsid w:val="004A570B"/>
    <w:rsid w:val="004A572F"/>
    <w:rsid w:val="004A58D3"/>
    <w:rsid w:val="004A5D7A"/>
    <w:rsid w:val="004A5F9B"/>
    <w:rsid w:val="004A6199"/>
    <w:rsid w:val="004A665A"/>
    <w:rsid w:val="004A6C11"/>
    <w:rsid w:val="004A6F7F"/>
    <w:rsid w:val="004A721B"/>
    <w:rsid w:val="004A7282"/>
    <w:rsid w:val="004A75B3"/>
    <w:rsid w:val="004A7AF1"/>
    <w:rsid w:val="004A7ED7"/>
    <w:rsid w:val="004A7FF0"/>
    <w:rsid w:val="004B00E5"/>
    <w:rsid w:val="004B036C"/>
    <w:rsid w:val="004B037B"/>
    <w:rsid w:val="004B0428"/>
    <w:rsid w:val="004B0713"/>
    <w:rsid w:val="004B078E"/>
    <w:rsid w:val="004B0888"/>
    <w:rsid w:val="004B096D"/>
    <w:rsid w:val="004B0FD1"/>
    <w:rsid w:val="004B11C3"/>
    <w:rsid w:val="004B1208"/>
    <w:rsid w:val="004B1304"/>
    <w:rsid w:val="004B14F7"/>
    <w:rsid w:val="004B18D8"/>
    <w:rsid w:val="004B1BA1"/>
    <w:rsid w:val="004B1D03"/>
    <w:rsid w:val="004B1FCD"/>
    <w:rsid w:val="004B2023"/>
    <w:rsid w:val="004B22BE"/>
    <w:rsid w:val="004B22EE"/>
    <w:rsid w:val="004B23E5"/>
    <w:rsid w:val="004B23ED"/>
    <w:rsid w:val="004B24B8"/>
    <w:rsid w:val="004B2A1A"/>
    <w:rsid w:val="004B2E70"/>
    <w:rsid w:val="004B2ED1"/>
    <w:rsid w:val="004B30F0"/>
    <w:rsid w:val="004B31EF"/>
    <w:rsid w:val="004B3967"/>
    <w:rsid w:val="004B3A95"/>
    <w:rsid w:val="004B3DFC"/>
    <w:rsid w:val="004B4055"/>
    <w:rsid w:val="004B4354"/>
    <w:rsid w:val="004B435C"/>
    <w:rsid w:val="004B43F4"/>
    <w:rsid w:val="004B4573"/>
    <w:rsid w:val="004B45F0"/>
    <w:rsid w:val="004B47C0"/>
    <w:rsid w:val="004B4AFF"/>
    <w:rsid w:val="004B4B71"/>
    <w:rsid w:val="004B501E"/>
    <w:rsid w:val="004B5322"/>
    <w:rsid w:val="004B5AEE"/>
    <w:rsid w:val="004B5F05"/>
    <w:rsid w:val="004B6068"/>
    <w:rsid w:val="004B6171"/>
    <w:rsid w:val="004B625A"/>
    <w:rsid w:val="004B6530"/>
    <w:rsid w:val="004B6574"/>
    <w:rsid w:val="004B66C3"/>
    <w:rsid w:val="004B670F"/>
    <w:rsid w:val="004B6C61"/>
    <w:rsid w:val="004B7685"/>
    <w:rsid w:val="004C01C6"/>
    <w:rsid w:val="004C0565"/>
    <w:rsid w:val="004C07A9"/>
    <w:rsid w:val="004C08AC"/>
    <w:rsid w:val="004C0A67"/>
    <w:rsid w:val="004C0BBB"/>
    <w:rsid w:val="004C14DE"/>
    <w:rsid w:val="004C170F"/>
    <w:rsid w:val="004C1A08"/>
    <w:rsid w:val="004C1AE9"/>
    <w:rsid w:val="004C1B75"/>
    <w:rsid w:val="004C1D05"/>
    <w:rsid w:val="004C2002"/>
    <w:rsid w:val="004C2220"/>
    <w:rsid w:val="004C22B8"/>
    <w:rsid w:val="004C24D7"/>
    <w:rsid w:val="004C2546"/>
    <w:rsid w:val="004C25BF"/>
    <w:rsid w:val="004C26AB"/>
    <w:rsid w:val="004C2876"/>
    <w:rsid w:val="004C2E0B"/>
    <w:rsid w:val="004C321A"/>
    <w:rsid w:val="004C328D"/>
    <w:rsid w:val="004C32D4"/>
    <w:rsid w:val="004C41F5"/>
    <w:rsid w:val="004C4425"/>
    <w:rsid w:val="004C44F3"/>
    <w:rsid w:val="004C46BE"/>
    <w:rsid w:val="004C481B"/>
    <w:rsid w:val="004C4843"/>
    <w:rsid w:val="004C4C13"/>
    <w:rsid w:val="004C4C64"/>
    <w:rsid w:val="004C4D13"/>
    <w:rsid w:val="004C4D6E"/>
    <w:rsid w:val="004C5013"/>
    <w:rsid w:val="004C51C2"/>
    <w:rsid w:val="004C5258"/>
    <w:rsid w:val="004C5563"/>
    <w:rsid w:val="004C56EC"/>
    <w:rsid w:val="004C59AF"/>
    <w:rsid w:val="004C6259"/>
    <w:rsid w:val="004C6334"/>
    <w:rsid w:val="004C64F1"/>
    <w:rsid w:val="004C651F"/>
    <w:rsid w:val="004C66E5"/>
    <w:rsid w:val="004C67BE"/>
    <w:rsid w:val="004C6A13"/>
    <w:rsid w:val="004C6B7A"/>
    <w:rsid w:val="004C6F42"/>
    <w:rsid w:val="004C6FC4"/>
    <w:rsid w:val="004C6FD2"/>
    <w:rsid w:val="004C71BC"/>
    <w:rsid w:val="004C761E"/>
    <w:rsid w:val="004C7681"/>
    <w:rsid w:val="004C7A6D"/>
    <w:rsid w:val="004C7AB6"/>
    <w:rsid w:val="004D0228"/>
    <w:rsid w:val="004D0493"/>
    <w:rsid w:val="004D05AE"/>
    <w:rsid w:val="004D0984"/>
    <w:rsid w:val="004D09AC"/>
    <w:rsid w:val="004D09F8"/>
    <w:rsid w:val="004D0B7C"/>
    <w:rsid w:val="004D0B80"/>
    <w:rsid w:val="004D0FCE"/>
    <w:rsid w:val="004D1279"/>
    <w:rsid w:val="004D1861"/>
    <w:rsid w:val="004D1DC3"/>
    <w:rsid w:val="004D1F7E"/>
    <w:rsid w:val="004D24F6"/>
    <w:rsid w:val="004D2965"/>
    <w:rsid w:val="004D2C45"/>
    <w:rsid w:val="004D3198"/>
    <w:rsid w:val="004D33FD"/>
    <w:rsid w:val="004D3464"/>
    <w:rsid w:val="004D35C9"/>
    <w:rsid w:val="004D363F"/>
    <w:rsid w:val="004D39E1"/>
    <w:rsid w:val="004D4086"/>
    <w:rsid w:val="004D4430"/>
    <w:rsid w:val="004D4704"/>
    <w:rsid w:val="004D47C6"/>
    <w:rsid w:val="004D4D73"/>
    <w:rsid w:val="004D4E2E"/>
    <w:rsid w:val="004D4EC6"/>
    <w:rsid w:val="004D5505"/>
    <w:rsid w:val="004D5CCC"/>
    <w:rsid w:val="004D6611"/>
    <w:rsid w:val="004D67E6"/>
    <w:rsid w:val="004D67F9"/>
    <w:rsid w:val="004D6BB3"/>
    <w:rsid w:val="004D6CBB"/>
    <w:rsid w:val="004D7163"/>
    <w:rsid w:val="004D72BB"/>
    <w:rsid w:val="004D77C2"/>
    <w:rsid w:val="004D7A8F"/>
    <w:rsid w:val="004D7FB8"/>
    <w:rsid w:val="004E00BF"/>
    <w:rsid w:val="004E04FD"/>
    <w:rsid w:val="004E0EE7"/>
    <w:rsid w:val="004E0FDA"/>
    <w:rsid w:val="004E11B3"/>
    <w:rsid w:val="004E15D0"/>
    <w:rsid w:val="004E1813"/>
    <w:rsid w:val="004E1923"/>
    <w:rsid w:val="004E1A93"/>
    <w:rsid w:val="004E1AF2"/>
    <w:rsid w:val="004E1B5E"/>
    <w:rsid w:val="004E1C15"/>
    <w:rsid w:val="004E1E8D"/>
    <w:rsid w:val="004E27C8"/>
    <w:rsid w:val="004E2AC6"/>
    <w:rsid w:val="004E2D48"/>
    <w:rsid w:val="004E310A"/>
    <w:rsid w:val="004E3238"/>
    <w:rsid w:val="004E32E5"/>
    <w:rsid w:val="004E338A"/>
    <w:rsid w:val="004E3826"/>
    <w:rsid w:val="004E39A9"/>
    <w:rsid w:val="004E39BF"/>
    <w:rsid w:val="004E3AD8"/>
    <w:rsid w:val="004E3AFB"/>
    <w:rsid w:val="004E3DBA"/>
    <w:rsid w:val="004E3DE0"/>
    <w:rsid w:val="004E3EDE"/>
    <w:rsid w:val="004E40DD"/>
    <w:rsid w:val="004E43F6"/>
    <w:rsid w:val="004E452C"/>
    <w:rsid w:val="004E4532"/>
    <w:rsid w:val="004E45AB"/>
    <w:rsid w:val="004E47EE"/>
    <w:rsid w:val="004E4B9A"/>
    <w:rsid w:val="004E4D7B"/>
    <w:rsid w:val="004E4EEC"/>
    <w:rsid w:val="004E50F4"/>
    <w:rsid w:val="004E5415"/>
    <w:rsid w:val="004E5881"/>
    <w:rsid w:val="004E5C56"/>
    <w:rsid w:val="004E6074"/>
    <w:rsid w:val="004E60C1"/>
    <w:rsid w:val="004E6127"/>
    <w:rsid w:val="004E6129"/>
    <w:rsid w:val="004E6830"/>
    <w:rsid w:val="004E698F"/>
    <w:rsid w:val="004E6B26"/>
    <w:rsid w:val="004E738E"/>
    <w:rsid w:val="004E748E"/>
    <w:rsid w:val="004E74AA"/>
    <w:rsid w:val="004E759F"/>
    <w:rsid w:val="004E7806"/>
    <w:rsid w:val="004E78C5"/>
    <w:rsid w:val="004E7E1B"/>
    <w:rsid w:val="004E7F03"/>
    <w:rsid w:val="004E7F97"/>
    <w:rsid w:val="004F0772"/>
    <w:rsid w:val="004F09D8"/>
    <w:rsid w:val="004F0AC5"/>
    <w:rsid w:val="004F0B71"/>
    <w:rsid w:val="004F0DE5"/>
    <w:rsid w:val="004F0F8D"/>
    <w:rsid w:val="004F1166"/>
    <w:rsid w:val="004F118A"/>
    <w:rsid w:val="004F1302"/>
    <w:rsid w:val="004F1438"/>
    <w:rsid w:val="004F1446"/>
    <w:rsid w:val="004F1515"/>
    <w:rsid w:val="004F1CE0"/>
    <w:rsid w:val="004F1D41"/>
    <w:rsid w:val="004F20C7"/>
    <w:rsid w:val="004F25D0"/>
    <w:rsid w:val="004F29CD"/>
    <w:rsid w:val="004F29E2"/>
    <w:rsid w:val="004F2C97"/>
    <w:rsid w:val="004F2DA3"/>
    <w:rsid w:val="004F2DBA"/>
    <w:rsid w:val="004F2DCB"/>
    <w:rsid w:val="004F30D6"/>
    <w:rsid w:val="004F31F3"/>
    <w:rsid w:val="004F34FB"/>
    <w:rsid w:val="004F35D0"/>
    <w:rsid w:val="004F3AF9"/>
    <w:rsid w:val="004F3F41"/>
    <w:rsid w:val="004F4371"/>
    <w:rsid w:val="004F4F08"/>
    <w:rsid w:val="004F4FB8"/>
    <w:rsid w:val="004F515E"/>
    <w:rsid w:val="004F51E1"/>
    <w:rsid w:val="004F52D8"/>
    <w:rsid w:val="004F54B1"/>
    <w:rsid w:val="004F5770"/>
    <w:rsid w:val="004F5D2F"/>
    <w:rsid w:val="004F63E8"/>
    <w:rsid w:val="004F65B7"/>
    <w:rsid w:val="004F6F0B"/>
    <w:rsid w:val="004F70B8"/>
    <w:rsid w:val="004F77F2"/>
    <w:rsid w:val="0050007C"/>
    <w:rsid w:val="00500939"/>
    <w:rsid w:val="00500EAD"/>
    <w:rsid w:val="00501057"/>
    <w:rsid w:val="0050112E"/>
    <w:rsid w:val="0050131B"/>
    <w:rsid w:val="00501745"/>
    <w:rsid w:val="00501761"/>
    <w:rsid w:val="005018E8"/>
    <w:rsid w:val="00501C78"/>
    <w:rsid w:val="00501D40"/>
    <w:rsid w:val="00501DCE"/>
    <w:rsid w:val="00501F87"/>
    <w:rsid w:val="00502167"/>
    <w:rsid w:val="00502551"/>
    <w:rsid w:val="005027E6"/>
    <w:rsid w:val="00502F04"/>
    <w:rsid w:val="005031DB"/>
    <w:rsid w:val="005031E5"/>
    <w:rsid w:val="005032BD"/>
    <w:rsid w:val="00503482"/>
    <w:rsid w:val="00503846"/>
    <w:rsid w:val="00503A81"/>
    <w:rsid w:val="00504673"/>
    <w:rsid w:val="00504796"/>
    <w:rsid w:val="005051C5"/>
    <w:rsid w:val="00505475"/>
    <w:rsid w:val="005054BB"/>
    <w:rsid w:val="005058F9"/>
    <w:rsid w:val="005059E6"/>
    <w:rsid w:val="00505C39"/>
    <w:rsid w:val="005063DA"/>
    <w:rsid w:val="00507887"/>
    <w:rsid w:val="005103BB"/>
    <w:rsid w:val="00510560"/>
    <w:rsid w:val="00510796"/>
    <w:rsid w:val="00510CD5"/>
    <w:rsid w:val="00510D73"/>
    <w:rsid w:val="00510DED"/>
    <w:rsid w:val="00510F3C"/>
    <w:rsid w:val="005118D2"/>
    <w:rsid w:val="00511A79"/>
    <w:rsid w:val="00511D69"/>
    <w:rsid w:val="00511F76"/>
    <w:rsid w:val="00512422"/>
    <w:rsid w:val="005124BB"/>
    <w:rsid w:val="00512AB1"/>
    <w:rsid w:val="00512F61"/>
    <w:rsid w:val="00512FF5"/>
    <w:rsid w:val="00513016"/>
    <w:rsid w:val="00513576"/>
    <w:rsid w:val="005139C4"/>
    <w:rsid w:val="00513B4F"/>
    <w:rsid w:val="00513E3E"/>
    <w:rsid w:val="00513E5C"/>
    <w:rsid w:val="00513F53"/>
    <w:rsid w:val="00514115"/>
    <w:rsid w:val="00514185"/>
    <w:rsid w:val="00514397"/>
    <w:rsid w:val="00514697"/>
    <w:rsid w:val="00514736"/>
    <w:rsid w:val="005147FB"/>
    <w:rsid w:val="0051490D"/>
    <w:rsid w:val="00514B6F"/>
    <w:rsid w:val="00514C39"/>
    <w:rsid w:val="00514C4D"/>
    <w:rsid w:val="0051501A"/>
    <w:rsid w:val="00515071"/>
    <w:rsid w:val="005152F5"/>
    <w:rsid w:val="00515453"/>
    <w:rsid w:val="00515487"/>
    <w:rsid w:val="00515673"/>
    <w:rsid w:val="00515873"/>
    <w:rsid w:val="00515980"/>
    <w:rsid w:val="00515B48"/>
    <w:rsid w:val="00515C84"/>
    <w:rsid w:val="00515CEA"/>
    <w:rsid w:val="00515F43"/>
    <w:rsid w:val="00515F90"/>
    <w:rsid w:val="00515FBF"/>
    <w:rsid w:val="005161CD"/>
    <w:rsid w:val="00516FC6"/>
    <w:rsid w:val="00517082"/>
    <w:rsid w:val="00517580"/>
    <w:rsid w:val="00517693"/>
    <w:rsid w:val="0051777B"/>
    <w:rsid w:val="00517D55"/>
    <w:rsid w:val="005205DA"/>
    <w:rsid w:val="005207AB"/>
    <w:rsid w:val="005209AF"/>
    <w:rsid w:val="00520D8F"/>
    <w:rsid w:val="00521344"/>
    <w:rsid w:val="005214BF"/>
    <w:rsid w:val="005214EA"/>
    <w:rsid w:val="00521604"/>
    <w:rsid w:val="00521668"/>
    <w:rsid w:val="00521793"/>
    <w:rsid w:val="00521B14"/>
    <w:rsid w:val="00521B6A"/>
    <w:rsid w:val="00521BB3"/>
    <w:rsid w:val="00521E95"/>
    <w:rsid w:val="00522275"/>
    <w:rsid w:val="00522277"/>
    <w:rsid w:val="00522307"/>
    <w:rsid w:val="005223EC"/>
    <w:rsid w:val="0052270D"/>
    <w:rsid w:val="00522B3B"/>
    <w:rsid w:val="00522C1E"/>
    <w:rsid w:val="005237E4"/>
    <w:rsid w:val="00523B4E"/>
    <w:rsid w:val="00523D40"/>
    <w:rsid w:val="00523EC9"/>
    <w:rsid w:val="0052416B"/>
    <w:rsid w:val="0052436D"/>
    <w:rsid w:val="00524605"/>
    <w:rsid w:val="0052488F"/>
    <w:rsid w:val="00524A7C"/>
    <w:rsid w:val="00524AB7"/>
    <w:rsid w:val="0052503F"/>
    <w:rsid w:val="00525627"/>
    <w:rsid w:val="005257B1"/>
    <w:rsid w:val="005257C5"/>
    <w:rsid w:val="00525809"/>
    <w:rsid w:val="00525921"/>
    <w:rsid w:val="00525C75"/>
    <w:rsid w:val="005262A5"/>
    <w:rsid w:val="0052662E"/>
    <w:rsid w:val="00526795"/>
    <w:rsid w:val="00526A81"/>
    <w:rsid w:val="00526BEB"/>
    <w:rsid w:val="00526EA5"/>
    <w:rsid w:val="005271E3"/>
    <w:rsid w:val="00527221"/>
    <w:rsid w:val="0052722E"/>
    <w:rsid w:val="005273F3"/>
    <w:rsid w:val="005274F0"/>
    <w:rsid w:val="00527532"/>
    <w:rsid w:val="005275CB"/>
    <w:rsid w:val="005277BC"/>
    <w:rsid w:val="00527900"/>
    <w:rsid w:val="00527C4D"/>
    <w:rsid w:val="00527E78"/>
    <w:rsid w:val="00527EC1"/>
    <w:rsid w:val="0053016C"/>
    <w:rsid w:val="00530C5E"/>
    <w:rsid w:val="00530ED6"/>
    <w:rsid w:val="00531210"/>
    <w:rsid w:val="00531431"/>
    <w:rsid w:val="00531523"/>
    <w:rsid w:val="005315BC"/>
    <w:rsid w:val="0053169D"/>
    <w:rsid w:val="0053171D"/>
    <w:rsid w:val="0053175F"/>
    <w:rsid w:val="005317A2"/>
    <w:rsid w:val="0053284C"/>
    <w:rsid w:val="00532A87"/>
    <w:rsid w:val="00532AA9"/>
    <w:rsid w:val="00532C9D"/>
    <w:rsid w:val="00532DE0"/>
    <w:rsid w:val="00532EAA"/>
    <w:rsid w:val="00533AAE"/>
    <w:rsid w:val="00533B3B"/>
    <w:rsid w:val="00533D91"/>
    <w:rsid w:val="0053449B"/>
    <w:rsid w:val="00534643"/>
    <w:rsid w:val="00534806"/>
    <w:rsid w:val="00534ABF"/>
    <w:rsid w:val="00534D1A"/>
    <w:rsid w:val="00534D78"/>
    <w:rsid w:val="00535F00"/>
    <w:rsid w:val="00535F84"/>
    <w:rsid w:val="005366D7"/>
    <w:rsid w:val="00536909"/>
    <w:rsid w:val="00536ABE"/>
    <w:rsid w:val="00537424"/>
    <w:rsid w:val="00537D1F"/>
    <w:rsid w:val="00540001"/>
    <w:rsid w:val="0054011F"/>
    <w:rsid w:val="005402DB"/>
    <w:rsid w:val="005403ED"/>
    <w:rsid w:val="00540529"/>
    <w:rsid w:val="005406BE"/>
    <w:rsid w:val="00540708"/>
    <w:rsid w:val="00540782"/>
    <w:rsid w:val="0054079E"/>
    <w:rsid w:val="00540D02"/>
    <w:rsid w:val="00540F26"/>
    <w:rsid w:val="00540F53"/>
    <w:rsid w:val="005411C9"/>
    <w:rsid w:val="00541707"/>
    <w:rsid w:val="005418A6"/>
    <w:rsid w:val="0054190B"/>
    <w:rsid w:val="0054195B"/>
    <w:rsid w:val="00541C4D"/>
    <w:rsid w:val="00542653"/>
    <w:rsid w:val="00542CF0"/>
    <w:rsid w:val="00542FD2"/>
    <w:rsid w:val="00543162"/>
    <w:rsid w:val="005439B9"/>
    <w:rsid w:val="005439BD"/>
    <w:rsid w:val="00543A48"/>
    <w:rsid w:val="00543A4E"/>
    <w:rsid w:val="00543D8A"/>
    <w:rsid w:val="00543EF0"/>
    <w:rsid w:val="00543F41"/>
    <w:rsid w:val="005440BD"/>
    <w:rsid w:val="0054452C"/>
    <w:rsid w:val="00544729"/>
    <w:rsid w:val="00544A6E"/>
    <w:rsid w:val="00544ED1"/>
    <w:rsid w:val="0054509C"/>
    <w:rsid w:val="00545479"/>
    <w:rsid w:val="00545642"/>
    <w:rsid w:val="0054574A"/>
    <w:rsid w:val="00545867"/>
    <w:rsid w:val="00545D32"/>
    <w:rsid w:val="005461EE"/>
    <w:rsid w:val="00546447"/>
    <w:rsid w:val="0054660F"/>
    <w:rsid w:val="005467B3"/>
    <w:rsid w:val="00546A24"/>
    <w:rsid w:val="00546B30"/>
    <w:rsid w:val="00546E4E"/>
    <w:rsid w:val="00546E65"/>
    <w:rsid w:val="00546F1C"/>
    <w:rsid w:val="00547016"/>
    <w:rsid w:val="00547121"/>
    <w:rsid w:val="0054753A"/>
    <w:rsid w:val="0054789D"/>
    <w:rsid w:val="00547C8D"/>
    <w:rsid w:val="00547CA6"/>
    <w:rsid w:val="00547D60"/>
    <w:rsid w:val="00547E9B"/>
    <w:rsid w:val="005500A6"/>
    <w:rsid w:val="0055022C"/>
    <w:rsid w:val="005504D8"/>
    <w:rsid w:val="0055073B"/>
    <w:rsid w:val="00550F23"/>
    <w:rsid w:val="0055112A"/>
    <w:rsid w:val="005512AB"/>
    <w:rsid w:val="00551A90"/>
    <w:rsid w:val="00551E6D"/>
    <w:rsid w:val="005522BB"/>
    <w:rsid w:val="0055233C"/>
    <w:rsid w:val="00553077"/>
    <w:rsid w:val="00553188"/>
    <w:rsid w:val="005532C3"/>
    <w:rsid w:val="005533A7"/>
    <w:rsid w:val="00553463"/>
    <w:rsid w:val="005534F4"/>
    <w:rsid w:val="0055369B"/>
    <w:rsid w:val="00553734"/>
    <w:rsid w:val="00553D00"/>
    <w:rsid w:val="00553F09"/>
    <w:rsid w:val="005545F3"/>
    <w:rsid w:val="00554672"/>
    <w:rsid w:val="005546EE"/>
    <w:rsid w:val="00554D3C"/>
    <w:rsid w:val="00555692"/>
    <w:rsid w:val="00555D51"/>
    <w:rsid w:val="00555D59"/>
    <w:rsid w:val="00555E16"/>
    <w:rsid w:val="00556070"/>
    <w:rsid w:val="005561F7"/>
    <w:rsid w:val="00556290"/>
    <w:rsid w:val="0055630D"/>
    <w:rsid w:val="00556387"/>
    <w:rsid w:val="005565A8"/>
    <w:rsid w:val="0055664C"/>
    <w:rsid w:val="005568C3"/>
    <w:rsid w:val="00556A58"/>
    <w:rsid w:val="00556C18"/>
    <w:rsid w:val="00556FFB"/>
    <w:rsid w:val="00556FFC"/>
    <w:rsid w:val="005574CF"/>
    <w:rsid w:val="0055759D"/>
    <w:rsid w:val="005579D1"/>
    <w:rsid w:val="00557B8E"/>
    <w:rsid w:val="0056028E"/>
    <w:rsid w:val="00560472"/>
    <w:rsid w:val="0056063B"/>
    <w:rsid w:val="005607D4"/>
    <w:rsid w:val="00560BF1"/>
    <w:rsid w:val="00560D1C"/>
    <w:rsid w:val="00560E48"/>
    <w:rsid w:val="0056101C"/>
    <w:rsid w:val="005614EA"/>
    <w:rsid w:val="005616F2"/>
    <w:rsid w:val="00561A2C"/>
    <w:rsid w:val="00561B5D"/>
    <w:rsid w:val="00561E91"/>
    <w:rsid w:val="00562275"/>
    <w:rsid w:val="005628B8"/>
    <w:rsid w:val="00562AF1"/>
    <w:rsid w:val="00562EB1"/>
    <w:rsid w:val="00562EF3"/>
    <w:rsid w:val="00562F5B"/>
    <w:rsid w:val="00563031"/>
    <w:rsid w:val="00563298"/>
    <w:rsid w:val="005633DB"/>
    <w:rsid w:val="005636C9"/>
    <w:rsid w:val="00563A96"/>
    <w:rsid w:val="00563C24"/>
    <w:rsid w:val="00563DA0"/>
    <w:rsid w:val="00563DCA"/>
    <w:rsid w:val="00563F77"/>
    <w:rsid w:val="005641F3"/>
    <w:rsid w:val="005644BD"/>
    <w:rsid w:val="005647B5"/>
    <w:rsid w:val="00564D55"/>
    <w:rsid w:val="00564F08"/>
    <w:rsid w:val="00565001"/>
    <w:rsid w:val="005652D7"/>
    <w:rsid w:val="00565445"/>
    <w:rsid w:val="005654B7"/>
    <w:rsid w:val="00565931"/>
    <w:rsid w:val="005659F3"/>
    <w:rsid w:val="00565A6C"/>
    <w:rsid w:val="00565BB8"/>
    <w:rsid w:val="00566318"/>
    <w:rsid w:val="005663AD"/>
    <w:rsid w:val="005667CD"/>
    <w:rsid w:val="00566F5D"/>
    <w:rsid w:val="00567068"/>
    <w:rsid w:val="0056733E"/>
    <w:rsid w:val="005673CD"/>
    <w:rsid w:val="005676FE"/>
    <w:rsid w:val="00567908"/>
    <w:rsid w:val="00567BE8"/>
    <w:rsid w:val="00570018"/>
    <w:rsid w:val="00570485"/>
    <w:rsid w:val="00571656"/>
    <w:rsid w:val="005718DF"/>
    <w:rsid w:val="00571A31"/>
    <w:rsid w:val="00571B70"/>
    <w:rsid w:val="00571BFF"/>
    <w:rsid w:val="00571C35"/>
    <w:rsid w:val="00571EF6"/>
    <w:rsid w:val="005722F9"/>
    <w:rsid w:val="0057275A"/>
    <w:rsid w:val="00572DDD"/>
    <w:rsid w:val="005730B3"/>
    <w:rsid w:val="005731E0"/>
    <w:rsid w:val="005734F6"/>
    <w:rsid w:val="00573796"/>
    <w:rsid w:val="0057394B"/>
    <w:rsid w:val="00573ABC"/>
    <w:rsid w:val="00574629"/>
    <w:rsid w:val="00574702"/>
    <w:rsid w:val="0057493D"/>
    <w:rsid w:val="00574EE7"/>
    <w:rsid w:val="005750FB"/>
    <w:rsid w:val="005753F8"/>
    <w:rsid w:val="00575482"/>
    <w:rsid w:val="005758A3"/>
    <w:rsid w:val="00575E7C"/>
    <w:rsid w:val="0057602F"/>
    <w:rsid w:val="0057626F"/>
    <w:rsid w:val="00576491"/>
    <w:rsid w:val="00576589"/>
    <w:rsid w:val="0057658D"/>
    <w:rsid w:val="00576B57"/>
    <w:rsid w:val="00576EAA"/>
    <w:rsid w:val="00576F08"/>
    <w:rsid w:val="005770C1"/>
    <w:rsid w:val="00577335"/>
    <w:rsid w:val="00577472"/>
    <w:rsid w:val="0057762F"/>
    <w:rsid w:val="00577925"/>
    <w:rsid w:val="00577ACC"/>
    <w:rsid w:val="00577EFD"/>
    <w:rsid w:val="00577FD3"/>
    <w:rsid w:val="005802F0"/>
    <w:rsid w:val="005803E4"/>
    <w:rsid w:val="005803F9"/>
    <w:rsid w:val="0058097C"/>
    <w:rsid w:val="00580A37"/>
    <w:rsid w:val="00580A7A"/>
    <w:rsid w:val="00580C6A"/>
    <w:rsid w:val="00580FDB"/>
    <w:rsid w:val="00581046"/>
    <w:rsid w:val="005810F9"/>
    <w:rsid w:val="005811D9"/>
    <w:rsid w:val="00581329"/>
    <w:rsid w:val="005813CD"/>
    <w:rsid w:val="0058142B"/>
    <w:rsid w:val="00581474"/>
    <w:rsid w:val="005814F2"/>
    <w:rsid w:val="005818E8"/>
    <w:rsid w:val="00581931"/>
    <w:rsid w:val="005819B6"/>
    <w:rsid w:val="00581A05"/>
    <w:rsid w:val="00581B01"/>
    <w:rsid w:val="00581B7B"/>
    <w:rsid w:val="00581B95"/>
    <w:rsid w:val="00581ECD"/>
    <w:rsid w:val="0058227D"/>
    <w:rsid w:val="00582A11"/>
    <w:rsid w:val="00582BC9"/>
    <w:rsid w:val="00582D2F"/>
    <w:rsid w:val="00583233"/>
    <w:rsid w:val="0058326E"/>
    <w:rsid w:val="005832AF"/>
    <w:rsid w:val="0058366D"/>
    <w:rsid w:val="00583C8A"/>
    <w:rsid w:val="00583D9D"/>
    <w:rsid w:val="005849B4"/>
    <w:rsid w:val="00584A78"/>
    <w:rsid w:val="00584ADE"/>
    <w:rsid w:val="00585113"/>
    <w:rsid w:val="00585117"/>
    <w:rsid w:val="00585792"/>
    <w:rsid w:val="00585ABB"/>
    <w:rsid w:val="00585FAD"/>
    <w:rsid w:val="00585FE0"/>
    <w:rsid w:val="00586298"/>
    <w:rsid w:val="00586625"/>
    <w:rsid w:val="00586B28"/>
    <w:rsid w:val="00586D05"/>
    <w:rsid w:val="00586D69"/>
    <w:rsid w:val="00587063"/>
    <w:rsid w:val="005871D5"/>
    <w:rsid w:val="005872D8"/>
    <w:rsid w:val="005873BF"/>
    <w:rsid w:val="00587428"/>
    <w:rsid w:val="0058797D"/>
    <w:rsid w:val="00587A1B"/>
    <w:rsid w:val="005900D1"/>
    <w:rsid w:val="00590432"/>
    <w:rsid w:val="00590563"/>
    <w:rsid w:val="00590638"/>
    <w:rsid w:val="00590A45"/>
    <w:rsid w:val="00590B16"/>
    <w:rsid w:val="00590B27"/>
    <w:rsid w:val="00590D33"/>
    <w:rsid w:val="00591617"/>
    <w:rsid w:val="005917CC"/>
    <w:rsid w:val="005917DD"/>
    <w:rsid w:val="005917F9"/>
    <w:rsid w:val="00591881"/>
    <w:rsid w:val="00591A9C"/>
    <w:rsid w:val="0059227C"/>
    <w:rsid w:val="0059238B"/>
    <w:rsid w:val="005926D5"/>
    <w:rsid w:val="00592D28"/>
    <w:rsid w:val="00592E4B"/>
    <w:rsid w:val="00592FA5"/>
    <w:rsid w:val="00593292"/>
    <w:rsid w:val="00593387"/>
    <w:rsid w:val="005933DB"/>
    <w:rsid w:val="00593ABB"/>
    <w:rsid w:val="00593E5C"/>
    <w:rsid w:val="00594A37"/>
    <w:rsid w:val="00594BBC"/>
    <w:rsid w:val="00594BF7"/>
    <w:rsid w:val="00594C43"/>
    <w:rsid w:val="00594D08"/>
    <w:rsid w:val="00594DD5"/>
    <w:rsid w:val="00594E02"/>
    <w:rsid w:val="00595111"/>
    <w:rsid w:val="00595524"/>
    <w:rsid w:val="00595962"/>
    <w:rsid w:val="005959D4"/>
    <w:rsid w:val="00595E17"/>
    <w:rsid w:val="00596147"/>
    <w:rsid w:val="0059616A"/>
    <w:rsid w:val="0059654C"/>
    <w:rsid w:val="00596C25"/>
    <w:rsid w:val="00596D1F"/>
    <w:rsid w:val="00596D38"/>
    <w:rsid w:val="00596FFD"/>
    <w:rsid w:val="00597339"/>
    <w:rsid w:val="0059737E"/>
    <w:rsid w:val="005974F2"/>
    <w:rsid w:val="00597770"/>
    <w:rsid w:val="00597966"/>
    <w:rsid w:val="005979CA"/>
    <w:rsid w:val="00597C0F"/>
    <w:rsid w:val="00597C59"/>
    <w:rsid w:val="005A0317"/>
    <w:rsid w:val="005A093E"/>
    <w:rsid w:val="005A0EED"/>
    <w:rsid w:val="005A15FA"/>
    <w:rsid w:val="005A16C4"/>
    <w:rsid w:val="005A175B"/>
    <w:rsid w:val="005A1A4F"/>
    <w:rsid w:val="005A1AA1"/>
    <w:rsid w:val="005A1B45"/>
    <w:rsid w:val="005A1E89"/>
    <w:rsid w:val="005A1EE6"/>
    <w:rsid w:val="005A219E"/>
    <w:rsid w:val="005A22A5"/>
    <w:rsid w:val="005A22BC"/>
    <w:rsid w:val="005A269E"/>
    <w:rsid w:val="005A273F"/>
    <w:rsid w:val="005A2820"/>
    <w:rsid w:val="005A2B47"/>
    <w:rsid w:val="005A2B62"/>
    <w:rsid w:val="005A2C36"/>
    <w:rsid w:val="005A2D80"/>
    <w:rsid w:val="005A2EBC"/>
    <w:rsid w:val="005A3024"/>
    <w:rsid w:val="005A306A"/>
    <w:rsid w:val="005A3177"/>
    <w:rsid w:val="005A36F7"/>
    <w:rsid w:val="005A3773"/>
    <w:rsid w:val="005A3BBA"/>
    <w:rsid w:val="005A3F39"/>
    <w:rsid w:val="005A4219"/>
    <w:rsid w:val="005A4465"/>
    <w:rsid w:val="005A4735"/>
    <w:rsid w:val="005A4822"/>
    <w:rsid w:val="005A4932"/>
    <w:rsid w:val="005A4DFB"/>
    <w:rsid w:val="005A4EA1"/>
    <w:rsid w:val="005A51FB"/>
    <w:rsid w:val="005A547E"/>
    <w:rsid w:val="005A5561"/>
    <w:rsid w:val="005A594E"/>
    <w:rsid w:val="005A598D"/>
    <w:rsid w:val="005A5BD3"/>
    <w:rsid w:val="005A6AE8"/>
    <w:rsid w:val="005A6B1D"/>
    <w:rsid w:val="005A7168"/>
    <w:rsid w:val="005A73CC"/>
    <w:rsid w:val="005A74A1"/>
    <w:rsid w:val="005A75C9"/>
    <w:rsid w:val="005A7C10"/>
    <w:rsid w:val="005B01CF"/>
    <w:rsid w:val="005B0571"/>
    <w:rsid w:val="005B1024"/>
    <w:rsid w:val="005B1189"/>
    <w:rsid w:val="005B13AE"/>
    <w:rsid w:val="005B1490"/>
    <w:rsid w:val="005B14E5"/>
    <w:rsid w:val="005B1653"/>
    <w:rsid w:val="005B187D"/>
    <w:rsid w:val="005B1D20"/>
    <w:rsid w:val="005B22AA"/>
    <w:rsid w:val="005B2417"/>
    <w:rsid w:val="005B263D"/>
    <w:rsid w:val="005B274D"/>
    <w:rsid w:val="005B27E8"/>
    <w:rsid w:val="005B2A00"/>
    <w:rsid w:val="005B2A5B"/>
    <w:rsid w:val="005B2D4C"/>
    <w:rsid w:val="005B3028"/>
    <w:rsid w:val="005B3125"/>
    <w:rsid w:val="005B3384"/>
    <w:rsid w:val="005B3537"/>
    <w:rsid w:val="005B36F4"/>
    <w:rsid w:val="005B378A"/>
    <w:rsid w:val="005B399D"/>
    <w:rsid w:val="005B3B09"/>
    <w:rsid w:val="005B3BAB"/>
    <w:rsid w:val="005B3C04"/>
    <w:rsid w:val="005B3DB7"/>
    <w:rsid w:val="005B3F19"/>
    <w:rsid w:val="005B41A6"/>
    <w:rsid w:val="005B4436"/>
    <w:rsid w:val="005B4681"/>
    <w:rsid w:val="005B4A0D"/>
    <w:rsid w:val="005B4CF9"/>
    <w:rsid w:val="005B4E6B"/>
    <w:rsid w:val="005B5136"/>
    <w:rsid w:val="005B5770"/>
    <w:rsid w:val="005B5812"/>
    <w:rsid w:val="005B5A51"/>
    <w:rsid w:val="005B5C46"/>
    <w:rsid w:val="005B5E3F"/>
    <w:rsid w:val="005B600D"/>
    <w:rsid w:val="005B6099"/>
    <w:rsid w:val="005B612E"/>
    <w:rsid w:val="005B637A"/>
    <w:rsid w:val="005B6A56"/>
    <w:rsid w:val="005B6A97"/>
    <w:rsid w:val="005B6F18"/>
    <w:rsid w:val="005B6F42"/>
    <w:rsid w:val="005B720D"/>
    <w:rsid w:val="005B725A"/>
    <w:rsid w:val="005B75CC"/>
    <w:rsid w:val="005B7CC3"/>
    <w:rsid w:val="005B7FB0"/>
    <w:rsid w:val="005C01A5"/>
    <w:rsid w:val="005C07FE"/>
    <w:rsid w:val="005C0E9C"/>
    <w:rsid w:val="005C0FE7"/>
    <w:rsid w:val="005C1009"/>
    <w:rsid w:val="005C159C"/>
    <w:rsid w:val="005C19FE"/>
    <w:rsid w:val="005C1B0F"/>
    <w:rsid w:val="005C1B1E"/>
    <w:rsid w:val="005C1BA3"/>
    <w:rsid w:val="005C1C6A"/>
    <w:rsid w:val="005C1DA7"/>
    <w:rsid w:val="005C22E3"/>
    <w:rsid w:val="005C253A"/>
    <w:rsid w:val="005C254E"/>
    <w:rsid w:val="005C256C"/>
    <w:rsid w:val="005C29EC"/>
    <w:rsid w:val="005C3188"/>
    <w:rsid w:val="005C353D"/>
    <w:rsid w:val="005C36DF"/>
    <w:rsid w:val="005C3705"/>
    <w:rsid w:val="005C38C8"/>
    <w:rsid w:val="005C3A81"/>
    <w:rsid w:val="005C3F28"/>
    <w:rsid w:val="005C42A0"/>
    <w:rsid w:val="005C42B8"/>
    <w:rsid w:val="005C4747"/>
    <w:rsid w:val="005C4D8F"/>
    <w:rsid w:val="005C4E5D"/>
    <w:rsid w:val="005C4EB2"/>
    <w:rsid w:val="005C50A8"/>
    <w:rsid w:val="005C5521"/>
    <w:rsid w:val="005C56F3"/>
    <w:rsid w:val="005C5955"/>
    <w:rsid w:val="005C5978"/>
    <w:rsid w:val="005C5A8B"/>
    <w:rsid w:val="005C5DDD"/>
    <w:rsid w:val="005C6237"/>
    <w:rsid w:val="005C6487"/>
    <w:rsid w:val="005C64BF"/>
    <w:rsid w:val="005C669A"/>
    <w:rsid w:val="005C68D1"/>
    <w:rsid w:val="005C6953"/>
    <w:rsid w:val="005C6D07"/>
    <w:rsid w:val="005C6D23"/>
    <w:rsid w:val="005C7069"/>
    <w:rsid w:val="005C70F1"/>
    <w:rsid w:val="005C71E6"/>
    <w:rsid w:val="005C745B"/>
    <w:rsid w:val="005C7BB8"/>
    <w:rsid w:val="005D0145"/>
    <w:rsid w:val="005D02BD"/>
    <w:rsid w:val="005D0ECC"/>
    <w:rsid w:val="005D1115"/>
    <w:rsid w:val="005D188C"/>
    <w:rsid w:val="005D1FEB"/>
    <w:rsid w:val="005D2468"/>
    <w:rsid w:val="005D2575"/>
    <w:rsid w:val="005D27E0"/>
    <w:rsid w:val="005D2812"/>
    <w:rsid w:val="005D29E9"/>
    <w:rsid w:val="005D2C80"/>
    <w:rsid w:val="005D2F24"/>
    <w:rsid w:val="005D3162"/>
    <w:rsid w:val="005D3218"/>
    <w:rsid w:val="005D3324"/>
    <w:rsid w:val="005D35F1"/>
    <w:rsid w:val="005D4130"/>
    <w:rsid w:val="005D420B"/>
    <w:rsid w:val="005D423B"/>
    <w:rsid w:val="005D4356"/>
    <w:rsid w:val="005D4A29"/>
    <w:rsid w:val="005D4D54"/>
    <w:rsid w:val="005D4D8E"/>
    <w:rsid w:val="005D597C"/>
    <w:rsid w:val="005D5A22"/>
    <w:rsid w:val="005D5BCA"/>
    <w:rsid w:val="005D5C31"/>
    <w:rsid w:val="005D5D08"/>
    <w:rsid w:val="005D616D"/>
    <w:rsid w:val="005D6242"/>
    <w:rsid w:val="005D62F6"/>
    <w:rsid w:val="005D660E"/>
    <w:rsid w:val="005D67A3"/>
    <w:rsid w:val="005D694F"/>
    <w:rsid w:val="005D706E"/>
    <w:rsid w:val="005D7A8A"/>
    <w:rsid w:val="005D7CA9"/>
    <w:rsid w:val="005D7DCD"/>
    <w:rsid w:val="005E00EA"/>
    <w:rsid w:val="005E086D"/>
    <w:rsid w:val="005E097E"/>
    <w:rsid w:val="005E0A25"/>
    <w:rsid w:val="005E0A26"/>
    <w:rsid w:val="005E0E8C"/>
    <w:rsid w:val="005E1659"/>
    <w:rsid w:val="005E16D8"/>
    <w:rsid w:val="005E1742"/>
    <w:rsid w:val="005E18CA"/>
    <w:rsid w:val="005E197B"/>
    <w:rsid w:val="005E1CEF"/>
    <w:rsid w:val="005E26F4"/>
    <w:rsid w:val="005E2B09"/>
    <w:rsid w:val="005E335A"/>
    <w:rsid w:val="005E3633"/>
    <w:rsid w:val="005E393E"/>
    <w:rsid w:val="005E3DF8"/>
    <w:rsid w:val="005E4419"/>
    <w:rsid w:val="005E45BD"/>
    <w:rsid w:val="005E461E"/>
    <w:rsid w:val="005E496D"/>
    <w:rsid w:val="005E4B5D"/>
    <w:rsid w:val="005E523D"/>
    <w:rsid w:val="005E5A50"/>
    <w:rsid w:val="005E5D71"/>
    <w:rsid w:val="005E5E0A"/>
    <w:rsid w:val="005E5E7C"/>
    <w:rsid w:val="005E6106"/>
    <w:rsid w:val="005E6167"/>
    <w:rsid w:val="005E623C"/>
    <w:rsid w:val="005E6DE7"/>
    <w:rsid w:val="005E70C4"/>
    <w:rsid w:val="005E7461"/>
    <w:rsid w:val="005E79D7"/>
    <w:rsid w:val="005E7A31"/>
    <w:rsid w:val="005E7ACF"/>
    <w:rsid w:val="005E7BB7"/>
    <w:rsid w:val="005E7C8F"/>
    <w:rsid w:val="005E7D52"/>
    <w:rsid w:val="005E7EAB"/>
    <w:rsid w:val="005E7F72"/>
    <w:rsid w:val="005E7FE3"/>
    <w:rsid w:val="005F006B"/>
    <w:rsid w:val="005F036E"/>
    <w:rsid w:val="005F0598"/>
    <w:rsid w:val="005F05E5"/>
    <w:rsid w:val="005F0649"/>
    <w:rsid w:val="005F08D6"/>
    <w:rsid w:val="005F0CB0"/>
    <w:rsid w:val="005F0D60"/>
    <w:rsid w:val="005F0F7A"/>
    <w:rsid w:val="005F12B0"/>
    <w:rsid w:val="005F135E"/>
    <w:rsid w:val="005F1619"/>
    <w:rsid w:val="005F1C8A"/>
    <w:rsid w:val="005F2275"/>
    <w:rsid w:val="005F250D"/>
    <w:rsid w:val="005F264E"/>
    <w:rsid w:val="005F2676"/>
    <w:rsid w:val="005F28DB"/>
    <w:rsid w:val="005F29F9"/>
    <w:rsid w:val="005F2B9B"/>
    <w:rsid w:val="005F2CBF"/>
    <w:rsid w:val="005F2E49"/>
    <w:rsid w:val="005F2F48"/>
    <w:rsid w:val="005F31A1"/>
    <w:rsid w:val="005F31D0"/>
    <w:rsid w:val="005F3442"/>
    <w:rsid w:val="005F388D"/>
    <w:rsid w:val="005F39EC"/>
    <w:rsid w:val="005F3A1C"/>
    <w:rsid w:val="005F4033"/>
    <w:rsid w:val="005F4AAF"/>
    <w:rsid w:val="005F4EEA"/>
    <w:rsid w:val="005F5161"/>
    <w:rsid w:val="005F539C"/>
    <w:rsid w:val="005F57C9"/>
    <w:rsid w:val="005F6217"/>
    <w:rsid w:val="005F6B95"/>
    <w:rsid w:val="005F6D57"/>
    <w:rsid w:val="005F71C2"/>
    <w:rsid w:val="005F73E6"/>
    <w:rsid w:val="005F7726"/>
    <w:rsid w:val="005F7993"/>
    <w:rsid w:val="005F7CAD"/>
    <w:rsid w:val="005F7E21"/>
    <w:rsid w:val="00600155"/>
    <w:rsid w:val="0060052A"/>
    <w:rsid w:val="00600824"/>
    <w:rsid w:val="00600C1C"/>
    <w:rsid w:val="00600D62"/>
    <w:rsid w:val="00600F1F"/>
    <w:rsid w:val="00600FE2"/>
    <w:rsid w:val="0060114D"/>
    <w:rsid w:val="006012A6"/>
    <w:rsid w:val="0060193F"/>
    <w:rsid w:val="00601AB4"/>
    <w:rsid w:val="00601AD3"/>
    <w:rsid w:val="00601D69"/>
    <w:rsid w:val="00602404"/>
    <w:rsid w:val="006026F5"/>
    <w:rsid w:val="006028BB"/>
    <w:rsid w:val="00602958"/>
    <w:rsid w:val="00602E36"/>
    <w:rsid w:val="00602FF0"/>
    <w:rsid w:val="006030B8"/>
    <w:rsid w:val="00603304"/>
    <w:rsid w:val="00603389"/>
    <w:rsid w:val="006037D8"/>
    <w:rsid w:val="006039D0"/>
    <w:rsid w:val="00603B34"/>
    <w:rsid w:val="00604014"/>
    <w:rsid w:val="0060407A"/>
    <w:rsid w:val="00604634"/>
    <w:rsid w:val="00604AE4"/>
    <w:rsid w:val="00604C75"/>
    <w:rsid w:val="00605009"/>
    <w:rsid w:val="006050E9"/>
    <w:rsid w:val="006051D5"/>
    <w:rsid w:val="00605285"/>
    <w:rsid w:val="0060539E"/>
    <w:rsid w:val="00605467"/>
    <w:rsid w:val="00605693"/>
    <w:rsid w:val="00605725"/>
    <w:rsid w:val="006057BC"/>
    <w:rsid w:val="0060583A"/>
    <w:rsid w:val="00605A33"/>
    <w:rsid w:val="00605CAA"/>
    <w:rsid w:val="00605FD3"/>
    <w:rsid w:val="006060A1"/>
    <w:rsid w:val="006060D6"/>
    <w:rsid w:val="00606A43"/>
    <w:rsid w:val="00606F9A"/>
    <w:rsid w:val="0060734B"/>
    <w:rsid w:val="00607473"/>
    <w:rsid w:val="0060778F"/>
    <w:rsid w:val="006095D7"/>
    <w:rsid w:val="00610303"/>
    <w:rsid w:val="0061035E"/>
    <w:rsid w:val="00610475"/>
    <w:rsid w:val="00610FE6"/>
    <w:rsid w:val="0061149D"/>
    <w:rsid w:val="00611AAB"/>
    <w:rsid w:val="00611BEA"/>
    <w:rsid w:val="00611C3E"/>
    <w:rsid w:val="00611DEB"/>
    <w:rsid w:val="00611DFA"/>
    <w:rsid w:val="0061210C"/>
    <w:rsid w:val="00612392"/>
    <w:rsid w:val="00612466"/>
    <w:rsid w:val="006125BC"/>
    <w:rsid w:val="0061287E"/>
    <w:rsid w:val="00612A11"/>
    <w:rsid w:val="00612BCE"/>
    <w:rsid w:val="00612C5F"/>
    <w:rsid w:val="00612F2C"/>
    <w:rsid w:val="00613035"/>
    <w:rsid w:val="006131EA"/>
    <w:rsid w:val="0061334E"/>
    <w:rsid w:val="0061340D"/>
    <w:rsid w:val="00613567"/>
    <w:rsid w:val="006137D2"/>
    <w:rsid w:val="00613918"/>
    <w:rsid w:val="00613928"/>
    <w:rsid w:val="00613E35"/>
    <w:rsid w:val="006141F4"/>
    <w:rsid w:val="006147A2"/>
    <w:rsid w:val="006147D8"/>
    <w:rsid w:val="0061482A"/>
    <w:rsid w:val="00614A37"/>
    <w:rsid w:val="00614C81"/>
    <w:rsid w:val="00615055"/>
    <w:rsid w:val="0061546B"/>
    <w:rsid w:val="00615470"/>
    <w:rsid w:val="006157A6"/>
    <w:rsid w:val="00615847"/>
    <w:rsid w:val="00615DC6"/>
    <w:rsid w:val="0061623A"/>
    <w:rsid w:val="0061651C"/>
    <w:rsid w:val="00616D12"/>
    <w:rsid w:val="00616E16"/>
    <w:rsid w:val="00617228"/>
    <w:rsid w:val="00617452"/>
    <w:rsid w:val="006179BD"/>
    <w:rsid w:val="00617B06"/>
    <w:rsid w:val="00617E15"/>
    <w:rsid w:val="006200FB"/>
    <w:rsid w:val="006201E6"/>
    <w:rsid w:val="00620206"/>
    <w:rsid w:val="006206B0"/>
    <w:rsid w:val="00620C7F"/>
    <w:rsid w:val="00620D41"/>
    <w:rsid w:val="00620E5C"/>
    <w:rsid w:val="00620E74"/>
    <w:rsid w:val="00621110"/>
    <w:rsid w:val="006211AB"/>
    <w:rsid w:val="00621383"/>
    <w:rsid w:val="00621455"/>
    <w:rsid w:val="00621620"/>
    <w:rsid w:val="0062171A"/>
    <w:rsid w:val="006220FC"/>
    <w:rsid w:val="00622163"/>
    <w:rsid w:val="006221B7"/>
    <w:rsid w:val="006224B6"/>
    <w:rsid w:val="00622724"/>
    <w:rsid w:val="006227A5"/>
    <w:rsid w:val="00622980"/>
    <w:rsid w:val="00622C2C"/>
    <w:rsid w:val="00622D25"/>
    <w:rsid w:val="00622D98"/>
    <w:rsid w:val="006230B6"/>
    <w:rsid w:val="00623127"/>
    <w:rsid w:val="0062321A"/>
    <w:rsid w:val="006232DC"/>
    <w:rsid w:val="0062334A"/>
    <w:rsid w:val="006233F6"/>
    <w:rsid w:val="00623532"/>
    <w:rsid w:val="00623602"/>
    <w:rsid w:val="00623C77"/>
    <w:rsid w:val="00623D11"/>
    <w:rsid w:val="00623E5E"/>
    <w:rsid w:val="00623FDA"/>
    <w:rsid w:val="0062472F"/>
    <w:rsid w:val="00624991"/>
    <w:rsid w:val="00624A73"/>
    <w:rsid w:val="00624AB8"/>
    <w:rsid w:val="00624B1F"/>
    <w:rsid w:val="00624D39"/>
    <w:rsid w:val="00624D47"/>
    <w:rsid w:val="00624E38"/>
    <w:rsid w:val="00624EE7"/>
    <w:rsid w:val="00624F13"/>
    <w:rsid w:val="00624F8A"/>
    <w:rsid w:val="00624FC7"/>
    <w:rsid w:val="00624FF2"/>
    <w:rsid w:val="00625205"/>
    <w:rsid w:val="006254B6"/>
    <w:rsid w:val="00625510"/>
    <w:rsid w:val="00625741"/>
    <w:rsid w:val="0062574F"/>
    <w:rsid w:val="00625753"/>
    <w:rsid w:val="00625790"/>
    <w:rsid w:val="006259AC"/>
    <w:rsid w:val="00625A86"/>
    <w:rsid w:val="00625E8E"/>
    <w:rsid w:val="006260A2"/>
    <w:rsid w:val="00626379"/>
    <w:rsid w:val="0062638E"/>
    <w:rsid w:val="0062669A"/>
    <w:rsid w:val="006267A5"/>
    <w:rsid w:val="00626A2D"/>
    <w:rsid w:val="00626A62"/>
    <w:rsid w:val="00626DF9"/>
    <w:rsid w:val="00626E3A"/>
    <w:rsid w:val="00626F62"/>
    <w:rsid w:val="0062767D"/>
    <w:rsid w:val="006278E5"/>
    <w:rsid w:val="00627987"/>
    <w:rsid w:val="00627BA3"/>
    <w:rsid w:val="00630060"/>
    <w:rsid w:val="00630096"/>
    <w:rsid w:val="00630377"/>
    <w:rsid w:val="00630429"/>
    <w:rsid w:val="00630737"/>
    <w:rsid w:val="0063094F"/>
    <w:rsid w:val="00630A27"/>
    <w:rsid w:val="00630A66"/>
    <w:rsid w:val="00630AD0"/>
    <w:rsid w:val="00630E9C"/>
    <w:rsid w:val="00630EC9"/>
    <w:rsid w:val="00631170"/>
    <w:rsid w:val="006312BB"/>
    <w:rsid w:val="00631374"/>
    <w:rsid w:val="006314BC"/>
    <w:rsid w:val="006317AA"/>
    <w:rsid w:val="00631BF3"/>
    <w:rsid w:val="00631D3A"/>
    <w:rsid w:val="006322BB"/>
    <w:rsid w:val="00632325"/>
    <w:rsid w:val="00632E18"/>
    <w:rsid w:val="0063302F"/>
    <w:rsid w:val="006331D1"/>
    <w:rsid w:val="006338BB"/>
    <w:rsid w:val="00633920"/>
    <w:rsid w:val="00633B9A"/>
    <w:rsid w:val="00633C42"/>
    <w:rsid w:val="00633D80"/>
    <w:rsid w:val="00633E2F"/>
    <w:rsid w:val="0063410C"/>
    <w:rsid w:val="0063434F"/>
    <w:rsid w:val="00634878"/>
    <w:rsid w:val="006349C9"/>
    <w:rsid w:val="00634F23"/>
    <w:rsid w:val="00634F6B"/>
    <w:rsid w:val="006351BB"/>
    <w:rsid w:val="00635361"/>
    <w:rsid w:val="00635656"/>
    <w:rsid w:val="00635DD0"/>
    <w:rsid w:val="006361E6"/>
    <w:rsid w:val="00636290"/>
    <w:rsid w:val="006362F6"/>
    <w:rsid w:val="006367AB"/>
    <w:rsid w:val="00636B40"/>
    <w:rsid w:val="00636DCE"/>
    <w:rsid w:val="0063703D"/>
    <w:rsid w:val="0063737A"/>
    <w:rsid w:val="006374DD"/>
    <w:rsid w:val="0063754A"/>
    <w:rsid w:val="006377EA"/>
    <w:rsid w:val="00637C20"/>
    <w:rsid w:val="0064008C"/>
    <w:rsid w:val="0064067D"/>
    <w:rsid w:val="00640721"/>
    <w:rsid w:val="006407A4"/>
    <w:rsid w:val="0064097C"/>
    <w:rsid w:val="006409C8"/>
    <w:rsid w:val="00640B2A"/>
    <w:rsid w:val="00640C37"/>
    <w:rsid w:val="00640DD6"/>
    <w:rsid w:val="00640F56"/>
    <w:rsid w:val="00641221"/>
    <w:rsid w:val="00641304"/>
    <w:rsid w:val="00641816"/>
    <w:rsid w:val="00641E96"/>
    <w:rsid w:val="00641EE3"/>
    <w:rsid w:val="006421ED"/>
    <w:rsid w:val="0064270F"/>
    <w:rsid w:val="00642760"/>
    <w:rsid w:val="0064282B"/>
    <w:rsid w:val="00642C7F"/>
    <w:rsid w:val="00642ED3"/>
    <w:rsid w:val="00642FF5"/>
    <w:rsid w:val="0064307A"/>
    <w:rsid w:val="00643149"/>
    <w:rsid w:val="006431AF"/>
    <w:rsid w:val="0064324E"/>
    <w:rsid w:val="006432F8"/>
    <w:rsid w:val="0064338B"/>
    <w:rsid w:val="006435C5"/>
    <w:rsid w:val="00643636"/>
    <w:rsid w:val="006439E2"/>
    <w:rsid w:val="00644153"/>
    <w:rsid w:val="006441B3"/>
    <w:rsid w:val="006441C2"/>
    <w:rsid w:val="0064481C"/>
    <w:rsid w:val="00644821"/>
    <w:rsid w:val="00644899"/>
    <w:rsid w:val="00644ABC"/>
    <w:rsid w:val="006450F2"/>
    <w:rsid w:val="006452D4"/>
    <w:rsid w:val="006454B1"/>
    <w:rsid w:val="00645961"/>
    <w:rsid w:val="00645B04"/>
    <w:rsid w:val="00645C0A"/>
    <w:rsid w:val="0064636E"/>
    <w:rsid w:val="0064642D"/>
    <w:rsid w:val="0064658F"/>
    <w:rsid w:val="006467C3"/>
    <w:rsid w:val="00646AB3"/>
    <w:rsid w:val="00646B26"/>
    <w:rsid w:val="00646E22"/>
    <w:rsid w:val="006473B6"/>
    <w:rsid w:val="00647647"/>
    <w:rsid w:val="00647678"/>
    <w:rsid w:val="0064775D"/>
    <w:rsid w:val="006477B8"/>
    <w:rsid w:val="00647D90"/>
    <w:rsid w:val="006501F3"/>
    <w:rsid w:val="00650348"/>
    <w:rsid w:val="0065079B"/>
    <w:rsid w:val="00650EA6"/>
    <w:rsid w:val="00650EB2"/>
    <w:rsid w:val="006512FB"/>
    <w:rsid w:val="0065148D"/>
    <w:rsid w:val="006519DE"/>
    <w:rsid w:val="00651A3B"/>
    <w:rsid w:val="00651B0E"/>
    <w:rsid w:val="00651EF9"/>
    <w:rsid w:val="0065200E"/>
    <w:rsid w:val="006525D4"/>
    <w:rsid w:val="006528C1"/>
    <w:rsid w:val="00652991"/>
    <w:rsid w:val="00652B6A"/>
    <w:rsid w:val="00652EDC"/>
    <w:rsid w:val="006534AF"/>
    <w:rsid w:val="0065376D"/>
    <w:rsid w:val="0065376E"/>
    <w:rsid w:val="0065385E"/>
    <w:rsid w:val="00653D40"/>
    <w:rsid w:val="00654508"/>
    <w:rsid w:val="00654AB7"/>
    <w:rsid w:val="00654B5C"/>
    <w:rsid w:val="00654B74"/>
    <w:rsid w:val="00654BF0"/>
    <w:rsid w:val="006550CA"/>
    <w:rsid w:val="0065512A"/>
    <w:rsid w:val="00655421"/>
    <w:rsid w:val="006559B8"/>
    <w:rsid w:val="00655CC7"/>
    <w:rsid w:val="006560DA"/>
    <w:rsid w:val="006562D5"/>
    <w:rsid w:val="006562D7"/>
    <w:rsid w:val="00657049"/>
    <w:rsid w:val="00657317"/>
    <w:rsid w:val="00657AB9"/>
    <w:rsid w:val="006600A0"/>
    <w:rsid w:val="0066021C"/>
    <w:rsid w:val="00660279"/>
    <w:rsid w:val="006602B9"/>
    <w:rsid w:val="00660522"/>
    <w:rsid w:val="006605F0"/>
    <w:rsid w:val="00660765"/>
    <w:rsid w:val="00660D62"/>
    <w:rsid w:val="00660FF2"/>
    <w:rsid w:val="006615AE"/>
    <w:rsid w:val="00661772"/>
    <w:rsid w:val="00661AD8"/>
    <w:rsid w:val="00662296"/>
    <w:rsid w:val="00662C5E"/>
    <w:rsid w:val="00662CF2"/>
    <w:rsid w:val="006636E8"/>
    <w:rsid w:val="00663D0B"/>
    <w:rsid w:val="00664172"/>
    <w:rsid w:val="00664177"/>
    <w:rsid w:val="00664696"/>
    <w:rsid w:val="006649DF"/>
    <w:rsid w:val="00664D68"/>
    <w:rsid w:val="00664E49"/>
    <w:rsid w:val="00664EE6"/>
    <w:rsid w:val="00664F0B"/>
    <w:rsid w:val="00664FC4"/>
    <w:rsid w:val="006650FF"/>
    <w:rsid w:val="006652B5"/>
    <w:rsid w:val="006652C4"/>
    <w:rsid w:val="00665605"/>
    <w:rsid w:val="00665A08"/>
    <w:rsid w:val="00665A63"/>
    <w:rsid w:val="00665D27"/>
    <w:rsid w:val="0066602F"/>
    <w:rsid w:val="006661CD"/>
    <w:rsid w:val="006668D4"/>
    <w:rsid w:val="00666DBF"/>
    <w:rsid w:val="00667330"/>
    <w:rsid w:val="0066789C"/>
    <w:rsid w:val="006678FF"/>
    <w:rsid w:val="00667B81"/>
    <w:rsid w:val="00667DC0"/>
    <w:rsid w:val="00667F1E"/>
    <w:rsid w:val="00670392"/>
    <w:rsid w:val="006704C3"/>
    <w:rsid w:val="00670A40"/>
    <w:rsid w:val="00670B76"/>
    <w:rsid w:val="00670CEF"/>
    <w:rsid w:val="00670CF1"/>
    <w:rsid w:val="00670E87"/>
    <w:rsid w:val="00670FF0"/>
    <w:rsid w:val="00671132"/>
    <w:rsid w:val="0067121C"/>
    <w:rsid w:val="006717E9"/>
    <w:rsid w:val="00671884"/>
    <w:rsid w:val="00671A36"/>
    <w:rsid w:val="00671AF3"/>
    <w:rsid w:val="00671CB0"/>
    <w:rsid w:val="00671CD0"/>
    <w:rsid w:val="00671EC7"/>
    <w:rsid w:val="006720AA"/>
    <w:rsid w:val="00672453"/>
    <w:rsid w:val="006724B6"/>
    <w:rsid w:val="00672C59"/>
    <w:rsid w:val="00672FF4"/>
    <w:rsid w:val="0067333C"/>
    <w:rsid w:val="00673A11"/>
    <w:rsid w:val="00673B8D"/>
    <w:rsid w:val="00674281"/>
    <w:rsid w:val="006745AA"/>
    <w:rsid w:val="00674610"/>
    <w:rsid w:val="006747EC"/>
    <w:rsid w:val="00674865"/>
    <w:rsid w:val="00674927"/>
    <w:rsid w:val="00674938"/>
    <w:rsid w:val="00674DB2"/>
    <w:rsid w:val="00674FB1"/>
    <w:rsid w:val="00675116"/>
    <w:rsid w:val="00675206"/>
    <w:rsid w:val="0067549C"/>
    <w:rsid w:val="00675A01"/>
    <w:rsid w:val="00675FF4"/>
    <w:rsid w:val="00676832"/>
    <w:rsid w:val="00676B92"/>
    <w:rsid w:val="00676DF5"/>
    <w:rsid w:val="00677111"/>
    <w:rsid w:val="00677450"/>
    <w:rsid w:val="006777E8"/>
    <w:rsid w:val="00677BFE"/>
    <w:rsid w:val="00677DCB"/>
    <w:rsid w:val="006802B9"/>
    <w:rsid w:val="006802D3"/>
    <w:rsid w:val="006803A4"/>
    <w:rsid w:val="00680466"/>
    <w:rsid w:val="006804B0"/>
    <w:rsid w:val="0068053B"/>
    <w:rsid w:val="00680941"/>
    <w:rsid w:val="00680943"/>
    <w:rsid w:val="00680A6B"/>
    <w:rsid w:val="00680AF5"/>
    <w:rsid w:val="00680B23"/>
    <w:rsid w:val="00680DA7"/>
    <w:rsid w:val="00680DF7"/>
    <w:rsid w:val="00681335"/>
    <w:rsid w:val="00681DC2"/>
    <w:rsid w:val="00681E8D"/>
    <w:rsid w:val="0068207A"/>
    <w:rsid w:val="006826BB"/>
    <w:rsid w:val="00682D88"/>
    <w:rsid w:val="00682E16"/>
    <w:rsid w:val="00682E42"/>
    <w:rsid w:val="00682EDD"/>
    <w:rsid w:val="0068333C"/>
    <w:rsid w:val="00683700"/>
    <w:rsid w:val="00683776"/>
    <w:rsid w:val="006837B4"/>
    <w:rsid w:val="00683837"/>
    <w:rsid w:val="00683A3F"/>
    <w:rsid w:val="00683C9C"/>
    <w:rsid w:val="00683FFF"/>
    <w:rsid w:val="006844BF"/>
    <w:rsid w:val="006845EB"/>
    <w:rsid w:val="006849EA"/>
    <w:rsid w:val="00684A3E"/>
    <w:rsid w:val="00684C3D"/>
    <w:rsid w:val="00684DB3"/>
    <w:rsid w:val="00684E87"/>
    <w:rsid w:val="00685284"/>
    <w:rsid w:val="00685571"/>
    <w:rsid w:val="00685703"/>
    <w:rsid w:val="00685A47"/>
    <w:rsid w:val="00685A98"/>
    <w:rsid w:val="00685E6C"/>
    <w:rsid w:val="00685ED4"/>
    <w:rsid w:val="006860D9"/>
    <w:rsid w:val="006860E7"/>
    <w:rsid w:val="00686127"/>
    <w:rsid w:val="006865E5"/>
    <w:rsid w:val="00686734"/>
    <w:rsid w:val="0068692A"/>
    <w:rsid w:val="00686A2A"/>
    <w:rsid w:val="00686D0D"/>
    <w:rsid w:val="006870FE"/>
    <w:rsid w:val="00687118"/>
    <w:rsid w:val="006871EB"/>
    <w:rsid w:val="00687372"/>
    <w:rsid w:val="006875EE"/>
    <w:rsid w:val="0068766D"/>
    <w:rsid w:val="00687751"/>
    <w:rsid w:val="006877F6"/>
    <w:rsid w:val="00687F33"/>
    <w:rsid w:val="006904B4"/>
    <w:rsid w:val="0069066F"/>
    <w:rsid w:val="00690D35"/>
    <w:rsid w:val="00690F05"/>
    <w:rsid w:val="0069173C"/>
    <w:rsid w:val="00691BE6"/>
    <w:rsid w:val="00691F61"/>
    <w:rsid w:val="00692098"/>
    <w:rsid w:val="006926E8"/>
    <w:rsid w:val="00692713"/>
    <w:rsid w:val="006929F8"/>
    <w:rsid w:val="00692A5F"/>
    <w:rsid w:val="00692C64"/>
    <w:rsid w:val="0069356F"/>
    <w:rsid w:val="006936C6"/>
    <w:rsid w:val="00693F64"/>
    <w:rsid w:val="00694207"/>
    <w:rsid w:val="006943B8"/>
    <w:rsid w:val="006945BD"/>
    <w:rsid w:val="00694779"/>
    <w:rsid w:val="00694805"/>
    <w:rsid w:val="00694A31"/>
    <w:rsid w:val="00694FB9"/>
    <w:rsid w:val="006950DD"/>
    <w:rsid w:val="00695740"/>
    <w:rsid w:val="00695889"/>
    <w:rsid w:val="006958AC"/>
    <w:rsid w:val="006959A5"/>
    <w:rsid w:val="006959C5"/>
    <w:rsid w:val="00695B16"/>
    <w:rsid w:val="00695FCD"/>
    <w:rsid w:val="00695FE8"/>
    <w:rsid w:val="00695FF5"/>
    <w:rsid w:val="006962C5"/>
    <w:rsid w:val="006963F7"/>
    <w:rsid w:val="0069644C"/>
    <w:rsid w:val="006964AF"/>
    <w:rsid w:val="006964B5"/>
    <w:rsid w:val="006968B7"/>
    <w:rsid w:val="00696F57"/>
    <w:rsid w:val="00697162"/>
    <w:rsid w:val="00697843"/>
    <w:rsid w:val="006978F8"/>
    <w:rsid w:val="00697972"/>
    <w:rsid w:val="00697D51"/>
    <w:rsid w:val="00697F17"/>
    <w:rsid w:val="006A04CE"/>
    <w:rsid w:val="006A061B"/>
    <w:rsid w:val="006A0884"/>
    <w:rsid w:val="006A08F9"/>
    <w:rsid w:val="006A0C71"/>
    <w:rsid w:val="006A0E44"/>
    <w:rsid w:val="006A0F91"/>
    <w:rsid w:val="006A174F"/>
    <w:rsid w:val="006A179A"/>
    <w:rsid w:val="006A1B65"/>
    <w:rsid w:val="006A1D82"/>
    <w:rsid w:val="006A2105"/>
    <w:rsid w:val="006A25F9"/>
    <w:rsid w:val="006A29C4"/>
    <w:rsid w:val="006A30A1"/>
    <w:rsid w:val="006A3131"/>
    <w:rsid w:val="006A34CC"/>
    <w:rsid w:val="006A35A1"/>
    <w:rsid w:val="006A36D1"/>
    <w:rsid w:val="006A380F"/>
    <w:rsid w:val="006A3AE1"/>
    <w:rsid w:val="006A3B3C"/>
    <w:rsid w:val="006A3DAB"/>
    <w:rsid w:val="006A3FFB"/>
    <w:rsid w:val="006A4008"/>
    <w:rsid w:val="006A414F"/>
    <w:rsid w:val="006A417B"/>
    <w:rsid w:val="006A41EA"/>
    <w:rsid w:val="006A42A8"/>
    <w:rsid w:val="006A4397"/>
    <w:rsid w:val="006A4408"/>
    <w:rsid w:val="006A4C70"/>
    <w:rsid w:val="006A53EC"/>
    <w:rsid w:val="006A5574"/>
    <w:rsid w:val="006A5A47"/>
    <w:rsid w:val="006A6043"/>
    <w:rsid w:val="006A6374"/>
    <w:rsid w:val="006A6554"/>
    <w:rsid w:val="006A6581"/>
    <w:rsid w:val="006A6A34"/>
    <w:rsid w:val="006A6B72"/>
    <w:rsid w:val="006A6E53"/>
    <w:rsid w:val="006A6E5D"/>
    <w:rsid w:val="006A7288"/>
    <w:rsid w:val="006A7781"/>
    <w:rsid w:val="006A78BE"/>
    <w:rsid w:val="006A7902"/>
    <w:rsid w:val="006A7A46"/>
    <w:rsid w:val="006A7DB4"/>
    <w:rsid w:val="006A7F05"/>
    <w:rsid w:val="006B0030"/>
    <w:rsid w:val="006B00F2"/>
    <w:rsid w:val="006B01BA"/>
    <w:rsid w:val="006B0286"/>
    <w:rsid w:val="006B06A4"/>
    <w:rsid w:val="006B07CA"/>
    <w:rsid w:val="006B0852"/>
    <w:rsid w:val="006B0A68"/>
    <w:rsid w:val="006B0D73"/>
    <w:rsid w:val="006B1332"/>
    <w:rsid w:val="006B1374"/>
    <w:rsid w:val="006B1959"/>
    <w:rsid w:val="006B1EAA"/>
    <w:rsid w:val="006B2272"/>
    <w:rsid w:val="006B2286"/>
    <w:rsid w:val="006B23BA"/>
    <w:rsid w:val="006B23E1"/>
    <w:rsid w:val="006B2403"/>
    <w:rsid w:val="006B2476"/>
    <w:rsid w:val="006B299E"/>
    <w:rsid w:val="006B2C3F"/>
    <w:rsid w:val="006B320A"/>
    <w:rsid w:val="006B33BB"/>
    <w:rsid w:val="006B3455"/>
    <w:rsid w:val="006B35E9"/>
    <w:rsid w:val="006B36AD"/>
    <w:rsid w:val="006B38B7"/>
    <w:rsid w:val="006B3F07"/>
    <w:rsid w:val="006B3F11"/>
    <w:rsid w:val="006B40F9"/>
    <w:rsid w:val="006B416A"/>
    <w:rsid w:val="006B420D"/>
    <w:rsid w:val="006B437D"/>
    <w:rsid w:val="006B4429"/>
    <w:rsid w:val="006B47E0"/>
    <w:rsid w:val="006B4A5D"/>
    <w:rsid w:val="006B4E4F"/>
    <w:rsid w:val="006B4FBE"/>
    <w:rsid w:val="006B570E"/>
    <w:rsid w:val="006B5BC2"/>
    <w:rsid w:val="006B6200"/>
    <w:rsid w:val="006B64E7"/>
    <w:rsid w:val="006B6773"/>
    <w:rsid w:val="006B69E3"/>
    <w:rsid w:val="006B700D"/>
    <w:rsid w:val="006B710B"/>
    <w:rsid w:val="006B764B"/>
    <w:rsid w:val="006C027E"/>
    <w:rsid w:val="006C0514"/>
    <w:rsid w:val="006C059F"/>
    <w:rsid w:val="006C0F36"/>
    <w:rsid w:val="006C1061"/>
    <w:rsid w:val="006C1BDD"/>
    <w:rsid w:val="006C229D"/>
    <w:rsid w:val="006C230B"/>
    <w:rsid w:val="006C244C"/>
    <w:rsid w:val="006C285A"/>
    <w:rsid w:val="006C2A15"/>
    <w:rsid w:val="006C2A98"/>
    <w:rsid w:val="006C34F2"/>
    <w:rsid w:val="006C3D60"/>
    <w:rsid w:val="006C3DB1"/>
    <w:rsid w:val="006C400F"/>
    <w:rsid w:val="006C46E5"/>
    <w:rsid w:val="006C47EB"/>
    <w:rsid w:val="006C4D89"/>
    <w:rsid w:val="006C4E09"/>
    <w:rsid w:val="006C53AD"/>
    <w:rsid w:val="006C55BA"/>
    <w:rsid w:val="006C58FD"/>
    <w:rsid w:val="006C59BC"/>
    <w:rsid w:val="006C59E2"/>
    <w:rsid w:val="006C5A2B"/>
    <w:rsid w:val="006C5C5A"/>
    <w:rsid w:val="006C5F56"/>
    <w:rsid w:val="006C5FD6"/>
    <w:rsid w:val="006C6950"/>
    <w:rsid w:val="006C6A35"/>
    <w:rsid w:val="006C77B7"/>
    <w:rsid w:val="006C7B15"/>
    <w:rsid w:val="006C7EE9"/>
    <w:rsid w:val="006D000C"/>
    <w:rsid w:val="006D0042"/>
    <w:rsid w:val="006D00D5"/>
    <w:rsid w:val="006D026B"/>
    <w:rsid w:val="006D04EE"/>
    <w:rsid w:val="006D0575"/>
    <w:rsid w:val="006D0612"/>
    <w:rsid w:val="006D0789"/>
    <w:rsid w:val="006D07BF"/>
    <w:rsid w:val="006D0CEA"/>
    <w:rsid w:val="006D0E95"/>
    <w:rsid w:val="006D0EB9"/>
    <w:rsid w:val="006D103E"/>
    <w:rsid w:val="006D10F0"/>
    <w:rsid w:val="006D1176"/>
    <w:rsid w:val="006D13B9"/>
    <w:rsid w:val="006D163A"/>
    <w:rsid w:val="006D1D2D"/>
    <w:rsid w:val="006D1FF6"/>
    <w:rsid w:val="006D2119"/>
    <w:rsid w:val="006D2168"/>
    <w:rsid w:val="006D21E7"/>
    <w:rsid w:val="006D22F6"/>
    <w:rsid w:val="006D24B2"/>
    <w:rsid w:val="006D2724"/>
    <w:rsid w:val="006D2929"/>
    <w:rsid w:val="006D29A8"/>
    <w:rsid w:val="006D2BA7"/>
    <w:rsid w:val="006D2D30"/>
    <w:rsid w:val="006D2D8D"/>
    <w:rsid w:val="006D32FE"/>
    <w:rsid w:val="006D3677"/>
    <w:rsid w:val="006D371C"/>
    <w:rsid w:val="006D3940"/>
    <w:rsid w:val="006D3948"/>
    <w:rsid w:val="006D3DFC"/>
    <w:rsid w:val="006D3F7D"/>
    <w:rsid w:val="006D400D"/>
    <w:rsid w:val="006D4375"/>
    <w:rsid w:val="006D4D61"/>
    <w:rsid w:val="006D4E58"/>
    <w:rsid w:val="006D4E95"/>
    <w:rsid w:val="006D4FFE"/>
    <w:rsid w:val="006D53BB"/>
    <w:rsid w:val="006D55F1"/>
    <w:rsid w:val="006D579E"/>
    <w:rsid w:val="006D5C14"/>
    <w:rsid w:val="006D5F77"/>
    <w:rsid w:val="006D63AB"/>
    <w:rsid w:val="006D67F3"/>
    <w:rsid w:val="006D6A9C"/>
    <w:rsid w:val="006D6E7F"/>
    <w:rsid w:val="006D7649"/>
    <w:rsid w:val="006D7BD6"/>
    <w:rsid w:val="006E07F4"/>
    <w:rsid w:val="006E08D0"/>
    <w:rsid w:val="006E0DE4"/>
    <w:rsid w:val="006E0FCE"/>
    <w:rsid w:val="006E1221"/>
    <w:rsid w:val="006E15A4"/>
    <w:rsid w:val="006E16BE"/>
    <w:rsid w:val="006E1762"/>
    <w:rsid w:val="006E1824"/>
    <w:rsid w:val="006E18CB"/>
    <w:rsid w:val="006E1932"/>
    <w:rsid w:val="006E1CFA"/>
    <w:rsid w:val="006E1E32"/>
    <w:rsid w:val="006E250E"/>
    <w:rsid w:val="006E28F2"/>
    <w:rsid w:val="006E2BF6"/>
    <w:rsid w:val="006E31CF"/>
    <w:rsid w:val="006E3452"/>
    <w:rsid w:val="006E34DD"/>
    <w:rsid w:val="006E3755"/>
    <w:rsid w:val="006E3A3D"/>
    <w:rsid w:val="006E3E04"/>
    <w:rsid w:val="006E3E63"/>
    <w:rsid w:val="006E3F77"/>
    <w:rsid w:val="006E41E4"/>
    <w:rsid w:val="006E4307"/>
    <w:rsid w:val="006E4647"/>
    <w:rsid w:val="006E48D1"/>
    <w:rsid w:val="006E4948"/>
    <w:rsid w:val="006E4992"/>
    <w:rsid w:val="006E49C2"/>
    <w:rsid w:val="006E4D86"/>
    <w:rsid w:val="006E4DE7"/>
    <w:rsid w:val="006E5111"/>
    <w:rsid w:val="006E5A65"/>
    <w:rsid w:val="006E5C3E"/>
    <w:rsid w:val="006E5C8D"/>
    <w:rsid w:val="006E5EEE"/>
    <w:rsid w:val="006E634B"/>
    <w:rsid w:val="006E642F"/>
    <w:rsid w:val="006E65BE"/>
    <w:rsid w:val="006E67DF"/>
    <w:rsid w:val="006E6B1A"/>
    <w:rsid w:val="006E71D6"/>
    <w:rsid w:val="006E7382"/>
    <w:rsid w:val="006E7457"/>
    <w:rsid w:val="006E7853"/>
    <w:rsid w:val="006E7B2B"/>
    <w:rsid w:val="006F003F"/>
    <w:rsid w:val="006F0A01"/>
    <w:rsid w:val="006F0A5F"/>
    <w:rsid w:val="006F0DAE"/>
    <w:rsid w:val="006F10A2"/>
    <w:rsid w:val="006F1503"/>
    <w:rsid w:val="006F1910"/>
    <w:rsid w:val="006F1DE4"/>
    <w:rsid w:val="006F1FAB"/>
    <w:rsid w:val="006F1FFF"/>
    <w:rsid w:val="006F25DF"/>
    <w:rsid w:val="006F2780"/>
    <w:rsid w:val="006F2876"/>
    <w:rsid w:val="006F2A10"/>
    <w:rsid w:val="006F2F4D"/>
    <w:rsid w:val="006F318D"/>
    <w:rsid w:val="006F31B9"/>
    <w:rsid w:val="006F33AF"/>
    <w:rsid w:val="006F3521"/>
    <w:rsid w:val="006F3853"/>
    <w:rsid w:val="006F3E57"/>
    <w:rsid w:val="006F41E4"/>
    <w:rsid w:val="006F4300"/>
    <w:rsid w:val="006F43DC"/>
    <w:rsid w:val="006F4757"/>
    <w:rsid w:val="006F49DB"/>
    <w:rsid w:val="006F4C5A"/>
    <w:rsid w:val="006F4CFD"/>
    <w:rsid w:val="006F4D11"/>
    <w:rsid w:val="006F4F42"/>
    <w:rsid w:val="006F4F5A"/>
    <w:rsid w:val="006F5069"/>
    <w:rsid w:val="006F50F8"/>
    <w:rsid w:val="006F51C3"/>
    <w:rsid w:val="006F5328"/>
    <w:rsid w:val="006F5424"/>
    <w:rsid w:val="006F5945"/>
    <w:rsid w:val="006F5AB1"/>
    <w:rsid w:val="006F5B35"/>
    <w:rsid w:val="006F5B86"/>
    <w:rsid w:val="006F5C8C"/>
    <w:rsid w:val="006F5EF9"/>
    <w:rsid w:val="006F607C"/>
    <w:rsid w:val="006F618F"/>
    <w:rsid w:val="006F6336"/>
    <w:rsid w:val="006F66A8"/>
    <w:rsid w:val="006F6A4B"/>
    <w:rsid w:val="006F6BE2"/>
    <w:rsid w:val="006F6CA6"/>
    <w:rsid w:val="006F6D10"/>
    <w:rsid w:val="006F709D"/>
    <w:rsid w:val="006F7467"/>
    <w:rsid w:val="006F77F7"/>
    <w:rsid w:val="006F7AE7"/>
    <w:rsid w:val="006F7FD9"/>
    <w:rsid w:val="007001F8"/>
    <w:rsid w:val="00700A91"/>
    <w:rsid w:val="00701312"/>
    <w:rsid w:val="00701329"/>
    <w:rsid w:val="00701417"/>
    <w:rsid w:val="00701641"/>
    <w:rsid w:val="00701A5E"/>
    <w:rsid w:val="00701C3C"/>
    <w:rsid w:val="00701D14"/>
    <w:rsid w:val="00701D17"/>
    <w:rsid w:val="00701D5C"/>
    <w:rsid w:val="00701E1A"/>
    <w:rsid w:val="00701EE5"/>
    <w:rsid w:val="00702362"/>
    <w:rsid w:val="007023AA"/>
    <w:rsid w:val="00702612"/>
    <w:rsid w:val="0070261E"/>
    <w:rsid w:val="0070262E"/>
    <w:rsid w:val="0070271D"/>
    <w:rsid w:val="0070291C"/>
    <w:rsid w:val="007029AB"/>
    <w:rsid w:val="00702DD9"/>
    <w:rsid w:val="007032D8"/>
    <w:rsid w:val="007036FF"/>
    <w:rsid w:val="00703859"/>
    <w:rsid w:val="00703F86"/>
    <w:rsid w:val="00703FC9"/>
    <w:rsid w:val="007045E1"/>
    <w:rsid w:val="00704810"/>
    <w:rsid w:val="00704B41"/>
    <w:rsid w:val="00704D88"/>
    <w:rsid w:val="00705028"/>
    <w:rsid w:val="007050B9"/>
    <w:rsid w:val="00705155"/>
    <w:rsid w:val="0070519E"/>
    <w:rsid w:val="0070533F"/>
    <w:rsid w:val="007056A8"/>
    <w:rsid w:val="00705EAB"/>
    <w:rsid w:val="007064D1"/>
    <w:rsid w:val="00706774"/>
    <w:rsid w:val="00706988"/>
    <w:rsid w:val="007069A7"/>
    <w:rsid w:val="00706FCA"/>
    <w:rsid w:val="007070DD"/>
    <w:rsid w:val="00707398"/>
    <w:rsid w:val="00707566"/>
    <w:rsid w:val="007075BD"/>
    <w:rsid w:val="007076D2"/>
    <w:rsid w:val="00707AF3"/>
    <w:rsid w:val="00707B9F"/>
    <w:rsid w:val="00707CF4"/>
    <w:rsid w:val="00707DCB"/>
    <w:rsid w:val="00710033"/>
    <w:rsid w:val="007102CE"/>
    <w:rsid w:val="0071040F"/>
    <w:rsid w:val="00710415"/>
    <w:rsid w:val="00710F0A"/>
    <w:rsid w:val="007113FB"/>
    <w:rsid w:val="007119B4"/>
    <w:rsid w:val="00711B2E"/>
    <w:rsid w:val="00711B96"/>
    <w:rsid w:val="00711FAF"/>
    <w:rsid w:val="00712445"/>
    <w:rsid w:val="007125D5"/>
    <w:rsid w:val="00712602"/>
    <w:rsid w:val="007126AA"/>
    <w:rsid w:val="00712B63"/>
    <w:rsid w:val="00712B94"/>
    <w:rsid w:val="00712E5C"/>
    <w:rsid w:val="00712E7F"/>
    <w:rsid w:val="00712F48"/>
    <w:rsid w:val="00713269"/>
    <w:rsid w:val="0071328A"/>
    <w:rsid w:val="007134F1"/>
    <w:rsid w:val="0071359A"/>
    <w:rsid w:val="00713615"/>
    <w:rsid w:val="00713759"/>
    <w:rsid w:val="0071380E"/>
    <w:rsid w:val="00713A22"/>
    <w:rsid w:val="00713BA4"/>
    <w:rsid w:val="00713CD7"/>
    <w:rsid w:val="00713FF7"/>
    <w:rsid w:val="0071475F"/>
    <w:rsid w:val="00714A6B"/>
    <w:rsid w:val="00714AAB"/>
    <w:rsid w:val="007155C8"/>
    <w:rsid w:val="00715641"/>
    <w:rsid w:val="007156CC"/>
    <w:rsid w:val="00715731"/>
    <w:rsid w:val="007159B3"/>
    <w:rsid w:val="00715A56"/>
    <w:rsid w:val="00716399"/>
    <w:rsid w:val="0071659D"/>
    <w:rsid w:val="0071697B"/>
    <w:rsid w:val="007169B3"/>
    <w:rsid w:val="00716A2B"/>
    <w:rsid w:val="00716C64"/>
    <w:rsid w:val="00716D63"/>
    <w:rsid w:val="00716E5B"/>
    <w:rsid w:val="00716EE3"/>
    <w:rsid w:val="00717175"/>
    <w:rsid w:val="00717717"/>
    <w:rsid w:val="00717DC1"/>
    <w:rsid w:val="00720065"/>
    <w:rsid w:val="007202E7"/>
    <w:rsid w:val="00720357"/>
    <w:rsid w:val="007204E8"/>
    <w:rsid w:val="00720E55"/>
    <w:rsid w:val="007211D7"/>
    <w:rsid w:val="007211F0"/>
    <w:rsid w:val="00721219"/>
    <w:rsid w:val="0072133E"/>
    <w:rsid w:val="007219A9"/>
    <w:rsid w:val="00721A5E"/>
    <w:rsid w:val="00721A88"/>
    <w:rsid w:val="00721B82"/>
    <w:rsid w:val="00721C41"/>
    <w:rsid w:val="00721DBE"/>
    <w:rsid w:val="00721E7E"/>
    <w:rsid w:val="00721E8C"/>
    <w:rsid w:val="00721F84"/>
    <w:rsid w:val="0072241F"/>
    <w:rsid w:val="007225D9"/>
    <w:rsid w:val="0072293F"/>
    <w:rsid w:val="00722AC8"/>
    <w:rsid w:val="00722FAC"/>
    <w:rsid w:val="007232B5"/>
    <w:rsid w:val="00723522"/>
    <w:rsid w:val="00723A10"/>
    <w:rsid w:val="00723AC8"/>
    <w:rsid w:val="00723CC4"/>
    <w:rsid w:val="00723D1B"/>
    <w:rsid w:val="00724326"/>
    <w:rsid w:val="00724383"/>
    <w:rsid w:val="007244EF"/>
    <w:rsid w:val="007245A9"/>
    <w:rsid w:val="00724C4A"/>
    <w:rsid w:val="00724D73"/>
    <w:rsid w:val="00724EB1"/>
    <w:rsid w:val="00724F4E"/>
    <w:rsid w:val="00724F97"/>
    <w:rsid w:val="00724FF5"/>
    <w:rsid w:val="007253AC"/>
    <w:rsid w:val="007254D4"/>
    <w:rsid w:val="00725AC2"/>
    <w:rsid w:val="00725F6E"/>
    <w:rsid w:val="00725FC1"/>
    <w:rsid w:val="0072672B"/>
    <w:rsid w:val="00726868"/>
    <w:rsid w:val="00726BA4"/>
    <w:rsid w:val="00726C36"/>
    <w:rsid w:val="00726C72"/>
    <w:rsid w:val="00726CAF"/>
    <w:rsid w:val="00726FC5"/>
    <w:rsid w:val="007270D5"/>
    <w:rsid w:val="00727192"/>
    <w:rsid w:val="00727407"/>
    <w:rsid w:val="0072788E"/>
    <w:rsid w:val="00727A40"/>
    <w:rsid w:val="007304B8"/>
    <w:rsid w:val="0073053B"/>
    <w:rsid w:val="0073071C"/>
    <w:rsid w:val="007310F1"/>
    <w:rsid w:val="0073157C"/>
    <w:rsid w:val="0073190C"/>
    <w:rsid w:val="0073192E"/>
    <w:rsid w:val="00731997"/>
    <w:rsid w:val="00731EE2"/>
    <w:rsid w:val="00731F2D"/>
    <w:rsid w:val="00731F90"/>
    <w:rsid w:val="007320EB"/>
    <w:rsid w:val="0073252B"/>
    <w:rsid w:val="00732649"/>
    <w:rsid w:val="00732ACB"/>
    <w:rsid w:val="00732C20"/>
    <w:rsid w:val="00732C61"/>
    <w:rsid w:val="00732E4E"/>
    <w:rsid w:val="00733371"/>
    <w:rsid w:val="00733729"/>
    <w:rsid w:val="007337E5"/>
    <w:rsid w:val="00733B77"/>
    <w:rsid w:val="00733B80"/>
    <w:rsid w:val="00734035"/>
    <w:rsid w:val="007343B5"/>
    <w:rsid w:val="00734508"/>
    <w:rsid w:val="00734628"/>
    <w:rsid w:val="00734890"/>
    <w:rsid w:val="00734A0F"/>
    <w:rsid w:val="00734CFB"/>
    <w:rsid w:val="0073521A"/>
    <w:rsid w:val="00735401"/>
    <w:rsid w:val="0073541F"/>
    <w:rsid w:val="007355AB"/>
    <w:rsid w:val="0073590F"/>
    <w:rsid w:val="00735B70"/>
    <w:rsid w:val="00735C65"/>
    <w:rsid w:val="00735FEB"/>
    <w:rsid w:val="0073608F"/>
    <w:rsid w:val="007361C8"/>
    <w:rsid w:val="007363A1"/>
    <w:rsid w:val="00736672"/>
    <w:rsid w:val="007368F1"/>
    <w:rsid w:val="00737383"/>
    <w:rsid w:val="00737498"/>
    <w:rsid w:val="007378DD"/>
    <w:rsid w:val="007379B4"/>
    <w:rsid w:val="00737EBB"/>
    <w:rsid w:val="007401AF"/>
    <w:rsid w:val="0074060E"/>
    <w:rsid w:val="00740916"/>
    <w:rsid w:val="00740C98"/>
    <w:rsid w:val="00740D89"/>
    <w:rsid w:val="00740E79"/>
    <w:rsid w:val="00740FA2"/>
    <w:rsid w:val="0074108F"/>
    <w:rsid w:val="007410DD"/>
    <w:rsid w:val="007413AF"/>
    <w:rsid w:val="00741C62"/>
    <w:rsid w:val="00741E8B"/>
    <w:rsid w:val="007429B3"/>
    <w:rsid w:val="00742CA4"/>
    <w:rsid w:val="00742CAB"/>
    <w:rsid w:val="00742FC9"/>
    <w:rsid w:val="00743800"/>
    <w:rsid w:val="00743EDB"/>
    <w:rsid w:val="00744070"/>
    <w:rsid w:val="0074414B"/>
    <w:rsid w:val="007443CD"/>
    <w:rsid w:val="0074463E"/>
    <w:rsid w:val="007448E9"/>
    <w:rsid w:val="00744996"/>
    <w:rsid w:val="00744BC0"/>
    <w:rsid w:val="00744C0C"/>
    <w:rsid w:val="00745035"/>
    <w:rsid w:val="00745062"/>
    <w:rsid w:val="007452E8"/>
    <w:rsid w:val="007454E8"/>
    <w:rsid w:val="00745508"/>
    <w:rsid w:val="00745757"/>
    <w:rsid w:val="0074581E"/>
    <w:rsid w:val="0074581F"/>
    <w:rsid w:val="00745929"/>
    <w:rsid w:val="00745946"/>
    <w:rsid w:val="00745DA3"/>
    <w:rsid w:val="00745E7E"/>
    <w:rsid w:val="00746427"/>
    <w:rsid w:val="00746499"/>
    <w:rsid w:val="00746513"/>
    <w:rsid w:val="00746545"/>
    <w:rsid w:val="007466EE"/>
    <w:rsid w:val="00746C33"/>
    <w:rsid w:val="00746E92"/>
    <w:rsid w:val="00746ED4"/>
    <w:rsid w:val="007472F2"/>
    <w:rsid w:val="00747A01"/>
    <w:rsid w:val="00747A8C"/>
    <w:rsid w:val="00747AD9"/>
    <w:rsid w:val="00747CB4"/>
    <w:rsid w:val="00747DEC"/>
    <w:rsid w:val="00747E2C"/>
    <w:rsid w:val="007503AC"/>
    <w:rsid w:val="007504ED"/>
    <w:rsid w:val="00750501"/>
    <w:rsid w:val="007508D2"/>
    <w:rsid w:val="00750951"/>
    <w:rsid w:val="00750974"/>
    <w:rsid w:val="0075103F"/>
    <w:rsid w:val="00751082"/>
    <w:rsid w:val="0075140C"/>
    <w:rsid w:val="00751893"/>
    <w:rsid w:val="00751DAD"/>
    <w:rsid w:val="00751E20"/>
    <w:rsid w:val="00751E55"/>
    <w:rsid w:val="00751ECF"/>
    <w:rsid w:val="00751FD3"/>
    <w:rsid w:val="0075209C"/>
    <w:rsid w:val="00752118"/>
    <w:rsid w:val="0075241A"/>
    <w:rsid w:val="00752434"/>
    <w:rsid w:val="00752838"/>
    <w:rsid w:val="00752B34"/>
    <w:rsid w:val="00752C7A"/>
    <w:rsid w:val="00752D59"/>
    <w:rsid w:val="00753031"/>
    <w:rsid w:val="00753143"/>
    <w:rsid w:val="0075318A"/>
    <w:rsid w:val="007533F1"/>
    <w:rsid w:val="0075341F"/>
    <w:rsid w:val="007534A0"/>
    <w:rsid w:val="00753684"/>
    <w:rsid w:val="00753737"/>
    <w:rsid w:val="00753791"/>
    <w:rsid w:val="007539C1"/>
    <w:rsid w:val="00753AAF"/>
    <w:rsid w:val="00753ED6"/>
    <w:rsid w:val="00753F41"/>
    <w:rsid w:val="0075419A"/>
    <w:rsid w:val="007543DC"/>
    <w:rsid w:val="00754826"/>
    <w:rsid w:val="007549C5"/>
    <w:rsid w:val="00754BFF"/>
    <w:rsid w:val="00754C60"/>
    <w:rsid w:val="0075525B"/>
    <w:rsid w:val="007552BC"/>
    <w:rsid w:val="00755426"/>
    <w:rsid w:val="007554D5"/>
    <w:rsid w:val="007558AF"/>
    <w:rsid w:val="00755C3D"/>
    <w:rsid w:val="00755E00"/>
    <w:rsid w:val="00756572"/>
    <w:rsid w:val="00756656"/>
    <w:rsid w:val="007569D5"/>
    <w:rsid w:val="00756DE4"/>
    <w:rsid w:val="00756EFA"/>
    <w:rsid w:val="00756F8C"/>
    <w:rsid w:val="0075728A"/>
    <w:rsid w:val="007573EF"/>
    <w:rsid w:val="007576F1"/>
    <w:rsid w:val="00757C05"/>
    <w:rsid w:val="00757DA9"/>
    <w:rsid w:val="00757E73"/>
    <w:rsid w:val="00757EE9"/>
    <w:rsid w:val="007600DF"/>
    <w:rsid w:val="007601A6"/>
    <w:rsid w:val="00760279"/>
    <w:rsid w:val="007606E5"/>
    <w:rsid w:val="00760C64"/>
    <w:rsid w:val="00760D82"/>
    <w:rsid w:val="00760EAB"/>
    <w:rsid w:val="00760FA3"/>
    <w:rsid w:val="00761004"/>
    <w:rsid w:val="00761018"/>
    <w:rsid w:val="007611EE"/>
    <w:rsid w:val="00761347"/>
    <w:rsid w:val="0076148E"/>
    <w:rsid w:val="00761599"/>
    <w:rsid w:val="00761600"/>
    <w:rsid w:val="0076186C"/>
    <w:rsid w:val="00761B9A"/>
    <w:rsid w:val="00761D45"/>
    <w:rsid w:val="00761E48"/>
    <w:rsid w:val="00762294"/>
    <w:rsid w:val="00762429"/>
    <w:rsid w:val="00762A4C"/>
    <w:rsid w:val="00762BDF"/>
    <w:rsid w:val="00762F3E"/>
    <w:rsid w:val="00762F7B"/>
    <w:rsid w:val="00762F8D"/>
    <w:rsid w:val="00763258"/>
    <w:rsid w:val="007633B0"/>
    <w:rsid w:val="00763629"/>
    <w:rsid w:val="00763A8C"/>
    <w:rsid w:val="00763CD5"/>
    <w:rsid w:val="0076441D"/>
    <w:rsid w:val="00764661"/>
    <w:rsid w:val="00764772"/>
    <w:rsid w:val="00764E6B"/>
    <w:rsid w:val="00765432"/>
    <w:rsid w:val="0076547F"/>
    <w:rsid w:val="00765711"/>
    <w:rsid w:val="0076599A"/>
    <w:rsid w:val="00765BC3"/>
    <w:rsid w:val="00765D54"/>
    <w:rsid w:val="00765F16"/>
    <w:rsid w:val="00766187"/>
    <w:rsid w:val="00766338"/>
    <w:rsid w:val="007664AB"/>
    <w:rsid w:val="007664EE"/>
    <w:rsid w:val="007664FF"/>
    <w:rsid w:val="00766597"/>
    <w:rsid w:val="007666F0"/>
    <w:rsid w:val="00766CC2"/>
    <w:rsid w:val="00766D04"/>
    <w:rsid w:val="00766E07"/>
    <w:rsid w:val="007673A5"/>
    <w:rsid w:val="007677A8"/>
    <w:rsid w:val="007679DB"/>
    <w:rsid w:val="00767E7A"/>
    <w:rsid w:val="00767FBA"/>
    <w:rsid w:val="00770053"/>
    <w:rsid w:val="00770E4D"/>
    <w:rsid w:val="0077136C"/>
    <w:rsid w:val="00771BA5"/>
    <w:rsid w:val="00771C99"/>
    <w:rsid w:val="00771D06"/>
    <w:rsid w:val="00771D3D"/>
    <w:rsid w:val="00771DA8"/>
    <w:rsid w:val="0077226C"/>
    <w:rsid w:val="007725B3"/>
    <w:rsid w:val="00772620"/>
    <w:rsid w:val="007726A2"/>
    <w:rsid w:val="00772AB9"/>
    <w:rsid w:val="00772C23"/>
    <w:rsid w:val="00772F7C"/>
    <w:rsid w:val="0077333D"/>
    <w:rsid w:val="00773A7A"/>
    <w:rsid w:val="00774037"/>
    <w:rsid w:val="00774227"/>
    <w:rsid w:val="007743EB"/>
    <w:rsid w:val="007745B0"/>
    <w:rsid w:val="007745E0"/>
    <w:rsid w:val="00774B28"/>
    <w:rsid w:val="0077512E"/>
    <w:rsid w:val="00775437"/>
    <w:rsid w:val="007756A4"/>
    <w:rsid w:val="0077592B"/>
    <w:rsid w:val="00775936"/>
    <w:rsid w:val="00775DB0"/>
    <w:rsid w:val="00775E8A"/>
    <w:rsid w:val="00775EE6"/>
    <w:rsid w:val="00775F9B"/>
    <w:rsid w:val="00776002"/>
    <w:rsid w:val="007760D0"/>
    <w:rsid w:val="00776464"/>
    <w:rsid w:val="00776481"/>
    <w:rsid w:val="007767F4"/>
    <w:rsid w:val="00776F5E"/>
    <w:rsid w:val="00777083"/>
    <w:rsid w:val="007772F6"/>
    <w:rsid w:val="00777382"/>
    <w:rsid w:val="00777B41"/>
    <w:rsid w:val="00777E26"/>
    <w:rsid w:val="00777FA3"/>
    <w:rsid w:val="00780497"/>
    <w:rsid w:val="007804D8"/>
    <w:rsid w:val="007805DC"/>
    <w:rsid w:val="00780AED"/>
    <w:rsid w:val="00780E8F"/>
    <w:rsid w:val="00780EBF"/>
    <w:rsid w:val="00780FE9"/>
    <w:rsid w:val="007813AD"/>
    <w:rsid w:val="007813FA"/>
    <w:rsid w:val="007814A8"/>
    <w:rsid w:val="0078155C"/>
    <w:rsid w:val="007819AC"/>
    <w:rsid w:val="00781A13"/>
    <w:rsid w:val="00781C6A"/>
    <w:rsid w:val="00781D7E"/>
    <w:rsid w:val="007820F2"/>
    <w:rsid w:val="007823EA"/>
    <w:rsid w:val="007826A2"/>
    <w:rsid w:val="00782746"/>
    <w:rsid w:val="00782872"/>
    <w:rsid w:val="00782FF3"/>
    <w:rsid w:val="007833F0"/>
    <w:rsid w:val="00783509"/>
    <w:rsid w:val="00783630"/>
    <w:rsid w:val="00783654"/>
    <w:rsid w:val="007837A6"/>
    <w:rsid w:val="00783A55"/>
    <w:rsid w:val="00783B30"/>
    <w:rsid w:val="00783B6B"/>
    <w:rsid w:val="00783CC9"/>
    <w:rsid w:val="0078403E"/>
    <w:rsid w:val="00784BE9"/>
    <w:rsid w:val="0078539C"/>
    <w:rsid w:val="00785461"/>
    <w:rsid w:val="0078598E"/>
    <w:rsid w:val="00785B9B"/>
    <w:rsid w:val="00785FAB"/>
    <w:rsid w:val="0078631D"/>
    <w:rsid w:val="0078635F"/>
    <w:rsid w:val="00786612"/>
    <w:rsid w:val="007867A9"/>
    <w:rsid w:val="007867B8"/>
    <w:rsid w:val="007868C4"/>
    <w:rsid w:val="00786972"/>
    <w:rsid w:val="00786C8C"/>
    <w:rsid w:val="0078734F"/>
    <w:rsid w:val="007877AD"/>
    <w:rsid w:val="007877E0"/>
    <w:rsid w:val="00787B6B"/>
    <w:rsid w:val="007901CB"/>
    <w:rsid w:val="00790408"/>
    <w:rsid w:val="00790514"/>
    <w:rsid w:val="007909B8"/>
    <w:rsid w:val="00790A61"/>
    <w:rsid w:val="00790D3D"/>
    <w:rsid w:val="007913A5"/>
    <w:rsid w:val="00791470"/>
    <w:rsid w:val="0079160B"/>
    <w:rsid w:val="007917EE"/>
    <w:rsid w:val="0079187A"/>
    <w:rsid w:val="007919F4"/>
    <w:rsid w:val="00792052"/>
    <w:rsid w:val="0079221C"/>
    <w:rsid w:val="007926A4"/>
    <w:rsid w:val="00792981"/>
    <w:rsid w:val="00792BAF"/>
    <w:rsid w:val="00792D58"/>
    <w:rsid w:val="00792EC6"/>
    <w:rsid w:val="0079364F"/>
    <w:rsid w:val="00793E35"/>
    <w:rsid w:val="00794077"/>
    <w:rsid w:val="007940C3"/>
    <w:rsid w:val="007940F1"/>
    <w:rsid w:val="00794105"/>
    <w:rsid w:val="00794226"/>
    <w:rsid w:val="0079422D"/>
    <w:rsid w:val="00794767"/>
    <w:rsid w:val="007947F5"/>
    <w:rsid w:val="00794862"/>
    <w:rsid w:val="00794AA0"/>
    <w:rsid w:val="00794AF6"/>
    <w:rsid w:val="00794F10"/>
    <w:rsid w:val="00794F8D"/>
    <w:rsid w:val="00794FA0"/>
    <w:rsid w:val="00795722"/>
    <w:rsid w:val="00795873"/>
    <w:rsid w:val="00795972"/>
    <w:rsid w:val="00795A74"/>
    <w:rsid w:val="00795CE5"/>
    <w:rsid w:val="00795EF4"/>
    <w:rsid w:val="00795F3D"/>
    <w:rsid w:val="00795FF8"/>
    <w:rsid w:val="007961B0"/>
    <w:rsid w:val="007962F0"/>
    <w:rsid w:val="007963F4"/>
    <w:rsid w:val="00796725"/>
    <w:rsid w:val="00796880"/>
    <w:rsid w:val="00796898"/>
    <w:rsid w:val="007969A5"/>
    <w:rsid w:val="00796A7D"/>
    <w:rsid w:val="00796A87"/>
    <w:rsid w:val="00796AC9"/>
    <w:rsid w:val="00796C28"/>
    <w:rsid w:val="00796D88"/>
    <w:rsid w:val="00796EB2"/>
    <w:rsid w:val="0079718B"/>
    <w:rsid w:val="007972E5"/>
    <w:rsid w:val="00797CD0"/>
    <w:rsid w:val="00797D2A"/>
    <w:rsid w:val="007A003C"/>
    <w:rsid w:val="007A026D"/>
    <w:rsid w:val="007A03EE"/>
    <w:rsid w:val="007A069C"/>
    <w:rsid w:val="007A0C9E"/>
    <w:rsid w:val="007A0D63"/>
    <w:rsid w:val="007A0E8F"/>
    <w:rsid w:val="007A10CF"/>
    <w:rsid w:val="007A1104"/>
    <w:rsid w:val="007A117D"/>
    <w:rsid w:val="007A14F9"/>
    <w:rsid w:val="007A16D2"/>
    <w:rsid w:val="007A1729"/>
    <w:rsid w:val="007A189E"/>
    <w:rsid w:val="007A1BAE"/>
    <w:rsid w:val="007A25A3"/>
    <w:rsid w:val="007A2690"/>
    <w:rsid w:val="007A2745"/>
    <w:rsid w:val="007A2E87"/>
    <w:rsid w:val="007A2F1B"/>
    <w:rsid w:val="007A30FD"/>
    <w:rsid w:val="007A31E1"/>
    <w:rsid w:val="007A3223"/>
    <w:rsid w:val="007A3508"/>
    <w:rsid w:val="007A356A"/>
    <w:rsid w:val="007A374E"/>
    <w:rsid w:val="007A3EDD"/>
    <w:rsid w:val="007A419E"/>
    <w:rsid w:val="007A44EA"/>
    <w:rsid w:val="007A4786"/>
    <w:rsid w:val="007A4870"/>
    <w:rsid w:val="007A4977"/>
    <w:rsid w:val="007A4A57"/>
    <w:rsid w:val="007A527A"/>
    <w:rsid w:val="007A55FB"/>
    <w:rsid w:val="007A583D"/>
    <w:rsid w:val="007A59F7"/>
    <w:rsid w:val="007A5D6B"/>
    <w:rsid w:val="007A5DCA"/>
    <w:rsid w:val="007A5DEF"/>
    <w:rsid w:val="007A6026"/>
    <w:rsid w:val="007A6085"/>
    <w:rsid w:val="007A61F6"/>
    <w:rsid w:val="007A6B97"/>
    <w:rsid w:val="007A71BE"/>
    <w:rsid w:val="007A71DD"/>
    <w:rsid w:val="007A7285"/>
    <w:rsid w:val="007A729C"/>
    <w:rsid w:val="007A7A95"/>
    <w:rsid w:val="007A7AEC"/>
    <w:rsid w:val="007B0557"/>
    <w:rsid w:val="007B0A46"/>
    <w:rsid w:val="007B0C91"/>
    <w:rsid w:val="007B0FAC"/>
    <w:rsid w:val="007B1045"/>
    <w:rsid w:val="007B1073"/>
    <w:rsid w:val="007B12C8"/>
    <w:rsid w:val="007B132D"/>
    <w:rsid w:val="007B1640"/>
    <w:rsid w:val="007B1A65"/>
    <w:rsid w:val="007B1AA0"/>
    <w:rsid w:val="007B1ABC"/>
    <w:rsid w:val="007B1B2F"/>
    <w:rsid w:val="007B1DEF"/>
    <w:rsid w:val="007B1F53"/>
    <w:rsid w:val="007B2585"/>
    <w:rsid w:val="007B26F8"/>
    <w:rsid w:val="007B2CA1"/>
    <w:rsid w:val="007B3BDC"/>
    <w:rsid w:val="007B3E51"/>
    <w:rsid w:val="007B3F52"/>
    <w:rsid w:val="007B4065"/>
    <w:rsid w:val="007B429D"/>
    <w:rsid w:val="007B4AB8"/>
    <w:rsid w:val="007B4EA5"/>
    <w:rsid w:val="007B5478"/>
    <w:rsid w:val="007B56D1"/>
    <w:rsid w:val="007B57CD"/>
    <w:rsid w:val="007B5D65"/>
    <w:rsid w:val="007B5FD8"/>
    <w:rsid w:val="007B6010"/>
    <w:rsid w:val="007B6581"/>
    <w:rsid w:val="007B65B3"/>
    <w:rsid w:val="007B69E5"/>
    <w:rsid w:val="007B6E55"/>
    <w:rsid w:val="007B707F"/>
    <w:rsid w:val="007B7086"/>
    <w:rsid w:val="007B70C8"/>
    <w:rsid w:val="007B7416"/>
    <w:rsid w:val="007B7501"/>
    <w:rsid w:val="007B77D1"/>
    <w:rsid w:val="007B7A42"/>
    <w:rsid w:val="007B7D63"/>
    <w:rsid w:val="007B7D96"/>
    <w:rsid w:val="007C0600"/>
    <w:rsid w:val="007C08B4"/>
    <w:rsid w:val="007C0AEF"/>
    <w:rsid w:val="007C0E60"/>
    <w:rsid w:val="007C0F34"/>
    <w:rsid w:val="007C1106"/>
    <w:rsid w:val="007C11CB"/>
    <w:rsid w:val="007C181C"/>
    <w:rsid w:val="007C1FB7"/>
    <w:rsid w:val="007C2004"/>
    <w:rsid w:val="007C2C24"/>
    <w:rsid w:val="007C2F70"/>
    <w:rsid w:val="007C3131"/>
    <w:rsid w:val="007C3187"/>
    <w:rsid w:val="007C33A1"/>
    <w:rsid w:val="007C3C25"/>
    <w:rsid w:val="007C450D"/>
    <w:rsid w:val="007C4892"/>
    <w:rsid w:val="007C4A49"/>
    <w:rsid w:val="007C50F7"/>
    <w:rsid w:val="007C511C"/>
    <w:rsid w:val="007C51CE"/>
    <w:rsid w:val="007C53C2"/>
    <w:rsid w:val="007C581A"/>
    <w:rsid w:val="007C5905"/>
    <w:rsid w:val="007C5A65"/>
    <w:rsid w:val="007C5D3D"/>
    <w:rsid w:val="007C6064"/>
    <w:rsid w:val="007C65D4"/>
    <w:rsid w:val="007C707A"/>
    <w:rsid w:val="007C713B"/>
    <w:rsid w:val="007C76C0"/>
    <w:rsid w:val="007C79D0"/>
    <w:rsid w:val="007C7C47"/>
    <w:rsid w:val="007D044E"/>
    <w:rsid w:val="007D05BD"/>
    <w:rsid w:val="007D0915"/>
    <w:rsid w:val="007D0A1C"/>
    <w:rsid w:val="007D0ABC"/>
    <w:rsid w:val="007D0B8B"/>
    <w:rsid w:val="007D0D05"/>
    <w:rsid w:val="007D0E7F"/>
    <w:rsid w:val="007D0EAB"/>
    <w:rsid w:val="007D10CA"/>
    <w:rsid w:val="007D12BD"/>
    <w:rsid w:val="007D139C"/>
    <w:rsid w:val="007D16E5"/>
    <w:rsid w:val="007D1BA4"/>
    <w:rsid w:val="007D1E82"/>
    <w:rsid w:val="007D1F12"/>
    <w:rsid w:val="007D2616"/>
    <w:rsid w:val="007D2662"/>
    <w:rsid w:val="007D26D8"/>
    <w:rsid w:val="007D2AA4"/>
    <w:rsid w:val="007D2B0E"/>
    <w:rsid w:val="007D2E56"/>
    <w:rsid w:val="007D3527"/>
    <w:rsid w:val="007D381A"/>
    <w:rsid w:val="007D3858"/>
    <w:rsid w:val="007D43B1"/>
    <w:rsid w:val="007D45CD"/>
    <w:rsid w:val="007D4A7C"/>
    <w:rsid w:val="007D4EAA"/>
    <w:rsid w:val="007D520D"/>
    <w:rsid w:val="007D5715"/>
    <w:rsid w:val="007D5717"/>
    <w:rsid w:val="007D5840"/>
    <w:rsid w:val="007D5AB3"/>
    <w:rsid w:val="007D5ADE"/>
    <w:rsid w:val="007D5E9B"/>
    <w:rsid w:val="007D5FA0"/>
    <w:rsid w:val="007D6071"/>
    <w:rsid w:val="007D62B3"/>
    <w:rsid w:val="007D62F1"/>
    <w:rsid w:val="007D64DF"/>
    <w:rsid w:val="007D6586"/>
    <w:rsid w:val="007D6595"/>
    <w:rsid w:val="007D663A"/>
    <w:rsid w:val="007D67F5"/>
    <w:rsid w:val="007D69D6"/>
    <w:rsid w:val="007D6A08"/>
    <w:rsid w:val="007D6CD5"/>
    <w:rsid w:val="007D6DDA"/>
    <w:rsid w:val="007D7152"/>
    <w:rsid w:val="007D72C1"/>
    <w:rsid w:val="007D76E2"/>
    <w:rsid w:val="007D7762"/>
    <w:rsid w:val="007D78CD"/>
    <w:rsid w:val="007D7ACB"/>
    <w:rsid w:val="007D7CD0"/>
    <w:rsid w:val="007E0573"/>
    <w:rsid w:val="007E05E5"/>
    <w:rsid w:val="007E0994"/>
    <w:rsid w:val="007E0B6D"/>
    <w:rsid w:val="007E0C12"/>
    <w:rsid w:val="007E0D88"/>
    <w:rsid w:val="007E0E5C"/>
    <w:rsid w:val="007E0F24"/>
    <w:rsid w:val="007E0FD4"/>
    <w:rsid w:val="007E1349"/>
    <w:rsid w:val="007E1643"/>
    <w:rsid w:val="007E176C"/>
    <w:rsid w:val="007E18BF"/>
    <w:rsid w:val="007E19AB"/>
    <w:rsid w:val="007E1A54"/>
    <w:rsid w:val="007E1CAB"/>
    <w:rsid w:val="007E22D5"/>
    <w:rsid w:val="007E231A"/>
    <w:rsid w:val="007E2559"/>
    <w:rsid w:val="007E2CD6"/>
    <w:rsid w:val="007E3008"/>
    <w:rsid w:val="007E32C2"/>
    <w:rsid w:val="007E36E5"/>
    <w:rsid w:val="007E386E"/>
    <w:rsid w:val="007E38D6"/>
    <w:rsid w:val="007E3A30"/>
    <w:rsid w:val="007E3B0C"/>
    <w:rsid w:val="007E3E06"/>
    <w:rsid w:val="007E3EAF"/>
    <w:rsid w:val="007E3EC1"/>
    <w:rsid w:val="007E3F46"/>
    <w:rsid w:val="007E3F5B"/>
    <w:rsid w:val="007E4191"/>
    <w:rsid w:val="007E47BD"/>
    <w:rsid w:val="007E4854"/>
    <w:rsid w:val="007E49CA"/>
    <w:rsid w:val="007E4B7A"/>
    <w:rsid w:val="007E4D14"/>
    <w:rsid w:val="007E4EED"/>
    <w:rsid w:val="007E4FDF"/>
    <w:rsid w:val="007E557F"/>
    <w:rsid w:val="007E599B"/>
    <w:rsid w:val="007E5AEB"/>
    <w:rsid w:val="007E5C6F"/>
    <w:rsid w:val="007E5DC0"/>
    <w:rsid w:val="007E5F9E"/>
    <w:rsid w:val="007E5FA4"/>
    <w:rsid w:val="007E60EB"/>
    <w:rsid w:val="007E62CC"/>
    <w:rsid w:val="007E631E"/>
    <w:rsid w:val="007E6830"/>
    <w:rsid w:val="007E687D"/>
    <w:rsid w:val="007E6C5F"/>
    <w:rsid w:val="007E6CBF"/>
    <w:rsid w:val="007E6DB8"/>
    <w:rsid w:val="007E6F8A"/>
    <w:rsid w:val="007E70C4"/>
    <w:rsid w:val="007E7185"/>
    <w:rsid w:val="007E739D"/>
    <w:rsid w:val="007E75F6"/>
    <w:rsid w:val="007E773D"/>
    <w:rsid w:val="007E7745"/>
    <w:rsid w:val="007E7BAC"/>
    <w:rsid w:val="007F0005"/>
    <w:rsid w:val="007F05DB"/>
    <w:rsid w:val="007F0D3F"/>
    <w:rsid w:val="007F0DAB"/>
    <w:rsid w:val="007F0DC0"/>
    <w:rsid w:val="007F12AD"/>
    <w:rsid w:val="007F12CB"/>
    <w:rsid w:val="007F17E8"/>
    <w:rsid w:val="007F2275"/>
    <w:rsid w:val="007F2581"/>
    <w:rsid w:val="007F2664"/>
    <w:rsid w:val="007F26F4"/>
    <w:rsid w:val="007F2858"/>
    <w:rsid w:val="007F28F4"/>
    <w:rsid w:val="007F2A17"/>
    <w:rsid w:val="007F2FBF"/>
    <w:rsid w:val="007F32D1"/>
    <w:rsid w:val="007F334E"/>
    <w:rsid w:val="007F3628"/>
    <w:rsid w:val="007F398E"/>
    <w:rsid w:val="007F3FA1"/>
    <w:rsid w:val="007F4367"/>
    <w:rsid w:val="007F43B3"/>
    <w:rsid w:val="007F440C"/>
    <w:rsid w:val="007F49B9"/>
    <w:rsid w:val="007F4B81"/>
    <w:rsid w:val="007F4D7B"/>
    <w:rsid w:val="007F526D"/>
    <w:rsid w:val="007F54DD"/>
    <w:rsid w:val="007F5772"/>
    <w:rsid w:val="007F59A0"/>
    <w:rsid w:val="007F5CD8"/>
    <w:rsid w:val="007F61F8"/>
    <w:rsid w:val="007F635C"/>
    <w:rsid w:val="007F6366"/>
    <w:rsid w:val="007F685E"/>
    <w:rsid w:val="007F6900"/>
    <w:rsid w:val="007F6943"/>
    <w:rsid w:val="007F69C6"/>
    <w:rsid w:val="007F6AB6"/>
    <w:rsid w:val="007F6C1E"/>
    <w:rsid w:val="007F6E03"/>
    <w:rsid w:val="007F6E69"/>
    <w:rsid w:val="007F6EFB"/>
    <w:rsid w:val="007F6FB8"/>
    <w:rsid w:val="007F70DA"/>
    <w:rsid w:val="007F7360"/>
    <w:rsid w:val="007F781C"/>
    <w:rsid w:val="007F78EE"/>
    <w:rsid w:val="007F7AAA"/>
    <w:rsid w:val="007F7B81"/>
    <w:rsid w:val="007F7CAE"/>
    <w:rsid w:val="007F7F51"/>
    <w:rsid w:val="008002C1"/>
    <w:rsid w:val="00800573"/>
    <w:rsid w:val="0080060C"/>
    <w:rsid w:val="008006D7"/>
    <w:rsid w:val="008007FC"/>
    <w:rsid w:val="00800ACC"/>
    <w:rsid w:val="00800D69"/>
    <w:rsid w:val="00801509"/>
    <w:rsid w:val="00801B13"/>
    <w:rsid w:val="008026C3"/>
    <w:rsid w:val="00802BBA"/>
    <w:rsid w:val="00802D24"/>
    <w:rsid w:val="00804034"/>
    <w:rsid w:val="00804236"/>
    <w:rsid w:val="008042F5"/>
    <w:rsid w:val="00804303"/>
    <w:rsid w:val="00804355"/>
    <w:rsid w:val="008044C9"/>
    <w:rsid w:val="008045CB"/>
    <w:rsid w:val="0080489F"/>
    <w:rsid w:val="008049C6"/>
    <w:rsid w:val="00804CAC"/>
    <w:rsid w:val="00804F58"/>
    <w:rsid w:val="00805147"/>
    <w:rsid w:val="00805370"/>
    <w:rsid w:val="0080549E"/>
    <w:rsid w:val="00805875"/>
    <w:rsid w:val="0080591D"/>
    <w:rsid w:val="00805B69"/>
    <w:rsid w:val="00805BE7"/>
    <w:rsid w:val="008061D5"/>
    <w:rsid w:val="008061D6"/>
    <w:rsid w:val="0080646F"/>
    <w:rsid w:val="0080648B"/>
    <w:rsid w:val="0080671C"/>
    <w:rsid w:val="008067E4"/>
    <w:rsid w:val="00806BE0"/>
    <w:rsid w:val="00806CA6"/>
    <w:rsid w:val="00806D75"/>
    <w:rsid w:val="00807281"/>
    <w:rsid w:val="008075D4"/>
    <w:rsid w:val="00807776"/>
    <w:rsid w:val="00807B6D"/>
    <w:rsid w:val="00807BD6"/>
    <w:rsid w:val="00807C05"/>
    <w:rsid w:val="00807D10"/>
    <w:rsid w:val="0081036A"/>
    <w:rsid w:val="00810820"/>
    <w:rsid w:val="00810AFC"/>
    <w:rsid w:val="00810E76"/>
    <w:rsid w:val="0081120F"/>
    <w:rsid w:val="008112D2"/>
    <w:rsid w:val="0081137F"/>
    <w:rsid w:val="008113D6"/>
    <w:rsid w:val="0081155A"/>
    <w:rsid w:val="008117EB"/>
    <w:rsid w:val="00811B7B"/>
    <w:rsid w:val="00811E3C"/>
    <w:rsid w:val="00812093"/>
    <w:rsid w:val="008120B6"/>
    <w:rsid w:val="00812803"/>
    <w:rsid w:val="00812877"/>
    <w:rsid w:val="008129A3"/>
    <w:rsid w:val="008131CD"/>
    <w:rsid w:val="00813214"/>
    <w:rsid w:val="008139F8"/>
    <w:rsid w:val="00813E98"/>
    <w:rsid w:val="008140E6"/>
    <w:rsid w:val="00814118"/>
    <w:rsid w:val="0081412D"/>
    <w:rsid w:val="008141A5"/>
    <w:rsid w:val="00814F72"/>
    <w:rsid w:val="00814FAA"/>
    <w:rsid w:val="00815094"/>
    <w:rsid w:val="008151C7"/>
    <w:rsid w:val="00815260"/>
    <w:rsid w:val="0081560E"/>
    <w:rsid w:val="0081567C"/>
    <w:rsid w:val="008156D2"/>
    <w:rsid w:val="00815708"/>
    <w:rsid w:val="00815903"/>
    <w:rsid w:val="008159E3"/>
    <w:rsid w:val="00815AB1"/>
    <w:rsid w:val="00816082"/>
    <w:rsid w:val="008160F4"/>
    <w:rsid w:val="008168E3"/>
    <w:rsid w:val="00816A33"/>
    <w:rsid w:val="00816E11"/>
    <w:rsid w:val="00816FE7"/>
    <w:rsid w:val="00817A1A"/>
    <w:rsid w:val="00817AD0"/>
    <w:rsid w:val="00817EF8"/>
    <w:rsid w:val="00817F69"/>
    <w:rsid w:val="008200D2"/>
    <w:rsid w:val="0082022B"/>
    <w:rsid w:val="008205B7"/>
    <w:rsid w:val="00820832"/>
    <w:rsid w:val="00820AC2"/>
    <w:rsid w:val="00820DA7"/>
    <w:rsid w:val="00820F56"/>
    <w:rsid w:val="0082137D"/>
    <w:rsid w:val="00821500"/>
    <w:rsid w:val="008217DC"/>
    <w:rsid w:val="00821D97"/>
    <w:rsid w:val="0082216F"/>
    <w:rsid w:val="00822312"/>
    <w:rsid w:val="00822345"/>
    <w:rsid w:val="008223AC"/>
    <w:rsid w:val="00822521"/>
    <w:rsid w:val="00822543"/>
    <w:rsid w:val="00822DF6"/>
    <w:rsid w:val="00822EE0"/>
    <w:rsid w:val="00823456"/>
    <w:rsid w:val="0082351F"/>
    <w:rsid w:val="00823C3A"/>
    <w:rsid w:val="00823F20"/>
    <w:rsid w:val="00823F64"/>
    <w:rsid w:val="0082421F"/>
    <w:rsid w:val="0082424B"/>
    <w:rsid w:val="0082466A"/>
    <w:rsid w:val="008248FF"/>
    <w:rsid w:val="0082492D"/>
    <w:rsid w:val="00824935"/>
    <w:rsid w:val="0082495B"/>
    <w:rsid w:val="00824AFC"/>
    <w:rsid w:val="00824E74"/>
    <w:rsid w:val="00825226"/>
    <w:rsid w:val="008258CE"/>
    <w:rsid w:val="00825B4C"/>
    <w:rsid w:val="00825E4C"/>
    <w:rsid w:val="00825FFB"/>
    <w:rsid w:val="00826070"/>
    <w:rsid w:val="00826644"/>
    <w:rsid w:val="008266D6"/>
    <w:rsid w:val="00826BF1"/>
    <w:rsid w:val="008270C5"/>
    <w:rsid w:val="008272D6"/>
    <w:rsid w:val="008273D9"/>
    <w:rsid w:val="0082748C"/>
    <w:rsid w:val="00827616"/>
    <w:rsid w:val="0082782E"/>
    <w:rsid w:val="00827D82"/>
    <w:rsid w:val="00827FC8"/>
    <w:rsid w:val="008302D8"/>
    <w:rsid w:val="008303A3"/>
    <w:rsid w:val="00830535"/>
    <w:rsid w:val="00831060"/>
    <w:rsid w:val="00831574"/>
    <w:rsid w:val="008316AC"/>
    <w:rsid w:val="00832139"/>
    <w:rsid w:val="0083243B"/>
    <w:rsid w:val="00832464"/>
    <w:rsid w:val="008324C9"/>
    <w:rsid w:val="008328B1"/>
    <w:rsid w:val="00832943"/>
    <w:rsid w:val="008329CD"/>
    <w:rsid w:val="00832AE5"/>
    <w:rsid w:val="00832FA4"/>
    <w:rsid w:val="00833046"/>
    <w:rsid w:val="0083319E"/>
    <w:rsid w:val="008333A8"/>
    <w:rsid w:val="0083355F"/>
    <w:rsid w:val="00833D08"/>
    <w:rsid w:val="00833D81"/>
    <w:rsid w:val="008340B8"/>
    <w:rsid w:val="00834512"/>
    <w:rsid w:val="00834890"/>
    <w:rsid w:val="00834C68"/>
    <w:rsid w:val="00834D2F"/>
    <w:rsid w:val="00835340"/>
    <w:rsid w:val="008354B5"/>
    <w:rsid w:val="0083571D"/>
    <w:rsid w:val="00836077"/>
    <w:rsid w:val="00836287"/>
    <w:rsid w:val="00836473"/>
    <w:rsid w:val="00836537"/>
    <w:rsid w:val="0083669A"/>
    <w:rsid w:val="00836947"/>
    <w:rsid w:val="00836B36"/>
    <w:rsid w:val="00836E1F"/>
    <w:rsid w:val="00836FB2"/>
    <w:rsid w:val="00837080"/>
    <w:rsid w:val="00837117"/>
    <w:rsid w:val="008374B4"/>
    <w:rsid w:val="00837688"/>
    <w:rsid w:val="00837873"/>
    <w:rsid w:val="00837F89"/>
    <w:rsid w:val="008403DC"/>
    <w:rsid w:val="008413CA"/>
    <w:rsid w:val="008418EB"/>
    <w:rsid w:val="00841D2C"/>
    <w:rsid w:val="00841DC3"/>
    <w:rsid w:val="00841F09"/>
    <w:rsid w:val="00841F39"/>
    <w:rsid w:val="00841F45"/>
    <w:rsid w:val="0084215C"/>
    <w:rsid w:val="00842418"/>
    <w:rsid w:val="00842446"/>
    <w:rsid w:val="0084255A"/>
    <w:rsid w:val="00842985"/>
    <w:rsid w:val="00842B43"/>
    <w:rsid w:val="00842C79"/>
    <w:rsid w:val="00843186"/>
    <w:rsid w:val="0084327F"/>
    <w:rsid w:val="0084329A"/>
    <w:rsid w:val="008433D1"/>
    <w:rsid w:val="008433F4"/>
    <w:rsid w:val="0084355C"/>
    <w:rsid w:val="008435E0"/>
    <w:rsid w:val="00843679"/>
    <w:rsid w:val="00843681"/>
    <w:rsid w:val="0084381D"/>
    <w:rsid w:val="00843DF7"/>
    <w:rsid w:val="00844134"/>
    <w:rsid w:val="00844838"/>
    <w:rsid w:val="00844965"/>
    <w:rsid w:val="00844EE5"/>
    <w:rsid w:val="00844FB6"/>
    <w:rsid w:val="008453FA"/>
    <w:rsid w:val="00845524"/>
    <w:rsid w:val="0084564E"/>
    <w:rsid w:val="0084586E"/>
    <w:rsid w:val="008458AD"/>
    <w:rsid w:val="008459D1"/>
    <w:rsid w:val="00845E55"/>
    <w:rsid w:val="00845EDF"/>
    <w:rsid w:val="008460BA"/>
    <w:rsid w:val="00846168"/>
    <w:rsid w:val="008463E8"/>
    <w:rsid w:val="00846492"/>
    <w:rsid w:val="008464F9"/>
    <w:rsid w:val="00846963"/>
    <w:rsid w:val="00846A52"/>
    <w:rsid w:val="00846C87"/>
    <w:rsid w:val="00847C58"/>
    <w:rsid w:val="00850137"/>
    <w:rsid w:val="00850191"/>
    <w:rsid w:val="008501C3"/>
    <w:rsid w:val="00850EAF"/>
    <w:rsid w:val="00850EC1"/>
    <w:rsid w:val="00851341"/>
    <w:rsid w:val="0085139E"/>
    <w:rsid w:val="00851522"/>
    <w:rsid w:val="00851649"/>
    <w:rsid w:val="00851661"/>
    <w:rsid w:val="008518B4"/>
    <w:rsid w:val="008518EC"/>
    <w:rsid w:val="00851BAB"/>
    <w:rsid w:val="00851E94"/>
    <w:rsid w:val="0085224E"/>
    <w:rsid w:val="0085227E"/>
    <w:rsid w:val="008525EC"/>
    <w:rsid w:val="00852636"/>
    <w:rsid w:val="00852705"/>
    <w:rsid w:val="008527A5"/>
    <w:rsid w:val="008529AF"/>
    <w:rsid w:val="00852AA8"/>
    <w:rsid w:val="00852B0D"/>
    <w:rsid w:val="00852BF7"/>
    <w:rsid w:val="00852E4A"/>
    <w:rsid w:val="00853288"/>
    <w:rsid w:val="0085341C"/>
    <w:rsid w:val="00853788"/>
    <w:rsid w:val="0085380E"/>
    <w:rsid w:val="00853867"/>
    <w:rsid w:val="008540C0"/>
    <w:rsid w:val="0085463E"/>
    <w:rsid w:val="0085538E"/>
    <w:rsid w:val="00855925"/>
    <w:rsid w:val="00855AFF"/>
    <w:rsid w:val="00855B1B"/>
    <w:rsid w:val="00855C1F"/>
    <w:rsid w:val="00855FBF"/>
    <w:rsid w:val="0085672F"/>
    <w:rsid w:val="008569A5"/>
    <w:rsid w:val="00856A68"/>
    <w:rsid w:val="00856E90"/>
    <w:rsid w:val="00857824"/>
    <w:rsid w:val="0085B3E2"/>
    <w:rsid w:val="008608D9"/>
    <w:rsid w:val="008609C5"/>
    <w:rsid w:val="008609D5"/>
    <w:rsid w:val="00860A51"/>
    <w:rsid w:val="00860CA9"/>
    <w:rsid w:val="00860E88"/>
    <w:rsid w:val="00860ED2"/>
    <w:rsid w:val="00860EDD"/>
    <w:rsid w:val="008611D5"/>
    <w:rsid w:val="00861401"/>
    <w:rsid w:val="0086154C"/>
    <w:rsid w:val="008615F3"/>
    <w:rsid w:val="008619A5"/>
    <w:rsid w:val="00861A15"/>
    <w:rsid w:val="00861D2C"/>
    <w:rsid w:val="00861F23"/>
    <w:rsid w:val="00861F4A"/>
    <w:rsid w:val="00862102"/>
    <w:rsid w:val="008621F0"/>
    <w:rsid w:val="008622E1"/>
    <w:rsid w:val="00862B42"/>
    <w:rsid w:val="00863298"/>
    <w:rsid w:val="0086367C"/>
    <w:rsid w:val="0086381C"/>
    <w:rsid w:val="00863851"/>
    <w:rsid w:val="0086403B"/>
    <w:rsid w:val="008644B7"/>
    <w:rsid w:val="008646FD"/>
    <w:rsid w:val="00864FC3"/>
    <w:rsid w:val="00865694"/>
    <w:rsid w:val="00865895"/>
    <w:rsid w:val="00865A05"/>
    <w:rsid w:val="00865AA6"/>
    <w:rsid w:val="00865B1F"/>
    <w:rsid w:val="00865E0E"/>
    <w:rsid w:val="00866134"/>
    <w:rsid w:val="008664C7"/>
    <w:rsid w:val="00866727"/>
    <w:rsid w:val="00866A15"/>
    <w:rsid w:val="00866B26"/>
    <w:rsid w:val="00866C6D"/>
    <w:rsid w:val="00866C88"/>
    <w:rsid w:val="00866DCA"/>
    <w:rsid w:val="008673BC"/>
    <w:rsid w:val="008674F4"/>
    <w:rsid w:val="008676C7"/>
    <w:rsid w:val="0086798B"/>
    <w:rsid w:val="00867B09"/>
    <w:rsid w:val="00867B65"/>
    <w:rsid w:val="008703B8"/>
    <w:rsid w:val="00870472"/>
    <w:rsid w:val="0087057D"/>
    <w:rsid w:val="00870694"/>
    <w:rsid w:val="00870B4A"/>
    <w:rsid w:val="00870CC3"/>
    <w:rsid w:val="00870DEA"/>
    <w:rsid w:val="00871187"/>
    <w:rsid w:val="008715A1"/>
    <w:rsid w:val="00871970"/>
    <w:rsid w:val="00871D69"/>
    <w:rsid w:val="00871EA0"/>
    <w:rsid w:val="0087200C"/>
    <w:rsid w:val="0087261B"/>
    <w:rsid w:val="00872737"/>
    <w:rsid w:val="00872753"/>
    <w:rsid w:val="008728CB"/>
    <w:rsid w:val="00872909"/>
    <w:rsid w:val="00872BDA"/>
    <w:rsid w:val="00872C6C"/>
    <w:rsid w:val="008731F0"/>
    <w:rsid w:val="008731F2"/>
    <w:rsid w:val="00873758"/>
    <w:rsid w:val="008738AA"/>
    <w:rsid w:val="00873BAD"/>
    <w:rsid w:val="00873E3E"/>
    <w:rsid w:val="008741B4"/>
    <w:rsid w:val="0087426E"/>
    <w:rsid w:val="0087467E"/>
    <w:rsid w:val="00874827"/>
    <w:rsid w:val="00874CB2"/>
    <w:rsid w:val="00874DEE"/>
    <w:rsid w:val="00875033"/>
    <w:rsid w:val="00875436"/>
    <w:rsid w:val="008758EA"/>
    <w:rsid w:val="008758F9"/>
    <w:rsid w:val="00875A67"/>
    <w:rsid w:val="008761DB"/>
    <w:rsid w:val="0087653B"/>
    <w:rsid w:val="00876555"/>
    <w:rsid w:val="00876A44"/>
    <w:rsid w:val="00876E54"/>
    <w:rsid w:val="00876F23"/>
    <w:rsid w:val="00876FB6"/>
    <w:rsid w:val="00877342"/>
    <w:rsid w:val="008774DE"/>
    <w:rsid w:val="00877733"/>
    <w:rsid w:val="00877C0E"/>
    <w:rsid w:val="00877C9B"/>
    <w:rsid w:val="00877CCF"/>
    <w:rsid w:val="00877CF5"/>
    <w:rsid w:val="00877E5A"/>
    <w:rsid w:val="00877EED"/>
    <w:rsid w:val="00880251"/>
    <w:rsid w:val="00880449"/>
    <w:rsid w:val="0088054D"/>
    <w:rsid w:val="008805A1"/>
    <w:rsid w:val="008806D5"/>
    <w:rsid w:val="00880748"/>
    <w:rsid w:val="008808E8"/>
    <w:rsid w:val="00880E28"/>
    <w:rsid w:val="00880F52"/>
    <w:rsid w:val="00881350"/>
    <w:rsid w:val="0088140A"/>
    <w:rsid w:val="0088140D"/>
    <w:rsid w:val="0088141D"/>
    <w:rsid w:val="008814FC"/>
    <w:rsid w:val="0088195C"/>
    <w:rsid w:val="008821B0"/>
    <w:rsid w:val="00882402"/>
    <w:rsid w:val="008828BE"/>
    <w:rsid w:val="00882A25"/>
    <w:rsid w:val="00882C05"/>
    <w:rsid w:val="00882C95"/>
    <w:rsid w:val="00882E34"/>
    <w:rsid w:val="00882F45"/>
    <w:rsid w:val="0088316B"/>
    <w:rsid w:val="008831A7"/>
    <w:rsid w:val="008831FD"/>
    <w:rsid w:val="0088399B"/>
    <w:rsid w:val="00883C78"/>
    <w:rsid w:val="00884687"/>
    <w:rsid w:val="00884718"/>
    <w:rsid w:val="008849D4"/>
    <w:rsid w:val="008852D4"/>
    <w:rsid w:val="00885840"/>
    <w:rsid w:val="00885AB2"/>
    <w:rsid w:val="00885BC9"/>
    <w:rsid w:val="00885E75"/>
    <w:rsid w:val="0088620E"/>
    <w:rsid w:val="008866CF"/>
    <w:rsid w:val="00886909"/>
    <w:rsid w:val="00886959"/>
    <w:rsid w:val="00886988"/>
    <w:rsid w:val="00886C2B"/>
    <w:rsid w:val="00887133"/>
    <w:rsid w:val="008871C5"/>
    <w:rsid w:val="00887281"/>
    <w:rsid w:val="008873DF"/>
    <w:rsid w:val="008875D7"/>
    <w:rsid w:val="008877A4"/>
    <w:rsid w:val="0088787D"/>
    <w:rsid w:val="00887A22"/>
    <w:rsid w:val="00887E37"/>
    <w:rsid w:val="00890314"/>
    <w:rsid w:val="0089069C"/>
    <w:rsid w:val="00890C8F"/>
    <w:rsid w:val="00890D5D"/>
    <w:rsid w:val="00891200"/>
    <w:rsid w:val="00891565"/>
    <w:rsid w:val="00891724"/>
    <w:rsid w:val="00891A68"/>
    <w:rsid w:val="00891FA9"/>
    <w:rsid w:val="00892128"/>
    <w:rsid w:val="00892813"/>
    <w:rsid w:val="0089287B"/>
    <w:rsid w:val="0089297E"/>
    <w:rsid w:val="00892A43"/>
    <w:rsid w:val="00892A6D"/>
    <w:rsid w:val="00892CC6"/>
    <w:rsid w:val="00892D89"/>
    <w:rsid w:val="00892E3E"/>
    <w:rsid w:val="00892FA2"/>
    <w:rsid w:val="0089324C"/>
    <w:rsid w:val="008937EF"/>
    <w:rsid w:val="00893A11"/>
    <w:rsid w:val="00893C67"/>
    <w:rsid w:val="00894402"/>
    <w:rsid w:val="008947C2"/>
    <w:rsid w:val="008947CB"/>
    <w:rsid w:val="008949B7"/>
    <w:rsid w:val="00894C5F"/>
    <w:rsid w:val="00895019"/>
    <w:rsid w:val="008952B8"/>
    <w:rsid w:val="008953E9"/>
    <w:rsid w:val="0089545C"/>
    <w:rsid w:val="0089554C"/>
    <w:rsid w:val="0089557D"/>
    <w:rsid w:val="00895CBE"/>
    <w:rsid w:val="00895E73"/>
    <w:rsid w:val="00895F93"/>
    <w:rsid w:val="00896201"/>
    <w:rsid w:val="0089621E"/>
    <w:rsid w:val="00896288"/>
    <w:rsid w:val="00896407"/>
    <w:rsid w:val="008966BB"/>
    <w:rsid w:val="0089682C"/>
    <w:rsid w:val="00896ECB"/>
    <w:rsid w:val="008970D8"/>
    <w:rsid w:val="0089743B"/>
    <w:rsid w:val="008974A9"/>
    <w:rsid w:val="0089794D"/>
    <w:rsid w:val="00897C5B"/>
    <w:rsid w:val="00897EB0"/>
    <w:rsid w:val="008A03C0"/>
    <w:rsid w:val="008A090F"/>
    <w:rsid w:val="008A09BF"/>
    <w:rsid w:val="008A1DD0"/>
    <w:rsid w:val="008A1ED8"/>
    <w:rsid w:val="008A1EF9"/>
    <w:rsid w:val="008A2059"/>
    <w:rsid w:val="008A20B1"/>
    <w:rsid w:val="008A227A"/>
    <w:rsid w:val="008A241A"/>
    <w:rsid w:val="008A2551"/>
    <w:rsid w:val="008A25CE"/>
    <w:rsid w:val="008A288D"/>
    <w:rsid w:val="008A28E5"/>
    <w:rsid w:val="008A298B"/>
    <w:rsid w:val="008A2B00"/>
    <w:rsid w:val="008A2C25"/>
    <w:rsid w:val="008A2D93"/>
    <w:rsid w:val="008A2F13"/>
    <w:rsid w:val="008A31CF"/>
    <w:rsid w:val="008A3506"/>
    <w:rsid w:val="008A353F"/>
    <w:rsid w:val="008A36D6"/>
    <w:rsid w:val="008A36E1"/>
    <w:rsid w:val="008A373E"/>
    <w:rsid w:val="008A37A7"/>
    <w:rsid w:val="008A38A3"/>
    <w:rsid w:val="008A3AB6"/>
    <w:rsid w:val="008A3C49"/>
    <w:rsid w:val="008A3E64"/>
    <w:rsid w:val="008A41FF"/>
    <w:rsid w:val="008A4293"/>
    <w:rsid w:val="008A473D"/>
    <w:rsid w:val="008A47E4"/>
    <w:rsid w:val="008A4A97"/>
    <w:rsid w:val="008A4C51"/>
    <w:rsid w:val="008A4F35"/>
    <w:rsid w:val="008A511B"/>
    <w:rsid w:val="008A5D20"/>
    <w:rsid w:val="008A5E74"/>
    <w:rsid w:val="008A607B"/>
    <w:rsid w:val="008A69CC"/>
    <w:rsid w:val="008A6C39"/>
    <w:rsid w:val="008A6DB5"/>
    <w:rsid w:val="008A714E"/>
    <w:rsid w:val="008A723A"/>
    <w:rsid w:val="008A745D"/>
    <w:rsid w:val="008A7638"/>
    <w:rsid w:val="008A7963"/>
    <w:rsid w:val="008A7D4D"/>
    <w:rsid w:val="008B0111"/>
    <w:rsid w:val="008B034C"/>
    <w:rsid w:val="008B0557"/>
    <w:rsid w:val="008B0736"/>
    <w:rsid w:val="008B081A"/>
    <w:rsid w:val="008B0BAF"/>
    <w:rsid w:val="008B0CF7"/>
    <w:rsid w:val="008B0E73"/>
    <w:rsid w:val="008B1033"/>
    <w:rsid w:val="008B16A5"/>
    <w:rsid w:val="008B1A0E"/>
    <w:rsid w:val="008B1A23"/>
    <w:rsid w:val="008B1AD7"/>
    <w:rsid w:val="008B1C5D"/>
    <w:rsid w:val="008B1DC0"/>
    <w:rsid w:val="008B2232"/>
    <w:rsid w:val="008B2393"/>
    <w:rsid w:val="008B23D4"/>
    <w:rsid w:val="008B24DB"/>
    <w:rsid w:val="008B26E0"/>
    <w:rsid w:val="008B2A76"/>
    <w:rsid w:val="008B2CB6"/>
    <w:rsid w:val="008B2D07"/>
    <w:rsid w:val="008B315B"/>
    <w:rsid w:val="008B35D2"/>
    <w:rsid w:val="008B378A"/>
    <w:rsid w:val="008B38DD"/>
    <w:rsid w:val="008B3FB8"/>
    <w:rsid w:val="008B4136"/>
    <w:rsid w:val="008B4206"/>
    <w:rsid w:val="008B4413"/>
    <w:rsid w:val="008B4494"/>
    <w:rsid w:val="008B4646"/>
    <w:rsid w:val="008B47B3"/>
    <w:rsid w:val="008B49C7"/>
    <w:rsid w:val="008B4C21"/>
    <w:rsid w:val="008B4C9A"/>
    <w:rsid w:val="008B4E15"/>
    <w:rsid w:val="008B521B"/>
    <w:rsid w:val="008B52E1"/>
    <w:rsid w:val="008B549E"/>
    <w:rsid w:val="008B55D1"/>
    <w:rsid w:val="008B57C7"/>
    <w:rsid w:val="008B5DCF"/>
    <w:rsid w:val="008B5E3E"/>
    <w:rsid w:val="008B5FD0"/>
    <w:rsid w:val="008B6455"/>
    <w:rsid w:val="008B6579"/>
    <w:rsid w:val="008B668F"/>
    <w:rsid w:val="008B674C"/>
    <w:rsid w:val="008B6D2D"/>
    <w:rsid w:val="008B71C2"/>
    <w:rsid w:val="008B7517"/>
    <w:rsid w:val="008B762C"/>
    <w:rsid w:val="008B764D"/>
    <w:rsid w:val="008B7CD4"/>
    <w:rsid w:val="008C041D"/>
    <w:rsid w:val="008C05C1"/>
    <w:rsid w:val="008C0B24"/>
    <w:rsid w:val="008C0DFA"/>
    <w:rsid w:val="008C0E94"/>
    <w:rsid w:val="008C1684"/>
    <w:rsid w:val="008C1B1C"/>
    <w:rsid w:val="008C1EBC"/>
    <w:rsid w:val="008C1FC9"/>
    <w:rsid w:val="008C2064"/>
    <w:rsid w:val="008C208C"/>
    <w:rsid w:val="008C20AC"/>
    <w:rsid w:val="008C2396"/>
    <w:rsid w:val="008C248C"/>
    <w:rsid w:val="008C2556"/>
    <w:rsid w:val="008C2841"/>
    <w:rsid w:val="008C29EB"/>
    <w:rsid w:val="008C2CA4"/>
    <w:rsid w:val="008C2D0B"/>
    <w:rsid w:val="008C336B"/>
    <w:rsid w:val="008C440B"/>
    <w:rsid w:val="008C49A0"/>
    <w:rsid w:val="008C4BC6"/>
    <w:rsid w:val="008C4D74"/>
    <w:rsid w:val="008C508B"/>
    <w:rsid w:val="008C50FD"/>
    <w:rsid w:val="008C5122"/>
    <w:rsid w:val="008C555F"/>
    <w:rsid w:val="008C56F4"/>
    <w:rsid w:val="008C5BFB"/>
    <w:rsid w:val="008C5CFC"/>
    <w:rsid w:val="008C5E0D"/>
    <w:rsid w:val="008C61B7"/>
    <w:rsid w:val="008C6392"/>
    <w:rsid w:val="008C6E76"/>
    <w:rsid w:val="008C7149"/>
    <w:rsid w:val="008C743A"/>
    <w:rsid w:val="008C7CAA"/>
    <w:rsid w:val="008C7F86"/>
    <w:rsid w:val="008D00B4"/>
    <w:rsid w:val="008D00B6"/>
    <w:rsid w:val="008D0289"/>
    <w:rsid w:val="008D063F"/>
    <w:rsid w:val="008D06EE"/>
    <w:rsid w:val="008D0895"/>
    <w:rsid w:val="008D0A59"/>
    <w:rsid w:val="008D0CE9"/>
    <w:rsid w:val="008D0D01"/>
    <w:rsid w:val="008D111A"/>
    <w:rsid w:val="008D1466"/>
    <w:rsid w:val="008D16DC"/>
    <w:rsid w:val="008D1CE1"/>
    <w:rsid w:val="008D1D18"/>
    <w:rsid w:val="008D31BD"/>
    <w:rsid w:val="008D32A7"/>
    <w:rsid w:val="008D32EA"/>
    <w:rsid w:val="008D33DF"/>
    <w:rsid w:val="008D395A"/>
    <w:rsid w:val="008D3995"/>
    <w:rsid w:val="008D39C8"/>
    <w:rsid w:val="008D39D8"/>
    <w:rsid w:val="008D3E60"/>
    <w:rsid w:val="008D46A2"/>
    <w:rsid w:val="008D4A58"/>
    <w:rsid w:val="008D4D74"/>
    <w:rsid w:val="008D542C"/>
    <w:rsid w:val="008D55E1"/>
    <w:rsid w:val="008D5753"/>
    <w:rsid w:val="008D5978"/>
    <w:rsid w:val="008D5F5E"/>
    <w:rsid w:val="008D5FCC"/>
    <w:rsid w:val="008D60A9"/>
    <w:rsid w:val="008D6531"/>
    <w:rsid w:val="008D6717"/>
    <w:rsid w:val="008D6C0D"/>
    <w:rsid w:val="008D6C65"/>
    <w:rsid w:val="008D703D"/>
    <w:rsid w:val="008D73BA"/>
    <w:rsid w:val="008D73C7"/>
    <w:rsid w:val="008D742A"/>
    <w:rsid w:val="008D7530"/>
    <w:rsid w:val="008D777D"/>
    <w:rsid w:val="008D79A1"/>
    <w:rsid w:val="008D7D14"/>
    <w:rsid w:val="008D7E3D"/>
    <w:rsid w:val="008D7F69"/>
    <w:rsid w:val="008E001E"/>
    <w:rsid w:val="008E0363"/>
    <w:rsid w:val="008E04FF"/>
    <w:rsid w:val="008E0776"/>
    <w:rsid w:val="008E0CA9"/>
    <w:rsid w:val="008E1260"/>
    <w:rsid w:val="008E1319"/>
    <w:rsid w:val="008E18C0"/>
    <w:rsid w:val="008E1B27"/>
    <w:rsid w:val="008E1E14"/>
    <w:rsid w:val="008E2288"/>
    <w:rsid w:val="008E2297"/>
    <w:rsid w:val="008E263F"/>
    <w:rsid w:val="008E29D2"/>
    <w:rsid w:val="008E2A4E"/>
    <w:rsid w:val="008E3134"/>
    <w:rsid w:val="008E3746"/>
    <w:rsid w:val="008E38BA"/>
    <w:rsid w:val="008E3AA9"/>
    <w:rsid w:val="008E3EAA"/>
    <w:rsid w:val="008E4240"/>
    <w:rsid w:val="008E457E"/>
    <w:rsid w:val="008E46B8"/>
    <w:rsid w:val="008E4760"/>
    <w:rsid w:val="008E47E3"/>
    <w:rsid w:val="008E4836"/>
    <w:rsid w:val="008E4A53"/>
    <w:rsid w:val="008E51DB"/>
    <w:rsid w:val="008E54D1"/>
    <w:rsid w:val="008E5626"/>
    <w:rsid w:val="008E56DE"/>
    <w:rsid w:val="008E5861"/>
    <w:rsid w:val="008E5B09"/>
    <w:rsid w:val="008E5BB3"/>
    <w:rsid w:val="008E5EA3"/>
    <w:rsid w:val="008E62D0"/>
    <w:rsid w:val="008E6678"/>
    <w:rsid w:val="008E66DB"/>
    <w:rsid w:val="008E6885"/>
    <w:rsid w:val="008E6A48"/>
    <w:rsid w:val="008E741E"/>
    <w:rsid w:val="008E746D"/>
    <w:rsid w:val="008E74CA"/>
    <w:rsid w:val="008E78D7"/>
    <w:rsid w:val="008E79D0"/>
    <w:rsid w:val="008E7AB8"/>
    <w:rsid w:val="008F0050"/>
    <w:rsid w:val="008F009D"/>
    <w:rsid w:val="008F02A5"/>
    <w:rsid w:val="008F02EC"/>
    <w:rsid w:val="008F03E1"/>
    <w:rsid w:val="008F0848"/>
    <w:rsid w:val="008F0AE5"/>
    <w:rsid w:val="008F0C7D"/>
    <w:rsid w:val="008F1136"/>
    <w:rsid w:val="008F1612"/>
    <w:rsid w:val="008F1954"/>
    <w:rsid w:val="008F1E09"/>
    <w:rsid w:val="008F1EBF"/>
    <w:rsid w:val="008F1FCB"/>
    <w:rsid w:val="008F2148"/>
    <w:rsid w:val="008F21B4"/>
    <w:rsid w:val="008F2925"/>
    <w:rsid w:val="008F2A03"/>
    <w:rsid w:val="008F2BB8"/>
    <w:rsid w:val="008F2EA7"/>
    <w:rsid w:val="008F2FF0"/>
    <w:rsid w:val="008F302F"/>
    <w:rsid w:val="008F3A8D"/>
    <w:rsid w:val="008F3AB3"/>
    <w:rsid w:val="008F3CF6"/>
    <w:rsid w:val="008F3EA1"/>
    <w:rsid w:val="008F4298"/>
    <w:rsid w:val="008F4375"/>
    <w:rsid w:val="008F443D"/>
    <w:rsid w:val="008F4731"/>
    <w:rsid w:val="008F4971"/>
    <w:rsid w:val="008F49F1"/>
    <w:rsid w:val="008F4B59"/>
    <w:rsid w:val="008F50DA"/>
    <w:rsid w:val="008F510F"/>
    <w:rsid w:val="008F5240"/>
    <w:rsid w:val="008F57AE"/>
    <w:rsid w:val="008F5C4D"/>
    <w:rsid w:val="008F5CE7"/>
    <w:rsid w:val="008F5FAB"/>
    <w:rsid w:val="008F5FB2"/>
    <w:rsid w:val="008F7317"/>
    <w:rsid w:val="008F755F"/>
    <w:rsid w:val="008F76F6"/>
    <w:rsid w:val="008F7801"/>
    <w:rsid w:val="008F7824"/>
    <w:rsid w:val="008F7833"/>
    <w:rsid w:val="008F7864"/>
    <w:rsid w:val="008F7921"/>
    <w:rsid w:val="008F7CBF"/>
    <w:rsid w:val="008F7FD9"/>
    <w:rsid w:val="0090004D"/>
    <w:rsid w:val="00900068"/>
    <w:rsid w:val="0090061B"/>
    <w:rsid w:val="0090063F"/>
    <w:rsid w:val="00900730"/>
    <w:rsid w:val="009009D9"/>
    <w:rsid w:val="00900B8B"/>
    <w:rsid w:val="00900D8C"/>
    <w:rsid w:val="00900F92"/>
    <w:rsid w:val="009010FC"/>
    <w:rsid w:val="0090151C"/>
    <w:rsid w:val="00901935"/>
    <w:rsid w:val="00901EB0"/>
    <w:rsid w:val="00901F4F"/>
    <w:rsid w:val="00902332"/>
    <w:rsid w:val="009023D6"/>
    <w:rsid w:val="0090293F"/>
    <w:rsid w:val="00902C85"/>
    <w:rsid w:val="00903532"/>
    <w:rsid w:val="00903894"/>
    <w:rsid w:val="00903A47"/>
    <w:rsid w:val="00903FE2"/>
    <w:rsid w:val="0090400D"/>
    <w:rsid w:val="0090402D"/>
    <w:rsid w:val="00904168"/>
    <w:rsid w:val="0090422A"/>
    <w:rsid w:val="009043D9"/>
    <w:rsid w:val="00904B24"/>
    <w:rsid w:val="00904E7A"/>
    <w:rsid w:val="009053C4"/>
    <w:rsid w:val="009053EC"/>
    <w:rsid w:val="00905828"/>
    <w:rsid w:val="00905CAA"/>
    <w:rsid w:val="00905DE3"/>
    <w:rsid w:val="00906205"/>
    <w:rsid w:val="009062A3"/>
    <w:rsid w:val="00906A4D"/>
    <w:rsid w:val="00907138"/>
    <w:rsid w:val="00907182"/>
    <w:rsid w:val="009073E9"/>
    <w:rsid w:val="00907413"/>
    <w:rsid w:val="00907437"/>
    <w:rsid w:val="009076DB"/>
    <w:rsid w:val="00907701"/>
    <w:rsid w:val="0090785D"/>
    <w:rsid w:val="009078A1"/>
    <w:rsid w:val="009079C4"/>
    <w:rsid w:val="00907C28"/>
    <w:rsid w:val="00907C79"/>
    <w:rsid w:val="00907E02"/>
    <w:rsid w:val="00910011"/>
    <w:rsid w:val="009101B0"/>
    <w:rsid w:val="0091026C"/>
    <w:rsid w:val="0091033C"/>
    <w:rsid w:val="009103AF"/>
    <w:rsid w:val="009106DA"/>
    <w:rsid w:val="00910A85"/>
    <w:rsid w:val="00910B0F"/>
    <w:rsid w:val="00910B7D"/>
    <w:rsid w:val="00910DB6"/>
    <w:rsid w:val="009112A7"/>
    <w:rsid w:val="009112CC"/>
    <w:rsid w:val="00911364"/>
    <w:rsid w:val="00911388"/>
    <w:rsid w:val="0091148D"/>
    <w:rsid w:val="0091180B"/>
    <w:rsid w:val="00911A08"/>
    <w:rsid w:val="00911A2D"/>
    <w:rsid w:val="00911BDE"/>
    <w:rsid w:val="00911C2C"/>
    <w:rsid w:val="00911D31"/>
    <w:rsid w:val="0091205A"/>
    <w:rsid w:val="00912280"/>
    <w:rsid w:val="009122C4"/>
    <w:rsid w:val="0091241A"/>
    <w:rsid w:val="00912598"/>
    <w:rsid w:val="009126E6"/>
    <w:rsid w:val="009127C1"/>
    <w:rsid w:val="00912A98"/>
    <w:rsid w:val="009137AB"/>
    <w:rsid w:val="00913866"/>
    <w:rsid w:val="00913A50"/>
    <w:rsid w:val="00913AC3"/>
    <w:rsid w:val="00913B18"/>
    <w:rsid w:val="00913B43"/>
    <w:rsid w:val="00913C7A"/>
    <w:rsid w:val="00913D8E"/>
    <w:rsid w:val="00913F0A"/>
    <w:rsid w:val="00914423"/>
    <w:rsid w:val="00914435"/>
    <w:rsid w:val="0091446A"/>
    <w:rsid w:val="00914643"/>
    <w:rsid w:val="00914B64"/>
    <w:rsid w:val="00914BA7"/>
    <w:rsid w:val="00914DC6"/>
    <w:rsid w:val="00914F33"/>
    <w:rsid w:val="0091511F"/>
    <w:rsid w:val="00915196"/>
    <w:rsid w:val="009153E0"/>
    <w:rsid w:val="00915414"/>
    <w:rsid w:val="009155A4"/>
    <w:rsid w:val="00915888"/>
    <w:rsid w:val="00915F5A"/>
    <w:rsid w:val="00916086"/>
    <w:rsid w:val="0091683A"/>
    <w:rsid w:val="009169A8"/>
    <w:rsid w:val="00916B05"/>
    <w:rsid w:val="00916C12"/>
    <w:rsid w:val="00916E17"/>
    <w:rsid w:val="009177DD"/>
    <w:rsid w:val="0091792E"/>
    <w:rsid w:val="00920473"/>
    <w:rsid w:val="009204BC"/>
    <w:rsid w:val="00920698"/>
    <w:rsid w:val="009209B6"/>
    <w:rsid w:val="009209EE"/>
    <w:rsid w:val="00920B86"/>
    <w:rsid w:val="00920C52"/>
    <w:rsid w:val="00920DBE"/>
    <w:rsid w:val="00920EDB"/>
    <w:rsid w:val="00920FC0"/>
    <w:rsid w:val="0092105A"/>
    <w:rsid w:val="00921868"/>
    <w:rsid w:val="00921B20"/>
    <w:rsid w:val="00921C32"/>
    <w:rsid w:val="00922196"/>
    <w:rsid w:val="00922288"/>
    <w:rsid w:val="009222D6"/>
    <w:rsid w:val="009223DC"/>
    <w:rsid w:val="00922511"/>
    <w:rsid w:val="00922571"/>
    <w:rsid w:val="009227E6"/>
    <w:rsid w:val="00922A25"/>
    <w:rsid w:val="00922B0B"/>
    <w:rsid w:val="00922DD8"/>
    <w:rsid w:val="0092309B"/>
    <w:rsid w:val="00923445"/>
    <w:rsid w:val="00923C9C"/>
    <w:rsid w:val="00923D9F"/>
    <w:rsid w:val="0092443E"/>
    <w:rsid w:val="009244F8"/>
    <w:rsid w:val="0092453B"/>
    <w:rsid w:val="009249A1"/>
    <w:rsid w:val="00924A3B"/>
    <w:rsid w:val="00924A49"/>
    <w:rsid w:val="0092540B"/>
    <w:rsid w:val="00925421"/>
    <w:rsid w:val="0092551D"/>
    <w:rsid w:val="00925773"/>
    <w:rsid w:val="00925804"/>
    <w:rsid w:val="009259FD"/>
    <w:rsid w:val="00925BB3"/>
    <w:rsid w:val="00926177"/>
    <w:rsid w:val="009261DE"/>
    <w:rsid w:val="00926314"/>
    <w:rsid w:val="009266E2"/>
    <w:rsid w:val="00926DB2"/>
    <w:rsid w:val="0092760A"/>
    <w:rsid w:val="009277A2"/>
    <w:rsid w:val="00927810"/>
    <w:rsid w:val="00927975"/>
    <w:rsid w:val="009304FB"/>
    <w:rsid w:val="009304FE"/>
    <w:rsid w:val="009308D6"/>
    <w:rsid w:val="00930FC5"/>
    <w:rsid w:val="00931256"/>
    <w:rsid w:val="00931409"/>
    <w:rsid w:val="00931B4E"/>
    <w:rsid w:val="00931F91"/>
    <w:rsid w:val="00932288"/>
    <w:rsid w:val="009322E3"/>
    <w:rsid w:val="009327CA"/>
    <w:rsid w:val="00932986"/>
    <w:rsid w:val="00932B75"/>
    <w:rsid w:val="00932DF9"/>
    <w:rsid w:val="00932E51"/>
    <w:rsid w:val="00932FD9"/>
    <w:rsid w:val="0093322E"/>
    <w:rsid w:val="0093330E"/>
    <w:rsid w:val="00933410"/>
    <w:rsid w:val="009335B8"/>
    <w:rsid w:val="00933668"/>
    <w:rsid w:val="0093368B"/>
    <w:rsid w:val="00933C1B"/>
    <w:rsid w:val="00933C63"/>
    <w:rsid w:val="00933CC1"/>
    <w:rsid w:val="00934035"/>
    <w:rsid w:val="009340FC"/>
    <w:rsid w:val="009345EA"/>
    <w:rsid w:val="00934B18"/>
    <w:rsid w:val="00934D90"/>
    <w:rsid w:val="00934F74"/>
    <w:rsid w:val="00935222"/>
    <w:rsid w:val="00935488"/>
    <w:rsid w:val="00935770"/>
    <w:rsid w:val="0093599C"/>
    <w:rsid w:val="0093665E"/>
    <w:rsid w:val="00936712"/>
    <w:rsid w:val="009368A1"/>
    <w:rsid w:val="00936DA7"/>
    <w:rsid w:val="00937017"/>
    <w:rsid w:val="009371ED"/>
    <w:rsid w:val="009372B0"/>
    <w:rsid w:val="009375CD"/>
    <w:rsid w:val="009377AE"/>
    <w:rsid w:val="00937A07"/>
    <w:rsid w:val="00937C01"/>
    <w:rsid w:val="00940303"/>
    <w:rsid w:val="00940504"/>
    <w:rsid w:val="00940603"/>
    <w:rsid w:val="00940BF3"/>
    <w:rsid w:val="00940DF6"/>
    <w:rsid w:val="00940E67"/>
    <w:rsid w:val="00940F7E"/>
    <w:rsid w:val="0094127C"/>
    <w:rsid w:val="0094140A"/>
    <w:rsid w:val="00941672"/>
    <w:rsid w:val="00941929"/>
    <w:rsid w:val="00941967"/>
    <w:rsid w:val="00941C5B"/>
    <w:rsid w:val="00941DD6"/>
    <w:rsid w:val="00942338"/>
    <w:rsid w:val="00942527"/>
    <w:rsid w:val="0094275E"/>
    <w:rsid w:val="00942941"/>
    <w:rsid w:val="00942A47"/>
    <w:rsid w:val="009433F4"/>
    <w:rsid w:val="009437F5"/>
    <w:rsid w:val="009442B9"/>
    <w:rsid w:val="00944D25"/>
    <w:rsid w:val="00944DAC"/>
    <w:rsid w:val="0094556E"/>
    <w:rsid w:val="009458EC"/>
    <w:rsid w:val="00945BFC"/>
    <w:rsid w:val="00946232"/>
    <w:rsid w:val="00946534"/>
    <w:rsid w:val="009465ED"/>
    <w:rsid w:val="0094677E"/>
    <w:rsid w:val="0094686D"/>
    <w:rsid w:val="009468EE"/>
    <w:rsid w:val="00946AB9"/>
    <w:rsid w:val="00946DE4"/>
    <w:rsid w:val="0094751F"/>
    <w:rsid w:val="00947559"/>
    <w:rsid w:val="00947660"/>
    <w:rsid w:val="00947783"/>
    <w:rsid w:val="00947BB8"/>
    <w:rsid w:val="00950694"/>
    <w:rsid w:val="009506E2"/>
    <w:rsid w:val="0095074C"/>
    <w:rsid w:val="009508CF"/>
    <w:rsid w:val="00950960"/>
    <w:rsid w:val="00950B06"/>
    <w:rsid w:val="00950B3D"/>
    <w:rsid w:val="00950F92"/>
    <w:rsid w:val="0095162D"/>
    <w:rsid w:val="009519A6"/>
    <w:rsid w:val="00951C27"/>
    <w:rsid w:val="00951C97"/>
    <w:rsid w:val="00951D42"/>
    <w:rsid w:val="00951EF5"/>
    <w:rsid w:val="00952018"/>
    <w:rsid w:val="00952873"/>
    <w:rsid w:val="009532FE"/>
    <w:rsid w:val="009533C7"/>
    <w:rsid w:val="0095401A"/>
    <w:rsid w:val="00954060"/>
    <w:rsid w:val="009540D0"/>
    <w:rsid w:val="0095410A"/>
    <w:rsid w:val="0095414A"/>
    <w:rsid w:val="00954274"/>
    <w:rsid w:val="009543CB"/>
    <w:rsid w:val="00954690"/>
    <w:rsid w:val="0095479B"/>
    <w:rsid w:val="00954A8D"/>
    <w:rsid w:val="0095505A"/>
    <w:rsid w:val="00955119"/>
    <w:rsid w:val="009557F8"/>
    <w:rsid w:val="00955B3F"/>
    <w:rsid w:val="00955B85"/>
    <w:rsid w:val="00955FB1"/>
    <w:rsid w:val="00956112"/>
    <w:rsid w:val="009561EA"/>
    <w:rsid w:val="0095654A"/>
    <w:rsid w:val="009565AC"/>
    <w:rsid w:val="0095682D"/>
    <w:rsid w:val="00956ACD"/>
    <w:rsid w:val="00956AF6"/>
    <w:rsid w:val="00956E3F"/>
    <w:rsid w:val="00957360"/>
    <w:rsid w:val="0095751D"/>
    <w:rsid w:val="00957F27"/>
    <w:rsid w:val="00957FD6"/>
    <w:rsid w:val="0096045E"/>
    <w:rsid w:val="0096050C"/>
    <w:rsid w:val="00960C61"/>
    <w:rsid w:val="00961127"/>
    <w:rsid w:val="00961167"/>
    <w:rsid w:val="00961206"/>
    <w:rsid w:val="009613E6"/>
    <w:rsid w:val="00961741"/>
    <w:rsid w:val="00961D0E"/>
    <w:rsid w:val="00961E23"/>
    <w:rsid w:val="00962648"/>
    <w:rsid w:val="0096269F"/>
    <w:rsid w:val="00962823"/>
    <w:rsid w:val="0096283E"/>
    <w:rsid w:val="00962A20"/>
    <w:rsid w:val="00962E57"/>
    <w:rsid w:val="00962E5A"/>
    <w:rsid w:val="00963016"/>
    <w:rsid w:val="0096324E"/>
    <w:rsid w:val="00963517"/>
    <w:rsid w:val="00963556"/>
    <w:rsid w:val="009635B9"/>
    <w:rsid w:val="009640D3"/>
    <w:rsid w:val="00964564"/>
    <w:rsid w:val="00964585"/>
    <w:rsid w:val="009648F8"/>
    <w:rsid w:val="009653C6"/>
    <w:rsid w:val="00965589"/>
    <w:rsid w:val="009656C7"/>
    <w:rsid w:val="00965753"/>
    <w:rsid w:val="009659D7"/>
    <w:rsid w:val="00965A44"/>
    <w:rsid w:val="00965C21"/>
    <w:rsid w:val="00965F0D"/>
    <w:rsid w:val="00966762"/>
    <w:rsid w:val="00966953"/>
    <w:rsid w:val="009669D5"/>
    <w:rsid w:val="00966ABA"/>
    <w:rsid w:val="00966E5C"/>
    <w:rsid w:val="009672C9"/>
    <w:rsid w:val="00967578"/>
    <w:rsid w:val="00967A74"/>
    <w:rsid w:val="00968E0F"/>
    <w:rsid w:val="00970069"/>
    <w:rsid w:val="009701D8"/>
    <w:rsid w:val="0097022B"/>
    <w:rsid w:val="00970659"/>
    <w:rsid w:val="0097094B"/>
    <w:rsid w:val="00970B6F"/>
    <w:rsid w:val="00971198"/>
    <w:rsid w:val="009714B5"/>
    <w:rsid w:val="009715DB"/>
    <w:rsid w:val="009716F3"/>
    <w:rsid w:val="0097175C"/>
    <w:rsid w:val="009717B9"/>
    <w:rsid w:val="009717F0"/>
    <w:rsid w:val="00971859"/>
    <w:rsid w:val="00971980"/>
    <w:rsid w:val="00971AAB"/>
    <w:rsid w:val="00971AE2"/>
    <w:rsid w:val="00971FA3"/>
    <w:rsid w:val="009721EB"/>
    <w:rsid w:val="009725D9"/>
    <w:rsid w:val="009728C3"/>
    <w:rsid w:val="00972DA9"/>
    <w:rsid w:val="009731EB"/>
    <w:rsid w:val="009732E4"/>
    <w:rsid w:val="0097349D"/>
    <w:rsid w:val="009735DB"/>
    <w:rsid w:val="009736B3"/>
    <w:rsid w:val="00973B13"/>
    <w:rsid w:val="00973E18"/>
    <w:rsid w:val="00973FED"/>
    <w:rsid w:val="0097454A"/>
    <w:rsid w:val="009746E2"/>
    <w:rsid w:val="0097475D"/>
    <w:rsid w:val="00974797"/>
    <w:rsid w:val="009747D1"/>
    <w:rsid w:val="00974BC3"/>
    <w:rsid w:val="00974BDD"/>
    <w:rsid w:val="00974DCC"/>
    <w:rsid w:val="00974DF7"/>
    <w:rsid w:val="00974E5E"/>
    <w:rsid w:val="00975361"/>
    <w:rsid w:val="00975632"/>
    <w:rsid w:val="009757D2"/>
    <w:rsid w:val="00975A27"/>
    <w:rsid w:val="00975EED"/>
    <w:rsid w:val="00976106"/>
    <w:rsid w:val="009761EB"/>
    <w:rsid w:val="009764FD"/>
    <w:rsid w:val="00976B25"/>
    <w:rsid w:val="00976DA4"/>
    <w:rsid w:val="009770AD"/>
    <w:rsid w:val="00977220"/>
    <w:rsid w:val="0097725A"/>
    <w:rsid w:val="0097746F"/>
    <w:rsid w:val="00977696"/>
    <w:rsid w:val="009778BA"/>
    <w:rsid w:val="00977A6E"/>
    <w:rsid w:val="00977C73"/>
    <w:rsid w:val="00977F81"/>
    <w:rsid w:val="009800F2"/>
    <w:rsid w:val="00980262"/>
    <w:rsid w:val="00980480"/>
    <w:rsid w:val="009806E9"/>
    <w:rsid w:val="00980AF8"/>
    <w:rsid w:val="00980EF6"/>
    <w:rsid w:val="009813B1"/>
    <w:rsid w:val="009813EA"/>
    <w:rsid w:val="00981B07"/>
    <w:rsid w:val="00981C76"/>
    <w:rsid w:val="00981F0A"/>
    <w:rsid w:val="00981FB4"/>
    <w:rsid w:val="00982146"/>
    <w:rsid w:val="00982315"/>
    <w:rsid w:val="0098249F"/>
    <w:rsid w:val="009826EC"/>
    <w:rsid w:val="0098283A"/>
    <w:rsid w:val="00982901"/>
    <w:rsid w:val="009829D6"/>
    <w:rsid w:val="00982B06"/>
    <w:rsid w:val="00982E3B"/>
    <w:rsid w:val="009832C0"/>
    <w:rsid w:val="00983304"/>
    <w:rsid w:val="009836DD"/>
    <w:rsid w:val="00983A2E"/>
    <w:rsid w:val="00983DA1"/>
    <w:rsid w:val="00983E0A"/>
    <w:rsid w:val="00983EC0"/>
    <w:rsid w:val="00983FC6"/>
    <w:rsid w:val="00983FF6"/>
    <w:rsid w:val="00984051"/>
    <w:rsid w:val="00984471"/>
    <w:rsid w:val="00984552"/>
    <w:rsid w:val="00984A19"/>
    <w:rsid w:val="00984AB1"/>
    <w:rsid w:val="00984EA8"/>
    <w:rsid w:val="00984F3E"/>
    <w:rsid w:val="00984FAC"/>
    <w:rsid w:val="00984FC3"/>
    <w:rsid w:val="00984FD1"/>
    <w:rsid w:val="0098527C"/>
    <w:rsid w:val="009856CC"/>
    <w:rsid w:val="00985A8D"/>
    <w:rsid w:val="00985E8F"/>
    <w:rsid w:val="0098602F"/>
    <w:rsid w:val="00986083"/>
    <w:rsid w:val="009862FC"/>
    <w:rsid w:val="00986335"/>
    <w:rsid w:val="00986623"/>
    <w:rsid w:val="0098666B"/>
    <w:rsid w:val="0098668B"/>
    <w:rsid w:val="009871E4"/>
    <w:rsid w:val="009873F0"/>
    <w:rsid w:val="0098747D"/>
    <w:rsid w:val="00987825"/>
    <w:rsid w:val="00987B25"/>
    <w:rsid w:val="00987E07"/>
    <w:rsid w:val="0099011D"/>
    <w:rsid w:val="0099018C"/>
    <w:rsid w:val="009909F0"/>
    <w:rsid w:val="00990A07"/>
    <w:rsid w:val="00990A68"/>
    <w:rsid w:val="00990C99"/>
    <w:rsid w:val="00990CC5"/>
    <w:rsid w:val="0099118F"/>
    <w:rsid w:val="009912A0"/>
    <w:rsid w:val="00991325"/>
    <w:rsid w:val="0099193E"/>
    <w:rsid w:val="009919B9"/>
    <w:rsid w:val="00991C8D"/>
    <w:rsid w:val="00991D30"/>
    <w:rsid w:val="00991E3E"/>
    <w:rsid w:val="00992020"/>
    <w:rsid w:val="0099259F"/>
    <w:rsid w:val="00992709"/>
    <w:rsid w:val="00992D47"/>
    <w:rsid w:val="00993313"/>
    <w:rsid w:val="00993380"/>
    <w:rsid w:val="00993617"/>
    <w:rsid w:val="00993933"/>
    <w:rsid w:val="00993B40"/>
    <w:rsid w:val="00993B81"/>
    <w:rsid w:val="00993E7A"/>
    <w:rsid w:val="00994546"/>
    <w:rsid w:val="009948B6"/>
    <w:rsid w:val="00995224"/>
    <w:rsid w:val="0099526C"/>
    <w:rsid w:val="00995300"/>
    <w:rsid w:val="0099560E"/>
    <w:rsid w:val="00995A84"/>
    <w:rsid w:val="00995B77"/>
    <w:rsid w:val="00995D09"/>
    <w:rsid w:val="00995D51"/>
    <w:rsid w:val="00995DCE"/>
    <w:rsid w:val="00995FC8"/>
    <w:rsid w:val="00995FC9"/>
    <w:rsid w:val="009960F0"/>
    <w:rsid w:val="00996392"/>
    <w:rsid w:val="0099656C"/>
    <w:rsid w:val="009966C5"/>
    <w:rsid w:val="0099682C"/>
    <w:rsid w:val="00996C4B"/>
    <w:rsid w:val="00996E52"/>
    <w:rsid w:val="009971A2"/>
    <w:rsid w:val="00997261"/>
    <w:rsid w:val="009975A3"/>
    <w:rsid w:val="00997679"/>
    <w:rsid w:val="00997730"/>
    <w:rsid w:val="00997E57"/>
    <w:rsid w:val="009A0124"/>
    <w:rsid w:val="009A030B"/>
    <w:rsid w:val="009A034F"/>
    <w:rsid w:val="009A0419"/>
    <w:rsid w:val="009A05AB"/>
    <w:rsid w:val="009A0642"/>
    <w:rsid w:val="009A073F"/>
    <w:rsid w:val="009A07D8"/>
    <w:rsid w:val="009A0A7F"/>
    <w:rsid w:val="009A0C8C"/>
    <w:rsid w:val="009A0D39"/>
    <w:rsid w:val="009A0E4A"/>
    <w:rsid w:val="009A0F8B"/>
    <w:rsid w:val="009A0FB8"/>
    <w:rsid w:val="009A1074"/>
    <w:rsid w:val="009A1185"/>
    <w:rsid w:val="009A1AED"/>
    <w:rsid w:val="009A238C"/>
    <w:rsid w:val="009A2452"/>
    <w:rsid w:val="009A26B4"/>
    <w:rsid w:val="009A2A3E"/>
    <w:rsid w:val="009A3211"/>
    <w:rsid w:val="009A35BE"/>
    <w:rsid w:val="009A39E9"/>
    <w:rsid w:val="009A3A66"/>
    <w:rsid w:val="009A4623"/>
    <w:rsid w:val="009A463A"/>
    <w:rsid w:val="009A4AE1"/>
    <w:rsid w:val="009A4DF6"/>
    <w:rsid w:val="009A4FA4"/>
    <w:rsid w:val="009A5210"/>
    <w:rsid w:val="009A52CA"/>
    <w:rsid w:val="009A552F"/>
    <w:rsid w:val="009A56E9"/>
    <w:rsid w:val="009A56EC"/>
    <w:rsid w:val="009A5C0E"/>
    <w:rsid w:val="009A60A6"/>
    <w:rsid w:val="009A6370"/>
    <w:rsid w:val="009A6446"/>
    <w:rsid w:val="009A6675"/>
    <w:rsid w:val="009A6777"/>
    <w:rsid w:val="009A68A5"/>
    <w:rsid w:val="009A68FB"/>
    <w:rsid w:val="009A6AD0"/>
    <w:rsid w:val="009A6DFA"/>
    <w:rsid w:val="009A6E28"/>
    <w:rsid w:val="009A784E"/>
    <w:rsid w:val="009A7BA4"/>
    <w:rsid w:val="009A7C25"/>
    <w:rsid w:val="009A7C5F"/>
    <w:rsid w:val="009A7F7D"/>
    <w:rsid w:val="009A7FC2"/>
    <w:rsid w:val="009B0299"/>
    <w:rsid w:val="009B04D1"/>
    <w:rsid w:val="009B0961"/>
    <w:rsid w:val="009B0D86"/>
    <w:rsid w:val="009B0EA0"/>
    <w:rsid w:val="009B0FCB"/>
    <w:rsid w:val="009B11E2"/>
    <w:rsid w:val="009B1225"/>
    <w:rsid w:val="009B1354"/>
    <w:rsid w:val="009B1442"/>
    <w:rsid w:val="009B1466"/>
    <w:rsid w:val="009B1469"/>
    <w:rsid w:val="009B14EC"/>
    <w:rsid w:val="009B1ECC"/>
    <w:rsid w:val="009B1F8B"/>
    <w:rsid w:val="009B2598"/>
    <w:rsid w:val="009B25D7"/>
    <w:rsid w:val="009B27A0"/>
    <w:rsid w:val="009B2DBF"/>
    <w:rsid w:val="009B30AF"/>
    <w:rsid w:val="009B349C"/>
    <w:rsid w:val="009B380A"/>
    <w:rsid w:val="009B380F"/>
    <w:rsid w:val="009B38DE"/>
    <w:rsid w:val="009B3D95"/>
    <w:rsid w:val="009B3E1C"/>
    <w:rsid w:val="009B3F5B"/>
    <w:rsid w:val="009B3FFE"/>
    <w:rsid w:val="009B40C7"/>
    <w:rsid w:val="009B4280"/>
    <w:rsid w:val="009B4327"/>
    <w:rsid w:val="009B46A8"/>
    <w:rsid w:val="009B4A73"/>
    <w:rsid w:val="009B4ECA"/>
    <w:rsid w:val="009B4F97"/>
    <w:rsid w:val="009B50FD"/>
    <w:rsid w:val="009B513A"/>
    <w:rsid w:val="009B5235"/>
    <w:rsid w:val="009B560F"/>
    <w:rsid w:val="009B569F"/>
    <w:rsid w:val="009B57A6"/>
    <w:rsid w:val="009B5858"/>
    <w:rsid w:val="009B5BBE"/>
    <w:rsid w:val="009B6190"/>
    <w:rsid w:val="009B627B"/>
    <w:rsid w:val="009B6434"/>
    <w:rsid w:val="009B66C1"/>
    <w:rsid w:val="009B674F"/>
    <w:rsid w:val="009B678E"/>
    <w:rsid w:val="009B6BA6"/>
    <w:rsid w:val="009B706E"/>
    <w:rsid w:val="009B74B5"/>
    <w:rsid w:val="009B758A"/>
    <w:rsid w:val="009B7A54"/>
    <w:rsid w:val="009B7CF6"/>
    <w:rsid w:val="009C027E"/>
    <w:rsid w:val="009C0686"/>
    <w:rsid w:val="009C0895"/>
    <w:rsid w:val="009C131B"/>
    <w:rsid w:val="009C13A8"/>
    <w:rsid w:val="009C16C6"/>
    <w:rsid w:val="009C16F9"/>
    <w:rsid w:val="009C170F"/>
    <w:rsid w:val="009C1A44"/>
    <w:rsid w:val="009C1BCD"/>
    <w:rsid w:val="009C2046"/>
    <w:rsid w:val="009C2185"/>
    <w:rsid w:val="009C2331"/>
    <w:rsid w:val="009C2785"/>
    <w:rsid w:val="009C2E4C"/>
    <w:rsid w:val="009C2EB4"/>
    <w:rsid w:val="009C3156"/>
    <w:rsid w:val="009C356D"/>
    <w:rsid w:val="009C3BE1"/>
    <w:rsid w:val="009C3EA5"/>
    <w:rsid w:val="009C4226"/>
    <w:rsid w:val="009C423A"/>
    <w:rsid w:val="009C426E"/>
    <w:rsid w:val="009C433E"/>
    <w:rsid w:val="009C43D5"/>
    <w:rsid w:val="009C4469"/>
    <w:rsid w:val="009C4533"/>
    <w:rsid w:val="009C4604"/>
    <w:rsid w:val="009C46DD"/>
    <w:rsid w:val="009C479E"/>
    <w:rsid w:val="009C4E94"/>
    <w:rsid w:val="009C5A6A"/>
    <w:rsid w:val="009C5B0E"/>
    <w:rsid w:val="009C5C2E"/>
    <w:rsid w:val="009C5CD9"/>
    <w:rsid w:val="009C5E0A"/>
    <w:rsid w:val="009C5E70"/>
    <w:rsid w:val="009C6220"/>
    <w:rsid w:val="009C6653"/>
    <w:rsid w:val="009C665E"/>
    <w:rsid w:val="009C6743"/>
    <w:rsid w:val="009C681E"/>
    <w:rsid w:val="009C686F"/>
    <w:rsid w:val="009C6880"/>
    <w:rsid w:val="009C69CA"/>
    <w:rsid w:val="009C7224"/>
    <w:rsid w:val="009C730A"/>
    <w:rsid w:val="009C73A7"/>
    <w:rsid w:val="009C73D7"/>
    <w:rsid w:val="009C754C"/>
    <w:rsid w:val="009C7C47"/>
    <w:rsid w:val="009C7E6B"/>
    <w:rsid w:val="009D03B4"/>
    <w:rsid w:val="009D0B58"/>
    <w:rsid w:val="009D0DB9"/>
    <w:rsid w:val="009D1382"/>
    <w:rsid w:val="009D1464"/>
    <w:rsid w:val="009D14AC"/>
    <w:rsid w:val="009D1718"/>
    <w:rsid w:val="009D18B3"/>
    <w:rsid w:val="009D207C"/>
    <w:rsid w:val="009D20A8"/>
    <w:rsid w:val="009D20B3"/>
    <w:rsid w:val="009D221F"/>
    <w:rsid w:val="009D2376"/>
    <w:rsid w:val="009D2403"/>
    <w:rsid w:val="009D2B4E"/>
    <w:rsid w:val="009D2D49"/>
    <w:rsid w:val="009D2EBF"/>
    <w:rsid w:val="009D30C7"/>
    <w:rsid w:val="009D3346"/>
    <w:rsid w:val="009D396D"/>
    <w:rsid w:val="009D3975"/>
    <w:rsid w:val="009D3E24"/>
    <w:rsid w:val="009D3EFB"/>
    <w:rsid w:val="009D414F"/>
    <w:rsid w:val="009D498F"/>
    <w:rsid w:val="009D4AE2"/>
    <w:rsid w:val="009D4DC8"/>
    <w:rsid w:val="009D55FD"/>
    <w:rsid w:val="009D579E"/>
    <w:rsid w:val="009D5824"/>
    <w:rsid w:val="009D58D1"/>
    <w:rsid w:val="009D5E25"/>
    <w:rsid w:val="009D5F6C"/>
    <w:rsid w:val="009D5FFE"/>
    <w:rsid w:val="009D60B5"/>
    <w:rsid w:val="009D6B1D"/>
    <w:rsid w:val="009D70FC"/>
    <w:rsid w:val="009D743A"/>
    <w:rsid w:val="009D75F9"/>
    <w:rsid w:val="009D7A2C"/>
    <w:rsid w:val="009D7EC8"/>
    <w:rsid w:val="009E03A1"/>
    <w:rsid w:val="009E06B5"/>
    <w:rsid w:val="009E0A0E"/>
    <w:rsid w:val="009E0A57"/>
    <w:rsid w:val="009E0AC3"/>
    <w:rsid w:val="009E0B41"/>
    <w:rsid w:val="009E0C2A"/>
    <w:rsid w:val="009E0CCA"/>
    <w:rsid w:val="009E11B6"/>
    <w:rsid w:val="009E1208"/>
    <w:rsid w:val="009E14E0"/>
    <w:rsid w:val="009E1734"/>
    <w:rsid w:val="009E1B64"/>
    <w:rsid w:val="009E1E08"/>
    <w:rsid w:val="009E2127"/>
    <w:rsid w:val="009E21A7"/>
    <w:rsid w:val="009E269C"/>
    <w:rsid w:val="009E27AF"/>
    <w:rsid w:val="009E2D80"/>
    <w:rsid w:val="009E305F"/>
    <w:rsid w:val="009E32A3"/>
    <w:rsid w:val="009E3737"/>
    <w:rsid w:val="009E3921"/>
    <w:rsid w:val="009E3C0A"/>
    <w:rsid w:val="009E3C2C"/>
    <w:rsid w:val="009E3FC4"/>
    <w:rsid w:val="009E3FEE"/>
    <w:rsid w:val="009E4164"/>
    <w:rsid w:val="009E42E5"/>
    <w:rsid w:val="009E42E9"/>
    <w:rsid w:val="009E435E"/>
    <w:rsid w:val="009E471E"/>
    <w:rsid w:val="009E4DAD"/>
    <w:rsid w:val="009E4F83"/>
    <w:rsid w:val="009E5253"/>
    <w:rsid w:val="009E525D"/>
    <w:rsid w:val="009E5514"/>
    <w:rsid w:val="009E577E"/>
    <w:rsid w:val="009E5D0D"/>
    <w:rsid w:val="009E5EC8"/>
    <w:rsid w:val="009E609C"/>
    <w:rsid w:val="009E6209"/>
    <w:rsid w:val="009E659A"/>
    <w:rsid w:val="009E66EA"/>
    <w:rsid w:val="009E66EF"/>
    <w:rsid w:val="009E6774"/>
    <w:rsid w:val="009E67CC"/>
    <w:rsid w:val="009E68F0"/>
    <w:rsid w:val="009E7007"/>
    <w:rsid w:val="009E72C6"/>
    <w:rsid w:val="009E7396"/>
    <w:rsid w:val="009E79ED"/>
    <w:rsid w:val="009E7AF8"/>
    <w:rsid w:val="009E7B7B"/>
    <w:rsid w:val="009E7E70"/>
    <w:rsid w:val="009F0119"/>
    <w:rsid w:val="009F0289"/>
    <w:rsid w:val="009F03DB"/>
    <w:rsid w:val="009F0766"/>
    <w:rsid w:val="009F0B83"/>
    <w:rsid w:val="009F0D55"/>
    <w:rsid w:val="009F0F20"/>
    <w:rsid w:val="009F1491"/>
    <w:rsid w:val="009F16AC"/>
    <w:rsid w:val="009F16E0"/>
    <w:rsid w:val="009F177D"/>
    <w:rsid w:val="009F1794"/>
    <w:rsid w:val="009F1820"/>
    <w:rsid w:val="009F1904"/>
    <w:rsid w:val="009F1C27"/>
    <w:rsid w:val="009F1F2F"/>
    <w:rsid w:val="009F232E"/>
    <w:rsid w:val="009F2404"/>
    <w:rsid w:val="009F2439"/>
    <w:rsid w:val="009F2B02"/>
    <w:rsid w:val="009F2BC1"/>
    <w:rsid w:val="009F315A"/>
    <w:rsid w:val="009F345A"/>
    <w:rsid w:val="009F346E"/>
    <w:rsid w:val="009F3665"/>
    <w:rsid w:val="009F3998"/>
    <w:rsid w:val="009F3DE8"/>
    <w:rsid w:val="009F404D"/>
    <w:rsid w:val="009F41CF"/>
    <w:rsid w:val="009F4754"/>
    <w:rsid w:val="009F4883"/>
    <w:rsid w:val="009F4AF1"/>
    <w:rsid w:val="009F4F4D"/>
    <w:rsid w:val="009F5080"/>
    <w:rsid w:val="009F5734"/>
    <w:rsid w:val="009F59CF"/>
    <w:rsid w:val="009F5AC7"/>
    <w:rsid w:val="009F6250"/>
    <w:rsid w:val="009F670F"/>
    <w:rsid w:val="009F69DE"/>
    <w:rsid w:val="009F6C9A"/>
    <w:rsid w:val="009F6DB7"/>
    <w:rsid w:val="009F6E7E"/>
    <w:rsid w:val="009F6EC2"/>
    <w:rsid w:val="009F73CA"/>
    <w:rsid w:val="009F74EC"/>
    <w:rsid w:val="009F78E1"/>
    <w:rsid w:val="009F7AF3"/>
    <w:rsid w:val="009F7B1F"/>
    <w:rsid w:val="009F7D8F"/>
    <w:rsid w:val="00A00073"/>
    <w:rsid w:val="00A003BE"/>
    <w:rsid w:val="00A00842"/>
    <w:rsid w:val="00A00BEA"/>
    <w:rsid w:val="00A00CE2"/>
    <w:rsid w:val="00A00F5A"/>
    <w:rsid w:val="00A00FD7"/>
    <w:rsid w:val="00A011A4"/>
    <w:rsid w:val="00A01708"/>
    <w:rsid w:val="00A01FCA"/>
    <w:rsid w:val="00A02584"/>
    <w:rsid w:val="00A028E8"/>
    <w:rsid w:val="00A038F8"/>
    <w:rsid w:val="00A03A0A"/>
    <w:rsid w:val="00A03C70"/>
    <w:rsid w:val="00A0402D"/>
    <w:rsid w:val="00A040AE"/>
    <w:rsid w:val="00A04152"/>
    <w:rsid w:val="00A04727"/>
    <w:rsid w:val="00A049A0"/>
    <w:rsid w:val="00A0595B"/>
    <w:rsid w:val="00A05991"/>
    <w:rsid w:val="00A05EB7"/>
    <w:rsid w:val="00A064FD"/>
    <w:rsid w:val="00A0662E"/>
    <w:rsid w:val="00A06F2E"/>
    <w:rsid w:val="00A07172"/>
    <w:rsid w:val="00A07596"/>
    <w:rsid w:val="00A075AC"/>
    <w:rsid w:val="00A075F9"/>
    <w:rsid w:val="00A0765A"/>
    <w:rsid w:val="00A07A06"/>
    <w:rsid w:val="00A07D4B"/>
    <w:rsid w:val="00A07DD2"/>
    <w:rsid w:val="00A07E92"/>
    <w:rsid w:val="00A07F4D"/>
    <w:rsid w:val="00A10269"/>
    <w:rsid w:val="00A10C72"/>
    <w:rsid w:val="00A118E1"/>
    <w:rsid w:val="00A11CE9"/>
    <w:rsid w:val="00A120A6"/>
    <w:rsid w:val="00A1269E"/>
    <w:rsid w:val="00A1281B"/>
    <w:rsid w:val="00A12A6C"/>
    <w:rsid w:val="00A12D7D"/>
    <w:rsid w:val="00A13172"/>
    <w:rsid w:val="00A132EC"/>
    <w:rsid w:val="00A1346B"/>
    <w:rsid w:val="00A1354F"/>
    <w:rsid w:val="00A13657"/>
    <w:rsid w:val="00A13D4F"/>
    <w:rsid w:val="00A13EB9"/>
    <w:rsid w:val="00A14107"/>
    <w:rsid w:val="00A1420C"/>
    <w:rsid w:val="00A1451C"/>
    <w:rsid w:val="00A14943"/>
    <w:rsid w:val="00A14D41"/>
    <w:rsid w:val="00A15121"/>
    <w:rsid w:val="00A15184"/>
    <w:rsid w:val="00A1523D"/>
    <w:rsid w:val="00A1546D"/>
    <w:rsid w:val="00A156F4"/>
    <w:rsid w:val="00A15837"/>
    <w:rsid w:val="00A15A7A"/>
    <w:rsid w:val="00A15AB7"/>
    <w:rsid w:val="00A16282"/>
    <w:rsid w:val="00A162D2"/>
    <w:rsid w:val="00A16893"/>
    <w:rsid w:val="00A16D6B"/>
    <w:rsid w:val="00A16D7B"/>
    <w:rsid w:val="00A16EF9"/>
    <w:rsid w:val="00A17017"/>
    <w:rsid w:val="00A17154"/>
    <w:rsid w:val="00A17479"/>
    <w:rsid w:val="00A1769A"/>
    <w:rsid w:val="00A1775C"/>
    <w:rsid w:val="00A1776F"/>
    <w:rsid w:val="00A178D8"/>
    <w:rsid w:val="00A17A08"/>
    <w:rsid w:val="00A17E42"/>
    <w:rsid w:val="00A20305"/>
    <w:rsid w:val="00A2047A"/>
    <w:rsid w:val="00A20631"/>
    <w:rsid w:val="00A20795"/>
    <w:rsid w:val="00A20ACF"/>
    <w:rsid w:val="00A20B6E"/>
    <w:rsid w:val="00A20C13"/>
    <w:rsid w:val="00A2102D"/>
    <w:rsid w:val="00A21274"/>
    <w:rsid w:val="00A21667"/>
    <w:rsid w:val="00A2179F"/>
    <w:rsid w:val="00A217EC"/>
    <w:rsid w:val="00A219F5"/>
    <w:rsid w:val="00A21F8A"/>
    <w:rsid w:val="00A22000"/>
    <w:rsid w:val="00A22010"/>
    <w:rsid w:val="00A2268C"/>
    <w:rsid w:val="00A22A9F"/>
    <w:rsid w:val="00A22E13"/>
    <w:rsid w:val="00A233F1"/>
    <w:rsid w:val="00A234FB"/>
    <w:rsid w:val="00A235AE"/>
    <w:rsid w:val="00A23A69"/>
    <w:rsid w:val="00A23B2C"/>
    <w:rsid w:val="00A2403F"/>
    <w:rsid w:val="00A240C1"/>
    <w:rsid w:val="00A2431C"/>
    <w:rsid w:val="00A243F0"/>
    <w:rsid w:val="00A24551"/>
    <w:rsid w:val="00A247FC"/>
    <w:rsid w:val="00A24D44"/>
    <w:rsid w:val="00A250BB"/>
    <w:rsid w:val="00A250F3"/>
    <w:rsid w:val="00A25123"/>
    <w:rsid w:val="00A259B2"/>
    <w:rsid w:val="00A25B7A"/>
    <w:rsid w:val="00A25CE6"/>
    <w:rsid w:val="00A25E52"/>
    <w:rsid w:val="00A2634A"/>
    <w:rsid w:val="00A26446"/>
    <w:rsid w:val="00A265B2"/>
    <w:rsid w:val="00A267AD"/>
    <w:rsid w:val="00A26A3A"/>
    <w:rsid w:val="00A26A94"/>
    <w:rsid w:val="00A26E30"/>
    <w:rsid w:val="00A2713C"/>
    <w:rsid w:val="00A271F5"/>
    <w:rsid w:val="00A274F2"/>
    <w:rsid w:val="00A27C6B"/>
    <w:rsid w:val="00A301D1"/>
    <w:rsid w:val="00A30326"/>
    <w:rsid w:val="00A30AF4"/>
    <w:rsid w:val="00A30BA4"/>
    <w:rsid w:val="00A30D0C"/>
    <w:rsid w:val="00A30EBF"/>
    <w:rsid w:val="00A314A4"/>
    <w:rsid w:val="00A316CD"/>
    <w:rsid w:val="00A32244"/>
    <w:rsid w:val="00A322FD"/>
    <w:rsid w:val="00A3287C"/>
    <w:rsid w:val="00A32A7D"/>
    <w:rsid w:val="00A32E10"/>
    <w:rsid w:val="00A32E86"/>
    <w:rsid w:val="00A32F19"/>
    <w:rsid w:val="00A33133"/>
    <w:rsid w:val="00A338D3"/>
    <w:rsid w:val="00A339B0"/>
    <w:rsid w:val="00A33AC2"/>
    <w:rsid w:val="00A33EE8"/>
    <w:rsid w:val="00A349C4"/>
    <w:rsid w:val="00A351AE"/>
    <w:rsid w:val="00A35303"/>
    <w:rsid w:val="00A35367"/>
    <w:rsid w:val="00A3545B"/>
    <w:rsid w:val="00A358F0"/>
    <w:rsid w:val="00A359A7"/>
    <w:rsid w:val="00A35B95"/>
    <w:rsid w:val="00A35CA0"/>
    <w:rsid w:val="00A361D9"/>
    <w:rsid w:val="00A362B7"/>
    <w:rsid w:val="00A366DC"/>
    <w:rsid w:val="00A36CAE"/>
    <w:rsid w:val="00A378DC"/>
    <w:rsid w:val="00A379DC"/>
    <w:rsid w:val="00A37A45"/>
    <w:rsid w:val="00A37C21"/>
    <w:rsid w:val="00A403BB"/>
    <w:rsid w:val="00A407C2"/>
    <w:rsid w:val="00A40859"/>
    <w:rsid w:val="00A40EF5"/>
    <w:rsid w:val="00A40FA1"/>
    <w:rsid w:val="00A411B2"/>
    <w:rsid w:val="00A4155B"/>
    <w:rsid w:val="00A41583"/>
    <w:rsid w:val="00A416CD"/>
    <w:rsid w:val="00A4193D"/>
    <w:rsid w:val="00A41AC9"/>
    <w:rsid w:val="00A4200D"/>
    <w:rsid w:val="00A42194"/>
    <w:rsid w:val="00A42202"/>
    <w:rsid w:val="00A42663"/>
    <w:rsid w:val="00A426A0"/>
    <w:rsid w:val="00A42B96"/>
    <w:rsid w:val="00A42DD4"/>
    <w:rsid w:val="00A42E8E"/>
    <w:rsid w:val="00A432B0"/>
    <w:rsid w:val="00A436AC"/>
    <w:rsid w:val="00A43773"/>
    <w:rsid w:val="00A4380E"/>
    <w:rsid w:val="00A43B46"/>
    <w:rsid w:val="00A43CF1"/>
    <w:rsid w:val="00A43F8E"/>
    <w:rsid w:val="00A44AB6"/>
    <w:rsid w:val="00A44C62"/>
    <w:rsid w:val="00A45119"/>
    <w:rsid w:val="00A451AB"/>
    <w:rsid w:val="00A4543B"/>
    <w:rsid w:val="00A45483"/>
    <w:rsid w:val="00A45B56"/>
    <w:rsid w:val="00A45CEE"/>
    <w:rsid w:val="00A45D0E"/>
    <w:rsid w:val="00A45E61"/>
    <w:rsid w:val="00A45EA6"/>
    <w:rsid w:val="00A45F04"/>
    <w:rsid w:val="00A45F2C"/>
    <w:rsid w:val="00A4609B"/>
    <w:rsid w:val="00A46179"/>
    <w:rsid w:val="00A46332"/>
    <w:rsid w:val="00A463C2"/>
    <w:rsid w:val="00A465C7"/>
    <w:rsid w:val="00A46711"/>
    <w:rsid w:val="00A46CDE"/>
    <w:rsid w:val="00A470DC"/>
    <w:rsid w:val="00A475F5"/>
    <w:rsid w:val="00A4785A"/>
    <w:rsid w:val="00A50402"/>
    <w:rsid w:val="00A5052C"/>
    <w:rsid w:val="00A5073F"/>
    <w:rsid w:val="00A50874"/>
    <w:rsid w:val="00A50A6E"/>
    <w:rsid w:val="00A50ADB"/>
    <w:rsid w:val="00A50B29"/>
    <w:rsid w:val="00A50B3B"/>
    <w:rsid w:val="00A50C57"/>
    <w:rsid w:val="00A50EE4"/>
    <w:rsid w:val="00A51298"/>
    <w:rsid w:val="00A5132F"/>
    <w:rsid w:val="00A51453"/>
    <w:rsid w:val="00A51B56"/>
    <w:rsid w:val="00A523C5"/>
    <w:rsid w:val="00A52754"/>
    <w:rsid w:val="00A528C3"/>
    <w:rsid w:val="00A529C0"/>
    <w:rsid w:val="00A529E5"/>
    <w:rsid w:val="00A52B1B"/>
    <w:rsid w:val="00A52F7B"/>
    <w:rsid w:val="00A53052"/>
    <w:rsid w:val="00A53151"/>
    <w:rsid w:val="00A534DB"/>
    <w:rsid w:val="00A535D7"/>
    <w:rsid w:val="00A53827"/>
    <w:rsid w:val="00A543DB"/>
    <w:rsid w:val="00A544D5"/>
    <w:rsid w:val="00A54582"/>
    <w:rsid w:val="00A54B9D"/>
    <w:rsid w:val="00A54BC5"/>
    <w:rsid w:val="00A54D3C"/>
    <w:rsid w:val="00A54EDE"/>
    <w:rsid w:val="00A5575A"/>
    <w:rsid w:val="00A55C7D"/>
    <w:rsid w:val="00A55DAB"/>
    <w:rsid w:val="00A55EE5"/>
    <w:rsid w:val="00A56226"/>
    <w:rsid w:val="00A56342"/>
    <w:rsid w:val="00A565BC"/>
    <w:rsid w:val="00A56DCC"/>
    <w:rsid w:val="00A56F24"/>
    <w:rsid w:val="00A5713B"/>
    <w:rsid w:val="00A5747E"/>
    <w:rsid w:val="00A5759F"/>
    <w:rsid w:val="00A57782"/>
    <w:rsid w:val="00A57B49"/>
    <w:rsid w:val="00A57D30"/>
    <w:rsid w:val="00A60158"/>
    <w:rsid w:val="00A6048B"/>
    <w:rsid w:val="00A60536"/>
    <w:rsid w:val="00A60673"/>
    <w:rsid w:val="00A607F5"/>
    <w:rsid w:val="00A6087D"/>
    <w:rsid w:val="00A608B6"/>
    <w:rsid w:val="00A609D9"/>
    <w:rsid w:val="00A60B26"/>
    <w:rsid w:val="00A616B4"/>
    <w:rsid w:val="00A61BCC"/>
    <w:rsid w:val="00A6235B"/>
    <w:rsid w:val="00A62511"/>
    <w:rsid w:val="00A62BD6"/>
    <w:rsid w:val="00A62C57"/>
    <w:rsid w:val="00A63720"/>
    <w:rsid w:val="00A639D3"/>
    <w:rsid w:val="00A63BB6"/>
    <w:rsid w:val="00A63CD2"/>
    <w:rsid w:val="00A6437D"/>
    <w:rsid w:val="00A644E7"/>
    <w:rsid w:val="00A648CC"/>
    <w:rsid w:val="00A64CDA"/>
    <w:rsid w:val="00A64F14"/>
    <w:rsid w:val="00A6529E"/>
    <w:rsid w:val="00A6548D"/>
    <w:rsid w:val="00A65A62"/>
    <w:rsid w:val="00A65C7B"/>
    <w:rsid w:val="00A66308"/>
    <w:rsid w:val="00A663F4"/>
    <w:rsid w:val="00A66816"/>
    <w:rsid w:val="00A66CF5"/>
    <w:rsid w:val="00A66FE1"/>
    <w:rsid w:val="00A670C8"/>
    <w:rsid w:val="00A67201"/>
    <w:rsid w:val="00A674F5"/>
    <w:rsid w:val="00A67BAB"/>
    <w:rsid w:val="00A7036D"/>
    <w:rsid w:val="00A704CB"/>
    <w:rsid w:val="00A7051E"/>
    <w:rsid w:val="00A707DA"/>
    <w:rsid w:val="00A70820"/>
    <w:rsid w:val="00A70A29"/>
    <w:rsid w:val="00A710B1"/>
    <w:rsid w:val="00A71727"/>
    <w:rsid w:val="00A71D34"/>
    <w:rsid w:val="00A723AD"/>
    <w:rsid w:val="00A72A01"/>
    <w:rsid w:val="00A72C4F"/>
    <w:rsid w:val="00A72CA2"/>
    <w:rsid w:val="00A72D71"/>
    <w:rsid w:val="00A72D9A"/>
    <w:rsid w:val="00A73284"/>
    <w:rsid w:val="00A7337F"/>
    <w:rsid w:val="00A734D5"/>
    <w:rsid w:val="00A7385D"/>
    <w:rsid w:val="00A73B88"/>
    <w:rsid w:val="00A73F69"/>
    <w:rsid w:val="00A73FFE"/>
    <w:rsid w:val="00A740AF"/>
    <w:rsid w:val="00A744C5"/>
    <w:rsid w:val="00A74771"/>
    <w:rsid w:val="00A74782"/>
    <w:rsid w:val="00A74868"/>
    <w:rsid w:val="00A74AC1"/>
    <w:rsid w:val="00A74B15"/>
    <w:rsid w:val="00A74E85"/>
    <w:rsid w:val="00A74F11"/>
    <w:rsid w:val="00A750E2"/>
    <w:rsid w:val="00A75298"/>
    <w:rsid w:val="00A7539B"/>
    <w:rsid w:val="00A75897"/>
    <w:rsid w:val="00A75E41"/>
    <w:rsid w:val="00A76065"/>
    <w:rsid w:val="00A76134"/>
    <w:rsid w:val="00A761BC"/>
    <w:rsid w:val="00A762DB"/>
    <w:rsid w:val="00A764AF"/>
    <w:rsid w:val="00A7659F"/>
    <w:rsid w:val="00A7699A"/>
    <w:rsid w:val="00A769FB"/>
    <w:rsid w:val="00A76DBE"/>
    <w:rsid w:val="00A77049"/>
    <w:rsid w:val="00A77074"/>
    <w:rsid w:val="00A7722B"/>
    <w:rsid w:val="00A77E61"/>
    <w:rsid w:val="00A77EC7"/>
    <w:rsid w:val="00A800EE"/>
    <w:rsid w:val="00A80548"/>
    <w:rsid w:val="00A8057D"/>
    <w:rsid w:val="00A80832"/>
    <w:rsid w:val="00A808CF"/>
    <w:rsid w:val="00A80E33"/>
    <w:rsid w:val="00A8169A"/>
    <w:rsid w:val="00A817A6"/>
    <w:rsid w:val="00A81AE2"/>
    <w:rsid w:val="00A81BA5"/>
    <w:rsid w:val="00A81F61"/>
    <w:rsid w:val="00A820A9"/>
    <w:rsid w:val="00A820DA"/>
    <w:rsid w:val="00A822C9"/>
    <w:rsid w:val="00A82415"/>
    <w:rsid w:val="00A82F4C"/>
    <w:rsid w:val="00A833BF"/>
    <w:rsid w:val="00A83DDA"/>
    <w:rsid w:val="00A83E6E"/>
    <w:rsid w:val="00A83F21"/>
    <w:rsid w:val="00A840B7"/>
    <w:rsid w:val="00A84205"/>
    <w:rsid w:val="00A8424C"/>
    <w:rsid w:val="00A8448C"/>
    <w:rsid w:val="00A84B9E"/>
    <w:rsid w:val="00A84C06"/>
    <w:rsid w:val="00A84D19"/>
    <w:rsid w:val="00A84E72"/>
    <w:rsid w:val="00A84FEE"/>
    <w:rsid w:val="00A8500D"/>
    <w:rsid w:val="00A85505"/>
    <w:rsid w:val="00A85516"/>
    <w:rsid w:val="00A8572E"/>
    <w:rsid w:val="00A85E38"/>
    <w:rsid w:val="00A86092"/>
    <w:rsid w:val="00A860AF"/>
    <w:rsid w:val="00A8635C"/>
    <w:rsid w:val="00A8637F"/>
    <w:rsid w:val="00A8678A"/>
    <w:rsid w:val="00A8684C"/>
    <w:rsid w:val="00A86ACF"/>
    <w:rsid w:val="00A86FA2"/>
    <w:rsid w:val="00A87154"/>
    <w:rsid w:val="00A87E04"/>
    <w:rsid w:val="00A90737"/>
    <w:rsid w:val="00A91067"/>
    <w:rsid w:val="00A91745"/>
    <w:rsid w:val="00A917C2"/>
    <w:rsid w:val="00A9180C"/>
    <w:rsid w:val="00A91DA9"/>
    <w:rsid w:val="00A91ED7"/>
    <w:rsid w:val="00A92C57"/>
    <w:rsid w:val="00A92CD8"/>
    <w:rsid w:val="00A930A6"/>
    <w:rsid w:val="00A93280"/>
    <w:rsid w:val="00A933B8"/>
    <w:rsid w:val="00A93658"/>
    <w:rsid w:val="00A938FE"/>
    <w:rsid w:val="00A939B6"/>
    <w:rsid w:val="00A940E9"/>
    <w:rsid w:val="00A943D7"/>
    <w:rsid w:val="00A943E5"/>
    <w:rsid w:val="00A9444E"/>
    <w:rsid w:val="00A9445D"/>
    <w:rsid w:val="00A94757"/>
    <w:rsid w:val="00A949EB"/>
    <w:rsid w:val="00A94A14"/>
    <w:rsid w:val="00A94C91"/>
    <w:rsid w:val="00A94DEA"/>
    <w:rsid w:val="00A94E1B"/>
    <w:rsid w:val="00A94E9D"/>
    <w:rsid w:val="00A9506B"/>
    <w:rsid w:val="00A9528F"/>
    <w:rsid w:val="00A95B44"/>
    <w:rsid w:val="00A95D86"/>
    <w:rsid w:val="00A95D92"/>
    <w:rsid w:val="00A96093"/>
    <w:rsid w:val="00A96332"/>
    <w:rsid w:val="00A96B9D"/>
    <w:rsid w:val="00A97438"/>
    <w:rsid w:val="00A97470"/>
    <w:rsid w:val="00A97619"/>
    <w:rsid w:val="00A97998"/>
    <w:rsid w:val="00AA0278"/>
    <w:rsid w:val="00AA04DD"/>
    <w:rsid w:val="00AA0A01"/>
    <w:rsid w:val="00AA0CEA"/>
    <w:rsid w:val="00AA0E0B"/>
    <w:rsid w:val="00AA0ED7"/>
    <w:rsid w:val="00AA10AA"/>
    <w:rsid w:val="00AA1876"/>
    <w:rsid w:val="00AA1D59"/>
    <w:rsid w:val="00AA20B2"/>
    <w:rsid w:val="00AA2381"/>
    <w:rsid w:val="00AA256B"/>
    <w:rsid w:val="00AA2944"/>
    <w:rsid w:val="00AA29F8"/>
    <w:rsid w:val="00AA2FF2"/>
    <w:rsid w:val="00AA346B"/>
    <w:rsid w:val="00AA3929"/>
    <w:rsid w:val="00AA3C23"/>
    <w:rsid w:val="00AA4146"/>
    <w:rsid w:val="00AA444C"/>
    <w:rsid w:val="00AA4CC7"/>
    <w:rsid w:val="00AA50B0"/>
    <w:rsid w:val="00AA5188"/>
    <w:rsid w:val="00AA54CB"/>
    <w:rsid w:val="00AA5757"/>
    <w:rsid w:val="00AA5B83"/>
    <w:rsid w:val="00AA5DF7"/>
    <w:rsid w:val="00AA5F29"/>
    <w:rsid w:val="00AA6386"/>
    <w:rsid w:val="00AA6475"/>
    <w:rsid w:val="00AA66E5"/>
    <w:rsid w:val="00AA68E3"/>
    <w:rsid w:val="00AA6B24"/>
    <w:rsid w:val="00AA6BEA"/>
    <w:rsid w:val="00AA6CA0"/>
    <w:rsid w:val="00AA6D21"/>
    <w:rsid w:val="00AA6E0A"/>
    <w:rsid w:val="00AA6E3F"/>
    <w:rsid w:val="00AA706E"/>
    <w:rsid w:val="00AA708A"/>
    <w:rsid w:val="00AA72D8"/>
    <w:rsid w:val="00AA77E6"/>
    <w:rsid w:val="00AA77FA"/>
    <w:rsid w:val="00AA7922"/>
    <w:rsid w:val="00AA7992"/>
    <w:rsid w:val="00AA79A3"/>
    <w:rsid w:val="00AA7A15"/>
    <w:rsid w:val="00AA7A35"/>
    <w:rsid w:val="00AA7DEE"/>
    <w:rsid w:val="00AA7DF4"/>
    <w:rsid w:val="00AB0026"/>
    <w:rsid w:val="00AB0138"/>
    <w:rsid w:val="00AB0180"/>
    <w:rsid w:val="00AB0437"/>
    <w:rsid w:val="00AB04C0"/>
    <w:rsid w:val="00AB08B0"/>
    <w:rsid w:val="00AB0B30"/>
    <w:rsid w:val="00AB0C0E"/>
    <w:rsid w:val="00AB0CDE"/>
    <w:rsid w:val="00AB0D77"/>
    <w:rsid w:val="00AB0D9D"/>
    <w:rsid w:val="00AB0FF5"/>
    <w:rsid w:val="00AB10A4"/>
    <w:rsid w:val="00AB1258"/>
    <w:rsid w:val="00AB14FA"/>
    <w:rsid w:val="00AB164D"/>
    <w:rsid w:val="00AB1DA2"/>
    <w:rsid w:val="00AB1DB8"/>
    <w:rsid w:val="00AB1DDA"/>
    <w:rsid w:val="00AB203D"/>
    <w:rsid w:val="00AB21ED"/>
    <w:rsid w:val="00AB233E"/>
    <w:rsid w:val="00AB273B"/>
    <w:rsid w:val="00AB27E0"/>
    <w:rsid w:val="00AB27E3"/>
    <w:rsid w:val="00AB28CD"/>
    <w:rsid w:val="00AB29E7"/>
    <w:rsid w:val="00AB2BE3"/>
    <w:rsid w:val="00AB2E6E"/>
    <w:rsid w:val="00AB2F92"/>
    <w:rsid w:val="00AB301C"/>
    <w:rsid w:val="00AB33C0"/>
    <w:rsid w:val="00AB359A"/>
    <w:rsid w:val="00AB37C0"/>
    <w:rsid w:val="00AB3B87"/>
    <w:rsid w:val="00AB3E9E"/>
    <w:rsid w:val="00AB3FD7"/>
    <w:rsid w:val="00AB42E6"/>
    <w:rsid w:val="00AB45F5"/>
    <w:rsid w:val="00AB463D"/>
    <w:rsid w:val="00AB4A87"/>
    <w:rsid w:val="00AB5041"/>
    <w:rsid w:val="00AB5199"/>
    <w:rsid w:val="00AB55C2"/>
    <w:rsid w:val="00AB5662"/>
    <w:rsid w:val="00AB5666"/>
    <w:rsid w:val="00AB56B0"/>
    <w:rsid w:val="00AB5AD1"/>
    <w:rsid w:val="00AB5CF8"/>
    <w:rsid w:val="00AB5E12"/>
    <w:rsid w:val="00AB620B"/>
    <w:rsid w:val="00AB6276"/>
    <w:rsid w:val="00AB6390"/>
    <w:rsid w:val="00AB6503"/>
    <w:rsid w:val="00AB683E"/>
    <w:rsid w:val="00AB6CC7"/>
    <w:rsid w:val="00AB716A"/>
    <w:rsid w:val="00AB76D0"/>
    <w:rsid w:val="00AB7B8D"/>
    <w:rsid w:val="00AB7D6C"/>
    <w:rsid w:val="00AB7E2D"/>
    <w:rsid w:val="00AC025D"/>
    <w:rsid w:val="00AC02AA"/>
    <w:rsid w:val="00AC0528"/>
    <w:rsid w:val="00AC0B81"/>
    <w:rsid w:val="00AC0BA2"/>
    <w:rsid w:val="00AC0BD5"/>
    <w:rsid w:val="00AC0CC1"/>
    <w:rsid w:val="00AC0D9C"/>
    <w:rsid w:val="00AC0EB4"/>
    <w:rsid w:val="00AC1019"/>
    <w:rsid w:val="00AC1591"/>
    <w:rsid w:val="00AC1650"/>
    <w:rsid w:val="00AC17C3"/>
    <w:rsid w:val="00AC17DA"/>
    <w:rsid w:val="00AC1872"/>
    <w:rsid w:val="00AC18C1"/>
    <w:rsid w:val="00AC198A"/>
    <w:rsid w:val="00AC1C92"/>
    <w:rsid w:val="00AC1EA6"/>
    <w:rsid w:val="00AC21E8"/>
    <w:rsid w:val="00AC2310"/>
    <w:rsid w:val="00AC2362"/>
    <w:rsid w:val="00AC2373"/>
    <w:rsid w:val="00AC25A3"/>
    <w:rsid w:val="00AC2BF9"/>
    <w:rsid w:val="00AC2CC0"/>
    <w:rsid w:val="00AC30A0"/>
    <w:rsid w:val="00AC334F"/>
    <w:rsid w:val="00AC33B1"/>
    <w:rsid w:val="00AC33BB"/>
    <w:rsid w:val="00AC3500"/>
    <w:rsid w:val="00AC4310"/>
    <w:rsid w:val="00AC440D"/>
    <w:rsid w:val="00AC46B4"/>
    <w:rsid w:val="00AC4769"/>
    <w:rsid w:val="00AC4A79"/>
    <w:rsid w:val="00AC4C54"/>
    <w:rsid w:val="00AC4CCE"/>
    <w:rsid w:val="00AC4D49"/>
    <w:rsid w:val="00AC4E21"/>
    <w:rsid w:val="00AC516C"/>
    <w:rsid w:val="00AC550F"/>
    <w:rsid w:val="00AC5722"/>
    <w:rsid w:val="00AC5A21"/>
    <w:rsid w:val="00AC6145"/>
    <w:rsid w:val="00AC639D"/>
    <w:rsid w:val="00AC652E"/>
    <w:rsid w:val="00AC6708"/>
    <w:rsid w:val="00AC6DAA"/>
    <w:rsid w:val="00AC73B5"/>
    <w:rsid w:val="00AC7567"/>
    <w:rsid w:val="00AC7647"/>
    <w:rsid w:val="00AC7666"/>
    <w:rsid w:val="00AC7718"/>
    <w:rsid w:val="00AC7746"/>
    <w:rsid w:val="00AD0213"/>
    <w:rsid w:val="00AD031E"/>
    <w:rsid w:val="00AD066E"/>
    <w:rsid w:val="00AD0676"/>
    <w:rsid w:val="00AD08A9"/>
    <w:rsid w:val="00AD0D5F"/>
    <w:rsid w:val="00AD0EE6"/>
    <w:rsid w:val="00AD112F"/>
    <w:rsid w:val="00AD12A3"/>
    <w:rsid w:val="00AD14B4"/>
    <w:rsid w:val="00AD1AA4"/>
    <w:rsid w:val="00AD1AFA"/>
    <w:rsid w:val="00AD1E72"/>
    <w:rsid w:val="00AD2188"/>
    <w:rsid w:val="00AD2C9C"/>
    <w:rsid w:val="00AD2D79"/>
    <w:rsid w:val="00AD30AC"/>
    <w:rsid w:val="00AD318B"/>
    <w:rsid w:val="00AD321B"/>
    <w:rsid w:val="00AD3638"/>
    <w:rsid w:val="00AD368C"/>
    <w:rsid w:val="00AD3907"/>
    <w:rsid w:val="00AD391B"/>
    <w:rsid w:val="00AD3975"/>
    <w:rsid w:val="00AD3DA5"/>
    <w:rsid w:val="00AD3E1B"/>
    <w:rsid w:val="00AD3FE1"/>
    <w:rsid w:val="00AD42CB"/>
    <w:rsid w:val="00AD482B"/>
    <w:rsid w:val="00AD4ACC"/>
    <w:rsid w:val="00AD5005"/>
    <w:rsid w:val="00AD5327"/>
    <w:rsid w:val="00AD54EA"/>
    <w:rsid w:val="00AD5780"/>
    <w:rsid w:val="00AD579F"/>
    <w:rsid w:val="00AD5E9A"/>
    <w:rsid w:val="00AD5F64"/>
    <w:rsid w:val="00AD6018"/>
    <w:rsid w:val="00AD631F"/>
    <w:rsid w:val="00AD636D"/>
    <w:rsid w:val="00AD6698"/>
    <w:rsid w:val="00AD67FB"/>
    <w:rsid w:val="00AD68A7"/>
    <w:rsid w:val="00AD6A11"/>
    <w:rsid w:val="00AD703A"/>
    <w:rsid w:val="00AD7282"/>
    <w:rsid w:val="00AD7631"/>
    <w:rsid w:val="00AD7692"/>
    <w:rsid w:val="00AD76CE"/>
    <w:rsid w:val="00AD770A"/>
    <w:rsid w:val="00AD7833"/>
    <w:rsid w:val="00AD78C4"/>
    <w:rsid w:val="00AD7D38"/>
    <w:rsid w:val="00AD7FDD"/>
    <w:rsid w:val="00AE005D"/>
    <w:rsid w:val="00AE0158"/>
    <w:rsid w:val="00AE0214"/>
    <w:rsid w:val="00AE070B"/>
    <w:rsid w:val="00AE0A58"/>
    <w:rsid w:val="00AE0EF3"/>
    <w:rsid w:val="00AE0F5E"/>
    <w:rsid w:val="00AE0F6F"/>
    <w:rsid w:val="00AE12C4"/>
    <w:rsid w:val="00AE1394"/>
    <w:rsid w:val="00AE18A8"/>
    <w:rsid w:val="00AE18AD"/>
    <w:rsid w:val="00AE1A01"/>
    <w:rsid w:val="00AE1AE6"/>
    <w:rsid w:val="00AE1F0F"/>
    <w:rsid w:val="00AE20FD"/>
    <w:rsid w:val="00AE21FF"/>
    <w:rsid w:val="00AE24F7"/>
    <w:rsid w:val="00AE2598"/>
    <w:rsid w:val="00AE25D6"/>
    <w:rsid w:val="00AE26E8"/>
    <w:rsid w:val="00AE2804"/>
    <w:rsid w:val="00AE286D"/>
    <w:rsid w:val="00AE2A8E"/>
    <w:rsid w:val="00AE2CE3"/>
    <w:rsid w:val="00AE2E28"/>
    <w:rsid w:val="00AE3078"/>
    <w:rsid w:val="00AE323D"/>
    <w:rsid w:val="00AE328A"/>
    <w:rsid w:val="00AE349C"/>
    <w:rsid w:val="00AE396D"/>
    <w:rsid w:val="00AE39EC"/>
    <w:rsid w:val="00AE3B44"/>
    <w:rsid w:val="00AE43B5"/>
    <w:rsid w:val="00AE46D4"/>
    <w:rsid w:val="00AE48EB"/>
    <w:rsid w:val="00AE4B87"/>
    <w:rsid w:val="00AE4D91"/>
    <w:rsid w:val="00AE53D1"/>
    <w:rsid w:val="00AE5423"/>
    <w:rsid w:val="00AE554D"/>
    <w:rsid w:val="00AE5607"/>
    <w:rsid w:val="00AE56F4"/>
    <w:rsid w:val="00AE59C5"/>
    <w:rsid w:val="00AE5ADB"/>
    <w:rsid w:val="00AE5B3C"/>
    <w:rsid w:val="00AE5B7C"/>
    <w:rsid w:val="00AE5DAE"/>
    <w:rsid w:val="00AE6312"/>
    <w:rsid w:val="00AE6669"/>
    <w:rsid w:val="00AE688D"/>
    <w:rsid w:val="00AE689F"/>
    <w:rsid w:val="00AE68D8"/>
    <w:rsid w:val="00AE6934"/>
    <w:rsid w:val="00AE69F8"/>
    <w:rsid w:val="00AE6AD9"/>
    <w:rsid w:val="00AE6C13"/>
    <w:rsid w:val="00AE6C3B"/>
    <w:rsid w:val="00AE6D8B"/>
    <w:rsid w:val="00AE7020"/>
    <w:rsid w:val="00AE7366"/>
    <w:rsid w:val="00AE7398"/>
    <w:rsid w:val="00AE7460"/>
    <w:rsid w:val="00AE762F"/>
    <w:rsid w:val="00AE7634"/>
    <w:rsid w:val="00AE76E2"/>
    <w:rsid w:val="00AE798B"/>
    <w:rsid w:val="00AE7C4F"/>
    <w:rsid w:val="00AF03D3"/>
    <w:rsid w:val="00AF09DF"/>
    <w:rsid w:val="00AF1249"/>
    <w:rsid w:val="00AF1717"/>
    <w:rsid w:val="00AF1730"/>
    <w:rsid w:val="00AF1EE3"/>
    <w:rsid w:val="00AF1F18"/>
    <w:rsid w:val="00AF206D"/>
    <w:rsid w:val="00AF21A0"/>
    <w:rsid w:val="00AF2DA8"/>
    <w:rsid w:val="00AF2E4A"/>
    <w:rsid w:val="00AF2F4B"/>
    <w:rsid w:val="00AF3026"/>
    <w:rsid w:val="00AF332F"/>
    <w:rsid w:val="00AF41F4"/>
    <w:rsid w:val="00AF42A6"/>
    <w:rsid w:val="00AF43F7"/>
    <w:rsid w:val="00AF45F0"/>
    <w:rsid w:val="00AF471C"/>
    <w:rsid w:val="00AF4CD1"/>
    <w:rsid w:val="00AF4E46"/>
    <w:rsid w:val="00AF4F3F"/>
    <w:rsid w:val="00AF4F6B"/>
    <w:rsid w:val="00AF5002"/>
    <w:rsid w:val="00AF557C"/>
    <w:rsid w:val="00AF55AC"/>
    <w:rsid w:val="00AF565B"/>
    <w:rsid w:val="00AF5662"/>
    <w:rsid w:val="00AF56B0"/>
    <w:rsid w:val="00AF58CC"/>
    <w:rsid w:val="00AF5901"/>
    <w:rsid w:val="00AF5C15"/>
    <w:rsid w:val="00AF612C"/>
    <w:rsid w:val="00AF642B"/>
    <w:rsid w:val="00AF6594"/>
    <w:rsid w:val="00AF6705"/>
    <w:rsid w:val="00AF69D7"/>
    <w:rsid w:val="00AF6A81"/>
    <w:rsid w:val="00AF6AD5"/>
    <w:rsid w:val="00AF6B79"/>
    <w:rsid w:val="00AF6C01"/>
    <w:rsid w:val="00AF7690"/>
    <w:rsid w:val="00AF7FEC"/>
    <w:rsid w:val="00B001D1"/>
    <w:rsid w:val="00B004AC"/>
    <w:rsid w:val="00B004B9"/>
    <w:rsid w:val="00B00659"/>
    <w:rsid w:val="00B00D45"/>
    <w:rsid w:val="00B00D66"/>
    <w:rsid w:val="00B010C8"/>
    <w:rsid w:val="00B01D11"/>
    <w:rsid w:val="00B01D27"/>
    <w:rsid w:val="00B01D58"/>
    <w:rsid w:val="00B01E47"/>
    <w:rsid w:val="00B01FD6"/>
    <w:rsid w:val="00B02079"/>
    <w:rsid w:val="00B027D3"/>
    <w:rsid w:val="00B02A83"/>
    <w:rsid w:val="00B02EE9"/>
    <w:rsid w:val="00B03622"/>
    <w:rsid w:val="00B03771"/>
    <w:rsid w:val="00B03ABB"/>
    <w:rsid w:val="00B03EA4"/>
    <w:rsid w:val="00B04083"/>
    <w:rsid w:val="00B04362"/>
    <w:rsid w:val="00B04545"/>
    <w:rsid w:val="00B045E3"/>
    <w:rsid w:val="00B04728"/>
    <w:rsid w:val="00B04809"/>
    <w:rsid w:val="00B0494E"/>
    <w:rsid w:val="00B04A35"/>
    <w:rsid w:val="00B04CFC"/>
    <w:rsid w:val="00B0500E"/>
    <w:rsid w:val="00B05096"/>
    <w:rsid w:val="00B0515D"/>
    <w:rsid w:val="00B052D4"/>
    <w:rsid w:val="00B053A4"/>
    <w:rsid w:val="00B0556E"/>
    <w:rsid w:val="00B05637"/>
    <w:rsid w:val="00B05778"/>
    <w:rsid w:val="00B05DDC"/>
    <w:rsid w:val="00B05F48"/>
    <w:rsid w:val="00B06252"/>
    <w:rsid w:val="00B0640F"/>
    <w:rsid w:val="00B0642F"/>
    <w:rsid w:val="00B06448"/>
    <w:rsid w:val="00B06522"/>
    <w:rsid w:val="00B067F0"/>
    <w:rsid w:val="00B06853"/>
    <w:rsid w:val="00B06B07"/>
    <w:rsid w:val="00B06C82"/>
    <w:rsid w:val="00B06F94"/>
    <w:rsid w:val="00B07082"/>
    <w:rsid w:val="00B0726E"/>
    <w:rsid w:val="00B0729D"/>
    <w:rsid w:val="00B07638"/>
    <w:rsid w:val="00B07CD9"/>
    <w:rsid w:val="00B07EF0"/>
    <w:rsid w:val="00B1037F"/>
    <w:rsid w:val="00B1043E"/>
    <w:rsid w:val="00B1046F"/>
    <w:rsid w:val="00B107BE"/>
    <w:rsid w:val="00B10882"/>
    <w:rsid w:val="00B10DBE"/>
    <w:rsid w:val="00B1104C"/>
    <w:rsid w:val="00B111CF"/>
    <w:rsid w:val="00B113EA"/>
    <w:rsid w:val="00B1165B"/>
    <w:rsid w:val="00B116A0"/>
    <w:rsid w:val="00B11F06"/>
    <w:rsid w:val="00B11F59"/>
    <w:rsid w:val="00B12305"/>
    <w:rsid w:val="00B12323"/>
    <w:rsid w:val="00B12422"/>
    <w:rsid w:val="00B125DF"/>
    <w:rsid w:val="00B128B2"/>
    <w:rsid w:val="00B12AAD"/>
    <w:rsid w:val="00B12CAF"/>
    <w:rsid w:val="00B12E08"/>
    <w:rsid w:val="00B136BC"/>
    <w:rsid w:val="00B13C82"/>
    <w:rsid w:val="00B144F7"/>
    <w:rsid w:val="00B146BC"/>
    <w:rsid w:val="00B14726"/>
    <w:rsid w:val="00B14845"/>
    <w:rsid w:val="00B149B7"/>
    <w:rsid w:val="00B14B83"/>
    <w:rsid w:val="00B14E06"/>
    <w:rsid w:val="00B14E6D"/>
    <w:rsid w:val="00B158A8"/>
    <w:rsid w:val="00B15C90"/>
    <w:rsid w:val="00B15EA3"/>
    <w:rsid w:val="00B16529"/>
    <w:rsid w:val="00B165D3"/>
    <w:rsid w:val="00B16729"/>
    <w:rsid w:val="00B16C60"/>
    <w:rsid w:val="00B16E25"/>
    <w:rsid w:val="00B1724D"/>
    <w:rsid w:val="00B17259"/>
    <w:rsid w:val="00B1765D"/>
    <w:rsid w:val="00B177DA"/>
    <w:rsid w:val="00B17840"/>
    <w:rsid w:val="00B17A25"/>
    <w:rsid w:val="00B17B6D"/>
    <w:rsid w:val="00B20160"/>
    <w:rsid w:val="00B201EF"/>
    <w:rsid w:val="00B20518"/>
    <w:rsid w:val="00B20559"/>
    <w:rsid w:val="00B20570"/>
    <w:rsid w:val="00B2107C"/>
    <w:rsid w:val="00B21496"/>
    <w:rsid w:val="00B217A7"/>
    <w:rsid w:val="00B2184D"/>
    <w:rsid w:val="00B219D1"/>
    <w:rsid w:val="00B21A9A"/>
    <w:rsid w:val="00B22042"/>
    <w:rsid w:val="00B22281"/>
    <w:rsid w:val="00B2296D"/>
    <w:rsid w:val="00B234FC"/>
    <w:rsid w:val="00B237ED"/>
    <w:rsid w:val="00B2398A"/>
    <w:rsid w:val="00B23A93"/>
    <w:rsid w:val="00B23BB3"/>
    <w:rsid w:val="00B23CFE"/>
    <w:rsid w:val="00B2406C"/>
    <w:rsid w:val="00B24576"/>
    <w:rsid w:val="00B245A1"/>
    <w:rsid w:val="00B246F8"/>
    <w:rsid w:val="00B24CD1"/>
    <w:rsid w:val="00B24DB8"/>
    <w:rsid w:val="00B251C4"/>
    <w:rsid w:val="00B252B0"/>
    <w:rsid w:val="00B25634"/>
    <w:rsid w:val="00B256D3"/>
    <w:rsid w:val="00B259B5"/>
    <w:rsid w:val="00B25B41"/>
    <w:rsid w:val="00B2621C"/>
    <w:rsid w:val="00B26813"/>
    <w:rsid w:val="00B26D30"/>
    <w:rsid w:val="00B26E18"/>
    <w:rsid w:val="00B2749B"/>
    <w:rsid w:val="00B27876"/>
    <w:rsid w:val="00B278C1"/>
    <w:rsid w:val="00B27BCE"/>
    <w:rsid w:val="00B27ED8"/>
    <w:rsid w:val="00B300F3"/>
    <w:rsid w:val="00B30192"/>
    <w:rsid w:val="00B302BE"/>
    <w:rsid w:val="00B304ED"/>
    <w:rsid w:val="00B30841"/>
    <w:rsid w:val="00B30B4C"/>
    <w:rsid w:val="00B30B6A"/>
    <w:rsid w:val="00B3149E"/>
    <w:rsid w:val="00B31573"/>
    <w:rsid w:val="00B31885"/>
    <w:rsid w:val="00B31966"/>
    <w:rsid w:val="00B32255"/>
    <w:rsid w:val="00B328DF"/>
    <w:rsid w:val="00B32986"/>
    <w:rsid w:val="00B32B5C"/>
    <w:rsid w:val="00B32CBF"/>
    <w:rsid w:val="00B33450"/>
    <w:rsid w:val="00B3364F"/>
    <w:rsid w:val="00B33665"/>
    <w:rsid w:val="00B33771"/>
    <w:rsid w:val="00B33ADD"/>
    <w:rsid w:val="00B33ED5"/>
    <w:rsid w:val="00B34045"/>
    <w:rsid w:val="00B341BF"/>
    <w:rsid w:val="00B344BC"/>
    <w:rsid w:val="00B346C0"/>
    <w:rsid w:val="00B3474A"/>
    <w:rsid w:val="00B348C4"/>
    <w:rsid w:val="00B34D4B"/>
    <w:rsid w:val="00B34DCD"/>
    <w:rsid w:val="00B34DD6"/>
    <w:rsid w:val="00B35A8A"/>
    <w:rsid w:val="00B35C9A"/>
    <w:rsid w:val="00B35E2C"/>
    <w:rsid w:val="00B3609A"/>
    <w:rsid w:val="00B360AC"/>
    <w:rsid w:val="00B3646D"/>
    <w:rsid w:val="00B365DF"/>
    <w:rsid w:val="00B3676E"/>
    <w:rsid w:val="00B372E6"/>
    <w:rsid w:val="00B374D9"/>
    <w:rsid w:val="00B377E6"/>
    <w:rsid w:val="00B40027"/>
    <w:rsid w:val="00B40277"/>
    <w:rsid w:val="00B404FA"/>
    <w:rsid w:val="00B40618"/>
    <w:rsid w:val="00B40877"/>
    <w:rsid w:val="00B40D5A"/>
    <w:rsid w:val="00B40E49"/>
    <w:rsid w:val="00B412F1"/>
    <w:rsid w:val="00B416EA"/>
    <w:rsid w:val="00B4195E"/>
    <w:rsid w:val="00B41980"/>
    <w:rsid w:val="00B41A27"/>
    <w:rsid w:val="00B41C7E"/>
    <w:rsid w:val="00B41CE7"/>
    <w:rsid w:val="00B428AB"/>
    <w:rsid w:val="00B42B61"/>
    <w:rsid w:val="00B42C83"/>
    <w:rsid w:val="00B43602"/>
    <w:rsid w:val="00B4366C"/>
    <w:rsid w:val="00B43C45"/>
    <w:rsid w:val="00B441CE"/>
    <w:rsid w:val="00B4465D"/>
    <w:rsid w:val="00B44724"/>
    <w:rsid w:val="00B44794"/>
    <w:rsid w:val="00B4483B"/>
    <w:rsid w:val="00B44870"/>
    <w:rsid w:val="00B44F3F"/>
    <w:rsid w:val="00B44FDC"/>
    <w:rsid w:val="00B452FC"/>
    <w:rsid w:val="00B4535B"/>
    <w:rsid w:val="00B456C4"/>
    <w:rsid w:val="00B456CD"/>
    <w:rsid w:val="00B456DA"/>
    <w:rsid w:val="00B45A1A"/>
    <w:rsid w:val="00B45A42"/>
    <w:rsid w:val="00B45D11"/>
    <w:rsid w:val="00B46095"/>
    <w:rsid w:val="00B46097"/>
    <w:rsid w:val="00B4609D"/>
    <w:rsid w:val="00B460FE"/>
    <w:rsid w:val="00B4617F"/>
    <w:rsid w:val="00B466BF"/>
    <w:rsid w:val="00B46C3A"/>
    <w:rsid w:val="00B46CD2"/>
    <w:rsid w:val="00B46FD2"/>
    <w:rsid w:val="00B47533"/>
    <w:rsid w:val="00B47683"/>
    <w:rsid w:val="00B4778D"/>
    <w:rsid w:val="00B47BA1"/>
    <w:rsid w:val="00B47DCA"/>
    <w:rsid w:val="00B47F45"/>
    <w:rsid w:val="00B50678"/>
    <w:rsid w:val="00B50ACE"/>
    <w:rsid w:val="00B50C95"/>
    <w:rsid w:val="00B50E50"/>
    <w:rsid w:val="00B51045"/>
    <w:rsid w:val="00B51263"/>
    <w:rsid w:val="00B517CB"/>
    <w:rsid w:val="00B5182F"/>
    <w:rsid w:val="00B51920"/>
    <w:rsid w:val="00B5203B"/>
    <w:rsid w:val="00B52173"/>
    <w:rsid w:val="00B5222A"/>
    <w:rsid w:val="00B52502"/>
    <w:rsid w:val="00B526D3"/>
    <w:rsid w:val="00B52785"/>
    <w:rsid w:val="00B527C2"/>
    <w:rsid w:val="00B5289B"/>
    <w:rsid w:val="00B52A50"/>
    <w:rsid w:val="00B52BE9"/>
    <w:rsid w:val="00B52EBA"/>
    <w:rsid w:val="00B53036"/>
    <w:rsid w:val="00B53525"/>
    <w:rsid w:val="00B5365C"/>
    <w:rsid w:val="00B538A9"/>
    <w:rsid w:val="00B53943"/>
    <w:rsid w:val="00B53DA8"/>
    <w:rsid w:val="00B53DAC"/>
    <w:rsid w:val="00B53E08"/>
    <w:rsid w:val="00B5442F"/>
    <w:rsid w:val="00B54747"/>
    <w:rsid w:val="00B54832"/>
    <w:rsid w:val="00B54B10"/>
    <w:rsid w:val="00B54B46"/>
    <w:rsid w:val="00B54F1B"/>
    <w:rsid w:val="00B55017"/>
    <w:rsid w:val="00B55024"/>
    <w:rsid w:val="00B55321"/>
    <w:rsid w:val="00B55332"/>
    <w:rsid w:val="00B55743"/>
    <w:rsid w:val="00B55AC8"/>
    <w:rsid w:val="00B55B03"/>
    <w:rsid w:val="00B55B46"/>
    <w:rsid w:val="00B55C4B"/>
    <w:rsid w:val="00B55EC9"/>
    <w:rsid w:val="00B56096"/>
    <w:rsid w:val="00B56957"/>
    <w:rsid w:val="00B569E2"/>
    <w:rsid w:val="00B569F9"/>
    <w:rsid w:val="00B56B15"/>
    <w:rsid w:val="00B5732B"/>
    <w:rsid w:val="00B578CD"/>
    <w:rsid w:val="00B57BE1"/>
    <w:rsid w:val="00B57BFC"/>
    <w:rsid w:val="00B57F2C"/>
    <w:rsid w:val="00B600E1"/>
    <w:rsid w:val="00B605BF"/>
    <w:rsid w:val="00B606B2"/>
    <w:rsid w:val="00B606BC"/>
    <w:rsid w:val="00B606F0"/>
    <w:rsid w:val="00B60759"/>
    <w:rsid w:val="00B6081E"/>
    <w:rsid w:val="00B60A1F"/>
    <w:rsid w:val="00B60A7E"/>
    <w:rsid w:val="00B60F9F"/>
    <w:rsid w:val="00B61070"/>
    <w:rsid w:val="00B61788"/>
    <w:rsid w:val="00B61F6C"/>
    <w:rsid w:val="00B62339"/>
    <w:rsid w:val="00B623EE"/>
    <w:rsid w:val="00B62502"/>
    <w:rsid w:val="00B62A43"/>
    <w:rsid w:val="00B62D49"/>
    <w:rsid w:val="00B633AB"/>
    <w:rsid w:val="00B6395E"/>
    <w:rsid w:val="00B63992"/>
    <w:rsid w:val="00B63BF6"/>
    <w:rsid w:val="00B63C4A"/>
    <w:rsid w:val="00B64099"/>
    <w:rsid w:val="00B6431C"/>
    <w:rsid w:val="00B64576"/>
    <w:rsid w:val="00B6474A"/>
    <w:rsid w:val="00B6482B"/>
    <w:rsid w:val="00B64848"/>
    <w:rsid w:val="00B64F6E"/>
    <w:rsid w:val="00B64FD7"/>
    <w:rsid w:val="00B65A01"/>
    <w:rsid w:val="00B66266"/>
    <w:rsid w:val="00B6630F"/>
    <w:rsid w:val="00B6684F"/>
    <w:rsid w:val="00B66888"/>
    <w:rsid w:val="00B668E5"/>
    <w:rsid w:val="00B66E1D"/>
    <w:rsid w:val="00B66F5D"/>
    <w:rsid w:val="00B673A5"/>
    <w:rsid w:val="00B6743D"/>
    <w:rsid w:val="00B674B0"/>
    <w:rsid w:val="00B6787B"/>
    <w:rsid w:val="00B67B12"/>
    <w:rsid w:val="00B67EA5"/>
    <w:rsid w:val="00B7007E"/>
    <w:rsid w:val="00B707ED"/>
    <w:rsid w:val="00B7086C"/>
    <w:rsid w:val="00B708FF"/>
    <w:rsid w:val="00B70DAF"/>
    <w:rsid w:val="00B70F76"/>
    <w:rsid w:val="00B712C1"/>
    <w:rsid w:val="00B7143B"/>
    <w:rsid w:val="00B716F8"/>
    <w:rsid w:val="00B7182D"/>
    <w:rsid w:val="00B71846"/>
    <w:rsid w:val="00B7198F"/>
    <w:rsid w:val="00B71ED5"/>
    <w:rsid w:val="00B720A3"/>
    <w:rsid w:val="00B72211"/>
    <w:rsid w:val="00B72386"/>
    <w:rsid w:val="00B72528"/>
    <w:rsid w:val="00B72740"/>
    <w:rsid w:val="00B72789"/>
    <w:rsid w:val="00B72927"/>
    <w:rsid w:val="00B72A82"/>
    <w:rsid w:val="00B72F0D"/>
    <w:rsid w:val="00B73482"/>
    <w:rsid w:val="00B7361B"/>
    <w:rsid w:val="00B7361F"/>
    <w:rsid w:val="00B73960"/>
    <w:rsid w:val="00B73AF4"/>
    <w:rsid w:val="00B73EB5"/>
    <w:rsid w:val="00B74498"/>
    <w:rsid w:val="00B745A6"/>
    <w:rsid w:val="00B74641"/>
    <w:rsid w:val="00B746D4"/>
    <w:rsid w:val="00B74926"/>
    <w:rsid w:val="00B74B1D"/>
    <w:rsid w:val="00B74B99"/>
    <w:rsid w:val="00B74E19"/>
    <w:rsid w:val="00B7508F"/>
    <w:rsid w:val="00B750EC"/>
    <w:rsid w:val="00B7518E"/>
    <w:rsid w:val="00B75252"/>
    <w:rsid w:val="00B7559F"/>
    <w:rsid w:val="00B75602"/>
    <w:rsid w:val="00B75D6F"/>
    <w:rsid w:val="00B760C5"/>
    <w:rsid w:val="00B7612D"/>
    <w:rsid w:val="00B76683"/>
    <w:rsid w:val="00B76A61"/>
    <w:rsid w:val="00B76A98"/>
    <w:rsid w:val="00B77014"/>
    <w:rsid w:val="00B77042"/>
    <w:rsid w:val="00B77508"/>
    <w:rsid w:val="00B778F8"/>
    <w:rsid w:val="00B77C13"/>
    <w:rsid w:val="00B77D5F"/>
    <w:rsid w:val="00B77EA5"/>
    <w:rsid w:val="00B8053C"/>
    <w:rsid w:val="00B80CCD"/>
    <w:rsid w:val="00B80DF2"/>
    <w:rsid w:val="00B80F68"/>
    <w:rsid w:val="00B8108A"/>
    <w:rsid w:val="00B8183F"/>
    <w:rsid w:val="00B81C9D"/>
    <w:rsid w:val="00B81FA4"/>
    <w:rsid w:val="00B82881"/>
    <w:rsid w:val="00B82CB3"/>
    <w:rsid w:val="00B8312C"/>
    <w:rsid w:val="00B83208"/>
    <w:rsid w:val="00B832EF"/>
    <w:rsid w:val="00B8352B"/>
    <w:rsid w:val="00B837BC"/>
    <w:rsid w:val="00B83BFD"/>
    <w:rsid w:val="00B83C77"/>
    <w:rsid w:val="00B83D5F"/>
    <w:rsid w:val="00B843F0"/>
    <w:rsid w:val="00B849F2"/>
    <w:rsid w:val="00B852F1"/>
    <w:rsid w:val="00B85642"/>
    <w:rsid w:val="00B8573B"/>
    <w:rsid w:val="00B85845"/>
    <w:rsid w:val="00B859C4"/>
    <w:rsid w:val="00B86517"/>
    <w:rsid w:val="00B86695"/>
    <w:rsid w:val="00B868B6"/>
    <w:rsid w:val="00B86B97"/>
    <w:rsid w:val="00B86DE1"/>
    <w:rsid w:val="00B86DE3"/>
    <w:rsid w:val="00B86EEF"/>
    <w:rsid w:val="00B8722B"/>
    <w:rsid w:val="00B873B1"/>
    <w:rsid w:val="00B87591"/>
    <w:rsid w:val="00B87844"/>
    <w:rsid w:val="00B8794C"/>
    <w:rsid w:val="00B87A9E"/>
    <w:rsid w:val="00B9022D"/>
    <w:rsid w:val="00B90281"/>
    <w:rsid w:val="00B90562"/>
    <w:rsid w:val="00B908A5"/>
    <w:rsid w:val="00B90A7C"/>
    <w:rsid w:val="00B913A4"/>
    <w:rsid w:val="00B918F1"/>
    <w:rsid w:val="00B91C96"/>
    <w:rsid w:val="00B91E59"/>
    <w:rsid w:val="00B9217F"/>
    <w:rsid w:val="00B921F8"/>
    <w:rsid w:val="00B9241F"/>
    <w:rsid w:val="00B92643"/>
    <w:rsid w:val="00B92921"/>
    <w:rsid w:val="00B92AA8"/>
    <w:rsid w:val="00B92FF7"/>
    <w:rsid w:val="00B93273"/>
    <w:rsid w:val="00B934A4"/>
    <w:rsid w:val="00B935D5"/>
    <w:rsid w:val="00B936AE"/>
    <w:rsid w:val="00B936D5"/>
    <w:rsid w:val="00B93A8C"/>
    <w:rsid w:val="00B93C77"/>
    <w:rsid w:val="00B93CCB"/>
    <w:rsid w:val="00B93EEB"/>
    <w:rsid w:val="00B93FB6"/>
    <w:rsid w:val="00B941B1"/>
    <w:rsid w:val="00B9463F"/>
    <w:rsid w:val="00B947E0"/>
    <w:rsid w:val="00B94B71"/>
    <w:rsid w:val="00B94F6E"/>
    <w:rsid w:val="00B9514A"/>
    <w:rsid w:val="00B95352"/>
    <w:rsid w:val="00B95508"/>
    <w:rsid w:val="00B95EF4"/>
    <w:rsid w:val="00B95EFE"/>
    <w:rsid w:val="00B96035"/>
    <w:rsid w:val="00B9660D"/>
    <w:rsid w:val="00B966B5"/>
    <w:rsid w:val="00B967C8"/>
    <w:rsid w:val="00B968FC"/>
    <w:rsid w:val="00B96E12"/>
    <w:rsid w:val="00B96F63"/>
    <w:rsid w:val="00B97844"/>
    <w:rsid w:val="00B97A34"/>
    <w:rsid w:val="00B97AD8"/>
    <w:rsid w:val="00B97B50"/>
    <w:rsid w:val="00B97C81"/>
    <w:rsid w:val="00B97F0F"/>
    <w:rsid w:val="00B97F3D"/>
    <w:rsid w:val="00BA003E"/>
    <w:rsid w:val="00BA00AE"/>
    <w:rsid w:val="00BA0393"/>
    <w:rsid w:val="00BA080A"/>
    <w:rsid w:val="00BA0811"/>
    <w:rsid w:val="00BA0A56"/>
    <w:rsid w:val="00BA0AE2"/>
    <w:rsid w:val="00BA0E0C"/>
    <w:rsid w:val="00BA1030"/>
    <w:rsid w:val="00BA10C1"/>
    <w:rsid w:val="00BA1368"/>
    <w:rsid w:val="00BA1477"/>
    <w:rsid w:val="00BA159C"/>
    <w:rsid w:val="00BA169D"/>
    <w:rsid w:val="00BA1821"/>
    <w:rsid w:val="00BA1AB8"/>
    <w:rsid w:val="00BA1CAD"/>
    <w:rsid w:val="00BA215F"/>
    <w:rsid w:val="00BA21BC"/>
    <w:rsid w:val="00BA21C7"/>
    <w:rsid w:val="00BA232B"/>
    <w:rsid w:val="00BA2528"/>
    <w:rsid w:val="00BA2A79"/>
    <w:rsid w:val="00BA2E9E"/>
    <w:rsid w:val="00BA2FD1"/>
    <w:rsid w:val="00BA306A"/>
    <w:rsid w:val="00BA3106"/>
    <w:rsid w:val="00BA357C"/>
    <w:rsid w:val="00BA3837"/>
    <w:rsid w:val="00BA3899"/>
    <w:rsid w:val="00BA3948"/>
    <w:rsid w:val="00BA3A8D"/>
    <w:rsid w:val="00BA3F62"/>
    <w:rsid w:val="00BA3FB7"/>
    <w:rsid w:val="00BA400F"/>
    <w:rsid w:val="00BA4C2C"/>
    <w:rsid w:val="00BA4D00"/>
    <w:rsid w:val="00BA50FB"/>
    <w:rsid w:val="00BA552B"/>
    <w:rsid w:val="00BA569A"/>
    <w:rsid w:val="00BA56E3"/>
    <w:rsid w:val="00BA598F"/>
    <w:rsid w:val="00BA59EB"/>
    <w:rsid w:val="00BA5B3C"/>
    <w:rsid w:val="00BA5CE5"/>
    <w:rsid w:val="00BA5D12"/>
    <w:rsid w:val="00BA6156"/>
    <w:rsid w:val="00BA6489"/>
    <w:rsid w:val="00BA6AE0"/>
    <w:rsid w:val="00BA6B0E"/>
    <w:rsid w:val="00BA6D54"/>
    <w:rsid w:val="00BA7389"/>
    <w:rsid w:val="00BA764B"/>
    <w:rsid w:val="00BA7830"/>
    <w:rsid w:val="00BA7BE9"/>
    <w:rsid w:val="00BA7C96"/>
    <w:rsid w:val="00BA7CDB"/>
    <w:rsid w:val="00BA7D59"/>
    <w:rsid w:val="00BA7E9F"/>
    <w:rsid w:val="00BB0056"/>
    <w:rsid w:val="00BB00A9"/>
    <w:rsid w:val="00BB0121"/>
    <w:rsid w:val="00BB08F5"/>
    <w:rsid w:val="00BB09EC"/>
    <w:rsid w:val="00BB0ABA"/>
    <w:rsid w:val="00BB0C8D"/>
    <w:rsid w:val="00BB0ECE"/>
    <w:rsid w:val="00BB1868"/>
    <w:rsid w:val="00BB1904"/>
    <w:rsid w:val="00BB1A6A"/>
    <w:rsid w:val="00BB1BBD"/>
    <w:rsid w:val="00BB1E7C"/>
    <w:rsid w:val="00BB2595"/>
    <w:rsid w:val="00BB2625"/>
    <w:rsid w:val="00BB26CB"/>
    <w:rsid w:val="00BB3183"/>
    <w:rsid w:val="00BB32F0"/>
    <w:rsid w:val="00BB35E7"/>
    <w:rsid w:val="00BB3954"/>
    <w:rsid w:val="00BB3B3D"/>
    <w:rsid w:val="00BB3FE9"/>
    <w:rsid w:val="00BB4018"/>
    <w:rsid w:val="00BB42F9"/>
    <w:rsid w:val="00BB44E2"/>
    <w:rsid w:val="00BB470E"/>
    <w:rsid w:val="00BB4A3D"/>
    <w:rsid w:val="00BB4EC4"/>
    <w:rsid w:val="00BB4F6B"/>
    <w:rsid w:val="00BB538F"/>
    <w:rsid w:val="00BB5475"/>
    <w:rsid w:val="00BB551D"/>
    <w:rsid w:val="00BB5686"/>
    <w:rsid w:val="00BB58BC"/>
    <w:rsid w:val="00BB5C95"/>
    <w:rsid w:val="00BB5F68"/>
    <w:rsid w:val="00BB6509"/>
    <w:rsid w:val="00BB66DD"/>
    <w:rsid w:val="00BB68EF"/>
    <w:rsid w:val="00BB6F25"/>
    <w:rsid w:val="00BB6FD8"/>
    <w:rsid w:val="00BB7554"/>
    <w:rsid w:val="00BB767C"/>
    <w:rsid w:val="00BB778E"/>
    <w:rsid w:val="00BB782E"/>
    <w:rsid w:val="00BB7839"/>
    <w:rsid w:val="00BC00F5"/>
    <w:rsid w:val="00BC0365"/>
    <w:rsid w:val="00BC0563"/>
    <w:rsid w:val="00BC08F8"/>
    <w:rsid w:val="00BC0B48"/>
    <w:rsid w:val="00BC0B60"/>
    <w:rsid w:val="00BC0BD1"/>
    <w:rsid w:val="00BC0CD6"/>
    <w:rsid w:val="00BC1134"/>
    <w:rsid w:val="00BC1512"/>
    <w:rsid w:val="00BC1658"/>
    <w:rsid w:val="00BC1671"/>
    <w:rsid w:val="00BC1BA3"/>
    <w:rsid w:val="00BC1BF1"/>
    <w:rsid w:val="00BC1CF4"/>
    <w:rsid w:val="00BC248C"/>
    <w:rsid w:val="00BC251D"/>
    <w:rsid w:val="00BC257B"/>
    <w:rsid w:val="00BC2854"/>
    <w:rsid w:val="00BC28A8"/>
    <w:rsid w:val="00BC28C9"/>
    <w:rsid w:val="00BC2902"/>
    <w:rsid w:val="00BC2B60"/>
    <w:rsid w:val="00BC2F20"/>
    <w:rsid w:val="00BC2F39"/>
    <w:rsid w:val="00BC317D"/>
    <w:rsid w:val="00BC3FFD"/>
    <w:rsid w:val="00BC4069"/>
    <w:rsid w:val="00BC4768"/>
    <w:rsid w:val="00BC4CE8"/>
    <w:rsid w:val="00BC4DBE"/>
    <w:rsid w:val="00BC5530"/>
    <w:rsid w:val="00BC5896"/>
    <w:rsid w:val="00BC5915"/>
    <w:rsid w:val="00BC5C14"/>
    <w:rsid w:val="00BC5E1E"/>
    <w:rsid w:val="00BC609C"/>
    <w:rsid w:val="00BC61D9"/>
    <w:rsid w:val="00BC64EB"/>
    <w:rsid w:val="00BC671E"/>
    <w:rsid w:val="00BC680E"/>
    <w:rsid w:val="00BC6865"/>
    <w:rsid w:val="00BC6974"/>
    <w:rsid w:val="00BC7A16"/>
    <w:rsid w:val="00BC7C0F"/>
    <w:rsid w:val="00BC7E5A"/>
    <w:rsid w:val="00BD018F"/>
    <w:rsid w:val="00BD04CA"/>
    <w:rsid w:val="00BD0652"/>
    <w:rsid w:val="00BD0EA3"/>
    <w:rsid w:val="00BD112D"/>
    <w:rsid w:val="00BD15A0"/>
    <w:rsid w:val="00BD1992"/>
    <w:rsid w:val="00BD1DF9"/>
    <w:rsid w:val="00BD1EDB"/>
    <w:rsid w:val="00BD22CC"/>
    <w:rsid w:val="00BD2457"/>
    <w:rsid w:val="00BD3401"/>
    <w:rsid w:val="00BD3473"/>
    <w:rsid w:val="00BD34B5"/>
    <w:rsid w:val="00BD363E"/>
    <w:rsid w:val="00BD3686"/>
    <w:rsid w:val="00BD37D8"/>
    <w:rsid w:val="00BD3BE5"/>
    <w:rsid w:val="00BD40F1"/>
    <w:rsid w:val="00BD45DB"/>
    <w:rsid w:val="00BD4695"/>
    <w:rsid w:val="00BD4747"/>
    <w:rsid w:val="00BD47C2"/>
    <w:rsid w:val="00BD48D4"/>
    <w:rsid w:val="00BD4A76"/>
    <w:rsid w:val="00BD4DA6"/>
    <w:rsid w:val="00BD4E56"/>
    <w:rsid w:val="00BD5D08"/>
    <w:rsid w:val="00BD5E2A"/>
    <w:rsid w:val="00BD628D"/>
    <w:rsid w:val="00BD6936"/>
    <w:rsid w:val="00BD6B03"/>
    <w:rsid w:val="00BD70A8"/>
    <w:rsid w:val="00BD7758"/>
    <w:rsid w:val="00BD77FC"/>
    <w:rsid w:val="00BD7AA4"/>
    <w:rsid w:val="00BD7CD8"/>
    <w:rsid w:val="00BE000E"/>
    <w:rsid w:val="00BE0052"/>
    <w:rsid w:val="00BE007D"/>
    <w:rsid w:val="00BE0095"/>
    <w:rsid w:val="00BE0417"/>
    <w:rsid w:val="00BE04B5"/>
    <w:rsid w:val="00BE08FA"/>
    <w:rsid w:val="00BE0BC3"/>
    <w:rsid w:val="00BE1171"/>
    <w:rsid w:val="00BE11DD"/>
    <w:rsid w:val="00BE16CB"/>
    <w:rsid w:val="00BE195B"/>
    <w:rsid w:val="00BE1995"/>
    <w:rsid w:val="00BE2034"/>
    <w:rsid w:val="00BE21E6"/>
    <w:rsid w:val="00BE22DD"/>
    <w:rsid w:val="00BE230A"/>
    <w:rsid w:val="00BE23DB"/>
    <w:rsid w:val="00BE270D"/>
    <w:rsid w:val="00BE274C"/>
    <w:rsid w:val="00BE306A"/>
    <w:rsid w:val="00BE33B3"/>
    <w:rsid w:val="00BE348C"/>
    <w:rsid w:val="00BE36EA"/>
    <w:rsid w:val="00BE3AF9"/>
    <w:rsid w:val="00BE3BB0"/>
    <w:rsid w:val="00BE3D80"/>
    <w:rsid w:val="00BE3DF6"/>
    <w:rsid w:val="00BE4094"/>
    <w:rsid w:val="00BE4244"/>
    <w:rsid w:val="00BE45B4"/>
    <w:rsid w:val="00BE47E3"/>
    <w:rsid w:val="00BE4ADF"/>
    <w:rsid w:val="00BE4AF6"/>
    <w:rsid w:val="00BE4F8C"/>
    <w:rsid w:val="00BE523C"/>
    <w:rsid w:val="00BE5338"/>
    <w:rsid w:val="00BE54BC"/>
    <w:rsid w:val="00BE55A9"/>
    <w:rsid w:val="00BE5AA5"/>
    <w:rsid w:val="00BE5B74"/>
    <w:rsid w:val="00BE5BAE"/>
    <w:rsid w:val="00BE5CD4"/>
    <w:rsid w:val="00BE5F94"/>
    <w:rsid w:val="00BE622E"/>
    <w:rsid w:val="00BE62FE"/>
    <w:rsid w:val="00BE6318"/>
    <w:rsid w:val="00BE635A"/>
    <w:rsid w:val="00BE667E"/>
    <w:rsid w:val="00BE67C0"/>
    <w:rsid w:val="00BE6F73"/>
    <w:rsid w:val="00BE72FB"/>
    <w:rsid w:val="00BE748D"/>
    <w:rsid w:val="00BE754A"/>
    <w:rsid w:val="00BE75B8"/>
    <w:rsid w:val="00BE7797"/>
    <w:rsid w:val="00BE7956"/>
    <w:rsid w:val="00BE7F79"/>
    <w:rsid w:val="00BF00A4"/>
    <w:rsid w:val="00BF0110"/>
    <w:rsid w:val="00BF0512"/>
    <w:rsid w:val="00BF057C"/>
    <w:rsid w:val="00BF0BC4"/>
    <w:rsid w:val="00BF1243"/>
    <w:rsid w:val="00BF129D"/>
    <w:rsid w:val="00BF1F1A"/>
    <w:rsid w:val="00BF21BA"/>
    <w:rsid w:val="00BF223E"/>
    <w:rsid w:val="00BF22D7"/>
    <w:rsid w:val="00BF2954"/>
    <w:rsid w:val="00BF2B8E"/>
    <w:rsid w:val="00BF3068"/>
    <w:rsid w:val="00BF3609"/>
    <w:rsid w:val="00BF388F"/>
    <w:rsid w:val="00BF38EC"/>
    <w:rsid w:val="00BF394A"/>
    <w:rsid w:val="00BF3A7B"/>
    <w:rsid w:val="00BF3B02"/>
    <w:rsid w:val="00BF3CE3"/>
    <w:rsid w:val="00BF3D4B"/>
    <w:rsid w:val="00BF3D87"/>
    <w:rsid w:val="00BF451B"/>
    <w:rsid w:val="00BF486B"/>
    <w:rsid w:val="00BF4ABA"/>
    <w:rsid w:val="00BF4DB7"/>
    <w:rsid w:val="00BF50D0"/>
    <w:rsid w:val="00BF5436"/>
    <w:rsid w:val="00BF5872"/>
    <w:rsid w:val="00BF58A1"/>
    <w:rsid w:val="00BF59D5"/>
    <w:rsid w:val="00BF5BBE"/>
    <w:rsid w:val="00BF5C3B"/>
    <w:rsid w:val="00BF5C9E"/>
    <w:rsid w:val="00BF6102"/>
    <w:rsid w:val="00BF61DB"/>
    <w:rsid w:val="00BF6910"/>
    <w:rsid w:val="00BF6C75"/>
    <w:rsid w:val="00BF6D13"/>
    <w:rsid w:val="00BF6DEE"/>
    <w:rsid w:val="00BF6F06"/>
    <w:rsid w:val="00BF6F3A"/>
    <w:rsid w:val="00BF6FA4"/>
    <w:rsid w:val="00BF7036"/>
    <w:rsid w:val="00BF711B"/>
    <w:rsid w:val="00BF7195"/>
    <w:rsid w:val="00BF7940"/>
    <w:rsid w:val="00BF7E43"/>
    <w:rsid w:val="00BF7F3F"/>
    <w:rsid w:val="00C00309"/>
    <w:rsid w:val="00C004C8"/>
    <w:rsid w:val="00C00535"/>
    <w:rsid w:val="00C009D2"/>
    <w:rsid w:val="00C00AA4"/>
    <w:rsid w:val="00C00D76"/>
    <w:rsid w:val="00C00E3E"/>
    <w:rsid w:val="00C00E62"/>
    <w:rsid w:val="00C00EA8"/>
    <w:rsid w:val="00C00FFA"/>
    <w:rsid w:val="00C015A9"/>
    <w:rsid w:val="00C016C6"/>
    <w:rsid w:val="00C01804"/>
    <w:rsid w:val="00C01870"/>
    <w:rsid w:val="00C0198F"/>
    <w:rsid w:val="00C01AB9"/>
    <w:rsid w:val="00C01EC0"/>
    <w:rsid w:val="00C01EC3"/>
    <w:rsid w:val="00C01EC8"/>
    <w:rsid w:val="00C0218C"/>
    <w:rsid w:val="00C026C8"/>
    <w:rsid w:val="00C0275B"/>
    <w:rsid w:val="00C02A60"/>
    <w:rsid w:val="00C02BF7"/>
    <w:rsid w:val="00C02F01"/>
    <w:rsid w:val="00C02FFA"/>
    <w:rsid w:val="00C031FD"/>
    <w:rsid w:val="00C0328E"/>
    <w:rsid w:val="00C0397D"/>
    <w:rsid w:val="00C03E73"/>
    <w:rsid w:val="00C0411F"/>
    <w:rsid w:val="00C04248"/>
    <w:rsid w:val="00C0424B"/>
    <w:rsid w:val="00C04646"/>
    <w:rsid w:val="00C04896"/>
    <w:rsid w:val="00C04DD9"/>
    <w:rsid w:val="00C04EF9"/>
    <w:rsid w:val="00C0543E"/>
    <w:rsid w:val="00C05918"/>
    <w:rsid w:val="00C05E68"/>
    <w:rsid w:val="00C05FB4"/>
    <w:rsid w:val="00C06219"/>
    <w:rsid w:val="00C06344"/>
    <w:rsid w:val="00C06447"/>
    <w:rsid w:val="00C0694C"/>
    <w:rsid w:val="00C06ACD"/>
    <w:rsid w:val="00C06AFC"/>
    <w:rsid w:val="00C06E33"/>
    <w:rsid w:val="00C06EAA"/>
    <w:rsid w:val="00C0700E"/>
    <w:rsid w:val="00C075B5"/>
    <w:rsid w:val="00C077FB"/>
    <w:rsid w:val="00C07921"/>
    <w:rsid w:val="00C07C5F"/>
    <w:rsid w:val="00C10039"/>
    <w:rsid w:val="00C10300"/>
    <w:rsid w:val="00C10350"/>
    <w:rsid w:val="00C103C5"/>
    <w:rsid w:val="00C108DE"/>
    <w:rsid w:val="00C10BCF"/>
    <w:rsid w:val="00C1150F"/>
    <w:rsid w:val="00C11595"/>
    <w:rsid w:val="00C11EFF"/>
    <w:rsid w:val="00C12147"/>
    <w:rsid w:val="00C123E6"/>
    <w:rsid w:val="00C12611"/>
    <w:rsid w:val="00C1284D"/>
    <w:rsid w:val="00C12A8A"/>
    <w:rsid w:val="00C12DB7"/>
    <w:rsid w:val="00C12DDC"/>
    <w:rsid w:val="00C12E45"/>
    <w:rsid w:val="00C133F9"/>
    <w:rsid w:val="00C13469"/>
    <w:rsid w:val="00C136E7"/>
    <w:rsid w:val="00C13C2D"/>
    <w:rsid w:val="00C13D3A"/>
    <w:rsid w:val="00C13D68"/>
    <w:rsid w:val="00C13E62"/>
    <w:rsid w:val="00C1433C"/>
    <w:rsid w:val="00C1473E"/>
    <w:rsid w:val="00C14859"/>
    <w:rsid w:val="00C14A69"/>
    <w:rsid w:val="00C14B0E"/>
    <w:rsid w:val="00C14B19"/>
    <w:rsid w:val="00C150CC"/>
    <w:rsid w:val="00C15153"/>
    <w:rsid w:val="00C1533C"/>
    <w:rsid w:val="00C1570D"/>
    <w:rsid w:val="00C15969"/>
    <w:rsid w:val="00C15C30"/>
    <w:rsid w:val="00C15C9C"/>
    <w:rsid w:val="00C15CDF"/>
    <w:rsid w:val="00C160CB"/>
    <w:rsid w:val="00C1626C"/>
    <w:rsid w:val="00C164E8"/>
    <w:rsid w:val="00C1654A"/>
    <w:rsid w:val="00C16AA4"/>
    <w:rsid w:val="00C16EE3"/>
    <w:rsid w:val="00C16F8B"/>
    <w:rsid w:val="00C17481"/>
    <w:rsid w:val="00C17822"/>
    <w:rsid w:val="00C178E0"/>
    <w:rsid w:val="00C17CE0"/>
    <w:rsid w:val="00C17EDA"/>
    <w:rsid w:val="00C20113"/>
    <w:rsid w:val="00C201B9"/>
    <w:rsid w:val="00C20A60"/>
    <w:rsid w:val="00C20BA8"/>
    <w:rsid w:val="00C210C2"/>
    <w:rsid w:val="00C21A98"/>
    <w:rsid w:val="00C22104"/>
    <w:rsid w:val="00C22179"/>
    <w:rsid w:val="00C2247A"/>
    <w:rsid w:val="00C226EC"/>
    <w:rsid w:val="00C2289E"/>
    <w:rsid w:val="00C22B58"/>
    <w:rsid w:val="00C22DED"/>
    <w:rsid w:val="00C22E1E"/>
    <w:rsid w:val="00C22E6E"/>
    <w:rsid w:val="00C22F88"/>
    <w:rsid w:val="00C231B1"/>
    <w:rsid w:val="00C23408"/>
    <w:rsid w:val="00C234EE"/>
    <w:rsid w:val="00C23793"/>
    <w:rsid w:val="00C239B9"/>
    <w:rsid w:val="00C239EA"/>
    <w:rsid w:val="00C23A84"/>
    <w:rsid w:val="00C23BE0"/>
    <w:rsid w:val="00C23D07"/>
    <w:rsid w:val="00C23ED7"/>
    <w:rsid w:val="00C23F61"/>
    <w:rsid w:val="00C240C3"/>
    <w:rsid w:val="00C24447"/>
    <w:rsid w:val="00C244EE"/>
    <w:rsid w:val="00C245A8"/>
    <w:rsid w:val="00C246B9"/>
    <w:rsid w:val="00C24EA1"/>
    <w:rsid w:val="00C24F6E"/>
    <w:rsid w:val="00C251B5"/>
    <w:rsid w:val="00C253FC"/>
    <w:rsid w:val="00C25459"/>
    <w:rsid w:val="00C25BC0"/>
    <w:rsid w:val="00C25CC7"/>
    <w:rsid w:val="00C25DEB"/>
    <w:rsid w:val="00C26150"/>
    <w:rsid w:val="00C2634D"/>
    <w:rsid w:val="00C26789"/>
    <w:rsid w:val="00C26AF6"/>
    <w:rsid w:val="00C26F08"/>
    <w:rsid w:val="00C26F76"/>
    <w:rsid w:val="00C27220"/>
    <w:rsid w:val="00C27272"/>
    <w:rsid w:val="00C27572"/>
    <w:rsid w:val="00C276AC"/>
    <w:rsid w:val="00C27CB9"/>
    <w:rsid w:val="00C27EBA"/>
    <w:rsid w:val="00C30583"/>
    <w:rsid w:val="00C306E4"/>
    <w:rsid w:val="00C30A6E"/>
    <w:rsid w:val="00C30F4E"/>
    <w:rsid w:val="00C311E0"/>
    <w:rsid w:val="00C3124B"/>
    <w:rsid w:val="00C31374"/>
    <w:rsid w:val="00C317F2"/>
    <w:rsid w:val="00C319A5"/>
    <w:rsid w:val="00C31B9D"/>
    <w:rsid w:val="00C31E1C"/>
    <w:rsid w:val="00C31F1C"/>
    <w:rsid w:val="00C32699"/>
    <w:rsid w:val="00C32703"/>
    <w:rsid w:val="00C3288B"/>
    <w:rsid w:val="00C32911"/>
    <w:rsid w:val="00C32BF8"/>
    <w:rsid w:val="00C32DEF"/>
    <w:rsid w:val="00C32E1A"/>
    <w:rsid w:val="00C32F1D"/>
    <w:rsid w:val="00C33085"/>
    <w:rsid w:val="00C333E4"/>
    <w:rsid w:val="00C338C9"/>
    <w:rsid w:val="00C338F1"/>
    <w:rsid w:val="00C341F4"/>
    <w:rsid w:val="00C34250"/>
    <w:rsid w:val="00C346D5"/>
    <w:rsid w:val="00C34893"/>
    <w:rsid w:val="00C3490C"/>
    <w:rsid w:val="00C34BC3"/>
    <w:rsid w:val="00C35069"/>
    <w:rsid w:val="00C350BF"/>
    <w:rsid w:val="00C35230"/>
    <w:rsid w:val="00C35297"/>
    <w:rsid w:val="00C35565"/>
    <w:rsid w:val="00C357F7"/>
    <w:rsid w:val="00C359C1"/>
    <w:rsid w:val="00C35BF5"/>
    <w:rsid w:val="00C35D57"/>
    <w:rsid w:val="00C35E2A"/>
    <w:rsid w:val="00C35E90"/>
    <w:rsid w:val="00C35ED1"/>
    <w:rsid w:val="00C364AF"/>
    <w:rsid w:val="00C364B3"/>
    <w:rsid w:val="00C36770"/>
    <w:rsid w:val="00C36872"/>
    <w:rsid w:val="00C3693A"/>
    <w:rsid w:val="00C36DFB"/>
    <w:rsid w:val="00C37112"/>
    <w:rsid w:val="00C371EB"/>
    <w:rsid w:val="00C37428"/>
    <w:rsid w:val="00C374A0"/>
    <w:rsid w:val="00C37A57"/>
    <w:rsid w:val="00C37ABC"/>
    <w:rsid w:val="00C37C38"/>
    <w:rsid w:val="00C4001B"/>
    <w:rsid w:val="00C406FB"/>
    <w:rsid w:val="00C408D3"/>
    <w:rsid w:val="00C40B77"/>
    <w:rsid w:val="00C41107"/>
    <w:rsid w:val="00C4114D"/>
    <w:rsid w:val="00C41224"/>
    <w:rsid w:val="00C4132E"/>
    <w:rsid w:val="00C413BC"/>
    <w:rsid w:val="00C415F8"/>
    <w:rsid w:val="00C41653"/>
    <w:rsid w:val="00C4166C"/>
    <w:rsid w:val="00C419C8"/>
    <w:rsid w:val="00C41B6B"/>
    <w:rsid w:val="00C41C2B"/>
    <w:rsid w:val="00C41CD5"/>
    <w:rsid w:val="00C41DCF"/>
    <w:rsid w:val="00C41E4F"/>
    <w:rsid w:val="00C41F48"/>
    <w:rsid w:val="00C4202E"/>
    <w:rsid w:val="00C42206"/>
    <w:rsid w:val="00C4236F"/>
    <w:rsid w:val="00C424D2"/>
    <w:rsid w:val="00C428A7"/>
    <w:rsid w:val="00C42AA3"/>
    <w:rsid w:val="00C42AB4"/>
    <w:rsid w:val="00C42B96"/>
    <w:rsid w:val="00C42D87"/>
    <w:rsid w:val="00C42F44"/>
    <w:rsid w:val="00C43199"/>
    <w:rsid w:val="00C43C1A"/>
    <w:rsid w:val="00C43F60"/>
    <w:rsid w:val="00C44768"/>
    <w:rsid w:val="00C44C2D"/>
    <w:rsid w:val="00C44D08"/>
    <w:rsid w:val="00C44E56"/>
    <w:rsid w:val="00C45074"/>
    <w:rsid w:val="00C4554C"/>
    <w:rsid w:val="00C46233"/>
    <w:rsid w:val="00C466BA"/>
    <w:rsid w:val="00C466EA"/>
    <w:rsid w:val="00C46F0A"/>
    <w:rsid w:val="00C4716A"/>
    <w:rsid w:val="00C47547"/>
    <w:rsid w:val="00C475A9"/>
    <w:rsid w:val="00C476E3"/>
    <w:rsid w:val="00C47B3E"/>
    <w:rsid w:val="00C5025A"/>
    <w:rsid w:val="00C503C7"/>
    <w:rsid w:val="00C50B8A"/>
    <w:rsid w:val="00C50F1B"/>
    <w:rsid w:val="00C51083"/>
    <w:rsid w:val="00C515C3"/>
    <w:rsid w:val="00C515E5"/>
    <w:rsid w:val="00C51E90"/>
    <w:rsid w:val="00C51FC9"/>
    <w:rsid w:val="00C52063"/>
    <w:rsid w:val="00C52256"/>
    <w:rsid w:val="00C522AF"/>
    <w:rsid w:val="00C52555"/>
    <w:rsid w:val="00C527BC"/>
    <w:rsid w:val="00C528A3"/>
    <w:rsid w:val="00C52B5A"/>
    <w:rsid w:val="00C52C21"/>
    <w:rsid w:val="00C52D4D"/>
    <w:rsid w:val="00C53822"/>
    <w:rsid w:val="00C53826"/>
    <w:rsid w:val="00C53E36"/>
    <w:rsid w:val="00C53FED"/>
    <w:rsid w:val="00C540B7"/>
    <w:rsid w:val="00C5437C"/>
    <w:rsid w:val="00C545F6"/>
    <w:rsid w:val="00C549B1"/>
    <w:rsid w:val="00C54A2B"/>
    <w:rsid w:val="00C54C1D"/>
    <w:rsid w:val="00C54C4D"/>
    <w:rsid w:val="00C54CFF"/>
    <w:rsid w:val="00C54D37"/>
    <w:rsid w:val="00C551A4"/>
    <w:rsid w:val="00C552FA"/>
    <w:rsid w:val="00C55BD4"/>
    <w:rsid w:val="00C55CCA"/>
    <w:rsid w:val="00C560AE"/>
    <w:rsid w:val="00C5634C"/>
    <w:rsid w:val="00C56885"/>
    <w:rsid w:val="00C56C20"/>
    <w:rsid w:val="00C56CA1"/>
    <w:rsid w:val="00C56D33"/>
    <w:rsid w:val="00C56ED7"/>
    <w:rsid w:val="00C570F6"/>
    <w:rsid w:val="00C573AA"/>
    <w:rsid w:val="00C57639"/>
    <w:rsid w:val="00C57656"/>
    <w:rsid w:val="00C576F7"/>
    <w:rsid w:val="00C57DF6"/>
    <w:rsid w:val="00C60204"/>
    <w:rsid w:val="00C602B4"/>
    <w:rsid w:val="00C603C9"/>
    <w:rsid w:val="00C604F0"/>
    <w:rsid w:val="00C6065A"/>
    <w:rsid w:val="00C60B11"/>
    <w:rsid w:val="00C60EA9"/>
    <w:rsid w:val="00C617F4"/>
    <w:rsid w:val="00C61CE0"/>
    <w:rsid w:val="00C61F25"/>
    <w:rsid w:val="00C6214C"/>
    <w:rsid w:val="00C62173"/>
    <w:rsid w:val="00C6225A"/>
    <w:rsid w:val="00C6247A"/>
    <w:rsid w:val="00C625C0"/>
    <w:rsid w:val="00C62686"/>
    <w:rsid w:val="00C627C6"/>
    <w:rsid w:val="00C62841"/>
    <w:rsid w:val="00C62DD8"/>
    <w:rsid w:val="00C631D2"/>
    <w:rsid w:val="00C63509"/>
    <w:rsid w:val="00C63580"/>
    <w:rsid w:val="00C637B7"/>
    <w:rsid w:val="00C638DF"/>
    <w:rsid w:val="00C639AE"/>
    <w:rsid w:val="00C63A69"/>
    <w:rsid w:val="00C63BE4"/>
    <w:rsid w:val="00C63CEF"/>
    <w:rsid w:val="00C6418D"/>
    <w:rsid w:val="00C6428D"/>
    <w:rsid w:val="00C645DA"/>
    <w:rsid w:val="00C64776"/>
    <w:rsid w:val="00C64939"/>
    <w:rsid w:val="00C64B29"/>
    <w:rsid w:val="00C64D95"/>
    <w:rsid w:val="00C654A8"/>
    <w:rsid w:val="00C660E2"/>
    <w:rsid w:val="00C662E1"/>
    <w:rsid w:val="00C6630E"/>
    <w:rsid w:val="00C6653C"/>
    <w:rsid w:val="00C667B7"/>
    <w:rsid w:val="00C668D2"/>
    <w:rsid w:val="00C669BA"/>
    <w:rsid w:val="00C66B5D"/>
    <w:rsid w:val="00C66E75"/>
    <w:rsid w:val="00C66FB9"/>
    <w:rsid w:val="00C67120"/>
    <w:rsid w:val="00C67A80"/>
    <w:rsid w:val="00C67AB3"/>
    <w:rsid w:val="00C67AD1"/>
    <w:rsid w:val="00C70165"/>
    <w:rsid w:val="00C702B4"/>
    <w:rsid w:val="00C70492"/>
    <w:rsid w:val="00C709E1"/>
    <w:rsid w:val="00C70ECA"/>
    <w:rsid w:val="00C71128"/>
    <w:rsid w:val="00C71722"/>
    <w:rsid w:val="00C717BE"/>
    <w:rsid w:val="00C72224"/>
    <w:rsid w:val="00C72495"/>
    <w:rsid w:val="00C7270D"/>
    <w:rsid w:val="00C7290A"/>
    <w:rsid w:val="00C72B38"/>
    <w:rsid w:val="00C72BD0"/>
    <w:rsid w:val="00C72E7A"/>
    <w:rsid w:val="00C72F70"/>
    <w:rsid w:val="00C730BB"/>
    <w:rsid w:val="00C730E5"/>
    <w:rsid w:val="00C73426"/>
    <w:rsid w:val="00C73614"/>
    <w:rsid w:val="00C7371D"/>
    <w:rsid w:val="00C73A03"/>
    <w:rsid w:val="00C73D01"/>
    <w:rsid w:val="00C73D86"/>
    <w:rsid w:val="00C74321"/>
    <w:rsid w:val="00C743CF"/>
    <w:rsid w:val="00C74454"/>
    <w:rsid w:val="00C74468"/>
    <w:rsid w:val="00C745DD"/>
    <w:rsid w:val="00C746F5"/>
    <w:rsid w:val="00C7472F"/>
    <w:rsid w:val="00C748F9"/>
    <w:rsid w:val="00C7490B"/>
    <w:rsid w:val="00C749DC"/>
    <w:rsid w:val="00C74BA2"/>
    <w:rsid w:val="00C74CF0"/>
    <w:rsid w:val="00C74E9D"/>
    <w:rsid w:val="00C752C5"/>
    <w:rsid w:val="00C7544E"/>
    <w:rsid w:val="00C75706"/>
    <w:rsid w:val="00C75C29"/>
    <w:rsid w:val="00C75DC4"/>
    <w:rsid w:val="00C75EFB"/>
    <w:rsid w:val="00C75F05"/>
    <w:rsid w:val="00C75FE6"/>
    <w:rsid w:val="00C76175"/>
    <w:rsid w:val="00C7642A"/>
    <w:rsid w:val="00C769BD"/>
    <w:rsid w:val="00C76C10"/>
    <w:rsid w:val="00C76D14"/>
    <w:rsid w:val="00C76F1E"/>
    <w:rsid w:val="00C77009"/>
    <w:rsid w:val="00C770B2"/>
    <w:rsid w:val="00C7721B"/>
    <w:rsid w:val="00C777F6"/>
    <w:rsid w:val="00C778A1"/>
    <w:rsid w:val="00C77A2B"/>
    <w:rsid w:val="00C77B48"/>
    <w:rsid w:val="00C77C5D"/>
    <w:rsid w:val="00C77D00"/>
    <w:rsid w:val="00C77D66"/>
    <w:rsid w:val="00C80661"/>
    <w:rsid w:val="00C80B9B"/>
    <w:rsid w:val="00C80EFF"/>
    <w:rsid w:val="00C80FC1"/>
    <w:rsid w:val="00C81062"/>
    <w:rsid w:val="00C81087"/>
    <w:rsid w:val="00C81313"/>
    <w:rsid w:val="00C813D6"/>
    <w:rsid w:val="00C8188A"/>
    <w:rsid w:val="00C81C1A"/>
    <w:rsid w:val="00C820A0"/>
    <w:rsid w:val="00C820EE"/>
    <w:rsid w:val="00C82186"/>
    <w:rsid w:val="00C82424"/>
    <w:rsid w:val="00C8247C"/>
    <w:rsid w:val="00C82583"/>
    <w:rsid w:val="00C82937"/>
    <w:rsid w:val="00C82A43"/>
    <w:rsid w:val="00C82CEE"/>
    <w:rsid w:val="00C82DCE"/>
    <w:rsid w:val="00C82E91"/>
    <w:rsid w:val="00C82EA7"/>
    <w:rsid w:val="00C82F5E"/>
    <w:rsid w:val="00C836BF"/>
    <w:rsid w:val="00C837CE"/>
    <w:rsid w:val="00C839B7"/>
    <w:rsid w:val="00C83D0F"/>
    <w:rsid w:val="00C83E93"/>
    <w:rsid w:val="00C84779"/>
    <w:rsid w:val="00C847D7"/>
    <w:rsid w:val="00C84806"/>
    <w:rsid w:val="00C849BA"/>
    <w:rsid w:val="00C84CDF"/>
    <w:rsid w:val="00C84DA2"/>
    <w:rsid w:val="00C850B4"/>
    <w:rsid w:val="00C852EE"/>
    <w:rsid w:val="00C854AE"/>
    <w:rsid w:val="00C856D8"/>
    <w:rsid w:val="00C85EB8"/>
    <w:rsid w:val="00C85EBA"/>
    <w:rsid w:val="00C86256"/>
    <w:rsid w:val="00C87233"/>
    <w:rsid w:val="00C87FA8"/>
    <w:rsid w:val="00C90073"/>
    <w:rsid w:val="00C90144"/>
    <w:rsid w:val="00C90B4B"/>
    <w:rsid w:val="00C90F38"/>
    <w:rsid w:val="00C910E6"/>
    <w:rsid w:val="00C91724"/>
    <w:rsid w:val="00C917EF"/>
    <w:rsid w:val="00C91CCA"/>
    <w:rsid w:val="00C91FB0"/>
    <w:rsid w:val="00C92201"/>
    <w:rsid w:val="00C9225E"/>
    <w:rsid w:val="00C924AB"/>
    <w:rsid w:val="00C924FE"/>
    <w:rsid w:val="00C92A17"/>
    <w:rsid w:val="00C92A8F"/>
    <w:rsid w:val="00C92C0A"/>
    <w:rsid w:val="00C92FBE"/>
    <w:rsid w:val="00C93030"/>
    <w:rsid w:val="00C9316F"/>
    <w:rsid w:val="00C934A2"/>
    <w:rsid w:val="00C93EFC"/>
    <w:rsid w:val="00C94024"/>
    <w:rsid w:val="00C94437"/>
    <w:rsid w:val="00C944B7"/>
    <w:rsid w:val="00C94656"/>
    <w:rsid w:val="00C9471E"/>
    <w:rsid w:val="00C94986"/>
    <w:rsid w:val="00C94A30"/>
    <w:rsid w:val="00C94CFB"/>
    <w:rsid w:val="00C94DFF"/>
    <w:rsid w:val="00C94E4B"/>
    <w:rsid w:val="00C955A1"/>
    <w:rsid w:val="00C95E5A"/>
    <w:rsid w:val="00C96121"/>
    <w:rsid w:val="00C96234"/>
    <w:rsid w:val="00C96268"/>
    <w:rsid w:val="00C9670F"/>
    <w:rsid w:val="00C9674B"/>
    <w:rsid w:val="00C96C6A"/>
    <w:rsid w:val="00C97392"/>
    <w:rsid w:val="00C973CC"/>
    <w:rsid w:val="00C97943"/>
    <w:rsid w:val="00C979A9"/>
    <w:rsid w:val="00C979B1"/>
    <w:rsid w:val="00C97F2A"/>
    <w:rsid w:val="00C97F4D"/>
    <w:rsid w:val="00CA01A9"/>
    <w:rsid w:val="00CA01E6"/>
    <w:rsid w:val="00CA02BE"/>
    <w:rsid w:val="00CA0A91"/>
    <w:rsid w:val="00CA108D"/>
    <w:rsid w:val="00CA12D9"/>
    <w:rsid w:val="00CA1327"/>
    <w:rsid w:val="00CA1AF4"/>
    <w:rsid w:val="00CA1CF7"/>
    <w:rsid w:val="00CA266E"/>
    <w:rsid w:val="00CA28B2"/>
    <w:rsid w:val="00CA314B"/>
    <w:rsid w:val="00CA31EA"/>
    <w:rsid w:val="00CA32F6"/>
    <w:rsid w:val="00CA3650"/>
    <w:rsid w:val="00CA377A"/>
    <w:rsid w:val="00CA3E1E"/>
    <w:rsid w:val="00CA43EC"/>
    <w:rsid w:val="00CA455C"/>
    <w:rsid w:val="00CA4815"/>
    <w:rsid w:val="00CA4A58"/>
    <w:rsid w:val="00CA4C84"/>
    <w:rsid w:val="00CA4C8A"/>
    <w:rsid w:val="00CA4CAE"/>
    <w:rsid w:val="00CA4EB0"/>
    <w:rsid w:val="00CA5632"/>
    <w:rsid w:val="00CA582E"/>
    <w:rsid w:val="00CA5890"/>
    <w:rsid w:val="00CA6783"/>
    <w:rsid w:val="00CA68A9"/>
    <w:rsid w:val="00CA6BCE"/>
    <w:rsid w:val="00CA71BC"/>
    <w:rsid w:val="00CA7553"/>
    <w:rsid w:val="00CA7B8C"/>
    <w:rsid w:val="00CA7BD5"/>
    <w:rsid w:val="00CA7C11"/>
    <w:rsid w:val="00CA7C1D"/>
    <w:rsid w:val="00CB009A"/>
    <w:rsid w:val="00CB0799"/>
    <w:rsid w:val="00CB0879"/>
    <w:rsid w:val="00CB08AC"/>
    <w:rsid w:val="00CB1046"/>
    <w:rsid w:val="00CB1331"/>
    <w:rsid w:val="00CB15CF"/>
    <w:rsid w:val="00CB17DA"/>
    <w:rsid w:val="00CB18B0"/>
    <w:rsid w:val="00CB1991"/>
    <w:rsid w:val="00CB1AA9"/>
    <w:rsid w:val="00CB1E2E"/>
    <w:rsid w:val="00CB206C"/>
    <w:rsid w:val="00CB25C8"/>
    <w:rsid w:val="00CB27D9"/>
    <w:rsid w:val="00CB27EE"/>
    <w:rsid w:val="00CB2915"/>
    <w:rsid w:val="00CB2AD9"/>
    <w:rsid w:val="00CB2B32"/>
    <w:rsid w:val="00CB302E"/>
    <w:rsid w:val="00CB3219"/>
    <w:rsid w:val="00CB3294"/>
    <w:rsid w:val="00CB36D6"/>
    <w:rsid w:val="00CB36F3"/>
    <w:rsid w:val="00CB373D"/>
    <w:rsid w:val="00CB37C9"/>
    <w:rsid w:val="00CB3A37"/>
    <w:rsid w:val="00CB3AA9"/>
    <w:rsid w:val="00CB3C61"/>
    <w:rsid w:val="00CB3D26"/>
    <w:rsid w:val="00CB3DBA"/>
    <w:rsid w:val="00CB3DC2"/>
    <w:rsid w:val="00CB40A6"/>
    <w:rsid w:val="00CB44FA"/>
    <w:rsid w:val="00CB476B"/>
    <w:rsid w:val="00CB49E4"/>
    <w:rsid w:val="00CB49EB"/>
    <w:rsid w:val="00CB4AF3"/>
    <w:rsid w:val="00CB4F66"/>
    <w:rsid w:val="00CB5159"/>
    <w:rsid w:val="00CB52EE"/>
    <w:rsid w:val="00CB5328"/>
    <w:rsid w:val="00CB53C8"/>
    <w:rsid w:val="00CB5635"/>
    <w:rsid w:val="00CB56D7"/>
    <w:rsid w:val="00CB59B5"/>
    <w:rsid w:val="00CB6201"/>
    <w:rsid w:val="00CB6477"/>
    <w:rsid w:val="00CB692A"/>
    <w:rsid w:val="00CB6AAA"/>
    <w:rsid w:val="00CB6CE5"/>
    <w:rsid w:val="00CB6EEC"/>
    <w:rsid w:val="00CB71B4"/>
    <w:rsid w:val="00CB71C9"/>
    <w:rsid w:val="00CB724A"/>
    <w:rsid w:val="00CB7256"/>
    <w:rsid w:val="00CB7769"/>
    <w:rsid w:val="00CB785B"/>
    <w:rsid w:val="00CB7937"/>
    <w:rsid w:val="00CB79AE"/>
    <w:rsid w:val="00CB7AD8"/>
    <w:rsid w:val="00CB7B72"/>
    <w:rsid w:val="00CB7BE6"/>
    <w:rsid w:val="00CB7FD8"/>
    <w:rsid w:val="00CC0009"/>
    <w:rsid w:val="00CC0772"/>
    <w:rsid w:val="00CC07A0"/>
    <w:rsid w:val="00CC0893"/>
    <w:rsid w:val="00CC0C52"/>
    <w:rsid w:val="00CC0F08"/>
    <w:rsid w:val="00CC0FAE"/>
    <w:rsid w:val="00CC12A0"/>
    <w:rsid w:val="00CC15DB"/>
    <w:rsid w:val="00CC248D"/>
    <w:rsid w:val="00CC25A2"/>
    <w:rsid w:val="00CC268C"/>
    <w:rsid w:val="00CC2819"/>
    <w:rsid w:val="00CC2C60"/>
    <w:rsid w:val="00CC2DEC"/>
    <w:rsid w:val="00CC3154"/>
    <w:rsid w:val="00CC3582"/>
    <w:rsid w:val="00CC3720"/>
    <w:rsid w:val="00CC3825"/>
    <w:rsid w:val="00CC3B28"/>
    <w:rsid w:val="00CC3BE6"/>
    <w:rsid w:val="00CC3C2E"/>
    <w:rsid w:val="00CC3D13"/>
    <w:rsid w:val="00CC3E72"/>
    <w:rsid w:val="00CC3EA4"/>
    <w:rsid w:val="00CC4055"/>
    <w:rsid w:val="00CC41BF"/>
    <w:rsid w:val="00CC43D2"/>
    <w:rsid w:val="00CC45B0"/>
    <w:rsid w:val="00CC50F2"/>
    <w:rsid w:val="00CC5108"/>
    <w:rsid w:val="00CC51C5"/>
    <w:rsid w:val="00CC527F"/>
    <w:rsid w:val="00CC54D4"/>
    <w:rsid w:val="00CC54F9"/>
    <w:rsid w:val="00CC56A4"/>
    <w:rsid w:val="00CC59AB"/>
    <w:rsid w:val="00CC59C6"/>
    <w:rsid w:val="00CC5AF6"/>
    <w:rsid w:val="00CC5C94"/>
    <w:rsid w:val="00CC5D60"/>
    <w:rsid w:val="00CC5F43"/>
    <w:rsid w:val="00CC61F5"/>
    <w:rsid w:val="00CC640C"/>
    <w:rsid w:val="00CC6D57"/>
    <w:rsid w:val="00CC77E9"/>
    <w:rsid w:val="00CC78DE"/>
    <w:rsid w:val="00CC7C8C"/>
    <w:rsid w:val="00CC7E35"/>
    <w:rsid w:val="00CD00FE"/>
    <w:rsid w:val="00CD0355"/>
    <w:rsid w:val="00CD08EB"/>
    <w:rsid w:val="00CD0B24"/>
    <w:rsid w:val="00CD0BF1"/>
    <w:rsid w:val="00CD0BF2"/>
    <w:rsid w:val="00CD0E86"/>
    <w:rsid w:val="00CD0F04"/>
    <w:rsid w:val="00CD1168"/>
    <w:rsid w:val="00CD1468"/>
    <w:rsid w:val="00CD15A9"/>
    <w:rsid w:val="00CD16A3"/>
    <w:rsid w:val="00CD19D2"/>
    <w:rsid w:val="00CD19FC"/>
    <w:rsid w:val="00CD1C85"/>
    <w:rsid w:val="00CD1D35"/>
    <w:rsid w:val="00CD1E24"/>
    <w:rsid w:val="00CD24D2"/>
    <w:rsid w:val="00CD27CD"/>
    <w:rsid w:val="00CD2869"/>
    <w:rsid w:val="00CD2933"/>
    <w:rsid w:val="00CD2A02"/>
    <w:rsid w:val="00CD2AFB"/>
    <w:rsid w:val="00CD2DE8"/>
    <w:rsid w:val="00CD2E0F"/>
    <w:rsid w:val="00CD2E70"/>
    <w:rsid w:val="00CD3643"/>
    <w:rsid w:val="00CD381A"/>
    <w:rsid w:val="00CD38AA"/>
    <w:rsid w:val="00CD3924"/>
    <w:rsid w:val="00CD3963"/>
    <w:rsid w:val="00CD439A"/>
    <w:rsid w:val="00CD47B6"/>
    <w:rsid w:val="00CD4AA7"/>
    <w:rsid w:val="00CD4B3E"/>
    <w:rsid w:val="00CD5229"/>
    <w:rsid w:val="00CD5624"/>
    <w:rsid w:val="00CD5AC5"/>
    <w:rsid w:val="00CD5B4C"/>
    <w:rsid w:val="00CD5D46"/>
    <w:rsid w:val="00CD5DC7"/>
    <w:rsid w:val="00CD5EBB"/>
    <w:rsid w:val="00CD5EE7"/>
    <w:rsid w:val="00CD5F4C"/>
    <w:rsid w:val="00CD5FC9"/>
    <w:rsid w:val="00CD6508"/>
    <w:rsid w:val="00CD66EE"/>
    <w:rsid w:val="00CD6E8E"/>
    <w:rsid w:val="00CD7278"/>
    <w:rsid w:val="00CD77DD"/>
    <w:rsid w:val="00CD7A11"/>
    <w:rsid w:val="00CD7A21"/>
    <w:rsid w:val="00CD7B7F"/>
    <w:rsid w:val="00CD7F40"/>
    <w:rsid w:val="00CE0151"/>
    <w:rsid w:val="00CE05FB"/>
    <w:rsid w:val="00CE0803"/>
    <w:rsid w:val="00CE0996"/>
    <w:rsid w:val="00CE0AFD"/>
    <w:rsid w:val="00CE0B2A"/>
    <w:rsid w:val="00CE0D28"/>
    <w:rsid w:val="00CE0DA0"/>
    <w:rsid w:val="00CE101E"/>
    <w:rsid w:val="00CE10ED"/>
    <w:rsid w:val="00CE13AC"/>
    <w:rsid w:val="00CE1759"/>
    <w:rsid w:val="00CE183E"/>
    <w:rsid w:val="00CE1C01"/>
    <w:rsid w:val="00CE1E95"/>
    <w:rsid w:val="00CE212F"/>
    <w:rsid w:val="00CE2270"/>
    <w:rsid w:val="00CE2558"/>
    <w:rsid w:val="00CE2B48"/>
    <w:rsid w:val="00CE2E86"/>
    <w:rsid w:val="00CE30B4"/>
    <w:rsid w:val="00CE317F"/>
    <w:rsid w:val="00CE3688"/>
    <w:rsid w:val="00CE3939"/>
    <w:rsid w:val="00CE43DC"/>
    <w:rsid w:val="00CE4400"/>
    <w:rsid w:val="00CE4651"/>
    <w:rsid w:val="00CE467C"/>
    <w:rsid w:val="00CE49BA"/>
    <w:rsid w:val="00CE4A94"/>
    <w:rsid w:val="00CE4B04"/>
    <w:rsid w:val="00CE4B5D"/>
    <w:rsid w:val="00CE5170"/>
    <w:rsid w:val="00CE53D3"/>
    <w:rsid w:val="00CE5509"/>
    <w:rsid w:val="00CE573A"/>
    <w:rsid w:val="00CE597D"/>
    <w:rsid w:val="00CE5D1B"/>
    <w:rsid w:val="00CE5E11"/>
    <w:rsid w:val="00CE667D"/>
    <w:rsid w:val="00CE66F3"/>
    <w:rsid w:val="00CE685F"/>
    <w:rsid w:val="00CE6ACB"/>
    <w:rsid w:val="00CE6C80"/>
    <w:rsid w:val="00CE6DC8"/>
    <w:rsid w:val="00CE6E97"/>
    <w:rsid w:val="00CE716C"/>
    <w:rsid w:val="00CE7914"/>
    <w:rsid w:val="00CE7BB2"/>
    <w:rsid w:val="00CE7FB3"/>
    <w:rsid w:val="00CF0379"/>
    <w:rsid w:val="00CF043B"/>
    <w:rsid w:val="00CF06E2"/>
    <w:rsid w:val="00CF074E"/>
    <w:rsid w:val="00CF0874"/>
    <w:rsid w:val="00CF0984"/>
    <w:rsid w:val="00CF0996"/>
    <w:rsid w:val="00CF0CCA"/>
    <w:rsid w:val="00CF0DA3"/>
    <w:rsid w:val="00CF12C6"/>
    <w:rsid w:val="00CF12E9"/>
    <w:rsid w:val="00CF1383"/>
    <w:rsid w:val="00CF1450"/>
    <w:rsid w:val="00CF1509"/>
    <w:rsid w:val="00CF17D4"/>
    <w:rsid w:val="00CF190D"/>
    <w:rsid w:val="00CF1A38"/>
    <w:rsid w:val="00CF1AB9"/>
    <w:rsid w:val="00CF1C67"/>
    <w:rsid w:val="00CF1E53"/>
    <w:rsid w:val="00CF22BA"/>
    <w:rsid w:val="00CF235D"/>
    <w:rsid w:val="00CF265E"/>
    <w:rsid w:val="00CF2949"/>
    <w:rsid w:val="00CF2BED"/>
    <w:rsid w:val="00CF2C3B"/>
    <w:rsid w:val="00CF2C9D"/>
    <w:rsid w:val="00CF30E0"/>
    <w:rsid w:val="00CF331B"/>
    <w:rsid w:val="00CF3371"/>
    <w:rsid w:val="00CF364D"/>
    <w:rsid w:val="00CF3836"/>
    <w:rsid w:val="00CF3E68"/>
    <w:rsid w:val="00CF45A4"/>
    <w:rsid w:val="00CF4A60"/>
    <w:rsid w:val="00CF4C2F"/>
    <w:rsid w:val="00CF51C9"/>
    <w:rsid w:val="00CF539F"/>
    <w:rsid w:val="00CF54D1"/>
    <w:rsid w:val="00CF54ED"/>
    <w:rsid w:val="00CF5605"/>
    <w:rsid w:val="00CF60C4"/>
    <w:rsid w:val="00CF6562"/>
    <w:rsid w:val="00CF684E"/>
    <w:rsid w:val="00CF69A3"/>
    <w:rsid w:val="00CF6DD0"/>
    <w:rsid w:val="00CF7822"/>
    <w:rsid w:val="00CF790B"/>
    <w:rsid w:val="00CF7913"/>
    <w:rsid w:val="00CF7B8B"/>
    <w:rsid w:val="00CF7C7D"/>
    <w:rsid w:val="00CF7E22"/>
    <w:rsid w:val="00CF7FA5"/>
    <w:rsid w:val="00D00193"/>
    <w:rsid w:val="00D001AD"/>
    <w:rsid w:val="00D0022A"/>
    <w:rsid w:val="00D0096E"/>
    <w:rsid w:val="00D009FB"/>
    <w:rsid w:val="00D00D25"/>
    <w:rsid w:val="00D00DF7"/>
    <w:rsid w:val="00D00EBE"/>
    <w:rsid w:val="00D0120F"/>
    <w:rsid w:val="00D01343"/>
    <w:rsid w:val="00D01853"/>
    <w:rsid w:val="00D018D2"/>
    <w:rsid w:val="00D01B28"/>
    <w:rsid w:val="00D01D47"/>
    <w:rsid w:val="00D0236E"/>
    <w:rsid w:val="00D02645"/>
    <w:rsid w:val="00D02ABE"/>
    <w:rsid w:val="00D02C07"/>
    <w:rsid w:val="00D02F55"/>
    <w:rsid w:val="00D0356A"/>
    <w:rsid w:val="00D038C1"/>
    <w:rsid w:val="00D03AA4"/>
    <w:rsid w:val="00D03C11"/>
    <w:rsid w:val="00D03C94"/>
    <w:rsid w:val="00D03DA1"/>
    <w:rsid w:val="00D03F21"/>
    <w:rsid w:val="00D0405B"/>
    <w:rsid w:val="00D04339"/>
    <w:rsid w:val="00D049BF"/>
    <w:rsid w:val="00D04B28"/>
    <w:rsid w:val="00D04B42"/>
    <w:rsid w:val="00D04DB2"/>
    <w:rsid w:val="00D04DB3"/>
    <w:rsid w:val="00D053BC"/>
    <w:rsid w:val="00D05716"/>
    <w:rsid w:val="00D0583E"/>
    <w:rsid w:val="00D05CB1"/>
    <w:rsid w:val="00D05F12"/>
    <w:rsid w:val="00D062B3"/>
    <w:rsid w:val="00D06480"/>
    <w:rsid w:val="00D064BD"/>
    <w:rsid w:val="00D0688D"/>
    <w:rsid w:val="00D069D2"/>
    <w:rsid w:val="00D06A02"/>
    <w:rsid w:val="00D06AB5"/>
    <w:rsid w:val="00D06B8E"/>
    <w:rsid w:val="00D07186"/>
    <w:rsid w:val="00D075E4"/>
    <w:rsid w:val="00D07701"/>
    <w:rsid w:val="00D0790B"/>
    <w:rsid w:val="00D0792F"/>
    <w:rsid w:val="00D07CF3"/>
    <w:rsid w:val="00D07DEB"/>
    <w:rsid w:val="00D07DF4"/>
    <w:rsid w:val="00D0AE57"/>
    <w:rsid w:val="00D10038"/>
    <w:rsid w:val="00D10044"/>
    <w:rsid w:val="00D100B4"/>
    <w:rsid w:val="00D1023D"/>
    <w:rsid w:val="00D10382"/>
    <w:rsid w:val="00D103CF"/>
    <w:rsid w:val="00D104F4"/>
    <w:rsid w:val="00D108C5"/>
    <w:rsid w:val="00D109E4"/>
    <w:rsid w:val="00D10B9E"/>
    <w:rsid w:val="00D10C41"/>
    <w:rsid w:val="00D10C6D"/>
    <w:rsid w:val="00D10C89"/>
    <w:rsid w:val="00D10D06"/>
    <w:rsid w:val="00D10D17"/>
    <w:rsid w:val="00D10D99"/>
    <w:rsid w:val="00D10DFA"/>
    <w:rsid w:val="00D10FD5"/>
    <w:rsid w:val="00D115BC"/>
    <w:rsid w:val="00D11629"/>
    <w:rsid w:val="00D11D0F"/>
    <w:rsid w:val="00D11F17"/>
    <w:rsid w:val="00D1210E"/>
    <w:rsid w:val="00D12C1D"/>
    <w:rsid w:val="00D12EDB"/>
    <w:rsid w:val="00D12F21"/>
    <w:rsid w:val="00D13C16"/>
    <w:rsid w:val="00D13CFC"/>
    <w:rsid w:val="00D13F3B"/>
    <w:rsid w:val="00D1435D"/>
    <w:rsid w:val="00D1478C"/>
    <w:rsid w:val="00D148E1"/>
    <w:rsid w:val="00D1499B"/>
    <w:rsid w:val="00D14AD1"/>
    <w:rsid w:val="00D14D3C"/>
    <w:rsid w:val="00D14EC8"/>
    <w:rsid w:val="00D15319"/>
    <w:rsid w:val="00D15357"/>
    <w:rsid w:val="00D15426"/>
    <w:rsid w:val="00D158A7"/>
    <w:rsid w:val="00D15CA5"/>
    <w:rsid w:val="00D15FB4"/>
    <w:rsid w:val="00D15FE6"/>
    <w:rsid w:val="00D163BB"/>
    <w:rsid w:val="00D164BB"/>
    <w:rsid w:val="00D1698D"/>
    <w:rsid w:val="00D16EF0"/>
    <w:rsid w:val="00D17589"/>
    <w:rsid w:val="00D175F9"/>
    <w:rsid w:val="00D17A8C"/>
    <w:rsid w:val="00D20483"/>
    <w:rsid w:val="00D20541"/>
    <w:rsid w:val="00D206C2"/>
    <w:rsid w:val="00D20C19"/>
    <w:rsid w:val="00D20F8F"/>
    <w:rsid w:val="00D21574"/>
    <w:rsid w:val="00D2181A"/>
    <w:rsid w:val="00D21B06"/>
    <w:rsid w:val="00D21BE2"/>
    <w:rsid w:val="00D21CDD"/>
    <w:rsid w:val="00D21D17"/>
    <w:rsid w:val="00D22086"/>
    <w:rsid w:val="00D222EF"/>
    <w:rsid w:val="00D22325"/>
    <w:rsid w:val="00D22640"/>
    <w:rsid w:val="00D22880"/>
    <w:rsid w:val="00D22889"/>
    <w:rsid w:val="00D22ABF"/>
    <w:rsid w:val="00D22E69"/>
    <w:rsid w:val="00D236E2"/>
    <w:rsid w:val="00D23759"/>
    <w:rsid w:val="00D2387A"/>
    <w:rsid w:val="00D238F9"/>
    <w:rsid w:val="00D23BD0"/>
    <w:rsid w:val="00D23D0E"/>
    <w:rsid w:val="00D2413B"/>
    <w:rsid w:val="00D2442B"/>
    <w:rsid w:val="00D245D8"/>
    <w:rsid w:val="00D2460C"/>
    <w:rsid w:val="00D2475B"/>
    <w:rsid w:val="00D2489C"/>
    <w:rsid w:val="00D24AF2"/>
    <w:rsid w:val="00D24E3A"/>
    <w:rsid w:val="00D25572"/>
    <w:rsid w:val="00D25CCD"/>
    <w:rsid w:val="00D25DF2"/>
    <w:rsid w:val="00D25E2F"/>
    <w:rsid w:val="00D26066"/>
    <w:rsid w:val="00D26485"/>
    <w:rsid w:val="00D26656"/>
    <w:rsid w:val="00D26774"/>
    <w:rsid w:val="00D26B80"/>
    <w:rsid w:val="00D26CA3"/>
    <w:rsid w:val="00D26EBC"/>
    <w:rsid w:val="00D26EE2"/>
    <w:rsid w:val="00D271DD"/>
    <w:rsid w:val="00D2750A"/>
    <w:rsid w:val="00D27A37"/>
    <w:rsid w:val="00D27D37"/>
    <w:rsid w:val="00D27E81"/>
    <w:rsid w:val="00D30093"/>
    <w:rsid w:val="00D302D4"/>
    <w:rsid w:val="00D303BB"/>
    <w:rsid w:val="00D3049F"/>
    <w:rsid w:val="00D305EB"/>
    <w:rsid w:val="00D3080F"/>
    <w:rsid w:val="00D3086C"/>
    <w:rsid w:val="00D30A5E"/>
    <w:rsid w:val="00D30E26"/>
    <w:rsid w:val="00D30F36"/>
    <w:rsid w:val="00D310BF"/>
    <w:rsid w:val="00D310EC"/>
    <w:rsid w:val="00D3128F"/>
    <w:rsid w:val="00D31859"/>
    <w:rsid w:val="00D31A94"/>
    <w:rsid w:val="00D31B21"/>
    <w:rsid w:val="00D31B79"/>
    <w:rsid w:val="00D31C5C"/>
    <w:rsid w:val="00D31CC7"/>
    <w:rsid w:val="00D3207E"/>
    <w:rsid w:val="00D3212E"/>
    <w:rsid w:val="00D32269"/>
    <w:rsid w:val="00D32411"/>
    <w:rsid w:val="00D3252F"/>
    <w:rsid w:val="00D3271F"/>
    <w:rsid w:val="00D32900"/>
    <w:rsid w:val="00D32BDB"/>
    <w:rsid w:val="00D32F5B"/>
    <w:rsid w:val="00D32F77"/>
    <w:rsid w:val="00D33127"/>
    <w:rsid w:val="00D33272"/>
    <w:rsid w:val="00D3327B"/>
    <w:rsid w:val="00D33362"/>
    <w:rsid w:val="00D33438"/>
    <w:rsid w:val="00D33BF5"/>
    <w:rsid w:val="00D34343"/>
    <w:rsid w:val="00D34A22"/>
    <w:rsid w:val="00D34C3E"/>
    <w:rsid w:val="00D34C8C"/>
    <w:rsid w:val="00D34EB7"/>
    <w:rsid w:val="00D34FFF"/>
    <w:rsid w:val="00D3541E"/>
    <w:rsid w:val="00D3561D"/>
    <w:rsid w:val="00D356AE"/>
    <w:rsid w:val="00D3592E"/>
    <w:rsid w:val="00D3607E"/>
    <w:rsid w:val="00D36FD7"/>
    <w:rsid w:val="00D370B8"/>
    <w:rsid w:val="00D376D9"/>
    <w:rsid w:val="00D37C89"/>
    <w:rsid w:val="00D37D52"/>
    <w:rsid w:val="00D37FEC"/>
    <w:rsid w:val="00D400CA"/>
    <w:rsid w:val="00D40294"/>
    <w:rsid w:val="00D40338"/>
    <w:rsid w:val="00D4069E"/>
    <w:rsid w:val="00D40A00"/>
    <w:rsid w:val="00D40B86"/>
    <w:rsid w:val="00D40D0A"/>
    <w:rsid w:val="00D40D5B"/>
    <w:rsid w:val="00D40E49"/>
    <w:rsid w:val="00D4109F"/>
    <w:rsid w:val="00D4123C"/>
    <w:rsid w:val="00D416E2"/>
    <w:rsid w:val="00D418DD"/>
    <w:rsid w:val="00D419A4"/>
    <w:rsid w:val="00D41B9C"/>
    <w:rsid w:val="00D42CFE"/>
    <w:rsid w:val="00D431A7"/>
    <w:rsid w:val="00D431AB"/>
    <w:rsid w:val="00D431E7"/>
    <w:rsid w:val="00D432E5"/>
    <w:rsid w:val="00D435D3"/>
    <w:rsid w:val="00D439FE"/>
    <w:rsid w:val="00D43AE9"/>
    <w:rsid w:val="00D43B9C"/>
    <w:rsid w:val="00D4410D"/>
    <w:rsid w:val="00D446B1"/>
    <w:rsid w:val="00D44749"/>
    <w:rsid w:val="00D44768"/>
    <w:rsid w:val="00D447B9"/>
    <w:rsid w:val="00D44F57"/>
    <w:rsid w:val="00D45166"/>
    <w:rsid w:val="00D452C6"/>
    <w:rsid w:val="00D45448"/>
    <w:rsid w:val="00D4573B"/>
    <w:rsid w:val="00D45CED"/>
    <w:rsid w:val="00D4607D"/>
    <w:rsid w:val="00D46126"/>
    <w:rsid w:val="00D461BA"/>
    <w:rsid w:val="00D46271"/>
    <w:rsid w:val="00D46429"/>
    <w:rsid w:val="00D46635"/>
    <w:rsid w:val="00D4663D"/>
    <w:rsid w:val="00D46815"/>
    <w:rsid w:val="00D469B4"/>
    <w:rsid w:val="00D46CD8"/>
    <w:rsid w:val="00D46EE2"/>
    <w:rsid w:val="00D46F22"/>
    <w:rsid w:val="00D476A8"/>
    <w:rsid w:val="00D47F7C"/>
    <w:rsid w:val="00D47F94"/>
    <w:rsid w:val="00D50033"/>
    <w:rsid w:val="00D502DB"/>
    <w:rsid w:val="00D502FA"/>
    <w:rsid w:val="00D5077E"/>
    <w:rsid w:val="00D509A1"/>
    <w:rsid w:val="00D50EA8"/>
    <w:rsid w:val="00D510E2"/>
    <w:rsid w:val="00D519E4"/>
    <w:rsid w:val="00D51B17"/>
    <w:rsid w:val="00D51F83"/>
    <w:rsid w:val="00D521E6"/>
    <w:rsid w:val="00D52216"/>
    <w:rsid w:val="00D52529"/>
    <w:rsid w:val="00D52926"/>
    <w:rsid w:val="00D5299A"/>
    <w:rsid w:val="00D52BF5"/>
    <w:rsid w:val="00D52CBE"/>
    <w:rsid w:val="00D52D3D"/>
    <w:rsid w:val="00D52DA6"/>
    <w:rsid w:val="00D52E4F"/>
    <w:rsid w:val="00D532CA"/>
    <w:rsid w:val="00D5398E"/>
    <w:rsid w:val="00D53B47"/>
    <w:rsid w:val="00D53D93"/>
    <w:rsid w:val="00D5434E"/>
    <w:rsid w:val="00D54551"/>
    <w:rsid w:val="00D54642"/>
    <w:rsid w:val="00D55160"/>
    <w:rsid w:val="00D5553C"/>
    <w:rsid w:val="00D55AC6"/>
    <w:rsid w:val="00D56252"/>
    <w:rsid w:val="00D566FA"/>
    <w:rsid w:val="00D5688A"/>
    <w:rsid w:val="00D56A25"/>
    <w:rsid w:val="00D570FE"/>
    <w:rsid w:val="00D572DE"/>
    <w:rsid w:val="00D573CB"/>
    <w:rsid w:val="00D579BF"/>
    <w:rsid w:val="00D60017"/>
    <w:rsid w:val="00D60067"/>
    <w:rsid w:val="00D603B6"/>
    <w:rsid w:val="00D604BD"/>
    <w:rsid w:val="00D605B7"/>
    <w:rsid w:val="00D6069A"/>
    <w:rsid w:val="00D60710"/>
    <w:rsid w:val="00D60B00"/>
    <w:rsid w:val="00D61002"/>
    <w:rsid w:val="00D612A6"/>
    <w:rsid w:val="00D61315"/>
    <w:rsid w:val="00D61360"/>
    <w:rsid w:val="00D6148C"/>
    <w:rsid w:val="00D61691"/>
    <w:rsid w:val="00D61A46"/>
    <w:rsid w:val="00D61E01"/>
    <w:rsid w:val="00D61F82"/>
    <w:rsid w:val="00D61FB2"/>
    <w:rsid w:val="00D62054"/>
    <w:rsid w:val="00D6217F"/>
    <w:rsid w:val="00D62185"/>
    <w:rsid w:val="00D623EE"/>
    <w:rsid w:val="00D6244B"/>
    <w:rsid w:val="00D6246A"/>
    <w:rsid w:val="00D628D7"/>
    <w:rsid w:val="00D62C41"/>
    <w:rsid w:val="00D632C4"/>
    <w:rsid w:val="00D63B57"/>
    <w:rsid w:val="00D63BEE"/>
    <w:rsid w:val="00D63E5A"/>
    <w:rsid w:val="00D64240"/>
    <w:rsid w:val="00D64733"/>
    <w:rsid w:val="00D6473B"/>
    <w:rsid w:val="00D65052"/>
    <w:rsid w:val="00D65227"/>
    <w:rsid w:val="00D6530B"/>
    <w:rsid w:val="00D6545A"/>
    <w:rsid w:val="00D65492"/>
    <w:rsid w:val="00D65C35"/>
    <w:rsid w:val="00D65E45"/>
    <w:rsid w:val="00D66452"/>
    <w:rsid w:val="00D664B9"/>
    <w:rsid w:val="00D667BF"/>
    <w:rsid w:val="00D667DE"/>
    <w:rsid w:val="00D668AE"/>
    <w:rsid w:val="00D668E5"/>
    <w:rsid w:val="00D6699F"/>
    <w:rsid w:val="00D66B4D"/>
    <w:rsid w:val="00D66E77"/>
    <w:rsid w:val="00D6709C"/>
    <w:rsid w:val="00D672C1"/>
    <w:rsid w:val="00D673A0"/>
    <w:rsid w:val="00D677A3"/>
    <w:rsid w:val="00D67855"/>
    <w:rsid w:val="00D703A8"/>
    <w:rsid w:val="00D70426"/>
    <w:rsid w:val="00D70472"/>
    <w:rsid w:val="00D705CB"/>
    <w:rsid w:val="00D706D2"/>
    <w:rsid w:val="00D70868"/>
    <w:rsid w:val="00D70AB7"/>
    <w:rsid w:val="00D70B1D"/>
    <w:rsid w:val="00D7145A"/>
    <w:rsid w:val="00D7178C"/>
    <w:rsid w:val="00D71882"/>
    <w:rsid w:val="00D71A08"/>
    <w:rsid w:val="00D71BC2"/>
    <w:rsid w:val="00D720CC"/>
    <w:rsid w:val="00D7226B"/>
    <w:rsid w:val="00D723FA"/>
    <w:rsid w:val="00D727AD"/>
    <w:rsid w:val="00D72882"/>
    <w:rsid w:val="00D72999"/>
    <w:rsid w:val="00D72A5C"/>
    <w:rsid w:val="00D72BA2"/>
    <w:rsid w:val="00D72F09"/>
    <w:rsid w:val="00D73019"/>
    <w:rsid w:val="00D731BC"/>
    <w:rsid w:val="00D7348C"/>
    <w:rsid w:val="00D73699"/>
    <w:rsid w:val="00D73841"/>
    <w:rsid w:val="00D7399D"/>
    <w:rsid w:val="00D73A76"/>
    <w:rsid w:val="00D73B1E"/>
    <w:rsid w:val="00D73B72"/>
    <w:rsid w:val="00D73C02"/>
    <w:rsid w:val="00D74C2B"/>
    <w:rsid w:val="00D7525B"/>
    <w:rsid w:val="00D752C1"/>
    <w:rsid w:val="00D75366"/>
    <w:rsid w:val="00D75498"/>
    <w:rsid w:val="00D7556D"/>
    <w:rsid w:val="00D755FB"/>
    <w:rsid w:val="00D7567B"/>
    <w:rsid w:val="00D75923"/>
    <w:rsid w:val="00D75ABD"/>
    <w:rsid w:val="00D75AE6"/>
    <w:rsid w:val="00D75B49"/>
    <w:rsid w:val="00D75C29"/>
    <w:rsid w:val="00D76092"/>
    <w:rsid w:val="00D760F9"/>
    <w:rsid w:val="00D76139"/>
    <w:rsid w:val="00D76238"/>
    <w:rsid w:val="00D765E1"/>
    <w:rsid w:val="00D7663C"/>
    <w:rsid w:val="00D7677C"/>
    <w:rsid w:val="00D76994"/>
    <w:rsid w:val="00D76AA3"/>
    <w:rsid w:val="00D76B8E"/>
    <w:rsid w:val="00D76E08"/>
    <w:rsid w:val="00D76E89"/>
    <w:rsid w:val="00D77150"/>
    <w:rsid w:val="00D77216"/>
    <w:rsid w:val="00D7736B"/>
    <w:rsid w:val="00D774C0"/>
    <w:rsid w:val="00D775DC"/>
    <w:rsid w:val="00D77628"/>
    <w:rsid w:val="00D77820"/>
    <w:rsid w:val="00D77895"/>
    <w:rsid w:val="00D80356"/>
    <w:rsid w:val="00D8071C"/>
    <w:rsid w:val="00D80A60"/>
    <w:rsid w:val="00D80DC7"/>
    <w:rsid w:val="00D8123F"/>
    <w:rsid w:val="00D81372"/>
    <w:rsid w:val="00D81973"/>
    <w:rsid w:val="00D81DA6"/>
    <w:rsid w:val="00D82136"/>
    <w:rsid w:val="00D8225A"/>
    <w:rsid w:val="00D82423"/>
    <w:rsid w:val="00D82534"/>
    <w:rsid w:val="00D8259E"/>
    <w:rsid w:val="00D825EF"/>
    <w:rsid w:val="00D82611"/>
    <w:rsid w:val="00D82B5E"/>
    <w:rsid w:val="00D8313B"/>
    <w:rsid w:val="00D8328D"/>
    <w:rsid w:val="00D834E9"/>
    <w:rsid w:val="00D835B5"/>
    <w:rsid w:val="00D8381B"/>
    <w:rsid w:val="00D839F1"/>
    <w:rsid w:val="00D839FF"/>
    <w:rsid w:val="00D83B2F"/>
    <w:rsid w:val="00D83F6F"/>
    <w:rsid w:val="00D842F4"/>
    <w:rsid w:val="00D844C2"/>
    <w:rsid w:val="00D8492F"/>
    <w:rsid w:val="00D84B77"/>
    <w:rsid w:val="00D8515E"/>
    <w:rsid w:val="00D853BD"/>
    <w:rsid w:val="00D85903"/>
    <w:rsid w:val="00D85CA8"/>
    <w:rsid w:val="00D85F75"/>
    <w:rsid w:val="00D86091"/>
    <w:rsid w:val="00D86213"/>
    <w:rsid w:val="00D86293"/>
    <w:rsid w:val="00D86429"/>
    <w:rsid w:val="00D8648B"/>
    <w:rsid w:val="00D8650E"/>
    <w:rsid w:val="00D86537"/>
    <w:rsid w:val="00D8654E"/>
    <w:rsid w:val="00D867F7"/>
    <w:rsid w:val="00D8698C"/>
    <w:rsid w:val="00D86D02"/>
    <w:rsid w:val="00D87054"/>
    <w:rsid w:val="00D8730E"/>
    <w:rsid w:val="00D8784C"/>
    <w:rsid w:val="00D878AC"/>
    <w:rsid w:val="00D87A23"/>
    <w:rsid w:val="00D87E7E"/>
    <w:rsid w:val="00D87F6C"/>
    <w:rsid w:val="00D901EA"/>
    <w:rsid w:val="00D90957"/>
    <w:rsid w:val="00D90976"/>
    <w:rsid w:val="00D910CE"/>
    <w:rsid w:val="00D91161"/>
    <w:rsid w:val="00D913ED"/>
    <w:rsid w:val="00D9152E"/>
    <w:rsid w:val="00D91595"/>
    <w:rsid w:val="00D916DD"/>
    <w:rsid w:val="00D92605"/>
    <w:rsid w:val="00D92A02"/>
    <w:rsid w:val="00D92A03"/>
    <w:rsid w:val="00D92A8F"/>
    <w:rsid w:val="00D93116"/>
    <w:rsid w:val="00D935D4"/>
    <w:rsid w:val="00D935E4"/>
    <w:rsid w:val="00D937EC"/>
    <w:rsid w:val="00D93802"/>
    <w:rsid w:val="00D938F6"/>
    <w:rsid w:val="00D93C6D"/>
    <w:rsid w:val="00D93D08"/>
    <w:rsid w:val="00D93D74"/>
    <w:rsid w:val="00D94846"/>
    <w:rsid w:val="00D949C8"/>
    <w:rsid w:val="00D94AA9"/>
    <w:rsid w:val="00D94D2F"/>
    <w:rsid w:val="00D94F69"/>
    <w:rsid w:val="00D95113"/>
    <w:rsid w:val="00D956C6"/>
    <w:rsid w:val="00D95D83"/>
    <w:rsid w:val="00D965B5"/>
    <w:rsid w:val="00D969EB"/>
    <w:rsid w:val="00D96BE2"/>
    <w:rsid w:val="00D96C38"/>
    <w:rsid w:val="00D97123"/>
    <w:rsid w:val="00D9753C"/>
    <w:rsid w:val="00D977D8"/>
    <w:rsid w:val="00D9783A"/>
    <w:rsid w:val="00D97AA1"/>
    <w:rsid w:val="00D97C76"/>
    <w:rsid w:val="00D97CE9"/>
    <w:rsid w:val="00DA062B"/>
    <w:rsid w:val="00DA0795"/>
    <w:rsid w:val="00DA09B3"/>
    <w:rsid w:val="00DA0AB3"/>
    <w:rsid w:val="00DA0C5C"/>
    <w:rsid w:val="00DA0D89"/>
    <w:rsid w:val="00DA0FCC"/>
    <w:rsid w:val="00DA1210"/>
    <w:rsid w:val="00DA1233"/>
    <w:rsid w:val="00DA13C7"/>
    <w:rsid w:val="00DA1601"/>
    <w:rsid w:val="00DA16AB"/>
    <w:rsid w:val="00DA1774"/>
    <w:rsid w:val="00DA19F0"/>
    <w:rsid w:val="00DA1B2F"/>
    <w:rsid w:val="00DA1BEA"/>
    <w:rsid w:val="00DA236F"/>
    <w:rsid w:val="00DA2459"/>
    <w:rsid w:val="00DA25D4"/>
    <w:rsid w:val="00DA2683"/>
    <w:rsid w:val="00DA27B7"/>
    <w:rsid w:val="00DA293F"/>
    <w:rsid w:val="00DA299D"/>
    <w:rsid w:val="00DA2A30"/>
    <w:rsid w:val="00DA2D50"/>
    <w:rsid w:val="00DA2E15"/>
    <w:rsid w:val="00DA2F80"/>
    <w:rsid w:val="00DA352F"/>
    <w:rsid w:val="00DA3856"/>
    <w:rsid w:val="00DA3A8B"/>
    <w:rsid w:val="00DA3AC2"/>
    <w:rsid w:val="00DA3F2C"/>
    <w:rsid w:val="00DA4742"/>
    <w:rsid w:val="00DA47B0"/>
    <w:rsid w:val="00DA4883"/>
    <w:rsid w:val="00DA4F8A"/>
    <w:rsid w:val="00DA5101"/>
    <w:rsid w:val="00DA5426"/>
    <w:rsid w:val="00DA55B3"/>
    <w:rsid w:val="00DA567E"/>
    <w:rsid w:val="00DA5685"/>
    <w:rsid w:val="00DA5779"/>
    <w:rsid w:val="00DA5B58"/>
    <w:rsid w:val="00DA6574"/>
    <w:rsid w:val="00DA6782"/>
    <w:rsid w:val="00DA6A5E"/>
    <w:rsid w:val="00DA6D6F"/>
    <w:rsid w:val="00DA6D84"/>
    <w:rsid w:val="00DA6F79"/>
    <w:rsid w:val="00DA73D5"/>
    <w:rsid w:val="00DA75B8"/>
    <w:rsid w:val="00DA7652"/>
    <w:rsid w:val="00DA7AF1"/>
    <w:rsid w:val="00DB046C"/>
    <w:rsid w:val="00DB0592"/>
    <w:rsid w:val="00DB089A"/>
    <w:rsid w:val="00DB0BE9"/>
    <w:rsid w:val="00DB10FA"/>
    <w:rsid w:val="00DB1CF6"/>
    <w:rsid w:val="00DB2037"/>
    <w:rsid w:val="00DB2295"/>
    <w:rsid w:val="00DB23C0"/>
    <w:rsid w:val="00DB27B0"/>
    <w:rsid w:val="00DB2AD2"/>
    <w:rsid w:val="00DB2DD0"/>
    <w:rsid w:val="00DB2F34"/>
    <w:rsid w:val="00DB32A2"/>
    <w:rsid w:val="00DB3429"/>
    <w:rsid w:val="00DB38DD"/>
    <w:rsid w:val="00DB3EB6"/>
    <w:rsid w:val="00DB3FAF"/>
    <w:rsid w:val="00DB3FD3"/>
    <w:rsid w:val="00DB4244"/>
    <w:rsid w:val="00DB4492"/>
    <w:rsid w:val="00DB45A4"/>
    <w:rsid w:val="00DB48DD"/>
    <w:rsid w:val="00DB4C3F"/>
    <w:rsid w:val="00DB4CE3"/>
    <w:rsid w:val="00DB5075"/>
    <w:rsid w:val="00DB5579"/>
    <w:rsid w:val="00DB5782"/>
    <w:rsid w:val="00DB584E"/>
    <w:rsid w:val="00DB5970"/>
    <w:rsid w:val="00DB5FB4"/>
    <w:rsid w:val="00DB6145"/>
    <w:rsid w:val="00DB61D8"/>
    <w:rsid w:val="00DB6322"/>
    <w:rsid w:val="00DB6369"/>
    <w:rsid w:val="00DB64D6"/>
    <w:rsid w:val="00DB661E"/>
    <w:rsid w:val="00DB664B"/>
    <w:rsid w:val="00DB6652"/>
    <w:rsid w:val="00DB66C9"/>
    <w:rsid w:val="00DB6A1C"/>
    <w:rsid w:val="00DB6CF5"/>
    <w:rsid w:val="00DB6D20"/>
    <w:rsid w:val="00DB6DBF"/>
    <w:rsid w:val="00DB71B7"/>
    <w:rsid w:val="00DB71E1"/>
    <w:rsid w:val="00DB7978"/>
    <w:rsid w:val="00DC008D"/>
    <w:rsid w:val="00DC0136"/>
    <w:rsid w:val="00DC01A6"/>
    <w:rsid w:val="00DC021B"/>
    <w:rsid w:val="00DC03A8"/>
    <w:rsid w:val="00DC057F"/>
    <w:rsid w:val="00DC08FF"/>
    <w:rsid w:val="00DC0B08"/>
    <w:rsid w:val="00DC0E18"/>
    <w:rsid w:val="00DC0FC4"/>
    <w:rsid w:val="00DC1230"/>
    <w:rsid w:val="00DC1409"/>
    <w:rsid w:val="00DC14C0"/>
    <w:rsid w:val="00DC15D5"/>
    <w:rsid w:val="00DC1897"/>
    <w:rsid w:val="00DC18FE"/>
    <w:rsid w:val="00DC1A62"/>
    <w:rsid w:val="00DC1D5C"/>
    <w:rsid w:val="00DC257F"/>
    <w:rsid w:val="00DC27BC"/>
    <w:rsid w:val="00DC286D"/>
    <w:rsid w:val="00DC2BC0"/>
    <w:rsid w:val="00DC2FF2"/>
    <w:rsid w:val="00DC349C"/>
    <w:rsid w:val="00DC3589"/>
    <w:rsid w:val="00DC3832"/>
    <w:rsid w:val="00DC3870"/>
    <w:rsid w:val="00DC39F1"/>
    <w:rsid w:val="00DC3BF1"/>
    <w:rsid w:val="00DC454B"/>
    <w:rsid w:val="00DC46E5"/>
    <w:rsid w:val="00DC4C5E"/>
    <w:rsid w:val="00DC5473"/>
    <w:rsid w:val="00DC5529"/>
    <w:rsid w:val="00DC554A"/>
    <w:rsid w:val="00DC5662"/>
    <w:rsid w:val="00DC594B"/>
    <w:rsid w:val="00DC5977"/>
    <w:rsid w:val="00DC5980"/>
    <w:rsid w:val="00DC5C1C"/>
    <w:rsid w:val="00DC5E6B"/>
    <w:rsid w:val="00DC62CB"/>
    <w:rsid w:val="00DC6482"/>
    <w:rsid w:val="00DC6BC9"/>
    <w:rsid w:val="00DC6BFF"/>
    <w:rsid w:val="00DC6D93"/>
    <w:rsid w:val="00DC71E5"/>
    <w:rsid w:val="00DC7BCC"/>
    <w:rsid w:val="00DC7C43"/>
    <w:rsid w:val="00DD009C"/>
    <w:rsid w:val="00DD019F"/>
    <w:rsid w:val="00DD05B5"/>
    <w:rsid w:val="00DD0A27"/>
    <w:rsid w:val="00DD102F"/>
    <w:rsid w:val="00DD1262"/>
    <w:rsid w:val="00DD1595"/>
    <w:rsid w:val="00DD1839"/>
    <w:rsid w:val="00DD1F70"/>
    <w:rsid w:val="00DD22BB"/>
    <w:rsid w:val="00DD24B5"/>
    <w:rsid w:val="00DD25FB"/>
    <w:rsid w:val="00DD26D5"/>
    <w:rsid w:val="00DD2727"/>
    <w:rsid w:val="00DD29BC"/>
    <w:rsid w:val="00DD2B46"/>
    <w:rsid w:val="00DD2B52"/>
    <w:rsid w:val="00DD2EB7"/>
    <w:rsid w:val="00DD2EE2"/>
    <w:rsid w:val="00DD2F29"/>
    <w:rsid w:val="00DD3046"/>
    <w:rsid w:val="00DD307E"/>
    <w:rsid w:val="00DD3AE8"/>
    <w:rsid w:val="00DD40B7"/>
    <w:rsid w:val="00DD44CA"/>
    <w:rsid w:val="00DD4605"/>
    <w:rsid w:val="00DD49AB"/>
    <w:rsid w:val="00DD49E8"/>
    <w:rsid w:val="00DD4C83"/>
    <w:rsid w:val="00DD4D0D"/>
    <w:rsid w:val="00DD4EBE"/>
    <w:rsid w:val="00DD5115"/>
    <w:rsid w:val="00DD54C1"/>
    <w:rsid w:val="00DD55F3"/>
    <w:rsid w:val="00DD56CA"/>
    <w:rsid w:val="00DD59E5"/>
    <w:rsid w:val="00DD5ACC"/>
    <w:rsid w:val="00DD5ED8"/>
    <w:rsid w:val="00DD65AC"/>
    <w:rsid w:val="00DD66A9"/>
    <w:rsid w:val="00DD6AE6"/>
    <w:rsid w:val="00DD6F5B"/>
    <w:rsid w:val="00DD7198"/>
    <w:rsid w:val="00DD71CD"/>
    <w:rsid w:val="00DD72D7"/>
    <w:rsid w:val="00DD73DA"/>
    <w:rsid w:val="00DD751A"/>
    <w:rsid w:val="00DD7897"/>
    <w:rsid w:val="00DE05DE"/>
    <w:rsid w:val="00DE09CB"/>
    <w:rsid w:val="00DE11DA"/>
    <w:rsid w:val="00DE1230"/>
    <w:rsid w:val="00DE1425"/>
    <w:rsid w:val="00DE19D6"/>
    <w:rsid w:val="00DE1B8C"/>
    <w:rsid w:val="00DE1CDD"/>
    <w:rsid w:val="00DE1DEC"/>
    <w:rsid w:val="00DE1FA3"/>
    <w:rsid w:val="00DE2147"/>
    <w:rsid w:val="00DE26B3"/>
    <w:rsid w:val="00DE27EF"/>
    <w:rsid w:val="00DE2887"/>
    <w:rsid w:val="00DE294F"/>
    <w:rsid w:val="00DE2D30"/>
    <w:rsid w:val="00DE330C"/>
    <w:rsid w:val="00DE3330"/>
    <w:rsid w:val="00DE348C"/>
    <w:rsid w:val="00DE35D0"/>
    <w:rsid w:val="00DE394E"/>
    <w:rsid w:val="00DE3C12"/>
    <w:rsid w:val="00DE3C1C"/>
    <w:rsid w:val="00DE4397"/>
    <w:rsid w:val="00DE44F7"/>
    <w:rsid w:val="00DE4817"/>
    <w:rsid w:val="00DE4A7D"/>
    <w:rsid w:val="00DE4B8D"/>
    <w:rsid w:val="00DE4EDA"/>
    <w:rsid w:val="00DE520D"/>
    <w:rsid w:val="00DE5306"/>
    <w:rsid w:val="00DE5425"/>
    <w:rsid w:val="00DE5648"/>
    <w:rsid w:val="00DE59BA"/>
    <w:rsid w:val="00DE5B05"/>
    <w:rsid w:val="00DE5D1F"/>
    <w:rsid w:val="00DE6001"/>
    <w:rsid w:val="00DE604B"/>
    <w:rsid w:val="00DE60C9"/>
    <w:rsid w:val="00DE6206"/>
    <w:rsid w:val="00DE66AA"/>
    <w:rsid w:val="00DE6721"/>
    <w:rsid w:val="00DE6817"/>
    <w:rsid w:val="00DE7319"/>
    <w:rsid w:val="00DE7632"/>
    <w:rsid w:val="00DE76FD"/>
    <w:rsid w:val="00DE7A29"/>
    <w:rsid w:val="00DE7D95"/>
    <w:rsid w:val="00DE7E82"/>
    <w:rsid w:val="00DF04DE"/>
    <w:rsid w:val="00DF0707"/>
    <w:rsid w:val="00DF14DB"/>
    <w:rsid w:val="00DF15CC"/>
    <w:rsid w:val="00DF16DD"/>
    <w:rsid w:val="00DF18BE"/>
    <w:rsid w:val="00DF18EC"/>
    <w:rsid w:val="00DF1CF5"/>
    <w:rsid w:val="00DF223E"/>
    <w:rsid w:val="00DF235E"/>
    <w:rsid w:val="00DF2618"/>
    <w:rsid w:val="00DF27B0"/>
    <w:rsid w:val="00DF2B53"/>
    <w:rsid w:val="00DF2CE2"/>
    <w:rsid w:val="00DF2E40"/>
    <w:rsid w:val="00DF38B4"/>
    <w:rsid w:val="00DF3AD4"/>
    <w:rsid w:val="00DF3CB5"/>
    <w:rsid w:val="00DF3ECD"/>
    <w:rsid w:val="00DF40D6"/>
    <w:rsid w:val="00DF4409"/>
    <w:rsid w:val="00DF4426"/>
    <w:rsid w:val="00DF4637"/>
    <w:rsid w:val="00DF4BE8"/>
    <w:rsid w:val="00DF4FC8"/>
    <w:rsid w:val="00DF5141"/>
    <w:rsid w:val="00DF5733"/>
    <w:rsid w:val="00DF5911"/>
    <w:rsid w:val="00DF5A02"/>
    <w:rsid w:val="00DF5A0E"/>
    <w:rsid w:val="00DF5A52"/>
    <w:rsid w:val="00DF5AC2"/>
    <w:rsid w:val="00DF5CE1"/>
    <w:rsid w:val="00DF6050"/>
    <w:rsid w:val="00DF6236"/>
    <w:rsid w:val="00DF6453"/>
    <w:rsid w:val="00DF65F8"/>
    <w:rsid w:val="00DF6B12"/>
    <w:rsid w:val="00DF7969"/>
    <w:rsid w:val="00DF79F3"/>
    <w:rsid w:val="00DF7A82"/>
    <w:rsid w:val="00DF7DF7"/>
    <w:rsid w:val="00DFE213"/>
    <w:rsid w:val="00E00185"/>
    <w:rsid w:val="00E003DB"/>
    <w:rsid w:val="00E00638"/>
    <w:rsid w:val="00E006D1"/>
    <w:rsid w:val="00E00EAA"/>
    <w:rsid w:val="00E00F28"/>
    <w:rsid w:val="00E01145"/>
    <w:rsid w:val="00E012C2"/>
    <w:rsid w:val="00E015DC"/>
    <w:rsid w:val="00E015F8"/>
    <w:rsid w:val="00E0186D"/>
    <w:rsid w:val="00E01D18"/>
    <w:rsid w:val="00E01DE8"/>
    <w:rsid w:val="00E01E7D"/>
    <w:rsid w:val="00E01FD7"/>
    <w:rsid w:val="00E0201A"/>
    <w:rsid w:val="00E0205A"/>
    <w:rsid w:val="00E0216B"/>
    <w:rsid w:val="00E02650"/>
    <w:rsid w:val="00E027A8"/>
    <w:rsid w:val="00E02881"/>
    <w:rsid w:val="00E02A5A"/>
    <w:rsid w:val="00E02C69"/>
    <w:rsid w:val="00E02EE7"/>
    <w:rsid w:val="00E02F44"/>
    <w:rsid w:val="00E031E1"/>
    <w:rsid w:val="00E035E2"/>
    <w:rsid w:val="00E03CA9"/>
    <w:rsid w:val="00E03CFE"/>
    <w:rsid w:val="00E03E20"/>
    <w:rsid w:val="00E04178"/>
    <w:rsid w:val="00E041E2"/>
    <w:rsid w:val="00E04360"/>
    <w:rsid w:val="00E04655"/>
    <w:rsid w:val="00E04F2C"/>
    <w:rsid w:val="00E05149"/>
    <w:rsid w:val="00E0531C"/>
    <w:rsid w:val="00E057BA"/>
    <w:rsid w:val="00E05F33"/>
    <w:rsid w:val="00E05F54"/>
    <w:rsid w:val="00E060FF"/>
    <w:rsid w:val="00E0621D"/>
    <w:rsid w:val="00E06240"/>
    <w:rsid w:val="00E06508"/>
    <w:rsid w:val="00E065DB"/>
    <w:rsid w:val="00E0675F"/>
    <w:rsid w:val="00E068FB"/>
    <w:rsid w:val="00E06B3B"/>
    <w:rsid w:val="00E06D11"/>
    <w:rsid w:val="00E07073"/>
    <w:rsid w:val="00E0724D"/>
    <w:rsid w:val="00E072E5"/>
    <w:rsid w:val="00E0768B"/>
    <w:rsid w:val="00E07719"/>
    <w:rsid w:val="00E0773A"/>
    <w:rsid w:val="00E07C55"/>
    <w:rsid w:val="00E100E3"/>
    <w:rsid w:val="00E104F6"/>
    <w:rsid w:val="00E10669"/>
    <w:rsid w:val="00E10918"/>
    <w:rsid w:val="00E10B98"/>
    <w:rsid w:val="00E10E57"/>
    <w:rsid w:val="00E10FE9"/>
    <w:rsid w:val="00E11012"/>
    <w:rsid w:val="00E11095"/>
    <w:rsid w:val="00E110EE"/>
    <w:rsid w:val="00E111A7"/>
    <w:rsid w:val="00E11324"/>
    <w:rsid w:val="00E1178D"/>
    <w:rsid w:val="00E11B3B"/>
    <w:rsid w:val="00E11BF7"/>
    <w:rsid w:val="00E11DB9"/>
    <w:rsid w:val="00E11E89"/>
    <w:rsid w:val="00E11F52"/>
    <w:rsid w:val="00E12140"/>
    <w:rsid w:val="00E12257"/>
    <w:rsid w:val="00E122E9"/>
    <w:rsid w:val="00E12562"/>
    <w:rsid w:val="00E12A74"/>
    <w:rsid w:val="00E12F27"/>
    <w:rsid w:val="00E13440"/>
    <w:rsid w:val="00E1349F"/>
    <w:rsid w:val="00E137FA"/>
    <w:rsid w:val="00E13985"/>
    <w:rsid w:val="00E13C67"/>
    <w:rsid w:val="00E13DBA"/>
    <w:rsid w:val="00E13ED8"/>
    <w:rsid w:val="00E14435"/>
    <w:rsid w:val="00E14542"/>
    <w:rsid w:val="00E146AA"/>
    <w:rsid w:val="00E14BFE"/>
    <w:rsid w:val="00E14C2E"/>
    <w:rsid w:val="00E155B0"/>
    <w:rsid w:val="00E1581D"/>
    <w:rsid w:val="00E15996"/>
    <w:rsid w:val="00E15ACE"/>
    <w:rsid w:val="00E15C3F"/>
    <w:rsid w:val="00E15C47"/>
    <w:rsid w:val="00E15DB7"/>
    <w:rsid w:val="00E16214"/>
    <w:rsid w:val="00E16305"/>
    <w:rsid w:val="00E164D9"/>
    <w:rsid w:val="00E16555"/>
    <w:rsid w:val="00E166B4"/>
    <w:rsid w:val="00E16979"/>
    <w:rsid w:val="00E1698D"/>
    <w:rsid w:val="00E16C59"/>
    <w:rsid w:val="00E17460"/>
    <w:rsid w:val="00E17864"/>
    <w:rsid w:val="00E17934"/>
    <w:rsid w:val="00E17BEE"/>
    <w:rsid w:val="00E20314"/>
    <w:rsid w:val="00E2085F"/>
    <w:rsid w:val="00E208BE"/>
    <w:rsid w:val="00E2094F"/>
    <w:rsid w:val="00E209F6"/>
    <w:rsid w:val="00E209FF"/>
    <w:rsid w:val="00E20DBD"/>
    <w:rsid w:val="00E20E67"/>
    <w:rsid w:val="00E20FA1"/>
    <w:rsid w:val="00E20FD1"/>
    <w:rsid w:val="00E214AC"/>
    <w:rsid w:val="00E215BB"/>
    <w:rsid w:val="00E21B3E"/>
    <w:rsid w:val="00E21CAE"/>
    <w:rsid w:val="00E22064"/>
    <w:rsid w:val="00E223D8"/>
    <w:rsid w:val="00E22692"/>
    <w:rsid w:val="00E226C1"/>
    <w:rsid w:val="00E227DB"/>
    <w:rsid w:val="00E22CF0"/>
    <w:rsid w:val="00E22E6E"/>
    <w:rsid w:val="00E22F54"/>
    <w:rsid w:val="00E22FC2"/>
    <w:rsid w:val="00E2343A"/>
    <w:rsid w:val="00E238A2"/>
    <w:rsid w:val="00E23961"/>
    <w:rsid w:val="00E23B5B"/>
    <w:rsid w:val="00E23E97"/>
    <w:rsid w:val="00E2415C"/>
    <w:rsid w:val="00E2416F"/>
    <w:rsid w:val="00E241C8"/>
    <w:rsid w:val="00E2424F"/>
    <w:rsid w:val="00E242CE"/>
    <w:rsid w:val="00E24552"/>
    <w:rsid w:val="00E246AA"/>
    <w:rsid w:val="00E247B4"/>
    <w:rsid w:val="00E24860"/>
    <w:rsid w:val="00E24B7E"/>
    <w:rsid w:val="00E24C31"/>
    <w:rsid w:val="00E24FD5"/>
    <w:rsid w:val="00E250C1"/>
    <w:rsid w:val="00E25B83"/>
    <w:rsid w:val="00E25E13"/>
    <w:rsid w:val="00E25E43"/>
    <w:rsid w:val="00E25E5C"/>
    <w:rsid w:val="00E25E99"/>
    <w:rsid w:val="00E25FF2"/>
    <w:rsid w:val="00E261E9"/>
    <w:rsid w:val="00E265C2"/>
    <w:rsid w:val="00E26CE2"/>
    <w:rsid w:val="00E26DCF"/>
    <w:rsid w:val="00E26FBC"/>
    <w:rsid w:val="00E27028"/>
    <w:rsid w:val="00E271BB"/>
    <w:rsid w:val="00E27361"/>
    <w:rsid w:val="00E27481"/>
    <w:rsid w:val="00E274A9"/>
    <w:rsid w:val="00E275D0"/>
    <w:rsid w:val="00E27925"/>
    <w:rsid w:val="00E27DF0"/>
    <w:rsid w:val="00E27E5F"/>
    <w:rsid w:val="00E27F0D"/>
    <w:rsid w:val="00E300D7"/>
    <w:rsid w:val="00E301B3"/>
    <w:rsid w:val="00E30350"/>
    <w:rsid w:val="00E3054A"/>
    <w:rsid w:val="00E30602"/>
    <w:rsid w:val="00E30CAD"/>
    <w:rsid w:val="00E30D31"/>
    <w:rsid w:val="00E30E12"/>
    <w:rsid w:val="00E30E95"/>
    <w:rsid w:val="00E30EDD"/>
    <w:rsid w:val="00E31470"/>
    <w:rsid w:val="00E314B6"/>
    <w:rsid w:val="00E31799"/>
    <w:rsid w:val="00E317D2"/>
    <w:rsid w:val="00E3188D"/>
    <w:rsid w:val="00E31D72"/>
    <w:rsid w:val="00E32033"/>
    <w:rsid w:val="00E3215E"/>
    <w:rsid w:val="00E3226F"/>
    <w:rsid w:val="00E32AEA"/>
    <w:rsid w:val="00E330D4"/>
    <w:rsid w:val="00E332FB"/>
    <w:rsid w:val="00E334B7"/>
    <w:rsid w:val="00E337AF"/>
    <w:rsid w:val="00E337F4"/>
    <w:rsid w:val="00E33B95"/>
    <w:rsid w:val="00E33BB9"/>
    <w:rsid w:val="00E340D2"/>
    <w:rsid w:val="00E3442D"/>
    <w:rsid w:val="00E3445C"/>
    <w:rsid w:val="00E344A8"/>
    <w:rsid w:val="00E34FF3"/>
    <w:rsid w:val="00E354D0"/>
    <w:rsid w:val="00E35811"/>
    <w:rsid w:val="00E359DA"/>
    <w:rsid w:val="00E35AD2"/>
    <w:rsid w:val="00E35FC6"/>
    <w:rsid w:val="00E36140"/>
    <w:rsid w:val="00E362DF"/>
    <w:rsid w:val="00E36810"/>
    <w:rsid w:val="00E3695D"/>
    <w:rsid w:val="00E36BF6"/>
    <w:rsid w:val="00E36C9D"/>
    <w:rsid w:val="00E36DA7"/>
    <w:rsid w:val="00E36DD2"/>
    <w:rsid w:val="00E37382"/>
    <w:rsid w:val="00E37527"/>
    <w:rsid w:val="00E375D0"/>
    <w:rsid w:val="00E37891"/>
    <w:rsid w:val="00E37897"/>
    <w:rsid w:val="00E37AA2"/>
    <w:rsid w:val="00E37C07"/>
    <w:rsid w:val="00E37C47"/>
    <w:rsid w:val="00E37E63"/>
    <w:rsid w:val="00E37EC7"/>
    <w:rsid w:val="00E40857"/>
    <w:rsid w:val="00E40F24"/>
    <w:rsid w:val="00E40F6B"/>
    <w:rsid w:val="00E41294"/>
    <w:rsid w:val="00E412CC"/>
    <w:rsid w:val="00E41E8A"/>
    <w:rsid w:val="00E423B5"/>
    <w:rsid w:val="00E4283D"/>
    <w:rsid w:val="00E42AA3"/>
    <w:rsid w:val="00E42C6D"/>
    <w:rsid w:val="00E42D22"/>
    <w:rsid w:val="00E43370"/>
    <w:rsid w:val="00E434EC"/>
    <w:rsid w:val="00E43A4A"/>
    <w:rsid w:val="00E43B8D"/>
    <w:rsid w:val="00E4421C"/>
    <w:rsid w:val="00E4433F"/>
    <w:rsid w:val="00E44412"/>
    <w:rsid w:val="00E447AC"/>
    <w:rsid w:val="00E44999"/>
    <w:rsid w:val="00E44A96"/>
    <w:rsid w:val="00E44FC6"/>
    <w:rsid w:val="00E45045"/>
    <w:rsid w:val="00E45124"/>
    <w:rsid w:val="00E45125"/>
    <w:rsid w:val="00E45415"/>
    <w:rsid w:val="00E45662"/>
    <w:rsid w:val="00E45E86"/>
    <w:rsid w:val="00E46157"/>
    <w:rsid w:val="00E46406"/>
    <w:rsid w:val="00E46C4A"/>
    <w:rsid w:val="00E46D28"/>
    <w:rsid w:val="00E46E47"/>
    <w:rsid w:val="00E46FA2"/>
    <w:rsid w:val="00E4716F"/>
    <w:rsid w:val="00E47236"/>
    <w:rsid w:val="00E472D5"/>
    <w:rsid w:val="00E4738D"/>
    <w:rsid w:val="00E47876"/>
    <w:rsid w:val="00E478B3"/>
    <w:rsid w:val="00E4794B"/>
    <w:rsid w:val="00E47E2F"/>
    <w:rsid w:val="00E47EDF"/>
    <w:rsid w:val="00E501D6"/>
    <w:rsid w:val="00E5020F"/>
    <w:rsid w:val="00E504ED"/>
    <w:rsid w:val="00E507C9"/>
    <w:rsid w:val="00E50BB7"/>
    <w:rsid w:val="00E50C88"/>
    <w:rsid w:val="00E51044"/>
    <w:rsid w:val="00E51134"/>
    <w:rsid w:val="00E511A2"/>
    <w:rsid w:val="00E51829"/>
    <w:rsid w:val="00E51A2E"/>
    <w:rsid w:val="00E51CA8"/>
    <w:rsid w:val="00E52045"/>
    <w:rsid w:val="00E52244"/>
    <w:rsid w:val="00E5260A"/>
    <w:rsid w:val="00E52865"/>
    <w:rsid w:val="00E52955"/>
    <w:rsid w:val="00E529E5"/>
    <w:rsid w:val="00E52BBA"/>
    <w:rsid w:val="00E52F44"/>
    <w:rsid w:val="00E52FFB"/>
    <w:rsid w:val="00E5318D"/>
    <w:rsid w:val="00E531A0"/>
    <w:rsid w:val="00E5324B"/>
    <w:rsid w:val="00E535F6"/>
    <w:rsid w:val="00E536E8"/>
    <w:rsid w:val="00E5393A"/>
    <w:rsid w:val="00E539E0"/>
    <w:rsid w:val="00E53BDC"/>
    <w:rsid w:val="00E542E8"/>
    <w:rsid w:val="00E5465E"/>
    <w:rsid w:val="00E54C17"/>
    <w:rsid w:val="00E54D1B"/>
    <w:rsid w:val="00E54F98"/>
    <w:rsid w:val="00E55021"/>
    <w:rsid w:val="00E55095"/>
    <w:rsid w:val="00E5524C"/>
    <w:rsid w:val="00E5555A"/>
    <w:rsid w:val="00E558D7"/>
    <w:rsid w:val="00E55C59"/>
    <w:rsid w:val="00E55D8F"/>
    <w:rsid w:val="00E56A8B"/>
    <w:rsid w:val="00E56BF8"/>
    <w:rsid w:val="00E56CEC"/>
    <w:rsid w:val="00E56D1E"/>
    <w:rsid w:val="00E56F42"/>
    <w:rsid w:val="00E57071"/>
    <w:rsid w:val="00E571C1"/>
    <w:rsid w:val="00E5758D"/>
    <w:rsid w:val="00E575F9"/>
    <w:rsid w:val="00E5761A"/>
    <w:rsid w:val="00E57767"/>
    <w:rsid w:val="00E57924"/>
    <w:rsid w:val="00E57BE8"/>
    <w:rsid w:val="00E57CBD"/>
    <w:rsid w:val="00E605E6"/>
    <w:rsid w:val="00E60820"/>
    <w:rsid w:val="00E60B7C"/>
    <w:rsid w:val="00E60B89"/>
    <w:rsid w:val="00E60DF7"/>
    <w:rsid w:val="00E60E54"/>
    <w:rsid w:val="00E6118B"/>
    <w:rsid w:val="00E61455"/>
    <w:rsid w:val="00E61722"/>
    <w:rsid w:val="00E617AC"/>
    <w:rsid w:val="00E61805"/>
    <w:rsid w:val="00E6197F"/>
    <w:rsid w:val="00E619DA"/>
    <w:rsid w:val="00E61BAF"/>
    <w:rsid w:val="00E62372"/>
    <w:rsid w:val="00E62543"/>
    <w:rsid w:val="00E6312B"/>
    <w:rsid w:val="00E633A0"/>
    <w:rsid w:val="00E633B9"/>
    <w:rsid w:val="00E63BDC"/>
    <w:rsid w:val="00E63DF6"/>
    <w:rsid w:val="00E63EAE"/>
    <w:rsid w:val="00E6467C"/>
    <w:rsid w:val="00E64903"/>
    <w:rsid w:val="00E649C0"/>
    <w:rsid w:val="00E64A9F"/>
    <w:rsid w:val="00E65156"/>
    <w:rsid w:val="00E653AC"/>
    <w:rsid w:val="00E65459"/>
    <w:rsid w:val="00E655CA"/>
    <w:rsid w:val="00E65668"/>
    <w:rsid w:val="00E65A37"/>
    <w:rsid w:val="00E65E07"/>
    <w:rsid w:val="00E65EDC"/>
    <w:rsid w:val="00E65FB7"/>
    <w:rsid w:val="00E6653F"/>
    <w:rsid w:val="00E6670E"/>
    <w:rsid w:val="00E66818"/>
    <w:rsid w:val="00E668D4"/>
    <w:rsid w:val="00E66F09"/>
    <w:rsid w:val="00E671CF"/>
    <w:rsid w:val="00E6747A"/>
    <w:rsid w:val="00E6751D"/>
    <w:rsid w:val="00E67A81"/>
    <w:rsid w:val="00E67E31"/>
    <w:rsid w:val="00E67F28"/>
    <w:rsid w:val="00E70103"/>
    <w:rsid w:val="00E70CCC"/>
    <w:rsid w:val="00E710F6"/>
    <w:rsid w:val="00E71197"/>
    <w:rsid w:val="00E711DD"/>
    <w:rsid w:val="00E71621"/>
    <w:rsid w:val="00E71689"/>
    <w:rsid w:val="00E71B39"/>
    <w:rsid w:val="00E71CB4"/>
    <w:rsid w:val="00E71D1A"/>
    <w:rsid w:val="00E72114"/>
    <w:rsid w:val="00E72768"/>
    <w:rsid w:val="00E727B5"/>
    <w:rsid w:val="00E72D77"/>
    <w:rsid w:val="00E73187"/>
    <w:rsid w:val="00E73511"/>
    <w:rsid w:val="00E738EF"/>
    <w:rsid w:val="00E7406C"/>
    <w:rsid w:val="00E7431A"/>
    <w:rsid w:val="00E74588"/>
    <w:rsid w:val="00E74641"/>
    <w:rsid w:val="00E748C9"/>
    <w:rsid w:val="00E74DF5"/>
    <w:rsid w:val="00E7512F"/>
    <w:rsid w:val="00E75356"/>
    <w:rsid w:val="00E756B3"/>
    <w:rsid w:val="00E756EE"/>
    <w:rsid w:val="00E7576B"/>
    <w:rsid w:val="00E75851"/>
    <w:rsid w:val="00E75AA2"/>
    <w:rsid w:val="00E75AE5"/>
    <w:rsid w:val="00E75F07"/>
    <w:rsid w:val="00E76188"/>
    <w:rsid w:val="00E76297"/>
    <w:rsid w:val="00E762CB"/>
    <w:rsid w:val="00E767FB"/>
    <w:rsid w:val="00E769F8"/>
    <w:rsid w:val="00E76B03"/>
    <w:rsid w:val="00E76C95"/>
    <w:rsid w:val="00E774FB"/>
    <w:rsid w:val="00E777BF"/>
    <w:rsid w:val="00E77AC2"/>
    <w:rsid w:val="00E77CCE"/>
    <w:rsid w:val="00E77DEF"/>
    <w:rsid w:val="00E7F80F"/>
    <w:rsid w:val="00E80051"/>
    <w:rsid w:val="00E80369"/>
    <w:rsid w:val="00E80533"/>
    <w:rsid w:val="00E80636"/>
    <w:rsid w:val="00E8071E"/>
    <w:rsid w:val="00E80787"/>
    <w:rsid w:val="00E80BBD"/>
    <w:rsid w:val="00E80EA4"/>
    <w:rsid w:val="00E81353"/>
    <w:rsid w:val="00E8200A"/>
    <w:rsid w:val="00E8219D"/>
    <w:rsid w:val="00E8223C"/>
    <w:rsid w:val="00E82478"/>
    <w:rsid w:val="00E8257B"/>
    <w:rsid w:val="00E82817"/>
    <w:rsid w:val="00E828F8"/>
    <w:rsid w:val="00E8291B"/>
    <w:rsid w:val="00E82988"/>
    <w:rsid w:val="00E82AA3"/>
    <w:rsid w:val="00E82CD7"/>
    <w:rsid w:val="00E83135"/>
    <w:rsid w:val="00E831C4"/>
    <w:rsid w:val="00E833B4"/>
    <w:rsid w:val="00E83471"/>
    <w:rsid w:val="00E83E26"/>
    <w:rsid w:val="00E83FA6"/>
    <w:rsid w:val="00E84286"/>
    <w:rsid w:val="00E84574"/>
    <w:rsid w:val="00E84669"/>
    <w:rsid w:val="00E84E15"/>
    <w:rsid w:val="00E8506D"/>
    <w:rsid w:val="00E8509A"/>
    <w:rsid w:val="00E852B3"/>
    <w:rsid w:val="00E85600"/>
    <w:rsid w:val="00E858C2"/>
    <w:rsid w:val="00E858EC"/>
    <w:rsid w:val="00E85A9C"/>
    <w:rsid w:val="00E85BEE"/>
    <w:rsid w:val="00E8605D"/>
    <w:rsid w:val="00E8607E"/>
    <w:rsid w:val="00E86894"/>
    <w:rsid w:val="00E86EA3"/>
    <w:rsid w:val="00E871EA"/>
    <w:rsid w:val="00E87408"/>
    <w:rsid w:val="00E876FA"/>
    <w:rsid w:val="00E87780"/>
    <w:rsid w:val="00E87875"/>
    <w:rsid w:val="00E87A62"/>
    <w:rsid w:val="00E87AAE"/>
    <w:rsid w:val="00E87BD4"/>
    <w:rsid w:val="00E87D27"/>
    <w:rsid w:val="00E902DE"/>
    <w:rsid w:val="00E90354"/>
    <w:rsid w:val="00E90518"/>
    <w:rsid w:val="00E9051A"/>
    <w:rsid w:val="00E9087E"/>
    <w:rsid w:val="00E90C7B"/>
    <w:rsid w:val="00E90D42"/>
    <w:rsid w:val="00E90DB1"/>
    <w:rsid w:val="00E91047"/>
    <w:rsid w:val="00E91067"/>
    <w:rsid w:val="00E91167"/>
    <w:rsid w:val="00E9120D"/>
    <w:rsid w:val="00E91401"/>
    <w:rsid w:val="00E9174C"/>
    <w:rsid w:val="00E9177C"/>
    <w:rsid w:val="00E917D2"/>
    <w:rsid w:val="00E91AA1"/>
    <w:rsid w:val="00E92008"/>
    <w:rsid w:val="00E9223E"/>
    <w:rsid w:val="00E923F7"/>
    <w:rsid w:val="00E92C0C"/>
    <w:rsid w:val="00E92E84"/>
    <w:rsid w:val="00E93440"/>
    <w:rsid w:val="00E937B5"/>
    <w:rsid w:val="00E93A60"/>
    <w:rsid w:val="00E93B02"/>
    <w:rsid w:val="00E93CF6"/>
    <w:rsid w:val="00E93E15"/>
    <w:rsid w:val="00E944D3"/>
    <w:rsid w:val="00E944D9"/>
    <w:rsid w:val="00E94804"/>
    <w:rsid w:val="00E94A15"/>
    <w:rsid w:val="00E94EC0"/>
    <w:rsid w:val="00E94FAB"/>
    <w:rsid w:val="00E950CC"/>
    <w:rsid w:val="00E9579F"/>
    <w:rsid w:val="00E957E1"/>
    <w:rsid w:val="00E95A46"/>
    <w:rsid w:val="00E95D91"/>
    <w:rsid w:val="00E95E12"/>
    <w:rsid w:val="00E96068"/>
    <w:rsid w:val="00E9606A"/>
    <w:rsid w:val="00E960FB"/>
    <w:rsid w:val="00E9630B"/>
    <w:rsid w:val="00E96326"/>
    <w:rsid w:val="00E969E1"/>
    <w:rsid w:val="00E96A81"/>
    <w:rsid w:val="00E96AEF"/>
    <w:rsid w:val="00E96B7F"/>
    <w:rsid w:val="00E96DD0"/>
    <w:rsid w:val="00E96E9F"/>
    <w:rsid w:val="00E97473"/>
    <w:rsid w:val="00E97653"/>
    <w:rsid w:val="00E9794E"/>
    <w:rsid w:val="00E979AB"/>
    <w:rsid w:val="00E97BB2"/>
    <w:rsid w:val="00E97CDF"/>
    <w:rsid w:val="00E97F58"/>
    <w:rsid w:val="00E97F6B"/>
    <w:rsid w:val="00EA0134"/>
    <w:rsid w:val="00EA0633"/>
    <w:rsid w:val="00EA080E"/>
    <w:rsid w:val="00EA0A23"/>
    <w:rsid w:val="00EA0D7D"/>
    <w:rsid w:val="00EA0FA7"/>
    <w:rsid w:val="00EA10BB"/>
    <w:rsid w:val="00EA11A1"/>
    <w:rsid w:val="00EA1560"/>
    <w:rsid w:val="00EA1648"/>
    <w:rsid w:val="00EA1A54"/>
    <w:rsid w:val="00EA1BCF"/>
    <w:rsid w:val="00EA244C"/>
    <w:rsid w:val="00EA2524"/>
    <w:rsid w:val="00EA26B0"/>
    <w:rsid w:val="00EA29A9"/>
    <w:rsid w:val="00EA2A9D"/>
    <w:rsid w:val="00EA2E89"/>
    <w:rsid w:val="00EA2F99"/>
    <w:rsid w:val="00EA335C"/>
    <w:rsid w:val="00EA348E"/>
    <w:rsid w:val="00EA35B4"/>
    <w:rsid w:val="00EA39DE"/>
    <w:rsid w:val="00EA3BD2"/>
    <w:rsid w:val="00EA3E7F"/>
    <w:rsid w:val="00EA3ECE"/>
    <w:rsid w:val="00EA40C7"/>
    <w:rsid w:val="00EA4199"/>
    <w:rsid w:val="00EA449F"/>
    <w:rsid w:val="00EA45A5"/>
    <w:rsid w:val="00EA4A7F"/>
    <w:rsid w:val="00EA4AC5"/>
    <w:rsid w:val="00EA4B24"/>
    <w:rsid w:val="00EA4C69"/>
    <w:rsid w:val="00EA4CCE"/>
    <w:rsid w:val="00EA4D39"/>
    <w:rsid w:val="00EA4FE9"/>
    <w:rsid w:val="00EA5190"/>
    <w:rsid w:val="00EA54E2"/>
    <w:rsid w:val="00EA5620"/>
    <w:rsid w:val="00EA587C"/>
    <w:rsid w:val="00EA5CF7"/>
    <w:rsid w:val="00EA5E24"/>
    <w:rsid w:val="00EA6525"/>
    <w:rsid w:val="00EA677A"/>
    <w:rsid w:val="00EA6A0B"/>
    <w:rsid w:val="00EA6A7F"/>
    <w:rsid w:val="00EA6B45"/>
    <w:rsid w:val="00EA6CEC"/>
    <w:rsid w:val="00EA7014"/>
    <w:rsid w:val="00EA74F6"/>
    <w:rsid w:val="00EA77BA"/>
    <w:rsid w:val="00EA78A7"/>
    <w:rsid w:val="00EA7BBE"/>
    <w:rsid w:val="00EA7CBB"/>
    <w:rsid w:val="00EA7CEC"/>
    <w:rsid w:val="00EA7E7B"/>
    <w:rsid w:val="00EA7FB1"/>
    <w:rsid w:val="00EB00A1"/>
    <w:rsid w:val="00EB00A8"/>
    <w:rsid w:val="00EB028C"/>
    <w:rsid w:val="00EB03E3"/>
    <w:rsid w:val="00EB0897"/>
    <w:rsid w:val="00EB0E6C"/>
    <w:rsid w:val="00EB0EB3"/>
    <w:rsid w:val="00EB1222"/>
    <w:rsid w:val="00EB1311"/>
    <w:rsid w:val="00EB1515"/>
    <w:rsid w:val="00EB1832"/>
    <w:rsid w:val="00EB1B21"/>
    <w:rsid w:val="00EB1B98"/>
    <w:rsid w:val="00EB1CB6"/>
    <w:rsid w:val="00EB1CF6"/>
    <w:rsid w:val="00EB1E21"/>
    <w:rsid w:val="00EB20D7"/>
    <w:rsid w:val="00EB2149"/>
    <w:rsid w:val="00EB252B"/>
    <w:rsid w:val="00EB30A6"/>
    <w:rsid w:val="00EB3694"/>
    <w:rsid w:val="00EB3864"/>
    <w:rsid w:val="00EB39A4"/>
    <w:rsid w:val="00EB3B11"/>
    <w:rsid w:val="00EB3F25"/>
    <w:rsid w:val="00EB3F90"/>
    <w:rsid w:val="00EB45A3"/>
    <w:rsid w:val="00EB48D8"/>
    <w:rsid w:val="00EB4904"/>
    <w:rsid w:val="00EB4C2F"/>
    <w:rsid w:val="00EB4C6B"/>
    <w:rsid w:val="00EB4D8A"/>
    <w:rsid w:val="00EB4F3C"/>
    <w:rsid w:val="00EB523D"/>
    <w:rsid w:val="00EB531C"/>
    <w:rsid w:val="00EB56EA"/>
    <w:rsid w:val="00EB58CA"/>
    <w:rsid w:val="00EB598E"/>
    <w:rsid w:val="00EB5B7E"/>
    <w:rsid w:val="00EB5F21"/>
    <w:rsid w:val="00EB655A"/>
    <w:rsid w:val="00EB72CB"/>
    <w:rsid w:val="00EB7555"/>
    <w:rsid w:val="00EB7B18"/>
    <w:rsid w:val="00EB7B29"/>
    <w:rsid w:val="00EC022E"/>
    <w:rsid w:val="00EC03D6"/>
    <w:rsid w:val="00EC0D5B"/>
    <w:rsid w:val="00EC0DB2"/>
    <w:rsid w:val="00EC0DF2"/>
    <w:rsid w:val="00EC1017"/>
    <w:rsid w:val="00EC13CD"/>
    <w:rsid w:val="00EC1477"/>
    <w:rsid w:val="00EC16CB"/>
    <w:rsid w:val="00EC1A36"/>
    <w:rsid w:val="00EC1AE4"/>
    <w:rsid w:val="00EC1B5C"/>
    <w:rsid w:val="00EC209D"/>
    <w:rsid w:val="00EC24FE"/>
    <w:rsid w:val="00EC25D2"/>
    <w:rsid w:val="00EC26D8"/>
    <w:rsid w:val="00EC289A"/>
    <w:rsid w:val="00EC28D8"/>
    <w:rsid w:val="00EC2B7D"/>
    <w:rsid w:val="00EC2D19"/>
    <w:rsid w:val="00EC2FED"/>
    <w:rsid w:val="00EC33E3"/>
    <w:rsid w:val="00EC395D"/>
    <w:rsid w:val="00EC39E5"/>
    <w:rsid w:val="00EC3D8F"/>
    <w:rsid w:val="00EC4059"/>
    <w:rsid w:val="00EC44D2"/>
    <w:rsid w:val="00EC4AC8"/>
    <w:rsid w:val="00EC4CE1"/>
    <w:rsid w:val="00EC4D07"/>
    <w:rsid w:val="00EC4FF6"/>
    <w:rsid w:val="00EC502B"/>
    <w:rsid w:val="00EC576F"/>
    <w:rsid w:val="00EC5813"/>
    <w:rsid w:val="00EC5B54"/>
    <w:rsid w:val="00EC5FFE"/>
    <w:rsid w:val="00EC63A0"/>
    <w:rsid w:val="00EC6451"/>
    <w:rsid w:val="00EC65C9"/>
    <w:rsid w:val="00EC6B0C"/>
    <w:rsid w:val="00EC6B40"/>
    <w:rsid w:val="00EC6C0F"/>
    <w:rsid w:val="00EC6CCE"/>
    <w:rsid w:val="00EC6F5C"/>
    <w:rsid w:val="00EC70B1"/>
    <w:rsid w:val="00EC71A0"/>
    <w:rsid w:val="00EC72FE"/>
    <w:rsid w:val="00EC75A5"/>
    <w:rsid w:val="00EC7717"/>
    <w:rsid w:val="00EC7987"/>
    <w:rsid w:val="00EC7E4D"/>
    <w:rsid w:val="00ED000F"/>
    <w:rsid w:val="00ED0152"/>
    <w:rsid w:val="00ED0279"/>
    <w:rsid w:val="00ED055B"/>
    <w:rsid w:val="00ED0683"/>
    <w:rsid w:val="00ED0DDF"/>
    <w:rsid w:val="00ED0E7D"/>
    <w:rsid w:val="00ED1479"/>
    <w:rsid w:val="00ED1668"/>
    <w:rsid w:val="00ED1766"/>
    <w:rsid w:val="00ED17E5"/>
    <w:rsid w:val="00ED185E"/>
    <w:rsid w:val="00ED1926"/>
    <w:rsid w:val="00ED1D8C"/>
    <w:rsid w:val="00ED1E2D"/>
    <w:rsid w:val="00ED2299"/>
    <w:rsid w:val="00ED23A4"/>
    <w:rsid w:val="00ED25D1"/>
    <w:rsid w:val="00ED2BB1"/>
    <w:rsid w:val="00ED2D8A"/>
    <w:rsid w:val="00ED3123"/>
    <w:rsid w:val="00ED3301"/>
    <w:rsid w:val="00ED36C5"/>
    <w:rsid w:val="00ED3A55"/>
    <w:rsid w:val="00ED3C81"/>
    <w:rsid w:val="00ED3D1C"/>
    <w:rsid w:val="00ED4210"/>
    <w:rsid w:val="00ED49B0"/>
    <w:rsid w:val="00ED521A"/>
    <w:rsid w:val="00ED5289"/>
    <w:rsid w:val="00ED531A"/>
    <w:rsid w:val="00ED5515"/>
    <w:rsid w:val="00ED5993"/>
    <w:rsid w:val="00ED6486"/>
    <w:rsid w:val="00ED6768"/>
    <w:rsid w:val="00ED6C20"/>
    <w:rsid w:val="00ED700A"/>
    <w:rsid w:val="00ED710A"/>
    <w:rsid w:val="00ED77F5"/>
    <w:rsid w:val="00ED7E0C"/>
    <w:rsid w:val="00EE01FC"/>
    <w:rsid w:val="00EE024C"/>
    <w:rsid w:val="00EE0358"/>
    <w:rsid w:val="00EE0404"/>
    <w:rsid w:val="00EE0537"/>
    <w:rsid w:val="00EE06E0"/>
    <w:rsid w:val="00EE0762"/>
    <w:rsid w:val="00EE095F"/>
    <w:rsid w:val="00EE0F26"/>
    <w:rsid w:val="00EE1661"/>
    <w:rsid w:val="00EE18C0"/>
    <w:rsid w:val="00EE1A9F"/>
    <w:rsid w:val="00EE1D86"/>
    <w:rsid w:val="00EE1E60"/>
    <w:rsid w:val="00EE1FCC"/>
    <w:rsid w:val="00EE20A5"/>
    <w:rsid w:val="00EE2E47"/>
    <w:rsid w:val="00EE3042"/>
    <w:rsid w:val="00EE3091"/>
    <w:rsid w:val="00EE309B"/>
    <w:rsid w:val="00EE30CD"/>
    <w:rsid w:val="00EE3105"/>
    <w:rsid w:val="00EE3109"/>
    <w:rsid w:val="00EE3424"/>
    <w:rsid w:val="00EE35E7"/>
    <w:rsid w:val="00EE364E"/>
    <w:rsid w:val="00EE3C2E"/>
    <w:rsid w:val="00EE4084"/>
    <w:rsid w:val="00EE4267"/>
    <w:rsid w:val="00EE429B"/>
    <w:rsid w:val="00EE442F"/>
    <w:rsid w:val="00EE49DD"/>
    <w:rsid w:val="00EE4E12"/>
    <w:rsid w:val="00EE4F8D"/>
    <w:rsid w:val="00EE5462"/>
    <w:rsid w:val="00EE552B"/>
    <w:rsid w:val="00EE556A"/>
    <w:rsid w:val="00EE56A9"/>
    <w:rsid w:val="00EE58CB"/>
    <w:rsid w:val="00EE5BA2"/>
    <w:rsid w:val="00EE6021"/>
    <w:rsid w:val="00EE608F"/>
    <w:rsid w:val="00EE63A4"/>
    <w:rsid w:val="00EE667A"/>
    <w:rsid w:val="00EE6E63"/>
    <w:rsid w:val="00EE6FFF"/>
    <w:rsid w:val="00EE71E5"/>
    <w:rsid w:val="00EE759B"/>
    <w:rsid w:val="00EE7644"/>
    <w:rsid w:val="00EE7935"/>
    <w:rsid w:val="00EE7A8D"/>
    <w:rsid w:val="00EE7BB2"/>
    <w:rsid w:val="00EE7C75"/>
    <w:rsid w:val="00EE7E43"/>
    <w:rsid w:val="00EE7FB8"/>
    <w:rsid w:val="00EF0172"/>
    <w:rsid w:val="00EF0206"/>
    <w:rsid w:val="00EF0452"/>
    <w:rsid w:val="00EF0461"/>
    <w:rsid w:val="00EF046F"/>
    <w:rsid w:val="00EF051D"/>
    <w:rsid w:val="00EF0560"/>
    <w:rsid w:val="00EF0F2B"/>
    <w:rsid w:val="00EF0FB1"/>
    <w:rsid w:val="00EF1070"/>
    <w:rsid w:val="00EF16BE"/>
    <w:rsid w:val="00EF19C1"/>
    <w:rsid w:val="00EF1AD1"/>
    <w:rsid w:val="00EF1C99"/>
    <w:rsid w:val="00EF1DE0"/>
    <w:rsid w:val="00EF2B0C"/>
    <w:rsid w:val="00EF2BE7"/>
    <w:rsid w:val="00EF2F17"/>
    <w:rsid w:val="00EF340D"/>
    <w:rsid w:val="00EF3438"/>
    <w:rsid w:val="00EF3A69"/>
    <w:rsid w:val="00EF3ABA"/>
    <w:rsid w:val="00EF421D"/>
    <w:rsid w:val="00EF42CE"/>
    <w:rsid w:val="00EF4422"/>
    <w:rsid w:val="00EF4518"/>
    <w:rsid w:val="00EF45E9"/>
    <w:rsid w:val="00EF467C"/>
    <w:rsid w:val="00EF4907"/>
    <w:rsid w:val="00EF4A88"/>
    <w:rsid w:val="00EF4BB5"/>
    <w:rsid w:val="00EF4C16"/>
    <w:rsid w:val="00EF52EE"/>
    <w:rsid w:val="00EF5355"/>
    <w:rsid w:val="00EF5732"/>
    <w:rsid w:val="00EF57E7"/>
    <w:rsid w:val="00EF5B54"/>
    <w:rsid w:val="00EF6034"/>
    <w:rsid w:val="00EF61A8"/>
    <w:rsid w:val="00EF6457"/>
    <w:rsid w:val="00EF6580"/>
    <w:rsid w:val="00EF67CE"/>
    <w:rsid w:val="00EF68FF"/>
    <w:rsid w:val="00EF6A02"/>
    <w:rsid w:val="00EF74F7"/>
    <w:rsid w:val="00EF78A2"/>
    <w:rsid w:val="00EF7D3C"/>
    <w:rsid w:val="00EF7ECD"/>
    <w:rsid w:val="00EF7ED0"/>
    <w:rsid w:val="00F00207"/>
    <w:rsid w:val="00F0034F"/>
    <w:rsid w:val="00F00426"/>
    <w:rsid w:val="00F0069E"/>
    <w:rsid w:val="00F00807"/>
    <w:rsid w:val="00F00824"/>
    <w:rsid w:val="00F009F3"/>
    <w:rsid w:val="00F00B50"/>
    <w:rsid w:val="00F00C08"/>
    <w:rsid w:val="00F00C9F"/>
    <w:rsid w:val="00F00D23"/>
    <w:rsid w:val="00F00EDF"/>
    <w:rsid w:val="00F0112D"/>
    <w:rsid w:val="00F01169"/>
    <w:rsid w:val="00F0119D"/>
    <w:rsid w:val="00F015DD"/>
    <w:rsid w:val="00F016C3"/>
    <w:rsid w:val="00F016C6"/>
    <w:rsid w:val="00F01A50"/>
    <w:rsid w:val="00F01CE6"/>
    <w:rsid w:val="00F01FB6"/>
    <w:rsid w:val="00F02040"/>
    <w:rsid w:val="00F02274"/>
    <w:rsid w:val="00F02341"/>
    <w:rsid w:val="00F026CE"/>
    <w:rsid w:val="00F02A37"/>
    <w:rsid w:val="00F02ABC"/>
    <w:rsid w:val="00F02EAF"/>
    <w:rsid w:val="00F03062"/>
    <w:rsid w:val="00F03346"/>
    <w:rsid w:val="00F03817"/>
    <w:rsid w:val="00F0384B"/>
    <w:rsid w:val="00F0398F"/>
    <w:rsid w:val="00F03CF4"/>
    <w:rsid w:val="00F03D8B"/>
    <w:rsid w:val="00F0404F"/>
    <w:rsid w:val="00F043F6"/>
    <w:rsid w:val="00F046E3"/>
    <w:rsid w:val="00F04794"/>
    <w:rsid w:val="00F04862"/>
    <w:rsid w:val="00F0487B"/>
    <w:rsid w:val="00F049DC"/>
    <w:rsid w:val="00F04B12"/>
    <w:rsid w:val="00F05A84"/>
    <w:rsid w:val="00F05EDD"/>
    <w:rsid w:val="00F06093"/>
    <w:rsid w:val="00F063C9"/>
    <w:rsid w:val="00F06430"/>
    <w:rsid w:val="00F06731"/>
    <w:rsid w:val="00F06915"/>
    <w:rsid w:val="00F06918"/>
    <w:rsid w:val="00F06A62"/>
    <w:rsid w:val="00F06A75"/>
    <w:rsid w:val="00F074E6"/>
    <w:rsid w:val="00F07775"/>
    <w:rsid w:val="00F07AB4"/>
    <w:rsid w:val="00F07BFB"/>
    <w:rsid w:val="00F07DB3"/>
    <w:rsid w:val="00F1000D"/>
    <w:rsid w:val="00F1007A"/>
    <w:rsid w:val="00F103E3"/>
    <w:rsid w:val="00F10473"/>
    <w:rsid w:val="00F10583"/>
    <w:rsid w:val="00F10A8A"/>
    <w:rsid w:val="00F10CFB"/>
    <w:rsid w:val="00F10E80"/>
    <w:rsid w:val="00F1102A"/>
    <w:rsid w:val="00F1124F"/>
    <w:rsid w:val="00F114D2"/>
    <w:rsid w:val="00F1168E"/>
    <w:rsid w:val="00F116F7"/>
    <w:rsid w:val="00F11725"/>
    <w:rsid w:val="00F11CE8"/>
    <w:rsid w:val="00F12244"/>
    <w:rsid w:val="00F122B2"/>
    <w:rsid w:val="00F1276A"/>
    <w:rsid w:val="00F1277C"/>
    <w:rsid w:val="00F12878"/>
    <w:rsid w:val="00F12D50"/>
    <w:rsid w:val="00F13102"/>
    <w:rsid w:val="00F13214"/>
    <w:rsid w:val="00F1328D"/>
    <w:rsid w:val="00F132ED"/>
    <w:rsid w:val="00F135CB"/>
    <w:rsid w:val="00F14219"/>
    <w:rsid w:val="00F143B8"/>
    <w:rsid w:val="00F14AEB"/>
    <w:rsid w:val="00F15109"/>
    <w:rsid w:val="00F154D6"/>
    <w:rsid w:val="00F1550B"/>
    <w:rsid w:val="00F1556F"/>
    <w:rsid w:val="00F1577F"/>
    <w:rsid w:val="00F15D9B"/>
    <w:rsid w:val="00F15FCF"/>
    <w:rsid w:val="00F16003"/>
    <w:rsid w:val="00F164FB"/>
    <w:rsid w:val="00F16539"/>
    <w:rsid w:val="00F16845"/>
    <w:rsid w:val="00F16D23"/>
    <w:rsid w:val="00F16D65"/>
    <w:rsid w:val="00F16E19"/>
    <w:rsid w:val="00F1706C"/>
    <w:rsid w:val="00F1719B"/>
    <w:rsid w:val="00F17BB4"/>
    <w:rsid w:val="00F17CB6"/>
    <w:rsid w:val="00F17FE4"/>
    <w:rsid w:val="00F20088"/>
    <w:rsid w:val="00F20272"/>
    <w:rsid w:val="00F2033E"/>
    <w:rsid w:val="00F20367"/>
    <w:rsid w:val="00F207F6"/>
    <w:rsid w:val="00F20A4B"/>
    <w:rsid w:val="00F20A8B"/>
    <w:rsid w:val="00F20F23"/>
    <w:rsid w:val="00F20F7E"/>
    <w:rsid w:val="00F21176"/>
    <w:rsid w:val="00F21278"/>
    <w:rsid w:val="00F214CA"/>
    <w:rsid w:val="00F21801"/>
    <w:rsid w:val="00F2196D"/>
    <w:rsid w:val="00F222F7"/>
    <w:rsid w:val="00F225DA"/>
    <w:rsid w:val="00F22847"/>
    <w:rsid w:val="00F22BE4"/>
    <w:rsid w:val="00F22C5B"/>
    <w:rsid w:val="00F22D6C"/>
    <w:rsid w:val="00F22DDF"/>
    <w:rsid w:val="00F22E01"/>
    <w:rsid w:val="00F22F3D"/>
    <w:rsid w:val="00F23784"/>
    <w:rsid w:val="00F237C0"/>
    <w:rsid w:val="00F2382E"/>
    <w:rsid w:val="00F23B5D"/>
    <w:rsid w:val="00F23D40"/>
    <w:rsid w:val="00F23F1B"/>
    <w:rsid w:val="00F23F29"/>
    <w:rsid w:val="00F247D6"/>
    <w:rsid w:val="00F25637"/>
    <w:rsid w:val="00F2589D"/>
    <w:rsid w:val="00F25C03"/>
    <w:rsid w:val="00F26A1D"/>
    <w:rsid w:val="00F26D2E"/>
    <w:rsid w:val="00F26E7D"/>
    <w:rsid w:val="00F26EE4"/>
    <w:rsid w:val="00F27214"/>
    <w:rsid w:val="00F2785F"/>
    <w:rsid w:val="00F27950"/>
    <w:rsid w:val="00F27D39"/>
    <w:rsid w:val="00F3012A"/>
    <w:rsid w:val="00F30749"/>
    <w:rsid w:val="00F30BFC"/>
    <w:rsid w:val="00F30C6E"/>
    <w:rsid w:val="00F30DD9"/>
    <w:rsid w:val="00F30ED0"/>
    <w:rsid w:val="00F311A4"/>
    <w:rsid w:val="00F312D4"/>
    <w:rsid w:val="00F3162E"/>
    <w:rsid w:val="00F31898"/>
    <w:rsid w:val="00F3191B"/>
    <w:rsid w:val="00F31931"/>
    <w:rsid w:val="00F31DCA"/>
    <w:rsid w:val="00F31E92"/>
    <w:rsid w:val="00F32032"/>
    <w:rsid w:val="00F32215"/>
    <w:rsid w:val="00F324DD"/>
    <w:rsid w:val="00F32662"/>
    <w:rsid w:val="00F3277D"/>
    <w:rsid w:val="00F32C8C"/>
    <w:rsid w:val="00F32D85"/>
    <w:rsid w:val="00F32D98"/>
    <w:rsid w:val="00F32E73"/>
    <w:rsid w:val="00F33138"/>
    <w:rsid w:val="00F332A1"/>
    <w:rsid w:val="00F337AA"/>
    <w:rsid w:val="00F3407D"/>
    <w:rsid w:val="00F342B2"/>
    <w:rsid w:val="00F344B2"/>
    <w:rsid w:val="00F3455F"/>
    <w:rsid w:val="00F34585"/>
    <w:rsid w:val="00F34AF9"/>
    <w:rsid w:val="00F35162"/>
    <w:rsid w:val="00F353CF"/>
    <w:rsid w:val="00F35D0F"/>
    <w:rsid w:val="00F35D3F"/>
    <w:rsid w:val="00F3645A"/>
    <w:rsid w:val="00F3662F"/>
    <w:rsid w:val="00F366F6"/>
    <w:rsid w:val="00F369C9"/>
    <w:rsid w:val="00F36C25"/>
    <w:rsid w:val="00F36FD6"/>
    <w:rsid w:val="00F37598"/>
    <w:rsid w:val="00F37C35"/>
    <w:rsid w:val="00F37C8A"/>
    <w:rsid w:val="00F37F88"/>
    <w:rsid w:val="00F40019"/>
    <w:rsid w:val="00F4015A"/>
    <w:rsid w:val="00F402DD"/>
    <w:rsid w:val="00F40352"/>
    <w:rsid w:val="00F405DB"/>
    <w:rsid w:val="00F40D8E"/>
    <w:rsid w:val="00F41476"/>
    <w:rsid w:val="00F418EA"/>
    <w:rsid w:val="00F41DE4"/>
    <w:rsid w:val="00F423A0"/>
    <w:rsid w:val="00F42506"/>
    <w:rsid w:val="00F4257A"/>
    <w:rsid w:val="00F42964"/>
    <w:rsid w:val="00F42DE4"/>
    <w:rsid w:val="00F42DFE"/>
    <w:rsid w:val="00F42F43"/>
    <w:rsid w:val="00F43101"/>
    <w:rsid w:val="00F431C7"/>
    <w:rsid w:val="00F431D1"/>
    <w:rsid w:val="00F4342F"/>
    <w:rsid w:val="00F434ED"/>
    <w:rsid w:val="00F43522"/>
    <w:rsid w:val="00F43551"/>
    <w:rsid w:val="00F43647"/>
    <w:rsid w:val="00F4364E"/>
    <w:rsid w:val="00F43D43"/>
    <w:rsid w:val="00F43DDA"/>
    <w:rsid w:val="00F43EA3"/>
    <w:rsid w:val="00F444AD"/>
    <w:rsid w:val="00F445CE"/>
    <w:rsid w:val="00F446B7"/>
    <w:rsid w:val="00F447C6"/>
    <w:rsid w:val="00F44859"/>
    <w:rsid w:val="00F44B14"/>
    <w:rsid w:val="00F44B2A"/>
    <w:rsid w:val="00F44D6E"/>
    <w:rsid w:val="00F44DB4"/>
    <w:rsid w:val="00F4505E"/>
    <w:rsid w:val="00F4541E"/>
    <w:rsid w:val="00F455CA"/>
    <w:rsid w:val="00F45884"/>
    <w:rsid w:val="00F45B4D"/>
    <w:rsid w:val="00F45DEC"/>
    <w:rsid w:val="00F45F81"/>
    <w:rsid w:val="00F462A1"/>
    <w:rsid w:val="00F462C0"/>
    <w:rsid w:val="00F46564"/>
    <w:rsid w:val="00F465B9"/>
    <w:rsid w:val="00F46CC9"/>
    <w:rsid w:val="00F46EE8"/>
    <w:rsid w:val="00F47002"/>
    <w:rsid w:val="00F472AB"/>
    <w:rsid w:val="00F47803"/>
    <w:rsid w:val="00F4789F"/>
    <w:rsid w:val="00F50173"/>
    <w:rsid w:val="00F505CF"/>
    <w:rsid w:val="00F50632"/>
    <w:rsid w:val="00F5074C"/>
    <w:rsid w:val="00F507BE"/>
    <w:rsid w:val="00F50C84"/>
    <w:rsid w:val="00F5139C"/>
    <w:rsid w:val="00F51A9E"/>
    <w:rsid w:val="00F51AEB"/>
    <w:rsid w:val="00F51B2F"/>
    <w:rsid w:val="00F51D22"/>
    <w:rsid w:val="00F525A9"/>
    <w:rsid w:val="00F525C1"/>
    <w:rsid w:val="00F526E7"/>
    <w:rsid w:val="00F528F0"/>
    <w:rsid w:val="00F529D1"/>
    <w:rsid w:val="00F529F5"/>
    <w:rsid w:val="00F52B55"/>
    <w:rsid w:val="00F52B87"/>
    <w:rsid w:val="00F52D52"/>
    <w:rsid w:val="00F53449"/>
    <w:rsid w:val="00F534C3"/>
    <w:rsid w:val="00F539B6"/>
    <w:rsid w:val="00F53CCC"/>
    <w:rsid w:val="00F5424C"/>
    <w:rsid w:val="00F54C0E"/>
    <w:rsid w:val="00F54C96"/>
    <w:rsid w:val="00F54DE2"/>
    <w:rsid w:val="00F54EEC"/>
    <w:rsid w:val="00F54EFC"/>
    <w:rsid w:val="00F55207"/>
    <w:rsid w:val="00F559EF"/>
    <w:rsid w:val="00F55B1D"/>
    <w:rsid w:val="00F55CDF"/>
    <w:rsid w:val="00F5622D"/>
    <w:rsid w:val="00F563D0"/>
    <w:rsid w:val="00F566E8"/>
    <w:rsid w:val="00F56E41"/>
    <w:rsid w:val="00F56EC8"/>
    <w:rsid w:val="00F56FE4"/>
    <w:rsid w:val="00F57171"/>
    <w:rsid w:val="00F57858"/>
    <w:rsid w:val="00F57E61"/>
    <w:rsid w:val="00F600F3"/>
    <w:rsid w:val="00F602DE"/>
    <w:rsid w:val="00F607CE"/>
    <w:rsid w:val="00F60CE1"/>
    <w:rsid w:val="00F60D5B"/>
    <w:rsid w:val="00F60DAE"/>
    <w:rsid w:val="00F61080"/>
    <w:rsid w:val="00F61C2D"/>
    <w:rsid w:val="00F61CC2"/>
    <w:rsid w:val="00F61D74"/>
    <w:rsid w:val="00F61F9D"/>
    <w:rsid w:val="00F62120"/>
    <w:rsid w:val="00F621A7"/>
    <w:rsid w:val="00F62233"/>
    <w:rsid w:val="00F62491"/>
    <w:rsid w:val="00F6255A"/>
    <w:rsid w:val="00F62581"/>
    <w:rsid w:val="00F6263B"/>
    <w:rsid w:val="00F629F5"/>
    <w:rsid w:val="00F62BBA"/>
    <w:rsid w:val="00F62F58"/>
    <w:rsid w:val="00F62FBC"/>
    <w:rsid w:val="00F6307C"/>
    <w:rsid w:val="00F63140"/>
    <w:rsid w:val="00F632FD"/>
    <w:rsid w:val="00F63534"/>
    <w:rsid w:val="00F639A3"/>
    <w:rsid w:val="00F63CE4"/>
    <w:rsid w:val="00F63F8B"/>
    <w:rsid w:val="00F64079"/>
    <w:rsid w:val="00F641E7"/>
    <w:rsid w:val="00F642BB"/>
    <w:rsid w:val="00F642EC"/>
    <w:rsid w:val="00F64822"/>
    <w:rsid w:val="00F6494A"/>
    <w:rsid w:val="00F64954"/>
    <w:rsid w:val="00F64A5B"/>
    <w:rsid w:val="00F64EF6"/>
    <w:rsid w:val="00F6507F"/>
    <w:rsid w:val="00F650E1"/>
    <w:rsid w:val="00F65120"/>
    <w:rsid w:val="00F65480"/>
    <w:rsid w:val="00F659F7"/>
    <w:rsid w:val="00F65BB7"/>
    <w:rsid w:val="00F65C5E"/>
    <w:rsid w:val="00F65DBF"/>
    <w:rsid w:val="00F662E4"/>
    <w:rsid w:val="00F66319"/>
    <w:rsid w:val="00F664AB"/>
    <w:rsid w:val="00F668D6"/>
    <w:rsid w:val="00F66B28"/>
    <w:rsid w:val="00F66B31"/>
    <w:rsid w:val="00F66B9E"/>
    <w:rsid w:val="00F67204"/>
    <w:rsid w:val="00F67477"/>
    <w:rsid w:val="00F67489"/>
    <w:rsid w:val="00F67523"/>
    <w:rsid w:val="00F6765C"/>
    <w:rsid w:val="00F677E9"/>
    <w:rsid w:val="00F67991"/>
    <w:rsid w:val="00F67C30"/>
    <w:rsid w:val="00F67FBC"/>
    <w:rsid w:val="00F70660"/>
    <w:rsid w:val="00F70A1C"/>
    <w:rsid w:val="00F70DB5"/>
    <w:rsid w:val="00F71187"/>
    <w:rsid w:val="00F711F3"/>
    <w:rsid w:val="00F711F9"/>
    <w:rsid w:val="00F7127D"/>
    <w:rsid w:val="00F713FF"/>
    <w:rsid w:val="00F7156A"/>
    <w:rsid w:val="00F71831"/>
    <w:rsid w:val="00F71D5B"/>
    <w:rsid w:val="00F720FD"/>
    <w:rsid w:val="00F723B3"/>
    <w:rsid w:val="00F723EE"/>
    <w:rsid w:val="00F7243E"/>
    <w:rsid w:val="00F7291A"/>
    <w:rsid w:val="00F72C10"/>
    <w:rsid w:val="00F73688"/>
    <w:rsid w:val="00F736F1"/>
    <w:rsid w:val="00F73985"/>
    <w:rsid w:val="00F73994"/>
    <w:rsid w:val="00F73BDB"/>
    <w:rsid w:val="00F7433B"/>
    <w:rsid w:val="00F744BD"/>
    <w:rsid w:val="00F74523"/>
    <w:rsid w:val="00F75393"/>
    <w:rsid w:val="00F753A6"/>
    <w:rsid w:val="00F75608"/>
    <w:rsid w:val="00F75B30"/>
    <w:rsid w:val="00F75BEB"/>
    <w:rsid w:val="00F75C6F"/>
    <w:rsid w:val="00F75C8F"/>
    <w:rsid w:val="00F76070"/>
    <w:rsid w:val="00F761A1"/>
    <w:rsid w:val="00F7628F"/>
    <w:rsid w:val="00F762C5"/>
    <w:rsid w:val="00F76433"/>
    <w:rsid w:val="00F76BD8"/>
    <w:rsid w:val="00F76F8C"/>
    <w:rsid w:val="00F77550"/>
    <w:rsid w:val="00F77BC7"/>
    <w:rsid w:val="00F77ECC"/>
    <w:rsid w:val="00F8009D"/>
    <w:rsid w:val="00F808C0"/>
    <w:rsid w:val="00F80A71"/>
    <w:rsid w:val="00F80AB1"/>
    <w:rsid w:val="00F80F0A"/>
    <w:rsid w:val="00F81870"/>
    <w:rsid w:val="00F81952"/>
    <w:rsid w:val="00F81C8C"/>
    <w:rsid w:val="00F8236C"/>
    <w:rsid w:val="00F823DE"/>
    <w:rsid w:val="00F8240F"/>
    <w:rsid w:val="00F82809"/>
    <w:rsid w:val="00F82BCB"/>
    <w:rsid w:val="00F82C2C"/>
    <w:rsid w:val="00F82C37"/>
    <w:rsid w:val="00F82E50"/>
    <w:rsid w:val="00F8341C"/>
    <w:rsid w:val="00F8384F"/>
    <w:rsid w:val="00F83B48"/>
    <w:rsid w:val="00F83D53"/>
    <w:rsid w:val="00F8409D"/>
    <w:rsid w:val="00F842D6"/>
    <w:rsid w:val="00F846D1"/>
    <w:rsid w:val="00F84AAA"/>
    <w:rsid w:val="00F8521F"/>
    <w:rsid w:val="00F854ED"/>
    <w:rsid w:val="00F85500"/>
    <w:rsid w:val="00F8559F"/>
    <w:rsid w:val="00F85913"/>
    <w:rsid w:val="00F85BA7"/>
    <w:rsid w:val="00F85E3C"/>
    <w:rsid w:val="00F8607B"/>
    <w:rsid w:val="00F860ED"/>
    <w:rsid w:val="00F8621F"/>
    <w:rsid w:val="00F864EA"/>
    <w:rsid w:val="00F86F2C"/>
    <w:rsid w:val="00F87452"/>
    <w:rsid w:val="00F87608"/>
    <w:rsid w:val="00F876A5"/>
    <w:rsid w:val="00F87760"/>
    <w:rsid w:val="00F878A2"/>
    <w:rsid w:val="00F87CAF"/>
    <w:rsid w:val="00F87F2E"/>
    <w:rsid w:val="00F87FFC"/>
    <w:rsid w:val="00F90BFF"/>
    <w:rsid w:val="00F90D87"/>
    <w:rsid w:val="00F90F4E"/>
    <w:rsid w:val="00F9101F"/>
    <w:rsid w:val="00F91229"/>
    <w:rsid w:val="00F91B59"/>
    <w:rsid w:val="00F91D45"/>
    <w:rsid w:val="00F91E5A"/>
    <w:rsid w:val="00F92168"/>
    <w:rsid w:val="00F92201"/>
    <w:rsid w:val="00F9261D"/>
    <w:rsid w:val="00F926A1"/>
    <w:rsid w:val="00F92D0D"/>
    <w:rsid w:val="00F92F16"/>
    <w:rsid w:val="00F92FBF"/>
    <w:rsid w:val="00F935E4"/>
    <w:rsid w:val="00F937BB"/>
    <w:rsid w:val="00F93B7E"/>
    <w:rsid w:val="00F93C75"/>
    <w:rsid w:val="00F93CC0"/>
    <w:rsid w:val="00F942F8"/>
    <w:rsid w:val="00F945B1"/>
    <w:rsid w:val="00F94659"/>
    <w:rsid w:val="00F9475A"/>
    <w:rsid w:val="00F94817"/>
    <w:rsid w:val="00F94C41"/>
    <w:rsid w:val="00F95402"/>
    <w:rsid w:val="00F95CD5"/>
    <w:rsid w:val="00F95E5F"/>
    <w:rsid w:val="00F96068"/>
    <w:rsid w:val="00F9614B"/>
    <w:rsid w:val="00F961DE"/>
    <w:rsid w:val="00F964C7"/>
    <w:rsid w:val="00F96753"/>
    <w:rsid w:val="00F96A85"/>
    <w:rsid w:val="00F971C3"/>
    <w:rsid w:val="00F97A58"/>
    <w:rsid w:val="00F97B94"/>
    <w:rsid w:val="00FA03E6"/>
    <w:rsid w:val="00FA04C2"/>
    <w:rsid w:val="00FA0620"/>
    <w:rsid w:val="00FA0B08"/>
    <w:rsid w:val="00FA0B57"/>
    <w:rsid w:val="00FA0C0A"/>
    <w:rsid w:val="00FA0EC7"/>
    <w:rsid w:val="00FA0F0A"/>
    <w:rsid w:val="00FA0FD6"/>
    <w:rsid w:val="00FA16D0"/>
    <w:rsid w:val="00FA16E9"/>
    <w:rsid w:val="00FA183B"/>
    <w:rsid w:val="00FA1B5B"/>
    <w:rsid w:val="00FA2127"/>
    <w:rsid w:val="00FA21F5"/>
    <w:rsid w:val="00FA22BE"/>
    <w:rsid w:val="00FA246D"/>
    <w:rsid w:val="00FA2501"/>
    <w:rsid w:val="00FA26E8"/>
    <w:rsid w:val="00FA2857"/>
    <w:rsid w:val="00FA2B4F"/>
    <w:rsid w:val="00FA2D40"/>
    <w:rsid w:val="00FA3372"/>
    <w:rsid w:val="00FA3508"/>
    <w:rsid w:val="00FA3729"/>
    <w:rsid w:val="00FA374B"/>
    <w:rsid w:val="00FA3E9B"/>
    <w:rsid w:val="00FA3EC1"/>
    <w:rsid w:val="00FA3F60"/>
    <w:rsid w:val="00FA443F"/>
    <w:rsid w:val="00FA47EC"/>
    <w:rsid w:val="00FA4992"/>
    <w:rsid w:val="00FA4C59"/>
    <w:rsid w:val="00FA4C76"/>
    <w:rsid w:val="00FA5358"/>
    <w:rsid w:val="00FA550F"/>
    <w:rsid w:val="00FA5792"/>
    <w:rsid w:val="00FA586D"/>
    <w:rsid w:val="00FA5C20"/>
    <w:rsid w:val="00FA5C4C"/>
    <w:rsid w:val="00FA6112"/>
    <w:rsid w:val="00FA615F"/>
    <w:rsid w:val="00FA6818"/>
    <w:rsid w:val="00FA6AA1"/>
    <w:rsid w:val="00FA6C28"/>
    <w:rsid w:val="00FA6FBA"/>
    <w:rsid w:val="00FA70C5"/>
    <w:rsid w:val="00FA7426"/>
    <w:rsid w:val="00FA75D7"/>
    <w:rsid w:val="00FA76F0"/>
    <w:rsid w:val="00FA7B06"/>
    <w:rsid w:val="00FA7BB5"/>
    <w:rsid w:val="00FA7BE9"/>
    <w:rsid w:val="00FA7F11"/>
    <w:rsid w:val="00FB002A"/>
    <w:rsid w:val="00FB00F8"/>
    <w:rsid w:val="00FB0660"/>
    <w:rsid w:val="00FB0791"/>
    <w:rsid w:val="00FB0810"/>
    <w:rsid w:val="00FB0DC1"/>
    <w:rsid w:val="00FB0F4F"/>
    <w:rsid w:val="00FB101A"/>
    <w:rsid w:val="00FB1143"/>
    <w:rsid w:val="00FB120A"/>
    <w:rsid w:val="00FB15C2"/>
    <w:rsid w:val="00FB171E"/>
    <w:rsid w:val="00FB17F8"/>
    <w:rsid w:val="00FB19F0"/>
    <w:rsid w:val="00FB1D1B"/>
    <w:rsid w:val="00FB1DAB"/>
    <w:rsid w:val="00FB1FD5"/>
    <w:rsid w:val="00FB2417"/>
    <w:rsid w:val="00FB25B3"/>
    <w:rsid w:val="00FB2B01"/>
    <w:rsid w:val="00FB2B32"/>
    <w:rsid w:val="00FB3015"/>
    <w:rsid w:val="00FB30EF"/>
    <w:rsid w:val="00FB337C"/>
    <w:rsid w:val="00FB3D57"/>
    <w:rsid w:val="00FB3FFB"/>
    <w:rsid w:val="00FB430B"/>
    <w:rsid w:val="00FB44BD"/>
    <w:rsid w:val="00FB47DF"/>
    <w:rsid w:val="00FB47E4"/>
    <w:rsid w:val="00FB4C14"/>
    <w:rsid w:val="00FB4E6A"/>
    <w:rsid w:val="00FB502C"/>
    <w:rsid w:val="00FB54CD"/>
    <w:rsid w:val="00FB5587"/>
    <w:rsid w:val="00FB5920"/>
    <w:rsid w:val="00FB5E6E"/>
    <w:rsid w:val="00FB5FB6"/>
    <w:rsid w:val="00FB607F"/>
    <w:rsid w:val="00FB6311"/>
    <w:rsid w:val="00FB6314"/>
    <w:rsid w:val="00FB6977"/>
    <w:rsid w:val="00FB73FB"/>
    <w:rsid w:val="00FB7400"/>
    <w:rsid w:val="00FB7621"/>
    <w:rsid w:val="00FB7B33"/>
    <w:rsid w:val="00FB7D00"/>
    <w:rsid w:val="00FB7D76"/>
    <w:rsid w:val="00FC04D9"/>
    <w:rsid w:val="00FC04F8"/>
    <w:rsid w:val="00FC059A"/>
    <w:rsid w:val="00FC08DB"/>
    <w:rsid w:val="00FC0C66"/>
    <w:rsid w:val="00FC0F18"/>
    <w:rsid w:val="00FC11AC"/>
    <w:rsid w:val="00FC150A"/>
    <w:rsid w:val="00FC15E7"/>
    <w:rsid w:val="00FC227D"/>
    <w:rsid w:val="00FC249E"/>
    <w:rsid w:val="00FC268E"/>
    <w:rsid w:val="00FC27B4"/>
    <w:rsid w:val="00FC2969"/>
    <w:rsid w:val="00FC2A40"/>
    <w:rsid w:val="00FC2BD3"/>
    <w:rsid w:val="00FC2C68"/>
    <w:rsid w:val="00FC2C8A"/>
    <w:rsid w:val="00FC2E33"/>
    <w:rsid w:val="00FC2FC6"/>
    <w:rsid w:val="00FC35ED"/>
    <w:rsid w:val="00FC3F57"/>
    <w:rsid w:val="00FC4187"/>
    <w:rsid w:val="00FC4550"/>
    <w:rsid w:val="00FC458D"/>
    <w:rsid w:val="00FC4CEB"/>
    <w:rsid w:val="00FC52B2"/>
    <w:rsid w:val="00FC539E"/>
    <w:rsid w:val="00FC552F"/>
    <w:rsid w:val="00FC5694"/>
    <w:rsid w:val="00FC5746"/>
    <w:rsid w:val="00FC5D6B"/>
    <w:rsid w:val="00FC644B"/>
    <w:rsid w:val="00FC65ED"/>
    <w:rsid w:val="00FC6823"/>
    <w:rsid w:val="00FC6965"/>
    <w:rsid w:val="00FC696F"/>
    <w:rsid w:val="00FC6DA7"/>
    <w:rsid w:val="00FC7063"/>
    <w:rsid w:val="00FC7455"/>
    <w:rsid w:val="00FC76DF"/>
    <w:rsid w:val="00FC7868"/>
    <w:rsid w:val="00FC7AFD"/>
    <w:rsid w:val="00FC7B9E"/>
    <w:rsid w:val="00FD0394"/>
    <w:rsid w:val="00FD046C"/>
    <w:rsid w:val="00FD054E"/>
    <w:rsid w:val="00FD0721"/>
    <w:rsid w:val="00FD07C4"/>
    <w:rsid w:val="00FD0BBD"/>
    <w:rsid w:val="00FD0C45"/>
    <w:rsid w:val="00FD0DA7"/>
    <w:rsid w:val="00FD0EBF"/>
    <w:rsid w:val="00FD10CB"/>
    <w:rsid w:val="00FD1163"/>
    <w:rsid w:val="00FD12F1"/>
    <w:rsid w:val="00FD1350"/>
    <w:rsid w:val="00FD1379"/>
    <w:rsid w:val="00FD1D97"/>
    <w:rsid w:val="00FD1FC1"/>
    <w:rsid w:val="00FD231F"/>
    <w:rsid w:val="00FD24E9"/>
    <w:rsid w:val="00FD2625"/>
    <w:rsid w:val="00FD2797"/>
    <w:rsid w:val="00FD2D16"/>
    <w:rsid w:val="00FD2F0A"/>
    <w:rsid w:val="00FD31AA"/>
    <w:rsid w:val="00FD330F"/>
    <w:rsid w:val="00FD34EC"/>
    <w:rsid w:val="00FD381D"/>
    <w:rsid w:val="00FD3BED"/>
    <w:rsid w:val="00FD3CFF"/>
    <w:rsid w:val="00FD40D0"/>
    <w:rsid w:val="00FD415C"/>
    <w:rsid w:val="00FD43B9"/>
    <w:rsid w:val="00FD48D0"/>
    <w:rsid w:val="00FD4B8C"/>
    <w:rsid w:val="00FD4D6E"/>
    <w:rsid w:val="00FD507B"/>
    <w:rsid w:val="00FD53AC"/>
    <w:rsid w:val="00FD590D"/>
    <w:rsid w:val="00FD5FC1"/>
    <w:rsid w:val="00FD5FD0"/>
    <w:rsid w:val="00FD5FE7"/>
    <w:rsid w:val="00FD67FA"/>
    <w:rsid w:val="00FD68FB"/>
    <w:rsid w:val="00FD69BD"/>
    <w:rsid w:val="00FD6F70"/>
    <w:rsid w:val="00FD7154"/>
    <w:rsid w:val="00FD7701"/>
    <w:rsid w:val="00FD77CC"/>
    <w:rsid w:val="00FD78D9"/>
    <w:rsid w:val="00FD7998"/>
    <w:rsid w:val="00FD7F53"/>
    <w:rsid w:val="00FE0100"/>
    <w:rsid w:val="00FE077E"/>
    <w:rsid w:val="00FE0959"/>
    <w:rsid w:val="00FE0C10"/>
    <w:rsid w:val="00FE0F8E"/>
    <w:rsid w:val="00FE1217"/>
    <w:rsid w:val="00FE1539"/>
    <w:rsid w:val="00FE21FD"/>
    <w:rsid w:val="00FE23F1"/>
    <w:rsid w:val="00FE24DF"/>
    <w:rsid w:val="00FE26AE"/>
    <w:rsid w:val="00FE2ACA"/>
    <w:rsid w:val="00FE2C69"/>
    <w:rsid w:val="00FE2DC2"/>
    <w:rsid w:val="00FE2FF7"/>
    <w:rsid w:val="00FE3099"/>
    <w:rsid w:val="00FE31B7"/>
    <w:rsid w:val="00FE3646"/>
    <w:rsid w:val="00FE3716"/>
    <w:rsid w:val="00FE387A"/>
    <w:rsid w:val="00FE38F4"/>
    <w:rsid w:val="00FE3C81"/>
    <w:rsid w:val="00FE3D10"/>
    <w:rsid w:val="00FE4624"/>
    <w:rsid w:val="00FE4A4F"/>
    <w:rsid w:val="00FE4A52"/>
    <w:rsid w:val="00FE4D1C"/>
    <w:rsid w:val="00FE4E45"/>
    <w:rsid w:val="00FE5301"/>
    <w:rsid w:val="00FE5489"/>
    <w:rsid w:val="00FE5593"/>
    <w:rsid w:val="00FE5E0A"/>
    <w:rsid w:val="00FE6189"/>
    <w:rsid w:val="00FE6437"/>
    <w:rsid w:val="00FE6857"/>
    <w:rsid w:val="00FE6A66"/>
    <w:rsid w:val="00FE6EE3"/>
    <w:rsid w:val="00FE6FF5"/>
    <w:rsid w:val="00FE72BE"/>
    <w:rsid w:val="00FE72BF"/>
    <w:rsid w:val="00FE74D5"/>
    <w:rsid w:val="00FE7822"/>
    <w:rsid w:val="00FE7E8A"/>
    <w:rsid w:val="00FF01D4"/>
    <w:rsid w:val="00FF0428"/>
    <w:rsid w:val="00FF07B5"/>
    <w:rsid w:val="00FF0895"/>
    <w:rsid w:val="00FF0A44"/>
    <w:rsid w:val="00FF1151"/>
    <w:rsid w:val="00FF1449"/>
    <w:rsid w:val="00FF1DA1"/>
    <w:rsid w:val="00FF1E71"/>
    <w:rsid w:val="00FF20E4"/>
    <w:rsid w:val="00FF20F0"/>
    <w:rsid w:val="00FF2195"/>
    <w:rsid w:val="00FF2265"/>
    <w:rsid w:val="00FF2718"/>
    <w:rsid w:val="00FF2882"/>
    <w:rsid w:val="00FF293E"/>
    <w:rsid w:val="00FF2D73"/>
    <w:rsid w:val="00FF374E"/>
    <w:rsid w:val="00FF3759"/>
    <w:rsid w:val="00FF37B9"/>
    <w:rsid w:val="00FF37CA"/>
    <w:rsid w:val="00FF3C75"/>
    <w:rsid w:val="00FF3D25"/>
    <w:rsid w:val="00FF43ED"/>
    <w:rsid w:val="00FF4620"/>
    <w:rsid w:val="00FF4687"/>
    <w:rsid w:val="00FF46F8"/>
    <w:rsid w:val="00FF49FA"/>
    <w:rsid w:val="00FF4A28"/>
    <w:rsid w:val="00FF4B6A"/>
    <w:rsid w:val="00FF4DC3"/>
    <w:rsid w:val="00FF4E31"/>
    <w:rsid w:val="00FF50AB"/>
    <w:rsid w:val="00FF59B5"/>
    <w:rsid w:val="00FF5A97"/>
    <w:rsid w:val="00FF5BC8"/>
    <w:rsid w:val="00FF5DE1"/>
    <w:rsid w:val="00FF5E14"/>
    <w:rsid w:val="00FF5F9D"/>
    <w:rsid w:val="00FF6101"/>
    <w:rsid w:val="00FF62EE"/>
    <w:rsid w:val="00FF637F"/>
    <w:rsid w:val="00FF66A2"/>
    <w:rsid w:val="00FF6BD2"/>
    <w:rsid w:val="00FF6C3D"/>
    <w:rsid w:val="00FF6DA6"/>
    <w:rsid w:val="00FF733E"/>
    <w:rsid w:val="00FF7465"/>
    <w:rsid w:val="00FF74BB"/>
    <w:rsid w:val="00FF776E"/>
    <w:rsid w:val="00FF7A2C"/>
    <w:rsid w:val="00FF7CB7"/>
    <w:rsid w:val="00FF7EB7"/>
    <w:rsid w:val="011D9F37"/>
    <w:rsid w:val="013E137C"/>
    <w:rsid w:val="014B5F2C"/>
    <w:rsid w:val="015DE318"/>
    <w:rsid w:val="0160E2EF"/>
    <w:rsid w:val="01662706"/>
    <w:rsid w:val="0179313F"/>
    <w:rsid w:val="017EE3D4"/>
    <w:rsid w:val="018E3DC3"/>
    <w:rsid w:val="01CC53F2"/>
    <w:rsid w:val="01E1EAE6"/>
    <w:rsid w:val="01E45EDF"/>
    <w:rsid w:val="01E6A550"/>
    <w:rsid w:val="01E81127"/>
    <w:rsid w:val="01F6AD42"/>
    <w:rsid w:val="02025A2C"/>
    <w:rsid w:val="02130748"/>
    <w:rsid w:val="02358599"/>
    <w:rsid w:val="02696CD1"/>
    <w:rsid w:val="029AC286"/>
    <w:rsid w:val="02B3F594"/>
    <w:rsid w:val="02C35103"/>
    <w:rsid w:val="02D4552F"/>
    <w:rsid w:val="02DAD51A"/>
    <w:rsid w:val="02EF780C"/>
    <w:rsid w:val="0305EEDB"/>
    <w:rsid w:val="031103CB"/>
    <w:rsid w:val="031D9DE9"/>
    <w:rsid w:val="0320E171"/>
    <w:rsid w:val="032C213A"/>
    <w:rsid w:val="032E5268"/>
    <w:rsid w:val="033396C1"/>
    <w:rsid w:val="0344E1A3"/>
    <w:rsid w:val="034B38AE"/>
    <w:rsid w:val="03557C82"/>
    <w:rsid w:val="03568C0D"/>
    <w:rsid w:val="03588B12"/>
    <w:rsid w:val="03658924"/>
    <w:rsid w:val="037402AF"/>
    <w:rsid w:val="0379BC4F"/>
    <w:rsid w:val="037C16CF"/>
    <w:rsid w:val="03886ABD"/>
    <w:rsid w:val="039901C0"/>
    <w:rsid w:val="03AB6D29"/>
    <w:rsid w:val="03AD0A3E"/>
    <w:rsid w:val="03B7EBCD"/>
    <w:rsid w:val="03B85201"/>
    <w:rsid w:val="03C38E8B"/>
    <w:rsid w:val="03CC21FE"/>
    <w:rsid w:val="03D66E24"/>
    <w:rsid w:val="03E56532"/>
    <w:rsid w:val="03F0147D"/>
    <w:rsid w:val="03F94BC8"/>
    <w:rsid w:val="03FA0E54"/>
    <w:rsid w:val="03FF24EE"/>
    <w:rsid w:val="03FFC51F"/>
    <w:rsid w:val="0410C423"/>
    <w:rsid w:val="04127A23"/>
    <w:rsid w:val="04131642"/>
    <w:rsid w:val="04181DAB"/>
    <w:rsid w:val="04182188"/>
    <w:rsid w:val="041EAEA8"/>
    <w:rsid w:val="0427C48F"/>
    <w:rsid w:val="043A1B32"/>
    <w:rsid w:val="043C768C"/>
    <w:rsid w:val="0440B5DA"/>
    <w:rsid w:val="045B2145"/>
    <w:rsid w:val="046D6F9E"/>
    <w:rsid w:val="04727479"/>
    <w:rsid w:val="04939BFE"/>
    <w:rsid w:val="04A939E3"/>
    <w:rsid w:val="04B1DADA"/>
    <w:rsid w:val="04C733F4"/>
    <w:rsid w:val="04CECE77"/>
    <w:rsid w:val="04D44E66"/>
    <w:rsid w:val="04D675EA"/>
    <w:rsid w:val="04D6F2FD"/>
    <w:rsid w:val="04DE6458"/>
    <w:rsid w:val="04ED437F"/>
    <w:rsid w:val="050D9789"/>
    <w:rsid w:val="0515F98F"/>
    <w:rsid w:val="05321DF8"/>
    <w:rsid w:val="0536428F"/>
    <w:rsid w:val="053D8B0E"/>
    <w:rsid w:val="054E38B6"/>
    <w:rsid w:val="0564FA97"/>
    <w:rsid w:val="05834748"/>
    <w:rsid w:val="0594D1A5"/>
    <w:rsid w:val="0596BA3C"/>
    <w:rsid w:val="05990035"/>
    <w:rsid w:val="05A25AFB"/>
    <w:rsid w:val="05A664E9"/>
    <w:rsid w:val="05A8EDA7"/>
    <w:rsid w:val="05CB066A"/>
    <w:rsid w:val="05CE1A35"/>
    <w:rsid w:val="05D51248"/>
    <w:rsid w:val="05EB5CCC"/>
    <w:rsid w:val="05F48CF4"/>
    <w:rsid w:val="061FF94F"/>
    <w:rsid w:val="063B7B44"/>
    <w:rsid w:val="0642AF90"/>
    <w:rsid w:val="064BCA87"/>
    <w:rsid w:val="065414EE"/>
    <w:rsid w:val="065449EE"/>
    <w:rsid w:val="06783F93"/>
    <w:rsid w:val="067E81A4"/>
    <w:rsid w:val="068041AA"/>
    <w:rsid w:val="06840656"/>
    <w:rsid w:val="06A6308A"/>
    <w:rsid w:val="06B4312A"/>
    <w:rsid w:val="06C4F769"/>
    <w:rsid w:val="06CCE970"/>
    <w:rsid w:val="06EA6639"/>
    <w:rsid w:val="06ED080E"/>
    <w:rsid w:val="07090D0F"/>
    <w:rsid w:val="0709A8C2"/>
    <w:rsid w:val="070B5782"/>
    <w:rsid w:val="070C1624"/>
    <w:rsid w:val="0717081E"/>
    <w:rsid w:val="072E48FB"/>
    <w:rsid w:val="0732B653"/>
    <w:rsid w:val="0735C2C1"/>
    <w:rsid w:val="07536F4B"/>
    <w:rsid w:val="07542D39"/>
    <w:rsid w:val="0759082E"/>
    <w:rsid w:val="075B34CB"/>
    <w:rsid w:val="075F7C1C"/>
    <w:rsid w:val="076B5CD0"/>
    <w:rsid w:val="077885FC"/>
    <w:rsid w:val="0781FD41"/>
    <w:rsid w:val="07840DF3"/>
    <w:rsid w:val="0787065A"/>
    <w:rsid w:val="078E3DD6"/>
    <w:rsid w:val="079C15B2"/>
    <w:rsid w:val="07AAD169"/>
    <w:rsid w:val="07AB40DE"/>
    <w:rsid w:val="07BD0C40"/>
    <w:rsid w:val="07C03819"/>
    <w:rsid w:val="07C7151B"/>
    <w:rsid w:val="07D68A06"/>
    <w:rsid w:val="07D8F940"/>
    <w:rsid w:val="07EC30C8"/>
    <w:rsid w:val="07EEB65F"/>
    <w:rsid w:val="07FEC1CF"/>
    <w:rsid w:val="080BE698"/>
    <w:rsid w:val="082C1872"/>
    <w:rsid w:val="0831B0B5"/>
    <w:rsid w:val="0844E3D8"/>
    <w:rsid w:val="0845CF56"/>
    <w:rsid w:val="08487685"/>
    <w:rsid w:val="08570540"/>
    <w:rsid w:val="0859871C"/>
    <w:rsid w:val="0872A0CC"/>
    <w:rsid w:val="0882F632"/>
    <w:rsid w:val="08C54FB3"/>
    <w:rsid w:val="08C8984B"/>
    <w:rsid w:val="08CB7451"/>
    <w:rsid w:val="08D08FEA"/>
    <w:rsid w:val="08E0AFA5"/>
    <w:rsid w:val="08EE080E"/>
    <w:rsid w:val="08F334C3"/>
    <w:rsid w:val="08FC1B9F"/>
    <w:rsid w:val="09135CA2"/>
    <w:rsid w:val="0919AEA8"/>
    <w:rsid w:val="091C160D"/>
    <w:rsid w:val="092DFA24"/>
    <w:rsid w:val="0941EDEC"/>
    <w:rsid w:val="0945EBE0"/>
    <w:rsid w:val="0954E9C9"/>
    <w:rsid w:val="09580920"/>
    <w:rsid w:val="09607182"/>
    <w:rsid w:val="097778C7"/>
    <w:rsid w:val="09787EA7"/>
    <w:rsid w:val="097F1801"/>
    <w:rsid w:val="098C2D19"/>
    <w:rsid w:val="099535E8"/>
    <w:rsid w:val="09978C0A"/>
    <w:rsid w:val="09A18C22"/>
    <w:rsid w:val="09B76B63"/>
    <w:rsid w:val="09B99E12"/>
    <w:rsid w:val="09BD7B36"/>
    <w:rsid w:val="09C826DE"/>
    <w:rsid w:val="09E149FF"/>
    <w:rsid w:val="09ECEFDD"/>
    <w:rsid w:val="09EED78D"/>
    <w:rsid w:val="09F3880B"/>
    <w:rsid w:val="09F6E2F3"/>
    <w:rsid w:val="09FDD6C4"/>
    <w:rsid w:val="0A0409A1"/>
    <w:rsid w:val="0A092C2C"/>
    <w:rsid w:val="0A0A825A"/>
    <w:rsid w:val="0A16C8EB"/>
    <w:rsid w:val="0A1F8F15"/>
    <w:rsid w:val="0A503C51"/>
    <w:rsid w:val="0A5851F5"/>
    <w:rsid w:val="0A58DCB7"/>
    <w:rsid w:val="0A5F1137"/>
    <w:rsid w:val="0A67A5EB"/>
    <w:rsid w:val="0A73EF92"/>
    <w:rsid w:val="0A80E9D8"/>
    <w:rsid w:val="0A85DBE4"/>
    <w:rsid w:val="0A8DAC3C"/>
    <w:rsid w:val="0AA8D6BC"/>
    <w:rsid w:val="0AAF0B9F"/>
    <w:rsid w:val="0AB9D58E"/>
    <w:rsid w:val="0AC3A4D2"/>
    <w:rsid w:val="0AC92C4D"/>
    <w:rsid w:val="0ADCAA95"/>
    <w:rsid w:val="0AFCE954"/>
    <w:rsid w:val="0AFF1142"/>
    <w:rsid w:val="0B03A025"/>
    <w:rsid w:val="0B26050D"/>
    <w:rsid w:val="0B297DD8"/>
    <w:rsid w:val="0B29A014"/>
    <w:rsid w:val="0B2A4299"/>
    <w:rsid w:val="0B2A9906"/>
    <w:rsid w:val="0B301825"/>
    <w:rsid w:val="0B31A345"/>
    <w:rsid w:val="0B361C48"/>
    <w:rsid w:val="0B3B8D90"/>
    <w:rsid w:val="0B46AF0C"/>
    <w:rsid w:val="0B5C6EED"/>
    <w:rsid w:val="0B63DB84"/>
    <w:rsid w:val="0B7A5D61"/>
    <w:rsid w:val="0BA1A3C9"/>
    <w:rsid w:val="0BA96836"/>
    <w:rsid w:val="0BB72DB4"/>
    <w:rsid w:val="0BC4D633"/>
    <w:rsid w:val="0BD5D364"/>
    <w:rsid w:val="0BD7DBD3"/>
    <w:rsid w:val="0BF360CD"/>
    <w:rsid w:val="0BFE2BEB"/>
    <w:rsid w:val="0C01E7C6"/>
    <w:rsid w:val="0C0A7212"/>
    <w:rsid w:val="0C0AB2D0"/>
    <w:rsid w:val="0C0AD704"/>
    <w:rsid w:val="0C28BA22"/>
    <w:rsid w:val="0C3DC834"/>
    <w:rsid w:val="0C4E38B1"/>
    <w:rsid w:val="0C4FE7A4"/>
    <w:rsid w:val="0C558909"/>
    <w:rsid w:val="0C61A7EA"/>
    <w:rsid w:val="0C654D56"/>
    <w:rsid w:val="0C7074A9"/>
    <w:rsid w:val="0C7B6D33"/>
    <w:rsid w:val="0CA4933E"/>
    <w:rsid w:val="0CA99184"/>
    <w:rsid w:val="0CAC3252"/>
    <w:rsid w:val="0CD3165D"/>
    <w:rsid w:val="0CD32E61"/>
    <w:rsid w:val="0CD6F7DF"/>
    <w:rsid w:val="0CEBE56B"/>
    <w:rsid w:val="0D010589"/>
    <w:rsid w:val="0D012091"/>
    <w:rsid w:val="0D10A41F"/>
    <w:rsid w:val="0D1E1A4D"/>
    <w:rsid w:val="0D3E5DC6"/>
    <w:rsid w:val="0D5EE966"/>
    <w:rsid w:val="0D6232BA"/>
    <w:rsid w:val="0D7B8E11"/>
    <w:rsid w:val="0D9163EB"/>
    <w:rsid w:val="0D9A3828"/>
    <w:rsid w:val="0DA4DCE0"/>
    <w:rsid w:val="0DB51305"/>
    <w:rsid w:val="0DB9112C"/>
    <w:rsid w:val="0DBC6DD1"/>
    <w:rsid w:val="0DC94DA0"/>
    <w:rsid w:val="0DCB8180"/>
    <w:rsid w:val="0DCCA917"/>
    <w:rsid w:val="0DECCC54"/>
    <w:rsid w:val="0DFCD10A"/>
    <w:rsid w:val="0DFF49E5"/>
    <w:rsid w:val="0E01F21C"/>
    <w:rsid w:val="0E0BE87C"/>
    <w:rsid w:val="0E1C54F4"/>
    <w:rsid w:val="0E1F50E1"/>
    <w:rsid w:val="0E2B6223"/>
    <w:rsid w:val="0E35962A"/>
    <w:rsid w:val="0E3F65F7"/>
    <w:rsid w:val="0E445927"/>
    <w:rsid w:val="0E83FA51"/>
    <w:rsid w:val="0E88FB05"/>
    <w:rsid w:val="0E8A8656"/>
    <w:rsid w:val="0E8C4785"/>
    <w:rsid w:val="0E973CD9"/>
    <w:rsid w:val="0ED5B56F"/>
    <w:rsid w:val="0EDBEFC8"/>
    <w:rsid w:val="0EF3F9DE"/>
    <w:rsid w:val="0F07E82E"/>
    <w:rsid w:val="0F298352"/>
    <w:rsid w:val="0F529E47"/>
    <w:rsid w:val="0F5AF2C9"/>
    <w:rsid w:val="0F5ED406"/>
    <w:rsid w:val="0F6D8065"/>
    <w:rsid w:val="0F7266FF"/>
    <w:rsid w:val="0F79735E"/>
    <w:rsid w:val="0F7C4690"/>
    <w:rsid w:val="0F8B3F41"/>
    <w:rsid w:val="0F8F6784"/>
    <w:rsid w:val="0FB2C157"/>
    <w:rsid w:val="0FC42410"/>
    <w:rsid w:val="0FCED1EA"/>
    <w:rsid w:val="0FE7C2AD"/>
    <w:rsid w:val="0FFCD5C6"/>
    <w:rsid w:val="1024CB66"/>
    <w:rsid w:val="10300EDF"/>
    <w:rsid w:val="10343CC4"/>
    <w:rsid w:val="103B15D2"/>
    <w:rsid w:val="1043A213"/>
    <w:rsid w:val="104B13CE"/>
    <w:rsid w:val="1056E671"/>
    <w:rsid w:val="1078DA50"/>
    <w:rsid w:val="1082E384"/>
    <w:rsid w:val="108606F7"/>
    <w:rsid w:val="108976B7"/>
    <w:rsid w:val="108A7346"/>
    <w:rsid w:val="108DB0D4"/>
    <w:rsid w:val="10A18C0A"/>
    <w:rsid w:val="10A95D1F"/>
    <w:rsid w:val="10CB36EC"/>
    <w:rsid w:val="10CD0BE5"/>
    <w:rsid w:val="10DB1F6A"/>
    <w:rsid w:val="10ECE705"/>
    <w:rsid w:val="10FD3FB6"/>
    <w:rsid w:val="110050D6"/>
    <w:rsid w:val="113090CE"/>
    <w:rsid w:val="1134DC4E"/>
    <w:rsid w:val="1136F30F"/>
    <w:rsid w:val="114A69B9"/>
    <w:rsid w:val="114B4762"/>
    <w:rsid w:val="11566278"/>
    <w:rsid w:val="117675EE"/>
    <w:rsid w:val="118B82C1"/>
    <w:rsid w:val="11A83ED5"/>
    <w:rsid w:val="11D2A19D"/>
    <w:rsid w:val="11E67963"/>
    <w:rsid w:val="11FD480E"/>
    <w:rsid w:val="12026D40"/>
    <w:rsid w:val="1202FB42"/>
    <w:rsid w:val="120FDAB1"/>
    <w:rsid w:val="1219C304"/>
    <w:rsid w:val="121ED40A"/>
    <w:rsid w:val="1227F149"/>
    <w:rsid w:val="123DB9DC"/>
    <w:rsid w:val="12595A97"/>
    <w:rsid w:val="125DE1A6"/>
    <w:rsid w:val="1266DE54"/>
    <w:rsid w:val="126F2E84"/>
    <w:rsid w:val="12B6F01B"/>
    <w:rsid w:val="12B833CC"/>
    <w:rsid w:val="12DDE032"/>
    <w:rsid w:val="12E33D4E"/>
    <w:rsid w:val="12EE0537"/>
    <w:rsid w:val="1302FC5C"/>
    <w:rsid w:val="1304FDC9"/>
    <w:rsid w:val="131AEEA9"/>
    <w:rsid w:val="13283012"/>
    <w:rsid w:val="132DB524"/>
    <w:rsid w:val="1337F454"/>
    <w:rsid w:val="133FCC0E"/>
    <w:rsid w:val="1343B19A"/>
    <w:rsid w:val="13445D0A"/>
    <w:rsid w:val="13576492"/>
    <w:rsid w:val="135C28D9"/>
    <w:rsid w:val="13604D11"/>
    <w:rsid w:val="137BAD95"/>
    <w:rsid w:val="13A24AEE"/>
    <w:rsid w:val="13A6E372"/>
    <w:rsid w:val="13ADF9D2"/>
    <w:rsid w:val="13AE86D2"/>
    <w:rsid w:val="13E04416"/>
    <w:rsid w:val="13FFCF5F"/>
    <w:rsid w:val="141608F2"/>
    <w:rsid w:val="1416EF20"/>
    <w:rsid w:val="141EEB99"/>
    <w:rsid w:val="1424FFE4"/>
    <w:rsid w:val="1429ADE0"/>
    <w:rsid w:val="142FD298"/>
    <w:rsid w:val="14473622"/>
    <w:rsid w:val="14586A9C"/>
    <w:rsid w:val="14591970"/>
    <w:rsid w:val="14662662"/>
    <w:rsid w:val="14673B7A"/>
    <w:rsid w:val="14693E92"/>
    <w:rsid w:val="147AB0F4"/>
    <w:rsid w:val="147DADA8"/>
    <w:rsid w:val="14875B2E"/>
    <w:rsid w:val="149227C5"/>
    <w:rsid w:val="14939FA0"/>
    <w:rsid w:val="1495BE32"/>
    <w:rsid w:val="1497E8D1"/>
    <w:rsid w:val="149C5EC7"/>
    <w:rsid w:val="14A0FAD4"/>
    <w:rsid w:val="14A2E87D"/>
    <w:rsid w:val="14A500CB"/>
    <w:rsid w:val="14A6F0E8"/>
    <w:rsid w:val="14AC9E7E"/>
    <w:rsid w:val="14ACB9D1"/>
    <w:rsid w:val="14B69501"/>
    <w:rsid w:val="14BEA7B7"/>
    <w:rsid w:val="14C76947"/>
    <w:rsid w:val="14C78741"/>
    <w:rsid w:val="14D4154C"/>
    <w:rsid w:val="14D71CA6"/>
    <w:rsid w:val="14D86C3F"/>
    <w:rsid w:val="1509B14A"/>
    <w:rsid w:val="150D3C21"/>
    <w:rsid w:val="15210886"/>
    <w:rsid w:val="15285D9F"/>
    <w:rsid w:val="154483E9"/>
    <w:rsid w:val="154FCB38"/>
    <w:rsid w:val="1557E1F0"/>
    <w:rsid w:val="15590422"/>
    <w:rsid w:val="155A049F"/>
    <w:rsid w:val="1572D741"/>
    <w:rsid w:val="157ACDC8"/>
    <w:rsid w:val="159E89CA"/>
    <w:rsid w:val="15A43B6E"/>
    <w:rsid w:val="15B886CD"/>
    <w:rsid w:val="15BFFEC9"/>
    <w:rsid w:val="15D22772"/>
    <w:rsid w:val="15E1499E"/>
    <w:rsid w:val="15EB6704"/>
    <w:rsid w:val="15EC9800"/>
    <w:rsid w:val="1611E335"/>
    <w:rsid w:val="161D9A5D"/>
    <w:rsid w:val="162B6775"/>
    <w:rsid w:val="162E7496"/>
    <w:rsid w:val="163CE460"/>
    <w:rsid w:val="16468383"/>
    <w:rsid w:val="16484F1D"/>
    <w:rsid w:val="1661DCB2"/>
    <w:rsid w:val="1666916F"/>
    <w:rsid w:val="16734D56"/>
    <w:rsid w:val="1675E82E"/>
    <w:rsid w:val="16777CE5"/>
    <w:rsid w:val="168406E5"/>
    <w:rsid w:val="16856450"/>
    <w:rsid w:val="16939798"/>
    <w:rsid w:val="169F20EB"/>
    <w:rsid w:val="16A7BA66"/>
    <w:rsid w:val="16A9256B"/>
    <w:rsid w:val="16B1EA47"/>
    <w:rsid w:val="16C1B36D"/>
    <w:rsid w:val="16E8412A"/>
    <w:rsid w:val="16EC3C06"/>
    <w:rsid w:val="171E488F"/>
    <w:rsid w:val="17326624"/>
    <w:rsid w:val="178E791A"/>
    <w:rsid w:val="17B693F3"/>
    <w:rsid w:val="17E95C88"/>
    <w:rsid w:val="181378F6"/>
    <w:rsid w:val="18291AD1"/>
    <w:rsid w:val="183F6973"/>
    <w:rsid w:val="184D062B"/>
    <w:rsid w:val="185067DD"/>
    <w:rsid w:val="18670DC9"/>
    <w:rsid w:val="187D2CFF"/>
    <w:rsid w:val="187D90A7"/>
    <w:rsid w:val="187EF53C"/>
    <w:rsid w:val="18847D25"/>
    <w:rsid w:val="1895F6B1"/>
    <w:rsid w:val="18C3EDB7"/>
    <w:rsid w:val="18C8D059"/>
    <w:rsid w:val="18EF1B18"/>
    <w:rsid w:val="18F1A6D5"/>
    <w:rsid w:val="190347A4"/>
    <w:rsid w:val="191A619F"/>
    <w:rsid w:val="193D301E"/>
    <w:rsid w:val="1951D633"/>
    <w:rsid w:val="1971428B"/>
    <w:rsid w:val="19771D9B"/>
    <w:rsid w:val="197A0B5B"/>
    <w:rsid w:val="197B9BBD"/>
    <w:rsid w:val="19829C37"/>
    <w:rsid w:val="19954644"/>
    <w:rsid w:val="19A9E0E0"/>
    <w:rsid w:val="19B30D18"/>
    <w:rsid w:val="19C454F3"/>
    <w:rsid w:val="19EF3AF7"/>
    <w:rsid w:val="19F44A51"/>
    <w:rsid w:val="1A052E4A"/>
    <w:rsid w:val="1A0D5EE5"/>
    <w:rsid w:val="1A109BC8"/>
    <w:rsid w:val="1A11B6ED"/>
    <w:rsid w:val="1A154368"/>
    <w:rsid w:val="1A1548B2"/>
    <w:rsid w:val="1A178F9B"/>
    <w:rsid w:val="1A2065BF"/>
    <w:rsid w:val="1A236297"/>
    <w:rsid w:val="1A27B17B"/>
    <w:rsid w:val="1A2E2B9D"/>
    <w:rsid w:val="1A3F3668"/>
    <w:rsid w:val="1A48D60B"/>
    <w:rsid w:val="1A596698"/>
    <w:rsid w:val="1A6EDD1B"/>
    <w:rsid w:val="1A77D715"/>
    <w:rsid w:val="1A8DD6B7"/>
    <w:rsid w:val="1A91162B"/>
    <w:rsid w:val="1AA3D0B1"/>
    <w:rsid w:val="1ABB763B"/>
    <w:rsid w:val="1ABF63E0"/>
    <w:rsid w:val="1AC75940"/>
    <w:rsid w:val="1AD19A19"/>
    <w:rsid w:val="1AD653F9"/>
    <w:rsid w:val="1AF9EB5E"/>
    <w:rsid w:val="1B2C4D82"/>
    <w:rsid w:val="1B3E498F"/>
    <w:rsid w:val="1B4014A9"/>
    <w:rsid w:val="1B4826AE"/>
    <w:rsid w:val="1B561C6D"/>
    <w:rsid w:val="1B5E9613"/>
    <w:rsid w:val="1B5EB5E0"/>
    <w:rsid w:val="1B5F5EB1"/>
    <w:rsid w:val="1B677AEA"/>
    <w:rsid w:val="1B7A7BEF"/>
    <w:rsid w:val="1B80E84E"/>
    <w:rsid w:val="1BDF45FE"/>
    <w:rsid w:val="1BEFD904"/>
    <w:rsid w:val="1C1052FA"/>
    <w:rsid w:val="1C20E556"/>
    <w:rsid w:val="1C32CD1D"/>
    <w:rsid w:val="1C4572E2"/>
    <w:rsid w:val="1C4A8C19"/>
    <w:rsid w:val="1C67816B"/>
    <w:rsid w:val="1C6D8DEC"/>
    <w:rsid w:val="1C729D01"/>
    <w:rsid w:val="1C996419"/>
    <w:rsid w:val="1CBA0A19"/>
    <w:rsid w:val="1CFA78D6"/>
    <w:rsid w:val="1CFD88E6"/>
    <w:rsid w:val="1D07E92C"/>
    <w:rsid w:val="1D0C06ED"/>
    <w:rsid w:val="1D17EC73"/>
    <w:rsid w:val="1D4DF441"/>
    <w:rsid w:val="1D5C4CF0"/>
    <w:rsid w:val="1D833780"/>
    <w:rsid w:val="1D91EE2E"/>
    <w:rsid w:val="1DBD2FD6"/>
    <w:rsid w:val="1DC4E26A"/>
    <w:rsid w:val="1DD2CAF3"/>
    <w:rsid w:val="1DE13584"/>
    <w:rsid w:val="1DE726C3"/>
    <w:rsid w:val="1DEA8F8D"/>
    <w:rsid w:val="1E017303"/>
    <w:rsid w:val="1E08B28A"/>
    <w:rsid w:val="1E2ABFC1"/>
    <w:rsid w:val="1E389838"/>
    <w:rsid w:val="1E4283BB"/>
    <w:rsid w:val="1E466D1D"/>
    <w:rsid w:val="1E4A8B81"/>
    <w:rsid w:val="1E4BFCF2"/>
    <w:rsid w:val="1E61954D"/>
    <w:rsid w:val="1E636EB9"/>
    <w:rsid w:val="1E71E2D7"/>
    <w:rsid w:val="1E819EEE"/>
    <w:rsid w:val="1EAA08C6"/>
    <w:rsid w:val="1EAE94E9"/>
    <w:rsid w:val="1EB012A2"/>
    <w:rsid w:val="1EB0F27B"/>
    <w:rsid w:val="1EE797A7"/>
    <w:rsid w:val="1EF245DC"/>
    <w:rsid w:val="1EF3A35B"/>
    <w:rsid w:val="1EF4AE5A"/>
    <w:rsid w:val="1EFB8B75"/>
    <w:rsid w:val="1F0E1240"/>
    <w:rsid w:val="1F0F0A67"/>
    <w:rsid w:val="1F1690DC"/>
    <w:rsid w:val="1F1E4D06"/>
    <w:rsid w:val="1F2E14DC"/>
    <w:rsid w:val="1F30E109"/>
    <w:rsid w:val="1F399C64"/>
    <w:rsid w:val="1F3AD50F"/>
    <w:rsid w:val="1F4DEB13"/>
    <w:rsid w:val="1F5488CE"/>
    <w:rsid w:val="1F7052B1"/>
    <w:rsid w:val="1F7D771B"/>
    <w:rsid w:val="1FA966AD"/>
    <w:rsid w:val="1FDE670B"/>
    <w:rsid w:val="20141B46"/>
    <w:rsid w:val="201D5061"/>
    <w:rsid w:val="2045DA46"/>
    <w:rsid w:val="20570D95"/>
    <w:rsid w:val="205C3035"/>
    <w:rsid w:val="2064FE8E"/>
    <w:rsid w:val="206C109B"/>
    <w:rsid w:val="207B4E3C"/>
    <w:rsid w:val="207E3AB5"/>
    <w:rsid w:val="20809B2C"/>
    <w:rsid w:val="208A0486"/>
    <w:rsid w:val="20906E27"/>
    <w:rsid w:val="20A3F639"/>
    <w:rsid w:val="20ABBE0E"/>
    <w:rsid w:val="20B493D5"/>
    <w:rsid w:val="20B5B2A2"/>
    <w:rsid w:val="20BAAFD4"/>
    <w:rsid w:val="20C3B2ED"/>
    <w:rsid w:val="20CC5C2B"/>
    <w:rsid w:val="20D7A2BD"/>
    <w:rsid w:val="20DBBFCE"/>
    <w:rsid w:val="20E8EDDA"/>
    <w:rsid w:val="20F46BF1"/>
    <w:rsid w:val="20FBBFF5"/>
    <w:rsid w:val="21178CED"/>
    <w:rsid w:val="2117CB95"/>
    <w:rsid w:val="2118D646"/>
    <w:rsid w:val="2123E48B"/>
    <w:rsid w:val="21427741"/>
    <w:rsid w:val="2155BB98"/>
    <w:rsid w:val="2164FAA2"/>
    <w:rsid w:val="21A6167A"/>
    <w:rsid w:val="21BF646D"/>
    <w:rsid w:val="21C8FCA5"/>
    <w:rsid w:val="21D71F67"/>
    <w:rsid w:val="21D7CBC0"/>
    <w:rsid w:val="21D950F2"/>
    <w:rsid w:val="21E61BB1"/>
    <w:rsid w:val="21E687A1"/>
    <w:rsid w:val="21EA923A"/>
    <w:rsid w:val="22158FCB"/>
    <w:rsid w:val="2219C0A3"/>
    <w:rsid w:val="22238A31"/>
    <w:rsid w:val="223EB11B"/>
    <w:rsid w:val="224591D2"/>
    <w:rsid w:val="22473FF8"/>
    <w:rsid w:val="22497616"/>
    <w:rsid w:val="2257DD49"/>
    <w:rsid w:val="22581397"/>
    <w:rsid w:val="22782DE4"/>
    <w:rsid w:val="229AF9D7"/>
    <w:rsid w:val="22C33CE3"/>
    <w:rsid w:val="22C9AC37"/>
    <w:rsid w:val="22E33CF4"/>
    <w:rsid w:val="22ECA147"/>
    <w:rsid w:val="22F5EAD4"/>
    <w:rsid w:val="22F5EC11"/>
    <w:rsid w:val="22FAD66B"/>
    <w:rsid w:val="230B3F0E"/>
    <w:rsid w:val="23144A17"/>
    <w:rsid w:val="231F53C4"/>
    <w:rsid w:val="232418E1"/>
    <w:rsid w:val="2335FC06"/>
    <w:rsid w:val="2363AF64"/>
    <w:rsid w:val="2372E1E0"/>
    <w:rsid w:val="238E73E6"/>
    <w:rsid w:val="23A17ACC"/>
    <w:rsid w:val="23B54C7E"/>
    <w:rsid w:val="23DDC778"/>
    <w:rsid w:val="23EC0345"/>
    <w:rsid w:val="23F52F4E"/>
    <w:rsid w:val="2405667A"/>
    <w:rsid w:val="24075699"/>
    <w:rsid w:val="241FD79B"/>
    <w:rsid w:val="2422C98F"/>
    <w:rsid w:val="243376F0"/>
    <w:rsid w:val="243601E8"/>
    <w:rsid w:val="244DC30C"/>
    <w:rsid w:val="24605F48"/>
    <w:rsid w:val="246202EE"/>
    <w:rsid w:val="2489ADB0"/>
    <w:rsid w:val="2491632D"/>
    <w:rsid w:val="249B0B5C"/>
    <w:rsid w:val="249B1F9A"/>
    <w:rsid w:val="249BDBD7"/>
    <w:rsid w:val="24AC208A"/>
    <w:rsid w:val="24ACD931"/>
    <w:rsid w:val="24B4237D"/>
    <w:rsid w:val="24B6B54F"/>
    <w:rsid w:val="24BB58F5"/>
    <w:rsid w:val="24C3FDFE"/>
    <w:rsid w:val="24E0B3C3"/>
    <w:rsid w:val="24F07ADE"/>
    <w:rsid w:val="24F1B265"/>
    <w:rsid w:val="24F6F26D"/>
    <w:rsid w:val="2508EBA1"/>
    <w:rsid w:val="25249398"/>
    <w:rsid w:val="2537F561"/>
    <w:rsid w:val="253BA68E"/>
    <w:rsid w:val="25411FFA"/>
    <w:rsid w:val="254954B8"/>
    <w:rsid w:val="2555444B"/>
    <w:rsid w:val="25555E39"/>
    <w:rsid w:val="2560D3B3"/>
    <w:rsid w:val="256571E9"/>
    <w:rsid w:val="2571DD24"/>
    <w:rsid w:val="2572C780"/>
    <w:rsid w:val="25A63524"/>
    <w:rsid w:val="25A69DA2"/>
    <w:rsid w:val="25A8B849"/>
    <w:rsid w:val="25AAA42B"/>
    <w:rsid w:val="25BD50A1"/>
    <w:rsid w:val="25C8C7FE"/>
    <w:rsid w:val="25DC4C47"/>
    <w:rsid w:val="25DD61B7"/>
    <w:rsid w:val="25E7C62E"/>
    <w:rsid w:val="26005C2C"/>
    <w:rsid w:val="2606C876"/>
    <w:rsid w:val="2613F6A1"/>
    <w:rsid w:val="2616C2B4"/>
    <w:rsid w:val="26181AF8"/>
    <w:rsid w:val="2622D1B5"/>
    <w:rsid w:val="262A6746"/>
    <w:rsid w:val="2635E00E"/>
    <w:rsid w:val="263F93CA"/>
    <w:rsid w:val="26405018"/>
    <w:rsid w:val="26421350"/>
    <w:rsid w:val="264FCCFD"/>
    <w:rsid w:val="267DD1A9"/>
    <w:rsid w:val="268D33BC"/>
    <w:rsid w:val="2695CC91"/>
    <w:rsid w:val="26981321"/>
    <w:rsid w:val="26A6D189"/>
    <w:rsid w:val="26C9FF20"/>
    <w:rsid w:val="26D8148E"/>
    <w:rsid w:val="26E0AED4"/>
    <w:rsid w:val="26E129F5"/>
    <w:rsid w:val="26E3138F"/>
    <w:rsid w:val="26E55A2C"/>
    <w:rsid w:val="270D1EB8"/>
    <w:rsid w:val="2720163D"/>
    <w:rsid w:val="2727B72A"/>
    <w:rsid w:val="27416017"/>
    <w:rsid w:val="2746A720"/>
    <w:rsid w:val="274B2BC5"/>
    <w:rsid w:val="27553196"/>
    <w:rsid w:val="27588569"/>
    <w:rsid w:val="2770A053"/>
    <w:rsid w:val="27937FE1"/>
    <w:rsid w:val="2797706E"/>
    <w:rsid w:val="27A18BC1"/>
    <w:rsid w:val="27A84D19"/>
    <w:rsid w:val="27AF9B67"/>
    <w:rsid w:val="27D1553B"/>
    <w:rsid w:val="27E57498"/>
    <w:rsid w:val="27EC75E6"/>
    <w:rsid w:val="28120E6E"/>
    <w:rsid w:val="28309C2E"/>
    <w:rsid w:val="2857A23E"/>
    <w:rsid w:val="285867CB"/>
    <w:rsid w:val="285ADE60"/>
    <w:rsid w:val="285FF321"/>
    <w:rsid w:val="2884FFDA"/>
    <w:rsid w:val="288FB474"/>
    <w:rsid w:val="28AF75A5"/>
    <w:rsid w:val="28BBC34F"/>
    <w:rsid w:val="28BFDA2D"/>
    <w:rsid w:val="28F67CAB"/>
    <w:rsid w:val="28F77601"/>
    <w:rsid w:val="29036D2C"/>
    <w:rsid w:val="2920D5E3"/>
    <w:rsid w:val="292F30F8"/>
    <w:rsid w:val="2935FF68"/>
    <w:rsid w:val="2937CC7A"/>
    <w:rsid w:val="294E6376"/>
    <w:rsid w:val="2975F4F6"/>
    <w:rsid w:val="297AA3A6"/>
    <w:rsid w:val="297B5A6B"/>
    <w:rsid w:val="297B7A31"/>
    <w:rsid w:val="29888B9C"/>
    <w:rsid w:val="2988EA4C"/>
    <w:rsid w:val="298CE2AD"/>
    <w:rsid w:val="2998590E"/>
    <w:rsid w:val="29A029EE"/>
    <w:rsid w:val="29A0599B"/>
    <w:rsid w:val="29C85A0A"/>
    <w:rsid w:val="29D06B14"/>
    <w:rsid w:val="29E0CBCB"/>
    <w:rsid w:val="29E55EF6"/>
    <w:rsid w:val="29ED631D"/>
    <w:rsid w:val="2A0050BB"/>
    <w:rsid w:val="2A3807DF"/>
    <w:rsid w:val="2A4580A8"/>
    <w:rsid w:val="2A45B3E9"/>
    <w:rsid w:val="2A4774C9"/>
    <w:rsid w:val="2A511DB4"/>
    <w:rsid w:val="2A587A36"/>
    <w:rsid w:val="2A5B9CED"/>
    <w:rsid w:val="2A6DBC4E"/>
    <w:rsid w:val="2A6FA10D"/>
    <w:rsid w:val="2A796737"/>
    <w:rsid w:val="2A9235B8"/>
    <w:rsid w:val="2A973C1C"/>
    <w:rsid w:val="2A9B6FE0"/>
    <w:rsid w:val="2AA0AB0C"/>
    <w:rsid w:val="2AA0FEA1"/>
    <w:rsid w:val="2AA1DFBE"/>
    <w:rsid w:val="2AA45CC0"/>
    <w:rsid w:val="2ACFA01C"/>
    <w:rsid w:val="2AD9DB5A"/>
    <w:rsid w:val="2AEEF047"/>
    <w:rsid w:val="2AF7E0BB"/>
    <w:rsid w:val="2B078C3E"/>
    <w:rsid w:val="2B07F10A"/>
    <w:rsid w:val="2B0C3E02"/>
    <w:rsid w:val="2B0EF6A3"/>
    <w:rsid w:val="2B125739"/>
    <w:rsid w:val="2B2C2C9A"/>
    <w:rsid w:val="2B2DD140"/>
    <w:rsid w:val="2B3EBC31"/>
    <w:rsid w:val="2B42EEDD"/>
    <w:rsid w:val="2B4B3CC6"/>
    <w:rsid w:val="2B614FBD"/>
    <w:rsid w:val="2B64036D"/>
    <w:rsid w:val="2B64379D"/>
    <w:rsid w:val="2B7A1F52"/>
    <w:rsid w:val="2B7BC655"/>
    <w:rsid w:val="2B7D7041"/>
    <w:rsid w:val="2B8FC9C4"/>
    <w:rsid w:val="2BB30CB2"/>
    <w:rsid w:val="2BD37A23"/>
    <w:rsid w:val="2BD7CFEC"/>
    <w:rsid w:val="2BDD1E0C"/>
    <w:rsid w:val="2BF59DAA"/>
    <w:rsid w:val="2BF5F441"/>
    <w:rsid w:val="2BF75D5A"/>
    <w:rsid w:val="2C1EDA17"/>
    <w:rsid w:val="2C50B94D"/>
    <w:rsid w:val="2C6092BC"/>
    <w:rsid w:val="2C6EF34C"/>
    <w:rsid w:val="2C722B07"/>
    <w:rsid w:val="2C90E6C9"/>
    <w:rsid w:val="2CB11674"/>
    <w:rsid w:val="2CB3212D"/>
    <w:rsid w:val="2CB98D9E"/>
    <w:rsid w:val="2CBDD81F"/>
    <w:rsid w:val="2CC66D35"/>
    <w:rsid w:val="2CC9C975"/>
    <w:rsid w:val="2CD5676C"/>
    <w:rsid w:val="2CE8E02F"/>
    <w:rsid w:val="2CEDA849"/>
    <w:rsid w:val="2CEFA788"/>
    <w:rsid w:val="2CFC863B"/>
    <w:rsid w:val="2CFCC6AB"/>
    <w:rsid w:val="2D01CF80"/>
    <w:rsid w:val="2D0A4719"/>
    <w:rsid w:val="2D27878C"/>
    <w:rsid w:val="2D2AB651"/>
    <w:rsid w:val="2D3471D9"/>
    <w:rsid w:val="2D473E83"/>
    <w:rsid w:val="2D79406D"/>
    <w:rsid w:val="2D7FB190"/>
    <w:rsid w:val="2D865467"/>
    <w:rsid w:val="2D8BFFCC"/>
    <w:rsid w:val="2DAAC319"/>
    <w:rsid w:val="2DAE471E"/>
    <w:rsid w:val="2DB09022"/>
    <w:rsid w:val="2DB21720"/>
    <w:rsid w:val="2DCE3277"/>
    <w:rsid w:val="2DE7F9AA"/>
    <w:rsid w:val="2DF57ED5"/>
    <w:rsid w:val="2E5FBD50"/>
    <w:rsid w:val="2E6325E5"/>
    <w:rsid w:val="2E918503"/>
    <w:rsid w:val="2E92EA14"/>
    <w:rsid w:val="2E9915D8"/>
    <w:rsid w:val="2E9A9F6F"/>
    <w:rsid w:val="2E9E1425"/>
    <w:rsid w:val="2EA04615"/>
    <w:rsid w:val="2EA893F5"/>
    <w:rsid w:val="2EAE69A7"/>
    <w:rsid w:val="2EB2EB5C"/>
    <w:rsid w:val="2ED56FDC"/>
    <w:rsid w:val="2EDD7B6E"/>
    <w:rsid w:val="2EE0250D"/>
    <w:rsid w:val="2EECD783"/>
    <w:rsid w:val="2EFB54DC"/>
    <w:rsid w:val="2F0048C6"/>
    <w:rsid w:val="2F14CE22"/>
    <w:rsid w:val="2F19E7AF"/>
    <w:rsid w:val="2F39C7E3"/>
    <w:rsid w:val="2F3EFA95"/>
    <w:rsid w:val="2F4CD5DA"/>
    <w:rsid w:val="2F4CF494"/>
    <w:rsid w:val="2F58A94F"/>
    <w:rsid w:val="2F5B33E0"/>
    <w:rsid w:val="2F6F214F"/>
    <w:rsid w:val="2F7C8AF3"/>
    <w:rsid w:val="2F81AEDD"/>
    <w:rsid w:val="2F8900D0"/>
    <w:rsid w:val="2F8B5301"/>
    <w:rsid w:val="2F8EC83C"/>
    <w:rsid w:val="2FA8F965"/>
    <w:rsid w:val="2FABBB58"/>
    <w:rsid w:val="2FAC671B"/>
    <w:rsid w:val="2FBEC10F"/>
    <w:rsid w:val="2FC82276"/>
    <w:rsid w:val="2FE27C4B"/>
    <w:rsid w:val="2FFFFCC8"/>
    <w:rsid w:val="300BC376"/>
    <w:rsid w:val="30161315"/>
    <w:rsid w:val="30226221"/>
    <w:rsid w:val="302EAC7F"/>
    <w:rsid w:val="30448FC9"/>
    <w:rsid w:val="306CA516"/>
    <w:rsid w:val="3070E72C"/>
    <w:rsid w:val="30762D2D"/>
    <w:rsid w:val="308E0DFB"/>
    <w:rsid w:val="309F288A"/>
    <w:rsid w:val="30A1AF25"/>
    <w:rsid w:val="30B954B8"/>
    <w:rsid w:val="30B96BAF"/>
    <w:rsid w:val="30BCD2B9"/>
    <w:rsid w:val="30C5FD73"/>
    <w:rsid w:val="30E6EF1E"/>
    <w:rsid w:val="30F2F2D4"/>
    <w:rsid w:val="30F72CF9"/>
    <w:rsid w:val="3101286E"/>
    <w:rsid w:val="311DCCF8"/>
    <w:rsid w:val="312FFFB8"/>
    <w:rsid w:val="3134E654"/>
    <w:rsid w:val="3138895C"/>
    <w:rsid w:val="313A20AC"/>
    <w:rsid w:val="31435EC9"/>
    <w:rsid w:val="31491CDE"/>
    <w:rsid w:val="3178CAC7"/>
    <w:rsid w:val="31893D98"/>
    <w:rsid w:val="319B3B34"/>
    <w:rsid w:val="31A18EC1"/>
    <w:rsid w:val="31B8049E"/>
    <w:rsid w:val="31CE5FD4"/>
    <w:rsid w:val="31DD51A0"/>
    <w:rsid w:val="31E47504"/>
    <w:rsid w:val="31E70F0D"/>
    <w:rsid w:val="31E7228F"/>
    <w:rsid w:val="31F963AD"/>
    <w:rsid w:val="31FD03B1"/>
    <w:rsid w:val="3206A3E0"/>
    <w:rsid w:val="320CB9D4"/>
    <w:rsid w:val="3211A50E"/>
    <w:rsid w:val="32135823"/>
    <w:rsid w:val="3213904B"/>
    <w:rsid w:val="3240B76B"/>
    <w:rsid w:val="3253B20A"/>
    <w:rsid w:val="325C760F"/>
    <w:rsid w:val="3274387C"/>
    <w:rsid w:val="32820C86"/>
    <w:rsid w:val="3283071E"/>
    <w:rsid w:val="3285D669"/>
    <w:rsid w:val="32952545"/>
    <w:rsid w:val="32B28992"/>
    <w:rsid w:val="32BA7FE7"/>
    <w:rsid w:val="32C8BBD7"/>
    <w:rsid w:val="32D2617F"/>
    <w:rsid w:val="32D6045A"/>
    <w:rsid w:val="32D7F449"/>
    <w:rsid w:val="3309166A"/>
    <w:rsid w:val="330A36AB"/>
    <w:rsid w:val="33266080"/>
    <w:rsid w:val="332BB886"/>
    <w:rsid w:val="332CC12A"/>
    <w:rsid w:val="336070FF"/>
    <w:rsid w:val="336BC2BD"/>
    <w:rsid w:val="3387AF05"/>
    <w:rsid w:val="339B10F5"/>
    <w:rsid w:val="339B3815"/>
    <w:rsid w:val="33A4BD0F"/>
    <w:rsid w:val="33AAFA70"/>
    <w:rsid w:val="33B28D88"/>
    <w:rsid w:val="33B2ED94"/>
    <w:rsid w:val="33C051C1"/>
    <w:rsid w:val="33CDBE35"/>
    <w:rsid w:val="33CE10FD"/>
    <w:rsid w:val="33E02D4A"/>
    <w:rsid w:val="33EA69B5"/>
    <w:rsid w:val="3400B475"/>
    <w:rsid w:val="340136DE"/>
    <w:rsid w:val="3407E003"/>
    <w:rsid w:val="34087E6D"/>
    <w:rsid w:val="3421A6CA"/>
    <w:rsid w:val="3424BD0B"/>
    <w:rsid w:val="3431F4BD"/>
    <w:rsid w:val="343C4132"/>
    <w:rsid w:val="346F0954"/>
    <w:rsid w:val="34801193"/>
    <w:rsid w:val="349673FE"/>
    <w:rsid w:val="34C9D9E3"/>
    <w:rsid w:val="34D162CC"/>
    <w:rsid w:val="34D52582"/>
    <w:rsid w:val="34ECDD96"/>
    <w:rsid w:val="34FC4160"/>
    <w:rsid w:val="350BC212"/>
    <w:rsid w:val="354BDEC8"/>
    <w:rsid w:val="354D05F3"/>
    <w:rsid w:val="357455DB"/>
    <w:rsid w:val="35771FF5"/>
    <w:rsid w:val="359CDE4B"/>
    <w:rsid w:val="35B66A0B"/>
    <w:rsid w:val="35E1EEFC"/>
    <w:rsid w:val="35E703BF"/>
    <w:rsid w:val="35FA3C53"/>
    <w:rsid w:val="360DBB28"/>
    <w:rsid w:val="36238117"/>
    <w:rsid w:val="365E1C7E"/>
    <w:rsid w:val="3666540B"/>
    <w:rsid w:val="366BB88B"/>
    <w:rsid w:val="3682989B"/>
    <w:rsid w:val="36871E55"/>
    <w:rsid w:val="36887F0E"/>
    <w:rsid w:val="36943F5F"/>
    <w:rsid w:val="369D794F"/>
    <w:rsid w:val="36A12C89"/>
    <w:rsid w:val="36BDAFB3"/>
    <w:rsid w:val="36CD9F89"/>
    <w:rsid w:val="36D2BAAB"/>
    <w:rsid w:val="36F0CC29"/>
    <w:rsid w:val="3706447B"/>
    <w:rsid w:val="3716C590"/>
    <w:rsid w:val="37212CFF"/>
    <w:rsid w:val="3724482E"/>
    <w:rsid w:val="37390835"/>
    <w:rsid w:val="37395462"/>
    <w:rsid w:val="37467E8A"/>
    <w:rsid w:val="374B68EF"/>
    <w:rsid w:val="375FF563"/>
    <w:rsid w:val="3785314D"/>
    <w:rsid w:val="378A86CE"/>
    <w:rsid w:val="379A24FB"/>
    <w:rsid w:val="379F0B71"/>
    <w:rsid w:val="37B35C9E"/>
    <w:rsid w:val="37DD5759"/>
    <w:rsid w:val="37E2288C"/>
    <w:rsid w:val="37EC7EF6"/>
    <w:rsid w:val="37FCF8E7"/>
    <w:rsid w:val="3849DE95"/>
    <w:rsid w:val="384FAE42"/>
    <w:rsid w:val="385123A9"/>
    <w:rsid w:val="3853A269"/>
    <w:rsid w:val="38559DB4"/>
    <w:rsid w:val="3868DC0E"/>
    <w:rsid w:val="3878D62A"/>
    <w:rsid w:val="388674D3"/>
    <w:rsid w:val="389005E9"/>
    <w:rsid w:val="389313D1"/>
    <w:rsid w:val="38BBA8C5"/>
    <w:rsid w:val="38CC8609"/>
    <w:rsid w:val="38CFF98E"/>
    <w:rsid w:val="38D4F0BF"/>
    <w:rsid w:val="38E202BF"/>
    <w:rsid w:val="38E68B9B"/>
    <w:rsid w:val="38FC065A"/>
    <w:rsid w:val="39026D90"/>
    <w:rsid w:val="390417F1"/>
    <w:rsid w:val="39152768"/>
    <w:rsid w:val="39196235"/>
    <w:rsid w:val="391D383D"/>
    <w:rsid w:val="3925D829"/>
    <w:rsid w:val="392B05E3"/>
    <w:rsid w:val="39540368"/>
    <w:rsid w:val="395E9B01"/>
    <w:rsid w:val="39655F8B"/>
    <w:rsid w:val="3969A3B9"/>
    <w:rsid w:val="396DC512"/>
    <w:rsid w:val="3970767E"/>
    <w:rsid w:val="3974AB0D"/>
    <w:rsid w:val="39B0ACA6"/>
    <w:rsid w:val="39C26072"/>
    <w:rsid w:val="39C5718D"/>
    <w:rsid w:val="39E4CD42"/>
    <w:rsid w:val="39E8FDD9"/>
    <w:rsid w:val="39EC229F"/>
    <w:rsid w:val="3A0BD8A9"/>
    <w:rsid w:val="3A12649E"/>
    <w:rsid w:val="3A1ECFF2"/>
    <w:rsid w:val="3A248FC6"/>
    <w:rsid w:val="3A2558A4"/>
    <w:rsid w:val="3A2DDB2B"/>
    <w:rsid w:val="3A317B2D"/>
    <w:rsid w:val="3A32AD0F"/>
    <w:rsid w:val="3A37F2F6"/>
    <w:rsid w:val="3A515F29"/>
    <w:rsid w:val="3A6F18D2"/>
    <w:rsid w:val="3A8387CD"/>
    <w:rsid w:val="3A8931BB"/>
    <w:rsid w:val="3A9F89A8"/>
    <w:rsid w:val="3AADB8B1"/>
    <w:rsid w:val="3ABBBAED"/>
    <w:rsid w:val="3AC2CCAE"/>
    <w:rsid w:val="3AD74C46"/>
    <w:rsid w:val="3AE26787"/>
    <w:rsid w:val="3AE65C0E"/>
    <w:rsid w:val="3AEB0DD8"/>
    <w:rsid w:val="3AEB989A"/>
    <w:rsid w:val="3B019CF4"/>
    <w:rsid w:val="3B181FE8"/>
    <w:rsid w:val="3B19AAAD"/>
    <w:rsid w:val="3B2BD599"/>
    <w:rsid w:val="3B30DA82"/>
    <w:rsid w:val="3B54AEE8"/>
    <w:rsid w:val="3B553A5B"/>
    <w:rsid w:val="3B5D3419"/>
    <w:rsid w:val="3B6141EE"/>
    <w:rsid w:val="3B63B116"/>
    <w:rsid w:val="3B870469"/>
    <w:rsid w:val="3B98D869"/>
    <w:rsid w:val="3BAEF2A3"/>
    <w:rsid w:val="3BBCE118"/>
    <w:rsid w:val="3BC8784E"/>
    <w:rsid w:val="3BDC0DFA"/>
    <w:rsid w:val="3BE194FE"/>
    <w:rsid w:val="3BE78BC5"/>
    <w:rsid w:val="3BF4AFED"/>
    <w:rsid w:val="3C0E3B04"/>
    <w:rsid w:val="3C1513E2"/>
    <w:rsid w:val="3C2098A3"/>
    <w:rsid w:val="3C2D490F"/>
    <w:rsid w:val="3C3769D8"/>
    <w:rsid w:val="3C523873"/>
    <w:rsid w:val="3C5EE6D9"/>
    <w:rsid w:val="3C78D972"/>
    <w:rsid w:val="3C7BE329"/>
    <w:rsid w:val="3C7CDA32"/>
    <w:rsid w:val="3C803431"/>
    <w:rsid w:val="3C893D03"/>
    <w:rsid w:val="3C94C0BE"/>
    <w:rsid w:val="3C9BF6DC"/>
    <w:rsid w:val="3CC5B468"/>
    <w:rsid w:val="3CCD221B"/>
    <w:rsid w:val="3CCDBFA3"/>
    <w:rsid w:val="3CD2190D"/>
    <w:rsid w:val="3CD750E1"/>
    <w:rsid w:val="3CFA23D4"/>
    <w:rsid w:val="3D011C63"/>
    <w:rsid w:val="3D058A54"/>
    <w:rsid w:val="3D059C92"/>
    <w:rsid w:val="3D0A94FE"/>
    <w:rsid w:val="3D183030"/>
    <w:rsid w:val="3D1BD42E"/>
    <w:rsid w:val="3D2F970E"/>
    <w:rsid w:val="3D312112"/>
    <w:rsid w:val="3D31F6C8"/>
    <w:rsid w:val="3D3C9235"/>
    <w:rsid w:val="3D41BE76"/>
    <w:rsid w:val="3D52541B"/>
    <w:rsid w:val="3D52D3CE"/>
    <w:rsid w:val="3D55BB7F"/>
    <w:rsid w:val="3D5B9355"/>
    <w:rsid w:val="3D6ED253"/>
    <w:rsid w:val="3D7FE6F3"/>
    <w:rsid w:val="3D84B65E"/>
    <w:rsid w:val="3DA1FF58"/>
    <w:rsid w:val="3DAC1247"/>
    <w:rsid w:val="3DC88910"/>
    <w:rsid w:val="3DCB85F5"/>
    <w:rsid w:val="3DDAF1AA"/>
    <w:rsid w:val="3DF1A12C"/>
    <w:rsid w:val="3DF21218"/>
    <w:rsid w:val="3DF401F3"/>
    <w:rsid w:val="3DFD9DCF"/>
    <w:rsid w:val="3E18613D"/>
    <w:rsid w:val="3E793A91"/>
    <w:rsid w:val="3E8163AC"/>
    <w:rsid w:val="3E9AD8A5"/>
    <w:rsid w:val="3EACB00B"/>
    <w:rsid w:val="3EBA2E9E"/>
    <w:rsid w:val="3EBC4C03"/>
    <w:rsid w:val="3ED3191D"/>
    <w:rsid w:val="3EE34C03"/>
    <w:rsid w:val="3EF38F1B"/>
    <w:rsid w:val="3EF8324F"/>
    <w:rsid w:val="3F0062CF"/>
    <w:rsid w:val="3F130C0C"/>
    <w:rsid w:val="3F2EDC50"/>
    <w:rsid w:val="3F458724"/>
    <w:rsid w:val="3F4D8985"/>
    <w:rsid w:val="3F531E9A"/>
    <w:rsid w:val="3F673667"/>
    <w:rsid w:val="3F6E9432"/>
    <w:rsid w:val="3F765D47"/>
    <w:rsid w:val="3F7B317F"/>
    <w:rsid w:val="3F7E5054"/>
    <w:rsid w:val="3F851138"/>
    <w:rsid w:val="3F857FEF"/>
    <w:rsid w:val="3F9256CE"/>
    <w:rsid w:val="3F95DCB3"/>
    <w:rsid w:val="3F970FD2"/>
    <w:rsid w:val="3F994FC1"/>
    <w:rsid w:val="3FAEB978"/>
    <w:rsid w:val="3FB52D18"/>
    <w:rsid w:val="3FB75CD9"/>
    <w:rsid w:val="3FC08B3F"/>
    <w:rsid w:val="3FC23FC9"/>
    <w:rsid w:val="3FCD0C0A"/>
    <w:rsid w:val="3FCD5476"/>
    <w:rsid w:val="3FF8163A"/>
    <w:rsid w:val="4019CB68"/>
    <w:rsid w:val="40371254"/>
    <w:rsid w:val="40549BC8"/>
    <w:rsid w:val="40618CBD"/>
    <w:rsid w:val="4065FB9C"/>
    <w:rsid w:val="406C13A2"/>
    <w:rsid w:val="4074CA6F"/>
    <w:rsid w:val="40751951"/>
    <w:rsid w:val="4081D556"/>
    <w:rsid w:val="408A8193"/>
    <w:rsid w:val="40BBE3CF"/>
    <w:rsid w:val="40CD5F30"/>
    <w:rsid w:val="40CF79ED"/>
    <w:rsid w:val="40DC805B"/>
    <w:rsid w:val="40F7EA7D"/>
    <w:rsid w:val="411A68EF"/>
    <w:rsid w:val="413B80E3"/>
    <w:rsid w:val="413D0DA8"/>
    <w:rsid w:val="415AF99D"/>
    <w:rsid w:val="41862F8C"/>
    <w:rsid w:val="41948334"/>
    <w:rsid w:val="419BA502"/>
    <w:rsid w:val="419F2DFA"/>
    <w:rsid w:val="41A58D50"/>
    <w:rsid w:val="41A98DCB"/>
    <w:rsid w:val="41B78299"/>
    <w:rsid w:val="41C38A8E"/>
    <w:rsid w:val="41C4ECC2"/>
    <w:rsid w:val="41C5A729"/>
    <w:rsid w:val="41D2C3B1"/>
    <w:rsid w:val="41FB9D54"/>
    <w:rsid w:val="421138C3"/>
    <w:rsid w:val="42321733"/>
    <w:rsid w:val="4256AAE0"/>
    <w:rsid w:val="426B8EED"/>
    <w:rsid w:val="428ABF5C"/>
    <w:rsid w:val="42A8B414"/>
    <w:rsid w:val="42AF99A8"/>
    <w:rsid w:val="42B0A5E4"/>
    <w:rsid w:val="42DD9BD8"/>
    <w:rsid w:val="42EE35B2"/>
    <w:rsid w:val="42FFAC44"/>
    <w:rsid w:val="430CC7FB"/>
    <w:rsid w:val="43170186"/>
    <w:rsid w:val="432103F0"/>
    <w:rsid w:val="432F7040"/>
    <w:rsid w:val="4336C4FC"/>
    <w:rsid w:val="4346CF32"/>
    <w:rsid w:val="434B0341"/>
    <w:rsid w:val="4352BA49"/>
    <w:rsid w:val="436FE276"/>
    <w:rsid w:val="4373D894"/>
    <w:rsid w:val="437694C9"/>
    <w:rsid w:val="4390F2C6"/>
    <w:rsid w:val="439582C4"/>
    <w:rsid w:val="43962D86"/>
    <w:rsid w:val="43A52458"/>
    <w:rsid w:val="43B3C03C"/>
    <w:rsid w:val="43BA2F4F"/>
    <w:rsid w:val="43C74291"/>
    <w:rsid w:val="43CEF8F8"/>
    <w:rsid w:val="43E6041C"/>
    <w:rsid w:val="43E78E27"/>
    <w:rsid w:val="43F16641"/>
    <w:rsid w:val="43F7CCA4"/>
    <w:rsid w:val="43F9D92D"/>
    <w:rsid w:val="43FD021A"/>
    <w:rsid w:val="44068337"/>
    <w:rsid w:val="44106B86"/>
    <w:rsid w:val="44311A29"/>
    <w:rsid w:val="4432B671"/>
    <w:rsid w:val="443BFFE9"/>
    <w:rsid w:val="44436061"/>
    <w:rsid w:val="44448475"/>
    <w:rsid w:val="444DA82D"/>
    <w:rsid w:val="44621FDC"/>
    <w:rsid w:val="447E90CD"/>
    <w:rsid w:val="448B1692"/>
    <w:rsid w:val="449926EE"/>
    <w:rsid w:val="44B960B4"/>
    <w:rsid w:val="44CC710E"/>
    <w:rsid w:val="44D6DD77"/>
    <w:rsid w:val="451546F3"/>
    <w:rsid w:val="4523BFA5"/>
    <w:rsid w:val="4524257E"/>
    <w:rsid w:val="452B2995"/>
    <w:rsid w:val="453EAB5A"/>
    <w:rsid w:val="454709B4"/>
    <w:rsid w:val="4549059C"/>
    <w:rsid w:val="4557207C"/>
    <w:rsid w:val="455F46B8"/>
    <w:rsid w:val="456310D8"/>
    <w:rsid w:val="456C5AFC"/>
    <w:rsid w:val="456ED351"/>
    <w:rsid w:val="457CF2FD"/>
    <w:rsid w:val="4581D47D"/>
    <w:rsid w:val="45959894"/>
    <w:rsid w:val="459906EB"/>
    <w:rsid w:val="459A3CA3"/>
    <w:rsid w:val="459ECB49"/>
    <w:rsid w:val="45BA7298"/>
    <w:rsid w:val="45BFDB7C"/>
    <w:rsid w:val="45C18037"/>
    <w:rsid w:val="45C27377"/>
    <w:rsid w:val="45C3FFF8"/>
    <w:rsid w:val="45D1D816"/>
    <w:rsid w:val="45EBD66E"/>
    <w:rsid w:val="45EDDF77"/>
    <w:rsid w:val="4600EA6A"/>
    <w:rsid w:val="4608126F"/>
    <w:rsid w:val="461EB632"/>
    <w:rsid w:val="462244C3"/>
    <w:rsid w:val="46295660"/>
    <w:rsid w:val="464446C1"/>
    <w:rsid w:val="46513803"/>
    <w:rsid w:val="46615D79"/>
    <w:rsid w:val="46651310"/>
    <w:rsid w:val="4689F2FF"/>
    <w:rsid w:val="468A6993"/>
    <w:rsid w:val="469A7569"/>
    <w:rsid w:val="469B1D2A"/>
    <w:rsid w:val="46C52544"/>
    <w:rsid w:val="46D9F416"/>
    <w:rsid w:val="46E2C734"/>
    <w:rsid w:val="46E439F5"/>
    <w:rsid w:val="46F0CA12"/>
    <w:rsid w:val="46F2D498"/>
    <w:rsid w:val="46F65AC3"/>
    <w:rsid w:val="46F9930E"/>
    <w:rsid w:val="46FD4338"/>
    <w:rsid w:val="470BCA59"/>
    <w:rsid w:val="470D554B"/>
    <w:rsid w:val="471DE525"/>
    <w:rsid w:val="472200BB"/>
    <w:rsid w:val="47287F50"/>
    <w:rsid w:val="472C70B0"/>
    <w:rsid w:val="472CCD56"/>
    <w:rsid w:val="4734E24E"/>
    <w:rsid w:val="474195B6"/>
    <w:rsid w:val="47457B2A"/>
    <w:rsid w:val="475E307F"/>
    <w:rsid w:val="4761E5F0"/>
    <w:rsid w:val="476B6F9D"/>
    <w:rsid w:val="476D2269"/>
    <w:rsid w:val="478216DA"/>
    <w:rsid w:val="4787A6CF"/>
    <w:rsid w:val="47888F20"/>
    <w:rsid w:val="478973DC"/>
    <w:rsid w:val="47916A3E"/>
    <w:rsid w:val="479E8D6E"/>
    <w:rsid w:val="47A6FC23"/>
    <w:rsid w:val="47A83CEF"/>
    <w:rsid w:val="47B837B6"/>
    <w:rsid w:val="47C9D82A"/>
    <w:rsid w:val="47FDB59A"/>
    <w:rsid w:val="48168474"/>
    <w:rsid w:val="48298784"/>
    <w:rsid w:val="4834B628"/>
    <w:rsid w:val="48399FBD"/>
    <w:rsid w:val="483F9B4C"/>
    <w:rsid w:val="484A5309"/>
    <w:rsid w:val="485E972E"/>
    <w:rsid w:val="486EA6FF"/>
    <w:rsid w:val="489EE184"/>
    <w:rsid w:val="48AA4CC7"/>
    <w:rsid w:val="48C0291F"/>
    <w:rsid w:val="48D6D499"/>
    <w:rsid w:val="48F281A2"/>
    <w:rsid w:val="48FD510B"/>
    <w:rsid w:val="492AA215"/>
    <w:rsid w:val="4932018C"/>
    <w:rsid w:val="493ECBB9"/>
    <w:rsid w:val="4945F10D"/>
    <w:rsid w:val="494658B5"/>
    <w:rsid w:val="4948240A"/>
    <w:rsid w:val="4958A0B5"/>
    <w:rsid w:val="49699723"/>
    <w:rsid w:val="49779D25"/>
    <w:rsid w:val="497D4501"/>
    <w:rsid w:val="4985B8AA"/>
    <w:rsid w:val="4987C967"/>
    <w:rsid w:val="49905256"/>
    <w:rsid w:val="49B0B536"/>
    <w:rsid w:val="49BBA795"/>
    <w:rsid w:val="49C4479D"/>
    <w:rsid w:val="49C88792"/>
    <w:rsid w:val="49CEDD21"/>
    <w:rsid w:val="49F35507"/>
    <w:rsid w:val="4A178C42"/>
    <w:rsid w:val="4A2032CA"/>
    <w:rsid w:val="4A364924"/>
    <w:rsid w:val="4A3951CF"/>
    <w:rsid w:val="4A4FD868"/>
    <w:rsid w:val="4A53CAE8"/>
    <w:rsid w:val="4A680B93"/>
    <w:rsid w:val="4A7E14EF"/>
    <w:rsid w:val="4A89D868"/>
    <w:rsid w:val="4A8DE3BB"/>
    <w:rsid w:val="4AA1491A"/>
    <w:rsid w:val="4AA51F22"/>
    <w:rsid w:val="4AB84B92"/>
    <w:rsid w:val="4AC6D77E"/>
    <w:rsid w:val="4AD088E3"/>
    <w:rsid w:val="4ADEE2A5"/>
    <w:rsid w:val="4AF82C3B"/>
    <w:rsid w:val="4B05DBD5"/>
    <w:rsid w:val="4B14CB46"/>
    <w:rsid w:val="4B1F86FD"/>
    <w:rsid w:val="4B2B6E7F"/>
    <w:rsid w:val="4B35BAE4"/>
    <w:rsid w:val="4B54DA5D"/>
    <w:rsid w:val="4B72038C"/>
    <w:rsid w:val="4BBB70AF"/>
    <w:rsid w:val="4BC242C3"/>
    <w:rsid w:val="4BC789F8"/>
    <w:rsid w:val="4BD7BC54"/>
    <w:rsid w:val="4BD861B4"/>
    <w:rsid w:val="4BE84F26"/>
    <w:rsid w:val="4BF081BA"/>
    <w:rsid w:val="4C03AF92"/>
    <w:rsid w:val="4C24D49D"/>
    <w:rsid w:val="4C29641C"/>
    <w:rsid w:val="4C2A2403"/>
    <w:rsid w:val="4C2AE72E"/>
    <w:rsid w:val="4C487862"/>
    <w:rsid w:val="4C4E6FB0"/>
    <w:rsid w:val="4C6F4DD4"/>
    <w:rsid w:val="4C87786C"/>
    <w:rsid w:val="4C9905A6"/>
    <w:rsid w:val="4C9E094E"/>
    <w:rsid w:val="4CA0815A"/>
    <w:rsid w:val="4CAA1C0D"/>
    <w:rsid w:val="4CB3D57D"/>
    <w:rsid w:val="4CB61E3F"/>
    <w:rsid w:val="4CBA5DA9"/>
    <w:rsid w:val="4CBD33F0"/>
    <w:rsid w:val="4CCB6F51"/>
    <w:rsid w:val="4CE542A2"/>
    <w:rsid w:val="4CEA8962"/>
    <w:rsid w:val="4D0F45B6"/>
    <w:rsid w:val="4D105C95"/>
    <w:rsid w:val="4D116F71"/>
    <w:rsid w:val="4D143678"/>
    <w:rsid w:val="4D1658FB"/>
    <w:rsid w:val="4D188DE4"/>
    <w:rsid w:val="4D1F480F"/>
    <w:rsid w:val="4D28FB02"/>
    <w:rsid w:val="4D2C931A"/>
    <w:rsid w:val="4D30A4B5"/>
    <w:rsid w:val="4D38093B"/>
    <w:rsid w:val="4D4AFEEE"/>
    <w:rsid w:val="4D4E2F95"/>
    <w:rsid w:val="4D53957B"/>
    <w:rsid w:val="4D627A41"/>
    <w:rsid w:val="4DB1E927"/>
    <w:rsid w:val="4DC7D993"/>
    <w:rsid w:val="4DCBCCE1"/>
    <w:rsid w:val="4DD82BC9"/>
    <w:rsid w:val="4DD85AA1"/>
    <w:rsid w:val="4DDC3C0F"/>
    <w:rsid w:val="4DF3B561"/>
    <w:rsid w:val="4E020C7F"/>
    <w:rsid w:val="4E148ACC"/>
    <w:rsid w:val="4E20228C"/>
    <w:rsid w:val="4E38E547"/>
    <w:rsid w:val="4E3D05AD"/>
    <w:rsid w:val="4E4BDCC6"/>
    <w:rsid w:val="4E5025A2"/>
    <w:rsid w:val="4E6443CA"/>
    <w:rsid w:val="4E815930"/>
    <w:rsid w:val="4E89EC44"/>
    <w:rsid w:val="4E9D2C61"/>
    <w:rsid w:val="4EA38608"/>
    <w:rsid w:val="4EA3EA0D"/>
    <w:rsid w:val="4EADFDD9"/>
    <w:rsid w:val="4EAF66D1"/>
    <w:rsid w:val="4EBA33D8"/>
    <w:rsid w:val="4EC3D3ED"/>
    <w:rsid w:val="4ECC6D22"/>
    <w:rsid w:val="4EEFB5D9"/>
    <w:rsid w:val="4EF33A70"/>
    <w:rsid w:val="4EF9C4D7"/>
    <w:rsid w:val="4F006243"/>
    <w:rsid w:val="4F07753D"/>
    <w:rsid w:val="4F241A1D"/>
    <w:rsid w:val="4F2F5014"/>
    <w:rsid w:val="4F30A296"/>
    <w:rsid w:val="4F316664"/>
    <w:rsid w:val="4F4C41E3"/>
    <w:rsid w:val="4F584B97"/>
    <w:rsid w:val="4F5932BB"/>
    <w:rsid w:val="4F5E7E83"/>
    <w:rsid w:val="4F7D78E5"/>
    <w:rsid w:val="4F7DFAE0"/>
    <w:rsid w:val="4F861069"/>
    <w:rsid w:val="4FA947E0"/>
    <w:rsid w:val="4FAB81A4"/>
    <w:rsid w:val="4FC8984B"/>
    <w:rsid w:val="4FCE7D90"/>
    <w:rsid w:val="4FDAA96D"/>
    <w:rsid w:val="4FDF213C"/>
    <w:rsid w:val="4FE62378"/>
    <w:rsid w:val="4FF27699"/>
    <w:rsid w:val="4FF46288"/>
    <w:rsid w:val="500E15BA"/>
    <w:rsid w:val="5013C189"/>
    <w:rsid w:val="502335FC"/>
    <w:rsid w:val="502CC6E6"/>
    <w:rsid w:val="502EDC0C"/>
    <w:rsid w:val="502F5F9E"/>
    <w:rsid w:val="5032FDEB"/>
    <w:rsid w:val="5043DCFA"/>
    <w:rsid w:val="504DFDAA"/>
    <w:rsid w:val="5075A862"/>
    <w:rsid w:val="5077D854"/>
    <w:rsid w:val="5079CF2B"/>
    <w:rsid w:val="50B47A39"/>
    <w:rsid w:val="50B8AD4F"/>
    <w:rsid w:val="50C14AC6"/>
    <w:rsid w:val="50CF0410"/>
    <w:rsid w:val="50D37653"/>
    <w:rsid w:val="50EC0374"/>
    <w:rsid w:val="50FB6AAA"/>
    <w:rsid w:val="510879F5"/>
    <w:rsid w:val="511B0B1B"/>
    <w:rsid w:val="512B90C5"/>
    <w:rsid w:val="513E69CB"/>
    <w:rsid w:val="515417AE"/>
    <w:rsid w:val="5157D0AC"/>
    <w:rsid w:val="5164D5AD"/>
    <w:rsid w:val="516D1BE3"/>
    <w:rsid w:val="5197E51A"/>
    <w:rsid w:val="519BA57E"/>
    <w:rsid w:val="51A97935"/>
    <w:rsid w:val="51C36795"/>
    <w:rsid w:val="51D25ED6"/>
    <w:rsid w:val="51D8C7C7"/>
    <w:rsid w:val="51DBEB6E"/>
    <w:rsid w:val="51E55529"/>
    <w:rsid w:val="51FECACD"/>
    <w:rsid w:val="52115A7F"/>
    <w:rsid w:val="52155B61"/>
    <w:rsid w:val="5222FB3F"/>
    <w:rsid w:val="523DC9C0"/>
    <w:rsid w:val="525E5115"/>
    <w:rsid w:val="525E81DC"/>
    <w:rsid w:val="525ECACE"/>
    <w:rsid w:val="52627926"/>
    <w:rsid w:val="526BEFB6"/>
    <w:rsid w:val="527052DF"/>
    <w:rsid w:val="527289A5"/>
    <w:rsid w:val="52792237"/>
    <w:rsid w:val="5299C72F"/>
    <w:rsid w:val="52B5EC22"/>
    <w:rsid w:val="52C2DA48"/>
    <w:rsid w:val="53020DAA"/>
    <w:rsid w:val="530760D4"/>
    <w:rsid w:val="5326738D"/>
    <w:rsid w:val="5346A184"/>
    <w:rsid w:val="535E2473"/>
    <w:rsid w:val="535F0EAD"/>
    <w:rsid w:val="536814C5"/>
    <w:rsid w:val="538A66F6"/>
    <w:rsid w:val="53922C03"/>
    <w:rsid w:val="53ACD688"/>
    <w:rsid w:val="53AEA25C"/>
    <w:rsid w:val="53B533AC"/>
    <w:rsid w:val="53B5416A"/>
    <w:rsid w:val="53BC1A44"/>
    <w:rsid w:val="53C2AE7F"/>
    <w:rsid w:val="53D6441B"/>
    <w:rsid w:val="53EE5CF1"/>
    <w:rsid w:val="53F05B88"/>
    <w:rsid w:val="540BC12A"/>
    <w:rsid w:val="541152AB"/>
    <w:rsid w:val="5411644F"/>
    <w:rsid w:val="54281DB8"/>
    <w:rsid w:val="54429204"/>
    <w:rsid w:val="5450D8C1"/>
    <w:rsid w:val="54558D3D"/>
    <w:rsid w:val="545663E0"/>
    <w:rsid w:val="548356B9"/>
    <w:rsid w:val="5483B551"/>
    <w:rsid w:val="5485FAEE"/>
    <w:rsid w:val="548C7A2A"/>
    <w:rsid w:val="5491399C"/>
    <w:rsid w:val="54922747"/>
    <w:rsid w:val="54925490"/>
    <w:rsid w:val="549360EB"/>
    <w:rsid w:val="54BEBB4A"/>
    <w:rsid w:val="54C53E5C"/>
    <w:rsid w:val="54D3CFBE"/>
    <w:rsid w:val="55063F27"/>
    <w:rsid w:val="55215B9D"/>
    <w:rsid w:val="554CCE84"/>
    <w:rsid w:val="554F0407"/>
    <w:rsid w:val="5556952F"/>
    <w:rsid w:val="5561620A"/>
    <w:rsid w:val="55913026"/>
    <w:rsid w:val="559FE5CD"/>
    <w:rsid w:val="55C58D81"/>
    <w:rsid w:val="55C7C86E"/>
    <w:rsid w:val="55FD8984"/>
    <w:rsid w:val="562164AB"/>
    <w:rsid w:val="562CBAB0"/>
    <w:rsid w:val="562CC90A"/>
    <w:rsid w:val="5635F585"/>
    <w:rsid w:val="563B7E7B"/>
    <w:rsid w:val="56713D65"/>
    <w:rsid w:val="567CF5A3"/>
    <w:rsid w:val="568D817F"/>
    <w:rsid w:val="568E1485"/>
    <w:rsid w:val="56A1F261"/>
    <w:rsid w:val="56A46FC3"/>
    <w:rsid w:val="56B2F780"/>
    <w:rsid w:val="56CA1EF3"/>
    <w:rsid w:val="56DA00B5"/>
    <w:rsid w:val="56F989AD"/>
    <w:rsid w:val="574CFA10"/>
    <w:rsid w:val="57542102"/>
    <w:rsid w:val="57570704"/>
    <w:rsid w:val="5761A8D7"/>
    <w:rsid w:val="576F8484"/>
    <w:rsid w:val="5782C7F5"/>
    <w:rsid w:val="578C30BE"/>
    <w:rsid w:val="57961DCA"/>
    <w:rsid w:val="57A789DA"/>
    <w:rsid w:val="57C78D5C"/>
    <w:rsid w:val="57DB2ABD"/>
    <w:rsid w:val="57DC74E6"/>
    <w:rsid w:val="57EE5910"/>
    <w:rsid w:val="5817CB76"/>
    <w:rsid w:val="58200467"/>
    <w:rsid w:val="582F0404"/>
    <w:rsid w:val="582F8F5D"/>
    <w:rsid w:val="58391823"/>
    <w:rsid w:val="585075E6"/>
    <w:rsid w:val="58572F7C"/>
    <w:rsid w:val="5857ACEF"/>
    <w:rsid w:val="58764AFC"/>
    <w:rsid w:val="58ADAD94"/>
    <w:rsid w:val="58B0FB5E"/>
    <w:rsid w:val="58BAC7C5"/>
    <w:rsid w:val="58D616B7"/>
    <w:rsid w:val="58D70698"/>
    <w:rsid w:val="590D82E5"/>
    <w:rsid w:val="5913BDA0"/>
    <w:rsid w:val="5926F618"/>
    <w:rsid w:val="592923D7"/>
    <w:rsid w:val="59346F7A"/>
    <w:rsid w:val="59458765"/>
    <w:rsid w:val="5954716A"/>
    <w:rsid w:val="595624A2"/>
    <w:rsid w:val="597AB271"/>
    <w:rsid w:val="597C4E6A"/>
    <w:rsid w:val="597EAFC1"/>
    <w:rsid w:val="59A0447E"/>
    <w:rsid w:val="59A29B4F"/>
    <w:rsid w:val="59A5A835"/>
    <w:rsid w:val="59C0F384"/>
    <w:rsid w:val="59CA5E7F"/>
    <w:rsid w:val="59CC6BF3"/>
    <w:rsid w:val="59D6C28F"/>
    <w:rsid w:val="59F791C6"/>
    <w:rsid w:val="5A1CD7BC"/>
    <w:rsid w:val="5A2ED81F"/>
    <w:rsid w:val="5A3FD0F2"/>
    <w:rsid w:val="5A411399"/>
    <w:rsid w:val="5A412AB5"/>
    <w:rsid w:val="5A5F1CD9"/>
    <w:rsid w:val="5A60CE05"/>
    <w:rsid w:val="5A7AA71A"/>
    <w:rsid w:val="5A7FCD1A"/>
    <w:rsid w:val="5A93B909"/>
    <w:rsid w:val="5AA209BE"/>
    <w:rsid w:val="5AA78938"/>
    <w:rsid w:val="5AAA187B"/>
    <w:rsid w:val="5AAD84B0"/>
    <w:rsid w:val="5ABA218E"/>
    <w:rsid w:val="5ABBD6A3"/>
    <w:rsid w:val="5AC8C4B1"/>
    <w:rsid w:val="5AE5BAFE"/>
    <w:rsid w:val="5AED5CE3"/>
    <w:rsid w:val="5AEED026"/>
    <w:rsid w:val="5B069FC3"/>
    <w:rsid w:val="5B10C4F0"/>
    <w:rsid w:val="5B131271"/>
    <w:rsid w:val="5B181ECB"/>
    <w:rsid w:val="5B2A772B"/>
    <w:rsid w:val="5B3181C6"/>
    <w:rsid w:val="5B326EDB"/>
    <w:rsid w:val="5B3970A4"/>
    <w:rsid w:val="5B3D2771"/>
    <w:rsid w:val="5B3DB31D"/>
    <w:rsid w:val="5B41A4E2"/>
    <w:rsid w:val="5B4C540F"/>
    <w:rsid w:val="5B5F29BC"/>
    <w:rsid w:val="5B618E76"/>
    <w:rsid w:val="5B6BD8C4"/>
    <w:rsid w:val="5B7B0FBF"/>
    <w:rsid w:val="5B8450D1"/>
    <w:rsid w:val="5BAB7C22"/>
    <w:rsid w:val="5BB23D00"/>
    <w:rsid w:val="5BB3CACC"/>
    <w:rsid w:val="5BB862DC"/>
    <w:rsid w:val="5BD532F4"/>
    <w:rsid w:val="5BE5847E"/>
    <w:rsid w:val="5BEC0AFE"/>
    <w:rsid w:val="5BF9B4C3"/>
    <w:rsid w:val="5C10E1AB"/>
    <w:rsid w:val="5C3E716F"/>
    <w:rsid w:val="5C443CBE"/>
    <w:rsid w:val="5C52319E"/>
    <w:rsid w:val="5C6D1A48"/>
    <w:rsid w:val="5C8FD20F"/>
    <w:rsid w:val="5CB38775"/>
    <w:rsid w:val="5CBEC976"/>
    <w:rsid w:val="5CC08A16"/>
    <w:rsid w:val="5CE3645E"/>
    <w:rsid w:val="5CE3713A"/>
    <w:rsid w:val="5D05DE42"/>
    <w:rsid w:val="5D1CD7E3"/>
    <w:rsid w:val="5D1EB05C"/>
    <w:rsid w:val="5D3DEC21"/>
    <w:rsid w:val="5D4E6A21"/>
    <w:rsid w:val="5D5E7B07"/>
    <w:rsid w:val="5D697F7D"/>
    <w:rsid w:val="5D76CCB8"/>
    <w:rsid w:val="5D7B9ECF"/>
    <w:rsid w:val="5D8CD416"/>
    <w:rsid w:val="5D9B8F0D"/>
    <w:rsid w:val="5D9EC965"/>
    <w:rsid w:val="5DAD83CE"/>
    <w:rsid w:val="5DAFEBBA"/>
    <w:rsid w:val="5DBC629A"/>
    <w:rsid w:val="5DBF60B5"/>
    <w:rsid w:val="5DD733A7"/>
    <w:rsid w:val="5DFFDA67"/>
    <w:rsid w:val="5E0686FD"/>
    <w:rsid w:val="5E0C8CBB"/>
    <w:rsid w:val="5E195344"/>
    <w:rsid w:val="5E2E6107"/>
    <w:rsid w:val="5E3644DC"/>
    <w:rsid w:val="5E41BD04"/>
    <w:rsid w:val="5E4B4529"/>
    <w:rsid w:val="5E96594B"/>
    <w:rsid w:val="5EC1CD82"/>
    <w:rsid w:val="5EC69CD6"/>
    <w:rsid w:val="5ECB4A04"/>
    <w:rsid w:val="5ED7F765"/>
    <w:rsid w:val="5EEADD1E"/>
    <w:rsid w:val="5EF1A432"/>
    <w:rsid w:val="5EFB69DB"/>
    <w:rsid w:val="5F0E4D71"/>
    <w:rsid w:val="5F2D3006"/>
    <w:rsid w:val="5F311066"/>
    <w:rsid w:val="5F39BE8B"/>
    <w:rsid w:val="5F3B571E"/>
    <w:rsid w:val="5F3BD04C"/>
    <w:rsid w:val="5F490EB8"/>
    <w:rsid w:val="5F5BBDB3"/>
    <w:rsid w:val="5F69EFF9"/>
    <w:rsid w:val="5F6DBCC0"/>
    <w:rsid w:val="5F737494"/>
    <w:rsid w:val="5F819422"/>
    <w:rsid w:val="5F858890"/>
    <w:rsid w:val="5F8D8CA2"/>
    <w:rsid w:val="5F9425CB"/>
    <w:rsid w:val="5FB44077"/>
    <w:rsid w:val="5FC88D79"/>
    <w:rsid w:val="5FD4AC70"/>
    <w:rsid w:val="5FE24DFE"/>
    <w:rsid w:val="5FEF6435"/>
    <w:rsid w:val="601284F7"/>
    <w:rsid w:val="60157ABF"/>
    <w:rsid w:val="601CA5A9"/>
    <w:rsid w:val="6022B2E2"/>
    <w:rsid w:val="602AF69C"/>
    <w:rsid w:val="6054F4E9"/>
    <w:rsid w:val="6066A5E5"/>
    <w:rsid w:val="606D74A5"/>
    <w:rsid w:val="606D78C9"/>
    <w:rsid w:val="607FD051"/>
    <w:rsid w:val="609129ED"/>
    <w:rsid w:val="60A8AA50"/>
    <w:rsid w:val="60BC5B52"/>
    <w:rsid w:val="60C23840"/>
    <w:rsid w:val="60E95A31"/>
    <w:rsid w:val="610BCCB8"/>
    <w:rsid w:val="6119AF17"/>
    <w:rsid w:val="611B368F"/>
    <w:rsid w:val="611E4FE6"/>
    <w:rsid w:val="611E6CB4"/>
    <w:rsid w:val="6127F070"/>
    <w:rsid w:val="612FD11C"/>
    <w:rsid w:val="6132E8FB"/>
    <w:rsid w:val="61394904"/>
    <w:rsid w:val="61460A04"/>
    <w:rsid w:val="6148998A"/>
    <w:rsid w:val="6160CF8E"/>
    <w:rsid w:val="616F1D33"/>
    <w:rsid w:val="61796BBB"/>
    <w:rsid w:val="618A6150"/>
    <w:rsid w:val="61A31DD2"/>
    <w:rsid w:val="61A5C72C"/>
    <w:rsid w:val="61EF4589"/>
    <w:rsid w:val="6237C16C"/>
    <w:rsid w:val="623AC52D"/>
    <w:rsid w:val="62598A4B"/>
    <w:rsid w:val="625DA712"/>
    <w:rsid w:val="6284A87C"/>
    <w:rsid w:val="62870EA0"/>
    <w:rsid w:val="629217DD"/>
    <w:rsid w:val="629B8052"/>
    <w:rsid w:val="62A42326"/>
    <w:rsid w:val="62E4609B"/>
    <w:rsid w:val="62E5CECA"/>
    <w:rsid w:val="62E65356"/>
    <w:rsid w:val="62E9C254"/>
    <w:rsid w:val="62F9D3A8"/>
    <w:rsid w:val="62FB9E04"/>
    <w:rsid w:val="6315E19E"/>
    <w:rsid w:val="63163CB4"/>
    <w:rsid w:val="63187044"/>
    <w:rsid w:val="6320EF78"/>
    <w:rsid w:val="63278767"/>
    <w:rsid w:val="63361953"/>
    <w:rsid w:val="634D4C3B"/>
    <w:rsid w:val="6389E80E"/>
    <w:rsid w:val="638A57BB"/>
    <w:rsid w:val="639382EA"/>
    <w:rsid w:val="63A4E636"/>
    <w:rsid w:val="63B5B5A6"/>
    <w:rsid w:val="63B9750B"/>
    <w:rsid w:val="63CC0D52"/>
    <w:rsid w:val="63D71138"/>
    <w:rsid w:val="6416A7B1"/>
    <w:rsid w:val="642A9E76"/>
    <w:rsid w:val="642D78B0"/>
    <w:rsid w:val="643FF01B"/>
    <w:rsid w:val="6442719B"/>
    <w:rsid w:val="644A5042"/>
    <w:rsid w:val="64605291"/>
    <w:rsid w:val="64663384"/>
    <w:rsid w:val="6472F718"/>
    <w:rsid w:val="647AE990"/>
    <w:rsid w:val="6482E00B"/>
    <w:rsid w:val="64843136"/>
    <w:rsid w:val="649BE12E"/>
    <w:rsid w:val="64ADB5CA"/>
    <w:rsid w:val="64B63EC4"/>
    <w:rsid w:val="64DB1AEB"/>
    <w:rsid w:val="64DF259D"/>
    <w:rsid w:val="64EB4632"/>
    <w:rsid w:val="65094802"/>
    <w:rsid w:val="6528A143"/>
    <w:rsid w:val="6546F974"/>
    <w:rsid w:val="6554875F"/>
    <w:rsid w:val="65550C16"/>
    <w:rsid w:val="655BDF58"/>
    <w:rsid w:val="65709FFA"/>
    <w:rsid w:val="6570D820"/>
    <w:rsid w:val="657E7015"/>
    <w:rsid w:val="6584AC0F"/>
    <w:rsid w:val="6585BBE0"/>
    <w:rsid w:val="6598DAA8"/>
    <w:rsid w:val="65990653"/>
    <w:rsid w:val="65A87E6D"/>
    <w:rsid w:val="65B81FF8"/>
    <w:rsid w:val="65BA9AA8"/>
    <w:rsid w:val="65CAA0D3"/>
    <w:rsid w:val="65D17CF5"/>
    <w:rsid w:val="65D9F8A9"/>
    <w:rsid w:val="65E8140D"/>
    <w:rsid w:val="65EA59F6"/>
    <w:rsid w:val="65F249F2"/>
    <w:rsid w:val="65F7FCB9"/>
    <w:rsid w:val="65F88B86"/>
    <w:rsid w:val="661018FD"/>
    <w:rsid w:val="6610DE13"/>
    <w:rsid w:val="662DFA8F"/>
    <w:rsid w:val="66342D55"/>
    <w:rsid w:val="6645ED79"/>
    <w:rsid w:val="66882CA4"/>
    <w:rsid w:val="6688DB03"/>
    <w:rsid w:val="66946383"/>
    <w:rsid w:val="669C50AE"/>
    <w:rsid w:val="66B9823C"/>
    <w:rsid w:val="66D2ED6E"/>
    <w:rsid w:val="66D8B998"/>
    <w:rsid w:val="66DAC0D1"/>
    <w:rsid w:val="66DB453E"/>
    <w:rsid w:val="66EA9354"/>
    <w:rsid w:val="66ECFBB1"/>
    <w:rsid w:val="66F8771C"/>
    <w:rsid w:val="66FCF362"/>
    <w:rsid w:val="670CA881"/>
    <w:rsid w:val="67103DB8"/>
    <w:rsid w:val="6710FB2C"/>
    <w:rsid w:val="67186ACD"/>
    <w:rsid w:val="671EE8D9"/>
    <w:rsid w:val="67294189"/>
    <w:rsid w:val="672EC2EA"/>
    <w:rsid w:val="6738635E"/>
    <w:rsid w:val="673A3E6B"/>
    <w:rsid w:val="674892D9"/>
    <w:rsid w:val="676F369B"/>
    <w:rsid w:val="6770C481"/>
    <w:rsid w:val="6776BA62"/>
    <w:rsid w:val="6785EDFE"/>
    <w:rsid w:val="67966834"/>
    <w:rsid w:val="67A73687"/>
    <w:rsid w:val="67B548EE"/>
    <w:rsid w:val="67E852E0"/>
    <w:rsid w:val="680A6E46"/>
    <w:rsid w:val="6814423F"/>
    <w:rsid w:val="68360F8A"/>
    <w:rsid w:val="683EE89B"/>
    <w:rsid w:val="6847FA80"/>
    <w:rsid w:val="68494765"/>
    <w:rsid w:val="6864FCAE"/>
    <w:rsid w:val="6869AC0B"/>
    <w:rsid w:val="687F2F8D"/>
    <w:rsid w:val="688CF16F"/>
    <w:rsid w:val="689168AC"/>
    <w:rsid w:val="68941883"/>
    <w:rsid w:val="68C2D6EB"/>
    <w:rsid w:val="68E22EE0"/>
    <w:rsid w:val="68FD4E10"/>
    <w:rsid w:val="692B6DA8"/>
    <w:rsid w:val="6937BABF"/>
    <w:rsid w:val="6952B916"/>
    <w:rsid w:val="695AD1FC"/>
    <w:rsid w:val="695F6C39"/>
    <w:rsid w:val="69728D7E"/>
    <w:rsid w:val="69750A50"/>
    <w:rsid w:val="697F8C7B"/>
    <w:rsid w:val="699B4936"/>
    <w:rsid w:val="69C72D8A"/>
    <w:rsid w:val="69C85E6A"/>
    <w:rsid w:val="69D41CE1"/>
    <w:rsid w:val="69DF142A"/>
    <w:rsid w:val="69E74CCC"/>
    <w:rsid w:val="69F06AB9"/>
    <w:rsid w:val="69F45E05"/>
    <w:rsid w:val="69FDC6B4"/>
    <w:rsid w:val="69FF5B58"/>
    <w:rsid w:val="6A2DF852"/>
    <w:rsid w:val="6A3F87C0"/>
    <w:rsid w:val="6A4D9FF6"/>
    <w:rsid w:val="6A582C35"/>
    <w:rsid w:val="6A63B857"/>
    <w:rsid w:val="6A65C024"/>
    <w:rsid w:val="6A8D19BD"/>
    <w:rsid w:val="6A96F351"/>
    <w:rsid w:val="6A9A1CDD"/>
    <w:rsid w:val="6AB01A51"/>
    <w:rsid w:val="6AB3D6A6"/>
    <w:rsid w:val="6AC98C54"/>
    <w:rsid w:val="6ACB084D"/>
    <w:rsid w:val="6AD75BB5"/>
    <w:rsid w:val="6AEB1CE6"/>
    <w:rsid w:val="6AF2A50C"/>
    <w:rsid w:val="6AF5E035"/>
    <w:rsid w:val="6B0D2510"/>
    <w:rsid w:val="6B2071A8"/>
    <w:rsid w:val="6B52CAE8"/>
    <w:rsid w:val="6B65DA7D"/>
    <w:rsid w:val="6B80F417"/>
    <w:rsid w:val="6B89F0A1"/>
    <w:rsid w:val="6B9460BE"/>
    <w:rsid w:val="6BBB3A8A"/>
    <w:rsid w:val="6BD1242C"/>
    <w:rsid w:val="6BDAC1C5"/>
    <w:rsid w:val="6BE224CF"/>
    <w:rsid w:val="6BE56382"/>
    <w:rsid w:val="6BEA9726"/>
    <w:rsid w:val="6C02A8DB"/>
    <w:rsid w:val="6C4A5CC2"/>
    <w:rsid w:val="6C7C6E48"/>
    <w:rsid w:val="6C820D56"/>
    <w:rsid w:val="6C8CEE48"/>
    <w:rsid w:val="6CAE1D80"/>
    <w:rsid w:val="6CAE9AE4"/>
    <w:rsid w:val="6CB18E3C"/>
    <w:rsid w:val="6CBC4209"/>
    <w:rsid w:val="6CE50966"/>
    <w:rsid w:val="6CE99EED"/>
    <w:rsid w:val="6D1B6759"/>
    <w:rsid w:val="6D24E53B"/>
    <w:rsid w:val="6D289DAE"/>
    <w:rsid w:val="6D369C24"/>
    <w:rsid w:val="6D40D920"/>
    <w:rsid w:val="6D46FA30"/>
    <w:rsid w:val="6D61E97F"/>
    <w:rsid w:val="6D7BD205"/>
    <w:rsid w:val="6D8DEE4E"/>
    <w:rsid w:val="6D94B513"/>
    <w:rsid w:val="6D9B0EA6"/>
    <w:rsid w:val="6DB62372"/>
    <w:rsid w:val="6DD12763"/>
    <w:rsid w:val="6DD37EC5"/>
    <w:rsid w:val="6DD5B442"/>
    <w:rsid w:val="6DE035A4"/>
    <w:rsid w:val="6DE55AC5"/>
    <w:rsid w:val="6E044CB3"/>
    <w:rsid w:val="6E08278C"/>
    <w:rsid w:val="6E12E0A6"/>
    <w:rsid w:val="6E262A39"/>
    <w:rsid w:val="6E2C51F0"/>
    <w:rsid w:val="6E2E002B"/>
    <w:rsid w:val="6E2FD6B6"/>
    <w:rsid w:val="6E33C083"/>
    <w:rsid w:val="6E3ABF37"/>
    <w:rsid w:val="6E3CC390"/>
    <w:rsid w:val="6E3E89F8"/>
    <w:rsid w:val="6E4C9DA1"/>
    <w:rsid w:val="6E560091"/>
    <w:rsid w:val="6E56F302"/>
    <w:rsid w:val="6E5CE3DC"/>
    <w:rsid w:val="6E632424"/>
    <w:rsid w:val="6E6EF5F1"/>
    <w:rsid w:val="6E834676"/>
    <w:rsid w:val="6E8C0D20"/>
    <w:rsid w:val="6E99BDB8"/>
    <w:rsid w:val="6EBF8503"/>
    <w:rsid w:val="6ECD3905"/>
    <w:rsid w:val="6EF13EE8"/>
    <w:rsid w:val="6EF9E870"/>
    <w:rsid w:val="6F009621"/>
    <w:rsid w:val="6F11521C"/>
    <w:rsid w:val="6F165973"/>
    <w:rsid w:val="6F29C643"/>
    <w:rsid w:val="6F2A2F3C"/>
    <w:rsid w:val="6F358375"/>
    <w:rsid w:val="6F407A87"/>
    <w:rsid w:val="6F681B64"/>
    <w:rsid w:val="6F714415"/>
    <w:rsid w:val="6F7D009A"/>
    <w:rsid w:val="6FA24444"/>
    <w:rsid w:val="6FAA456B"/>
    <w:rsid w:val="6FAEEEC3"/>
    <w:rsid w:val="6FB44D43"/>
    <w:rsid w:val="6FB577A1"/>
    <w:rsid w:val="6FB68758"/>
    <w:rsid w:val="6FCABAE3"/>
    <w:rsid w:val="6FCDF83C"/>
    <w:rsid w:val="6FCE4E1B"/>
    <w:rsid w:val="6FD6FFAA"/>
    <w:rsid w:val="6FD8F1ED"/>
    <w:rsid w:val="6FE1ABA4"/>
    <w:rsid w:val="6FEAAF8D"/>
    <w:rsid w:val="6FEFC265"/>
    <w:rsid w:val="6FF11BEE"/>
    <w:rsid w:val="6FFC3214"/>
    <w:rsid w:val="70171337"/>
    <w:rsid w:val="701D1021"/>
    <w:rsid w:val="70220D98"/>
    <w:rsid w:val="7031FFEF"/>
    <w:rsid w:val="705E1FF5"/>
    <w:rsid w:val="705FC694"/>
    <w:rsid w:val="7077DD3B"/>
    <w:rsid w:val="7079B0F3"/>
    <w:rsid w:val="707B2B2C"/>
    <w:rsid w:val="707FA51C"/>
    <w:rsid w:val="708E1E8B"/>
    <w:rsid w:val="70E5472B"/>
    <w:rsid w:val="70F6DE9B"/>
    <w:rsid w:val="71035B6C"/>
    <w:rsid w:val="71456E92"/>
    <w:rsid w:val="715297D7"/>
    <w:rsid w:val="7172D00B"/>
    <w:rsid w:val="7178C62A"/>
    <w:rsid w:val="71A25C9F"/>
    <w:rsid w:val="71E36EDE"/>
    <w:rsid w:val="71E88245"/>
    <w:rsid w:val="71EC16D2"/>
    <w:rsid w:val="72096743"/>
    <w:rsid w:val="720C9ACB"/>
    <w:rsid w:val="7213329D"/>
    <w:rsid w:val="721ECCA4"/>
    <w:rsid w:val="722DDEB8"/>
    <w:rsid w:val="723047E0"/>
    <w:rsid w:val="72535CD0"/>
    <w:rsid w:val="725589FD"/>
    <w:rsid w:val="728B0B5D"/>
    <w:rsid w:val="728BF50F"/>
    <w:rsid w:val="729CF2E2"/>
    <w:rsid w:val="72AF75A9"/>
    <w:rsid w:val="72B376BC"/>
    <w:rsid w:val="72B43341"/>
    <w:rsid w:val="72E68F85"/>
    <w:rsid w:val="72EC0B5E"/>
    <w:rsid w:val="73022365"/>
    <w:rsid w:val="730BFF2E"/>
    <w:rsid w:val="732E8AA3"/>
    <w:rsid w:val="73332361"/>
    <w:rsid w:val="73494DA0"/>
    <w:rsid w:val="735DC66F"/>
    <w:rsid w:val="73773DB2"/>
    <w:rsid w:val="737A59DA"/>
    <w:rsid w:val="73810E55"/>
    <w:rsid w:val="73827FB2"/>
    <w:rsid w:val="73AAFF42"/>
    <w:rsid w:val="73BB5E7B"/>
    <w:rsid w:val="73BDAE7D"/>
    <w:rsid w:val="73CFBF17"/>
    <w:rsid w:val="73D4CEA6"/>
    <w:rsid w:val="73DE7A71"/>
    <w:rsid w:val="73E67B67"/>
    <w:rsid w:val="73EC2233"/>
    <w:rsid w:val="73F15A5E"/>
    <w:rsid w:val="7410AB55"/>
    <w:rsid w:val="742EA00D"/>
    <w:rsid w:val="7432D9F5"/>
    <w:rsid w:val="74345C36"/>
    <w:rsid w:val="743F2F0F"/>
    <w:rsid w:val="745AFCE2"/>
    <w:rsid w:val="745D2400"/>
    <w:rsid w:val="747BE064"/>
    <w:rsid w:val="748A26DE"/>
    <w:rsid w:val="74AA0B2B"/>
    <w:rsid w:val="74BA349D"/>
    <w:rsid w:val="74BB36B5"/>
    <w:rsid w:val="74C753EE"/>
    <w:rsid w:val="74F7CDB5"/>
    <w:rsid w:val="74FC5263"/>
    <w:rsid w:val="75069130"/>
    <w:rsid w:val="7511C030"/>
    <w:rsid w:val="7538C1D6"/>
    <w:rsid w:val="753A53A8"/>
    <w:rsid w:val="7540B09C"/>
    <w:rsid w:val="75575874"/>
    <w:rsid w:val="755EC2A3"/>
    <w:rsid w:val="758B2242"/>
    <w:rsid w:val="758E3B9B"/>
    <w:rsid w:val="75995E98"/>
    <w:rsid w:val="759B3F47"/>
    <w:rsid w:val="75ADB30A"/>
    <w:rsid w:val="75BB16E1"/>
    <w:rsid w:val="75F2A96D"/>
    <w:rsid w:val="7618A3E9"/>
    <w:rsid w:val="762F013D"/>
    <w:rsid w:val="76490465"/>
    <w:rsid w:val="766A8BD4"/>
    <w:rsid w:val="766CAC18"/>
    <w:rsid w:val="7681B8AB"/>
    <w:rsid w:val="7686BA01"/>
    <w:rsid w:val="7689408F"/>
    <w:rsid w:val="768AAB74"/>
    <w:rsid w:val="768E3A3E"/>
    <w:rsid w:val="76942499"/>
    <w:rsid w:val="76970F9A"/>
    <w:rsid w:val="76981D86"/>
    <w:rsid w:val="76A811A6"/>
    <w:rsid w:val="76C5A535"/>
    <w:rsid w:val="76CCD5BD"/>
    <w:rsid w:val="76D040D8"/>
    <w:rsid w:val="76DFE111"/>
    <w:rsid w:val="76E01FF1"/>
    <w:rsid w:val="76EC6CDD"/>
    <w:rsid w:val="76FBF116"/>
    <w:rsid w:val="76FE8E04"/>
    <w:rsid w:val="76FFF1BE"/>
    <w:rsid w:val="770571B2"/>
    <w:rsid w:val="7717A11B"/>
    <w:rsid w:val="77553BCC"/>
    <w:rsid w:val="775DE6D8"/>
    <w:rsid w:val="7787B294"/>
    <w:rsid w:val="779FEBFC"/>
    <w:rsid w:val="77A36C81"/>
    <w:rsid w:val="77A3A290"/>
    <w:rsid w:val="77BA00A8"/>
    <w:rsid w:val="77C6AFAE"/>
    <w:rsid w:val="77D3671E"/>
    <w:rsid w:val="77D439E0"/>
    <w:rsid w:val="77DDE45A"/>
    <w:rsid w:val="77DF4F48"/>
    <w:rsid w:val="77E28620"/>
    <w:rsid w:val="77EB2BF6"/>
    <w:rsid w:val="77EB2C04"/>
    <w:rsid w:val="77F67F9F"/>
    <w:rsid w:val="781AC611"/>
    <w:rsid w:val="78419B4E"/>
    <w:rsid w:val="78493D22"/>
    <w:rsid w:val="7853173C"/>
    <w:rsid w:val="787B42B6"/>
    <w:rsid w:val="7899284F"/>
    <w:rsid w:val="78A83543"/>
    <w:rsid w:val="78AEF5B2"/>
    <w:rsid w:val="78BA9641"/>
    <w:rsid w:val="78BD8168"/>
    <w:rsid w:val="78C338AF"/>
    <w:rsid w:val="78E10B0A"/>
    <w:rsid w:val="78E516D9"/>
    <w:rsid w:val="78FEDA75"/>
    <w:rsid w:val="790D22C6"/>
    <w:rsid w:val="79211DFB"/>
    <w:rsid w:val="79405315"/>
    <w:rsid w:val="79418448"/>
    <w:rsid w:val="7943C37B"/>
    <w:rsid w:val="795078FB"/>
    <w:rsid w:val="79521EDD"/>
    <w:rsid w:val="79532E22"/>
    <w:rsid w:val="796D7536"/>
    <w:rsid w:val="798A7269"/>
    <w:rsid w:val="79B4C5E6"/>
    <w:rsid w:val="79BEC795"/>
    <w:rsid w:val="79C370CB"/>
    <w:rsid w:val="79C77A72"/>
    <w:rsid w:val="79D512B6"/>
    <w:rsid w:val="79DD286A"/>
    <w:rsid w:val="7A022C5B"/>
    <w:rsid w:val="7A066D9E"/>
    <w:rsid w:val="7A097B24"/>
    <w:rsid w:val="7A1601B8"/>
    <w:rsid w:val="7A3DE556"/>
    <w:rsid w:val="7A515989"/>
    <w:rsid w:val="7A6E573C"/>
    <w:rsid w:val="7A739235"/>
    <w:rsid w:val="7A8EC1F1"/>
    <w:rsid w:val="7A9F2641"/>
    <w:rsid w:val="7AA287A4"/>
    <w:rsid w:val="7AAFEE75"/>
    <w:rsid w:val="7AB74C02"/>
    <w:rsid w:val="7AC64755"/>
    <w:rsid w:val="7AD77BA8"/>
    <w:rsid w:val="7AEDEE3B"/>
    <w:rsid w:val="7AF07C0C"/>
    <w:rsid w:val="7B00CE9A"/>
    <w:rsid w:val="7B089A19"/>
    <w:rsid w:val="7B0F6826"/>
    <w:rsid w:val="7B27FAEF"/>
    <w:rsid w:val="7B29DE57"/>
    <w:rsid w:val="7B2F613F"/>
    <w:rsid w:val="7B691687"/>
    <w:rsid w:val="7B72D6EB"/>
    <w:rsid w:val="7B76CA89"/>
    <w:rsid w:val="7B88450C"/>
    <w:rsid w:val="7B955A52"/>
    <w:rsid w:val="7B9B3D7F"/>
    <w:rsid w:val="7B9F63AB"/>
    <w:rsid w:val="7BD03D4B"/>
    <w:rsid w:val="7BD792C0"/>
    <w:rsid w:val="7BDDDACB"/>
    <w:rsid w:val="7BE05BD2"/>
    <w:rsid w:val="7BF67F50"/>
    <w:rsid w:val="7BF87E1C"/>
    <w:rsid w:val="7BFD6E76"/>
    <w:rsid w:val="7BFEC385"/>
    <w:rsid w:val="7C01307D"/>
    <w:rsid w:val="7C093971"/>
    <w:rsid w:val="7C138010"/>
    <w:rsid w:val="7C2A489A"/>
    <w:rsid w:val="7C38A8EA"/>
    <w:rsid w:val="7C4BF9AD"/>
    <w:rsid w:val="7C741943"/>
    <w:rsid w:val="7C7B539F"/>
    <w:rsid w:val="7C7B77F1"/>
    <w:rsid w:val="7C86622E"/>
    <w:rsid w:val="7C86997D"/>
    <w:rsid w:val="7C8752CD"/>
    <w:rsid w:val="7C8C5A96"/>
    <w:rsid w:val="7C9E7CB9"/>
    <w:rsid w:val="7CA20573"/>
    <w:rsid w:val="7CA2484E"/>
    <w:rsid w:val="7CB1C1CA"/>
    <w:rsid w:val="7CB21E1B"/>
    <w:rsid w:val="7CC514D3"/>
    <w:rsid w:val="7CD1A293"/>
    <w:rsid w:val="7CF7FF9E"/>
    <w:rsid w:val="7D075F0A"/>
    <w:rsid w:val="7D1130C2"/>
    <w:rsid w:val="7D1595A7"/>
    <w:rsid w:val="7D183BAF"/>
    <w:rsid w:val="7D1A0370"/>
    <w:rsid w:val="7D1C01EA"/>
    <w:rsid w:val="7D48DA16"/>
    <w:rsid w:val="7D703800"/>
    <w:rsid w:val="7D724EE8"/>
    <w:rsid w:val="7D8A29AB"/>
    <w:rsid w:val="7D8DC762"/>
    <w:rsid w:val="7D8F23E8"/>
    <w:rsid w:val="7D9858B1"/>
    <w:rsid w:val="7D9B33E2"/>
    <w:rsid w:val="7DA91EEC"/>
    <w:rsid w:val="7DA96E80"/>
    <w:rsid w:val="7DAC6562"/>
    <w:rsid w:val="7DAD6DA9"/>
    <w:rsid w:val="7DB0FD4A"/>
    <w:rsid w:val="7DC42B1E"/>
    <w:rsid w:val="7DE4088E"/>
    <w:rsid w:val="7DE90855"/>
    <w:rsid w:val="7DE9D459"/>
    <w:rsid w:val="7DF8A7D3"/>
    <w:rsid w:val="7E00AB97"/>
    <w:rsid w:val="7E0113D6"/>
    <w:rsid w:val="7E141789"/>
    <w:rsid w:val="7E20A2A1"/>
    <w:rsid w:val="7E29422C"/>
    <w:rsid w:val="7E34F782"/>
    <w:rsid w:val="7E3C9A50"/>
    <w:rsid w:val="7E4FB325"/>
    <w:rsid w:val="7E52B87C"/>
    <w:rsid w:val="7E6A385B"/>
    <w:rsid w:val="7E7056ED"/>
    <w:rsid w:val="7E9B43AD"/>
    <w:rsid w:val="7ED9C3B2"/>
    <w:rsid w:val="7EDFA2B3"/>
    <w:rsid w:val="7F0AA6CF"/>
    <w:rsid w:val="7F0AB737"/>
    <w:rsid w:val="7F12BB16"/>
    <w:rsid w:val="7F262717"/>
    <w:rsid w:val="7F2F90B1"/>
    <w:rsid w:val="7F3FE18F"/>
    <w:rsid w:val="7F44EB46"/>
    <w:rsid w:val="7F508871"/>
    <w:rsid w:val="7F574E97"/>
    <w:rsid w:val="7F5D9407"/>
    <w:rsid w:val="7F6AA394"/>
    <w:rsid w:val="7F6F81B4"/>
    <w:rsid w:val="7F81AABE"/>
    <w:rsid w:val="7F8BFC5A"/>
    <w:rsid w:val="7F9A759C"/>
    <w:rsid w:val="7F9B1205"/>
    <w:rsid w:val="7FA33AEB"/>
    <w:rsid w:val="7FABF701"/>
    <w:rsid w:val="7FAEE4F9"/>
    <w:rsid w:val="7FBEC446"/>
    <w:rsid w:val="7FC766DD"/>
    <w:rsid w:val="7FC8064E"/>
    <w:rsid w:val="7FD1D048"/>
    <w:rsid w:val="7FDE3AEA"/>
    <w:rsid w:val="7FE3CEBA"/>
    <w:rsid w:val="7FF89E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4354B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A62"/>
    <w:pPr>
      <w:spacing w:after="240"/>
    </w:pPr>
    <w:rPr>
      <w:rFonts w:ascii="Calibri Light" w:hAnsi="Calibri Light"/>
    </w:rPr>
  </w:style>
  <w:style w:type="paragraph" w:styleId="Heading1">
    <w:name w:val="heading 1"/>
    <w:aliases w:val="CAB Section Heading,Heading 1 Cab"/>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customStyle="1" w:styleId="UnresolvedMention1">
    <w:name w:val="Unresolved Mention1"/>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AB Section Heading Char,Heading 1 Cab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23"/>
      </w:numPr>
      <w:spacing w:after="200"/>
      <w:contextualSpacing/>
    </w:pPr>
  </w:style>
  <w:style w:type="paragraph" w:styleId="List2">
    <w:name w:val="List 2"/>
    <w:basedOn w:val="Normal"/>
    <w:uiPriority w:val="98"/>
    <w:qFormat/>
    <w:rsid w:val="00F85913"/>
    <w:pPr>
      <w:numPr>
        <w:ilvl w:val="1"/>
        <w:numId w:val="23"/>
      </w:numPr>
      <w:spacing w:after="200"/>
      <w:contextualSpacing/>
    </w:pPr>
  </w:style>
  <w:style w:type="paragraph" w:styleId="List3">
    <w:name w:val="List 3"/>
    <w:basedOn w:val="Normal"/>
    <w:uiPriority w:val="98"/>
    <w:qFormat/>
    <w:rsid w:val="00BC248C"/>
    <w:pPr>
      <w:numPr>
        <w:ilvl w:val="2"/>
        <w:numId w:val="23"/>
      </w:numPr>
      <w:spacing w:after="200"/>
      <w:contextualSpacing/>
    </w:pPr>
  </w:style>
  <w:style w:type="paragraph" w:styleId="List4">
    <w:name w:val="List 4"/>
    <w:basedOn w:val="Normal"/>
    <w:uiPriority w:val="98"/>
    <w:qFormat/>
    <w:rsid w:val="00BC248C"/>
    <w:pPr>
      <w:numPr>
        <w:ilvl w:val="3"/>
        <w:numId w:val="23"/>
      </w:numPr>
      <w:spacing w:after="200"/>
      <w:contextualSpacing/>
    </w:pPr>
  </w:style>
  <w:style w:type="paragraph" w:styleId="ListNumber">
    <w:name w:val="List Number"/>
    <w:basedOn w:val="Normal"/>
    <w:uiPriority w:val="98"/>
    <w:qFormat/>
    <w:rsid w:val="00276047"/>
    <w:pPr>
      <w:numPr>
        <w:numId w:val="9"/>
      </w:numPr>
      <w:spacing w:after="200"/>
      <w:contextualSpacing/>
    </w:pPr>
  </w:style>
  <w:style w:type="paragraph" w:styleId="ListNumber2">
    <w:name w:val="List Number 2"/>
    <w:basedOn w:val="Normal"/>
    <w:uiPriority w:val="98"/>
    <w:qFormat/>
    <w:rsid w:val="00276047"/>
    <w:pPr>
      <w:numPr>
        <w:ilvl w:val="1"/>
        <w:numId w:val="9"/>
      </w:numPr>
      <w:spacing w:after="200"/>
      <w:contextualSpacing/>
    </w:pPr>
  </w:style>
  <w:style w:type="paragraph" w:styleId="ListBullet3">
    <w:name w:val="List Bullet 3"/>
    <w:basedOn w:val="Normal"/>
    <w:uiPriority w:val="98"/>
    <w:qFormat/>
    <w:rsid w:val="008A36E1"/>
    <w:pPr>
      <w:numPr>
        <w:numId w:val="20"/>
      </w:numPr>
      <w:spacing w:after="200"/>
      <w:ind w:left="851" w:hanging="284"/>
      <w:contextualSpacing/>
    </w:pPr>
  </w:style>
  <w:style w:type="paragraph" w:styleId="ListNumber3">
    <w:name w:val="List Number 3"/>
    <w:basedOn w:val="Normal"/>
    <w:uiPriority w:val="98"/>
    <w:qFormat/>
    <w:rsid w:val="00950B06"/>
    <w:pPr>
      <w:numPr>
        <w:ilvl w:val="2"/>
        <w:numId w:val="9"/>
      </w:numPr>
      <w:spacing w:after="200"/>
      <w:contextualSpacing/>
    </w:pPr>
  </w:style>
  <w:style w:type="paragraph" w:styleId="ListNumber4">
    <w:name w:val="List Number 4"/>
    <w:basedOn w:val="Normal"/>
    <w:uiPriority w:val="98"/>
    <w:qFormat/>
    <w:rsid w:val="0012343A"/>
    <w:pPr>
      <w:numPr>
        <w:ilvl w:val="3"/>
        <w:numId w:val="9"/>
      </w:numPr>
      <w:spacing w:after="200"/>
      <w:contextualSpacing/>
    </w:pPr>
  </w:style>
  <w:style w:type="paragraph" w:styleId="ListBullet">
    <w:name w:val="List Bullet"/>
    <w:basedOn w:val="Normal"/>
    <w:uiPriority w:val="98"/>
    <w:qFormat/>
    <w:rsid w:val="008A36E1"/>
    <w:pPr>
      <w:numPr>
        <w:numId w:val="5"/>
      </w:numPr>
      <w:spacing w:after="200"/>
      <w:ind w:left="284" w:hanging="284"/>
      <w:contextualSpacing/>
    </w:pPr>
  </w:style>
  <w:style w:type="paragraph" w:styleId="ListBullet2">
    <w:name w:val="List Bullet 2"/>
    <w:basedOn w:val="Normal"/>
    <w:uiPriority w:val="98"/>
    <w:qFormat/>
    <w:rsid w:val="00C75706"/>
    <w:pPr>
      <w:numPr>
        <w:ilvl w:val="1"/>
        <w:numId w:val="5"/>
      </w:numPr>
      <w:spacing w:after="200"/>
      <w:ind w:left="568" w:hanging="284"/>
      <w:contextualSpacing/>
    </w:pPr>
  </w:style>
  <w:style w:type="paragraph" w:styleId="ListBullet4">
    <w:name w:val="List Bullet 4"/>
    <w:basedOn w:val="Normal"/>
    <w:uiPriority w:val="98"/>
    <w:qFormat/>
    <w:rsid w:val="00C75706"/>
    <w:pPr>
      <w:numPr>
        <w:numId w:val="18"/>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581931"/>
    <w:pPr>
      <w:tabs>
        <w:tab w:val="right" w:leader="dot" w:pos="9016"/>
      </w:tabs>
      <w:spacing w:after="100"/>
    </w:pPr>
  </w:style>
  <w:style w:type="paragraph" w:styleId="TOC2">
    <w:name w:val="toc 2"/>
    <w:basedOn w:val="Normal"/>
    <w:next w:val="Normal"/>
    <w:autoRedefine/>
    <w:uiPriority w:val="39"/>
    <w:unhideWhenUsed/>
    <w:rsid w:val="007D7762"/>
    <w:pPr>
      <w:tabs>
        <w:tab w:val="right" w:leader="dot" w:pos="9016"/>
      </w:tabs>
      <w:spacing w:after="100"/>
      <w:ind w:left="220"/>
    </w:pPr>
  </w:style>
  <w:style w:type="paragraph" w:styleId="TOC3">
    <w:name w:val="toc 3"/>
    <w:basedOn w:val="Normal"/>
    <w:next w:val="Normal"/>
    <w:autoRedefine/>
    <w:uiPriority w:val="39"/>
    <w:unhideWhenUsed/>
    <w:rsid w:val="007D7762"/>
    <w:pPr>
      <w:tabs>
        <w:tab w:val="right" w:leader="dot" w:pos="9016"/>
      </w:tabs>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EndnoteText">
    <w:name w:val="endnote text"/>
    <w:basedOn w:val="Normal"/>
    <w:link w:val="EndnoteTextChar"/>
    <w:uiPriority w:val="99"/>
    <w:semiHidden/>
    <w:unhideWhenUsed/>
    <w:rsid w:val="003F4B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4B4E"/>
    <w:rPr>
      <w:sz w:val="20"/>
      <w:szCs w:val="20"/>
    </w:rPr>
  </w:style>
  <w:style w:type="character" w:styleId="EndnoteReference">
    <w:name w:val="endnote reference"/>
    <w:basedOn w:val="DefaultParagraphFont"/>
    <w:uiPriority w:val="99"/>
    <w:semiHidden/>
    <w:unhideWhenUsed/>
    <w:rsid w:val="003F4B4E"/>
    <w:rPr>
      <w:vertAlign w:val="superscript"/>
    </w:rPr>
  </w:style>
  <w:style w:type="paragraph" w:styleId="FootnoteText">
    <w:name w:val="footnote text"/>
    <w:basedOn w:val="Normal"/>
    <w:link w:val="FootnoteTextChar"/>
    <w:uiPriority w:val="99"/>
    <w:semiHidden/>
    <w:unhideWhenUsed/>
    <w:rsid w:val="003F4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B4E"/>
    <w:rPr>
      <w:sz w:val="20"/>
      <w:szCs w:val="20"/>
    </w:rPr>
  </w:style>
  <w:style w:type="character" w:styleId="FootnoteReference">
    <w:name w:val="footnote reference"/>
    <w:basedOn w:val="DefaultParagraphFont"/>
    <w:uiPriority w:val="99"/>
    <w:semiHidden/>
    <w:unhideWhenUsed/>
    <w:rsid w:val="003F4B4E"/>
    <w:rPr>
      <w:vertAlign w:val="superscript"/>
    </w:rPr>
  </w:style>
  <w:style w:type="character" w:customStyle="1" w:styleId="normaltextrun">
    <w:name w:val="normaltextrun"/>
    <w:basedOn w:val="DefaultParagraphFont"/>
    <w:rsid w:val="00892CC6"/>
  </w:style>
  <w:style w:type="character" w:styleId="CommentReference">
    <w:name w:val="annotation reference"/>
    <w:basedOn w:val="DefaultParagraphFont"/>
    <w:uiPriority w:val="99"/>
    <w:semiHidden/>
    <w:unhideWhenUsed/>
    <w:rsid w:val="00127273"/>
    <w:rPr>
      <w:sz w:val="16"/>
      <w:szCs w:val="16"/>
    </w:rPr>
  </w:style>
  <w:style w:type="paragraph" w:styleId="CommentText">
    <w:name w:val="annotation text"/>
    <w:basedOn w:val="Normal"/>
    <w:link w:val="CommentTextChar"/>
    <w:uiPriority w:val="99"/>
    <w:unhideWhenUsed/>
    <w:rsid w:val="00127273"/>
    <w:pPr>
      <w:spacing w:line="240" w:lineRule="auto"/>
    </w:pPr>
    <w:rPr>
      <w:sz w:val="20"/>
      <w:szCs w:val="20"/>
    </w:rPr>
  </w:style>
  <w:style w:type="character" w:customStyle="1" w:styleId="CommentTextChar">
    <w:name w:val="Comment Text Char"/>
    <w:basedOn w:val="DefaultParagraphFont"/>
    <w:link w:val="CommentText"/>
    <w:uiPriority w:val="99"/>
    <w:rsid w:val="00127273"/>
    <w:rPr>
      <w:sz w:val="20"/>
      <w:szCs w:val="20"/>
    </w:rPr>
  </w:style>
  <w:style w:type="paragraph" w:styleId="CommentSubject">
    <w:name w:val="annotation subject"/>
    <w:basedOn w:val="CommentText"/>
    <w:next w:val="CommentText"/>
    <w:link w:val="CommentSubjectChar"/>
    <w:uiPriority w:val="99"/>
    <w:semiHidden/>
    <w:unhideWhenUsed/>
    <w:rsid w:val="00127273"/>
    <w:rPr>
      <w:b/>
      <w:bCs/>
    </w:rPr>
  </w:style>
  <w:style w:type="character" w:customStyle="1" w:styleId="CommentSubjectChar">
    <w:name w:val="Comment Subject Char"/>
    <w:basedOn w:val="CommentTextChar"/>
    <w:link w:val="CommentSubject"/>
    <w:uiPriority w:val="99"/>
    <w:semiHidden/>
    <w:rsid w:val="00127273"/>
    <w:rPr>
      <w:b/>
      <w:bCs/>
      <w:sz w:val="20"/>
      <w:szCs w:val="20"/>
    </w:rPr>
  </w:style>
  <w:style w:type="paragraph" w:customStyle="1" w:styleId="paragraph">
    <w:name w:val="paragraph"/>
    <w:basedOn w:val="Normal"/>
    <w:rsid w:val="00865A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865AA6"/>
  </w:style>
  <w:style w:type="paragraph" w:styleId="ListParagraph">
    <w:name w:val="List Paragraph"/>
    <w:aliases w:val="CAB - List Bullet,List Bullet Cab"/>
    <w:basedOn w:val="Normal"/>
    <w:uiPriority w:val="34"/>
    <w:qFormat/>
    <w:rsid w:val="00AF471C"/>
    <w:pPr>
      <w:ind w:left="720"/>
      <w:contextualSpacing/>
    </w:pPr>
  </w:style>
  <w:style w:type="character" w:customStyle="1" w:styleId="Mention1">
    <w:name w:val="Mention1"/>
    <w:basedOn w:val="DefaultParagraphFont"/>
    <w:uiPriority w:val="99"/>
    <w:unhideWhenUsed/>
    <w:rsid w:val="00377786"/>
    <w:rPr>
      <w:color w:val="2B579A"/>
      <w:shd w:val="clear" w:color="auto" w:fill="E6E6E6"/>
    </w:rPr>
  </w:style>
  <w:style w:type="paragraph" w:styleId="Revision">
    <w:name w:val="Revision"/>
    <w:hidden/>
    <w:uiPriority w:val="99"/>
    <w:semiHidden/>
    <w:rsid w:val="00595111"/>
    <w:pPr>
      <w:spacing w:after="0" w:line="240" w:lineRule="auto"/>
    </w:pPr>
    <w:rPr>
      <w:rFonts w:ascii="Calibri Light" w:hAnsi="Calibri Light"/>
    </w:rPr>
  </w:style>
  <w:style w:type="table" w:styleId="GridTable3-Accent4">
    <w:name w:val="Grid Table 3 Accent 4"/>
    <w:basedOn w:val="TableNormal"/>
    <w:uiPriority w:val="48"/>
    <w:rsid w:val="009565AC"/>
    <w:pPr>
      <w:spacing w:after="0" w:line="240" w:lineRule="auto"/>
    </w:pPr>
    <w:tblPr>
      <w:tblStyleRowBandSize w:val="1"/>
      <w:tblStyleColBandSize w:val="1"/>
      <w:tblBorders>
        <w:top w:val="single" w:sz="4" w:space="0" w:color="90D8CF" w:themeColor="accent4" w:themeTint="99"/>
        <w:left w:val="single" w:sz="4" w:space="0" w:color="90D8CF" w:themeColor="accent4" w:themeTint="99"/>
        <w:bottom w:val="single" w:sz="4" w:space="0" w:color="90D8CF" w:themeColor="accent4" w:themeTint="99"/>
        <w:right w:val="single" w:sz="4" w:space="0" w:color="90D8CF" w:themeColor="accent4" w:themeTint="99"/>
        <w:insideH w:val="single" w:sz="4" w:space="0" w:color="90D8CF" w:themeColor="accent4" w:themeTint="99"/>
        <w:insideV w:val="single" w:sz="4" w:space="0" w:color="90D8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EF" w:themeFill="accent4" w:themeFillTint="33"/>
      </w:tcPr>
    </w:tblStylePr>
    <w:tblStylePr w:type="band1Horz">
      <w:tblPr/>
      <w:tcPr>
        <w:shd w:val="clear" w:color="auto" w:fill="DAF2EF" w:themeFill="accent4" w:themeFillTint="33"/>
      </w:tcPr>
    </w:tblStylePr>
    <w:tblStylePr w:type="neCell">
      <w:tblPr/>
      <w:tcPr>
        <w:tcBorders>
          <w:bottom w:val="single" w:sz="4" w:space="0" w:color="90D8CF" w:themeColor="accent4" w:themeTint="99"/>
        </w:tcBorders>
      </w:tcPr>
    </w:tblStylePr>
    <w:tblStylePr w:type="nwCell">
      <w:tblPr/>
      <w:tcPr>
        <w:tcBorders>
          <w:bottom w:val="single" w:sz="4" w:space="0" w:color="90D8CF" w:themeColor="accent4" w:themeTint="99"/>
        </w:tcBorders>
      </w:tcPr>
    </w:tblStylePr>
    <w:tblStylePr w:type="seCell">
      <w:tblPr/>
      <w:tcPr>
        <w:tcBorders>
          <w:top w:val="single" w:sz="4" w:space="0" w:color="90D8CF" w:themeColor="accent4" w:themeTint="99"/>
        </w:tcBorders>
      </w:tcPr>
    </w:tblStylePr>
    <w:tblStylePr w:type="swCell">
      <w:tblPr/>
      <w:tcPr>
        <w:tcBorders>
          <w:top w:val="single" w:sz="4" w:space="0" w:color="90D8CF" w:themeColor="accent4" w:themeTint="99"/>
        </w:tcBorders>
      </w:tcPr>
    </w:tblStylePr>
  </w:style>
  <w:style w:type="table" w:styleId="GridTable3-Accent3">
    <w:name w:val="Grid Table 3 Accent 3"/>
    <w:basedOn w:val="TableNormal"/>
    <w:uiPriority w:val="48"/>
    <w:rsid w:val="009565AC"/>
    <w:pPr>
      <w:spacing w:after="0" w:line="240" w:lineRule="auto"/>
    </w:p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insideV w:val="single" w:sz="4" w:space="0" w:color="72D7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1FC" w:themeFill="accent3" w:themeFillTint="33"/>
      </w:tcPr>
    </w:tblStylePr>
    <w:tblStylePr w:type="band1Horz">
      <w:tblPr/>
      <w:tcPr>
        <w:shd w:val="clear" w:color="auto" w:fill="D0F1FC" w:themeFill="accent3" w:themeFillTint="33"/>
      </w:tcPr>
    </w:tblStylePr>
    <w:tblStylePr w:type="neCell">
      <w:tblPr/>
      <w:tcPr>
        <w:tcBorders>
          <w:bottom w:val="single" w:sz="4" w:space="0" w:color="72D7F6" w:themeColor="accent3" w:themeTint="99"/>
        </w:tcBorders>
      </w:tcPr>
    </w:tblStylePr>
    <w:tblStylePr w:type="nwCell">
      <w:tblPr/>
      <w:tcPr>
        <w:tcBorders>
          <w:bottom w:val="single" w:sz="4" w:space="0" w:color="72D7F6" w:themeColor="accent3" w:themeTint="99"/>
        </w:tcBorders>
      </w:tcPr>
    </w:tblStylePr>
    <w:tblStylePr w:type="seCell">
      <w:tblPr/>
      <w:tcPr>
        <w:tcBorders>
          <w:top w:val="single" w:sz="4" w:space="0" w:color="72D7F6" w:themeColor="accent3" w:themeTint="99"/>
        </w:tcBorders>
      </w:tcPr>
    </w:tblStylePr>
    <w:tblStylePr w:type="swCell">
      <w:tblPr/>
      <w:tcPr>
        <w:tcBorders>
          <w:top w:val="single" w:sz="4" w:space="0" w:color="72D7F6" w:themeColor="accent3" w:themeTint="99"/>
        </w:tcBorders>
      </w:tcPr>
    </w:tblStylePr>
  </w:style>
  <w:style w:type="table" w:styleId="GridTable3-Accent2">
    <w:name w:val="Grid Table 3 Accent 2"/>
    <w:basedOn w:val="TableNormal"/>
    <w:uiPriority w:val="48"/>
    <w:rsid w:val="009565AC"/>
    <w:pPr>
      <w:spacing w:after="0" w:line="240" w:lineRule="auto"/>
    </w:pPr>
    <w:tblPr>
      <w:tblStyleRowBandSize w:val="1"/>
      <w:tblStyleColBandSize w:val="1"/>
      <w:tblBorders>
        <w:top w:val="single" w:sz="4" w:space="0" w:color="9482BD" w:themeColor="accent2" w:themeTint="99"/>
        <w:left w:val="single" w:sz="4" w:space="0" w:color="9482BD" w:themeColor="accent2" w:themeTint="99"/>
        <w:bottom w:val="single" w:sz="4" w:space="0" w:color="9482BD" w:themeColor="accent2" w:themeTint="99"/>
        <w:right w:val="single" w:sz="4" w:space="0" w:color="9482BD" w:themeColor="accent2" w:themeTint="99"/>
        <w:insideH w:val="single" w:sz="4" w:space="0" w:color="9482BD" w:themeColor="accent2" w:themeTint="99"/>
        <w:insideV w:val="single" w:sz="4" w:space="0" w:color="9482B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5E9" w:themeFill="accent2" w:themeFillTint="33"/>
      </w:tcPr>
    </w:tblStylePr>
    <w:tblStylePr w:type="band1Horz">
      <w:tblPr/>
      <w:tcPr>
        <w:shd w:val="clear" w:color="auto" w:fill="DBD5E9" w:themeFill="accent2" w:themeFillTint="33"/>
      </w:tcPr>
    </w:tblStylePr>
    <w:tblStylePr w:type="neCell">
      <w:tblPr/>
      <w:tcPr>
        <w:tcBorders>
          <w:bottom w:val="single" w:sz="4" w:space="0" w:color="9482BD" w:themeColor="accent2" w:themeTint="99"/>
        </w:tcBorders>
      </w:tcPr>
    </w:tblStylePr>
    <w:tblStylePr w:type="nwCell">
      <w:tblPr/>
      <w:tcPr>
        <w:tcBorders>
          <w:bottom w:val="single" w:sz="4" w:space="0" w:color="9482BD" w:themeColor="accent2" w:themeTint="99"/>
        </w:tcBorders>
      </w:tcPr>
    </w:tblStylePr>
    <w:tblStylePr w:type="seCell">
      <w:tblPr/>
      <w:tcPr>
        <w:tcBorders>
          <w:top w:val="single" w:sz="4" w:space="0" w:color="9482BD" w:themeColor="accent2" w:themeTint="99"/>
        </w:tcBorders>
      </w:tcPr>
    </w:tblStylePr>
    <w:tblStylePr w:type="swCell">
      <w:tblPr/>
      <w:tcPr>
        <w:tcBorders>
          <w:top w:val="single" w:sz="4" w:space="0" w:color="9482BD" w:themeColor="accent2" w:themeTint="99"/>
        </w:tcBorders>
      </w:tcPr>
    </w:tblStylePr>
  </w:style>
  <w:style w:type="table" w:styleId="GridTable5Dark-Accent4">
    <w:name w:val="Grid Table 5 Dark Accent 4"/>
    <w:basedOn w:val="TableNormal"/>
    <w:uiPriority w:val="50"/>
    <w:rsid w:val="009565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BF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BF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BF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BFAF" w:themeFill="accent4"/>
      </w:tcPr>
    </w:tblStylePr>
    <w:tblStylePr w:type="band1Vert">
      <w:tblPr/>
      <w:tcPr>
        <w:shd w:val="clear" w:color="auto" w:fill="B5E5DF" w:themeFill="accent4" w:themeFillTint="66"/>
      </w:tcPr>
    </w:tblStylePr>
    <w:tblStylePr w:type="band1Horz">
      <w:tblPr/>
      <w:tcPr>
        <w:shd w:val="clear" w:color="auto" w:fill="B5E5DF" w:themeFill="accent4" w:themeFillTint="66"/>
      </w:tcPr>
    </w:tblStylePr>
  </w:style>
  <w:style w:type="table" w:styleId="GridTable5Dark-Accent5">
    <w:name w:val="Grid Table 5 Dark Accent 5"/>
    <w:basedOn w:val="TableNormal"/>
    <w:uiPriority w:val="50"/>
    <w:rsid w:val="009565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6464" w:themeFill="accent5"/>
      </w:tcPr>
    </w:tblStylePr>
    <w:tblStylePr w:type="band1Vert">
      <w:tblPr/>
      <w:tcPr>
        <w:shd w:val="clear" w:color="auto" w:fill="F9C0C0" w:themeFill="accent5" w:themeFillTint="66"/>
      </w:tcPr>
    </w:tblStylePr>
    <w:tblStylePr w:type="band1Horz">
      <w:tblPr/>
      <w:tcPr>
        <w:shd w:val="clear" w:color="auto" w:fill="F9C0C0" w:themeFill="accent5" w:themeFillTint="66"/>
      </w:tcPr>
    </w:tblStylePr>
  </w:style>
  <w:style w:type="table" w:styleId="ListTable2-Accent5">
    <w:name w:val="List Table 2 Accent 5"/>
    <w:basedOn w:val="TableNormal"/>
    <w:uiPriority w:val="47"/>
    <w:rsid w:val="00C86256"/>
    <w:pPr>
      <w:spacing w:after="0" w:line="240" w:lineRule="auto"/>
    </w:pPr>
    <w:tblPr>
      <w:tblStyleRowBandSize w:val="1"/>
      <w:tblStyleColBandSize w:val="1"/>
      <w:tblBorders>
        <w:top w:val="single" w:sz="4" w:space="0" w:color="F6A1A1" w:themeColor="accent5" w:themeTint="99"/>
        <w:bottom w:val="single" w:sz="4" w:space="0" w:color="F6A1A1" w:themeColor="accent5" w:themeTint="99"/>
        <w:insideH w:val="single" w:sz="4" w:space="0" w:color="F6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F" w:themeFill="accent5" w:themeFillTint="33"/>
      </w:tcPr>
    </w:tblStylePr>
    <w:tblStylePr w:type="band1Horz">
      <w:tblPr/>
      <w:tcPr>
        <w:shd w:val="clear" w:color="auto" w:fill="FCDFDF" w:themeFill="accent5" w:themeFillTint="33"/>
      </w:tcPr>
    </w:tblStylePr>
  </w:style>
  <w:style w:type="table" w:styleId="ListTable7Colorful-Accent5">
    <w:name w:val="List Table 7 Colorful Accent 5"/>
    <w:basedOn w:val="TableNormal"/>
    <w:uiPriority w:val="52"/>
    <w:rsid w:val="004B23E5"/>
    <w:pPr>
      <w:spacing w:after="0" w:line="240" w:lineRule="auto"/>
    </w:pPr>
    <w:rPr>
      <w:color w:val="EA15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6464" w:themeColor="accent5"/>
        </w:tcBorders>
        <w:shd w:val="clear" w:color="auto" w:fill="FFFFFF" w:themeFill="background1"/>
      </w:tcPr>
    </w:tblStylePr>
    <w:tblStylePr w:type="band1Vert">
      <w:tblPr/>
      <w:tcPr>
        <w:shd w:val="clear" w:color="auto" w:fill="FCDFDF" w:themeFill="accent5" w:themeFillTint="33"/>
      </w:tcPr>
    </w:tblStylePr>
    <w:tblStylePr w:type="band1Horz">
      <w:tblPr/>
      <w:tcPr>
        <w:shd w:val="clear" w:color="auto" w:fill="FC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indhit">
    <w:name w:val="findhit"/>
    <w:basedOn w:val="DefaultParagraphFont"/>
    <w:rsid w:val="008458AD"/>
  </w:style>
  <w:style w:type="character" w:styleId="FollowedHyperlink">
    <w:name w:val="FollowedHyperlink"/>
    <w:basedOn w:val="DefaultParagraphFont"/>
    <w:uiPriority w:val="99"/>
    <w:semiHidden/>
    <w:unhideWhenUsed/>
    <w:rsid w:val="006B2403"/>
    <w:rPr>
      <w:color w:val="CE372F" w:themeColor="followedHyperlink"/>
      <w:u w:val="single"/>
    </w:rPr>
  </w:style>
  <w:style w:type="character" w:customStyle="1" w:styleId="ui-provider">
    <w:name w:val="ui-provider"/>
    <w:basedOn w:val="DefaultParagraphFont"/>
    <w:rsid w:val="00776464"/>
  </w:style>
  <w:style w:type="character" w:customStyle="1" w:styleId="cf01">
    <w:name w:val="cf01"/>
    <w:basedOn w:val="DefaultParagraphFont"/>
    <w:rsid w:val="00C52555"/>
    <w:rPr>
      <w:rFonts w:ascii="Segoe UI" w:hAnsi="Segoe UI" w:cs="Segoe UI" w:hint="default"/>
      <w:sz w:val="18"/>
      <w:szCs w:val="18"/>
    </w:rPr>
  </w:style>
  <w:style w:type="character" w:customStyle="1" w:styleId="cf11">
    <w:name w:val="cf11"/>
    <w:basedOn w:val="DefaultParagraphFont"/>
    <w:rsid w:val="00C52555"/>
    <w:rPr>
      <w:rFonts w:ascii="Segoe UI" w:hAnsi="Segoe UI" w:cs="Segoe UI" w:hint="default"/>
      <w:color w:val="4D5156"/>
      <w:sz w:val="18"/>
      <w:szCs w:val="18"/>
      <w:shd w:val="clear" w:color="auto" w:fill="FFFFFF"/>
    </w:rPr>
  </w:style>
  <w:style w:type="character" w:customStyle="1" w:styleId="cf21">
    <w:name w:val="cf21"/>
    <w:basedOn w:val="DefaultParagraphFont"/>
    <w:rsid w:val="00C52555"/>
    <w:rPr>
      <w:rFonts w:ascii="Segoe UI" w:hAnsi="Segoe UI" w:cs="Segoe UI" w:hint="default"/>
      <w:i/>
      <w:iCs/>
      <w:sz w:val="18"/>
      <w:szCs w:val="18"/>
    </w:rPr>
  </w:style>
  <w:style w:type="character" w:styleId="Emphasis">
    <w:name w:val="Emphasis"/>
    <w:basedOn w:val="DefaultParagraphFont"/>
    <w:uiPriority w:val="20"/>
    <w:qFormat/>
    <w:rsid w:val="0091792E"/>
    <w:rPr>
      <w:i/>
      <w:iCs/>
    </w:rPr>
  </w:style>
  <w:style w:type="paragraph" w:styleId="BalloonText">
    <w:name w:val="Balloon Text"/>
    <w:basedOn w:val="Normal"/>
    <w:link w:val="BalloonTextChar"/>
    <w:uiPriority w:val="99"/>
    <w:semiHidden/>
    <w:unhideWhenUsed/>
    <w:rsid w:val="00333F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FE8"/>
    <w:rPr>
      <w:rFonts w:ascii="Segoe UI" w:hAnsi="Segoe UI" w:cs="Segoe UI"/>
      <w:sz w:val="18"/>
      <w:szCs w:val="18"/>
    </w:rPr>
  </w:style>
  <w:style w:type="character" w:styleId="Mention">
    <w:name w:val="Mention"/>
    <w:basedOn w:val="DefaultParagraphFont"/>
    <w:uiPriority w:val="99"/>
    <w:unhideWhenUsed/>
    <w:rsid w:val="00427DFC"/>
    <w:rPr>
      <w:color w:val="2B579A"/>
      <w:shd w:val="clear" w:color="auto" w:fill="E1DFDD"/>
    </w:rPr>
  </w:style>
  <w:style w:type="character" w:styleId="UnresolvedMention">
    <w:name w:val="Unresolved Mention"/>
    <w:basedOn w:val="DefaultParagraphFont"/>
    <w:uiPriority w:val="99"/>
    <w:semiHidden/>
    <w:unhideWhenUsed/>
    <w:rsid w:val="00B20518"/>
    <w:rPr>
      <w:color w:val="605E5C"/>
      <w:shd w:val="clear" w:color="auto" w:fill="E1DFDD"/>
    </w:rPr>
  </w:style>
  <w:style w:type="paragraph" w:customStyle="1" w:styleId="CABBodyTextBold">
    <w:name w:val="CAB Body Text Bold"/>
    <w:basedOn w:val="BodyText"/>
    <w:qFormat/>
    <w:rsid w:val="009126E6"/>
    <w:pPr>
      <w:spacing w:before="120" w:after="0" w:line="240" w:lineRule="auto"/>
    </w:pPr>
    <w:rPr>
      <w:rFonts w:ascii="Arial" w:hAnsi="Arial"/>
      <w:b/>
      <w:bCs/>
    </w:rPr>
  </w:style>
  <w:style w:type="paragraph" w:styleId="BodyText">
    <w:name w:val="Body Text"/>
    <w:basedOn w:val="Normal"/>
    <w:link w:val="BodyTextChar"/>
    <w:uiPriority w:val="99"/>
    <w:semiHidden/>
    <w:unhideWhenUsed/>
    <w:rsid w:val="009126E6"/>
    <w:pPr>
      <w:spacing w:after="120"/>
    </w:pPr>
  </w:style>
  <w:style w:type="character" w:customStyle="1" w:styleId="BodyTextChar">
    <w:name w:val="Body Text Char"/>
    <w:basedOn w:val="DefaultParagraphFont"/>
    <w:link w:val="BodyText"/>
    <w:uiPriority w:val="99"/>
    <w:semiHidden/>
    <w:rsid w:val="009126E6"/>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8300">
      <w:bodyDiv w:val="1"/>
      <w:marLeft w:val="0"/>
      <w:marRight w:val="0"/>
      <w:marTop w:val="0"/>
      <w:marBottom w:val="0"/>
      <w:divBdr>
        <w:top w:val="none" w:sz="0" w:space="0" w:color="auto"/>
        <w:left w:val="none" w:sz="0" w:space="0" w:color="auto"/>
        <w:bottom w:val="none" w:sz="0" w:space="0" w:color="auto"/>
        <w:right w:val="none" w:sz="0" w:space="0" w:color="auto"/>
      </w:divBdr>
    </w:div>
    <w:div w:id="55473783">
      <w:bodyDiv w:val="1"/>
      <w:marLeft w:val="0"/>
      <w:marRight w:val="0"/>
      <w:marTop w:val="0"/>
      <w:marBottom w:val="0"/>
      <w:divBdr>
        <w:top w:val="none" w:sz="0" w:space="0" w:color="auto"/>
        <w:left w:val="none" w:sz="0" w:space="0" w:color="auto"/>
        <w:bottom w:val="none" w:sz="0" w:space="0" w:color="auto"/>
        <w:right w:val="none" w:sz="0" w:space="0" w:color="auto"/>
      </w:divBdr>
      <w:divsChild>
        <w:div w:id="184832030">
          <w:marLeft w:val="0"/>
          <w:marRight w:val="0"/>
          <w:marTop w:val="0"/>
          <w:marBottom w:val="0"/>
          <w:divBdr>
            <w:top w:val="none" w:sz="0" w:space="0" w:color="auto"/>
            <w:left w:val="none" w:sz="0" w:space="0" w:color="auto"/>
            <w:bottom w:val="none" w:sz="0" w:space="0" w:color="auto"/>
            <w:right w:val="none" w:sz="0" w:space="0" w:color="auto"/>
          </w:divBdr>
        </w:div>
        <w:div w:id="420300590">
          <w:marLeft w:val="0"/>
          <w:marRight w:val="0"/>
          <w:marTop w:val="0"/>
          <w:marBottom w:val="0"/>
          <w:divBdr>
            <w:top w:val="none" w:sz="0" w:space="0" w:color="auto"/>
            <w:left w:val="none" w:sz="0" w:space="0" w:color="auto"/>
            <w:bottom w:val="none" w:sz="0" w:space="0" w:color="auto"/>
            <w:right w:val="none" w:sz="0" w:space="0" w:color="auto"/>
          </w:divBdr>
        </w:div>
        <w:div w:id="656688620">
          <w:marLeft w:val="0"/>
          <w:marRight w:val="0"/>
          <w:marTop w:val="0"/>
          <w:marBottom w:val="0"/>
          <w:divBdr>
            <w:top w:val="none" w:sz="0" w:space="0" w:color="auto"/>
            <w:left w:val="none" w:sz="0" w:space="0" w:color="auto"/>
            <w:bottom w:val="none" w:sz="0" w:space="0" w:color="auto"/>
            <w:right w:val="none" w:sz="0" w:space="0" w:color="auto"/>
          </w:divBdr>
        </w:div>
        <w:div w:id="803812278">
          <w:marLeft w:val="0"/>
          <w:marRight w:val="0"/>
          <w:marTop w:val="0"/>
          <w:marBottom w:val="0"/>
          <w:divBdr>
            <w:top w:val="none" w:sz="0" w:space="0" w:color="auto"/>
            <w:left w:val="none" w:sz="0" w:space="0" w:color="auto"/>
            <w:bottom w:val="none" w:sz="0" w:space="0" w:color="auto"/>
            <w:right w:val="none" w:sz="0" w:space="0" w:color="auto"/>
          </w:divBdr>
        </w:div>
        <w:div w:id="1500273778">
          <w:marLeft w:val="0"/>
          <w:marRight w:val="0"/>
          <w:marTop w:val="0"/>
          <w:marBottom w:val="0"/>
          <w:divBdr>
            <w:top w:val="none" w:sz="0" w:space="0" w:color="auto"/>
            <w:left w:val="none" w:sz="0" w:space="0" w:color="auto"/>
            <w:bottom w:val="none" w:sz="0" w:space="0" w:color="auto"/>
            <w:right w:val="none" w:sz="0" w:space="0" w:color="auto"/>
          </w:divBdr>
        </w:div>
        <w:div w:id="1598706472">
          <w:marLeft w:val="0"/>
          <w:marRight w:val="0"/>
          <w:marTop w:val="0"/>
          <w:marBottom w:val="0"/>
          <w:divBdr>
            <w:top w:val="none" w:sz="0" w:space="0" w:color="auto"/>
            <w:left w:val="none" w:sz="0" w:space="0" w:color="auto"/>
            <w:bottom w:val="none" w:sz="0" w:space="0" w:color="auto"/>
            <w:right w:val="none" w:sz="0" w:space="0" w:color="auto"/>
          </w:divBdr>
        </w:div>
        <w:div w:id="2000307098">
          <w:marLeft w:val="0"/>
          <w:marRight w:val="0"/>
          <w:marTop w:val="0"/>
          <w:marBottom w:val="0"/>
          <w:divBdr>
            <w:top w:val="none" w:sz="0" w:space="0" w:color="auto"/>
            <w:left w:val="none" w:sz="0" w:space="0" w:color="auto"/>
            <w:bottom w:val="none" w:sz="0" w:space="0" w:color="auto"/>
            <w:right w:val="none" w:sz="0" w:space="0" w:color="auto"/>
          </w:divBdr>
        </w:div>
      </w:divsChild>
    </w:div>
    <w:div w:id="342753852">
      <w:bodyDiv w:val="1"/>
      <w:marLeft w:val="0"/>
      <w:marRight w:val="0"/>
      <w:marTop w:val="0"/>
      <w:marBottom w:val="0"/>
      <w:divBdr>
        <w:top w:val="none" w:sz="0" w:space="0" w:color="auto"/>
        <w:left w:val="none" w:sz="0" w:space="0" w:color="auto"/>
        <w:bottom w:val="none" w:sz="0" w:space="0" w:color="auto"/>
        <w:right w:val="none" w:sz="0" w:space="0" w:color="auto"/>
      </w:divBdr>
    </w:div>
    <w:div w:id="505022468">
      <w:bodyDiv w:val="1"/>
      <w:marLeft w:val="0"/>
      <w:marRight w:val="0"/>
      <w:marTop w:val="0"/>
      <w:marBottom w:val="0"/>
      <w:divBdr>
        <w:top w:val="none" w:sz="0" w:space="0" w:color="auto"/>
        <w:left w:val="none" w:sz="0" w:space="0" w:color="auto"/>
        <w:bottom w:val="none" w:sz="0" w:space="0" w:color="auto"/>
        <w:right w:val="none" w:sz="0" w:space="0" w:color="auto"/>
      </w:divBdr>
      <w:divsChild>
        <w:div w:id="1414937477">
          <w:marLeft w:val="0"/>
          <w:marRight w:val="0"/>
          <w:marTop w:val="0"/>
          <w:marBottom w:val="0"/>
          <w:divBdr>
            <w:top w:val="none" w:sz="0" w:space="0" w:color="auto"/>
            <w:left w:val="none" w:sz="0" w:space="0" w:color="auto"/>
            <w:bottom w:val="none" w:sz="0" w:space="0" w:color="auto"/>
            <w:right w:val="none" w:sz="0" w:space="0" w:color="auto"/>
          </w:divBdr>
          <w:divsChild>
            <w:div w:id="1400979118">
              <w:marLeft w:val="0"/>
              <w:marRight w:val="0"/>
              <w:marTop w:val="0"/>
              <w:marBottom w:val="0"/>
              <w:divBdr>
                <w:top w:val="none" w:sz="0" w:space="0" w:color="auto"/>
                <w:left w:val="none" w:sz="0" w:space="0" w:color="auto"/>
                <w:bottom w:val="none" w:sz="0" w:space="0" w:color="auto"/>
                <w:right w:val="none" w:sz="0" w:space="0" w:color="auto"/>
              </w:divBdr>
            </w:div>
            <w:div w:id="14572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3040">
      <w:bodyDiv w:val="1"/>
      <w:marLeft w:val="0"/>
      <w:marRight w:val="0"/>
      <w:marTop w:val="0"/>
      <w:marBottom w:val="0"/>
      <w:divBdr>
        <w:top w:val="none" w:sz="0" w:space="0" w:color="auto"/>
        <w:left w:val="none" w:sz="0" w:space="0" w:color="auto"/>
        <w:bottom w:val="none" w:sz="0" w:space="0" w:color="auto"/>
        <w:right w:val="none" w:sz="0" w:space="0" w:color="auto"/>
      </w:divBdr>
    </w:div>
    <w:div w:id="549079363">
      <w:bodyDiv w:val="1"/>
      <w:marLeft w:val="0"/>
      <w:marRight w:val="0"/>
      <w:marTop w:val="0"/>
      <w:marBottom w:val="0"/>
      <w:divBdr>
        <w:top w:val="none" w:sz="0" w:space="0" w:color="auto"/>
        <w:left w:val="none" w:sz="0" w:space="0" w:color="auto"/>
        <w:bottom w:val="none" w:sz="0" w:space="0" w:color="auto"/>
        <w:right w:val="none" w:sz="0" w:space="0" w:color="auto"/>
      </w:divBdr>
    </w:div>
    <w:div w:id="665744526">
      <w:bodyDiv w:val="1"/>
      <w:marLeft w:val="0"/>
      <w:marRight w:val="0"/>
      <w:marTop w:val="0"/>
      <w:marBottom w:val="0"/>
      <w:divBdr>
        <w:top w:val="none" w:sz="0" w:space="0" w:color="auto"/>
        <w:left w:val="none" w:sz="0" w:space="0" w:color="auto"/>
        <w:bottom w:val="none" w:sz="0" w:space="0" w:color="auto"/>
        <w:right w:val="none" w:sz="0" w:space="0" w:color="auto"/>
      </w:divBdr>
      <w:divsChild>
        <w:div w:id="59057032">
          <w:marLeft w:val="0"/>
          <w:marRight w:val="0"/>
          <w:marTop w:val="0"/>
          <w:marBottom w:val="0"/>
          <w:divBdr>
            <w:top w:val="none" w:sz="0" w:space="0" w:color="auto"/>
            <w:left w:val="none" w:sz="0" w:space="0" w:color="auto"/>
            <w:bottom w:val="none" w:sz="0" w:space="0" w:color="auto"/>
            <w:right w:val="none" w:sz="0" w:space="0" w:color="auto"/>
          </w:divBdr>
        </w:div>
        <w:div w:id="261688541">
          <w:marLeft w:val="0"/>
          <w:marRight w:val="0"/>
          <w:marTop w:val="0"/>
          <w:marBottom w:val="0"/>
          <w:divBdr>
            <w:top w:val="none" w:sz="0" w:space="0" w:color="auto"/>
            <w:left w:val="none" w:sz="0" w:space="0" w:color="auto"/>
            <w:bottom w:val="none" w:sz="0" w:space="0" w:color="auto"/>
            <w:right w:val="none" w:sz="0" w:space="0" w:color="auto"/>
          </w:divBdr>
        </w:div>
        <w:div w:id="299041957">
          <w:marLeft w:val="0"/>
          <w:marRight w:val="0"/>
          <w:marTop w:val="0"/>
          <w:marBottom w:val="0"/>
          <w:divBdr>
            <w:top w:val="none" w:sz="0" w:space="0" w:color="auto"/>
            <w:left w:val="none" w:sz="0" w:space="0" w:color="auto"/>
            <w:bottom w:val="none" w:sz="0" w:space="0" w:color="auto"/>
            <w:right w:val="none" w:sz="0" w:space="0" w:color="auto"/>
          </w:divBdr>
        </w:div>
        <w:div w:id="456217375">
          <w:marLeft w:val="0"/>
          <w:marRight w:val="0"/>
          <w:marTop w:val="0"/>
          <w:marBottom w:val="0"/>
          <w:divBdr>
            <w:top w:val="none" w:sz="0" w:space="0" w:color="auto"/>
            <w:left w:val="none" w:sz="0" w:space="0" w:color="auto"/>
            <w:bottom w:val="none" w:sz="0" w:space="0" w:color="auto"/>
            <w:right w:val="none" w:sz="0" w:space="0" w:color="auto"/>
          </w:divBdr>
        </w:div>
        <w:div w:id="861360230">
          <w:marLeft w:val="0"/>
          <w:marRight w:val="0"/>
          <w:marTop w:val="0"/>
          <w:marBottom w:val="0"/>
          <w:divBdr>
            <w:top w:val="none" w:sz="0" w:space="0" w:color="auto"/>
            <w:left w:val="none" w:sz="0" w:space="0" w:color="auto"/>
            <w:bottom w:val="none" w:sz="0" w:space="0" w:color="auto"/>
            <w:right w:val="none" w:sz="0" w:space="0" w:color="auto"/>
          </w:divBdr>
        </w:div>
        <w:div w:id="1850869711">
          <w:marLeft w:val="0"/>
          <w:marRight w:val="0"/>
          <w:marTop w:val="0"/>
          <w:marBottom w:val="0"/>
          <w:divBdr>
            <w:top w:val="none" w:sz="0" w:space="0" w:color="auto"/>
            <w:left w:val="none" w:sz="0" w:space="0" w:color="auto"/>
            <w:bottom w:val="none" w:sz="0" w:space="0" w:color="auto"/>
            <w:right w:val="none" w:sz="0" w:space="0" w:color="auto"/>
          </w:divBdr>
        </w:div>
      </w:divsChild>
    </w:div>
    <w:div w:id="684284843">
      <w:bodyDiv w:val="1"/>
      <w:marLeft w:val="0"/>
      <w:marRight w:val="0"/>
      <w:marTop w:val="0"/>
      <w:marBottom w:val="0"/>
      <w:divBdr>
        <w:top w:val="none" w:sz="0" w:space="0" w:color="auto"/>
        <w:left w:val="none" w:sz="0" w:space="0" w:color="auto"/>
        <w:bottom w:val="none" w:sz="0" w:space="0" w:color="auto"/>
        <w:right w:val="none" w:sz="0" w:space="0" w:color="auto"/>
      </w:divBdr>
    </w:div>
    <w:div w:id="744569179">
      <w:bodyDiv w:val="1"/>
      <w:marLeft w:val="0"/>
      <w:marRight w:val="0"/>
      <w:marTop w:val="0"/>
      <w:marBottom w:val="0"/>
      <w:divBdr>
        <w:top w:val="none" w:sz="0" w:space="0" w:color="auto"/>
        <w:left w:val="none" w:sz="0" w:space="0" w:color="auto"/>
        <w:bottom w:val="none" w:sz="0" w:space="0" w:color="auto"/>
        <w:right w:val="none" w:sz="0" w:space="0" w:color="auto"/>
      </w:divBdr>
      <w:divsChild>
        <w:div w:id="685524044">
          <w:marLeft w:val="0"/>
          <w:marRight w:val="0"/>
          <w:marTop w:val="0"/>
          <w:marBottom w:val="0"/>
          <w:divBdr>
            <w:top w:val="none" w:sz="0" w:space="0" w:color="auto"/>
            <w:left w:val="none" w:sz="0" w:space="0" w:color="auto"/>
            <w:bottom w:val="none" w:sz="0" w:space="0" w:color="auto"/>
            <w:right w:val="none" w:sz="0" w:space="0" w:color="auto"/>
          </w:divBdr>
        </w:div>
        <w:div w:id="742993097">
          <w:marLeft w:val="0"/>
          <w:marRight w:val="0"/>
          <w:marTop w:val="0"/>
          <w:marBottom w:val="0"/>
          <w:divBdr>
            <w:top w:val="none" w:sz="0" w:space="0" w:color="auto"/>
            <w:left w:val="none" w:sz="0" w:space="0" w:color="auto"/>
            <w:bottom w:val="none" w:sz="0" w:space="0" w:color="auto"/>
            <w:right w:val="none" w:sz="0" w:space="0" w:color="auto"/>
          </w:divBdr>
        </w:div>
        <w:div w:id="1076317978">
          <w:marLeft w:val="0"/>
          <w:marRight w:val="0"/>
          <w:marTop w:val="0"/>
          <w:marBottom w:val="0"/>
          <w:divBdr>
            <w:top w:val="none" w:sz="0" w:space="0" w:color="auto"/>
            <w:left w:val="none" w:sz="0" w:space="0" w:color="auto"/>
            <w:bottom w:val="none" w:sz="0" w:space="0" w:color="auto"/>
            <w:right w:val="none" w:sz="0" w:space="0" w:color="auto"/>
          </w:divBdr>
        </w:div>
      </w:divsChild>
    </w:div>
    <w:div w:id="810637845">
      <w:bodyDiv w:val="1"/>
      <w:marLeft w:val="0"/>
      <w:marRight w:val="0"/>
      <w:marTop w:val="0"/>
      <w:marBottom w:val="0"/>
      <w:divBdr>
        <w:top w:val="none" w:sz="0" w:space="0" w:color="auto"/>
        <w:left w:val="none" w:sz="0" w:space="0" w:color="auto"/>
        <w:bottom w:val="none" w:sz="0" w:space="0" w:color="auto"/>
        <w:right w:val="none" w:sz="0" w:space="0" w:color="auto"/>
      </w:divBdr>
    </w:div>
    <w:div w:id="937298569">
      <w:bodyDiv w:val="1"/>
      <w:marLeft w:val="0"/>
      <w:marRight w:val="0"/>
      <w:marTop w:val="0"/>
      <w:marBottom w:val="0"/>
      <w:divBdr>
        <w:top w:val="none" w:sz="0" w:space="0" w:color="auto"/>
        <w:left w:val="none" w:sz="0" w:space="0" w:color="auto"/>
        <w:bottom w:val="none" w:sz="0" w:space="0" w:color="auto"/>
        <w:right w:val="none" w:sz="0" w:space="0" w:color="auto"/>
      </w:divBdr>
      <w:divsChild>
        <w:div w:id="49230346">
          <w:marLeft w:val="0"/>
          <w:marRight w:val="0"/>
          <w:marTop w:val="0"/>
          <w:marBottom w:val="0"/>
          <w:divBdr>
            <w:top w:val="none" w:sz="0" w:space="0" w:color="auto"/>
            <w:left w:val="none" w:sz="0" w:space="0" w:color="auto"/>
            <w:bottom w:val="none" w:sz="0" w:space="0" w:color="auto"/>
            <w:right w:val="none" w:sz="0" w:space="0" w:color="auto"/>
          </w:divBdr>
        </w:div>
        <w:div w:id="608506501">
          <w:marLeft w:val="0"/>
          <w:marRight w:val="0"/>
          <w:marTop w:val="0"/>
          <w:marBottom w:val="0"/>
          <w:divBdr>
            <w:top w:val="none" w:sz="0" w:space="0" w:color="auto"/>
            <w:left w:val="none" w:sz="0" w:space="0" w:color="auto"/>
            <w:bottom w:val="none" w:sz="0" w:space="0" w:color="auto"/>
            <w:right w:val="none" w:sz="0" w:space="0" w:color="auto"/>
          </w:divBdr>
        </w:div>
        <w:div w:id="1121992980">
          <w:marLeft w:val="0"/>
          <w:marRight w:val="0"/>
          <w:marTop w:val="0"/>
          <w:marBottom w:val="0"/>
          <w:divBdr>
            <w:top w:val="none" w:sz="0" w:space="0" w:color="auto"/>
            <w:left w:val="none" w:sz="0" w:space="0" w:color="auto"/>
            <w:bottom w:val="none" w:sz="0" w:space="0" w:color="auto"/>
            <w:right w:val="none" w:sz="0" w:space="0" w:color="auto"/>
          </w:divBdr>
        </w:div>
      </w:divsChild>
    </w:div>
    <w:div w:id="963727880">
      <w:bodyDiv w:val="1"/>
      <w:marLeft w:val="0"/>
      <w:marRight w:val="0"/>
      <w:marTop w:val="0"/>
      <w:marBottom w:val="0"/>
      <w:divBdr>
        <w:top w:val="none" w:sz="0" w:space="0" w:color="auto"/>
        <w:left w:val="none" w:sz="0" w:space="0" w:color="auto"/>
        <w:bottom w:val="none" w:sz="0" w:space="0" w:color="auto"/>
        <w:right w:val="none" w:sz="0" w:space="0" w:color="auto"/>
      </w:divBdr>
      <w:divsChild>
        <w:div w:id="974144354">
          <w:marLeft w:val="0"/>
          <w:marRight w:val="0"/>
          <w:marTop w:val="0"/>
          <w:marBottom w:val="0"/>
          <w:divBdr>
            <w:top w:val="none" w:sz="0" w:space="0" w:color="auto"/>
            <w:left w:val="none" w:sz="0" w:space="0" w:color="auto"/>
            <w:bottom w:val="none" w:sz="0" w:space="0" w:color="auto"/>
            <w:right w:val="none" w:sz="0" w:space="0" w:color="auto"/>
          </w:divBdr>
          <w:divsChild>
            <w:div w:id="1051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5159">
      <w:bodyDiv w:val="1"/>
      <w:marLeft w:val="0"/>
      <w:marRight w:val="0"/>
      <w:marTop w:val="0"/>
      <w:marBottom w:val="0"/>
      <w:divBdr>
        <w:top w:val="none" w:sz="0" w:space="0" w:color="auto"/>
        <w:left w:val="none" w:sz="0" w:space="0" w:color="auto"/>
        <w:bottom w:val="none" w:sz="0" w:space="0" w:color="auto"/>
        <w:right w:val="none" w:sz="0" w:space="0" w:color="auto"/>
      </w:divBdr>
      <w:divsChild>
        <w:div w:id="721759450">
          <w:marLeft w:val="0"/>
          <w:marRight w:val="0"/>
          <w:marTop w:val="0"/>
          <w:marBottom w:val="0"/>
          <w:divBdr>
            <w:top w:val="none" w:sz="0" w:space="0" w:color="auto"/>
            <w:left w:val="none" w:sz="0" w:space="0" w:color="auto"/>
            <w:bottom w:val="none" w:sz="0" w:space="0" w:color="auto"/>
            <w:right w:val="none" w:sz="0" w:space="0" w:color="auto"/>
          </w:divBdr>
        </w:div>
        <w:div w:id="817458548">
          <w:marLeft w:val="0"/>
          <w:marRight w:val="0"/>
          <w:marTop w:val="0"/>
          <w:marBottom w:val="0"/>
          <w:divBdr>
            <w:top w:val="none" w:sz="0" w:space="0" w:color="auto"/>
            <w:left w:val="none" w:sz="0" w:space="0" w:color="auto"/>
            <w:bottom w:val="none" w:sz="0" w:space="0" w:color="auto"/>
            <w:right w:val="none" w:sz="0" w:space="0" w:color="auto"/>
          </w:divBdr>
        </w:div>
        <w:div w:id="934049478">
          <w:marLeft w:val="0"/>
          <w:marRight w:val="0"/>
          <w:marTop w:val="0"/>
          <w:marBottom w:val="0"/>
          <w:divBdr>
            <w:top w:val="none" w:sz="0" w:space="0" w:color="auto"/>
            <w:left w:val="none" w:sz="0" w:space="0" w:color="auto"/>
            <w:bottom w:val="none" w:sz="0" w:space="0" w:color="auto"/>
            <w:right w:val="none" w:sz="0" w:space="0" w:color="auto"/>
          </w:divBdr>
        </w:div>
        <w:div w:id="1071267217">
          <w:marLeft w:val="0"/>
          <w:marRight w:val="0"/>
          <w:marTop w:val="0"/>
          <w:marBottom w:val="0"/>
          <w:divBdr>
            <w:top w:val="none" w:sz="0" w:space="0" w:color="auto"/>
            <w:left w:val="none" w:sz="0" w:space="0" w:color="auto"/>
            <w:bottom w:val="none" w:sz="0" w:space="0" w:color="auto"/>
            <w:right w:val="none" w:sz="0" w:space="0" w:color="auto"/>
          </w:divBdr>
        </w:div>
        <w:div w:id="2035185951">
          <w:marLeft w:val="0"/>
          <w:marRight w:val="0"/>
          <w:marTop w:val="0"/>
          <w:marBottom w:val="0"/>
          <w:divBdr>
            <w:top w:val="none" w:sz="0" w:space="0" w:color="auto"/>
            <w:left w:val="none" w:sz="0" w:space="0" w:color="auto"/>
            <w:bottom w:val="none" w:sz="0" w:space="0" w:color="auto"/>
            <w:right w:val="none" w:sz="0" w:space="0" w:color="auto"/>
          </w:divBdr>
        </w:div>
      </w:divsChild>
    </w:div>
    <w:div w:id="1322469903">
      <w:bodyDiv w:val="1"/>
      <w:marLeft w:val="0"/>
      <w:marRight w:val="0"/>
      <w:marTop w:val="0"/>
      <w:marBottom w:val="0"/>
      <w:divBdr>
        <w:top w:val="none" w:sz="0" w:space="0" w:color="auto"/>
        <w:left w:val="none" w:sz="0" w:space="0" w:color="auto"/>
        <w:bottom w:val="none" w:sz="0" w:space="0" w:color="auto"/>
        <w:right w:val="none" w:sz="0" w:space="0" w:color="auto"/>
      </w:divBdr>
      <w:divsChild>
        <w:div w:id="241454579">
          <w:marLeft w:val="0"/>
          <w:marRight w:val="0"/>
          <w:marTop w:val="0"/>
          <w:marBottom w:val="0"/>
          <w:divBdr>
            <w:top w:val="none" w:sz="0" w:space="0" w:color="auto"/>
            <w:left w:val="none" w:sz="0" w:space="0" w:color="auto"/>
            <w:bottom w:val="none" w:sz="0" w:space="0" w:color="auto"/>
            <w:right w:val="none" w:sz="0" w:space="0" w:color="auto"/>
          </w:divBdr>
        </w:div>
        <w:div w:id="1924214362">
          <w:marLeft w:val="0"/>
          <w:marRight w:val="0"/>
          <w:marTop w:val="0"/>
          <w:marBottom w:val="0"/>
          <w:divBdr>
            <w:top w:val="none" w:sz="0" w:space="0" w:color="auto"/>
            <w:left w:val="none" w:sz="0" w:space="0" w:color="auto"/>
            <w:bottom w:val="none" w:sz="0" w:space="0" w:color="auto"/>
            <w:right w:val="none" w:sz="0" w:space="0" w:color="auto"/>
          </w:divBdr>
        </w:div>
      </w:divsChild>
    </w:div>
    <w:div w:id="1373386992">
      <w:bodyDiv w:val="1"/>
      <w:marLeft w:val="0"/>
      <w:marRight w:val="0"/>
      <w:marTop w:val="0"/>
      <w:marBottom w:val="0"/>
      <w:divBdr>
        <w:top w:val="none" w:sz="0" w:space="0" w:color="auto"/>
        <w:left w:val="none" w:sz="0" w:space="0" w:color="auto"/>
        <w:bottom w:val="none" w:sz="0" w:space="0" w:color="auto"/>
        <w:right w:val="none" w:sz="0" w:space="0" w:color="auto"/>
      </w:divBdr>
    </w:div>
    <w:div w:id="1377971310">
      <w:bodyDiv w:val="1"/>
      <w:marLeft w:val="0"/>
      <w:marRight w:val="0"/>
      <w:marTop w:val="0"/>
      <w:marBottom w:val="0"/>
      <w:divBdr>
        <w:top w:val="none" w:sz="0" w:space="0" w:color="auto"/>
        <w:left w:val="none" w:sz="0" w:space="0" w:color="auto"/>
        <w:bottom w:val="none" w:sz="0" w:space="0" w:color="auto"/>
        <w:right w:val="none" w:sz="0" w:space="0" w:color="auto"/>
      </w:divBdr>
      <w:divsChild>
        <w:div w:id="4141171">
          <w:marLeft w:val="0"/>
          <w:marRight w:val="0"/>
          <w:marTop w:val="0"/>
          <w:marBottom w:val="0"/>
          <w:divBdr>
            <w:top w:val="none" w:sz="0" w:space="0" w:color="auto"/>
            <w:left w:val="none" w:sz="0" w:space="0" w:color="auto"/>
            <w:bottom w:val="none" w:sz="0" w:space="0" w:color="auto"/>
            <w:right w:val="none" w:sz="0" w:space="0" w:color="auto"/>
          </w:divBdr>
        </w:div>
        <w:div w:id="799571583">
          <w:marLeft w:val="0"/>
          <w:marRight w:val="0"/>
          <w:marTop w:val="0"/>
          <w:marBottom w:val="0"/>
          <w:divBdr>
            <w:top w:val="none" w:sz="0" w:space="0" w:color="auto"/>
            <w:left w:val="none" w:sz="0" w:space="0" w:color="auto"/>
            <w:bottom w:val="none" w:sz="0" w:space="0" w:color="auto"/>
            <w:right w:val="none" w:sz="0" w:space="0" w:color="auto"/>
          </w:divBdr>
        </w:div>
      </w:divsChild>
    </w:div>
    <w:div w:id="1381898365">
      <w:bodyDiv w:val="1"/>
      <w:marLeft w:val="0"/>
      <w:marRight w:val="0"/>
      <w:marTop w:val="0"/>
      <w:marBottom w:val="0"/>
      <w:divBdr>
        <w:top w:val="none" w:sz="0" w:space="0" w:color="auto"/>
        <w:left w:val="none" w:sz="0" w:space="0" w:color="auto"/>
        <w:bottom w:val="none" w:sz="0" w:space="0" w:color="auto"/>
        <w:right w:val="none" w:sz="0" w:space="0" w:color="auto"/>
      </w:divBdr>
    </w:div>
    <w:div w:id="1421171837">
      <w:bodyDiv w:val="1"/>
      <w:marLeft w:val="0"/>
      <w:marRight w:val="0"/>
      <w:marTop w:val="0"/>
      <w:marBottom w:val="0"/>
      <w:divBdr>
        <w:top w:val="none" w:sz="0" w:space="0" w:color="auto"/>
        <w:left w:val="none" w:sz="0" w:space="0" w:color="auto"/>
        <w:bottom w:val="none" w:sz="0" w:space="0" w:color="auto"/>
        <w:right w:val="none" w:sz="0" w:space="0" w:color="auto"/>
      </w:divBdr>
      <w:divsChild>
        <w:div w:id="354312237">
          <w:marLeft w:val="0"/>
          <w:marRight w:val="0"/>
          <w:marTop w:val="0"/>
          <w:marBottom w:val="0"/>
          <w:divBdr>
            <w:top w:val="none" w:sz="0" w:space="0" w:color="auto"/>
            <w:left w:val="none" w:sz="0" w:space="0" w:color="auto"/>
            <w:bottom w:val="none" w:sz="0" w:space="0" w:color="auto"/>
            <w:right w:val="none" w:sz="0" w:space="0" w:color="auto"/>
          </w:divBdr>
        </w:div>
        <w:div w:id="1908153280">
          <w:marLeft w:val="0"/>
          <w:marRight w:val="0"/>
          <w:marTop w:val="0"/>
          <w:marBottom w:val="0"/>
          <w:divBdr>
            <w:top w:val="none" w:sz="0" w:space="0" w:color="auto"/>
            <w:left w:val="none" w:sz="0" w:space="0" w:color="auto"/>
            <w:bottom w:val="none" w:sz="0" w:space="0" w:color="auto"/>
            <w:right w:val="none" w:sz="0" w:space="0" w:color="auto"/>
          </w:divBdr>
        </w:div>
        <w:div w:id="2031687314">
          <w:marLeft w:val="0"/>
          <w:marRight w:val="0"/>
          <w:marTop w:val="0"/>
          <w:marBottom w:val="0"/>
          <w:divBdr>
            <w:top w:val="none" w:sz="0" w:space="0" w:color="auto"/>
            <w:left w:val="none" w:sz="0" w:space="0" w:color="auto"/>
            <w:bottom w:val="none" w:sz="0" w:space="0" w:color="auto"/>
            <w:right w:val="none" w:sz="0" w:space="0" w:color="auto"/>
          </w:divBdr>
        </w:div>
      </w:divsChild>
    </w:div>
    <w:div w:id="1561289809">
      <w:bodyDiv w:val="1"/>
      <w:marLeft w:val="0"/>
      <w:marRight w:val="0"/>
      <w:marTop w:val="0"/>
      <w:marBottom w:val="0"/>
      <w:divBdr>
        <w:top w:val="none" w:sz="0" w:space="0" w:color="auto"/>
        <w:left w:val="none" w:sz="0" w:space="0" w:color="auto"/>
        <w:bottom w:val="none" w:sz="0" w:space="0" w:color="auto"/>
        <w:right w:val="none" w:sz="0" w:space="0" w:color="auto"/>
      </w:divBdr>
    </w:div>
    <w:div w:id="1565724596">
      <w:bodyDiv w:val="1"/>
      <w:marLeft w:val="0"/>
      <w:marRight w:val="0"/>
      <w:marTop w:val="0"/>
      <w:marBottom w:val="0"/>
      <w:divBdr>
        <w:top w:val="none" w:sz="0" w:space="0" w:color="auto"/>
        <w:left w:val="none" w:sz="0" w:space="0" w:color="auto"/>
        <w:bottom w:val="none" w:sz="0" w:space="0" w:color="auto"/>
        <w:right w:val="none" w:sz="0" w:space="0" w:color="auto"/>
      </w:divBdr>
      <w:divsChild>
        <w:div w:id="321198287">
          <w:marLeft w:val="0"/>
          <w:marRight w:val="0"/>
          <w:marTop w:val="0"/>
          <w:marBottom w:val="0"/>
          <w:divBdr>
            <w:top w:val="none" w:sz="0" w:space="0" w:color="auto"/>
            <w:left w:val="none" w:sz="0" w:space="0" w:color="auto"/>
            <w:bottom w:val="none" w:sz="0" w:space="0" w:color="auto"/>
            <w:right w:val="none" w:sz="0" w:space="0" w:color="auto"/>
          </w:divBdr>
        </w:div>
        <w:div w:id="408387112">
          <w:marLeft w:val="0"/>
          <w:marRight w:val="0"/>
          <w:marTop w:val="0"/>
          <w:marBottom w:val="0"/>
          <w:divBdr>
            <w:top w:val="none" w:sz="0" w:space="0" w:color="auto"/>
            <w:left w:val="none" w:sz="0" w:space="0" w:color="auto"/>
            <w:bottom w:val="none" w:sz="0" w:space="0" w:color="auto"/>
            <w:right w:val="none" w:sz="0" w:space="0" w:color="auto"/>
          </w:divBdr>
        </w:div>
        <w:div w:id="738751251">
          <w:marLeft w:val="0"/>
          <w:marRight w:val="0"/>
          <w:marTop w:val="0"/>
          <w:marBottom w:val="0"/>
          <w:divBdr>
            <w:top w:val="none" w:sz="0" w:space="0" w:color="auto"/>
            <w:left w:val="none" w:sz="0" w:space="0" w:color="auto"/>
            <w:bottom w:val="none" w:sz="0" w:space="0" w:color="auto"/>
            <w:right w:val="none" w:sz="0" w:space="0" w:color="auto"/>
          </w:divBdr>
        </w:div>
        <w:div w:id="1126972306">
          <w:marLeft w:val="0"/>
          <w:marRight w:val="0"/>
          <w:marTop w:val="0"/>
          <w:marBottom w:val="0"/>
          <w:divBdr>
            <w:top w:val="none" w:sz="0" w:space="0" w:color="auto"/>
            <w:left w:val="none" w:sz="0" w:space="0" w:color="auto"/>
            <w:bottom w:val="none" w:sz="0" w:space="0" w:color="auto"/>
            <w:right w:val="none" w:sz="0" w:space="0" w:color="auto"/>
          </w:divBdr>
        </w:div>
        <w:div w:id="1371955150">
          <w:marLeft w:val="0"/>
          <w:marRight w:val="0"/>
          <w:marTop w:val="0"/>
          <w:marBottom w:val="0"/>
          <w:divBdr>
            <w:top w:val="none" w:sz="0" w:space="0" w:color="auto"/>
            <w:left w:val="none" w:sz="0" w:space="0" w:color="auto"/>
            <w:bottom w:val="none" w:sz="0" w:space="0" w:color="auto"/>
            <w:right w:val="none" w:sz="0" w:space="0" w:color="auto"/>
          </w:divBdr>
        </w:div>
        <w:div w:id="1726098382">
          <w:marLeft w:val="0"/>
          <w:marRight w:val="0"/>
          <w:marTop w:val="0"/>
          <w:marBottom w:val="0"/>
          <w:divBdr>
            <w:top w:val="none" w:sz="0" w:space="0" w:color="auto"/>
            <w:left w:val="none" w:sz="0" w:space="0" w:color="auto"/>
            <w:bottom w:val="none" w:sz="0" w:space="0" w:color="auto"/>
            <w:right w:val="none" w:sz="0" w:space="0" w:color="auto"/>
          </w:divBdr>
        </w:div>
        <w:div w:id="2002539892">
          <w:marLeft w:val="0"/>
          <w:marRight w:val="0"/>
          <w:marTop w:val="0"/>
          <w:marBottom w:val="0"/>
          <w:divBdr>
            <w:top w:val="none" w:sz="0" w:space="0" w:color="auto"/>
            <w:left w:val="none" w:sz="0" w:space="0" w:color="auto"/>
            <w:bottom w:val="none" w:sz="0" w:space="0" w:color="auto"/>
            <w:right w:val="none" w:sz="0" w:space="0" w:color="auto"/>
          </w:divBdr>
        </w:div>
      </w:divsChild>
    </w:div>
    <w:div w:id="1639729108">
      <w:bodyDiv w:val="1"/>
      <w:marLeft w:val="0"/>
      <w:marRight w:val="0"/>
      <w:marTop w:val="0"/>
      <w:marBottom w:val="0"/>
      <w:divBdr>
        <w:top w:val="none" w:sz="0" w:space="0" w:color="auto"/>
        <w:left w:val="none" w:sz="0" w:space="0" w:color="auto"/>
        <w:bottom w:val="none" w:sz="0" w:space="0" w:color="auto"/>
        <w:right w:val="none" w:sz="0" w:space="0" w:color="auto"/>
      </w:divBdr>
    </w:div>
    <w:div w:id="1658269404">
      <w:bodyDiv w:val="1"/>
      <w:marLeft w:val="0"/>
      <w:marRight w:val="0"/>
      <w:marTop w:val="0"/>
      <w:marBottom w:val="0"/>
      <w:divBdr>
        <w:top w:val="none" w:sz="0" w:space="0" w:color="auto"/>
        <w:left w:val="none" w:sz="0" w:space="0" w:color="auto"/>
        <w:bottom w:val="none" w:sz="0" w:space="0" w:color="auto"/>
        <w:right w:val="none" w:sz="0" w:space="0" w:color="auto"/>
      </w:divBdr>
    </w:div>
    <w:div w:id="1745446755">
      <w:bodyDiv w:val="1"/>
      <w:marLeft w:val="0"/>
      <w:marRight w:val="0"/>
      <w:marTop w:val="0"/>
      <w:marBottom w:val="0"/>
      <w:divBdr>
        <w:top w:val="none" w:sz="0" w:space="0" w:color="auto"/>
        <w:left w:val="none" w:sz="0" w:space="0" w:color="auto"/>
        <w:bottom w:val="none" w:sz="0" w:space="0" w:color="auto"/>
        <w:right w:val="none" w:sz="0" w:space="0" w:color="auto"/>
      </w:divBdr>
    </w:div>
    <w:div w:id="1812164496">
      <w:bodyDiv w:val="1"/>
      <w:marLeft w:val="0"/>
      <w:marRight w:val="0"/>
      <w:marTop w:val="0"/>
      <w:marBottom w:val="0"/>
      <w:divBdr>
        <w:top w:val="none" w:sz="0" w:space="0" w:color="auto"/>
        <w:left w:val="none" w:sz="0" w:space="0" w:color="auto"/>
        <w:bottom w:val="none" w:sz="0" w:space="0" w:color="auto"/>
        <w:right w:val="none" w:sz="0" w:space="0" w:color="auto"/>
      </w:divBdr>
    </w:div>
    <w:div w:id="1955669242">
      <w:bodyDiv w:val="1"/>
      <w:marLeft w:val="0"/>
      <w:marRight w:val="0"/>
      <w:marTop w:val="0"/>
      <w:marBottom w:val="0"/>
      <w:divBdr>
        <w:top w:val="none" w:sz="0" w:space="0" w:color="auto"/>
        <w:left w:val="none" w:sz="0" w:space="0" w:color="auto"/>
        <w:bottom w:val="none" w:sz="0" w:space="0" w:color="auto"/>
        <w:right w:val="none" w:sz="0" w:space="0" w:color="auto"/>
      </w:divBdr>
      <w:divsChild>
        <w:div w:id="444346908">
          <w:marLeft w:val="0"/>
          <w:marRight w:val="0"/>
          <w:marTop w:val="0"/>
          <w:marBottom w:val="0"/>
          <w:divBdr>
            <w:top w:val="none" w:sz="0" w:space="0" w:color="auto"/>
            <w:left w:val="none" w:sz="0" w:space="0" w:color="auto"/>
            <w:bottom w:val="none" w:sz="0" w:space="0" w:color="auto"/>
            <w:right w:val="none" w:sz="0" w:space="0" w:color="auto"/>
          </w:divBdr>
        </w:div>
        <w:div w:id="733164312">
          <w:marLeft w:val="0"/>
          <w:marRight w:val="0"/>
          <w:marTop w:val="0"/>
          <w:marBottom w:val="0"/>
          <w:divBdr>
            <w:top w:val="none" w:sz="0" w:space="0" w:color="auto"/>
            <w:left w:val="none" w:sz="0" w:space="0" w:color="auto"/>
            <w:bottom w:val="none" w:sz="0" w:space="0" w:color="auto"/>
            <w:right w:val="none" w:sz="0" w:space="0" w:color="auto"/>
          </w:divBdr>
        </w:div>
        <w:div w:id="1141382201">
          <w:marLeft w:val="0"/>
          <w:marRight w:val="0"/>
          <w:marTop w:val="0"/>
          <w:marBottom w:val="0"/>
          <w:divBdr>
            <w:top w:val="none" w:sz="0" w:space="0" w:color="auto"/>
            <w:left w:val="none" w:sz="0" w:space="0" w:color="auto"/>
            <w:bottom w:val="none" w:sz="0" w:space="0" w:color="auto"/>
            <w:right w:val="none" w:sz="0" w:space="0" w:color="auto"/>
          </w:divBdr>
        </w:div>
        <w:div w:id="1433553462">
          <w:marLeft w:val="0"/>
          <w:marRight w:val="0"/>
          <w:marTop w:val="0"/>
          <w:marBottom w:val="0"/>
          <w:divBdr>
            <w:top w:val="none" w:sz="0" w:space="0" w:color="auto"/>
            <w:left w:val="none" w:sz="0" w:space="0" w:color="auto"/>
            <w:bottom w:val="none" w:sz="0" w:space="0" w:color="auto"/>
            <w:right w:val="none" w:sz="0" w:space="0" w:color="auto"/>
          </w:divBdr>
        </w:div>
      </w:divsChild>
    </w:div>
    <w:div w:id="1989435937">
      <w:bodyDiv w:val="1"/>
      <w:marLeft w:val="0"/>
      <w:marRight w:val="0"/>
      <w:marTop w:val="0"/>
      <w:marBottom w:val="0"/>
      <w:divBdr>
        <w:top w:val="none" w:sz="0" w:space="0" w:color="auto"/>
        <w:left w:val="none" w:sz="0" w:space="0" w:color="auto"/>
        <w:bottom w:val="none" w:sz="0" w:space="0" w:color="auto"/>
        <w:right w:val="none" w:sz="0" w:space="0" w:color="auto"/>
      </w:divBdr>
    </w:div>
    <w:div w:id="2016104000">
      <w:bodyDiv w:val="1"/>
      <w:marLeft w:val="0"/>
      <w:marRight w:val="0"/>
      <w:marTop w:val="0"/>
      <w:marBottom w:val="0"/>
      <w:divBdr>
        <w:top w:val="none" w:sz="0" w:space="0" w:color="auto"/>
        <w:left w:val="none" w:sz="0" w:space="0" w:color="auto"/>
        <w:bottom w:val="none" w:sz="0" w:space="0" w:color="auto"/>
        <w:right w:val="none" w:sz="0" w:space="0" w:color="auto"/>
      </w:divBdr>
    </w:div>
    <w:div w:id="2030518691">
      <w:bodyDiv w:val="1"/>
      <w:marLeft w:val="0"/>
      <w:marRight w:val="0"/>
      <w:marTop w:val="0"/>
      <w:marBottom w:val="0"/>
      <w:divBdr>
        <w:top w:val="none" w:sz="0" w:space="0" w:color="auto"/>
        <w:left w:val="none" w:sz="0" w:space="0" w:color="auto"/>
        <w:bottom w:val="none" w:sz="0" w:space="0" w:color="auto"/>
        <w:right w:val="none" w:sz="0" w:space="0" w:color="auto"/>
      </w:divBdr>
      <w:divsChild>
        <w:div w:id="587928957">
          <w:marLeft w:val="0"/>
          <w:marRight w:val="0"/>
          <w:marTop w:val="0"/>
          <w:marBottom w:val="0"/>
          <w:divBdr>
            <w:top w:val="none" w:sz="0" w:space="0" w:color="auto"/>
            <w:left w:val="none" w:sz="0" w:space="0" w:color="auto"/>
            <w:bottom w:val="none" w:sz="0" w:space="0" w:color="auto"/>
            <w:right w:val="none" w:sz="0" w:space="0" w:color="auto"/>
          </w:divBdr>
        </w:div>
        <w:div w:id="1300301612">
          <w:marLeft w:val="0"/>
          <w:marRight w:val="0"/>
          <w:marTop w:val="0"/>
          <w:marBottom w:val="0"/>
          <w:divBdr>
            <w:top w:val="none" w:sz="0" w:space="0" w:color="auto"/>
            <w:left w:val="none" w:sz="0" w:space="0" w:color="auto"/>
            <w:bottom w:val="none" w:sz="0" w:space="0" w:color="auto"/>
            <w:right w:val="none" w:sz="0" w:space="0" w:color="auto"/>
          </w:divBdr>
        </w:div>
      </w:divsChild>
    </w:div>
    <w:div w:id="2081754299">
      <w:bodyDiv w:val="1"/>
      <w:marLeft w:val="0"/>
      <w:marRight w:val="0"/>
      <w:marTop w:val="0"/>
      <w:marBottom w:val="0"/>
      <w:divBdr>
        <w:top w:val="none" w:sz="0" w:space="0" w:color="auto"/>
        <w:left w:val="none" w:sz="0" w:space="0" w:color="auto"/>
        <w:bottom w:val="none" w:sz="0" w:space="0" w:color="auto"/>
        <w:right w:val="none" w:sz="0" w:space="0" w:color="auto"/>
      </w:divBdr>
      <w:divsChild>
        <w:div w:id="189808123">
          <w:marLeft w:val="0"/>
          <w:marRight w:val="0"/>
          <w:marTop w:val="0"/>
          <w:marBottom w:val="0"/>
          <w:divBdr>
            <w:top w:val="none" w:sz="0" w:space="0" w:color="auto"/>
            <w:left w:val="none" w:sz="0" w:space="0" w:color="auto"/>
            <w:bottom w:val="none" w:sz="0" w:space="0" w:color="auto"/>
            <w:right w:val="none" w:sz="0" w:space="0" w:color="auto"/>
          </w:divBdr>
        </w:div>
        <w:div w:id="1037926305">
          <w:marLeft w:val="0"/>
          <w:marRight w:val="0"/>
          <w:marTop w:val="0"/>
          <w:marBottom w:val="0"/>
          <w:divBdr>
            <w:top w:val="none" w:sz="0" w:space="0" w:color="auto"/>
            <w:left w:val="none" w:sz="0" w:space="0" w:color="auto"/>
            <w:bottom w:val="none" w:sz="0" w:space="0" w:color="auto"/>
            <w:right w:val="none" w:sz="0" w:space="0" w:color="auto"/>
          </w:divBdr>
        </w:div>
        <w:div w:id="1860509321">
          <w:marLeft w:val="0"/>
          <w:marRight w:val="0"/>
          <w:marTop w:val="0"/>
          <w:marBottom w:val="0"/>
          <w:divBdr>
            <w:top w:val="none" w:sz="0" w:space="0" w:color="auto"/>
            <w:left w:val="none" w:sz="0" w:space="0" w:color="auto"/>
            <w:bottom w:val="none" w:sz="0" w:space="0" w:color="auto"/>
            <w:right w:val="none" w:sz="0" w:space="0" w:color="auto"/>
          </w:divBdr>
        </w:div>
        <w:div w:id="1907452798">
          <w:marLeft w:val="0"/>
          <w:marRight w:val="0"/>
          <w:marTop w:val="0"/>
          <w:marBottom w:val="0"/>
          <w:divBdr>
            <w:top w:val="none" w:sz="0" w:space="0" w:color="auto"/>
            <w:left w:val="none" w:sz="0" w:space="0" w:color="auto"/>
            <w:bottom w:val="none" w:sz="0" w:space="0" w:color="auto"/>
            <w:right w:val="none" w:sz="0" w:space="0" w:color="auto"/>
          </w:divBdr>
        </w:div>
        <w:div w:id="2019187933">
          <w:marLeft w:val="0"/>
          <w:marRight w:val="0"/>
          <w:marTop w:val="0"/>
          <w:marBottom w:val="0"/>
          <w:divBdr>
            <w:top w:val="none" w:sz="0" w:space="0" w:color="auto"/>
            <w:left w:val="none" w:sz="0" w:space="0" w:color="auto"/>
            <w:bottom w:val="none" w:sz="0" w:space="0" w:color="auto"/>
            <w:right w:val="none" w:sz="0" w:space="0" w:color="auto"/>
          </w:divBdr>
        </w:div>
      </w:divsChild>
    </w:div>
    <w:div w:id="2100053234">
      <w:bodyDiv w:val="1"/>
      <w:marLeft w:val="0"/>
      <w:marRight w:val="0"/>
      <w:marTop w:val="0"/>
      <w:marBottom w:val="0"/>
      <w:divBdr>
        <w:top w:val="none" w:sz="0" w:space="0" w:color="auto"/>
        <w:left w:val="none" w:sz="0" w:space="0" w:color="auto"/>
        <w:bottom w:val="none" w:sz="0" w:space="0" w:color="auto"/>
        <w:right w:val="none" w:sz="0" w:space="0" w:color="auto"/>
      </w:divBdr>
    </w:div>
    <w:div w:id="2124690679">
      <w:bodyDiv w:val="1"/>
      <w:marLeft w:val="0"/>
      <w:marRight w:val="0"/>
      <w:marTop w:val="0"/>
      <w:marBottom w:val="0"/>
      <w:divBdr>
        <w:top w:val="none" w:sz="0" w:space="0" w:color="auto"/>
        <w:left w:val="none" w:sz="0" w:space="0" w:color="auto"/>
        <w:bottom w:val="none" w:sz="0" w:space="0" w:color="auto"/>
        <w:right w:val="none" w:sz="0" w:space="0" w:color="auto"/>
      </w:divBdr>
      <w:divsChild>
        <w:div w:id="973369909">
          <w:marLeft w:val="0"/>
          <w:marRight w:val="0"/>
          <w:marTop w:val="30"/>
          <w:marBottom w:val="30"/>
          <w:divBdr>
            <w:top w:val="none" w:sz="0" w:space="0" w:color="auto"/>
            <w:left w:val="none" w:sz="0" w:space="0" w:color="auto"/>
            <w:bottom w:val="none" w:sz="0" w:space="0" w:color="auto"/>
            <w:right w:val="none" w:sz="0" w:space="0" w:color="auto"/>
          </w:divBdr>
          <w:divsChild>
            <w:div w:id="649552653">
              <w:marLeft w:val="0"/>
              <w:marRight w:val="0"/>
              <w:marTop w:val="0"/>
              <w:marBottom w:val="0"/>
              <w:divBdr>
                <w:top w:val="none" w:sz="0" w:space="0" w:color="auto"/>
                <w:left w:val="none" w:sz="0" w:space="0" w:color="auto"/>
                <w:bottom w:val="none" w:sz="0" w:space="0" w:color="auto"/>
                <w:right w:val="none" w:sz="0" w:space="0" w:color="auto"/>
              </w:divBdr>
              <w:divsChild>
                <w:div w:id="447238908">
                  <w:marLeft w:val="0"/>
                  <w:marRight w:val="0"/>
                  <w:marTop w:val="0"/>
                  <w:marBottom w:val="0"/>
                  <w:divBdr>
                    <w:top w:val="none" w:sz="0" w:space="0" w:color="auto"/>
                    <w:left w:val="none" w:sz="0" w:space="0" w:color="auto"/>
                    <w:bottom w:val="none" w:sz="0" w:space="0" w:color="auto"/>
                    <w:right w:val="none" w:sz="0" w:space="0" w:color="auto"/>
                  </w:divBdr>
                </w:div>
              </w:divsChild>
            </w:div>
            <w:div w:id="872615356">
              <w:marLeft w:val="0"/>
              <w:marRight w:val="0"/>
              <w:marTop w:val="0"/>
              <w:marBottom w:val="0"/>
              <w:divBdr>
                <w:top w:val="none" w:sz="0" w:space="0" w:color="auto"/>
                <w:left w:val="none" w:sz="0" w:space="0" w:color="auto"/>
                <w:bottom w:val="none" w:sz="0" w:space="0" w:color="auto"/>
                <w:right w:val="none" w:sz="0" w:space="0" w:color="auto"/>
              </w:divBdr>
              <w:divsChild>
                <w:div w:id="7563412">
                  <w:marLeft w:val="0"/>
                  <w:marRight w:val="0"/>
                  <w:marTop w:val="0"/>
                  <w:marBottom w:val="0"/>
                  <w:divBdr>
                    <w:top w:val="none" w:sz="0" w:space="0" w:color="auto"/>
                    <w:left w:val="none" w:sz="0" w:space="0" w:color="auto"/>
                    <w:bottom w:val="none" w:sz="0" w:space="0" w:color="auto"/>
                    <w:right w:val="none" w:sz="0" w:space="0" w:color="auto"/>
                  </w:divBdr>
                </w:div>
                <w:div w:id="18895077">
                  <w:marLeft w:val="0"/>
                  <w:marRight w:val="0"/>
                  <w:marTop w:val="0"/>
                  <w:marBottom w:val="0"/>
                  <w:divBdr>
                    <w:top w:val="none" w:sz="0" w:space="0" w:color="auto"/>
                    <w:left w:val="none" w:sz="0" w:space="0" w:color="auto"/>
                    <w:bottom w:val="none" w:sz="0" w:space="0" w:color="auto"/>
                    <w:right w:val="none" w:sz="0" w:space="0" w:color="auto"/>
                  </w:divBdr>
                </w:div>
                <w:div w:id="832062845">
                  <w:marLeft w:val="0"/>
                  <w:marRight w:val="0"/>
                  <w:marTop w:val="0"/>
                  <w:marBottom w:val="0"/>
                  <w:divBdr>
                    <w:top w:val="none" w:sz="0" w:space="0" w:color="auto"/>
                    <w:left w:val="none" w:sz="0" w:space="0" w:color="auto"/>
                    <w:bottom w:val="none" w:sz="0" w:space="0" w:color="auto"/>
                    <w:right w:val="none" w:sz="0" w:space="0" w:color="auto"/>
                  </w:divBdr>
                </w:div>
                <w:div w:id="864633945">
                  <w:marLeft w:val="0"/>
                  <w:marRight w:val="0"/>
                  <w:marTop w:val="0"/>
                  <w:marBottom w:val="0"/>
                  <w:divBdr>
                    <w:top w:val="none" w:sz="0" w:space="0" w:color="auto"/>
                    <w:left w:val="none" w:sz="0" w:space="0" w:color="auto"/>
                    <w:bottom w:val="none" w:sz="0" w:space="0" w:color="auto"/>
                    <w:right w:val="none" w:sz="0" w:space="0" w:color="auto"/>
                  </w:divBdr>
                </w:div>
                <w:div w:id="963467532">
                  <w:marLeft w:val="0"/>
                  <w:marRight w:val="0"/>
                  <w:marTop w:val="0"/>
                  <w:marBottom w:val="0"/>
                  <w:divBdr>
                    <w:top w:val="none" w:sz="0" w:space="0" w:color="auto"/>
                    <w:left w:val="none" w:sz="0" w:space="0" w:color="auto"/>
                    <w:bottom w:val="none" w:sz="0" w:space="0" w:color="auto"/>
                    <w:right w:val="none" w:sz="0" w:space="0" w:color="auto"/>
                  </w:divBdr>
                </w:div>
                <w:div w:id="1789622327">
                  <w:marLeft w:val="0"/>
                  <w:marRight w:val="0"/>
                  <w:marTop w:val="0"/>
                  <w:marBottom w:val="0"/>
                  <w:divBdr>
                    <w:top w:val="none" w:sz="0" w:space="0" w:color="auto"/>
                    <w:left w:val="none" w:sz="0" w:space="0" w:color="auto"/>
                    <w:bottom w:val="none" w:sz="0" w:space="0" w:color="auto"/>
                    <w:right w:val="none" w:sz="0" w:space="0" w:color="auto"/>
                  </w:divBdr>
                </w:div>
              </w:divsChild>
            </w:div>
            <w:div w:id="1211379835">
              <w:marLeft w:val="0"/>
              <w:marRight w:val="0"/>
              <w:marTop w:val="0"/>
              <w:marBottom w:val="0"/>
              <w:divBdr>
                <w:top w:val="none" w:sz="0" w:space="0" w:color="auto"/>
                <w:left w:val="none" w:sz="0" w:space="0" w:color="auto"/>
                <w:bottom w:val="none" w:sz="0" w:space="0" w:color="auto"/>
                <w:right w:val="none" w:sz="0" w:space="0" w:color="auto"/>
              </w:divBdr>
              <w:divsChild>
                <w:div w:id="699008813">
                  <w:marLeft w:val="0"/>
                  <w:marRight w:val="0"/>
                  <w:marTop w:val="0"/>
                  <w:marBottom w:val="0"/>
                  <w:divBdr>
                    <w:top w:val="none" w:sz="0" w:space="0" w:color="auto"/>
                    <w:left w:val="none" w:sz="0" w:space="0" w:color="auto"/>
                    <w:bottom w:val="none" w:sz="0" w:space="0" w:color="auto"/>
                    <w:right w:val="none" w:sz="0" w:space="0" w:color="auto"/>
                  </w:divBdr>
                </w:div>
              </w:divsChild>
            </w:div>
            <w:div w:id="1258907857">
              <w:marLeft w:val="0"/>
              <w:marRight w:val="0"/>
              <w:marTop w:val="0"/>
              <w:marBottom w:val="0"/>
              <w:divBdr>
                <w:top w:val="none" w:sz="0" w:space="0" w:color="auto"/>
                <w:left w:val="none" w:sz="0" w:space="0" w:color="auto"/>
                <w:bottom w:val="none" w:sz="0" w:space="0" w:color="auto"/>
                <w:right w:val="none" w:sz="0" w:space="0" w:color="auto"/>
              </w:divBdr>
              <w:divsChild>
                <w:div w:id="37825742">
                  <w:marLeft w:val="0"/>
                  <w:marRight w:val="0"/>
                  <w:marTop w:val="0"/>
                  <w:marBottom w:val="0"/>
                  <w:divBdr>
                    <w:top w:val="none" w:sz="0" w:space="0" w:color="auto"/>
                    <w:left w:val="none" w:sz="0" w:space="0" w:color="auto"/>
                    <w:bottom w:val="none" w:sz="0" w:space="0" w:color="auto"/>
                    <w:right w:val="none" w:sz="0" w:space="0" w:color="auto"/>
                  </w:divBdr>
                </w:div>
                <w:div w:id="650712606">
                  <w:marLeft w:val="0"/>
                  <w:marRight w:val="0"/>
                  <w:marTop w:val="0"/>
                  <w:marBottom w:val="0"/>
                  <w:divBdr>
                    <w:top w:val="none" w:sz="0" w:space="0" w:color="auto"/>
                    <w:left w:val="none" w:sz="0" w:space="0" w:color="auto"/>
                    <w:bottom w:val="none" w:sz="0" w:space="0" w:color="auto"/>
                    <w:right w:val="none" w:sz="0" w:space="0" w:color="auto"/>
                  </w:divBdr>
                </w:div>
                <w:div w:id="862016056">
                  <w:marLeft w:val="0"/>
                  <w:marRight w:val="0"/>
                  <w:marTop w:val="0"/>
                  <w:marBottom w:val="0"/>
                  <w:divBdr>
                    <w:top w:val="none" w:sz="0" w:space="0" w:color="auto"/>
                    <w:left w:val="none" w:sz="0" w:space="0" w:color="auto"/>
                    <w:bottom w:val="none" w:sz="0" w:space="0" w:color="auto"/>
                    <w:right w:val="none" w:sz="0" w:space="0" w:color="auto"/>
                  </w:divBdr>
                </w:div>
                <w:div w:id="2120442006">
                  <w:marLeft w:val="0"/>
                  <w:marRight w:val="0"/>
                  <w:marTop w:val="0"/>
                  <w:marBottom w:val="0"/>
                  <w:divBdr>
                    <w:top w:val="none" w:sz="0" w:space="0" w:color="auto"/>
                    <w:left w:val="none" w:sz="0" w:space="0" w:color="auto"/>
                    <w:bottom w:val="none" w:sz="0" w:space="0" w:color="auto"/>
                    <w:right w:val="none" w:sz="0" w:space="0" w:color="auto"/>
                  </w:divBdr>
                </w:div>
              </w:divsChild>
            </w:div>
            <w:div w:id="1365910952">
              <w:marLeft w:val="0"/>
              <w:marRight w:val="0"/>
              <w:marTop w:val="0"/>
              <w:marBottom w:val="0"/>
              <w:divBdr>
                <w:top w:val="none" w:sz="0" w:space="0" w:color="auto"/>
                <w:left w:val="none" w:sz="0" w:space="0" w:color="auto"/>
                <w:bottom w:val="none" w:sz="0" w:space="0" w:color="auto"/>
                <w:right w:val="none" w:sz="0" w:space="0" w:color="auto"/>
              </w:divBdr>
              <w:divsChild>
                <w:div w:id="1708989507">
                  <w:marLeft w:val="0"/>
                  <w:marRight w:val="0"/>
                  <w:marTop w:val="0"/>
                  <w:marBottom w:val="0"/>
                  <w:divBdr>
                    <w:top w:val="none" w:sz="0" w:space="0" w:color="auto"/>
                    <w:left w:val="none" w:sz="0" w:space="0" w:color="auto"/>
                    <w:bottom w:val="none" w:sz="0" w:space="0" w:color="auto"/>
                    <w:right w:val="none" w:sz="0" w:space="0" w:color="auto"/>
                  </w:divBdr>
                </w:div>
              </w:divsChild>
            </w:div>
            <w:div w:id="1610698381">
              <w:marLeft w:val="0"/>
              <w:marRight w:val="0"/>
              <w:marTop w:val="0"/>
              <w:marBottom w:val="0"/>
              <w:divBdr>
                <w:top w:val="none" w:sz="0" w:space="0" w:color="auto"/>
                <w:left w:val="none" w:sz="0" w:space="0" w:color="auto"/>
                <w:bottom w:val="none" w:sz="0" w:space="0" w:color="auto"/>
                <w:right w:val="none" w:sz="0" w:space="0" w:color="auto"/>
              </w:divBdr>
              <w:divsChild>
                <w:div w:id="1909152396">
                  <w:marLeft w:val="0"/>
                  <w:marRight w:val="0"/>
                  <w:marTop w:val="0"/>
                  <w:marBottom w:val="0"/>
                  <w:divBdr>
                    <w:top w:val="none" w:sz="0" w:space="0" w:color="auto"/>
                    <w:left w:val="none" w:sz="0" w:space="0" w:color="auto"/>
                    <w:bottom w:val="none" w:sz="0" w:space="0" w:color="auto"/>
                    <w:right w:val="none" w:sz="0" w:space="0" w:color="auto"/>
                  </w:divBdr>
                </w:div>
              </w:divsChild>
            </w:div>
            <w:div w:id="1752698167">
              <w:marLeft w:val="0"/>
              <w:marRight w:val="0"/>
              <w:marTop w:val="0"/>
              <w:marBottom w:val="0"/>
              <w:divBdr>
                <w:top w:val="none" w:sz="0" w:space="0" w:color="auto"/>
                <w:left w:val="none" w:sz="0" w:space="0" w:color="auto"/>
                <w:bottom w:val="none" w:sz="0" w:space="0" w:color="auto"/>
                <w:right w:val="none" w:sz="0" w:space="0" w:color="auto"/>
              </w:divBdr>
              <w:divsChild>
                <w:div w:id="1234970916">
                  <w:marLeft w:val="0"/>
                  <w:marRight w:val="0"/>
                  <w:marTop w:val="0"/>
                  <w:marBottom w:val="0"/>
                  <w:divBdr>
                    <w:top w:val="none" w:sz="0" w:space="0" w:color="auto"/>
                    <w:left w:val="none" w:sz="0" w:space="0" w:color="auto"/>
                    <w:bottom w:val="none" w:sz="0" w:space="0" w:color="auto"/>
                    <w:right w:val="none" w:sz="0" w:space="0" w:color="auto"/>
                  </w:divBdr>
                </w:div>
              </w:divsChild>
            </w:div>
            <w:div w:id="1770739346">
              <w:marLeft w:val="0"/>
              <w:marRight w:val="0"/>
              <w:marTop w:val="0"/>
              <w:marBottom w:val="0"/>
              <w:divBdr>
                <w:top w:val="none" w:sz="0" w:space="0" w:color="auto"/>
                <w:left w:val="none" w:sz="0" w:space="0" w:color="auto"/>
                <w:bottom w:val="none" w:sz="0" w:space="0" w:color="auto"/>
                <w:right w:val="none" w:sz="0" w:space="0" w:color="auto"/>
              </w:divBdr>
              <w:divsChild>
                <w:div w:id="1368218129">
                  <w:marLeft w:val="0"/>
                  <w:marRight w:val="0"/>
                  <w:marTop w:val="0"/>
                  <w:marBottom w:val="0"/>
                  <w:divBdr>
                    <w:top w:val="none" w:sz="0" w:space="0" w:color="auto"/>
                    <w:left w:val="none" w:sz="0" w:space="0" w:color="auto"/>
                    <w:bottom w:val="none" w:sz="0" w:space="0" w:color="auto"/>
                    <w:right w:val="none" w:sz="0" w:space="0" w:color="auto"/>
                  </w:divBdr>
                </w:div>
                <w:div w:id="1908228360">
                  <w:marLeft w:val="0"/>
                  <w:marRight w:val="0"/>
                  <w:marTop w:val="0"/>
                  <w:marBottom w:val="0"/>
                  <w:divBdr>
                    <w:top w:val="none" w:sz="0" w:space="0" w:color="auto"/>
                    <w:left w:val="none" w:sz="0" w:space="0" w:color="auto"/>
                    <w:bottom w:val="none" w:sz="0" w:space="0" w:color="auto"/>
                    <w:right w:val="none" w:sz="0" w:space="0" w:color="auto"/>
                  </w:divBdr>
                </w:div>
              </w:divsChild>
            </w:div>
            <w:div w:id="1816071178">
              <w:marLeft w:val="0"/>
              <w:marRight w:val="0"/>
              <w:marTop w:val="0"/>
              <w:marBottom w:val="0"/>
              <w:divBdr>
                <w:top w:val="none" w:sz="0" w:space="0" w:color="auto"/>
                <w:left w:val="none" w:sz="0" w:space="0" w:color="auto"/>
                <w:bottom w:val="none" w:sz="0" w:space="0" w:color="auto"/>
                <w:right w:val="none" w:sz="0" w:space="0" w:color="auto"/>
              </w:divBdr>
              <w:divsChild>
                <w:div w:id="55007404">
                  <w:marLeft w:val="0"/>
                  <w:marRight w:val="0"/>
                  <w:marTop w:val="0"/>
                  <w:marBottom w:val="0"/>
                  <w:divBdr>
                    <w:top w:val="none" w:sz="0" w:space="0" w:color="auto"/>
                    <w:left w:val="none" w:sz="0" w:space="0" w:color="auto"/>
                    <w:bottom w:val="none" w:sz="0" w:space="0" w:color="auto"/>
                    <w:right w:val="none" w:sz="0" w:space="0" w:color="auto"/>
                  </w:divBdr>
                </w:div>
                <w:div w:id="1999653229">
                  <w:marLeft w:val="0"/>
                  <w:marRight w:val="0"/>
                  <w:marTop w:val="0"/>
                  <w:marBottom w:val="0"/>
                  <w:divBdr>
                    <w:top w:val="none" w:sz="0" w:space="0" w:color="auto"/>
                    <w:left w:val="none" w:sz="0" w:space="0" w:color="auto"/>
                    <w:bottom w:val="none" w:sz="0" w:space="0" w:color="auto"/>
                    <w:right w:val="none" w:sz="0" w:space="0" w:color="auto"/>
                  </w:divBdr>
                </w:div>
              </w:divsChild>
            </w:div>
            <w:div w:id="2052415986">
              <w:marLeft w:val="0"/>
              <w:marRight w:val="0"/>
              <w:marTop w:val="0"/>
              <w:marBottom w:val="0"/>
              <w:divBdr>
                <w:top w:val="none" w:sz="0" w:space="0" w:color="auto"/>
                <w:left w:val="none" w:sz="0" w:space="0" w:color="auto"/>
                <w:bottom w:val="none" w:sz="0" w:space="0" w:color="auto"/>
                <w:right w:val="none" w:sz="0" w:space="0" w:color="auto"/>
              </w:divBdr>
              <w:divsChild>
                <w:div w:id="76833366">
                  <w:marLeft w:val="0"/>
                  <w:marRight w:val="0"/>
                  <w:marTop w:val="0"/>
                  <w:marBottom w:val="0"/>
                  <w:divBdr>
                    <w:top w:val="none" w:sz="0" w:space="0" w:color="auto"/>
                    <w:left w:val="none" w:sz="0" w:space="0" w:color="auto"/>
                    <w:bottom w:val="none" w:sz="0" w:space="0" w:color="auto"/>
                    <w:right w:val="none" w:sz="0" w:space="0" w:color="auto"/>
                  </w:divBdr>
                </w:div>
                <w:div w:id="1683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9.png"/><Relationship Id="rId26" Type="http://schemas.openxmlformats.org/officeDocument/2006/relationships/hyperlink" Target="http://classic.austlii.edu.au/au/legis/cth/consol_act/fwa2009114/s216ec.html" TargetMode="External"/><Relationship Id="rId21" Type="http://schemas.openxmlformats.org/officeDocument/2006/relationships/hyperlink" Target="http://classic.austlii.edu.au/au/legis/cth/consol_act/fwa2009114/s216ec.html" TargetMode="External"/><Relationship Id="rId34" Type="http://schemas.openxmlformats.org/officeDocument/2006/relationships/hyperlink" Target="http://classic.austlii.edu.au/au/legis/cth/consol_act/fwa2009114/s12.html" TargetMode="External"/><Relationship Id="rId7" Type="http://schemas.openxmlformats.org/officeDocument/2006/relationships/image" Target="media/image1.jpeg"/><Relationship Id="rId12" Type="http://schemas.openxmlformats.org/officeDocument/2006/relationships/hyperlink" Target="https://creativecommons.org/licenses/by/4.0/" TargetMode="External"/><Relationship Id="rId17" Type="http://schemas.openxmlformats.org/officeDocument/2006/relationships/image" Target="media/image8.png"/><Relationship Id="rId25" Type="http://schemas.openxmlformats.org/officeDocument/2006/relationships/hyperlink" Target="http://classic.austlii.edu.au/au/legis/cth/consol_act/fwa2009114/s12.html" TargetMode="External"/><Relationship Id="rId33" Type="http://schemas.openxmlformats.org/officeDocument/2006/relationships/hyperlink" Target="http://classic.austlii.edu.au/au/legis/cth/consol_act/fwa2009114/s789gc.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classic.austlii.edu.au/au/legis/cth/consol_act/fwa2009114/s789gc.html" TargetMode="External"/><Relationship Id="rId29" Type="http://schemas.openxmlformats.org/officeDocument/2006/relationships/hyperlink" Target="http://classic.austlii.edu.au/au/legis/cth/consol_act/fwa2009114/s789gc.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classic.austlii.edu.au/au/legis/cth/consol_act/fwa2009114/s216ec.html" TargetMode="External"/><Relationship Id="rId32" Type="http://schemas.openxmlformats.org/officeDocument/2006/relationships/hyperlink" Target="http://classic.austlii.edu.au/au/legis/cth/consol_act/fwa2009114/s12.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classic.austlii.edu.au/au/legis/cth/consol_act/fwa2009114/s12.html" TargetMode="External"/><Relationship Id="rId28" Type="http://schemas.openxmlformats.org/officeDocument/2006/relationships/hyperlink" Target="http://classic.austlii.edu.au/au/legis/cth/consol_act/fwa2009114/s789gc.html"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hyperlink" Target="http://classic.austlii.edu.au/au/legis/cth/consol_act/fwa2009114/s789gc.html"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 Id="rId22" Type="http://schemas.openxmlformats.org/officeDocument/2006/relationships/hyperlink" Target="http://classic.austlii.edu.au/au/legis/cth/consol_act/fwa2009114/s789gc.html" TargetMode="External"/><Relationship Id="rId27" Type="http://schemas.openxmlformats.org/officeDocument/2006/relationships/hyperlink" Target="http://classic.austlii.edu.au/au/legis/cth/consol_act/fwa2009114/s12.html" TargetMode="External"/><Relationship Id="rId30" Type="http://schemas.openxmlformats.org/officeDocument/2006/relationships/hyperlink" Target="http://classic.austlii.edu.au/au/legis/cth/consol_act/fwa2009114/s12.html" TargetMode="External"/><Relationship Id="rId35" Type="http://schemas.openxmlformats.org/officeDocument/2006/relationships/image" Target="media/image11.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26" Type="http://schemas.openxmlformats.org/officeDocument/2006/relationships/hyperlink" Target="https://www.accc.gov.au/inquiries-and-consultations/childcare-inquiry-2023/december-2023-final-report," TargetMode="External"/><Relationship Id="rId21" Type="http://schemas.openxmlformats.org/officeDocument/2006/relationships/hyperlink" Target="https://www.acecqa.gov.au/resources/applications/indexation-of-fees" TargetMode="External"/><Relationship Id="rId42" Type="http://schemas.openxmlformats.org/officeDocument/2006/relationships/hyperlink" Target="https://www.abs.gov.au/statistics/economy/price-indexes-and-inflation/consumer-price-index-australia/mar-quarter-2024" TargetMode="External"/><Relationship Id="rId47" Type="http://schemas.openxmlformats.org/officeDocument/2006/relationships/hyperlink" Target="https://www.fwc.gov.au/documents/consultation/gender-based-occupational-segregation-report-2023-11-06.pdf" TargetMode="External"/><Relationship Id="rId63" Type="http://schemas.openxmlformats.org/officeDocument/2006/relationships/hyperlink" Target="https://publications.saskatchewan.ca/api/v1/products/120076/formats/138628/download" TargetMode="External"/><Relationship Id="rId68" Type="http://schemas.openxmlformats.org/officeDocument/2006/relationships/hyperlink" Target="https://www.google.com/url?sa=t&amp;rct=j&amp;q=&amp;esrc=s&amp;source=web&amp;cd=&amp;cad=rja&amp;uact=8&amp;ved=2ahUKEwiturztqpGGAxWknK8BHS7lB-QQFnoECAcQAQ&amp;url=https%3A%2F%2Fpubsaskdev.blob.core.windows.net%2Fpubsask-prod%2F143890%2F2022-23%25252B-%25252BAnnual%25252BReport%25252B-%25252BWorkforce%25252BCarryover.pdf&amp;usg=AOvVaw0YC1n_Liwzg35hPHaTI0HU&amp;opi=89978449" TargetMode="External"/><Relationship Id="rId84" Type="http://schemas.openxmlformats.org/officeDocument/2006/relationships/hyperlink" Target="https://www.accc.gov.au/inquiries-and-consultations/childcare-inquiry-2023/december-2023-final-report," TargetMode="External"/><Relationship Id="rId89" Type="http://schemas.openxmlformats.org/officeDocument/2006/relationships/hyperlink" Target="https://www.fwc.gov.au/documents/decisionssigned/html/2012fwa9043.htm" TargetMode="External"/><Relationship Id="rId16" Type="http://schemas.openxmlformats.org/officeDocument/2006/relationships/hyperlink" Target="https://snapshots.acecqa.gov.au/Snapshot/waivers.html" TargetMode="External"/><Relationship Id="rId11" Type="http://schemas.openxmlformats.org/officeDocument/2006/relationships/hyperlink" Target="https://www.fwc.gov.au/documents/consultation/stage-2-report-gender-pay-equity-research-2024-04-04.pdf" TargetMode="External"/><Relationship Id="rId32" Type="http://schemas.openxmlformats.org/officeDocument/2006/relationships/hyperlink" Target="https://www.dewr.gov.au/skills-reform/fee-free-tafe" TargetMode="External"/><Relationship Id="rId37" Type="http://schemas.openxmlformats.org/officeDocument/2006/relationships/hyperlink" Target="https://www.accc.gov.au/inquiries-and-consultations/childcare-inquiry-2023/december-2023-final-report," TargetMode="External"/><Relationship Id="rId53" Type="http://schemas.openxmlformats.org/officeDocument/2006/relationships/hyperlink" Target="https://www.education.gov.au/early-childhood/resources/2021-early-childhood-education-and-care-national-workforce-census-report" TargetMode="External"/><Relationship Id="rId58" Type="http://schemas.openxmlformats.org/officeDocument/2006/relationships/hyperlink" Target="https://www.accc.gov.au/inquiries-and-consultations/childcare-inquiry-2023/september-2023-interim-report" TargetMode="External"/><Relationship Id="rId74" Type="http://schemas.openxmlformats.org/officeDocument/2006/relationships/hyperlink" Target="https://www.accc.gov.au/inquiries-and-consultations/childcare-inquiry-2023/december-2023-final-report," TargetMode="External"/><Relationship Id="rId79" Type="http://schemas.openxmlformats.org/officeDocument/2006/relationships/hyperlink" Target="https://www.irishtimes.com/business/2023/11/17/childcare-providers-may-withdraw-from-funding-scheme-over-reporting-rules/" TargetMode="External"/><Relationship Id="rId5" Type="http://schemas.openxmlformats.org/officeDocument/2006/relationships/hyperlink" Target="http://www.pc.gov.au" TargetMode="External"/><Relationship Id="rId90" Type="http://schemas.openxmlformats.org/officeDocument/2006/relationships/hyperlink" Target="https://www.fwc.gov.au/documents/Benchbookresources/generalprotections/Bayford_v_Maxxia.pdf" TargetMode="External"/><Relationship Id="rId22" Type="http://schemas.openxmlformats.org/officeDocument/2006/relationships/hyperlink" Target="https://www.pc.gov.au/inquiries/current/childhood/draft/childhood-draft.pdf" TargetMode="External"/><Relationship Id="rId27" Type="http://schemas.openxmlformats.org/officeDocument/2006/relationships/hyperlink" Target="https://www.accc.gov.au/inquiries-and-consultations/childcare-inquiry-2023/december-2023-final-report," TargetMode="External"/><Relationship Id="rId43" Type="http://schemas.openxmlformats.org/officeDocument/2006/relationships/hyperlink" Target="http://www.abs.gov.au" TargetMode="External"/><Relationship Id="rId48" Type="http://schemas.openxmlformats.org/officeDocument/2006/relationships/hyperlink" Target="https://www.accc.gov.au/inquiries-and-consultations/childcare-inquiry-2023/september-2023-interim-report" TargetMode="External"/><Relationship Id="rId64" Type="http://schemas.openxmlformats.org/officeDocument/2006/relationships/hyperlink" Target="https://www.google.com/url?sa=t&amp;rct=j&amp;q=&amp;esrc=s&amp;source=web&amp;cd=&amp;cad=rja&amp;uact=8&amp;ved=2ahUKEwiturztqpGGAxWknK8BHS7lB-QQFnoECAcQAQ&amp;url=https%3A%2F%2Fpubsaskdev.blob.core.windows.net%2Fpubsask-prod%2F143890%2F2022-23%25252B-%25252BAnnual%25252BReport%25252B-%25252BWorkforce%25252BCarryover.pdf&amp;usg=AOvVaw0YC1n_Liwzg35hPHaTI0HU&amp;opi=89978449" TargetMode="External"/><Relationship Id="rId69" Type="http://schemas.openxmlformats.org/officeDocument/2006/relationships/hyperlink" Target="https://www2.gnb.ca/content/gnb/en/departments/education/services/services_renderer.201536.Wage_Support_Program_for_Early_Childhood_Educators_(WSP-ECE).html" TargetMode="External"/><Relationship Id="rId8" Type="http://schemas.openxmlformats.org/officeDocument/2006/relationships/hyperlink" Target="https://www.pc.gov.au/inquiries/current/childhood/draft/childhood-draft.pdf" TargetMode="External"/><Relationship Id="rId51" Type="http://schemas.openxmlformats.org/officeDocument/2006/relationships/hyperlink" Target="https://www.accc.gov.au/inquiries-and-consultations/childcare-inquiry-2023/december-2023-final-report," TargetMode="External"/><Relationship Id="rId72" Type="http://schemas.openxmlformats.org/officeDocument/2006/relationships/hyperlink" Target="https://www2.gnb.ca/content/dam/gnb/Departments/eco-bce/Promo/early_childhood/elcc-agreement-annual-report-2022-2023.pdf" TargetMode="External"/><Relationship Id="rId80" Type="http://schemas.openxmlformats.org/officeDocument/2006/relationships/hyperlink" Target="https://www.thejournal.ie/federation-of-early-childhood-providers-protest-6178079-Sep2023/" TargetMode="External"/><Relationship Id="rId85" Type="http://schemas.openxmlformats.org/officeDocument/2006/relationships/hyperlink" Target="https://www.accc.gov.au/inquiries-and-consultations/childcare-inquiry-2023/december-2023-final-report," TargetMode="External"/><Relationship Id="rId93" Type="http://schemas.openxmlformats.org/officeDocument/2006/relationships/hyperlink" Target="https://www.fwc.gov.au/documents/benchbooks/enterprise-agreements-benchbook.pdf" TargetMode="External"/><Relationship Id="rId3" Type="http://schemas.openxmlformats.org/officeDocument/2006/relationships/hyperlink" Target="http://dx.doi.org/10.1787/9789264276116-en" TargetMode="External"/><Relationship Id="rId12" Type="http://schemas.openxmlformats.org/officeDocument/2006/relationships/hyperlink" Target="https://www.fwc.gov.au/documents/consultation/stage-2-report-gender-pay-equity-research-2024-04-04.pdf" TargetMode="External"/><Relationship Id="rId17" Type="http://schemas.openxmlformats.org/officeDocument/2006/relationships/hyperlink" Target="https://content.vic.gov.au/sites/default/files/2023-12/Best-Start-Best-Life-Workforce-Strategy.pdf" TargetMode="External"/><Relationship Id="rId25" Type="http://schemas.openxmlformats.org/officeDocument/2006/relationships/hyperlink" Target="https://www.pc.gov.au/inquiries/current/childhood/draft/childhood-draft.pdf" TargetMode="External"/><Relationship Id="rId33" Type="http://schemas.openxmlformats.org/officeDocument/2006/relationships/hyperlink" Target="https://www.education.gov.au/early-childhood/early-childhood-workforce/professional-development-opportunities" TargetMode="External"/><Relationship Id="rId38" Type="http://schemas.openxmlformats.org/officeDocument/2006/relationships/hyperlink" Target="https://www.afr.com/work-and-careers/workplace/childcare-workers-desert-industry-for-higher-wages-in-aged-care-20240416-p5fk68" TargetMode="External"/><Relationship Id="rId46" Type="http://schemas.openxmlformats.org/officeDocument/2006/relationships/hyperlink" Target="https://www.accc.gov.au/inquiries-and-consultations/childcare-inquiry-2023/december-2023-final-report," TargetMode="External"/><Relationship Id="rId59" Type="http://schemas.openxmlformats.org/officeDocument/2006/relationships/hyperlink" Target="https://www.accc.gov.au/inquiries-and-consultations/childcare-inquiry-2023/december-2023-final-report," TargetMode="External"/><Relationship Id="rId67" Type="http://schemas.openxmlformats.org/officeDocument/2006/relationships/hyperlink" Target="https://www.statcan.gc.ca/o1/en/plus/4993-child-care-canada-snapshot" TargetMode="External"/><Relationship Id="rId20" Type="http://schemas.openxmlformats.org/officeDocument/2006/relationships/hyperlink" Target="https://www.accc.gov.au/inquiries-and-consultations/childcare-inquiry-2023/december-2023-final-report," TargetMode="External"/><Relationship Id="rId41" Type="http://schemas.openxmlformats.org/officeDocument/2006/relationships/hyperlink" Target="https://www.accc.gov.au/inquiries-and-consultations/childcare-inquiry-2023/december-2023-final-report," TargetMode="External"/><Relationship Id="rId54" Type="http://schemas.openxmlformats.org/officeDocument/2006/relationships/hyperlink" Target="https://www.accc.gov.au/inquiries-and-consultations/childcare-inquiry-2023/september-2023-interim-report" TargetMode="External"/><Relationship Id="rId62" Type="http://schemas.openxmlformats.org/officeDocument/2006/relationships/hyperlink" Target="https://www.google.com/url?sa=t&amp;rct=j&amp;q=&amp;esrc=s&amp;source=web&amp;cd=&amp;cad=rja&amp;uact=8&amp;ved=2ahUKEwiturztqpGGAxWknK8BHS7lB-QQFnoECAcQAQ&amp;url=https%3A%2F%2Fpubsaskdev.blob.core.windows.net%2Fpubsask-prod%2F143890%2F2022-23%25252B-%25252BAnnual%25252BReport%25252B-%25252BWorkforce%25252BCarryover.pdf&amp;usg=AOvVaw0YC1n_Liwzg35hPHaTI0HU&amp;opi=89978449" TargetMode="External"/><Relationship Id="rId70" Type="http://schemas.openxmlformats.org/officeDocument/2006/relationships/hyperlink" Target="https://www2.gnb.ca/content/dam/gnb/Departments/ed/pdf/ELCC/ece-wage-grid-guidelines.pdf" TargetMode="External"/><Relationship Id="rId75" Type="http://schemas.openxmlformats.org/officeDocument/2006/relationships/hyperlink" Target="https://www.gov.ie/en/press-release/d422b-minister-ogorman-secures-1bn-investment-in-early-learning-and-childcare/" TargetMode="External"/><Relationship Id="rId83" Type="http://schemas.openxmlformats.org/officeDocument/2006/relationships/hyperlink" Target="https://www.accc.gov.au/inquiries-and-consultations/childcare-inquiry-2023/september-2023-interim-report" TargetMode="External"/><Relationship Id="rId88" Type="http://schemas.openxmlformats.org/officeDocument/2006/relationships/hyperlink" Target="https://www.fwc.gov.au/documents/Benchbookresources/generalprotections/Barnett_v_TIO.pdf" TargetMode="External"/><Relationship Id="rId91" Type="http://schemas.openxmlformats.org/officeDocument/2006/relationships/hyperlink" Target="https://www.fwc.gov.au/about-us/secure-jobs-better-pay-act-whats-changing/bargaining-support-6-june-2023/varying-supported" TargetMode="External"/><Relationship Id="rId1" Type="http://schemas.openxmlformats.org/officeDocument/2006/relationships/hyperlink" Target="https://www.dewr.gov.au/download/14735/including-gender-equality-and-job-security-objects-fair-work-act/31379/including-gender-equity-and-secure-work-objects-fair-work-act/pdf" TargetMode="External"/><Relationship Id="rId6" Type="http://schemas.openxmlformats.org/officeDocument/2006/relationships/hyperlink" Target="https://www.accc.gov.au/inquiries-and-consultations/childcare-inquiry-2023/december-2023-final-report," TargetMode="External"/><Relationship Id="rId15" Type="http://schemas.openxmlformats.org/officeDocument/2006/relationships/hyperlink" Target="file:///C:/Users/AS3904/AppData/Local/Microsoft/Windows/INetCache/Content.Outlook/ERC%20-%20March%202024/CO-ORD%20VERSIONS/Equal%20Remuneration%20and%20Work%20Value%20Case" TargetMode="External"/><Relationship Id="rId23" Type="http://schemas.openxmlformats.org/officeDocument/2006/relationships/hyperlink" Target="https://www.accc.gov.au/inquiries-and-consultations/childcare-inquiry-2023/september-2023-interim-report" TargetMode="External"/><Relationship Id="rId28" Type="http://schemas.openxmlformats.org/officeDocument/2006/relationships/hyperlink" Target="https://www.accc.gov.au/inquiries-and-consultations/childcare-inquiry-2023/september-2023-interim-report" TargetMode="External"/><Relationship Id="rId36" Type="http://schemas.openxmlformats.org/officeDocument/2006/relationships/hyperlink" Target="https://www.fwc.gov.au/about-us/news-and-media/news/gender-undervaluation-expert-panel-review-5-priority-awards" TargetMode="External"/><Relationship Id="rId49" Type="http://schemas.openxmlformats.org/officeDocument/2006/relationships/hyperlink" Target="https://www.pmc.gov.au/resources/national-strategy-achieve-gender-equality-discussion-paper/current-state/burden-care" TargetMode="External"/><Relationship Id="rId57" Type="http://schemas.openxmlformats.org/officeDocument/2006/relationships/hyperlink" Target="https://www.accc.gov.au/inquiries-and-consultations/childcare-inquiry-2023/december-2023-final-report," TargetMode="External"/><Relationship Id="rId10" Type="http://schemas.openxmlformats.org/officeDocument/2006/relationships/hyperlink" Target="https://www.fwc.gov.au/documents/consultation/stage-2-report-gender-pay-equity-research-2024-04-04.pdf" TargetMode="External"/><Relationship Id="rId31" Type="http://schemas.openxmlformats.org/officeDocument/2006/relationships/hyperlink" Target="https://www.accc.gov.au/inquiries-and-consultations/childcare-inquiry-2023/december-2023-final-report," TargetMode="External"/><Relationship Id="rId44" Type="http://schemas.openxmlformats.org/officeDocument/2006/relationships/hyperlink" Target="https://www.accc.gov.au/inquiries-and-consultations/childcare-inquiry-2023/december-2023-final-report," TargetMode="External"/><Relationship Id="rId52" Type="http://schemas.openxmlformats.org/officeDocument/2006/relationships/hyperlink" Target="https://childcarealliance.org.au/images/2023/aca-dandolo-report---wage-increase-analysis---june-2023.pdf" TargetMode="External"/><Relationship Id="rId60" Type="http://schemas.openxmlformats.org/officeDocument/2006/relationships/hyperlink" Target="https://www.americanprogress.org/article/the-child-care-sector-is-still-struggling-to-hire-workers/" TargetMode="External"/><Relationship Id="rId65" Type="http://schemas.openxmlformats.org/officeDocument/2006/relationships/hyperlink" Target="https://publications.saskatchewan.ca/api/v1/products/120076/formats/138628/download" TargetMode="External"/><Relationship Id="rId73" Type="http://schemas.openxmlformats.org/officeDocument/2006/relationships/hyperlink" Target="https://www.accc.gov.au/inquiries-and-consultations/childcare-inquiry-2023/september-2023-interim-report" TargetMode="External"/><Relationship Id="rId78" Type="http://schemas.openxmlformats.org/officeDocument/2006/relationships/hyperlink" Target="https://www.gov.ie/en/press-release/ec12a-over-90-of-early-learning-and-care-and-school-age-childcare-providers-introduce-fee-freeze-for-parents/" TargetMode="External"/><Relationship Id="rId81" Type="http://schemas.openxmlformats.org/officeDocument/2006/relationships/hyperlink" Target="https://www.irishexaminer.com/news/munster/arid-41368135.html" TargetMode="External"/><Relationship Id="rId86" Type="http://schemas.openxmlformats.org/officeDocument/2006/relationships/hyperlink" Target="https://www.accc.gov.au/inquiries-and-consultations/childcare-inquiry-2023/september-2023-interim-report" TargetMode="External"/><Relationship Id="rId94" Type="http://schemas.openxmlformats.org/officeDocument/2006/relationships/hyperlink" Target="https://www.fwc.gov.au/documents/benchbooks/enterprise-agreements-benchbook.pdf" TargetMode="External"/><Relationship Id="rId4" Type="http://schemas.openxmlformats.org/officeDocument/2006/relationships/hyperlink" Target="https://www.pc.gov.au/inquiries/current/childhood/draft/childhood-draft.pdf" TargetMode="External"/><Relationship Id="rId9" Type="http://schemas.openxmlformats.org/officeDocument/2006/relationships/hyperlink" Target="https://doi.org/10.1787/64562be6-en" TargetMode="External"/><Relationship Id="rId13" Type="http://schemas.openxmlformats.org/officeDocument/2006/relationships/hyperlink" Target="https://www.fwc.gov.au/documents/consultation/stage-2-report-gender-pay-equity-research-2024-04-04.pdf" TargetMode="External"/><Relationship Id="rId18" Type="http://schemas.openxmlformats.org/officeDocument/2006/relationships/hyperlink" Target="https://snapshots.acecqa.gov.au/Snapshot/waivers.html" TargetMode="External"/><Relationship Id="rId39" Type="http://schemas.openxmlformats.org/officeDocument/2006/relationships/hyperlink" Target="https://www.fwc.gov.au/documents/consultation/stage-2-report-gender-pay-equity-research-2024-04-04.pdf" TargetMode="External"/><Relationship Id="rId34" Type="http://schemas.openxmlformats.org/officeDocument/2006/relationships/hyperlink" Target="https://www.accc.gov.au/inquiries-and-consultations/childcare-inquiry-2023/december-2023-final-report," TargetMode="External"/><Relationship Id="rId50" Type="http://schemas.openxmlformats.org/officeDocument/2006/relationships/hyperlink" Target="https://www.accc.gov.au/inquiries-and-consultations/childcare-inquiry-2023/december-2023-final-report," TargetMode="External"/><Relationship Id="rId55" Type="http://schemas.openxmlformats.org/officeDocument/2006/relationships/hyperlink" Target="https://www.accc.gov.au/inquiries-and-consultations/childcare-inquiry-2023/december-2023-final-report," TargetMode="External"/><Relationship Id="rId76" Type="http://schemas.openxmlformats.org/officeDocument/2006/relationships/hyperlink" Target="https://first5fundingmodel.gov.ie/core-funding/" TargetMode="External"/><Relationship Id="rId7" Type="http://schemas.openxmlformats.org/officeDocument/2006/relationships/hyperlink" Target="https://www.unitedworkers.org.au/report-shows-early-education-workforce-in-crisis/" TargetMode="External"/><Relationship Id="rId71" Type="http://schemas.openxmlformats.org/officeDocument/2006/relationships/hyperlink" Target="https://www2.gnb.ca/content/dam/gnb/Departments/ed/pdf/ELCC/wsp-ece-handbook.pdf" TargetMode="External"/><Relationship Id="rId92" Type="http://schemas.openxmlformats.org/officeDocument/2006/relationships/hyperlink" Target="https://www.fwc.gov.au/about-us/secure-jobs-better-pay-act-whats-changing/bargaining-support-6-june-2023/varying-supported" TargetMode="External"/><Relationship Id="rId2" Type="http://schemas.openxmlformats.org/officeDocument/2006/relationships/hyperlink" Target="https://www.dewr.gov.au/download/14735/including-gender-equality-and-job-security-objects-fair-work-act/31379/including-gender-equity-and-secure-work-objects-fair-work-act/pdf" TargetMode="External"/><Relationship Id="rId29" Type="http://schemas.openxmlformats.org/officeDocument/2006/relationships/hyperlink" Target="https://www.accc.gov.au/inquiries-and-consultations/childcare-inquiry-2023/december-2023-final-report," TargetMode="External"/><Relationship Id="rId24" Type="http://schemas.openxmlformats.org/officeDocument/2006/relationships/hyperlink" Target="https://www.accc.gov.au/inquiries-and-consultations/childcare-inquiry-2023/september-2023-interim-report" TargetMode="External"/><Relationship Id="rId40" Type="http://schemas.openxmlformats.org/officeDocument/2006/relationships/hyperlink" Target="https://thesector.com.au/2024/02/26/uwu-study-shows-that-nearly-half-the-sector-is-ready-to-walk-without-action-on-wages/" TargetMode="External"/><Relationship Id="rId45" Type="http://schemas.openxmlformats.org/officeDocument/2006/relationships/hyperlink" Target="https://www.accc.gov.au/inquiries-and-consultations/childcare-inquiry-2023/september-2023-interim-report" TargetMode="External"/><Relationship Id="rId66" Type="http://schemas.openxmlformats.org/officeDocument/2006/relationships/hyperlink" Target="https://publications.saskatchewan.ca/api/v1/products/121263/formats/140382/download" TargetMode="External"/><Relationship Id="rId87" Type="http://schemas.openxmlformats.org/officeDocument/2006/relationships/hyperlink" Target="https://www.accc.gov.au/inquiries-and-consultations/childcare-inquiry-2023/december-2023-final-report," TargetMode="External"/><Relationship Id="rId61" Type="http://schemas.openxmlformats.org/officeDocument/2006/relationships/hyperlink" Target="https://osse.dc.gov/node/1592046" TargetMode="External"/><Relationship Id="rId82" Type="http://schemas.openxmlformats.org/officeDocument/2006/relationships/hyperlink" Target="https://www.irishtimes.com/health/your-family/2024/01/16/why-so-many-creches-have-been-closing-and-what-can-be-done-about-it/" TargetMode="External"/><Relationship Id="rId19" Type="http://schemas.openxmlformats.org/officeDocument/2006/relationships/hyperlink" Target="https://thesector.com.au/2024/02/26/uwu-study-shows-that-nearly-half-the-sector-is-ready-to-walk-without-action-on-wages/" TargetMode="External"/><Relationship Id="rId14" Type="http://schemas.openxmlformats.org/officeDocument/2006/relationships/hyperlink" Target="https://www.fwc.gov.au/documents/consultation/stage-2-report-gender-pay-equity-research-2024-04-04.pdf" TargetMode="External"/><Relationship Id="rId30" Type="http://schemas.openxmlformats.org/officeDocument/2006/relationships/hyperlink" Target="https://www.accc.gov.au/inquiries-and-consultations/childcare-inquiry-2023/september-2023-interim-report" TargetMode="External"/><Relationship Id="rId35" Type="http://schemas.openxmlformats.org/officeDocument/2006/relationships/hyperlink" Target="https://www.accc.gov.au/inquiries-and-consultations/childcare-inquiry-2023/september-2023-interim-report" TargetMode="External"/><Relationship Id="rId56" Type="http://schemas.openxmlformats.org/officeDocument/2006/relationships/hyperlink" Target="https://www.accc.gov.au/inquiries-and-consultations/childcare-inquiry-2023/december-2023-final-report," TargetMode="External"/><Relationship Id="rId77" Type="http://schemas.openxmlformats.org/officeDocument/2006/relationships/hyperlink" Target="https://www.gov.ie/en/press-release/d422b-minister-ogorman-secures-1bn-investment-in-early-learning-and-childcare/" TargetMode="External"/></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24572</Words>
  <Characters>140061</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2026-03-16T05:13:00Z</dcterms:created>
  <dcterms:modified xsi:type="dcterms:W3CDTF">2026-03-16T05:14:00Z</dcterms:modified>
</cp:coreProperties>
</file>