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1FC3" w14:textId="70C648F9" w:rsidR="00D46547" w:rsidRPr="00B5064E" w:rsidRDefault="00967174">
      <w:pPr>
        <w:rPr>
          <w:rFonts w:ascii="Calibri" w:hAnsi="Calibri" w:cs="Calibri"/>
          <w:color w:val="0E2841" w:themeColor="text2"/>
          <w:sz w:val="56"/>
          <w:szCs w:val="56"/>
        </w:rPr>
      </w:pPr>
      <w:r w:rsidRPr="00B5064E">
        <w:rPr>
          <w:rFonts w:ascii="Calibri" w:hAnsi="Calibri" w:cs="Calibri"/>
          <w:noProof/>
          <w:lang w:eastAsia="en-AU"/>
        </w:rPr>
        <mc:AlternateContent>
          <mc:Choice Requires="wps">
            <w:drawing>
              <wp:anchor distT="0" distB="0" distL="114300" distR="114300" simplePos="0" relativeHeight="251658241" behindDoc="0" locked="0" layoutInCell="1" allowOverlap="1" wp14:anchorId="01EA6ABA" wp14:editId="7191023A">
                <wp:simplePos x="0" y="0"/>
                <wp:positionH relativeFrom="margin">
                  <wp:posOffset>-465826</wp:posOffset>
                </wp:positionH>
                <wp:positionV relativeFrom="paragraph">
                  <wp:posOffset>8627</wp:posOffset>
                </wp:positionV>
                <wp:extent cx="6513195" cy="1570008"/>
                <wp:effectExtent l="0" t="0" r="0" b="0"/>
                <wp:wrapNone/>
                <wp:docPr id="6" name="Rectangle 6"/>
                <wp:cNvGraphicFramePr/>
                <a:graphic xmlns:a="http://schemas.openxmlformats.org/drawingml/2006/main">
                  <a:graphicData uri="http://schemas.microsoft.com/office/word/2010/wordprocessingShape">
                    <wps:wsp>
                      <wps:cNvSpPr/>
                      <wps:spPr>
                        <a:xfrm>
                          <a:off x="0" y="0"/>
                          <a:ext cx="6513195" cy="157000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CADA32" w14:textId="5A619B24" w:rsidR="00967174" w:rsidRPr="0011200A" w:rsidRDefault="00967174" w:rsidP="00967174">
                            <w:pPr>
                              <w:rPr>
                                <w:color w:val="FFFFFF" w:themeColor="background1"/>
                              </w:rPr>
                            </w:pPr>
                            <w:r w:rsidRPr="00DB4169">
                              <w:t xml:space="preserve"> </w:t>
                            </w:r>
                            <w:r>
                              <w:rPr>
                                <w:color w:val="FFFFFF" w:themeColor="background1"/>
                              </w:rPr>
                              <w:t xml:space="preserve">       </w:t>
                            </w:r>
                            <w:r w:rsidRPr="00D54D8B">
                              <w:rPr>
                                <w:color w:val="FFFFFF" w:themeColor="background1"/>
                              </w:rPr>
                              <w:t xml:space="preserve"> </w:t>
                            </w:r>
                            <w:r w:rsidRPr="00EF29B1">
                              <w:rPr>
                                <w:noProof/>
                              </w:rPr>
                              <w:drawing>
                                <wp:inline distT="0" distB="0" distL="0" distR="0" wp14:anchorId="59DC3182" wp14:editId="57245190">
                                  <wp:extent cx="3155123" cy="720000"/>
                                  <wp:effectExtent l="0" t="0" r="0" b="4445"/>
                                  <wp:docPr id="52358232" name="Picture 52358232" descr="Logo of Australian Government Department of Climate Change, Energy, the Environment and Water. It features a stylized kangaroo and emu with a shield and stars above text in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8232" name="Picture 52358232" descr="Logo of Australian Government Department of Climate Change, Energy, the Environment and Water. It features a stylized kangaroo and emu with a shield and stars above text in white.&#10;"/>
                                          <pic:cNvPicPr/>
                                        </pic:nvPicPr>
                                        <pic:blipFill>
                                          <a:blip r:embed="rId8"/>
                                          <a:stretch>
                                            <a:fillRect/>
                                          </a:stretch>
                                        </pic:blipFill>
                                        <pic:spPr>
                                          <a:xfrm>
                                            <a:off x="0" y="0"/>
                                            <a:ext cx="3155123" cy="720000"/>
                                          </a:xfrm>
                                          <a:prstGeom prst="rect">
                                            <a:avLst/>
                                          </a:prstGeom>
                                        </pic:spPr>
                                      </pic:pic>
                                    </a:graphicData>
                                  </a:graphic>
                                </wp:inline>
                              </w:drawing>
                            </w:r>
                            <w:r w:rsidRPr="00D54D8B" w:rsidDel="00DB4169">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A6ABA" id="Rectangle 6" o:spid="_x0000_s1026" style="position:absolute;margin-left:-36.7pt;margin-top:.7pt;width:512.85pt;height:123.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" filled="f" stroked="f" strokeweight="1pt">
                <v:textbox>
                  <w:txbxContent>
                    <w:p w14:paraId="1FCADA32" w14:textId="5A619B24" w:rsidR="00967174" w:rsidRPr="0011200A" w:rsidRDefault="00967174" w:rsidP="00967174">
                      <w:pPr>
                        <w:rPr>
                          <w:color w:val="FFFFFF" w:themeColor="background1"/>
                        </w:rPr>
                      </w:pPr>
                      <w:r w:rsidRPr="00DB4169">
                        <w:t xml:space="preserve"> </w:t>
                      </w:r>
                      <w:r>
                        <w:rPr>
                          <w:color w:val="FFFFFF" w:themeColor="background1"/>
                        </w:rPr>
                        <w:t xml:space="preserve">       </w:t>
                      </w:r>
                      <w:r w:rsidRPr="00D54D8B">
                        <w:rPr>
                          <w:color w:val="FFFFFF" w:themeColor="background1"/>
                        </w:rPr>
                        <w:t xml:space="preserve"> </w:t>
                      </w:r>
                      <w:r w:rsidRPr="00EF29B1">
                        <w:rPr>
                          <w:noProof/>
                        </w:rPr>
                        <w:drawing>
                          <wp:inline distT="0" distB="0" distL="0" distR="0" wp14:anchorId="59DC3182" wp14:editId="57245190">
                            <wp:extent cx="3155123" cy="720000"/>
                            <wp:effectExtent l="0" t="0" r="0" b="4445"/>
                            <wp:docPr id="52358232" name="Picture 52358232" descr="Logo of Australian Government Department of Climate Change, Energy, the Environment and Water. It features a stylized kangaroo and emu with a shield and stars above text in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8232" name="Picture 52358232" descr="Logo of Australian Government Department of Climate Change, Energy, the Environment and Water. It features a stylized kangaroo and emu with a shield and stars above text in white.&#10;"/>
                                    <pic:cNvPicPr/>
                                  </pic:nvPicPr>
                                  <pic:blipFill>
                                    <a:blip r:embed="rId8"/>
                                    <a:stretch>
                                      <a:fillRect/>
                                    </a:stretch>
                                  </pic:blipFill>
                                  <pic:spPr>
                                    <a:xfrm>
                                      <a:off x="0" y="0"/>
                                      <a:ext cx="3155123" cy="720000"/>
                                    </a:xfrm>
                                    <a:prstGeom prst="rect">
                                      <a:avLst/>
                                    </a:prstGeom>
                                  </pic:spPr>
                                </pic:pic>
                              </a:graphicData>
                            </a:graphic>
                          </wp:inline>
                        </w:drawing>
                      </w:r>
                      <w:r w:rsidRPr="00D54D8B" w:rsidDel="00DB4169">
                        <w:rPr>
                          <w:color w:val="FFFFFF" w:themeColor="background1"/>
                        </w:rPr>
                        <w:t xml:space="preserve"> </w:t>
                      </w:r>
                    </w:p>
                  </w:txbxContent>
                </v:textbox>
                <w10:wrap anchorx="margin"/>
              </v:rect>
            </w:pict>
          </mc:Fallback>
        </mc:AlternateContent>
      </w:r>
      <w:r w:rsidR="00AE4238" w:rsidRPr="00B5064E">
        <w:rPr>
          <w:rFonts w:ascii="Calibri" w:hAnsi="Calibri" w:cs="Calibri"/>
          <w:noProof/>
          <w:lang w:eastAsia="en-AU"/>
        </w:rPr>
        <mc:AlternateContent>
          <mc:Choice Requires="wps">
            <w:drawing>
              <wp:anchor distT="0" distB="0" distL="114300" distR="114300" simplePos="0" relativeHeight="251658240" behindDoc="1" locked="1" layoutInCell="1" allowOverlap="1" wp14:anchorId="575BDEB9" wp14:editId="0374FD05">
                <wp:simplePos x="0" y="0"/>
                <wp:positionH relativeFrom="margin">
                  <wp:posOffset>-810895</wp:posOffset>
                </wp:positionH>
                <wp:positionV relativeFrom="page">
                  <wp:posOffset>698500</wp:posOffset>
                </wp:positionV>
                <wp:extent cx="7343775" cy="9329420"/>
                <wp:effectExtent l="0" t="0" r="9525" b="5080"/>
                <wp:wrapNone/>
                <wp:docPr id="74" name="Rectangle 74"/>
                <wp:cNvGraphicFramePr/>
                <a:graphic xmlns:a="http://schemas.openxmlformats.org/drawingml/2006/main">
                  <a:graphicData uri="http://schemas.microsoft.com/office/word/2010/wordprocessingShape">
                    <wps:wsp>
                      <wps:cNvSpPr/>
                      <wps:spPr>
                        <a:xfrm>
                          <a:off x="0" y="0"/>
                          <a:ext cx="7343775" cy="9329420"/>
                        </a:xfrm>
                        <a:prstGeom prst="rect">
                          <a:avLst/>
                        </a:prstGeom>
                        <a:gradFill>
                          <a:gsLst>
                            <a:gs pos="0">
                              <a:srgbClr val="014463"/>
                            </a:gs>
                            <a:gs pos="100000">
                              <a:srgbClr val="25303B"/>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E0AB1D1" id="Rectangle 74" o:spid="_x0000_s1026" style="position:absolute;margin-left:-63.85pt;margin-top:55pt;width:578.25pt;height:734.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" fillcolor="#014463" stroked="f" strokeweight="1pt">
                <v:fill color2="#25303b" angle="90" focus="100%" type="gradient">
                  <o:fill v:ext="view" type="gradientUnscaled"/>
                </v:fill>
                <w10:wrap anchorx="margin" anchory="page"/>
                <w10:anchorlock/>
              </v:rect>
            </w:pict>
          </mc:Fallback>
        </mc:AlternateContent>
      </w:r>
    </w:p>
    <w:p w14:paraId="6086BEB2" w14:textId="08B809B2" w:rsidR="00D46547" w:rsidRPr="00B5064E" w:rsidRDefault="00D46547">
      <w:pPr>
        <w:rPr>
          <w:rFonts w:ascii="Calibri" w:hAnsi="Calibri" w:cs="Calibri"/>
          <w:color w:val="0E2841" w:themeColor="text2"/>
          <w:sz w:val="56"/>
          <w:szCs w:val="56"/>
        </w:rPr>
      </w:pPr>
    </w:p>
    <w:p w14:paraId="7FF913D4" w14:textId="77777777" w:rsidR="003E5ED5" w:rsidRPr="00B5064E" w:rsidRDefault="003E5ED5">
      <w:pPr>
        <w:rPr>
          <w:rFonts w:ascii="Calibri" w:hAnsi="Calibri" w:cs="Calibri"/>
          <w:color w:val="0E2841" w:themeColor="text2"/>
          <w:sz w:val="56"/>
          <w:szCs w:val="56"/>
        </w:rPr>
      </w:pPr>
    </w:p>
    <w:p w14:paraId="5EF7C56F" w14:textId="5EF0DA18" w:rsidR="00D46547" w:rsidRPr="00B5064E" w:rsidRDefault="009331AD">
      <w:pPr>
        <w:rPr>
          <w:rFonts w:ascii="Calibri" w:hAnsi="Calibri" w:cs="Calibri"/>
          <w:b/>
          <w:bCs/>
          <w:color w:val="FFFFFF" w:themeColor="background1"/>
          <w:sz w:val="96"/>
          <w:szCs w:val="96"/>
        </w:rPr>
      </w:pPr>
      <w:r w:rsidRPr="00B5064E">
        <w:rPr>
          <w:rFonts w:ascii="Calibri" w:hAnsi="Calibri" w:cs="Calibri"/>
          <w:noProof/>
          <w:lang w:eastAsia="en-AU"/>
        </w:rPr>
        <mc:AlternateContent>
          <mc:Choice Requires="wps">
            <w:drawing>
              <wp:anchor distT="0" distB="0" distL="182880" distR="182880" simplePos="0" relativeHeight="251658242" behindDoc="0" locked="1" layoutInCell="1" allowOverlap="1" wp14:anchorId="58EBAE39" wp14:editId="424777CA">
                <wp:simplePos x="0" y="0"/>
                <wp:positionH relativeFrom="margin">
                  <wp:posOffset>-343535</wp:posOffset>
                </wp:positionH>
                <wp:positionV relativeFrom="page">
                  <wp:posOffset>2249805</wp:posOffset>
                </wp:positionV>
                <wp:extent cx="6494145" cy="3779520"/>
                <wp:effectExtent l="0" t="0" r="1905" b="11430"/>
                <wp:wrapSquare wrapText="bothSides"/>
                <wp:docPr id="73" name="Text Box 73"/>
                <wp:cNvGraphicFramePr/>
                <a:graphic xmlns:a="http://schemas.openxmlformats.org/drawingml/2006/main">
                  <a:graphicData uri="http://schemas.microsoft.com/office/word/2010/wordprocessingShape">
                    <wps:wsp>
                      <wps:cNvSpPr txBox="1"/>
                      <wps:spPr>
                        <a:xfrm>
                          <a:off x="0" y="0"/>
                          <a:ext cx="6494145" cy="3779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5BB30" w14:textId="27DC54FA" w:rsidR="009331AD" w:rsidRPr="009331AD" w:rsidRDefault="00000000" w:rsidP="009331AD">
                            <w:pPr>
                              <w:pStyle w:val="CoverTitle"/>
                              <w:rPr>
                                <w:rFonts w:ascii="Cambria" w:hAnsi="Cambria"/>
                                <w:sz w:val="96"/>
                                <w:szCs w:val="96"/>
                              </w:rPr>
                            </w:pPr>
                            <w:sdt>
                              <w:sdtPr>
                                <w:rPr>
                                  <w:rFonts w:ascii="Cambria" w:hAnsi="Cambria"/>
                                  <w:sz w:val="96"/>
                                  <w:szCs w:val="96"/>
                                </w:rPr>
                                <w:alias w:val="Document Heading"/>
                                <w:tag w:val="DH"/>
                                <w:id w:val="-1577504962"/>
                                <w:dataBinding w:xpath="/root[1]/DH[1]" w:storeItemID="{F533AE62-A212-4B26-92DA-A3B336E8AE06}"/>
                                <w:text w:multiLine="1"/>
                              </w:sdtPr>
                              <w:sdtContent>
                                <w:r w:rsidR="009331AD" w:rsidRPr="009331AD">
                                  <w:rPr>
                                    <w:rFonts w:ascii="Cambria" w:hAnsi="Cambria"/>
                                    <w:sz w:val="96"/>
                                    <w:szCs w:val="96"/>
                                  </w:rPr>
                                  <w:t xml:space="preserve">OPTIONS TO PROVIDE </w:t>
                                </w:r>
                                <w:r w:rsidR="009331AD">
                                  <w:rPr>
                                    <w:rFonts w:ascii="Cambria" w:hAnsi="Cambria"/>
                                    <w:sz w:val="96"/>
                                    <w:szCs w:val="96"/>
                                  </w:rPr>
                                  <w:t>SOLAR SHARER OFFER</w:t>
                                </w:r>
                              </w:sdtContent>
                            </w:sdt>
                          </w:p>
                          <w:p w14:paraId="3FDB1B3F" w14:textId="77777777" w:rsidR="009331AD" w:rsidRDefault="009331AD" w:rsidP="009331AD">
                            <w:pPr>
                              <w:pStyle w:val="CoverByline"/>
                            </w:pPr>
                            <w:r>
                              <w:t>Impact Analysis</w:t>
                            </w:r>
                          </w:p>
                          <w:p w14:paraId="53B10EA3" w14:textId="4AB4B21E" w:rsidR="009331AD" w:rsidRPr="006D2AF2" w:rsidRDefault="009331AD" w:rsidP="009331AD">
                            <w:pPr>
                              <w:pStyle w:val="CoverByline"/>
                              <w:rPr>
                                <w:sz w:val="36"/>
                                <w:szCs w:val="36"/>
                              </w:rPr>
                            </w:pPr>
                            <w:r w:rsidRPr="006D2AF2">
                              <w:rPr>
                                <w:sz w:val="36"/>
                                <w:szCs w:val="36"/>
                              </w:rPr>
                              <w:t>Department of Climate Change, Energy, the Environment and Water</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8EBAE39" id="_x0000_t202" coordsize="21600,21600" o:spt="202" path="m,l,21600r21600,l21600,xe">
                <v:stroke joinstyle="miter"/>
                <v:path gradientshapeok="t" o:connecttype="rect"/>
              </v:shapetype>
              <v:shape id="Text Box 73" o:spid="_x0000_s1027" type="#_x0000_t202" style="position:absolute;margin-left:-27.05pt;margin-top:177.15pt;width:511.35pt;height:297.6pt;z-index:251658242;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" filled="f" stroked="f" strokeweight=".5pt">
                <v:textbox inset="0,0,0,0">
                  <w:txbxContent>
                    <w:p w14:paraId="7DB5BB30" w14:textId="27DC54FA" w:rsidR="009331AD" w:rsidRPr="009331AD" w:rsidRDefault="00000000" w:rsidP="009331AD">
                      <w:pPr>
                        <w:pStyle w:val="CoverTitle"/>
                        <w:rPr>
                          <w:rFonts w:ascii="Cambria" w:hAnsi="Cambria"/>
                          <w:sz w:val="96"/>
                          <w:szCs w:val="96"/>
                        </w:rPr>
                      </w:pPr>
                      <w:sdt>
                        <w:sdtPr>
                          <w:rPr>
                            <w:rFonts w:ascii="Cambria" w:hAnsi="Cambria"/>
                            <w:sz w:val="96"/>
                            <w:szCs w:val="96"/>
                          </w:rPr>
                          <w:alias w:val="Document Heading"/>
                          <w:tag w:val="DH"/>
                          <w:id w:val="-1577504962"/>
                          <w:dataBinding w:xpath="/root[1]/DH[1]" w:storeItemID="{F533AE62-A212-4B26-92DA-A3B336E8AE06}"/>
                          <w:text w:multiLine="1"/>
                        </w:sdtPr>
                        <w:sdtContent>
                          <w:r w:rsidR="009331AD" w:rsidRPr="009331AD">
                            <w:rPr>
                              <w:rFonts w:ascii="Cambria" w:hAnsi="Cambria"/>
                              <w:sz w:val="96"/>
                              <w:szCs w:val="96"/>
                            </w:rPr>
                            <w:t xml:space="preserve">OPTIONS TO PROVIDE </w:t>
                          </w:r>
                          <w:r w:rsidR="009331AD">
                            <w:rPr>
                              <w:rFonts w:ascii="Cambria" w:hAnsi="Cambria"/>
                              <w:sz w:val="96"/>
                              <w:szCs w:val="96"/>
                            </w:rPr>
                            <w:t>SOLAR SHARER OFFER</w:t>
                          </w:r>
                        </w:sdtContent>
                      </w:sdt>
                    </w:p>
                    <w:p w14:paraId="3FDB1B3F" w14:textId="77777777" w:rsidR="009331AD" w:rsidRDefault="009331AD" w:rsidP="009331AD">
                      <w:pPr>
                        <w:pStyle w:val="CoverByline"/>
                      </w:pPr>
                      <w:r>
                        <w:t>Impact Analysis</w:t>
                      </w:r>
                    </w:p>
                    <w:p w14:paraId="53B10EA3" w14:textId="4AB4B21E" w:rsidR="009331AD" w:rsidRPr="006D2AF2" w:rsidRDefault="009331AD" w:rsidP="009331AD">
                      <w:pPr>
                        <w:pStyle w:val="CoverByline"/>
                        <w:rPr>
                          <w:sz w:val="36"/>
                          <w:szCs w:val="36"/>
                        </w:rPr>
                      </w:pPr>
                      <w:r w:rsidRPr="006D2AF2">
                        <w:rPr>
                          <w:sz w:val="36"/>
                          <w:szCs w:val="36"/>
                        </w:rPr>
                        <w:t>Department of Climate Change, Energy, the Environment and Water</w:t>
                      </w:r>
                    </w:p>
                  </w:txbxContent>
                </v:textbox>
                <w10:wrap type="square" anchorx="margin" anchory="page"/>
                <w10:anchorlock/>
              </v:shape>
            </w:pict>
          </mc:Fallback>
        </mc:AlternateContent>
      </w:r>
    </w:p>
    <w:p w14:paraId="51E03FBE" w14:textId="77777777" w:rsidR="00D46547" w:rsidRPr="00B5064E" w:rsidRDefault="00D46547">
      <w:pPr>
        <w:rPr>
          <w:rFonts w:ascii="Calibri" w:hAnsi="Calibri" w:cs="Calibri"/>
          <w:color w:val="0E2841" w:themeColor="text2"/>
          <w:sz w:val="56"/>
          <w:szCs w:val="56"/>
        </w:rPr>
      </w:pPr>
    </w:p>
    <w:p w14:paraId="73D19260" w14:textId="77777777" w:rsidR="00D46547" w:rsidRPr="00B5064E" w:rsidRDefault="00D46547">
      <w:pPr>
        <w:rPr>
          <w:rFonts w:ascii="Calibri" w:hAnsi="Calibri" w:cs="Calibri"/>
          <w:color w:val="0E2841" w:themeColor="text2"/>
          <w:sz w:val="56"/>
          <w:szCs w:val="56"/>
        </w:rPr>
      </w:pPr>
    </w:p>
    <w:p w14:paraId="1C047ED7" w14:textId="77777777" w:rsidR="00D46547" w:rsidRPr="00B5064E" w:rsidRDefault="00D46547">
      <w:pPr>
        <w:rPr>
          <w:rFonts w:ascii="Calibri" w:hAnsi="Calibri" w:cs="Calibri"/>
          <w:color w:val="0E2841" w:themeColor="text2"/>
          <w:sz w:val="56"/>
          <w:szCs w:val="56"/>
        </w:rPr>
      </w:pPr>
    </w:p>
    <w:p w14:paraId="2E6CCD30" w14:textId="77777777" w:rsidR="00D46547" w:rsidRPr="00B5064E" w:rsidRDefault="00D46547">
      <w:pPr>
        <w:rPr>
          <w:rFonts w:ascii="Calibri" w:hAnsi="Calibri" w:cs="Calibri"/>
          <w:color w:val="0E2841" w:themeColor="text2"/>
          <w:sz w:val="56"/>
          <w:szCs w:val="56"/>
        </w:rPr>
      </w:pPr>
    </w:p>
    <w:sdt>
      <w:sdtPr>
        <w:rPr>
          <w:rFonts w:ascii="Calibri" w:eastAsiaTheme="minorEastAsia" w:hAnsi="Calibri" w:cs="Calibri"/>
          <w:color w:val="auto"/>
          <w:kern w:val="2"/>
          <w:sz w:val="22"/>
          <w:szCs w:val="22"/>
          <w:lang w:val="en-AU"/>
          <w14:ligatures w14:val="standardContextual"/>
        </w:rPr>
        <w:id w:val="154113746"/>
        <w:docPartObj>
          <w:docPartGallery w:val="Table of Contents"/>
          <w:docPartUnique/>
        </w:docPartObj>
      </w:sdtPr>
      <w:sdtEndPr>
        <w:rPr>
          <w:b/>
          <w:bCs/>
        </w:rPr>
      </w:sdtEndPr>
      <w:sdtContent>
        <w:p w14:paraId="6D1CB078" w14:textId="7D5DFA53" w:rsidR="00D46547" w:rsidRPr="00370F7E" w:rsidRDefault="00D46547" w:rsidP="00074268">
          <w:pPr>
            <w:pStyle w:val="TOCHeading"/>
            <w:spacing w:before="120" w:after="120"/>
            <w:rPr>
              <w:rFonts w:ascii="Calibri" w:hAnsi="Calibri" w:cs="Calibri"/>
              <w:b/>
              <w:sz w:val="28"/>
              <w:szCs w:val="28"/>
            </w:rPr>
          </w:pPr>
          <w:r w:rsidRPr="3AE2F883">
            <w:rPr>
              <w:rFonts w:ascii="Calibri" w:hAnsi="Calibri" w:cs="Calibri"/>
              <w:b/>
              <w:sz w:val="28"/>
              <w:szCs w:val="28"/>
            </w:rPr>
            <w:t>Contents</w:t>
          </w:r>
        </w:p>
        <w:p w14:paraId="3CD76C89" w14:textId="5469AF31" w:rsidR="00285931" w:rsidRDefault="00D46547">
          <w:pPr>
            <w:pStyle w:val="TOC1"/>
            <w:tabs>
              <w:tab w:val="right" w:leader="dot" w:pos="9402"/>
            </w:tabs>
            <w:rPr>
              <w:rFonts w:eastAsiaTheme="minorEastAsia"/>
              <w:noProof/>
              <w:sz w:val="24"/>
              <w:szCs w:val="24"/>
              <w:lang w:eastAsia="en-AU"/>
            </w:rPr>
          </w:pPr>
          <w:r w:rsidRPr="00204B0F">
            <w:rPr>
              <w:rFonts w:ascii="Calibri" w:hAnsi="Calibri" w:cs="Calibri"/>
            </w:rPr>
            <w:fldChar w:fldCharType="begin"/>
          </w:r>
          <w:r w:rsidRPr="00204B0F">
            <w:rPr>
              <w:rFonts w:ascii="Calibri" w:hAnsi="Calibri" w:cs="Calibri"/>
            </w:rPr>
            <w:instrText xml:space="preserve"> TOC \o "1-3" \h \z \u </w:instrText>
          </w:r>
          <w:r w:rsidRPr="00204B0F">
            <w:rPr>
              <w:rFonts w:ascii="Calibri" w:hAnsi="Calibri" w:cs="Calibri"/>
            </w:rPr>
            <w:fldChar w:fldCharType="separate"/>
          </w:r>
          <w:hyperlink w:anchor="_Toc222842750" w:history="1">
            <w:r w:rsidR="00285931" w:rsidRPr="0035404F">
              <w:rPr>
                <w:rStyle w:val="Hyperlink"/>
                <w:rFonts w:ascii="Calibri" w:hAnsi="Calibri" w:cs="Calibri"/>
                <w:b/>
                <w:bCs/>
                <w:noProof/>
              </w:rPr>
              <w:t>Executive Summary</w:t>
            </w:r>
            <w:r w:rsidR="00285931">
              <w:rPr>
                <w:noProof/>
                <w:webHidden/>
              </w:rPr>
              <w:tab/>
            </w:r>
            <w:r w:rsidR="00285931">
              <w:rPr>
                <w:noProof/>
                <w:webHidden/>
              </w:rPr>
              <w:fldChar w:fldCharType="begin"/>
            </w:r>
            <w:r w:rsidR="00285931">
              <w:rPr>
                <w:noProof/>
                <w:webHidden/>
              </w:rPr>
              <w:instrText xml:space="preserve"> PAGEREF _Toc222842750 \h </w:instrText>
            </w:r>
            <w:r w:rsidR="00285931">
              <w:rPr>
                <w:noProof/>
                <w:webHidden/>
              </w:rPr>
            </w:r>
            <w:r w:rsidR="00285931">
              <w:rPr>
                <w:noProof/>
                <w:webHidden/>
              </w:rPr>
              <w:fldChar w:fldCharType="separate"/>
            </w:r>
            <w:r w:rsidR="001B4CAD">
              <w:rPr>
                <w:noProof/>
                <w:webHidden/>
              </w:rPr>
              <w:t>4</w:t>
            </w:r>
            <w:r w:rsidR="00285931">
              <w:rPr>
                <w:noProof/>
                <w:webHidden/>
              </w:rPr>
              <w:fldChar w:fldCharType="end"/>
            </w:r>
          </w:hyperlink>
        </w:p>
        <w:p w14:paraId="2F6BA3FB" w14:textId="5F131ADB" w:rsidR="00285931" w:rsidRDefault="00285931">
          <w:pPr>
            <w:pStyle w:val="TOC1"/>
            <w:tabs>
              <w:tab w:val="right" w:leader="dot" w:pos="9402"/>
            </w:tabs>
            <w:rPr>
              <w:rFonts w:eastAsiaTheme="minorEastAsia"/>
              <w:noProof/>
              <w:sz w:val="24"/>
              <w:szCs w:val="24"/>
              <w:lang w:eastAsia="en-AU"/>
            </w:rPr>
          </w:pPr>
          <w:hyperlink w:anchor="_Toc222842751" w:history="1">
            <w:r w:rsidRPr="0035404F">
              <w:rPr>
                <w:rStyle w:val="Hyperlink"/>
                <w:rFonts w:ascii="Calibri" w:hAnsi="Calibri" w:cs="Calibri"/>
                <w:b/>
                <w:bCs/>
                <w:noProof/>
              </w:rPr>
              <w:t>What is the problem you are trying to solve?</w:t>
            </w:r>
            <w:r>
              <w:rPr>
                <w:noProof/>
                <w:webHidden/>
              </w:rPr>
              <w:tab/>
            </w:r>
            <w:r>
              <w:rPr>
                <w:noProof/>
                <w:webHidden/>
              </w:rPr>
              <w:fldChar w:fldCharType="begin"/>
            </w:r>
            <w:r>
              <w:rPr>
                <w:noProof/>
                <w:webHidden/>
              </w:rPr>
              <w:instrText xml:space="preserve"> PAGEREF _Toc222842751 \h </w:instrText>
            </w:r>
            <w:r>
              <w:rPr>
                <w:noProof/>
                <w:webHidden/>
              </w:rPr>
            </w:r>
            <w:r>
              <w:rPr>
                <w:noProof/>
                <w:webHidden/>
              </w:rPr>
              <w:fldChar w:fldCharType="separate"/>
            </w:r>
            <w:r w:rsidR="001B4CAD">
              <w:rPr>
                <w:noProof/>
                <w:webHidden/>
              </w:rPr>
              <w:t>7</w:t>
            </w:r>
            <w:r>
              <w:rPr>
                <w:noProof/>
                <w:webHidden/>
              </w:rPr>
              <w:fldChar w:fldCharType="end"/>
            </w:r>
          </w:hyperlink>
        </w:p>
        <w:p w14:paraId="4F7EA75A" w14:textId="6857E2F3" w:rsidR="00285931" w:rsidRDefault="00285931">
          <w:pPr>
            <w:pStyle w:val="TOC2"/>
            <w:rPr>
              <w:rFonts w:eastAsiaTheme="minorEastAsia"/>
              <w:noProof/>
              <w:sz w:val="24"/>
              <w:szCs w:val="24"/>
              <w:lang w:eastAsia="en-AU"/>
            </w:rPr>
          </w:pPr>
          <w:hyperlink w:anchor="_Toc222842752" w:history="1">
            <w:r w:rsidRPr="0035404F">
              <w:rPr>
                <w:rStyle w:val="Hyperlink"/>
                <w:rFonts w:ascii="Calibri" w:hAnsi="Calibri" w:cs="Calibri"/>
                <w:noProof/>
              </w:rPr>
              <w:t>Overview of the Problem</w:t>
            </w:r>
            <w:r>
              <w:rPr>
                <w:noProof/>
                <w:webHidden/>
              </w:rPr>
              <w:tab/>
            </w:r>
            <w:r>
              <w:rPr>
                <w:noProof/>
                <w:webHidden/>
              </w:rPr>
              <w:fldChar w:fldCharType="begin"/>
            </w:r>
            <w:r>
              <w:rPr>
                <w:noProof/>
                <w:webHidden/>
              </w:rPr>
              <w:instrText xml:space="preserve"> PAGEREF _Toc222842752 \h </w:instrText>
            </w:r>
            <w:r>
              <w:rPr>
                <w:noProof/>
                <w:webHidden/>
              </w:rPr>
            </w:r>
            <w:r>
              <w:rPr>
                <w:noProof/>
                <w:webHidden/>
              </w:rPr>
              <w:fldChar w:fldCharType="separate"/>
            </w:r>
            <w:r w:rsidR="001B4CAD">
              <w:rPr>
                <w:noProof/>
                <w:webHidden/>
              </w:rPr>
              <w:t>7</w:t>
            </w:r>
            <w:r>
              <w:rPr>
                <w:noProof/>
                <w:webHidden/>
              </w:rPr>
              <w:fldChar w:fldCharType="end"/>
            </w:r>
          </w:hyperlink>
        </w:p>
        <w:p w14:paraId="48E7195C" w14:textId="3AE35FCF" w:rsidR="00285931" w:rsidRDefault="00285931">
          <w:pPr>
            <w:pStyle w:val="TOC3"/>
            <w:rPr>
              <w:rFonts w:asciiTheme="minorHAnsi" w:eastAsiaTheme="minorEastAsia" w:hAnsiTheme="minorHAnsi" w:cstheme="minorBidi"/>
              <w:iCs w:val="0"/>
              <w:sz w:val="24"/>
              <w:szCs w:val="24"/>
              <w:lang w:eastAsia="en-AU"/>
            </w:rPr>
          </w:pPr>
          <w:hyperlink w:anchor="_Toc222842753" w:history="1">
            <w:r w:rsidRPr="0035404F">
              <w:rPr>
                <w:rStyle w:val="Hyperlink"/>
              </w:rPr>
              <w:t>Equity and distributional impacts</w:t>
            </w:r>
            <w:r>
              <w:rPr>
                <w:webHidden/>
              </w:rPr>
              <w:tab/>
            </w:r>
            <w:r>
              <w:rPr>
                <w:webHidden/>
              </w:rPr>
              <w:fldChar w:fldCharType="begin"/>
            </w:r>
            <w:r>
              <w:rPr>
                <w:webHidden/>
              </w:rPr>
              <w:instrText xml:space="preserve"> PAGEREF _Toc222842753 \h </w:instrText>
            </w:r>
            <w:r>
              <w:rPr>
                <w:webHidden/>
              </w:rPr>
            </w:r>
            <w:r>
              <w:rPr>
                <w:webHidden/>
              </w:rPr>
              <w:fldChar w:fldCharType="separate"/>
            </w:r>
            <w:r w:rsidR="001B4CAD">
              <w:rPr>
                <w:webHidden/>
              </w:rPr>
              <w:t>7</w:t>
            </w:r>
            <w:r>
              <w:rPr>
                <w:webHidden/>
              </w:rPr>
              <w:fldChar w:fldCharType="end"/>
            </w:r>
          </w:hyperlink>
        </w:p>
        <w:p w14:paraId="64C4CD50" w14:textId="7839A5DF" w:rsidR="00285931" w:rsidRDefault="00285931">
          <w:pPr>
            <w:pStyle w:val="TOC3"/>
            <w:rPr>
              <w:rFonts w:asciiTheme="minorHAnsi" w:eastAsiaTheme="minorEastAsia" w:hAnsiTheme="minorHAnsi" w:cstheme="minorBidi"/>
              <w:iCs w:val="0"/>
              <w:sz w:val="24"/>
              <w:szCs w:val="24"/>
              <w:lang w:eastAsia="en-AU"/>
            </w:rPr>
          </w:pPr>
          <w:hyperlink w:anchor="_Toc222842754" w:history="1">
            <w:r w:rsidRPr="0035404F">
              <w:rPr>
                <w:rStyle w:val="Hyperlink"/>
              </w:rPr>
              <w:t>Network and System impacts</w:t>
            </w:r>
            <w:r>
              <w:rPr>
                <w:webHidden/>
              </w:rPr>
              <w:tab/>
            </w:r>
            <w:r>
              <w:rPr>
                <w:webHidden/>
              </w:rPr>
              <w:fldChar w:fldCharType="begin"/>
            </w:r>
            <w:r>
              <w:rPr>
                <w:webHidden/>
              </w:rPr>
              <w:instrText xml:space="preserve"> PAGEREF _Toc222842754 \h </w:instrText>
            </w:r>
            <w:r>
              <w:rPr>
                <w:webHidden/>
              </w:rPr>
            </w:r>
            <w:r>
              <w:rPr>
                <w:webHidden/>
              </w:rPr>
              <w:fldChar w:fldCharType="separate"/>
            </w:r>
            <w:r w:rsidR="001B4CAD">
              <w:rPr>
                <w:webHidden/>
              </w:rPr>
              <w:t>8</w:t>
            </w:r>
            <w:r>
              <w:rPr>
                <w:webHidden/>
              </w:rPr>
              <w:fldChar w:fldCharType="end"/>
            </w:r>
          </w:hyperlink>
        </w:p>
        <w:p w14:paraId="6D056FAB" w14:textId="6AE51E62" w:rsidR="00285931" w:rsidRDefault="00285931">
          <w:pPr>
            <w:pStyle w:val="TOC3"/>
            <w:rPr>
              <w:rFonts w:asciiTheme="minorHAnsi" w:eastAsiaTheme="minorEastAsia" w:hAnsiTheme="minorHAnsi" w:cstheme="minorBidi"/>
              <w:iCs w:val="0"/>
              <w:sz w:val="24"/>
              <w:szCs w:val="24"/>
              <w:lang w:eastAsia="en-AU"/>
            </w:rPr>
          </w:pPr>
          <w:hyperlink w:anchor="_Toc222842755" w:history="1">
            <w:r w:rsidRPr="0035404F">
              <w:rPr>
                <w:rStyle w:val="Hyperlink"/>
              </w:rPr>
              <w:t>Structural Disconnect Between Wholesale and Retail Price Signals</w:t>
            </w:r>
            <w:r>
              <w:rPr>
                <w:webHidden/>
              </w:rPr>
              <w:tab/>
            </w:r>
            <w:r>
              <w:rPr>
                <w:webHidden/>
              </w:rPr>
              <w:fldChar w:fldCharType="begin"/>
            </w:r>
            <w:r>
              <w:rPr>
                <w:webHidden/>
              </w:rPr>
              <w:instrText xml:space="preserve"> PAGEREF _Toc222842755 \h </w:instrText>
            </w:r>
            <w:r>
              <w:rPr>
                <w:webHidden/>
              </w:rPr>
            </w:r>
            <w:r>
              <w:rPr>
                <w:webHidden/>
              </w:rPr>
              <w:fldChar w:fldCharType="separate"/>
            </w:r>
            <w:r w:rsidR="001B4CAD">
              <w:rPr>
                <w:webHidden/>
              </w:rPr>
              <w:t>9</w:t>
            </w:r>
            <w:r>
              <w:rPr>
                <w:webHidden/>
              </w:rPr>
              <w:fldChar w:fldCharType="end"/>
            </w:r>
          </w:hyperlink>
        </w:p>
        <w:p w14:paraId="0499EBC2" w14:textId="07027461" w:rsidR="00285931" w:rsidRDefault="00285931">
          <w:pPr>
            <w:pStyle w:val="TOC3"/>
            <w:rPr>
              <w:rFonts w:asciiTheme="minorHAnsi" w:eastAsiaTheme="minorEastAsia" w:hAnsiTheme="minorHAnsi" w:cstheme="minorBidi"/>
              <w:iCs w:val="0"/>
              <w:sz w:val="24"/>
              <w:szCs w:val="24"/>
              <w:lang w:eastAsia="en-AU"/>
            </w:rPr>
          </w:pPr>
          <w:hyperlink w:anchor="_Toc222842756" w:history="1">
            <w:r w:rsidRPr="0035404F">
              <w:rPr>
                <w:rStyle w:val="Hyperlink"/>
              </w:rPr>
              <w:t>Current market design impact</w:t>
            </w:r>
            <w:r>
              <w:rPr>
                <w:webHidden/>
              </w:rPr>
              <w:tab/>
            </w:r>
            <w:r>
              <w:rPr>
                <w:webHidden/>
              </w:rPr>
              <w:fldChar w:fldCharType="begin"/>
            </w:r>
            <w:r>
              <w:rPr>
                <w:webHidden/>
              </w:rPr>
              <w:instrText xml:space="preserve"> PAGEREF _Toc222842756 \h </w:instrText>
            </w:r>
            <w:r>
              <w:rPr>
                <w:webHidden/>
              </w:rPr>
            </w:r>
            <w:r>
              <w:rPr>
                <w:webHidden/>
              </w:rPr>
              <w:fldChar w:fldCharType="separate"/>
            </w:r>
            <w:r w:rsidR="001B4CAD">
              <w:rPr>
                <w:webHidden/>
              </w:rPr>
              <w:t>10</w:t>
            </w:r>
            <w:r>
              <w:rPr>
                <w:webHidden/>
              </w:rPr>
              <w:fldChar w:fldCharType="end"/>
            </w:r>
          </w:hyperlink>
        </w:p>
        <w:p w14:paraId="1FF6360A" w14:textId="59473804" w:rsidR="00285931" w:rsidRDefault="00285931">
          <w:pPr>
            <w:pStyle w:val="TOC2"/>
            <w:rPr>
              <w:rFonts w:eastAsiaTheme="minorEastAsia"/>
              <w:noProof/>
              <w:sz w:val="24"/>
              <w:szCs w:val="24"/>
              <w:lang w:eastAsia="en-AU"/>
            </w:rPr>
          </w:pPr>
          <w:hyperlink w:anchor="_Toc222842757" w:history="1">
            <w:r w:rsidRPr="0035404F">
              <w:rPr>
                <w:rStyle w:val="Hyperlink"/>
                <w:rFonts w:ascii="Calibri" w:hAnsi="Calibri" w:cs="Calibri"/>
                <w:noProof/>
              </w:rPr>
              <w:t>Why do existing Legislative and Regulatory Framework does not address all the issues above?</w:t>
            </w:r>
            <w:r>
              <w:rPr>
                <w:noProof/>
                <w:webHidden/>
              </w:rPr>
              <w:tab/>
            </w:r>
            <w:r>
              <w:rPr>
                <w:noProof/>
                <w:webHidden/>
              </w:rPr>
              <w:fldChar w:fldCharType="begin"/>
            </w:r>
            <w:r>
              <w:rPr>
                <w:noProof/>
                <w:webHidden/>
              </w:rPr>
              <w:instrText xml:space="preserve"> PAGEREF _Toc222842757 \h </w:instrText>
            </w:r>
            <w:r>
              <w:rPr>
                <w:noProof/>
                <w:webHidden/>
              </w:rPr>
            </w:r>
            <w:r>
              <w:rPr>
                <w:noProof/>
                <w:webHidden/>
              </w:rPr>
              <w:fldChar w:fldCharType="separate"/>
            </w:r>
            <w:r w:rsidR="001B4CAD">
              <w:rPr>
                <w:noProof/>
                <w:webHidden/>
              </w:rPr>
              <w:t>10</w:t>
            </w:r>
            <w:r>
              <w:rPr>
                <w:noProof/>
                <w:webHidden/>
              </w:rPr>
              <w:fldChar w:fldCharType="end"/>
            </w:r>
          </w:hyperlink>
        </w:p>
        <w:p w14:paraId="4383D8D4" w14:textId="66076E9E" w:rsidR="00285931" w:rsidRDefault="00285931">
          <w:pPr>
            <w:pStyle w:val="TOC3"/>
            <w:rPr>
              <w:rFonts w:asciiTheme="minorHAnsi" w:eastAsiaTheme="minorEastAsia" w:hAnsiTheme="minorHAnsi" w:cstheme="minorBidi"/>
              <w:iCs w:val="0"/>
              <w:sz w:val="24"/>
              <w:szCs w:val="24"/>
              <w:lang w:eastAsia="en-AU"/>
            </w:rPr>
          </w:pPr>
          <w:hyperlink w:anchor="_Toc222842758" w:history="1">
            <w:r w:rsidRPr="0035404F">
              <w:rPr>
                <w:rStyle w:val="Hyperlink"/>
              </w:rPr>
              <w:t>Default Market Offer (DMO)</w:t>
            </w:r>
            <w:r>
              <w:rPr>
                <w:webHidden/>
              </w:rPr>
              <w:tab/>
            </w:r>
            <w:r>
              <w:rPr>
                <w:webHidden/>
              </w:rPr>
              <w:fldChar w:fldCharType="begin"/>
            </w:r>
            <w:r>
              <w:rPr>
                <w:webHidden/>
              </w:rPr>
              <w:instrText xml:space="preserve"> PAGEREF _Toc222842758 \h </w:instrText>
            </w:r>
            <w:r>
              <w:rPr>
                <w:webHidden/>
              </w:rPr>
            </w:r>
            <w:r>
              <w:rPr>
                <w:webHidden/>
              </w:rPr>
              <w:fldChar w:fldCharType="separate"/>
            </w:r>
            <w:r w:rsidR="001B4CAD">
              <w:rPr>
                <w:webHidden/>
              </w:rPr>
              <w:t>10</w:t>
            </w:r>
            <w:r>
              <w:rPr>
                <w:webHidden/>
              </w:rPr>
              <w:fldChar w:fldCharType="end"/>
            </w:r>
          </w:hyperlink>
        </w:p>
        <w:p w14:paraId="34220386" w14:textId="13249D23" w:rsidR="00285931" w:rsidRDefault="00285931">
          <w:pPr>
            <w:pStyle w:val="TOC3"/>
            <w:rPr>
              <w:rFonts w:asciiTheme="minorHAnsi" w:eastAsiaTheme="minorEastAsia" w:hAnsiTheme="minorHAnsi" w:cstheme="minorBidi"/>
              <w:iCs w:val="0"/>
              <w:sz w:val="24"/>
              <w:szCs w:val="24"/>
              <w:lang w:eastAsia="en-AU"/>
            </w:rPr>
          </w:pPr>
          <w:hyperlink w:anchor="_Toc222842759" w:history="1">
            <w:r w:rsidRPr="0035404F">
              <w:rPr>
                <w:rStyle w:val="Hyperlink"/>
              </w:rPr>
              <w:t>Smart Meter Reforms</w:t>
            </w:r>
            <w:r>
              <w:rPr>
                <w:webHidden/>
              </w:rPr>
              <w:tab/>
            </w:r>
            <w:r>
              <w:rPr>
                <w:webHidden/>
              </w:rPr>
              <w:fldChar w:fldCharType="begin"/>
            </w:r>
            <w:r>
              <w:rPr>
                <w:webHidden/>
              </w:rPr>
              <w:instrText xml:space="preserve"> PAGEREF _Toc222842759 \h </w:instrText>
            </w:r>
            <w:r>
              <w:rPr>
                <w:webHidden/>
              </w:rPr>
            </w:r>
            <w:r>
              <w:rPr>
                <w:webHidden/>
              </w:rPr>
              <w:fldChar w:fldCharType="separate"/>
            </w:r>
            <w:r w:rsidR="001B4CAD">
              <w:rPr>
                <w:webHidden/>
              </w:rPr>
              <w:t>11</w:t>
            </w:r>
            <w:r>
              <w:rPr>
                <w:webHidden/>
              </w:rPr>
              <w:fldChar w:fldCharType="end"/>
            </w:r>
          </w:hyperlink>
        </w:p>
        <w:p w14:paraId="17EE0299" w14:textId="4F947CCC" w:rsidR="00285931" w:rsidRDefault="00285931">
          <w:pPr>
            <w:pStyle w:val="TOC3"/>
            <w:rPr>
              <w:rFonts w:asciiTheme="minorHAnsi" w:eastAsiaTheme="minorEastAsia" w:hAnsiTheme="minorHAnsi" w:cstheme="minorBidi"/>
              <w:iCs w:val="0"/>
              <w:sz w:val="24"/>
              <w:szCs w:val="24"/>
              <w:lang w:eastAsia="en-AU"/>
            </w:rPr>
          </w:pPr>
          <w:hyperlink w:anchor="_Toc222842760" w:history="1">
            <w:r w:rsidRPr="0035404F">
              <w:rPr>
                <w:rStyle w:val="Hyperlink"/>
              </w:rPr>
              <w:t>Retailer-led “Free Period” Products</w:t>
            </w:r>
            <w:r>
              <w:rPr>
                <w:webHidden/>
              </w:rPr>
              <w:tab/>
            </w:r>
            <w:r>
              <w:rPr>
                <w:webHidden/>
              </w:rPr>
              <w:fldChar w:fldCharType="begin"/>
            </w:r>
            <w:r>
              <w:rPr>
                <w:webHidden/>
              </w:rPr>
              <w:instrText xml:space="preserve"> PAGEREF _Toc222842760 \h </w:instrText>
            </w:r>
            <w:r>
              <w:rPr>
                <w:webHidden/>
              </w:rPr>
            </w:r>
            <w:r>
              <w:rPr>
                <w:webHidden/>
              </w:rPr>
              <w:fldChar w:fldCharType="separate"/>
            </w:r>
            <w:r w:rsidR="001B4CAD">
              <w:rPr>
                <w:webHidden/>
              </w:rPr>
              <w:t>11</w:t>
            </w:r>
            <w:r>
              <w:rPr>
                <w:webHidden/>
              </w:rPr>
              <w:fldChar w:fldCharType="end"/>
            </w:r>
          </w:hyperlink>
        </w:p>
        <w:p w14:paraId="20E67609" w14:textId="0AFA76F4" w:rsidR="00285931" w:rsidRDefault="00285931">
          <w:pPr>
            <w:pStyle w:val="TOC2"/>
            <w:rPr>
              <w:rFonts w:eastAsiaTheme="minorEastAsia"/>
              <w:noProof/>
              <w:sz w:val="24"/>
              <w:szCs w:val="24"/>
              <w:lang w:eastAsia="en-AU"/>
            </w:rPr>
          </w:pPr>
          <w:hyperlink w:anchor="_Toc222842761" w:history="1">
            <w:r w:rsidRPr="0035404F">
              <w:rPr>
                <w:rStyle w:val="Hyperlink"/>
                <w:rFonts w:ascii="Calibri" w:hAnsi="Calibri" w:cs="Calibri"/>
                <w:noProof/>
              </w:rPr>
              <w:t>Current Government Measures</w:t>
            </w:r>
            <w:r>
              <w:rPr>
                <w:noProof/>
                <w:webHidden/>
              </w:rPr>
              <w:tab/>
            </w:r>
            <w:r>
              <w:rPr>
                <w:noProof/>
                <w:webHidden/>
              </w:rPr>
              <w:fldChar w:fldCharType="begin"/>
            </w:r>
            <w:r>
              <w:rPr>
                <w:noProof/>
                <w:webHidden/>
              </w:rPr>
              <w:instrText xml:space="preserve"> PAGEREF _Toc222842761 \h </w:instrText>
            </w:r>
            <w:r>
              <w:rPr>
                <w:noProof/>
                <w:webHidden/>
              </w:rPr>
            </w:r>
            <w:r>
              <w:rPr>
                <w:noProof/>
                <w:webHidden/>
              </w:rPr>
              <w:fldChar w:fldCharType="separate"/>
            </w:r>
            <w:r w:rsidR="001B4CAD">
              <w:rPr>
                <w:noProof/>
                <w:webHidden/>
              </w:rPr>
              <w:t>11</w:t>
            </w:r>
            <w:r>
              <w:rPr>
                <w:noProof/>
                <w:webHidden/>
              </w:rPr>
              <w:fldChar w:fldCharType="end"/>
            </w:r>
          </w:hyperlink>
        </w:p>
        <w:p w14:paraId="444AF190" w14:textId="5DC26B58" w:rsidR="00285931" w:rsidRDefault="00285931">
          <w:pPr>
            <w:pStyle w:val="TOC1"/>
            <w:tabs>
              <w:tab w:val="right" w:leader="dot" w:pos="9402"/>
            </w:tabs>
            <w:rPr>
              <w:rFonts w:eastAsiaTheme="minorEastAsia"/>
              <w:noProof/>
              <w:sz w:val="24"/>
              <w:szCs w:val="24"/>
              <w:lang w:eastAsia="en-AU"/>
            </w:rPr>
          </w:pPr>
          <w:hyperlink w:anchor="_Toc222842762" w:history="1">
            <w:r w:rsidRPr="0035404F">
              <w:rPr>
                <w:rStyle w:val="Hyperlink"/>
                <w:rFonts w:ascii="Calibri" w:hAnsi="Calibri" w:cs="Calibri"/>
                <w:b/>
                <w:bCs/>
                <w:noProof/>
              </w:rPr>
              <w:t>Why is Government action needed?</w:t>
            </w:r>
            <w:r>
              <w:rPr>
                <w:noProof/>
                <w:webHidden/>
              </w:rPr>
              <w:tab/>
            </w:r>
            <w:r>
              <w:rPr>
                <w:noProof/>
                <w:webHidden/>
              </w:rPr>
              <w:fldChar w:fldCharType="begin"/>
            </w:r>
            <w:r>
              <w:rPr>
                <w:noProof/>
                <w:webHidden/>
              </w:rPr>
              <w:instrText xml:space="preserve"> PAGEREF _Toc222842762 \h </w:instrText>
            </w:r>
            <w:r>
              <w:rPr>
                <w:noProof/>
                <w:webHidden/>
              </w:rPr>
            </w:r>
            <w:r>
              <w:rPr>
                <w:noProof/>
                <w:webHidden/>
              </w:rPr>
              <w:fldChar w:fldCharType="separate"/>
            </w:r>
            <w:r w:rsidR="001B4CAD">
              <w:rPr>
                <w:noProof/>
                <w:webHidden/>
              </w:rPr>
              <w:t>13</w:t>
            </w:r>
            <w:r>
              <w:rPr>
                <w:noProof/>
                <w:webHidden/>
              </w:rPr>
              <w:fldChar w:fldCharType="end"/>
            </w:r>
          </w:hyperlink>
        </w:p>
        <w:p w14:paraId="0A22074B" w14:textId="503F74F8" w:rsidR="00285931" w:rsidRDefault="00285931">
          <w:pPr>
            <w:pStyle w:val="TOC2"/>
            <w:rPr>
              <w:rFonts w:eastAsiaTheme="minorEastAsia"/>
              <w:noProof/>
              <w:sz w:val="24"/>
              <w:szCs w:val="24"/>
              <w:lang w:eastAsia="en-AU"/>
            </w:rPr>
          </w:pPr>
          <w:hyperlink w:anchor="_Toc222842763" w:history="1">
            <w:r w:rsidRPr="0035404F">
              <w:rPr>
                <w:rStyle w:val="Hyperlink"/>
                <w:rFonts w:ascii="Calibri" w:hAnsi="Calibri" w:cs="Calibri"/>
                <w:noProof/>
              </w:rPr>
              <w:t>Why Government Intervention is legitimate and necessary</w:t>
            </w:r>
            <w:r>
              <w:rPr>
                <w:noProof/>
                <w:webHidden/>
              </w:rPr>
              <w:tab/>
            </w:r>
            <w:r>
              <w:rPr>
                <w:noProof/>
                <w:webHidden/>
              </w:rPr>
              <w:fldChar w:fldCharType="begin"/>
            </w:r>
            <w:r>
              <w:rPr>
                <w:noProof/>
                <w:webHidden/>
              </w:rPr>
              <w:instrText xml:space="preserve"> PAGEREF _Toc222842763 \h </w:instrText>
            </w:r>
            <w:r>
              <w:rPr>
                <w:noProof/>
                <w:webHidden/>
              </w:rPr>
            </w:r>
            <w:r>
              <w:rPr>
                <w:noProof/>
                <w:webHidden/>
              </w:rPr>
              <w:fldChar w:fldCharType="separate"/>
            </w:r>
            <w:r w:rsidR="001B4CAD">
              <w:rPr>
                <w:noProof/>
                <w:webHidden/>
              </w:rPr>
              <w:t>13</w:t>
            </w:r>
            <w:r>
              <w:rPr>
                <w:noProof/>
                <w:webHidden/>
              </w:rPr>
              <w:fldChar w:fldCharType="end"/>
            </w:r>
          </w:hyperlink>
        </w:p>
        <w:p w14:paraId="567E83E3" w14:textId="50520157" w:rsidR="00285931" w:rsidRDefault="00285931">
          <w:pPr>
            <w:pStyle w:val="TOC2"/>
            <w:rPr>
              <w:rFonts w:eastAsiaTheme="minorEastAsia"/>
              <w:noProof/>
              <w:sz w:val="24"/>
              <w:szCs w:val="24"/>
              <w:lang w:eastAsia="en-AU"/>
            </w:rPr>
          </w:pPr>
          <w:hyperlink w:anchor="_Toc222842764" w:history="1">
            <w:r w:rsidRPr="0035404F">
              <w:rPr>
                <w:rStyle w:val="Hyperlink"/>
                <w:rFonts w:ascii="Calibri" w:hAnsi="Calibri" w:cs="Calibri"/>
                <w:noProof/>
              </w:rPr>
              <w:t>Government capacity to intervene successfully</w:t>
            </w:r>
            <w:r>
              <w:rPr>
                <w:noProof/>
                <w:webHidden/>
              </w:rPr>
              <w:tab/>
            </w:r>
            <w:r>
              <w:rPr>
                <w:noProof/>
                <w:webHidden/>
              </w:rPr>
              <w:fldChar w:fldCharType="begin"/>
            </w:r>
            <w:r>
              <w:rPr>
                <w:noProof/>
                <w:webHidden/>
              </w:rPr>
              <w:instrText xml:space="preserve"> PAGEREF _Toc222842764 \h </w:instrText>
            </w:r>
            <w:r>
              <w:rPr>
                <w:noProof/>
                <w:webHidden/>
              </w:rPr>
            </w:r>
            <w:r>
              <w:rPr>
                <w:noProof/>
                <w:webHidden/>
              </w:rPr>
              <w:fldChar w:fldCharType="separate"/>
            </w:r>
            <w:r w:rsidR="001B4CAD">
              <w:rPr>
                <w:noProof/>
                <w:webHidden/>
              </w:rPr>
              <w:t>14</w:t>
            </w:r>
            <w:r>
              <w:rPr>
                <w:noProof/>
                <w:webHidden/>
              </w:rPr>
              <w:fldChar w:fldCharType="end"/>
            </w:r>
          </w:hyperlink>
        </w:p>
        <w:p w14:paraId="4E968BC8" w14:textId="24B62E55" w:rsidR="00285931" w:rsidRDefault="00285931">
          <w:pPr>
            <w:pStyle w:val="TOC2"/>
            <w:rPr>
              <w:rFonts w:eastAsiaTheme="minorEastAsia"/>
              <w:noProof/>
              <w:sz w:val="24"/>
              <w:szCs w:val="24"/>
              <w:lang w:eastAsia="en-AU"/>
            </w:rPr>
          </w:pPr>
          <w:hyperlink w:anchor="_Toc222842765" w:history="1">
            <w:r w:rsidRPr="0035404F">
              <w:rPr>
                <w:rStyle w:val="Hyperlink"/>
                <w:rFonts w:ascii="Calibri" w:hAnsi="Calibri" w:cs="Calibri"/>
                <w:noProof/>
              </w:rPr>
              <w:t>Objectives of the SSO</w:t>
            </w:r>
            <w:r>
              <w:rPr>
                <w:noProof/>
                <w:webHidden/>
              </w:rPr>
              <w:tab/>
            </w:r>
            <w:r>
              <w:rPr>
                <w:noProof/>
                <w:webHidden/>
              </w:rPr>
              <w:fldChar w:fldCharType="begin"/>
            </w:r>
            <w:r>
              <w:rPr>
                <w:noProof/>
                <w:webHidden/>
              </w:rPr>
              <w:instrText xml:space="preserve"> PAGEREF _Toc222842765 \h </w:instrText>
            </w:r>
            <w:r>
              <w:rPr>
                <w:noProof/>
                <w:webHidden/>
              </w:rPr>
            </w:r>
            <w:r>
              <w:rPr>
                <w:noProof/>
                <w:webHidden/>
              </w:rPr>
              <w:fldChar w:fldCharType="separate"/>
            </w:r>
            <w:r w:rsidR="001B4CAD">
              <w:rPr>
                <w:noProof/>
                <w:webHidden/>
              </w:rPr>
              <w:t>14</w:t>
            </w:r>
            <w:r>
              <w:rPr>
                <w:noProof/>
                <w:webHidden/>
              </w:rPr>
              <w:fldChar w:fldCharType="end"/>
            </w:r>
          </w:hyperlink>
        </w:p>
        <w:p w14:paraId="007D5C37" w14:textId="5F03C236" w:rsidR="00285931" w:rsidRDefault="00285931">
          <w:pPr>
            <w:pStyle w:val="TOC3"/>
            <w:rPr>
              <w:rFonts w:asciiTheme="minorHAnsi" w:eastAsiaTheme="minorEastAsia" w:hAnsiTheme="minorHAnsi" w:cstheme="minorBidi"/>
              <w:iCs w:val="0"/>
              <w:sz w:val="24"/>
              <w:szCs w:val="24"/>
              <w:lang w:eastAsia="en-AU"/>
            </w:rPr>
          </w:pPr>
          <w:hyperlink w:anchor="_Toc222842766" w:history="1">
            <w:r w:rsidRPr="0035404F">
              <w:rPr>
                <w:rStyle w:val="Hyperlink"/>
              </w:rPr>
              <w:t>Engage and empower consumers in the energy transition</w:t>
            </w:r>
            <w:r>
              <w:rPr>
                <w:webHidden/>
              </w:rPr>
              <w:tab/>
            </w:r>
            <w:r>
              <w:rPr>
                <w:webHidden/>
              </w:rPr>
              <w:fldChar w:fldCharType="begin"/>
            </w:r>
            <w:r>
              <w:rPr>
                <w:webHidden/>
              </w:rPr>
              <w:instrText xml:space="preserve"> PAGEREF _Toc222842766 \h </w:instrText>
            </w:r>
            <w:r>
              <w:rPr>
                <w:webHidden/>
              </w:rPr>
            </w:r>
            <w:r>
              <w:rPr>
                <w:webHidden/>
              </w:rPr>
              <w:fldChar w:fldCharType="separate"/>
            </w:r>
            <w:r w:rsidR="001B4CAD">
              <w:rPr>
                <w:webHidden/>
              </w:rPr>
              <w:t>14</w:t>
            </w:r>
            <w:r>
              <w:rPr>
                <w:webHidden/>
              </w:rPr>
              <w:fldChar w:fldCharType="end"/>
            </w:r>
          </w:hyperlink>
        </w:p>
        <w:p w14:paraId="64475450" w14:textId="2EE913EE" w:rsidR="00285931" w:rsidRDefault="00285931">
          <w:pPr>
            <w:pStyle w:val="TOC3"/>
            <w:rPr>
              <w:rFonts w:asciiTheme="minorHAnsi" w:eastAsiaTheme="minorEastAsia" w:hAnsiTheme="minorHAnsi" w:cstheme="minorBidi"/>
              <w:iCs w:val="0"/>
              <w:sz w:val="24"/>
              <w:szCs w:val="24"/>
              <w:lang w:eastAsia="en-AU"/>
            </w:rPr>
          </w:pPr>
          <w:hyperlink w:anchor="_Toc222842767" w:history="1">
            <w:r w:rsidRPr="0035404F">
              <w:rPr>
                <w:rStyle w:val="Hyperlink"/>
              </w:rPr>
              <w:t>Shift consumer demand away from peak periods — delivering savings for all consumers</w:t>
            </w:r>
            <w:r>
              <w:rPr>
                <w:webHidden/>
              </w:rPr>
              <w:tab/>
            </w:r>
            <w:r>
              <w:rPr>
                <w:webHidden/>
              </w:rPr>
              <w:fldChar w:fldCharType="begin"/>
            </w:r>
            <w:r>
              <w:rPr>
                <w:webHidden/>
              </w:rPr>
              <w:instrText xml:space="preserve"> PAGEREF _Toc222842767 \h </w:instrText>
            </w:r>
            <w:r>
              <w:rPr>
                <w:webHidden/>
              </w:rPr>
            </w:r>
            <w:r>
              <w:rPr>
                <w:webHidden/>
              </w:rPr>
              <w:fldChar w:fldCharType="separate"/>
            </w:r>
            <w:r w:rsidR="001B4CAD">
              <w:rPr>
                <w:webHidden/>
              </w:rPr>
              <w:t>15</w:t>
            </w:r>
            <w:r>
              <w:rPr>
                <w:webHidden/>
              </w:rPr>
              <w:fldChar w:fldCharType="end"/>
            </w:r>
          </w:hyperlink>
        </w:p>
        <w:p w14:paraId="1F7A72F5" w14:textId="44A1F748" w:rsidR="00285931" w:rsidRDefault="00285931">
          <w:pPr>
            <w:pStyle w:val="TOC3"/>
            <w:rPr>
              <w:rFonts w:asciiTheme="minorHAnsi" w:eastAsiaTheme="minorEastAsia" w:hAnsiTheme="minorHAnsi" w:cstheme="minorBidi"/>
              <w:iCs w:val="0"/>
              <w:sz w:val="24"/>
              <w:szCs w:val="24"/>
              <w:lang w:eastAsia="en-AU"/>
            </w:rPr>
          </w:pPr>
          <w:hyperlink w:anchor="_Toc222842768" w:history="1">
            <w:r w:rsidRPr="0035404F">
              <w:rPr>
                <w:rStyle w:val="Hyperlink"/>
              </w:rPr>
              <w:t>Absorb excess renewable generation</w:t>
            </w:r>
            <w:r>
              <w:rPr>
                <w:webHidden/>
              </w:rPr>
              <w:tab/>
            </w:r>
            <w:r>
              <w:rPr>
                <w:webHidden/>
              </w:rPr>
              <w:fldChar w:fldCharType="begin"/>
            </w:r>
            <w:r>
              <w:rPr>
                <w:webHidden/>
              </w:rPr>
              <w:instrText xml:space="preserve"> PAGEREF _Toc222842768 \h </w:instrText>
            </w:r>
            <w:r>
              <w:rPr>
                <w:webHidden/>
              </w:rPr>
            </w:r>
            <w:r>
              <w:rPr>
                <w:webHidden/>
              </w:rPr>
              <w:fldChar w:fldCharType="separate"/>
            </w:r>
            <w:r w:rsidR="001B4CAD">
              <w:rPr>
                <w:webHidden/>
              </w:rPr>
              <w:t>15</w:t>
            </w:r>
            <w:r>
              <w:rPr>
                <w:webHidden/>
              </w:rPr>
              <w:fldChar w:fldCharType="end"/>
            </w:r>
          </w:hyperlink>
        </w:p>
        <w:p w14:paraId="3798E38B" w14:textId="35A0A160" w:rsidR="00285931" w:rsidRDefault="00285931">
          <w:pPr>
            <w:pStyle w:val="TOC2"/>
            <w:rPr>
              <w:rFonts w:eastAsiaTheme="minorEastAsia"/>
              <w:noProof/>
              <w:sz w:val="24"/>
              <w:szCs w:val="24"/>
              <w:lang w:eastAsia="en-AU"/>
            </w:rPr>
          </w:pPr>
          <w:hyperlink w:anchor="_Toc222842769" w:history="1">
            <w:r w:rsidRPr="0035404F">
              <w:rPr>
                <w:rStyle w:val="Hyperlink"/>
                <w:rFonts w:ascii="Calibri" w:hAnsi="Calibri" w:cs="Calibri"/>
                <w:noProof/>
              </w:rPr>
              <w:t>Possible constraints or barriers to achieving the objectives</w:t>
            </w:r>
            <w:r>
              <w:rPr>
                <w:noProof/>
                <w:webHidden/>
              </w:rPr>
              <w:tab/>
            </w:r>
            <w:r>
              <w:rPr>
                <w:noProof/>
                <w:webHidden/>
              </w:rPr>
              <w:fldChar w:fldCharType="begin"/>
            </w:r>
            <w:r>
              <w:rPr>
                <w:noProof/>
                <w:webHidden/>
              </w:rPr>
              <w:instrText xml:space="preserve"> PAGEREF _Toc222842769 \h </w:instrText>
            </w:r>
            <w:r>
              <w:rPr>
                <w:noProof/>
                <w:webHidden/>
              </w:rPr>
            </w:r>
            <w:r>
              <w:rPr>
                <w:noProof/>
                <w:webHidden/>
              </w:rPr>
              <w:fldChar w:fldCharType="separate"/>
            </w:r>
            <w:r w:rsidR="001B4CAD">
              <w:rPr>
                <w:noProof/>
                <w:webHidden/>
              </w:rPr>
              <w:t>15</w:t>
            </w:r>
            <w:r>
              <w:rPr>
                <w:noProof/>
                <w:webHidden/>
              </w:rPr>
              <w:fldChar w:fldCharType="end"/>
            </w:r>
          </w:hyperlink>
        </w:p>
        <w:p w14:paraId="7F5E0A5B" w14:textId="515AA2DB" w:rsidR="00285931" w:rsidRDefault="00285931">
          <w:pPr>
            <w:pStyle w:val="TOC2"/>
            <w:rPr>
              <w:rFonts w:eastAsiaTheme="minorEastAsia"/>
              <w:noProof/>
              <w:sz w:val="24"/>
              <w:szCs w:val="24"/>
              <w:lang w:eastAsia="en-AU"/>
            </w:rPr>
          </w:pPr>
          <w:hyperlink w:anchor="_Toc222842770" w:history="1">
            <w:r w:rsidRPr="0035404F">
              <w:rPr>
                <w:rStyle w:val="Hyperlink"/>
                <w:rFonts w:ascii="Calibri" w:hAnsi="Calibri" w:cs="Calibri"/>
                <w:noProof/>
              </w:rPr>
              <w:t>How will success be measured?</w:t>
            </w:r>
            <w:r>
              <w:rPr>
                <w:noProof/>
                <w:webHidden/>
              </w:rPr>
              <w:tab/>
            </w:r>
            <w:r>
              <w:rPr>
                <w:noProof/>
                <w:webHidden/>
              </w:rPr>
              <w:fldChar w:fldCharType="begin"/>
            </w:r>
            <w:r>
              <w:rPr>
                <w:noProof/>
                <w:webHidden/>
              </w:rPr>
              <w:instrText xml:space="preserve"> PAGEREF _Toc222842770 \h </w:instrText>
            </w:r>
            <w:r>
              <w:rPr>
                <w:noProof/>
                <w:webHidden/>
              </w:rPr>
            </w:r>
            <w:r>
              <w:rPr>
                <w:noProof/>
                <w:webHidden/>
              </w:rPr>
              <w:fldChar w:fldCharType="separate"/>
            </w:r>
            <w:r w:rsidR="001B4CAD">
              <w:rPr>
                <w:noProof/>
                <w:webHidden/>
              </w:rPr>
              <w:t>15</w:t>
            </w:r>
            <w:r>
              <w:rPr>
                <w:noProof/>
                <w:webHidden/>
              </w:rPr>
              <w:fldChar w:fldCharType="end"/>
            </w:r>
          </w:hyperlink>
        </w:p>
        <w:p w14:paraId="55C05478" w14:textId="6C734DB8" w:rsidR="00285931" w:rsidRDefault="00285931">
          <w:pPr>
            <w:pStyle w:val="TOC2"/>
            <w:rPr>
              <w:rFonts w:eastAsiaTheme="minorEastAsia"/>
              <w:noProof/>
              <w:sz w:val="24"/>
              <w:szCs w:val="24"/>
              <w:lang w:eastAsia="en-AU"/>
            </w:rPr>
          </w:pPr>
          <w:hyperlink w:anchor="_Toc222842771" w:history="1">
            <w:r w:rsidRPr="0035404F">
              <w:rPr>
                <w:rStyle w:val="Hyperlink"/>
                <w:rFonts w:ascii="Calibri" w:hAnsi="Calibri" w:cs="Calibri"/>
                <w:noProof/>
              </w:rPr>
              <w:t>What factors will merit SSO a success?</w:t>
            </w:r>
            <w:r>
              <w:rPr>
                <w:noProof/>
                <w:webHidden/>
              </w:rPr>
              <w:tab/>
            </w:r>
            <w:r>
              <w:rPr>
                <w:noProof/>
                <w:webHidden/>
              </w:rPr>
              <w:fldChar w:fldCharType="begin"/>
            </w:r>
            <w:r>
              <w:rPr>
                <w:noProof/>
                <w:webHidden/>
              </w:rPr>
              <w:instrText xml:space="preserve"> PAGEREF _Toc222842771 \h </w:instrText>
            </w:r>
            <w:r>
              <w:rPr>
                <w:noProof/>
                <w:webHidden/>
              </w:rPr>
            </w:r>
            <w:r>
              <w:rPr>
                <w:noProof/>
                <w:webHidden/>
              </w:rPr>
              <w:fldChar w:fldCharType="separate"/>
            </w:r>
            <w:r w:rsidR="001B4CAD">
              <w:rPr>
                <w:noProof/>
                <w:webHidden/>
              </w:rPr>
              <w:t>16</w:t>
            </w:r>
            <w:r>
              <w:rPr>
                <w:noProof/>
                <w:webHidden/>
              </w:rPr>
              <w:fldChar w:fldCharType="end"/>
            </w:r>
          </w:hyperlink>
        </w:p>
        <w:p w14:paraId="4E7572E8" w14:textId="386035B6" w:rsidR="00285931" w:rsidRDefault="00285931">
          <w:pPr>
            <w:pStyle w:val="TOC1"/>
            <w:tabs>
              <w:tab w:val="right" w:leader="dot" w:pos="9402"/>
            </w:tabs>
            <w:rPr>
              <w:rFonts w:eastAsiaTheme="minorEastAsia"/>
              <w:noProof/>
              <w:sz w:val="24"/>
              <w:szCs w:val="24"/>
              <w:lang w:eastAsia="en-AU"/>
            </w:rPr>
          </w:pPr>
          <w:hyperlink w:anchor="_Toc222842772" w:history="1">
            <w:r w:rsidRPr="0035404F">
              <w:rPr>
                <w:rStyle w:val="Hyperlink"/>
                <w:rFonts w:ascii="Calibri" w:hAnsi="Calibri" w:cs="Calibri"/>
                <w:b/>
                <w:bCs/>
                <w:noProof/>
              </w:rPr>
              <w:t>What policy options are you considering and what is the net benefits of each option?</w:t>
            </w:r>
            <w:r>
              <w:rPr>
                <w:noProof/>
                <w:webHidden/>
              </w:rPr>
              <w:tab/>
            </w:r>
            <w:r>
              <w:rPr>
                <w:noProof/>
                <w:webHidden/>
              </w:rPr>
              <w:fldChar w:fldCharType="begin"/>
            </w:r>
            <w:r>
              <w:rPr>
                <w:noProof/>
                <w:webHidden/>
              </w:rPr>
              <w:instrText xml:space="preserve"> PAGEREF _Toc222842772 \h </w:instrText>
            </w:r>
            <w:r>
              <w:rPr>
                <w:noProof/>
                <w:webHidden/>
              </w:rPr>
            </w:r>
            <w:r>
              <w:rPr>
                <w:noProof/>
                <w:webHidden/>
              </w:rPr>
              <w:fldChar w:fldCharType="separate"/>
            </w:r>
            <w:r w:rsidR="001B4CAD">
              <w:rPr>
                <w:noProof/>
                <w:webHidden/>
              </w:rPr>
              <w:t>17</w:t>
            </w:r>
            <w:r>
              <w:rPr>
                <w:noProof/>
                <w:webHidden/>
              </w:rPr>
              <w:fldChar w:fldCharType="end"/>
            </w:r>
          </w:hyperlink>
        </w:p>
        <w:p w14:paraId="0AC61D07" w14:textId="4043689F" w:rsidR="00285931" w:rsidRDefault="00285931">
          <w:pPr>
            <w:pStyle w:val="TOC2"/>
            <w:rPr>
              <w:rFonts w:eastAsiaTheme="minorEastAsia"/>
              <w:noProof/>
              <w:sz w:val="24"/>
              <w:szCs w:val="24"/>
              <w:lang w:eastAsia="en-AU"/>
            </w:rPr>
          </w:pPr>
          <w:hyperlink w:anchor="_Toc222842773" w:history="1">
            <w:r w:rsidRPr="0035404F">
              <w:rPr>
                <w:rStyle w:val="Hyperlink"/>
                <w:rFonts w:ascii="Calibri" w:hAnsi="Calibri" w:cs="Calibri"/>
                <w:noProof/>
              </w:rPr>
              <w:t>Option A0: Market Offer–Led Approach (Baseline)</w:t>
            </w:r>
            <w:r>
              <w:rPr>
                <w:noProof/>
                <w:webHidden/>
              </w:rPr>
              <w:tab/>
            </w:r>
            <w:r>
              <w:rPr>
                <w:noProof/>
                <w:webHidden/>
              </w:rPr>
              <w:fldChar w:fldCharType="begin"/>
            </w:r>
            <w:r>
              <w:rPr>
                <w:noProof/>
                <w:webHidden/>
              </w:rPr>
              <w:instrText xml:space="preserve"> PAGEREF _Toc222842773 \h </w:instrText>
            </w:r>
            <w:r>
              <w:rPr>
                <w:noProof/>
                <w:webHidden/>
              </w:rPr>
            </w:r>
            <w:r>
              <w:rPr>
                <w:noProof/>
                <w:webHidden/>
              </w:rPr>
              <w:fldChar w:fldCharType="separate"/>
            </w:r>
            <w:r w:rsidR="001B4CAD">
              <w:rPr>
                <w:noProof/>
                <w:webHidden/>
              </w:rPr>
              <w:t>17</w:t>
            </w:r>
            <w:r>
              <w:rPr>
                <w:noProof/>
                <w:webHidden/>
              </w:rPr>
              <w:fldChar w:fldCharType="end"/>
            </w:r>
          </w:hyperlink>
        </w:p>
        <w:p w14:paraId="6D545AD9" w14:textId="3719264E" w:rsidR="00285931" w:rsidRDefault="00285931">
          <w:pPr>
            <w:pStyle w:val="TOC3"/>
            <w:rPr>
              <w:rFonts w:asciiTheme="minorHAnsi" w:eastAsiaTheme="minorEastAsia" w:hAnsiTheme="minorHAnsi" w:cstheme="minorBidi"/>
              <w:iCs w:val="0"/>
              <w:sz w:val="24"/>
              <w:szCs w:val="24"/>
              <w:lang w:eastAsia="en-AU"/>
            </w:rPr>
          </w:pPr>
          <w:hyperlink w:anchor="_Toc222842774" w:history="1">
            <w:r w:rsidRPr="0035404F">
              <w:rPr>
                <w:rStyle w:val="Hyperlink"/>
              </w:rPr>
              <w:t>Rationale for considering this option</w:t>
            </w:r>
            <w:r>
              <w:rPr>
                <w:webHidden/>
              </w:rPr>
              <w:tab/>
            </w:r>
            <w:r>
              <w:rPr>
                <w:webHidden/>
              </w:rPr>
              <w:fldChar w:fldCharType="begin"/>
            </w:r>
            <w:r>
              <w:rPr>
                <w:webHidden/>
              </w:rPr>
              <w:instrText xml:space="preserve"> PAGEREF _Toc222842774 \h </w:instrText>
            </w:r>
            <w:r>
              <w:rPr>
                <w:webHidden/>
              </w:rPr>
            </w:r>
            <w:r>
              <w:rPr>
                <w:webHidden/>
              </w:rPr>
              <w:fldChar w:fldCharType="separate"/>
            </w:r>
            <w:r w:rsidR="001B4CAD">
              <w:rPr>
                <w:webHidden/>
              </w:rPr>
              <w:t>17</w:t>
            </w:r>
            <w:r>
              <w:rPr>
                <w:webHidden/>
              </w:rPr>
              <w:fldChar w:fldCharType="end"/>
            </w:r>
          </w:hyperlink>
        </w:p>
        <w:p w14:paraId="582E37B5" w14:textId="414CF5CD" w:rsidR="00285931" w:rsidRDefault="00285931">
          <w:pPr>
            <w:pStyle w:val="TOC3"/>
            <w:rPr>
              <w:rFonts w:asciiTheme="minorHAnsi" w:eastAsiaTheme="minorEastAsia" w:hAnsiTheme="minorHAnsi" w:cstheme="minorBidi"/>
              <w:iCs w:val="0"/>
              <w:sz w:val="24"/>
              <w:szCs w:val="24"/>
              <w:lang w:eastAsia="en-AU"/>
            </w:rPr>
          </w:pPr>
          <w:hyperlink w:anchor="_Toc222842775" w:history="1">
            <w:r w:rsidRPr="0035404F">
              <w:rPr>
                <w:rStyle w:val="Hyperlink"/>
              </w:rPr>
              <w:t>Key features of Option A0</w:t>
            </w:r>
            <w:r>
              <w:rPr>
                <w:webHidden/>
              </w:rPr>
              <w:tab/>
            </w:r>
            <w:r>
              <w:rPr>
                <w:webHidden/>
              </w:rPr>
              <w:fldChar w:fldCharType="begin"/>
            </w:r>
            <w:r>
              <w:rPr>
                <w:webHidden/>
              </w:rPr>
              <w:instrText xml:space="preserve"> PAGEREF _Toc222842775 \h </w:instrText>
            </w:r>
            <w:r>
              <w:rPr>
                <w:webHidden/>
              </w:rPr>
            </w:r>
            <w:r>
              <w:rPr>
                <w:webHidden/>
              </w:rPr>
              <w:fldChar w:fldCharType="separate"/>
            </w:r>
            <w:r w:rsidR="001B4CAD">
              <w:rPr>
                <w:webHidden/>
              </w:rPr>
              <w:t>17</w:t>
            </w:r>
            <w:r>
              <w:rPr>
                <w:webHidden/>
              </w:rPr>
              <w:fldChar w:fldCharType="end"/>
            </w:r>
          </w:hyperlink>
        </w:p>
        <w:p w14:paraId="001C04C8" w14:textId="52FD34B3" w:rsidR="00285931" w:rsidRDefault="00285931">
          <w:pPr>
            <w:pStyle w:val="TOC3"/>
            <w:rPr>
              <w:rFonts w:asciiTheme="minorHAnsi" w:eastAsiaTheme="minorEastAsia" w:hAnsiTheme="minorHAnsi" w:cstheme="minorBidi"/>
              <w:iCs w:val="0"/>
              <w:sz w:val="24"/>
              <w:szCs w:val="24"/>
              <w:lang w:eastAsia="en-AU"/>
            </w:rPr>
          </w:pPr>
          <w:hyperlink w:anchor="_Toc222842776" w:history="1">
            <w:r w:rsidRPr="0035404F">
              <w:rPr>
                <w:rStyle w:val="Hyperlink"/>
              </w:rPr>
              <w:t>Net Benefits</w:t>
            </w:r>
            <w:r>
              <w:rPr>
                <w:webHidden/>
              </w:rPr>
              <w:tab/>
            </w:r>
            <w:r>
              <w:rPr>
                <w:webHidden/>
              </w:rPr>
              <w:fldChar w:fldCharType="begin"/>
            </w:r>
            <w:r>
              <w:rPr>
                <w:webHidden/>
              </w:rPr>
              <w:instrText xml:space="preserve"> PAGEREF _Toc222842776 \h </w:instrText>
            </w:r>
            <w:r>
              <w:rPr>
                <w:webHidden/>
              </w:rPr>
            </w:r>
            <w:r>
              <w:rPr>
                <w:webHidden/>
              </w:rPr>
              <w:fldChar w:fldCharType="separate"/>
            </w:r>
            <w:r w:rsidR="001B4CAD">
              <w:rPr>
                <w:webHidden/>
              </w:rPr>
              <w:t>17</w:t>
            </w:r>
            <w:r>
              <w:rPr>
                <w:webHidden/>
              </w:rPr>
              <w:fldChar w:fldCharType="end"/>
            </w:r>
          </w:hyperlink>
        </w:p>
        <w:p w14:paraId="4DF020F5" w14:textId="410F1DC9" w:rsidR="00285931" w:rsidRDefault="00285931">
          <w:pPr>
            <w:pStyle w:val="TOC3"/>
            <w:rPr>
              <w:rFonts w:asciiTheme="minorHAnsi" w:eastAsiaTheme="minorEastAsia" w:hAnsiTheme="minorHAnsi" w:cstheme="minorBidi"/>
              <w:iCs w:val="0"/>
              <w:sz w:val="24"/>
              <w:szCs w:val="24"/>
              <w:lang w:eastAsia="en-AU"/>
            </w:rPr>
          </w:pPr>
          <w:hyperlink w:anchor="_Toc222842777" w:history="1">
            <w:r w:rsidRPr="0035404F">
              <w:rPr>
                <w:rStyle w:val="Hyperlink"/>
              </w:rPr>
              <w:t>Key Issues with option A0</w:t>
            </w:r>
            <w:r>
              <w:rPr>
                <w:webHidden/>
              </w:rPr>
              <w:tab/>
            </w:r>
            <w:r>
              <w:rPr>
                <w:webHidden/>
              </w:rPr>
              <w:fldChar w:fldCharType="begin"/>
            </w:r>
            <w:r>
              <w:rPr>
                <w:webHidden/>
              </w:rPr>
              <w:instrText xml:space="preserve"> PAGEREF _Toc222842777 \h </w:instrText>
            </w:r>
            <w:r>
              <w:rPr>
                <w:webHidden/>
              </w:rPr>
            </w:r>
            <w:r>
              <w:rPr>
                <w:webHidden/>
              </w:rPr>
              <w:fldChar w:fldCharType="separate"/>
            </w:r>
            <w:r w:rsidR="001B4CAD">
              <w:rPr>
                <w:webHidden/>
              </w:rPr>
              <w:t>18</w:t>
            </w:r>
            <w:r>
              <w:rPr>
                <w:webHidden/>
              </w:rPr>
              <w:fldChar w:fldCharType="end"/>
            </w:r>
          </w:hyperlink>
        </w:p>
        <w:p w14:paraId="102D289B" w14:textId="3A4B2D52" w:rsidR="00285931" w:rsidRDefault="00285931">
          <w:pPr>
            <w:pStyle w:val="TOC3"/>
            <w:rPr>
              <w:rFonts w:asciiTheme="minorHAnsi" w:eastAsiaTheme="minorEastAsia" w:hAnsiTheme="minorHAnsi" w:cstheme="minorBidi"/>
              <w:iCs w:val="0"/>
              <w:sz w:val="24"/>
              <w:szCs w:val="24"/>
              <w:lang w:eastAsia="en-AU"/>
            </w:rPr>
          </w:pPr>
          <w:hyperlink w:anchor="_Toc222842778" w:history="1">
            <w:r w:rsidRPr="0035404F">
              <w:rPr>
                <w:rStyle w:val="Hyperlink"/>
              </w:rPr>
              <w:t>Risks and Limitations</w:t>
            </w:r>
            <w:r>
              <w:rPr>
                <w:webHidden/>
              </w:rPr>
              <w:tab/>
            </w:r>
            <w:r>
              <w:rPr>
                <w:webHidden/>
              </w:rPr>
              <w:fldChar w:fldCharType="begin"/>
            </w:r>
            <w:r>
              <w:rPr>
                <w:webHidden/>
              </w:rPr>
              <w:instrText xml:space="preserve"> PAGEREF _Toc222842778 \h </w:instrText>
            </w:r>
            <w:r>
              <w:rPr>
                <w:webHidden/>
              </w:rPr>
            </w:r>
            <w:r>
              <w:rPr>
                <w:webHidden/>
              </w:rPr>
              <w:fldChar w:fldCharType="separate"/>
            </w:r>
            <w:r w:rsidR="001B4CAD">
              <w:rPr>
                <w:webHidden/>
              </w:rPr>
              <w:t>19</w:t>
            </w:r>
            <w:r>
              <w:rPr>
                <w:webHidden/>
              </w:rPr>
              <w:fldChar w:fldCharType="end"/>
            </w:r>
          </w:hyperlink>
        </w:p>
        <w:p w14:paraId="2F7B7CC1" w14:textId="044B1A19" w:rsidR="00285931" w:rsidRDefault="00285931">
          <w:pPr>
            <w:pStyle w:val="TOC2"/>
            <w:rPr>
              <w:rFonts w:eastAsiaTheme="minorEastAsia"/>
              <w:noProof/>
              <w:sz w:val="24"/>
              <w:szCs w:val="24"/>
              <w:lang w:eastAsia="en-AU"/>
            </w:rPr>
          </w:pPr>
          <w:hyperlink w:anchor="_Toc222842779" w:history="1">
            <w:r w:rsidRPr="0035404F">
              <w:rPr>
                <w:rStyle w:val="Hyperlink"/>
                <w:rFonts w:ascii="Calibri" w:hAnsi="Calibri" w:cs="Calibri"/>
                <w:noProof/>
              </w:rPr>
              <w:t>Option A1 – Regulated Solar Sharer Offer through the DMO framework</w:t>
            </w:r>
            <w:r>
              <w:rPr>
                <w:noProof/>
                <w:webHidden/>
              </w:rPr>
              <w:tab/>
            </w:r>
            <w:r>
              <w:rPr>
                <w:noProof/>
                <w:webHidden/>
              </w:rPr>
              <w:fldChar w:fldCharType="begin"/>
            </w:r>
            <w:r>
              <w:rPr>
                <w:noProof/>
                <w:webHidden/>
              </w:rPr>
              <w:instrText xml:space="preserve"> PAGEREF _Toc222842779 \h </w:instrText>
            </w:r>
            <w:r>
              <w:rPr>
                <w:noProof/>
                <w:webHidden/>
              </w:rPr>
            </w:r>
            <w:r>
              <w:rPr>
                <w:noProof/>
                <w:webHidden/>
              </w:rPr>
              <w:fldChar w:fldCharType="separate"/>
            </w:r>
            <w:r w:rsidR="001B4CAD">
              <w:rPr>
                <w:noProof/>
                <w:webHidden/>
              </w:rPr>
              <w:t>20</w:t>
            </w:r>
            <w:r>
              <w:rPr>
                <w:noProof/>
                <w:webHidden/>
              </w:rPr>
              <w:fldChar w:fldCharType="end"/>
            </w:r>
          </w:hyperlink>
        </w:p>
        <w:p w14:paraId="2F6DC5AA" w14:textId="195086B1" w:rsidR="00285931" w:rsidRDefault="00285931">
          <w:pPr>
            <w:pStyle w:val="TOC3"/>
            <w:rPr>
              <w:rFonts w:asciiTheme="minorHAnsi" w:eastAsiaTheme="minorEastAsia" w:hAnsiTheme="minorHAnsi" w:cstheme="minorBidi"/>
              <w:iCs w:val="0"/>
              <w:sz w:val="24"/>
              <w:szCs w:val="24"/>
              <w:lang w:eastAsia="en-AU"/>
            </w:rPr>
          </w:pPr>
          <w:hyperlink w:anchor="_Toc222842780" w:history="1">
            <w:r w:rsidRPr="0035404F">
              <w:rPr>
                <w:rStyle w:val="Hyperlink"/>
              </w:rPr>
              <w:t>Rationale for considering this option</w:t>
            </w:r>
            <w:r>
              <w:rPr>
                <w:webHidden/>
              </w:rPr>
              <w:tab/>
            </w:r>
            <w:r>
              <w:rPr>
                <w:webHidden/>
              </w:rPr>
              <w:fldChar w:fldCharType="begin"/>
            </w:r>
            <w:r>
              <w:rPr>
                <w:webHidden/>
              </w:rPr>
              <w:instrText xml:space="preserve"> PAGEREF _Toc222842780 \h </w:instrText>
            </w:r>
            <w:r>
              <w:rPr>
                <w:webHidden/>
              </w:rPr>
            </w:r>
            <w:r>
              <w:rPr>
                <w:webHidden/>
              </w:rPr>
              <w:fldChar w:fldCharType="separate"/>
            </w:r>
            <w:r w:rsidR="001B4CAD">
              <w:rPr>
                <w:webHidden/>
              </w:rPr>
              <w:t>20</w:t>
            </w:r>
            <w:r>
              <w:rPr>
                <w:webHidden/>
              </w:rPr>
              <w:fldChar w:fldCharType="end"/>
            </w:r>
          </w:hyperlink>
        </w:p>
        <w:p w14:paraId="2144E486" w14:textId="1971BEAC" w:rsidR="00285931" w:rsidRDefault="00285931">
          <w:pPr>
            <w:pStyle w:val="TOC3"/>
            <w:rPr>
              <w:rFonts w:asciiTheme="minorHAnsi" w:eastAsiaTheme="minorEastAsia" w:hAnsiTheme="minorHAnsi" w:cstheme="minorBidi"/>
              <w:iCs w:val="0"/>
              <w:sz w:val="24"/>
              <w:szCs w:val="24"/>
              <w:lang w:eastAsia="en-AU"/>
            </w:rPr>
          </w:pPr>
          <w:hyperlink w:anchor="_Toc222842781" w:history="1">
            <w:r w:rsidRPr="0035404F">
              <w:rPr>
                <w:rStyle w:val="Hyperlink"/>
              </w:rPr>
              <w:t>Key features of Option A1</w:t>
            </w:r>
            <w:r>
              <w:rPr>
                <w:webHidden/>
              </w:rPr>
              <w:tab/>
            </w:r>
            <w:r>
              <w:rPr>
                <w:webHidden/>
              </w:rPr>
              <w:fldChar w:fldCharType="begin"/>
            </w:r>
            <w:r>
              <w:rPr>
                <w:webHidden/>
              </w:rPr>
              <w:instrText xml:space="preserve"> PAGEREF _Toc222842781 \h </w:instrText>
            </w:r>
            <w:r>
              <w:rPr>
                <w:webHidden/>
              </w:rPr>
            </w:r>
            <w:r>
              <w:rPr>
                <w:webHidden/>
              </w:rPr>
              <w:fldChar w:fldCharType="separate"/>
            </w:r>
            <w:r w:rsidR="001B4CAD">
              <w:rPr>
                <w:webHidden/>
              </w:rPr>
              <w:t>20</w:t>
            </w:r>
            <w:r>
              <w:rPr>
                <w:webHidden/>
              </w:rPr>
              <w:fldChar w:fldCharType="end"/>
            </w:r>
          </w:hyperlink>
        </w:p>
        <w:p w14:paraId="6AFFB362" w14:textId="6650B409" w:rsidR="00285931" w:rsidRDefault="00285931">
          <w:pPr>
            <w:pStyle w:val="TOC3"/>
            <w:rPr>
              <w:rFonts w:asciiTheme="minorHAnsi" w:eastAsiaTheme="minorEastAsia" w:hAnsiTheme="minorHAnsi" w:cstheme="minorBidi"/>
              <w:iCs w:val="0"/>
              <w:sz w:val="24"/>
              <w:szCs w:val="24"/>
              <w:lang w:eastAsia="en-AU"/>
            </w:rPr>
          </w:pPr>
          <w:hyperlink w:anchor="_Toc222842782" w:history="1">
            <w:r w:rsidRPr="0035404F">
              <w:rPr>
                <w:rStyle w:val="Hyperlink"/>
              </w:rPr>
              <w:t>How the design principles guide this option</w:t>
            </w:r>
            <w:r>
              <w:rPr>
                <w:webHidden/>
              </w:rPr>
              <w:tab/>
            </w:r>
            <w:r>
              <w:rPr>
                <w:webHidden/>
              </w:rPr>
              <w:fldChar w:fldCharType="begin"/>
            </w:r>
            <w:r>
              <w:rPr>
                <w:webHidden/>
              </w:rPr>
              <w:instrText xml:space="preserve"> PAGEREF _Toc222842782 \h </w:instrText>
            </w:r>
            <w:r>
              <w:rPr>
                <w:webHidden/>
              </w:rPr>
            </w:r>
            <w:r>
              <w:rPr>
                <w:webHidden/>
              </w:rPr>
              <w:fldChar w:fldCharType="separate"/>
            </w:r>
            <w:r w:rsidR="001B4CAD">
              <w:rPr>
                <w:webHidden/>
              </w:rPr>
              <w:t>21</w:t>
            </w:r>
            <w:r>
              <w:rPr>
                <w:webHidden/>
              </w:rPr>
              <w:fldChar w:fldCharType="end"/>
            </w:r>
          </w:hyperlink>
        </w:p>
        <w:p w14:paraId="6E91941C" w14:textId="416E9A72" w:rsidR="00285931" w:rsidRDefault="00285931">
          <w:pPr>
            <w:pStyle w:val="TOC3"/>
            <w:rPr>
              <w:rFonts w:asciiTheme="minorHAnsi" w:eastAsiaTheme="minorEastAsia" w:hAnsiTheme="minorHAnsi" w:cstheme="minorBidi"/>
              <w:iCs w:val="0"/>
              <w:sz w:val="24"/>
              <w:szCs w:val="24"/>
              <w:lang w:eastAsia="en-AU"/>
            </w:rPr>
          </w:pPr>
          <w:hyperlink w:anchor="_Toc222842783" w:history="1">
            <w:r w:rsidRPr="0035404F">
              <w:rPr>
                <w:rStyle w:val="Hyperlink"/>
              </w:rPr>
              <w:t>Some of the expected benefits of SSO are:</w:t>
            </w:r>
            <w:r>
              <w:rPr>
                <w:webHidden/>
              </w:rPr>
              <w:tab/>
            </w:r>
            <w:r>
              <w:rPr>
                <w:webHidden/>
              </w:rPr>
              <w:fldChar w:fldCharType="begin"/>
            </w:r>
            <w:r>
              <w:rPr>
                <w:webHidden/>
              </w:rPr>
              <w:instrText xml:space="preserve"> PAGEREF _Toc222842783 \h </w:instrText>
            </w:r>
            <w:r>
              <w:rPr>
                <w:webHidden/>
              </w:rPr>
            </w:r>
            <w:r>
              <w:rPr>
                <w:webHidden/>
              </w:rPr>
              <w:fldChar w:fldCharType="separate"/>
            </w:r>
            <w:r w:rsidR="001B4CAD">
              <w:rPr>
                <w:webHidden/>
              </w:rPr>
              <w:t>21</w:t>
            </w:r>
            <w:r>
              <w:rPr>
                <w:webHidden/>
              </w:rPr>
              <w:fldChar w:fldCharType="end"/>
            </w:r>
          </w:hyperlink>
        </w:p>
        <w:p w14:paraId="61EBEA62" w14:textId="55E7B60A" w:rsidR="00285931" w:rsidRDefault="00285931">
          <w:pPr>
            <w:pStyle w:val="TOC3"/>
            <w:rPr>
              <w:rFonts w:asciiTheme="minorHAnsi" w:eastAsiaTheme="minorEastAsia" w:hAnsiTheme="minorHAnsi" w:cstheme="minorBidi"/>
              <w:iCs w:val="0"/>
              <w:sz w:val="24"/>
              <w:szCs w:val="24"/>
              <w:lang w:eastAsia="en-AU"/>
            </w:rPr>
          </w:pPr>
          <w:hyperlink w:anchor="_Toc222842784" w:history="1">
            <w:r w:rsidRPr="0035404F">
              <w:rPr>
                <w:rStyle w:val="Hyperlink"/>
              </w:rPr>
              <w:t>Table 5: Consideration of risks and mitigations with option A1</w:t>
            </w:r>
            <w:r>
              <w:rPr>
                <w:webHidden/>
              </w:rPr>
              <w:tab/>
            </w:r>
            <w:r>
              <w:rPr>
                <w:webHidden/>
              </w:rPr>
              <w:fldChar w:fldCharType="begin"/>
            </w:r>
            <w:r>
              <w:rPr>
                <w:webHidden/>
              </w:rPr>
              <w:instrText xml:space="preserve"> PAGEREF _Toc222842784 \h </w:instrText>
            </w:r>
            <w:r>
              <w:rPr>
                <w:webHidden/>
              </w:rPr>
            </w:r>
            <w:r>
              <w:rPr>
                <w:webHidden/>
              </w:rPr>
              <w:fldChar w:fldCharType="separate"/>
            </w:r>
            <w:r w:rsidR="001B4CAD">
              <w:rPr>
                <w:webHidden/>
              </w:rPr>
              <w:t>22</w:t>
            </w:r>
            <w:r>
              <w:rPr>
                <w:webHidden/>
              </w:rPr>
              <w:fldChar w:fldCharType="end"/>
            </w:r>
          </w:hyperlink>
        </w:p>
        <w:p w14:paraId="328BA751" w14:textId="61C84CBE" w:rsidR="00285931" w:rsidRDefault="00285931">
          <w:pPr>
            <w:pStyle w:val="TOC3"/>
            <w:rPr>
              <w:rFonts w:asciiTheme="minorHAnsi" w:eastAsiaTheme="minorEastAsia" w:hAnsiTheme="minorHAnsi" w:cstheme="minorBidi"/>
              <w:iCs w:val="0"/>
              <w:sz w:val="24"/>
              <w:szCs w:val="24"/>
              <w:lang w:eastAsia="en-AU"/>
            </w:rPr>
          </w:pPr>
          <w:hyperlink w:anchor="_Toc222842785" w:history="1">
            <w:r w:rsidRPr="0035404F">
              <w:rPr>
                <w:rStyle w:val="Hyperlink"/>
              </w:rPr>
              <w:t>Overall Assessment</w:t>
            </w:r>
            <w:r>
              <w:rPr>
                <w:webHidden/>
              </w:rPr>
              <w:tab/>
            </w:r>
            <w:r>
              <w:rPr>
                <w:webHidden/>
              </w:rPr>
              <w:fldChar w:fldCharType="begin"/>
            </w:r>
            <w:r>
              <w:rPr>
                <w:webHidden/>
              </w:rPr>
              <w:instrText xml:space="preserve"> PAGEREF _Toc222842785 \h </w:instrText>
            </w:r>
            <w:r>
              <w:rPr>
                <w:webHidden/>
              </w:rPr>
            </w:r>
            <w:r>
              <w:rPr>
                <w:webHidden/>
              </w:rPr>
              <w:fldChar w:fldCharType="separate"/>
            </w:r>
            <w:r w:rsidR="001B4CAD">
              <w:rPr>
                <w:webHidden/>
              </w:rPr>
              <w:t>25</w:t>
            </w:r>
            <w:r>
              <w:rPr>
                <w:webHidden/>
              </w:rPr>
              <w:fldChar w:fldCharType="end"/>
            </w:r>
          </w:hyperlink>
        </w:p>
        <w:p w14:paraId="329E8F9D" w14:textId="7A962E16" w:rsidR="00285931" w:rsidRDefault="00285931">
          <w:pPr>
            <w:pStyle w:val="TOC2"/>
            <w:rPr>
              <w:rFonts w:eastAsiaTheme="minorEastAsia"/>
              <w:noProof/>
              <w:sz w:val="24"/>
              <w:szCs w:val="24"/>
              <w:lang w:eastAsia="en-AU"/>
            </w:rPr>
          </w:pPr>
          <w:hyperlink w:anchor="_Toc222842786" w:history="1">
            <w:r w:rsidRPr="0035404F">
              <w:rPr>
                <w:rStyle w:val="Hyperlink"/>
                <w:rFonts w:ascii="Calibri" w:hAnsi="Calibri" w:cs="Calibri"/>
                <w:noProof/>
              </w:rPr>
              <w:t>Option A2 – Voluntary industry code or guidance framework (non-mandated standardisation)</w:t>
            </w:r>
            <w:r>
              <w:rPr>
                <w:noProof/>
                <w:webHidden/>
              </w:rPr>
              <w:tab/>
            </w:r>
            <w:r>
              <w:rPr>
                <w:noProof/>
                <w:webHidden/>
              </w:rPr>
              <w:fldChar w:fldCharType="begin"/>
            </w:r>
            <w:r>
              <w:rPr>
                <w:noProof/>
                <w:webHidden/>
              </w:rPr>
              <w:instrText xml:space="preserve"> PAGEREF _Toc222842786 \h </w:instrText>
            </w:r>
            <w:r>
              <w:rPr>
                <w:noProof/>
                <w:webHidden/>
              </w:rPr>
            </w:r>
            <w:r>
              <w:rPr>
                <w:noProof/>
                <w:webHidden/>
              </w:rPr>
              <w:fldChar w:fldCharType="separate"/>
            </w:r>
            <w:r w:rsidR="001B4CAD">
              <w:rPr>
                <w:noProof/>
                <w:webHidden/>
              </w:rPr>
              <w:t>26</w:t>
            </w:r>
            <w:r>
              <w:rPr>
                <w:noProof/>
                <w:webHidden/>
              </w:rPr>
              <w:fldChar w:fldCharType="end"/>
            </w:r>
          </w:hyperlink>
        </w:p>
        <w:p w14:paraId="07F854ED" w14:textId="4AC0E596" w:rsidR="00285931" w:rsidRDefault="00285931">
          <w:pPr>
            <w:pStyle w:val="TOC3"/>
            <w:rPr>
              <w:rFonts w:asciiTheme="minorHAnsi" w:eastAsiaTheme="minorEastAsia" w:hAnsiTheme="minorHAnsi" w:cstheme="minorBidi"/>
              <w:iCs w:val="0"/>
              <w:sz w:val="24"/>
              <w:szCs w:val="24"/>
              <w:lang w:eastAsia="en-AU"/>
            </w:rPr>
          </w:pPr>
          <w:hyperlink w:anchor="_Toc222842787" w:history="1">
            <w:r w:rsidRPr="0035404F">
              <w:rPr>
                <w:rStyle w:val="Hyperlink"/>
              </w:rPr>
              <w:t>Core features could include:</w:t>
            </w:r>
            <w:r>
              <w:rPr>
                <w:webHidden/>
              </w:rPr>
              <w:tab/>
            </w:r>
            <w:r>
              <w:rPr>
                <w:webHidden/>
              </w:rPr>
              <w:fldChar w:fldCharType="begin"/>
            </w:r>
            <w:r>
              <w:rPr>
                <w:webHidden/>
              </w:rPr>
              <w:instrText xml:space="preserve"> PAGEREF _Toc222842787 \h </w:instrText>
            </w:r>
            <w:r>
              <w:rPr>
                <w:webHidden/>
              </w:rPr>
            </w:r>
            <w:r>
              <w:rPr>
                <w:webHidden/>
              </w:rPr>
              <w:fldChar w:fldCharType="separate"/>
            </w:r>
            <w:r w:rsidR="001B4CAD">
              <w:rPr>
                <w:webHidden/>
              </w:rPr>
              <w:t>26</w:t>
            </w:r>
            <w:r>
              <w:rPr>
                <w:webHidden/>
              </w:rPr>
              <w:fldChar w:fldCharType="end"/>
            </w:r>
          </w:hyperlink>
        </w:p>
        <w:p w14:paraId="5CDEC83C" w14:textId="2BD794F3" w:rsidR="00285931" w:rsidRDefault="00285931">
          <w:pPr>
            <w:pStyle w:val="TOC3"/>
            <w:rPr>
              <w:rFonts w:asciiTheme="minorHAnsi" w:eastAsiaTheme="minorEastAsia" w:hAnsiTheme="minorHAnsi" w:cstheme="minorBidi"/>
              <w:iCs w:val="0"/>
              <w:sz w:val="24"/>
              <w:szCs w:val="24"/>
              <w:lang w:eastAsia="en-AU"/>
            </w:rPr>
          </w:pPr>
          <w:hyperlink w:anchor="_Toc222842788" w:history="1">
            <w:r w:rsidRPr="0035404F">
              <w:rPr>
                <w:rStyle w:val="Hyperlink"/>
              </w:rPr>
              <w:t>Rationale for Considering this Option</w:t>
            </w:r>
            <w:r>
              <w:rPr>
                <w:webHidden/>
              </w:rPr>
              <w:tab/>
            </w:r>
            <w:r>
              <w:rPr>
                <w:webHidden/>
              </w:rPr>
              <w:fldChar w:fldCharType="begin"/>
            </w:r>
            <w:r>
              <w:rPr>
                <w:webHidden/>
              </w:rPr>
              <w:instrText xml:space="preserve"> PAGEREF _Toc222842788 \h </w:instrText>
            </w:r>
            <w:r>
              <w:rPr>
                <w:webHidden/>
              </w:rPr>
            </w:r>
            <w:r>
              <w:rPr>
                <w:webHidden/>
              </w:rPr>
              <w:fldChar w:fldCharType="separate"/>
            </w:r>
            <w:r w:rsidR="001B4CAD">
              <w:rPr>
                <w:webHidden/>
              </w:rPr>
              <w:t>26</w:t>
            </w:r>
            <w:r>
              <w:rPr>
                <w:webHidden/>
              </w:rPr>
              <w:fldChar w:fldCharType="end"/>
            </w:r>
          </w:hyperlink>
        </w:p>
        <w:p w14:paraId="69B49237" w14:textId="47DEEEE3" w:rsidR="00285931" w:rsidRDefault="00285931">
          <w:pPr>
            <w:pStyle w:val="TOC3"/>
            <w:rPr>
              <w:rFonts w:asciiTheme="minorHAnsi" w:eastAsiaTheme="minorEastAsia" w:hAnsiTheme="minorHAnsi" w:cstheme="minorBidi"/>
              <w:iCs w:val="0"/>
              <w:sz w:val="24"/>
              <w:szCs w:val="24"/>
              <w:lang w:eastAsia="en-AU"/>
            </w:rPr>
          </w:pPr>
          <w:hyperlink w:anchor="_Toc222842789" w:history="1">
            <w:r w:rsidRPr="0035404F">
              <w:rPr>
                <w:rStyle w:val="Hyperlink"/>
              </w:rPr>
              <w:t>Net benefits:</w:t>
            </w:r>
            <w:r>
              <w:rPr>
                <w:webHidden/>
              </w:rPr>
              <w:tab/>
            </w:r>
            <w:r>
              <w:rPr>
                <w:webHidden/>
              </w:rPr>
              <w:fldChar w:fldCharType="begin"/>
            </w:r>
            <w:r>
              <w:rPr>
                <w:webHidden/>
              </w:rPr>
              <w:instrText xml:space="preserve"> PAGEREF _Toc222842789 \h </w:instrText>
            </w:r>
            <w:r>
              <w:rPr>
                <w:webHidden/>
              </w:rPr>
            </w:r>
            <w:r>
              <w:rPr>
                <w:webHidden/>
              </w:rPr>
              <w:fldChar w:fldCharType="separate"/>
            </w:r>
            <w:r w:rsidR="001B4CAD">
              <w:rPr>
                <w:webHidden/>
              </w:rPr>
              <w:t>26</w:t>
            </w:r>
            <w:r>
              <w:rPr>
                <w:webHidden/>
              </w:rPr>
              <w:fldChar w:fldCharType="end"/>
            </w:r>
          </w:hyperlink>
        </w:p>
        <w:p w14:paraId="4F5A41D0" w14:textId="066D3F07" w:rsidR="00285931" w:rsidRDefault="00285931">
          <w:pPr>
            <w:pStyle w:val="TOC3"/>
            <w:rPr>
              <w:rFonts w:asciiTheme="minorHAnsi" w:eastAsiaTheme="minorEastAsia" w:hAnsiTheme="minorHAnsi" w:cstheme="minorBidi"/>
              <w:iCs w:val="0"/>
              <w:sz w:val="24"/>
              <w:szCs w:val="24"/>
              <w:lang w:eastAsia="en-AU"/>
            </w:rPr>
          </w:pPr>
          <w:hyperlink w:anchor="_Toc222842790" w:history="1">
            <w:r w:rsidRPr="0035404F">
              <w:rPr>
                <w:rStyle w:val="Hyperlink"/>
              </w:rPr>
              <w:t>Limitations:</w:t>
            </w:r>
            <w:r>
              <w:rPr>
                <w:webHidden/>
              </w:rPr>
              <w:tab/>
            </w:r>
            <w:r>
              <w:rPr>
                <w:webHidden/>
              </w:rPr>
              <w:fldChar w:fldCharType="begin"/>
            </w:r>
            <w:r>
              <w:rPr>
                <w:webHidden/>
              </w:rPr>
              <w:instrText xml:space="preserve"> PAGEREF _Toc222842790 \h </w:instrText>
            </w:r>
            <w:r>
              <w:rPr>
                <w:webHidden/>
              </w:rPr>
            </w:r>
            <w:r>
              <w:rPr>
                <w:webHidden/>
              </w:rPr>
              <w:fldChar w:fldCharType="separate"/>
            </w:r>
            <w:r w:rsidR="001B4CAD">
              <w:rPr>
                <w:webHidden/>
              </w:rPr>
              <w:t>27</w:t>
            </w:r>
            <w:r>
              <w:rPr>
                <w:webHidden/>
              </w:rPr>
              <w:fldChar w:fldCharType="end"/>
            </w:r>
          </w:hyperlink>
        </w:p>
        <w:p w14:paraId="549BAFBD" w14:textId="2EE9BC13" w:rsidR="00285931" w:rsidRDefault="00285931">
          <w:pPr>
            <w:pStyle w:val="TOC3"/>
            <w:rPr>
              <w:rFonts w:asciiTheme="minorHAnsi" w:eastAsiaTheme="minorEastAsia" w:hAnsiTheme="minorHAnsi" w:cstheme="minorBidi"/>
              <w:iCs w:val="0"/>
              <w:sz w:val="24"/>
              <w:szCs w:val="24"/>
              <w:lang w:eastAsia="en-AU"/>
            </w:rPr>
          </w:pPr>
          <w:hyperlink w:anchor="_Toc222842791" w:history="1">
            <w:r w:rsidRPr="0035404F">
              <w:rPr>
                <w:rStyle w:val="Hyperlink"/>
              </w:rPr>
              <w:t>Overall Assessment</w:t>
            </w:r>
            <w:r>
              <w:rPr>
                <w:webHidden/>
              </w:rPr>
              <w:tab/>
            </w:r>
            <w:r>
              <w:rPr>
                <w:webHidden/>
              </w:rPr>
              <w:fldChar w:fldCharType="begin"/>
            </w:r>
            <w:r>
              <w:rPr>
                <w:webHidden/>
              </w:rPr>
              <w:instrText xml:space="preserve"> PAGEREF _Toc222842791 \h </w:instrText>
            </w:r>
            <w:r>
              <w:rPr>
                <w:webHidden/>
              </w:rPr>
            </w:r>
            <w:r>
              <w:rPr>
                <w:webHidden/>
              </w:rPr>
              <w:fldChar w:fldCharType="separate"/>
            </w:r>
            <w:r w:rsidR="001B4CAD">
              <w:rPr>
                <w:webHidden/>
              </w:rPr>
              <w:t>27</w:t>
            </w:r>
            <w:r>
              <w:rPr>
                <w:webHidden/>
              </w:rPr>
              <w:fldChar w:fldCharType="end"/>
            </w:r>
          </w:hyperlink>
        </w:p>
        <w:p w14:paraId="73B1C411" w14:textId="6BBC6629" w:rsidR="00285931" w:rsidRDefault="00285931">
          <w:pPr>
            <w:pStyle w:val="TOC3"/>
            <w:rPr>
              <w:rFonts w:asciiTheme="minorHAnsi" w:eastAsiaTheme="minorEastAsia" w:hAnsiTheme="minorHAnsi" w:cstheme="minorBidi"/>
              <w:iCs w:val="0"/>
              <w:sz w:val="24"/>
              <w:szCs w:val="24"/>
              <w:lang w:eastAsia="en-AU"/>
            </w:rPr>
          </w:pPr>
          <w:hyperlink w:anchor="_Toc222842792" w:history="1">
            <w:r w:rsidRPr="0035404F">
              <w:rPr>
                <w:rStyle w:val="Hyperlink"/>
              </w:rPr>
              <w:t>Insight</w:t>
            </w:r>
            <w:r>
              <w:rPr>
                <w:webHidden/>
              </w:rPr>
              <w:tab/>
            </w:r>
            <w:r>
              <w:rPr>
                <w:webHidden/>
              </w:rPr>
              <w:fldChar w:fldCharType="begin"/>
            </w:r>
            <w:r>
              <w:rPr>
                <w:webHidden/>
              </w:rPr>
              <w:instrText xml:space="preserve"> PAGEREF _Toc222842792 \h </w:instrText>
            </w:r>
            <w:r>
              <w:rPr>
                <w:webHidden/>
              </w:rPr>
            </w:r>
            <w:r>
              <w:rPr>
                <w:webHidden/>
              </w:rPr>
              <w:fldChar w:fldCharType="separate"/>
            </w:r>
            <w:r w:rsidR="001B4CAD">
              <w:rPr>
                <w:webHidden/>
              </w:rPr>
              <w:t>30</w:t>
            </w:r>
            <w:r>
              <w:rPr>
                <w:webHidden/>
              </w:rPr>
              <w:fldChar w:fldCharType="end"/>
            </w:r>
          </w:hyperlink>
        </w:p>
        <w:p w14:paraId="05BBBB49" w14:textId="0FB4A3BB" w:rsidR="00285931" w:rsidRDefault="00285931">
          <w:pPr>
            <w:pStyle w:val="TOC1"/>
            <w:tabs>
              <w:tab w:val="right" w:leader="dot" w:pos="9402"/>
            </w:tabs>
            <w:rPr>
              <w:rFonts w:eastAsiaTheme="minorEastAsia"/>
              <w:noProof/>
              <w:sz w:val="24"/>
              <w:szCs w:val="24"/>
              <w:lang w:eastAsia="en-AU"/>
            </w:rPr>
          </w:pPr>
          <w:hyperlink w:anchor="_Toc222842793" w:history="1">
            <w:r w:rsidRPr="0035404F">
              <w:rPr>
                <w:rStyle w:val="Hyperlink"/>
                <w:rFonts w:ascii="Calibri" w:hAnsi="Calibri" w:cs="Calibri"/>
                <w:b/>
                <w:bCs/>
                <w:noProof/>
              </w:rPr>
              <w:t>What were the core analytical methods undertaken for the SSO Impact Assessment?</w:t>
            </w:r>
            <w:r>
              <w:rPr>
                <w:noProof/>
                <w:webHidden/>
              </w:rPr>
              <w:tab/>
            </w:r>
            <w:r>
              <w:rPr>
                <w:noProof/>
                <w:webHidden/>
              </w:rPr>
              <w:fldChar w:fldCharType="begin"/>
            </w:r>
            <w:r>
              <w:rPr>
                <w:noProof/>
                <w:webHidden/>
              </w:rPr>
              <w:instrText xml:space="preserve"> PAGEREF _Toc222842793 \h </w:instrText>
            </w:r>
            <w:r>
              <w:rPr>
                <w:noProof/>
                <w:webHidden/>
              </w:rPr>
            </w:r>
            <w:r>
              <w:rPr>
                <w:noProof/>
                <w:webHidden/>
              </w:rPr>
              <w:fldChar w:fldCharType="separate"/>
            </w:r>
            <w:r w:rsidR="001B4CAD">
              <w:rPr>
                <w:noProof/>
                <w:webHidden/>
              </w:rPr>
              <w:t>33</w:t>
            </w:r>
            <w:r>
              <w:rPr>
                <w:noProof/>
                <w:webHidden/>
              </w:rPr>
              <w:fldChar w:fldCharType="end"/>
            </w:r>
          </w:hyperlink>
        </w:p>
        <w:p w14:paraId="0E0CA3C8" w14:textId="52D65A53" w:rsidR="00285931" w:rsidRDefault="00285931">
          <w:pPr>
            <w:pStyle w:val="TOC2"/>
            <w:rPr>
              <w:rFonts w:eastAsiaTheme="minorEastAsia"/>
              <w:noProof/>
              <w:sz w:val="24"/>
              <w:szCs w:val="24"/>
              <w:lang w:eastAsia="en-AU"/>
            </w:rPr>
          </w:pPr>
          <w:hyperlink w:anchor="_Toc222842794" w:history="1">
            <w:r w:rsidRPr="0035404F">
              <w:rPr>
                <w:rStyle w:val="Hyperlink"/>
                <w:rFonts w:ascii="Calibri" w:hAnsi="Calibri" w:cs="Calibri"/>
                <w:noProof/>
              </w:rPr>
              <w:t>A — System and Consumer Benefits</w:t>
            </w:r>
            <w:r>
              <w:rPr>
                <w:noProof/>
                <w:webHidden/>
              </w:rPr>
              <w:tab/>
            </w:r>
            <w:r>
              <w:rPr>
                <w:noProof/>
                <w:webHidden/>
              </w:rPr>
              <w:fldChar w:fldCharType="begin"/>
            </w:r>
            <w:r>
              <w:rPr>
                <w:noProof/>
                <w:webHidden/>
              </w:rPr>
              <w:instrText xml:space="preserve"> PAGEREF _Toc222842794 \h </w:instrText>
            </w:r>
            <w:r>
              <w:rPr>
                <w:noProof/>
                <w:webHidden/>
              </w:rPr>
            </w:r>
            <w:r>
              <w:rPr>
                <w:noProof/>
                <w:webHidden/>
              </w:rPr>
              <w:fldChar w:fldCharType="separate"/>
            </w:r>
            <w:r w:rsidR="001B4CAD">
              <w:rPr>
                <w:noProof/>
                <w:webHidden/>
              </w:rPr>
              <w:t>33</w:t>
            </w:r>
            <w:r>
              <w:rPr>
                <w:noProof/>
                <w:webHidden/>
              </w:rPr>
              <w:fldChar w:fldCharType="end"/>
            </w:r>
          </w:hyperlink>
        </w:p>
        <w:p w14:paraId="15F3F558" w14:textId="25786B21" w:rsidR="00285931" w:rsidRDefault="00285931">
          <w:pPr>
            <w:pStyle w:val="TOC2"/>
            <w:rPr>
              <w:rFonts w:eastAsiaTheme="minorEastAsia"/>
              <w:noProof/>
              <w:sz w:val="24"/>
              <w:szCs w:val="24"/>
              <w:lang w:eastAsia="en-AU"/>
            </w:rPr>
          </w:pPr>
          <w:hyperlink w:anchor="_Toc222842795" w:history="1">
            <w:r w:rsidRPr="0035404F">
              <w:rPr>
                <w:rStyle w:val="Hyperlink"/>
                <w:rFonts w:ascii="Calibri" w:hAnsi="Calibri" w:cs="Calibri"/>
                <w:noProof/>
              </w:rPr>
              <w:t>B — Market and Regulatory Impacts (Regulatory Burden Estimate)</w:t>
            </w:r>
            <w:r>
              <w:rPr>
                <w:noProof/>
                <w:webHidden/>
              </w:rPr>
              <w:tab/>
            </w:r>
            <w:r>
              <w:rPr>
                <w:noProof/>
                <w:webHidden/>
              </w:rPr>
              <w:fldChar w:fldCharType="begin"/>
            </w:r>
            <w:r>
              <w:rPr>
                <w:noProof/>
                <w:webHidden/>
              </w:rPr>
              <w:instrText xml:space="preserve"> PAGEREF _Toc222842795 \h </w:instrText>
            </w:r>
            <w:r>
              <w:rPr>
                <w:noProof/>
                <w:webHidden/>
              </w:rPr>
            </w:r>
            <w:r>
              <w:rPr>
                <w:noProof/>
                <w:webHidden/>
              </w:rPr>
              <w:fldChar w:fldCharType="separate"/>
            </w:r>
            <w:r w:rsidR="001B4CAD">
              <w:rPr>
                <w:noProof/>
                <w:webHidden/>
              </w:rPr>
              <w:t>34</w:t>
            </w:r>
            <w:r>
              <w:rPr>
                <w:noProof/>
                <w:webHidden/>
              </w:rPr>
              <w:fldChar w:fldCharType="end"/>
            </w:r>
          </w:hyperlink>
        </w:p>
        <w:p w14:paraId="4B17E199" w14:textId="3773B0B0" w:rsidR="00285931" w:rsidRDefault="00285931">
          <w:pPr>
            <w:pStyle w:val="TOC2"/>
            <w:rPr>
              <w:rFonts w:eastAsiaTheme="minorEastAsia"/>
              <w:noProof/>
              <w:sz w:val="24"/>
              <w:szCs w:val="24"/>
              <w:lang w:eastAsia="en-AU"/>
            </w:rPr>
          </w:pPr>
          <w:hyperlink w:anchor="_Toc222842796" w:history="1">
            <w:r w:rsidRPr="0035404F">
              <w:rPr>
                <w:rStyle w:val="Hyperlink"/>
                <w:rFonts w:ascii="Calibri" w:hAnsi="Calibri" w:cs="Calibri"/>
                <w:noProof/>
              </w:rPr>
              <w:t>C — Distributional and Equity Impacts</w:t>
            </w:r>
            <w:r>
              <w:rPr>
                <w:noProof/>
                <w:webHidden/>
              </w:rPr>
              <w:tab/>
            </w:r>
            <w:r>
              <w:rPr>
                <w:noProof/>
                <w:webHidden/>
              </w:rPr>
              <w:fldChar w:fldCharType="begin"/>
            </w:r>
            <w:r>
              <w:rPr>
                <w:noProof/>
                <w:webHidden/>
              </w:rPr>
              <w:instrText xml:space="preserve"> PAGEREF _Toc222842796 \h </w:instrText>
            </w:r>
            <w:r>
              <w:rPr>
                <w:noProof/>
                <w:webHidden/>
              </w:rPr>
            </w:r>
            <w:r>
              <w:rPr>
                <w:noProof/>
                <w:webHidden/>
              </w:rPr>
              <w:fldChar w:fldCharType="separate"/>
            </w:r>
            <w:r w:rsidR="001B4CAD">
              <w:rPr>
                <w:noProof/>
                <w:webHidden/>
              </w:rPr>
              <w:t>34</w:t>
            </w:r>
            <w:r>
              <w:rPr>
                <w:noProof/>
                <w:webHidden/>
              </w:rPr>
              <w:fldChar w:fldCharType="end"/>
            </w:r>
          </w:hyperlink>
        </w:p>
        <w:p w14:paraId="6E367FFF" w14:textId="0AC889F2" w:rsidR="00285931" w:rsidRDefault="00285931">
          <w:pPr>
            <w:pStyle w:val="TOC2"/>
            <w:rPr>
              <w:rFonts w:eastAsiaTheme="minorEastAsia"/>
              <w:noProof/>
              <w:sz w:val="24"/>
              <w:szCs w:val="24"/>
              <w:lang w:eastAsia="en-AU"/>
            </w:rPr>
          </w:pPr>
          <w:hyperlink w:anchor="_Toc222842797" w:history="1">
            <w:r w:rsidRPr="0035404F">
              <w:rPr>
                <w:rStyle w:val="Hyperlink"/>
                <w:rFonts w:ascii="Calibri" w:hAnsi="Calibri" w:cs="Calibri"/>
                <w:noProof/>
              </w:rPr>
              <w:t>International standards and comparative approaches</w:t>
            </w:r>
            <w:r>
              <w:rPr>
                <w:noProof/>
                <w:webHidden/>
              </w:rPr>
              <w:tab/>
            </w:r>
            <w:r>
              <w:rPr>
                <w:noProof/>
                <w:webHidden/>
              </w:rPr>
              <w:fldChar w:fldCharType="begin"/>
            </w:r>
            <w:r>
              <w:rPr>
                <w:noProof/>
                <w:webHidden/>
              </w:rPr>
              <w:instrText xml:space="preserve"> PAGEREF _Toc222842797 \h </w:instrText>
            </w:r>
            <w:r>
              <w:rPr>
                <w:noProof/>
                <w:webHidden/>
              </w:rPr>
            </w:r>
            <w:r>
              <w:rPr>
                <w:noProof/>
                <w:webHidden/>
              </w:rPr>
              <w:fldChar w:fldCharType="separate"/>
            </w:r>
            <w:r w:rsidR="001B4CAD">
              <w:rPr>
                <w:noProof/>
                <w:webHidden/>
              </w:rPr>
              <w:t>34</w:t>
            </w:r>
            <w:r>
              <w:rPr>
                <w:noProof/>
                <w:webHidden/>
              </w:rPr>
              <w:fldChar w:fldCharType="end"/>
            </w:r>
          </w:hyperlink>
        </w:p>
        <w:p w14:paraId="3BD95C89" w14:textId="7E5B80A6" w:rsidR="00285931" w:rsidRDefault="00285931">
          <w:pPr>
            <w:pStyle w:val="TOC1"/>
            <w:tabs>
              <w:tab w:val="right" w:leader="dot" w:pos="9402"/>
            </w:tabs>
            <w:rPr>
              <w:rFonts w:eastAsiaTheme="minorEastAsia"/>
              <w:noProof/>
              <w:sz w:val="24"/>
              <w:szCs w:val="24"/>
              <w:lang w:eastAsia="en-AU"/>
            </w:rPr>
          </w:pPr>
          <w:hyperlink w:anchor="_Toc222842798" w:history="1">
            <w:r w:rsidRPr="0035404F">
              <w:rPr>
                <w:rStyle w:val="Hyperlink"/>
                <w:rFonts w:ascii="Calibri" w:hAnsi="Calibri" w:cs="Calibri"/>
                <w:b/>
                <w:bCs/>
                <w:noProof/>
              </w:rPr>
              <w:t>Detailed Impact Analysis for Option A1 by stakeholders</w:t>
            </w:r>
            <w:r>
              <w:rPr>
                <w:noProof/>
                <w:webHidden/>
              </w:rPr>
              <w:tab/>
            </w:r>
            <w:r>
              <w:rPr>
                <w:noProof/>
                <w:webHidden/>
              </w:rPr>
              <w:fldChar w:fldCharType="begin"/>
            </w:r>
            <w:r>
              <w:rPr>
                <w:noProof/>
                <w:webHidden/>
              </w:rPr>
              <w:instrText xml:space="preserve"> PAGEREF _Toc222842798 \h </w:instrText>
            </w:r>
            <w:r>
              <w:rPr>
                <w:noProof/>
                <w:webHidden/>
              </w:rPr>
            </w:r>
            <w:r>
              <w:rPr>
                <w:noProof/>
                <w:webHidden/>
              </w:rPr>
              <w:fldChar w:fldCharType="separate"/>
            </w:r>
            <w:r w:rsidR="001B4CAD">
              <w:rPr>
                <w:noProof/>
                <w:webHidden/>
              </w:rPr>
              <w:t>36</w:t>
            </w:r>
            <w:r>
              <w:rPr>
                <w:noProof/>
                <w:webHidden/>
              </w:rPr>
              <w:fldChar w:fldCharType="end"/>
            </w:r>
          </w:hyperlink>
        </w:p>
        <w:p w14:paraId="1CBFDA33" w14:textId="5A18715F" w:rsidR="00285931" w:rsidRDefault="00285931">
          <w:pPr>
            <w:pStyle w:val="TOC2"/>
            <w:rPr>
              <w:rFonts w:eastAsiaTheme="minorEastAsia"/>
              <w:noProof/>
              <w:sz w:val="24"/>
              <w:szCs w:val="24"/>
              <w:lang w:eastAsia="en-AU"/>
            </w:rPr>
          </w:pPr>
          <w:hyperlink w:anchor="_Toc222842799" w:history="1">
            <w:r w:rsidRPr="0035404F">
              <w:rPr>
                <w:rStyle w:val="Hyperlink"/>
                <w:rFonts w:ascii="Calibri" w:hAnsi="Calibri" w:cs="Calibri"/>
                <w:noProof/>
              </w:rPr>
              <w:t>Stakeholder Identification</w:t>
            </w:r>
            <w:r>
              <w:rPr>
                <w:noProof/>
                <w:webHidden/>
              </w:rPr>
              <w:tab/>
            </w:r>
            <w:r>
              <w:rPr>
                <w:noProof/>
                <w:webHidden/>
              </w:rPr>
              <w:fldChar w:fldCharType="begin"/>
            </w:r>
            <w:r>
              <w:rPr>
                <w:noProof/>
                <w:webHidden/>
              </w:rPr>
              <w:instrText xml:space="preserve"> PAGEREF _Toc222842799 \h </w:instrText>
            </w:r>
            <w:r>
              <w:rPr>
                <w:noProof/>
                <w:webHidden/>
              </w:rPr>
            </w:r>
            <w:r>
              <w:rPr>
                <w:noProof/>
                <w:webHidden/>
              </w:rPr>
              <w:fldChar w:fldCharType="separate"/>
            </w:r>
            <w:r w:rsidR="001B4CAD">
              <w:rPr>
                <w:noProof/>
                <w:webHidden/>
              </w:rPr>
              <w:t>36</w:t>
            </w:r>
            <w:r>
              <w:rPr>
                <w:noProof/>
                <w:webHidden/>
              </w:rPr>
              <w:fldChar w:fldCharType="end"/>
            </w:r>
          </w:hyperlink>
        </w:p>
        <w:p w14:paraId="0722959F" w14:textId="0FCD7124" w:rsidR="00285931" w:rsidRDefault="00285931">
          <w:pPr>
            <w:pStyle w:val="TOC2"/>
            <w:rPr>
              <w:rFonts w:eastAsiaTheme="minorEastAsia"/>
              <w:noProof/>
              <w:sz w:val="24"/>
              <w:szCs w:val="24"/>
              <w:lang w:eastAsia="en-AU"/>
            </w:rPr>
          </w:pPr>
          <w:hyperlink w:anchor="_Toc222842800" w:history="1">
            <w:r w:rsidRPr="0035404F">
              <w:rPr>
                <w:rStyle w:val="Hyperlink"/>
                <w:rFonts w:ascii="Calibri" w:hAnsi="Calibri" w:cs="Calibri"/>
                <w:noProof/>
              </w:rPr>
              <w:t>Stakeholder impact on Option A1</w:t>
            </w:r>
            <w:r>
              <w:rPr>
                <w:noProof/>
                <w:webHidden/>
              </w:rPr>
              <w:tab/>
            </w:r>
            <w:r>
              <w:rPr>
                <w:noProof/>
                <w:webHidden/>
              </w:rPr>
              <w:fldChar w:fldCharType="begin"/>
            </w:r>
            <w:r>
              <w:rPr>
                <w:noProof/>
                <w:webHidden/>
              </w:rPr>
              <w:instrText xml:space="preserve"> PAGEREF _Toc222842800 \h </w:instrText>
            </w:r>
            <w:r>
              <w:rPr>
                <w:noProof/>
                <w:webHidden/>
              </w:rPr>
            </w:r>
            <w:r>
              <w:rPr>
                <w:noProof/>
                <w:webHidden/>
              </w:rPr>
              <w:fldChar w:fldCharType="separate"/>
            </w:r>
            <w:r w:rsidR="001B4CAD">
              <w:rPr>
                <w:noProof/>
                <w:webHidden/>
              </w:rPr>
              <w:t>37</w:t>
            </w:r>
            <w:r>
              <w:rPr>
                <w:noProof/>
                <w:webHidden/>
              </w:rPr>
              <w:fldChar w:fldCharType="end"/>
            </w:r>
          </w:hyperlink>
        </w:p>
        <w:p w14:paraId="54D2A5FD" w14:textId="02A699C8" w:rsidR="00285931" w:rsidRDefault="00285931">
          <w:pPr>
            <w:pStyle w:val="TOC3"/>
            <w:rPr>
              <w:rFonts w:asciiTheme="minorHAnsi" w:eastAsiaTheme="minorEastAsia" w:hAnsiTheme="minorHAnsi" w:cstheme="minorBidi"/>
              <w:iCs w:val="0"/>
              <w:sz w:val="24"/>
              <w:szCs w:val="24"/>
              <w:lang w:eastAsia="en-AU"/>
            </w:rPr>
          </w:pPr>
          <w:hyperlink w:anchor="_Toc222842801" w:history="1">
            <w:r w:rsidRPr="0035404F">
              <w:rPr>
                <w:rStyle w:val="Hyperlink"/>
              </w:rPr>
              <w:t>Heat Map for option A1</w:t>
            </w:r>
            <w:r>
              <w:rPr>
                <w:webHidden/>
              </w:rPr>
              <w:tab/>
            </w:r>
            <w:r>
              <w:rPr>
                <w:webHidden/>
              </w:rPr>
              <w:fldChar w:fldCharType="begin"/>
            </w:r>
            <w:r>
              <w:rPr>
                <w:webHidden/>
              </w:rPr>
              <w:instrText xml:space="preserve"> PAGEREF _Toc222842801 \h </w:instrText>
            </w:r>
            <w:r>
              <w:rPr>
                <w:webHidden/>
              </w:rPr>
            </w:r>
            <w:r>
              <w:rPr>
                <w:webHidden/>
              </w:rPr>
              <w:fldChar w:fldCharType="separate"/>
            </w:r>
            <w:r w:rsidR="001B4CAD">
              <w:rPr>
                <w:webHidden/>
              </w:rPr>
              <w:t>38</w:t>
            </w:r>
            <w:r>
              <w:rPr>
                <w:webHidden/>
              </w:rPr>
              <w:fldChar w:fldCharType="end"/>
            </w:r>
          </w:hyperlink>
        </w:p>
        <w:p w14:paraId="3036C1B7" w14:textId="092B4F0C" w:rsidR="00285931" w:rsidRDefault="00285931">
          <w:pPr>
            <w:pStyle w:val="TOC3"/>
            <w:rPr>
              <w:rFonts w:asciiTheme="minorHAnsi" w:eastAsiaTheme="minorEastAsia" w:hAnsiTheme="minorHAnsi" w:cstheme="minorBidi"/>
              <w:iCs w:val="0"/>
              <w:sz w:val="24"/>
              <w:szCs w:val="24"/>
              <w:lang w:eastAsia="en-AU"/>
            </w:rPr>
          </w:pPr>
          <w:hyperlink w:anchor="_Toc222842802" w:history="1">
            <w:r w:rsidRPr="0035404F">
              <w:rPr>
                <w:rStyle w:val="Hyperlink"/>
              </w:rPr>
              <w:t>Detailed breakdown of key stakeholder impacts as per heat map (with reference to stakeholder submissions)</w:t>
            </w:r>
            <w:r>
              <w:rPr>
                <w:webHidden/>
              </w:rPr>
              <w:tab/>
            </w:r>
            <w:r>
              <w:rPr>
                <w:webHidden/>
              </w:rPr>
              <w:fldChar w:fldCharType="begin"/>
            </w:r>
            <w:r>
              <w:rPr>
                <w:webHidden/>
              </w:rPr>
              <w:instrText xml:space="preserve"> PAGEREF _Toc222842802 \h </w:instrText>
            </w:r>
            <w:r>
              <w:rPr>
                <w:webHidden/>
              </w:rPr>
            </w:r>
            <w:r>
              <w:rPr>
                <w:webHidden/>
              </w:rPr>
              <w:fldChar w:fldCharType="separate"/>
            </w:r>
            <w:r w:rsidR="001B4CAD">
              <w:rPr>
                <w:webHidden/>
              </w:rPr>
              <w:t>39</w:t>
            </w:r>
            <w:r>
              <w:rPr>
                <w:webHidden/>
              </w:rPr>
              <w:fldChar w:fldCharType="end"/>
            </w:r>
          </w:hyperlink>
        </w:p>
        <w:p w14:paraId="3FB2450C" w14:textId="350C1CFE" w:rsidR="00285931" w:rsidRDefault="00285931">
          <w:pPr>
            <w:pStyle w:val="TOC1"/>
            <w:tabs>
              <w:tab w:val="right" w:leader="dot" w:pos="9402"/>
            </w:tabs>
            <w:rPr>
              <w:rFonts w:eastAsiaTheme="minorEastAsia"/>
              <w:noProof/>
              <w:sz w:val="24"/>
              <w:szCs w:val="24"/>
              <w:lang w:eastAsia="en-AU"/>
            </w:rPr>
          </w:pPr>
          <w:hyperlink w:anchor="_Toc222842803" w:history="1">
            <w:r w:rsidRPr="0035404F">
              <w:rPr>
                <w:rStyle w:val="Hyperlink"/>
                <w:rFonts w:ascii="Calibri" w:hAnsi="Calibri" w:cs="Calibri"/>
                <w:b/>
                <w:bCs/>
                <w:noProof/>
              </w:rPr>
              <w:t>Consultation</w:t>
            </w:r>
            <w:r>
              <w:rPr>
                <w:noProof/>
                <w:webHidden/>
              </w:rPr>
              <w:tab/>
            </w:r>
            <w:r>
              <w:rPr>
                <w:noProof/>
                <w:webHidden/>
              </w:rPr>
              <w:fldChar w:fldCharType="begin"/>
            </w:r>
            <w:r>
              <w:rPr>
                <w:noProof/>
                <w:webHidden/>
              </w:rPr>
              <w:instrText xml:space="preserve"> PAGEREF _Toc222842803 \h </w:instrText>
            </w:r>
            <w:r>
              <w:rPr>
                <w:noProof/>
                <w:webHidden/>
              </w:rPr>
            </w:r>
            <w:r>
              <w:rPr>
                <w:noProof/>
                <w:webHidden/>
              </w:rPr>
              <w:fldChar w:fldCharType="separate"/>
            </w:r>
            <w:r w:rsidR="001B4CAD">
              <w:rPr>
                <w:noProof/>
                <w:webHidden/>
              </w:rPr>
              <w:t>46</w:t>
            </w:r>
            <w:r>
              <w:rPr>
                <w:noProof/>
                <w:webHidden/>
              </w:rPr>
              <w:fldChar w:fldCharType="end"/>
            </w:r>
          </w:hyperlink>
        </w:p>
        <w:p w14:paraId="350FC6B6" w14:textId="02B73389" w:rsidR="00285931" w:rsidRDefault="00285931">
          <w:pPr>
            <w:pStyle w:val="TOC2"/>
            <w:rPr>
              <w:rFonts w:eastAsiaTheme="minorEastAsia"/>
              <w:noProof/>
              <w:sz w:val="24"/>
              <w:szCs w:val="24"/>
              <w:lang w:eastAsia="en-AU"/>
            </w:rPr>
          </w:pPr>
          <w:hyperlink w:anchor="_Toc222842804" w:history="1">
            <w:r w:rsidRPr="0035404F">
              <w:rPr>
                <w:rStyle w:val="Hyperlink"/>
                <w:rFonts w:ascii="Calibri" w:hAnsi="Calibri" w:cs="Calibri"/>
                <w:noProof/>
              </w:rPr>
              <w:t>Purpose and Objectives of Consultation</w:t>
            </w:r>
            <w:r>
              <w:rPr>
                <w:noProof/>
                <w:webHidden/>
              </w:rPr>
              <w:tab/>
            </w:r>
            <w:r>
              <w:rPr>
                <w:noProof/>
                <w:webHidden/>
              </w:rPr>
              <w:fldChar w:fldCharType="begin"/>
            </w:r>
            <w:r>
              <w:rPr>
                <w:noProof/>
                <w:webHidden/>
              </w:rPr>
              <w:instrText xml:space="preserve"> PAGEREF _Toc222842804 \h </w:instrText>
            </w:r>
            <w:r>
              <w:rPr>
                <w:noProof/>
                <w:webHidden/>
              </w:rPr>
            </w:r>
            <w:r>
              <w:rPr>
                <w:noProof/>
                <w:webHidden/>
              </w:rPr>
              <w:fldChar w:fldCharType="separate"/>
            </w:r>
            <w:r w:rsidR="001B4CAD">
              <w:rPr>
                <w:noProof/>
                <w:webHidden/>
              </w:rPr>
              <w:t>46</w:t>
            </w:r>
            <w:r>
              <w:rPr>
                <w:noProof/>
                <w:webHidden/>
              </w:rPr>
              <w:fldChar w:fldCharType="end"/>
            </w:r>
          </w:hyperlink>
        </w:p>
        <w:p w14:paraId="3946F66E" w14:textId="54435E3E" w:rsidR="00285931" w:rsidRDefault="00285931">
          <w:pPr>
            <w:pStyle w:val="TOC3"/>
            <w:rPr>
              <w:rFonts w:asciiTheme="minorHAnsi" w:eastAsiaTheme="minorEastAsia" w:hAnsiTheme="minorHAnsi" w:cstheme="minorBidi"/>
              <w:iCs w:val="0"/>
              <w:sz w:val="24"/>
              <w:szCs w:val="24"/>
              <w:lang w:eastAsia="en-AU"/>
            </w:rPr>
          </w:pPr>
          <w:hyperlink w:anchor="_Toc222842805" w:history="1">
            <w:r w:rsidRPr="0035404F">
              <w:rPr>
                <w:rStyle w:val="Hyperlink"/>
              </w:rPr>
              <w:t>Principle Views of Stakeholders</w:t>
            </w:r>
            <w:r>
              <w:rPr>
                <w:webHidden/>
              </w:rPr>
              <w:tab/>
            </w:r>
            <w:r>
              <w:rPr>
                <w:webHidden/>
              </w:rPr>
              <w:fldChar w:fldCharType="begin"/>
            </w:r>
            <w:r>
              <w:rPr>
                <w:webHidden/>
              </w:rPr>
              <w:instrText xml:space="preserve"> PAGEREF _Toc222842805 \h </w:instrText>
            </w:r>
            <w:r>
              <w:rPr>
                <w:webHidden/>
              </w:rPr>
            </w:r>
            <w:r>
              <w:rPr>
                <w:webHidden/>
              </w:rPr>
              <w:fldChar w:fldCharType="separate"/>
            </w:r>
            <w:r w:rsidR="001B4CAD">
              <w:rPr>
                <w:webHidden/>
              </w:rPr>
              <w:t>46</w:t>
            </w:r>
            <w:r>
              <w:rPr>
                <w:webHidden/>
              </w:rPr>
              <w:fldChar w:fldCharType="end"/>
            </w:r>
          </w:hyperlink>
        </w:p>
        <w:p w14:paraId="7268AA48" w14:textId="42B1A47E" w:rsidR="00285931" w:rsidRDefault="00285931">
          <w:pPr>
            <w:pStyle w:val="TOC3"/>
            <w:rPr>
              <w:rFonts w:asciiTheme="minorHAnsi" w:eastAsiaTheme="minorEastAsia" w:hAnsiTheme="minorHAnsi" w:cstheme="minorBidi"/>
              <w:iCs w:val="0"/>
              <w:sz w:val="24"/>
              <w:szCs w:val="24"/>
              <w:lang w:eastAsia="en-AU"/>
            </w:rPr>
          </w:pPr>
          <w:hyperlink w:anchor="_Toc222842806" w:history="1">
            <w:r w:rsidRPr="0035404F">
              <w:rPr>
                <w:rStyle w:val="Hyperlink"/>
              </w:rPr>
              <w:t>Areas of Agreement and Difference</w:t>
            </w:r>
            <w:r>
              <w:rPr>
                <w:webHidden/>
              </w:rPr>
              <w:tab/>
            </w:r>
            <w:r>
              <w:rPr>
                <w:webHidden/>
              </w:rPr>
              <w:fldChar w:fldCharType="begin"/>
            </w:r>
            <w:r>
              <w:rPr>
                <w:webHidden/>
              </w:rPr>
              <w:instrText xml:space="preserve"> PAGEREF _Toc222842806 \h </w:instrText>
            </w:r>
            <w:r>
              <w:rPr>
                <w:webHidden/>
              </w:rPr>
            </w:r>
            <w:r>
              <w:rPr>
                <w:webHidden/>
              </w:rPr>
              <w:fldChar w:fldCharType="separate"/>
            </w:r>
            <w:r w:rsidR="001B4CAD">
              <w:rPr>
                <w:webHidden/>
              </w:rPr>
              <w:t>47</w:t>
            </w:r>
            <w:r>
              <w:rPr>
                <w:webHidden/>
              </w:rPr>
              <w:fldChar w:fldCharType="end"/>
            </w:r>
          </w:hyperlink>
        </w:p>
        <w:p w14:paraId="34598192" w14:textId="0A1AD5CC" w:rsidR="00285931" w:rsidRDefault="00285931">
          <w:pPr>
            <w:pStyle w:val="TOC3"/>
            <w:rPr>
              <w:rFonts w:asciiTheme="minorHAnsi" w:eastAsiaTheme="minorEastAsia" w:hAnsiTheme="minorHAnsi" w:cstheme="minorBidi"/>
              <w:iCs w:val="0"/>
              <w:sz w:val="24"/>
              <w:szCs w:val="24"/>
              <w:lang w:eastAsia="en-AU"/>
            </w:rPr>
          </w:pPr>
          <w:hyperlink w:anchor="_Toc222842807" w:history="1">
            <w:r w:rsidRPr="0035404F">
              <w:rPr>
                <w:rStyle w:val="Hyperlink"/>
              </w:rPr>
              <w:t>How Consultation Shaped the Preferred Option</w:t>
            </w:r>
            <w:r>
              <w:rPr>
                <w:webHidden/>
              </w:rPr>
              <w:tab/>
            </w:r>
            <w:r>
              <w:rPr>
                <w:webHidden/>
              </w:rPr>
              <w:fldChar w:fldCharType="begin"/>
            </w:r>
            <w:r>
              <w:rPr>
                <w:webHidden/>
              </w:rPr>
              <w:instrText xml:space="preserve"> PAGEREF _Toc222842807 \h </w:instrText>
            </w:r>
            <w:r>
              <w:rPr>
                <w:webHidden/>
              </w:rPr>
            </w:r>
            <w:r>
              <w:rPr>
                <w:webHidden/>
              </w:rPr>
              <w:fldChar w:fldCharType="separate"/>
            </w:r>
            <w:r w:rsidR="001B4CAD">
              <w:rPr>
                <w:webHidden/>
              </w:rPr>
              <w:t>47</w:t>
            </w:r>
            <w:r>
              <w:rPr>
                <w:webHidden/>
              </w:rPr>
              <w:fldChar w:fldCharType="end"/>
            </w:r>
          </w:hyperlink>
        </w:p>
        <w:p w14:paraId="68CC89CA" w14:textId="118801DB" w:rsidR="00285931" w:rsidRDefault="00285931">
          <w:pPr>
            <w:pStyle w:val="TOC3"/>
            <w:rPr>
              <w:rFonts w:asciiTheme="minorHAnsi" w:eastAsiaTheme="minorEastAsia" w:hAnsiTheme="minorHAnsi" w:cstheme="minorBidi"/>
              <w:iCs w:val="0"/>
              <w:sz w:val="24"/>
              <w:szCs w:val="24"/>
              <w:lang w:eastAsia="en-AU"/>
            </w:rPr>
          </w:pPr>
          <w:hyperlink w:anchor="_Toc222842808" w:history="1">
            <w:r w:rsidRPr="0035404F">
              <w:rPr>
                <w:rStyle w:val="Hyperlink"/>
              </w:rPr>
              <w:t>Conclusion</w:t>
            </w:r>
            <w:r>
              <w:rPr>
                <w:webHidden/>
              </w:rPr>
              <w:tab/>
            </w:r>
            <w:r>
              <w:rPr>
                <w:webHidden/>
              </w:rPr>
              <w:fldChar w:fldCharType="begin"/>
            </w:r>
            <w:r>
              <w:rPr>
                <w:webHidden/>
              </w:rPr>
              <w:instrText xml:space="preserve"> PAGEREF _Toc222842808 \h </w:instrText>
            </w:r>
            <w:r>
              <w:rPr>
                <w:webHidden/>
              </w:rPr>
            </w:r>
            <w:r>
              <w:rPr>
                <w:webHidden/>
              </w:rPr>
              <w:fldChar w:fldCharType="separate"/>
            </w:r>
            <w:r w:rsidR="001B4CAD">
              <w:rPr>
                <w:webHidden/>
              </w:rPr>
              <w:t>48</w:t>
            </w:r>
            <w:r>
              <w:rPr>
                <w:webHidden/>
              </w:rPr>
              <w:fldChar w:fldCharType="end"/>
            </w:r>
          </w:hyperlink>
        </w:p>
        <w:p w14:paraId="09CEFCBA" w14:textId="26AA92A7" w:rsidR="00285931" w:rsidRDefault="00285931">
          <w:pPr>
            <w:pStyle w:val="TOC1"/>
            <w:tabs>
              <w:tab w:val="right" w:leader="dot" w:pos="9402"/>
            </w:tabs>
            <w:rPr>
              <w:rFonts w:eastAsiaTheme="minorEastAsia"/>
              <w:noProof/>
              <w:sz w:val="24"/>
              <w:szCs w:val="24"/>
              <w:lang w:eastAsia="en-AU"/>
            </w:rPr>
          </w:pPr>
          <w:hyperlink w:anchor="_Toc222842809" w:history="1">
            <w:r w:rsidRPr="0035404F">
              <w:rPr>
                <w:rStyle w:val="Hyperlink"/>
                <w:rFonts w:ascii="Calibri" w:hAnsi="Calibri" w:cs="Calibri"/>
                <w:b/>
                <w:bCs/>
                <w:noProof/>
              </w:rPr>
              <w:t>Option Selection and implementation and evaluation of preferred option</w:t>
            </w:r>
            <w:r>
              <w:rPr>
                <w:noProof/>
                <w:webHidden/>
              </w:rPr>
              <w:tab/>
            </w:r>
            <w:r>
              <w:rPr>
                <w:noProof/>
                <w:webHidden/>
              </w:rPr>
              <w:fldChar w:fldCharType="begin"/>
            </w:r>
            <w:r>
              <w:rPr>
                <w:noProof/>
                <w:webHidden/>
              </w:rPr>
              <w:instrText xml:space="preserve"> PAGEREF _Toc222842809 \h </w:instrText>
            </w:r>
            <w:r>
              <w:rPr>
                <w:noProof/>
                <w:webHidden/>
              </w:rPr>
            </w:r>
            <w:r>
              <w:rPr>
                <w:noProof/>
                <w:webHidden/>
              </w:rPr>
              <w:fldChar w:fldCharType="separate"/>
            </w:r>
            <w:r w:rsidR="001B4CAD">
              <w:rPr>
                <w:noProof/>
                <w:webHidden/>
              </w:rPr>
              <w:t>49</w:t>
            </w:r>
            <w:r>
              <w:rPr>
                <w:noProof/>
                <w:webHidden/>
              </w:rPr>
              <w:fldChar w:fldCharType="end"/>
            </w:r>
          </w:hyperlink>
        </w:p>
        <w:p w14:paraId="64C22616" w14:textId="4B417848" w:rsidR="00285931" w:rsidRDefault="00285931">
          <w:pPr>
            <w:pStyle w:val="TOC2"/>
            <w:rPr>
              <w:rFonts w:eastAsiaTheme="minorEastAsia"/>
              <w:noProof/>
              <w:sz w:val="24"/>
              <w:szCs w:val="24"/>
              <w:lang w:eastAsia="en-AU"/>
            </w:rPr>
          </w:pPr>
          <w:hyperlink w:anchor="_Toc222842810" w:history="1">
            <w:r w:rsidRPr="0035404F">
              <w:rPr>
                <w:rStyle w:val="Hyperlink"/>
                <w:rFonts w:ascii="Calibri" w:hAnsi="Calibri" w:cs="Calibri"/>
                <w:noProof/>
              </w:rPr>
              <w:t>Implementation</w:t>
            </w:r>
            <w:r>
              <w:rPr>
                <w:noProof/>
                <w:webHidden/>
              </w:rPr>
              <w:tab/>
            </w:r>
            <w:r>
              <w:rPr>
                <w:noProof/>
                <w:webHidden/>
              </w:rPr>
              <w:fldChar w:fldCharType="begin"/>
            </w:r>
            <w:r>
              <w:rPr>
                <w:noProof/>
                <w:webHidden/>
              </w:rPr>
              <w:instrText xml:space="preserve"> PAGEREF _Toc222842810 \h </w:instrText>
            </w:r>
            <w:r>
              <w:rPr>
                <w:noProof/>
                <w:webHidden/>
              </w:rPr>
            </w:r>
            <w:r>
              <w:rPr>
                <w:noProof/>
                <w:webHidden/>
              </w:rPr>
              <w:fldChar w:fldCharType="separate"/>
            </w:r>
            <w:r w:rsidR="001B4CAD">
              <w:rPr>
                <w:noProof/>
                <w:webHidden/>
              </w:rPr>
              <w:t>50</w:t>
            </w:r>
            <w:r>
              <w:rPr>
                <w:noProof/>
                <w:webHidden/>
              </w:rPr>
              <w:fldChar w:fldCharType="end"/>
            </w:r>
          </w:hyperlink>
        </w:p>
        <w:p w14:paraId="073C14E1" w14:textId="6B16DEFE" w:rsidR="00285931" w:rsidRDefault="00285931">
          <w:pPr>
            <w:pStyle w:val="TOC3"/>
            <w:rPr>
              <w:rFonts w:asciiTheme="minorHAnsi" w:eastAsiaTheme="minorEastAsia" w:hAnsiTheme="minorHAnsi" w:cstheme="minorBidi"/>
              <w:iCs w:val="0"/>
              <w:sz w:val="24"/>
              <w:szCs w:val="24"/>
              <w:lang w:eastAsia="en-AU"/>
            </w:rPr>
          </w:pPr>
          <w:hyperlink w:anchor="_Toc222842811" w:history="1">
            <w:r w:rsidRPr="0035404F">
              <w:rPr>
                <w:rStyle w:val="Hyperlink"/>
              </w:rPr>
              <w:t>Regulatory framework and institutional roles</w:t>
            </w:r>
            <w:r>
              <w:rPr>
                <w:webHidden/>
              </w:rPr>
              <w:tab/>
            </w:r>
            <w:r>
              <w:rPr>
                <w:webHidden/>
              </w:rPr>
              <w:fldChar w:fldCharType="begin"/>
            </w:r>
            <w:r>
              <w:rPr>
                <w:webHidden/>
              </w:rPr>
              <w:instrText xml:space="preserve"> PAGEREF _Toc222842811 \h </w:instrText>
            </w:r>
            <w:r>
              <w:rPr>
                <w:webHidden/>
              </w:rPr>
            </w:r>
            <w:r>
              <w:rPr>
                <w:webHidden/>
              </w:rPr>
              <w:fldChar w:fldCharType="separate"/>
            </w:r>
            <w:r w:rsidR="001B4CAD">
              <w:rPr>
                <w:webHidden/>
              </w:rPr>
              <w:t>50</w:t>
            </w:r>
            <w:r>
              <w:rPr>
                <w:webHidden/>
              </w:rPr>
              <w:fldChar w:fldCharType="end"/>
            </w:r>
          </w:hyperlink>
        </w:p>
        <w:p w14:paraId="26F9AB05" w14:textId="28B585C7" w:rsidR="00285931" w:rsidRDefault="00285931">
          <w:pPr>
            <w:pStyle w:val="TOC3"/>
            <w:rPr>
              <w:rFonts w:asciiTheme="minorHAnsi" w:eastAsiaTheme="minorEastAsia" w:hAnsiTheme="minorHAnsi" w:cstheme="minorBidi"/>
              <w:iCs w:val="0"/>
              <w:sz w:val="24"/>
              <w:szCs w:val="24"/>
              <w:lang w:eastAsia="en-AU"/>
            </w:rPr>
          </w:pPr>
          <w:hyperlink w:anchor="_Toc222842812" w:history="1">
            <w:r w:rsidRPr="0035404F">
              <w:rPr>
                <w:rStyle w:val="Hyperlink"/>
              </w:rPr>
              <w:t>Design features to be implemented</w:t>
            </w:r>
            <w:r>
              <w:rPr>
                <w:webHidden/>
              </w:rPr>
              <w:tab/>
            </w:r>
            <w:r>
              <w:rPr>
                <w:webHidden/>
              </w:rPr>
              <w:fldChar w:fldCharType="begin"/>
            </w:r>
            <w:r>
              <w:rPr>
                <w:webHidden/>
              </w:rPr>
              <w:instrText xml:space="preserve"> PAGEREF _Toc222842812 \h </w:instrText>
            </w:r>
            <w:r>
              <w:rPr>
                <w:webHidden/>
              </w:rPr>
            </w:r>
            <w:r>
              <w:rPr>
                <w:webHidden/>
              </w:rPr>
              <w:fldChar w:fldCharType="separate"/>
            </w:r>
            <w:r w:rsidR="001B4CAD">
              <w:rPr>
                <w:webHidden/>
              </w:rPr>
              <w:t>50</w:t>
            </w:r>
            <w:r>
              <w:rPr>
                <w:webHidden/>
              </w:rPr>
              <w:fldChar w:fldCharType="end"/>
            </w:r>
          </w:hyperlink>
        </w:p>
        <w:p w14:paraId="5322A9E5" w14:textId="01445062" w:rsidR="00285931" w:rsidRDefault="00285931">
          <w:pPr>
            <w:pStyle w:val="TOC3"/>
            <w:rPr>
              <w:rFonts w:asciiTheme="minorHAnsi" w:eastAsiaTheme="minorEastAsia" w:hAnsiTheme="minorHAnsi" w:cstheme="minorBidi"/>
              <w:iCs w:val="0"/>
              <w:sz w:val="24"/>
              <w:szCs w:val="24"/>
              <w:lang w:eastAsia="en-AU"/>
            </w:rPr>
          </w:pPr>
          <w:hyperlink w:anchor="_Toc222842813" w:history="1">
            <w:r w:rsidRPr="0035404F">
              <w:rPr>
                <w:rStyle w:val="Hyperlink"/>
              </w:rPr>
              <w:t>Consumer protections and communication</w:t>
            </w:r>
            <w:r>
              <w:rPr>
                <w:webHidden/>
              </w:rPr>
              <w:tab/>
            </w:r>
            <w:r>
              <w:rPr>
                <w:webHidden/>
              </w:rPr>
              <w:fldChar w:fldCharType="begin"/>
            </w:r>
            <w:r>
              <w:rPr>
                <w:webHidden/>
              </w:rPr>
              <w:instrText xml:space="preserve"> PAGEREF _Toc222842813 \h </w:instrText>
            </w:r>
            <w:r>
              <w:rPr>
                <w:webHidden/>
              </w:rPr>
            </w:r>
            <w:r>
              <w:rPr>
                <w:webHidden/>
              </w:rPr>
              <w:fldChar w:fldCharType="separate"/>
            </w:r>
            <w:r w:rsidR="001B4CAD">
              <w:rPr>
                <w:webHidden/>
              </w:rPr>
              <w:t>51</w:t>
            </w:r>
            <w:r>
              <w:rPr>
                <w:webHidden/>
              </w:rPr>
              <w:fldChar w:fldCharType="end"/>
            </w:r>
          </w:hyperlink>
        </w:p>
        <w:p w14:paraId="73DC902D" w14:textId="248C9F3D" w:rsidR="00285931" w:rsidRDefault="00285931">
          <w:pPr>
            <w:pStyle w:val="TOC3"/>
            <w:rPr>
              <w:rFonts w:asciiTheme="minorHAnsi" w:eastAsiaTheme="minorEastAsia" w:hAnsiTheme="minorHAnsi" w:cstheme="minorBidi"/>
              <w:iCs w:val="0"/>
              <w:sz w:val="24"/>
              <w:szCs w:val="24"/>
              <w:lang w:eastAsia="en-AU"/>
            </w:rPr>
          </w:pPr>
          <w:hyperlink w:anchor="_Toc222842814" w:history="1">
            <w:r w:rsidRPr="0035404F">
              <w:rPr>
                <w:rStyle w:val="Hyperlink"/>
              </w:rPr>
              <w:t>Alignment with system and market conditions</w:t>
            </w:r>
            <w:r>
              <w:rPr>
                <w:webHidden/>
              </w:rPr>
              <w:tab/>
            </w:r>
            <w:r>
              <w:rPr>
                <w:webHidden/>
              </w:rPr>
              <w:fldChar w:fldCharType="begin"/>
            </w:r>
            <w:r>
              <w:rPr>
                <w:webHidden/>
              </w:rPr>
              <w:instrText xml:space="preserve"> PAGEREF _Toc222842814 \h </w:instrText>
            </w:r>
            <w:r>
              <w:rPr>
                <w:webHidden/>
              </w:rPr>
            </w:r>
            <w:r>
              <w:rPr>
                <w:webHidden/>
              </w:rPr>
              <w:fldChar w:fldCharType="separate"/>
            </w:r>
            <w:r w:rsidR="001B4CAD">
              <w:rPr>
                <w:webHidden/>
              </w:rPr>
              <w:t>51</w:t>
            </w:r>
            <w:r>
              <w:rPr>
                <w:webHidden/>
              </w:rPr>
              <w:fldChar w:fldCharType="end"/>
            </w:r>
          </w:hyperlink>
        </w:p>
        <w:p w14:paraId="6F941451" w14:textId="59382DDE" w:rsidR="00285931" w:rsidRDefault="00285931">
          <w:pPr>
            <w:pStyle w:val="TOC3"/>
            <w:rPr>
              <w:rFonts w:asciiTheme="minorHAnsi" w:eastAsiaTheme="minorEastAsia" w:hAnsiTheme="minorHAnsi" w:cstheme="minorBidi"/>
              <w:iCs w:val="0"/>
              <w:sz w:val="24"/>
              <w:szCs w:val="24"/>
              <w:lang w:eastAsia="en-AU"/>
            </w:rPr>
          </w:pPr>
          <w:hyperlink w:anchor="_Toc222842815" w:history="1">
            <w:r w:rsidRPr="0035404F">
              <w:rPr>
                <w:rStyle w:val="Hyperlink"/>
              </w:rPr>
              <w:t>Implementation timing and sequencing</w:t>
            </w:r>
            <w:r>
              <w:rPr>
                <w:webHidden/>
              </w:rPr>
              <w:tab/>
            </w:r>
            <w:r>
              <w:rPr>
                <w:webHidden/>
              </w:rPr>
              <w:fldChar w:fldCharType="begin"/>
            </w:r>
            <w:r>
              <w:rPr>
                <w:webHidden/>
              </w:rPr>
              <w:instrText xml:space="preserve"> PAGEREF _Toc222842815 \h </w:instrText>
            </w:r>
            <w:r>
              <w:rPr>
                <w:webHidden/>
              </w:rPr>
            </w:r>
            <w:r>
              <w:rPr>
                <w:webHidden/>
              </w:rPr>
              <w:fldChar w:fldCharType="separate"/>
            </w:r>
            <w:r w:rsidR="001B4CAD">
              <w:rPr>
                <w:webHidden/>
              </w:rPr>
              <w:t>51</w:t>
            </w:r>
            <w:r>
              <w:rPr>
                <w:webHidden/>
              </w:rPr>
              <w:fldChar w:fldCharType="end"/>
            </w:r>
          </w:hyperlink>
        </w:p>
        <w:p w14:paraId="1EDC5EF0" w14:textId="6D4CA0B5" w:rsidR="00285931" w:rsidRDefault="00285931">
          <w:pPr>
            <w:pStyle w:val="TOC3"/>
            <w:rPr>
              <w:rFonts w:asciiTheme="minorHAnsi" w:eastAsiaTheme="minorEastAsia" w:hAnsiTheme="minorHAnsi" w:cstheme="minorBidi"/>
              <w:iCs w:val="0"/>
              <w:sz w:val="24"/>
              <w:szCs w:val="24"/>
              <w:lang w:eastAsia="en-AU"/>
            </w:rPr>
          </w:pPr>
          <w:hyperlink w:anchor="_Toc222842816" w:history="1">
            <w:r w:rsidRPr="0035404F">
              <w:rPr>
                <w:rStyle w:val="Hyperlink"/>
              </w:rPr>
              <w:t>Monitoring and post-implementation review</w:t>
            </w:r>
            <w:r>
              <w:rPr>
                <w:webHidden/>
              </w:rPr>
              <w:tab/>
            </w:r>
            <w:r>
              <w:rPr>
                <w:webHidden/>
              </w:rPr>
              <w:fldChar w:fldCharType="begin"/>
            </w:r>
            <w:r>
              <w:rPr>
                <w:webHidden/>
              </w:rPr>
              <w:instrText xml:space="preserve"> PAGEREF _Toc222842816 \h </w:instrText>
            </w:r>
            <w:r>
              <w:rPr>
                <w:webHidden/>
              </w:rPr>
            </w:r>
            <w:r>
              <w:rPr>
                <w:webHidden/>
              </w:rPr>
              <w:fldChar w:fldCharType="separate"/>
            </w:r>
            <w:r w:rsidR="001B4CAD">
              <w:rPr>
                <w:webHidden/>
              </w:rPr>
              <w:t>51</w:t>
            </w:r>
            <w:r>
              <w:rPr>
                <w:webHidden/>
              </w:rPr>
              <w:fldChar w:fldCharType="end"/>
            </w:r>
          </w:hyperlink>
        </w:p>
        <w:p w14:paraId="0732EC3E" w14:textId="2FE214C0" w:rsidR="00285931" w:rsidRDefault="00285931">
          <w:pPr>
            <w:pStyle w:val="TOC1"/>
            <w:tabs>
              <w:tab w:val="right" w:leader="dot" w:pos="9402"/>
            </w:tabs>
            <w:rPr>
              <w:rFonts w:eastAsiaTheme="minorEastAsia"/>
              <w:noProof/>
              <w:sz w:val="24"/>
              <w:szCs w:val="24"/>
              <w:lang w:eastAsia="en-AU"/>
            </w:rPr>
          </w:pPr>
          <w:hyperlink w:anchor="_Toc222842817" w:history="1">
            <w:r w:rsidRPr="0035404F">
              <w:rPr>
                <w:rStyle w:val="Hyperlink"/>
                <w:rFonts w:ascii="Calibri" w:hAnsi="Calibri" w:cs="Calibri"/>
                <w:b/>
                <w:bCs/>
                <w:noProof/>
              </w:rPr>
              <w:t>Abbreviations List</w:t>
            </w:r>
            <w:r>
              <w:rPr>
                <w:noProof/>
                <w:webHidden/>
              </w:rPr>
              <w:tab/>
            </w:r>
            <w:r>
              <w:rPr>
                <w:noProof/>
                <w:webHidden/>
              </w:rPr>
              <w:fldChar w:fldCharType="begin"/>
            </w:r>
            <w:r>
              <w:rPr>
                <w:noProof/>
                <w:webHidden/>
              </w:rPr>
              <w:instrText xml:space="preserve"> PAGEREF _Toc222842817 \h </w:instrText>
            </w:r>
            <w:r>
              <w:rPr>
                <w:noProof/>
                <w:webHidden/>
              </w:rPr>
            </w:r>
            <w:r>
              <w:rPr>
                <w:noProof/>
                <w:webHidden/>
              </w:rPr>
              <w:fldChar w:fldCharType="separate"/>
            </w:r>
            <w:r w:rsidR="001B4CAD">
              <w:rPr>
                <w:noProof/>
                <w:webHidden/>
              </w:rPr>
              <w:t>53</w:t>
            </w:r>
            <w:r>
              <w:rPr>
                <w:noProof/>
                <w:webHidden/>
              </w:rPr>
              <w:fldChar w:fldCharType="end"/>
            </w:r>
          </w:hyperlink>
        </w:p>
        <w:p w14:paraId="479DABD6" w14:textId="12C6192E" w:rsidR="00285931" w:rsidRDefault="00285931">
          <w:pPr>
            <w:pStyle w:val="TOC1"/>
            <w:tabs>
              <w:tab w:val="right" w:leader="dot" w:pos="9402"/>
            </w:tabs>
            <w:rPr>
              <w:rFonts w:eastAsiaTheme="minorEastAsia"/>
              <w:noProof/>
              <w:sz w:val="24"/>
              <w:szCs w:val="24"/>
              <w:lang w:eastAsia="en-AU"/>
            </w:rPr>
          </w:pPr>
          <w:hyperlink w:anchor="_Toc222842818" w:history="1">
            <w:r w:rsidRPr="0035404F">
              <w:rPr>
                <w:rStyle w:val="Hyperlink"/>
                <w:rFonts w:ascii="Calibri" w:hAnsi="Calibri" w:cs="Calibri"/>
                <w:b/>
                <w:bCs/>
                <w:noProof/>
              </w:rPr>
              <w:t>Glossary</w:t>
            </w:r>
            <w:r>
              <w:rPr>
                <w:noProof/>
                <w:webHidden/>
              </w:rPr>
              <w:tab/>
            </w:r>
            <w:r>
              <w:rPr>
                <w:noProof/>
                <w:webHidden/>
              </w:rPr>
              <w:fldChar w:fldCharType="begin"/>
            </w:r>
            <w:r>
              <w:rPr>
                <w:noProof/>
                <w:webHidden/>
              </w:rPr>
              <w:instrText xml:space="preserve"> PAGEREF _Toc222842818 \h </w:instrText>
            </w:r>
            <w:r>
              <w:rPr>
                <w:noProof/>
                <w:webHidden/>
              </w:rPr>
            </w:r>
            <w:r>
              <w:rPr>
                <w:noProof/>
                <w:webHidden/>
              </w:rPr>
              <w:fldChar w:fldCharType="separate"/>
            </w:r>
            <w:r w:rsidR="001B4CAD">
              <w:rPr>
                <w:noProof/>
                <w:webHidden/>
              </w:rPr>
              <w:t>54</w:t>
            </w:r>
            <w:r>
              <w:rPr>
                <w:noProof/>
                <w:webHidden/>
              </w:rPr>
              <w:fldChar w:fldCharType="end"/>
            </w:r>
          </w:hyperlink>
        </w:p>
        <w:p w14:paraId="5D1C8E2E" w14:textId="06D61C1E" w:rsidR="000047E3" w:rsidRPr="00B5064E" w:rsidRDefault="00D46547" w:rsidP="000047E3">
          <w:pPr>
            <w:rPr>
              <w:rFonts w:ascii="Calibri" w:eastAsiaTheme="minorEastAsia" w:hAnsi="Calibri" w:cs="Calibri"/>
              <w:b/>
              <w:bCs/>
            </w:rPr>
          </w:pPr>
          <w:r w:rsidRPr="00204B0F">
            <w:rPr>
              <w:rFonts w:ascii="Calibri" w:hAnsi="Calibri" w:cs="Calibri"/>
              <w:b/>
              <w:bCs/>
              <w:noProof/>
            </w:rPr>
            <w:fldChar w:fldCharType="end"/>
          </w:r>
        </w:p>
      </w:sdtContent>
    </w:sdt>
    <w:bookmarkStart w:id="0" w:name="_Toc210208853" w:displacedByCustomXml="prev"/>
    <w:bookmarkStart w:id="1" w:name="_Toc210178593" w:displacedByCustomXml="prev"/>
    <w:p w14:paraId="790FE639" w14:textId="1B61B8FA" w:rsidR="00BD7F1D" w:rsidRPr="00B5064E" w:rsidRDefault="00BD7F1D" w:rsidP="0035712C">
      <w:pPr>
        <w:pStyle w:val="Heading1"/>
        <w:spacing w:before="160" w:after="120"/>
        <w:rPr>
          <w:rFonts w:ascii="Calibri" w:hAnsi="Calibri" w:cs="Calibri"/>
          <w:b/>
          <w:bCs/>
        </w:rPr>
      </w:pPr>
      <w:bookmarkStart w:id="2" w:name="_Toc121406858"/>
      <w:bookmarkStart w:id="3" w:name="_Toc222842750"/>
      <w:bookmarkEnd w:id="1"/>
      <w:bookmarkEnd w:id="0"/>
      <w:r w:rsidRPr="00B5064E">
        <w:rPr>
          <w:rFonts w:ascii="Calibri" w:hAnsi="Calibri" w:cs="Calibri"/>
          <w:b/>
          <w:bCs/>
        </w:rPr>
        <w:lastRenderedPageBreak/>
        <w:t>Executive Summary</w:t>
      </w:r>
      <w:bookmarkEnd w:id="2"/>
      <w:bookmarkEnd w:id="3"/>
    </w:p>
    <w:p w14:paraId="5D169A6E" w14:textId="64446299" w:rsidR="003900E7" w:rsidRPr="00B5064E" w:rsidRDefault="003900E7" w:rsidP="00803634">
      <w:pPr>
        <w:rPr>
          <w:rFonts w:ascii="Calibri" w:hAnsi="Calibri" w:cs="Calibri"/>
          <w:color w:val="000000" w:themeColor="text1"/>
          <w:szCs w:val="18"/>
          <w:lang w:val="en-GB"/>
        </w:rPr>
      </w:pPr>
      <w:r w:rsidRPr="3AE2F883">
        <w:rPr>
          <w:rFonts w:ascii="Calibri" w:hAnsi="Calibri" w:cs="Calibri"/>
          <w:color w:val="000000" w:themeColor="text1"/>
          <w:lang w:val="en-GB"/>
        </w:rPr>
        <w:t xml:space="preserve">Australia has experienced one of the world’s most rapid and widespread uptake of residential rooftop solar photovoltaic (PV) systems. Approximately one in three households now hosts a solar installation, resulting in over 4 million small-scale systems and more than </w:t>
      </w:r>
      <w:r w:rsidR="00411709" w:rsidRPr="3AE2F883">
        <w:rPr>
          <w:rFonts w:ascii="Calibri" w:hAnsi="Calibri" w:cs="Calibri"/>
          <w:color w:val="000000" w:themeColor="text1"/>
          <w:lang w:val="en-GB"/>
        </w:rPr>
        <w:t>3.51</w:t>
      </w:r>
      <w:r w:rsidRPr="3AE2F883">
        <w:rPr>
          <w:rFonts w:ascii="Calibri" w:hAnsi="Calibri" w:cs="Calibri"/>
          <w:color w:val="000000" w:themeColor="text1"/>
          <w:lang w:val="en-GB"/>
        </w:rPr>
        <w:t xml:space="preserve"> GW</w:t>
      </w:r>
      <w:r w:rsidR="00791E7B" w:rsidRPr="3AE2F883">
        <w:rPr>
          <w:rStyle w:val="FootnoteReference"/>
          <w:rFonts w:ascii="Calibri" w:hAnsi="Calibri" w:cs="Calibri"/>
          <w:color w:val="000000" w:themeColor="text1"/>
          <w:lang w:val="en-GB"/>
        </w:rPr>
        <w:footnoteReference w:id="1"/>
      </w:r>
      <w:r w:rsidRPr="3AE2F883">
        <w:rPr>
          <w:rFonts w:ascii="Calibri" w:hAnsi="Calibri" w:cs="Calibri"/>
          <w:color w:val="000000" w:themeColor="text1"/>
          <w:lang w:val="en-GB"/>
        </w:rPr>
        <w:t xml:space="preserve"> of total distributed capacity. This growing penetration of consumer energy resources (CER) has materially altered electricity demand patterns across the National Electricity Market (NEM), particularly reducing midday grid consumption and increasing instances of very low or negative wholesale prices during daylight hours</w:t>
      </w:r>
    </w:p>
    <w:p w14:paraId="5035B06C" w14:textId="2F9832D9" w:rsidR="00CD7EC9" w:rsidRPr="00B5064E" w:rsidRDefault="00CD7EC9" w:rsidP="00803634">
      <w:pPr>
        <w:rPr>
          <w:rFonts w:ascii="Calibri" w:hAnsi="Calibri" w:cs="Calibri"/>
          <w:color w:val="000000" w:themeColor="text1"/>
          <w:szCs w:val="18"/>
          <w:lang w:val="en-GB"/>
        </w:rPr>
      </w:pPr>
      <w:r w:rsidRPr="00B5064E">
        <w:rPr>
          <w:rFonts w:ascii="Calibri" w:hAnsi="Calibri" w:cs="Calibri"/>
          <w:color w:val="000000" w:themeColor="text1"/>
          <w:szCs w:val="18"/>
          <w:lang w:val="en-GB"/>
        </w:rPr>
        <w:t>While the benefits of rooftop solar and related technologies are well established, access to these benefits remains uneven. Renters, low-income households and apartment dwellers</w:t>
      </w:r>
      <w:r w:rsidR="00747BDF" w:rsidRPr="00B5064E">
        <w:rPr>
          <w:rFonts w:ascii="Calibri" w:hAnsi="Calibri" w:cs="Calibri"/>
          <w:color w:val="000000" w:themeColor="text1"/>
          <w:szCs w:val="18"/>
          <w:lang w:val="en-GB"/>
        </w:rPr>
        <w:t xml:space="preserve"> </w:t>
      </w:r>
      <w:r w:rsidRPr="00B5064E">
        <w:rPr>
          <w:rFonts w:ascii="Calibri" w:hAnsi="Calibri" w:cs="Calibri"/>
          <w:color w:val="000000" w:themeColor="text1"/>
          <w:szCs w:val="18"/>
          <w:lang w:val="en-GB"/>
        </w:rPr>
        <w:t>who typically cannot install rooftop solar PV or battery storage</w:t>
      </w:r>
      <w:r w:rsidR="00747BDF" w:rsidRPr="00B5064E">
        <w:rPr>
          <w:rFonts w:ascii="Calibri" w:hAnsi="Calibri" w:cs="Calibri"/>
          <w:color w:val="000000" w:themeColor="text1"/>
          <w:szCs w:val="18"/>
          <w:lang w:val="en-GB"/>
        </w:rPr>
        <w:t xml:space="preserve"> </w:t>
      </w:r>
      <w:r w:rsidRPr="00B5064E">
        <w:rPr>
          <w:rFonts w:ascii="Calibri" w:hAnsi="Calibri" w:cs="Calibri"/>
          <w:color w:val="000000" w:themeColor="text1"/>
          <w:szCs w:val="18"/>
          <w:lang w:val="en-GB"/>
        </w:rPr>
        <w:t>receive limited benefit from very low wholesale prices that occur during periods of abundant solar generation. These households also face weak or unclear price signals that would otherwise encourage shifting electricity use into lower-cost daytime periods.</w:t>
      </w:r>
    </w:p>
    <w:p w14:paraId="6A678CAF" w14:textId="3CD63627" w:rsidR="00B10633" w:rsidRPr="00B5064E" w:rsidRDefault="0034148B" w:rsidP="00803634">
      <w:pPr>
        <w:rPr>
          <w:rFonts w:ascii="Calibri" w:hAnsi="Calibri" w:cs="Calibri"/>
          <w:color w:val="000000" w:themeColor="text1"/>
          <w:szCs w:val="18"/>
          <w:lang w:val="en-GB"/>
        </w:rPr>
      </w:pPr>
      <w:r w:rsidRPr="00B5064E">
        <w:rPr>
          <w:rFonts w:ascii="Calibri" w:hAnsi="Calibri" w:cs="Calibri"/>
          <w:color w:val="000000" w:themeColor="text1"/>
          <w:szCs w:val="18"/>
          <w:lang w:val="en-GB"/>
        </w:rPr>
        <w:t>Despite the availability of low-cost energy during solar-rich hours, retail standing offers generally provide limited and inconsistent incentives for households without solar or storage to adjust their consumption patterns. As a result, demand remains concentrated in evening peak periods, which are typically more costly and emissions-intensive, while extremely low daytime demand can also create operational challenges for the electricity system</w:t>
      </w:r>
      <w:r w:rsidR="000826C8" w:rsidRPr="00B5064E">
        <w:rPr>
          <w:rFonts w:ascii="Calibri" w:hAnsi="Calibri" w:cs="Calibri"/>
          <w:color w:val="000000" w:themeColor="text1"/>
          <w:szCs w:val="18"/>
          <w:lang w:val="en-GB"/>
        </w:rPr>
        <w:t>.</w:t>
      </w:r>
    </w:p>
    <w:p w14:paraId="10D142B0" w14:textId="77777777" w:rsidR="00A076C0" w:rsidRPr="00B5064E" w:rsidRDefault="00A076C0" w:rsidP="00A076C0">
      <w:pPr>
        <w:rPr>
          <w:rFonts w:ascii="Calibri" w:hAnsi="Calibri" w:cs="Calibri"/>
          <w:color w:val="000000" w:themeColor="text1"/>
          <w:szCs w:val="18"/>
          <w:lang w:val="en-GB"/>
        </w:rPr>
      </w:pPr>
      <w:r w:rsidRPr="00B5064E">
        <w:rPr>
          <w:rFonts w:ascii="Calibri" w:hAnsi="Calibri" w:cs="Calibri"/>
          <w:color w:val="000000" w:themeColor="text1"/>
          <w:szCs w:val="18"/>
          <w:lang w:val="en-GB"/>
        </w:rPr>
        <w:t>Voluntary ‘Free Power’ or zero</w:t>
      </w:r>
      <w:r w:rsidRPr="00B5064E">
        <w:rPr>
          <w:rFonts w:ascii="Calibri" w:hAnsi="Calibri" w:cs="Calibri"/>
          <w:color w:val="000000" w:themeColor="text1"/>
          <w:szCs w:val="18"/>
          <w:lang w:val="en-GB"/>
        </w:rPr>
        <w:noBreakHyphen/>
        <w:t>cost usage window offers have emerged in some jurisdictions as a way to reward daytime consumption, but their inconsistent design, eligibility constraints and opaque pricing outside the free periods can expose customers to higher overall costs and limit equitable access to the benefits of abundant daytime solar generation.</w:t>
      </w:r>
    </w:p>
    <w:p w14:paraId="2CE48256" w14:textId="58194F03" w:rsidR="009F3C4C" w:rsidRPr="00B5064E" w:rsidRDefault="009F3C4C" w:rsidP="009F3C4C">
      <w:pPr>
        <w:rPr>
          <w:rFonts w:ascii="Calibri" w:hAnsi="Calibri" w:cs="Calibri"/>
          <w:color w:val="000000" w:themeColor="text1"/>
          <w:szCs w:val="18"/>
          <w:lang w:val="en-GB"/>
        </w:rPr>
      </w:pPr>
      <w:r w:rsidRPr="00B5064E">
        <w:rPr>
          <w:rFonts w:ascii="Calibri" w:hAnsi="Calibri" w:cs="Calibri"/>
          <w:color w:val="000000" w:themeColor="text1"/>
          <w:szCs w:val="18"/>
          <w:lang w:val="en-GB"/>
        </w:rPr>
        <w:t>In this context, the Australian Government proposes the Solar Sharer Offer (SSO) — a regulated residential tariff that includes a defined zero-cost electricity usage window during solar-abundant hours. The SSO is intended to be implemented as a new standing offer tariff under the Default Market Offer (DMO) framework, initially in DMO jurisdictions with future extension nationally. By providing a standardised, transparent and equitable tariff option, the SSO aims to</w:t>
      </w:r>
      <w:r w:rsidR="00E91E5B" w:rsidRPr="00B5064E">
        <w:rPr>
          <w:rFonts w:ascii="Calibri" w:hAnsi="Calibri" w:cs="Calibri"/>
          <w:color w:val="000000" w:themeColor="text1"/>
          <w:szCs w:val="18"/>
          <w:lang w:val="en-GB"/>
        </w:rPr>
        <w:t xml:space="preserve"> </w:t>
      </w:r>
      <w:r w:rsidRPr="00B5064E">
        <w:rPr>
          <w:rFonts w:ascii="Calibri" w:hAnsi="Calibri" w:cs="Calibri"/>
          <w:color w:val="000000" w:themeColor="text1"/>
          <w:szCs w:val="18"/>
          <w:lang w:val="en-GB"/>
        </w:rPr>
        <w:t>broaden access to the benefits of CER; encourage load shifting away from peak evening demand; enhance system efficiency; and support affordability and consumer engagement in the energy transition.</w:t>
      </w:r>
    </w:p>
    <w:p w14:paraId="2D91F992" w14:textId="3890F458" w:rsidR="00DC36FE" w:rsidRPr="00B5064E" w:rsidRDefault="00DC36FE" w:rsidP="009F3C4C">
      <w:pPr>
        <w:rPr>
          <w:rFonts w:ascii="Calibri" w:hAnsi="Calibri" w:cs="Calibri"/>
          <w:color w:val="000000" w:themeColor="text1"/>
          <w:szCs w:val="18"/>
          <w:lang w:val="en-GB"/>
        </w:rPr>
      </w:pPr>
      <w:r w:rsidRPr="3AE2F883">
        <w:rPr>
          <w:rFonts w:ascii="Calibri" w:hAnsi="Calibri" w:cs="Calibri"/>
          <w:color w:val="000000" w:themeColor="text1"/>
          <w:lang w:val="en-GB"/>
        </w:rPr>
        <w:t>Following public consultation</w:t>
      </w:r>
      <w:r w:rsidR="00EF56CE" w:rsidRPr="3AE2F883">
        <w:rPr>
          <w:rStyle w:val="FootnoteReference"/>
          <w:rFonts w:ascii="Calibri" w:hAnsi="Calibri" w:cs="Calibri"/>
          <w:color w:val="000000" w:themeColor="text1"/>
          <w:lang w:val="en-GB"/>
        </w:rPr>
        <w:footnoteReference w:id="2"/>
      </w:r>
      <w:r w:rsidRPr="3AE2F883">
        <w:rPr>
          <w:rFonts w:ascii="Calibri" w:hAnsi="Calibri" w:cs="Calibri"/>
          <w:color w:val="000000" w:themeColor="text1"/>
          <w:lang w:val="en-GB"/>
        </w:rPr>
        <w:t xml:space="preserve"> (76 submissions)</w:t>
      </w:r>
      <w:r w:rsidR="00BF2BD8" w:rsidRPr="3AE2F883">
        <w:rPr>
          <w:rStyle w:val="FootnoteReference"/>
          <w:rFonts w:ascii="Calibri" w:hAnsi="Calibri" w:cs="Calibri"/>
          <w:color w:val="000000" w:themeColor="text1"/>
          <w:lang w:val="en-GB"/>
        </w:rPr>
        <w:footnoteReference w:id="3"/>
      </w:r>
      <w:r w:rsidRPr="3AE2F883">
        <w:rPr>
          <w:rFonts w:ascii="Calibri" w:hAnsi="Calibri" w:cs="Calibri"/>
          <w:color w:val="000000" w:themeColor="text1"/>
          <w:lang w:val="en-GB"/>
        </w:rPr>
        <w:t xml:space="preserve"> and the Government’s SSO Outcomes Paper</w:t>
      </w:r>
      <w:r w:rsidR="00EA43F1" w:rsidRPr="3AE2F883">
        <w:rPr>
          <w:rFonts w:ascii="Calibri" w:hAnsi="Calibri" w:cs="Calibri"/>
          <w:color w:val="000000" w:themeColor="text1"/>
          <w:vertAlign w:val="superscript"/>
          <w:lang w:val="en-GB"/>
        </w:rPr>
        <w:footnoteReference w:id="4"/>
      </w:r>
      <w:r w:rsidRPr="3AE2F883">
        <w:rPr>
          <w:rFonts w:ascii="Calibri" w:hAnsi="Calibri" w:cs="Calibri"/>
          <w:color w:val="000000" w:themeColor="text1"/>
          <w:lang w:val="en-GB"/>
        </w:rPr>
        <w:t xml:space="preserve">, this </w:t>
      </w:r>
      <w:r w:rsidR="005932BD" w:rsidRPr="3AE2F883">
        <w:rPr>
          <w:rFonts w:ascii="Calibri" w:hAnsi="Calibri" w:cs="Calibri"/>
          <w:color w:val="000000" w:themeColor="text1"/>
          <w:lang w:val="en-GB"/>
        </w:rPr>
        <w:t>Impact Analysis (IA)</w:t>
      </w:r>
      <w:r w:rsidRPr="3AE2F883">
        <w:rPr>
          <w:rFonts w:ascii="Calibri" w:hAnsi="Calibri" w:cs="Calibri"/>
          <w:color w:val="000000" w:themeColor="text1"/>
          <w:lang w:val="en-GB"/>
        </w:rPr>
        <w:t xml:space="preserve"> assesses the case for intervention, evaluates options, and recommends a preferred approach for implementation through the 2026–27 DMO</w:t>
      </w:r>
      <w:r w:rsidR="002E602A" w:rsidRPr="3AE2F883">
        <w:rPr>
          <w:rFonts w:ascii="Calibri" w:hAnsi="Calibri" w:cs="Calibri"/>
          <w:color w:val="000000" w:themeColor="text1"/>
          <w:lang w:val="en-GB"/>
        </w:rPr>
        <w:t xml:space="preserve"> </w:t>
      </w:r>
      <w:r w:rsidRPr="3AE2F883">
        <w:rPr>
          <w:rFonts w:ascii="Calibri" w:hAnsi="Calibri" w:cs="Calibri"/>
          <w:color w:val="000000" w:themeColor="text1"/>
          <w:lang w:val="en-GB"/>
        </w:rPr>
        <w:t>determination process administered by the Australian Energy Regulator (AER).</w:t>
      </w:r>
    </w:p>
    <w:p w14:paraId="1A63B364" w14:textId="700CCF1E" w:rsidR="00706089" w:rsidRPr="00B5064E" w:rsidRDefault="00706089" w:rsidP="000047E3">
      <w:pPr>
        <w:spacing w:line="240" w:lineRule="auto"/>
        <w:rPr>
          <w:rFonts w:ascii="Calibri" w:hAnsi="Calibri" w:cs="Calibri"/>
          <w:b/>
          <w:bCs/>
        </w:rPr>
      </w:pPr>
      <w:r w:rsidRPr="00B5064E">
        <w:rPr>
          <w:rFonts w:ascii="Calibri" w:hAnsi="Calibri" w:cs="Calibri"/>
          <w:b/>
          <w:bCs/>
        </w:rPr>
        <w:t xml:space="preserve">Preferred </w:t>
      </w:r>
      <w:r w:rsidR="00D70AD5" w:rsidRPr="00B5064E">
        <w:rPr>
          <w:rFonts w:ascii="Calibri" w:hAnsi="Calibri" w:cs="Calibri"/>
          <w:b/>
          <w:bCs/>
        </w:rPr>
        <w:t>approach</w:t>
      </w:r>
      <w:r w:rsidRPr="00B5064E">
        <w:rPr>
          <w:rFonts w:ascii="Calibri" w:hAnsi="Calibri" w:cs="Calibri"/>
          <w:b/>
          <w:bCs/>
        </w:rPr>
        <w:t>:</w:t>
      </w:r>
    </w:p>
    <w:p w14:paraId="3524B626" w14:textId="21A6E35C" w:rsidR="00DE78B0" w:rsidRPr="00AC7C00" w:rsidRDefault="00706089" w:rsidP="00AC7C00">
      <w:pPr>
        <w:numPr>
          <w:ilvl w:val="0"/>
          <w:numId w:val="5"/>
        </w:numPr>
        <w:spacing w:before="120" w:after="120"/>
        <w:ind w:left="714" w:hanging="357"/>
        <w:rPr>
          <w:rFonts w:ascii="Calibri" w:eastAsia="MS Mincho" w:hAnsi="Calibri" w:cs="Calibri"/>
          <w:kern w:val="0"/>
          <w14:ligatures w14:val="none"/>
        </w:rPr>
      </w:pPr>
      <w:r w:rsidRPr="00AC7C00">
        <w:rPr>
          <w:rFonts w:ascii="Calibri" w:eastAsia="MS Mincho" w:hAnsi="Calibri" w:cs="Calibri"/>
          <w:kern w:val="0"/>
          <w14:ligatures w14:val="none"/>
        </w:rPr>
        <w:t xml:space="preserve">Mandate a regulated SSO standing offer for residential customers in DMO jurisdictions, requiring a </w:t>
      </w:r>
      <w:r w:rsidR="00CE3548" w:rsidRPr="00AC7C00">
        <w:rPr>
          <w:rFonts w:ascii="Calibri" w:eastAsia="MS Mincho" w:hAnsi="Calibri" w:cs="Calibri"/>
          <w:kern w:val="0"/>
          <w14:ligatures w14:val="none"/>
        </w:rPr>
        <w:t>consecutive</w:t>
      </w:r>
      <w:r w:rsidRPr="00AC7C00">
        <w:rPr>
          <w:rFonts w:ascii="Calibri" w:eastAsia="MS Mincho" w:hAnsi="Calibri" w:cs="Calibri"/>
          <w:kern w:val="0"/>
          <w14:ligatures w14:val="none"/>
        </w:rPr>
        <w:t xml:space="preserve"> three</w:t>
      </w:r>
      <w:r w:rsidRPr="00AC7C00">
        <w:rPr>
          <w:rFonts w:ascii="Cambria Math" w:eastAsia="MS Mincho" w:hAnsi="Cambria Math" w:cs="Cambria Math"/>
          <w:kern w:val="0"/>
          <w14:ligatures w14:val="none"/>
        </w:rPr>
        <w:t>‑</w:t>
      </w:r>
      <w:r w:rsidRPr="00AC7C00">
        <w:rPr>
          <w:rFonts w:ascii="Calibri" w:eastAsia="MS Mincho" w:hAnsi="Calibri" w:cs="Calibri"/>
          <w:kern w:val="0"/>
          <w14:ligatures w14:val="none"/>
        </w:rPr>
        <w:t xml:space="preserve">hour daily free power period, with timing set by </w:t>
      </w:r>
      <w:r w:rsidR="00CE3548" w:rsidRPr="00AC7C00">
        <w:rPr>
          <w:rFonts w:ascii="Calibri" w:eastAsia="MS Mincho" w:hAnsi="Calibri" w:cs="Calibri"/>
          <w:kern w:val="0"/>
          <w14:ligatures w14:val="none"/>
        </w:rPr>
        <w:t xml:space="preserve">the AER as per the </w:t>
      </w:r>
      <w:r w:rsidRPr="00AC7C00">
        <w:rPr>
          <w:rFonts w:ascii="Calibri" w:eastAsia="MS Mincho" w:hAnsi="Calibri" w:cs="Calibri"/>
          <w:kern w:val="0"/>
          <w14:ligatures w14:val="none"/>
        </w:rPr>
        <w:t xml:space="preserve">distribution network area </w:t>
      </w:r>
      <w:r w:rsidR="00CE3548" w:rsidRPr="00AC7C00">
        <w:rPr>
          <w:rFonts w:ascii="Calibri" w:eastAsia="MS Mincho" w:hAnsi="Calibri" w:cs="Calibri"/>
          <w:kern w:val="0"/>
          <w14:ligatures w14:val="none"/>
        </w:rPr>
        <w:t xml:space="preserve">of the DMO regions </w:t>
      </w:r>
      <w:r w:rsidRPr="00AC7C00">
        <w:rPr>
          <w:rFonts w:ascii="Calibri" w:eastAsia="MS Mincho" w:hAnsi="Calibri" w:cs="Calibri"/>
          <w:kern w:val="0"/>
          <w14:ligatures w14:val="none"/>
        </w:rPr>
        <w:t xml:space="preserve">to align </w:t>
      </w:r>
      <w:r w:rsidR="002F0B13" w:rsidRPr="00AC7C00">
        <w:rPr>
          <w:rFonts w:ascii="Calibri" w:eastAsia="MS Mincho" w:hAnsi="Calibri" w:cs="Calibri"/>
          <w:kern w:val="0"/>
          <w14:ligatures w14:val="none"/>
        </w:rPr>
        <w:t>with solar/wholesale/network conditions, and set efficient cost</w:t>
      </w:r>
      <w:r w:rsidR="4D39C7F0" w:rsidRPr="00AC7C00">
        <w:rPr>
          <w:rFonts w:ascii="Calibri" w:eastAsia="MS Mincho" w:hAnsi="Calibri" w:cs="Calibri"/>
          <w:kern w:val="0"/>
          <w14:ligatures w14:val="none"/>
        </w:rPr>
        <w:t xml:space="preserve"> </w:t>
      </w:r>
      <w:r w:rsidR="002F0B13" w:rsidRPr="00AC7C00">
        <w:rPr>
          <w:rFonts w:ascii="Calibri" w:eastAsia="MS Mincho" w:hAnsi="Calibri" w:cs="Calibri"/>
          <w:kern w:val="0"/>
          <w14:ligatures w14:val="none"/>
        </w:rPr>
        <w:t>recovery parameters each DMO cycle</w:t>
      </w:r>
      <w:r w:rsidR="00DE78B0" w:rsidRPr="00AC7C00">
        <w:rPr>
          <w:rFonts w:ascii="Calibri" w:eastAsia="MS Mincho" w:hAnsi="Calibri" w:cs="Calibri"/>
          <w:kern w:val="0"/>
          <w14:ligatures w14:val="none"/>
        </w:rPr>
        <w:t>.</w:t>
      </w:r>
    </w:p>
    <w:p w14:paraId="6F1BA21B" w14:textId="74EE3375" w:rsidR="00921727" w:rsidRPr="00AC7C00" w:rsidRDefault="00921727" w:rsidP="00AC7C00">
      <w:pPr>
        <w:numPr>
          <w:ilvl w:val="0"/>
          <w:numId w:val="5"/>
        </w:numPr>
        <w:spacing w:before="120" w:after="120"/>
        <w:ind w:left="714" w:hanging="357"/>
        <w:rPr>
          <w:rFonts w:ascii="Calibri" w:eastAsia="MS Mincho" w:hAnsi="Calibri" w:cs="Calibri"/>
          <w:kern w:val="0"/>
          <w14:ligatures w14:val="none"/>
        </w:rPr>
      </w:pPr>
      <w:r w:rsidRPr="00AC7C00">
        <w:rPr>
          <w:rFonts w:ascii="Calibri" w:eastAsia="MS Mincho" w:hAnsi="Calibri" w:cs="Calibri"/>
          <w:kern w:val="0"/>
          <w14:ligatures w14:val="none"/>
        </w:rPr>
        <w:t>Initial coverage in DMO jurisdictions with 1st July 2026</w:t>
      </w:r>
      <w:r w:rsidR="00267E9B" w:rsidRPr="00AC7C00">
        <w:rPr>
          <w:rFonts w:ascii="Calibri" w:eastAsia="MS Mincho" w:hAnsi="Calibri" w:cs="Calibri"/>
          <w:kern w:val="0"/>
          <w14:ligatures w14:val="none"/>
        </w:rPr>
        <w:t xml:space="preserve"> commencement, supported by AER’s 2026–27 DMO determination. Targeted national engagement and potential extension would follow.</w:t>
      </w:r>
    </w:p>
    <w:p w14:paraId="557991A5" w14:textId="6BBFF3CC" w:rsidR="001F0667" w:rsidRPr="00AC7C00" w:rsidRDefault="0038259F" w:rsidP="00AC7C00">
      <w:pPr>
        <w:numPr>
          <w:ilvl w:val="0"/>
          <w:numId w:val="5"/>
        </w:numPr>
        <w:spacing w:before="120" w:after="120"/>
        <w:ind w:left="714" w:hanging="357"/>
        <w:rPr>
          <w:rFonts w:ascii="Calibri" w:eastAsia="MS Mincho" w:hAnsi="Calibri" w:cs="Calibri"/>
          <w:kern w:val="0"/>
          <w14:ligatures w14:val="none"/>
        </w:rPr>
      </w:pPr>
      <w:r w:rsidRPr="00AC7C00">
        <w:rPr>
          <w:rFonts w:ascii="Calibri" w:eastAsia="MS Mincho" w:hAnsi="Calibri" w:cs="Calibri"/>
          <w:kern w:val="0"/>
          <w14:ligatures w14:val="none"/>
        </w:rPr>
        <w:lastRenderedPageBreak/>
        <w:t>Regulated SSO via the DMO framework with DNSP specific windows, a 24 kWh/day reasonable use cap, opt in participation, retailer exemption for small retailers (&lt;1,000 customers), and a formal post implementation review within two years</w:t>
      </w:r>
      <w:r w:rsidR="00706089" w:rsidRPr="00AC7C00">
        <w:rPr>
          <w:rFonts w:ascii="Calibri" w:eastAsia="MS Mincho" w:hAnsi="Calibri" w:cs="Calibri"/>
          <w:kern w:val="0"/>
          <w14:ligatures w14:val="none"/>
        </w:rPr>
        <w:t>.</w:t>
      </w:r>
    </w:p>
    <w:p w14:paraId="182C1A82" w14:textId="00535F8C" w:rsidR="00B141F9" w:rsidRPr="00AC7C00" w:rsidRDefault="00B141F9" w:rsidP="00AC7C00">
      <w:pPr>
        <w:numPr>
          <w:ilvl w:val="0"/>
          <w:numId w:val="5"/>
        </w:numPr>
        <w:spacing w:before="120" w:after="120"/>
        <w:ind w:left="714" w:hanging="357"/>
        <w:rPr>
          <w:rFonts w:ascii="Calibri" w:eastAsia="MS Mincho" w:hAnsi="Calibri" w:cs="Calibri"/>
          <w:kern w:val="0"/>
          <w14:ligatures w14:val="none"/>
        </w:rPr>
      </w:pPr>
      <w:r w:rsidRPr="00AC7C00">
        <w:rPr>
          <w:rFonts w:ascii="Calibri" w:eastAsia="MS Mincho" w:hAnsi="Calibri" w:cs="Calibri"/>
          <w:kern w:val="0"/>
          <w14:ligatures w14:val="none"/>
        </w:rPr>
        <w:t>Retain full National Energy Customer Framework (NECF) consumer protections, alongside enhanced disclosure and suitability messaging to support informed uptake.</w:t>
      </w:r>
    </w:p>
    <w:p w14:paraId="5832E5C8" w14:textId="772A0B1E" w:rsidR="00134616" w:rsidRPr="00B5064E" w:rsidRDefault="00134616" w:rsidP="00190B6B">
      <w:pPr>
        <w:spacing w:before="160" w:line="240" w:lineRule="auto"/>
        <w:rPr>
          <w:rFonts w:ascii="Calibri" w:hAnsi="Calibri" w:cs="Calibri"/>
          <w:b/>
          <w:bCs/>
        </w:rPr>
      </w:pPr>
      <w:r w:rsidRPr="00B5064E">
        <w:rPr>
          <w:rFonts w:ascii="Calibri" w:hAnsi="Calibri" w:cs="Calibri"/>
          <w:b/>
          <w:bCs/>
        </w:rPr>
        <w:t xml:space="preserve">Key </w:t>
      </w:r>
      <w:r w:rsidR="00DE78B0" w:rsidRPr="00B5064E">
        <w:rPr>
          <w:rFonts w:ascii="Calibri" w:hAnsi="Calibri" w:cs="Calibri"/>
          <w:b/>
          <w:bCs/>
        </w:rPr>
        <w:t xml:space="preserve">positive </w:t>
      </w:r>
      <w:r w:rsidRPr="00B5064E">
        <w:rPr>
          <w:rFonts w:ascii="Calibri" w:hAnsi="Calibri" w:cs="Calibri"/>
          <w:b/>
          <w:bCs/>
        </w:rPr>
        <w:t>impacts (high level):</w:t>
      </w:r>
    </w:p>
    <w:p w14:paraId="33A60239" w14:textId="157190F5" w:rsidR="00134616" w:rsidRPr="00B5064E" w:rsidRDefault="00134616" w:rsidP="00AC7C00">
      <w:pPr>
        <w:numPr>
          <w:ilvl w:val="0"/>
          <w:numId w:val="5"/>
        </w:numPr>
        <w:spacing w:before="120" w:after="120"/>
        <w:ind w:left="714" w:hanging="357"/>
        <w:rPr>
          <w:rFonts w:ascii="Calibri" w:hAnsi="Calibri" w:cs="Calibri"/>
        </w:rPr>
      </w:pPr>
      <w:r w:rsidRPr="00B5064E">
        <w:rPr>
          <w:rFonts w:ascii="Calibri" w:hAnsi="Calibri" w:cs="Calibri"/>
          <w:b/>
          <w:bCs/>
        </w:rPr>
        <w:t>Household</w:t>
      </w:r>
      <w:r w:rsidRPr="00B5064E">
        <w:rPr>
          <w:rFonts w:ascii="Calibri" w:hAnsi="Calibri" w:cs="Calibri"/>
        </w:rPr>
        <w:t xml:space="preserve">s: bill savings for </w:t>
      </w:r>
      <w:r w:rsidRPr="00AC7C00">
        <w:rPr>
          <w:rFonts w:ascii="Calibri" w:eastAsia="MS Mincho" w:hAnsi="Calibri" w:cs="Calibri"/>
          <w:kern w:val="0"/>
          <w14:ligatures w14:val="none"/>
        </w:rPr>
        <w:t>customers</w:t>
      </w:r>
      <w:r w:rsidRPr="00B5064E">
        <w:rPr>
          <w:rFonts w:ascii="Calibri" w:hAnsi="Calibri" w:cs="Calibri"/>
        </w:rPr>
        <w:t xml:space="preserve"> who can shift load into the free period; distribution of benefits improves equity for households without </w:t>
      </w:r>
      <w:r w:rsidR="004B2149" w:rsidRPr="00B5064E">
        <w:rPr>
          <w:rFonts w:ascii="Calibri" w:hAnsi="Calibri" w:cs="Calibri"/>
        </w:rPr>
        <w:t>CER.</w:t>
      </w:r>
    </w:p>
    <w:p w14:paraId="1CDCAFE7" w14:textId="77777777" w:rsidR="004C20A9" w:rsidRPr="00B5064E" w:rsidRDefault="00134616" w:rsidP="00AC7C00">
      <w:pPr>
        <w:pStyle w:val="ListParagraph"/>
        <w:numPr>
          <w:ilvl w:val="0"/>
          <w:numId w:val="4"/>
        </w:numPr>
        <w:spacing w:before="120" w:after="120"/>
        <w:ind w:left="714" w:hanging="357"/>
        <w:contextualSpacing w:val="0"/>
        <w:rPr>
          <w:rFonts w:ascii="Calibri" w:hAnsi="Calibri" w:cs="Calibri"/>
        </w:rPr>
      </w:pPr>
      <w:r w:rsidRPr="00B5064E">
        <w:rPr>
          <w:rFonts w:ascii="Calibri" w:hAnsi="Calibri" w:cs="Calibri"/>
          <w:b/>
          <w:bCs/>
        </w:rPr>
        <w:t>Retailers:</w:t>
      </w:r>
      <w:r w:rsidRPr="00B5064E">
        <w:rPr>
          <w:rFonts w:ascii="Calibri" w:hAnsi="Calibri" w:cs="Calibri"/>
        </w:rPr>
        <w:t xml:space="preserve"> new pricing obligation with material wholesale and network exposure during the free period, mitigated through localised timing, reasonable</w:t>
      </w:r>
      <w:r w:rsidRPr="00B5064E">
        <w:rPr>
          <w:rFonts w:ascii="Cambria Math" w:hAnsi="Cambria Math" w:cs="Cambria Math"/>
        </w:rPr>
        <w:t>‑</w:t>
      </w:r>
      <w:r w:rsidRPr="00B5064E">
        <w:rPr>
          <w:rFonts w:ascii="Calibri" w:hAnsi="Calibri" w:cs="Calibri"/>
        </w:rPr>
        <w:t>use caps, and cost</w:t>
      </w:r>
      <w:r w:rsidRPr="00B5064E">
        <w:rPr>
          <w:rFonts w:ascii="Cambria Math" w:hAnsi="Cambria Math" w:cs="Cambria Math"/>
        </w:rPr>
        <w:t>‑</w:t>
      </w:r>
      <w:r w:rsidRPr="00B5064E">
        <w:rPr>
          <w:rFonts w:ascii="Calibri" w:hAnsi="Calibri" w:cs="Calibri"/>
        </w:rPr>
        <w:t>recovery settings in the DMO framework.</w:t>
      </w:r>
    </w:p>
    <w:p w14:paraId="5F4AF481" w14:textId="77777777" w:rsidR="004C20A9" w:rsidRPr="00B5064E" w:rsidRDefault="004C20A9" w:rsidP="00AC7C00">
      <w:pPr>
        <w:pStyle w:val="ListParagraph"/>
        <w:numPr>
          <w:ilvl w:val="0"/>
          <w:numId w:val="4"/>
        </w:numPr>
        <w:spacing w:before="120" w:after="120"/>
        <w:ind w:left="714" w:hanging="357"/>
        <w:contextualSpacing w:val="0"/>
        <w:rPr>
          <w:rFonts w:ascii="Calibri" w:hAnsi="Calibri" w:cs="Calibri"/>
        </w:rPr>
      </w:pPr>
      <w:r w:rsidRPr="00B5064E">
        <w:rPr>
          <w:rFonts w:ascii="Calibri" w:hAnsi="Calibri" w:cs="Calibri"/>
          <w:b/>
          <w:bCs/>
        </w:rPr>
        <w:t>Networks and the system:</w:t>
      </w:r>
      <w:r w:rsidRPr="00B5064E">
        <w:rPr>
          <w:rFonts w:ascii="Calibri" w:hAnsi="Calibri" w:cs="Calibri"/>
        </w:rPr>
        <w:t xml:space="preserve"> improved utilisation of daytime solar, potential reduction in operational challenges linked to very low daytime demand; risks of local congestion managed through flexible timing and monitoring.</w:t>
      </w:r>
    </w:p>
    <w:p w14:paraId="1108D00A" w14:textId="77777777" w:rsidR="00C13181" w:rsidRPr="00B5064E" w:rsidRDefault="004C20A9" w:rsidP="00AC7C00">
      <w:pPr>
        <w:pStyle w:val="ListParagraph"/>
        <w:numPr>
          <w:ilvl w:val="0"/>
          <w:numId w:val="4"/>
        </w:numPr>
        <w:spacing w:before="120" w:after="120"/>
        <w:ind w:left="714" w:hanging="357"/>
        <w:contextualSpacing w:val="0"/>
        <w:rPr>
          <w:rFonts w:ascii="Calibri" w:hAnsi="Calibri" w:cs="Calibri"/>
        </w:rPr>
      </w:pPr>
      <w:r w:rsidRPr="00B5064E">
        <w:rPr>
          <w:rFonts w:ascii="Calibri" w:hAnsi="Calibri" w:cs="Calibri"/>
          <w:b/>
          <w:bCs/>
        </w:rPr>
        <w:t>Government and regulators:</w:t>
      </w:r>
      <w:r w:rsidRPr="00B5064E">
        <w:rPr>
          <w:rFonts w:ascii="Calibri" w:hAnsi="Calibri" w:cs="Calibri"/>
        </w:rPr>
        <w:t xml:space="preserve"> AER rule</w:t>
      </w:r>
      <w:r w:rsidRPr="00B5064E">
        <w:rPr>
          <w:rFonts w:ascii="Cambria Math" w:hAnsi="Cambria Math" w:cs="Cambria Math"/>
        </w:rPr>
        <w:t>‑</w:t>
      </w:r>
      <w:r w:rsidRPr="00B5064E">
        <w:rPr>
          <w:rFonts w:ascii="Calibri" w:hAnsi="Calibri" w:cs="Calibri"/>
        </w:rPr>
        <w:t xml:space="preserve">setting, </w:t>
      </w:r>
      <w:r w:rsidR="003B4C34" w:rsidRPr="00B5064E">
        <w:rPr>
          <w:rFonts w:ascii="Calibri" w:hAnsi="Calibri" w:cs="Calibri"/>
        </w:rPr>
        <w:t xml:space="preserve">ACCC </w:t>
      </w:r>
      <w:r w:rsidRPr="00B5064E">
        <w:rPr>
          <w:rFonts w:ascii="Calibri" w:hAnsi="Calibri" w:cs="Calibri"/>
        </w:rPr>
        <w:t>monitoring and compliance effort; one</w:t>
      </w:r>
      <w:r w:rsidRPr="00B5064E">
        <w:rPr>
          <w:rFonts w:ascii="Cambria Math" w:hAnsi="Cambria Math" w:cs="Cambria Math"/>
        </w:rPr>
        <w:t>‑</w:t>
      </w:r>
      <w:r w:rsidRPr="00B5064E">
        <w:rPr>
          <w:rFonts w:ascii="Calibri" w:hAnsi="Calibri" w:cs="Calibri"/>
        </w:rPr>
        <w:t>off implementation and ongoing evaluation costs.</w:t>
      </w:r>
    </w:p>
    <w:p w14:paraId="57D7C3A8" w14:textId="22244D59" w:rsidR="00DE78B0" w:rsidRPr="00B5064E" w:rsidRDefault="00DE78B0" w:rsidP="00B65D53">
      <w:pPr>
        <w:spacing w:before="120" w:after="120" w:line="240" w:lineRule="auto"/>
        <w:rPr>
          <w:rFonts w:ascii="Calibri" w:hAnsi="Calibri" w:cs="Calibri"/>
          <w:b/>
          <w:bCs/>
        </w:rPr>
      </w:pPr>
      <w:r w:rsidRPr="00B5064E">
        <w:rPr>
          <w:rFonts w:ascii="Calibri" w:hAnsi="Calibri" w:cs="Calibri"/>
          <w:b/>
          <w:bCs/>
        </w:rPr>
        <w:t xml:space="preserve">Key negative impacts (high level): </w:t>
      </w:r>
    </w:p>
    <w:p w14:paraId="2755C521" w14:textId="50C137D0" w:rsidR="00DE78B0" w:rsidRPr="00B5064E" w:rsidRDefault="00DE78B0" w:rsidP="00AC7C00">
      <w:pPr>
        <w:pStyle w:val="ListParagraph"/>
        <w:numPr>
          <w:ilvl w:val="0"/>
          <w:numId w:val="4"/>
        </w:numPr>
        <w:spacing w:before="120" w:after="120"/>
        <w:ind w:left="714" w:hanging="357"/>
        <w:contextualSpacing w:val="0"/>
        <w:rPr>
          <w:rFonts w:ascii="Calibri" w:hAnsi="Calibri" w:cs="Calibri"/>
        </w:rPr>
      </w:pPr>
      <w:r w:rsidRPr="00B5064E">
        <w:rPr>
          <w:rFonts w:ascii="Calibri" w:hAnsi="Calibri" w:cs="Calibri"/>
          <w:b/>
          <w:bCs/>
        </w:rPr>
        <w:t>Households:</w:t>
      </w:r>
      <w:r w:rsidRPr="00B5064E">
        <w:rPr>
          <w:rFonts w:ascii="Calibri" w:hAnsi="Calibri" w:cs="Calibri"/>
        </w:rPr>
        <w:t xml:space="preserve"> </w:t>
      </w:r>
      <w:r w:rsidR="009C508D" w:rsidRPr="00B5064E">
        <w:rPr>
          <w:rFonts w:ascii="Calibri" w:hAnsi="Calibri" w:cs="Calibri"/>
        </w:rPr>
        <w:t>higher</w:t>
      </w:r>
      <w:r w:rsidRPr="00B5064E">
        <w:rPr>
          <w:rFonts w:ascii="Calibri" w:hAnsi="Calibri" w:cs="Calibri"/>
        </w:rPr>
        <w:t xml:space="preserve"> bills if </w:t>
      </w:r>
      <w:r w:rsidR="009C508D" w:rsidRPr="00B5064E">
        <w:rPr>
          <w:rFonts w:ascii="Calibri" w:hAnsi="Calibri" w:cs="Calibri"/>
        </w:rPr>
        <w:t>customers</w:t>
      </w:r>
      <w:r w:rsidRPr="00B5064E">
        <w:rPr>
          <w:rFonts w:ascii="Calibri" w:hAnsi="Calibri" w:cs="Calibri"/>
        </w:rPr>
        <w:t xml:space="preserve"> are unable to shift load and residual costs are recovered outside the free window. There is also a risk of confusion or bill shock if pricing structures are not clearly understood, particularly for renters and low-income </w:t>
      </w:r>
      <w:r w:rsidR="009C508D" w:rsidRPr="00B5064E">
        <w:rPr>
          <w:rFonts w:ascii="Calibri" w:hAnsi="Calibri" w:cs="Calibri"/>
        </w:rPr>
        <w:t>households</w:t>
      </w:r>
      <w:r w:rsidRPr="00B5064E">
        <w:rPr>
          <w:rFonts w:ascii="Calibri" w:hAnsi="Calibri" w:cs="Calibri"/>
        </w:rPr>
        <w:t>.</w:t>
      </w:r>
    </w:p>
    <w:p w14:paraId="23601847" w14:textId="0BD98587" w:rsidR="00DE78B0" w:rsidRPr="00B5064E" w:rsidRDefault="00DE78B0" w:rsidP="00AC7C00">
      <w:pPr>
        <w:pStyle w:val="ListParagraph"/>
        <w:numPr>
          <w:ilvl w:val="0"/>
          <w:numId w:val="4"/>
        </w:numPr>
        <w:spacing w:before="120" w:after="120"/>
        <w:ind w:left="714" w:hanging="357"/>
        <w:contextualSpacing w:val="0"/>
        <w:rPr>
          <w:rFonts w:ascii="Calibri" w:hAnsi="Calibri" w:cs="Calibri"/>
        </w:rPr>
      </w:pPr>
      <w:r w:rsidRPr="00B5064E">
        <w:rPr>
          <w:rFonts w:ascii="Calibri" w:hAnsi="Calibri" w:cs="Calibri"/>
          <w:b/>
          <w:bCs/>
        </w:rPr>
        <w:t>Retailers:</w:t>
      </w:r>
      <w:r w:rsidRPr="00B5064E">
        <w:rPr>
          <w:rFonts w:ascii="Calibri" w:hAnsi="Calibri" w:cs="Calibri"/>
        </w:rPr>
        <w:t xml:space="preserve"> </w:t>
      </w:r>
      <w:r w:rsidR="009C508D" w:rsidRPr="00B5064E">
        <w:rPr>
          <w:rFonts w:ascii="Calibri" w:hAnsi="Calibri" w:cs="Calibri"/>
        </w:rPr>
        <w:t>potential material</w:t>
      </w:r>
      <w:r w:rsidRPr="00B5064E">
        <w:rPr>
          <w:rFonts w:ascii="Calibri" w:hAnsi="Calibri" w:cs="Calibri"/>
        </w:rPr>
        <w:t xml:space="preserve"> wholesale and network cost exposure during the free period, alongside implementation, billing system and compliance costs. Smaller retailers may be disproportionately affected if uptake is uneven or cost-recovery settings are not well calibrated.</w:t>
      </w:r>
    </w:p>
    <w:p w14:paraId="38902B5E" w14:textId="3210F471" w:rsidR="00DE78B0" w:rsidRPr="00B5064E" w:rsidRDefault="00DE78B0" w:rsidP="00AC7C00">
      <w:pPr>
        <w:pStyle w:val="ListParagraph"/>
        <w:numPr>
          <w:ilvl w:val="0"/>
          <w:numId w:val="4"/>
        </w:numPr>
        <w:spacing w:before="120" w:after="120"/>
        <w:ind w:left="714" w:hanging="357"/>
        <w:contextualSpacing w:val="0"/>
        <w:rPr>
          <w:rFonts w:ascii="Calibri" w:hAnsi="Calibri" w:cs="Calibri"/>
        </w:rPr>
      </w:pPr>
      <w:r w:rsidRPr="00B5064E">
        <w:rPr>
          <w:rFonts w:ascii="Calibri" w:hAnsi="Calibri" w:cs="Calibri"/>
          <w:b/>
          <w:bCs/>
        </w:rPr>
        <w:t>Networks and the system</w:t>
      </w:r>
      <w:r w:rsidRPr="00B5064E">
        <w:rPr>
          <w:rFonts w:ascii="Calibri" w:hAnsi="Calibri" w:cs="Calibri"/>
        </w:rPr>
        <w:t xml:space="preserve">: </w:t>
      </w:r>
      <w:r w:rsidR="009C508D" w:rsidRPr="00B5064E">
        <w:rPr>
          <w:rFonts w:ascii="Calibri" w:hAnsi="Calibri" w:cs="Calibri"/>
        </w:rPr>
        <w:t>h</w:t>
      </w:r>
      <w:r w:rsidRPr="00B5064E">
        <w:rPr>
          <w:rFonts w:ascii="Calibri" w:hAnsi="Calibri" w:cs="Calibri"/>
        </w:rPr>
        <w:t>igh or synchronised uptake could create localised midday demand spikes, reduce load diversity, and undermine existing controlled load arrangements used for demand management. Without flexible timing and monitoring, these effects could introduce operational and congestion risks.</w:t>
      </w:r>
    </w:p>
    <w:p w14:paraId="60B500D5" w14:textId="5F76F77B" w:rsidR="00DE78B0" w:rsidRPr="00B5064E" w:rsidRDefault="00DE78B0" w:rsidP="00AC7C00">
      <w:pPr>
        <w:pStyle w:val="ListParagraph"/>
        <w:numPr>
          <w:ilvl w:val="0"/>
          <w:numId w:val="4"/>
        </w:numPr>
        <w:spacing w:before="120" w:after="120"/>
        <w:ind w:left="714" w:hanging="357"/>
        <w:contextualSpacing w:val="0"/>
        <w:rPr>
          <w:rFonts w:ascii="Calibri" w:hAnsi="Calibri" w:cs="Calibri"/>
        </w:rPr>
      </w:pPr>
      <w:r w:rsidRPr="00B5064E">
        <w:rPr>
          <w:rFonts w:ascii="Calibri" w:hAnsi="Calibri" w:cs="Calibri"/>
          <w:b/>
          <w:bCs/>
        </w:rPr>
        <w:t>Government and regulators</w:t>
      </w:r>
      <w:r w:rsidRPr="00B5064E">
        <w:rPr>
          <w:rFonts w:ascii="Calibri" w:hAnsi="Calibri" w:cs="Calibri"/>
        </w:rPr>
        <w:t xml:space="preserve">: Implementation will require increased rule-setting, compliance oversight and monitoring effort from the AER and ACCC. There </w:t>
      </w:r>
      <w:r w:rsidR="00F2694D" w:rsidRPr="00B5064E">
        <w:rPr>
          <w:rFonts w:ascii="Calibri" w:hAnsi="Calibri" w:cs="Calibri"/>
        </w:rPr>
        <w:t>are</w:t>
      </w:r>
      <w:r w:rsidRPr="00B5064E">
        <w:rPr>
          <w:rFonts w:ascii="Calibri" w:hAnsi="Calibri" w:cs="Calibri"/>
        </w:rPr>
        <w:t xml:space="preserve"> also policy and political risk if unintended distributional impacts emerge or if reform timelines intersect with other major market changes.</w:t>
      </w:r>
    </w:p>
    <w:p w14:paraId="19A6ED5D" w14:textId="4FB199B9" w:rsidR="001F0667" w:rsidRPr="00B5064E" w:rsidRDefault="00C13181" w:rsidP="000047E3">
      <w:pPr>
        <w:rPr>
          <w:rFonts w:ascii="Calibri" w:hAnsi="Calibri" w:cs="Calibri"/>
          <w:color w:val="000000" w:themeColor="text1"/>
          <w:szCs w:val="18"/>
          <w:lang w:val="en-GB"/>
        </w:rPr>
      </w:pPr>
      <w:r w:rsidRPr="3AE2F883">
        <w:rPr>
          <w:rFonts w:ascii="Calibri" w:hAnsi="Calibri" w:cs="Calibri"/>
          <w:color w:val="000000" w:themeColor="text1"/>
          <w:lang w:val="en-GB"/>
        </w:rPr>
        <w:t>Recent volatility in wholesale energy markets has placed upward pressure on electricity prices</w:t>
      </w:r>
      <w:r w:rsidR="000047E3" w:rsidRPr="3AE2F883">
        <w:rPr>
          <w:rStyle w:val="FootnoteReference"/>
          <w:rFonts w:ascii="Calibri" w:hAnsi="Calibri" w:cs="Calibri"/>
          <w:color w:val="000000" w:themeColor="text1"/>
          <w:lang w:val="en-GB"/>
        </w:rPr>
        <w:footnoteReference w:id="5"/>
      </w:r>
      <w:r w:rsidRPr="3AE2F883">
        <w:rPr>
          <w:rFonts w:ascii="Calibri" w:hAnsi="Calibri" w:cs="Calibri"/>
          <w:color w:val="000000" w:themeColor="text1"/>
          <w:lang w:val="en-GB"/>
        </w:rPr>
        <w:t xml:space="preserve">. </w:t>
      </w:r>
      <w:r w:rsidR="00E872D8" w:rsidRPr="3AE2F883">
        <w:rPr>
          <w:rFonts w:ascii="Calibri" w:hAnsi="Calibri" w:cs="Calibri"/>
          <w:color w:val="000000" w:themeColor="text1"/>
          <w:lang w:val="en-GB"/>
        </w:rPr>
        <w:t xml:space="preserve">The Government is seeking to moderate </w:t>
      </w:r>
      <w:r w:rsidR="007907ED" w:rsidRPr="3AE2F883">
        <w:rPr>
          <w:rFonts w:ascii="Calibri" w:hAnsi="Calibri" w:cs="Calibri"/>
          <w:color w:val="000000" w:themeColor="text1"/>
          <w:lang w:val="en-GB"/>
        </w:rPr>
        <w:t xml:space="preserve">the impacts of this volatility </w:t>
      </w:r>
      <w:r w:rsidR="00E872D8" w:rsidRPr="3AE2F883">
        <w:rPr>
          <w:rFonts w:ascii="Calibri" w:hAnsi="Calibri" w:cs="Calibri"/>
          <w:color w:val="000000" w:themeColor="text1"/>
          <w:lang w:val="en-GB"/>
        </w:rPr>
        <w:t>by supporting policy measures that improve system efficiency and enable consumers to access lower-cost energy where it is available. The SSO has been developed as a targeted response to enable households to benefit from periods of high solar generation and low wholesale prices, while supporting more efficient utilisation of existing generation and network infrastructure.</w:t>
      </w:r>
    </w:p>
    <w:p w14:paraId="7FAD41B3" w14:textId="77777777" w:rsidR="001109B0" w:rsidRPr="00B5064E" w:rsidRDefault="00B875AC" w:rsidP="009D4568">
      <w:pPr>
        <w:spacing w:line="240" w:lineRule="auto"/>
        <w:rPr>
          <w:rFonts w:ascii="Calibri" w:hAnsi="Calibri" w:cs="Calibri"/>
          <w:b/>
          <w:bCs/>
        </w:rPr>
      </w:pPr>
      <w:r w:rsidRPr="00B5064E">
        <w:rPr>
          <w:rFonts w:ascii="Calibri" w:hAnsi="Calibri" w:cs="Calibri"/>
          <w:b/>
          <w:bCs/>
        </w:rPr>
        <w:t>The SSO is intended to:</w:t>
      </w:r>
    </w:p>
    <w:p w14:paraId="7F4E683C" w14:textId="46993C5B" w:rsidR="00B875AC" w:rsidRPr="00B5064E" w:rsidRDefault="00B875AC" w:rsidP="003F33FD">
      <w:pPr>
        <w:pStyle w:val="ListParagraph"/>
        <w:numPr>
          <w:ilvl w:val="0"/>
          <w:numId w:val="34"/>
        </w:numPr>
        <w:spacing w:before="120" w:after="120"/>
        <w:ind w:left="714" w:hanging="357"/>
        <w:contextualSpacing w:val="0"/>
        <w:rPr>
          <w:rFonts w:ascii="Calibri" w:hAnsi="Calibri" w:cs="Calibri"/>
        </w:rPr>
      </w:pPr>
      <w:r w:rsidRPr="00B5064E">
        <w:rPr>
          <w:rFonts w:ascii="Calibri" w:hAnsi="Calibri" w:cs="Calibri"/>
        </w:rPr>
        <w:t xml:space="preserve">place downward pressure on consumer electricity bills by enabling households to shift consumption to lower-cost </w:t>
      </w:r>
      <w:r w:rsidR="00853B3D" w:rsidRPr="00B5064E">
        <w:rPr>
          <w:rFonts w:ascii="Calibri" w:hAnsi="Calibri" w:cs="Calibri"/>
        </w:rPr>
        <w:t>periods.</w:t>
      </w:r>
    </w:p>
    <w:p w14:paraId="7E01B0A4" w14:textId="77777777" w:rsidR="00B875AC" w:rsidRPr="00B5064E" w:rsidRDefault="00B875AC" w:rsidP="003F33FD">
      <w:pPr>
        <w:pStyle w:val="ListParagraph"/>
        <w:numPr>
          <w:ilvl w:val="0"/>
          <w:numId w:val="34"/>
        </w:numPr>
        <w:spacing w:before="120" w:after="120"/>
        <w:ind w:left="714" w:hanging="357"/>
        <w:contextualSpacing w:val="0"/>
        <w:rPr>
          <w:rFonts w:ascii="Calibri" w:hAnsi="Calibri" w:cs="Calibri"/>
        </w:rPr>
      </w:pPr>
      <w:r w:rsidRPr="00B5064E">
        <w:rPr>
          <w:rFonts w:ascii="Calibri" w:hAnsi="Calibri" w:cs="Calibri"/>
        </w:rPr>
        <w:lastRenderedPageBreak/>
        <w:t>improve utilisation of excess midday solar generation;</w:t>
      </w:r>
    </w:p>
    <w:p w14:paraId="199EB024" w14:textId="77777777" w:rsidR="00B875AC" w:rsidRPr="00B5064E" w:rsidRDefault="00B875AC" w:rsidP="003F33FD">
      <w:pPr>
        <w:pStyle w:val="ListParagraph"/>
        <w:numPr>
          <w:ilvl w:val="0"/>
          <w:numId w:val="34"/>
        </w:numPr>
        <w:spacing w:before="120" w:after="120"/>
        <w:ind w:left="714" w:hanging="357"/>
        <w:contextualSpacing w:val="0"/>
        <w:rPr>
          <w:rFonts w:ascii="Calibri" w:hAnsi="Calibri" w:cs="Calibri"/>
        </w:rPr>
      </w:pPr>
      <w:r w:rsidRPr="00B5064E">
        <w:rPr>
          <w:rFonts w:ascii="Calibri" w:hAnsi="Calibri" w:cs="Calibri"/>
        </w:rPr>
        <w:t>reduce system peak demand pressures over time; and</w:t>
      </w:r>
    </w:p>
    <w:p w14:paraId="21D32C95" w14:textId="77777777" w:rsidR="009C508D" w:rsidRPr="00B5064E" w:rsidRDefault="00B875AC" w:rsidP="003F33FD">
      <w:pPr>
        <w:pStyle w:val="ListParagraph"/>
        <w:numPr>
          <w:ilvl w:val="0"/>
          <w:numId w:val="34"/>
        </w:numPr>
        <w:spacing w:before="120" w:after="120"/>
        <w:ind w:left="714" w:hanging="357"/>
        <w:contextualSpacing w:val="0"/>
        <w:rPr>
          <w:rFonts w:ascii="Calibri" w:hAnsi="Calibri" w:cs="Calibri"/>
        </w:rPr>
      </w:pPr>
      <w:r w:rsidRPr="00B5064E">
        <w:rPr>
          <w:rFonts w:ascii="Calibri" w:hAnsi="Calibri" w:cs="Calibri"/>
        </w:rPr>
        <w:t>support more efficient market outcomes by aligning consumption with periods of lower supply costs.</w:t>
      </w:r>
    </w:p>
    <w:p w14:paraId="7C0503DD" w14:textId="1F41291E" w:rsidR="0028373B" w:rsidRPr="00B5064E" w:rsidRDefault="0028373B" w:rsidP="00190B6B">
      <w:pPr>
        <w:spacing w:before="160"/>
        <w:rPr>
          <w:rFonts w:ascii="Calibri" w:eastAsia="MS Mincho" w:hAnsi="Calibri" w:cs="Calibri"/>
          <w:kern w:val="0"/>
          <w14:ligatures w14:val="none"/>
        </w:rPr>
      </w:pPr>
      <w:r w:rsidRPr="00B5064E">
        <w:rPr>
          <w:rFonts w:ascii="Calibri" w:hAnsi="Calibri" w:cs="Calibri"/>
          <w:color w:val="000000" w:themeColor="text1"/>
          <w:szCs w:val="18"/>
          <w:lang w:val="en-GB"/>
        </w:rPr>
        <w:t>In assessing the SSO design and implementation options, the Government has sought to ensure that the policy:</w:t>
      </w:r>
    </w:p>
    <w:p w14:paraId="246F2317" w14:textId="77777777" w:rsidR="0028373B" w:rsidRPr="00B5064E" w:rsidRDefault="0028373B" w:rsidP="003F33FD">
      <w:pPr>
        <w:pStyle w:val="ListParagraph"/>
        <w:numPr>
          <w:ilvl w:val="0"/>
          <w:numId w:val="34"/>
        </w:numPr>
        <w:spacing w:before="120" w:after="120"/>
        <w:ind w:left="714" w:hanging="357"/>
        <w:contextualSpacing w:val="0"/>
        <w:rPr>
          <w:rFonts w:ascii="Calibri" w:hAnsi="Calibri" w:cs="Calibri"/>
        </w:rPr>
      </w:pPr>
      <w:r w:rsidRPr="00B5064E">
        <w:rPr>
          <w:rFonts w:ascii="Calibri" w:hAnsi="Calibri" w:cs="Calibri"/>
        </w:rPr>
        <w:t>maintains incentives for ongoing investment in generation, storage and retail innovation;</w:t>
      </w:r>
    </w:p>
    <w:p w14:paraId="56A1FDB9" w14:textId="77777777" w:rsidR="0028373B" w:rsidRPr="00B5064E" w:rsidRDefault="0028373B" w:rsidP="003F33FD">
      <w:pPr>
        <w:pStyle w:val="ListParagraph"/>
        <w:numPr>
          <w:ilvl w:val="0"/>
          <w:numId w:val="34"/>
        </w:numPr>
        <w:spacing w:before="120" w:after="120"/>
        <w:ind w:left="714" w:hanging="357"/>
        <w:contextualSpacing w:val="0"/>
        <w:rPr>
          <w:rFonts w:ascii="Calibri" w:hAnsi="Calibri" w:cs="Calibri"/>
        </w:rPr>
      </w:pPr>
      <w:r w:rsidRPr="00B5064E">
        <w:rPr>
          <w:rFonts w:ascii="Calibri" w:hAnsi="Calibri" w:cs="Calibri"/>
        </w:rPr>
        <w:t>supports reliable, secure and affordable electricity supply;</w:t>
      </w:r>
    </w:p>
    <w:p w14:paraId="1F8F9047" w14:textId="77777777" w:rsidR="0028373B" w:rsidRPr="00B5064E" w:rsidRDefault="0028373B" w:rsidP="003F33FD">
      <w:pPr>
        <w:pStyle w:val="ListParagraph"/>
        <w:numPr>
          <w:ilvl w:val="0"/>
          <w:numId w:val="34"/>
        </w:numPr>
        <w:spacing w:before="120" w:after="120"/>
        <w:ind w:left="714" w:hanging="357"/>
        <w:contextualSpacing w:val="0"/>
        <w:rPr>
          <w:rFonts w:ascii="Calibri" w:hAnsi="Calibri" w:cs="Calibri"/>
        </w:rPr>
      </w:pPr>
      <w:r w:rsidRPr="00B5064E">
        <w:rPr>
          <w:rFonts w:ascii="Calibri" w:hAnsi="Calibri" w:cs="Calibri"/>
        </w:rPr>
        <w:t>remains simple and transparent for consumers;</w:t>
      </w:r>
    </w:p>
    <w:p w14:paraId="71BA6CC2" w14:textId="5528F8C8" w:rsidR="00253FF4" w:rsidRPr="00B5064E" w:rsidRDefault="00253FF4" w:rsidP="003F33FD">
      <w:pPr>
        <w:pStyle w:val="ListParagraph"/>
        <w:numPr>
          <w:ilvl w:val="0"/>
          <w:numId w:val="34"/>
        </w:numPr>
        <w:spacing w:before="120" w:after="120"/>
        <w:ind w:left="714" w:hanging="357"/>
        <w:contextualSpacing w:val="0"/>
        <w:rPr>
          <w:rFonts w:ascii="Calibri" w:hAnsi="Calibri" w:cs="Calibri"/>
        </w:rPr>
      </w:pPr>
      <w:r w:rsidRPr="00B5064E">
        <w:rPr>
          <w:rFonts w:ascii="Calibri" w:hAnsi="Calibri" w:cs="Calibri"/>
        </w:rPr>
        <w:t>minimises unintended consequences across the National Electricity Market;</w:t>
      </w:r>
    </w:p>
    <w:p w14:paraId="619EC71D" w14:textId="77777777" w:rsidR="0028373B" w:rsidRPr="00B5064E" w:rsidRDefault="0028373B" w:rsidP="003F33FD">
      <w:pPr>
        <w:pStyle w:val="ListParagraph"/>
        <w:numPr>
          <w:ilvl w:val="0"/>
          <w:numId w:val="34"/>
        </w:numPr>
        <w:spacing w:before="120" w:after="120"/>
        <w:ind w:left="714" w:hanging="357"/>
        <w:contextualSpacing w:val="0"/>
        <w:rPr>
          <w:rFonts w:ascii="Calibri" w:hAnsi="Calibri" w:cs="Calibri"/>
        </w:rPr>
      </w:pPr>
      <w:r w:rsidRPr="00B5064E">
        <w:rPr>
          <w:rFonts w:ascii="Calibri" w:hAnsi="Calibri" w:cs="Calibri"/>
        </w:rPr>
        <w:t>can be adjusted following implementation based on observed market outcomes; and</w:t>
      </w:r>
    </w:p>
    <w:p w14:paraId="23497CC7" w14:textId="3F037FF9" w:rsidR="0028373B" w:rsidRPr="00B5064E" w:rsidRDefault="0028373B" w:rsidP="003F33FD">
      <w:pPr>
        <w:pStyle w:val="ListParagraph"/>
        <w:numPr>
          <w:ilvl w:val="0"/>
          <w:numId w:val="34"/>
        </w:numPr>
        <w:spacing w:before="120" w:after="120"/>
        <w:ind w:left="714" w:hanging="357"/>
        <w:contextualSpacing w:val="0"/>
        <w:rPr>
          <w:rFonts w:ascii="Calibri" w:hAnsi="Calibri" w:cs="Calibri"/>
        </w:rPr>
      </w:pPr>
      <w:r w:rsidRPr="00B5064E">
        <w:rPr>
          <w:rFonts w:ascii="Calibri" w:hAnsi="Calibri" w:cs="Calibri"/>
        </w:rPr>
        <w:t>minimises implementation costs and complexity for industry.</w:t>
      </w:r>
    </w:p>
    <w:p w14:paraId="6600E305" w14:textId="1EE23BC5" w:rsidR="00253FF4" w:rsidRPr="00B5064E" w:rsidRDefault="00253FF4" w:rsidP="009D4568">
      <w:pPr>
        <w:rPr>
          <w:rFonts w:ascii="Calibri" w:hAnsi="Calibri" w:cs="Calibri"/>
          <w:color w:val="000000" w:themeColor="text1"/>
          <w:szCs w:val="18"/>
          <w:lang w:val="en-GB"/>
        </w:rPr>
      </w:pPr>
      <w:r w:rsidRPr="00B5064E">
        <w:rPr>
          <w:rFonts w:ascii="Calibri" w:hAnsi="Calibri" w:cs="Calibri"/>
          <w:color w:val="000000" w:themeColor="text1"/>
          <w:szCs w:val="18"/>
          <w:lang w:val="en-GB"/>
        </w:rPr>
        <w:t xml:space="preserve">These objectives are reflected in the SSO design principles, which guide the detailed implementation of the program. In particular, the design principles </w:t>
      </w:r>
      <w:r w:rsidR="001109B0" w:rsidRPr="00B5064E">
        <w:rPr>
          <w:rFonts w:ascii="Calibri" w:hAnsi="Calibri" w:cs="Calibri"/>
          <w:color w:val="000000" w:themeColor="text1"/>
          <w:szCs w:val="18"/>
          <w:lang w:val="en-GB"/>
        </w:rPr>
        <w:t>emphasise</w:t>
      </w:r>
      <w:r w:rsidRPr="00B5064E">
        <w:rPr>
          <w:rFonts w:ascii="Calibri" w:hAnsi="Calibri" w:cs="Calibri"/>
          <w:color w:val="000000" w:themeColor="text1"/>
          <w:szCs w:val="18"/>
          <w:lang w:val="en-GB"/>
        </w:rPr>
        <w:t xml:space="preserve"> alignment with system and market conditions to promote efficient outcomes; reasonable-use safeguards to ensure equity and prevent unintended cost shifting; flexibility to account for local network and market conditions; preservation of retail competition and consumer choice; and the ability to refine program settings over time through monitoring and post-implementation review.</w:t>
      </w:r>
    </w:p>
    <w:p w14:paraId="756E456A" w14:textId="42C6B214" w:rsidR="00D961F4" w:rsidRPr="00B5064E" w:rsidRDefault="001253F7">
      <w:pPr>
        <w:rPr>
          <w:rFonts w:ascii="Calibri" w:hAnsi="Calibri" w:cs="Calibri"/>
          <w:color w:val="000000" w:themeColor="text1"/>
          <w:szCs w:val="18"/>
          <w:lang w:val="en-GB"/>
        </w:rPr>
      </w:pPr>
      <w:r w:rsidRPr="00B5064E">
        <w:rPr>
          <w:rFonts w:ascii="Calibri" w:hAnsi="Calibri" w:cs="Calibri"/>
          <w:color w:val="000000" w:themeColor="text1"/>
          <w:szCs w:val="18"/>
          <w:lang w:val="en-GB"/>
        </w:rPr>
        <w:t>The policy options considered through this Impact Analysis were developed through consultation within government and targeted engagement with regulators, market bodies, states and jurisdictions, retailers and networks. The recommended approach reflects the option that best balances consumer affordability, system efficiency, implementation feasibility and market integrity.</w:t>
      </w:r>
    </w:p>
    <w:p w14:paraId="3A31357E" w14:textId="4FB01659" w:rsidR="003459A0" w:rsidRPr="00B5064E" w:rsidRDefault="00F61C91" w:rsidP="00370F7E">
      <w:pPr>
        <w:spacing w:after="0"/>
        <w:rPr>
          <w:rFonts w:ascii="Calibri" w:hAnsi="Calibri" w:cs="Calibri"/>
          <w:color w:val="000000" w:themeColor="text1"/>
          <w:szCs w:val="18"/>
          <w:lang w:val="en-GB"/>
        </w:rPr>
      </w:pPr>
      <w:r w:rsidRPr="00B5064E">
        <w:rPr>
          <w:rFonts w:ascii="Calibri" w:hAnsi="Calibri" w:cs="Calibri"/>
          <w:color w:val="000000" w:themeColor="text1"/>
          <w:szCs w:val="18"/>
          <w:lang w:val="en-GB"/>
        </w:rPr>
        <w:t>While the SSO is designed to deliver near-term bill relief, it also complements broader government initiatives supporting Australia’s transition to a renewable-based electricity system. These include reforms aimed at improving demand flexibility, supporting distributed energy resources, and strengthening market dynamics to place sustained downward pressure on electricity prices as the energy transition progresses.</w:t>
      </w:r>
    </w:p>
    <w:p w14:paraId="12AFF36F" w14:textId="77777777" w:rsidR="007907ED" w:rsidRPr="00B5064E" w:rsidRDefault="007907ED" w:rsidP="00370F7E">
      <w:pPr>
        <w:spacing w:after="0"/>
        <w:rPr>
          <w:rFonts w:ascii="Calibri" w:eastAsiaTheme="majorEastAsia" w:hAnsi="Calibri" w:cs="Calibri"/>
          <w:b/>
          <w:bCs/>
          <w:color w:val="3A3A3A" w:themeColor="background2" w:themeShade="40"/>
          <w:sz w:val="50"/>
          <w:szCs w:val="72"/>
        </w:rPr>
      </w:pPr>
      <w:r w:rsidRPr="00B5064E">
        <w:rPr>
          <w:rFonts w:ascii="Calibri" w:hAnsi="Calibri" w:cs="Calibri"/>
          <w:b/>
          <w:bCs/>
          <w:color w:val="3A3A3A" w:themeColor="background2" w:themeShade="40"/>
          <w:sz w:val="50"/>
          <w:szCs w:val="72"/>
        </w:rPr>
        <w:br w:type="page"/>
      </w:r>
    </w:p>
    <w:p w14:paraId="0034930C" w14:textId="4040D81F" w:rsidR="001F0667" w:rsidRPr="0035712C" w:rsidRDefault="005D5032" w:rsidP="0035712C">
      <w:pPr>
        <w:pStyle w:val="Heading1"/>
        <w:spacing w:before="160" w:after="120"/>
        <w:rPr>
          <w:rFonts w:ascii="Calibri" w:hAnsi="Calibri" w:cs="Calibri"/>
          <w:b/>
          <w:bCs/>
        </w:rPr>
      </w:pPr>
      <w:bookmarkStart w:id="4" w:name="_Toc222842751"/>
      <w:r w:rsidRPr="0035712C">
        <w:rPr>
          <w:rFonts w:ascii="Calibri" w:hAnsi="Calibri" w:cs="Calibri"/>
          <w:b/>
          <w:bCs/>
        </w:rPr>
        <w:lastRenderedPageBreak/>
        <w:t xml:space="preserve">What is the </w:t>
      </w:r>
      <w:r w:rsidR="00E154B9" w:rsidRPr="0035712C">
        <w:rPr>
          <w:rFonts w:ascii="Calibri" w:hAnsi="Calibri" w:cs="Calibri"/>
          <w:b/>
          <w:bCs/>
        </w:rPr>
        <w:t>problem you are trying to solve?</w:t>
      </w:r>
      <w:bookmarkEnd w:id="4"/>
    </w:p>
    <w:p w14:paraId="67CD6D42" w14:textId="41C61227" w:rsidR="005932BD" w:rsidRPr="00B5064E" w:rsidRDefault="005932BD" w:rsidP="000353CE">
      <w:pPr>
        <w:pStyle w:val="Heading2"/>
        <w:spacing w:after="120"/>
        <w:rPr>
          <w:rFonts w:ascii="Calibri" w:hAnsi="Calibri" w:cs="Calibri"/>
          <w:sz w:val="28"/>
          <w:szCs w:val="28"/>
        </w:rPr>
      </w:pPr>
      <w:bookmarkStart w:id="5" w:name="_Toc222842752"/>
      <w:r w:rsidRPr="00B5064E">
        <w:rPr>
          <w:rFonts w:ascii="Calibri" w:hAnsi="Calibri" w:cs="Calibri"/>
          <w:sz w:val="28"/>
          <w:szCs w:val="28"/>
        </w:rPr>
        <w:t>Overview of the Problem</w:t>
      </w:r>
      <w:bookmarkEnd w:id="5"/>
    </w:p>
    <w:p w14:paraId="3F0B95A9" w14:textId="26002AA6" w:rsidR="005932BD" w:rsidRPr="00B5064E" w:rsidRDefault="005932BD" w:rsidP="005932BD">
      <w:pPr>
        <w:rPr>
          <w:rFonts w:ascii="Calibri" w:hAnsi="Calibri" w:cs="Calibri"/>
          <w:color w:val="000000" w:themeColor="text1"/>
          <w:szCs w:val="18"/>
          <w:lang w:val="en-GB"/>
        </w:rPr>
      </w:pPr>
      <w:r w:rsidRPr="00B5064E">
        <w:rPr>
          <w:rFonts w:ascii="Calibri" w:hAnsi="Calibri" w:cs="Calibri"/>
          <w:color w:val="000000" w:themeColor="text1"/>
          <w:szCs w:val="18"/>
          <w:lang w:val="en-GB"/>
        </w:rPr>
        <w:t xml:space="preserve">Australia’s rapid uptake of rooftop solar is materially reshaping electricity demand and price outcomes in the </w:t>
      </w:r>
      <w:r w:rsidR="00B138C4">
        <w:rPr>
          <w:rFonts w:ascii="Calibri" w:hAnsi="Calibri" w:cs="Calibri"/>
          <w:color w:val="000000" w:themeColor="text1"/>
          <w:szCs w:val="18"/>
          <w:lang w:val="en-GB"/>
        </w:rPr>
        <w:t>NEM</w:t>
      </w:r>
      <w:r w:rsidRPr="00B5064E">
        <w:rPr>
          <w:rFonts w:ascii="Calibri" w:hAnsi="Calibri" w:cs="Calibri"/>
          <w:color w:val="000000" w:themeColor="text1"/>
          <w:szCs w:val="18"/>
          <w:lang w:val="en-GB"/>
        </w:rPr>
        <w:t xml:space="preserve">. During periods of high solar generation, wholesale prices are increasingly very low or negative. However, many households particularly renters, apartment dwellers and those without </w:t>
      </w:r>
      <w:r w:rsidR="004B2149" w:rsidRPr="00B5064E">
        <w:rPr>
          <w:rFonts w:ascii="Calibri" w:hAnsi="Calibri" w:cs="Calibri"/>
          <w:color w:val="000000" w:themeColor="text1"/>
          <w:szCs w:val="18"/>
          <w:lang w:val="en-GB"/>
        </w:rPr>
        <w:t>CER —</w:t>
      </w:r>
      <w:r w:rsidRPr="00B5064E">
        <w:rPr>
          <w:rFonts w:ascii="Calibri" w:hAnsi="Calibri" w:cs="Calibri"/>
          <w:color w:val="000000" w:themeColor="text1"/>
          <w:szCs w:val="18"/>
          <w:lang w:val="en-GB"/>
        </w:rPr>
        <w:t xml:space="preserve"> are unable to directly benefit from this renewable energy surplus</w:t>
      </w:r>
    </w:p>
    <w:p w14:paraId="5975F1E3" w14:textId="2D13CB40" w:rsidR="005932BD" w:rsidRPr="00B5064E" w:rsidRDefault="005932BD" w:rsidP="005932BD">
      <w:pPr>
        <w:rPr>
          <w:rFonts w:ascii="Calibri" w:hAnsi="Calibri" w:cs="Calibri"/>
          <w:color w:val="000000" w:themeColor="text1"/>
          <w:szCs w:val="18"/>
          <w:lang w:val="en-GB"/>
        </w:rPr>
      </w:pPr>
      <w:r w:rsidRPr="00B5064E">
        <w:rPr>
          <w:rFonts w:ascii="Calibri" w:hAnsi="Calibri" w:cs="Calibri"/>
          <w:color w:val="000000" w:themeColor="text1"/>
          <w:szCs w:val="18"/>
          <w:lang w:val="en-GB"/>
        </w:rPr>
        <w:t>At the same time, electricity demand remains concentrated in the evening, when solar generation declines and system costs are higher and more emissions intensive. These structural dynamics are producing:</w:t>
      </w:r>
    </w:p>
    <w:p w14:paraId="1CCD6B15" w14:textId="783D3AC1" w:rsidR="005932BD" w:rsidRPr="00B5064E" w:rsidRDefault="005932BD" w:rsidP="000353CE">
      <w:pPr>
        <w:pStyle w:val="ListParagraph"/>
        <w:numPr>
          <w:ilvl w:val="0"/>
          <w:numId w:val="34"/>
        </w:numPr>
        <w:spacing w:before="120" w:after="120"/>
        <w:ind w:left="714" w:hanging="357"/>
        <w:contextualSpacing w:val="0"/>
        <w:rPr>
          <w:rFonts w:ascii="Calibri" w:hAnsi="Calibri" w:cs="Calibri"/>
        </w:rPr>
      </w:pPr>
      <w:r w:rsidRPr="00B5064E">
        <w:rPr>
          <w:rFonts w:ascii="Calibri" w:hAnsi="Calibri" w:cs="Calibri"/>
        </w:rPr>
        <w:t>Increasing midday minimum-demand events.</w:t>
      </w:r>
    </w:p>
    <w:p w14:paraId="0F91C166" w14:textId="12409232" w:rsidR="005932BD" w:rsidRPr="00B5064E" w:rsidRDefault="005932BD" w:rsidP="000353CE">
      <w:pPr>
        <w:pStyle w:val="ListParagraph"/>
        <w:numPr>
          <w:ilvl w:val="0"/>
          <w:numId w:val="34"/>
        </w:numPr>
        <w:spacing w:before="120" w:after="120"/>
        <w:ind w:left="714" w:hanging="357"/>
        <w:contextualSpacing w:val="0"/>
        <w:rPr>
          <w:rFonts w:ascii="Calibri" w:hAnsi="Calibri" w:cs="Calibri"/>
        </w:rPr>
      </w:pPr>
      <w:r w:rsidRPr="00B5064E">
        <w:rPr>
          <w:rFonts w:ascii="Calibri" w:hAnsi="Calibri" w:cs="Calibri"/>
        </w:rPr>
        <w:t>Steep evening ramps requiring peaking generation.</w:t>
      </w:r>
    </w:p>
    <w:p w14:paraId="65B52571" w14:textId="77777777" w:rsidR="005932BD" w:rsidRPr="00B5064E" w:rsidRDefault="005932BD" w:rsidP="000353CE">
      <w:pPr>
        <w:pStyle w:val="ListParagraph"/>
        <w:numPr>
          <w:ilvl w:val="0"/>
          <w:numId w:val="34"/>
        </w:numPr>
        <w:spacing w:before="120" w:after="120"/>
        <w:ind w:left="714" w:hanging="357"/>
        <w:contextualSpacing w:val="0"/>
        <w:rPr>
          <w:rFonts w:ascii="Calibri" w:hAnsi="Calibri" w:cs="Calibri"/>
        </w:rPr>
      </w:pPr>
      <w:r w:rsidRPr="00B5064E">
        <w:rPr>
          <w:rFonts w:ascii="Calibri" w:hAnsi="Calibri" w:cs="Calibri"/>
        </w:rPr>
        <w:t>Reduced network utilisation during daylight hours; and</w:t>
      </w:r>
    </w:p>
    <w:p w14:paraId="716A5383" w14:textId="0433F7AE" w:rsidR="005932BD" w:rsidRPr="00B5064E" w:rsidRDefault="005932BD" w:rsidP="000353CE">
      <w:pPr>
        <w:pStyle w:val="ListParagraph"/>
        <w:numPr>
          <w:ilvl w:val="0"/>
          <w:numId w:val="34"/>
        </w:numPr>
        <w:spacing w:before="120" w:after="120"/>
        <w:ind w:left="714" w:hanging="357"/>
        <w:contextualSpacing w:val="0"/>
        <w:rPr>
          <w:rFonts w:ascii="Calibri" w:hAnsi="Calibri" w:cs="Calibri"/>
        </w:rPr>
      </w:pPr>
      <w:r w:rsidRPr="00B5064E">
        <w:rPr>
          <w:rFonts w:ascii="Calibri" w:hAnsi="Calibri" w:cs="Calibri"/>
        </w:rPr>
        <w:t>Persistent affordability pressures for households unable to shift load or invest in CER</w:t>
      </w:r>
    </w:p>
    <w:p w14:paraId="0169DDBE" w14:textId="2F995DAB" w:rsidR="005932BD" w:rsidRPr="00B5064E" w:rsidRDefault="005932BD" w:rsidP="00771A35">
      <w:pPr>
        <w:spacing w:before="160"/>
        <w:rPr>
          <w:rFonts w:ascii="Calibri" w:hAnsi="Calibri" w:cs="Calibri"/>
        </w:rPr>
      </w:pPr>
      <w:r w:rsidRPr="00B5064E">
        <w:rPr>
          <w:rFonts w:ascii="Calibri" w:hAnsi="Calibri" w:cs="Calibri"/>
        </w:rPr>
        <w:t>The problem is therefore three-fold:</w:t>
      </w:r>
    </w:p>
    <w:p w14:paraId="615590EE" w14:textId="16962522" w:rsidR="00496F89" w:rsidRPr="00B5064E" w:rsidRDefault="005932BD" w:rsidP="00CF405C">
      <w:pPr>
        <w:pStyle w:val="ListParagraph"/>
        <w:numPr>
          <w:ilvl w:val="0"/>
          <w:numId w:val="10"/>
        </w:numPr>
        <w:spacing w:before="120" w:after="120"/>
        <w:ind w:left="714" w:hanging="357"/>
        <w:contextualSpacing w:val="0"/>
        <w:rPr>
          <w:rFonts w:ascii="Calibri" w:hAnsi="Calibri" w:cs="Calibri"/>
        </w:rPr>
      </w:pPr>
      <w:r w:rsidRPr="00B5064E">
        <w:rPr>
          <w:rFonts w:ascii="Calibri" w:hAnsi="Calibri" w:cs="Calibri"/>
          <w:b/>
          <w:bCs/>
        </w:rPr>
        <w:t>Access inequity</w:t>
      </w:r>
      <w:r w:rsidRPr="00B5064E">
        <w:rPr>
          <w:rFonts w:ascii="Calibri" w:hAnsi="Calibri" w:cs="Calibri"/>
        </w:rPr>
        <w:t xml:space="preserve">: </w:t>
      </w:r>
      <w:r w:rsidR="00DE78B0" w:rsidRPr="00B5064E">
        <w:rPr>
          <w:rFonts w:ascii="Calibri" w:hAnsi="Calibri" w:cs="Calibri"/>
        </w:rPr>
        <w:t>any households cannot access the financial benefits of abundant daytime solar generation. Households without CER remain reliant on grid-supplied electricity during peak periods and cannot arbitrage between low and high price intervals</w:t>
      </w:r>
    </w:p>
    <w:p w14:paraId="2108FEE6" w14:textId="0A8440BA" w:rsidR="00496F89" w:rsidRPr="00B5064E" w:rsidRDefault="005932BD" w:rsidP="00CF405C">
      <w:pPr>
        <w:pStyle w:val="ListParagraph"/>
        <w:numPr>
          <w:ilvl w:val="0"/>
          <w:numId w:val="10"/>
        </w:numPr>
        <w:spacing w:before="120" w:after="120"/>
        <w:ind w:left="714" w:hanging="357"/>
        <w:contextualSpacing w:val="0"/>
        <w:rPr>
          <w:rFonts w:ascii="Calibri" w:hAnsi="Calibri" w:cs="Calibri"/>
        </w:rPr>
      </w:pPr>
      <w:r w:rsidRPr="00B5064E">
        <w:rPr>
          <w:rFonts w:ascii="Calibri" w:hAnsi="Calibri" w:cs="Calibri"/>
          <w:b/>
          <w:bCs/>
        </w:rPr>
        <w:t>System inefficiency:</w:t>
      </w:r>
      <w:r w:rsidRPr="00B5064E">
        <w:rPr>
          <w:rFonts w:ascii="Calibri" w:hAnsi="Calibri" w:cs="Calibri"/>
        </w:rPr>
        <w:t xml:space="preserve"> </w:t>
      </w:r>
      <w:r w:rsidR="00DE78B0" w:rsidRPr="00B5064E">
        <w:rPr>
          <w:rFonts w:ascii="Calibri" w:hAnsi="Calibri" w:cs="Calibri"/>
        </w:rPr>
        <w:t>Retail tariffs do not consistently incentivise demand to align with low-cost solar output. Existing time-of-use and retailer-led “solar sponge” products are uneven across jurisdictions and retailers, vary in timing and eligibility, and are often complex to compare. As a result, price signals are fragmented and do not drive meaningful, coordinated demand shifting</w:t>
      </w:r>
      <w:r w:rsidRPr="00B5064E">
        <w:rPr>
          <w:rFonts w:ascii="Calibri" w:hAnsi="Calibri" w:cs="Calibri"/>
        </w:rPr>
        <w:t>.</w:t>
      </w:r>
    </w:p>
    <w:p w14:paraId="7BD4CE96" w14:textId="7572C26C" w:rsidR="00DE78B0" w:rsidRPr="00B5064E" w:rsidRDefault="005932BD" w:rsidP="00CF405C">
      <w:pPr>
        <w:pStyle w:val="ListParagraph"/>
        <w:numPr>
          <w:ilvl w:val="0"/>
          <w:numId w:val="10"/>
        </w:numPr>
        <w:spacing w:before="120" w:after="120"/>
        <w:ind w:left="714" w:hanging="357"/>
        <w:contextualSpacing w:val="0"/>
        <w:rPr>
          <w:rFonts w:ascii="Calibri" w:hAnsi="Calibri" w:cs="Calibri"/>
        </w:rPr>
      </w:pPr>
      <w:r w:rsidRPr="00B5064E">
        <w:rPr>
          <w:rFonts w:ascii="Calibri" w:hAnsi="Calibri" w:cs="Calibri"/>
          <w:b/>
          <w:bCs/>
        </w:rPr>
        <w:t>Cost-of-living pressures</w:t>
      </w:r>
      <w:r w:rsidRPr="00B5064E">
        <w:rPr>
          <w:rFonts w:ascii="Calibri" w:hAnsi="Calibri" w:cs="Calibri"/>
        </w:rPr>
        <w:t xml:space="preserve">: </w:t>
      </w:r>
      <w:r w:rsidR="00DE78B0" w:rsidRPr="00B5064E">
        <w:rPr>
          <w:rFonts w:ascii="Calibri" w:hAnsi="Calibri" w:cs="Calibri"/>
        </w:rPr>
        <w:t xml:space="preserve">Households continue to face sustained energy affordability challenges. While short-term relief measures have provided support, they do not enable consumers to directly benefit from low wholesale price periods. Without reform, </w:t>
      </w:r>
      <w:r w:rsidR="007907ED" w:rsidRPr="00B5064E">
        <w:rPr>
          <w:rFonts w:ascii="Calibri" w:hAnsi="Calibri" w:cs="Calibri"/>
        </w:rPr>
        <w:t xml:space="preserve">there is a missed opportunity for households to benefit from Australia’s energy transition. </w:t>
      </w:r>
    </w:p>
    <w:p w14:paraId="550751A3" w14:textId="10A2C1EC" w:rsidR="00DE78B0" w:rsidRPr="00B5064E" w:rsidRDefault="00DE78B0" w:rsidP="00337D38">
      <w:pPr>
        <w:pStyle w:val="Heading3"/>
        <w:spacing w:after="120"/>
        <w:rPr>
          <w:rFonts w:ascii="Calibri" w:hAnsi="Calibri" w:cs="Calibri"/>
        </w:rPr>
      </w:pPr>
      <w:bookmarkStart w:id="6" w:name="_Toc222842753"/>
      <w:r w:rsidRPr="00B5064E">
        <w:rPr>
          <w:rFonts w:ascii="Calibri" w:hAnsi="Calibri" w:cs="Calibri"/>
        </w:rPr>
        <w:t>Equity and distributional impacts</w:t>
      </w:r>
      <w:bookmarkEnd w:id="6"/>
    </w:p>
    <w:p w14:paraId="5959A050" w14:textId="77777777" w:rsidR="00DE78B0" w:rsidRPr="00B5064E" w:rsidRDefault="00DE78B0" w:rsidP="00DE78B0">
      <w:pPr>
        <w:rPr>
          <w:rFonts w:ascii="Calibri" w:hAnsi="Calibri" w:cs="Calibri"/>
          <w:color w:val="000000" w:themeColor="text1"/>
          <w:szCs w:val="18"/>
          <w:lang w:val="en-GB"/>
        </w:rPr>
      </w:pPr>
      <w:r w:rsidRPr="00B5064E">
        <w:rPr>
          <w:rFonts w:ascii="Calibri" w:hAnsi="Calibri" w:cs="Calibri"/>
          <w:color w:val="000000" w:themeColor="text1"/>
          <w:szCs w:val="18"/>
        </w:rPr>
        <w:t xml:space="preserve">Without targeted policy intervention, the financial and system benefits associated with abundant </w:t>
      </w:r>
      <w:r w:rsidRPr="00B5064E">
        <w:rPr>
          <w:rFonts w:ascii="Calibri" w:hAnsi="Calibri" w:cs="Calibri"/>
          <w:color w:val="000000" w:themeColor="text1"/>
          <w:szCs w:val="18"/>
          <w:lang w:val="en-GB"/>
        </w:rPr>
        <w:t>daytime solar generation are increasingly concentrated among households with the means to invest in CER, such as rooftop solar, batteries and electric vehicles. These households are able to reduce grid consumption during higher-priced periods, store energy when it is cheap, and shield themselves from evolving system cost structures.</w:t>
      </w:r>
    </w:p>
    <w:p w14:paraId="5E680583" w14:textId="40309DAD" w:rsidR="00DE78B0" w:rsidRPr="00B5064E" w:rsidRDefault="00DE78B0" w:rsidP="00DE78B0">
      <w:pPr>
        <w:rPr>
          <w:rFonts w:ascii="Calibri" w:hAnsi="Calibri" w:cs="Calibri"/>
          <w:color w:val="000000" w:themeColor="text1"/>
          <w:szCs w:val="18"/>
          <w:lang w:val="en-GB"/>
        </w:rPr>
      </w:pPr>
      <w:r w:rsidRPr="00B5064E">
        <w:rPr>
          <w:rFonts w:ascii="Calibri" w:hAnsi="Calibri" w:cs="Calibri"/>
          <w:color w:val="000000" w:themeColor="text1"/>
          <w:szCs w:val="18"/>
          <w:lang w:val="en-GB"/>
        </w:rPr>
        <w:t>In contrast, households without CER face barriers to participation. As rooftop solar reduces grid demand during the day, a greater proportion of network and system costs must be recovered from remaining consumption, often outside solar-rich hours when non-CER households rely most heavily on the grid. These dynamic risks increas</w:t>
      </w:r>
      <w:r w:rsidR="007907ED" w:rsidRPr="00B5064E">
        <w:rPr>
          <w:rFonts w:ascii="Calibri" w:hAnsi="Calibri" w:cs="Calibri"/>
          <w:color w:val="000000" w:themeColor="text1"/>
          <w:szCs w:val="18"/>
          <w:lang w:val="en-GB"/>
        </w:rPr>
        <w:t>e</w:t>
      </w:r>
      <w:r w:rsidRPr="00B5064E">
        <w:rPr>
          <w:rFonts w:ascii="Calibri" w:hAnsi="Calibri" w:cs="Calibri"/>
          <w:color w:val="000000" w:themeColor="text1"/>
          <w:szCs w:val="18"/>
          <w:lang w:val="en-GB"/>
        </w:rPr>
        <w:t xml:space="preserve"> the relative burden on households unable to access distributed generation or storage.</w:t>
      </w:r>
    </w:p>
    <w:p w14:paraId="57A8545F" w14:textId="77777777" w:rsidR="00DE78B0" w:rsidRPr="00B5064E" w:rsidRDefault="00DE78B0" w:rsidP="00DE78B0">
      <w:pPr>
        <w:rPr>
          <w:rFonts w:ascii="Calibri" w:hAnsi="Calibri" w:cs="Calibri"/>
          <w:color w:val="000000" w:themeColor="text1"/>
          <w:szCs w:val="18"/>
          <w:lang w:val="en-GB"/>
        </w:rPr>
      </w:pPr>
      <w:r w:rsidRPr="00B5064E">
        <w:rPr>
          <w:rFonts w:ascii="Calibri" w:hAnsi="Calibri" w:cs="Calibri"/>
          <w:color w:val="000000" w:themeColor="text1"/>
          <w:szCs w:val="18"/>
          <w:lang w:val="en-GB"/>
        </w:rPr>
        <w:t>CSIRO’s residential electricity tariff analysis indicates that vulnerability is more likely among very low-income households, renters, apartment dwellers, larger households and older occupants — groups that are also less likely to access CER and therefore less able to respond to emerging price signals.</w:t>
      </w:r>
    </w:p>
    <w:p w14:paraId="7E2D8DEA" w14:textId="7F89B6FC" w:rsidR="004C67DF" w:rsidRPr="00B5064E" w:rsidRDefault="004C67DF" w:rsidP="004C67DF">
      <w:pPr>
        <w:pStyle w:val="Caption"/>
        <w:keepNext/>
      </w:pPr>
      <w:r w:rsidRPr="00B5064E">
        <w:lastRenderedPageBreak/>
        <w:t xml:space="preserve">Figure </w:t>
      </w:r>
      <w:r w:rsidRPr="00B5064E">
        <w:fldChar w:fldCharType="begin"/>
      </w:r>
      <w:r w:rsidRPr="00B5064E">
        <w:instrText xml:space="preserve"> SEQ Figure \* ARABIC </w:instrText>
      </w:r>
      <w:r w:rsidRPr="00B5064E">
        <w:fldChar w:fldCharType="separate"/>
      </w:r>
      <w:r w:rsidR="001B4CAD">
        <w:rPr>
          <w:noProof/>
        </w:rPr>
        <w:t>1</w:t>
      </w:r>
      <w:r w:rsidRPr="00B5064E">
        <w:fldChar w:fldCharType="end"/>
      </w:r>
      <w:r w:rsidRPr="00B5064E">
        <w:t>: Distribution of estimated (market offer) retail bills as a proportion of household income for consumers in different household situation</w:t>
      </w:r>
    </w:p>
    <w:p w14:paraId="310D11F6" w14:textId="77777777" w:rsidR="004C67DF" w:rsidRPr="00B5064E" w:rsidRDefault="009C508D" w:rsidP="004C67DF">
      <w:pPr>
        <w:keepNext/>
        <w:jc w:val="center"/>
        <w:rPr>
          <w:rFonts w:ascii="Calibri" w:hAnsi="Calibri" w:cs="Calibri"/>
        </w:rPr>
      </w:pPr>
      <w:r>
        <w:rPr>
          <w:noProof/>
        </w:rPr>
        <w:drawing>
          <wp:inline distT="0" distB="0" distL="0" distR="0" wp14:anchorId="6FF3A227" wp14:editId="63F7C3D5">
            <wp:extent cx="4942936" cy="2130425"/>
            <wp:effectExtent l="0" t="0" r="0" b="3175"/>
            <wp:docPr id="1185713077" name="Picture 1" descr="Box plot chart that compares market retail bills as percentage of household income across four household situations: less vulnerable with no solar, less vulnerable with solar, vulnerable with no solar, and vulnerable with sol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713077" name="Picture 1" descr="Box plot chart that compares market retail bills as percentage of household income across four household situations: less vulnerable with no solar, less vulnerable with solar, vulnerable with no solar, and vulnerable with solar. "/>
                    <pic:cNvPicPr/>
                  </pic:nvPicPr>
                  <pic:blipFill>
                    <a:blip r:embed="rId9"/>
                    <a:stretch>
                      <a:fillRect/>
                    </a:stretch>
                  </pic:blipFill>
                  <pic:spPr>
                    <a:xfrm>
                      <a:off x="0" y="0"/>
                      <a:ext cx="5031629" cy="2168652"/>
                    </a:xfrm>
                    <a:prstGeom prst="rect">
                      <a:avLst/>
                    </a:prstGeom>
                  </pic:spPr>
                </pic:pic>
              </a:graphicData>
            </a:graphic>
          </wp:inline>
        </w:drawing>
      </w:r>
    </w:p>
    <w:p w14:paraId="4B7AF455" w14:textId="5BB40E1D" w:rsidR="00DE78B0" w:rsidRPr="00B5064E" w:rsidRDefault="00DE78B0" w:rsidP="009C508D">
      <w:pPr>
        <w:rPr>
          <w:rFonts w:ascii="Calibri" w:hAnsi="Calibri" w:cs="Calibri"/>
          <w:color w:val="000000" w:themeColor="text1"/>
          <w:szCs w:val="18"/>
        </w:rPr>
      </w:pPr>
      <w:r w:rsidRPr="00B5064E">
        <w:rPr>
          <w:rFonts w:ascii="Calibri" w:hAnsi="Calibri" w:cs="Calibri"/>
          <w:color w:val="000000" w:themeColor="text1"/>
          <w:szCs w:val="18"/>
        </w:rPr>
        <w:t>If no intervention occurs, these costs are likely to be passed through disproportionately to households that remain dependent on grid-supplied electricity during peak periods, most of whom are households without CER. These risks reinforc</w:t>
      </w:r>
      <w:r w:rsidR="007907ED" w:rsidRPr="00B5064E">
        <w:rPr>
          <w:rFonts w:ascii="Calibri" w:hAnsi="Calibri" w:cs="Calibri"/>
          <w:color w:val="000000" w:themeColor="text1"/>
          <w:szCs w:val="18"/>
        </w:rPr>
        <w:t xml:space="preserve">e </w:t>
      </w:r>
      <w:r w:rsidRPr="00B5064E">
        <w:rPr>
          <w:rFonts w:ascii="Calibri" w:hAnsi="Calibri" w:cs="Calibri"/>
          <w:color w:val="000000" w:themeColor="text1"/>
          <w:szCs w:val="18"/>
        </w:rPr>
        <w:t>a cycle in which those least able to invest in energy technologies bear a growing share of system costs, exacerbating affordability pressures over</w:t>
      </w:r>
      <w:r w:rsidR="001109B0" w:rsidRPr="00B5064E">
        <w:rPr>
          <w:rFonts w:ascii="Calibri" w:hAnsi="Calibri" w:cs="Calibri"/>
          <w:color w:val="000000" w:themeColor="text1"/>
          <w:szCs w:val="18"/>
        </w:rPr>
        <w:t xml:space="preserve"> </w:t>
      </w:r>
      <w:r w:rsidRPr="00B5064E">
        <w:rPr>
          <w:rFonts w:ascii="Calibri" w:hAnsi="Calibri" w:cs="Calibri"/>
          <w:color w:val="000000" w:themeColor="text1"/>
          <w:szCs w:val="18"/>
        </w:rPr>
        <w:t>time</w:t>
      </w:r>
      <w:r w:rsidR="001109B0" w:rsidRPr="00B5064E">
        <w:rPr>
          <w:rFonts w:ascii="Calibri" w:hAnsi="Calibri" w:cs="Calibri"/>
          <w:color w:val="000000" w:themeColor="text1"/>
          <w:szCs w:val="18"/>
        </w:rPr>
        <w:t>.</w:t>
      </w:r>
    </w:p>
    <w:p w14:paraId="684B9006" w14:textId="09F32262" w:rsidR="00E154B9" w:rsidRPr="00B5064E" w:rsidRDefault="00DE78B0" w:rsidP="00337D38">
      <w:pPr>
        <w:pStyle w:val="Heading3"/>
        <w:spacing w:after="120"/>
        <w:rPr>
          <w:rFonts w:ascii="Calibri" w:hAnsi="Calibri" w:cs="Calibri"/>
        </w:rPr>
      </w:pPr>
      <w:bookmarkStart w:id="7" w:name="_Toc222842754"/>
      <w:r w:rsidRPr="00B5064E">
        <w:rPr>
          <w:rFonts w:ascii="Calibri" w:hAnsi="Calibri" w:cs="Calibri"/>
        </w:rPr>
        <w:t>Network and System impacts</w:t>
      </w:r>
      <w:bookmarkEnd w:id="7"/>
    </w:p>
    <w:p w14:paraId="56B5C3F9" w14:textId="5A8EDFBE" w:rsidR="001C028C" w:rsidRPr="00B5064E" w:rsidRDefault="0094523B" w:rsidP="00A86FC7">
      <w:pPr>
        <w:rPr>
          <w:rFonts w:ascii="Calibri" w:hAnsi="Calibri" w:cs="Calibri"/>
          <w:color w:val="000000" w:themeColor="text1"/>
          <w:szCs w:val="18"/>
        </w:rPr>
      </w:pPr>
      <w:r w:rsidRPr="3AE2F883">
        <w:rPr>
          <w:rFonts w:ascii="Calibri" w:hAnsi="Calibri" w:cs="Calibri"/>
          <w:color w:val="000000" w:themeColor="text1"/>
        </w:rPr>
        <w:t xml:space="preserve">The rapid expansion of rooftop solar is materially reshaping demand and price patterns in the </w:t>
      </w:r>
      <w:r w:rsidR="00B138C4" w:rsidRPr="3AE2F883">
        <w:rPr>
          <w:rFonts w:ascii="Calibri" w:hAnsi="Calibri" w:cs="Calibri"/>
          <w:color w:val="000000" w:themeColor="text1"/>
        </w:rPr>
        <w:t>NEM.</w:t>
      </w:r>
      <w:r w:rsidRPr="3AE2F883">
        <w:rPr>
          <w:rFonts w:ascii="Calibri" w:hAnsi="Calibri" w:cs="Calibri"/>
          <w:color w:val="000000" w:themeColor="text1"/>
        </w:rPr>
        <w:t xml:space="preserve"> AEMO reports increasingly frequent minimum-demand events in the middle of the day, driven by high rooftop solar output suppressing operational demand (AEMO, </w:t>
      </w:r>
      <w:r w:rsidRPr="3AE2F883">
        <w:rPr>
          <w:rFonts w:ascii="Calibri" w:hAnsi="Calibri" w:cs="Calibri"/>
          <w:i/>
          <w:color w:val="000000" w:themeColor="text1"/>
        </w:rPr>
        <w:t>Electricity Statement of Opportunities</w:t>
      </w:r>
      <w:r w:rsidRPr="3AE2F883">
        <w:rPr>
          <w:rFonts w:ascii="Calibri" w:hAnsi="Calibri" w:cs="Calibri"/>
          <w:color w:val="000000" w:themeColor="text1"/>
        </w:rPr>
        <w:t xml:space="preserve">; </w:t>
      </w:r>
      <w:r w:rsidRPr="3AE2F883">
        <w:rPr>
          <w:rFonts w:ascii="Calibri" w:hAnsi="Calibri" w:cs="Calibri"/>
          <w:i/>
          <w:color w:val="000000" w:themeColor="text1"/>
        </w:rPr>
        <w:t>Integrated System Plan</w:t>
      </w:r>
      <w:r w:rsidRPr="3AE2F883">
        <w:rPr>
          <w:rFonts w:ascii="Calibri" w:hAnsi="Calibri" w:cs="Calibri"/>
          <w:color w:val="000000" w:themeColor="text1"/>
        </w:rPr>
        <w:t>)</w:t>
      </w:r>
      <w:r w:rsidR="00E17810" w:rsidRPr="3AE2F883">
        <w:rPr>
          <w:rStyle w:val="FootnoteReference"/>
          <w:rFonts w:ascii="Calibri" w:hAnsi="Calibri" w:cs="Calibri"/>
          <w:color w:val="000000" w:themeColor="text1"/>
        </w:rPr>
        <w:footnoteReference w:id="6"/>
      </w:r>
      <w:r w:rsidRPr="3AE2F883">
        <w:rPr>
          <w:rFonts w:ascii="Calibri" w:hAnsi="Calibri" w:cs="Calibri"/>
          <w:color w:val="000000" w:themeColor="text1"/>
        </w:rPr>
        <w:t xml:space="preserve">. At the same time, wholesale prices are more frequently very low or negative during solar-abundant periods, while late-afternoon and evening peaks remain high-priced and emissions-intensive (AER, </w:t>
      </w:r>
      <w:r w:rsidRPr="3AE2F883">
        <w:rPr>
          <w:rFonts w:ascii="Calibri" w:hAnsi="Calibri" w:cs="Calibri"/>
          <w:i/>
          <w:color w:val="000000" w:themeColor="text1"/>
        </w:rPr>
        <w:t>State of the Energy Market 2024</w:t>
      </w:r>
      <w:r w:rsidRPr="3AE2F883">
        <w:rPr>
          <w:rFonts w:ascii="Calibri" w:hAnsi="Calibri" w:cs="Calibri"/>
          <w:color w:val="000000" w:themeColor="text1"/>
        </w:rPr>
        <w:t>)</w:t>
      </w:r>
      <w:r w:rsidR="0078645C" w:rsidRPr="3AE2F883">
        <w:rPr>
          <w:rStyle w:val="FootnoteReference"/>
          <w:rFonts w:ascii="Calibri" w:hAnsi="Calibri" w:cs="Calibri"/>
          <w:color w:val="000000" w:themeColor="text1"/>
        </w:rPr>
        <w:footnoteReference w:id="7"/>
      </w:r>
      <w:r w:rsidRPr="3AE2F883">
        <w:rPr>
          <w:rFonts w:ascii="Calibri" w:hAnsi="Calibri" w:cs="Calibri"/>
          <w:color w:val="000000" w:themeColor="text1"/>
        </w:rPr>
        <w:t>. This widening divergence between midday oversupply and evening peak demand increases price volatility and reliance on fast-start generation such as gas peakers, which are typically higher cost and higher emissions.</w:t>
      </w:r>
    </w:p>
    <w:p w14:paraId="6352DEFC" w14:textId="4FD3B7F2" w:rsidR="0021681F" w:rsidRPr="00B5064E" w:rsidRDefault="0021681F" w:rsidP="00A86FC7">
      <w:pPr>
        <w:rPr>
          <w:rFonts w:ascii="Calibri" w:hAnsi="Calibri" w:cs="Calibri"/>
          <w:color w:val="000000" w:themeColor="text1"/>
          <w:szCs w:val="18"/>
        </w:rPr>
      </w:pPr>
      <w:r w:rsidRPr="00B5064E">
        <w:rPr>
          <w:rFonts w:ascii="Calibri" w:hAnsi="Calibri" w:cs="Calibri"/>
          <w:color w:val="000000" w:themeColor="text1"/>
          <w:szCs w:val="18"/>
        </w:rPr>
        <w:t>At the same time, electricity demand remains concentrated in the evening, when solar generation declines and system costs are higher. These evening peaks are typically more expensive and emissions-intensive to supply. Conversely, very low daytime demand can create operational challenges for the power system, including reduced utilisation of generation and network assets and increased complexity in maintaining system stability.</w:t>
      </w:r>
    </w:p>
    <w:p w14:paraId="6EE921F2" w14:textId="22E3F788" w:rsidR="004C67DF" w:rsidRPr="00B5064E" w:rsidRDefault="004C67DF" w:rsidP="00A37709">
      <w:pPr>
        <w:pStyle w:val="Caption"/>
        <w:keepNext/>
        <w:spacing w:after="0"/>
        <w:rPr>
          <w:i/>
          <w:iCs w:val="0"/>
          <w:sz w:val="20"/>
          <w:szCs w:val="20"/>
        </w:rPr>
      </w:pPr>
      <w:r w:rsidRPr="00B5064E">
        <w:rPr>
          <w:i/>
          <w:iCs w:val="0"/>
          <w:sz w:val="20"/>
          <w:szCs w:val="20"/>
        </w:rPr>
        <w:lastRenderedPageBreak/>
        <w:t xml:space="preserve">Figure </w:t>
      </w:r>
      <w:r w:rsidRPr="00B5064E">
        <w:rPr>
          <w:i/>
          <w:iCs w:val="0"/>
          <w:sz w:val="20"/>
          <w:szCs w:val="20"/>
        </w:rPr>
        <w:fldChar w:fldCharType="begin"/>
      </w:r>
      <w:r w:rsidRPr="00B5064E">
        <w:rPr>
          <w:i/>
          <w:iCs w:val="0"/>
          <w:sz w:val="20"/>
          <w:szCs w:val="20"/>
        </w:rPr>
        <w:instrText xml:space="preserve"> SEQ Figure \* ARABIC </w:instrText>
      </w:r>
      <w:r w:rsidRPr="00B5064E">
        <w:rPr>
          <w:i/>
          <w:iCs w:val="0"/>
          <w:sz w:val="20"/>
          <w:szCs w:val="20"/>
        </w:rPr>
        <w:fldChar w:fldCharType="separate"/>
      </w:r>
      <w:r w:rsidR="001B4CAD">
        <w:rPr>
          <w:i/>
          <w:iCs w:val="0"/>
          <w:noProof/>
          <w:sz w:val="20"/>
          <w:szCs w:val="20"/>
        </w:rPr>
        <w:t>2</w:t>
      </w:r>
      <w:r w:rsidRPr="00B5064E">
        <w:rPr>
          <w:i/>
          <w:iCs w:val="0"/>
          <w:sz w:val="20"/>
          <w:szCs w:val="20"/>
        </w:rPr>
        <w:fldChar w:fldCharType="end"/>
      </w:r>
      <w:r w:rsidRPr="00B5064E">
        <w:rPr>
          <w:i/>
          <w:iCs w:val="0"/>
          <w:sz w:val="20"/>
          <w:szCs w:val="20"/>
        </w:rPr>
        <w:t>: Percentage of prices below $0 MWh and $300 MWh.</w:t>
      </w:r>
    </w:p>
    <w:p w14:paraId="4CAFCBD0" w14:textId="469FD9A8" w:rsidR="001F0667" w:rsidRPr="00B5064E" w:rsidRDefault="009947BC" w:rsidP="001109B0">
      <w:pPr>
        <w:jc w:val="center"/>
        <w:rPr>
          <w:rFonts w:ascii="Calibri" w:hAnsi="Calibri" w:cs="Calibri"/>
          <w:color w:val="000000" w:themeColor="text1"/>
          <w:shd w:val="clear" w:color="auto" w:fill="C1F0C7" w:themeFill="accent3" w:themeFillTint="33"/>
          <w:lang w:val="en-US"/>
        </w:rPr>
      </w:pPr>
      <w:r>
        <w:rPr>
          <w:noProof/>
        </w:rPr>
        <w:drawing>
          <wp:inline distT="0" distB="0" distL="0" distR="0" wp14:anchorId="6D70B933" wp14:editId="1F41EE8D">
            <wp:extent cx="6015479" cy="3066406"/>
            <wp:effectExtent l="0" t="0" r="4445" b="1270"/>
            <wp:docPr id="875707441" name="Picture 1" descr="Bar chart comparing percentage of 5-minute electricity prices above and below $300 per MWh across 24 hours for years 2020 and 2024. Chart uses green bars for prices below $0 and dark blue bars for prices above $300, showing a significant increase in high-price intervals around midday in 2024 compared to mostly low prices i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07441" name="Picture 1" descr="Bar chart comparing percentage of 5-minute electricity prices above and below $300 per MWh across 24 hours for years 2020 and 2024. Chart uses green bars for prices below $0 and dark blue bars for prices above $300, showing a significant increase in high-price intervals around midday in 2024 compared to mostly low prices in 2020."/>
                    <pic:cNvPicPr/>
                  </pic:nvPicPr>
                  <pic:blipFill>
                    <a:blip r:embed="rId10"/>
                    <a:stretch>
                      <a:fillRect/>
                    </a:stretch>
                  </pic:blipFill>
                  <pic:spPr>
                    <a:xfrm>
                      <a:off x="0" y="0"/>
                      <a:ext cx="6043073" cy="3080472"/>
                    </a:xfrm>
                    <a:prstGeom prst="rect">
                      <a:avLst/>
                    </a:prstGeom>
                  </pic:spPr>
                </pic:pic>
              </a:graphicData>
            </a:graphic>
          </wp:inline>
        </w:drawing>
      </w:r>
    </w:p>
    <w:p w14:paraId="5E59A57D" w14:textId="258E6500" w:rsidR="000346F9" w:rsidRPr="00B5064E" w:rsidRDefault="00F41A6A" w:rsidP="00E91C37">
      <w:pPr>
        <w:spacing w:line="278" w:lineRule="auto"/>
        <w:rPr>
          <w:rFonts w:ascii="Calibri" w:eastAsia="MS Mincho" w:hAnsi="Calibri" w:cs="Calibri"/>
          <w:kern w:val="0"/>
          <w14:ligatures w14:val="none"/>
        </w:rPr>
      </w:pPr>
      <w:r w:rsidRPr="3AE2F883">
        <w:rPr>
          <w:rFonts w:ascii="Calibri" w:hAnsi="Calibri" w:cs="Calibri"/>
          <w:color w:val="000000" w:themeColor="text1"/>
        </w:rPr>
        <w:t>The widespread uptake of rooftop solar has therefore had a significant impact on the shape of demand in the NEM. Between 2019 and 2024, electricity demand during the middle of the day declined substantially, largely driven by increased rooftop solar generation. One of the most notable outcomes has been a sharp reduction in daytime wholesale electricity prices, as illustrated in Figure 1, which shows the increasing proportion of prices below $0/MWh alongside periods of high-price events</w:t>
      </w:r>
      <w:r w:rsidR="000346F9" w:rsidRPr="3AE2F883">
        <w:rPr>
          <w:rFonts w:ascii="Calibri" w:hAnsi="Calibri" w:cs="Calibri"/>
          <w:color w:val="000000" w:themeColor="text1"/>
          <w:lang w:val="en-GB"/>
        </w:rPr>
        <w:t>.</w:t>
      </w:r>
      <w:r w:rsidR="00E91C37" w:rsidRPr="3AE2F883">
        <w:rPr>
          <w:rFonts w:ascii="Calibri" w:hAnsi="Calibri" w:cs="Calibri"/>
          <w:color w:val="000000" w:themeColor="text1"/>
          <w:lang w:val="en-GB"/>
        </w:rPr>
        <w:t xml:space="preserve"> </w:t>
      </w:r>
      <w:r w:rsidR="00E91C37" w:rsidRPr="00B5064E">
        <w:rPr>
          <w:rFonts w:ascii="Calibri" w:eastAsia="MS Mincho" w:hAnsi="Calibri" w:cs="Calibri"/>
          <w:kern w:val="0"/>
          <w14:ligatures w14:val="none"/>
        </w:rPr>
        <w:t>According to the AER</w:t>
      </w:r>
      <w:r w:rsidR="00E91C37" w:rsidRPr="00B5064E">
        <w:rPr>
          <w:rStyle w:val="FootnoteReference"/>
          <w:rFonts w:ascii="Calibri" w:eastAsia="MS Mincho" w:hAnsi="Calibri" w:cs="Calibri"/>
          <w:kern w:val="0"/>
          <w14:ligatures w14:val="none"/>
        </w:rPr>
        <w:footnoteReference w:id="8"/>
      </w:r>
      <w:r w:rsidR="007907ED" w:rsidRPr="00B5064E">
        <w:rPr>
          <w:rFonts w:ascii="Calibri" w:eastAsia="MS Mincho" w:hAnsi="Calibri" w:cs="Calibri"/>
          <w:kern w:val="0"/>
          <w14:ligatures w14:val="none"/>
        </w:rPr>
        <w:t xml:space="preserve">, </w:t>
      </w:r>
      <w:r w:rsidR="00E91C37" w:rsidRPr="00B5064E">
        <w:rPr>
          <w:rFonts w:ascii="Calibri" w:eastAsia="MS Mincho" w:hAnsi="Calibri" w:cs="Calibri"/>
          <w:kern w:val="0"/>
          <w14:ligatures w14:val="none"/>
        </w:rPr>
        <w:t xml:space="preserve">27 per cent of customers export to the grid, representing roughly 10 per cent of energy delivered by distribution networks in 2023–24. Most of this generation occurs in the middle of the day, when system demand is lowest. </w:t>
      </w:r>
    </w:p>
    <w:p w14:paraId="0C5B870B" w14:textId="4477EA24" w:rsidR="00DE78B0" w:rsidRPr="00B5064E" w:rsidRDefault="006F166E" w:rsidP="00DE78B0">
      <w:pPr>
        <w:spacing w:line="278" w:lineRule="auto"/>
        <w:rPr>
          <w:rFonts w:ascii="Calibri" w:eastAsia="MS Mincho" w:hAnsi="Calibri" w:cs="Calibri"/>
          <w:kern w:val="0"/>
          <w14:ligatures w14:val="none"/>
        </w:rPr>
      </w:pPr>
      <w:r w:rsidRPr="00B5064E">
        <w:rPr>
          <w:rFonts w:ascii="Calibri" w:eastAsia="MS Mincho" w:hAnsi="Calibri" w:cs="Calibri"/>
          <w:kern w:val="0"/>
          <w14:ligatures w14:val="none"/>
        </w:rPr>
        <w:t xml:space="preserve">Taken together, these trends highlight a clear </w:t>
      </w:r>
      <w:r w:rsidR="007907ED" w:rsidRPr="00B5064E">
        <w:rPr>
          <w:rFonts w:ascii="Calibri" w:eastAsia="MS Mincho" w:hAnsi="Calibri" w:cs="Calibri"/>
          <w:kern w:val="0"/>
          <w14:ligatures w14:val="none"/>
        </w:rPr>
        <w:t>opportunity</w:t>
      </w:r>
      <w:r w:rsidRPr="00B5064E">
        <w:rPr>
          <w:rFonts w:ascii="Calibri" w:eastAsia="MS Mincho" w:hAnsi="Calibri" w:cs="Calibri"/>
          <w:kern w:val="0"/>
          <w14:ligatures w14:val="none"/>
        </w:rPr>
        <w:t>: Australia is producing a growing volume of clean, low</w:t>
      </w:r>
      <w:r w:rsidRPr="00B5064E">
        <w:rPr>
          <w:rFonts w:ascii="Calibri" w:eastAsia="MS Mincho" w:hAnsi="Calibri" w:cs="Calibri"/>
          <w:kern w:val="0"/>
          <w14:ligatures w14:val="none"/>
        </w:rPr>
        <w:noBreakHyphen/>
        <w:t>cost solar energy during the day, but many households cannot access it, while the system simultaneously faces evening supply pressures and operational risks. An SSO product that incentivises consumers to shift usage into high</w:t>
      </w:r>
      <w:r w:rsidRPr="00B5064E">
        <w:rPr>
          <w:rFonts w:ascii="Calibri" w:eastAsia="MS Mincho" w:hAnsi="Calibri" w:cs="Calibri"/>
          <w:kern w:val="0"/>
          <w14:ligatures w14:val="none"/>
        </w:rPr>
        <w:noBreakHyphen/>
        <w:t>solar periods can help address both challenges — improving access and affordability for households while supporting system efficiency, stability and reliability.</w:t>
      </w:r>
    </w:p>
    <w:p w14:paraId="21CE98E1" w14:textId="08923936" w:rsidR="00BB2128" w:rsidRPr="00B5064E" w:rsidRDefault="00F97A81" w:rsidP="004E203B">
      <w:pPr>
        <w:pStyle w:val="Heading3"/>
        <w:spacing w:after="120"/>
        <w:rPr>
          <w:rFonts w:ascii="Calibri" w:hAnsi="Calibri" w:cs="Calibri"/>
        </w:rPr>
      </w:pPr>
      <w:bookmarkStart w:id="8" w:name="_Toc222842755"/>
      <w:r w:rsidRPr="00B5064E">
        <w:rPr>
          <w:rFonts w:ascii="Calibri" w:hAnsi="Calibri" w:cs="Calibri"/>
        </w:rPr>
        <w:t>Structural Disconnect Between Wholesale and Retail Price Signals</w:t>
      </w:r>
      <w:bookmarkEnd w:id="8"/>
    </w:p>
    <w:p w14:paraId="7E5CFEC6" w14:textId="657E53A0" w:rsidR="00F6604A" w:rsidRPr="00B5064E" w:rsidRDefault="00F04DA8" w:rsidP="00DE78B0">
      <w:pPr>
        <w:spacing w:line="278" w:lineRule="auto"/>
        <w:rPr>
          <w:rFonts w:ascii="Calibri" w:eastAsia="MS Mincho" w:hAnsi="Calibri" w:cs="Calibri"/>
          <w:kern w:val="0"/>
          <w14:ligatures w14:val="none"/>
        </w:rPr>
      </w:pPr>
      <w:r w:rsidRPr="00B5064E">
        <w:rPr>
          <w:rFonts w:ascii="Calibri" w:eastAsia="MS Mincho" w:hAnsi="Calibri" w:cs="Calibri"/>
          <w:kern w:val="0"/>
          <w14:ligatures w14:val="none"/>
        </w:rPr>
        <w:t xml:space="preserve">While wholesale electricity prices in the </w:t>
      </w:r>
      <w:r w:rsidR="00B138C4">
        <w:rPr>
          <w:rFonts w:ascii="Calibri" w:eastAsia="MS Mincho" w:hAnsi="Calibri" w:cs="Calibri"/>
          <w:kern w:val="0"/>
          <w14:ligatures w14:val="none"/>
        </w:rPr>
        <w:t xml:space="preserve">NEM </w:t>
      </w:r>
      <w:r w:rsidRPr="00B5064E">
        <w:rPr>
          <w:rFonts w:ascii="Calibri" w:eastAsia="MS Mincho" w:hAnsi="Calibri" w:cs="Calibri"/>
          <w:kern w:val="0"/>
          <w14:ligatures w14:val="none"/>
        </w:rPr>
        <w:t xml:space="preserve">are increasingly very low or negative during solar-abundant midday periods, these price signals are not automatically transmitted to most retail consumers. AEMO’s Electricity Statement of Opportunities and Integrated System Plan document the growing frequency of minimum demand events and negative wholesale pricing during high rooftop solar output periods. Similarly, the AER’s </w:t>
      </w:r>
      <w:r w:rsidRPr="00B5064E">
        <w:rPr>
          <w:rFonts w:ascii="Calibri" w:eastAsia="MS Mincho" w:hAnsi="Calibri" w:cs="Calibri"/>
          <w:i/>
          <w:iCs/>
          <w:kern w:val="0"/>
          <w14:ligatures w14:val="none"/>
        </w:rPr>
        <w:t>State of the Energy Market</w:t>
      </w:r>
      <w:r w:rsidRPr="00B5064E">
        <w:rPr>
          <w:rFonts w:ascii="Calibri" w:eastAsia="MS Mincho" w:hAnsi="Calibri" w:cs="Calibri"/>
          <w:kern w:val="0"/>
          <w14:ligatures w14:val="none"/>
        </w:rPr>
        <w:t xml:space="preserve"> reports highlight the increasing proportion of negative and near-zero wholesale price intervals in recent years.</w:t>
      </w:r>
    </w:p>
    <w:p w14:paraId="618A2ED5" w14:textId="1BDB88AE" w:rsidR="002614BE" w:rsidRPr="00B5064E" w:rsidRDefault="00091340" w:rsidP="00903ADA">
      <w:pPr>
        <w:spacing w:line="278" w:lineRule="auto"/>
        <w:rPr>
          <w:rFonts w:ascii="Calibri" w:eastAsia="MS Mincho" w:hAnsi="Calibri" w:cs="Calibri"/>
          <w:kern w:val="0"/>
          <w14:ligatures w14:val="none"/>
        </w:rPr>
      </w:pPr>
      <w:r w:rsidRPr="00B5064E">
        <w:rPr>
          <w:rFonts w:ascii="Calibri" w:eastAsia="MS Mincho" w:hAnsi="Calibri" w:cs="Calibri"/>
          <w:kern w:val="0"/>
          <w14:ligatures w14:val="none"/>
        </w:rPr>
        <w:t>R</w:t>
      </w:r>
      <w:r w:rsidR="002614BE" w:rsidRPr="00B5064E">
        <w:rPr>
          <w:rFonts w:ascii="Calibri" w:eastAsia="MS Mincho" w:hAnsi="Calibri" w:cs="Calibri"/>
          <w:kern w:val="0"/>
          <w14:ligatures w14:val="none"/>
        </w:rPr>
        <w:t xml:space="preserve">etail electricity pricing structures do not directly mirror short-term wholesale price movements. Retailers hedge a substantial portion of their wholesale exposure in advance through forward contracts, power purchase agreements and other financial instruments to manage price volatility and ensure bill stability. As a result, </w:t>
      </w:r>
      <w:r w:rsidR="00E563D8" w:rsidRPr="00B5064E">
        <w:rPr>
          <w:rFonts w:ascii="Calibri" w:eastAsia="MS Mincho" w:hAnsi="Calibri" w:cs="Calibri"/>
          <w:kern w:val="0"/>
          <w14:ligatures w14:val="none"/>
        </w:rPr>
        <w:t xml:space="preserve">spot market price volatility </w:t>
      </w:r>
      <w:r w:rsidR="000A7850" w:rsidRPr="00B5064E">
        <w:rPr>
          <w:rFonts w:ascii="Calibri" w:eastAsia="MS Mincho" w:hAnsi="Calibri" w:cs="Calibri"/>
          <w:kern w:val="0"/>
          <w14:ligatures w14:val="none"/>
        </w:rPr>
        <w:t>is largely managed</w:t>
      </w:r>
      <w:r w:rsidR="002614BE" w:rsidRPr="00B5064E">
        <w:rPr>
          <w:rFonts w:ascii="Calibri" w:eastAsia="MS Mincho" w:hAnsi="Calibri" w:cs="Calibri"/>
          <w:kern w:val="0"/>
          <w14:ligatures w14:val="none"/>
        </w:rPr>
        <w:t xml:space="preserve"> within retailers’ hedging and portfolio management strategies rather than passed through dynamically to consumers.</w:t>
      </w:r>
      <w:r w:rsidR="00291FB6" w:rsidRPr="00B5064E">
        <w:rPr>
          <w:rFonts w:ascii="Calibri" w:eastAsia="MS Mincho" w:hAnsi="Calibri" w:cs="Calibri"/>
          <w:kern w:val="0"/>
          <w14:ligatures w14:val="none"/>
        </w:rPr>
        <w:t xml:space="preserve"> </w:t>
      </w:r>
      <w:r w:rsidR="000A7850" w:rsidRPr="00B5064E">
        <w:rPr>
          <w:rFonts w:ascii="Calibri" w:eastAsia="MS Mincho" w:hAnsi="Calibri" w:cs="Calibri"/>
          <w:kern w:val="0"/>
          <w14:ligatures w14:val="none"/>
        </w:rPr>
        <w:t>R</w:t>
      </w:r>
      <w:r w:rsidR="002614BE" w:rsidRPr="00B5064E">
        <w:rPr>
          <w:rFonts w:ascii="Calibri" w:eastAsia="MS Mincho" w:hAnsi="Calibri" w:cs="Calibri"/>
          <w:kern w:val="0"/>
          <w14:ligatures w14:val="none"/>
        </w:rPr>
        <w:t xml:space="preserve">etail tariffs must recover not only wholesale energy costs but also network charges, environmental scheme costs, retail operating </w:t>
      </w:r>
      <w:r w:rsidR="002614BE" w:rsidRPr="00B5064E">
        <w:rPr>
          <w:rFonts w:ascii="Calibri" w:eastAsia="MS Mincho" w:hAnsi="Calibri" w:cs="Calibri"/>
          <w:kern w:val="0"/>
          <w14:ligatures w14:val="none"/>
        </w:rPr>
        <w:lastRenderedPageBreak/>
        <w:t xml:space="preserve">costs and risk margins. </w:t>
      </w:r>
      <w:r w:rsidR="00390B2E" w:rsidRPr="00B5064E">
        <w:rPr>
          <w:rFonts w:ascii="Calibri" w:eastAsia="MS Mincho" w:hAnsi="Calibri" w:cs="Calibri"/>
          <w:kern w:val="0"/>
          <w14:ligatures w14:val="none"/>
        </w:rPr>
        <w:t>The primary function of a retailer is to therefore manage these costs and risks for customers</w:t>
      </w:r>
      <w:r w:rsidR="00A57575" w:rsidRPr="00B5064E">
        <w:rPr>
          <w:rFonts w:ascii="Calibri" w:eastAsia="MS Mincho" w:hAnsi="Calibri" w:cs="Calibri"/>
          <w:kern w:val="0"/>
          <w14:ligatures w14:val="none"/>
        </w:rPr>
        <w:t xml:space="preserve"> to provide price certainty and stability. </w:t>
      </w:r>
    </w:p>
    <w:p w14:paraId="0FF70026" w14:textId="23DCEDD2" w:rsidR="004C117E" w:rsidRPr="00B5064E" w:rsidRDefault="00A57575" w:rsidP="00DE78B0">
      <w:pPr>
        <w:spacing w:line="278" w:lineRule="auto"/>
        <w:rPr>
          <w:rFonts w:ascii="Calibri" w:eastAsia="MS Mincho" w:hAnsi="Calibri" w:cs="Calibri"/>
          <w:kern w:val="0"/>
          <w14:ligatures w14:val="none"/>
        </w:rPr>
      </w:pPr>
      <w:r w:rsidRPr="00B5064E">
        <w:rPr>
          <w:rFonts w:ascii="Calibri" w:eastAsia="MS Mincho" w:hAnsi="Calibri" w:cs="Calibri"/>
          <w:kern w:val="0"/>
          <w14:ligatures w14:val="none"/>
        </w:rPr>
        <w:t>A</w:t>
      </w:r>
      <w:r w:rsidR="00EB6BF8" w:rsidRPr="00B5064E">
        <w:rPr>
          <w:rFonts w:ascii="Calibri" w:eastAsia="MS Mincho" w:hAnsi="Calibri" w:cs="Calibri"/>
          <w:kern w:val="0"/>
          <w14:ligatures w14:val="none"/>
        </w:rPr>
        <w:t xml:space="preserve">lthough Australia is producing increasing volumes of very low-cost renewable electricity during the middle of the day, most households particularly those without rooftop solar, batteries or dynamic retail contracts do not receive a clear price signal that reflects this abundance. </w:t>
      </w:r>
      <w:r w:rsidRPr="00B5064E">
        <w:rPr>
          <w:rFonts w:ascii="Calibri" w:eastAsia="MS Mincho" w:hAnsi="Calibri" w:cs="Calibri"/>
          <w:kern w:val="0"/>
          <w14:ligatures w14:val="none"/>
        </w:rPr>
        <w:t>While there are some limited examples of retailers innovating to provide free power period tariffs in the market</w:t>
      </w:r>
      <w:r w:rsidR="003270AE" w:rsidRPr="00B5064E">
        <w:rPr>
          <w:rFonts w:ascii="Calibri" w:eastAsia="MS Mincho" w:hAnsi="Calibri" w:cs="Calibri"/>
          <w:kern w:val="0"/>
          <w14:ligatures w14:val="none"/>
        </w:rPr>
        <w:t xml:space="preserve"> – reflecting the opportunity to </w:t>
      </w:r>
      <w:r w:rsidR="00140927" w:rsidRPr="00B5064E">
        <w:rPr>
          <w:rFonts w:ascii="Calibri" w:eastAsia="MS Mincho" w:hAnsi="Calibri" w:cs="Calibri"/>
          <w:kern w:val="0"/>
          <w14:ligatures w14:val="none"/>
        </w:rPr>
        <w:t>pass on value to consumers of A</w:t>
      </w:r>
      <w:r w:rsidR="00DF6381" w:rsidRPr="00B5064E">
        <w:rPr>
          <w:rFonts w:ascii="Calibri" w:eastAsia="MS Mincho" w:hAnsi="Calibri" w:cs="Calibri"/>
          <w:kern w:val="0"/>
          <w14:ligatures w14:val="none"/>
        </w:rPr>
        <w:t xml:space="preserve">ustralia’s abundant solar generation – the pace at which this innovation </w:t>
      </w:r>
      <w:r w:rsidR="00792DE8" w:rsidRPr="00B5064E">
        <w:rPr>
          <w:rFonts w:ascii="Calibri" w:eastAsia="MS Mincho" w:hAnsi="Calibri" w:cs="Calibri"/>
          <w:kern w:val="0"/>
          <w14:ligatures w14:val="none"/>
        </w:rPr>
        <w:t>occurring</w:t>
      </w:r>
      <w:r w:rsidR="00DF6381" w:rsidRPr="00B5064E">
        <w:rPr>
          <w:rFonts w:ascii="Calibri" w:eastAsia="MS Mincho" w:hAnsi="Calibri" w:cs="Calibri"/>
          <w:kern w:val="0"/>
          <w14:ligatures w14:val="none"/>
        </w:rPr>
        <w:t xml:space="preserve">, and the incentive to develop products for households without </w:t>
      </w:r>
      <w:r w:rsidR="00924D07" w:rsidRPr="00B5064E">
        <w:rPr>
          <w:rFonts w:ascii="Calibri" w:eastAsia="MS Mincho" w:hAnsi="Calibri" w:cs="Calibri"/>
          <w:kern w:val="0"/>
          <w14:ligatures w14:val="none"/>
        </w:rPr>
        <w:t>rooftop solar and batteries</w:t>
      </w:r>
      <w:r w:rsidR="00792DE8" w:rsidRPr="00B5064E">
        <w:rPr>
          <w:rFonts w:ascii="Calibri" w:eastAsia="MS Mincho" w:hAnsi="Calibri" w:cs="Calibri"/>
          <w:kern w:val="0"/>
          <w14:ligatures w14:val="none"/>
        </w:rPr>
        <w:t>,</w:t>
      </w:r>
      <w:r w:rsidRPr="00B5064E">
        <w:rPr>
          <w:rFonts w:ascii="Calibri" w:eastAsia="MS Mincho" w:hAnsi="Calibri" w:cs="Calibri"/>
          <w:kern w:val="0"/>
          <w14:ligatures w14:val="none"/>
        </w:rPr>
        <w:t xml:space="preserve"> is </w:t>
      </w:r>
      <w:r w:rsidR="0052706A" w:rsidRPr="00B5064E">
        <w:rPr>
          <w:rFonts w:ascii="Calibri" w:eastAsia="MS Mincho" w:hAnsi="Calibri" w:cs="Calibri"/>
          <w:kern w:val="0"/>
          <w14:ligatures w14:val="none"/>
        </w:rPr>
        <w:t>lagging.</w:t>
      </w:r>
      <w:r w:rsidR="00CF5F77" w:rsidRPr="00B5064E">
        <w:rPr>
          <w:rFonts w:ascii="Calibri" w:eastAsia="MS Mincho" w:hAnsi="Calibri" w:cs="Calibri"/>
          <w:kern w:val="0"/>
          <w14:ligatures w14:val="none"/>
        </w:rPr>
        <w:t xml:space="preserve"> </w:t>
      </w:r>
    </w:p>
    <w:p w14:paraId="2810687E" w14:textId="45EC293E" w:rsidR="00F04DA8" w:rsidRPr="00B5064E" w:rsidRDefault="00EB6BF8" w:rsidP="00DE78B0">
      <w:pPr>
        <w:spacing w:line="278" w:lineRule="auto"/>
        <w:rPr>
          <w:rFonts w:ascii="Calibri" w:eastAsia="MS Mincho" w:hAnsi="Calibri" w:cs="Calibri"/>
          <w:kern w:val="0"/>
          <w14:ligatures w14:val="none"/>
        </w:rPr>
      </w:pPr>
      <w:r w:rsidRPr="00B5064E">
        <w:rPr>
          <w:rFonts w:ascii="Calibri" w:eastAsia="MS Mincho" w:hAnsi="Calibri" w:cs="Calibri"/>
          <w:kern w:val="0"/>
          <w14:ligatures w14:val="none"/>
        </w:rPr>
        <w:t>This disconnect between wholesale market conditions and retail price signals contributes to continued concentration of demand in higher-cost evening periods and limits equitable access to the benefits of Australia’s growing renewable generation fleet.</w:t>
      </w:r>
    </w:p>
    <w:p w14:paraId="04465C8E" w14:textId="49A76188" w:rsidR="001F0667" w:rsidRPr="00B5064E" w:rsidRDefault="00DE78B0" w:rsidP="00566A2D">
      <w:pPr>
        <w:pStyle w:val="Heading3"/>
        <w:spacing w:after="120"/>
        <w:rPr>
          <w:rFonts w:ascii="Calibri" w:hAnsi="Calibri" w:cs="Calibri"/>
        </w:rPr>
      </w:pPr>
      <w:bookmarkStart w:id="9" w:name="_Toc222842756"/>
      <w:r w:rsidRPr="00B5064E">
        <w:rPr>
          <w:rFonts w:ascii="Calibri" w:hAnsi="Calibri" w:cs="Calibri"/>
        </w:rPr>
        <w:t>Current market design impact</w:t>
      </w:r>
      <w:bookmarkEnd w:id="9"/>
    </w:p>
    <w:p w14:paraId="69A272A6" w14:textId="67FFD2E0" w:rsidR="00621797" w:rsidRPr="00B5064E" w:rsidRDefault="00A83B86" w:rsidP="00621797">
      <w:pPr>
        <w:rPr>
          <w:rFonts w:ascii="Calibri" w:eastAsia="MS Mincho" w:hAnsi="Calibri" w:cs="Calibri"/>
          <w:kern w:val="0"/>
          <w14:ligatures w14:val="none"/>
        </w:rPr>
      </w:pPr>
      <w:r w:rsidRPr="00B5064E">
        <w:rPr>
          <w:rFonts w:ascii="Calibri" w:eastAsia="MS Mincho" w:hAnsi="Calibri" w:cs="Calibri"/>
          <w:kern w:val="0"/>
          <w14:ligatures w14:val="none"/>
        </w:rPr>
        <w:t>Existing retail offers (including Time</w:t>
      </w:r>
      <w:r w:rsidRPr="00B5064E">
        <w:rPr>
          <w:rFonts w:ascii="Cambria Math" w:eastAsia="MS Mincho" w:hAnsi="Cambria Math" w:cs="Cambria Math"/>
          <w:kern w:val="0"/>
          <w14:ligatures w14:val="none"/>
        </w:rPr>
        <w:t>‑</w:t>
      </w:r>
      <w:r w:rsidRPr="00B5064E">
        <w:rPr>
          <w:rFonts w:ascii="Calibri" w:eastAsia="MS Mincho" w:hAnsi="Calibri" w:cs="Calibri"/>
          <w:kern w:val="0"/>
          <w14:ligatures w14:val="none"/>
        </w:rPr>
        <w:t>of</w:t>
      </w:r>
      <w:r w:rsidRPr="00B5064E">
        <w:rPr>
          <w:rFonts w:ascii="Cambria Math" w:eastAsia="MS Mincho" w:hAnsi="Cambria Math" w:cs="Cambria Math"/>
          <w:kern w:val="0"/>
          <w14:ligatures w14:val="none"/>
        </w:rPr>
        <w:t>‑</w:t>
      </w:r>
      <w:r w:rsidRPr="00B5064E">
        <w:rPr>
          <w:rFonts w:ascii="Calibri" w:eastAsia="MS Mincho" w:hAnsi="Calibri" w:cs="Calibri"/>
          <w:kern w:val="0"/>
          <w14:ligatures w14:val="none"/>
        </w:rPr>
        <w:t xml:space="preserve">Use and “solar sponge” type products) are uneven across regions and retailers and can be complex for consumers to compare. </w:t>
      </w:r>
      <w:r w:rsidR="00717005" w:rsidRPr="00B5064E">
        <w:rPr>
          <w:rFonts w:ascii="Calibri" w:eastAsia="MS Mincho" w:hAnsi="Calibri" w:cs="Calibri"/>
          <w:kern w:val="0"/>
          <w14:ligatures w14:val="none"/>
        </w:rPr>
        <w:t>T</w:t>
      </w:r>
      <w:r w:rsidR="00621797" w:rsidRPr="00B5064E">
        <w:rPr>
          <w:rFonts w:ascii="Calibri" w:eastAsia="MS Mincho" w:hAnsi="Calibri" w:cs="Calibri"/>
          <w:kern w:val="0"/>
          <w14:ligatures w14:val="none"/>
        </w:rPr>
        <w:t>heir timing, duration, eligibility criteria and cost</w:t>
      </w:r>
      <w:r w:rsidR="00621797" w:rsidRPr="00B5064E">
        <w:rPr>
          <w:rFonts w:ascii="Calibri" w:eastAsia="MS Mincho" w:hAnsi="Calibri" w:cs="Calibri"/>
          <w:kern w:val="0"/>
          <w14:ligatures w14:val="none"/>
        </w:rPr>
        <w:noBreakHyphen/>
        <w:t xml:space="preserve">recovery mechanisms differ markedly between retailers and regions. This fragmentation creates inconsistency and consumer confusion, with many households — especially those on standing offers — receiving weak, unclear or no midday price signals at all. As a result, current tariff structures do not drive meaningful demand shifting into periods when solar output is highest. </w:t>
      </w:r>
    </w:p>
    <w:p w14:paraId="18152CEA" w14:textId="77777777" w:rsidR="00621797" w:rsidRPr="00B5064E" w:rsidRDefault="00621797" w:rsidP="00621797">
      <w:pPr>
        <w:rPr>
          <w:rFonts w:ascii="Calibri" w:eastAsia="MS Mincho" w:hAnsi="Calibri" w:cs="Calibri"/>
          <w:kern w:val="0"/>
          <w14:ligatures w14:val="none"/>
        </w:rPr>
      </w:pPr>
      <w:r w:rsidRPr="00B5064E">
        <w:rPr>
          <w:rFonts w:ascii="Calibri" w:eastAsia="MS Mincho" w:hAnsi="Calibri" w:cs="Calibri"/>
          <w:kern w:val="0"/>
          <w14:ligatures w14:val="none"/>
        </w:rPr>
        <w:t>This absence of clear incentives contributes to several system</w:t>
      </w:r>
      <w:r w:rsidRPr="00B5064E">
        <w:rPr>
          <w:rFonts w:ascii="Calibri" w:eastAsia="MS Mincho" w:hAnsi="Calibri" w:cs="Calibri"/>
          <w:kern w:val="0"/>
          <w14:ligatures w14:val="none"/>
        </w:rPr>
        <w:noBreakHyphen/>
        <w:t>level and consumer</w:t>
      </w:r>
      <w:r w:rsidRPr="00B5064E">
        <w:rPr>
          <w:rFonts w:ascii="Calibri" w:eastAsia="MS Mincho" w:hAnsi="Calibri" w:cs="Calibri"/>
          <w:kern w:val="0"/>
          <w14:ligatures w14:val="none"/>
        </w:rPr>
        <w:noBreakHyphen/>
        <w:t>level problems:</w:t>
      </w:r>
    </w:p>
    <w:p w14:paraId="7F68C1FB" w14:textId="4B1F966C" w:rsidR="00621797" w:rsidRPr="00B5064E" w:rsidRDefault="00621797" w:rsidP="00BD38BC">
      <w:pPr>
        <w:numPr>
          <w:ilvl w:val="0"/>
          <w:numId w:val="5"/>
        </w:numPr>
        <w:spacing w:before="120" w:after="120"/>
        <w:ind w:left="714" w:hanging="357"/>
        <w:rPr>
          <w:rFonts w:ascii="Calibri" w:eastAsia="MS Mincho" w:hAnsi="Calibri" w:cs="Calibri"/>
          <w:kern w:val="0"/>
          <w14:ligatures w14:val="none"/>
        </w:rPr>
      </w:pPr>
      <w:r w:rsidRPr="00B5064E">
        <w:rPr>
          <w:rFonts w:ascii="Calibri" w:eastAsia="MS Mincho" w:hAnsi="Calibri" w:cs="Calibri"/>
          <w:b/>
          <w:bCs/>
          <w:kern w:val="0"/>
          <w14:ligatures w14:val="none"/>
        </w:rPr>
        <w:t>Inequitable access to solar benefits</w:t>
      </w:r>
      <w:r w:rsidRPr="00B5064E">
        <w:rPr>
          <w:rFonts w:ascii="Calibri" w:eastAsia="MS Mincho" w:hAnsi="Calibri" w:cs="Calibri"/>
          <w:kern w:val="0"/>
          <w14:ligatures w14:val="none"/>
        </w:rPr>
        <w:t xml:space="preserve">: households without rooftop solar miss out on the financial advantages of abundant daytime renewable generation, reinforcing existing energy inequities. </w:t>
      </w:r>
    </w:p>
    <w:p w14:paraId="70E6A421" w14:textId="15DA8F3E" w:rsidR="00621797" w:rsidRPr="00B5064E" w:rsidRDefault="00621797" w:rsidP="00BD38BC">
      <w:pPr>
        <w:numPr>
          <w:ilvl w:val="0"/>
          <w:numId w:val="5"/>
        </w:numPr>
        <w:spacing w:before="120" w:after="120"/>
        <w:ind w:left="714" w:hanging="357"/>
        <w:rPr>
          <w:rFonts w:ascii="Calibri" w:eastAsia="MS Mincho" w:hAnsi="Calibri" w:cs="Calibri"/>
          <w:kern w:val="0"/>
          <w14:ligatures w14:val="none"/>
        </w:rPr>
      </w:pPr>
      <w:r w:rsidRPr="00B5064E">
        <w:rPr>
          <w:rFonts w:ascii="Calibri" w:eastAsia="MS Mincho" w:hAnsi="Calibri" w:cs="Calibri"/>
          <w:b/>
          <w:bCs/>
          <w:kern w:val="0"/>
          <w14:ligatures w14:val="none"/>
        </w:rPr>
        <w:t>Misalignment between demand and renewable supply:</w:t>
      </w:r>
      <w:r w:rsidRPr="00B5064E">
        <w:rPr>
          <w:rFonts w:ascii="Calibri" w:eastAsia="MS Mincho" w:hAnsi="Calibri" w:cs="Calibri"/>
          <w:kern w:val="0"/>
          <w14:ligatures w14:val="none"/>
        </w:rPr>
        <w:t xml:space="preserve"> daytime demand remains artificially low despite low system costs, while evening peaks remain high</w:t>
      </w:r>
      <w:r w:rsidRPr="00B5064E">
        <w:rPr>
          <w:rFonts w:ascii="Calibri" w:eastAsia="MS Mincho" w:hAnsi="Calibri" w:cs="Calibri"/>
          <w:kern w:val="0"/>
          <w14:ligatures w14:val="none"/>
        </w:rPr>
        <w:noBreakHyphen/>
        <w:t>priced and emissions</w:t>
      </w:r>
      <w:r w:rsidRPr="00B5064E">
        <w:rPr>
          <w:rFonts w:ascii="Calibri" w:eastAsia="MS Mincho" w:hAnsi="Calibri" w:cs="Calibri"/>
          <w:kern w:val="0"/>
          <w14:ligatures w14:val="none"/>
        </w:rPr>
        <w:noBreakHyphen/>
        <w:t xml:space="preserve">intensive. </w:t>
      </w:r>
    </w:p>
    <w:p w14:paraId="5B338032" w14:textId="7CB60779" w:rsidR="00621797" w:rsidRPr="00B5064E" w:rsidRDefault="00621797" w:rsidP="00BD38BC">
      <w:pPr>
        <w:numPr>
          <w:ilvl w:val="0"/>
          <w:numId w:val="5"/>
        </w:numPr>
        <w:spacing w:before="120" w:after="120"/>
        <w:ind w:left="714" w:hanging="357"/>
        <w:rPr>
          <w:rFonts w:ascii="Calibri" w:eastAsia="MS Mincho" w:hAnsi="Calibri" w:cs="Calibri"/>
          <w:kern w:val="0"/>
          <w14:ligatures w14:val="none"/>
        </w:rPr>
      </w:pPr>
      <w:r w:rsidRPr="00B5064E">
        <w:rPr>
          <w:rFonts w:ascii="Calibri" w:eastAsia="MS Mincho" w:hAnsi="Calibri" w:cs="Calibri"/>
          <w:b/>
          <w:bCs/>
          <w:kern w:val="0"/>
          <w14:ligatures w14:val="none"/>
        </w:rPr>
        <w:t>Operational and network challenges</w:t>
      </w:r>
      <w:r w:rsidRPr="00B5064E">
        <w:rPr>
          <w:rFonts w:ascii="Calibri" w:eastAsia="MS Mincho" w:hAnsi="Calibri" w:cs="Calibri"/>
          <w:kern w:val="0"/>
          <w14:ligatures w14:val="none"/>
        </w:rPr>
        <w:t>: low midday demand increases the risk of minimum</w:t>
      </w:r>
      <w:r w:rsidRPr="00B5064E">
        <w:rPr>
          <w:rFonts w:ascii="Calibri" w:eastAsia="MS Mincho" w:hAnsi="Calibri" w:cs="Calibri"/>
          <w:kern w:val="0"/>
          <w14:ligatures w14:val="none"/>
        </w:rPr>
        <w:noBreakHyphen/>
        <w:t xml:space="preserve">demand events, reduces utilisation of network assets and can contribute to voltage management issues in distribution networks. </w:t>
      </w:r>
    </w:p>
    <w:p w14:paraId="73AE2E25" w14:textId="77777777" w:rsidR="001109B0" w:rsidRPr="00B5064E" w:rsidRDefault="00621797" w:rsidP="00BD38BC">
      <w:pPr>
        <w:numPr>
          <w:ilvl w:val="0"/>
          <w:numId w:val="5"/>
        </w:numPr>
        <w:spacing w:before="120" w:after="120"/>
        <w:ind w:left="714" w:hanging="357"/>
        <w:rPr>
          <w:rFonts w:ascii="Calibri" w:eastAsia="MS Mincho" w:hAnsi="Calibri" w:cs="Calibri"/>
          <w:kern w:val="0"/>
          <w14:ligatures w14:val="none"/>
        </w:rPr>
      </w:pPr>
      <w:r w:rsidRPr="00B5064E">
        <w:rPr>
          <w:rFonts w:ascii="Calibri" w:eastAsia="MS Mincho" w:hAnsi="Calibri" w:cs="Calibri"/>
          <w:b/>
          <w:bCs/>
          <w:kern w:val="0"/>
          <w14:ligatures w14:val="none"/>
        </w:rPr>
        <w:t>Consumer confusion and risk</w:t>
      </w:r>
      <w:r w:rsidRPr="00B5064E">
        <w:rPr>
          <w:rFonts w:ascii="Calibri" w:eastAsia="MS Mincho" w:hAnsi="Calibri" w:cs="Calibri"/>
          <w:kern w:val="0"/>
          <w14:ligatures w14:val="none"/>
        </w:rPr>
        <w:t>: inconsistent market</w:t>
      </w:r>
      <w:r w:rsidRPr="00B5064E">
        <w:rPr>
          <w:rFonts w:ascii="Calibri" w:eastAsia="MS Mincho" w:hAnsi="Calibri" w:cs="Calibri"/>
          <w:kern w:val="0"/>
          <w14:ligatures w14:val="none"/>
        </w:rPr>
        <w:noBreakHyphen/>
        <w:t>led free</w:t>
      </w:r>
      <w:r w:rsidRPr="00B5064E">
        <w:rPr>
          <w:rFonts w:ascii="Calibri" w:eastAsia="MS Mincho" w:hAnsi="Calibri" w:cs="Calibri"/>
          <w:kern w:val="0"/>
          <w14:ligatures w14:val="none"/>
        </w:rPr>
        <w:noBreakHyphen/>
        <w:t>power</w:t>
      </w:r>
      <w:r w:rsidRPr="00B5064E">
        <w:rPr>
          <w:rFonts w:ascii="Calibri" w:eastAsia="MS Mincho" w:hAnsi="Calibri" w:cs="Calibri"/>
          <w:kern w:val="0"/>
          <w14:ligatures w14:val="none"/>
        </w:rPr>
        <w:noBreakHyphen/>
        <w:t xml:space="preserve">period offers place the burden of comparison on consumers, who may face higher bills if unable to shift their usage or understand complex terms. </w:t>
      </w:r>
    </w:p>
    <w:p w14:paraId="3B024DF1" w14:textId="747E8248" w:rsidR="00DE78B0" w:rsidRPr="00B5064E" w:rsidRDefault="00DE78B0" w:rsidP="006C06FD">
      <w:pPr>
        <w:pStyle w:val="Heading2"/>
        <w:spacing w:after="120"/>
        <w:rPr>
          <w:rFonts w:ascii="Calibri" w:eastAsia="MS Mincho" w:hAnsi="Calibri" w:cs="Calibri"/>
          <w:kern w:val="0"/>
          <w14:ligatures w14:val="none"/>
        </w:rPr>
      </w:pPr>
      <w:bookmarkStart w:id="10" w:name="_Toc222842757"/>
      <w:r w:rsidRPr="00B5064E">
        <w:rPr>
          <w:rFonts w:ascii="Calibri" w:hAnsi="Calibri" w:cs="Calibri"/>
        </w:rPr>
        <w:t xml:space="preserve">Why </w:t>
      </w:r>
      <w:r w:rsidR="0045650E" w:rsidRPr="00B5064E">
        <w:rPr>
          <w:rFonts w:ascii="Calibri" w:hAnsi="Calibri" w:cs="Calibri"/>
        </w:rPr>
        <w:t>do existing Legislative and Regulatory Framework</w:t>
      </w:r>
      <w:r w:rsidRPr="00B5064E">
        <w:rPr>
          <w:rFonts w:ascii="Calibri" w:hAnsi="Calibri" w:cs="Calibri"/>
        </w:rPr>
        <w:t xml:space="preserve"> </w:t>
      </w:r>
      <w:r w:rsidR="00FF3B8D" w:rsidRPr="00B5064E">
        <w:rPr>
          <w:rFonts w:ascii="Calibri" w:hAnsi="Calibri" w:cs="Calibri"/>
        </w:rPr>
        <w:t>does not address</w:t>
      </w:r>
      <w:r w:rsidRPr="00B5064E">
        <w:rPr>
          <w:rFonts w:ascii="Calibri" w:hAnsi="Calibri" w:cs="Calibri"/>
        </w:rPr>
        <w:t xml:space="preserve"> </w:t>
      </w:r>
      <w:r w:rsidR="001109B0" w:rsidRPr="00B5064E">
        <w:rPr>
          <w:rFonts w:ascii="Calibri" w:hAnsi="Calibri" w:cs="Calibri"/>
        </w:rPr>
        <w:t>all</w:t>
      </w:r>
      <w:r w:rsidRPr="00B5064E">
        <w:rPr>
          <w:rFonts w:ascii="Calibri" w:hAnsi="Calibri" w:cs="Calibri"/>
        </w:rPr>
        <w:t xml:space="preserve"> the issues above</w:t>
      </w:r>
      <w:r w:rsidR="009C508D" w:rsidRPr="00B5064E">
        <w:rPr>
          <w:rFonts w:ascii="Calibri" w:hAnsi="Calibri" w:cs="Calibri"/>
        </w:rPr>
        <w:t>?</w:t>
      </w:r>
      <w:bookmarkEnd w:id="10"/>
    </w:p>
    <w:p w14:paraId="6274F675" w14:textId="77777777" w:rsidR="00DE78B0" w:rsidRPr="00B5064E" w:rsidRDefault="00DE78B0" w:rsidP="00DE78B0">
      <w:pPr>
        <w:rPr>
          <w:rFonts w:ascii="Calibri" w:eastAsia="MS Mincho" w:hAnsi="Calibri" w:cs="Calibri"/>
          <w:kern w:val="0"/>
          <w14:ligatures w14:val="none"/>
        </w:rPr>
      </w:pPr>
      <w:r w:rsidRPr="00B5064E">
        <w:rPr>
          <w:rFonts w:ascii="Calibri" w:eastAsia="MS Mincho" w:hAnsi="Calibri" w:cs="Calibri"/>
          <w:kern w:val="0"/>
          <w14:ligatures w14:val="none"/>
        </w:rPr>
        <w:t>Several legislative and regulatory mechanisms already operate within the electricity market that partially address elements of this problem.</w:t>
      </w:r>
    </w:p>
    <w:p w14:paraId="3C1FD386" w14:textId="263CB397" w:rsidR="00DE78B0" w:rsidRPr="00B5064E" w:rsidRDefault="00DE78B0" w:rsidP="003D7654">
      <w:pPr>
        <w:pStyle w:val="Heading3"/>
        <w:spacing w:after="120"/>
        <w:rPr>
          <w:rFonts w:ascii="Calibri" w:hAnsi="Calibri" w:cs="Calibri"/>
        </w:rPr>
      </w:pPr>
      <w:bookmarkStart w:id="11" w:name="_Toc222842758"/>
      <w:r w:rsidRPr="00B5064E">
        <w:rPr>
          <w:rFonts w:ascii="Calibri" w:hAnsi="Calibri" w:cs="Calibri"/>
        </w:rPr>
        <w:t>Default Market Offer (DMO)</w:t>
      </w:r>
      <w:bookmarkEnd w:id="11"/>
    </w:p>
    <w:p w14:paraId="2C02A089" w14:textId="686550FB" w:rsidR="00DE78B0" w:rsidRPr="00B5064E" w:rsidRDefault="00DE78B0" w:rsidP="00DE78B0">
      <w:pPr>
        <w:rPr>
          <w:rFonts w:ascii="Calibri" w:eastAsia="MS Mincho" w:hAnsi="Calibri" w:cs="Calibri"/>
          <w:kern w:val="0"/>
          <w14:ligatures w14:val="none"/>
        </w:rPr>
      </w:pPr>
      <w:r w:rsidRPr="00B5064E">
        <w:rPr>
          <w:rFonts w:ascii="Calibri" w:eastAsia="MS Mincho" w:hAnsi="Calibri" w:cs="Calibri"/>
          <w:kern w:val="0"/>
          <w14:ligatures w14:val="none"/>
        </w:rPr>
        <w:t xml:space="preserve">Under the </w:t>
      </w:r>
      <w:r w:rsidRPr="00B5064E">
        <w:rPr>
          <w:rFonts w:ascii="Calibri" w:eastAsia="MS Mincho" w:hAnsi="Calibri" w:cs="Calibri"/>
          <w:i/>
          <w:kern w:val="0"/>
          <w14:ligatures w14:val="none"/>
        </w:rPr>
        <w:t>Competition and Consumer (Industry Code—Electricity Retail) Regulations 2019</w:t>
      </w:r>
      <w:r w:rsidRPr="00B5064E">
        <w:rPr>
          <w:rFonts w:ascii="Calibri" w:eastAsia="MS Mincho" w:hAnsi="Calibri" w:cs="Calibri"/>
          <w:kern w:val="0"/>
          <w14:ligatures w14:val="none"/>
        </w:rPr>
        <w:t>, the AER determines the DMO</w:t>
      </w:r>
      <w:r w:rsidR="009D11CA" w:rsidRPr="00B5064E">
        <w:rPr>
          <w:rStyle w:val="FootnoteReference"/>
          <w:rFonts w:ascii="Calibri" w:eastAsia="MS Mincho" w:hAnsi="Calibri" w:cs="Calibri"/>
          <w:kern w:val="0"/>
          <w14:ligatures w14:val="none"/>
        </w:rPr>
        <w:footnoteReference w:id="9"/>
      </w:r>
      <w:r w:rsidRPr="00B5064E">
        <w:rPr>
          <w:rFonts w:ascii="Calibri" w:eastAsia="MS Mincho" w:hAnsi="Calibri" w:cs="Calibri"/>
          <w:kern w:val="0"/>
          <w14:ligatures w14:val="none"/>
        </w:rPr>
        <w:t>. The DMO:</w:t>
      </w:r>
    </w:p>
    <w:p w14:paraId="7BD56DF9" w14:textId="04276943" w:rsidR="00DE78B0" w:rsidRPr="00B5064E" w:rsidRDefault="00DE78B0" w:rsidP="00CF405C">
      <w:pPr>
        <w:numPr>
          <w:ilvl w:val="0"/>
          <w:numId w:val="11"/>
        </w:numPr>
        <w:spacing w:before="120" w:after="120"/>
        <w:ind w:left="714" w:hanging="357"/>
        <w:rPr>
          <w:rFonts w:ascii="Calibri" w:eastAsia="MS Mincho" w:hAnsi="Calibri" w:cs="Calibri"/>
          <w:kern w:val="0"/>
          <w14:ligatures w14:val="none"/>
        </w:rPr>
      </w:pPr>
      <w:r w:rsidRPr="00B5064E">
        <w:rPr>
          <w:rFonts w:ascii="Calibri" w:eastAsia="MS Mincho" w:hAnsi="Calibri" w:cs="Calibri"/>
          <w:kern w:val="0"/>
          <w14:ligatures w14:val="none"/>
        </w:rPr>
        <w:t xml:space="preserve">Acts as a regulated price cap for standing offer </w:t>
      </w:r>
      <w:r w:rsidR="001109B0" w:rsidRPr="00B5064E">
        <w:rPr>
          <w:rFonts w:ascii="Calibri" w:eastAsia="MS Mincho" w:hAnsi="Calibri" w:cs="Calibri"/>
          <w:kern w:val="0"/>
          <w14:ligatures w14:val="none"/>
        </w:rPr>
        <w:t>customers.</w:t>
      </w:r>
    </w:p>
    <w:p w14:paraId="45E8F13A" w14:textId="77777777" w:rsidR="00DE78B0" w:rsidRPr="00B5064E" w:rsidRDefault="00DE78B0" w:rsidP="00CF405C">
      <w:pPr>
        <w:numPr>
          <w:ilvl w:val="0"/>
          <w:numId w:val="11"/>
        </w:numPr>
        <w:spacing w:before="120" w:after="120"/>
        <w:ind w:left="714" w:hanging="357"/>
        <w:rPr>
          <w:rFonts w:ascii="Calibri" w:eastAsia="MS Mincho" w:hAnsi="Calibri" w:cs="Calibri"/>
          <w:kern w:val="0"/>
          <w14:ligatures w14:val="none"/>
        </w:rPr>
      </w:pPr>
      <w:r w:rsidRPr="00B5064E">
        <w:rPr>
          <w:rFonts w:ascii="Calibri" w:eastAsia="MS Mincho" w:hAnsi="Calibri" w:cs="Calibri"/>
          <w:kern w:val="0"/>
          <w14:ligatures w14:val="none"/>
        </w:rPr>
        <w:lastRenderedPageBreak/>
        <w:t>Provides a transparent reference price for market offers; and</w:t>
      </w:r>
    </w:p>
    <w:p w14:paraId="147B1D02" w14:textId="77777777" w:rsidR="00DE78B0" w:rsidRPr="00B5064E" w:rsidRDefault="00DE78B0" w:rsidP="00CF405C">
      <w:pPr>
        <w:numPr>
          <w:ilvl w:val="0"/>
          <w:numId w:val="11"/>
        </w:numPr>
        <w:spacing w:before="120" w:after="120"/>
        <w:ind w:left="714" w:hanging="357"/>
        <w:rPr>
          <w:rFonts w:ascii="Calibri" w:eastAsia="MS Mincho" w:hAnsi="Calibri" w:cs="Calibri"/>
          <w:kern w:val="0"/>
          <w14:ligatures w14:val="none"/>
        </w:rPr>
      </w:pPr>
      <w:r w:rsidRPr="00B5064E">
        <w:rPr>
          <w:rFonts w:ascii="Calibri" w:eastAsia="MS Mincho" w:hAnsi="Calibri" w:cs="Calibri"/>
          <w:kern w:val="0"/>
          <w14:ligatures w14:val="none"/>
        </w:rPr>
        <w:t>Is enforced by the AER through monitoring, compliance and civil penalty provisions.</w:t>
      </w:r>
    </w:p>
    <w:p w14:paraId="52148E85" w14:textId="03F50E06" w:rsidR="00DE78B0" w:rsidRPr="00B5064E" w:rsidRDefault="00DE78B0" w:rsidP="00DE78B0">
      <w:pPr>
        <w:rPr>
          <w:rFonts w:ascii="Calibri" w:eastAsia="MS Mincho" w:hAnsi="Calibri" w:cs="Calibri"/>
          <w:kern w:val="0"/>
          <w14:ligatures w14:val="none"/>
        </w:rPr>
      </w:pPr>
      <w:r w:rsidRPr="00B5064E">
        <w:rPr>
          <w:rFonts w:ascii="Calibri" w:eastAsia="MS Mincho" w:hAnsi="Calibri" w:cs="Calibri"/>
          <w:kern w:val="0"/>
          <w14:ligatures w14:val="none"/>
        </w:rPr>
        <w:t xml:space="preserve">While the DMO provides an important consumer protection mechanism, it does not mandate or standardise </w:t>
      </w:r>
      <w:r w:rsidR="007907ED" w:rsidRPr="00B5064E">
        <w:rPr>
          <w:rFonts w:ascii="Calibri" w:eastAsia="MS Mincho" w:hAnsi="Calibri" w:cs="Calibri"/>
          <w:kern w:val="0"/>
          <w14:ligatures w14:val="none"/>
        </w:rPr>
        <w:t xml:space="preserve">the types of standing offers that a retailer must offer, including </w:t>
      </w:r>
      <w:r w:rsidRPr="00B5064E">
        <w:rPr>
          <w:rFonts w:ascii="Calibri" w:eastAsia="MS Mincho" w:hAnsi="Calibri" w:cs="Calibri"/>
          <w:kern w:val="0"/>
          <w14:ligatures w14:val="none"/>
        </w:rPr>
        <w:t xml:space="preserve">solar-aligned tariff structures. It ensures price comparability and safety-net protections but does not directly address demand misalignment or solar access inequities. </w:t>
      </w:r>
    </w:p>
    <w:p w14:paraId="79AC7861" w14:textId="77777777" w:rsidR="00DE78B0" w:rsidRPr="00B5064E" w:rsidRDefault="00DE78B0" w:rsidP="003D7654">
      <w:pPr>
        <w:pStyle w:val="Heading3"/>
        <w:spacing w:after="120"/>
        <w:rPr>
          <w:rFonts w:ascii="Calibri" w:hAnsi="Calibri" w:cs="Calibri"/>
        </w:rPr>
      </w:pPr>
      <w:bookmarkStart w:id="12" w:name="_Toc222842759"/>
      <w:r w:rsidRPr="00B5064E">
        <w:rPr>
          <w:rFonts w:ascii="Calibri" w:hAnsi="Calibri" w:cs="Calibri"/>
        </w:rPr>
        <w:t>Smart Meter Reforms</w:t>
      </w:r>
      <w:bookmarkEnd w:id="12"/>
    </w:p>
    <w:p w14:paraId="689308F0" w14:textId="7B0366B4" w:rsidR="00DE78B0" w:rsidRPr="00B5064E" w:rsidRDefault="00DE78B0" w:rsidP="00DE78B0">
      <w:pPr>
        <w:rPr>
          <w:rFonts w:ascii="Calibri" w:eastAsia="MS Mincho" w:hAnsi="Calibri" w:cs="Calibri"/>
          <w:kern w:val="0"/>
          <w14:ligatures w14:val="none"/>
        </w:rPr>
      </w:pPr>
      <w:r w:rsidRPr="00B5064E">
        <w:rPr>
          <w:rFonts w:ascii="Calibri" w:eastAsia="MS Mincho" w:hAnsi="Calibri" w:cs="Calibri"/>
          <w:kern w:val="0"/>
          <w14:ligatures w14:val="none"/>
        </w:rPr>
        <w:t>The Australian Energy Market Commission (AEMC)</w:t>
      </w:r>
      <w:r w:rsidR="009D11CA" w:rsidRPr="00B5064E">
        <w:rPr>
          <w:rStyle w:val="FootnoteReference"/>
          <w:rFonts w:ascii="Calibri" w:eastAsia="MS Mincho" w:hAnsi="Calibri" w:cs="Calibri"/>
          <w:kern w:val="0"/>
          <w14:ligatures w14:val="none"/>
        </w:rPr>
        <w:footnoteReference w:id="10"/>
      </w:r>
      <w:r w:rsidRPr="00B5064E">
        <w:rPr>
          <w:rFonts w:ascii="Calibri" w:eastAsia="MS Mincho" w:hAnsi="Calibri" w:cs="Calibri"/>
          <w:kern w:val="0"/>
          <w14:ligatures w14:val="none"/>
        </w:rPr>
        <w:t xml:space="preserve"> has introduced reforms to achieve universal access to smart meters by 2030. These reforms enable time-of-use pricing and more sophisticated retail tariff design. However, they do not require retailers to provide consistent solar-aligned products.</w:t>
      </w:r>
    </w:p>
    <w:p w14:paraId="6BCAC803" w14:textId="77777777" w:rsidR="00DE78B0" w:rsidRPr="00B5064E" w:rsidRDefault="00DE78B0" w:rsidP="003D7654">
      <w:pPr>
        <w:pStyle w:val="Heading3"/>
        <w:spacing w:after="120"/>
        <w:rPr>
          <w:rFonts w:ascii="Calibri" w:hAnsi="Calibri" w:cs="Calibri"/>
        </w:rPr>
      </w:pPr>
      <w:bookmarkStart w:id="13" w:name="_Toc222842760"/>
      <w:r w:rsidRPr="00B5064E">
        <w:rPr>
          <w:rFonts w:ascii="Calibri" w:hAnsi="Calibri" w:cs="Calibri"/>
        </w:rPr>
        <w:t>Retailer-led “Free Period” Products</w:t>
      </w:r>
      <w:bookmarkEnd w:id="13"/>
    </w:p>
    <w:p w14:paraId="5D67F959" w14:textId="7521EEEA" w:rsidR="00DE78B0" w:rsidRPr="00B5064E" w:rsidRDefault="00DE78B0" w:rsidP="00DE78B0">
      <w:pPr>
        <w:rPr>
          <w:rFonts w:ascii="Calibri" w:eastAsia="MS Mincho" w:hAnsi="Calibri" w:cs="Calibri"/>
          <w:kern w:val="0"/>
          <w14:ligatures w14:val="none"/>
        </w:rPr>
      </w:pPr>
      <w:r w:rsidRPr="00B5064E">
        <w:rPr>
          <w:rFonts w:ascii="Calibri" w:eastAsia="MS Mincho" w:hAnsi="Calibri" w:cs="Calibri"/>
          <w:kern w:val="0"/>
          <w14:ligatures w14:val="none"/>
        </w:rPr>
        <w:t xml:space="preserve">Some retailers have introduced voluntary “free power period” or “solar sponge” offers. These products are enforced through standard retail law and consumer protections. </w:t>
      </w:r>
      <w:r w:rsidR="001200C8" w:rsidRPr="00B5064E">
        <w:rPr>
          <w:rFonts w:ascii="Calibri" w:eastAsia="MS Mincho" w:hAnsi="Calibri" w:cs="Calibri"/>
          <w:kern w:val="0"/>
          <w14:ligatures w14:val="none"/>
        </w:rPr>
        <w:t>However, as TOU tariff market offers, the design of these plans varies across retailers and states, including differences in the timing and length of the free window, eligibility requirements, and how costs are recovered outside the free period (usually through higher usage or fixed charges). These are competitive, non-standardised offers where retailers retain flexibility over terms, conditions, and pricing subject to requirements under general and energy-specific consumer protection frameworks</w:t>
      </w:r>
      <w:r w:rsidR="000517CB" w:rsidRPr="00B5064E">
        <w:rPr>
          <w:rFonts w:ascii="Calibri" w:eastAsia="MS Mincho" w:hAnsi="Calibri" w:cs="Calibri"/>
          <w:kern w:val="0"/>
          <w14:ligatures w14:val="none"/>
        </w:rPr>
        <w:t>.</w:t>
      </w:r>
    </w:p>
    <w:p w14:paraId="21DD6EE0" w14:textId="77777777" w:rsidR="0065055C" w:rsidRPr="00B5064E" w:rsidRDefault="0065055C" w:rsidP="0065055C">
      <w:pPr>
        <w:spacing w:line="278" w:lineRule="auto"/>
        <w:rPr>
          <w:rFonts w:ascii="Calibri" w:hAnsi="Calibri" w:cs="Calibri"/>
          <w:color w:val="000000" w:themeColor="text1"/>
          <w:szCs w:val="18"/>
        </w:rPr>
      </w:pPr>
      <w:r w:rsidRPr="00B5064E">
        <w:rPr>
          <w:rFonts w:ascii="Calibri" w:hAnsi="Calibri" w:cs="Calibri"/>
          <w:color w:val="000000" w:themeColor="text1"/>
        </w:rPr>
        <w:t>Key examples of market offered FPP products include:</w:t>
      </w:r>
    </w:p>
    <w:p w14:paraId="46F33D06" w14:textId="77777777" w:rsidR="0065055C" w:rsidRPr="00B5064E" w:rsidRDefault="0065055C" w:rsidP="00CF405C">
      <w:pPr>
        <w:numPr>
          <w:ilvl w:val="0"/>
          <w:numId w:val="11"/>
        </w:numPr>
        <w:spacing w:before="120" w:after="120"/>
        <w:ind w:left="714" w:hanging="357"/>
        <w:rPr>
          <w:rFonts w:ascii="Calibri" w:hAnsi="Calibri" w:cs="Calibri"/>
          <w:color w:val="000000" w:themeColor="text1"/>
          <w:szCs w:val="18"/>
        </w:rPr>
      </w:pPr>
      <w:r w:rsidRPr="3AE2F883">
        <w:rPr>
          <w:rFonts w:ascii="Calibri" w:hAnsi="Calibri" w:cs="Calibri"/>
          <w:b/>
          <w:color w:val="000000" w:themeColor="text1"/>
          <w:lang w:val="en-GB"/>
        </w:rPr>
        <w:t>AGL “Three for Free”</w:t>
      </w:r>
      <w:r w:rsidRPr="3AE2F883">
        <w:rPr>
          <w:rFonts w:ascii="Calibri" w:hAnsi="Calibri" w:cs="Calibri"/>
          <w:color w:val="000000" w:themeColor="text1"/>
          <w:lang w:val="en-GB"/>
        </w:rPr>
        <w:t xml:space="preserve"> – 3 free hours </w:t>
      </w:r>
      <w:r w:rsidRPr="00B5064E">
        <w:rPr>
          <w:rFonts w:ascii="Calibri" w:eastAsia="MS Mincho" w:hAnsi="Calibri" w:cs="Calibri"/>
          <w:kern w:val="0"/>
          <w14:ligatures w14:val="none"/>
        </w:rPr>
        <w:t>daily</w:t>
      </w:r>
      <w:r w:rsidRPr="3AE2F883">
        <w:rPr>
          <w:rFonts w:ascii="Calibri" w:hAnsi="Calibri" w:cs="Calibri"/>
          <w:color w:val="000000" w:themeColor="text1"/>
          <w:lang w:val="en-GB"/>
        </w:rPr>
        <w:t xml:space="preserve"> (10am–1pm). Savings (~$800/yr) require shifting ~5 kWh/day into the free windo</w:t>
      </w:r>
      <w:r w:rsidRPr="3AE2F883">
        <w:rPr>
          <w:rFonts w:ascii="Calibri" w:hAnsi="Calibri" w:cs="Calibri"/>
          <w:color w:val="000000" w:themeColor="text1"/>
        </w:rPr>
        <w:t>w.</w:t>
      </w:r>
      <w:r w:rsidRPr="3AE2F883">
        <w:rPr>
          <w:rFonts w:ascii="Calibri" w:hAnsi="Calibri" w:cs="Calibri"/>
          <w:color w:val="000000" w:themeColor="text1"/>
          <w:vertAlign w:val="superscript"/>
        </w:rPr>
        <w:footnoteReference w:id="11"/>
      </w:r>
    </w:p>
    <w:p w14:paraId="7C78EB1D" w14:textId="77777777" w:rsidR="0065055C" w:rsidRPr="00B5064E" w:rsidRDefault="0065055C" w:rsidP="00CF405C">
      <w:pPr>
        <w:numPr>
          <w:ilvl w:val="0"/>
          <w:numId w:val="32"/>
        </w:numPr>
        <w:spacing w:before="120" w:after="120"/>
        <w:ind w:left="714" w:hanging="357"/>
        <w:rPr>
          <w:rFonts w:ascii="Calibri" w:hAnsi="Calibri" w:cs="Calibri"/>
          <w:color w:val="000000" w:themeColor="text1"/>
          <w:szCs w:val="18"/>
        </w:rPr>
      </w:pPr>
      <w:r w:rsidRPr="3AE2F883">
        <w:rPr>
          <w:rFonts w:ascii="Calibri" w:hAnsi="Calibri" w:cs="Calibri"/>
          <w:b/>
          <w:color w:val="000000" w:themeColor="text1"/>
          <w:lang w:val="en-GB"/>
        </w:rPr>
        <w:t>OVO “Free 3”</w:t>
      </w:r>
      <w:r w:rsidRPr="3AE2F883">
        <w:rPr>
          <w:rFonts w:ascii="Calibri" w:hAnsi="Calibri" w:cs="Calibri"/>
          <w:color w:val="000000" w:themeColor="text1"/>
          <w:lang w:val="en-GB"/>
        </w:rPr>
        <w:t xml:space="preserve"> – 3 free hours daily (11am–2pm) across NSW, Qld, SA, Vic. Marketed for daytime users or automated appliances.</w:t>
      </w:r>
      <w:r w:rsidRPr="3AE2F883">
        <w:rPr>
          <w:rFonts w:ascii="Calibri" w:hAnsi="Calibri" w:cs="Calibri"/>
          <w:color w:val="000000" w:themeColor="text1"/>
          <w:vertAlign w:val="superscript"/>
          <w:lang w:val="en-GB"/>
        </w:rPr>
        <w:footnoteReference w:id="12"/>
      </w:r>
    </w:p>
    <w:p w14:paraId="45E0B2DE" w14:textId="77777777" w:rsidR="0065055C" w:rsidRPr="00B5064E" w:rsidRDefault="0065055C" w:rsidP="00CF405C">
      <w:pPr>
        <w:numPr>
          <w:ilvl w:val="0"/>
          <w:numId w:val="32"/>
        </w:numPr>
        <w:spacing w:before="120" w:after="120"/>
        <w:ind w:left="714" w:hanging="357"/>
        <w:rPr>
          <w:rFonts w:ascii="Calibri" w:hAnsi="Calibri" w:cs="Calibri"/>
          <w:color w:val="000000" w:themeColor="text1"/>
          <w:szCs w:val="18"/>
        </w:rPr>
      </w:pPr>
      <w:r w:rsidRPr="00B5064E">
        <w:rPr>
          <w:rFonts w:ascii="Calibri" w:hAnsi="Calibri" w:cs="Calibri"/>
          <w:b/>
          <w:bCs/>
          <w:color w:val="000000" w:themeColor="text1"/>
          <w:szCs w:val="18"/>
          <w:lang w:val="en-GB"/>
        </w:rPr>
        <w:t>Red Energy “Red EV Saver”</w:t>
      </w:r>
      <w:r w:rsidRPr="00B5064E">
        <w:rPr>
          <w:rFonts w:ascii="Calibri" w:hAnsi="Calibri" w:cs="Calibri"/>
          <w:color w:val="000000" w:themeColor="text1"/>
          <w:szCs w:val="18"/>
          <w:lang w:val="en-GB"/>
        </w:rPr>
        <w:t xml:space="preserve"> – 4 free weekend hours (12–2pm Sat/Sun) marketed for EV charging and chores, with higher weekday charges.</w:t>
      </w:r>
    </w:p>
    <w:p w14:paraId="583AC7E3" w14:textId="77777777" w:rsidR="0065055C" w:rsidRPr="00B5064E" w:rsidRDefault="0065055C" w:rsidP="00CF405C">
      <w:pPr>
        <w:numPr>
          <w:ilvl w:val="0"/>
          <w:numId w:val="32"/>
        </w:numPr>
        <w:spacing w:before="120" w:after="120"/>
        <w:ind w:left="714" w:hanging="357"/>
        <w:rPr>
          <w:rFonts w:ascii="Calibri" w:hAnsi="Calibri" w:cs="Calibri"/>
          <w:b/>
          <w:color w:val="000000" w:themeColor="text1"/>
          <w:szCs w:val="18"/>
        </w:rPr>
      </w:pPr>
      <w:r w:rsidRPr="00B5064E">
        <w:rPr>
          <w:rFonts w:ascii="Calibri" w:hAnsi="Calibri" w:cs="Calibri"/>
          <w:b/>
          <w:bCs/>
          <w:color w:val="000000" w:themeColor="text1"/>
          <w:szCs w:val="18"/>
        </w:rPr>
        <w:t xml:space="preserve">Synergy Midday Saver (Time of Use Tariff) </w:t>
      </w:r>
      <w:r w:rsidRPr="00B5064E">
        <w:rPr>
          <w:rFonts w:ascii="Calibri" w:hAnsi="Calibri" w:cs="Calibri"/>
          <w:color w:val="000000" w:themeColor="text1"/>
          <w:szCs w:val="18"/>
          <w:lang w:val="en-GB"/>
        </w:rPr>
        <w:t>–</w:t>
      </w:r>
      <w:r w:rsidRPr="00B5064E">
        <w:rPr>
          <w:rFonts w:ascii="Calibri" w:hAnsi="Calibri" w:cs="Calibri"/>
          <w:b/>
          <w:bCs/>
          <w:color w:val="000000" w:themeColor="text1"/>
          <w:szCs w:val="18"/>
        </w:rPr>
        <w:t xml:space="preserve"> </w:t>
      </w:r>
      <w:r w:rsidRPr="00B5064E">
        <w:rPr>
          <w:rFonts w:ascii="Calibri" w:hAnsi="Calibri" w:cs="Calibri"/>
          <w:color w:val="000000" w:themeColor="text1"/>
          <w:szCs w:val="18"/>
          <w:lang w:val="en-GB"/>
        </w:rPr>
        <w:t>“Super Off Peak" period from 9 am to 3 pm, an "Off Peak" period from 9 pm to 9 am, and a "Peak" period from 3 pm to 9 pm, with the highest rates during peak times.</w:t>
      </w:r>
    </w:p>
    <w:p w14:paraId="2B0918EC" w14:textId="0C4998FC" w:rsidR="0065055C" w:rsidRPr="00B5064E" w:rsidRDefault="0065055C" w:rsidP="00CF405C">
      <w:pPr>
        <w:numPr>
          <w:ilvl w:val="0"/>
          <w:numId w:val="32"/>
        </w:numPr>
        <w:spacing w:before="120" w:after="120"/>
        <w:ind w:left="714" w:hanging="357"/>
        <w:rPr>
          <w:rFonts w:ascii="Calibri" w:hAnsi="Calibri" w:cs="Calibri"/>
          <w:b/>
          <w:color w:val="000000" w:themeColor="text1"/>
          <w:szCs w:val="18"/>
        </w:rPr>
      </w:pPr>
      <w:r w:rsidRPr="3AE2F883">
        <w:rPr>
          <w:rFonts w:ascii="Calibri" w:hAnsi="Calibri" w:cs="Calibri"/>
          <w:b/>
          <w:color w:val="000000" w:themeColor="text1"/>
        </w:rPr>
        <w:t xml:space="preserve">GloBird </w:t>
      </w:r>
      <w:r w:rsidRPr="3AE2F883">
        <w:rPr>
          <w:rFonts w:ascii="Calibri" w:hAnsi="Calibri" w:cs="Calibri"/>
          <w:color w:val="000000" w:themeColor="text1"/>
          <w:lang w:val="en-GB"/>
        </w:rPr>
        <w:t>–</w:t>
      </w:r>
      <w:r w:rsidRPr="3AE2F883">
        <w:rPr>
          <w:rFonts w:ascii="Calibri" w:hAnsi="Calibri" w:cs="Calibri"/>
          <w:b/>
          <w:color w:val="000000" w:themeColor="text1"/>
        </w:rPr>
        <w:t xml:space="preserve"> </w:t>
      </w:r>
      <w:r w:rsidRPr="3AE2F883">
        <w:rPr>
          <w:rFonts w:ascii="Calibri" w:hAnsi="Calibri" w:cs="Calibri"/>
          <w:color w:val="000000" w:themeColor="text1"/>
        </w:rPr>
        <w:t>offers free power during a "Free Lunch" period from 12 PM to 2 PM daily and a "ZeroHero" period of 11 AM to 2 PM for eligible homes with a battery.</w:t>
      </w:r>
      <w:r w:rsidRPr="3AE2F883">
        <w:rPr>
          <w:rFonts w:ascii="Calibri" w:hAnsi="Calibri" w:cs="Calibri"/>
          <w:b/>
          <w:color w:val="000000" w:themeColor="text1"/>
          <w:vertAlign w:val="superscript"/>
        </w:rPr>
        <w:footnoteReference w:id="13"/>
      </w:r>
    </w:p>
    <w:p w14:paraId="6C125FFB" w14:textId="65B7CEB6" w:rsidR="00DE78B0" w:rsidRPr="00B5064E" w:rsidRDefault="00DE78B0" w:rsidP="00E804CB">
      <w:pPr>
        <w:pStyle w:val="Heading2"/>
        <w:rPr>
          <w:rFonts w:ascii="Calibri" w:hAnsi="Calibri" w:cs="Calibri"/>
        </w:rPr>
      </w:pPr>
      <w:bookmarkStart w:id="14" w:name="_Toc222842761"/>
      <w:r w:rsidRPr="00B5064E">
        <w:rPr>
          <w:rFonts w:ascii="Calibri" w:hAnsi="Calibri" w:cs="Calibri"/>
        </w:rPr>
        <w:t>Current Government Measures</w:t>
      </w:r>
      <w:bookmarkEnd w:id="14"/>
    </w:p>
    <w:p w14:paraId="3A19B908" w14:textId="2065A3E1" w:rsidR="00DE78B0" w:rsidRPr="00B5064E" w:rsidRDefault="00DE78B0" w:rsidP="00DE78B0">
      <w:pPr>
        <w:rPr>
          <w:rFonts w:ascii="Calibri" w:eastAsia="MS Mincho" w:hAnsi="Calibri" w:cs="Calibri"/>
          <w:kern w:val="0"/>
          <w14:ligatures w14:val="none"/>
        </w:rPr>
      </w:pPr>
      <w:r w:rsidRPr="00B5064E">
        <w:rPr>
          <w:rFonts w:ascii="Calibri" w:eastAsia="MS Mincho" w:hAnsi="Calibri" w:cs="Calibri"/>
          <w:kern w:val="0"/>
          <w:lang w:val="en-GB"/>
          <w14:ligatures w14:val="none"/>
        </w:rPr>
        <w:t>In the recent years, the</w:t>
      </w:r>
      <w:r w:rsidR="00D00E61" w:rsidRPr="00B5064E">
        <w:rPr>
          <w:rFonts w:ascii="Calibri" w:eastAsia="MS Mincho" w:hAnsi="Calibri" w:cs="Calibri"/>
          <w:kern w:val="0"/>
          <w:lang w:val="en-GB"/>
          <w14:ligatures w14:val="none"/>
        </w:rPr>
        <w:t xml:space="preserve"> </w:t>
      </w:r>
      <w:r w:rsidRPr="00B5064E">
        <w:rPr>
          <w:rFonts w:ascii="Calibri" w:eastAsia="MS Mincho" w:hAnsi="Calibri" w:cs="Calibri"/>
          <w:kern w:val="0"/>
          <w:lang w:val="en-GB"/>
          <w14:ligatures w14:val="none"/>
        </w:rPr>
        <w:t>Australian Government</w:t>
      </w:r>
      <w:r w:rsidR="00D00E61" w:rsidRPr="00B5064E">
        <w:rPr>
          <w:rFonts w:ascii="Calibri" w:eastAsia="MS Mincho" w:hAnsi="Calibri" w:cs="Calibri"/>
          <w:kern w:val="0"/>
          <w:lang w:val="en-GB"/>
          <w14:ligatures w14:val="none"/>
        </w:rPr>
        <w:t xml:space="preserve"> </w:t>
      </w:r>
      <w:r w:rsidRPr="00B5064E">
        <w:rPr>
          <w:rFonts w:ascii="Calibri" w:eastAsia="MS Mincho" w:hAnsi="Calibri" w:cs="Calibri"/>
          <w:kern w:val="0"/>
          <w:lang w:val="en-GB"/>
          <w14:ligatures w14:val="none"/>
        </w:rPr>
        <w:t>has</w:t>
      </w:r>
      <w:r w:rsidR="00D00E61" w:rsidRPr="00B5064E">
        <w:rPr>
          <w:rFonts w:ascii="Calibri" w:eastAsia="MS Mincho" w:hAnsi="Calibri" w:cs="Calibri"/>
          <w:kern w:val="0"/>
          <w:lang w:val="en-GB"/>
          <w14:ligatures w14:val="none"/>
        </w:rPr>
        <w:t xml:space="preserve"> </w:t>
      </w:r>
      <w:r w:rsidRPr="00B5064E">
        <w:rPr>
          <w:rFonts w:ascii="Calibri" w:eastAsia="MS Mincho" w:hAnsi="Calibri" w:cs="Calibri"/>
          <w:kern w:val="0"/>
          <w:lang w:val="en-GB"/>
          <w14:ligatures w14:val="none"/>
        </w:rPr>
        <w:t>introduced targeted measures to ease</w:t>
      </w:r>
      <w:r w:rsidR="00B73235" w:rsidRPr="00B5064E">
        <w:rPr>
          <w:rFonts w:ascii="Calibri" w:eastAsia="MS Mincho" w:hAnsi="Calibri" w:cs="Calibri"/>
          <w:kern w:val="0"/>
          <w:lang w:val="en-GB"/>
          <w14:ligatures w14:val="none"/>
        </w:rPr>
        <w:t xml:space="preserve"> </w:t>
      </w:r>
      <w:r w:rsidRPr="00B5064E">
        <w:rPr>
          <w:rFonts w:ascii="Calibri" w:eastAsia="MS Mincho" w:hAnsi="Calibri" w:cs="Calibri"/>
          <w:kern w:val="0"/>
          <w:lang w:val="en-GB"/>
          <w14:ligatures w14:val="none"/>
        </w:rPr>
        <w:t>near-term</w:t>
      </w:r>
      <w:r w:rsidR="00B73235" w:rsidRPr="00B5064E">
        <w:rPr>
          <w:rFonts w:ascii="Calibri" w:eastAsia="MS Mincho" w:hAnsi="Calibri" w:cs="Calibri"/>
          <w:kern w:val="0"/>
          <w:lang w:val="en-GB"/>
          <w14:ligatures w14:val="none"/>
        </w:rPr>
        <w:t xml:space="preserve"> </w:t>
      </w:r>
      <w:r w:rsidRPr="00B5064E">
        <w:rPr>
          <w:rFonts w:ascii="Calibri" w:eastAsia="MS Mincho" w:hAnsi="Calibri" w:cs="Calibri"/>
          <w:kern w:val="0"/>
          <w:lang w:val="en-GB"/>
          <w14:ligatures w14:val="none"/>
        </w:rPr>
        <w:t>energy</w:t>
      </w:r>
      <w:r w:rsidR="00B73235" w:rsidRPr="00B5064E">
        <w:rPr>
          <w:rFonts w:ascii="Calibri" w:eastAsia="MS Mincho" w:hAnsi="Calibri" w:cs="Calibri"/>
          <w:kern w:val="0"/>
          <w:lang w:val="en-GB"/>
          <w14:ligatures w14:val="none"/>
        </w:rPr>
        <w:t xml:space="preserve"> </w:t>
      </w:r>
      <w:r w:rsidRPr="00B5064E">
        <w:rPr>
          <w:rFonts w:ascii="Calibri" w:eastAsia="MS Mincho" w:hAnsi="Calibri" w:cs="Calibri"/>
          <w:kern w:val="0"/>
          <w:lang w:val="en-GB"/>
          <w14:ligatures w14:val="none"/>
        </w:rPr>
        <w:t>cost</w:t>
      </w:r>
      <w:r w:rsidR="00B73235" w:rsidRPr="00B5064E">
        <w:rPr>
          <w:rFonts w:ascii="Calibri" w:eastAsia="MS Mincho" w:hAnsi="Calibri" w:cs="Calibri"/>
          <w:kern w:val="0"/>
          <w:lang w:val="en-GB"/>
          <w14:ligatures w14:val="none"/>
        </w:rPr>
        <w:t xml:space="preserve"> </w:t>
      </w:r>
      <w:r w:rsidRPr="00B5064E">
        <w:rPr>
          <w:rFonts w:ascii="Calibri" w:eastAsia="MS Mincho" w:hAnsi="Calibri" w:cs="Calibri"/>
          <w:kern w:val="0"/>
          <w:lang w:val="en-GB"/>
          <w14:ligatures w14:val="none"/>
        </w:rPr>
        <w:t>pressures, including</w:t>
      </w:r>
      <w:r w:rsidR="00D00E61" w:rsidRPr="00B5064E">
        <w:rPr>
          <w:rFonts w:ascii="Calibri" w:eastAsia="MS Mincho" w:hAnsi="Calibri" w:cs="Calibri"/>
          <w:kern w:val="0"/>
          <w:lang w:val="en-GB"/>
          <w14:ligatures w14:val="none"/>
        </w:rPr>
        <w:t xml:space="preserve"> </w:t>
      </w:r>
      <w:r w:rsidRPr="00B5064E">
        <w:rPr>
          <w:rFonts w:ascii="Calibri" w:eastAsia="MS Mincho" w:hAnsi="Calibri" w:cs="Calibri"/>
          <w:kern w:val="0"/>
          <w:lang w:val="en-GB"/>
          <w14:ligatures w14:val="none"/>
        </w:rPr>
        <w:t>the Energy Bill Relief Fund (EBRF)</w:t>
      </w:r>
      <w:r w:rsidR="009D4568" w:rsidRPr="00B5064E">
        <w:rPr>
          <w:rStyle w:val="FootnoteReference"/>
          <w:rFonts w:ascii="Calibri" w:eastAsia="MS Mincho" w:hAnsi="Calibri" w:cs="Calibri"/>
          <w:kern w:val="0"/>
          <w:lang w:val="en-GB"/>
          <w14:ligatures w14:val="none"/>
        </w:rPr>
        <w:footnoteReference w:id="14"/>
      </w:r>
      <w:r w:rsidRPr="00B5064E">
        <w:rPr>
          <w:rFonts w:ascii="Calibri" w:eastAsia="MS Mincho" w:hAnsi="Calibri" w:cs="Calibri"/>
          <w:kern w:val="0"/>
          <w:lang w:val="en-GB"/>
          <w14:ligatures w14:val="none"/>
        </w:rPr>
        <w:t>.</w:t>
      </w:r>
      <w:r w:rsidR="00D00E61" w:rsidRPr="00B5064E">
        <w:rPr>
          <w:rFonts w:ascii="Calibri" w:eastAsia="MS Mincho" w:hAnsi="Calibri" w:cs="Calibri"/>
          <w:kern w:val="0"/>
          <w:lang w:val="en-GB"/>
          <w14:ligatures w14:val="none"/>
        </w:rPr>
        <w:t xml:space="preserve"> </w:t>
      </w:r>
      <w:r w:rsidRPr="00B5064E">
        <w:rPr>
          <w:rFonts w:ascii="Calibri" w:eastAsia="MS Mincho" w:hAnsi="Calibri" w:cs="Calibri"/>
          <w:kern w:val="0"/>
          <w:lang w:val="en-GB"/>
          <w14:ligatures w14:val="none"/>
        </w:rPr>
        <w:t>Recognising</w:t>
      </w:r>
      <w:r w:rsidR="00D00E61" w:rsidRPr="00B5064E">
        <w:rPr>
          <w:rFonts w:ascii="Calibri" w:eastAsia="MS Mincho" w:hAnsi="Calibri" w:cs="Calibri"/>
          <w:kern w:val="0"/>
          <w:lang w:val="en-GB"/>
          <w14:ligatures w14:val="none"/>
        </w:rPr>
        <w:t xml:space="preserve"> </w:t>
      </w:r>
      <w:r w:rsidRPr="00B5064E">
        <w:rPr>
          <w:rFonts w:ascii="Calibri" w:eastAsia="MS Mincho" w:hAnsi="Calibri" w:cs="Calibri"/>
          <w:kern w:val="0"/>
          <w:lang w:val="en-GB"/>
          <w14:ligatures w14:val="none"/>
        </w:rPr>
        <w:t>ongoing</w:t>
      </w:r>
      <w:r w:rsidR="00D00E61" w:rsidRPr="00B5064E">
        <w:rPr>
          <w:rFonts w:ascii="Calibri" w:eastAsia="MS Mincho" w:hAnsi="Calibri" w:cs="Calibri"/>
          <w:kern w:val="0"/>
          <w:lang w:val="en-GB"/>
          <w14:ligatures w14:val="none"/>
        </w:rPr>
        <w:t xml:space="preserve"> </w:t>
      </w:r>
      <w:r w:rsidRPr="00B5064E">
        <w:rPr>
          <w:rFonts w:ascii="Calibri" w:eastAsia="MS Mincho" w:hAnsi="Calibri" w:cs="Calibri"/>
          <w:kern w:val="0"/>
          <w:lang w:val="en-GB"/>
          <w14:ligatures w14:val="none"/>
        </w:rPr>
        <w:t>household affordability</w:t>
      </w:r>
      <w:r w:rsidR="00D00E61" w:rsidRPr="00B5064E">
        <w:rPr>
          <w:rFonts w:ascii="Calibri" w:eastAsia="MS Mincho" w:hAnsi="Calibri" w:cs="Calibri"/>
          <w:kern w:val="0"/>
          <w:lang w:val="en-GB"/>
          <w14:ligatures w14:val="none"/>
        </w:rPr>
        <w:t xml:space="preserve"> </w:t>
      </w:r>
      <w:r w:rsidRPr="00B5064E">
        <w:rPr>
          <w:rFonts w:ascii="Calibri" w:eastAsia="MS Mincho" w:hAnsi="Calibri" w:cs="Calibri"/>
          <w:kern w:val="0"/>
          <w:lang w:val="en-GB"/>
          <w14:ligatures w14:val="none"/>
        </w:rPr>
        <w:t>challenges, the EBRF was extended from 1 July 2025 to 31 December 2025</w:t>
      </w:r>
      <w:r w:rsidRPr="00B5064E">
        <w:rPr>
          <w:rFonts w:ascii="Calibri" w:eastAsia="MS Mincho" w:hAnsi="Calibri" w:cs="Calibri"/>
          <w:kern w:val="0"/>
          <w14:ligatures w14:val="none"/>
        </w:rPr>
        <w:t>.</w:t>
      </w:r>
    </w:p>
    <w:p w14:paraId="07DC4426" w14:textId="3DF8C30F" w:rsidR="00DE78B0" w:rsidRPr="00B5064E" w:rsidRDefault="00DE78B0" w:rsidP="00DE78B0">
      <w:pPr>
        <w:rPr>
          <w:rFonts w:ascii="Calibri" w:eastAsia="MS Mincho" w:hAnsi="Calibri" w:cs="Calibri"/>
          <w:kern w:val="0"/>
          <w14:ligatures w14:val="none"/>
        </w:rPr>
      </w:pPr>
      <w:r w:rsidRPr="00B5064E">
        <w:rPr>
          <w:rFonts w:ascii="Calibri" w:eastAsia="MS Mincho" w:hAnsi="Calibri" w:cs="Calibri"/>
          <w:kern w:val="0"/>
          <w14:ligatures w14:val="none"/>
        </w:rPr>
        <w:t xml:space="preserve">While the EBRF reduced immediate bill pressures, it does not address the structural mismatch between renewable generation and consumption patterns. </w:t>
      </w:r>
      <w:r w:rsidR="00273CF4" w:rsidRPr="00B5064E">
        <w:rPr>
          <w:rFonts w:ascii="Calibri" w:eastAsia="MS Mincho" w:hAnsi="Calibri" w:cs="Calibri"/>
          <w:kern w:val="0"/>
          <w14:ligatures w14:val="none"/>
        </w:rPr>
        <w:t xml:space="preserve">There is a clear opportunity to </w:t>
      </w:r>
      <w:r w:rsidR="0064661B" w:rsidRPr="00B5064E">
        <w:rPr>
          <w:rFonts w:ascii="Calibri" w:eastAsia="MS Mincho" w:hAnsi="Calibri" w:cs="Calibri"/>
          <w:kern w:val="0"/>
          <w14:ligatures w14:val="none"/>
        </w:rPr>
        <w:t xml:space="preserve">introduce </w:t>
      </w:r>
      <w:r w:rsidRPr="00B5064E">
        <w:rPr>
          <w:rFonts w:ascii="Calibri" w:eastAsia="MS Mincho" w:hAnsi="Calibri" w:cs="Calibri"/>
          <w:kern w:val="0"/>
          <w14:ligatures w14:val="none"/>
        </w:rPr>
        <w:t xml:space="preserve">reforms </w:t>
      </w:r>
      <w:r w:rsidR="007907ED" w:rsidRPr="00B5064E">
        <w:rPr>
          <w:rFonts w:ascii="Calibri" w:eastAsia="MS Mincho" w:hAnsi="Calibri" w:cs="Calibri"/>
          <w:kern w:val="0"/>
          <w14:ligatures w14:val="none"/>
        </w:rPr>
        <w:t xml:space="preserve">that </w:t>
      </w:r>
      <w:r w:rsidR="007907ED" w:rsidRPr="00B5064E">
        <w:rPr>
          <w:rFonts w:ascii="Calibri" w:eastAsia="MS Mincho" w:hAnsi="Calibri" w:cs="Calibri"/>
          <w:kern w:val="0"/>
          <w14:ligatures w14:val="none"/>
        </w:rPr>
        <w:lastRenderedPageBreak/>
        <w:t xml:space="preserve">leverage market characteristics to deliver </w:t>
      </w:r>
      <w:r w:rsidRPr="00B5064E">
        <w:rPr>
          <w:rFonts w:ascii="Calibri" w:eastAsia="MS Mincho" w:hAnsi="Calibri" w:cs="Calibri"/>
          <w:kern w:val="0"/>
          <w14:ligatures w14:val="none"/>
        </w:rPr>
        <w:t>enduring affordability outcomes through improved market design. </w:t>
      </w:r>
    </w:p>
    <w:p w14:paraId="0C6323D0" w14:textId="2A6C8723" w:rsidR="001109B0" w:rsidRPr="00B5064E" w:rsidRDefault="001109B0" w:rsidP="001109B0">
      <w:pPr>
        <w:rPr>
          <w:rFonts w:ascii="Calibri" w:eastAsia="MS Mincho" w:hAnsi="Calibri" w:cs="Calibri"/>
          <w:kern w:val="0"/>
          <w14:ligatures w14:val="none"/>
        </w:rPr>
      </w:pPr>
      <w:r w:rsidRPr="00B5064E">
        <w:rPr>
          <w:rFonts w:ascii="Calibri" w:eastAsia="MS Mincho" w:hAnsi="Calibri" w:cs="Calibri"/>
          <w:kern w:val="0"/>
          <w14:ligatures w14:val="none"/>
        </w:rPr>
        <w:t>In short, the current retail pricing landscape</w:t>
      </w:r>
      <w:r w:rsidR="009C508D" w:rsidRPr="00B5064E">
        <w:rPr>
          <w:rFonts w:ascii="Calibri" w:eastAsia="MS Mincho" w:hAnsi="Calibri" w:cs="Calibri"/>
          <w:kern w:val="0"/>
          <w14:ligatures w14:val="none"/>
        </w:rPr>
        <w:t xml:space="preserve"> and current policies</w:t>
      </w:r>
      <w:r w:rsidRPr="00B5064E">
        <w:rPr>
          <w:rFonts w:ascii="Calibri" w:eastAsia="MS Mincho" w:hAnsi="Calibri" w:cs="Calibri"/>
          <w:kern w:val="0"/>
          <w14:ligatures w14:val="none"/>
        </w:rPr>
        <w:t xml:space="preserve"> do not provide a simple, trusted, or standardised mechanism for households to align their electricity use with periods of solar abundance. This weakens </w:t>
      </w:r>
      <w:r w:rsidR="007907ED" w:rsidRPr="00B5064E">
        <w:rPr>
          <w:rFonts w:ascii="Calibri" w:eastAsia="MS Mincho" w:hAnsi="Calibri" w:cs="Calibri"/>
          <w:kern w:val="0"/>
          <w14:ligatures w14:val="none"/>
        </w:rPr>
        <w:t xml:space="preserve">the ability of some consumer cohorts to manage energy affordability </w:t>
      </w:r>
      <w:r w:rsidRPr="00B5064E">
        <w:rPr>
          <w:rFonts w:ascii="Calibri" w:eastAsia="MS Mincho" w:hAnsi="Calibri" w:cs="Calibri"/>
          <w:kern w:val="0"/>
          <w14:ligatures w14:val="none"/>
        </w:rPr>
        <w:t xml:space="preserve">and </w:t>
      </w:r>
      <w:r w:rsidR="0064661B" w:rsidRPr="00B5064E">
        <w:rPr>
          <w:rFonts w:ascii="Calibri" w:eastAsia="MS Mincho" w:hAnsi="Calibri" w:cs="Calibri"/>
          <w:kern w:val="0"/>
          <w14:ligatures w14:val="none"/>
        </w:rPr>
        <w:t xml:space="preserve">improve </w:t>
      </w:r>
      <w:r w:rsidRPr="00B5064E">
        <w:rPr>
          <w:rFonts w:ascii="Calibri" w:eastAsia="MS Mincho" w:hAnsi="Calibri" w:cs="Calibri"/>
          <w:kern w:val="0"/>
          <w14:ligatures w14:val="none"/>
        </w:rPr>
        <w:t>system</w:t>
      </w:r>
      <w:r w:rsidRPr="00B5064E">
        <w:rPr>
          <w:rFonts w:ascii="Calibri" w:eastAsia="MS Mincho" w:hAnsi="Calibri" w:cs="Calibri"/>
          <w:kern w:val="0"/>
          <w14:ligatures w14:val="none"/>
        </w:rPr>
        <w:noBreakHyphen/>
        <w:t>wide efficiency.</w:t>
      </w:r>
    </w:p>
    <w:p w14:paraId="5261AC84" w14:textId="2C0F8B87" w:rsidR="001109B0" w:rsidRPr="00B5064E" w:rsidRDefault="001109B0" w:rsidP="001109B0">
      <w:pPr>
        <w:rPr>
          <w:rFonts w:ascii="Calibri" w:eastAsia="MS Mincho" w:hAnsi="Calibri" w:cs="Calibri"/>
          <w:kern w:val="0"/>
          <w14:ligatures w14:val="none"/>
        </w:rPr>
      </w:pPr>
      <w:r w:rsidRPr="00B5064E">
        <w:rPr>
          <w:rFonts w:ascii="Calibri" w:eastAsia="MS Mincho" w:hAnsi="Calibri" w:cs="Calibri"/>
          <w:kern w:val="0"/>
          <w14:ligatures w14:val="none"/>
        </w:rPr>
        <w:t>Addressing this problem requires a consistent, regulated tariff structure that delivers a clear zero</w:t>
      </w:r>
      <w:r w:rsidRPr="00B5064E">
        <w:rPr>
          <w:rFonts w:ascii="Calibri" w:eastAsia="MS Mincho" w:hAnsi="Calibri" w:cs="Calibri"/>
          <w:kern w:val="0"/>
          <w14:ligatures w14:val="none"/>
        </w:rPr>
        <w:noBreakHyphen/>
        <w:t>cost (or very low</w:t>
      </w:r>
      <w:r w:rsidRPr="00B5064E">
        <w:rPr>
          <w:rFonts w:ascii="Calibri" w:eastAsia="MS Mincho" w:hAnsi="Calibri" w:cs="Calibri"/>
          <w:kern w:val="0"/>
          <w14:ligatures w14:val="none"/>
        </w:rPr>
        <w:noBreakHyphen/>
        <w:t>cost) midday usage window, enabling households</w:t>
      </w:r>
      <w:r w:rsidR="001F3B84" w:rsidRPr="00B5064E">
        <w:rPr>
          <w:rFonts w:ascii="Calibri" w:eastAsia="MS Mincho" w:hAnsi="Calibri" w:cs="Calibri"/>
          <w:kern w:val="0"/>
          <w14:ligatures w14:val="none"/>
        </w:rPr>
        <w:t>,</w:t>
      </w:r>
      <w:r w:rsidRPr="00B5064E">
        <w:rPr>
          <w:rFonts w:ascii="Calibri" w:eastAsia="MS Mincho" w:hAnsi="Calibri" w:cs="Calibri"/>
          <w:kern w:val="0"/>
          <w14:ligatures w14:val="none"/>
        </w:rPr>
        <w:t xml:space="preserve"> regardless of solar </w:t>
      </w:r>
      <w:r w:rsidR="00CB192B" w:rsidRPr="00B5064E">
        <w:rPr>
          <w:rFonts w:ascii="Calibri" w:eastAsia="MS Mincho" w:hAnsi="Calibri" w:cs="Calibri"/>
          <w:kern w:val="0"/>
          <w14:ligatures w14:val="none"/>
        </w:rPr>
        <w:t xml:space="preserve">or battery </w:t>
      </w:r>
      <w:r w:rsidRPr="00B5064E">
        <w:rPr>
          <w:rFonts w:ascii="Calibri" w:eastAsia="MS Mincho" w:hAnsi="Calibri" w:cs="Calibri"/>
          <w:kern w:val="0"/>
          <w14:ligatures w14:val="none"/>
        </w:rPr>
        <w:t>ownership — to benefit directly from high solar generation while supporting improved utilisation of renewable energy and reducing system costs.</w:t>
      </w:r>
    </w:p>
    <w:p w14:paraId="6B6AF772" w14:textId="77777777" w:rsidR="007907ED" w:rsidRPr="00B5064E" w:rsidRDefault="007907ED">
      <w:pPr>
        <w:rPr>
          <w:rFonts w:ascii="Calibri" w:eastAsiaTheme="majorEastAsia" w:hAnsi="Calibri" w:cs="Calibri"/>
          <w:b/>
          <w:bCs/>
          <w:color w:val="3A3A3A" w:themeColor="background2" w:themeShade="40"/>
          <w:sz w:val="50"/>
          <w:szCs w:val="72"/>
        </w:rPr>
      </w:pPr>
      <w:r w:rsidRPr="00B5064E">
        <w:rPr>
          <w:rFonts w:ascii="Calibri" w:eastAsiaTheme="majorEastAsia" w:hAnsi="Calibri" w:cs="Calibri"/>
          <w:b/>
          <w:bCs/>
          <w:color w:val="3A3A3A" w:themeColor="background2" w:themeShade="40"/>
          <w:sz w:val="50"/>
          <w:szCs w:val="72"/>
        </w:rPr>
        <w:br w:type="page"/>
      </w:r>
    </w:p>
    <w:p w14:paraId="22454557" w14:textId="3FC45E85" w:rsidR="001D473B" w:rsidRPr="00B5064E" w:rsidRDefault="00546699" w:rsidP="00C95581">
      <w:pPr>
        <w:pStyle w:val="Heading1"/>
        <w:spacing w:before="160" w:after="120"/>
        <w:rPr>
          <w:rFonts w:ascii="Calibri" w:hAnsi="Calibri" w:cs="Calibri"/>
          <w:b/>
          <w:bCs/>
        </w:rPr>
      </w:pPr>
      <w:bookmarkStart w:id="15" w:name="_Toc222842762"/>
      <w:r w:rsidRPr="00B5064E">
        <w:rPr>
          <w:rFonts w:ascii="Calibri" w:hAnsi="Calibri" w:cs="Calibri"/>
          <w:b/>
          <w:bCs/>
        </w:rPr>
        <w:lastRenderedPageBreak/>
        <w:t>Why is Government action needed?</w:t>
      </w:r>
      <w:bookmarkEnd w:id="15"/>
    </w:p>
    <w:p w14:paraId="04BB64C8" w14:textId="6F03B3B7" w:rsidR="00DE4380" w:rsidRPr="00B5064E" w:rsidRDefault="00DE4380" w:rsidP="00DE4380">
      <w:pPr>
        <w:rPr>
          <w:rFonts w:ascii="Calibri" w:hAnsi="Calibri" w:cs="Calibri"/>
          <w:color w:val="000000" w:themeColor="text1"/>
        </w:rPr>
      </w:pPr>
      <w:r w:rsidRPr="0D8D365A">
        <w:rPr>
          <w:rFonts w:ascii="Calibri" w:hAnsi="Calibri" w:cs="Calibri"/>
          <w:color w:val="000000" w:themeColor="text1"/>
        </w:rPr>
        <w:t xml:space="preserve">As rooftop solar penetration accelerates, the mismatch between wholesale market conditions and retail price signals </w:t>
      </w:r>
      <w:r w:rsidR="007907ED" w:rsidRPr="0D8D365A">
        <w:rPr>
          <w:rFonts w:ascii="Calibri" w:hAnsi="Calibri" w:cs="Calibri"/>
          <w:color w:val="000000" w:themeColor="text1"/>
        </w:rPr>
        <w:t xml:space="preserve">may </w:t>
      </w:r>
      <w:r w:rsidRPr="0D8D365A">
        <w:rPr>
          <w:rFonts w:ascii="Calibri" w:hAnsi="Calibri" w:cs="Calibri"/>
          <w:color w:val="000000" w:themeColor="text1"/>
        </w:rPr>
        <w:t>worsen without intervention. The market is not providing equitable access to daytime solar benefits, nor is it delivering the efficient demand</w:t>
      </w:r>
      <w:r w:rsidR="177D3B16" w:rsidRPr="00B5064E">
        <w:rPr>
          <w:rFonts w:ascii="Calibri" w:hAnsi="Calibri" w:cs="Calibri"/>
          <w:color w:val="000000" w:themeColor="text1"/>
        </w:rPr>
        <w:t xml:space="preserve"> </w:t>
      </w:r>
      <w:r w:rsidRPr="0D8D365A">
        <w:rPr>
          <w:rFonts w:ascii="Calibri" w:hAnsi="Calibri" w:cs="Calibri"/>
          <w:color w:val="000000" w:themeColor="text1"/>
        </w:rPr>
        <w:t xml:space="preserve">shaping required to manage system challenges associated with minimum demand and renewable variability. </w:t>
      </w:r>
      <w:r w:rsidRPr="00B5064E">
        <w:rPr>
          <w:rFonts w:ascii="Calibri" w:hAnsi="Calibri" w:cs="Calibri"/>
          <w:color w:val="000000" w:themeColor="text1"/>
        </w:rPr>
        <w:t xml:space="preserve">Voluntary </w:t>
      </w:r>
      <w:r w:rsidR="513A609C" w:rsidRPr="00B5064E">
        <w:rPr>
          <w:rFonts w:ascii="Calibri" w:hAnsi="Calibri" w:cs="Calibri"/>
          <w:color w:val="000000" w:themeColor="text1"/>
        </w:rPr>
        <w:t>retailer led</w:t>
      </w:r>
      <w:r w:rsidRPr="00B5064E">
        <w:rPr>
          <w:rFonts w:ascii="Calibri" w:hAnsi="Calibri" w:cs="Calibri"/>
          <w:color w:val="000000" w:themeColor="text1"/>
        </w:rPr>
        <w:t xml:space="preserve"> tariffs cannot deliver the consistency, consumer protections, or systemwide benefits achievable through a regulated </w:t>
      </w:r>
      <w:r w:rsidR="00E736F6" w:rsidRPr="00B5064E">
        <w:rPr>
          <w:rFonts w:ascii="Calibri" w:hAnsi="Calibri" w:cs="Calibri"/>
          <w:color w:val="000000" w:themeColor="text1"/>
        </w:rPr>
        <w:t>SSO</w:t>
      </w:r>
      <w:r w:rsidR="4BEBEB2E" w:rsidRPr="0D8D365A">
        <w:rPr>
          <w:rFonts w:ascii="Calibri" w:hAnsi="Calibri" w:cs="Calibri"/>
          <w:color w:val="000000" w:themeColor="text1"/>
        </w:rPr>
        <w:t xml:space="preserve"> </w:t>
      </w:r>
      <w:r w:rsidRPr="0D8D365A">
        <w:rPr>
          <w:rFonts w:ascii="Calibri" w:hAnsi="Calibri" w:cs="Calibri"/>
          <w:color w:val="000000" w:themeColor="text1"/>
        </w:rPr>
        <w:t>shaping required to manage system challenges associated with minimum demand and renewable variability. Voluntary retailer</w:t>
      </w:r>
      <w:r w:rsidR="3CB428B0" w:rsidRPr="0D8D365A">
        <w:rPr>
          <w:rFonts w:ascii="Calibri" w:hAnsi="Calibri" w:cs="Calibri"/>
          <w:color w:val="000000" w:themeColor="text1"/>
        </w:rPr>
        <w:t xml:space="preserve"> </w:t>
      </w:r>
      <w:r w:rsidRPr="0D8D365A">
        <w:rPr>
          <w:rFonts w:ascii="Calibri" w:hAnsi="Calibri" w:cs="Calibri"/>
          <w:color w:val="000000" w:themeColor="text1"/>
        </w:rPr>
        <w:t xml:space="preserve">led tariffs cannot deliver the consistency, consumer protections, or systemwide benefits achievable through a regulated </w:t>
      </w:r>
      <w:r w:rsidR="00E736F6" w:rsidRPr="0D8D365A">
        <w:rPr>
          <w:rFonts w:ascii="Calibri" w:hAnsi="Calibri" w:cs="Calibri"/>
          <w:color w:val="000000" w:themeColor="text1"/>
        </w:rPr>
        <w:t>SSO</w:t>
      </w:r>
      <w:r w:rsidRPr="0D8D365A">
        <w:rPr>
          <w:rFonts w:ascii="Calibri" w:hAnsi="Calibri" w:cs="Calibri"/>
          <w:color w:val="000000" w:themeColor="text1"/>
        </w:rPr>
        <w:t>.</w:t>
      </w:r>
    </w:p>
    <w:p w14:paraId="2415FC3D" w14:textId="2596155E" w:rsidR="00DE4380" w:rsidRPr="00B5064E" w:rsidRDefault="00DE4380" w:rsidP="00DE4380">
      <w:pPr>
        <w:rPr>
          <w:rFonts w:ascii="Calibri" w:hAnsi="Calibri" w:cs="Calibri"/>
          <w:color w:val="000000" w:themeColor="text1"/>
          <w:szCs w:val="18"/>
        </w:rPr>
      </w:pPr>
      <w:r w:rsidRPr="00B5064E">
        <w:rPr>
          <w:rFonts w:ascii="Calibri" w:hAnsi="Calibri" w:cs="Calibri"/>
          <w:color w:val="000000" w:themeColor="text1"/>
          <w:szCs w:val="18"/>
        </w:rPr>
        <w:t>A government</w:t>
      </w:r>
      <w:r w:rsidR="0F8C0FB6" w:rsidRPr="00B5064E">
        <w:rPr>
          <w:rFonts w:ascii="Calibri" w:hAnsi="Calibri" w:cs="Calibri"/>
          <w:color w:val="000000" w:themeColor="text1"/>
        </w:rPr>
        <w:t xml:space="preserve"> </w:t>
      </w:r>
      <w:r w:rsidRPr="00B5064E">
        <w:rPr>
          <w:rFonts w:ascii="Calibri" w:hAnsi="Calibri" w:cs="Calibri"/>
          <w:color w:val="000000" w:themeColor="text1"/>
        </w:rPr>
        <w:t xml:space="preserve">mandated, regulated SSO is therefore necessary </w:t>
      </w:r>
      <w:r w:rsidR="0035712C" w:rsidRPr="00B5064E">
        <w:rPr>
          <w:rFonts w:ascii="Calibri" w:hAnsi="Calibri" w:cs="Calibri"/>
          <w:color w:val="000000" w:themeColor="text1"/>
        </w:rPr>
        <w:t>to:</w:t>
      </w:r>
    </w:p>
    <w:p w14:paraId="7A7A70BF" w14:textId="69525896" w:rsidR="00DE4380" w:rsidRPr="00B5064E" w:rsidRDefault="00DE4380" w:rsidP="00CF405C">
      <w:pPr>
        <w:numPr>
          <w:ilvl w:val="0"/>
          <w:numId w:val="11"/>
        </w:numPr>
        <w:spacing w:before="120" w:after="120"/>
        <w:ind w:left="714" w:hanging="357"/>
        <w:rPr>
          <w:rFonts w:ascii="Calibri" w:hAnsi="Calibri" w:cs="Calibri"/>
          <w:color w:val="000000" w:themeColor="text1"/>
        </w:rPr>
      </w:pPr>
      <w:r w:rsidRPr="00B5064E">
        <w:rPr>
          <w:rFonts w:ascii="Calibri" w:hAnsi="Calibri" w:cs="Calibri"/>
          <w:color w:val="000000" w:themeColor="text1"/>
        </w:rPr>
        <w:t xml:space="preserve">ensure all households </w:t>
      </w:r>
      <w:r w:rsidR="00B4271C" w:rsidRPr="00B5064E">
        <w:rPr>
          <w:rFonts w:ascii="Calibri" w:hAnsi="Calibri" w:cs="Calibri"/>
          <w:color w:val="000000" w:themeColor="text1"/>
        </w:rPr>
        <w:t xml:space="preserve">and </w:t>
      </w:r>
      <w:r w:rsidRPr="00B5064E">
        <w:rPr>
          <w:rFonts w:ascii="Calibri" w:hAnsi="Calibri" w:cs="Calibri"/>
          <w:color w:val="000000" w:themeColor="text1"/>
        </w:rPr>
        <w:t xml:space="preserve">not just CER owners can benefit from abundant daytime renewable </w:t>
      </w:r>
      <w:r w:rsidR="00B4271C" w:rsidRPr="00B5064E">
        <w:rPr>
          <w:rFonts w:ascii="Calibri" w:hAnsi="Calibri" w:cs="Calibri"/>
          <w:color w:val="000000" w:themeColor="text1"/>
        </w:rPr>
        <w:t>generation.</w:t>
      </w:r>
    </w:p>
    <w:p w14:paraId="46443F41" w14:textId="187710DF" w:rsidR="00DE4380" w:rsidRPr="00B5064E" w:rsidRDefault="007907ED" w:rsidP="00CF405C">
      <w:pPr>
        <w:numPr>
          <w:ilvl w:val="0"/>
          <w:numId w:val="11"/>
        </w:numPr>
        <w:spacing w:before="120" w:after="120"/>
        <w:ind w:left="714" w:hanging="357"/>
        <w:rPr>
          <w:rFonts w:ascii="Calibri" w:hAnsi="Calibri" w:cs="Calibri"/>
          <w:color w:val="000000" w:themeColor="text1"/>
        </w:rPr>
      </w:pPr>
      <w:r w:rsidRPr="00B5064E">
        <w:rPr>
          <w:rFonts w:ascii="Calibri" w:hAnsi="Calibri" w:cs="Calibri"/>
          <w:color w:val="000000" w:themeColor="text1"/>
        </w:rPr>
        <w:t xml:space="preserve">provide households with options to manage electricity </w:t>
      </w:r>
      <w:r w:rsidR="00AC0D7E" w:rsidRPr="00B5064E">
        <w:rPr>
          <w:rFonts w:ascii="Calibri" w:hAnsi="Calibri" w:cs="Calibri"/>
          <w:color w:val="000000" w:themeColor="text1"/>
        </w:rPr>
        <w:t>bills.</w:t>
      </w:r>
    </w:p>
    <w:p w14:paraId="433B81CC" w14:textId="77777777" w:rsidR="00DE4380" w:rsidRPr="00B5064E" w:rsidRDefault="00DE4380" w:rsidP="00CF405C">
      <w:pPr>
        <w:numPr>
          <w:ilvl w:val="0"/>
          <w:numId w:val="11"/>
        </w:numPr>
        <w:spacing w:before="120" w:after="120"/>
        <w:ind w:left="714" w:hanging="357"/>
        <w:rPr>
          <w:rFonts w:ascii="Calibri" w:hAnsi="Calibri" w:cs="Calibri"/>
          <w:color w:val="000000" w:themeColor="text1"/>
        </w:rPr>
      </w:pPr>
      <w:r w:rsidRPr="00B5064E">
        <w:rPr>
          <w:rFonts w:ascii="Calibri" w:hAnsi="Calibri" w:cs="Calibri"/>
          <w:color w:val="000000" w:themeColor="text1"/>
        </w:rPr>
        <w:t>align retail price signals with system needs; and</w:t>
      </w:r>
    </w:p>
    <w:p w14:paraId="2B155902" w14:textId="4268EF24" w:rsidR="00DE78B0" w:rsidRPr="00B5064E" w:rsidRDefault="00DE4380" w:rsidP="00CF405C">
      <w:pPr>
        <w:numPr>
          <w:ilvl w:val="0"/>
          <w:numId w:val="11"/>
        </w:numPr>
        <w:spacing w:before="120" w:after="120"/>
        <w:ind w:left="714" w:hanging="357"/>
        <w:rPr>
          <w:rFonts w:ascii="Calibri" w:hAnsi="Calibri" w:cs="Calibri"/>
          <w:color w:val="000000" w:themeColor="text1"/>
        </w:rPr>
      </w:pPr>
      <w:r w:rsidRPr="00B5064E">
        <w:rPr>
          <w:rFonts w:ascii="Calibri" w:hAnsi="Calibri" w:cs="Calibri"/>
          <w:color w:val="000000" w:themeColor="text1"/>
        </w:rPr>
        <w:t>reduce long</w:t>
      </w:r>
      <w:r w:rsidRPr="00B5064E">
        <w:rPr>
          <w:rFonts w:ascii="Calibri" w:hAnsi="Calibri" w:cs="Calibri"/>
          <w:color w:val="000000" w:themeColor="text1"/>
        </w:rPr>
        <w:noBreakHyphen/>
        <w:t>term costs by improving utilisation of network and generation assets.</w:t>
      </w:r>
    </w:p>
    <w:p w14:paraId="4243ECC4" w14:textId="4596CEFC" w:rsidR="00EA3B12" w:rsidRPr="00B5064E" w:rsidRDefault="00EA3B12" w:rsidP="001105F9">
      <w:pPr>
        <w:pStyle w:val="Heading2"/>
        <w:spacing w:after="120"/>
        <w:rPr>
          <w:rFonts w:ascii="Calibri" w:hAnsi="Calibri" w:cs="Calibri"/>
        </w:rPr>
      </w:pPr>
      <w:bookmarkStart w:id="16" w:name="_Toc222842763"/>
      <w:r w:rsidRPr="00B5064E">
        <w:rPr>
          <w:rFonts w:ascii="Calibri" w:hAnsi="Calibri" w:cs="Calibri"/>
        </w:rPr>
        <w:t>Why Government Intervention is legitimate and necessary</w:t>
      </w:r>
      <w:bookmarkEnd w:id="16"/>
    </w:p>
    <w:p w14:paraId="42DEE801" w14:textId="77777777" w:rsidR="00EA3B12" w:rsidRPr="00B5064E" w:rsidRDefault="00EA3B12" w:rsidP="00EA3B12">
      <w:pPr>
        <w:rPr>
          <w:rFonts w:ascii="Calibri" w:hAnsi="Calibri" w:cs="Calibri"/>
          <w:color w:val="000000" w:themeColor="text1"/>
          <w:szCs w:val="18"/>
        </w:rPr>
      </w:pPr>
      <w:r w:rsidRPr="00B5064E">
        <w:rPr>
          <w:rFonts w:ascii="Calibri" w:hAnsi="Calibri" w:cs="Calibri"/>
          <w:color w:val="000000" w:themeColor="text1"/>
          <w:szCs w:val="18"/>
        </w:rPr>
        <w:t xml:space="preserve">Government intervention is justified where market outcomes fail to deliver efficient, equitable or socially desirable results. In the case of solar-aligned retail tariffs, several features of the electricity market indicate that purely voluntary, market-led solutions are unlikely to resolve the identified problem. </w:t>
      </w:r>
    </w:p>
    <w:p w14:paraId="7C774F2B" w14:textId="77777777" w:rsidR="00EA3B12" w:rsidRPr="00B5064E" w:rsidRDefault="00EA3B12" w:rsidP="00CF405C">
      <w:pPr>
        <w:pStyle w:val="ListParagraph"/>
        <w:numPr>
          <w:ilvl w:val="0"/>
          <w:numId w:val="17"/>
        </w:numPr>
        <w:rPr>
          <w:rFonts w:ascii="Calibri" w:hAnsi="Calibri" w:cs="Calibri"/>
        </w:rPr>
      </w:pPr>
      <w:r w:rsidRPr="00B5064E">
        <w:rPr>
          <w:rFonts w:ascii="Calibri" w:hAnsi="Calibri" w:cs="Calibri"/>
          <w:b/>
          <w:bCs/>
        </w:rPr>
        <w:t>Market failure – Information asymmetry and consumer complexity</w:t>
      </w:r>
    </w:p>
    <w:p w14:paraId="1D8B1FB4" w14:textId="77777777" w:rsidR="00EA3B12" w:rsidRPr="00B5064E" w:rsidRDefault="00EA3B12" w:rsidP="00EA3B12">
      <w:pPr>
        <w:rPr>
          <w:rFonts w:ascii="Calibri" w:hAnsi="Calibri" w:cs="Calibri"/>
          <w:color w:val="000000" w:themeColor="text1"/>
          <w:szCs w:val="18"/>
        </w:rPr>
      </w:pPr>
      <w:r w:rsidRPr="00B5064E">
        <w:rPr>
          <w:rFonts w:ascii="Calibri" w:hAnsi="Calibri" w:cs="Calibri"/>
          <w:color w:val="000000" w:themeColor="text1"/>
          <w:szCs w:val="18"/>
        </w:rPr>
        <w:t>Retail electricity products are inherently complex. Consumers face significant information asymmetry when assessing tariff structures, time windows, cost recovery mechanisms and behavioural requirements. Consultation confirmed that existing “free period” products vary widely in design and transparency, limiting comparability and informed decision-making.</w:t>
      </w:r>
    </w:p>
    <w:p w14:paraId="6447079C" w14:textId="122B199D" w:rsidR="00923319" w:rsidRPr="00B5064E" w:rsidRDefault="00EA3B12" w:rsidP="00EA3B12">
      <w:pPr>
        <w:rPr>
          <w:rFonts w:ascii="Calibri" w:hAnsi="Calibri" w:cs="Calibri"/>
          <w:color w:val="000000" w:themeColor="text1"/>
          <w:szCs w:val="18"/>
        </w:rPr>
      </w:pPr>
      <w:r w:rsidRPr="00B5064E">
        <w:rPr>
          <w:rFonts w:ascii="Calibri" w:hAnsi="Calibri" w:cs="Calibri"/>
          <w:color w:val="000000" w:themeColor="text1"/>
          <w:szCs w:val="18"/>
        </w:rPr>
        <w:t>Where consumer confusion inhibits efficient behavioural response, price signals alone may not produce socially optimal outcomes. A regulated benchmark product reduces this asymmetry and strengthens consumer confidence</w:t>
      </w:r>
      <w:r w:rsidR="007E5A47" w:rsidRPr="00B5064E">
        <w:rPr>
          <w:rFonts w:ascii="Calibri" w:hAnsi="Calibri" w:cs="Calibri"/>
          <w:color w:val="000000" w:themeColor="text1"/>
          <w:szCs w:val="18"/>
        </w:rPr>
        <w:t>.</w:t>
      </w:r>
    </w:p>
    <w:p w14:paraId="13CA938F" w14:textId="3EFBE2D2" w:rsidR="003271E2" w:rsidRPr="00B5064E" w:rsidRDefault="003271E2" w:rsidP="00CF405C">
      <w:pPr>
        <w:pStyle w:val="ListParagraph"/>
        <w:numPr>
          <w:ilvl w:val="0"/>
          <w:numId w:val="17"/>
        </w:numPr>
        <w:rPr>
          <w:rFonts w:ascii="Calibri" w:hAnsi="Calibri" w:cs="Calibri"/>
          <w:b/>
          <w:bCs/>
        </w:rPr>
      </w:pPr>
      <w:r w:rsidRPr="00B5064E">
        <w:rPr>
          <w:rFonts w:ascii="Calibri" w:hAnsi="Calibri" w:cs="Calibri"/>
          <w:b/>
        </w:rPr>
        <w:t>Equi</w:t>
      </w:r>
      <w:r w:rsidR="00C62DFE" w:rsidRPr="00B5064E">
        <w:rPr>
          <w:rFonts w:ascii="Calibri" w:hAnsi="Calibri" w:cs="Calibri"/>
          <w:b/>
        </w:rPr>
        <w:t>ty and distributional concerns</w:t>
      </w:r>
    </w:p>
    <w:p w14:paraId="05B6FE26" w14:textId="39D26CAA" w:rsidR="004653BF" w:rsidRPr="00B5064E" w:rsidRDefault="004653BF" w:rsidP="004653BF">
      <w:pPr>
        <w:rPr>
          <w:rFonts w:ascii="Calibri" w:hAnsi="Calibri" w:cs="Calibri"/>
          <w:color w:val="000000" w:themeColor="text1"/>
          <w:szCs w:val="18"/>
        </w:rPr>
      </w:pPr>
      <w:r w:rsidRPr="00B5064E">
        <w:rPr>
          <w:rFonts w:ascii="Calibri" w:hAnsi="Calibri" w:cs="Calibri"/>
          <w:color w:val="000000" w:themeColor="text1"/>
          <w:szCs w:val="18"/>
        </w:rPr>
        <w:t xml:space="preserve">The current trajectory of the market concentrates benefits among households able to invest in </w:t>
      </w:r>
      <w:r w:rsidR="004B2149" w:rsidRPr="00B5064E">
        <w:rPr>
          <w:rFonts w:ascii="Calibri" w:hAnsi="Calibri" w:cs="Calibri"/>
          <w:color w:val="000000" w:themeColor="text1"/>
          <w:szCs w:val="18"/>
        </w:rPr>
        <w:t>CER</w:t>
      </w:r>
      <w:r w:rsidRPr="00B5064E">
        <w:rPr>
          <w:rFonts w:ascii="Calibri" w:hAnsi="Calibri" w:cs="Calibri"/>
          <w:color w:val="000000" w:themeColor="text1"/>
          <w:szCs w:val="18"/>
        </w:rPr>
        <w:t>, while non-CER households remain exposed to evening peak costs. Absent intervention, th</w:t>
      </w:r>
      <w:r w:rsidR="00F1129C" w:rsidRPr="00B5064E">
        <w:rPr>
          <w:rFonts w:ascii="Calibri" w:hAnsi="Calibri" w:cs="Calibri"/>
          <w:color w:val="000000" w:themeColor="text1"/>
          <w:szCs w:val="18"/>
        </w:rPr>
        <w:t>is</w:t>
      </w:r>
      <w:r w:rsidRPr="00B5064E">
        <w:rPr>
          <w:rFonts w:ascii="Calibri" w:hAnsi="Calibri" w:cs="Calibri"/>
          <w:color w:val="000000" w:themeColor="text1"/>
          <w:szCs w:val="18"/>
        </w:rPr>
        <w:t xml:space="preserve"> dynamic risks reinforcing inequities and increasing long-term affordability pressures for renters, low-income households and apartment dwellers.</w:t>
      </w:r>
    </w:p>
    <w:p w14:paraId="0C3E7B78" w14:textId="5840995F" w:rsidR="00722D76" w:rsidRPr="00B5064E" w:rsidRDefault="004653BF" w:rsidP="004653BF">
      <w:pPr>
        <w:rPr>
          <w:rFonts w:ascii="Calibri" w:hAnsi="Calibri" w:cs="Calibri"/>
          <w:color w:val="000000" w:themeColor="text1"/>
          <w:szCs w:val="18"/>
        </w:rPr>
      </w:pPr>
      <w:r w:rsidRPr="00B5064E">
        <w:rPr>
          <w:rFonts w:ascii="Calibri" w:hAnsi="Calibri" w:cs="Calibri"/>
          <w:color w:val="000000" w:themeColor="text1"/>
          <w:szCs w:val="18"/>
        </w:rPr>
        <w:t>Addressing structural distributional effects is a legitimate public policy objective. Government intervention is appropriate where equity impacts are persistent and unlikely to self-correct through competition alone.</w:t>
      </w:r>
    </w:p>
    <w:p w14:paraId="0D154639" w14:textId="27FD614D" w:rsidR="004653BF" w:rsidRPr="00B5064E" w:rsidRDefault="004653BF" w:rsidP="00CF405C">
      <w:pPr>
        <w:pStyle w:val="ListParagraph"/>
        <w:numPr>
          <w:ilvl w:val="0"/>
          <w:numId w:val="17"/>
        </w:numPr>
        <w:rPr>
          <w:rFonts w:ascii="Calibri" w:hAnsi="Calibri" w:cs="Calibri"/>
          <w:b/>
          <w:bCs/>
        </w:rPr>
      </w:pPr>
      <w:r w:rsidRPr="00B5064E">
        <w:rPr>
          <w:rFonts w:ascii="Calibri" w:hAnsi="Calibri" w:cs="Calibri"/>
          <w:b/>
          <w:bCs/>
        </w:rPr>
        <w:t>Sy</w:t>
      </w:r>
      <w:r w:rsidR="005C02B3" w:rsidRPr="00B5064E">
        <w:rPr>
          <w:rFonts w:ascii="Calibri" w:hAnsi="Calibri" w:cs="Calibri"/>
          <w:b/>
          <w:bCs/>
        </w:rPr>
        <w:t>stem externalities</w:t>
      </w:r>
    </w:p>
    <w:p w14:paraId="78D01886" w14:textId="14FFE3B0" w:rsidR="005C02B3" w:rsidRPr="00B5064E" w:rsidRDefault="00BF3DD0" w:rsidP="005C02B3">
      <w:pPr>
        <w:rPr>
          <w:rFonts w:ascii="Calibri" w:hAnsi="Calibri" w:cs="Calibri"/>
          <w:color w:val="000000" w:themeColor="text1"/>
          <w:szCs w:val="18"/>
        </w:rPr>
      </w:pPr>
      <w:r w:rsidRPr="00B5064E">
        <w:rPr>
          <w:rFonts w:ascii="Calibri" w:hAnsi="Calibri" w:cs="Calibri"/>
          <w:color w:val="000000" w:themeColor="text1"/>
          <w:szCs w:val="18"/>
        </w:rPr>
        <w:t>Electricity</w:t>
      </w:r>
      <w:r w:rsidR="005C02B3" w:rsidRPr="00B5064E">
        <w:rPr>
          <w:rFonts w:ascii="Calibri" w:hAnsi="Calibri" w:cs="Calibri"/>
          <w:color w:val="000000" w:themeColor="text1"/>
          <w:szCs w:val="18"/>
        </w:rPr>
        <w:t xml:space="preserve"> </w:t>
      </w:r>
      <w:r w:rsidRPr="00B5064E">
        <w:rPr>
          <w:rFonts w:ascii="Calibri" w:hAnsi="Calibri" w:cs="Calibri"/>
          <w:color w:val="000000" w:themeColor="text1"/>
          <w:szCs w:val="18"/>
        </w:rPr>
        <w:t xml:space="preserve">consumption patterns </w:t>
      </w:r>
      <w:r w:rsidR="00605BFC" w:rsidRPr="00B5064E">
        <w:rPr>
          <w:rFonts w:ascii="Calibri" w:hAnsi="Calibri" w:cs="Calibri"/>
          <w:color w:val="000000" w:themeColor="text1"/>
          <w:szCs w:val="18"/>
        </w:rPr>
        <w:t>impose system-wide costs and benefits that are not fully internalised in individual retail decisions. Low midday demand increases minimum-demand risks and curtailment, while steep evening ramps increase reliance on peaking generation and system management costs.</w:t>
      </w:r>
      <w:r w:rsidR="00C93E40" w:rsidRPr="00B5064E">
        <w:rPr>
          <w:rFonts w:ascii="Calibri" w:hAnsi="Calibri" w:cs="Calibri"/>
          <w:color w:val="000000" w:themeColor="text1"/>
          <w:szCs w:val="18"/>
        </w:rPr>
        <w:t xml:space="preserve"> Individual retailers may not have sufficient incentive to design products that optimise system-wide efficiency where </w:t>
      </w:r>
      <w:r w:rsidR="00C93E40" w:rsidRPr="00B5064E">
        <w:rPr>
          <w:rFonts w:ascii="Calibri" w:hAnsi="Calibri" w:cs="Calibri"/>
          <w:color w:val="000000" w:themeColor="text1"/>
          <w:szCs w:val="18"/>
        </w:rPr>
        <w:lastRenderedPageBreak/>
        <w:t>benefits accrue broadly across the market. Coordinated regulatory</w:t>
      </w:r>
      <w:r w:rsidR="00614B70" w:rsidRPr="00B5064E">
        <w:rPr>
          <w:rFonts w:ascii="Calibri" w:hAnsi="Calibri" w:cs="Calibri"/>
          <w:color w:val="000000" w:themeColor="text1"/>
          <w:szCs w:val="18"/>
        </w:rPr>
        <w:t xml:space="preserve"> settings are therefore justified to better align incentives with system needs. </w:t>
      </w:r>
    </w:p>
    <w:p w14:paraId="6A3F1408" w14:textId="0EBC3184" w:rsidR="00614B70" w:rsidRPr="00B5064E" w:rsidRDefault="00614B70" w:rsidP="00CF405C">
      <w:pPr>
        <w:pStyle w:val="ListParagraph"/>
        <w:numPr>
          <w:ilvl w:val="0"/>
          <w:numId w:val="17"/>
        </w:numPr>
        <w:rPr>
          <w:rFonts w:ascii="Calibri" w:hAnsi="Calibri" w:cs="Calibri"/>
          <w:b/>
        </w:rPr>
      </w:pPr>
      <w:r w:rsidRPr="00B5064E">
        <w:rPr>
          <w:rFonts w:ascii="Calibri" w:hAnsi="Calibri" w:cs="Calibri"/>
          <w:b/>
        </w:rPr>
        <w:t>Limits of voluntary approaches</w:t>
      </w:r>
    </w:p>
    <w:p w14:paraId="1DF928BA" w14:textId="3B558D54" w:rsidR="00614B70" w:rsidRPr="00B5064E" w:rsidRDefault="00D10D72" w:rsidP="00614B70">
      <w:pPr>
        <w:rPr>
          <w:rFonts w:ascii="Calibri" w:hAnsi="Calibri" w:cs="Calibri"/>
          <w:color w:val="000000" w:themeColor="text1"/>
          <w:szCs w:val="18"/>
        </w:rPr>
      </w:pPr>
      <w:r w:rsidRPr="00B5064E">
        <w:rPr>
          <w:rFonts w:ascii="Calibri" w:hAnsi="Calibri" w:cs="Calibri"/>
          <w:color w:val="000000" w:themeColor="text1"/>
          <w:szCs w:val="18"/>
        </w:rPr>
        <w:t>While retailer-led solar</w:t>
      </w:r>
      <w:r w:rsidR="009F644A" w:rsidRPr="00B5064E">
        <w:rPr>
          <w:rFonts w:ascii="Calibri" w:hAnsi="Calibri" w:cs="Calibri"/>
          <w:color w:val="000000" w:themeColor="text1"/>
          <w:szCs w:val="18"/>
        </w:rPr>
        <w:t>-aligned products are emerging, consultation an</w:t>
      </w:r>
      <w:r w:rsidR="00971C28" w:rsidRPr="00B5064E">
        <w:rPr>
          <w:rFonts w:ascii="Calibri" w:hAnsi="Calibri" w:cs="Calibri"/>
          <w:color w:val="000000" w:themeColor="text1"/>
          <w:szCs w:val="18"/>
        </w:rPr>
        <w:t>d market evidence demonstrate that:</w:t>
      </w:r>
    </w:p>
    <w:p w14:paraId="482ED44E" w14:textId="33E80368" w:rsidR="00971C28" w:rsidRPr="00B5064E" w:rsidRDefault="00286F4D" w:rsidP="00F83C19">
      <w:pPr>
        <w:pStyle w:val="ListParagraph"/>
        <w:numPr>
          <w:ilvl w:val="0"/>
          <w:numId w:val="43"/>
        </w:numPr>
        <w:spacing w:before="120" w:after="120"/>
        <w:ind w:left="1071" w:hanging="357"/>
        <w:contextualSpacing w:val="0"/>
        <w:rPr>
          <w:rFonts w:ascii="Calibri" w:hAnsi="Calibri" w:cs="Calibri"/>
          <w:color w:val="000000" w:themeColor="text1"/>
        </w:rPr>
      </w:pPr>
      <w:r w:rsidRPr="00B5064E">
        <w:rPr>
          <w:rFonts w:ascii="Calibri" w:hAnsi="Calibri" w:cs="Calibri"/>
          <w:color w:val="000000" w:themeColor="text1"/>
        </w:rPr>
        <w:t>Availability is uneven across jurisdictions;</w:t>
      </w:r>
    </w:p>
    <w:p w14:paraId="247AB05F" w14:textId="4167455A" w:rsidR="00286F4D" w:rsidRPr="00B5064E" w:rsidRDefault="00286F4D" w:rsidP="00F83C19">
      <w:pPr>
        <w:pStyle w:val="ListParagraph"/>
        <w:numPr>
          <w:ilvl w:val="0"/>
          <w:numId w:val="43"/>
        </w:numPr>
        <w:spacing w:before="120" w:after="120"/>
        <w:ind w:left="1071" w:hanging="357"/>
        <w:contextualSpacing w:val="0"/>
        <w:rPr>
          <w:rFonts w:ascii="Calibri" w:hAnsi="Calibri" w:cs="Calibri"/>
          <w:color w:val="000000" w:themeColor="text1"/>
        </w:rPr>
      </w:pPr>
      <w:r w:rsidRPr="00B5064E">
        <w:rPr>
          <w:rFonts w:ascii="Calibri" w:hAnsi="Calibri" w:cs="Calibri"/>
          <w:color w:val="000000" w:themeColor="text1"/>
        </w:rPr>
        <w:t>Designs vary significantly;</w:t>
      </w:r>
    </w:p>
    <w:p w14:paraId="17F54415" w14:textId="502308AE" w:rsidR="00286F4D" w:rsidRPr="00B5064E" w:rsidRDefault="00286F4D" w:rsidP="00F83C19">
      <w:pPr>
        <w:pStyle w:val="ListParagraph"/>
        <w:numPr>
          <w:ilvl w:val="0"/>
          <w:numId w:val="43"/>
        </w:numPr>
        <w:spacing w:before="120" w:after="120"/>
        <w:ind w:left="1071" w:hanging="357"/>
        <w:contextualSpacing w:val="0"/>
        <w:rPr>
          <w:rFonts w:ascii="Calibri" w:hAnsi="Calibri" w:cs="Calibri"/>
          <w:color w:val="000000" w:themeColor="text1"/>
        </w:rPr>
      </w:pPr>
      <w:r w:rsidRPr="00B5064E">
        <w:rPr>
          <w:rFonts w:ascii="Calibri" w:hAnsi="Calibri" w:cs="Calibri"/>
          <w:color w:val="000000" w:themeColor="text1"/>
        </w:rPr>
        <w:t>Uptake remains</w:t>
      </w:r>
      <w:r w:rsidR="00DE3430" w:rsidRPr="00B5064E">
        <w:rPr>
          <w:rFonts w:ascii="Calibri" w:hAnsi="Calibri" w:cs="Calibri"/>
          <w:color w:val="000000" w:themeColor="text1"/>
        </w:rPr>
        <w:t xml:space="preserve"> limited,</w:t>
      </w:r>
      <w:r w:rsidR="00960613" w:rsidRPr="00B5064E">
        <w:rPr>
          <w:rFonts w:ascii="Calibri" w:hAnsi="Calibri" w:cs="Calibri"/>
          <w:color w:val="000000" w:themeColor="text1"/>
        </w:rPr>
        <w:t xml:space="preserve"> and;</w:t>
      </w:r>
    </w:p>
    <w:p w14:paraId="5AF0C8A3" w14:textId="0784A383" w:rsidR="00960613" w:rsidRPr="00B5064E" w:rsidRDefault="00960613" w:rsidP="00F83C19">
      <w:pPr>
        <w:pStyle w:val="ListParagraph"/>
        <w:numPr>
          <w:ilvl w:val="0"/>
          <w:numId w:val="43"/>
        </w:numPr>
        <w:spacing w:before="120" w:after="120"/>
        <w:ind w:left="1071" w:hanging="357"/>
        <w:contextualSpacing w:val="0"/>
        <w:rPr>
          <w:rFonts w:ascii="Calibri" w:hAnsi="Calibri" w:cs="Calibri"/>
          <w:color w:val="000000" w:themeColor="text1"/>
        </w:rPr>
      </w:pPr>
      <w:r w:rsidRPr="00B5064E">
        <w:rPr>
          <w:rFonts w:ascii="Calibri" w:hAnsi="Calibri" w:cs="Calibri"/>
          <w:color w:val="000000" w:themeColor="text1"/>
        </w:rPr>
        <w:t xml:space="preserve">Consumer protects are </w:t>
      </w:r>
      <w:r w:rsidR="00CE565A" w:rsidRPr="00B5064E">
        <w:rPr>
          <w:rFonts w:ascii="Calibri" w:hAnsi="Calibri" w:cs="Calibri"/>
          <w:color w:val="000000" w:themeColor="text1"/>
        </w:rPr>
        <w:t xml:space="preserve">inconsistent. </w:t>
      </w:r>
    </w:p>
    <w:p w14:paraId="0C40DBB3" w14:textId="310283FF" w:rsidR="00CE565A" w:rsidRPr="00B5064E" w:rsidRDefault="00CE565A" w:rsidP="00CE565A">
      <w:pPr>
        <w:rPr>
          <w:rFonts w:ascii="Calibri" w:hAnsi="Calibri" w:cs="Calibri"/>
          <w:color w:val="000000" w:themeColor="text1"/>
          <w:szCs w:val="18"/>
        </w:rPr>
      </w:pPr>
      <w:r w:rsidRPr="00B5064E">
        <w:rPr>
          <w:rFonts w:ascii="Calibri" w:hAnsi="Calibri" w:cs="Calibri"/>
          <w:color w:val="000000" w:themeColor="text1"/>
          <w:szCs w:val="18"/>
        </w:rPr>
        <w:t>Without regulatory standardisation</w:t>
      </w:r>
      <w:r w:rsidR="00A94D03" w:rsidRPr="00B5064E">
        <w:rPr>
          <w:rFonts w:ascii="Calibri" w:hAnsi="Calibri" w:cs="Calibri"/>
          <w:color w:val="000000" w:themeColor="text1"/>
          <w:szCs w:val="18"/>
        </w:rPr>
        <w:t xml:space="preserve">, progress is likely to be incremental and fragmented. </w:t>
      </w:r>
      <w:r w:rsidR="00963BE9" w:rsidRPr="00B5064E">
        <w:rPr>
          <w:rFonts w:ascii="Calibri" w:hAnsi="Calibri" w:cs="Calibri"/>
          <w:color w:val="000000" w:themeColor="text1"/>
          <w:szCs w:val="18"/>
        </w:rPr>
        <w:t>This undermines the scale</w:t>
      </w:r>
      <w:r w:rsidR="002669EF" w:rsidRPr="00B5064E">
        <w:rPr>
          <w:rFonts w:ascii="Calibri" w:hAnsi="Calibri" w:cs="Calibri"/>
          <w:color w:val="000000" w:themeColor="text1"/>
          <w:szCs w:val="18"/>
        </w:rPr>
        <w:t xml:space="preserve"> required to materially address minimum demand and equity challenges. </w:t>
      </w:r>
    </w:p>
    <w:p w14:paraId="243CBD34" w14:textId="7F8C2FD9" w:rsidR="002669EF" w:rsidRPr="00B5064E" w:rsidRDefault="002669EF" w:rsidP="001105F9">
      <w:pPr>
        <w:pStyle w:val="Heading2"/>
        <w:spacing w:after="120"/>
        <w:rPr>
          <w:rFonts w:ascii="Calibri" w:hAnsi="Calibri" w:cs="Calibri"/>
        </w:rPr>
      </w:pPr>
      <w:bookmarkStart w:id="17" w:name="_Toc222842764"/>
      <w:r w:rsidRPr="00B5064E">
        <w:rPr>
          <w:rFonts w:ascii="Calibri" w:hAnsi="Calibri" w:cs="Calibri"/>
        </w:rPr>
        <w:t>Government capacity to intervene successfully</w:t>
      </w:r>
      <w:bookmarkEnd w:id="17"/>
    </w:p>
    <w:p w14:paraId="29793652" w14:textId="2AFD3628" w:rsidR="002669EF" w:rsidRPr="00B5064E" w:rsidRDefault="00D209D0" w:rsidP="002669EF">
      <w:pPr>
        <w:rPr>
          <w:rFonts w:ascii="Calibri" w:hAnsi="Calibri" w:cs="Calibri"/>
        </w:rPr>
      </w:pPr>
      <w:r w:rsidRPr="00B5064E">
        <w:rPr>
          <w:rFonts w:ascii="Calibri" w:hAnsi="Calibri" w:cs="Calibri"/>
          <w:color w:val="000000" w:themeColor="text1"/>
          <w:szCs w:val="18"/>
        </w:rPr>
        <w:t xml:space="preserve">The </w:t>
      </w:r>
      <w:r w:rsidR="00382446" w:rsidRPr="00B5064E">
        <w:rPr>
          <w:rFonts w:ascii="Calibri" w:hAnsi="Calibri" w:cs="Calibri"/>
          <w:color w:val="000000" w:themeColor="text1"/>
          <w:szCs w:val="18"/>
        </w:rPr>
        <w:t>C</w:t>
      </w:r>
      <w:r w:rsidRPr="00B5064E">
        <w:rPr>
          <w:rFonts w:ascii="Calibri" w:hAnsi="Calibri" w:cs="Calibri"/>
          <w:color w:val="000000" w:themeColor="text1"/>
          <w:szCs w:val="18"/>
        </w:rPr>
        <w:t xml:space="preserve">ommonwealth has the </w:t>
      </w:r>
      <w:r w:rsidR="000274A3" w:rsidRPr="00B5064E">
        <w:rPr>
          <w:rFonts w:ascii="Calibri" w:hAnsi="Calibri" w:cs="Calibri"/>
          <w:color w:val="000000" w:themeColor="text1"/>
          <w:szCs w:val="18"/>
        </w:rPr>
        <w:t>regulatory architecture</w:t>
      </w:r>
      <w:r w:rsidRPr="00B5064E">
        <w:rPr>
          <w:rFonts w:ascii="Calibri" w:hAnsi="Calibri" w:cs="Calibri"/>
          <w:color w:val="000000" w:themeColor="text1"/>
          <w:szCs w:val="18"/>
        </w:rPr>
        <w:t xml:space="preserve"> </w:t>
      </w:r>
      <w:r w:rsidR="00FD28B0" w:rsidRPr="00B5064E">
        <w:rPr>
          <w:rFonts w:ascii="Calibri" w:hAnsi="Calibri" w:cs="Calibri"/>
          <w:color w:val="000000" w:themeColor="text1"/>
          <w:szCs w:val="18"/>
        </w:rPr>
        <w:t xml:space="preserve">in place </w:t>
      </w:r>
      <w:r w:rsidRPr="00B5064E">
        <w:rPr>
          <w:rFonts w:ascii="Calibri" w:hAnsi="Calibri" w:cs="Calibri"/>
          <w:color w:val="000000" w:themeColor="text1"/>
          <w:szCs w:val="18"/>
        </w:rPr>
        <w:t>to implement SSO effectively</w:t>
      </w:r>
      <w:r w:rsidRPr="00B5064E">
        <w:rPr>
          <w:rFonts w:ascii="Calibri" w:hAnsi="Calibri" w:cs="Calibri"/>
        </w:rPr>
        <w:t xml:space="preserve">. </w:t>
      </w:r>
      <w:r w:rsidR="009F364A" w:rsidRPr="00B5064E">
        <w:rPr>
          <w:rFonts w:ascii="Calibri" w:hAnsi="Calibri" w:cs="Calibri"/>
          <w:i/>
        </w:rPr>
        <w:t xml:space="preserve">The Competition and Consumer (Industry Code- Electricity retail) Regulations </w:t>
      </w:r>
      <w:r w:rsidR="00B215D2" w:rsidRPr="00B5064E">
        <w:rPr>
          <w:rFonts w:ascii="Calibri" w:hAnsi="Calibri" w:cs="Calibri"/>
          <w:i/>
        </w:rPr>
        <w:t>2019</w:t>
      </w:r>
      <w:r w:rsidR="00B215D2" w:rsidRPr="00B5064E">
        <w:rPr>
          <w:rFonts w:ascii="Calibri" w:hAnsi="Calibri" w:cs="Calibri"/>
        </w:rPr>
        <w:t xml:space="preserve"> already</w:t>
      </w:r>
      <w:r w:rsidR="00122D17" w:rsidRPr="00B5064E">
        <w:rPr>
          <w:rFonts w:ascii="Calibri" w:hAnsi="Calibri" w:cs="Calibri"/>
        </w:rPr>
        <w:t xml:space="preserve"> establish the framework</w:t>
      </w:r>
      <w:r w:rsidR="007E0D33" w:rsidRPr="00B5064E">
        <w:rPr>
          <w:rFonts w:ascii="Calibri" w:hAnsi="Calibri" w:cs="Calibri"/>
        </w:rPr>
        <w:t xml:space="preserve"> for prescribing standing offer requirements under the </w:t>
      </w:r>
      <w:r w:rsidR="0081580F">
        <w:rPr>
          <w:rFonts w:ascii="Calibri" w:hAnsi="Calibri" w:cs="Calibri"/>
        </w:rPr>
        <w:t>DMO</w:t>
      </w:r>
      <w:r w:rsidR="007E0D33" w:rsidRPr="00B5064E">
        <w:rPr>
          <w:rFonts w:ascii="Calibri" w:hAnsi="Calibri" w:cs="Calibri"/>
        </w:rPr>
        <w:t xml:space="preserve">. Embedding the SSO within this existing structure avoids the need to create </w:t>
      </w:r>
      <w:r w:rsidR="00562595" w:rsidRPr="00B5064E">
        <w:rPr>
          <w:rFonts w:ascii="Calibri" w:hAnsi="Calibri" w:cs="Calibri"/>
        </w:rPr>
        <w:t>a new regulatory regime and leverages established price-setting, consultation processes administered by the AER</w:t>
      </w:r>
      <w:r w:rsidR="00096A4C" w:rsidRPr="00B5064E">
        <w:rPr>
          <w:rFonts w:ascii="Calibri" w:hAnsi="Calibri" w:cs="Calibri"/>
        </w:rPr>
        <w:t xml:space="preserve"> as well as compliance</w:t>
      </w:r>
      <w:r w:rsidR="00745620" w:rsidRPr="00B5064E">
        <w:rPr>
          <w:rFonts w:ascii="Calibri" w:hAnsi="Calibri" w:cs="Calibri"/>
        </w:rPr>
        <w:t xml:space="preserve"> and enforcement of the regulations by the ACCC</w:t>
      </w:r>
      <w:r w:rsidR="00562595" w:rsidRPr="00B5064E">
        <w:rPr>
          <w:rFonts w:ascii="Calibri" w:hAnsi="Calibri" w:cs="Calibri"/>
        </w:rPr>
        <w:t xml:space="preserve">. </w:t>
      </w:r>
    </w:p>
    <w:p w14:paraId="6A4DFDC8" w14:textId="5AE3AA8F" w:rsidR="00D209D0" w:rsidRPr="00B5064E" w:rsidRDefault="00910935" w:rsidP="002669EF">
      <w:pPr>
        <w:rPr>
          <w:rFonts w:ascii="Calibri" w:hAnsi="Calibri" w:cs="Calibri"/>
        </w:rPr>
      </w:pPr>
      <w:r w:rsidRPr="00B5064E">
        <w:rPr>
          <w:rFonts w:ascii="Calibri" w:hAnsi="Calibri" w:cs="Calibri"/>
        </w:rPr>
        <w:t>The AER has</w:t>
      </w:r>
      <w:r w:rsidR="00D44BE1" w:rsidRPr="00B5064E">
        <w:rPr>
          <w:rFonts w:ascii="Calibri" w:hAnsi="Calibri" w:cs="Calibri"/>
        </w:rPr>
        <w:t xml:space="preserve"> a</w:t>
      </w:r>
      <w:r w:rsidRPr="00B5064E">
        <w:rPr>
          <w:rFonts w:ascii="Calibri" w:hAnsi="Calibri" w:cs="Calibri"/>
        </w:rPr>
        <w:t xml:space="preserve"> demonstrated capability in determining annual DMO price caps, undertaking detailed cost modelling, consulting with stakeholders and enforcing retailer compliance through monitoring and civil penalty provisions. </w:t>
      </w:r>
      <w:r w:rsidR="00745620" w:rsidRPr="00B5064E">
        <w:rPr>
          <w:rFonts w:ascii="Calibri" w:hAnsi="Calibri" w:cs="Calibri"/>
        </w:rPr>
        <w:t xml:space="preserve">The ACCC, responsible for compliance and enforcement of the code since its introduction in </w:t>
      </w:r>
      <w:r w:rsidR="00CF6036" w:rsidRPr="00B5064E">
        <w:rPr>
          <w:rFonts w:ascii="Calibri" w:hAnsi="Calibri" w:cs="Calibri"/>
        </w:rPr>
        <w:t>2019, has established processes and capability to support implementation and enforcement activities</w:t>
      </w:r>
      <w:r w:rsidRPr="00B5064E">
        <w:rPr>
          <w:rFonts w:ascii="Calibri" w:hAnsi="Calibri" w:cs="Calibri"/>
        </w:rPr>
        <w:t>.</w:t>
      </w:r>
    </w:p>
    <w:p w14:paraId="12A83606" w14:textId="0772A28A" w:rsidR="00910935" w:rsidRPr="00B5064E" w:rsidRDefault="006A59CE" w:rsidP="002669EF">
      <w:pPr>
        <w:rPr>
          <w:rFonts w:ascii="Calibri" w:hAnsi="Calibri" w:cs="Calibri"/>
        </w:rPr>
      </w:pPr>
      <w:r w:rsidRPr="00B5064E">
        <w:rPr>
          <w:rFonts w:ascii="Calibri" w:hAnsi="Calibri" w:cs="Calibri"/>
        </w:rPr>
        <w:t>Importantly, market conditions are conducive to intervention. The accelerat</w:t>
      </w:r>
      <w:r w:rsidR="00CF6036" w:rsidRPr="00B5064E">
        <w:rPr>
          <w:rFonts w:ascii="Calibri" w:hAnsi="Calibri" w:cs="Calibri"/>
        </w:rPr>
        <w:t xml:space="preserve">ed </w:t>
      </w:r>
      <w:r w:rsidRPr="00B5064E">
        <w:rPr>
          <w:rFonts w:ascii="Calibri" w:hAnsi="Calibri" w:cs="Calibri"/>
        </w:rPr>
        <w:t>rollout of smart meters, existing retailer experience with time-of-use and “free period” products, and mature wholesale market transparency provide the technical and operational foundations necessary to support a regulated solar-aligned tariff. The proposed design also incorporates safeguards</w:t>
      </w:r>
      <w:r w:rsidR="00605FA6" w:rsidRPr="00B5064E">
        <w:rPr>
          <w:rFonts w:ascii="Calibri" w:hAnsi="Calibri" w:cs="Calibri"/>
        </w:rPr>
        <w:t xml:space="preserve"> </w:t>
      </w:r>
      <w:r w:rsidRPr="00B5064E">
        <w:rPr>
          <w:rFonts w:ascii="Calibri" w:hAnsi="Calibri" w:cs="Calibri"/>
        </w:rPr>
        <w:t>such as opt-in participation, reasonable-use caps, DNSP-specific timing flexibility and a formal post-implementation review</w:t>
      </w:r>
      <w:r w:rsidR="00605FA6" w:rsidRPr="00B5064E">
        <w:rPr>
          <w:rFonts w:ascii="Calibri" w:hAnsi="Calibri" w:cs="Calibri"/>
        </w:rPr>
        <w:t xml:space="preserve"> </w:t>
      </w:r>
      <w:r w:rsidRPr="00B5064E">
        <w:rPr>
          <w:rFonts w:ascii="Calibri" w:hAnsi="Calibri" w:cs="Calibri"/>
        </w:rPr>
        <w:t>ensuring that implementation is proportionate, adaptive and responsive to emerging risks</w:t>
      </w:r>
      <w:r w:rsidR="00E70E3B" w:rsidRPr="00B5064E">
        <w:rPr>
          <w:rFonts w:ascii="Calibri" w:hAnsi="Calibri" w:cs="Calibri"/>
        </w:rPr>
        <w:t xml:space="preserve">. </w:t>
      </w:r>
    </w:p>
    <w:p w14:paraId="7C1AEC32" w14:textId="04C0FA50" w:rsidR="002D023D" w:rsidRPr="00B5064E" w:rsidRDefault="002D023D" w:rsidP="002669EF">
      <w:pPr>
        <w:rPr>
          <w:rFonts w:ascii="Calibri" w:hAnsi="Calibri" w:cs="Calibri"/>
        </w:rPr>
      </w:pPr>
      <w:r w:rsidRPr="00B5064E">
        <w:rPr>
          <w:rFonts w:ascii="Calibri" w:hAnsi="Calibri" w:cs="Calibri"/>
        </w:rPr>
        <w:t xml:space="preserve">Together these factors provide a </w:t>
      </w:r>
      <w:r w:rsidR="009C4607" w:rsidRPr="00B5064E">
        <w:rPr>
          <w:rFonts w:ascii="Calibri" w:hAnsi="Calibri" w:cs="Calibri"/>
        </w:rPr>
        <w:t xml:space="preserve">regulatory </w:t>
      </w:r>
      <w:r w:rsidRPr="00B5064E">
        <w:rPr>
          <w:rFonts w:ascii="Calibri" w:hAnsi="Calibri" w:cs="Calibri"/>
        </w:rPr>
        <w:t xml:space="preserve">landscape </w:t>
      </w:r>
      <w:r w:rsidR="00D31B64" w:rsidRPr="00B5064E">
        <w:rPr>
          <w:rFonts w:ascii="Calibri" w:hAnsi="Calibri" w:cs="Calibri"/>
        </w:rPr>
        <w:t xml:space="preserve">that </w:t>
      </w:r>
      <w:r w:rsidR="00941104" w:rsidRPr="00B5064E">
        <w:rPr>
          <w:rFonts w:ascii="Calibri" w:hAnsi="Calibri" w:cs="Calibri"/>
        </w:rPr>
        <w:t>Government</w:t>
      </w:r>
      <w:r w:rsidR="00D31B64" w:rsidRPr="00B5064E">
        <w:rPr>
          <w:rFonts w:ascii="Calibri" w:hAnsi="Calibri" w:cs="Calibri"/>
        </w:rPr>
        <w:t xml:space="preserve"> not only has a legitimate basis to </w:t>
      </w:r>
      <w:r w:rsidR="00E20736" w:rsidRPr="00B5064E">
        <w:rPr>
          <w:rFonts w:ascii="Calibri" w:hAnsi="Calibri" w:cs="Calibri"/>
        </w:rPr>
        <w:t>intervene but</w:t>
      </w:r>
      <w:r w:rsidR="00D31B64" w:rsidRPr="00B5064E">
        <w:rPr>
          <w:rFonts w:ascii="Calibri" w:hAnsi="Calibri" w:cs="Calibri"/>
        </w:rPr>
        <w:t xml:space="preserve"> also</w:t>
      </w:r>
      <w:r w:rsidR="005E1ADE" w:rsidRPr="00B5064E">
        <w:rPr>
          <w:rFonts w:ascii="Calibri" w:hAnsi="Calibri" w:cs="Calibri"/>
        </w:rPr>
        <w:t xml:space="preserve"> offer practical capabilities and tools</w:t>
      </w:r>
      <w:r w:rsidR="00941104" w:rsidRPr="00B5064E">
        <w:rPr>
          <w:rFonts w:ascii="Calibri" w:hAnsi="Calibri" w:cs="Calibri"/>
        </w:rPr>
        <w:t xml:space="preserve"> to do so successfully with established regulatory mechanisms</w:t>
      </w:r>
      <w:r w:rsidR="00FA62D2" w:rsidRPr="00B5064E">
        <w:rPr>
          <w:rFonts w:ascii="Calibri" w:hAnsi="Calibri" w:cs="Calibri"/>
        </w:rPr>
        <w:t xml:space="preserve"> and </w:t>
      </w:r>
      <w:r w:rsidR="00B33560" w:rsidRPr="00B5064E">
        <w:rPr>
          <w:rFonts w:ascii="Calibri" w:hAnsi="Calibri" w:cs="Calibri"/>
        </w:rPr>
        <w:t>work towards the core objectives of SSO</w:t>
      </w:r>
      <w:r w:rsidR="00941104" w:rsidRPr="00B5064E">
        <w:rPr>
          <w:rFonts w:ascii="Calibri" w:hAnsi="Calibri" w:cs="Calibri"/>
        </w:rPr>
        <w:t xml:space="preserve">. </w:t>
      </w:r>
    </w:p>
    <w:p w14:paraId="17E40A22" w14:textId="6AE531C8" w:rsidR="005F698F" w:rsidRPr="00C90C9E" w:rsidRDefault="005F698F" w:rsidP="001105F9">
      <w:pPr>
        <w:pStyle w:val="Heading2"/>
        <w:spacing w:after="120"/>
        <w:rPr>
          <w:rFonts w:ascii="Calibri" w:hAnsi="Calibri" w:cs="Calibri"/>
        </w:rPr>
      </w:pPr>
      <w:bookmarkStart w:id="18" w:name="_Toc222842765"/>
      <w:r w:rsidRPr="00C90C9E">
        <w:rPr>
          <w:rFonts w:ascii="Calibri" w:hAnsi="Calibri" w:cs="Calibri"/>
        </w:rPr>
        <w:t>Objectives of the SSO</w:t>
      </w:r>
      <w:bookmarkEnd w:id="18"/>
    </w:p>
    <w:p w14:paraId="4AFC3091" w14:textId="0D37271C" w:rsidR="00AE11F5" w:rsidRPr="00B5064E" w:rsidRDefault="00AE11F5" w:rsidP="00AE11F5">
      <w:pPr>
        <w:rPr>
          <w:rFonts w:ascii="Calibri" w:hAnsi="Calibri" w:cs="Calibri"/>
          <w:color w:val="000000" w:themeColor="text1"/>
          <w:szCs w:val="18"/>
        </w:rPr>
      </w:pPr>
      <w:r w:rsidRPr="00B5064E">
        <w:rPr>
          <w:rFonts w:ascii="Calibri" w:hAnsi="Calibri" w:cs="Calibri"/>
          <w:color w:val="000000" w:themeColor="text1"/>
          <w:szCs w:val="18"/>
        </w:rPr>
        <w:t xml:space="preserve">The SSO framework aims to deliver on core objectives of affordability, equity, and transparency. In developing the SSO reforms, the </w:t>
      </w:r>
      <w:r w:rsidR="009C3964" w:rsidRPr="00B5064E">
        <w:rPr>
          <w:rFonts w:ascii="Calibri" w:hAnsi="Calibri" w:cs="Calibri"/>
          <w:color w:val="000000" w:themeColor="text1"/>
          <w:szCs w:val="18"/>
        </w:rPr>
        <w:t>Government</w:t>
      </w:r>
      <w:r w:rsidRPr="00B5064E">
        <w:rPr>
          <w:rFonts w:ascii="Calibri" w:hAnsi="Calibri" w:cs="Calibri"/>
          <w:color w:val="000000" w:themeColor="text1"/>
          <w:szCs w:val="18"/>
        </w:rPr>
        <w:t xml:space="preserve"> is guided by three key policy objectives:</w:t>
      </w:r>
    </w:p>
    <w:p w14:paraId="47DFFF1F" w14:textId="77777777" w:rsidR="00AE11F5" w:rsidRPr="00B5064E" w:rsidRDefault="00AE11F5" w:rsidP="00CE62A0">
      <w:pPr>
        <w:pStyle w:val="Heading3"/>
        <w:spacing w:before="120" w:after="120"/>
        <w:rPr>
          <w:rFonts w:ascii="Calibri" w:hAnsi="Calibri" w:cs="Calibri"/>
        </w:rPr>
      </w:pPr>
      <w:bookmarkStart w:id="19" w:name="_Toc222842766"/>
      <w:r w:rsidRPr="00B5064E">
        <w:rPr>
          <w:rFonts w:ascii="Calibri" w:hAnsi="Calibri" w:cs="Calibri"/>
        </w:rPr>
        <w:t>Engage and empower consumers in the energy transition</w:t>
      </w:r>
      <w:bookmarkEnd w:id="19"/>
    </w:p>
    <w:p w14:paraId="774B16EF" w14:textId="77777777" w:rsidR="00AE11F5" w:rsidRPr="00B5064E" w:rsidRDefault="00AE11F5" w:rsidP="00AE11F5">
      <w:pPr>
        <w:rPr>
          <w:rFonts w:ascii="Calibri" w:hAnsi="Calibri" w:cs="Calibri"/>
          <w:color w:val="000000" w:themeColor="text1"/>
          <w:szCs w:val="18"/>
        </w:rPr>
      </w:pPr>
      <w:r w:rsidRPr="00B5064E">
        <w:rPr>
          <w:rFonts w:ascii="Calibri" w:hAnsi="Calibri" w:cs="Calibri"/>
          <w:color w:val="000000" w:themeColor="text1"/>
          <w:szCs w:val="18"/>
        </w:rPr>
        <w:t>Encourage behavioural change and ensure all Australian households benefit from Australia’s transition to renewable energy generation. Consumers should be rewarded for shifting usage, which builds trust and engagement with energy providers and the broader transition. It can also enhance household affordability and consumer choice by providing bill savings to those without rooftop solar and batteries.</w:t>
      </w:r>
    </w:p>
    <w:p w14:paraId="15526DEB" w14:textId="77777777" w:rsidR="0092173D" w:rsidRPr="00B5064E" w:rsidRDefault="00AE11F5" w:rsidP="00CE62A0">
      <w:pPr>
        <w:pStyle w:val="Heading3"/>
        <w:spacing w:before="120" w:after="120"/>
        <w:rPr>
          <w:rFonts w:ascii="Calibri" w:hAnsi="Calibri" w:cs="Calibri"/>
        </w:rPr>
      </w:pPr>
      <w:bookmarkStart w:id="20" w:name="_Toc222842767"/>
      <w:r w:rsidRPr="00B5064E">
        <w:rPr>
          <w:rFonts w:ascii="Calibri" w:hAnsi="Calibri" w:cs="Calibri"/>
        </w:rPr>
        <w:lastRenderedPageBreak/>
        <w:t>Shift consumer demand away from peak periods — deliver</w:t>
      </w:r>
      <w:r w:rsidR="00B33560" w:rsidRPr="00B5064E">
        <w:rPr>
          <w:rFonts w:ascii="Calibri" w:hAnsi="Calibri" w:cs="Calibri"/>
        </w:rPr>
        <w:t>i</w:t>
      </w:r>
      <w:r w:rsidRPr="00B5064E">
        <w:rPr>
          <w:rFonts w:ascii="Calibri" w:hAnsi="Calibri" w:cs="Calibri"/>
        </w:rPr>
        <w:t>ng savings for all consumers</w:t>
      </w:r>
      <w:bookmarkEnd w:id="20"/>
    </w:p>
    <w:p w14:paraId="3C69E3A8" w14:textId="2391395D" w:rsidR="00AE11F5" w:rsidRPr="00B5064E" w:rsidRDefault="00AE11F5" w:rsidP="00AE11F5">
      <w:pPr>
        <w:rPr>
          <w:rFonts w:ascii="Calibri" w:hAnsi="Calibri" w:cs="Calibri"/>
          <w:color w:val="000000" w:themeColor="text1"/>
          <w:szCs w:val="18"/>
        </w:rPr>
      </w:pPr>
      <w:r w:rsidRPr="00B5064E">
        <w:rPr>
          <w:rFonts w:ascii="Calibri" w:hAnsi="Calibri" w:cs="Calibri"/>
          <w:color w:val="000000" w:themeColor="text1"/>
          <w:szCs w:val="18"/>
        </w:rPr>
        <w:t>The SSO reforms seek to establish strong, visible price signals that empower households to actively manage their energy use. Consumers are incentivised to run appliances like dishwashers, washing machines, or charge EVs during those times. This will reduce pressure on the grid during high-demand times (typically late afternoon and evening).</w:t>
      </w:r>
    </w:p>
    <w:p w14:paraId="454F67C4" w14:textId="55490712" w:rsidR="00AE11F5" w:rsidRPr="00B5064E" w:rsidRDefault="00AE11F5" w:rsidP="00AE11F5">
      <w:pPr>
        <w:rPr>
          <w:rFonts w:ascii="Calibri" w:hAnsi="Calibri" w:cs="Calibri"/>
          <w:color w:val="000000" w:themeColor="text1"/>
          <w:szCs w:val="18"/>
        </w:rPr>
      </w:pPr>
      <w:r w:rsidRPr="00B5064E">
        <w:rPr>
          <w:rFonts w:ascii="Calibri" w:hAnsi="Calibri" w:cs="Calibri"/>
          <w:color w:val="000000" w:themeColor="text1"/>
          <w:szCs w:val="18"/>
        </w:rPr>
        <w:t>This helps flatten the demand curve, reducing the need for expensive peaking generation while improving system security and degreasing risk management (hedging) costs for retailers. It can also delay or reduce the need for costly electricity grid upgrades, improving grid reliability and efficiency. All these impacts ultimately flow to lower costs for consumers.</w:t>
      </w:r>
    </w:p>
    <w:p w14:paraId="124CABD6" w14:textId="77777777" w:rsidR="00AE11F5" w:rsidRPr="00B5064E" w:rsidRDefault="00AE11F5" w:rsidP="00CE62A0">
      <w:pPr>
        <w:pStyle w:val="Heading3"/>
        <w:spacing w:before="120" w:after="120"/>
        <w:rPr>
          <w:rFonts w:ascii="Calibri" w:hAnsi="Calibri" w:cs="Calibri"/>
        </w:rPr>
      </w:pPr>
      <w:bookmarkStart w:id="21" w:name="_Toc222842768"/>
      <w:r w:rsidRPr="00B5064E">
        <w:rPr>
          <w:rFonts w:ascii="Calibri" w:hAnsi="Calibri" w:cs="Calibri"/>
        </w:rPr>
        <w:t>Absorb excess renewable generation</w:t>
      </w:r>
      <w:bookmarkEnd w:id="21"/>
    </w:p>
    <w:p w14:paraId="2268FE38" w14:textId="77777777" w:rsidR="00AE11F5" w:rsidRPr="00B5064E" w:rsidRDefault="00AE11F5" w:rsidP="00AE11F5">
      <w:pPr>
        <w:rPr>
          <w:rFonts w:ascii="Calibri" w:hAnsi="Calibri" w:cs="Calibri"/>
          <w:color w:val="000000" w:themeColor="text1"/>
          <w:szCs w:val="18"/>
        </w:rPr>
      </w:pPr>
      <w:r w:rsidRPr="00B5064E">
        <w:rPr>
          <w:rFonts w:ascii="Calibri" w:hAnsi="Calibri" w:cs="Calibri"/>
          <w:color w:val="000000" w:themeColor="text1"/>
          <w:szCs w:val="18"/>
        </w:rPr>
        <w:t>Encourages consumption in the middle of the day which helps soak up excess solar, effectively replacing more costly gas and other generation in the evening with cheaper excess renewable energy. This reduces inefficient curtailment of renewable electricity and supports higher penetration of solar in the grid and ultimately works to lower costs for all consumers.</w:t>
      </w:r>
    </w:p>
    <w:p w14:paraId="0F721EAB" w14:textId="3A565D9A" w:rsidR="00647592" w:rsidRPr="00B5064E" w:rsidRDefault="00F20A48" w:rsidP="00CE6818">
      <w:pPr>
        <w:pStyle w:val="Heading2"/>
        <w:spacing w:after="120"/>
        <w:rPr>
          <w:rFonts w:ascii="Calibri" w:hAnsi="Calibri" w:cs="Calibri"/>
        </w:rPr>
      </w:pPr>
      <w:bookmarkStart w:id="22" w:name="_Toc222842769"/>
      <w:r w:rsidRPr="00B5064E">
        <w:rPr>
          <w:rFonts w:ascii="Calibri" w:hAnsi="Calibri" w:cs="Calibri"/>
        </w:rPr>
        <w:t xml:space="preserve">Possible constraints or barriers to achieving </w:t>
      </w:r>
      <w:r w:rsidR="00763F55" w:rsidRPr="00B5064E">
        <w:rPr>
          <w:rFonts w:ascii="Calibri" w:hAnsi="Calibri" w:cs="Calibri"/>
        </w:rPr>
        <w:t>the objectives</w:t>
      </w:r>
      <w:bookmarkEnd w:id="22"/>
    </w:p>
    <w:p w14:paraId="518DCAB1" w14:textId="24A250E2" w:rsidR="00C00149" w:rsidRPr="00B5064E" w:rsidRDefault="003D02F1" w:rsidP="00FF6912">
      <w:pPr>
        <w:rPr>
          <w:rFonts w:ascii="Calibri" w:hAnsi="Calibri" w:cs="Calibri"/>
          <w:color w:val="000000" w:themeColor="text1"/>
          <w:szCs w:val="18"/>
        </w:rPr>
      </w:pPr>
      <w:r w:rsidRPr="00B5064E">
        <w:rPr>
          <w:rFonts w:ascii="Calibri" w:hAnsi="Calibri" w:cs="Calibri"/>
          <w:color w:val="000000" w:themeColor="text1"/>
          <w:szCs w:val="18"/>
        </w:rPr>
        <w:t xml:space="preserve">While the </w:t>
      </w:r>
      <w:r w:rsidR="004B2149" w:rsidRPr="00B5064E">
        <w:rPr>
          <w:rFonts w:ascii="Calibri" w:hAnsi="Calibri" w:cs="Calibri"/>
          <w:color w:val="000000" w:themeColor="text1"/>
          <w:szCs w:val="18"/>
        </w:rPr>
        <w:t>SSO</w:t>
      </w:r>
      <w:r w:rsidRPr="00B5064E">
        <w:rPr>
          <w:rFonts w:ascii="Calibri" w:hAnsi="Calibri" w:cs="Calibri"/>
          <w:color w:val="000000" w:themeColor="text1"/>
          <w:szCs w:val="18"/>
        </w:rPr>
        <w:t xml:space="preserve"> seeks to improve equity, affordability and system efficiency, </w:t>
      </w:r>
      <w:r w:rsidR="0023493B" w:rsidRPr="00B5064E">
        <w:rPr>
          <w:rFonts w:ascii="Calibri" w:hAnsi="Calibri" w:cs="Calibri"/>
          <w:color w:val="000000" w:themeColor="text1"/>
          <w:szCs w:val="18"/>
        </w:rPr>
        <w:t xml:space="preserve">the </w:t>
      </w:r>
      <w:r w:rsidR="00A4180C" w:rsidRPr="00B5064E">
        <w:rPr>
          <w:rFonts w:ascii="Calibri" w:hAnsi="Calibri" w:cs="Calibri"/>
          <w:color w:val="000000" w:themeColor="text1"/>
          <w:szCs w:val="18"/>
        </w:rPr>
        <w:t xml:space="preserve">principal constraint to achieving these </w:t>
      </w:r>
      <w:r w:rsidR="00650830" w:rsidRPr="00B5064E">
        <w:rPr>
          <w:rFonts w:ascii="Calibri" w:hAnsi="Calibri" w:cs="Calibri"/>
          <w:color w:val="000000" w:themeColor="text1"/>
          <w:szCs w:val="18"/>
        </w:rPr>
        <w:t xml:space="preserve">objectives is consumer uptake. The effectiveness </w:t>
      </w:r>
      <w:r w:rsidR="003E7080" w:rsidRPr="00B5064E">
        <w:rPr>
          <w:rFonts w:ascii="Calibri" w:hAnsi="Calibri" w:cs="Calibri"/>
          <w:color w:val="000000" w:themeColor="text1"/>
          <w:szCs w:val="18"/>
        </w:rPr>
        <w:t xml:space="preserve">of policy depends on a sufficient number of households opting into the </w:t>
      </w:r>
      <w:r w:rsidR="00090C29" w:rsidRPr="00B5064E">
        <w:rPr>
          <w:rFonts w:ascii="Calibri" w:hAnsi="Calibri" w:cs="Calibri"/>
          <w:color w:val="000000" w:themeColor="text1"/>
          <w:szCs w:val="18"/>
        </w:rPr>
        <w:t>tariff</w:t>
      </w:r>
      <w:r w:rsidR="003E7080" w:rsidRPr="00B5064E">
        <w:rPr>
          <w:rFonts w:ascii="Calibri" w:hAnsi="Calibri" w:cs="Calibri"/>
          <w:color w:val="000000" w:themeColor="text1"/>
          <w:szCs w:val="18"/>
        </w:rPr>
        <w:t xml:space="preserve"> and actively shifting consumption into the designated free period</w:t>
      </w:r>
      <w:r w:rsidR="00AF0A02" w:rsidRPr="00B5064E">
        <w:rPr>
          <w:rFonts w:ascii="Calibri" w:hAnsi="Calibri" w:cs="Calibri"/>
          <w:color w:val="000000" w:themeColor="text1"/>
          <w:szCs w:val="18"/>
        </w:rPr>
        <w:t xml:space="preserve">. </w:t>
      </w:r>
      <w:r w:rsidR="00FF6912" w:rsidRPr="00B5064E">
        <w:rPr>
          <w:rFonts w:ascii="Calibri" w:hAnsi="Calibri" w:cs="Calibri"/>
          <w:color w:val="000000" w:themeColor="text1"/>
          <w:szCs w:val="18"/>
        </w:rPr>
        <w:t xml:space="preserve">Consumer </w:t>
      </w:r>
      <w:r w:rsidR="00F864B1" w:rsidRPr="00B5064E">
        <w:rPr>
          <w:rFonts w:ascii="Calibri" w:hAnsi="Calibri" w:cs="Calibri"/>
          <w:color w:val="000000" w:themeColor="text1"/>
          <w:szCs w:val="18"/>
        </w:rPr>
        <w:t xml:space="preserve">uptake and behavioural response </w:t>
      </w:r>
      <w:r w:rsidR="00824382" w:rsidRPr="00B5064E">
        <w:rPr>
          <w:rFonts w:ascii="Calibri" w:hAnsi="Calibri" w:cs="Calibri"/>
          <w:color w:val="000000" w:themeColor="text1"/>
          <w:szCs w:val="18"/>
        </w:rPr>
        <w:t xml:space="preserve">are influenced by </w:t>
      </w:r>
      <w:r w:rsidR="00FE0194" w:rsidRPr="00B5064E">
        <w:rPr>
          <w:rFonts w:ascii="Calibri" w:hAnsi="Calibri" w:cs="Calibri"/>
          <w:color w:val="000000" w:themeColor="text1"/>
          <w:szCs w:val="18"/>
        </w:rPr>
        <w:t>several factors that sit partly outside t</w:t>
      </w:r>
      <w:r w:rsidR="00A55168" w:rsidRPr="00B5064E">
        <w:rPr>
          <w:rFonts w:ascii="Calibri" w:hAnsi="Calibri" w:cs="Calibri"/>
          <w:color w:val="000000" w:themeColor="text1"/>
          <w:szCs w:val="18"/>
        </w:rPr>
        <w:t>he direct control of the regulatory framework.</w:t>
      </w:r>
      <w:r w:rsidR="00090C29" w:rsidRPr="00B5064E">
        <w:rPr>
          <w:rFonts w:ascii="Calibri" w:hAnsi="Calibri" w:cs="Calibri"/>
          <w:color w:val="000000" w:themeColor="text1"/>
          <w:szCs w:val="18"/>
        </w:rPr>
        <w:t xml:space="preserve"> They are:</w:t>
      </w:r>
    </w:p>
    <w:p w14:paraId="32C8F4D2" w14:textId="382424BA" w:rsidR="00090C29" w:rsidRPr="00B5064E" w:rsidRDefault="00090C29" w:rsidP="00B70A06">
      <w:pPr>
        <w:pStyle w:val="ListParagraph"/>
        <w:numPr>
          <w:ilvl w:val="0"/>
          <w:numId w:val="45"/>
        </w:numPr>
        <w:spacing w:before="120" w:after="120"/>
        <w:ind w:left="714" w:hanging="357"/>
        <w:contextualSpacing w:val="0"/>
        <w:rPr>
          <w:rFonts w:ascii="Calibri" w:hAnsi="Calibri" w:cs="Calibri"/>
        </w:rPr>
      </w:pPr>
      <w:r w:rsidRPr="00B5064E">
        <w:rPr>
          <w:rFonts w:ascii="Calibri" w:hAnsi="Calibri" w:cs="Calibri"/>
          <w:b/>
          <w:bCs/>
        </w:rPr>
        <w:t>Behaviour and practical capacity to shift load</w:t>
      </w:r>
      <w:r w:rsidRPr="00B5064E">
        <w:rPr>
          <w:rFonts w:ascii="Calibri" w:hAnsi="Calibri" w:cs="Calibri"/>
        </w:rPr>
        <w:t xml:space="preserve">: Not all </w:t>
      </w:r>
      <w:r w:rsidR="00B85DA5" w:rsidRPr="00B5064E">
        <w:rPr>
          <w:rFonts w:ascii="Calibri" w:hAnsi="Calibri" w:cs="Calibri"/>
        </w:rPr>
        <w:t xml:space="preserve">households have </w:t>
      </w:r>
      <w:r w:rsidR="00B04A24" w:rsidRPr="00B5064E">
        <w:rPr>
          <w:rFonts w:ascii="Calibri" w:hAnsi="Calibri" w:cs="Calibri"/>
        </w:rPr>
        <w:t>flexible demand, automated appliances, or work-from-home arrangements that enable meaningful load shifting. Households with inflexible usage patterns may see limited benefit and therefore be less likely to participate.</w:t>
      </w:r>
    </w:p>
    <w:p w14:paraId="5734C529" w14:textId="7C19BA11" w:rsidR="009F1AC6" w:rsidRPr="00B5064E" w:rsidRDefault="00B116A8" w:rsidP="00B70A06">
      <w:pPr>
        <w:pStyle w:val="ListParagraph"/>
        <w:numPr>
          <w:ilvl w:val="0"/>
          <w:numId w:val="45"/>
        </w:numPr>
        <w:spacing w:before="120" w:after="120"/>
        <w:ind w:left="714" w:hanging="357"/>
        <w:contextualSpacing w:val="0"/>
        <w:rPr>
          <w:rFonts w:ascii="Calibri" w:hAnsi="Calibri" w:cs="Calibri"/>
        </w:rPr>
      </w:pPr>
      <w:r w:rsidRPr="00B5064E">
        <w:rPr>
          <w:rFonts w:ascii="Calibri" w:hAnsi="Calibri" w:cs="Calibri"/>
          <w:b/>
          <w:bCs/>
        </w:rPr>
        <w:t>Consumer awareness and understanding:</w:t>
      </w:r>
      <w:r w:rsidRPr="00B5064E">
        <w:rPr>
          <w:rFonts w:ascii="Calibri" w:hAnsi="Calibri" w:cs="Calibri"/>
        </w:rPr>
        <w:t xml:space="preserve"> Complexity of tariff structures, perceived bill shock risk, or limited engagement with energy pricing may reduce uptake, even where potential savings exist.</w:t>
      </w:r>
    </w:p>
    <w:p w14:paraId="213F4E16" w14:textId="2FF6CB4B" w:rsidR="00B116A8" w:rsidRPr="00B5064E" w:rsidRDefault="00C715F9" w:rsidP="00B70A06">
      <w:pPr>
        <w:pStyle w:val="ListParagraph"/>
        <w:numPr>
          <w:ilvl w:val="0"/>
          <w:numId w:val="45"/>
        </w:numPr>
        <w:spacing w:before="120" w:after="120"/>
        <w:ind w:left="714" w:hanging="357"/>
        <w:contextualSpacing w:val="0"/>
        <w:rPr>
          <w:rFonts w:ascii="Calibri" w:hAnsi="Calibri" w:cs="Calibri"/>
        </w:rPr>
      </w:pPr>
      <w:r w:rsidRPr="00B5064E">
        <w:rPr>
          <w:rFonts w:ascii="Calibri" w:hAnsi="Calibri" w:cs="Calibri"/>
          <w:b/>
          <w:bCs/>
        </w:rPr>
        <w:t>Smart meter availability and technical readiness:</w:t>
      </w:r>
      <w:r w:rsidRPr="00B5064E">
        <w:rPr>
          <w:rFonts w:ascii="Calibri" w:hAnsi="Calibri" w:cs="Calibri"/>
        </w:rPr>
        <w:t xml:space="preserve"> Participation requires compatible metering and billing systems. Delays in smart meter rollout, particularly in apartments or legacy dwellings, may constrain equitable access.</w:t>
      </w:r>
    </w:p>
    <w:p w14:paraId="556E515A" w14:textId="77777777" w:rsidR="000364AE" w:rsidRPr="00B5064E" w:rsidRDefault="00C00A47" w:rsidP="00B70A06">
      <w:pPr>
        <w:pStyle w:val="ListParagraph"/>
        <w:numPr>
          <w:ilvl w:val="0"/>
          <w:numId w:val="45"/>
        </w:numPr>
        <w:spacing w:before="120" w:after="120"/>
        <w:ind w:left="714" w:hanging="357"/>
        <w:contextualSpacing w:val="0"/>
        <w:rPr>
          <w:rFonts w:ascii="Calibri" w:hAnsi="Calibri" w:cs="Calibri"/>
        </w:rPr>
      </w:pPr>
      <w:r w:rsidRPr="00B5064E">
        <w:rPr>
          <w:rFonts w:ascii="Calibri" w:hAnsi="Calibri" w:cs="Calibri"/>
          <w:b/>
          <w:bCs/>
        </w:rPr>
        <w:t>Cost t</w:t>
      </w:r>
      <w:r w:rsidR="00C64C27" w:rsidRPr="00B5064E">
        <w:rPr>
          <w:rFonts w:ascii="Calibri" w:hAnsi="Calibri" w:cs="Calibri"/>
          <w:b/>
          <w:bCs/>
        </w:rPr>
        <w:t>ransparency issues</w:t>
      </w:r>
      <w:r w:rsidRPr="00B5064E">
        <w:rPr>
          <w:rFonts w:ascii="Calibri" w:hAnsi="Calibri" w:cs="Calibri"/>
          <w:b/>
          <w:bCs/>
        </w:rPr>
        <w:t>:</w:t>
      </w:r>
      <w:r w:rsidRPr="00B5064E">
        <w:rPr>
          <w:rFonts w:ascii="Calibri" w:hAnsi="Calibri" w:cs="Calibri"/>
        </w:rPr>
        <w:t xml:space="preserve"> Households may be cautious about opting into a new tariff if the savings are uncertain or if higher charges apply outside the free window.</w:t>
      </w:r>
    </w:p>
    <w:p w14:paraId="52338A2C" w14:textId="2C30565F" w:rsidR="00C00A47" w:rsidRPr="00B5064E" w:rsidRDefault="00180873" w:rsidP="00B70A06">
      <w:pPr>
        <w:pStyle w:val="ListParagraph"/>
        <w:numPr>
          <w:ilvl w:val="0"/>
          <w:numId w:val="45"/>
        </w:numPr>
        <w:spacing w:before="120" w:after="120"/>
        <w:ind w:left="714" w:hanging="357"/>
        <w:contextualSpacing w:val="0"/>
        <w:rPr>
          <w:rFonts w:ascii="Calibri" w:hAnsi="Calibri" w:cs="Calibri"/>
        </w:rPr>
      </w:pPr>
      <w:r w:rsidRPr="00B5064E">
        <w:rPr>
          <w:rFonts w:ascii="Calibri" w:hAnsi="Calibri" w:cs="Calibri"/>
          <w:b/>
          <w:bCs/>
        </w:rPr>
        <w:t>Distributional calibration and public confidence:</w:t>
      </w:r>
      <w:r w:rsidRPr="00B5064E">
        <w:rPr>
          <w:rFonts w:ascii="Calibri" w:hAnsi="Calibri" w:cs="Calibri"/>
        </w:rPr>
        <w:t xml:space="preserve"> If early implementation results in perceived cross-subsidies or unintended bill impacts, confidence and participation </w:t>
      </w:r>
      <w:r w:rsidRPr="00B5064E">
        <w:rPr>
          <w:rFonts w:ascii="Calibri" w:hAnsi="Calibri" w:cs="Calibri"/>
          <w:color w:val="000000" w:themeColor="text1"/>
          <w:szCs w:val="18"/>
        </w:rPr>
        <w:t>could be affected.</w:t>
      </w:r>
    </w:p>
    <w:p w14:paraId="18F31DB3" w14:textId="4B0D5603" w:rsidR="00A55168" w:rsidRPr="00B5064E" w:rsidRDefault="0099761A" w:rsidP="000364AE">
      <w:pPr>
        <w:rPr>
          <w:rFonts w:ascii="Calibri" w:hAnsi="Calibri" w:cs="Calibri"/>
          <w:color w:val="000000" w:themeColor="text1"/>
          <w:szCs w:val="18"/>
        </w:rPr>
      </w:pPr>
      <w:r w:rsidRPr="00B5064E">
        <w:rPr>
          <w:rFonts w:ascii="Calibri" w:hAnsi="Calibri" w:cs="Calibri"/>
          <w:color w:val="000000" w:themeColor="text1"/>
          <w:szCs w:val="18"/>
        </w:rPr>
        <w:t xml:space="preserve">Accordingly, while the regulatory framework can establish </w:t>
      </w:r>
      <w:r w:rsidR="00415E35" w:rsidRPr="00B5064E">
        <w:rPr>
          <w:rFonts w:ascii="Calibri" w:hAnsi="Calibri" w:cs="Calibri"/>
          <w:color w:val="000000" w:themeColor="text1"/>
          <w:szCs w:val="18"/>
        </w:rPr>
        <w:t>safeguards, disclosure requirements and cost-recovery</w:t>
      </w:r>
      <w:r w:rsidR="00865E4B" w:rsidRPr="00B5064E">
        <w:rPr>
          <w:rFonts w:ascii="Calibri" w:hAnsi="Calibri" w:cs="Calibri"/>
          <w:color w:val="000000" w:themeColor="text1"/>
          <w:szCs w:val="18"/>
        </w:rPr>
        <w:t xml:space="preserve"> settings, the ultimate success of the SSO will depend on significant</w:t>
      </w:r>
      <w:r w:rsidR="00270861" w:rsidRPr="00B5064E">
        <w:rPr>
          <w:rFonts w:ascii="Calibri" w:hAnsi="Calibri" w:cs="Calibri"/>
          <w:color w:val="000000" w:themeColor="text1"/>
          <w:szCs w:val="18"/>
        </w:rPr>
        <w:t xml:space="preserve">ly on consumer engagement and behavioural response. This introduces an implementation </w:t>
      </w:r>
      <w:r w:rsidR="00404607" w:rsidRPr="00B5064E">
        <w:rPr>
          <w:rFonts w:ascii="Calibri" w:hAnsi="Calibri" w:cs="Calibri"/>
          <w:color w:val="000000" w:themeColor="text1"/>
          <w:szCs w:val="18"/>
        </w:rPr>
        <w:t>risk that must be managed through clear communication</w:t>
      </w:r>
      <w:r w:rsidR="00256162" w:rsidRPr="00B5064E">
        <w:rPr>
          <w:rFonts w:ascii="Calibri" w:hAnsi="Calibri" w:cs="Calibri"/>
          <w:color w:val="000000" w:themeColor="text1"/>
          <w:szCs w:val="18"/>
        </w:rPr>
        <w:t xml:space="preserve"> and disclosure</w:t>
      </w:r>
      <w:r w:rsidR="00404607" w:rsidRPr="00B5064E">
        <w:rPr>
          <w:rFonts w:ascii="Calibri" w:hAnsi="Calibri" w:cs="Calibri"/>
          <w:color w:val="000000" w:themeColor="text1"/>
          <w:szCs w:val="18"/>
        </w:rPr>
        <w:t>, transparent tariff design</w:t>
      </w:r>
      <w:r w:rsidR="00256162" w:rsidRPr="00B5064E">
        <w:rPr>
          <w:rFonts w:ascii="Calibri" w:hAnsi="Calibri" w:cs="Calibri"/>
          <w:color w:val="000000" w:themeColor="text1"/>
          <w:szCs w:val="18"/>
        </w:rPr>
        <w:t xml:space="preserve"> and ongoing </w:t>
      </w:r>
      <w:r w:rsidR="000364AE" w:rsidRPr="00B5064E">
        <w:rPr>
          <w:rFonts w:ascii="Calibri" w:hAnsi="Calibri" w:cs="Calibri"/>
          <w:color w:val="000000" w:themeColor="text1"/>
          <w:szCs w:val="18"/>
        </w:rPr>
        <w:t>progress review.</w:t>
      </w:r>
    </w:p>
    <w:p w14:paraId="6F9EB996" w14:textId="24873D9D" w:rsidR="00AD3BDE" w:rsidRPr="00B5064E" w:rsidRDefault="00AD3BDE" w:rsidP="00CE6818">
      <w:pPr>
        <w:pStyle w:val="Heading2"/>
        <w:spacing w:after="120"/>
        <w:rPr>
          <w:rFonts w:ascii="Calibri" w:hAnsi="Calibri" w:cs="Calibri"/>
        </w:rPr>
      </w:pPr>
      <w:bookmarkStart w:id="23" w:name="_Toc222842770"/>
      <w:r w:rsidRPr="00B5064E">
        <w:rPr>
          <w:rFonts w:ascii="Calibri" w:hAnsi="Calibri" w:cs="Calibri"/>
        </w:rPr>
        <w:t>How will success be measured?</w:t>
      </w:r>
      <w:bookmarkEnd w:id="23"/>
    </w:p>
    <w:p w14:paraId="6D81BF76" w14:textId="6E881671" w:rsidR="000814EF" w:rsidRPr="00B5064E" w:rsidRDefault="000814EF" w:rsidP="002E25AC">
      <w:pPr>
        <w:spacing w:after="120"/>
        <w:rPr>
          <w:rFonts w:ascii="Calibri" w:hAnsi="Calibri" w:cs="Calibri"/>
        </w:rPr>
      </w:pPr>
      <w:r w:rsidRPr="00B5064E">
        <w:rPr>
          <w:rFonts w:ascii="Calibri" w:hAnsi="Calibri" w:cs="Calibri"/>
        </w:rPr>
        <w:t xml:space="preserve">To ensure the SSO remains effective and responsive to these evolving market dynamics, the department will conduct a post-implementation review to ensure the SSO remains fit for purpose and </w:t>
      </w:r>
      <w:r w:rsidR="00B5524D" w:rsidRPr="00B5064E">
        <w:rPr>
          <w:rFonts w:ascii="Calibri" w:hAnsi="Calibri" w:cs="Calibri"/>
        </w:rPr>
        <w:t xml:space="preserve">is </w:t>
      </w:r>
      <w:r w:rsidRPr="00B5064E">
        <w:rPr>
          <w:rFonts w:ascii="Calibri" w:hAnsi="Calibri" w:cs="Calibri"/>
        </w:rPr>
        <w:t>achiev</w:t>
      </w:r>
      <w:r w:rsidR="00B5524D" w:rsidRPr="00B5064E">
        <w:rPr>
          <w:rFonts w:ascii="Calibri" w:hAnsi="Calibri" w:cs="Calibri"/>
        </w:rPr>
        <w:t xml:space="preserve">ing </w:t>
      </w:r>
      <w:r w:rsidRPr="00B5064E">
        <w:rPr>
          <w:rFonts w:ascii="Calibri" w:hAnsi="Calibri" w:cs="Calibri"/>
        </w:rPr>
        <w:t xml:space="preserve">its </w:t>
      </w:r>
      <w:r w:rsidRPr="00B5064E">
        <w:rPr>
          <w:rFonts w:ascii="Calibri" w:hAnsi="Calibri" w:cs="Calibri"/>
        </w:rPr>
        <w:lastRenderedPageBreak/>
        <w:t>key objective of supporting households reduce their bills</w:t>
      </w:r>
      <w:r w:rsidR="007D7EAD" w:rsidRPr="00B5064E">
        <w:rPr>
          <w:rFonts w:ascii="Calibri" w:hAnsi="Calibri" w:cs="Calibri"/>
        </w:rPr>
        <w:t xml:space="preserve"> and improving overall system efficiency</w:t>
      </w:r>
      <w:r w:rsidRPr="00B5064E">
        <w:rPr>
          <w:rFonts w:ascii="Calibri" w:hAnsi="Calibri" w:cs="Calibri"/>
        </w:rPr>
        <w:t xml:space="preserve">. This post-implementation review would be undertaken no later than 2 years after the SSO’s commencement. </w:t>
      </w:r>
    </w:p>
    <w:p w14:paraId="702EE3E0" w14:textId="77777777" w:rsidR="00DE78B0" w:rsidRPr="00B5064E" w:rsidRDefault="00DE78B0" w:rsidP="00CE6818">
      <w:pPr>
        <w:pStyle w:val="Heading2"/>
        <w:spacing w:after="120"/>
        <w:rPr>
          <w:rFonts w:ascii="Calibri" w:hAnsi="Calibri" w:cs="Calibri"/>
        </w:rPr>
      </w:pPr>
      <w:bookmarkStart w:id="24" w:name="_Toc222842771"/>
      <w:r w:rsidRPr="00B5064E">
        <w:rPr>
          <w:rFonts w:ascii="Calibri" w:hAnsi="Calibri" w:cs="Calibri"/>
        </w:rPr>
        <w:t>What factors will merit SSO a success?</w:t>
      </w:r>
      <w:bookmarkEnd w:id="24"/>
    </w:p>
    <w:p w14:paraId="2D494BE8" w14:textId="7DB04EC4" w:rsidR="004C67DF" w:rsidRPr="00B5064E" w:rsidRDefault="004C67DF" w:rsidP="003B5A59">
      <w:pPr>
        <w:pStyle w:val="Caption"/>
        <w:keepNext/>
        <w:spacing w:after="0"/>
        <w:rPr>
          <w:i/>
          <w:iCs w:val="0"/>
          <w:sz w:val="20"/>
          <w:szCs w:val="20"/>
        </w:rPr>
      </w:pPr>
      <w:r w:rsidRPr="00B5064E">
        <w:rPr>
          <w:i/>
          <w:iCs w:val="0"/>
          <w:sz w:val="20"/>
          <w:szCs w:val="20"/>
        </w:rPr>
        <w:t>Table 1: Factors that could merit the SSO a success?</w:t>
      </w:r>
    </w:p>
    <w:tbl>
      <w:tblPr>
        <w:tblStyle w:val="SynergiesTable"/>
        <w:tblW w:w="9924" w:type="dxa"/>
        <w:tblBorders>
          <w:bottom w:val="single" w:sz="4" w:space="0" w:color="D1D1D1" w:themeColor="background2" w:themeShade="E6"/>
        </w:tblBorders>
        <w:tblLook w:val="04A0" w:firstRow="1" w:lastRow="0" w:firstColumn="1" w:lastColumn="0" w:noHBand="0" w:noVBand="1"/>
      </w:tblPr>
      <w:tblGrid>
        <w:gridCol w:w="1702"/>
        <w:gridCol w:w="1985"/>
        <w:gridCol w:w="2126"/>
        <w:gridCol w:w="2126"/>
        <w:gridCol w:w="1985"/>
      </w:tblGrid>
      <w:tr w:rsidR="00DE78B0" w:rsidRPr="00B5064E" w14:paraId="0B054B2D" w14:textId="77777777" w:rsidTr="00F958BE">
        <w:trPr>
          <w:cnfStyle w:val="100000000000" w:firstRow="1" w:lastRow="0" w:firstColumn="0" w:lastColumn="0" w:oddVBand="0" w:evenVBand="0" w:oddHBand="0" w:evenHBand="0" w:firstRowFirstColumn="0" w:firstRowLastColumn="0" w:lastRowFirstColumn="0" w:lastRowLastColumn="0"/>
          <w:trHeight w:val="481"/>
        </w:trPr>
        <w:tc>
          <w:tcPr>
            <w:tcW w:w="1702" w:type="dxa"/>
            <w:hideMark/>
          </w:tcPr>
          <w:p w14:paraId="28820C25" w14:textId="77777777" w:rsidR="00DE78B0" w:rsidRPr="00B5064E" w:rsidRDefault="00DE78B0" w:rsidP="00901A14">
            <w:pPr>
              <w:spacing w:after="120"/>
              <w:jc w:val="center"/>
              <w:rPr>
                <w:rFonts w:ascii="Calibri" w:eastAsia="Times New Roman" w:hAnsi="Calibri" w:cs="Calibri"/>
                <w:b/>
                <w:bCs/>
                <w:sz w:val="22"/>
                <w:lang w:eastAsia="en-AU"/>
              </w:rPr>
            </w:pPr>
            <w:r w:rsidRPr="00B5064E">
              <w:rPr>
                <w:rFonts w:ascii="Calibri" w:eastAsia="Times New Roman" w:hAnsi="Calibri" w:cs="Calibri"/>
                <w:b/>
                <w:bCs/>
                <w:sz w:val="22"/>
                <w:lang w:eastAsia="en-AU"/>
              </w:rPr>
              <w:t>Policy Objective</w:t>
            </w:r>
          </w:p>
        </w:tc>
        <w:tc>
          <w:tcPr>
            <w:tcW w:w="1985" w:type="dxa"/>
            <w:hideMark/>
          </w:tcPr>
          <w:p w14:paraId="2018B4D8" w14:textId="77777777" w:rsidR="00DE78B0" w:rsidRPr="00B5064E" w:rsidRDefault="00DE78B0" w:rsidP="00901A14">
            <w:pPr>
              <w:spacing w:after="120"/>
              <w:jc w:val="center"/>
              <w:rPr>
                <w:rFonts w:ascii="Calibri" w:eastAsia="Times New Roman" w:hAnsi="Calibri" w:cs="Calibri"/>
                <w:b/>
                <w:bCs/>
                <w:sz w:val="22"/>
                <w:lang w:eastAsia="en-AU"/>
              </w:rPr>
            </w:pPr>
            <w:r w:rsidRPr="00B5064E">
              <w:rPr>
                <w:rFonts w:ascii="Calibri" w:eastAsia="Times New Roman" w:hAnsi="Calibri" w:cs="Calibri"/>
                <w:b/>
                <w:bCs/>
                <w:sz w:val="22"/>
                <w:lang w:eastAsia="en-AU"/>
              </w:rPr>
              <w:t>Success Factor</w:t>
            </w:r>
          </w:p>
        </w:tc>
        <w:tc>
          <w:tcPr>
            <w:tcW w:w="2126" w:type="dxa"/>
            <w:hideMark/>
          </w:tcPr>
          <w:p w14:paraId="6EDE8E4B" w14:textId="77777777" w:rsidR="00DE78B0" w:rsidRPr="00B5064E" w:rsidRDefault="00DE78B0" w:rsidP="00901A14">
            <w:pPr>
              <w:spacing w:after="120"/>
              <w:jc w:val="center"/>
              <w:rPr>
                <w:rFonts w:ascii="Calibri" w:eastAsia="Times New Roman" w:hAnsi="Calibri" w:cs="Calibri"/>
                <w:b/>
                <w:bCs/>
                <w:sz w:val="22"/>
                <w:lang w:eastAsia="en-AU"/>
              </w:rPr>
            </w:pPr>
            <w:r w:rsidRPr="00B5064E">
              <w:rPr>
                <w:rFonts w:ascii="Calibri" w:eastAsia="Times New Roman" w:hAnsi="Calibri" w:cs="Calibri"/>
                <w:b/>
                <w:bCs/>
                <w:sz w:val="22"/>
                <w:lang w:eastAsia="en-AU"/>
              </w:rPr>
              <w:t>Measurable Indicator</w:t>
            </w:r>
          </w:p>
        </w:tc>
        <w:tc>
          <w:tcPr>
            <w:tcW w:w="2126" w:type="dxa"/>
            <w:hideMark/>
          </w:tcPr>
          <w:p w14:paraId="6B05CC8D" w14:textId="77777777" w:rsidR="00DE78B0" w:rsidRPr="00B5064E" w:rsidRDefault="00DE78B0" w:rsidP="00901A14">
            <w:pPr>
              <w:spacing w:after="120"/>
              <w:jc w:val="center"/>
              <w:rPr>
                <w:rFonts w:ascii="Calibri" w:eastAsia="Times New Roman" w:hAnsi="Calibri" w:cs="Calibri"/>
                <w:b/>
                <w:bCs/>
                <w:sz w:val="22"/>
                <w:lang w:eastAsia="en-AU"/>
              </w:rPr>
            </w:pPr>
            <w:r w:rsidRPr="00B5064E">
              <w:rPr>
                <w:rFonts w:ascii="Calibri" w:eastAsia="Times New Roman" w:hAnsi="Calibri" w:cs="Calibri"/>
                <w:b/>
                <w:bCs/>
                <w:sz w:val="22"/>
                <w:lang w:eastAsia="en-AU"/>
              </w:rPr>
              <w:t>Indicative Target (2-year horizon)</w:t>
            </w:r>
          </w:p>
        </w:tc>
        <w:tc>
          <w:tcPr>
            <w:tcW w:w="1985" w:type="dxa"/>
            <w:hideMark/>
          </w:tcPr>
          <w:p w14:paraId="5885406C" w14:textId="6789243E" w:rsidR="00DE78B0" w:rsidRPr="00B5064E" w:rsidRDefault="00DE78B0" w:rsidP="00901A14">
            <w:pPr>
              <w:spacing w:after="120"/>
              <w:jc w:val="center"/>
              <w:rPr>
                <w:rFonts w:ascii="Calibri" w:eastAsia="Times New Roman" w:hAnsi="Calibri" w:cs="Calibri"/>
                <w:b/>
                <w:bCs/>
                <w:sz w:val="22"/>
                <w:lang w:eastAsia="en-AU"/>
              </w:rPr>
            </w:pPr>
            <w:r w:rsidRPr="00B5064E">
              <w:rPr>
                <w:rFonts w:ascii="Calibri" w:eastAsia="Times New Roman" w:hAnsi="Calibri" w:cs="Calibri"/>
                <w:b/>
                <w:bCs/>
                <w:sz w:val="22"/>
                <w:lang w:eastAsia="en-AU"/>
              </w:rPr>
              <w:t>Data Source</w:t>
            </w:r>
          </w:p>
        </w:tc>
      </w:tr>
      <w:tr w:rsidR="00DE78B0" w:rsidRPr="00B5064E" w14:paraId="1BDA9F94" w14:textId="77777777" w:rsidTr="00F958BE">
        <w:tc>
          <w:tcPr>
            <w:tcW w:w="1702" w:type="dxa"/>
            <w:vAlign w:val="center"/>
            <w:hideMark/>
          </w:tcPr>
          <w:p w14:paraId="6521ABF3" w14:textId="77777777" w:rsidR="00DE78B0" w:rsidRPr="00B5064E" w:rsidRDefault="00DE78B0" w:rsidP="00F958BE">
            <w:pPr>
              <w:spacing w:before="120" w:after="120"/>
              <w:rPr>
                <w:rFonts w:ascii="Calibri" w:eastAsia="Times New Roman" w:hAnsi="Calibri" w:cs="Calibri"/>
                <w:b/>
                <w:bCs/>
                <w:sz w:val="22"/>
                <w:lang w:eastAsia="en-AU"/>
              </w:rPr>
            </w:pPr>
            <w:r w:rsidRPr="00B5064E">
              <w:rPr>
                <w:rFonts w:ascii="Calibri" w:eastAsia="Times New Roman" w:hAnsi="Calibri" w:cs="Calibri"/>
                <w:b/>
                <w:bCs/>
                <w:sz w:val="22"/>
                <w:lang w:eastAsia="en-AU"/>
              </w:rPr>
              <w:t>Affordability</w:t>
            </w:r>
          </w:p>
        </w:tc>
        <w:tc>
          <w:tcPr>
            <w:tcW w:w="1985" w:type="dxa"/>
            <w:vAlign w:val="center"/>
            <w:hideMark/>
          </w:tcPr>
          <w:p w14:paraId="57CE88BB" w14:textId="77777777" w:rsidR="00DE78B0" w:rsidRPr="00B5064E" w:rsidRDefault="00DE78B0" w:rsidP="00F958BE">
            <w:pPr>
              <w:spacing w:before="120" w:after="120"/>
              <w:rPr>
                <w:rFonts w:ascii="Calibri" w:eastAsia="Times New Roman" w:hAnsi="Calibri" w:cs="Calibri"/>
                <w:sz w:val="22"/>
                <w:lang w:eastAsia="en-AU"/>
              </w:rPr>
            </w:pPr>
            <w:r w:rsidRPr="00B5064E">
              <w:rPr>
                <w:rFonts w:ascii="Calibri" w:eastAsia="Times New Roman" w:hAnsi="Calibri" w:cs="Calibri"/>
                <w:sz w:val="22"/>
                <w:lang w:eastAsia="en-AU"/>
              </w:rPr>
              <w:t>Deliver bill savings to households able to shift load</w:t>
            </w:r>
          </w:p>
        </w:tc>
        <w:tc>
          <w:tcPr>
            <w:tcW w:w="2126" w:type="dxa"/>
            <w:vAlign w:val="center"/>
            <w:hideMark/>
          </w:tcPr>
          <w:p w14:paraId="296046A7" w14:textId="77777777" w:rsidR="00DE78B0" w:rsidRPr="00B5064E" w:rsidRDefault="00DE78B0" w:rsidP="00F958BE">
            <w:pPr>
              <w:spacing w:before="120" w:after="120"/>
              <w:rPr>
                <w:rFonts w:ascii="Calibri" w:eastAsia="Times New Roman" w:hAnsi="Calibri" w:cs="Calibri"/>
                <w:sz w:val="22"/>
                <w:lang w:eastAsia="en-AU"/>
              </w:rPr>
            </w:pPr>
            <w:r w:rsidRPr="00B5064E">
              <w:rPr>
                <w:rFonts w:ascii="Calibri" w:eastAsia="Times New Roman" w:hAnsi="Calibri" w:cs="Calibri"/>
                <w:sz w:val="22"/>
                <w:lang w:eastAsia="en-AU"/>
              </w:rPr>
              <w:t>Average annual bill change for participating households</w:t>
            </w:r>
          </w:p>
        </w:tc>
        <w:tc>
          <w:tcPr>
            <w:tcW w:w="2126" w:type="dxa"/>
            <w:vAlign w:val="center"/>
            <w:hideMark/>
          </w:tcPr>
          <w:p w14:paraId="6D832A8A" w14:textId="76FD37B9" w:rsidR="00DE78B0" w:rsidRPr="00B5064E" w:rsidRDefault="00DE78B0" w:rsidP="00F958BE">
            <w:pPr>
              <w:spacing w:before="120" w:after="120"/>
              <w:rPr>
                <w:rFonts w:ascii="Calibri" w:eastAsia="Times New Roman" w:hAnsi="Calibri" w:cs="Calibri"/>
                <w:sz w:val="22"/>
                <w:lang w:eastAsia="en-AU"/>
              </w:rPr>
            </w:pPr>
            <w:r w:rsidRPr="00B5064E">
              <w:rPr>
                <w:rFonts w:ascii="Calibri" w:eastAsia="Times New Roman" w:hAnsi="Calibri" w:cs="Calibri"/>
                <w:sz w:val="22"/>
                <w:lang w:eastAsia="en-AU"/>
              </w:rPr>
              <w:t>Positive net savings for majority of participants</w:t>
            </w:r>
          </w:p>
        </w:tc>
        <w:tc>
          <w:tcPr>
            <w:tcW w:w="1985" w:type="dxa"/>
            <w:vAlign w:val="center"/>
            <w:hideMark/>
          </w:tcPr>
          <w:p w14:paraId="5C03E0F9" w14:textId="2F959FFF" w:rsidR="00DE78B0" w:rsidRPr="00B5064E" w:rsidRDefault="000869D8" w:rsidP="00F958BE">
            <w:pPr>
              <w:spacing w:before="120" w:after="120"/>
              <w:rPr>
                <w:rFonts w:ascii="Calibri" w:eastAsia="Times New Roman" w:hAnsi="Calibri" w:cs="Calibri"/>
                <w:sz w:val="22"/>
                <w:lang w:eastAsia="en-AU"/>
              </w:rPr>
            </w:pPr>
            <w:r w:rsidRPr="00B5064E">
              <w:rPr>
                <w:rFonts w:ascii="Calibri" w:eastAsia="Times New Roman" w:hAnsi="Calibri" w:cs="Calibri"/>
                <w:sz w:val="22"/>
                <w:lang w:eastAsia="en-AU"/>
              </w:rPr>
              <w:t>Where a</w:t>
            </w:r>
            <w:r w:rsidR="00EE19FA" w:rsidRPr="00B5064E">
              <w:rPr>
                <w:rFonts w:ascii="Calibri" w:eastAsia="Times New Roman" w:hAnsi="Calibri" w:cs="Calibri"/>
                <w:sz w:val="22"/>
                <w:lang w:eastAsia="en-AU"/>
              </w:rPr>
              <w:t xml:space="preserve">ttributable: </w:t>
            </w:r>
            <w:r w:rsidR="009663F8" w:rsidRPr="00B5064E">
              <w:rPr>
                <w:rFonts w:ascii="Calibri" w:eastAsia="Times New Roman" w:hAnsi="Calibri" w:cs="Calibri"/>
                <w:sz w:val="22"/>
                <w:lang w:eastAsia="en-AU"/>
              </w:rPr>
              <w:t xml:space="preserve"> </w:t>
            </w:r>
            <w:r w:rsidR="005F10DD" w:rsidRPr="00B5064E">
              <w:rPr>
                <w:rFonts w:ascii="Calibri" w:eastAsia="Times New Roman" w:hAnsi="Calibri" w:cs="Calibri"/>
                <w:sz w:val="22"/>
                <w:lang w:eastAsia="en-AU"/>
              </w:rPr>
              <w:t>Household electricity cost</w:t>
            </w:r>
            <w:r w:rsidR="00DE78B0" w:rsidRPr="00B5064E">
              <w:rPr>
                <w:rFonts w:ascii="Calibri" w:eastAsia="Times New Roman" w:hAnsi="Calibri" w:cs="Calibri"/>
                <w:sz w:val="22"/>
                <w:lang w:eastAsia="en-AU"/>
              </w:rPr>
              <w:t xml:space="preserve"> data</w:t>
            </w:r>
            <w:r w:rsidR="00FD1F0A" w:rsidRPr="00B5064E">
              <w:rPr>
                <w:rFonts w:ascii="Calibri" w:eastAsia="Times New Roman" w:hAnsi="Calibri" w:cs="Calibri"/>
                <w:sz w:val="22"/>
                <w:lang w:eastAsia="en-AU"/>
              </w:rPr>
              <w:t xml:space="preserve"> (ABS data)</w:t>
            </w:r>
            <w:r w:rsidR="00DE78B0" w:rsidRPr="00B5064E">
              <w:rPr>
                <w:rFonts w:ascii="Calibri" w:eastAsia="Times New Roman" w:hAnsi="Calibri" w:cs="Calibri"/>
                <w:sz w:val="22"/>
                <w:lang w:eastAsia="en-AU"/>
              </w:rPr>
              <w:t xml:space="preserve">, AER </w:t>
            </w:r>
            <w:r w:rsidR="002D3F83" w:rsidRPr="00B5064E">
              <w:rPr>
                <w:rFonts w:ascii="Calibri" w:eastAsia="Times New Roman" w:hAnsi="Calibri" w:cs="Calibri"/>
                <w:sz w:val="22"/>
                <w:lang w:eastAsia="en-AU"/>
              </w:rPr>
              <w:t>market</w:t>
            </w:r>
            <w:r w:rsidR="00DE78B0" w:rsidRPr="00B5064E">
              <w:rPr>
                <w:rFonts w:ascii="Calibri" w:eastAsia="Times New Roman" w:hAnsi="Calibri" w:cs="Calibri"/>
                <w:sz w:val="22"/>
                <w:lang w:eastAsia="en-AU"/>
              </w:rPr>
              <w:t xml:space="preserve"> monitoring</w:t>
            </w:r>
            <w:r w:rsidR="002D3F83" w:rsidRPr="00B5064E">
              <w:rPr>
                <w:rFonts w:ascii="Calibri" w:eastAsia="Times New Roman" w:hAnsi="Calibri" w:cs="Calibri"/>
                <w:sz w:val="22"/>
                <w:lang w:eastAsia="en-AU"/>
              </w:rPr>
              <w:t xml:space="preserve"> data</w:t>
            </w:r>
            <w:r w:rsidR="00FD1F0A" w:rsidRPr="00B5064E">
              <w:rPr>
                <w:rFonts w:ascii="Calibri" w:eastAsia="Times New Roman" w:hAnsi="Calibri" w:cs="Calibri"/>
                <w:sz w:val="22"/>
                <w:lang w:eastAsia="en-AU"/>
              </w:rPr>
              <w:t xml:space="preserve">, ACCC </w:t>
            </w:r>
            <w:r w:rsidR="00EB4499" w:rsidRPr="00B5064E">
              <w:rPr>
                <w:rFonts w:ascii="Calibri" w:eastAsia="Times New Roman" w:hAnsi="Calibri" w:cs="Calibri"/>
                <w:sz w:val="22"/>
                <w:lang w:eastAsia="en-AU"/>
              </w:rPr>
              <w:t>Pricing Inquiry data.</w:t>
            </w:r>
            <w:r w:rsidR="007D7EAD" w:rsidRPr="00B5064E">
              <w:rPr>
                <w:rFonts w:ascii="Calibri" w:eastAsia="Times New Roman" w:hAnsi="Calibri" w:cs="Calibri"/>
                <w:sz w:val="22"/>
                <w:lang w:eastAsia="en-AU"/>
              </w:rPr>
              <w:t xml:space="preserve"> </w:t>
            </w:r>
          </w:p>
        </w:tc>
      </w:tr>
      <w:tr w:rsidR="00DE78B0" w:rsidRPr="00B5064E" w14:paraId="30B2B5E9" w14:textId="77777777" w:rsidTr="00F958BE">
        <w:tc>
          <w:tcPr>
            <w:tcW w:w="1702" w:type="dxa"/>
            <w:shd w:val="clear" w:color="auto" w:fill="F2F2F2" w:themeFill="background1" w:themeFillShade="F2"/>
            <w:vAlign w:val="center"/>
            <w:hideMark/>
          </w:tcPr>
          <w:p w14:paraId="2AEECFCE" w14:textId="77777777" w:rsidR="00DE78B0" w:rsidRPr="00B5064E" w:rsidRDefault="00DE78B0" w:rsidP="00F958BE">
            <w:pPr>
              <w:spacing w:before="120" w:after="120"/>
              <w:rPr>
                <w:rFonts w:ascii="Calibri" w:eastAsia="Times New Roman" w:hAnsi="Calibri" w:cs="Calibri"/>
                <w:b/>
                <w:bCs/>
                <w:sz w:val="22"/>
                <w:lang w:eastAsia="en-AU"/>
              </w:rPr>
            </w:pPr>
            <w:r w:rsidRPr="00B5064E">
              <w:rPr>
                <w:rFonts w:ascii="Calibri" w:eastAsia="Times New Roman" w:hAnsi="Calibri" w:cs="Calibri"/>
                <w:b/>
                <w:bCs/>
                <w:sz w:val="22"/>
                <w:lang w:eastAsia="en-AU"/>
              </w:rPr>
              <w:t>Equity</w:t>
            </w:r>
          </w:p>
        </w:tc>
        <w:tc>
          <w:tcPr>
            <w:tcW w:w="1985" w:type="dxa"/>
            <w:shd w:val="clear" w:color="auto" w:fill="F2F2F2" w:themeFill="background1" w:themeFillShade="F2"/>
            <w:vAlign w:val="center"/>
            <w:hideMark/>
          </w:tcPr>
          <w:p w14:paraId="26A6CCCE" w14:textId="77777777" w:rsidR="00DE78B0" w:rsidRPr="00B5064E" w:rsidRDefault="00DE78B0" w:rsidP="00F958BE">
            <w:pPr>
              <w:spacing w:before="120" w:after="120"/>
              <w:rPr>
                <w:rFonts w:ascii="Calibri" w:eastAsia="Times New Roman" w:hAnsi="Calibri" w:cs="Calibri"/>
                <w:sz w:val="22"/>
                <w:lang w:eastAsia="en-AU"/>
              </w:rPr>
            </w:pPr>
            <w:r w:rsidRPr="00B5064E">
              <w:rPr>
                <w:rFonts w:ascii="Calibri" w:eastAsia="Times New Roman" w:hAnsi="Calibri" w:cs="Calibri"/>
                <w:sz w:val="22"/>
                <w:lang w:eastAsia="en-AU"/>
              </w:rPr>
              <w:t>Extend benefits to households without CER</w:t>
            </w:r>
          </w:p>
        </w:tc>
        <w:tc>
          <w:tcPr>
            <w:tcW w:w="2126" w:type="dxa"/>
            <w:shd w:val="clear" w:color="auto" w:fill="F2F2F2" w:themeFill="background1" w:themeFillShade="F2"/>
            <w:vAlign w:val="center"/>
            <w:hideMark/>
          </w:tcPr>
          <w:p w14:paraId="680BD2CD" w14:textId="77777777" w:rsidR="00DE78B0" w:rsidRPr="00B5064E" w:rsidRDefault="00DE78B0" w:rsidP="00F958BE">
            <w:pPr>
              <w:spacing w:before="120" w:after="120"/>
              <w:rPr>
                <w:rFonts w:ascii="Calibri" w:eastAsia="Times New Roman" w:hAnsi="Calibri" w:cs="Calibri"/>
                <w:sz w:val="22"/>
                <w:lang w:eastAsia="en-AU"/>
              </w:rPr>
            </w:pPr>
            <w:r w:rsidRPr="00B5064E">
              <w:rPr>
                <w:rFonts w:ascii="Calibri" w:eastAsia="Times New Roman" w:hAnsi="Calibri" w:cs="Calibri"/>
                <w:sz w:val="22"/>
                <w:lang w:eastAsia="en-AU"/>
              </w:rPr>
              <w:t>Share of SSO participants without rooftop solar</w:t>
            </w:r>
          </w:p>
        </w:tc>
        <w:tc>
          <w:tcPr>
            <w:tcW w:w="2126" w:type="dxa"/>
            <w:shd w:val="clear" w:color="auto" w:fill="F2F2F2" w:themeFill="background1" w:themeFillShade="F2"/>
            <w:vAlign w:val="center"/>
            <w:hideMark/>
          </w:tcPr>
          <w:p w14:paraId="28A2E5C1" w14:textId="5C295562" w:rsidR="00DE78B0" w:rsidRPr="00B5064E" w:rsidRDefault="005E31D4" w:rsidP="00F958BE">
            <w:pPr>
              <w:spacing w:before="120" w:after="120"/>
              <w:rPr>
                <w:rFonts w:ascii="Calibri" w:eastAsia="Times New Roman" w:hAnsi="Calibri" w:cs="Calibri"/>
                <w:sz w:val="22"/>
                <w:lang w:eastAsia="en-AU"/>
              </w:rPr>
            </w:pPr>
            <w:r w:rsidRPr="00B5064E">
              <w:rPr>
                <w:rFonts w:ascii="Calibri" w:eastAsia="Times New Roman" w:hAnsi="Calibri" w:cs="Calibri"/>
                <w:sz w:val="22"/>
                <w:lang w:eastAsia="en-AU"/>
              </w:rPr>
              <w:t>A proportion</w:t>
            </w:r>
            <w:r w:rsidR="00DE78B0" w:rsidRPr="00B5064E">
              <w:rPr>
                <w:rFonts w:ascii="Calibri" w:eastAsia="Times New Roman" w:hAnsi="Calibri" w:cs="Calibri"/>
                <w:sz w:val="22"/>
                <w:lang w:eastAsia="en-AU"/>
              </w:rPr>
              <w:t xml:space="preserve"> of participants are non-solar households</w:t>
            </w:r>
          </w:p>
        </w:tc>
        <w:tc>
          <w:tcPr>
            <w:tcW w:w="1985" w:type="dxa"/>
            <w:shd w:val="clear" w:color="auto" w:fill="F2F2F2" w:themeFill="background1" w:themeFillShade="F2"/>
            <w:vAlign w:val="center"/>
            <w:hideMark/>
          </w:tcPr>
          <w:p w14:paraId="0C54EA71" w14:textId="3169A5A5" w:rsidR="00DE78B0" w:rsidRPr="00B5064E" w:rsidRDefault="00E7668C" w:rsidP="00F958BE">
            <w:pPr>
              <w:spacing w:before="120" w:after="120"/>
              <w:rPr>
                <w:rFonts w:ascii="Calibri" w:eastAsia="Times New Roman" w:hAnsi="Calibri" w:cs="Calibri"/>
                <w:sz w:val="22"/>
                <w:lang w:eastAsia="en-AU"/>
              </w:rPr>
            </w:pPr>
            <w:r w:rsidRPr="00B5064E">
              <w:rPr>
                <w:rFonts w:ascii="Calibri" w:eastAsia="Times New Roman" w:hAnsi="Calibri" w:cs="Calibri"/>
                <w:sz w:val="22"/>
                <w:lang w:eastAsia="en-AU"/>
              </w:rPr>
              <w:t>Where a</w:t>
            </w:r>
            <w:r w:rsidR="00EE19FA" w:rsidRPr="00B5064E">
              <w:rPr>
                <w:rFonts w:ascii="Calibri" w:eastAsia="Times New Roman" w:hAnsi="Calibri" w:cs="Calibri"/>
                <w:sz w:val="22"/>
                <w:lang w:eastAsia="en-AU"/>
              </w:rPr>
              <w:t>ttributable</w:t>
            </w:r>
            <w:r w:rsidRPr="00B5064E">
              <w:rPr>
                <w:rFonts w:ascii="Calibri" w:eastAsia="Times New Roman" w:hAnsi="Calibri" w:cs="Calibri"/>
                <w:sz w:val="22"/>
                <w:lang w:eastAsia="en-AU"/>
              </w:rPr>
              <w:t xml:space="preserve">: </w:t>
            </w:r>
            <w:r w:rsidR="00E50144" w:rsidRPr="00B5064E">
              <w:rPr>
                <w:rFonts w:ascii="Calibri" w:eastAsia="Times New Roman" w:hAnsi="Calibri" w:cs="Calibri"/>
                <w:sz w:val="22"/>
                <w:lang w:eastAsia="en-AU"/>
              </w:rPr>
              <w:t>AER market monitoring data, ACCC Pricing Inquiry data.</w:t>
            </w:r>
          </w:p>
        </w:tc>
      </w:tr>
      <w:tr w:rsidR="00DE78B0" w:rsidRPr="00B5064E" w14:paraId="364D9189" w14:textId="77777777" w:rsidTr="00F958BE">
        <w:tc>
          <w:tcPr>
            <w:tcW w:w="1702" w:type="dxa"/>
            <w:vAlign w:val="center"/>
            <w:hideMark/>
          </w:tcPr>
          <w:p w14:paraId="62120BA3" w14:textId="77777777" w:rsidR="00DE78B0" w:rsidRPr="00B5064E" w:rsidRDefault="00DE78B0" w:rsidP="00F958BE">
            <w:pPr>
              <w:spacing w:before="120" w:after="120"/>
              <w:rPr>
                <w:rFonts w:ascii="Calibri" w:eastAsia="Times New Roman" w:hAnsi="Calibri" w:cs="Calibri"/>
                <w:b/>
                <w:bCs/>
                <w:sz w:val="22"/>
                <w:lang w:eastAsia="en-AU"/>
              </w:rPr>
            </w:pPr>
            <w:r w:rsidRPr="00B5064E">
              <w:rPr>
                <w:rFonts w:ascii="Calibri" w:eastAsia="Times New Roman" w:hAnsi="Calibri" w:cs="Calibri"/>
                <w:b/>
                <w:bCs/>
                <w:sz w:val="22"/>
                <w:lang w:eastAsia="en-AU"/>
              </w:rPr>
              <w:t>Demand Shifting</w:t>
            </w:r>
          </w:p>
        </w:tc>
        <w:tc>
          <w:tcPr>
            <w:tcW w:w="1985" w:type="dxa"/>
            <w:vAlign w:val="center"/>
            <w:hideMark/>
          </w:tcPr>
          <w:p w14:paraId="6955666C" w14:textId="77777777" w:rsidR="00DE78B0" w:rsidRPr="00B5064E" w:rsidRDefault="00DE78B0" w:rsidP="00F958BE">
            <w:pPr>
              <w:spacing w:before="120" w:after="120"/>
              <w:rPr>
                <w:rFonts w:ascii="Calibri" w:eastAsia="Times New Roman" w:hAnsi="Calibri" w:cs="Calibri"/>
                <w:sz w:val="22"/>
                <w:lang w:eastAsia="en-AU"/>
              </w:rPr>
            </w:pPr>
            <w:r w:rsidRPr="00B5064E">
              <w:rPr>
                <w:rFonts w:ascii="Calibri" w:eastAsia="Times New Roman" w:hAnsi="Calibri" w:cs="Calibri"/>
                <w:sz w:val="22"/>
                <w:lang w:eastAsia="en-AU"/>
              </w:rPr>
              <w:t>Shift consumption into solar-abundant window</w:t>
            </w:r>
          </w:p>
        </w:tc>
        <w:tc>
          <w:tcPr>
            <w:tcW w:w="2126" w:type="dxa"/>
            <w:vAlign w:val="center"/>
            <w:hideMark/>
          </w:tcPr>
          <w:p w14:paraId="0C4720E4" w14:textId="77777777" w:rsidR="00DE78B0" w:rsidRPr="00B5064E" w:rsidRDefault="00DE78B0" w:rsidP="00F958BE">
            <w:pPr>
              <w:spacing w:before="120" w:after="120"/>
              <w:rPr>
                <w:rFonts w:ascii="Calibri" w:eastAsia="Times New Roman" w:hAnsi="Calibri" w:cs="Calibri"/>
                <w:sz w:val="22"/>
                <w:lang w:eastAsia="en-AU"/>
              </w:rPr>
            </w:pPr>
            <w:r w:rsidRPr="00B5064E">
              <w:rPr>
                <w:rFonts w:ascii="Calibri" w:eastAsia="Times New Roman" w:hAnsi="Calibri" w:cs="Calibri"/>
                <w:sz w:val="22"/>
                <w:lang w:eastAsia="en-AU"/>
              </w:rPr>
              <w:t>Average % load shifted into SSO window</w:t>
            </w:r>
          </w:p>
        </w:tc>
        <w:tc>
          <w:tcPr>
            <w:tcW w:w="2126" w:type="dxa"/>
            <w:vAlign w:val="center"/>
            <w:hideMark/>
          </w:tcPr>
          <w:p w14:paraId="1FC594A3" w14:textId="6F7FECA8" w:rsidR="00DE78B0" w:rsidRPr="00B5064E" w:rsidRDefault="00977953" w:rsidP="00F958BE">
            <w:pPr>
              <w:spacing w:before="120" w:after="120"/>
              <w:rPr>
                <w:rFonts w:ascii="Calibri" w:eastAsia="Times New Roman" w:hAnsi="Calibri" w:cs="Calibri"/>
                <w:sz w:val="22"/>
                <w:lang w:eastAsia="en-AU"/>
              </w:rPr>
            </w:pPr>
            <w:r w:rsidRPr="00B5064E">
              <w:rPr>
                <w:rFonts w:ascii="Calibri" w:eastAsia="Times New Roman" w:hAnsi="Calibri" w:cs="Calibri"/>
                <w:sz w:val="22"/>
                <w:lang w:eastAsia="en-AU"/>
              </w:rPr>
              <w:t>Increased</w:t>
            </w:r>
            <w:r w:rsidR="00DE78B0" w:rsidRPr="00B5064E">
              <w:rPr>
                <w:rFonts w:ascii="Calibri" w:eastAsia="Times New Roman" w:hAnsi="Calibri" w:cs="Calibri"/>
                <w:sz w:val="22"/>
                <w:lang w:eastAsia="en-AU"/>
              </w:rPr>
              <w:t xml:space="preserve"> load shift among participants</w:t>
            </w:r>
            <w:r w:rsidRPr="00B5064E">
              <w:rPr>
                <w:rFonts w:ascii="Calibri" w:eastAsia="Times New Roman" w:hAnsi="Calibri" w:cs="Calibri"/>
                <w:sz w:val="22"/>
                <w:lang w:eastAsia="en-AU"/>
              </w:rPr>
              <w:t xml:space="preserve"> compared to the status quo.</w:t>
            </w:r>
          </w:p>
        </w:tc>
        <w:tc>
          <w:tcPr>
            <w:tcW w:w="1985" w:type="dxa"/>
            <w:vAlign w:val="center"/>
            <w:hideMark/>
          </w:tcPr>
          <w:p w14:paraId="79E3E177" w14:textId="46ADE4B5" w:rsidR="00DE78B0" w:rsidRPr="00B5064E" w:rsidRDefault="00EE19FA" w:rsidP="00F958BE">
            <w:pPr>
              <w:spacing w:before="120" w:after="120"/>
              <w:rPr>
                <w:rFonts w:ascii="Calibri" w:eastAsia="Times New Roman" w:hAnsi="Calibri" w:cs="Calibri"/>
                <w:sz w:val="22"/>
                <w:lang w:eastAsia="en-AU"/>
              </w:rPr>
            </w:pPr>
            <w:r w:rsidRPr="00B5064E">
              <w:rPr>
                <w:rFonts w:ascii="Calibri" w:eastAsia="Times New Roman" w:hAnsi="Calibri" w:cs="Calibri"/>
                <w:sz w:val="22"/>
                <w:lang w:eastAsia="en-AU"/>
              </w:rPr>
              <w:t xml:space="preserve">Where attributable: </w:t>
            </w:r>
            <w:r w:rsidR="00413BDF" w:rsidRPr="00B5064E">
              <w:rPr>
                <w:rFonts w:ascii="Calibri" w:eastAsia="Times New Roman" w:hAnsi="Calibri" w:cs="Calibri"/>
                <w:sz w:val="22"/>
                <w:lang w:eastAsia="en-AU"/>
              </w:rPr>
              <w:t>AEMO market data</w:t>
            </w:r>
            <w:r w:rsidR="00C91706" w:rsidRPr="00B5064E">
              <w:rPr>
                <w:rFonts w:ascii="Calibri" w:eastAsia="Times New Roman" w:hAnsi="Calibri" w:cs="Calibri"/>
                <w:sz w:val="22"/>
                <w:lang w:eastAsia="en-AU"/>
              </w:rPr>
              <w:t xml:space="preserve"> and reports</w:t>
            </w:r>
          </w:p>
        </w:tc>
      </w:tr>
      <w:tr w:rsidR="00DE78B0" w:rsidRPr="00B5064E" w14:paraId="00343C85" w14:textId="77777777" w:rsidTr="00F958BE">
        <w:tc>
          <w:tcPr>
            <w:tcW w:w="1702" w:type="dxa"/>
            <w:shd w:val="clear" w:color="auto" w:fill="F2F2F2" w:themeFill="background1" w:themeFillShade="F2"/>
            <w:vAlign w:val="center"/>
            <w:hideMark/>
          </w:tcPr>
          <w:p w14:paraId="36A266DE" w14:textId="77777777" w:rsidR="00DE78B0" w:rsidRPr="00B5064E" w:rsidRDefault="00DE78B0" w:rsidP="00F958BE">
            <w:pPr>
              <w:spacing w:before="120" w:after="120"/>
              <w:rPr>
                <w:rFonts w:ascii="Calibri" w:eastAsia="Times New Roman" w:hAnsi="Calibri" w:cs="Calibri"/>
                <w:b/>
                <w:bCs/>
                <w:sz w:val="22"/>
                <w:lang w:eastAsia="en-AU"/>
              </w:rPr>
            </w:pPr>
            <w:r w:rsidRPr="00B5064E">
              <w:rPr>
                <w:rFonts w:ascii="Calibri" w:eastAsia="Times New Roman" w:hAnsi="Calibri" w:cs="Calibri"/>
                <w:b/>
                <w:bCs/>
                <w:sz w:val="22"/>
                <w:lang w:eastAsia="en-AU"/>
              </w:rPr>
              <w:t>System Efficiency</w:t>
            </w:r>
          </w:p>
        </w:tc>
        <w:tc>
          <w:tcPr>
            <w:tcW w:w="1985" w:type="dxa"/>
            <w:shd w:val="clear" w:color="auto" w:fill="F2F2F2" w:themeFill="background1" w:themeFillShade="F2"/>
            <w:vAlign w:val="center"/>
            <w:hideMark/>
          </w:tcPr>
          <w:p w14:paraId="0F5122E6" w14:textId="77777777" w:rsidR="00DE78B0" w:rsidRPr="00B5064E" w:rsidRDefault="00DE78B0" w:rsidP="00F958BE">
            <w:pPr>
              <w:spacing w:before="120" w:after="120"/>
              <w:rPr>
                <w:rFonts w:ascii="Calibri" w:eastAsia="Times New Roman" w:hAnsi="Calibri" w:cs="Calibri"/>
                <w:sz w:val="22"/>
                <w:lang w:eastAsia="en-AU"/>
              </w:rPr>
            </w:pPr>
            <w:r w:rsidRPr="00B5064E">
              <w:rPr>
                <w:rFonts w:ascii="Calibri" w:eastAsia="Times New Roman" w:hAnsi="Calibri" w:cs="Calibri"/>
                <w:sz w:val="22"/>
                <w:lang w:eastAsia="en-AU"/>
              </w:rPr>
              <w:t>Improve utilisation of daytime solar</w:t>
            </w:r>
          </w:p>
        </w:tc>
        <w:tc>
          <w:tcPr>
            <w:tcW w:w="2126" w:type="dxa"/>
            <w:shd w:val="clear" w:color="auto" w:fill="F2F2F2" w:themeFill="background1" w:themeFillShade="F2"/>
            <w:vAlign w:val="center"/>
            <w:hideMark/>
          </w:tcPr>
          <w:p w14:paraId="36B499A3" w14:textId="77777777" w:rsidR="00DE78B0" w:rsidRPr="00B5064E" w:rsidRDefault="00DE78B0" w:rsidP="00F958BE">
            <w:pPr>
              <w:spacing w:before="120" w:after="120"/>
              <w:rPr>
                <w:rFonts w:ascii="Calibri" w:eastAsia="Times New Roman" w:hAnsi="Calibri" w:cs="Calibri"/>
                <w:sz w:val="22"/>
                <w:lang w:eastAsia="en-AU"/>
              </w:rPr>
            </w:pPr>
            <w:r w:rsidRPr="00B5064E">
              <w:rPr>
                <w:rFonts w:ascii="Calibri" w:eastAsia="Times New Roman" w:hAnsi="Calibri" w:cs="Calibri"/>
                <w:sz w:val="22"/>
                <w:lang w:eastAsia="en-AU"/>
              </w:rPr>
              <w:t>Change in midday demand during high solar intervals</w:t>
            </w:r>
          </w:p>
        </w:tc>
        <w:tc>
          <w:tcPr>
            <w:tcW w:w="2126" w:type="dxa"/>
            <w:shd w:val="clear" w:color="auto" w:fill="F2F2F2" w:themeFill="background1" w:themeFillShade="F2"/>
            <w:vAlign w:val="center"/>
            <w:hideMark/>
          </w:tcPr>
          <w:p w14:paraId="4976D203" w14:textId="77777777" w:rsidR="00DE78B0" w:rsidRPr="00B5064E" w:rsidRDefault="00DE78B0" w:rsidP="00F958BE">
            <w:pPr>
              <w:spacing w:before="120" w:after="120"/>
              <w:rPr>
                <w:rFonts w:ascii="Calibri" w:eastAsia="Times New Roman" w:hAnsi="Calibri" w:cs="Calibri"/>
                <w:sz w:val="22"/>
                <w:lang w:eastAsia="en-AU"/>
              </w:rPr>
            </w:pPr>
            <w:r w:rsidRPr="00B5064E">
              <w:rPr>
                <w:rFonts w:ascii="Calibri" w:eastAsia="Times New Roman" w:hAnsi="Calibri" w:cs="Calibri"/>
                <w:sz w:val="22"/>
                <w:lang w:eastAsia="en-AU"/>
              </w:rPr>
              <w:t>Measurable increase in daytime grid demand relative to counterfactual</w:t>
            </w:r>
          </w:p>
        </w:tc>
        <w:tc>
          <w:tcPr>
            <w:tcW w:w="1985" w:type="dxa"/>
            <w:shd w:val="clear" w:color="auto" w:fill="F2F2F2" w:themeFill="background1" w:themeFillShade="F2"/>
            <w:vAlign w:val="center"/>
            <w:hideMark/>
          </w:tcPr>
          <w:p w14:paraId="6E63A816" w14:textId="2950F920" w:rsidR="00DE78B0" w:rsidRPr="00B5064E" w:rsidRDefault="00EE19FA" w:rsidP="00F958BE">
            <w:pPr>
              <w:spacing w:before="120" w:after="120"/>
              <w:rPr>
                <w:rFonts w:ascii="Calibri" w:eastAsia="Times New Roman" w:hAnsi="Calibri" w:cs="Calibri"/>
                <w:sz w:val="22"/>
                <w:lang w:eastAsia="en-AU"/>
              </w:rPr>
            </w:pPr>
            <w:r w:rsidRPr="00B5064E">
              <w:rPr>
                <w:rFonts w:ascii="Calibri" w:eastAsia="Times New Roman" w:hAnsi="Calibri" w:cs="Calibri"/>
                <w:sz w:val="22"/>
                <w:lang w:eastAsia="en-AU"/>
              </w:rPr>
              <w:t xml:space="preserve">Where attributable: </w:t>
            </w:r>
            <w:r w:rsidR="00CF5905" w:rsidRPr="00B5064E">
              <w:rPr>
                <w:rFonts w:ascii="Calibri" w:eastAsia="Times New Roman" w:hAnsi="Calibri" w:cs="Calibri"/>
                <w:sz w:val="22"/>
                <w:lang w:eastAsia="en-AU"/>
              </w:rPr>
              <w:t>AEMO market data and reports</w:t>
            </w:r>
          </w:p>
        </w:tc>
      </w:tr>
      <w:tr w:rsidR="00DE78B0" w:rsidRPr="00B5064E" w14:paraId="6FAA872E" w14:textId="77777777" w:rsidTr="00F958BE">
        <w:tc>
          <w:tcPr>
            <w:tcW w:w="1702" w:type="dxa"/>
            <w:vAlign w:val="center"/>
            <w:hideMark/>
          </w:tcPr>
          <w:p w14:paraId="3F7AE9C9" w14:textId="77777777" w:rsidR="00DE78B0" w:rsidRPr="00B5064E" w:rsidRDefault="00DE78B0" w:rsidP="00F958BE">
            <w:pPr>
              <w:spacing w:before="120" w:after="120"/>
              <w:rPr>
                <w:rFonts w:ascii="Calibri" w:eastAsia="Times New Roman" w:hAnsi="Calibri" w:cs="Calibri"/>
                <w:b/>
                <w:bCs/>
                <w:sz w:val="22"/>
                <w:lang w:eastAsia="en-AU"/>
              </w:rPr>
            </w:pPr>
            <w:r w:rsidRPr="00B5064E">
              <w:rPr>
                <w:rFonts w:ascii="Calibri" w:eastAsia="Times New Roman" w:hAnsi="Calibri" w:cs="Calibri"/>
                <w:b/>
                <w:bCs/>
                <w:sz w:val="22"/>
                <w:lang w:eastAsia="en-AU"/>
              </w:rPr>
              <w:t>Implementation &amp; Governance</w:t>
            </w:r>
          </w:p>
        </w:tc>
        <w:tc>
          <w:tcPr>
            <w:tcW w:w="1985" w:type="dxa"/>
            <w:vAlign w:val="center"/>
            <w:hideMark/>
          </w:tcPr>
          <w:p w14:paraId="6967A8CC" w14:textId="77777777" w:rsidR="00DE78B0" w:rsidRPr="00B5064E" w:rsidRDefault="00DE78B0" w:rsidP="00F958BE">
            <w:pPr>
              <w:spacing w:before="120" w:after="120"/>
              <w:rPr>
                <w:rFonts w:ascii="Calibri" w:eastAsia="Times New Roman" w:hAnsi="Calibri" w:cs="Calibri"/>
                <w:sz w:val="22"/>
                <w:lang w:eastAsia="en-AU"/>
              </w:rPr>
            </w:pPr>
            <w:r w:rsidRPr="00B5064E">
              <w:rPr>
                <w:rFonts w:ascii="Calibri" w:eastAsia="Times New Roman" w:hAnsi="Calibri" w:cs="Calibri"/>
                <w:sz w:val="22"/>
                <w:lang w:eastAsia="en-AU"/>
              </w:rPr>
              <w:t>Effective rollout and transparency</w:t>
            </w:r>
          </w:p>
        </w:tc>
        <w:tc>
          <w:tcPr>
            <w:tcW w:w="2126" w:type="dxa"/>
            <w:vAlign w:val="center"/>
            <w:hideMark/>
          </w:tcPr>
          <w:p w14:paraId="48C37FB6" w14:textId="77777777" w:rsidR="00DE78B0" w:rsidRPr="00B5064E" w:rsidRDefault="00DE78B0" w:rsidP="00F958BE">
            <w:pPr>
              <w:spacing w:before="120" w:after="120"/>
              <w:rPr>
                <w:rFonts w:ascii="Calibri" w:eastAsia="Times New Roman" w:hAnsi="Calibri" w:cs="Calibri"/>
                <w:sz w:val="22"/>
                <w:lang w:eastAsia="en-AU"/>
              </w:rPr>
            </w:pPr>
            <w:r w:rsidRPr="00B5064E">
              <w:rPr>
                <w:rFonts w:ascii="Calibri" w:eastAsia="Times New Roman" w:hAnsi="Calibri" w:cs="Calibri"/>
                <w:sz w:val="22"/>
                <w:lang w:eastAsia="en-AU"/>
              </w:rPr>
              <w:t>Completion of Post-Implementation Review (PIR)</w:t>
            </w:r>
          </w:p>
        </w:tc>
        <w:tc>
          <w:tcPr>
            <w:tcW w:w="2126" w:type="dxa"/>
            <w:vAlign w:val="center"/>
            <w:hideMark/>
          </w:tcPr>
          <w:p w14:paraId="0F074EA6" w14:textId="77777777" w:rsidR="00DE78B0" w:rsidRPr="00B5064E" w:rsidRDefault="00DE78B0" w:rsidP="00F958BE">
            <w:pPr>
              <w:spacing w:before="120" w:after="120"/>
              <w:rPr>
                <w:rFonts w:ascii="Calibri" w:eastAsia="Times New Roman" w:hAnsi="Calibri" w:cs="Calibri"/>
                <w:sz w:val="22"/>
                <w:lang w:eastAsia="en-AU"/>
              </w:rPr>
            </w:pPr>
            <w:r w:rsidRPr="00B5064E">
              <w:rPr>
                <w:rFonts w:ascii="Calibri" w:eastAsia="Times New Roman" w:hAnsi="Calibri" w:cs="Calibri"/>
                <w:sz w:val="22"/>
                <w:lang w:eastAsia="en-AU"/>
              </w:rPr>
              <w:t>PIR completed within 24 months of commencement</w:t>
            </w:r>
          </w:p>
        </w:tc>
        <w:tc>
          <w:tcPr>
            <w:tcW w:w="1985" w:type="dxa"/>
            <w:vAlign w:val="center"/>
            <w:hideMark/>
          </w:tcPr>
          <w:p w14:paraId="2660EE81" w14:textId="7FDFE747" w:rsidR="00DE78B0" w:rsidRPr="00B5064E" w:rsidRDefault="00DE78B0" w:rsidP="00F958BE">
            <w:pPr>
              <w:spacing w:before="120" w:after="120"/>
              <w:rPr>
                <w:rFonts w:ascii="Calibri" w:eastAsia="Times New Roman" w:hAnsi="Calibri" w:cs="Calibri"/>
                <w:sz w:val="22"/>
                <w:lang w:eastAsia="en-AU"/>
              </w:rPr>
            </w:pPr>
            <w:r w:rsidRPr="00B5064E">
              <w:rPr>
                <w:rFonts w:ascii="Calibri" w:eastAsia="Times New Roman" w:hAnsi="Calibri" w:cs="Calibri"/>
                <w:sz w:val="22"/>
                <w:lang w:eastAsia="en-AU"/>
              </w:rPr>
              <w:t xml:space="preserve">Department </w:t>
            </w:r>
          </w:p>
        </w:tc>
      </w:tr>
    </w:tbl>
    <w:p w14:paraId="52DF1F0C" w14:textId="3FD52D12" w:rsidR="003459A0" w:rsidRPr="00B5064E" w:rsidRDefault="003459A0" w:rsidP="00C3357D">
      <w:pPr>
        <w:rPr>
          <w:rFonts w:ascii="Calibri" w:hAnsi="Calibri" w:cs="Calibri"/>
        </w:rPr>
      </w:pPr>
      <w:r w:rsidRPr="00B5064E">
        <w:rPr>
          <w:rFonts w:ascii="Calibri" w:hAnsi="Calibri" w:cs="Calibri"/>
        </w:rPr>
        <w:br w:type="page"/>
      </w:r>
    </w:p>
    <w:p w14:paraId="23D4BFFF" w14:textId="0D09384B" w:rsidR="008F001B" w:rsidRPr="00B5064E" w:rsidRDefault="00826BCB" w:rsidP="00262A41">
      <w:pPr>
        <w:pStyle w:val="Heading1"/>
        <w:spacing w:before="160" w:after="120"/>
        <w:rPr>
          <w:rFonts w:ascii="Calibri" w:hAnsi="Calibri" w:cs="Calibri"/>
          <w:b/>
          <w:bCs/>
        </w:rPr>
      </w:pPr>
      <w:bookmarkStart w:id="25" w:name="_Toc222842772"/>
      <w:r w:rsidRPr="00B5064E">
        <w:rPr>
          <w:rFonts w:ascii="Calibri" w:hAnsi="Calibri" w:cs="Calibri"/>
          <w:b/>
          <w:bCs/>
        </w:rPr>
        <w:lastRenderedPageBreak/>
        <w:t>What policy options are you considering</w:t>
      </w:r>
      <w:r w:rsidR="008A72C6" w:rsidRPr="00B5064E">
        <w:rPr>
          <w:rFonts w:ascii="Calibri" w:hAnsi="Calibri" w:cs="Calibri"/>
          <w:b/>
          <w:bCs/>
        </w:rPr>
        <w:t xml:space="preserve"> and what is the net benefits of each option</w:t>
      </w:r>
      <w:r w:rsidRPr="00B5064E">
        <w:rPr>
          <w:rFonts w:ascii="Calibri" w:hAnsi="Calibri" w:cs="Calibri"/>
          <w:b/>
          <w:bCs/>
        </w:rPr>
        <w:t>?</w:t>
      </w:r>
      <w:bookmarkEnd w:id="25"/>
    </w:p>
    <w:p w14:paraId="044FA450" w14:textId="733C2B6F" w:rsidR="00B96792" w:rsidRPr="00B5064E" w:rsidRDefault="00B96792" w:rsidP="00B96792">
      <w:pPr>
        <w:rPr>
          <w:rFonts w:ascii="Calibri" w:hAnsi="Calibri" w:cs="Calibri"/>
          <w:color w:val="000000" w:themeColor="text1"/>
        </w:rPr>
      </w:pPr>
      <w:r w:rsidRPr="00B5064E">
        <w:rPr>
          <w:rFonts w:ascii="Calibri" w:hAnsi="Calibri" w:cs="Calibri"/>
          <w:color w:val="000000" w:themeColor="text1"/>
        </w:rPr>
        <w:t>In responding to the identified problem namely, that existing retail electricity tariffs do not provide clear, consistent or equitable incentives for households to shift electricity use into solar</w:t>
      </w:r>
      <w:r w:rsidRPr="00B5064E">
        <w:rPr>
          <w:rFonts w:ascii="Calibri" w:hAnsi="Calibri" w:cs="Calibri"/>
          <w:color w:val="000000" w:themeColor="text1"/>
        </w:rPr>
        <w:noBreakHyphen/>
        <w:t>abundant, low</w:t>
      </w:r>
      <w:r w:rsidRPr="00B5064E">
        <w:rPr>
          <w:rFonts w:ascii="Calibri" w:hAnsi="Calibri" w:cs="Calibri"/>
          <w:color w:val="000000" w:themeColor="text1"/>
        </w:rPr>
        <w:noBreakHyphen/>
        <w:t xml:space="preserve">cost periods—the Government has considered </w:t>
      </w:r>
      <w:r w:rsidR="00A42325" w:rsidRPr="00B5064E">
        <w:rPr>
          <w:rFonts w:ascii="Calibri" w:hAnsi="Calibri" w:cs="Calibri"/>
          <w:color w:val="000000" w:themeColor="text1"/>
        </w:rPr>
        <w:t>three</w:t>
      </w:r>
      <w:r w:rsidRPr="00B5064E">
        <w:rPr>
          <w:rFonts w:ascii="Calibri" w:hAnsi="Calibri" w:cs="Calibri"/>
          <w:color w:val="000000" w:themeColor="text1"/>
        </w:rPr>
        <w:t xml:space="preserve"> policy options</w:t>
      </w:r>
      <w:r w:rsidR="00A42325" w:rsidRPr="00B5064E">
        <w:rPr>
          <w:rFonts w:ascii="Calibri" w:hAnsi="Calibri" w:cs="Calibri"/>
          <w:color w:val="000000" w:themeColor="text1"/>
        </w:rPr>
        <w:t xml:space="preserve"> in detail</w:t>
      </w:r>
      <w:r w:rsidRPr="00B5064E">
        <w:rPr>
          <w:rFonts w:ascii="Calibri" w:hAnsi="Calibri" w:cs="Calibri"/>
          <w:color w:val="000000" w:themeColor="text1"/>
        </w:rPr>
        <w:t>. These options differ in the degree of regulatory intervention, expected consumer uptake, cost</w:t>
      </w:r>
      <w:r w:rsidRPr="00B5064E">
        <w:rPr>
          <w:rFonts w:ascii="Calibri" w:hAnsi="Calibri" w:cs="Calibri"/>
          <w:color w:val="000000" w:themeColor="text1"/>
        </w:rPr>
        <w:noBreakHyphen/>
        <w:t>recovery implications, and capacity to deliver equitable access to the benefits of abundant daytime solar generation</w:t>
      </w:r>
      <w:r w:rsidR="003033D6" w:rsidRPr="00B5064E">
        <w:rPr>
          <w:rFonts w:ascii="Calibri" w:hAnsi="Calibri" w:cs="Calibri"/>
          <w:color w:val="000000" w:themeColor="text1"/>
        </w:rPr>
        <w:t>.</w:t>
      </w:r>
    </w:p>
    <w:p w14:paraId="31107FC9" w14:textId="068B2581" w:rsidR="003033D6" w:rsidRPr="00B5064E" w:rsidRDefault="003033D6" w:rsidP="003033D6">
      <w:pPr>
        <w:rPr>
          <w:rFonts w:ascii="Calibri" w:hAnsi="Calibri" w:cs="Calibri"/>
          <w:color w:val="000000" w:themeColor="text1"/>
        </w:rPr>
      </w:pPr>
      <w:r w:rsidRPr="00B5064E">
        <w:rPr>
          <w:rFonts w:ascii="Calibri" w:hAnsi="Calibri" w:cs="Calibri"/>
          <w:color w:val="000000" w:themeColor="text1"/>
        </w:rPr>
        <w:t>Consistent with best</w:t>
      </w:r>
      <w:r w:rsidRPr="00B5064E">
        <w:rPr>
          <w:rFonts w:ascii="Calibri" w:hAnsi="Calibri" w:cs="Calibri"/>
          <w:color w:val="000000" w:themeColor="text1"/>
        </w:rPr>
        <w:noBreakHyphen/>
        <w:t xml:space="preserve">practice regulatory analysis, this </w:t>
      </w:r>
      <w:r w:rsidR="00D13222" w:rsidRPr="00B5064E">
        <w:rPr>
          <w:rFonts w:ascii="Calibri" w:hAnsi="Calibri" w:cs="Calibri"/>
          <w:color w:val="000000" w:themeColor="text1"/>
        </w:rPr>
        <w:t xml:space="preserve">IA </w:t>
      </w:r>
      <w:r w:rsidRPr="00B5064E">
        <w:rPr>
          <w:rFonts w:ascii="Calibri" w:hAnsi="Calibri" w:cs="Calibri"/>
          <w:color w:val="000000" w:themeColor="text1"/>
        </w:rPr>
        <w:t>considers:</w:t>
      </w:r>
    </w:p>
    <w:p w14:paraId="610301C8" w14:textId="52CDE899" w:rsidR="003033D6" w:rsidRPr="00B5064E" w:rsidRDefault="00DE78B0" w:rsidP="00CF405C">
      <w:pPr>
        <w:numPr>
          <w:ilvl w:val="0"/>
          <w:numId w:val="11"/>
        </w:numPr>
        <w:spacing w:before="120" w:after="120"/>
        <w:ind w:left="714" w:hanging="357"/>
        <w:rPr>
          <w:rFonts w:ascii="Calibri" w:hAnsi="Calibri" w:cs="Calibri"/>
          <w:color w:val="000000" w:themeColor="text1"/>
        </w:rPr>
      </w:pPr>
      <w:r w:rsidRPr="00B5064E">
        <w:rPr>
          <w:rFonts w:ascii="Calibri" w:hAnsi="Calibri" w:cs="Calibri"/>
          <w:b/>
          <w:bCs/>
          <w:color w:val="000000" w:themeColor="text1"/>
        </w:rPr>
        <w:t>Option A0:</w:t>
      </w:r>
      <w:r w:rsidRPr="00B5064E">
        <w:rPr>
          <w:rFonts w:ascii="Calibri" w:hAnsi="Calibri" w:cs="Calibri"/>
          <w:color w:val="000000" w:themeColor="text1"/>
        </w:rPr>
        <w:t xml:space="preserve"> </w:t>
      </w:r>
      <w:r w:rsidR="003033D6" w:rsidRPr="00B5064E">
        <w:rPr>
          <w:rFonts w:ascii="Calibri" w:hAnsi="Calibri" w:cs="Calibri"/>
          <w:color w:val="000000" w:themeColor="text1"/>
        </w:rPr>
        <w:t>the status quo or market</w:t>
      </w:r>
      <w:r w:rsidR="003033D6" w:rsidRPr="00B5064E">
        <w:rPr>
          <w:rFonts w:ascii="Calibri" w:hAnsi="Calibri" w:cs="Calibri"/>
          <w:color w:val="000000" w:themeColor="text1"/>
        </w:rPr>
        <w:noBreakHyphen/>
        <w:t>led approach</w:t>
      </w:r>
    </w:p>
    <w:p w14:paraId="6C11C27F" w14:textId="6605F620" w:rsidR="00DE78B0" w:rsidRPr="00B5064E" w:rsidRDefault="00DE78B0" w:rsidP="00CD2EFF">
      <w:pPr>
        <w:numPr>
          <w:ilvl w:val="0"/>
          <w:numId w:val="6"/>
        </w:numPr>
        <w:spacing w:before="120" w:after="120"/>
        <w:ind w:left="714" w:hanging="357"/>
        <w:rPr>
          <w:rFonts w:ascii="Calibri" w:hAnsi="Calibri" w:cs="Calibri"/>
          <w:color w:val="000000" w:themeColor="text1"/>
        </w:rPr>
      </w:pPr>
      <w:r w:rsidRPr="00B5064E">
        <w:rPr>
          <w:rFonts w:ascii="Calibri" w:hAnsi="Calibri" w:cs="Calibri"/>
          <w:b/>
          <w:bCs/>
          <w:color w:val="000000" w:themeColor="text1"/>
        </w:rPr>
        <w:t>Option A1:</w:t>
      </w:r>
      <w:r w:rsidRPr="00B5064E">
        <w:rPr>
          <w:rFonts w:ascii="Calibri" w:hAnsi="Calibri" w:cs="Calibri"/>
          <w:color w:val="000000" w:themeColor="text1"/>
        </w:rPr>
        <w:t xml:space="preserve"> a regulated Free Power Period (FPP) standing offer—equivalent to the Solar Sharer Offer</w:t>
      </w:r>
    </w:p>
    <w:p w14:paraId="1FB169C1" w14:textId="1D13135F" w:rsidR="00DE78B0" w:rsidRPr="00B5064E" w:rsidRDefault="00DE78B0" w:rsidP="00CD2EFF">
      <w:pPr>
        <w:numPr>
          <w:ilvl w:val="0"/>
          <w:numId w:val="6"/>
        </w:numPr>
        <w:spacing w:before="120" w:after="120"/>
        <w:ind w:left="714" w:hanging="357"/>
        <w:rPr>
          <w:rFonts w:ascii="Calibri" w:hAnsi="Calibri" w:cs="Calibri"/>
          <w:color w:val="000000" w:themeColor="text1"/>
        </w:rPr>
      </w:pPr>
      <w:r w:rsidRPr="00B5064E">
        <w:rPr>
          <w:rFonts w:ascii="Calibri" w:hAnsi="Calibri" w:cs="Calibri"/>
          <w:b/>
          <w:bCs/>
          <w:color w:val="000000" w:themeColor="text1"/>
        </w:rPr>
        <w:t>Option A2:</w:t>
      </w:r>
      <w:r w:rsidRPr="00B5064E">
        <w:rPr>
          <w:rFonts w:ascii="Calibri" w:hAnsi="Calibri" w:cs="Calibri"/>
          <w:color w:val="000000" w:themeColor="text1"/>
        </w:rPr>
        <w:t xml:space="preserve"> Voluntary industry-led code or guidance framework (non-mandated standardised FPP design)</w:t>
      </w:r>
    </w:p>
    <w:p w14:paraId="6CE05B15" w14:textId="16713B21" w:rsidR="003033D6" w:rsidRPr="00B5064E" w:rsidRDefault="003033D6" w:rsidP="00B96792">
      <w:pPr>
        <w:rPr>
          <w:rFonts w:ascii="Calibri" w:hAnsi="Calibri" w:cs="Calibri"/>
          <w:color w:val="000000" w:themeColor="text1"/>
        </w:rPr>
      </w:pPr>
      <w:r w:rsidRPr="00B5064E">
        <w:rPr>
          <w:rFonts w:ascii="Calibri" w:hAnsi="Calibri" w:cs="Calibri"/>
          <w:color w:val="000000" w:themeColor="text1"/>
        </w:rPr>
        <w:t>These options reflect feedback received through consultation, detailed in the SSO Outcomes Paper, and align with COAG/OIA guidance on exploring the minimum level of effective intervention</w:t>
      </w:r>
      <w:r w:rsidR="00E97AAA" w:rsidRPr="00B5064E">
        <w:rPr>
          <w:rFonts w:ascii="Calibri" w:hAnsi="Calibri" w:cs="Calibri"/>
          <w:color w:val="000000" w:themeColor="text1"/>
        </w:rPr>
        <w:t>.</w:t>
      </w:r>
    </w:p>
    <w:p w14:paraId="625CFE20" w14:textId="671CF40F" w:rsidR="00092390" w:rsidRPr="00B5064E" w:rsidRDefault="00A43F7C" w:rsidP="006F688B">
      <w:pPr>
        <w:pStyle w:val="Heading2"/>
        <w:spacing w:after="120"/>
        <w:rPr>
          <w:rFonts w:ascii="Calibri" w:hAnsi="Calibri" w:cs="Calibri"/>
        </w:rPr>
      </w:pPr>
      <w:bookmarkStart w:id="26" w:name="_Toc222842773"/>
      <w:r w:rsidRPr="00B5064E">
        <w:rPr>
          <w:rFonts w:ascii="Calibri" w:hAnsi="Calibri" w:cs="Calibri"/>
        </w:rPr>
        <w:t xml:space="preserve">Option </w:t>
      </w:r>
      <w:r w:rsidR="00867ED7" w:rsidRPr="00B5064E">
        <w:rPr>
          <w:rFonts w:ascii="Calibri" w:hAnsi="Calibri" w:cs="Calibri"/>
        </w:rPr>
        <w:t>A0</w:t>
      </w:r>
      <w:r w:rsidRPr="00B5064E">
        <w:rPr>
          <w:rFonts w:ascii="Calibri" w:hAnsi="Calibri" w:cs="Calibri"/>
        </w:rPr>
        <w:t>: Market Offer–Led Approach (Baseline)</w:t>
      </w:r>
      <w:bookmarkEnd w:id="26"/>
    </w:p>
    <w:p w14:paraId="3514AA75" w14:textId="17770E29" w:rsidR="0061541D" w:rsidRPr="00B5064E" w:rsidRDefault="009972EA" w:rsidP="00FE14B5">
      <w:pPr>
        <w:rPr>
          <w:rFonts w:ascii="Calibri" w:hAnsi="Calibri" w:cs="Calibri"/>
          <w:color w:val="000000" w:themeColor="text1"/>
          <w:lang w:val="en-US"/>
        </w:rPr>
      </w:pPr>
      <w:r w:rsidRPr="00B5064E">
        <w:rPr>
          <w:rFonts w:ascii="Calibri" w:hAnsi="Calibri" w:cs="Calibri"/>
          <w:color w:val="000000" w:themeColor="text1"/>
        </w:rPr>
        <w:t>Under this option, government would take no regulatory action. Retailers would continue to innovate voluntarily with Time</w:t>
      </w:r>
      <w:r w:rsidRPr="00B5064E">
        <w:rPr>
          <w:rFonts w:ascii="Calibri" w:hAnsi="Calibri" w:cs="Calibri"/>
          <w:color w:val="000000" w:themeColor="text1"/>
        </w:rPr>
        <w:noBreakHyphen/>
        <w:t>of</w:t>
      </w:r>
      <w:r w:rsidRPr="00B5064E">
        <w:rPr>
          <w:rFonts w:ascii="Calibri" w:hAnsi="Calibri" w:cs="Calibri"/>
          <w:color w:val="000000" w:themeColor="text1"/>
        </w:rPr>
        <w:noBreakHyphen/>
        <w:t>Use (ToU) tariffs, solar</w:t>
      </w:r>
      <w:r w:rsidRPr="00B5064E">
        <w:rPr>
          <w:rFonts w:ascii="Calibri" w:hAnsi="Calibri" w:cs="Calibri"/>
          <w:color w:val="000000" w:themeColor="text1"/>
        </w:rPr>
        <w:noBreakHyphen/>
        <w:t>soaking offers, and discretionary free</w:t>
      </w:r>
      <w:r w:rsidRPr="00B5064E">
        <w:rPr>
          <w:rFonts w:ascii="Calibri" w:hAnsi="Calibri" w:cs="Calibri"/>
          <w:color w:val="000000" w:themeColor="text1"/>
        </w:rPr>
        <w:noBreakHyphen/>
        <w:t>period products, but without standardisation, guardrails, or consumer protections beyond existing frameworks. Consumers remain reliant on market comparison tools and their own capacity to assess tariff suitability</w:t>
      </w:r>
      <w:r w:rsidR="002F495C" w:rsidRPr="00B5064E">
        <w:rPr>
          <w:rFonts w:ascii="Calibri" w:hAnsi="Calibri" w:cs="Calibri"/>
          <w:color w:val="000000" w:themeColor="text1"/>
          <w:lang w:val="en-US"/>
        </w:rPr>
        <w:t>.</w:t>
      </w:r>
    </w:p>
    <w:p w14:paraId="44B64C96" w14:textId="64639112" w:rsidR="0028178D" w:rsidRPr="00B5064E" w:rsidRDefault="0028178D" w:rsidP="00077D7B">
      <w:pPr>
        <w:pStyle w:val="Heading3"/>
        <w:tabs>
          <w:tab w:val="right" w:pos="9412"/>
        </w:tabs>
        <w:spacing w:after="120"/>
        <w:rPr>
          <w:rFonts w:ascii="Calibri" w:hAnsi="Calibri" w:cs="Calibri"/>
        </w:rPr>
      </w:pPr>
      <w:bookmarkStart w:id="27" w:name="_Toc222842774"/>
      <w:r w:rsidRPr="00B5064E">
        <w:rPr>
          <w:rFonts w:ascii="Calibri" w:hAnsi="Calibri" w:cs="Calibri"/>
        </w:rPr>
        <w:t>Rationale for considering this option</w:t>
      </w:r>
      <w:bookmarkEnd w:id="27"/>
      <w:r w:rsidR="00077D7B">
        <w:rPr>
          <w:rFonts w:ascii="Calibri" w:hAnsi="Calibri" w:cs="Calibri"/>
        </w:rPr>
        <w:tab/>
      </w:r>
    </w:p>
    <w:p w14:paraId="0A519DBB" w14:textId="5A99FDFF" w:rsidR="0028178D" w:rsidRPr="00B5064E" w:rsidRDefault="0028178D" w:rsidP="00FE14B5">
      <w:pPr>
        <w:rPr>
          <w:rFonts w:ascii="Calibri" w:hAnsi="Calibri" w:cs="Calibri"/>
          <w:color w:val="000000" w:themeColor="text1"/>
        </w:rPr>
      </w:pPr>
      <w:r w:rsidRPr="00B5064E">
        <w:rPr>
          <w:rFonts w:ascii="Calibri" w:hAnsi="Calibri" w:cs="Calibri"/>
          <w:color w:val="000000" w:themeColor="text1"/>
        </w:rPr>
        <w:t>The status quo is a necessary baseline, allowing assessment of the marginal costs and benefits of government intervention. It aligns with regulatory principles that seek to avoid intervention unless market failure is evident.</w:t>
      </w:r>
    </w:p>
    <w:p w14:paraId="75DC84EC" w14:textId="77777777" w:rsidR="0028178D" w:rsidRPr="00B5064E" w:rsidRDefault="0028178D" w:rsidP="001A6A4A">
      <w:pPr>
        <w:pStyle w:val="Heading3"/>
        <w:spacing w:after="120"/>
        <w:rPr>
          <w:rFonts w:ascii="Calibri" w:hAnsi="Calibri" w:cs="Calibri"/>
        </w:rPr>
      </w:pPr>
      <w:bookmarkStart w:id="28" w:name="_Toc222842775"/>
      <w:r w:rsidRPr="00B5064E">
        <w:rPr>
          <w:rFonts w:ascii="Calibri" w:hAnsi="Calibri" w:cs="Calibri"/>
        </w:rPr>
        <w:t>Key features of Option A0</w:t>
      </w:r>
      <w:bookmarkEnd w:id="28"/>
    </w:p>
    <w:p w14:paraId="27E4438D" w14:textId="77777777" w:rsidR="0028178D" w:rsidRPr="00B5064E" w:rsidRDefault="0028178D" w:rsidP="00566A2D">
      <w:pPr>
        <w:pStyle w:val="ListParagraph"/>
        <w:numPr>
          <w:ilvl w:val="0"/>
          <w:numId w:val="35"/>
        </w:numPr>
        <w:spacing w:before="120" w:after="120"/>
        <w:ind w:left="714" w:hanging="357"/>
        <w:contextualSpacing w:val="0"/>
        <w:rPr>
          <w:rFonts w:ascii="Calibri" w:hAnsi="Calibri" w:cs="Calibri"/>
          <w:color w:val="000000" w:themeColor="text1"/>
        </w:rPr>
      </w:pPr>
      <w:r w:rsidRPr="00B5064E">
        <w:rPr>
          <w:rFonts w:ascii="Calibri" w:hAnsi="Calibri" w:cs="Calibri"/>
          <w:color w:val="000000" w:themeColor="text1"/>
        </w:rPr>
        <w:t>No regulated FPP or standing offer.</w:t>
      </w:r>
    </w:p>
    <w:p w14:paraId="7B004EC3" w14:textId="77777777" w:rsidR="0028178D" w:rsidRPr="00B5064E" w:rsidRDefault="0028178D" w:rsidP="00566A2D">
      <w:pPr>
        <w:pStyle w:val="ListParagraph"/>
        <w:numPr>
          <w:ilvl w:val="0"/>
          <w:numId w:val="35"/>
        </w:numPr>
        <w:spacing w:before="120" w:after="120"/>
        <w:ind w:left="714" w:hanging="357"/>
        <w:contextualSpacing w:val="0"/>
        <w:rPr>
          <w:rFonts w:ascii="Calibri" w:hAnsi="Calibri" w:cs="Calibri"/>
          <w:color w:val="000000" w:themeColor="text1"/>
        </w:rPr>
      </w:pPr>
      <w:r w:rsidRPr="00B5064E">
        <w:rPr>
          <w:rFonts w:ascii="Calibri" w:hAnsi="Calibri" w:cs="Calibri"/>
          <w:color w:val="000000" w:themeColor="text1"/>
        </w:rPr>
        <w:t>Retailers may continue offering voluntary free</w:t>
      </w:r>
      <w:r w:rsidRPr="00B5064E">
        <w:rPr>
          <w:rFonts w:ascii="Calibri" w:hAnsi="Calibri" w:cs="Calibri"/>
          <w:color w:val="000000" w:themeColor="text1"/>
        </w:rPr>
        <w:noBreakHyphen/>
        <w:t>period or “solar sponge” tariffs.</w:t>
      </w:r>
    </w:p>
    <w:p w14:paraId="55DA872C" w14:textId="77777777" w:rsidR="0028178D" w:rsidRPr="00B5064E" w:rsidRDefault="0028178D" w:rsidP="00566A2D">
      <w:pPr>
        <w:pStyle w:val="ListParagraph"/>
        <w:numPr>
          <w:ilvl w:val="0"/>
          <w:numId w:val="35"/>
        </w:numPr>
        <w:spacing w:before="120" w:after="120"/>
        <w:ind w:left="714" w:hanging="357"/>
        <w:contextualSpacing w:val="0"/>
        <w:rPr>
          <w:rFonts w:ascii="Calibri" w:hAnsi="Calibri" w:cs="Calibri"/>
          <w:color w:val="000000" w:themeColor="text1"/>
        </w:rPr>
      </w:pPr>
      <w:r w:rsidRPr="00B5064E">
        <w:rPr>
          <w:rFonts w:ascii="Calibri" w:hAnsi="Calibri" w:cs="Calibri"/>
          <w:color w:val="000000" w:themeColor="text1"/>
        </w:rPr>
        <w:t>Timing, design, eligibility and price signals remain retailer</w:t>
      </w:r>
      <w:r w:rsidRPr="00B5064E">
        <w:rPr>
          <w:rFonts w:ascii="Calibri" w:hAnsi="Calibri" w:cs="Calibri"/>
          <w:color w:val="000000" w:themeColor="text1"/>
        </w:rPr>
        <w:noBreakHyphen/>
        <w:t>determined.</w:t>
      </w:r>
    </w:p>
    <w:p w14:paraId="3B809866" w14:textId="77777777" w:rsidR="0028178D" w:rsidRPr="00B5064E" w:rsidRDefault="0028178D" w:rsidP="00566A2D">
      <w:pPr>
        <w:pStyle w:val="ListParagraph"/>
        <w:numPr>
          <w:ilvl w:val="0"/>
          <w:numId w:val="35"/>
        </w:numPr>
        <w:spacing w:before="120" w:after="120"/>
        <w:ind w:left="714" w:hanging="357"/>
        <w:contextualSpacing w:val="0"/>
        <w:rPr>
          <w:rFonts w:ascii="Calibri" w:hAnsi="Calibri" w:cs="Calibri"/>
          <w:color w:val="000000" w:themeColor="text1"/>
        </w:rPr>
      </w:pPr>
      <w:r w:rsidRPr="00B5064E">
        <w:rPr>
          <w:rFonts w:ascii="Calibri" w:hAnsi="Calibri" w:cs="Calibri"/>
          <w:color w:val="000000" w:themeColor="text1"/>
        </w:rPr>
        <w:t>No additional consumer safeguards, disclosures or cost</w:t>
      </w:r>
      <w:r w:rsidRPr="00B5064E">
        <w:rPr>
          <w:rFonts w:ascii="Calibri" w:hAnsi="Calibri" w:cs="Calibri"/>
          <w:color w:val="000000" w:themeColor="text1"/>
        </w:rPr>
        <w:noBreakHyphen/>
        <w:t>recovery rules.</w:t>
      </w:r>
    </w:p>
    <w:p w14:paraId="297FAF2E" w14:textId="348CC185" w:rsidR="0028178D" w:rsidRPr="00B5064E" w:rsidRDefault="0028178D" w:rsidP="00566A2D">
      <w:pPr>
        <w:pStyle w:val="ListParagraph"/>
        <w:numPr>
          <w:ilvl w:val="0"/>
          <w:numId w:val="35"/>
        </w:numPr>
        <w:spacing w:before="120" w:after="120"/>
        <w:ind w:left="714" w:hanging="357"/>
        <w:contextualSpacing w:val="0"/>
        <w:rPr>
          <w:rFonts w:ascii="Calibri" w:hAnsi="Calibri" w:cs="Calibri"/>
          <w:color w:val="000000" w:themeColor="text1"/>
        </w:rPr>
      </w:pPr>
      <w:r w:rsidRPr="00B5064E">
        <w:rPr>
          <w:rFonts w:ascii="Calibri" w:hAnsi="Calibri" w:cs="Calibri"/>
          <w:color w:val="000000" w:themeColor="text1"/>
        </w:rPr>
        <w:t>Continued inconsistency in tariff structures across jurisdictions</w:t>
      </w:r>
    </w:p>
    <w:p w14:paraId="0E878D30" w14:textId="36A6F903" w:rsidR="00115972" w:rsidRPr="00B5064E" w:rsidRDefault="00DE78B0" w:rsidP="00CE62A0">
      <w:pPr>
        <w:pStyle w:val="Heading3"/>
        <w:spacing w:before="120" w:after="120"/>
        <w:rPr>
          <w:rFonts w:ascii="Calibri" w:hAnsi="Calibri" w:cs="Calibri"/>
          <w:i/>
        </w:rPr>
      </w:pPr>
      <w:bookmarkStart w:id="29" w:name="_Toc222842776"/>
      <w:r w:rsidRPr="00B5064E">
        <w:rPr>
          <w:rFonts w:ascii="Calibri" w:hAnsi="Calibri" w:cs="Calibri"/>
        </w:rPr>
        <w:t>Net Benefits</w:t>
      </w:r>
      <w:bookmarkEnd w:id="29"/>
    </w:p>
    <w:p w14:paraId="014012FA" w14:textId="77777777" w:rsidR="00115972" w:rsidRPr="00B5064E" w:rsidRDefault="00115972" w:rsidP="00566A2D">
      <w:pPr>
        <w:pStyle w:val="ListParagraph"/>
        <w:numPr>
          <w:ilvl w:val="0"/>
          <w:numId w:val="35"/>
        </w:numPr>
        <w:spacing w:before="120" w:after="120"/>
        <w:ind w:left="714" w:hanging="357"/>
        <w:contextualSpacing w:val="0"/>
        <w:rPr>
          <w:rFonts w:ascii="Calibri" w:hAnsi="Calibri" w:cs="Calibri"/>
          <w:color w:val="000000" w:themeColor="text1"/>
        </w:rPr>
      </w:pPr>
      <w:r w:rsidRPr="00B5064E">
        <w:rPr>
          <w:rFonts w:ascii="Calibri" w:hAnsi="Calibri" w:cs="Calibri"/>
          <w:color w:val="000000" w:themeColor="text1"/>
        </w:rPr>
        <w:t>Zero regulatory cost and low implementation burden.</w:t>
      </w:r>
    </w:p>
    <w:p w14:paraId="1224BE90" w14:textId="77777777" w:rsidR="00115972" w:rsidRPr="00B5064E" w:rsidRDefault="00115972" w:rsidP="00566A2D">
      <w:pPr>
        <w:pStyle w:val="ListParagraph"/>
        <w:numPr>
          <w:ilvl w:val="0"/>
          <w:numId w:val="35"/>
        </w:numPr>
        <w:spacing w:before="120" w:after="120"/>
        <w:ind w:left="714" w:hanging="357"/>
        <w:contextualSpacing w:val="0"/>
        <w:rPr>
          <w:rFonts w:ascii="Calibri" w:hAnsi="Calibri" w:cs="Calibri"/>
          <w:color w:val="000000" w:themeColor="text1"/>
        </w:rPr>
      </w:pPr>
      <w:r w:rsidRPr="00B5064E">
        <w:rPr>
          <w:rFonts w:ascii="Calibri" w:hAnsi="Calibri" w:cs="Calibri"/>
          <w:color w:val="000000" w:themeColor="text1"/>
        </w:rPr>
        <w:t>Maximum retailer flexibility and scope for continued innovation.</w:t>
      </w:r>
    </w:p>
    <w:p w14:paraId="33B6BAB2" w14:textId="37B91ACB" w:rsidR="00F03B96" w:rsidRDefault="00115972" w:rsidP="00077D7B">
      <w:pPr>
        <w:pStyle w:val="ListParagraph"/>
        <w:numPr>
          <w:ilvl w:val="0"/>
          <w:numId w:val="35"/>
        </w:numPr>
        <w:spacing w:before="120" w:after="120"/>
        <w:ind w:left="714" w:hanging="357"/>
        <w:contextualSpacing w:val="0"/>
        <w:rPr>
          <w:rFonts w:ascii="Calibri" w:hAnsi="Calibri" w:cs="Calibri"/>
          <w:color w:val="000000" w:themeColor="text1"/>
        </w:rPr>
      </w:pPr>
      <w:r w:rsidRPr="00B5064E">
        <w:rPr>
          <w:rFonts w:ascii="Calibri" w:hAnsi="Calibri" w:cs="Calibri"/>
          <w:color w:val="000000" w:themeColor="text1"/>
        </w:rPr>
        <w:t>Avoids imposing obligations on smaller retailers or those without ToU infrastructure</w:t>
      </w:r>
    </w:p>
    <w:p w14:paraId="33677543" w14:textId="77777777" w:rsidR="00077D7B" w:rsidRDefault="00077D7B" w:rsidP="00077D7B">
      <w:pPr>
        <w:pStyle w:val="ListParagraph"/>
        <w:spacing w:before="120" w:after="120"/>
        <w:ind w:left="714"/>
        <w:contextualSpacing w:val="0"/>
        <w:rPr>
          <w:rFonts w:ascii="Calibri" w:hAnsi="Calibri" w:cs="Calibri"/>
          <w:color w:val="000000" w:themeColor="text1"/>
        </w:rPr>
      </w:pPr>
    </w:p>
    <w:p w14:paraId="39849D01" w14:textId="77777777" w:rsidR="000E3A92" w:rsidRPr="00077D7B" w:rsidRDefault="000E3A92" w:rsidP="00077D7B">
      <w:pPr>
        <w:pStyle w:val="ListParagraph"/>
        <w:spacing w:before="120" w:after="120"/>
        <w:ind w:left="714"/>
        <w:contextualSpacing w:val="0"/>
        <w:rPr>
          <w:rFonts w:ascii="Calibri" w:hAnsi="Calibri" w:cs="Calibri"/>
          <w:color w:val="000000" w:themeColor="text1"/>
        </w:rPr>
      </w:pPr>
    </w:p>
    <w:p w14:paraId="7E7762D5" w14:textId="49C00433" w:rsidR="004C67DF" w:rsidRDefault="004C67DF" w:rsidP="004C67DF">
      <w:pPr>
        <w:pStyle w:val="Caption"/>
        <w:keepNext/>
        <w:spacing w:after="0"/>
        <w:rPr>
          <w:i/>
          <w:iCs w:val="0"/>
          <w:sz w:val="20"/>
          <w:szCs w:val="20"/>
        </w:rPr>
      </w:pPr>
      <w:r w:rsidRPr="00B5064E">
        <w:rPr>
          <w:i/>
          <w:iCs w:val="0"/>
          <w:sz w:val="20"/>
          <w:szCs w:val="20"/>
        </w:rPr>
        <w:lastRenderedPageBreak/>
        <w:t>Table 2: Net Benefit Assessment, Option A0: Market Offer–Led Approach (Baseline)</w:t>
      </w:r>
    </w:p>
    <w:tbl>
      <w:tblPr>
        <w:tblW w:w="9345" w:type="dxa"/>
        <w:tblBorders>
          <w:bottom w:val="single" w:sz="4" w:space="0" w:color="D1D1D1" w:themeColor="background2" w:themeShade="E6"/>
        </w:tblBorders>
        <w:tblCellMar>
          <w:left w:w="0" w:type="dxa"/>
          <w:right w:w="0" w:type="dxa"/>
        </w:tblCellMar>
        <w:tblLook w:val="04A0" w:firstRow="1" w:lastRow="0" w:firstColumn="1" w:lastColumn="0" w:noHBand="0" w:noVBand="1"/>
      </w:tblPr>
      <w:tblGrid>
        <w:gridCol w:w="2685"/>
        <w:gridCol w:w="1001"/>
        <w:gridCol w:w="979"/>
        <w:gridCol w:w="1565"/>
        <w:gridCol w:w="3115"/>
      </w:tblGrid>
      <w:tr w:rsidR="000E3A92" w:rsidRPr="000E3A92" w14:paraId="2FCCC519" w14:textId="77777777" w:rsidTr="000E3A92">
        <w:trPr>
          <w:trHeight w:val="135"/>
        </w:trPr>
        <w:tc>
          <w:tcPr>
            <w:tcW w:w="3686" w:type="dxa"/>
            <w:gridSpan w:val="2"/>
            <w:shd w:val="clear" w:color="auto" w:fill="E8E8E8" w:themeFill="background2"/>
            <w:vAlign w:val="center"/>
            <w:hideMark/>
          </w:tcPr>
          <w:p w14:paraId="1E9BDCBC" w14:textId="2A88A40C" w:rsidR="000E3A92" w:rsidRPr="000E3A92" w:rsidRDefault="000E3A92" w:rsidP="000E3A92">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0E3A92">
              <w:rPr>
                <w:rFonts w:ascii="Calibri" w:eastAsia="Times New Roman" w:hAnsi="Calibri" w:cs="Calibri"/>
                <w:b/>
                <w:bCs/>
                <w:kern w:val="0"/>
                <w:lang w:eastAsia="en-AU"/>
                <w14:ligatures w14:val="none"/>
              </w:rPr>
              <w:t>Legend </w:t>
            </w:r>
            <w:r w:rsidRPr="000E3A92">
              <w:rPr>
                <w:rFonts w:ascii="Segoe UI Emoji" w:eastAsia="Times New Roman" w:hAnsi="Segoe UI Emoji" w:cs="Times New Roman"/>
                <w:b/>
                <w:bCs/>
                <w:kern w:val="0"/>
                <w:lang w:eastAsia="en-AU"/>
                <w14:ligatures w14:val="none"/>
              </w:rPr>
              <w:t>🟢</w:t>
            </w:r>
            <w:r w:rsidRPr="000E3A92">
              <w:rPr>
                <w:rFonts w:ascii="Calibri" w:eastAsia="Times New Roman" w:hAnsi="Calibri" w:cs="Calibri"/>
                <w:b/>
                <w:bCs/>
                <w:kern w:val="0"/>
                <w:lang w:eastAsia="en-AU"/>
                <w14:ligatures w14:val="none"/>
              </w:rPr>
              <w:t> = Strong positive / Low risk </w:t>
            </w:r>
            <w:r w:rsidRPr="000E3A92">
              <w:rPr>
                <w:rFonts w:ascii="Segoe UI Emoji" w:eastAsia="Times New Roman" w:hAnsi="Segoe UI Emoji" w:cs="Times New Roman"/>
                <w:b/>
                <w:bCs/>
                <w:kern w:val="0"/>
                <w:lang w:eastAsia="en-AU"/>
                <w14:ligatures w14:val="none"/>
              </w:rPr>
              <w:t xml:space="preserve"> </w:t>
            </w:r>
          </w:p>
        </w:tc>
        <w:tc>
          <w:tcPr>
            <w:tcW w:w="2544" w:type="dxa"/>
            <w:gridSpan w:val="2"/>
            <w:shd w:val="clear" w:color="auto" w:fill="E8E8E8" w:themeFill="background2"/>
            <w:vAlign w:val="center"/>
          </w:tcPr>
          <w:p w14:paraId="5C6FE087" w14:textId="5BA0B95D" w:rsidR="000E3A92" w:rsidRPr="000E3A92" w:rsidRDefault="000E3A92" w:rsidP="000E3A92">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0E3A92">
              <w:rPr>
                <w:rFonts w:ascii="Segoe UI Emoji" w:eastAsia="Times New Roman" w:hAnsi="Segoe UI Emoji" w:cs="Times New Roman"/>
                <w:b/>
                <w:bCs/>
                <w:kern w:val="0"/>
                <w:lang w:eastAsia="en-AU"/>
                <w14:ligatures w14:val="none"/>
              </w:rPr>
              <w:t>🟡</w:t>
            </w:r>
            <w:r w:rsidRPr="000E3A92">
              <w:rPr>
                <w:rFonts w:ascii="Calibri" w:eastAsia="Times New Roman" w:hAnsi="Calibri" w:cs="Calibri"/>
                <w:b/>
                <w:bCs/>
                <w:kern w:val="0"/>
                <w:lang w:eastAsia="en-AU"/>
                <w14:ligatures w14:val="none"/>
              </w:rPr>
              <w:t> = Mixed / Moderate </w:t>
            </w:r>
          </w:p>
        </w:tc>
        <w:tc>
          <w:tcPr>
            <w:tcW w:w="3115" w:type="dxa"/>
            <w:shd w:val="clear" w:color="auto" w:fill="E8E8E8" w:themeFill="background2"/>
            <w:vAlign w:val="center"/>
          </w:tcPr>
          <w:p w14:paraId="7F59B6F5" w14:textId="570A1FBF" w:rsidR="000E3A92" w:rsidRPr="000E3A92" w:rsidRDefault="000E3A92" w:rsidP="000E3A92">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0E3A92">
              <w:rPr>
                <w:rFonts w:ascii="Segoe UI Emoji" w:eastAsia="Times New Roman" w:hAnsi="Segoe UI Emoji" w:cs="Times New Roman"/>
                <w:b/>
                <w:bCs/>
                <w:kern w:val="0"/>
                <w:lang w:eastAsia="en-AU"/>
                <w14:ligatures w14:val="none"/>
              </w:rPr>
              <w:t>🔴</w:t>
            </w:r>
            <w:r w:rsidRPr="000E3A92">
              <w:rPr>
                <w:rFonts w:ascii="Calibri" w:eastAsia="Times New Roman" w:hAnsi="Calibri" w:cs="Calibri"/>
                <w:b/>
                <w:bCs/>
                <w:kern w:val="0"/>
                <w:lang w:eastAsia="en-AU"/>
                <w14:ligatures w14:val="none"/>
              </w:rPr>
              <w:t> = Weak / Limited benefit </w:t>
            </w:r>
          </w:p>
        </w:tc>
      </w:tr>
      <w:tr w:rsidR="000E3A92" w:rsidRPr="000E3A92" w14:paraId="3861D1A2" w14:textId="77777777" w:rsidTr="004A3AE1">
        <w:trPr>
          <w:trHeight w:val="587"/>
        </w:trPr>
        <w:tc>
          <w:tcPr>
            <w:tcW w:w="2685" w:type="dxa"/>
            <w:shd w:val="clear" w:color="auto" w:fill="E8E8E8" w:themeFill="background2"/>
            <w:vAlign w:val="center"/>
            <w:hideMark/>
          </w:tcPr>
          <w:p w14:paraId="5DB21FBB" w14:textId="77777777" w:rsidR="000E3A92" w:rsidRPr="000E3A92" w:rsidRDefault="000E3A92" w:rsidP="000E3A92">
            <w:pPr>
              <w:spacing w:after="0" w:line="240" w:lineRule="auto"/>
              <w:jc w:val="center"/>
              <w:textAlignment w:val="baseline"/>
              <w:rPr>
                <w:rFonts w:ascii="Times New Roman" w:eastAsia="Times New Roman" w:hAnsi="Times New Roman" w:cs="Times New Roman"/>
                <w:b/>
                <w:bCs/>
                <w:kern w:val="0"/>
                <w:sz w:val="24"/>
                <w:szCs w:val="24"/>
                <w:lang w:eastAsia="en-AU"/>
                <w14:ligatures w14:val="none"/>
              </w:rPr>
            </w:pPr>
            <w:r w:rsidRPr="000E3A92">
              <w:rPr>
                <w:rFonts w:ascii="Calibri" w:eastAsia="Times New Roman" w:hAnsi="Calibri" w:cs="Calibri"/>
                <w:b/>
                <w:bCs/>
                <w:kern w:val="0"/>
                <w:lang w:eastAsia="en-AU"/>
                <w14:ligatures w14:val="none"/>
              </w:rPr>
              <w:t>Impact Category </w:t>
            </w:r>
          </w:p>
        </w:tc>
        <w:tc>
          <w:tcPr>
            <w:tcW w:w="1980" w:type="dxa"/>
            <w:gridSpan w:val="2"/>
            <w:shd w:val="clear" w:color="auto" w:fill="E8E8E8" w:themeFill="background2"/>
            <w:vAlign w:val="center"/>
            <w:hideMark/>
          </w:tcPr>
          <w:p w14:paraId="157825FF" w14:textId="77777777" w:rsidR="000E3A92" w:rsidRPr="000E3A92" w:rsidRDefault="000E3A92" w:rsidP="000E3A92">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r w:rsidRPr="000E3A92">
              <w:rPr>
                <w:rFonts w:ascii="Calibri" w:eastAsia="Times New Roman" w:hAnsi="Calibri" w:cs="Calibri"/>
                <w:b/>
                <w:bCs/>
                <w:kern w:val="0"/>
                <w:lang w:eastAsia="en-AU"/>
                <w14:ligatures w14:val="none"/>
              </w:rPr>
              <w:t>Net Benefit Rating</w:t>
            </w:r>
            <w:r w:rsidRPr="000E3A92">
              <w:rPr>
                <w:rFonts w:ascii="Calibri" w:eastAsia="Times New Roman" w:hAnsi="Calibri" w:cs="Calibri"/>
                <w:kern w:val="0"/>
                <w:lang w:eastAsia="en-AU"/>
                <w14:ligatures w14:val="none"/>
              </w:rPr>
              <w:t> </w:t>
            </w:r>
          </w:p>
        </w:tc>
        <w:tc>
          <w:tcPr>
            <w:tcW w:w="4680" w:type="dxa"/>
            <w:gridSpan w:val="2"/>
            <w:shd w:val="clear" w:color="auto" w:fill="E8E8E8" w:themeFill="background2"/>
            <w:vAlign w:val="center"/>
            <w:hideMark/>
          </w:tcPr>
          <w:p w14:paraId="3D56720A" w14:textId="77777777" w:rsidR="000E3A92" w:rsidRPr="000E3A92" w:rsidRDefault="000E3A92" w:rsidP="000E3A92">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r w:rsidRPr="000E3A92">
              <w:rPr>
                <w:rFonts w:ascii="Calibri" w:eastAsia="Times New Roman" w:hAnsi="Calibri" w:cs="Calibri"/>
                <w:b/>
                <w:bCs/>
                <w:kern w:val="0"/>
                <w:lang w:eastAsia="en-AU"/>
                <w14:ligatures w14:val="none"/>
              </w:rPr>
              <w:t>Explanation</w:t>
            </w:r>
            <w:r w:rsidRPr="000E3A92">
              <w:rPr>
                <w:rFonts w:ascii="Calibri" w:eastAsia="Times New Roman" w:hAnsi="Calibri" w:cs="Calibri"/>
                <w:kern w:val="0"/>
                <w:lang w:eastAsia="en-AU"/>
                <w14:ligatures w14:val="none"/>
              </w:rPr>
              <w:t> </w:t>
            </w:r>
          </w:p>
        </w:tc>
      </w:tr>
      <w:tr w:rsidR="000E3A92" w:rsidRPr="000E3A92" w14:paraId="66299439" w14:textId="77777777" w:rsidTr="008D5334">
        <w:trPr>
          <w:trHeight w:val="300"/>
        </w:trPr>
        <w:tc>
          <w:tcPr>
            <w:tcW w:w="2685" w:type="dxa"/>
            <w:shd w:val="clear" w:color="auto" w:fill="FFFFFF" w:themeFill="background1"/>
            <w:vAlign w:val="center"/>
            <w:hideMark/>
          </w:tcPr>
          <w:p w14:paraId="1BB41230" w14:textId="77777777" w:rsidR="000E3A92" w:rsidRPr="000E3A92" w:rsidRDefault="000E3A92" w:rsidP="000E3A92">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0E3A92">
              <w:rPr>
                <w:rFonts w:ascii="Calibri" w:eastAsia="Times New Roman" w:hAnsi="Calibri" w:cs="Calibri"/>
                <w:b/>
                <w:bCs/>
                <w:kern w:val="0"/>
                <w:lang w:eastAsia="en-AU"/>
                <w14:ligatures w14:val="none"/>
              </w:rPr>
              <w:t>Economic </w:t>
            </w:r>
          </w:p>
        </w:tc>
        <w:tc>
          <w:tcPr>
            <w:tcW w:w="1980" w:type="dxa"/>
            <w:gridSpan w:val="2"/>
            <w:shd w:val="clear" w:color="auto" w:fill="FFFFFF" w:themeFill="background1"/>
            <w:vAlign w:val="center"/>
            <w:hideMark/>
          </w:tcPr>
          <w:p w14:paraId="662A8936" w14:textId="77777777" w:rsidR="000E3A92" w:rsidRPr="000E3A92" w:rsidRDefault="000E3A92" w:rsidP="000E3A92">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r w:rsidRPr="000E3A92">
              <w:rPr>
                <w:rFonts w:ascii="Segoe UI Emoji" w:eastAsia="Times New Roman" w:hAnsi="Segoe UI Emoji" w:cs="Times New Roman"/>
                <w:kern w:val="0"/>
                <w:lang w:eastAsia="en-AU"/>
                <w14:ligatures w14:val="none"/>
              </w:rPr>
              <w:t>🔴 </w:t>
            </w:r>
          </w:p>
        </w:tc>
        <w:tc>
          <w:tcPr>
            <w:tcW w:w="4680" w:type="dxa"/>
            <w:gridSpan w:val="2"/>
            <w:shd w:val="clear" w:color="auto" w:fill="FFFFFF" w:themeFill="background1"/>
            <w:hideMark/>
          </w:tcPr>
          <w:p w14:paraId="08DECB4A" w14:textId="77777777" w:rsidR="000E3A92" w:rsidRPr="000E3A92" w:rsidRDefault="000E3A92" w:rsidP="000E3A92">
            <w:pPr>
              <w:spacing w:after="0" w:line="240" w:lineRule="auto"/>
              <w:textAlignment w:val="baseline"/>
              <w:rPr>
                <w:rFonts w:ascii="Times New Roman" w:eastAsia="Times New Roman" w:hAnsi="Times New Roman" w:cs="Times New Roman"/>
                <w:kern w:val="0"/>
                <w:sz w:val="24"/>
                <w:szCs w:val="24"/>
                <w:lang w:eastAsia="en-AU"/>
                <w14:ligatures w14:val="none"/>
              </w:rPr>
            </w:pPr>
            <w:r w:rsidRPr="000E3A92">
              <w:rPr>
                <w:rFonts w:ascii="Calibri" w:eastAsia="Times New Roman" w:hAnsi="Calibri" w:cs="Calibri"/>
                <w:kern w:val="0"/>
                <w:lang w:eastAsia="en-AU"/>
                <w14:ligatures w14:val="none"/>
              </w:rPr>
              <w:t>Minimal structural bill savings: benefits limited to engaged or CER households; no material improvement in system efficiency. </w:t>
            </w:r>
          </w:p>
        </w:tc>
      </w:tr>
      <w:tr w:rsidR="000E3A92" w:rsidRPr="000E3A92" w14:paraId="791B7362" w14:textId="77777777" w:rsidTr="008D5334">
        <w:trPr>
          <w:trHeight w:val="300"/>
        </w:trPr>
        <w:tc>
          <w:tcPr>
            <w:tcW w:w="2685" w:type="dxa"/>
            <w:shd w:val="clear" w:color="auto" w:fill="F2F2F2" w:themeFill="background1" w:themeFillShade="F2"/>
            <w:vAlign w:val="center"/>
            <w:hideMark/>
          </w:tcPr>
          <w:p w14:paraId="64282D57" w14:textId="77777777" w:rsidR="000E3A92" w:rsidRPr="000E3A92" w:rsidRDefault="000E3A92" w:rsidP="000E3A92">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0E3A92">
              <w:rPr>
                <w:rFonts w:ascii="Calibri" w:eastAsia="Times New Roman" w:hAnsi="Calibri" w:cs="Calibri"/>
                <w:b/>
                <w:bCs/>
                <w:kern w:val="0"/>
                <w:lang w:eastAsia="en-AU"/>
                <w14:ligatures w14:val="none"/>
              </w:rPr>
              <w:t>Competition </w:t>
            </w:r>
          </w:p>
        </w:tc>
        <w:tc>
          <w:tcPr>
            <w:tcW w:w="1980" w:type="dxa"/>
            <w:gridSpan w:val="2"/>
            <w:shd w:val="clear" w:color="auto" w:fill="F2F2F2" w:themeFill="background1" w:themeFillShade="F2"/>
            <w:vAlign w:val="center"/>
            <w:hideMark/>
          </w:tcPr>
          <w:p w14:paraId="74604C40" w14:textId="77777777" w:rsidR="000E3A92" w:rsidRPr="000E3A92" w:rsidRDefault="000E3A92" w:rsidP="000E3A92">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r w:rsidRPr="000E3A92">
              <w:rPr>
                <w:rFonts w:ascii="Segoe UI Emoji" w:eastAsia="Times New Roman" w:hAnsi="Segoe UI Emoji" w:cs="Times New Roman"/>
                <w:kern w:val="0"/>
                <w:lang w:eastAsia="en-AU"/>
                <w14:ligatures w14:val="none"/>
              </w:rPr>
              <w:t>🟡 </w:t>
            </w:r>
          </w:p>
        </w:tc>
        <w:tc>
          <w:tcPr>
            <w:tcW w:w="4680" w:type="dxa"/>
            <w:gridSpan w:val="2"/>
            <w:shd w:val="clear" w:color="auto" w:fill="F2F2F2" w:themeFill="background1" w:themeFillShade="F2"/>
            <w:hideMark/>
          </w:tcPr>
          <w:p w14:paraId="2D5A37CD" w14:textId="77777777" w:rsidR="000E3A92" w:rsidRPr="000E3A92" w:rsidRDefault="000E3A92" w:rsidP="000E3A92">
            <w:pPr>
              <w:spacing w:after="0" w:line="240" w:lineRule="auto"/>
              <w:textAlignment w:val="baseline"/>
              <w:rPr>
                <w:rFonts w:ascii="Times New Roman" w:eastAsia="Times New Roman" w:hAnsi="Times New Roman" w:cs="Times New Roman"/>
                <w:kern w:val="0"/>
                <w:sz w:val="24"/>
                <w:szCs w:val="24"/>
                <w:lang w:eastAsia="en-AU"/>
                <w14:ligatures w14:val="none"/>
              </w:rPr>
            </w:pPr>
            <w:r w:rsidRPr="000E3A92">
              <w:rPr>
                <w:rFonts w:ascii="Calibri" w:eastAsia="Times New Roman" w:hAnsi="Calibri" w:cs="Calibri"/>
                <w:kern w:val="0"/>
                <w:lang w:eastAsia="en-AU"/>
                <w14:ligatures w14:val="none"/>
              </w:rPr>
              <w:t>Preserves full flexibility and innovation; however, product complexity reduces effective comparability and informed competition. </w:t>
            </w:r>
          </w:p>
        </w:tc>
      </w:tr>
      <w:tr w:rsidR="000E3A92" w:rsidRPr="000E3A92" w14:paraId="724AC756" w14:textId="77777777" w:rsidTr="008D5334">
        <w:trPr>
          <w:trHeight w:val="300"/>
        </w:trPr>
        <w:tc>
          <w:tcPr>
            <w:tcW w:w="2685" w:type="dxa"/>
            <w:shd w:val="clear" w:color="auto" w:fill="FFFFFF" w:themeFill="background1"/>
            <w:vAlign w:val="center"/>
            <w:hideMark/>
          </w:tcPr>
          <w:p w14:paraId="2D26747C" w14:textId="77777777" w:rsidR="000E3A92" w:rsidRPr="000E3A92" w:rsidRDefault="000E3A92" w:rsidP="000E3A92">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0E3A92">
              <w:rPr>
                <w:rFonts w:ascii="Calibri" w:eastAsia="Times New Roman" w:hAnsi="Calibri" w:cs="Calibri"/>
                <w:b/>
                <w:bCs/>
                <w:kern w:val="0"/>
                <w:lang w:eastAsia="en-AU"/>
                <w14:ligatures w14:val="none"/>
              </w:rPr>
              <w:t>Social / Distributional </w:t>
            </w:r>
          </w:p>
        </w:tc>
        <w:tc>
          <w:tcPr>
            <w:tcW w:w="1980" w:type="dxa"/>
            <w:gridSpan w:val="2"/>
            <w:shd w:val="clear" w:color="auto" w:fill="FFFFFF" w:themeFill="background1"/>
            <w:vAlign w:val="center"/>
            <w:hideMark/>
          </w:tcPr>
          <w:p w14:paraId="374F7285" w14:textId="77777777" w:rsidR="000E3A92" w:rsidRPr="000E3A92" w:rsidRDefault="000E3A92" w:rsidP="000E3A92">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r w:rsidRPr="000E3A92">
              <w:rPr>
                <w:rFonts w:ascii="Segoe UI Emoji" w:eastAsia="Times New Roman" w:hAnsi="Segoe UI Emoji" w:cs="Times New Roman"/>
                <w:kern w:val="0"/>
                <w:lang w:eastAsia="en-AU"/>
                <w14:ligatures w14:val="none"/>
              </w:rPr>
              <w:t>🔴 </w:t>
            </w:r>
          </w:p>
        </w:tc>
        <w:tc>
          <w:tcPr>
            <w:tcW w:w="4680" w:type="dxa"/>
            <w:gridSpan w:val="2"/>
            <w:shd w:val="clear" w:color="auto" w:fill="FFFFFF" w:themeFill="background1"/>
            <w:hideMark/>
          </w:tcPr>
          <w:p w14:paraId="7DE91801" w14:textId="77777777" w:rsidR="000E3A92" w:rsidRPr="000E3A92" w:rsidRDefault="000E3A92" w:rsidP="000E3A92">
            <w:pPr>
              <w:spacing w:after="0" w:line="240" w:lineRule="auto"/>
              <w:textAlignment w:val="baseline"/>
              <w:rPr>
                <w:rFonts w:ascii="Times New Roman" w:eastAsia="Times New Roman" w:hAnsi="Times New Roman" w:cs="Times New Roman"/>
                <w:kern w:val="0"/>
                <w:sz w:val="24"/>
                <w:szCs w:val="24"/>
                <w:lang w:eastAsia="en-AU"/>
                <w14:ligatures w14:val="none"/>
              </w:rPr>
            </w:pPr>
            <w:r w:rsidRPr="000E3A92">
              <w:rPr>
                <w:rFonts w:ascii="Calibri" w:eastAsia="Times New Roman" w:hAnsi="Calibri" w:cs="Calibri"/>
                <w:kern w:val="0"/>
                <w:lang w:eastAsia="en-AU"/>
                <w14:ligatures w14:val="none"/>
              </w:rPr>
              <w:t>Equity gap persists; renters and low-income households unlikely to benefit; affordability pressures remain unaddressed. </w:t>
            </w:r>
          </w:p>
        </w:tc>
      </w:tr>
      <w:tr w:rsidR="000E3A92" w:rsidRPr="000E3A92" w14:paraId="2C6E47C8" w14:textId="77777777" w:rsidTr="004A3AE1">
        <w:trPr>
          <w:trHeight w:val="300"/>
        </w:trPr>
        <w:tc>
          <w:tcPr>
            <w:tcW w:w="2685" w:type="dxa"/>
            <w:shd w:val="clear" w:color="auto" w:fill="F2F2F2" w:themeFill="background1" w:themeFillShade="F2"/>
            <w:vAlign w:val="center"/>
            <w:hideMark/>
          </w:tcPr>
          <w:p w14:paraId="39CE1A84" w14:textId="77777777" w:rsidR="000E3A92" w:rsidRPr="000E3A92" w:rsidRDefault="000E3A92" w:rsidP="000E3A92">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0E3A92">
              <w:rPr>
                <w:rFonts w:ascii="Calibri" w:eastAsia="Times New Roman" w:hAnsi="Calibri" w:cs="Calibri"/>
                <w:b/>
                <w:bCs/>
                <w:kern w:val="0"/>
                <w:lang w:eastAsia="en-AU"/>
                <w14:ligatures w14:val="none"/>
              </w:rPr>
              <w:t>Environmental / System </w:t>
            </w:r>
          </w:p>
        </w:tc>
        <w:tc>
          <w:tcPr>
            <w:tcW w:w="1980" w:type="dxa"/>
            <w:gridSpan w:val="2"/>
            <w:shd w:val="clear" w:color="auto" w:fill="F2F2F2" w:themeFill="background1" w:themeFillShade="F2"/>
            <w:vAlign w:val="center"/>
            <w:hideMark/>
          </w:tcPr>
          <w:p w14:paraId="32DBFF90" w14:textId="77777777" w:rsidR="000E3A92" w:rsidRPr="000E3A92" w:rsidRDefault="000E3A92" w:rsidP="000E3A92">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r w:rsidRPr="000E3A92">
              <w:rPr>
                <w:rFonts w:ascii="Segoe UI Emoji" w:eastAsia="Times New Roman" w:hAnsi="Segoe UI Emoji" w:cs="Times New Roman"/>
                <w:kern w:val="0"/>
                <w:lang w:eastAsia="en-AU"/>
                <w14:ligatures w14:val="none"/>
              </w:rPr>
              <w:t>🔴 </w:t>
            </w:r>
          </w:p>
        </w:tc>
        <w:tc>
          <w:tcPr>
            <w:tcW w:w="4680" w:type="dxa"/>
            <w:gridSpan w:val="2"/>
            <w:shd w:val="clear" w:color="auto" w:fill="F2F2F2" w:themeFill="background1" w:themeFillShade="F2"/>
            <w:hideMark/>
          </w:tcPr>
          <w:p w14:paraId="3CE80756" w14:textId="77777777" w:rsidR="000E3A92" w:rsidRPr="000E3A92" w:rsidRDefault="000E3A92" w:rsidP="000E3A92">
            <w:pPr>
              <w:spacing w:after="0" w:line="240" w:lineRule="auto"/>
              <w:textAlignment w:val="baseline"/>
              <w:rPr>
                <w:rFonts w:ascii="Times New Roman" w:eastAsia="Times New Roman" w:hAnsi="Times New Roman" w:cs="Times New Roman"/>
                <w:kern w:val="0"/>
                <w:sz w:val="24"/>
                <w:szCs w:val="24"/>
                <w:lang w:eastAsia="en-AU"/>
                <w14:ligatures w14:val="none"/>
              </w:rPr>
            </w:pPr>
            <w:r w:rsidRPr="000E3A92">
              <w:rPr>
                <w:rFonts w:ascii="Calibri" w:eastAsia="Times New Roman" w:hAnsi="Calibri" w:cs="Calibri"/>
                <w:kern w:val="0"/>
                <w:lang w:eastAsia="en-AU"/>
                <w14:ligatures w14:val="none"/>
              </w:rPr>
              <w:t>Limited demand shifting; continued curtailment and minimum-demand events; evening ramp pressures remain. </w:t>
            </w:r>
          </w:p>
        </w:tc>
      </w:tr>
      <w:tr w:rsidR="000E3A92" w:rsidRPr="000E3A92" w14:paraId="2FFA3D5E" w14:textId="77777777" w:rsidTr="008D5334">
        <w:trPr>
          <w:trHeight w:val="300"/>
        </w:trPr>
        <w:tc>
          <w:tcPr>
            <w:tcW w:w="2685" w:type="dxa"/>
            <w:shd w:val="clear" w:color="auto" w:fill="FFFFFF" w:themeFill="background1"/>
            <w:vAlign w:val="center"/>
            <w:hideMark/>
          </w:tcPr>
          <w:p w14:paraId="1DC49FD2" w14:textId="77777777" w:rsidR="000E3A92" w:rsidRPr="000E3A92" w:rsidRDefault="000E3A92" w:rsidP="000E3A92">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0E3A92">
              <w:rPr>
                <w:rFonts w:ascii="Calibri" w:eastAsia="Times New Roman" w:hAnsi="Calibri" w:cs="Calibri"/>
                <w:b/>
                <w:bCs/>
                <w:kern w:val="0"/>
                <w:lang w:eastAsia="en-AU"/>
                <w14:ligatures w14:val="none"/>
              </w:rPr>
              <w:t>Regulatory Burden </w:t>
            </w:r>
          </w:p>
        </w:tc>
        <w:tc>
          <w:tcPr>
            <w:tcW w:w="1980" w:type="dxa"/>
            <w:gridSpan w:val="2"/>
            <w:shd w:val="clear" w:color="auto" w:fill="FFFFFF" w:themeFill="background1"/>
            <w:vAlign w:val="center"/>
            <w:hideMark/>
          </w:tcPr>
          <w:p w14:paraId="1B33FECD" w14:textId="77777777" w:rsidR="000E3A92" w:rsidRPr="000E3A92" w:rsidRDefault="000E3A92" w:rsidP="000E3A92">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r w:rsidRPr="000E3A92">
              <w:rPr>
                <w:rFonts w:ascii="Segoe UI Emoji" w:eastAsia="Times New Roman" w:hAnsi="Segoe UI Emoji" w:cs="Times New Roman"/>
                <w:kern w:val="0"/>
                <w:lang w:eastAsia="en-AU"/>
                <w14:ligatures w14:val="none"/>
              </w:rPr>
              <w:t>🟢 </w:t>
            </w:r>
          </w:p>
        </w:tc>
        <w:tc>
          <w:tcPr>
            <w:tcW w:w="4680" w:type="dxa"/>
            <w:gridSpan w:val="2"/>
            <w:shd w:val="clear" w:color="auto" w:fill="FFFFFF" w:themeFill="background1"/>
            <w:hideMark/>
          </w:tcPr>
          <w:p w14:paraId="34C2CB33" w14:textId="77777777" w:rsidR="000E3A92" w:rsidRPr="000E3A92" w:rsidRDefault="000E3A92" w:rsidP="000E3A92">
            <w:pPr>
              <w:spacing w:after="0" w:line="240" w:lineRule="auto"/>
              <w:textAlignment w:val="baseline"/>
              <w:rPr>
                <w:rFonts w:ascii="Times New Roman" w:eastAsia="Times New Roman" w:hAnsi="Times New Roman" w:cs="Times New Roman"/>
                <w:kern w:val="0"/>
                <w:sz w:val="24"/>
                <w:szCs w:val="24"/>
                <w:lang w:eastAsia="en-AU"/>
                <w14:ligatures w14:val="none"/>
              </w:rPr>
            </w:pPr>
            <w:r w:rsidRPr="000E3A92">
              <w:rPr>
                <w:rFonts w:ascii="Calibri" w:eastAsia="Times New Roman" w:hAnsi="Calibri" w:cs="Calibri"/>
                <w:kern w:val="0"/>
                <w:lang w:eastAsia="en-AU"/>
                <w14:ligatures w14:val="none"/>
              </w:rPr>
              <w:t>No additional compliance or implementation costs. </w:t>
            </w:r>
          </w:p>
        </w:tc>
      </w:tr>
      <w:tr w:rsidR="000E3A92" w:rsidRPr="000E3A92" w14:paraId="25113A71" w14:textId="77777777" w:rsidTr="004A3AE1">
        <w:trPr>
          <w:trHeight w:val="300"/>
        </w:trPr>
        <w:tc>
          <w:tcPr>
            <w:tcW w:w="2685" w:type="dxa"/>
            <w:shd w:val="clear" w:color="auto" w:fill="F2F2F2" w:themeFill="background1" w:themeFillShade="F2"/>
            <w:vAlign w:val="center"/>
            <w:hideMark/>
          </w:tcPr>
          <w:p w14:paraId="2E1110D2" w14:textId="77777777" w:rsidR="000E3A92" w:rsidRPr="000E3A92" w:rsidRDefault="000E3A92" w:rsidP="000E3A92">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0E3A92">
              <w:rPr>
                <w:rFonts w:ascii="Calibri" w:eastAsia="Times New Roman" w:hAnsi="Calibri" w:cs="Calibri"/>
                <w:b/>
                <w:bCs/>
                <w:kern w:val="0"/>
                <w:lang w:eastAsia="en-AU"/>
                <w14:ligatures w14:val="none"/>
              </w:rPr>
              <w:t>Overall Net Benefit </w:t>
            </w:r>
          </w:p>
        </w:tc>
        <w:tc>
          <w:tcPr>
            <w:tcW w:w="1980" w:type="dxa"/>
            <w:gridSpan w:val="2"/>
            <w:shd w:val="clear" w:color="auto" w:fill="F2F2F2" w:themeFill="background1" w:themeFillShade="F2"/>
            <w:vAlign w:val="center"/>
            <w:hideMark/>
          </w:tcPr>
          <w:p w14:paraId="5FBF21AD" w14:textId="77777777" w:rsidR="000E3A92" w:rsidRPr="000E3A92" w:rsidRDefault="000E3A92" w:rsidP="000E3A92">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r w:rsidRPr="000E3A92">
              <w:rPr>
                <w:rFonts w:ascii="Segoe UI Emoji" w:eastAsia="Times New Roman" w:hAnsi="Segoe UI Emoji" w:cs="Times New Roman"/>
                <w:kern w:val="0"/>
                <w:lang w:eastAsia="en-AU"/>
                <w14:ligatures w14:val="none"/>
              </w:rPr>
              <w:t>🔴</w:t>
            </w:r>
            <w:r w:rsidRPr="000E3A92">
              <w:rPr>
                <w:rFonts w:ascii="Calibri" w:eastAsia="Times New Roman" w:hAnsi="Calibri" w:cs="Calibri"/>
                <w:kern w:val="0"/>
                <w:lang w:eastAsia="en-AU"/>
                <w14:ligatures w14:val="none"/>
              </w:rPr>
              <w:t> Low–Moderate </w:t>
            </w:r>
          </w:p>
        </w:tc>
        <w:tc>
          <w:tcPr>
            <w:tcW w:w="4680" w:type="dxa"/>
            <w:gridSpan w:val="2"/>
            <w:shd w:val="clear" w:color="auto" w:fill="F2F2F2" w:themeFill="background1" w:themeFillShade="F2"/>
            <w:hideMark/>
          </w:tcPr>
          <w:p w14:paraId="427BDE70" w14:textId="77777777" w:rsidR="000E3A92" w:rsidRPr="000E3A92" w:rsidRDefault="000E3A92" w:rsidP="000E3A92">
            <w:pPr>
              <w:spacing w:after="0" w:line="240" w:lineRule="auto"/>
              <w:textAlignment w:val="baseline"/>
              <w:rPr>
                <w:rFonts w:ascii="Times New Roman" w:eastAsia="Times New Roman" w:hAnsi="Times New Roman" w:cs="Times New Roman"/>
                <w:kern w:val="0"/>
                <w:sz w:val="24"/>
                <w:szCs w:val="24"/>
                <w:lang w:eastAsia="en-AU"/>
                <w14:ligatures w14:val="none"/>
              </w:rPr>
            </w:pPr>
            <w:r w:rsidRPr="000E3A92">
              <w:rPr>
                <w:rFonts w:ascii="Calibri" w:eastAsia="Times New Roman" w:hAnsi="Calibri" w:cs="Calibri"/>
                <w:kern w:val="0"/>
                <w:lang w:eastAsia="en-AU"/>
                <w14:ligatures w14:val="none"/>
              </w:rPr>
              <w:t>Low regulatory cost but fails to address the core structural problem. </w:t>
            </w:r>
          </w:p>
        </w:tc>
      </w:tr>
    </w:tbl>
    <w:p w14:paraId="4C7ABB8B" w14:textId="74644C4B" w:rsidR="000E3A92" w:rsidRPr="004A3AE1" w:rsidRDefault="000E3A92" w:rsidP="004A3AE1">
      <w:pPr>
        <w:spacing w:after="0" w:line="240" w:lineRule="auto"/>
        <w:textAlignment w:val="baseline"/>
        <w:rPr>
          <w:rFonts w:ascii="Segoe UI" w:eastAsia="Times New Roman" w:hAnsi="Segoe UI" w:cs="Segoe UI"/>
          <w:kern w:val="0"/>
          <w:sz w:val="18"/>
          <w:szCs w:val="18"/>
          <w:lang w:eastAsia="en-AU"/>
          <w14:ligatures w14:val="none"/>
        </w:rPr>
      </w:pPr>
      <w:r w:rsidRPr="000E3A92">
        <w:rPr>
          <w:rFonts w:ascii="Aptos" w:eastAsia="Times New Roman" w:hAnsi="Aptos" w:cs="Segoe UI"/>
          <w:kern w:val="0"/>
          <w:lang w:eastAsia="en-AU"/>
          <w14:ligatures w14:val="none"/>
        </w:rPr>
        <w:t> </w:t>
      </w:r>
    </w:p>
    <w:p w14:paraId="34EADCB5" w14:textId="77777777" w:rsidR="003563B9" w:rsidRPr="00B5064E" w:rsidRDefault="003563B9" w:rsidP="007440F2">
      <w:pPr>
        <w:spacing w:before="120"/>
        <w:rPr>
          <w:rFonts w:ascii="Calibri" w:hAnsi="Calibri" w:cs="Calibri"/>
          <w:color w:val="000000" w:themeColor="text1"/>
        </w:rPr>
      </w:pPr>
      <w:r w:rsidRPr="00B5064E">
        <w:rPr>
          <w:rFonts w:ascii="Calibri" w:hAnsi="Calibri" w:cs="Calibri"/>
          <w:color w:val="000000" w:themeColor="text1"/>
        </w:rPr>
        <w:t>Under the status quo, regulatory burden remains minimal and retailers retain full flexibility to innovate. However, benefits are likely to remain uneven and concentrated among engaged or CER-enabled households. Existing voluntary offers vary significantly in availability and design, limiting comparability and weakening the strength of solar-aligned price signals.</w:t>
      </w:r>
    </w:p>
    <w:p w14:paraId="3121E54B" w14:textId="77777777" w:rsidR="003563B9" w:rsidRPr="00B5064E" w:rsidRDefault="003563B9" w:rsidP="003563B9">
      <w:pPr>
        <w:rPr>
          <w:rFonts w:ascii="Calibri" w:hAnsi="Calibri" w:cs="Calibri"/>
          <w:color w:val="000000" w:themeColor="text1"/>
        </w:rPr>
      </w:pPr>
      <w:r w:rsidRPr="00B5064E">
        <w:rPr>
          <w:rFonts w:ascii="Calibri" w:hAnsi="Calibri" w:cs="Calibri"/>
          <w:color w:val="000000" w:themeColor="text1"/>
        </w:rPr>
        <w:t>This option does little to address structural inequities or system misalignment. Minimum-demand events, renewable curtailment and evening peak pressures are likely to persist, and affordability pressures for non-CER households remain largely unaddressed.</w:t>
      </w:r>
    </w:p>
    <w:p w14:paraId="4BEC6418" w14:textId="390C52AA" w:rsidR="003563B9" w:rsidRPr="00B5064E" w:rsidRDefault="003563B9" w:rsidP="003563B9">
      <w:pPr>
        <w:rPr>
          <w:rFonts w:ascii="Calibri" w:hAnsi="Calibri" w:cs="Calibri"/>
          <w:color w:val="000000" w:themeColor="text1"/>
        </w:rPr>
      </w:pPr>
      <w:r w:rsidRPr="00B5064E">
        <w:rPr>
          <w:rFonts w:ascii="Calibri" w:hAnsi="Calibri" w:cs="Calibri"/>
          <w:color w:val="000000" w:themeColor="text1"/>
        </w:rPr>
        <w:t xml:space="preserve">While economically </w:t>
      </w:r>
      <w:r w:rsidR="00FE3A6F" w:rsidRPr="00B5064E">
        <w:rPr>
          <w:rFonts w:ascii="Calibri" w:hAnsi="Calibri" w:cs="Calibri"/>
          <w:color w:val="000000" w:themeColor="text1"/>
        </w:rPr>
        <w:t>low risk</w:t>
      </w:r>
      <w:r w:rsidRPr="00B5064E">
        <w:rPr>
          <w:rFonts w:ascii="Calibri" w:hAnsi="Calibri" w:cs="Calibri"/>
          <w:color w:val="000000" w:themeColor="text1"/>
        </w:rPr>
        <w:t xml:space="preserve"> from a regulatory perspective, the overall net benefit is limited because it does not materially resolve the core problem of inequitable access to solar abundance or system inefficiency.</w:t>
      </w:r>
    </w:p>
    <w:p w14:paraId="7D6A46AF" w14:textId="77777777" w:rsidR="00B57E00" w:rsidRPr="00B5064E" w:rsidRDefault="00E9407A" w:rsidP="001A6A4A">
      <w:pPr>
        <w:pStyle w:val="Heading3"/>
        <w:spacing w:after="120"/>
        <w:rPr>
          <w:rFonts w:ascii="Calibri" w:hAnsi="Calibri" w:cs="Calibri"/>
        </w:rPr>
      </w:pPr>
      <w:bookmarkStart w:id="30" w:name="_Toc222842777"/>
      <w:r w:rsidRPr="00B5064E">
        <w:rPr>
          <w:rFonts w:ascii="Calibri" w:hAnsi="Calibri" w:cs="Calibri"/>
        </w:rPr>
        <w:t>Key Issues with option A0</w:t>
      </w:r>
      <w:bookmarkEnd w:id="30"/>
    </w:p>
    <w:p w14:paraId="0B2AD8C4" w14:textId="383C53DE" w:rsidR="0078710C" w:rsidRPr="00B5064E" w:rsidRDefault="0078710C" w:rsidP="0078710C">
      <w:pPr>
        <w:rPr>
          <w:rFonts w:ascii="Calibri" w:hAnsi="Calibri" w:cs="Calibri"/>
          <w:color w:val="000000" w:themeColor="text1"/>
        </w:rPr>
      </w:pPr>
      <w:r w:rsidRPr="00B5064E">
        <w:rPr>
          <w:rFonts w:ascii="Calibri" w:hAnsi="Calibri" w:cs="Calibri"/>
          <w:color w:val="000000" w:themeColor="text1"/>
        </w:rPr>
        <w:t xml:space="preserve">While a market-led approach preserves flexibility and allows retailers to innovate in response to commercial incentives, </w:t>
      </w:r>
      <w:r w:rsidR="00E214D4" w:rsidRPr="00B5064E">
        <w:rPr>
          <w:rFonts w:ascii="Calibri" w:hAnsi="Calibri" w:cs="Calibri"/>
          <w:color w:val="000000" w:themeColor="text1"/>
        </w:rPr>
        <w:t xml:space="preserve">market research </w:t>
      </w:r>
      <w:r w:rsidRPr="00B5064E">
        <w:rPr>
          <w:rFonts w:ascii="Calibri" w:hAnsi="Calibri" w:cs="Calibri"/>
          <w:color w:val="000000" w:themeColor="text1"/>
        </w:rPr>
        <w:t>indicates that relying solely on voluntary market offers is unlikely to deliver consistent or system-wide outcomes aligned with broader energy transition objectives.</w:t>
      </w:r>
    </w:p>
    <w:p w14:paraId="05CA94DF" w14:textId="77777777" w:rsidR="0078710C" w:rsidRPr="00B5064E" w:rsidRDefault="0078710C" w:rsidP="0078710C">
      <w:pPr>
        <w:rPr>
          <w:rFonts w:ascii="Calibri" w:hAnsi="Calibri" w:cs="Calibri"/>
          <w:color w:val="000000" w:themeColor="text1"/>
        </w:rPr>
      </w:pPr>
      <w:r w:rsidRPr="00B5064E">
        <w:rPr>
          <w:rFonts w:ascii="Calibri" w:hAnsi="Calibri" w:cs="Calibri"/>
          <w:color w:val="000000" w:themeColor="text1"/>
        </w:rPr>
        <w:t>Retail innovation in tariff design has occurred, particularly through Time-of-Use (TOU), demand-based, and “free power” or solar-soaking offers. However, uptake of these products has been limited and uneven across customer segments and jurisdictions. These offers typically require a high degree of consumer engagement, understanding of tariff structures, and access to enabling technologies such as smart meters or automated appliances. As a result, participation tends to be concentrated among more informed or higher-income consumers.</w:t>
      </w:r>
    </w:p>
    <w:p w14:paraId="47BDF54B" w14:textId="77777777" w:rsidR="0078710C" w:rsidRPr="00B5064E" w:rsidRDefault="0078710C" w:rsidP="0078710C">
      <w:pPr>
        <w:rPr>
          <w:rFonts w:ascii="Calibri" w:hAnsi="Calibri" w:cs="Calibri"/>
          <w:color w:val="000000" w:themeColor="text1"/>
        </w:rPr>
      </w:pPr>
      <w:r w:rsidRPr="00B5064E">
        <w:rPr>
          <w:rFonts w:ascii="Calibri" w:hAnsi="Calibri" w:cs="Calibri"/>
          <w:color w:val="000000" w:themeColor="text1"/>
        </w:rPr>
        <w:t>In addition, market offers vary significantly in structure, eligibility requirements, and pricing design. Differences in contract terms, conditional discounts, and bundled pricing make comparison difficult for consumers and limit effective competition on tariff design. This complexity reduces consumer confidence and increases the likelihood that customers remain on legacy or suboptimal tariff structures even where lower-cost consumption opportunities exist.</w:t>
      </w:r>
    </w:p>
    <w:p w14:paraId="5D78269F" w14:textId="77777777" w:rsidR="0078710C" w:rsidRPr="00B5064E" w:rsidRDefault="0078710C" w:rsidP="0078710C">
      <w:pPr>
        <w:rPr>
          <w:rFonts w:ascii="Calibri" w:hAnsi="Calibri" w:cs="Calibri"/>
          <w:color w:val="000000" w:themeColor="text1"/>
        </w:rPr>
      </w:pPr>
      <w:r w:rsidRPr="00B5064E">
        <w:rPr>
          <w:rFonts w:ascii="Calibri" w:hAnsi="Calibri" w:cs="Calibri"/>
          <w:color w:val="000000" w:themeColor="text1"/>
        </w:rPr>
        <w:t xml:space="preserve">From a system perspective, voluntary tariff innovation has not yet delivered price signals at sufficient scale to materially influence aggregate demand patterns. As rooftop solar penetration continues to </w:t>
      </w:r>
      <w:r w:rsidRPr="00B5064E">
        <w:rPr>
          <w:rFonts w:ascii="Calibri" w:hAnsi="Calibri" w:cs="Calibri"/>
          <w:color w:val="000000" w:themeColor="text1"/>
        </w:rPr>
        <w:lastRenderedPageBreak/>
        <w:t>increase, the absence of consistent daytime price signals risks ongoing underutilisation of renewable generation and continued reliance on high-cost evening peak supply.</w:t>
      </w:r>
    </w:p>
    <w:p w14:paraId="3AE356F8" w14:textId="56C024C8" w:rsidR="00E9407A" w:rsidRPr="00B5064E" w:rsidRDefault="0078710C" w:rsidP="0078710C">
      <w:pPr>
        <w:rPr>
          <w:rFonts w:ascii="Calibri" w:hAnsi="Calibri" w:cs="Calibri"/>
          <w:color w:val="000000" w:themeColor="text1"/>
        </w:rPr>
      </w:pPr>
      <w:r w:rsidRPr="00B5064E">
        <w:rPr>
          <w:rFonts w:ascii="Calibri" w:hAnsi="Calibri" w:cs="Calibri"/>
          <w:color w:val="000000" w:themeColor="text1"/>
        </w:rPr>
        <w:t>Furthermore, households without access to distributed energy resources (DER)—including renters, apartment residents, and lower-income households—remain disadvantaged under a purely market-led approach. These customers are less likely to access innovative offers or benefit from existing solar-driven market dynamics, reinforcing existing distributional inequities within the energy system.</w:t>
      </w:r>
    </w:p>
    <w:p w14:paraId="3E8C3472" w14:textId="77777777" w:rsidR="00E9407A" w:rsidRPr="00B5064E" w:rsidRDefault="00E9407A" w:rsidP="001A6A4A">
      <w:pPr>
        <w:pStyle w:val="Heading3"/>
        <w:spacing w:after="120"/>
        <w:rPr>
          <w:rFonts w:ascii="Calibri" w:hAnsi="Calibri" w:cs="Calibri"/>
        </w:rPr>
      </w:pPr>
      <w:bookmarkStart w:id="31" w:name="_Toc222842778"/>
      <w:r w:rsidRPr="00B5064E">
        <w:rPr>
          <w:rFonts w:ascii="Calibri" w:hAnsi="Calibri" w:cs="Calibri"/>
        </w:rPr>
        <w:t>Risks and Limitations</w:t>
      </w:r>
      <w:bookmarkEnd w:id="31"/>
    </w:p>
    <w:p w14:paraId="79E1F5AB" w14:textId="77777777" w:rsidR="00303B7D" w:rsidRPr="00B5064E" w:rsidRDefault="00E9407A" w:rsidP="00CF405C">
      <w:pPr>
        <w:pStyle w:val="ListParagraph"/>
        <w:numPr>
          <w:ilvl w:val="0"/>
          <w:numId w:val="23"/>
        </w:numPr>
        <w:spacing w:before="120" w:after="120"/>
        <w:ind w:left="714" w:hanging="357"/>
        <w:contextualSpacing w:val="0"/>
        <w:rPr>
          <w:rFonts w:ascii="Calibri" w:hAnsi="Calibri" w:cs="Calibri"/>
          <w:color w:val="000000" w:themeColor="text1"/>
        </w:rPr>
      </w:pPr>
      <w:r w:rsidRPr="00B5064E">
        <w:rPr>
          <w:rFonts w:ascii="Calibri" w:hAnsi="Calibri" w:cs="Calibri"/>
          <w:b/>
          <w:bCs/>
          <w:color w:val="000000" w:themeColor="text1"/>
        </w:rPr>
        <w:t>Slow uptake:</w:t>
      </w:r>
      <w:r w:rsidRPr="00B5064E">
        <w:rPr>
          <w:rFonts w:ascii="Calibri" w:hAnsi="Calibri" w:cs="Calibri"/>
          <w:color w:val="000000" w:themeColor="text1"/>
        </w:rPr>
        <w:t xml:space="preserve"> </w:t>
      </w:r>
      <w:r w:rsidR="00303B7D" w:rsidRPr="00B5064E">
        <w:rPr>
          <w:rFonts w:ascii="Calibri" w:hAnsi="Calibri" w:cs="Calibri"/>
          <w:color w:val="000000" w:themeColor="text1"/>
        </w:rPr>
        <w:t>Evidence from existing innovative retail products suggests that adoption is gradual and concentrated among highly engaged consumers. Behavioural barriers, limited awareness, and perceived complexity reduce participation rates. As a result, system-wide demand shifting occurs slowly and may be insufficient to address emerging minimum demand and peak pricing challenges.</w:t>
      </w:r>
    </w:p>
    <w:p w14:paraId="2E128445" w14:textId="176914E0" w:rsidR="005259B7" w:rsidRPr="00B5064E" w:rsidRDefault="00E9407A" w:rsidP="00156D0D">
      <w:pPr>
        <w:numPr>
          <w:ilvl w:val="0"/>
          <w:numId w:val="1"/>
        </w:numPr>
        <w:spacing w:before="120" w:after="120"/>
        <w:ind w:left="714" w:hanging="357"/>
        <w:rPr>
          <w:rFonts w:ascii="Calibri" w:hAnsi="Calibri" w:cs="Calibri"/>
          <w:color w:val="000000" w:themeColor="text1"/>
        </w:rPr>
      </w:pPr>
      <w:r w:rsidRPr="00B5064E">
        <w:rPr>
          <w:rFonts w:ascii="Calibri" w:hAnsi="Calibri" w:cs="Calibri"/>
          <w:b/>
          <w:bCs/>
          <w:color w:val="000000" w:themeColor="text1"/>
        </w:rPr>
        <w:t>Poor comparability:</w:t>
      </w:r>
      <w:r w:rsidRPr="00B5064E">
        <w:rPr>
          <w:rFonts w:ascii="Calibri" w:hAnsi="Calibri" w:cs="Calibri"/>
          <w:color w:val="000000" w:themeColor="text1"/>
        </w:rPr>
        <w:t xml:space="preserve"> </w:t>
      </w:r>
      <w:r w:rsidR="005259B7" w:rsidRPr="00B5064E">
        <w:rPr>
          <w:rFonts w:ascii="Calibri" w:hAnsi="Calibri" w:cs="Calibri"/>
          <w:color w:val="000000" w:themeColor="text1"/>
        </w:rPr>
        <w:t>Market offers incorporating solar soak or free-period structures often differ in duration, eligibility conditions, usage thresholds, and pricing outside the designated window. This variability limits transparency and makes it difficult for consumers to determine whether they will be better off overall. Increased complexity may discourage switching and reduce competitive pressure on retailers to improve offer design.</w:t>
      </w:r>
    </w:p>
    <w:p w14:paraId="5CC1D8C5" w14:textId="4D8FED71" w:rsidR="00E9407A" w:rsidRPr="00B5064E" w:rsidRDefault="00E9407A" w:rsidP="00156D0D">
      <w:pPr>
        <w:numPr>
          <w:ilvl w:val="0"/>
          <w:numId w:val="1"/>
        </w:numPr>
        <w:spacing w:before="120" w:after="120"/>
        <w:ind w:left="714" w:hanging="357"/>
        <w:rPr>
          <w:rFonts w:ascii="Calibri" w:hAnsi="Calibri" w:cs="Calibri"/>
          <w:color w:val="000000" w:themeColor="text1"/>
        </w:rPr>
      </w:pPr>
      <w:r w:rsidRPr="00B5064E">
        <w:rPr>
          <w:rFonts w:ascii="Calibri" w:hAnsi="Calibri" w:cs="Calibri"/>
          <w:b/>
          <w:bCs/>
          <w:color w:val="000000" w:themeColor="text1"/>
        </w:rPr>
        <w:t>Fragmentation:</w:t>
      </w:r>
      <w:r w:rsidRPr="00B5064E">
        <w:rPr>
          <w:rFonts w:ascii="Calibri" w:hAnsi="Calibri" w:cs="Calibri"/>
          <w:color w:val="000000" w:themeColor="text1"/>
        </w:rPr>
        <w:t xml:space="preserve"> </w:t>
      </w:r>
      <w:r w:rsidR="004B361F" w:rsidRPr="00B5064E">
        <w:rPr>
          <w:rFonts w:ascii="Calibri" w:hAnsi="Calibri" w:cs="Calibri"/>
          <w:color w:val="000000" w:themeColor="text1"/>
        </w:rPr>
        <w:t>Tariff innovation has developed inconsistently across regions and retailers, reflecting differences in network tariff structures, smart meter penetration, and commercial strategies. This fragmentation creates unequal access to lower-cost energy opportunities and risks entrenching geographic inequities in customer outcomes</w:t>
      </w:r>
      <w:r w:rsidRPr="00B5064E">
        <w:rPr>
          <w:rFonts w:ascii="Calibri" w:hAnsi="Calibri" w:cs="Calibri"/>
          <w:color w:val="000000" w:themeColor="text1"/>
        </w:rPr>
        <w:t>.</w:t>
      </w:r>
    </w:p>
    <w:p w14:paraId="30F59F5D" w14:textId="77777777" w:rsidR="002A2D82" w:rsidRPr="00B5064E" w:rsidRDefault="00E9407A" w:rsidP="00156D0D">
      <w:pPr>
        <w:numPr>
          <w:ilvl w:val="0"/>
          <w:numId w:val="1"/>
        </w:numPr>
        <w:spacing w:before="120" w:after="120"/>
        <w:ind w:left="714" w:hanging="357"/>
        <w:rPr>
          <w:rFonts w:ascii="Calibri" w:hAnsi="Calibri" w:cs="Calibri"/>
          <w:color w:val="000000" w:themeColor="text1"/>
        </w:rPr>
      </w:pPr>
      <w:r w:rsidRPr="00B5064E">
        <w:rPr>
          <w:rFonts w:ascii="Calibri" w:hAnsi="Calibri" w:cs="Calibri"/>
          <w:b/>
          <w:bCs/>
          <w:color w:val="000000" w:themeColor="text1"/>
        </w:rPr>
        <w:t>Weak incentives:</w:t>
      </w:r>
      <w:r w:rsidRPr="00B5064E">
        <w:rPr>
          <w:rFonts w:ascii="Calibri" w:hAnsi="Calibri" w:cs="Calibri"/>
          <w:color w:val="000000" w:themeColor="text1"/>
        </w:rPr>
        <w:t xml:space="preserve"> </w:t>
      </w:r>
      <w:r w:rsidR="004B361F" w:rsidRPr="00B5064E">
        <w:rPr>
          <w:rFonts w:ascii="Calibri" w:hAnsi="Calibri" w:cs="Calibri"/>
          <w:color w:val="000000" w:themeColor="text1"/>
        </w:rPr>
        <w:t>because voluntary offers are not universally available and often apply to a limited subset of customers, price signals during solar-abundant periods remain weak at a system level. Without broader participation, the market-led approach may fail to materially shift aggregate demand toward periods of high renewable generation, limiting system efficiency gains</w:t>
      </w:r>
      <w:r w:rsidR="002A2D82" w:rsidRPr="00B5064E">
        <w:rPr>
          <w:rFonts w:ascii="Calibri" w:hAnsi="Calibri" w:cs="Calibri"/>
          <w:color w:val="000000" w:themeColor="text1"/>
        </w:rPr>
        <w:t>.</w:t>
      </w:r>
    </w:p>
    <w:p w14:paraId="30A2794F" w14:textId="6D312F53" w:rsidR="002A7C75" w:rsidRPr="00B5064E" w:rsidRDefault="00E9407A" w:rsidP="00156D0D">
      <w:pPr>
        <w:numPr>
          <w:ilvl w:val="0"/>
          <w:numId w:val="1"/>
        </w:numPr>
        <w:spacing w:before="120" w:after="120"/>
        <w:ind w:left="714" w:hanging="357"/>
        <w:rPr>
          <w:rFonts w:ascii="Calibri" w:hAnsi="Calibri" w:cs="Calibri"/>
          <w:color w:val="000000" w:themeColor="text1"/>
        </w:rPr>
      </w:pPr>
      <w:r w:rsidRPr="00B5064E">
        <w:rPr>
          <w:rFonts w:ascii="Calibri" w:hAnsi="Calibri" w:cs="Calibri"/>
          <w:b/>
          <w:bCs/>
          <w:color w:val="000000" w:themeColor="text1"/>
        </w:rPr>
        <w:t>Equity gap:</w:t>
      </w:r>
      <w:r w:rsidRPr="00B5064E">
        <w:rPr>
          <w:rFonts w:ascii="Calibri" w:hAnsi="Calibri" w:cs="Calibri"/>
          <w:color w:val="000000" w:themeColor="text1"/>
        </w:rPr>
        <w:t xml:space="preserve"> </w:t>
      </w:r>
      <w:r w:rsidR="002B343F" w:rsidRPr="00B5064E">
        <w:rPr>
          <w:rFonts w:ascii="Calibri" w:hAnsi="Calibri" w:cs="Calibri"/>
          <w:color w:val="000000" w:themeColor="text1"/>
        </w:rPr>
        <w:t xml:space="preserve">Customers without rooftop solar, batteries, or the ability to actively manage demand continue to face relatively higher effective electricity costs, as they are less able to benefit from low wholesale prices during solar-rich periods. Under a purely market-led framework, tariff innovation increasingly favours households with enabling technologies such as batteries and electric vehicles (EVs), which allow consumers to shift or store energy in response to price signals. These households are better positioned to maximise the value of free or low-cost daytime electricity and avoid higher-cost evening consumption, meaning a disproportionate share of the financial benefits associated with solar-driven pricing dynamics may accrue to higher-income households more likely to own such technologies. Over time, </w:t>
      </w:r>
      <w:r w:rsidR="001109B0" w:rsidRPr="00B5064E">
        <w:rPr>
          <w:rFonts w:ascii="Calibri" w:hAnsi="Calibri" w:cs="Calibri"/>
          <w:color w:val="000000" w:themeColor="text1"/>
        </w:rPr>
        <w:t>these risks</w:t>
      </w:r>
      <w:r w:rsidR="002B343F" w:rsidRPr="00B5064E">
        <w:rPr>
          <w:rFonts w:ascii="Calibri" w:hAnsi="Calibri" w:cs="Calibri"/>
          <w:color w:val="000000" w:themeColor="text1"/>
        </w:rPr>
        <w:t xml:space="preserve"> widening affordability and equity gaps between DER-enabled and non-DER households.</w:t>
      </w:r>
    </w:p>
    <w:p w14:paraId="22EFAB1C" w14:textId="7C46C134" w:rsidR="002A2D82" w:rsidRPr="00B5064E" w:rsidRDefault="00562183" w:rsidP="002A2D82">
      <w:pPr>
        <w:rPr>
          <w:rFonts w:ascii="Calibri" w:hAnsi="Calibri" w:cs="Calibri"/>
          <w:color w:val="000000" w:themeColor="text1"/>
        </w:rPr>
      </w:pPr>
      <w:r w:rsidRPr="00B5064E">
        <w:rPr>
          <w:rFonts w:ascii="Calibri" w:hAnsi="Calibri" w:cs="Calibri"/>
          <w:color w:val="000000" w:themeColor="text1"/>
        </w:rPr>
        <w:t xml:space="preserve">Overall assessment is that </w:t>
      </w:r>
      <w:r w:rsidR="009D4D39" w:rsidRPr="00B5064E">
        <w:rPr>
          <w:rFonts w:ascii="Calibri" w:hAnsi="Calibri" w:cs="Calibri"/>
          <w:color w:val="000000" w:themeColor="text1"/>
        </w:rPr>
        <w:t>the</w:t>
      </w:r>
      <w:r w:rsidR="002A2D82" w:rsidRPr="00B5064E">
        <w:rPr>
          <w:rFonts w:ascii="Calibri" w:hAnsi="Calibri" w:cs="Calibri"/>
          <w:color w:val="000000" w:themeColor="text1"/>
        </w:rPr>
        <w:t xml:space="preserve"> status quo fails to meet government objectives for affordability, equity, transparency, and system efficiency. It is unlikely to materially improve consumer outcomes or reduce system costs over time.</w:t>
      </w:r>
    </w:p>
    <w:p w14:paraId="0A348BB7" w14:textId="77777777" w:rsidR="007907ED" w:rsidRPr="00B5064E" w:rsidRDefault="007907ED">
      <w:pPr>
        <w:rPr>
          <w:rFonts w:ascii="Calibri" w:hAnsi="Calibri" w:cs="Calibri"/>
          <w:color w:val="171717" w:themeColor="background2" w:themeShade="1A"/>
          <w:sz w:val="32"/>
          <w:szCs w:val="32"/>
        </w:rPr>
      </w:pPr>
      <w:r w:rsidRPr="00B5064E">
        <w:rPr>
          <w:rFonts w:ascii="Calibri" w:hAnsi="Calibri" w:cs="Calibri"/>
          <w:color w:val="171717" w:themeColor="background2" w:themeShade="1A"/>
          <w:sz w:val="32"/>
          <w:szCs w:val="32"/>
        </w:rPr>
        <w:br w:type="page"/>
      </w:r>
    </w:p>
    <w:p w14:paraId="50FCAD28" w14:textId="1EC517F3" w:rsidR="00706BB9" w:rsidRPr="00B5064E" w:rsidRDefault="00706BB9" w:rsidP="00767859">
      <w:pPr>
        <w:pStyle w:val="Heading2"/>
        <w:spacing w:after="120"/>
        <w:rPr>
          <w:rFonts w:ascii="Calibri" w:hAnsi="Calibri" w:cs="Calibri"/>
        </w:rPr>
      </w:pPr>
      <w:bookmarkStart w:id="32" w:name="_Toc222842779"/>
      <w:r w:rsidRPr="00B5064E">
        <w:rPr>
          <w:rFonts w:ascii="Calibri" w:hAnsi="Calibri" w:cs="Calibri"/>
        </w:rPr>
        <w:lastRenderedPageBreak/>
        <w:t>Option A</w:t>
      </w:r>
      <w:r w:rsidR="006508E9" w:rsidRPr="00B5064E">
        <w:rPr>
          <w:rFonts w:ascii="Calibri" w:hAnsi="Calibri" w:cs="Calibri"/>
        </w:rPr>
        <w:t>1</w:t>
      </w:r>
      <w:r w:rsidRPr="00B5064E">
        <w:rPr>
          <w:rFonts w:ascii="Calibri" w:hAnsi="Calibri" w:cs="Calibri"/>
        </w:rPr>
        <w:t xml:space="preserve"> – Regulated Solar Sharer Offer through the DMO framework</w:t>
      </w:r>
      <w:bookmarkEnd w:id="32"/>
    </w:p>
    <w:p w14:paraId="532FFC56" w14:textId="33B64883" w:rsidR="007145CF" w:rsidRPr="00B5064E" w:rsidRDefault="00A96AAC" w:rsidP="007145CF">
      <w:pPr>
        <w:rPr>
          <w:rFonts w:ascii="Calibri" w:hAnsi="Calibri" w:cs="Calibri"/>
          <w:color w:val="000000" w:themeColor="text1"/>
        </w:rPr>
      </w:pPr>
      <w:r w:rsidRPr="00B5064E">
        <w:rPr>
          <w:rFonts w:ascii="Calibri" w:hAnsi="Calibri" w:cs="Calibri"/>
          <w:color w:val="000000" w:themeColor="text1"/>
          <w:lang w:val="en-US"/>
        </w:rPr>
        <w:t>Under this option, the government introduces a</w:t>
      </w:r>
      <w:r w:rsidR="00706BB9" w:rsidRPr="00B5064E">
        <w:rPr>
          <w:rFonts w:ascii="Calibri" w:hAnsi="Calibri" w:cs="Calibri"/>
          <w:color w:val="000000" w:themeColor="text1"/>
          <w:lang w:val="en-US"/>
        </w:rPr>
        <w:t xml:space="preserve"> regulated SSO standing offer </w:t>
      </w:r>
      <w:r w:rsidR="00082EB9" w:rsidRPr="00B5064E">
        <w:rPr>
          <w:rFonts w:ascii="Calibri" w:hAnsi="Calibri" w:cs="Calibri"/>
          <w:color w:val="000000" w:themeColor="text1"/>
          <w:lang w:val="en-US"/>
        </w:rPr>
        <w:t>to be</w:t>
      </w:r>
      <w:r w:rsidR="00706BB9" w:rsidRPr="00B5064E">
        <w:rPr>
          <w:rFonts w:ascii="Calibri" w:hAnsi="Calibri" w:cs="Calibri"/>
          <w:color w:val="000000" w:themeColor="text1"/>
          <w:lang w:val="en-US"/>
        </w:rPr>
        <w:t xml:space="preserve"> </w:t>
      </w:r>
      <w:r w:rsidR="00082EB9" w:rsidRPr="00B5064E">
        <w:rPr>
          <w:rFonts w:ascii="Calibri" w:hAnsi="Calibri" w:cs="Calibri"/>
          <w:color w:val="000000" w:themeColor="text1"/>
        </w:rPr>
        <w:t>initially introduced for residential customers in DMO jurisdictions</w:t>
      </w:r>
      <w:r w:rsidR="00706BB9" w:rsidRPr="00B5064E">
        <w:rPr>
          <w:rFonts w:ascii="Calibri" w:hAnsi="Calibri" w:cs="Calibri"/>
          <w:color w:val="000000" w:themeColor="text1"/>
          <w:lang w:val="en-US"/>
        </w:rPr>
        <w:t xml:space="preserve">, </w:t>
      </w:r>
      <w:r w:rsidR="007145CF" w:rsidRPr="00B5064E">
        <w:rPr>
          <w:rFonts w:ascii="Calibri" w:hAnsi="Calibri" w:cs="Calibri"/>
          <w:color w:val="000000" w:themeColor="text1"/>
        </w:rPr>
        <w:t xml:space="preserve">under the </w:t>
      </w:r>
      <w:r w:rsidR="007145CF" w:rsidRPr="00B5064E">
        <w:rPr>
          <w:rFonts w:ascii="Calibri" w:hAnsi="Calibri" w:cs="Calibri"/>
          <w:i/>
          <w:iCs/>
          <w:color w:val="000000" w:themeColor="text1"/>
        </w:rPr>
        <w:t>Competition and Consumer (Industry Code—Electricity Retail) Regulations 2019</w:t>
      </w:r>
      <w:r w:rsidR="007145CF" w:rsidRPr="00B5064E">
        <w:rPr>
          <w:rFonts w:ascii="Calibri" w:hAnsi="Calibri" w:cs="Calibri"/>
          <w:color w:val="000000" w:themeColor="text1"/>
        </w:rPr>
        <w:t xml:space="preserve"> (the Electricity Retail Code).</w:t>
      </w:r>
      <w:r w:rsidR="00082EB9" w:rsidRPr="00B5064E">
        <w:rPr>
          <w:rFonts w:ascii="Calibri" w:hAnsi="Calibri" w:cs="Calibri"/>
          <w:color w:val="000000" w:themeColor="text1"/>
        </w:rPr>
        <w:t xml:space="preserve"> Under this new standing offer tariff</w:t>
      </w:r>
      <w:r w:rsidR="00546E97" w:rsidRPr="00B5064E">
        <w:rPr>
          <w:rFonts w:ascii="Calibri" w:hAnsi="Calibri" w:cs="Calibri"/>
          <w:color w:val="000000" w:themeColor="text1"/>
        </w:rPr>
        <w:t xml:space="preserve"> </w:t>
      </w:r>
      <w:r w:rsidR="00082EB9" w:rsidRPr="00B5064E">
        <w:rPr>
          <w:rFonts w:ascii="Calibri" w:hAnsi="Calibri" w:cs="Calibri"/>
          <w:color w:val="000000" w:themeColor="text1"/>
        </w:rPr>
        <w:t xml:space="preserve">customers would receive a defined 3-hour period each day during which electricity consumption is priced at $0 per kilowatt hour. </w:t>
      </w:r>
    </w:p>
    <w:p w14:paraId="60407D2E" w14:textId="654C8BFA" w:rsidR="00C47E3F" w:rsidRPr="00B5064E" w:rsidRDefault="00706BB9" w:rsidP="00706BB9">
      <w:pPr>
        <w:rPr>
          <w:rFonts w:ascii="Calibri" w:hAnsi="Calibri" w:cs="Calibri"/>
          <w:color w:val="000000" w:themeColor="text1"/>
          <w:lang w:val="en-US"/>
        </w:rPr>
      </w:pPr>
      <w:r w:rsidRPr="00B5064E">
        <w:rPr>
          <w:rFonts w:ascii="Calibri" w:hAnsi="Calibri" w:cs="Calibri"/>
          <w:color w:val="000000" w:themeColor="text1"/>
          <w:lang w:val="en-US"/>
        </w:rPr>
        <w:t>The AER would set key parameters annually, including</w:t>
      </w:r>
      <w:r w:rsidR="00551C7C" w:rsidRPr="00B5064E">
        <w:rPr>
          <w:rFonts w:ascii="Calibri" w:hAnsi="Calibri" w:cs="Calibri"/>
          <w:color w:val="000000" w:themeColor="text1"/>
          <w:lang w:val="en-US"/>
        </w:rPr>
        <w:t>;</w:t>
      </w:r>
    </w:p>
    <w:p w14:paraId="1B88859A" w14:textId="77777777" w:rsidR="00FD67A3" w:rsidRPr="00B5064E" w:rsidRDefault="00FD67A3" w:rsidP="00CF405C">
      <w:pPr>
        <w:pStyle w:val="ListParagraph"/>
        <w:numPr>
          <w:ilvl w:val="0"/>
          <w:numId w:val="21"/>
        </w:numPr>
        <w:spacing w:before="120" w:after="120"/>
        <w:ind w:left="720" w:hanging="357"/>
        <w:contextualSpacing w:val="0"/>
        <w:rPr>
          <w:rFonts w:ascii="Calibri" w:hAnsi="Calibri" w:cs="Calibri"/>
          <w:color w:val="000000" w:themeColor="text1"/>
        </w:rPr>
      </w:pPr>
      <w:r w:rsidRPr="00B5064E">
        <w:rPr>
          <w:rFonts w:ascii="Calibri" w:hAnsi="Calibri" w:cs="Calibri"/>
          <w:color w:val="000000" w:themeColor="text1"/>
        </w:rPr>
        <w:t>determine the SSO tariff structure as part of the DMO process; and</w:t>
      </w:r>
    </w:p>
    <w:p w14:paraId="6C580CAA" w14:textId="77777777" w:rsidR="00FD67A3" w:rsidRPr="00B5064E" w:rsidRDefault="00C73EE3" w:rsidP="00CF405C">
      <w:pPr>
        <w:pStyle w:val="ListParagraph"/>
        <w:numPr>
          <w:ilvl w:val="0"/>
          <w:numId w:val="21"/>
        </w:numPr>
        <w:spacing w:before="120" w:after="120"/>
        <w:ind w:left="720" w:hanging="357"/>
        <w:contextualSpacing w:val="0"/>
        <w:rPr>
          <w:rFonts w:ascii="Calibri" w:hAnsi="Calibri" w:cs="Calibri"/>
          <w:color w:val="000000" w:themeColor="text1"/>
        </w:rPr>
      </w:pPr>
      <w:r w:rsidRPr="00B5064E">
        <w:rPr>
          <w:rFonts w:ascii="Calibri" w:hAnsi="Calibri" w:cs="Calibri"/>
          <w:color w:val="000000" w:themeColor="text1"/>
        </w:rPr>
        <w:t>set the 3-hour free-power period for each distribution network area, considering wholesale market, solar, and network conditions</w:t>
      </w:r>
      <w:r w:rsidR="00706BB9" w:rsidRPr="00B5064E">
        <w:rPr>
          <w:rFonts w:ascii="Calibri" w:hAnsi="Calibri" w:cs="Calibri"/>
          <w:color w:val="000000" w:themeColor="text1"/>
        </w:rPr>
        <w:t xml:space="preserve"> </w:t>
      </w:r>
    </w:p>
    <w:p w14:paraId="387D9D58" w14:textId="1902B8AA" w:rsidR="00FD67A3" w:rsidRPr="00B5064E" w:rsidRDefault="00706BB9" w:rsidP="00CF405C">
      <w:pPr>
        <w:pStyle w:val="ListParagraph"/>
        <w:numPr>
          <w:ilvl w:val="0"/>
          <w:numId w:val="21"/>
        </w:numPr>
        <w:spacing w:before="120" w:after="120"/>
        <w:ind w:left="720" w:hanging="357"/>
        <w:contextualSpacing w:val="0"/>
        <w:rPr>
          <w:rFonts w:ascii="Calibri" w:hAnsi="Calibri" w:cs="Calibri"/>
          <w:color w:val="000000" w:themeColor="text1"/>
        </w:rPr>
      </w:pPr>
      <w:r w:rsidRPr="00B5064E">
        <w:rPr>
          <w:rFonts w:ascii="Calibri" w:hAnsi="Calibri" w:cs="Calibri"/>
          <w:color w:val="000000" w:themeColor="text1"/>
        </w:rPr>
        <w:t xml:space="preserve">the timing </w:t>
      </w:r>
      <w:r w:rsidR="00FB0C0E" w:rsidRPr="00B5064E">
        <w:rPr>
          <w:rFonts w:ascii="Calibri" w:hAnsi="Calibri" w:cs="Calibri"/>
          <w:color w:val="000000" w:themeColor="text1"/>
        </w:rPr>
        <w:t>is consistent within each local distribution network area in a jurisdiction</w:t>
      </w:r>
      <w:r w:rsidR="001A55B9" w:rsidRPr="00B5064E">
        <w:rPr>
          <w:rFonts w:ascii="Calibri" w:hAnsi="Calibri" w:cs="Calibri"/>
          <w:color w:val="000000" w:themeColor="text1"/>
        </w:rPr>
        <w:t>;</w:t>
      </w:r>
    </w:p>
    <w:p w14:paraId="499D4F8D" w14:textId="188B3848" w:rsidR="00FD67A3" w:rsidRPr="00B5064E" w:rsidRDefault="00706BB9" w:rsidP="00CF405C">
      <w:pPr>
        <w:pStyle w:val="ListParagraph"/>
        <w:numPr>
          <w:ilvl w:val="0"/>
          <w:numId w:val="21"/>
        </w:numPr>
        <w:spacing w:before="120" w:after="120"/>
        <w:ind w:left="720" w:hanging="357"/>
        <w:contextualSpacing w:val="0"/>
        <w:rPr>
          <w:rFonts w:ascii="Calibri" w:hAnsi="Calibri" w:cs="Calibri"/>
          <w:color w:val="000000" w:themeColor="text1"/>
        </w:rPr>
      </w:pPr>
      <w:r w:rsidRPr="00B5064E">
        <w:rPr>
          <w:rFonts w:ascii="Calibri" w:hAnsi="Calibri" w:cs="Calibri"/>
          <w:color w:val="000000" w:themeColor="text1"/>
        </w:rPr>
        <w:t>cost</w:t>
      </w:r>
      <w:r w:rsidRPr="00B5064E">
        <w:rPr>
          <w:rFonts w:ascii="Cambria Math" w:hAnsi="Cambria Math" w:cs="Cambria Math"/>
          <w:color w:val="000000" w:themeColor="text1"/>
        </w:rPr>
        <w:t>‑</w:t>
      </w:r>
      <w:r w:rsidRPr="00B5064E">
        <w:rPr>
          <w:rFonts w:ascii="Calibri" w:hAnsi="Calibri" w:cs="Calibri"/>
          <w:color w:val="000000" w:themeColor="text1"/>
        </w:rPr>
        <w:t>recovery settings through DMO prices</w:t>
      </w:r>
      <w:r w:rsidR="00E23383" w:rsidRPr="00B5064E">
        <w:rPr>
          <w:rFonts w:ascii="Calibri" w:hAnsi="Calibri" w:cs="Calibri"/>
          <w:color w:val="000000" w:themeColor="text1"/>
        </w:rPr>
        <w:t>, and</w:t>
      </w:r>
    </w:p>
    <w:p w14:paraId="088BBCB0" w14:textId="1A0A4E7B" w:rsidR="00706BB9" w:rsidRPr="00B5064E" w:rsidRDefault="00A819EA" w:rsidP="00CF405C">
      <w:pPr>
        <w:pStyle w:val="ListParagraph"/>
        <w:numPr>
          <w:ilvl w:val="0"/>
          <w:numId w:val="21"/>
        </w:numPr>
        <w:spacing w:before="120" w:after="120"/>
        <w:ind w:left="720" w:hanging="357"/>
        <w:contextualSpacing w:val="0"/>
        <w:rPr>
          <w:rFonts w:ascii="Calibri" w:hAnsi="Calibri" w:cs="Calibri"/>
          <w:color w:val="000000" w:themeColor="text1"/>
        </w:rPr>
      </w:pPr>
      <w:r w:rsidRPr="00B5064E">
        <w:rPr>
          <w:rFonts w:ascii="Calibri" w:hAnsi="Calibri" w:cs="Calibri"/>
          <w:color w:val="000000" w:themeColor="text1"/>
        </w:rPr>
        <w:t>caps on peak and shoulder usage rates, fixed charges, and cost recovery differentials.</w:t>
      </w:r>
    </w:p>
    <w:p w14:paraId="150FA668" w14:textId="77777777" w:rsidR="00E85FAA" w:rsidRPr="00B5064E" w:rsidRDefault="00E85FAA" w:rsidP="00B57E00">
      <w:pPr>
        <w:pStyle w:val="Heading3"/>
        <w:spacing w:after="120"/>
        <w:rPr>
          <w:rFonts w:ascii="Calibri" w:hAnsi="Calibri" w:cs="Calibri"/>
          <w:i/>
          <w:iCs/>
          <w:sz w:val="24"/>
          <w:szCs w:val="24"/>
        </w:rPr>
      </w:pPr>
      <w:bookmarkStart w:id="33" w:name="_Toc222842780"/>
      <w:r w:rsidRPr="00B5064E">
        <w:rPr>
          <w:rFonts w:ascii="Calibri" w:hAnsi="Calibri" w:cs="Calibri"/>
        </w:rPr>
        <w:t>Rationale for considering this option</w:t>
      </w:r>
      <w:bookmarkEnd w:id="33"/>
    </w:p>
    <w:p w14:paraId="5E207255" w14:textId="244FF3AF" w:rsidR="00E85FAA" w:rsidRPr="00B5064E" w:rsidRDefault="00C7103F" w:rsidP="0091125F">
      <w:pPr>
        <w:rPr>
          <w:rFonts w:ascii="Calibri" w:hAnsi="Calibri" w:cs="Calibri"/>
          <w:color w:val="000000" w:themeColor="text1"/>
          <w:lang w:val="en-US"/>
        </w:rPr>
      </w:pPr>
      <w:r w:rsidRPr="00B5064E">
        <w:rPr>
          <w:rFonts w:ascii="Calibri" w:hAnsi="Calibri" w:cs="Calibri"/>
          <w:color w:val="000000" w:themeColor="text1"/>
        </w:rPr>
        <w:t>A regulated Free</w:t>
      </w:r>
      <w:r w:rsidRPr="00B5064E">
        <w:rPr>
          <w:rFonts w:ascii="Cambria Math" w:hAnsi="Cambria Math" w:cs="Cambria Math"/>
          <w:color w:val="000000" w:themeColor="text1"/>
        </w:rPr>
        <w:t>‑</w:t>
      </w:r>
      <w:r w:rsidRPr="00B5064E">
        <w:rPr>
          <w:rFonts w:ascii="Calibri" w:hAnsi="Calibri" w:cs="Calibri"/>
          <w:color w:val="000000" w:themeColor="text1"/>
        </w:rPr>
        <w:t>Power</w:t>
      </w:r>
      <w:r w:rsidRPr="00B5064E">
        <w:rPr>
          <w:rFonts w:ascii="Cambria Math" w:hAnsi="Cambria Math" w:cs="Cambria Math"/>
          <w:color w:val="000000" w:themeColor="text1"/>
        </w:rPr>
        <w:t>‑</w:t>
      </w:r>
      <w:r w:rsidRPr="00B5064E">
        <w:rPr>
          <w:rFonts w:ascii="Calibri" w:hAnsi="Calibri" w:cs="Calibri"/>
          <w:color w:val="000000" w:themeColor="text1"/>
        </w:rPr>
        <w:t>Period (FPP) offer directly addresses growing concerns in the market that consumers currently lack access to standardised, safe and equitable price signals that reflect periods of highest solar availability. Consultation and analysis show that voluntary, retailer</w:t>
      </w:r>
      <w:r w:rsidRPr="00B5064E">
        <w:rPr>
          <w:rFonts w:ascii="Cambria Math" w:hAnsi="Cambria Math" w:cs="Cambria Math"/>
          <w:color w:val="000000" w:themeColor="text1"/>
        </w:rPr>
        <w:t>‑</w:t>
      </w:r>
      <w:r w:rsidRPr="00B5064E">
        <w:rPr>
          <w:rFonts w:ascii="Calibri" w:hAnsi="Calibri" w:cs="Calibri"/>
          <w:color w:val="000000" w:themeColor="text1"/>
        </w:rPr>
        <w:t>designed free</w:t>
      </w:r>
      <w:r w:rsidRPr="00B5064E">
        <w:rPr>
          <w:rFonts w:ascii="Cambria Math" w:hAnsi="Cambria Math" w:cs="Cambria Math"/>
          <w:color w:val="000000" w:themeColor="text1"/>
        </w:rPr>
        <w:t>‑</w:t>
      </w:r>
      <w:r w:rsidRPr="00B5064E">
        <w:rPr>
          <w:rFonts w:ascii="Calibri" w:hAnsi="Calibri" w:cs="Calibri"/>
          <w:color w:val="000000" w:themeColor="text1"/>
        </w:rPr>
        <w:t>period or solar</w:t>
      </w:r>
      <w:r w:rsidRPr="00B5064E">
        <w:rPr>
          <w:rFonts w:ascii="Cambria Math" w:hAnsi="Cambria Math" w:cs="Cambria Math"/>
          <w:color w:val="000000" w:themeColor="text1"/>
        </w:rPr>
        <w:t>‑</w:t>
      </w:r>
      <w:r w:rsidRPr="00B5064E">
        <w:rPr>
          <w:rFonts w:ascii="Calibri" w:hAnsi="Calibri" w:cs="Calibri"/>
          <w:color w:val="000000" w:themeColor="text1"/>
        </w:rPr>
        <w:t>soaking offers are inconsistent, difficult to compare, and unevenly accessible, limiting their effectiveness and exposing some customers to the risk of unintended bill outcomes</w:t>
      </w:r>
      <w:r w:rsidR="009E7638" w:rsidRPr="00B5064E">
        <w:rPr>
          <w:rFonts w:ascii="Calibri" w:hAnsi="Calibri" w:cs="Calibri"/>
          <w:color w:val="000000" w:themeColor="text1"/>
        </w:rPr>
        <w:t>.</w:t>
      </w:r>
    </w:p>
    <w:p w14:paraId="3CB1DD52" w14:textId="3A9A1434" w:rsidR="009E7638" w:rsidRPr="00B5064E" w:rsidRDefault="009E7638" w:rsidP="009E7638">
      <w:pPr>
        <w:rPr>
          <w:rFonts w:ascii="Calibri" w:hAnsi="Calibri" w:cs="Calibri"/>
          <w:color w:val="000000" w:themeColor="text1"/>
        </w:rPr>
      </w:pPr>
      <w:r w:rsidRPr="00B5064E">
        <w:rPr>
          <w:rFonts w:ascii="Calibri" w:hAnsi="Calibri" w:cs="Calibri"/>
          <w:color w:val="000000" w:themeColor="text1"/>
        </w:rPr>
        <w:t>Introducing a regulated offer fills this gap by establishing a minimum, trusted product that is available to all households with smart meters, underpinned by strong consumer protections and AER</w:t>
      </w:r>
      <w:r w:rsidRPr="00B5064E">
        <w:rPr>
          <w:rFonts w:ascii="Calibri" w:hAnsi="Calibri" w:cs="Calibri"/>
          <w:color w:val="000000" w:themeColor="text1"/>
        </w:rPr>
        <w:noBreakHyphen/>
        <w:t>determined settings that ensure customers who shift load are better off overall. This provides a consistent mechanism for households—particularly those without solar or other CER</w:t>
      </w:r>
      <w:r w:rsidR="00762CC2" w:rsidRPr="00B5064E">
        <w:rPr>
          <w:rFonts w:ascii="Calibri" w:hAnsi="Calibri" w:cs="Calibri"/>
          <w:color w:val="000000" w:themeColor="text1"/>
        </w:rPr>
        <w:t xml:space="preserve"> </w:t>
      </w:r>
      <w:r w:rsidRPr="00B5064E">
        <w:rPr>
          <w:rFonts w:ascii="Calibri" w:hAnsi="Calibri" w:cs="Calibri"/>
          <w:color w:val="000000" w:themeColor="text1"/>
        </w:rPr>
        <w:t xml:space="preserve">to access the benefits of abundant daytime renewable generation in a safe, transparent and equitable way. </w:t>
      </w:r>
    </w:p>
    <w:p w14:paraId="0F0C42E6" w14:textId="77777777" w:rsidR="008B1476" w:rsidRPr="00B5064E" w:rsidRDefault="008B1476" w:rsidP="00B57E00">
      <w:pPr>
        <w:pStyle w:val="Heading3"/>
        <w:spacing w:after="120"/>
        <w:rPr>
          <w:rFonts w:ascii="Calibri" w:hAnsi="Calibri" w:cs="Calibri"/>
          <w:i/>
        </w:rPr>
      </w:pPr>
      <w:bookmarkStart w:id="34" w:name="_Toc222842781"/>
      <w:r w:rsidRPr="00B5064E">
        <w:rPr>
          <w:rFonts w:ascii="Calibri" w:hAnsi="Calibri" w:cs="Calibri"/>
        </w:rPr>
        <w:t>Key features of Option A1</w:t>
      </w:r>
      <w:bookmarkEnd w:id="34"/>
    </w:p>
    <w:p w14:paraId="34296C80" w14:textId="77777777" w:rsidR="00753910" w:rsidRPr="00B5064E" w:rsidRDefault="00753910" w:rsidP="00753910">
      <w:pPr>
        <w:rPr>
          <w:rFonts w:ascii="Calibri" w:hAnsi="Calibri" w:cs="Calibri"/>
        </w:rPr>
      </w:pPr>
      <w:r w:rsidRPr="00B5064E">
        <w:rPr>
          <w:rFonts w:ascii="Calibri" w:hAnsi="Calibri" w:cs="Calibri"/>
        </w:rPr>
        <w:t>Key design features include:</w:t>
      </w:r>
    </w:p>
    <w:p w14:paraId="34343FEB" w14:textId="77777777" w:rsidR="00753910" w:rsidRPr="00B5064E" w:rsidRDefault="00753910" w:rsidP="00156D0D">
      <w:pPr>
        <w:numPr>
          <w:ilvl w:val="0"/>
          <w:numId w:val="7"/>
        </w:numPr>
        <w:spacing w:before="120" w:after="120"/>
        <w:ind w:left="714" w:hanging="357"/>
        <w:rPr>
          <w:rFonts w:ascii="Calibri" w:hAnsi="Calibri" w:cs="Calibri"/>
        </w:rPr>
      </w:pPr>
      <w:r w:rsidRPr="00B5064E">
        <w:rPr>
          <w:rFonts w:ascii="Calibri" w:hAnsi="Calibri" w:cs="Calibri"/>
          <w:b/>
          <w:bCs/>
        </w:rPr>
        <w:t>Zero-cost consumption window</w:t>
      </w:r>
      <w:r w:rsidRPr="00B5064E">
        <w:rPr>
          <w:rFonts w:ascii="Calibri" w:hAnsi="Calibri" w:cs="Calibri"/>
        </w:rPr>
        <w:t>: A three-hour period each day during which electricity consumption is priced at $0 per kilowatt-hour.</w:t>
      </w:r>
    </w:p>
    <w:p w14:paraId="5384F6E8" w14:textId="77777777" w:rsidR="00753910" w:rsidRPr="00B5064E" w:rsidRDefault="00753910" w:rsidP="00156D0D">
      <w:pPr>
        <w:numPr>
          <w:ilvl w:val="0"/>
          <w:numId w:val="7"/>
        </w:numPr>
        <w:spacing w:before="120" w:after="120"/>
        <w:ind w:left="714" w:hanging="357"/>
        <w:rPr>
          <w:rFonts w:ascii="Calibri" w:hAnsi="Calibri" w:cs="Calibri"/>
        </w:rPr>
      </w:pPr>
      <w:r w:rsidRPr="00B5064E">
        <w:rPr>
          <w:rFonts w:ascii="Calibri" w:hAnsi="Calibri" w:cs="Calibri"/>
          <w:b/>
          <w:bCs/>
        </w:rPr>
        <w:t>Timing of the FPP</w:t>
      </w:r>
      <w:r w:rsidRPr="00B5064E">
        <w:rPr>
          <w:rFonts w:ascii="Calibri" w:hAnsi="Calibri" w:cs="Calibri"/>
        </w:rPr>
        <w:t>: Determined annually by the AER for each distribution network area, aligned with periods of high rooftop solar output, low wholesale electricity prices, and supportive network conditions.</w:t>
      </w:r>
    </w:p>
    <w:p w14:paraId="2F0108A2" w14:textId="77777777" w:rsidR="00753910" w:rsidRPr="00B5064E" w:rsidRDefault="00753910" w:rsidP="00156D0D">
      <w:pPr>
        <w:numPr>
          <w:ilvl w:val="0"/>
          <w:numId w:val="7"/>
        </w:numPr>
        <w:spacing w:before="120" w:after="120"/>
        <w:ind w:left="714" w:hanging="357"/>
        <w:rPr>
          <w:rFonts w:ascii="Calibri" w:hAnsi="Calibri" w:cs="Calibri"/>
        </w:rPr>
      </w:pPr>
      <w:r w:rsidRPr="00B5064E">
        <w:rPr>
          <w:rFonts w:ascii="Calibri" w:hAnsi="Calibri" w:cs="Calibri"/>
          <w:b/>
          <w:bCs/>
        </w:rPr>
        <w:t>Participation model</w:t>
      </w:r>
      <w:r w:rsidRPr="00B5064E">
        <w:rPr>
          <w:rFonts w:ascii="Calibri" w:hAnsi="Calibri" w:cs="Calibri"/>
        </w:rPr>
        <w:t>: Opt-in, ensuring households can choose whether to participate based on suitability and capacity to shift load.</w:t>
      </w:r>
    </w:p>
    <w:p w14:paraId="55B50D56" w14:textId="77777777" w:rsidR="00753910" w:rsidRPr="00B5064E" w:rsidRDefault="00753910" w:rsidP="00156D0D">
      <w:pPr>
        <w:numPr>
          <w:ilvl w:val="0"/>
          <w:numId w:val="7"/>
        </w:numPr>
        <w:spacing w:before="120" w:after="120"/>
        <w:ind w:left="714" w:hanging="357"/>
        <w:rPr>
          <w:rFonts w:ascii="Calibri" w:hAnsi="Calibri" w:cs="Calibri"/>
        </w:rPr>
      </w:pPr>
      <w:r w:rsidRPr="00B5064E">
        <w:rPr>
          <w:rFonts w:ascii="Calibri" w:hAnsi="Calibri" w:cs="Calibri"/>
          <w:b/>
          <w:bCs/>
        </w:rPr>
        <w:t>Reasonable-use threshold</w:t>
      </w:r>
      <w:r w:rsidRPr="00B5064E">
        <w:rPr>
          <w:rFonts w:ascii="Calibri" w:hAnsi="Calibri" w:cs="Calibri"/>
        </w:rPr>
        <w:t>: A daily cap of 24 kWh per household, reflecting typical consumption for a five-person household, to limit disproportionate use by CER-enabled customers.</w:t>
      </w:r>
    </w:p>
    <w:p w14:paraId="1DCD77F5" w14:textId="77777777" w:rsidR="00753910" w:rsidRPr="00B5064E" w:rsidRDefault="00753910" w:rsidP="00156D0D">
      <w:pPr>
        <w:numPr>
          <w:ilvl w:val="0"/>
          <w:numId w:val="7"/>
        </w:numPr>
        <w:spacing w:before="120" w:after="120"/>
        <w:ind w:left="714" w:hanging="357"/>
        <w:rPr>
          <w:rFonts w:ascii="Calibri" w:hAnsi="Calibri" w:cs="Calibri"/>
        </w:rPr>
      </w:pPr>
      <w:r w:rsidRPr="00B5064E">
        <w:rPr>
          <w:rFonts w:ascii="Calibri" w:hAnsi="Calibri" w:cs="Calibri"/>
          <w:b/>
          <w:bCs/>
        </w:rPr>
        <w:t>Retailer exemptions</w:t>
      </w:r>
      <w:r w:rsidRPr="00B5064E">
        <w:rPr>
          <w:rFonts w:ascii="Calibri" w:hAnsi="Calibri" w:cs="Calibri"/>
        </w:rPr>
        <w:t>: Retailers with fewer than 1,000 customers are exempt from mandatory participation.</w:t>
      </w:r>
    </w:p>
    <w:p w14:paraId="6E7FB211" w14:textId="77777777" w:rsidR="00753910" w:rsidRPr="00B5064E" w:rsidRDefault="00753910" w:rsidP="00156D0D">
      <w:pPr>
        <w:numPr>
          <w:ilvl w:val="0"/>
          <w:numId w:val="7"/>
        </w:numPr>
        <w:spacing w:before="120" w:after="120"/>
        <w:ind w:left="714" w:hanging="357"/>
        <w:rPr>
          <w:rFonts w:ascii="Calibri" w:hAnsi="Calibri" w:cs="Calibri"/>
        </w:rPr>
      </w:pPr>
      <w:r w:rsidRPr="00B5064E">
        <w:rPr>
          <w:rFonts w:ascii="Calibri" w:hAnsi="Calibri" w:cs="Calibri"/>
          <w:b/>
          <w:bCs/>
        </w:rPr>
        <w:t>Consumer protections</w:t>
      </w:r>
      <w:r w:rsidRPr="00B5064E">
        <w:rPr>
          <w:rFonts w:ascii="Calibri" w:hAnsi="Calibri" w:cs="Calibri"/>
        </w:rPr>
        <w:t>: Full application of the National Energy Customer Framework (NECF) and Electricity Retail Code, with the ACCC responsible for enforcement.</w:t>
      </w:r>
    </w:p>
    <w:p w14:paraId="33DF1BA1" w14:textId="77777777" w:rsidR="00753910" w:rsidRPr="00B5064E" w:rsidRDefault="00753910" w:rsidP="00156D0D">
      <w:pPr>
        <w:numPr>
          <w:ilvl w:val="0"/>
          <w:numId w:val="7"/>
        </w:numPr>
        <w:spacing w:before="120" w:after="120"/>
        <w:ind w:left="714" w:hanging="357"/>
        <w:rPr>
          <w:rFonts w:ascii="Calibri" w:hAnsi="Calibri" w:cs="Calibri"/>
        </w:rPr>
      </w:pPr>
      <w:r w:rsidRPr="00B5064E">
        <w:rPr>
          <w:rFonts w:ascii="Calibri" w:hAnsi="Calibri" w:cs="Calibri"/>
          <w:b/>
          <w:bCs/>
        </w:rPr>
        <w:lastRenderedPageBreak/>
        <w:t>Cost recovery and market oversight</w:t>
      </w:r>
      <w:r w:rsidRPr="00B5064E">
        <w:rPr>
          <w:rFonts w:ascii="Calibri" w:hAnsi="Calibri" w:cs="Calibri"/>
        </w:rPr>
        <w:t>: The AER determines non-free-period tariff rates to allow efficient cost recovery and publishes the SSO parameters in the annual DMO process.</w:t>
      </w:r>
    </w:p>
    <w:p w14:paraId="68B8904B" w14:textId="269F3CDD" w:rsidR="0092173D" w:rsidRPr="00B5064E" w:rsidRDefault="00753910" w:rsidP="00156D0D">
      <w:pPr>
        <w:numPr>
          <w:ilvl w:val="0"/>
          <w:numId w:val="7"/>
        </w:numPr>
        <w:spacing w:before="120" w:after="120"/>
        <w:ind w:left="714" w:hanging="357"/>
        <w:rPr>
          <w:rFonts w:ascii="Calibri" w:hAnsi="Calibri" w:cs="Calibri"/>
        </w:rPr>
      </w:pPr>
      <w:r w:rsidRPr="00B5064E">
        <w:rPr>
          <w:rFonts w:ascii="Calibri" w:hAnsi="Calibri" w:cs="Calibri"/>
          <w:b/>
          <w:bCs/>
        </w:rPr>
        <w:t>Post-implementation review</w:t>
      </w:r>
      <w:r w:rsidRPr="00B5064E">
        <w:rPr>
          <w:rFonts w:ascii="Calibri" w:hAnsi="Calibri" w:cs="Calibri"/>
        </w:rPr>
        <w:t>: Mandatory review two years after implementation to assess uptake, bill impacts, distributional effects, system efficiency, and adequacy of safeguards.</w:t>
      </w:r>
    </w:p>
    <w:p w14:paraId="5E36B1B7" w14:textId="77777777" w:rsidR="008B1476" w:rsidRPr="00B5064E" w:rsidRDefault="008B1476" w:rsidP="00B57E00">
      <w:pPr>
        <w:pStyle w:val="Heading3"/>
        <w:spacing w:after="120"/>
        <w:rPr>
          <w:rFonts w:ascii="Calibri" w:hAnsi="Calibri" w:cs="Calibri"/>
        </w:rPr>
      </w:pPr>
      <w:bookmarkStart w:id="35" w:name="_Toc222842782"/>
      <w:r w:rsidRPr="00B5064E">
        <w:rPr>
          <w:rFonts w:ascii="Calibri" w:hAnsi="Calibri" w:cs="Calibri"/>
        </w:rPr>
        <w:t>How the design principles guide this option</w:t>
      </w:r>
      <w:bookmarkEnd w:id="35"/>
    </w:p>
    <w:p w14:paraId="5F7A3531" w14:textId="77777777" w:rsidR="008B1476" w:rsidRPr="00B5064E" w:rsidRDefault="008B1476" w:rsidP="00CF405C">
      <w:pPr>
        <w:pStyle w:val="ListParagraph"/>
        <w:numPr>
          <w:ilvl w:val="0"/>
          <w:numId w:val="22"/>
        </w:numPr>
        <w:spacing w:before="120" w:after="120"/>
        <w:ind w:left="714" w:hanging="357"/>
        <w:contextualSpacing w:val="0"/>
        <w:rPr>
          <w:rFonts w:ascii="Calibri" w:hAnsi="Calibri" w:cs="Calibri"/>
        </w:rPr>
      </w:pPr>
      <w:r w:rsidRPr="00B5064E">
        <w:rPr>
          <w:rFonts w:ascii="Calibri" w:hAnsi="Calibri" w:cs="Calibri"/>
        </w:rPr>
        <w:t>Principle 1 (Bill savings): ensures consumers who shift load are better off overall.</w:t>
      </w:r>
    </w:p>
    <w:p w14:paraId="5CADF799" w14:textId="77777777" w:rsidR="008B1476" w:rsidRPr="00B5064E" w:rsidRDefault="008B1476" w:rsidP="00CF405C">
      <w:pPr>
        <w:pStyle w:val="ListParagraph"/>
        <w:numPr>
          <w:ilvl w:val="0"/>
          <w:numId w:val="22"/>
        </w:numPr>
        <w:spacing w:before="120" w:after="120"/>
        <w:ind w:left="714" w:hanging="357"/>
        <w:contextualSpacing w:val="0"/>
        <w:rPr>
          <w:rFonts w:ascii="Calibri" w:hAnsi="Calibri" w:cs="Calibri"/>
        </w:rPr>
      </w:pPr>
      <w:r w:rsidRPr="00B5064E">
        <w:rPr>
          <w:rFonts w:ascii="Calibri" w:hAnsi="Calibri" w:cs="Calibri"/>
        </w:rPr>
        <w:t>Principle 2 (System efficiency): aligns the free</w:t>
      </w:r>
      <w:r w:rsidRPr="00B5064E">
        <w:rPr>
          <w:rFonts w:ascii="Calibri" w:hAnsi="Calibri" w:cs="Calibri"/>
        </w:rPr>
        <w:noBreakHyphen/>
        <w:t>power window with low</w:t>
      </w:r>
      <w:r w:rsidRPr="00B5064E">
        <w:rPr>
          <w:rFonts w:ascii="Calibri" w:hAnsi="Calibri" w:cs="Calibri"/>
        </w:rPr>
        <w:noBreakHyphen/>
        <w:t>cost periods.</w:t>
      </w:r>
    </w:p>
    <w:p w14:paraId="1900813A" w14:textId="77777777" w:rsidR="008B1476" w:rsidRPr="00B5064E" w:rsidRDefault="008B1476" w:rsidP="00CF405C">
      <w:pPr>
        <w:pStyle w:val="ListParagraph"/>
        <w:numPr>
          <w:ilvl w:val="0"/>
          <w:numId w:val="22"/>
        </w:numPr>
        <w:spacing w:before="120" w:after="120"/>
        <w:ind w:left="714" w:hanging="357"/>
        <w:contextualSpacing w:val="0"/>
        <w:rPr>
          <w:rFonts w:ascii="Calibri" w:hAnsi="Calibri" w:cs="Calibri"/>
        </w:rPr>
      </w:pPr>
      <w:r w:rsidRPr="00B5064E">
        <w:rPr>
          <w:rFonts w:ascii="Calibri" w:hAnsi="Calibri" w:cs="Calibri"/>
        </w:rPr>
        <w:t>Principle 3 (Local flexibility): AER sets timing for each distribution zone.</w:t>
      </w:r>
    </w:p>
    <w:p w14:paraId="436A3CFA" w14:textId="77777777" w:rsidR="008B1476" w:rsidRPr="00B5064E" w:rsidRDefault="008B1476" w:rsidP="00CF405C">
      <w:pPr>
        <w:pStyle w:val="ListParagraph"/>
        <w:numPr>
          <w:ilvl w:val="0"/>
          <w:numId w:val="22"/>
        </w:numPr>
        <w:spacing w:before="120" w:after="120"/>
        <w:ind w:left="714" w:hanging="357"/>
        <w:contextualSpacing w:val="0"/>
        <w:rPr>
          <w:rFonts w:ascii="Calibri" w:hAnsi="Calibri" w:cs="Calibri"/>
        </w:rPr>
      </w:pPr>
      <w:r w:rsidRPr="00B5064E">
        <w:rPr>
          <w:rFonts w:ascii="Calibri" w:hAnsi="Calibri" w:cs="Calibri"/>
        </w:rPr>
        <w:t>Principle 4 (Retailer viability): provides efficient cost</w:t>
      </w:r>
      <w:r w:rsidRPr="00B5064E">
        <w:rPr>
          <w:rFonts w:ascii="Calibri" w:hAnsi="Calibri" w:cs="Calibri"/>
        </w:rPr>
        <w:noBreakHyphen/>
        <w:t>recovery settings.</w:t>
      </w:r>
    </w:p>
    <w:p w14:paraId="5DB2116B" w14:textId="77777777" w:rsidR="008B1476" w:rsidRPr="00B5064E" w:rsidRDefault="008B1476" w:rsidP="00CF405C">
      <w:pPr>
        <w:pStyle w:val="ListParagraph"/>
        <w:numPr>
          <w:ilvl w:val="0"/>
          <w:numId w:val="22"/>
        </w:numPr>
        <w:spacing w:before="120" w:after="120"/>
        <w:ind w:left="714" w:hanging="357"/>
        <w:contextualSpacing w:val="0"/>
        <w:rPr>
          <w:rFonts w:ascii="Calibri" w:hAnsi="Calibri" w:cs="Calibri"/>
        </w:rPr>
      </w:pPr>
      <w:r w:rsidRPr="00B5064E">
        <w:rPr>
          <w:rFonts w:ascii="Calibri" w:hAnsi="Calibri" w:cs="Calibri"/>
        </w:rPr>
        <w:t>Principle 5 (Reasonable use cap): prevents misuse and protects equity.</w:t>
      </w:r>
    </w:p>
    <w:p w14:paraId="13532478" w14:textId="77777777" w:rsidR="008B1476" w:rsidRPr="00B5064E" w:rsidRDefault="008B1476" w:rsidP="00CF405C">
      <w:pPr>
        <w:pStyle w:val="ListParagraph"/>
        <w:numPr>
          <w:ilvl w:val="0"/>
          <w:numId w:val="22"/>
        </w:numPr>
        <w:spacing w:before="120" w:after="120"/>
        <w:ind w:left="714" w:hanging="357"/>
        <w:contextualSpacing w:val="0"/>
        <w:rPr>
          <w:rFonts w:ascii="Calibri" w:hAnsi="Calibri" w:cs="Calibri"/>
        </w:rPr>
      </w:pPr>
      <w:r w:rsidRPr="00B5064E">
        <w:rPr>
          <w:rFonts w:ascii="Calibri" w:hAnsi="Calibri" w:cs="Calibri"/>
        </w:rPr>
        <w:t>Principle 6 (Adaptability): enables refinement over time.</w:t>
      </w:r>
    </w:p>
    <w:p w14:paraId="780BB7DE" w14:textId="77777777" w:rsidR="00D31501" w:rsidRPr="00B5064E" w:rsidRDefault="00D31501" w:rsidP="00B57E00">
      <w:pPr>
        <w:pStyle w:val="Heading3"/>
        <w:spacing w:after="120"/>
        <w:rPr>
          <w:rFonts w:ascii="Calibri" w:hAnsi="Calibri" w:cs="Calibri"/>
          <w:i/>
        </w:rPr>
      </w:pPr>
      <w:bookmarkStart w:id="36" w:name="_Toc222842783"/>
      <w:r w:rsidRPr="00B5064E">
        <w:rPr>
          <w:rFonts w:ascii="Calibri" w:hAnsi="Calibri" w:cs="Calibri"/>
        </w:rPr>
        <w:t>Some of the expected benefits of SSO are:</w:t>
      </w:r>
      <w:bookmarkEnd w:id="36"/>
    </w:p>
    <w:p w14:paraId="5093183D" w14:textId="2DEBE908" w:rsidR="00B65D9E" w:rsidRPr="00B5064E" w:rsidRDefault="009059F8" w:rsidP="00156D0D">
      <w:pPr>
        <w:numPr>
          <w:ilvl w:val="0"/>
          <w:numId w:val="2"/>
        </w:numPr>
        <w:spacing w:before="120" w:after="120"/>
        <w:ind w:left="714" w:hanging="357"/>
        <w:rPr>
          <w:rFonts w:ascii="Calibri" w:hAnsi="Calibri" w:cs="Calibri"/>
          <w:b/>
          <w:bCs/>
          <w:color w:val="000000" w:themeColor="text1"/>
        </w:rPr>
      </w:pPr>
      <w:r w:rsidRPr="00B5064E">
        <w:rPr>
          <w:rFonts w:ascii="Calibri" w:hAnsi="Calibri" w:cs="Calibri"/>
          <w:b/>
          <w:bCs/>
          <w:color w:val="000000" w:themeColor="text1"/>
        </w:rPr>
        <w:t>Bill savings and lower electricity prices for all households</w:t>
      </w:r>
      <w:r w:rsidR="00254D5D" w:rsidRPr="00B5064E">
        <w:rPr>
          <w:rFonts w:ascii="Calibri" w:hAnsi="Calibri" w:cs="Calibri"/>
          <w:b/>
          <w:bCs/>
          <w:color w:val="000000" w:themeColor="text1"/>
        </w:rPr>
        <w:t xml:space="preserve">: </w:t>
      </w:r>
      <w:r w:rsidR="00254D5D" w:rsidRPr="00B5064E">
        <w:rPr>
          <w:rFonts w:ascii="Calibri" w:hAnsi="Calibri" w:cs="Calibri"/>
          <w:color w:val="000000" w:themeColor="text1"/>
        </w:rPr>
        <w:t>SSO</w:t>
      </w:r>
      <w:r w:rsidRPr="00B5064E">
        <w:rPr>
          <w:rFonts w:ascii="Calibri" w:hAnsi="Calibri" w:cs="Calibri"/>
          <w:b/>
          <w:bCs/>
          <w:color w:val="000000" w:themeColor="text1"/>
        </w:rPr>
        <w:t xml:space="preserve"> </w:t>
      </w:r>
      <w:r w:rsidR="00254D5D" w:rsidRPr="00B5064E">
        <w:rPr>
          <w:rFonts w:ascii="Calibri" w:hAnsi="Calibri" w:cs="Calibri"/>
        </w:rPr>
        <w:t xml:space="preserve">would contribute to easing current cost of living pressures. Potential benefits for households may vary by jurisdiction, CER </w:t>
      </w:r>
      <w:r w:rsidR="00254D5D" w:rsidRPr="00B5064E">
        <w:rPr>
          <w:rFonts w:ascii="Calibri" w:hAnsi="Calibri" w:cs="Calibri"/>
          <w:color w:val="000000" w:themeColor="text1"/>
        </w:rPr>
        <w:t>uptake</w:t>
      </w:r>
      <w:r w:rsidR="00254D5D" w:rsidRPr="00B5064E">
        <w:rPr>
          <w:rFonts w:ascii="Calibri" w:hAnsi="Calibri" w:cs="Calibri"/>
        </w:rPr>
        <w:t>, the ability of customers to load-shift and energy consumption levels. A shift in energy usage to the free power period away from higher-cost peak and shoulder periods could also result in lower electricity bills for all households</w:t>
      </w:r>
      <w:r w:rsidR="00190E05" w:rsidRPr="00B5064E">
        <w:rPr>
          <w:rFonts w:ascii="Calibri" w:hAnsi="Calibri" w:cs="Calibri"/>
        </w:rPr>
        <w:t>. For example</w:t>
      </w:r>
      <w:r w:rsidR="007907ED" w:rsidRPr="00B5064E">
        <w:rPr>
          <w:rFonts w:ascii="Calibri" w:hAnsi="Calibri" w:cs="Calibri"/>
        </w:rPr>
        <w:t>:</w:t>
      </w:r>
    </w:p>
    <w:p w14:paraId="2998986A" w14:textId="0D6273B9" w:rsidR="00BC5A84" w:rsidRPr="00B5064E" w:rsidRDefault="00BC5A84" w:rsidP="003B5A59">
      <w:pPr>
        <w:spacing w:before="120" w:after="0"/>
        <w:rPr>
          <w:rFonts w:ascii="Calibri" w:hAnsi="Calibri" w:cs="Calibri"/>
          <w:b/>
          <w:bCs/>
          <w:color w:val="000000" w:themeColor="text1"/>
          <w:sz w:val="20"/>
          <w:szCs w:val="20"/>
        </w:rPr>
      </w:pPr>
      <w:r w:rsidRPr="00B5064E">
        <w:rPr>
          <w:rFonts w:ascii="Calibri" w:eastAsia="Times New Roman" w:hAnsi="Calibri" w:cs="Calibri"/>
          <w:i/>
          <w:iCs/>
          <w:sz w:val="20"/>
          <w:szCs w:val="20"/>
        </w:rPr>
        <w:t xml:space="preserve">Table </w:t>
      </w:r>
      <w:r w:rsidR="009A7ECF">
        <w:rPr>
          <w:rFonts w:ascii="Calibri" w:eastAsia="Times New Roman" w:hAnsi="Calibri" w:cs="Calibri"/>
          <w:i/>
          <w:iCs/>
          <w:sz w:val="20"/>
          <w:szCs w:val="20"/>
        </w:rPr>
        <w:t>3</w:t>
      </w:r>
      <w:r w:rsidRPr="00B5064E">
        <w:rPr>
          <w:rFonts w:ascii="Calibri" w:eastAsia="Times New Roman" w:hAnsi="Calibri" w:cs="Calibri"/>
          <w:i/>
          <w:iCs/>
          <w:sz w:val="20"/>
          <w:szCs w:val="20"/>
        </w:rPr>
        <w:t>: Load Shift Scenario</w:t>
      </w:r>
    </w:p>
    <w:tbl>
      <w:tblPr>
        <w:tblStyle w:val="SynergiesTable"/>
        <w:tblW w:w="5000" w:type="pct"/>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965"/>
        <w:gridCol w:w="2386"/>
        <w:gridCol w:w="2245"/>
        <w:gridCol w:w="2806"/>
      </w:tblGrid>
      <w:tr w:rsidR="0080314F" w:rsidRPr="00B5064E" w14:paraId="1BD15161" w14:textId="77777777" w:rsidTr="00F958BE">
        <w:trPr>
          <w:cnfStyle w:val="100000000000" w:firstRow="1" w:lastRow="0" w:firstColumn="0" w:lastColumn="0" w:oddVBand="0" w:evenVBand="0" w:oddHBand="0" w:evenHBand="0" w:firstRowFirstColumn="0" w:firstRowLastColumn="0" w:lastRowFirstColumn="0" w:lastRowLastColumn="0"/>
          <w:trHeight w:val="1012"/>
        </w:trPr>
        <w:tc>
          <w:tcPr>
            <w:tcW w:w="1045" w:type="pct"/>
            <w:tcBorders>
              <w:bottom w:val="nil"/>
            </w:tcBorders>
            <w:vAlign w:val="center"/>
            <w:hideMark/>
          </w:tcPr>
          <w:p w14:paraId="1C7566C3" w14:textId="77777777" w:rsidR="0080314F" w:rsidRPr="00B5064E" w:rsidRDefault="0080314F" w:rsidP="0080314F">
            <w:pPr>
              <w:jc w:val="center"/>
              <w:rPr>
                <w:rFonts w:ascii="Calibri" w:eastAsia="Times New Roman" w:hAnsi="Calibri" w:cs="Calibri"/>
                <w:b/>
                <w:bCs/>
                <w:sz w:val="22"/>
              </w:rPr>
            </w:pPr>
            <w:r w:rsidRPr="00B5064E">
              <w:rPr>
                <w:rFonts w:ascii="Calibri" w:eastAsia="Times New Roman" w:hAnsi="Calibri" w:cs="Calibri"/>
                <w:b/>
                <w:bCs/>
                <w:sz w:val="22"/>
              </w:rPr>
              <w:t>Load Shift Scenario</w:t>
            </w:r>
          </w:p>
        </w:tc>
        <w:tc>
          <w:tcPr>
            <w:tcW w:w="1269" w:type="pct"/>
            <w:tcBorders>
              <w:bottom w:val="nil"/>
            </w:tcBorders>
            <w:vAlign w:val="center"/>
            <w:hideMark/>
          </w:tcPr>
          <w:p w14:paraId="5EF40FD2" w14:textId="77777777" w:rsidR="0080314F" w:rsidRPr="00B5064E" w:rsidRDefault="0080314F" w:rsidP="0080314F">
            <w:pPr>
              <w:jc w:val="center"/>
              <w:rPr>
                <w:rFonts w:ascii="Calibri" w:eastAsia="Times New Roman" w:hAnsi="Calibri" w:cs="Calibri"/>
                <w:b/>
                <w:bCs/>
                <w:sz w:val="22"/>
              </w:rPr>
            </w:pPr>
            <w:r w:rsidRPr="00B5064E">
              <w:rPr>
                <w:rFonts w:ascii="Calibri" w:eastAsia="Times New Roman" w:hAnsi="Calibri" w:cs="Calibri"/>
                <w:b/>
                <w:bCs/>
                <w:sz w:val="22"/>
              </w:rPr>
              <w:t>Approximate Share of Daily Consumption Shifted</w:t>
            </w:r>
          </w:p>
        </w:tc>
        <w:tc>
          <w:tcPr>
            <w:tcW w:w="1194" w:type="pct"/>
            <w:tcBorders>
              <w:bottom w:val="nil"/>
            </w:tcBorders>
            <w:vAlign w:val="center"/>
            <w:hideMark/>
          </w:tcPr>
          <w:p w14:paraId="540FC1FB" w14:textId="77777777" w:rsidR="0080314F" w:rsidRPr="00B5064E" w:rsidRDefault="0080314F" w:rsidP="0080314F">
            <w:pPr>
              <w:jc w:val="center"/>
              <w:rPr>
                <w:rFonts w:ascii="Calibri" w:eastAsia="Times New Roman" w:hAnsi="Calibri" w:cs="Calibri"/>
                <w:b/>
                <w:bCs/>
                <w:sz w:val="22"/>
              </w:rPr>
            </w:pPr>
            <w:r w:rsidRPr="00B5064E">
              <w:rPr>
                <w:rFonts w:ascii="Calibri" w:eastAsia="Times New Roman" w:hAnsi="Calibri" w:cs="Calibri"/>
                <w:b/>
                <w:bCs/>
                <w:sz w:val="22"/>
              </w:rPr>
              <w:t>Representative Single-Person Household</w:t>
            </w:r>
          </w:p>
        </w:tc>
        <w:tc>
          <w:tcPr>
            <w:tcW w:w="1492" w:type="pct"/>
            <w:tcBorders>
              <w:bottom w:val="nil"/>
            </w:tcBorders>
            <w:vAlign w:val="center"/>
            <w:hideMark/>
          </w:tcPr>
          <w:p w14:paraId="7B919A17" w14:textId="77777777" w:rsidR="0080314F" w:rsidRPr="00B5064E" w:rsidRDefault="0080314F" w:rsidP="0080314F">
            <w:pPr>
              <w:rPr>
                <w:rFonts w:ascii="Calibri" w:eastAsia="Times New Roman" w:hAnsi="Calibri" w:cs="Calibri"/>
                <w:b/>
                <w:bCs/>
                <w:sz w:val="22"/>
              </w:rPr>
            </w:pPr>
            <w:r w:rsidRPr="00B5064E">
              <w:rPr>
                <w:rFonts w:ascii="Calibri" w:eastAsia="Times New Roman" w:hAnsi="Calibri" w:cs="Calibri"/>
                <w:b/>
                <w:bCs/>
                <w:sz w:val="22"/>
              </w:rPr>
              <w:t>Representative Five-Person Household</w:t>
            </w:r>
          </w:p>
        </w:tc>
      </w:tr>
      <w:tr w:rsidR="0080314F" w:rsidRPr="00B5064E" w14:paraId="2C9F00B7" w14:textId="77777777" w:rsidTr="00F958BE">
        <w:trPr>
          <w:trHeight w:val="253"/>
        </w:trPr>
        <w:tc>
          <w:tcPr>
            <w:tcW w:w="1045" w:type="pct"/>
            <w:tcBorders>
              <w:top w:val="nil"/>
              <w:left w:val="nil"/>
              <w:bottom w:val="nil"/>
              <w:right w:val="nil"/>
            </w:tcBorders>
            <w:vAlign w:val="center"/>
            <w:hideMark/>
          </w:tcPr>
          <w:p w14:paraId="482BB4CE" w14:textId="77777777" w:rsidR="0080314F" w:rsidRPr="00B5064E" w:rsidRDefault="0080314F" w:rsidP="00B57E00">
            <w:pPr>
              <w:spacing w:before="120" w:after="120"/>
              <w:rPr>
                <w:rFonts w:ascii="Calibri" w:eastAsia="Times New Roman" w:hAnsi="Calibri" w:cs="Calibri"/>
                <w:sz w:val="22"/>
              </w:rPr>
            </w:pPr>
            <w:r w:rsidRPr="00B5064E">
              <w:rPr>
                <w:rFonts w:ascii="Calibri" w:eastAsia="Times New Roman" w:hAnsi="Calibri" w:cs="Calibri"/>
                <w:b/>
                <w:bCs/>
                <w:sz w:val="22"/>
              </w:rPr>
              <w:t>Small Shift</w:t>
            </w:r>
          </w:p>
        </w:tc>
        <w:tc>
          <w:tcPr>
            <w:tcW w:w="1269" w:type="pct"/>
            <w:tcBorders>
              <w:top w:val="nil"/>
              <w:left w:val="nil"/>
              <w:bottom w:val="nil"/>
              <w:right w:val="nil"/>
            </w:tcBorders>
            <w:vAlign w:val="center"/>
            <w:hideMark/>
          </w:tcPr>
          <w:p w14:paraId="4FC41003" w14:textId="77777777" w:rsidR="0080314F" w:rsidRPr="00B5064E" w:rsidRDefault="0080314F" w:rsidP="00B57E00">
            <w:pPr>
              <w:pStyle w:val="ListParagraph"/>
              <w:spacing w:before="120" w:after="120"/>
              <w:rPr>
                <w:rFonts w:ascii="Calibri" w:eastAsia="Times New Roman" w:hAnsi="Calibri" w:cs="Calibri"/>
                <w:sz w:val="22"/>
              </w:rPr>
            </w:pPr>
            <w:r w:rsidRPr="00B5064E">
              <w:rPr>
                <w:rFonts w:ascii="Calibri" w:eastAsia="Times New Roman" w:hAnsi="Calibri" w:cs="Calibri"/>
                <w:sz w:val="22"/>
              </w:rPr>
              <w:t>~10%</w:t>
            </w:r>
          </w:p>
        </w:tc>
        <w:tc>
          <w:tcPr>
            <w:tcW w:w="1194" w:type="pct"/>
            <w:tcBorders>
              <w:top w:val="nil"/>
              <w:left w:val="nil"/>
              <w:bottom w:val="nil"/>
              <w:right w:val="nil"/>
            </w:tcBorders>
            <w:vAlign w:val="center"/>
            <w:hideMark/>
          </w:tcPr>
          <w:p w14:paraId="2FA72060" w14:textId="77777777" w:rsidR="0080314F" w:rsidRPr="00B5064E" w:rsidRDefault="0080314F" w:rsidP="00B57E00">
            <w:pPr>
              <w:spacing w:before="120" w:after="120"/>
              <w:rPr>
                <w:rFonts w:ascii="Calibri" w:eastAsia="Times New Roman" w:hAnsi="Calibri" w:cs="Calibri"/>
                <w:sz w:val="22"/>
              </w:rPr>
            </w:pPr>
            <w:r w:rsidRPr="00B5064E">
              <w:rPr>
                <w:rFonts w:ascii="Calibri" w:eastAsia="Times New Roman" w:hAnsi="Calibri" w:cs="Calibri"/>
                <w:sz w:val="22"/>
              </w:rPr>
              <w:t>~$150 per year</w:t>
            </w:r>
          </w:p>
        </w:tc>
        <w:tc>
          <w:tcPr>
            <w:tcW w:w="1492" w:type="pct"/>
            <w:tcBorders>
              <w:top w:val="nil"/>
              <w:left w:val="nil"/>
              <w:bottom w:val="nil"/>
              <w:right w:val="nil"/>
            </w:tcBorders>
            <w:vAlign w:val="center"/>
            <w:hideMark/>
          </w:tcPr>
          <w:p w14:paraId="3991E22F" w14:textId="77777777" w:rsidR="0080314F" w:rsidRPr="00B5064E" w:rsidRDefault="0080314F" w:rsidP="00B57E00">
            <w:pPr>
              <w:spacing w:before="120" w:after="120"/>
              <w:rPr>
                <w:rFonts w:ascii="Calibri" w:eastAsia="Times New Roman" w:hAnsi="Calibri" w:cs="Calibri"/>
                <w:sz w:val="22"/>
              </w:rPr>
            </w:pPr>
            <w:r w:rsidRPr="00B5064E">
              <w:rPr>
                <w:rFonts w:ascii="Calibri" w:eastAsia="Times New Roman" w:hAnsi="Calibri" w:cs="Calibri"/>
                <w:sz w:val="22"/>
              </w:rPr>
              <w:t>~$400 per year</w:t>
            </w:r>
          </w:p>
        </w:tc>
      </w:tr>
      <w:tr w:rsidR="0080314F" w:rsidRPr="00B5064E" w14:paraId="54AA7B48" w14:textId="77777777" w:rsidTr="00F958BE">
        <w:trPr>
          <w:trHeight w:val="211"/>
        </w:trPr>
        <w:tc>
          <w:tcPr>
            <w:tcW w:w="1045" w:type="pct"/>
            <w:tcBorders>
              <w:top w:val="nil"/>
              <w:left w:val="nil"/>
              <w:bottom w:val="nil"/>
              <w:right w:val="nil"/>
            </w:tcBorders>
            <w:shd w:val="clear" w:color="auto" w:fill="F2F2F2" w:themeFill="background1" w:themeFillShade="F2"/>
            <w:vAlign w:val="center"/>
            <w:hideMark/>
          </w:tcPr>
          <w:p w14:paraId="6AEB2593" w14:textId="77777777" w:rsidR="0080314F" w:rsidRPr="00B5064E" w:rsidRDefault="0080314F" w:rsidP="00B57E00">
            <w:pPr>
              <w:spacing w:before="120" w:after="120"/>
              <w:rPr>
                <w:rFonts w:ascii="Calibri" w:eastAsia="Times New Roman" w:hAnsi="Calibri" w:cs="Calibri"/>
                <w:sz w:val="22"/>
              </w:rPr>
            </w:pPr>
            <w:r w:rsidRPr="00B5064E">
              <w:rPr>
                <w:rFonts w:ascii="Calibri" w:eastAsia="Times New Roman" w:hAnsi="Calibri" w:cs="Calibri"/>
                <w:b/>
                <w:bCs/>
                <w:sz w:val="22"/>
              </w:rPr>
              <w:t>Moderate Shift</w:t>
            </w:r>
          </w:p>
        </w:tc>
        <w:tc>
          <w:tcPr>
            <w:tcW w:w="1269" w:type="pct"/>
            <w:tcBorders>
              <w:top w:val="nil"/>
              <w:left w:val="nil"/>
              <w:bottom w:val="nil"/>
              <w:right w:val="nil"/>
            </w:tcBorders>
            <w:shd w:val="clear" w:color="auto" w:fill="F2F2F2" w:themeFill="background1" w:themeFillShade="F2"/>
            <w:vAlign w:val="center"/>
            <w:hideMark/>
          </w:tcPr>
          <w:p w14:paraId="5A0D61FA" w14:textId="77777777" w:rsidR="0080314F" w:rsidRPr="00B5064E" w:rsidRDefault="0080314F" w:rsidP="00B57E00">
            <w:pPr>
              <w:pStyle w:val="ListParagraph"/>
              <w:spacing w:before="120" w:after="120"/>
              <w:rPr>
                <w:rFonts w:ascii="Calibri" w:eastAsia="Times New Roman" w:hAnsi="Calibri" w:cs="Calibri"/>
                <w:sz w:val="22"/>
              </w:rPr>
            </w:pPr>
            <w:r w:rsidRPr="00B5064E">
              <w:rPr>
                <w:rFonts w:ascii="Calibri" w:eastAsia="Times New Roman" w:hAnsi="Calibri" w:cs="Calibri"/>
                <w:sz w:val="22"/>
              </w:rPr>
              <w:t>~20%</w:t>
            </w:r>
          </w:p>
        </w:tc>
        <w:tc>
          <w:tcPr>
            <w:tcW w:w="1194" w:type="pct"/>
            <w:tcBorders>
              <w:top w:val="nil"/>
              <w:left w:val="nil"/>
              <w:bottom w:val="nil"/>
              <w:right w:val="nil"/>
            </w:tcBorders>
            <w:shd w:val="clear" w:color="auto" w:fill="F2F2F2" w:themeFill="background1" w:themeFillShade="F2"/>
            <w:vAlign w:val="center"/>
            <w:hideMark/>
          </w:tcPr>
          <w:p w14:paraId="4E748B1C" w14:textId="77777777" w:rsidR="0080314F" w:rsidRPr="00B5064E" w:rsidRDefault="0080314F" w:rsidP="00B57E00">
            <w:pPr>
              <w:spacing w:before="120" w:after="120"/>
              <w:rPr>
                <w:rFonts w:ascii="Calibri" w:eastAsia="Times New Roman" w:hAnsi="Calibri" w:cs="Calibri"/>
                <w:sz w:val="22"/>
              </w:rPr>
            </w:pPr>
            <w:r w:rsidRPr="00B5064E">
              <w:rPr>
                <w:rFonts w:ascii="Calibri" w:eastAsia="Times New Roman" w:hAnsi="Calibri" w:cs="Calibri"/>
                <w:sz w:val="22"/>
              </w:rPr>
              <w:t>~$300 per year</w:t>
            </w:r>
          </w:p>
        </w:tc>
        <w:tc>
          <w:tcPr>
            <w:tcW w:w="1492" w:type="pct"/>
            <w:tcBorders>
              <w:top w:val="nil"/>
              <w:left w:val="nil"/>
              <w:bottom w:val="nil"/>
              <w:right w:val="nil"/>
            </w:tcBorders>
            <w:shd w:val="clear" w:color="auto" w:fill="F2F2F2" w:themeFill="background1" w:themeFillShade="F2"/>
            <w:vAlign w:val="center"/>
            <w:hideMark/>
          </w:tcPr>
          <w:p w14:paraId="6809A276" w14:textId="77777777" w:rsidR="0080314F" w:rsidRPr="00B5064E" w:rsidRDefault="0080314F" w:rsidP="00B57E00">
            <w:pPr>
              <w:spacing w:before="120" w:after="120"/>
              <w:rPr>
                <w:rFonts w:ascii="Calibri" w:eastAsia="Times New Roman" w:hAnsi="Calibri" w:cs="Calibri"/>
                <w:sz w:val="22"/>
              </w:rPr>
            </w:pPr>
            <w:r w:rsidRPr="00B5064E">
              <w:rPr>
                <w:rFonts w:ascii="Calibri" w:eastAsia="Times New Roman" w:hAnsi="Calibri" w:cs="Calibri"/>
                <w:sz w:val="22"/>
              </w:rPr>
              <w:t>~$500–$700 per year</w:t>
            </w:r>
          </w:p>
        </w:tc>
      </w:tr>
      <w:tr w:rsidR="0080314F" w:rsidRPr="00B5064E" w14:paraId="2EA1FBE3" w14:textId="77777777" w:rsidTr="00F958BE">
        <w:trPr>
          <w:trHeight w:val="52"/>
        </w:trPr>
        <w:tc>
          <w:tcPr>
            <w:tcW w:w="1045" w:type="pct"/>
            <w:tcBorders>
              <w:top w:val="nil"/>
              <w:left w:val="nil"/>
              <w:bottom w:val="single" w:sz="4" w:space="0" w:color="D1D1D1" w:themeColor="background2" w:themeShade="E6"/>
              <w:right w:val="nil"/>
            </w:tcBorders>
            <w:vAlign w:val="center"/>
            <w:hideMark/>
          </w:tcPr>
          <w:p w14:paraId="2B486102" w14:textId="77777777" w:rsidR="0080314F" w:rsidRPr="00B5064E" w:rsidRDefault="0080314F" w:rsidP="00B57E00">
            <w:pPr>
              <w:spacing w:before="120" w:after="120"/>
              <w:rPr>
                <w:rFonts w:ascii="Calibri" w:eastAsia="Times New Roman" w:hAnsi="Calibri" w:cs="Calibri"/>
                <w:sz w:val="22"/>
              </w:rPr>
            </w:pPr>
            <w:r w:rsidRPr="00B5064E">
              <w:rPr>
                <w:rFonts w:ascii="Calibri" w:eastAsia="Times New Roman" w:hAnsi="Calibri" w:cs="Calibri"/>
                <w:b/>
                <w:bCs/>
                <w:sz w:val="22"/>
              </w:rPr>
              <w:t>Major Shift</w:t>
            </w:r>
          </w:p>
        </w:tc>
        <w:tc>
          <w:tcPr>
            <w:tcW w:w="1269" w:type="pct"/>
            <w:tcBorders>
              <w:top w:val="nil"/>
              <w:left w:val="nil"/>
              <w:bottom w:val="single" w:sz="4" w:space="0" w:color="D1D1D1" w:themeColor="background2" w:themeShade="E6"/>
              <w:right w:val="nil"/>
            </w:tcBorders>
            <w:vAlign w:val="center"/>
            <w:hideMark/>
          </w:tcPr>
          <w:p w14:paraId="12BE5A21" w14:textId="77777777" w:rsidR="0080314F" w:rsidRPr="00B5064E" w:rsidRDefault="0080314F" w:rsidP="00B57E00">
            <w:pPr>
              <w:pStyle w:val="ListParagraph"/>
              <w:spacing w:before="120" w:after="120"/>
              <w:rPr>
                <w:rFonts w:ascii="Calibri" w:eastAsia="Times New Roman" w:hAnsi="Calibri" w:cs="Calibri"/>
                <w:sz w:val="22"/>
              </w:rPr>
            </w:pPr>
            <w:r w:rsidRPr="00B5064E">
              <w:rPr>
                <w:rFonts w:ascii="Calibri" w:eastAsia="Times New Roman" w:hAnsi="Calibri" w:cs="Calibri"/>
                <w:sz w:val="22"/>
              </w:rPr>
              <w:t>~25–30%</w:t>
            </w:r>
          </w:p>
        </w:tc>
        <w:tc>
          <w:tcPr>
            <w:tcW w:w="1194" w:type="pct"/>
            <w:tcBorders>
              <w:top w:val="nil"/>
              <w:left w:val="nil"/>
              <w:bottom w:val="single" w:sz="4" w:space="0" w:color="D1D1D1" w:themeColor="background2" w:themeShade="E6"/>
              <w:right w:val="nil"/>
            </w:tcBorders>
            <w:vAlign w:val="center"/>
            <w:hideMark/>
          </w:tcPr>
          <w:p w14:paraId="2B9453A5" w14:textId="77777777" w:rsidR="0080314F" w:rsidRPr="00B5064E" w:rsidRDefault="0080314F" w:rsidP="00B57E00">
            <w:pPr>
              <w:spacing w:before="120" w:after="120"/>
              <w:rPr>
                <w:rFonts w:ascii="Calibri" w:eastAsia="Times New Roman" w:hAnsi="Calibri" w:cs="Calibri"/>
                <w:sz w:val="22"/>
              </w:rPr>
            </w:pPr>
            <w:r w:rsidRPr="00B5064E">
              <w:rPr>
                <w:rFonts w:ascii="Calibri" w:eastAsia="Times New Roman" w:hAnsi="Calibri" w:cs="Calibri"/>
                <w:sz w:val="22"/>
              </w:rPr>
              <w:t>~$400 per year</w:t>
            </w:r>
          </w:p>
        </w:tc>
        <w:tc>
          <w:tcPr>
            <w:tcW w:w="1492" w:type="pct"/>
            <w:tcBorders>
              <w:top w:val="nil"/>
              <w:left w:val="nil"/>
              <w:bottom w:val="single" w:sz="4" w:space="0" w:color="D1D1D1" w:themeColor="background2" w:themeShade="E6"/>
              <w:right w:val="nil"/>
            </w:tcBorders>
            <w:vAlign w:val="center"/>
            <w:hideMark/>
          </w:tcPr>
          <w:p w14:paraId="7459A87F" w14:textId="77777777" w:rsidR="0080314F" w:rsidRPr="00B5064E" w:rsidRDefault="0080314F" w:rsidP="00B57E00">
            <w:pPr>
              <w:spacing w:before="120" w:after="120"/>
              <w:rPr>
                <w:rFonts w:ascii="Calibri" w:eastAsia="Times New Roman" w:hAnsi="Calibri" w:cs="Calibri"/>
                <w:sz w:val="22"/>
              </w:rPr>
            </w:pPr>
            <w:r w:rsidRPr="00B5064E">
              <w:rPr>
                <w:rFonts w:ascii="Calibri" w:eastAsia="Times New Roman" w:hAnsi="Calibri" w:cs="Calibri"/>
                <w:sz w:val="22"/>
              </w:rPr>
              <w:t>~$800–$1,100 per year</w:t>
            </w:r>
          </w:p>
        </w:tc>
      </w:tr>
    </w:tbl>
    <w:p w14:paraId="7499AC4B" w14:textId="275A5C49" w:rsidR="00D31501" w:rsidRPr="00B5064E" w:rsidRDefault="00D31501" w:rsidP="00156D0D">
      <w:pPr>
        <w:numPr>
          <w:ilvl w:val="0"/>
          <w:numId w:val="2"/>
        </w:numPr>
        <w:spacing w:before="120" w:after="120"/>
        <w:ind w:left="714" w:hanging="357"/>
        <w:rPr>
          <w:rFonts w:ascii="Calibri" w:hAnsi="Calibri" w:cs="Calibri"/>
          <w:color w:val="000000" w:themeColor="text1"/>
        </w:rPr>
      </w:pPr>
      <w:r w:rsidRPr="00B5064E">
        <w:rPr>
          <w:rFonts w:ascii="Calibri" w:hAnsi="Calibri" w:cs="Calibri"/>
          <w:b/>
          <w:bCs/>
          <w:color w:val="000000" w:themeColor="text1"/>
        </w:rPr>
        <w:t>Support equality and inclusion:</w:t>
      </w:r>
      <w:r w:rsidRPr="00B5064E">
        <w:rPr>
          <w:rFonts w:ascii="Calibri" w:hAnsi="Calibri" w:cs="Calibri"/>
          <w:color w:val="000000" w:themeColor="text1"/>
        </w:rPr>
        <w:t xml:space="preserve"> Provides a tangible mechanism for renters, apartment </w:t>
      </w:r>
      <w:r w:rsidRPr="00B5064E">
        <w:rPr>
          <w:rFonts w:ascii="Calibri" w:hAnsi="Calibri" w:cs="Calibri"/>
        </w:rPr>
        <w:t>dwellers</w:t>
      </w:r>
      <w:r w:rsidRPr="00B5064E">
        <w:rPr>
          <w:rFonts w:ascii="Calibri" w:hAnsi="Calibri" w:cs="Calibri"/>
          <w:color w:val="000000" w:themeColor="text1"/>
        </w:rPr>
        <w:t>, and low-income households to benefit from daytime solar generation.</w:t>
      </w:r>
    </w:p>
    <w:p w14:paraId="4673A1C5" w14:textId="77777777" w:rsidR="00D31501" w:rsidRPr="00B5064E" w:rsidRDefault="00D31501" w:rsidP="00156D0D">
      <w:pPr>
        <w:numPr>
          <w:ilvl w:val="0"/>
          <w:numId w:val="2"/>
        </w:numPr>
        <w:spacing w:before="120" w:after="120"/>
        <w:ind w:left="714" w:hanging="357"/>
        <w:rPr>
          <w:rFonts w:ascii="Calibri" w:hAnsi="Calibri" w:cs="Calibri"/>
          <w:color w:val="000000" w:themeColor="text1"/>
        </w:rPr>
      </w:pPr>
      <w:r w:rsidRPr="00B5064E">
        <w:rPr>
          <w:rFonts w:ascii="Calibri" w:hAnsi="Calibri" w:cs="Calibri"/>
          <w:b/>
          <w:bCs/>
          <w:color w:val="000000" w:themeColor="text1"/>
        </w:rPr>
        <w:t>Empower households to manage their energy use:</w:t>
      </w:r>
      <w:r w:rsidRPr="00B5064E">
        <w:rPr>
          <w:rFonts w:ascii="Calibri" w:hAnsi="Calibri" w:cs="Calibri"/>
          <w:color w:val="000000" w:themeColor="text1"/>
        </w:rPr>
        <w:t xml:space="preserve"> Establishes strong, visible price signals that </w:t>
      </w:r>
      <w:r w:rsidRPr="00B5064E">
        <w:rPr>
          <w:rFonts w:ascii="Calibri" w:hAnsi="Calibri" w:cs="Calibri"/>
        </w:rPr>
        <w:t>empower</w:t>
      </w:r>
      <w:r w:rsidRPr="00B5064E">
        <w:rPr>
          <w:rFonts w:ascii="Calibri" w:hAnsi="Calibri" w:cs="Calibri"/>
          <w:color w:val="000000" w:themeColor="text1"/>
        </w:rPr>
        <w:t xml:space="preserve"> households to actively manage their energy use.</w:t>
      </w:r>
    </w:p>
    <w:p w14:paraId="5D11EB64" w14:textId="4A5FD010" w:rsidR="00D31501" w:rsidRPr="00B5064E" w:rsidRDefault="00D31501" w:rsidP="00156D0D">
      <w:pPr>
        <w:numPr>
          <w:ilvl w:val="0"/>
          <w:numId w:val="2"/>
        </w:numPr>
        <w:spacing w:before="120" w:after="120"/>
        <w:ind w:left="714" w:hanging="357"/>
        <w:rPr>
          <w:rFonts w:ascii="Calibri" w:hAnsi="Calibri" w:cs="Calibri"/>
          <w:color w:val="000000" w:themeColor="text1"/>
        </w:rPr>
      </w:pPr>
      <w:r w:rsidRPr="00B5064E">
        <w:rPr>
          <w:rFonts w:ascii="Calibri" w:hAnsi="Calibri" w:cs="Calibri"/>
          <w:b/>
          <w:bCs/>
          <w:color w:val="000000" w:themeColor="text1"/>
        </w:rPr>
        <w:t>Support renewable investment:</w:t>
      </w:r>
      <w:r w:rsidRPr="00B5064E">
        <w:rPr>
          <w:rFonts w:ascii="Calibri" w:hAnsi="Calibri" w:cs="Calibri"/>
          <w:color w:val="000000" w:themeColor="text1"/>
        </w:rPr>
        <w:t xml:space="preserve"> By shifting demand into midday solar-abundant hours, the SSO improves utilisation of renewable generation, reduces curtailment, and stabilises minimum </w:t>
      </w:r>
      <w:r w:rsidRPr="00B5064E">
        <w:rPr>
          <w:rFonts w:ascii="Calibri" w:hAnsi="Calibri" w:cs="Calibri"/>
        </w:rPr>
        <w:t>demand</w:t>
      </w:r>
      <w:r w:rsidRPr="00B5064E">
        <w:rPr>
          <w:rFonts w:ascii="Calibri" w:hAnsi="Calibri" w:cs="Calibri"/>
          <w:color w:val="000000" w:themeColor="text1"/>
        </w:rPr>
        <w:t xml:space="preserve"> allowing more renewable energy to enter the grid.</w:t>
      </w:r>
    </w:p>
    <w:p w14:paraId="13803997" w14:textId="77777777" w:rsidR="00D31501" w:rsidRPr="00B5064E" w:rsidRDefault="00D31501" w:rsidP="00156D0D">
      <w:pPr>
        <w:numPr>
          <w:ilvl w:val="0"/>
          <w:numId w:val="2"/>
        </w:numPr>
        <w:spacing w:before="120" w:after="120"/>
        <w:ind w:left="714" w:hanging="357"/>
        <w:rPr>
          <w:rFonts w:ascii="Calibri" w:hAnsi="Calibri" w:cs="Calibri"/>
          <w:color w:val="000000" w:themeColor="text1"/>
        </w:rPr>
      </w:pPr>
      <w:r w:rsidRPr="00B5064E">
        <w:rPr>
          <w:rFonts w:ascii="Calibri" w:hAnsi="Calibri" w:cs="Calibri"/>
          <w:b/>
          <w:bCs/>
          <w:color w:val="000000" w:themeColor="text1"/>
        </w:rPr>
        <w:t>Reduce network costs:</w:t>
      </w:r>
      <w:r w:rsidRPr="00B5064E">
        <w:rPr>
          <w:rFonts w:ascii="Calibri" w:hAnsi="Calibri" w:cs="Calibri"/>
          <w:color w:val="000000" w:themeColor="text1"/>
        </w:rPr>
        <w:t xml:space="preserve"> Increased daytime utilisation of existing infrastructure improves asset efficiency and may defer or avoid future peak demand–driven network investment.</w:t>
      </w:r>
    </w:p>
    <w:p w14:paraId="392E1CAA" w14:textId="77777777" w:rsidR="00D31501" w:rsidRPr="00B5064E" w:rsidRDefault="00D31501" w:rsidP="00156D0D">
      <w:pPr>
        <w:numPr>
          <w:ilvl w:val="0"/>
          <w:numId w:val="2"/>
        </w:numPr>
        <w:spacing w:before="120" w:after="120"/>
        <w:ind w:left="714" w:hanging="357"/>
        <w:rPr>
          <w:rFonts w:ascii="Calibri" w:hAnsi="Calibri" w:cs="Calibri"/>
          <w:color w:val="000000" w:themeColor="text1"/>
        </w:rPr>
      </w:pPr>
      <w:r w:rsidRPr="00B5064E">
        <w:rPr>
          <w:rFonts w:ascii="Calibri" w:hAnsi="Calibri" w:cs="Calibri"/>
          <w:b/>
          <w:bCs/>
          <w:color w:val="000000" w:themeColor="text1"/>
        </w:rPr>
        <w:t>Improve system efficiency:</w:t>
      </w:r>
      <w:r w:rsidRPr="00B5064E">
        <w:rPr>
          <w:rFonts w:ascii="Calibri" w:hAnsi="Calibri" w:cs="Calibri"/>
          <w:color w:val="000000" w:themeColor="text1"/>
        </w:rPr>
        <w:t xml:space="preserve"> Encourages demand-shifting into solar-abundant hours, reducing curtailment, easing evening peak demand and prices, and improving utilisation of network and generation infrastructure.</w:t>
      </w:r>
    </w:p>
    <w:p w14:paraId="097834AB" w14:textId="3BC1BCF1" w:rsidR="005B3EB2" w:rsidRPr="00B5064E" w:rsidRDefault="00D31501" w:rsidP="00156D0D">
      <w:pPr>
        <w:numPr>
          <w:ilvl w:val="0"/>
          <w:numId w:val="2"/>
        </w:numPr>
        <w:spacing w:before="120" w:after="120"/>
        <w:ind w:left="714" w:hanging="357"/>
        <w:rPr>
          <w:rFonts w:ascii="Calibri" w:hAnsi="Calibri" w:cs="Calibri"/>
          <w:color w:val="000000" w:themeColor="text1"/>
        </w:rPr>
      </w:pPr>
      <w:r w:rsidRPr="00B5064E">
        <w:rPr>
          <w:rFonts w:ascii="Calibri" w:hAnsi="Calibri" w:cs="Calibri"/>
          <w:b/>
          <w:bCs/>
          <w:color w:val="000000" w:themeColor="text1"/>
        </w:rPr>
        <w:t>Improve market confidence:</w:t>
      </w:r>
      <w:r w:rsidRPr="00B5064E">
        <w:rPr>
          <w:rFonts w:ascii="Calibri" w:hAnsi="Calibri" w:cs="Calibri"/>
          <w:color w:val="000000" w:themeColor="text1"/>
        </w:rPr>
        <w:t xml:space="preserve"> Embedding SSO within the DMO framework ensures comparability, consistent communication, and clear reference pricing which should enhance consumers’ </w:t>
      </w:r>
      <w:r w:rsidRPr="00B5064E">
        <w:rPr>
          <w:rFonts w:ascii="Calibri" w:hAnsi="Calibri" w:cs="Calibri"/>
          <w:color w:val="000000" w:themeColor="text1"/>
        </w:rPr>
        <w:lastRenderedPageBreak/>
        <w:t>confidence in taking up market offers that incentivise shifting consumption to periods of high solar generation.</w:t>
      </w:r>
    </w:p>
    <w:p w14:paraId="56FC3685" w14:textId="60B9585F" w:rsidR="005A5EAB" w:rsidRDefault="005A5EAB" w:rsidP="003B5A59">
      <w:pPr>
        <w:spacing w:before="120" w:after="0"/>
        <w:rPr>
          <w:rFonts w:ascii="Calibri" w:hAnsi="Calibri" w:cs="Calibri"/>
          <w:i/>
          <w:sz w:val="20"/>
          <w:szCs w:val="20"/>
        </w:rPr>
      </w:pPr>
      <w:r w:rsidRPr="00B5064E">
        <w:rPr>
          <w:rFonts w:ascii="Calibri" w:hAnsi="Calibri" w:cs="Calibri"/>
          <w:i/>
          <w:iCs/>
          <w:sz w:val="20"/>
          <w:szCs w:val="20"/>
        </w:rPr>
        <w:t xml:space="preserve">Table </w:t>
      </w:r>
      <w:r w:rsidR="00757822">
        <w:rPr>
          <w:rFonts w:ascii="Calibri" w:hAnsi="Calibri" w:cs="Calibri"/>
          <w:i/>
          <w:iCs/>
          <w:sz w:val="20"/>
          <w:szCs w:val="20"/>
        </w:rPr>
        <w:t>4</w:t>
      </w:r>
      <w:r w:rsidRPr="00B5064E">
        <w:rPr>
          <w:rFonts w:ascii="Calibri" w:hAnsi="Calibri" w:cs="Calibri"/>
          <w:i/>
          <w:iCs/>
          <w:sz w:val="20"/>
          <w:szCs w:val="20"/>
        </w:rPr>
        <w:t xml:space="preserve">: Net Benefit Assessment, </w:t>
      </w:r>
      <w:r w:rsidRPr="00B5064E">
        <w:rPr>
          <w:rFonts w:ascii="Calibri" w:hAnsi="Calibri" w:cs="Calibri"/>
          <w:i/>
          <w:sz w:val="20"/>
          <w:szCs w:val="20"/>
        </w:rPr>
        <w:t>Option A1 – Regulated Solar Sharer Offer through the DMO framework</w:t>
      </w:r>
    </w:p>
    <w:tbl>
      <w:tblPr>
        <w:tblW w:w="93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5"/>
        <w:gridCol w:w="1375"/>
        <w:gridCol w:w="470"/>
        <w:gridCol w:w="2693"/>
        <w:gridCol w:w="2883"/>
      </w:tblGrid>
      <w:tr w:rsidR="005C54C6" w:rsidRPr="005C54C6" w14:paraId="7DA4DEE2" w14:textId="77777777" w:rsidTr="0018724B">
        <w:trPr>
          <w:trHeight w:val="390"/>
        </w:trPr>
        <w:tc>
          <w:tcPr>
            <w:tcW w:w="3820" w:type="dxa"/>
            <w:gridSpan w:val="3"/>
            <w:tcBorders>
              <w:top w:val="nil"/>
              <w:left w:val="nil"/>
              <w:bottom w:val="nil"/>
              <w:right w:val="nil"/>
            </w:tcBorders>
            <w:shd w:val="clear" w:color="auto" w:fill="E8E8E8" w:themeFill="background2"/>
            <w:hideMark/>
          </w:tcPr>
          <w:p w14:paraId="0E2672B1" w14:textId="12248B89" w:rsidR="005C54C6" w:rsidRPr="003C75AE" w:rsidRDefault="005C54C6" w:rsidP="003C75AE">
            <w:pPr>
              <w:spacing w:after="120" w:line="240" w:lineRule="auto"/>
              <w:textAlignment w:val="baseline"/>
              <w:rPr>
                <w:rFonts w:ascii="Calibri" w:eastAsia="Times New Roman" w:hAnsi="Calibri" w:cs="Calibri"/>
                <w:b/>
                <w:bCs/>
                <w:kern w:val="0"/>
                <w:sz w:val="18"/>
                <w:szCs w:val="18"/>
                <w:lang w:eastAsia="en-AU"/>
                <w14:ligatures w14:val="none"/>
              </w:rPr>
            </w:pPr>
            <w:r w:rsidRPr="005C54C6">
              <w:rPr>
                <w:rFonts w:ascii="Calibri" w:eastAsia="Times New Roman" w:hAnsi="Calibri" w:cs="Calibri"/>
                <w:b/>
                <w:bCs/>
                <w:kern w:val="0"/>
                <w:lang w:eastAsia="en-AU"/>
                <w14:ligatures w14:val="none"/>
              </w:rPr>
              <w:t>Legend </w:t>
            </w:r>
            <w:r w:rsidRPr="005C54C6">
              <w:rPr>
                <w:rFonts w:ascii="Segoe UI Emoji" w:eastAsia="Times New Roman" w:hAnsi="Segoe UI Emoji" w:cs="Segoe UI"/>
                <w:b/>
                <w:kern w:val="0"/>
                <w:lang w:eastAsia="en-AU"/>
                <w14:ligatures w14:val="none"/>
              </w:rPr>
              <w:t>🟢</w:t>
            </w:r>
            <w:r w:rsidRPr="005C54C6">
              <w:rPr>
                <w:rFonts w:ascii="Calibri" w:eastAsia="Times New Roman" w:hAnsi="Calibri" w:cs="Calibri"/>
                <w:b/>
                <w:bCs/>
                <w:kern w:val="0"/>
                <w:lang w:eastAsia="en-AU"/>
                <w14:ligatures w14:val="none"/>
              </w:rPr>
              <w:t> = Strong positive / Low risk </w:t>
            </w:r>
            <w:r w:rsidRPr="003C75AE">
              <w:rPr>
                <w:rFonts w:ascii="Calibri" w:eastAsia="Times New Roman" w:hAnsi="Calibri" w:cs="Calibri"/>
                <w:b/>
                <w:bCs/>
                <w:kern w:val="0"/>
                <w:lang w:eastAsia="en-AU"/>
                <w14:ligatures w14:val="none"/>
              </w:rPr>
              <w:t xml:space="preserve"> </w:t>
            </w:r>
          </w:p>
        </w:tc>
        <w:tc>
          <w:tcPr>
            <w:tcW w:w="2693" w:type="dxa"/>
            <w:tcBorders>
              <w:top w:val="nil"/>
              <w:left w:val="nil"/>
              <w:bottom w:val="nil"/>
              <w:right w:val="nil"/>
            </w:tcBorders>
            <w:shd w:val="clear" w:color="auto" w:fill="E8E8E8" w:themeFill="background2"/>
          </w:tcPr>
          <w:p w14:paraId="740A96A9" w14:textId="1052E6AC" w:rsidR="005C54C6" w:rsidRPr="003C75AE" w:rsidRDefault="005C54C6" w:rsidP="003C75AE">
            <w:pPr>
              <w:spacing w:after="120" w:line="240" w:lineRule="auto"/>
              <w:textAlignment w:val="baseline"/>
              <w:rPr>
                <w:rFonts w:ascii="Calibri" w:eastAsia="Times New Roman" w:hAnsi="Calibri" w:cs="Calibri"/>
                <w:b/>
                <w:bCs/>
                <w:kern w:val="0"/>
                <w:sz w:val="18"/>
                <w:szCs w:val="18"/>
                <w:lang w:eastAsia="en-AU"/>
                <w14:ligatures w14:val="none"/>
              </w:rPr>
            </w:pPr>
            <w:r w:rsidRPr="005C54C6">
              <w:rPr>
                <w:rFonts w:ascii="Segoe UI Emoji" w:eastAsia="Times New Roman" w:hAnsi="Segoe UI Emoji" w:cs="Segoe UI"/>
                <w:b/>
                <w:kern w:val="0"/>
                <w:lang w:eastAsia="en-AU"/>
                <w14:ligatures w14:val="none"/>
              </w:rPr>
              <w:t>🟡</w:t>
            </w:r>
            <w:r w:rsidRPr="005C54C6">
              <w:rPr>
                <w:rFonts w:ascii="Calibri" w:eastAsia="Times New Roman" w:hAnsi="Calibri" w:cs="Calibri"/>
                <w:b/>
                <w:bCs/>
                <w:kern w:val="0"/>
                <w:lang w:eastAsia="en-AU"/>
                <w14:ligatures w14:val="none"/>
              </w:rPr>
              <w:t> = Mixed / Moderate </w:t>
            </w:r>
          </w:p>
        </w:tc>
        <w:tc>
          <w:tcPr>
            <w:tcW w:w="2883" w:type="dxa"/>
            <w:tcBorders>
              <w:top w:val="nil"/>
              <w:left w:val="nil"/>
              <w:bottom w:val="nil"/>
              <w:right w:val="nil"/>
            </w:tcBorders>
            <w:shd w:val="clear" w:color="auto" w:fill="E8E8E8" w:themeFill="background2"/>
          </w:tcPr>
          <w:p w14:paraId="670D2081" w14:textId="1F09CDCE" w:rsidR="005C54C6" w:rsidRPr="005C54C6" w:rsidRDefault="005C54C6" w:rsidP="003C75AE">
            <w:pPr>
              <w:spacing w:after="120" w:line="240" w:lineRule="auto"/>
              <w:textAlignment w:val="baseline"/>
              <w:rPr>
                <w:rFonts w:ascii="Calibri" w:eastAsia="Times New Roman" w:hAnsi="Calibri" w:cs="Calibri"/>
                <w:b/>
                <w:bCs/>
                <w:kern w:val="0"/>
                <w:sz w:val="18"/>
                <w:szCs w:val="18"/>
                <w:lang w:eastAsia="en-AU"/>
                <w14:ligatures w14:val="none"/>
              </w:rPr>
            </w:pPr>
            <w:r w:rsidRPr="005C54C6">
              <w:rPr>
                <w:rFonts w:ascii="Segoe UI Emoji" w:eastAsia="Times New Roman" w:hAnsi="Segoe UI Emoji" w:cs="Segoe UI"/>
                <w:b/>
                <w:kern w:val="0"/>
                <w:lang w:eastAsia="en-AU"/>
                <w14:ligatures w14:val="none"/>
              </w:rPr>
              <w:t>🔴</w:t>
            </w:r>
            <w:r w:rsidRPr="005C54C6">
              <w:rPr>
                <w:rFonts w:ascii="Calibri" w:eastAsia="Times New Roman" w:hAnsi="Calibri" w:cs="Calibri"/>
                <w:b/>
                <w:bCs/>
                <w:kern w:val="0"/>
                <w:lang w:eastAsia="en-AU"/>
                <w14:ligatures w14:val="none"/>
              </w:rPr>
              <w:t> = Weak / Limited benefit </w:t>
            </w:r>
          </w:p>
        </w:tc>
      </w:tr>
      <w:tr w:rsidR="005C54C6" w:rsidRPr="005C54C6" w14:paraId="07CE074A" w14:textId="77777777" w:rsidTr="003C75AE">
        <w:trPr>
          <w:trHeight w:val="600"/>
        </w:trPr>
        <w:tc>
          <w:tcPr>
            <w:tcW w:w="1975" w:type="dxa"/>
            <w:tcBorders>
              <w:top w:val="nil"/>
              <w:left w:val="nil"/>
              <w:bottom w:val="nil"/>
              <w:right w:val="nil"/>
            </w:tcBorders>
            <w:shd w:val="clear" w:color="auto" w:fill="E8E8E8" w:themeFill="background2"/>
            <w:vAlign w:val="center"/>
            <w:hideMark/>
          </w:tcPr>
          <w:p w14:paraId="39078521" w14:textId="68D886F5" w:rsidR="005C54C6" w:rsidRPr="005C54C6" w:rsidRDefault="005C54C6" w:rsidP="003C75AE">
            <w:pPr>
              <w:spacing w:after="0" w:line="240" w:lineRule="auto"/>
              <w:jc w:val="center"/>
              <w:textAlignment w:val="baseline"/>
              <w:rPr>
                <w:rFonts w:ascii="Segoe UI" w:eastAsia="Times New Roman" w:hAnsi="Segoe UI" w:cs="Segoe UI"/>
                <w:b/>
                <w:bCs/>
                <w:kern w:val="0"/>
                <w:sz w:val="18"/>
                <w:szCs w:val="18"/>
                <w:lang w:eastAsia="en-AU"/>
                <w14:ligatures w14:val="none"/>
              </w:rPr>
            </w:pPr>
            <w:r w:rsidRPr="005C54C6">
              <w:rPr>
                <w:rFonts w:ascii="Calibri" w:eastAsia="Times New Roman" w:hAnsi="Calibri" w:cs="Calibri"/>
                <w:b/>
                <w:bCs/>
                <w:kern w:val="0"/>
                <w:lang w:eastAsia="en-AU"/>
                <w14:ligatures w14:val="none"/>
              </w:rPr>
              <w:t>Impact Category</w:t>
            </w:r>
          </w:p>
        </w:tc>
        <w:tc>
          <w:tcPr>
            <w:tcW w:w="1375" w:type="dxa"/>
            <w:tcBorders>
              <w:top w:val="nil"/>
              <w:left w:val="nil"/>
              <w:bottom w:val="nil"/>
              <w:right w:val="nil"/>
            </w:tcBorders>
            <w:shd w:val="clear" w:color="auto" w:fill="E8E8E8" w:themeFill="background2"/>
            <w:vAlign w:val="center"/>
            <w:hideMark/>
          </w:tcPr>
          <w:p w14:paraId="708B14BB" w14:textId="55BE49EE" w:rsidR="005C54C6" w:rsidRPr="005C54C6" w:rsidRDefault="005C54C6" w:rsidP="003C75AE">
            <w:pPr>
              <w:spacing w:after="0" w:line="240" w:lineRule="auto"/>
              <w:jc w:val="center"/>
              <w:textAlignment w:val="baseline"/>
              <w:rPr>
                <w:rFonts w:ascii="Segoe UI" w:eastAsia="Times New Roman" w:hAnsi="Segoe UI" w:cs="Segoe UI"/>
                <w:kern w:val="0"/>
                <w:sz w:val="18"/>
                <w:szCs w:val="18"/>
                <w:lang w:eastAsia="en-AU"/>
                <w14:ligatures w14:val="none"/>
              </w:rPr>
            </w:pPr>
            <w:r w:rsidRPr="005C54C6">
              <w:rPr>
                <w:rFonts w:ascii="Calibri" w:eastAsia="Times New Roman" w:hAnsi="Calibri" w:cs="Calibri"/>
                <w:b/>
                <w:bCs/>
                <w:kern w:val="0"/>
                <w:lang w:eastAsia="en-AU"/>
                <w14:ligatures w14:val="none"/>
              </w:rPr>
              <w:t>Net Benefit Rating</w:t>
            </w:r>
          </w:p>
        </w:tc>
        <w:tc>
          <w:tcPr>
            <w:tcW w:w="6046" w:type="dxa"/>
            <w:gridSpan w:val="3"/>
            <w:tcBorders>
              <w:top w:val="nil"/>
              <w:left w:val="nil"/>
              <w:bottom w:val="nil"/>
              <w:right w:val="nil"/>
            </w:tcBorders>
            <w:shd w:val="clear" w:color="auto" w:fill="E8E8E8" w:themeFill="background2"/>
            <w:vAlign w:val="center"/>
            <w:hideMark/>
          </w:tcPr>
          <w:p w14:paraId="22A750A8" w14:textId="00272301" w:rsidR="005C54C6" w:rsidRPr="005C54C6" w:rsidRDefault="005C54C6" w:rsidP="003C75AE">
            <w:pPr>
              <w:spacing w:after="0" w:line="240" w:lineRule="auto"/>
              <w:jc w:val="center"/>
              <w:textAlignment w:val="baseline"/>
              <w:rPr>
                <w:rFonts w:ascii="Segoe UI" w:eastAsia="Times New Roman" w:hAnsi="Segoe UI" w:cs="Segoe UI"/>
                <w:kern w:val="0"/>
                <w:sz w:val="18"/>
                <w:szCs w:val="18"/>
                <w:lang w:eastAsia="en-AU"/>
                <w14:ligatures w14:val="none"/>
              </w:rPr>
            </w:pPr>
            <w:r w:rsidRPr="005C54C6">
              <w:rPr>
                <w:rFonts w:ascii="Calibri" w:eastAsia="Times New Roman" w:hAnsi="Calibri" w:cs="Calibri"/>
                <w:b/>
                <w:bCs/>
                <w:kern w:val="0"/>
                <w:lang w:eastAsia="en-AU"/>
                <w14:ligatures w14:val="none"/>
              </w:rPr>
              <w:t>Explanation</w:t>
            </w:r>
          </w:p>
        </w:tc>
      </w:tr>
      <w:tr w:rsidR="005C54C6" w:rsidRPr="005C54C6" w14:paraId="3B79B702" w14:textId="77777777" w:rsidTr="0018724B">
        <w:trPr>
          <w:trHeight w:val="690"/>
        </w:trPr>
        <w:tc>
          <w:tcPr>
            <w:tcW w:w="1975" w:type="dxa"/>
            <w:tcBorders>
              <w:top w:val="nil"/>
              <w:left w:val="nil"/>
              <w:bottom w:val="nil"/>
              <w:right w:val="nil"/>
            </w:tcBorders>
            <w:shd w:val="clear" w:color="auto" w:fill="FFFFFF" w:themeFill="background1"/>
            <w:vAlign w:val="center"/>
            <w:hideMark/>
          </w:tcPr>
          <w:p w14:paraId="05FA5596" w14:textId="77777777" w:rsidR="005C54C6" w:rsidRPr="005C54C6" w:rsidRDefault="005C54C6" w:rsidP="005C54C6">
            <w:pPr>
              <w:spacing w:after="0" w:line="240" w:lineRule="auto"/>
              <w:textAlignment w:val="baseline"/>
              <w:rPr>
                <w:rFonts w:ascii="Segoe UI" w:eastAsia="Times New Roman" w:hAnsi="Segoe UI" w:cs="Segoe UI"/>
                <w:b/>
                <w:bCs/>
                <w:kern w:val="0"/>
                <w:sz w:val="18"/>
                <w:szCs w:val="18"/>
                <w:lang w:eastAsia="en-AU"/>
                <w14:ligatures w14:val="none"/>
              </w:rPr>
            </w:pPr>
            <w:r w:rsidRPr="005C54C6">
              <w:rPr>
                <w:rFonts w:ascii="Calibri" w:eastAsia="Times New Roman" w:hAnsi="Calibri" w:cs="Calibri"/>
                <w:b/>
                <w:bCs/>
                <w:kern w:val="0"/>
                <w:lang w:eastAsia="en-AU"/>
                <w14:ligatures w14:val="none"/>
              </w:rPr>
              <w:t>Economic </w:t>
            </w:r>
          </w:p>
        </w:tc>
        <w:tc>
          <w:tcPr>
            <w:tcW w:w="1375" w:type="dxa"/>
            <w:tcBorders>
              <w:top w:val="nil"/>
              <w:left w:val="nil"/>
              <w:bottom w:val="nil"/>
              <w:right w:val="nil"/>
            </w:tcBorders>
            <w:shd w:val="clear" w:color="auto" w:fill="FFFFFF" w:themeFill="background1"/>
            <w:vAlign w:val="center"/>
            <w:hideMark/>
          </w:tcPr>
          <w:p w14:paraId="6FB21BB4" w14:textId="77777777" w:rsidR="005C54C6" w:rsidRPr="005C54C6" w:rsidRDefault="005C54C6" w:rsidP="005C54C6">
            <w:pPr>
              <w:spacing w:after="0" w:line="240" w:lineRule="auto"/>
              <w:jc w:val="center"/>
              <w:textAlignment w:val="baseline"/>
              <w:rPr>
                <w:rFonts w:ascii="Segoe UI" w:eastAsia="Times New Roman" w:hAnsi="Segoe UI" w:cs="Segoe UI"/>
                <w:kern w:val="0"/>
                <w:sz w:val="18"/>
                <w:szCs w:val="18"/>
                <w:lang w:eastAsia="en-AU"/>
                <w14:ligatures w14:val="none"/>
              </w:rPr>
            </w:pPr>
            <w:r w:rsidRPr="005C54C6">
              <w:rPr>
                <w:rFonts w:ascii="Segoe UI Emoji" w:eastAsia="Times New Roman" w:hAnsi="Segoe UI Emoji" w:cs="Segoe UI"/>
                <w:kern w:val="0"/>
                <w:lang w:eastAsia="en-AU"/>
                <w14:ligatures w14:val="none"/>
              </w:rPr>
              <w:t>🟢 </w:t>
            </w:r>
          </w:p>
        </w:tc>
        <w:tc>
          <w:tcPr>
            <w:tcW w:w="6046" w:type="dxa"/>
            <w:gridSpan w:val="3"/>
            <w:tcBorders>
              <w:top w:val="nil"/>
              <w:left w:val="nil"/>
              <w:bottom w:val="nil"/>
              <w:right w:val="nil"/>
            </w:tcBorders>
            <w:shd w:val="clear" w:color="auto" w:fill="FFFFFF" w:themeFill="background1"/>
            <w:vAlign w:val="center"/>
            <w:hideMark/>
          </w:tcPr>
          <w:p w14:paraId="1EDDBBC8" w14:textId="77777777" w:rsidR="005C54C6" w:rsidRPr="005C54C6" w:rsidRDefault="005C54C6" w:rsidP="005C54C6">
            <w:pPr>
              <w:spacing w:after="0" w:line="240" w:lineRule="auto"/>
              <w:textAlignment w:val="baseline"/>
              <w:rPr>
                <w:rFonts w:ascii="Segoe UI" w:eastAsia="Times New Roman" w:hAnsi="Segoe UI" w:cs="Segoe UI"/>
                <w:kern w:val="0"/>
                <w:sz w:val="18"/>
                <w:szCs w:val="18"/>
                <w:lang w:eastAsia="en-AU"/>
                <w14:ligatures w14:val="none"/>
              </w:rPr>
            </w:pPr>
            <w:r w:rsidRPr="005C54C6">
              <w:rPr>
                <w:rFonts w:ascii="Calibri" w:eastAsia="Times New Roman" w:hAnsi="Calibri" w:cs="Calibri"/>
                <w:kern w:val="0"/>
                <w:lang w:eastAsia="en-AU"/>
                <w14:ligatures w14:val="none"/>
              </w:rPr>
              <w:t>Material bill savings for load-shifting households; improved wholesale efficiency; moderate implementation costs. </w:t>
            </w:r>
          </w:p>
        </w:tc>
      </w:tr>
      <w:tr w:rsidR="005C54C6" w:rsidRPr="005C54C6" w14:paraId="62FF98B8" w14:textId="77777777" w:rsidTr="0018724B">
        <w:trPr>
          <w:trHeight w:val="600"/>
        </w:trPr>
        <w:tc>
          <w:tcPr>
            <w:tcW w:w="1975" w:type="dxa"/>
            <w:tcBorders>
              <w:top w:val="nil"/>
              <w:left w:val="nil"/>
              <w:bottom w:val="nil"/>
              <w:right w:val="nil"/>
            </w:tcBorders>
            <w:shd w:val="clear" w:color="auto" w:fill="F2F2F2" w:themeFill="background1" w:themeFillShade="F2"/>
            <w:vAlign w:val="center"/>
            <w:hideMark/>
          </w:tcPr>
          <w:p w14:paraId="476E88EA" w14:textId="77777777" w:rsidR="005C54C6" w:rsidRPr="005C54C6" w:rsidRDefault="005C54C6" w:rsidP="005C54C6">
            <w:pPr>
              <w:spacing w:after="0" w:line="240" w:lineRule="auto"/>
              <w:textAlignment w:val="baseline"/>
              <w:rPr>
                <w:rFonts w:ascii="Segoe UI" w:eastAsia="Times New Roman" w:hAnsi="Segoe UI" w:cs="Segoe UI"/>
                <w:b/>
                <w:bCs/>
                <w:kern w:val="0"/>
                <w:sz w:val="18"/>
                <w:szCs w:val="18"/>
                <w:lang w:eastAsia="en-AU"/>
                <w14:ligatures w14:val="none"/>
              </w:rPr>
            </w:pPr>
            <w:r w:rsidRPr="005C54C6">
              <w:rPr>
                <w:rFonts w:ascii="Calibri" w:eastAsia="Times New Roman" w:hAnsi="Calibri" w:cs="Calibri"/>
                <w:b/>
                <w:bCs/>
                <w:kern w:val="0"/>
                <w:lang w:eastAsia="en-AU"/>
                <w14:ligatures w14:val="none"/>
              </w:rPr>
              <w:t>Competition </w:t>
            </w:r>
          </w:p>
        </w:tc>
        <w:tc>
          <w:tcPr>
            <w:tcW w:w="1375" w:type="dxa"/>
            <w:tcBorders>
              <w:top w:val="nil"/>
              <w:left w:val="nil"/>
              <w:bottom w:val="nil"/>
              <w:right w:val="nil"/>
            </w:tcBorders>
            <w:shd w:val="clear" w:color="auto" w:fill="F2F2F2" w:themeFill="background1" w:themeFillShade="F2"/>
            <w:vAlign w:val="center"/>
            <w:hideMark/>
          </w:tcPr>
          <w:p w14:paraId="768753E5" w14:textId="77777777" w:rsidR="005C54C6" w:rsidRPr="005C54C6" w:rsidRDefault="005C54C6" w:rsidP="005C54C6">
            <w:pPr>
              <w:spacing w:after="0" w:line="240" w:lineRule="auto"/>
              <w:jc w:val="center"/>
              <w:textAlignment w:val="baseline"/>
              <w:rPr>
                <w:rFonts w:ascii="Segoe UI" w:eastAsia="Times New Roman" w:hAnsi="Segoe UI" w:cs="Segoe UI"/>
                <w:kern w:val="0"/>
                <w:sz w:val="18"/>
                <w:szCs w:val="18"/>
                <w:lang w:eastAsia="en-AU"/>
                <w14:ligatures w14:val="none"/>
              </w:rPr>
            </w:pPr>
            <w:r w:rsidRPr="005C54C6">
              <w:rPr>
                <w:rFonts w:ascii="Segoe UI Emoji" w:eastAsia="Times New Roman" w:hAnsi="Segoe UI Emoji" w:cs="Segoe UI"/>
                <w:kern w:val="0"/>
                <w:lang w:eastAsia="en-AU"/>
                <w14:ligatures w14:val="none"/>
              </w:rPr>
              <w:t>🟢 </w:t>
            </w:r>
          </w:p>
        </w:tc>
        <w:tc>
          <w:tcPr>
            <w:tcW w:w="6046" w:type="dxa"/>
            <w:gridSpan w:val="3"/>
            <w:tcBorders>
              <w:top w:val="nil"/>
              <w:left w:val="nil"/>
              <w:bottom w:val="nil"/>
              <w:right w:val="nil"/>
            </w:tcBorders>
            <w:shd w:val="clear" w:color="auto" w:fill="F2F2F2" w:themeFill="background1" w:themeFillShade="F2"/>
            <w:vAlign w:val="center"/>
            <w:hideMark/>
          </w:tcPr>
          <w:p w14:paraId="40AA5EB2" w14:textId="77777777" w:rsidR="005C54C6" w:rsidRPr="005C54C6" w:rsidRDefault="005C54C6" w:rsidP="005C54C6">
            <w:pPr>
              <w:spacing w:after="0" w:line="240" w:lineRule="auto"/>
              <w:textAlignment w:val="baseline"/>
              <w:rPr>
                <w:rFonts w:ascii="Segoe UI" w:eastAsia="Times New Roman" w:hAnsi="Segoe UI" w:cs="Segoe UI"/>
                <w:kern w:val="0"/>
                <w:sz w:val="18"/>
                <w:szCs w:val="18"/>
                <w:lang w:eastAsia="en-AU"/>
                <w14:ligatures w14:val="none"/>
              </w:rPr>
            </w:pPr>
            <w:r w:rsidRPr="005C54C6">
              <w:rPr>
                <w:rFonts w:ascii="Calibri" w:eastAsia="Times New Roman" w:hAnsi="Calibri" w:cs="Calibri"/>
                <w:kern w:val="0"/>
                <w:lang w:eastAsia="en-AU"/>
                <w14:ligatures w14:val="none"/>
              </w:rPr>
              <w:t>Establishes benchmark improving comparability while preserving market offers; minor compliance impact. </w:t>
            </w:r>
          </w:p>
        </w:tc>
      </w:tr>
      <w:tr w:rsidR="005C54C6" w:rsidRPr="005C54C6" w14:paraId="643A089A" w14:textId="77777777" w:rsidTr="0018724B">
        <w:trPr>
          <w:trHeight w:val="600"/>
        </w:trPr>
        <w:tc>
          <w:tcPr>
            <w:tcW w:w="1975" w:type="dxa"/>
            <w:tcBorders>
              <w:top w:val="nil"/>
              <w:left w:val="nil"/>
              <w:bottom w:val="nil"/>
              <w:right w:val="nil"/>
            </w:tcBorders>
            <w:shd w:val="clear" w:color="auto" w:fill="FFFFFF" w:themeFill="background1"/>
            <w:vAlign w:val="center"/>
            <w:hideMark/>
          </w:tcPr>
          <w:p w14:paraId="0292C4AE" w14:textId="77777777" w:rsidR="005C54C6" w:rsidRPr="005C54C6" w:rsidRDefault="005C54C6" w:rsidP="005C54C6">
            <w:pPr>
              <w:spacing w:after="0" w:line="240" w:lineRule="auto"/>
              <w:textAlignment w:val="baseline"/>
              <w:rPr>
                <w:rFonts w:ascii="Segoe UI" w:eastAsia="Times New Roman" w:hAnsi="Segoe UI" w:cs="Segoe UI"/>
                <w:b/>
                <w:bCs/>
                <w:kern w:val="0"/>
                <w:sz w:val="18"/>
                <w:szCs w:val="18"/>
                <w:lang w:eastAsia="en-AU"/>
                <w14:ligatures w14:val="none"/>
              </w:rPr>
            </w:pPr>
            <w:r w:rsidRPr="005C54C6">
              <w:rPr>
                <w:rFonts w:ascii="Calibri" w:eastAsia="Times New Roman" w:hAnsi="Calibri" w:cs="Calibri"/>
                <w:b/>
                <w:bCs/>
                <w:kern w:val="0"/>
                <w:lang w:eastAsia="en-AU"/>
                <w14:ligatures w14:val="none"/>
              </w:rPr>
              <w:t>Social / Distributional </w:t>
            </w:r>
          </w:p>
        </w:tc>
        <w:tc>
          <w:tcPr>
            <w:tcW w:w="1375" w:type="dxa"/>
            <w:tcBorders>
              <w:top w:val="nil"/>
              <w:left w:val="nil"/>
              <w:bottom w:val="nil"/>
              <w:right w:val="nil"/>
            </w:tcBorders>
            <w:shd w:val="clear" w:color="auto" w:fill="FFFFFF" w:themeFill="background1"/>
            <w:vAlign w:val="center"/>
            <w:hideMark/>
          </w:tcPr>
          <w:p w14:paraId="53900806" w14:textId="77777777" w:rsidR="005C54C6" w:rsidRPr="005C54C6" w:rsidRDefault="005C54C6" w:rsidP="005C54C6">
            <w:pPr>
              <w:spacing w:after="0" w:line="240" w:lineRule="auto"/>
              <w:jc w:val="center"/>
              <w:textAlignment w:val="baseline"/>
              <w:rPr>
                <w:rFonts w:ascii="Segoe UI" w:eastAsia="Times New Roman" w:hAnsi="Segoe UI" w:cs="Segoe UI"/>
                <w:kern w:val="0"/>
                <w:sz w:val="18"/>
                <w:szCs w:val="18"/>
                <w:lang w:eastAsia="en-AU"/>
                <w14:ligatures w14:val="none"/>
              </w:rPr>
            </w:pPr>
            <w:r w:rsidRPr="005C54C6">
              <w:rPr>
                <w:rFonts w:ascii="Segoe UI Emoji" w:eastAsia="Times New Roman" w:hAnsi="Segoe UI Emoji" w:cs="Segoe UI"/>
                <w:kern w:val="0"/>
                <w:lang w:eastAsia="en-AU"/>
                <w14:ligatures w14:val="none"/>
              </w:rPr>
              <w:t>🟢 </w:t>
            </w:r>
          </w:p>
        </w:tc>
        <w:tc>
          <w:tcPr>
            <w:tcW w:w="6046" w:type="dxa"/>
            <w:gridSpan w:val="3"/>
            <w:tcBorders>
              <w:top w:val="nil"/>
              <w:left w:val="nil"/>
              <w:bottom w:val="nil"/>
              <w:right w:val="nil"/>
            </w:tcBorders>
            <w:shd w:val="clear" w:color="auto" w:fill="FFFFFF" w:themeFill="background1"/>
            <w:vAlign w:val="center"/>
            <w:hideMark/>
          </w:tcPr>
          <w:p w14:paraId="5790AC97" w14:textId="77777777" w:rsidR="005C54C6" w:rsidRPr="005C54C6" w:rsidRDefault="005C54C6" w:rsidP="005C54C6">
            <w:pPr>
              <w:spacing w:after="0" w:line="240" w:lineRule="auto"/>
              <w:textAlignment w:val="baseline"/>
              <w:rPr>
                <w:rFonts w:ascii="Segoe UI" w:eastAsia="Times New Roman" w:hAnsi="Segoe UI" w:cs="Segoe UI"/>
                <w:kern w:val="0"/>
                <w:sz w:val="18"/>
                <w:szCs w:val="18"/>
                <w:lang w:eastAsia="en-AU"/>
                <w14:ligatures w14:val="none"/>
              </w:rPr>
            </w:pPr>
            <w:r w:rsidRPr="005C54C6">
              <w:rPr>
                <w:rFonts w:ascii="Calibri" w:eastAsia="Times New Roman" w:hAnsi="Calibri" w:cs="Calibri"/>
                <w:kern w:val="0"/>
                <w:lang w:eastAsia="en-AU"/>
                <w14:ligatures w14:val="none"/>
              </w:rPr>
              <w:t>Expands access for non-CER households; opt-in and reasonable-use cap reduce harm risk. </w:t>
            </w:r>
          </w:p>
        </w:tc>
      </w:tr>
      <w:tr w:rsidR="005C54C6" w:rsidRPr="005C54C6" w14:paraId="55516535" w14:textId="77777777" w:rsidTr="0018724B">
        <w:trPr>
          <w:trHeight w:val="600"/>
        </w:trPr>
        <w:tc>
          <w:tcPr>
            <w:tcW w:w="1975" w:type="dxa"/>
            <w:tcBorders>
              <w:top w:val="nil"/>
              <w:left w:val="nil"/>
              <w:bottom w:val="nil"/>
              <w:right w:val="nil"/>
            </w:tcBorders>
            <w:shd w:val="clear" w:color="auto" w:fill="F2F2F2" w:themeFill="background1" w:themeFillShade="F2"/>
            <w:vAlign w:val="center"/>
            <w:hideMark/>
          </w:tcPr>
          <w:p w14:paraId="2168DD6E" w14:textId="77777777" w:rsidR="005C54C6" w:rsidRPr="005C54C6" w:rsidRDefault="005C54C6" w:rsidP="005C54C6">
            <w:pPr>
              <w:spacing w:after="0" w:line="240" w:lineRule="auto"/>
              <w:textAlignment w:val="baseline"/>
              <w:rPr>
                <w:rFonts w:ascii="Segoe UI" w:eastAsia="Times New Roman" w:hAnsi="Segoe UI" w:cs="Segoe UI"/>
                <w:b/>
                <w:bCs/>
                <w:kern w:val="0"/>
                <w:sz w:val="18"/>
                <w:szCs w:val="18"/>
                <w:lang w:eastAsia="en-AU"/>
                <w14:ligatures w14:val="none"/>
              </w:rPr>
            </w:pPr>
            <w:r w:rsidRPr="005C54C6">
              <w:rPr>
                <w:rFonts w:ascii="Calibri" w:eastAsia="Times New Roman" w:hAnsi="Calibri" w:cs="Calibri"/>
                <w:b/>
                <w:bCs/>
                <w:kern w:val="0"/>
                <w:lang w:eastAsia="en-AU"/>
                <w14:ligatures w14:val="none"/>
              </w:rPr>
              <w:t>Environmental / System </w:t>
            </w:r>
          </w:p>
        </w:tc>
        <w:tc>
          <w:tcPr>
            <w:tcW w:w="1375" w:type="dxa"/>
            <w:tcBorders>
              <w:top w:val="nil"/>
              <w:left w:val="nil"/>
              <w:bottom w:val="nil"/>
              <w:right w:val="nil"/>
            </w:tcBorders>
            <w:shd w:val="clear" w:color="auto" w:fill="F2F2F2" w:themeFill="background1" w:themeFillShade="F2"/>
            <w:vAlign w:val="center"/>
            <w:hideMark/>
          </w:tcPr>
          <w:p w14:paraId="4F038480" w14:textId="77777777" w:rsidR="005C54C6" w:rsidRPr="005C54C6" w:rsidRDefault="005C54C6" w:rsidP="005C54C6">
            <w:pPr>
              <w:spacing w:after="0" w:line="240" w:lineRule="auto"/>
              <w:jc w:val="center"/>
              <w:textAlignment w:val="baseline"/>
              <w:rPr>
                <w:rFonts w:ascii="Segoe UI" w:eastAsia="Times New Roman" w:hAnsi="Segoe UI" w:cs="Segoe UI"/>
                <w:kern w:val="0"/>
                <w:sz w:val="18"/>
                <w:szCs w:val="18"/>
                <w:lang w:eastAsia="en-AU"/>
                <w14:ligatures w14:val="none"/>
              </w:rPr>
            </w:pPr>
            <w:r w:rsidRPr="005C54C6">
              <w:rPr>
                <w:rFonts w:ascii="Segoe UI Emoji" w:eastAsia="Times New Roman" w:hAnsi="Segoe UI Emoji" w:cs="Segoe UI"/>
                <w:kern w:val="0"/>
                <w:lang w:eastAsia="en-AU"/>
                <w14:ligatures w14:val="none"/>
              </w:rPr>
              <w:t>🟢 </w:t>
            </w:r>
          </w:p>
        </w:tc>
        <w:tc>
          <w:tcPr>
            <w:tcW w:w="6046" w:type="dxa"/>
            <w:gridSpan w:val="3"/>
            <w:tcBorders>
              <w:top w:val="nil"/>
              <w:left w:val="nil"/>
              <w:bottom w:val="nil"/>
              <w:right w:val="nil"/>
            </w:tcBorders>
            <w:shd w:val="clear" w:color="auto" w:fill="F2F2F2" w:themeFill="background1" w:themeFillShade="F2"/>
            <w:vAlign w:val="center"/>
            <w:hideMark/>
          </w:tcPr>
          <w:p w14:paraId="54FEFD89" w14:textId="77777777" w:rsidR="005C54C6" w:rsidRPr="005C54C6" w:rsidRDefault="005C54C6" w:rsidP="005C54C6">
            <w:pPr>
              <w:spacing w:after="0" w:line="240" w:lineRule="auto"/>
              <w:textAlignment w:val="baseline"/>
              <w:rPr>
                <w:rFonts w:ascii="Segoe UI" w:eastAsia="Times New Roman" w:hAnsi="Segoe UI" w:cs="Segoe UI"/>
                <w:kern w:val="0"/>
                <w:sz w:val="18"/>
                <w:szCs w:val="18"/>
                <w:lang w:eastAsia="en-AU"/>
                <w14:ligatures w14:val="none"/>
              </w:rPr>
            </w:pPr>
            <w:r w:rsidRPr="005C54C6">
              <w:rPr>
                <w:rFonts w:ascii="Calibri" w:eastAsia="Times New Roman" w:hAnsi="Calibri" w:cs="Calibri"/>
                <w:kern w:val="0"/>
                <w:lang w:eastAsia="en-AU"/>
                <w14:ligatures w14:val="none"/>
              </w:rPr>
              <w:t>Improved renewable utilisation; reduced curtailment; potential moderation of evening peak pressures. </w:t>
            </w:r>
          </w:p>
        </w:tc>
      </w:tr>
      <w:tr w:rsidR="005C54C6" w:rsidRPr="005C54C6" w14:paraId="6F41A41F" w14:textId="77777777" w:rsidTr="0018724B">
        <w:trPr>
          <w:trHeight w:val="900"/>
        </w:trPr>
        <w:tc>
          <w:tcPr>
            <w:tcW w:w="1975" w:type="dxa"/>
            <w:tcBorders>
              <w:top w:val="nil"/>
              <w:left w:val="nil"/>
              <w:bottom w:val="nil"/>
              <w:right w:val="nil"/>
            </w:tcBorders>
            <w:shd w:val="clear" w:color="auto" w:fill="FFFFFF" w:themeFill="background1"/>
            <w:vAlign w:val="center"/>
            <w:hideMark/>
          </w:tcPr>
          <w:p w14:paraId="2EA4866F" w14:textId="77777777" w:rsidR="005C54C6" w:rsidRPr="005C54C6" w:rsidRDefault="005C54C6" w:rsidP="005C54C6">
            <w:pPr>
              <w:spacing w:after="0" w:line="240" w:lineRule="auto"/>
              <w:textAlignment w:val="baseline"/>
              <w:rPr>
                <w:rFonts w:ascii="Segoe UI" w:eastAsia="Times New Roman" w:hAnsi="Segoe UI" w:cs="Segoe UI"/>
                <w:b/>
                <w:bCs/>
                <w:kern w:val="0"/>
                <w:sz w:val="18"/>
                <w:szCs w:val="18"/>
                <w:lang w:eastAsia="en-AU"/>
                <w14:ligatures w14:val="none"/>
              </w:rPr>
            </w:pPr>
            <w:r w:rsidRPr="005C54C6">
              <w:rPr>
                <w:rFonts w:ascii="Calibri" w:eastAsia="Times New Roman" w:hAnsi="Calibri" w:cs="Calibri"/>
                <w:b/>
                <w:bCs/>
                <w:kern w:val="0"/>
                <w:lang w:eastAsia="en-AU"/>
                <w14:ligatures w14:val="none"/>
              </w:rPr>
              <w:t>Regulatory Burden </w:t>
            </w:r>
          </w:p>
        </w:tc>
        <w:tc>
          <w:tcPr>
            <w:tcW w:w="1375" w:type="dxa"/>
            <w:tcBorders>
              <w:top w:val="nil"/>
              <w:left w:val="nil"/>
              <w:bottom w:val="nil"/>
              <w:right w:val="nil"/>
            </w:tcBorders>
            <w:shd w:val="clear" w:color="auto" w:fill="FFFFFF" w:themeFill="background1"/>
            <w:vAlign w:val="center"/>
            <w:hideMark/>
          </w:tcPr>
          <w:p w14:paraId="78C6248A" w14:textId="77777777" w:rsidR="005C54C6" w:rsidRPr="005C54C6" w:rsidRDefault="005C54C6" w:rsidP="005C54C6">
            <w:pPr>
              <w:spacing w:after="0" w:line="240" w:lineRule="auto"/>
              <w:jc w:val="center"/>
              <w:textAlignment w:val="baseline"/>
              <w:rPr>
                <w:rFonts w:ascii="Segoe UI" w:eastAsia="Times New Roman" w:hAnsi="Segoe UI" w:cs="Segoe UI"/>
                <w:kern w:val="0"/>
                <w:sz w:val="18"/>
                <w:szCs w:val="18"/>
                <w:lang w:eastAsia="en-AU"/>
                <w14:ligatures w14:val="none"/>
              </w:rPr>
            </w:pPr>
            <w:r w:rsidRPr="005C54C6">
              <w:rPr>
                <w:rFonts w:ascii="Segoe UI Emoji" w:eastAsia="Times New Roman" w:hAnsi="Segoe UI Emoji" w:cs="Segoe UI"/>
                <w:kern w:val="0"/>
                <w:lang w:eastAsia="en-AU"/>
                <w14:ligatures w14:val="none"/>
              </w:rPr>
              <w:t>🟡 </w:t>
            </w:r>
          </w:p>
        </w:tc>
        <w:tc>
          <w:tcPr>
            <w:tcW w:w="6046" w:type="dxa"/>
            <w:gridSpan w:val="3"/>
            <w:tcBorders>
              <w:top w:val="nil"/>
              <w:left w:val="nil"/>
              <w:bottom w:val="nil"/>
              <w:right w:val="nil"/>
            </w:tcBorders>
            <w:shd w:val="clear" w:color="auto" w:fill="FFFFFF" w:themeFill="background1"/>
            <w:vAlign w:val="center"/>
            <w:hideMark/>
          </w:tcPr>
          <w:p w14:paraId="6474C8A1" w14:textId="77777777" w:rsidR="005C54C6" w:rsidRPr="005C54C6" w:rsidRDefault="005C54C6" w:rsidP="005C54C6">
            <w:pPr>
              <w:spacing w:after="0" w:line="240" w:lineRule="auto"/>
              <w:textAlignment w:val="baseline"/>
              <w:rPr>
                <w:rFonts w:ascii="Segoe UI" w:eastAsia="Times New Roman" w:hAnsi="Segoe UI" w:cs="Segoe UI"/>
                <w:kern w:val="0"/>
                <w:sz w:val="18"/>
                <w:szCs w:val="18"/>
                <w:lang w:eastAsia="en-AU"/>
                <w14:ligatures w14:val="none"/>
              </w:rPr>
            </w:pPr>
            <w:r w:rsidRPr="005C54C6">
              <w:rPr>
                <w:rFonts w:ascii="Calibri" w:eastAsia="Times New Roman" w:hAnsi="Calibri" w:cs="Calibri"/>
                <w:kern w:val="0"/>
                <w:lang w:eastAsia="en-AU"/>
                <w14:ligatures w14:val="none"/>
              </w:rPr>
              <w:t>Moderate implementation and compliance costs, proportionate and manageable within existing DMO framework. </w:t>
            </w:r>
          </w:p>
        </w:tc>
      </w:tr>
      <w:tr w:rsidR="005C54C6" w:rsidRPr="005C54C6" w14:paraId="2D5AA5EA" w14:textId="77777777" w:rsidTr="0018724B">
        <w:trPr>
          <w:trHeight w:val="615"/>
        </w:trPr>
        <w:tc>
          <w:tcPr>
            <w:tcW w:w="1975" w:type="dxa"/>
            <w:tcBorders>
              <w:top w:val="nil"/>
              <w:left w:val="nil"/>
              <w:bottom w:val="single" w:sz="4" w:space="0" w:color="D1D1D1" w:themeColor="background2" w:themeShade="E6"/>
              <w:right w:val="nil"/>
            </w:tcBorders>
            <w:shd w:val="clear" w:color="auto" w:fill="F2F2F2" w:themeFill="background1" w:themeFillShade="F2"/>
            <w:vAlign w:val="center"/>
            <w:hideMark/>
          </w:tcPr>
          <w:p w14:paraId="44423F15" w14:textId="77777777" w:rsidR="005C54C6" w:rsidRPr="005C54C6" w:rsidRDefault="005C54C6" w:rsidP="005C54C6">
            <w:pPr>
              <w:spacing w:after="0" w:line="240" w:lineRule="auto"/>
              <w:textAlignment w:val="baseline"/>
              <w:rPr>
                <w:rFonts w:ascii="Segoe UI" w:eastAsia="Times New Roman" w:hAnsi="Segoe UI" w:cs="Segoe UI"/>
                <w:b/>
                <w:bCs/>
                <w:kern w:val="0"/>
                <w:sz w:val="18"/>
                <w:szCs w:val="18"/>
                <w:lang w:eastAsia="en-AU"/>
                <w14:ligatures w14:val="none"/>
              </w:rPr>
            </w:pPr>
            <w:r w:rsidRPr="005C54C6">
              <w:rPr>
                <w:rFonts w:ascii="Calibri" w:eastAsia="Times New Roman" w:hAnsi="Calibri" w:cs="Calibri"/>
                <w:b/>
                <w:bCs/>
                <w:kern w:val="0"/>
                <w:lang w:eastAsia="en-AU"/>
                <w14:ligatures w14:val="none"/>
              </w:rPr>
              <w:t>Overall Net Benefit </w:t>
            </w:r>
          </w:p>
        </w:tc>
        <w:tc>
          <w:tcPr>
            <w:tcW w:w="1375" w:type="dxa"/>
            <w:tcBorders>
              <w:top w:val="nil"/>
              <w:left w:val="nil"/>
              <w:bottom w:val="single" w:sz="4" w:space="0" w:color="D1D1D1" w:themeColor="background2" w:themeShade="E6"/>
              <w:right w:val="nil"/>
            </w:tcBorders>
            <w:shd w:val="clear" w:color="auto" w:fill="F2F2F2" w:themeFill="background1" w:themeFillShade="F2"/>
            <w:vAlign w:val="center"/>
            <w:hideMark/>
          </w:tcPr>
          <w:p w14:paraId="3C7AF25A" w14:textId="77777777" w:rsidR="005C54C6" w:rsidRPr="005C54C6" w:rsidRDefault="005C54C6" w:rsidP="005C54C6">
            <w:pPr>
              <w:spacing w:after="0" w:line="240" w:lineRule="auto"/>
              <w:jc w:val="center"/>
              <w:textAlignment w:val="baseline"/>
              <w:rPr>
                <w:rFonts w:ascii="Segoe UI" w:eastAsia="Times New Roman" w:hAnsi="Segoe UI" w:cs="Segoe UI"/>
                <w:kern w:val="0"/>
                <w:sz w:val="18"/>
                <w:szCs w:val="18"/>
                <w:lang w:eastAsia="en-AU"/>
                <w14:ligatures w14:val="none"/>
              </w:rPr>
            </w:pPr>
            <w:r w:rsidRPr="005C54C6">
              <w:rPr>
                <w:rFonts w:ascii="Segoe UI Emoji" w:eastAsia="Times New Roman" w:hAnsi="Segoe UI Emoji" w:cs="Segoe UI"/>
                <w:kern w:val="0"/>
                <w:lang w:eastAsia="en-AU"/>
                <w14:ligatures w14:val="none"/>
              </w:rPr>
              <w:t>🟢 </w:t>
            </w:r>
          </w:p>
        </w:tc>
        <w:tc>
          <w:tcPr>
            <w:tcW w:w="6046" w:type="dxa"/>
            <w:gridSpan w:val="3"/>
            <w:tcBorders>
              <w:top w:val="nil"/>
              <w:left w:val="nil"/>
              <w:bottom w:val="single" w:sz="4" w:space="0" w:color="D1D1D1" w:themeColor="background2" w:themeShade="E6"/>
              <w:right w:val="nil"/>
            </w:tcBorders>
            <w:shd w:val="clear" w:color="auto" w:fill="F2F2F2" w:themeFill="background1" w:themeFillShade="F2"/>
            <w:vAlign w:val="center"/>
            <w:hideMark/>
          </w:tcPr>
          <w:p w14:paraId="53B04BD9" w14:textId="77777777" w:rsidR="005C54C6" w:rsidRPr="005C54C6" w:rsidRDefault="005C54C6" w:rsidP="005C54C6">
            <w:pPr>
              <w:spacing w:after="0" w:line="240" w:lineRule="auto"/>
              <w:textAlignment w:val="baseline"/>
              <w:rPr>
                <w:rFonts w:ascii="Segoe UI" w:eastAsia="Times New Roman" w:hAnsi="Segoe UI" w:cs="Segoe UI"/>
                <w:kern w:val="0"/>
                <w:sz w:val="18"/>
                <w:szCs w:val="18"/>
                <w:lang w:eastAsia="en-AU"/>
                <w14:ligatures w14:val="none"/>
              </w:rPr>
            </w:pPr>
            <w:r w:rsidRPr="005C54C6">
              <w:rPr>
                <w:rFonts w:ascii="Calibri" w:eastAsia="Times New Roman" w:hAnsi="Calibri" w:cs="Calibri"/>
                <w:kern w:val="0"/>
                <w:lang w:eastAsia="en-AU"/>
                <w14:ligatures w14:val="none"/>
              </w:rPr>
              <w:t>Delivers strongest structural alignment between affordability, equity and system efficiency objectives. </w:t>
            </w:r>
          </w:p>
        </w:tc>
      </w:tr>
    </w:tbl>
    <w:p w14:paraId="490C5596" w14:textId="4B020E60" w:rsidR="00952066" w:rsidRPr="00B5064E" w:rsidRDefault="00952066" w:rsidP="00B905AA">
      <w:pPr>
        <w:spacing w:before="120"/>
        <w:rPr>
          <w:rFonts w:ascii="Calibri" w:hAnsi="Calibri" w:cs="Calibri"/>
          <w:color w:val="000000" w:themeColor="text1"/>
        </w:rPr>
      </w:pPr>
      <w:r w:rsidRPr="00B5064E">
        <w:rPr>
          <w:rFonts w:ascii="Calibri" w:hAnsi="Calibri" w:cs="Calibri"/>
          <w:color w:val="000000" w:themeColor="text1"/>
        </w:rPr>
        <w:t>The regulated SSO delivers the strongest structural response to the identified problem. It provides predictable access to a solar-aligned pricing window for eligible households, improves comparability through the DMO framework, and supports more efficient utilisation of renewable generation.</w:t>
      </w:r>
    </w:p>
    <w:p w14:paraId="793C2A8A" w14:textId="77777777" w:rsidR="00952066" w:rsidRPr="00B5064E" w:rsidRDefault="00952066" w:rsidP="00952066">
      <w:pPr>
        <w:rPr>
          <w:rFonts w:ascii="Calibri" w:hAnsi="Calibri" w:cs="Calibri"/>
          <w:color w:val="000000" w:themeColor="text1"/>
        </w:rPr>
      </w:pPr>
      <w:r w:rsidRPr="00B5064E">
        <w:rPr>
          <w:rFonts w:ascii="Calibri" w:hAnsi="Calibri" w:cs="Calibri"/>
          <w:color w:val="000000" w:themeColor="text1"/>
        </w:rPr>
        <w:t>Although implementation imposes moderate compliance and system configuration costs on larger retailers, these costs are proportionate and manageable within the existing DMO regulatory architecture. Design safeguards — including opt-in participation, a reasonable-use cap and DNSP-specific timing flexibility — mitigate key risks identified in consultation.</w:t>
      </w:r>
    </w:p>
    <w:p w14:paraId="529DF6BE" w14:textId="292E0954" w:rsidR="00B151B0" w:rsidRPr="00B5064E" w:rsidRDefault="00952066" w:rsidP="00F93528">
      <w:pPr>
        <w:rPr>
          <w:rFonts w:ascii="Calibri" w:hAnsi="Calibri" w:cs="Calibri"/>
          <w:color w:val="000000" w:themeColor="text1"/>
        </w:rPr>
      </w:pPr>
      <w:r w:rsidRPr="00B5064E">
        <w:rPr>
          <w:rFonts w:ascii="Calibri" w:hAnsi="Calibri" w:cs="Calibri"/>
          <w:color w:val="000000" w:themeColor="text1"/>
        </w:rPr>
        <w:t>On balance, Option A1 delivers the highest net benefit by materially improving equity, strengthening system efficiency and maintaining regulatory feasibility, while preserving scope for ongoing retail innovation.</w:t>
      </w:r>
      <w:r w:rsidR="00B151B0" w:rsidRPr="00B5064E">
        <w:rPr>
          <w:rFonts w:ascii="Calibri" w:hAnsi="Calibri" w:cs="Calibri"/>
          <w:color w:val="000000" w:themeColor="text1"/>
        </w:rPr>
        <w:t xml:space="preserve"> However, there are risks associated with </w:t>
      </w:r>
      <w:r w:rsidR="0066162D" w:rsidRPr="00B5064E">
        <w:rPr>
          <w:rFonts w:ascii="Calibri" w:hAnsi="Calibri" w:cs="Calibri"/>
          <w:color w:val="000000" w:themeColor="text1"/>
        </w:rPr>
        <w:t>these options</w:t>
      </w:r>
      <w:r w:rsidR="00B151B0" w:rsidRPr="00B5064E">
        <w:rPr>
          <w:rFonts w:ascii="Calibri" w:hAnsi="Calibri" w:cs="Calibri"/>
          <w:color w:val="000000" w:themeColor="text1"/>
        </w:rPr>
        <w:t>. These risks and mitigations to those are discussed in detail below</w:t>
      </w:r>
      <w:r w:rsidR="004B71EF" w:rsidRPr="00B5064E">
        <w:rPr>
          <w:rFonts w:ascii="Calibri" w:hAnsi="Calibri" w:cs="Calibri"/>
          <w:color w:val="000000" w:themeColor="text1"/>
        </w:rPr>
        <w:t xml:space="preserve"> in </w:t>
      </w:r>
      <w:r w:rsidR="004B71EF" w:rsidRPr="00B5064E">
        <w:rPr>
          <w:rFonts w:ascii="Calibri" w:hAnsi="Calibri" w:cs="Calibri"/>
          <w:i/>
          <w:iCs/>
          <w:color w:val="000000" w:themeColor="text1"/>
        </w:rPr>
        <w:t>table 5</w:t>
      </w:r>
      <w:r w:rsidR="00B151B0" w:rsidRPr="00B5064E">
        <w:rPr>
          <w:rFonts w:ascii="Calibri" w:hAnsi="Calibri" w:cs="Calibri"/>
          <w:i/>
          <w:iCs/>
          <w:color w:val="000000" w:themeColor="text1"/>
        </w:rPr>
        <w:t>.</w:t>
      </w:r>
      <w:r w:rsidR="00B151B0" w:rsidRPr="00B5064E">
        <w:rPr>
          <w:rFonts w:ascii="Calibri" w:hAnsi="Calibri" w:cs="Calibri"/>
          <w:color w:val="000000" w:themeColor="text1"/>
        </w:rPr>
        <w:t xml:space="preserve"> </w:t>
      </w:r>
    </w:p>
    <w:p w14:paraId="7C9CB273" w14:textId="61FA57C5" w:rsidR="00FD2C02" w:rsidRPr="00B5064E" w:rsidRDefault="00177BF7" w:rsidP="00636DD3">
      <w:pPr>
        <w:pStyle w:val="Heading3"/>
        <w:spacing w:after="120"/>
        <w:rPr>
          <w:rFonts w:ascii="Calibri" w:hAnsi="Calibri" w:cs="Calibri"/>
        </w:rPr>
      </w:pPr>
      <w:bookmarkStart w:id="37" w:name="_Toc222842784"/>
      <w:r w:rsidRPr="00B5064E" w:rsidDel="00FD2C02">
        <w:rPr>
          <w:rFonts w:ascii="Calibri" w:hAnsi="Calibri" w:cs="Calibri"/>
        </w:rPr>
        <w:t xml:space="preserve">Table </w:t>
      </w:r>
      <w:r w:rsidR="004B71EF" w:rsidRPr="00B5064E">
        <w:rPr>
          <w:rFonts w:ascii="Calibri" w:hAnsi="Calibri" w:cs="Calibri"/>
        </w:rPr>
        <w:t>5</w:t>
      </w:r>
      <w:r w:rsidR="00FD2C02" w:rsidRPr="00B5064E">
        <w:rPr>
          <w:rFonts w:ascii="Calibri" w:hAnsi="Calibri" w:cs="Calibri"/>
        </w:rPr>
        <w:t>: Consideration of risks and mitigations with option A1</w:t>
      </w:r>
      <w:bookmarkEnd w:id="37"/>
    </w:p>
    <w:p w14:paraId="2276E6CE" w14:textId="77777777" w:rsidR="00FD2C02" w:rsidRPr="00B5064E" w:rsidRDefault="00FD2C02" w:rsidP="00FD2C02">
      <w:pPr>
        <w:rPr>
          <w:rFonts w:ascii="Calibri" w:hAnsi="Calibri" w:cs="Calibri"/>
        </w:rPr>
      </w:pPr>
      <w:r w:rsidRPr="00B5064E">
        <w:rPr>
          <w:rFonts w:ascii="Calibri" w:hAnsi="Calibri" w:cs="Calibri"/>
        </w:rPr>
        <w:t>While Option A1 is intended to improve equity, system efficiency and consumer access to the benefits of daytime renewable generation, stakeholder feedback and departmental analysis identify a number of implementation and design risks that require careful management to ensure the policy delivers its intended outcomes.</w:t>
      </w:r>
    </w:p>
    <w:p w14:paraId="46813E95" w14:textId="2D4370F8" w:rsidR="00FD2C02" w:rsidRPr="00B5064E" w:rsidRDefault="00FD2C02" w:rsidP="00FD2C02">
      <w:pPr>
        <w:rPr>
          <w:rFonts w:ascii="Calibri" w:hAnsi="Calibri" w:cs="Calibri"/>
          <w:iCs/>
        </w:rPr>
      </w:pPr>
      <w:r w:rsidRPr="00B5064E">
        <w:rPr>
          <w:rFonts w:ascii="Calibri" w:hAnsi="Calibri" w:cs="Calibri"/>
        </w:rPr>
        <w:t xml:space="preserve">Stakeholder consultation indicated broad support for the objective of sharing the benefits of abundant solar generation and improving demand smoothing. However, submissions noted that outcomes will depend on the detailed design of the tariff, the interaction with existing market and network arrangements, and the capacity of consumers </w:t>
      </w:r>
      <w:r w:rsidRPr="006645E7">
        <w:rPr>
          <w:rFonts w:ascii="Calibri" w:hAnsi="Calibri" w:cs="Calibri"/>
        </w:rPr>
        <w:t>to respond to the price signal. The key risk themes, potential impact and mitigation strategies are outlined below</w:t>
      </w:r>
      <w:r w:rsidR="006968B2" w:rsidRPr="006645E7">
        <w:rPr>
          <w:rFonts w:ascii="Calibri" w:hAnsi="Calibri" w:cs="Calibri"/>
        </w:rPr>
        <w:t xml:space="preserve"> in </w:t>
      </w:r>
      <w:r w:rsidR="006968B2" w:rsidRPr="006645E7">
        <w:rPr>
          <w:rFonts w:ascii="Calibri" w:hAnsi="Calibri" w:cs="Calibri"/>
          <w:i/>
          <w:iCs/>
        </w:rPr>
        <w:t xml:space="preserve">table </w:t>
      </w:r>
      <w:r w:rsidR="006645E7" w:rsidRPr="006645E7">
        <w:rPr>
          <w:rFonts w:ascii="Calibri" w:hAnsi="Calibri" w:cs="Calibri"/>
          <w:i/>
          <w:iCs/>
        </w:rPr>
        <w:t>5</w:t>
      </w:r>
      <w:r w:rsidR="006968B2" w:rsidRPr="006645E7">
        <w:rPr>
          <w:rFonts w:ascii="Calibri" w:hAnsi="Calibri" w:cs="Calibri"/>
          <w:i/>
          <w:iCs/>
        </w:rPr>
        <w:t>.</w:t>
      </w:r>
      <w:r w:rsidR="006968B2" w:rsidRPr="00B5064E">
        <w:rPr>
          <w:rFonts w:ascii="Calibri" w:hAnsi="Calibri" w:cs="Calibri"/>
          <w:iCs/>
        </w:rPr>
        <w:t xml:space="preserve"> </w:t>
      </w:r>
    </w:p>
    <w:p w14:paraId="4CBF8CFA" w14:textId="276B4885" w:rsidR="00FD2C02" w:rsidRPr="00B5064E" w:rsidRDefault="00FD2C02" w:rsidP="005B3EB2">
      <w:pPr>
        <w:rPr>
          <w:rFonts w:ascii="Calibri" w:hAnsi="Calibri" w:cs="Calibri"/>
        </w:rPr>
        <w:sectPr w:rsidR="00FD2C02" w:rsidRPr="00B5064E" w:rsidSect="0035712C">
          <w:headerReference w:type="even" r:id="rId11"/>
          <w:headerReference w:type="default" r:id="rId12"/>
          <w:footerReference w:type="even" r:id="rId13"/>
          <w:footerReference w:type="default" r:id="rId14"/>
          <w:footerReference w:type="first" r:id="rId15"/>
          <w:pgSz w:w="11906" w:h="16838"/>
          <w:pgMar w:top="1134" w:right="1247" w:bottom="1134" w:left="1247" w:header="709" w:footer="709" w:gutter="0"/>
          <w:cols w:space="708"/>
          <w:titlePg/>
          <w:docGrid w:linePitch="360"/>
        </w:sectPr>
      </w:pPr>
    </w:p>
    <w:p w14:paraId="77B2713F" w14:textId="173409DA" w:rsidR="00ED55EF" w:rsidRPr="00B5064E" w:rsidRDefault="00ED55EF" w:rsidP="00ED55EF">
      <w:pPr>
        <w:pStyle w:val="Caption"/>
        <w:keepNext/>
        <w:spacing w:after="0"/>
        <w:rPr>
          <w:i/>
          <w:iCs w:val="0"/>
          <w:sz w:val="20"/>
          <w:szCs w:val="20"/>
        </w:rPr>
      </w:pPr>
      <w:r w:rsidRPr="00B5064E">
        <w:rPr>
          <w:i/>
          <w:iCs w:val="0"/>
          <w:sz w:val="20"/>
          <w:szCs w:val="20"/>
        </w:rPr>
        <w:lastRenderedPageBreak/>
        <w:t xml:space="preserve">Table </w:t>
      </w:r>
      <w:r w:rsidR="00046AF6">
        <w:rPr>
          <w:i/>
          <w:iCs w:val="0"/>
          <w:sz w:val="20"/>
          <w:szCs w:val="20"/>
        </w:rPr>
        <w:t>5</w:t>
      </w:r>
      <w:r w:rsidRPr="00B5064E">
        <w:rPr>
          <w:i/>
          <w:iCs w:val="0"/>
          <w:sz w:val="20"/>
          <w:szCs w:val="20"/>
        </w:rPr>
        <w:t>: Key risk themes, potential impact and mitigation strategies</w:t>
      </w:r>
    </w:p>
    <w:tbl>
      <w:tblPr>
        <w:tblStyle w:val="PlainTable1"/>
        <w:tblW w:w="5102" w:type="pct"/>
        <w:tblInd w:w="-284" w:type="dxa"/>
        <w:tblBorders>
          <w:top w:val="none" w:sz="0" w:space="0" w:color="auto"/>
          <w:left w:val="none" w:sz="0" w:space="0" w:color="auto"/>
          <w:bottom w:val="single" w:sz="4" w:space="0" w:color="D1D1D1" w:themeColor="background2" w:themeShade="E6"/>
          <w:right w:val="none" w:sz="0" w:space="0" w:color="auto"/>
          <w:insideH w:val="none" w:sz="0" w:space="0" w:color="auto"/>
          <w:insideV w:val="none" w:sz="0" w:space="0" w:color="auto"/>
        </w:tblBorders>
        <w:tblLook w:val="04A0" w:firstRow="1" w:lastRow="0" w:firstColumn="1" w:lastColumn="0" w:noHBand="0" w:noVBand="1"/>
        <w:tblCaption w:val="Table 6: Key risk themes, potential impact and mitigation strategies"/>
      </w:tblPr>
      <w:tblGrid>
        <w:gridCol w:w="1702"/>
        <w:gridCol w:w="3545"/>
        <w:gridCol w:w="2407"/>
        <w:gridCol w:w="6589"/>
      </w:tblGrid>
      <w:tr w:rsidR="00AA3799" w:rsidRPr="00B5064E" w14:paraId="697876C9" w14:textId="77777777" w:rsidTr="002421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E8E8E8" w:themeFill="background2"/>
            <w:hideMark/>
          </w:tcPr>
          <w:p w14:paraId="5FBF8940" w14:textId="77777777" w:rsidR="00366DB0" w:rsidRPr="00B5064E" w:rsidRDefault="00366DB0" w:rsidP="00CF5529">
            <w:pPr>
              <w:spacing w:before="120" w:after="120" w:line="259" w:lineRule="auto"/>
              <w:jc w:val="center"/>
              <w:rPr>
                <w:rFonts w:ascii="Calibri" w:hAnsi="Calibri" w:cs="Calibri"/>
                <w:caps/>
              </w:rPr>
            </w:pPr>
            <w:r w:rsidRPr="00B5064E">
              <w:rPr>
                <w:rFonts w:ascii="Calibri" w:hAnsi="Calibri" w:cs="Calibri"/>
              </w:rPr>
              <w:t>Risk Area</w:t>
            </w:r>
          </w:p>
        </w:tc>
        <w:tc>
          <w:tcPr>
            <w:tcW w:w="1244" w:type="pct"/>
            <w:shd w:val="clear" w:color="auto" w:fill="E8E8E8" w:themeFill="background2"/>
            <w:hideMark/>
          </w:tcPr>
          <w:p w14:paraId="52014F7D" w14:textId="77777777" w:rsidR="00366DB0" w:rsidRPr="00B5064E" w:rsidRDefault="00366DB0" w:rsidP="00CF5529">
            <w:pPr>
              <w:spacing w:before="120" w:after="120" w:line="259"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aps/>
              </w:rPr>
            </w:pPr>
            <w:r w:rsidRPr="00B5064E">
              <w:rPr>
                <w:rFonts w:ascii="Calibri" w:hAnsi="Calibri" w:cs="Calibri"/>
              </w:rPr>
              <w:t>Description of Risk</w:t>
            </w:r>
          </w:p>
        </w:tc>
        <w:tc>
          <w:tcPr>
            <w:tcW w:w="845" w:type="pct"/>
            <w:shd w:val="clear" w:color="auto" w:fill="E8E8E8" w:themeFill="background2"/>
            <w:hideMark/>
          </w:tcPr>
          <w:p w14:paraId="17535630" w14:textId="77777777" w:rsidR="00366DB0" w:rsidRPr="00B5064E" w:rsidRDefault="00366DB0" w:rsidP="00CF5529">
            <w:pPr>
              <w:spacing w:before="120" w:after="120" w:line="259"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aps/>
              </w:rPr>
            </w:pPr>
            <w:r w:rsidRPr="00B5064E">
              <w:rPr>
                <w:rFonts w:ascii="Calibri" w:hAnsi="Calibri" w:cs="Calibri"/>
              </w:rPr>
              <w:t>Potential Impact</w:t>
            </w:r>
          </w:p>
        </w:tc>
        <w:tc>
          <w:tcPr>
            <w:tcW w:w="2313" w:type="pct"/>
            <w:shd w:val="clear" w:color="auto" w:fill="E8E8E8" w:themeFill="background2"/>
            <w:hideMark/>
          </w:tcPr>
          <w:p w14:paraId="731E38DD" w14:textId="77777777" w:rsidR="00366DB0" w:rsidRPr="00B5064E" w:rsidRDefault="00366DB0" w:rsidP="00CF5529">
            <w:pPr>
              <w:spacing w:before="120" w:after="120" w:line="259"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aps/>
              </w:rPr>
            </w:pPr>
            <w:r w:rsidRPr="00B5064E">
              <w:rPr>
                <w:rFonts w:ascii="Calibri" w:hAnsi="Calibri" w:cs="Calibri"/>
              </w:rPr>
              <w:t>Mitigation / Design Considerations</w:t>
            </w:r>
          </w:p>
        </w:tc>
      </w:tr>
      <w:tr w:rsidR="00AA3799" w:rsidRPr="00B5064E" w14:paraId="1BA864CE" w14:textId="77777777" w:rsidTr="00242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vAlign w:val="center"/>
            <w:hideMark/>
          </w:tcPr>
          <w:p w14:paraId="4D71EAA4" w14:textId="77777777" w:rsidR="00366DB0" w:rsidRPr="002421AC" w:rsidRDefault="00366DB0" w:rsidP="002421AC">
            <w:pPr>
              <w:spacing w:before="120" w:after="120" w:line="259" w:lineRule="auto"/>
              <w:rPr>
                <w:rFonts w:ascii="Calibri" w:hAnsi="Calibri" w:cs="Calibri"/>
                <w:caps/>
              </w:rPr>
            </w:pPr>
            <w:r w:rsidRPr="002421AC">
              <w:rPr>
                <w:rFonts w:ascii="Calibri" w:hAnsi="Calibri" w:cs="Calibri"/>
              </w:rPr>
              <w:t>Equity and consumer outcomes</w:t>
            </w:r>
          </w:p>
        </w:tc>
        <w:tc>
          <w:tcPr>
            <w:tcW w:w="1244" w:type="pct"/>
            <w:shd w:val="clear" w:color="auto" w:fill="FFFFFF" w:themeFill="background1"/>
            <w:vAlign w:val="center"/>
            <w:hideMark/>
          </w:tcPr>
          <w:p w14:paraId="26436574" w14:textId="77777777" w:rsidR="00366DB0" w:rsidRPr="002421AC" w:rsidRDefault="00366DB0" w:rsidP="002421AC">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21AC">
              <w:rPr>
                <w:rFonts w:ascii="Calibri" w:hAnsi="Calibri" w:cs="Calibri"/>
              </w:rPr>
              <w:t>Customers with limited ability to shift consumption (e.g. renters, low-income households, shift workers, or households with inflexible demand) may realise smaller benefits from the free-power period. Residual cost recovery outside the free period may disproportionately affect these groups if not carefully calibrated.</w:t>
            </w:r>
          </w:p>
        </w:tc>
        <w:tc>
          <w:tcPr>
            <w:tcW w:w="845" w:type="pct"/>
            <w:shd w:val="clear" w:color="auto" w:fill="FFFFFF" w:themeFill="background1"/>
            <w:vAlign w:val="center"/>
            <w:hideMark/>
          </w:tcPr>
          <w:p w14:paraId="0297DEBF" w14:textId="77777777" w:rsidR="00366DB0" w:rsidRPr="002421AC" w:rsidRDefault="00366DB0" w:rsidP="002421AC">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21AC">
              <w:rPr>
                <w:rFonts w:ascii="Calibri" w:hAnsi="Calibri" w:cs="Calibri"/>
              </w:rPr>
              <w:t>Uneven distribution of benefits and potential widening of affordability outcomes between flexible and inflexible consumers. Reduced perceived fairness of the policy.</w:t>
            </w:r>
          </w:p>
        </w:tc>
        <w:tc>
          <w:tcPr>
            <w:tcW w:w="2313" w:type="pct"/>
            <w:shd w:val="clear" w:color="auto" w:fill="FFFFFF" w:themeFill="background1"/>
            <w:vAlign w:val="center"/>
            <w:hideMark/>
          </w:tcPr>
          <w:p w14:paraId="388684FB" w14:textId="2B4C7903" w:rsidR="00366DB0" w:rsidRPr="002421AC" w:rsidRDefault="00366DB0" w:rsidP="002421AC">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21AC">
              <w:rPr>
                <w:rFonts w:ascii="Calibri" w:hAnsi="Calibri" w:cs="Calibri"/>
              </w:rPr>
              <w:t>Under Design Principle 1, the AER must ensure that customers capable of shifting load are better off overall, with the opt</w:t>
            </w:r>
            <w:r w:rsidRPr="002421AC">
              <w:rPr>
                <w:rFonts w:ascii="Calibri" w:hAnsi="Calibri" w:cs="Calibri"/>
              </w:rPr>
              <w:noBreakHyphen/>
              <w:t>in structure avoiding inadvertent harm to those for whom the tariff is unsuitable. Design Principle 5 introduces a reasonable</w:t>
            </w:r>
            <w:r w:rsidRPr="002421AC">
              <w:rPr>
                <w:rFonts w:ascii="Calibri" w:hAnsi="Calibri" w:cs="Calibri"/>
              </w:rPr>
              <w:noBreakHyphen/>
              <w:t>use cap that limits excessive free</w:t>
            </w:r>
            <w:r w:rsidRPr="002421AC">
              <w:rPr>
                <w:rFonts w:ascii="Calibri" w:hAnsi="Calibri" w:cs="Calibri"/>
              </w:rPr>
              <w:noBreakHyphen/>
              <w:t>period consumption by CER</w:t>
            </w:r>
            <w:r w:rsidRPr="002421AC">
              <w:rPr>
                <w:rFonts w:ascii="Calibri" w:hAnsi="Calibri" w:cs="Calibri"/>
              </w:rPr>
              <w:noBreakHyphen/>
              <w:t>enabled households, supporting fairness across consumer groups. Design Principle 6 provides for ongoing monitoring of distributional impacts and enables refinement of tariff settings to protect vulnerable households. These measures are complemented by clear consumer disclosures, simple tariff structures, defined reasonable</w:t>
            </w:r>
            <w:r w:rsidRPr="002421AC">
              <w:rPr>
                <w:rFonts w:ascii="Calibri" w:hAnsi="Calibri" w:cs="Calibri"/>
              </w:rPr>
              <w:noBreakHyphen/>
              <w:t>use thresholds and transparent comparison tools to support informed decision</w:t>
            </w:r>
            <w:r w:rsidRPr="002421AC">
              <w:rPr>
                <w:rFonts w:ascii="Calibri" w:hAnsi="Calibri" w:cs="Calibri"/>
              </w:rPr>
              <w:noBreakHyphen/>
              <w:t>making.</w:t>
            </w:r>
          </w:p>
        </w:tc>
      </w:tr>
      <w:tr w:rsidR="00AA3799" w:rsidRPr="00B5064E" w14:paraId="71CBC052" w14:textId="77777777" w:rsidTr="002421AC">
        <w:tc>
          <w:tcPr>
            <w:cnfStyle w:val="001000000000" w:firstRow="0" w:lastRow="0" w:firstColumn="1" w:lastColumn="0" w:oddVBand="0" w:evenVBand="0" w:oddHBand="0" w:evenHBand="0" w:firstRowFirstColumn="0" w:firstRowLastColumn="0" w:lastRowFirstColumn="0" w:lastRowLastColumn="0"/>
            <w:tcW w:w="597" w:type="pct"/>
            <w:shd w:val="clear" w:color="auto" w:fill="F2F2F2" w:themeFill="background1" w:themeFillShade="F2"/>
            <w:vAlign w:val="center"/>
            <w:hideMark/>
          </w:tcPr>
          <w:p w14:paraId="26300196" w14:textId="77777777" w:rsidR="00366DB0" w:rsidRPr="002421AC" w:rsidRDefault="00366DB0" w:rsidP="002421AC">
            <w:pPr>
              <w:spacing w:before="120" w:after="120" w:line="259" w:lineRule="auto"/>
              <w:rPr>
                <w:rFonts w:ascii="Calibri" w:hAnsi="Calibri" w:cs="Calibri"/>
                <w:caps/>
              </w:rPr>
            </w:pPr>
            <w:r w:rsidRPr="002421AC">
              <w:rPr>
                <w:rFonts w:ascii="Calibri" w:hAnsi="Calibri" w:cs="Calibri"/>
              </w:rPr>
              <w:t>Consumer protections, disclosure and engagement</w:t>
            </w:r>
          </w:p>
        </w:tc>
        <w:tc>
          <w:tcPr>
            <w:tcW w:w="1244" w:type="pct"/>
            <w:shd w:val="clear" w:color="auto" w:fill="F2F2F2" w:themeFill="background1" w:themeFillShade="F2"/>
            <w:vAlign w:val="center"/>
            <w:hideMark/>
          </w:tcPr>
          <w:p w14:paraId="1AB9ADAA" w14:textId="77777777" w:rsidR="00366DB0" w:rsidRPr="002421AC" w:rsidRDefault="00366DB0" w:rsidP="002421AC">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21AC">
              <w:rPr>
                <w:rFonts w:ascii="Calibri" w:hAnsi="Calibri" w:cs="Calibri"/>
              </w:rPr>
              <w:t>Consumers may focus on the zero-priced period without fully understanding total tariff impacts, particularly where higher charges apply outside the free period.</w:t>
            </w:r>
          </w:p>
        </w:tc>
        <w:tc>
          <w:tcPr>
            <w:tcW w:w="845" w:type="pct"/>
            <w:shd w:val="clear" w:color="auto" w:fill="F2F2F2" w:themeFill="background1" w:themeFillShade="F2"/>
            <w:vAlign w:val="center"/>
            <w:hideMark/>
          </w:tcPr>
          <w:p w14:paraId="604801E3" w14:textId="77777777" w:rsidR="00366DB0" w:rsidRPr="002421AC" w:rsidRDefault="00366DB0" w:rsidP="002421AC">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21AC">
              <w:rPr>
                <w:rFonts w:ascii="Calibri" w:hAnsi="Calibri" w:cs="Calibri"/>
              </w:rPr>
              <w:t>Risk of unintended bill outcomes, reduced consumer confidence, and increased complaints if expectations are not aligned with actual outcomes.</w:t>
            </w:r>
          </w:p>
        </w:tc>
        <w:tc>
          <w:tcPr>
            <w:tcW w:w="2313" w:type="pct"/>
            <w:shd w:val="clear" w:color="auto" w:fill="F2F2F2" w:themeFill="background1" w:themeFillShade="F2"/>
            <w:vAlign w:val="center"/>
            <w:hideMark/>
          </w:tcPr>
          <w:p w14:paraId="457D44F8" w14:textId="77777777" w:rsidR="00366DB0" w:rsidRPr="002421AC" w:rsidRDefault="00366DB0" w:rsidP="002421AC">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21AC">
              <w:rPr>
                <w:rFonts w:ascii="Calibri" w:hAnsi="Calibri" w:cs="Calibri"/>
              </w:rPr>
              <w:t>Strong consumer protections under Design Principle 1, including NECF and Electricity Retail Code obligations, ensure customers receive clear and transparent information. Design Principle 6 enables monitoring and early detection of consumer harm trends, supporting timely adjustments. Disclosure and education requirements—including government</w:t>
            </w:r>
            <w:r w:rsidRPr="002421AC">
              <w:rPr>
                <w:rFonts w:ascii="Calibri" w:hAnsi="Calibri" w:cs="Calibri"/>
              </w:rPr>
              <w:noBreakHyphen/>
              <w:t>supported campaigns, retailer obligations for plain</w:t>
            </w:r>
            <w:r w:rsidRPr="002421AC">
              <w:rPr>
                <w:rFonts w:ascii="Calibri" w:hAnsi="Calibri" w:cs="Calibri"/>
              </w:rPr>
              <w:noBreakHyphen/>
              <w:t>language explanations, and alignment with the Better Bills Guideline—enhance comprehension. The opt</w:t>
            </w:r>
            <w:r w:rsidRPr="002421AC">
              <w:rPr>
                <w:rFonts w:ascii="Calibri" w:hAnsi="Calibri" w:cs="Calibri"/>
              </w:rPr>
              <w:noBreakHyphen/>
              <w:t>in model further ensures households only enter the tariff when it is suitable for their usage profile.</w:t>
            </w:r>
          </w:p>
        </w:tc>
      </w:tr>
      <w:tr w:rsidR="00AA3799" w:rsidRPr="00B5064E" w14:paraId="37ADCE7E" w14:textId="77777777" w:rsidTr="00242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vAlign w:val="center"/>
            <w:hideMark/>
          </w:tcPr>
          <w:p w14:paraId="309E0F03" w14:textId="77777777" w:rsidR="00366DB0" w:rsidRPr="002421AC" w:rsidRDefault="00366DB0" w:rsidP="002421AC">
            <w:pPr>
              <w:spacing w:before="120" w:after="120" w:line="259" w:lineRule="auto"/>
              <w:rPr>
                <w:rFonts w:ascii="Calibri" w:hAnsi="Calibri" w:cs="Calibri"/>
                <w:caps/>
              </w:rPr>
            </w:pPr>
            <w:r w:rsidRPr="002421AC">
              <w:rPr>
                <w:rFonts w:ascii="Calibri" w:hAnsi="Calibri" w:cs="Calibri"/>
              </w:rPr>
              <w:t>Network tariff alignment and technical considerations</w:t>
            </w:r>
          </w:p>
        </w:tc>
        <w:tc>
          <w:tcPr>
            <w:tcW w:w="1244" w:type="pct"/>
            <w:shd w:val="clear" w:color="auto" w:fill="FFFFFF" w:themeFill="background1"/>
            <w:vAlign w:val="center"/>
            <w:hideMark/>
          </w:tcPr>
          <w:p w14:paraId="3AB2BE6E" w14:textId="77777777" w:rsidR="00366DB0" w:rsidRPr="002421AC" w:rsidRDefault="00366DB0" w:rsidP="002421AC">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21AC">
              <w:rPr>
                <w:rFonts w:ascii="Calibri" w:hAnsi="Calibri" w:cs="Calibri"/>
              </w:rPr>
              <w:t xml:space="preserve">Network tariffs generally do not include zero-priced periods aligned with the SSO free-power window. Retailers may therefore incur network costs during the free period </w:t>
            </w:r>
            <w:r w:rsidRPr="002421AC">
              <w:rPr>
                <w:rFonts w:ascii="Calibri" w:hAnsi="Calibri" w:cs="Calibri"/>
              </w:rPr>
              <w:lastRenderedPageBreak/>
              <w:t>without flexibility to adjust tariff structures under a regulated offer.</w:t>
            </w:r>
          </w:p>
        </w:tc>
        <w:tc>
          <w:tcPr>
            <w:tcW w:w="845" w:type="pct"/>
            <w:shd w:val="clear" w:color="auto" w:fill="FFFFFF" w:themeFill="background1"/>
            <w:vAlign w:val="center"/>
            <w:hideMark/>
          </w:tcPr>
          <w:p w14:paraId="764061B7" w14:textId="77777777" w:rsidR="00366DB0" w:rsidRPr="002421AC" w:rsidRDefault="00366DB0" w:rsidP="002421AC">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21AC">
              <w:rPr>
                <w:rFonts w:ascii="Calibri" w:hAnsi="Calibri" w:cs="Calibri"/>
              </w:rPr>
              <w:lastRenderedPageBreak/>
              <w:t xml:space="preserve">Potential cost recovery challenges for retailers and inefficient pricing </w:t>
            </w:r>
            <w:r w:rsidRPr="002421AC">
              <w:rPr>
                <w:rFonts w:ascii="Calibri" w:hAnsi="Calibri" w:cs="Calibri"/>
              </w:rPr>
              <w:lastRenderedPageBreak/>
              <w:t>signals if misalignment persists.</w:t>
            </w:r>
          </w:p>
        </w:tc>
        <w:tc>
          <w:tcPr>
            <w:tcW w:w="2313" w:type="pct"/>
            <w:shd w:val="clear" w:color="auto" w:fill="FFFFFF" w:themeFill="background1"/>
            <w:vAlign w:val="center"/>
            <w:hideMark/>
          </w:tcPr>
          <w:p w14:paraId="38D0A745" w14:textId="47E7A866" w:rsidR="00366DB0" w:rsidRPr="002421AC" w:rsidRDefault="00366DB0" w:rsidP="002421AC">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21AC">
              <w:rPr>
                <w:rFonts w:ascii="Calibri" w:hAnsi="Calibri" w:cs="Calibri"/>
              </w:rPr>
              <w:lastRenderedPageBreak/>
              <w:t>Design Principle 2 requires the AER to set the free</w:t>
            </w:r>
            <w:r w:rsidRPr="002421AC">
              <w:rPr>
                <w:rFonts w:ascii="Calibri" w:hAnsi="Calibri" w:cs="Calibri"/>
              </w:rPr>
              <w:noBreakHyphen/>
              <w:t>power window to align as closely as possible with high</w:t>
            </w:r>
            <w:r w:rsidRPr="002421AC">
              <w:rPr>
                <w:rFonts w:ascii="Calibri" w:hAnsi="Calibri" w:cs="Calibri"/>
              </w:rPr>
              <w:noBreakHyphen/>
              <w:t>solar and low</w:t>
            </w:r>
            <w:r w:rsidRPr="002421AC">
              <w:rPr>
                <w:rFonts w:ascii="Calibri" w:hAnsi="Calibri" w:cs="Calibri"/>
              </w:rPr>
              <w:noBreakHyphen/>
              <w:t xml:space="preserve">cost periods, while Design Principle 3 ensures timing is set by distribution zone to reflect local solar generation and network characteristics. Design Principle 4 enables retailers to recover efficient costs through pricing outside the </w:t>
            </w:r>
            <w:r w:rsidRPr="002421AC">
              <w:rPr>
                <w:rFonts w:ascii="Calibri" w:hAnsi="Calibri" w:cs="Calibri"/>
              </w:rPr>
              <w:lastRenderedPageBreak/>
              <w:t>free</w:t>
            </w:r>
            <w:r w:rsidRPr="002421AC">
              <w:rPr>
                <w:rFonts w:ascii="Calibri" w:hAnsi="Calibri" w:cs="Calibri"/>
              </w:rPr>
              <w:noBreakHyphen/>
              <w:t>power window. Ongoing engagement between the AER and AEMC supports alignment with network tariff reform processes to minimise long</w:t>
            </w:r>
            <w:r w:rsidRPr="002421AC">
              <w:rPr>
                <w:rFonts w:ascii="Calibri" w:hAnsi="Calibri" w:cs="Calibri"/>
              </w:rPr>
              <w:noBreakHyphen/>
              <w:t>term structural misalignment.</w:t>
            </w:r>
          </w:p>
        </w:tc>
      </w:tr>
      <w:tr w:rsidR="00AA3799" w:rsidRPr="00B5064E" w14:paraId="56FE2288" w14:textId="77777777" w:rsidTr="002421AC">
        <w:tc>
          <w:tcPr>
            <w:cnfStyle w:val="001000000000" w:firstRow="0" w:lastRow="0" w:firstColumn="1" w:lastColumn="0" w:oddVBand="0" w:evenVBand="0" w:oddHBand="0" w:evenHBand="0" w:firstRowFirstColumn="0" w:firstRowLastColumn="0" w:lastRowFirstColumn="0" w:lastRowLastColumn="0"/>
            <w:tcW w:w="597" w:type="pct"/>
            <w:shd w:val="clear" w:color="auto" w:fill="F2F2F2" w:themeFill="background1" w:themeFillShade="F2"/>
            <w:vAlign w:val="center"/>
            <w:hideMark/>
          </w:tcPr>
          <w:p w14:paraId="21D79C1B" w14:textId="77777777" w:rsidR="00366DB0" w:rsidRPr="002421AC" w:rsidRDefault="00366DB0" w:rsidP="002421AC">
            <w:pPr>
              <w:spacing w:before="120" w:after="120" w:line="259" w:lineRule="auto"/>
              <w:rPr>
                <w:rFonts w:ascii="Calibri" w:hAnsi="Calibri" w:cs="Calibri"/>
                <w:caps/>
              </w:rPr>
            </w:pPr>
            <w:r w:rsidRPr="002421AC">
              <w:rPr>
                <w:rFonts w:ascii="Calibri" w:hAnsi="Calibri" w:cs="Calibri"/>
              </w:rPr>
              <w:lastRenderedPageBreak/>
              <w:t>Interaction with controlled load arrangements</w:t>
            </w:r>
          </w:p>
        </w:tc>
        <w:tc>
          <w:tcPr>
            <w:tcW w:w="1244" w:type="pct"/>
            <w:shd w:val="clear" w:color="auto" w:fill="F2F2F2" w:themeFill="background1" w:themeFillShade="F2"/>
            <w:vAlign w:val="center"/>
            <w:hideMark/>
          </w:tcPr>
          <w:p w14:paraId="678C7399" w14:textId="77777777" w:rsidR="00366DB0" w:rsidRPr="002421AC" w:rsidRDefault="00366DB0" w:rsidP="002421AC">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21AC">
              <w:rPr>
                <w:rFonts w:ascii="Calibri" w:hAnsi="Calibri" w:cs="Calibri"/>
              </w:rPr>
              <w:t>Customers may move away from existing controlled load tariffs (e.g. electric hot water systems) to access the free-power period.</w:t>
            </w:r>
          </w:p>
        </w:tc>
        <w:tc>
          <w:tcPr>
            <w:tcW w:w="845" w:type="pct"/>
            <w:shd w:val="clear" w:color="auto" w:fill="F2F2F2" w:themeFill="background1" w:themeFillShade="F2"/>
            <w:vAlign w:val="center"/>
            <w:hideMark/>
          </w:tcPr>
          <w:p w14:paraId="123BB2D7" w14:textId="77777777" w:rsidR="00366DB0" w:rsidRPr="002421AC" w:rsidRDefault="00366DB0" w:rsidP="002421AC">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21AC">
              <w:rPr>
                <w:rFonts w:ascii="Calibri" w:hAnsi="Calibri" w:cs="Calibri"/>
              </w:rPr>
              <w:t>Reduced effectiveness of existing demand management arrangements and potential changes in load diversity.</w:t>
            </w:r>
          </w:p>
        </w:tc>
        <w:tc>
          <w:tcPr>
            <w:tcW w:w="2313" w:type="pct"/>
            <w:shd w:val="clear" w:color="auto" w:fill="F2F2F2" w:themeFill="background1" w:themeFillShade="F2"/>
            <w:vAlign w:val="center"/>
            <w:hideMark/>
          </w:tcPr>
          <w:p w14:paraId="1748980F" w14:textId="77777777" w:rsidR="00366DB0" w:rsidRPr="002421AC" w:rsidRDefault="00366DB0" w:rsidP="002421AC">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21AC">
              <w:rPr>
                <w:rFonts w:ascii="Calibri" w:hAnsi="Calibri" w:cs="Calibri"/>
              </w:rPr>
              <w:t>Under Design Principle 3, controlled load remains excluded from SSO eligibility, preventing disruption to DNSP operating schedules. Design Principle 6 allows government to revisit controlled</w:t>
            </w:r>
            <w:r w:rsidRPr="002421AC">
              <w:rPr>
                <w:rFonts w:ascii="Calibri" w:hAnsi="Calibri" w:cs="Calibri"/>
              </w:rPr>
              <w:noBreakHyphen/>
              <w:t>load interactions during the post</w:t>
            </w:r>
            <w:r w:rsidRPr="002421AC">
              <w:rPr>
                <w:rFonts w:ascii="Calibri" w:hAnsi="Calibri" w:cs="Calibri"/>
              </w:rPr>
              <w:noBreakHyphen/>
              <w:t>implementation review if issues emerge. Early monitoring of customer behaviour and system impacts will be used to identify any shifts affecting controlled</w:t>
            </w:r>
            <w:r w:rsidRPr="002421AC">
              <w:rPr>
                <w:rFonts w:ascii="Calibri" w:hAnsi="Calibri" w:cs="Calibri"/>
              </w:rPr>
              <w:noBreakHyphen/>
              <w:t>load performance or diversity.</w:t>
            </w:r>
          </w:p>
        </w:tc>
      </w:tr>
      <w:tr w:rsidR="00340087" w:rsidRPr="00B5064E" w14:paraId="29CEE2C9" w14:textId="77777777" w:rsidTr="00242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vAlign w:val="center"/>
            <w:hideMark/>
          </w:tcPr>
          <w:p w14:paraId="6E7FA640" w14:textId="77777777" w:rsidR="00366DB0" w:rsidRPr="002421AC" w:rsidRDefault="00366DB0" w:rsidP="002421AC">
            <w:pPr>
              <w:spacing w:before="120" w:after="120" w:line="259" w:lineRule="auto"/>
              <w:rPr>
                <w:rFonts w:ascii="Calibri" w:hAnsi="Calibri" w:cs="Calibri"/>
                <w:caps/>
              </w:rPr>
            </w:pPr>
            <w:r w:rsidRPr="002421AC">
              <w:rPr>
                <w:rFonts w:ascii="Calibri" w:hAnsi="Calibri" w:cs="Calibri"/>
              </w:rPr>
              <w:t>Retail cost recovery and market impacts</w:t>
            </w:r>
          </w:p>
        </w:tc>
        <w:tc>
          <w:tcPr>
            <w:tcW w:w="1244" w:type="pct"/>
            <w:shd w:val="clear" w:color="auto" w:fill="FFFFFF" w:themeFill="background1"/>
            <w:vAlign w:val="center"/>
            <w:hideMark/>
          </w:tcPr>
          <w:p w14:paraId="3219E634" w14:textId="77777777" w:rsidR="00366DB0" w:rsidRPr="002421AC" w:rsidRDefault="00366DB0" w:rsidP="002421AC">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21AC">
              <w:rPr>
                <w:rFonts w:ascii="Calibri" w:hAnsi="Calibri" w:cs="Calibri"/>
              </w:rPr>
              <w:t>Retailers continue to incur wholesale, network, environmental and operational costs during solar-abundant periods. Inappropriate parameter setting may create uncertainty around efficient cost recovery.</w:t>
            </w:r>
          </w:p>
        </w:tc>
        <w:tc>
          <w:tcPr>
            <w:tcW w:w="845" w:type="pct"/>
            <w:shd w:val="clear" w:color="auto" w:fill="FFFFFF" w:themeFill="background1"/>
            <w:vAlign w:val="center"/>
            <w:hideMark/>
          </w:tcPr>
          <w:p w14:paraId="26A12399" w14:textId="77777777" w:rsidR="00366DB0" w:rsidRPr="002421AC" w:rsidRDefault="00366DB0" w:rsidP="002421AC">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21AC">
              <w:rPr>
                <w:rFonts w:ascii="Calibri" w:hAnsi="Calibri" w:cs="Calibri"/>
              </w:rPr>
              <w:t>Reduced retailer participation, pricing distortions, or impacts on retail competition.</w:t>
            </w:r>
          </w:p>
        </w:tc>
        <w:tc>
          <w:tcPr>
            <w:tcW w:w="2313" w:type="pct"/>
            <w:shd w:val="clear" w:color="auto" w:fill="FFFFFF" w:themeFill="background1"/>
            <w:vAlign w:val="center"/>
            <w:hideMark/>
          </w:tcPr>
          <w:p w14:paraId="0EDF5BBC" w14:textId="77777777" w:rsidR="00366DB0" w:rsidRPr="002421AC" w:rsidRDefault="00366DB0" w:rsidP="002421AC">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2421AC">
              <w:rPr>
                <w:rFonts w:ascii="Calibri" w:hAnsi="Calibri" w:cs="Calibri"/>
              </w:rPr>
              <w:t>Design Principle 4 requires the AER to ensure retailers can recover efficient costs outside the free</w:t>
            </w:r>
            <w:r w:rsidRPr="002421AC">
              <w:rPr>
                <w:rFonts w:ascii="Calibri" w:hAnsi="Calibri" w:cs="Calibri"/>
              </w:rPr>
              <w:noBreakHyphen/>
              <w:t>power window while still guaranteeing that customers who shift load remain better off overall. Design Principle 5’s reasonable</w:t>
            </w:r>
            <w:r w:rsidRPr="002421AC">
              <w:rPr>
                <w:rFonts w:ascii="Calibri" w:hAnsi="Calibri" w:cs="Calibri"/>
              </w:rPr>
              <w:noBreakHyphen/>
              <w:t>use cap limits excessive consumption that could undermine retailer viability. Retailers with fewer than 1,000 customers are exempt from offering the SSO, reducing disproportionate burdens on small providers. Annual AER parameter updates ensure cost inputs remain aligned with wholesale and network conditions.</w:t>
            </w:r>
          </w:p>
        </w:tc>
      </w:tr>
      <w:tr w:rsidR="00340087" w:rsidRPr="00B5064E" w14:paraId="5BABD577" w14:textId="77777777" w:rsidTr="002421AC">
        <w:tc>
          <w:tcPr>
            <w:cnfStyle w:val="001000000000" w:firstRow="0" w:lastRow="0" w:firstColumn="1" w:lastColumn="0" w:oddVBand="0" w:evenVBand="0" w:oddHBand="0" w:evenHBand="0" w:firstRowFirstColumn="0" w:firstRowLastColumn="0" w:lastRowFirstColumn="0" w:lastRowLastColumn="0"/>
            <w:tcW w:w="597" w:type="pct"/>
            <w:shd w:val="clear" w:color="auto" w:fill="F2F2F2" w:themeFill="background1" w:themeFillShade="F2"/>
            <w:vAlign w:val="center"/>
            <w:hideMark/>
          </w:tcPr>
          <w:p w14:paraId="00DF084C" w14:textId="77777777" w:rsidR="00366DB0" w:rsidRPr="002421AC" w:rsidRDefault="00366DB0" w:rsidP="002421AC">
            <w:pPr>
              <w:spacing w:before="120" w:after="120" w:line="259" w:lineRule="auto"/>
              <w:rPr>
                <w:rFonts w:ascii="Calibri" w:hAnsi="Calibri" w:cs="Calibri"/>
                <w:caps/>
              </w:rPr>
            </w:pPr>
            <w:r w:rsidRPr="002421AC">
              <w:rPr>
                <w:rFonts w:ascii="Calibri" w:hAnsi="Calibri" w:cs="Calibri"/>
              </w:rPr>
              <w:t>Implementation timing and operational readiness</w:t>
            </w:r>
          </w:p>
        </w:tc>
        <w:tc>
          <w:tcPr>
            <w:tcW w:w="1244" w:type="pct"/>
            <w:shd w:val="clear" w:color="auto" w:fill="F2F2F2" w:themeFill="background1" w:themeFillShade="F2"/>
            <w:vAlign w:val="center"/>
            <w:hideMark/>
          </w:tcPr>
          <w:p w14:paraId="074E05D5" w14:textId="77777777" w:rsidR="00366DB0" w:rsidRPr="002421AC" w:rsidRDefault="00366DB0" w:rsidP="002421AC">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21AC">
              <w:rPr>
                <w:rFonts w:ascii="Calibri" w:hAnsi="Calibri" w:cs="Calibri"/>
              </w:rPr>
              <w:t>Retailers require system, billing, and operational changes to implement a new regulated tariff while managing concurrent reforms.</w:t>
            </w:r>
          </w:p>
        </w:tc>
        <w:tc>
          <w:tcPr>
            <w:tcW w:w="845" w:type="pct"/>
            <w:shd w:val="clear" w:color="auto" w:fill="F2F2F2" w:themeFill="background1" w:themeFillShade="F2"/>
            <w:vAlign w:val="center"/>
            <w:hideMark/>
          </w:tcPr>
          <w:p w14:paraId="57427506" w14:textId="77777777" w:rsidR="00366DB0" w:rsidRPr="002421AC" w:rsidRDefault="00366DB0" w:rsidP="002421AC">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21AC">
              <w:rPr>
                <w:rFonts w:ascii="Calibri" w:hAnsi="Calibri" w:cs="Calibri"/>
              </w:rPr>
              <w:t>Delivery risk, implementation delays, or transitional customer issues if systems are not fully prepared.</w:t>
            </w:r>
          </w:p>
        </w:tc>
        <w:tc>
          <w:tcPr>
            <w:tcW w:w="2313" w:type="pct"/>
            <w:shd w:val="clear" w:color="auto" w:fill="F2F2F2" w:themeFill="background1" w:themeFillShade="F2"/>
            <w:vAlign w:val="center"/>
            <w:hideMark/>
          </w:tcPr>
          <w:p w14:paraId="2B9058CF" w14:textId="77777777" w:rsidR="00366DB0" w:rsidRPr="002421AC" w:rsidRDefault="00366DB0" w:rsidP="002421AC">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21AC">
              <w:rPr>
                <w:rFonts w:ascii="Calibri" w:hAnsi="Calibri" w:cs="Calibri"/>
              </w:rPr>
              <w:t>Design Principle 6 provides flexibility to refine implementation settings based on emerging insights, while Design Principle 3 ensures a single free</w:t>
            </w:r>
            <w:r w:rsidRPr="002421AC">
              <w:rPr>
                <w:rFonts w:ascii="Cambria Math" w:hAnsi="Cambria Math" w:cs="Cambria Math"/>
              </w:rPr>
              <w:t>‑</w:t>
            </w:r>
            <w:r w:rsidRPr="002421AC">
              <w:rPr>
                <w:rFonts w:ascii="Calibri" w:hAnsi="Calibri" w:cs="Calibri"/>
              </w:rPr>
              <w:t>power window per distribution zone, avoiding retailer</w:t>
            </w:r>
            <w:r w:rsidRPr="002421AC">
              <w:rPr>
                <w:rFonts w:ascii="Cambria Math" w:hAnsi="Cambria Math" w:cs="Cambria Math"/>
              </w:rPr>
              <w:t>‑</w:t>
            </w:r>
            <w:r w:rsidRPr="002421AC">
              <w:rPr>
                <w:rFonts w:ascii="Calibri" w:hAnsi="Calibri" w:cs="Calibri"/>
              </w:rPr>
              <w:t>specific variation that would otherwise increase IT complexity. Implementation timing will be shaped through consultation to reflect industry capacity and concurrent regulatory reforms, reducing transition risks.</w:t>
            </w:r>
          </w:p>
        </w:tc>
      </w:tr>
      <w:tr w:rsidR="00340087" w:rsidRPr="00B5064E" w14:paraId="2FC5E43A" w14:textId="77777777" w:rsidTr="00242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vAlign w:val="center"/>
            <w:hideMark/>
          </w:tcPr>
          <w:p w14:paraId="6A290F05" w14:textId="77777777" w:rsidR="00366DB0" w:rsidRPr="002421AC" w:rsidRDefault="00366DB0" w:rsidP="002421AC">
            <w:pPr>
              <w:spacing w:before="120" w:after="120" w:line="259" w:lineRule="auto"/>
              <w:rPr>
                <w:rFonts w:ascii="Calibri" w:hAnsi="Calibri" w:cs="Calibri"/>
                <w:caps/>
              </w:rPr>
            </w:pPr>
            <w:r w:rsidRPr="002421AC">
              <w:rPr>
                <w:rFonts w:ascii="Calibri" w:hAnsi="Calibri" w:cs="Calibri"/>
              </w:rPr>
              <w:t>Monitoring and review</w:t>
            </w:r>
          </w:p>
        </w:tc>
        <w:tc>
          <w:tcPr>
            <w:tcW w:w="1244" w:type="pct"/>
            <w:shd w:val="clear" w:color="auto" w:fill="FFFFFF" w:themeFill="background1"/>
            <w:vAlign w:val="center"/>
            <w:hideMark/>
          </w:tcPr>
          <w:p w14:paraId="44321606" w14:textId="77777777" w:rsidR="00366DB0" w:rsidRPr="002421AC" w:rsidRDefault="00366DB0" w:rsidP="002421AC">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21AC">
              <w:rPr>
                <w:rFonts w:ascii="Calibri" w:hAnsi="Calibri" w:cs="Calibri"/>
              </w:rPr>
              <w:t xml:space="preserve">As a new regulated tariff structure, actual consumer and system </w:t>
            </w:r>
            <w:r w:rsidRPr="002421AC">
              <w:rPr>
                <w:rFonts w:ascii="Calibri" w:hAnsi="Calibri" w:cs="Calibri"/>
              </w:rPr>
              <w:lastRenderedPageBreak/>
              <w:t>outcomes may differ from modelling assumptions.</w:t>
            </w:r>
          </w:p>
        </w:tc>
        <w:tc>
          <w:tcPr>
            <w:tcW w:w="845" w:type="pct"/>
            <w:shd w:val="clear" w:color="auto" w:fill="FFFFFF" w:themeFill="background1"/>
            <w:vAlign w:val="center"/>
            <w:hideMark/>
          </w:tcPr>
          <w:p w14:paraId="5083AA89" w14:textId="77777777" w:rsidR="00366DB0" w:rsidRPr="002421AC" w:rsidRDefault="00366DB0" w:rsidP="002421AC">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21AC">
              <w:rPr>
                <w:rFonts w:ascii="Calibri" w:hAnsi="Calibri" w:cs="Calibri"/>
              </w:rPr>
              <w:lastRenderedPageBreak/>
              <w:t xml:space="preserve">Risk of unintended bill impacts, uneven uptake, </w:t>
            </w:r>
            <w:r w:rsidRPr="002421AC">
              <w:rPr>
                <w:rFonts w:ascii="Calibri" w:hAnsi="Calibri" w:cs="Calibri"/>
              </w:rPr>
              <w:lastRenderedPageBreak/>
              <w:t>or suboptimal demand-shifting outcomes.</w:t>
            </w:r>
          </w:p>
        </w:tc>
        <w:tc>
          <w:tcPr>
            <w:tcW w:w="2313" w:type="pct"/>
            <w:shd w:val="clear" w:color="auto" w:fill="FFFFFF" w:themeFill="background1"/>
            <w:vAlign w:val="center"/>
            <w:hideMark/>
          </w:tcPr>
          <w:p w14:paraId="6632391C" w14:textId="77777777" w:rsidR="00366DB0" w:rsidRPr="002421AC" w:rsidRDefault="00366DB0" w:rsidP="002421AC">
            <w:pPr>
              <w:keepNext/>
              <w:spacing w:before="120" w:after="12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21AC">
              <w:rPr>
                <w:rFonts w:ascii="Calibri" w:hAnsi="Calibri" w:cs="Calibri"/>
              </w:rPr>
              <w:lastRenderedPageBreak/>
              <w:t>Design Principle 6 embeds a mandatory post</w:t>
            </w:r>
            <w:r w:rsidRPr="002421AC">
              <w:rPr>
                <w:rFonts w:ascii="Calibri" w:hAnsi="Calibri" w:cs="Calibri"/>
              </w:rPr>
              <w:noBreakHyphen/>
              <w:t xml:space="preserve">implementation review within two years to reassess tariff parameters and safeguard settings. Design Principle 2 requires ongoing assessment to ensure the </w:t>
            </w:r>
            <w:r w:rsidRPr="002421AC">
              <w:rPr>
                <w:rFonts w:ascii="Calibri" w:hAnsi="Calibri" w:cs="Calibri"/>
              </w:rPr>
              <w:lastRenderedPageBreak/>
              <w:t>free</w:t>
            </w:r>
            <w:r w:rsidRPr="002421AC">
              <w:rPr>
                <w:rFonts w:ascii="Calibri" w:hAnsi="Calibri" w:cs="Calibri"/>
              </w:rPr>
              <w:noBreakHyphen/>
              <w:t>power period continues to align with system</w:t>
            </w:r>
            <w:r w:rsidRPr="002421AC">
              <w:rPr>
                <w:rFonts w:ascii="Calibri" w:hAnsi="Calibri" w:cs="Calibri"/>
              </w:rPr>
              <w:noBreakHyphen/>
              <w:t>efficiency objectives. Continuous monitoring by the AER and the department will support refinement of tariff timing, reasonable</w:t>
            </w:r>
            <w:r w:rsidRPr="002421AC">
              <w:rPr>
                <w:rFonts w:ascii="Calibri" w:hAnsi="Calibri" w:cs="Calibri"/>
              </w:rPr>
              <w:noBreakHyphen/>
              <w:t>use levels and other settings in future regulatory cycles.</w:t>
            </w:r>
          </w:p>
        </w:tc>
      </w:tr>
    </w:tbl>
    <w:p w14:paraId="5D1BB7D7" w14:textId="08DAC6DF" w:rsidR="00366DB0" w:rsidRPr="00B5064E" w:rsidRDefault="00B151B0" w:rsidP="008020D1">
      <w:pPr>
        <w:pStyle w:val="Heading3"/>
        <w:spacing w:after="120"/>
        <w:rPr>
          <w:rFonts w:ascii="Calibri" w:hAnsi="Calibri" w:cs="Calibri"/>
        </w:rPr>
      </w:pPr>
      <w:bookmarkStart w:id="38" w:name="_Toc222842785"/>
      <w:r w:rsidRPr="00B5064E">
        <w:rPr>
          <w:rFonts w:ascii="Calibri" w:hAnsi="Calibri" w:cs="Calibri"/>
        </w:rPr>
        <w:lastRenderedPageBreak/>
        <w:t xml:space="preserve">Overall </w:t>
      </w:r>
      <w:r w:rsidR="00366DB0" w:rsidRPr="00B5064E">
        <w:rPr>
          <w:rFonts w:ascii="Calibri" w:hAnsi="Calibri" w:cs="Calibri"/>
        </w:rPr>
        <w:t>Assessment</w:t>
      </w:r>
      <w:bookmarkEnd w:id="38"/>
    </w:p>
    <w:p w14:paraId="4983EB8F" w14:textId="15677CC5" w:rsidR="00DE78B0" w:rsidRPr="00B5064E" w:rsidRDefault="00366DB0" w:rsidP="00366DB0">
      <w:pPr>
        <w:rPr>
          <w:rFonts w:ascii="Calibri" w:hAnsi="Calibri" w:cs="Calibri"/>
          <w:iCs/>
        </w:rPr>
        <w:sectPr w:rsidR="00DE78B0" w:rsidRPr="00B5064E" w:rsidSect="00366DB0">
          <w:pgSz w:w="16838" w:h="11906" w:orient="landscape"/>
          <w:pgMar w:top="1440" w:right="1440" w:bottom="1440" w:left="1440" w:header="708" w:footer="708" w:gutter="0"/>
          <w:cols w:space="708"/>
          <w:titlePg/>
          <w:docGrid w:linePitch="360"/>
        </w:sectPr>
      </w:pPr>
      <w:r w:rsidRPr="00B5064E">
        <w:rPr>
          <w:rFonts w:ascii="Calibri" w:hAnsi="Calibri" w:cs="Calibri"/>
          <w:iCs/>
        </w:rPr>
        <w:t>This option best meets government objectives: improving affordability, strengthening equity, enhancing system efficiency, and providing clear consumer protections. Evidence from trials and consultation shows strong potential for meaningful demand shifting, especially among non</w:t>
      </w:r>
      <w:r w:rsidRPr="00B5064E">
        <w:rPr>
          <w:rFonts w:ascii="Calibri" w:hAnsi="Calibri" w:cs="Calibri"/>
          <w:iCs/>
        </w:rPr>
        <w:noBreakHyphen/>
        <w:t>solar h</w:t>
      </w:r>
      <w:r w:rsidR="00DE78B0" w:rsidRPr="00B5064E">
        <w:rPr>
          <w:rFonts w:ascii="Calibri" w:hAnsi="Calibri" w:cs="Calibri"/>
          <w:iCs/>
        </w:rPr>
        <w:t>omes.</w:t>
      </w:r>
    </w:p>
    <w:p w14:paraId="13C2197E" w14:textId="0319074F" w:rsidR="00DE78B0" w:rsidRPr="00B5064E" w:rsidRDefault="00DE78B0" w:rsidP="00767859">
      <w:pPr>
        <w:pStyle w:val="Heading2"/>
        <w:spacing w:after="120"/>
        <w:rPr>
          <w:rFonts w:ascii="Calibri" w:hAnsi="Calibri" w:cs="Calibri"/>
        </w:rPr>
      </w:pPr>
      <w:bookmarkStart w:id="39" w:name="_Toc222842786"/>
      <w:r w:rsidRPr="00B5064E">
        <w:rPr>
          <w:rFonts w:ascii="Calibri" w:hAnsi="Calibri" w:cs="Calibri"/>
        </w:rPr>
        <w:lastRenderedPageBreak/>
        <w:t>Option A2 – Voluntary industry code or guidance framework (non-mandated standardisation)</w:t>
      </w:r>
      <w:bookmarkEnd w:id="39"/>
    </w:p>
    <w:p w14:paraId="71C4BD0E" w14:textId="554982E7" w:rsidR="00DE78B0" w:rsidRPr="00B5064E" w:rsidRDefault="00DE78B0" w:rsidP="00DE78B0">
      <w:pPr>
        <w:rPr>
          <w:rFonts w:ascii="Calibri" w:hAnsi="Calibri" w:cs="Calibri"/>
        </w:rPr>
      </w:pPr>
      <w:r w:rsidRPr="00B5064E">
        <w:rPr>
          <w:rFonts w:ascii="Calibri" w:hAnsi="Calibri" w:cs="Calibri"/>
          <w:iCs/>
        </w:rPr>
        <w:t>Under this option, Government would not mandate a regulated standing offer but would work with industry to develop voluntary design principles or a best-practice code for solar-aligned tariffs. This could include recommended fixed timing windows, disclosure standards, and guidance on cost recovery and consumer protections.</w:t>
      </w:r>
    </w:p>
    <w:p w14:paraId="42B77102" w14:textId="77777777" w:rsidR="00DE78B0" w:rsidRPr="00B5064E" w:rsidRDefault="00DE78B0" w:rsidP="00767859">
      <w:pPr>
        <w:pStyle w:val="Heading3"/>
        <w:spacing w:after="120"/>
        <w:rPr>
          <w:rFonts w:ascii="Calibri" w:hAnsi="Calibri" w:cs="Calibri"/>
        </w:rPr>
      </w:pPr>
      <w:bookmarkStart w:id="40" w:name="_Toc222842787"/>
      <w:r w:rsidRPr="00B5064E">
        <w:rPr>
          <w:rFonts w:ascii="Calibri" w:hAnsi="Calibri" w:cs="Calibri"/>
        </w:rPr>
        <w:t>Core features could include:</w:t>
      </w:r>
      <w:bookmarkEnd w:id="40"/>
    </w:p>
    <w:p w14:paraId="12772DF3" w14:textId="77777777" w:rsidR="00DE78B0" w:rsidRPr="00B5064E" w:rsidRDefault="00DE78B0" w:rsidP="00CF405C">
      <w:pPr>
        <w:pStyle w:val="ListParagraph"/>
        <w:numPr>
          <w:ilvl w:val="0"/>
          <w:numId w:val="20"/>
        </w:numPr>
        <w:spacing w:before="120" w:after="120"/>
        <w:ind w:left="714" w:hanging="357"/>
        <w:contextualSpacing w:val="0"/>
        <w:rPr>
          <w:rFonts w:ascii="Calibri" w:hAnsi="Calibri" w:cs="Calibri"/>
        </w:rPr>
      </w:pPr>
      <w:r w:rsidRPr="00B5064E">
        <w:rPr>
          <w:rFonts w:ascii="Calibri" w:hAnsi="Calibri" w:cs="Calibri"/>
          <w:b/>
        </w:rPr>
        <w:t>Voluntary design principles</w:t>
      </w:r>
      <w:r w:rsidRPr="00B5064E">
        <w:rPr>
          <w:rFonts w:ascii="Calibri" w:hAnsi="Calibri" w:cs="Calibri"/>
        </w:rPr>
        <w:t xml:space="preserve"> for solar-aligned or “free period” tariffs.</w:t>
      </w:r>
    </w:p>
    <w:p w14:paraId="012A7D0D" w14:textId="77777777" w:rsidR="00DE78B0" w:rsidRPr="00B5064E" w:rsidRDefault="00DE78B0" w:rsidP="00CF405C">
      <w:pPr>
        <w:pStyle w:val="ListParagraph"/>
        <w:numPr>
          <w:ilvl w:val="0"/>
          <w:numId w:val="20"/>
        </w:numPr>
        <w:spacing w:before="120" w:after="120"/>
        <w:ind w:left="714" w:hanging="357"/>
        <w:contextualSpacing w:val="0"/>
        <w:rPr>
          <w:rFonts w:ascii="Calibri" w:hAnsi="Calibri" w:cs="Calibri"/>
        </w:rPr>
      </w:pPr>
      <w:r w:rsidRPr="00B5064E">
        <w:rPr>
          <w:rFonts w:ascii="Calibri" w:hAnsi="Calibri" w:cs="Calibri"/>
          <w:b/>
        </w:rPr>
        <w:t>Recommended timing parameters</w:t>
      </w:r>
      <w:r w:rsidRPr="00B5064E">
        <w:rPr>
          <w:rFonts w:ascii="Calibri" w:hAnsi="Calibri" w:cs="Calibri"/>
        </w:rPr>
        <w:t xml:space="preserve"> (e.g. indicative midday windows aligned with solar abundance).</w:t>
      </w:r>
    </w:p>
    <w:p w14:paraId="560C10EC" w14:textId="77777777" w:rsidR="00DE78B0" w:rsidRPr="00B5064E" w:rsidRDefault="00DE78B0" w:rsidP="00CF405C">
      <w:pPr>
        <w:pStyle w:val="ListParagraph"/>
        <w:numPr>
          <w:ilvl w:val="0"/>
          <w:numId w:val="20"/>
        </w:numPr>
        <w:spacing w:before="120" w:after="120"/>
        <w:ind w:left="714" w:hanging="357"/>
        <w:contextualSpacing w:val="0"/>
        <w:rPr>
          <w:rFonts w:ascii="Calibri" w:hAnsi="Calibri" w:cs="Calibri"/>
        </w:rPr>
      </w:pPr>
      <w:r w:rsidRPr="00B5064E">
        <w:rPr>
          <w:rFonts w:ascii="Calibri" w:hAnsi="Calibri" w:cs="Calibri"/>
          <w:b/>
        </w:rPr>
        <w:t>Best-practice disclosure standards</w:t>
      </w:r>
      <w:r w:rsidRPr="00B5064E">
        <w:rPr>
          <w:rFonts w:ascii="Calibri" w:hAnsi="Calibri" w:cs="Calibri"/>
        </w:rPr>
        <w:t>, including plain-English explanations of how the free window operates and how residual costs are recovered.</w:t>
      </w:r>
    </w:p>
    <w:p w14:paraId="27F2063A" w14:textId="77777777" w:rsidR="00DE78B0" w:rsidRPr="00B5064E" w:rsidRDefault="00DE78B0" w:rsidP="00CF405C">
      <w:pPr>
        <w:pStyle w:val="ListParagraph"/>
        <w:numPr>
          <w:ilvl w:val="0"/>
          <w:numId w:val="20"/>
        </w:numPr>
        <w:spacing w:before="120" w:after="120"/>
        <w:ind w:left="714" w:hanging="357"/>
        <w:contextualSpacing w:val="0"/>
        <w:rPr>
          <w:rFonts w:ascii="Calibri" w:hAnsi="Calibri" w:cs="Calibri"/>
        </w:rPr>
      </w:pPr>
      <w:r w:rsidRPr="00B5064E">
        <w:rPr>
          <w:rFonts w:ascii="Calibri" w:hAnsi="Calibri" w:cs="Calibri"/>
          <w:b/>
        </w:rPr>
        <w:t>Guidance on consumer safeguards</w:t>
      </w:r>
      <w:r w:rsidRPr="00B5064E">
        <w:rPr>
          <w:rFonts w:ascii="Calibri" w:hAnsi="Calibri" w:cs="Calibri"/>
        </w:rPr>
        <w:t>, including opt-in consent and suitability prompts.</w:t>
      </w:r>
    </w:p>
    <w:p w14:paraId="0AE5B1DF" w14:textId="77777777" w:rsidR="00DE78B0" w:rsidRPr="00B5064E" w:rsidRDefault="00DE78B0" w:rsidP="00CF405C">
      <w:pPr>
        <w:pStyle w:val="ListParagraph"/>
        <w:numPr>
          <w:ilvl w:val="0"/>
          <w:numId w:val="20"/>
        </w:numPr>
        <w:spacing w:before="120" w:after="120"/>
        <w:ind w:left="714" w:hanging="357"/>
        <w:contextualSpacing w:val="0"/>
        <w:rPr>
          <w:rFonts w:ascii="Calibri" w:hAnsi="Calibri" w:cs="Calibri"/>
        </w:rPr>
      </w:pPr>
      <w:r w:rsidRPr="00B5064E">
        <w:rPr>
          <w:rFonts w:ascii="Calibri" w:hAnsi="Calibri" w:cs="Calibri"/>
          <w:b/>
        </w:rPr>
        <w:t>Transparency expectations</w:t>
      </w:r>
      <w:r w:rsidRPr="00B5064E">
        <w:rPr>
          <w:rFonts w:ascii="Calibri" w:hAnsi="Calibri" w:cs="Calibri"/>
        </w:rPr>
        <w:t>, such as benchmarking against the DMO reference price where relevant.</w:t>
      </w:r>
    </w:p>
    <w:p w14:paraId="28E5607A" w14:textId="77777777" w:rsidR="00DE78B0" w:rsidRPr="00B5064E" w:rsidRDefault="00DE78B0" w:rsidP="00CF405C">
      <w:pPr>
        <w:pStyle w:val="ListParagraph"/>
        <w:numPr>
          <w:ilvl w:val="0"/>
          <w:numId w:val="20"/>
        </w:numPr>
        <w:spacing w:before="120" w:after="120"/>
        <w:ind w:left="714" w:hanging="357"/>
        <w:contextualSpacing w:val="0"/>
        <w:rPr>
          <w:rFonts w:ascii="Calibri" w:hAnsi="Calibri" w:cs="Calibri"/>
        </w:rPr>
      </w:pPr>
      <w:r w:rsidRPr="00B5064E">
        <w:rPr>
          <w:rFonts w:ascii="Calibri" w:hAnsi="Calibri" w:cs="Calibri"/>
        </w:rPr>
        <w:t>Ongoing collaboration between Government, the AER and industry bodies to refine guidance as the market evolves.</w:t>
      </w:r>
    </w:p>
    <w:p w14:paraId="02B2DF19" w14:textId="77777777" w:rsidR="00DE78B0" w:rsidRPr="00B5064E" w:rsidRDefault="00DE78B0" w:rsidP="00DE78B0">
      <w:pPr>
        <w:rPr>
          <w:rFonts w:ascii="Calibri" w:hAnsi="Calibri" w:cs="Calibri"/>
          <w:iCs/>
        </w:rPr>
      </w:pPr>
      <w:r w:rsidRPr="00B5064E">
        <w:rPr>
          <w:rFonts w:ascii="Calibri" w:hAnsi="Calibri" w:cs="Calibri"/>
          <w:iCs/>
        </w:rPr>
        <w:t>Participation would not be mandatory, and compliance would rely on industry leadership and reputational incentives rather than enforceable regulatory obligations</w:t>
      </w:r>
    </w:p>
    <w:p w14:paraId="07F50DB0" w14:textId="77777777" w:rsidR="00DE78B0" w:rsidRPr="00B5064E" w:rsidRDefault="00DE78B0" w:rsidP="00767859">
      <w:pPr>
        <w:pStyle w:val="Heading3"/>
        <w:spacing w:after="120"/>
        <w:rPr>
          <w:rFonts w:ascii="Calibri" w:hAnsi="Calibri" w:cs="Calibri"/>
        </w:rPr>
      </w:pPr>
      <w:bookmarkStart w:id="41" w:name="_Toc222842788"/>
      <w:r w:rsidRPr="00B5064E">
        <w:rPr>
          <w:rFonts w:ascii="Calibri" w:hAnsi="Calibri" w:cs="Calibri"/>
        </w:rPr>
        <w:t>Rationale for Considering this Option</w:t>
      </w:r>
      <w:bookmarkEnd w:id="41"/>
    </w:p>
    <w:p w14:paraId="5F1ABE1A" w14:textId="77777777" w:rsidR="00DE78B0" w:rsidRPr="00B5064E" w:rsidRDefault="00DE78B0" w:rsidP="00DE78B0">
      <w:pPr>
        <w:rPr>
          <w:rFonts w:ascii="Calibri" w:hAnsi="Calibri" w:cs="Calibri"/>
          <w:iCs/>
        </w:rPr>
      </w:pPr>
      <w:r w:rsidRPr="00B5064E">
        <w:rPr>
          <w:rFonts w:ascii="Calibri" w:hAnsi="Calibri" w:cs="Calibri"/>
          <w:iCs/>
        </w:rPr>
        <w:t>Option A2 was considered in response to stakeholder submissions, particularly from retailers, who argued that:</w:t>
      </w:r>
    </w:p>
    <w:p w14:paraId="1FFBC8E2" w14:textId="77777777" w:rsidR="00DE78B0" w:rsidRPr="00B5064E" w:rsidRDefault="00DE78B0" w:rsidP="00CF405C">
      <w:pPr>
        <w:pStyle w:val="ListParagraph"/>
        <w:numPr>
          <w:ilvl w:val="0"/>
          <w:numId w:val="20"/>
        </w:numPr>
        <w:spacing w:before="120" w:after="120"/>
        <w:ind w:left="714" w:hanging="357"/>
        <w:contextualSpacing w:val="0"/>
        <w:rPr>
          <w:rFonts w:ascii="Calibri" w:hAnsi="Calibri" w:cs="Calibri"/>
        </w:rPr>
      </w:pPr>
      <w:r w:rsidRPr="00B5064E">
        <w:rPr>
          <w:rFonts w:ascii="Calibri" w:hAnsi="Calibri" w:cs="Calibri"/>
        </w:rPr>
        <w:t>Market-led “free power period” products are already emerging.</w:t>
      </w:r>
    </w:p>
    <w:p w14:paraId="19564CFD" w14:textId="77777777" w:rsidR="00DE78B0" w:rsidRPr="00B5064E" w:rsidRDefault="00DE78B0" w:rsidP="00CF405C">
      <w:pPr>
        <w:pStyle w:val="ListParagraph"/>
        <w:numPr>
          <w:ilvl w:val="0"/>
          <w:numId w:val="20"/>
        </w:numPr>
        <w:spacing w:before="120" w:after="120"/>
        <w:ind w:left="714" w:hanging="357"/>
        <w:contextualSpacing w:val="0"/>
        <w:rPr>
          <w:rFonts w:ascii="Calibri" w:hAnsi="Calibri" w:cs="Calibri"/>
        </w:rPr>
      </w:pPr>
      <w:r w:rsidRPr="00B5064E">
        <w:rPr>
          <w:rFonts w:ascii="Calibri" w:hAnsi="Calibri" w:cs="Calibri"/>
        </w:rPr>
        <w:t>Mandating a regulated product may constrain retail innovation.</w:t>
      </w:r>
    </w:p>
    <w:p w14:paraId="1ED432F2" w14:textId="77777777" w:rsidR="00DE78B0" w:rsidRPr="00B5064E" w:rsidRDefault="00DE78B0" w:rsidP="00CF405C">
      <w:pPr>
        <w:pStyle w:val="ListParagraph"/>
        <w:numPr>
          <w:ilvl w:val="0"/>
          <w:numId w:val="20"/>
        </w:numPr>
        <w:spacing w:before="120" w:after="120"/>
        <w:ind w:left="714" w:hanging="357"/>
        <w:contextualSpacing w:val="0"/>
        <w:rPr>
          <w:rFonts w:ascii="Calibri" w:hAnsi="Calibri" w:cs="Calibri"/>
        </w:rPr>
      </w:pPr>
      <w:r w:rsidRPr="00B5064E">
        <w:rPr>
          <w:rFonts w:ascii="Calibri" w:hAnsi="Calibri" w:cs="Calibri"/>
        </w:rPr>
        <w:t>A principles-based or guidance-led framework could promote consistency without distorting competition.</w:t>
      </w:r>
    </w:p>
    <w:p w14:paraId="4DB327C2" w14:textId="77777777" w:rsidR="00DE78B0" w:rsidRPr="00B5064E" w:rsidRDefault="00DE78B0" w:rsidP="00CF405C">
      <w:pPr>
        <w:pStyle w:val="ListParagraph"/>
        <w:numPr>
          <w:ilvl w:val="0"/>
          <w:numId w:val="20"/>
        </w:numPr>
        <w:spacing w:before="120" w:after="120"/>
        <w:ind w:left="714" w:hanging="357"/>
        <w:contextualSpacing w:val="0"/>
        <w:rPr>
          <w:rFonts w:ascii="Calibri" w:hAnsi="Calibri" w:cs="Calibri"/>
        </w:rPr>
      </w:pPr>
      <w:r w:rsidRPr="00B5064E">
        <w:rPr>
          <w:rFonts w:ascii="Calibri" w:hAnsi="Calibri" w:cs="Calibri"/>
        </w:rPr>
        <w:t>Flexibility is needed to accommodate differing network conditions and evolving technology (e.g. batteries, EVs).</w:t>
      </w:r>
    </w:p>
    <w:p w14:paraId="6D092001" w14:textId="77777777" w:rsidR="00DE78B0" w:rsidRPr="00B5064E" w:rsidRDefault="00DE78B0" w:rsidP="00DE78B0">
      <w:pPr>
        <w:rPr>
          <w:rFonts w:ascii="Calibri" w:hAnsi="Calibri" w:cs="Calibri"/>
          <w:iCs/>
        </w:rPr>
      </w:pPr>
      <w:r w:rsidRPr="00B5064E">
        <w:rPr>
          <w:rFonts w:ascii="Calibri" w:hAnsi="Calibri" w:cs="Calibri"/>
          <w:iCs/>
        </w:rPr>
        <w:t>This option was assessed as a potential lower-intervention alternative consistent with best practice regulatory principles, which require consideration of the least intrusive mechanism capable of addressing the identified problem.</w:t>
      </w:r>
    </w:p>
    <w:p w14:paraId="4152BB5D" w14:textId="77777777" w:rsidR="00DE78B0" w:rsidRPr="00B5064E" w:rsidRDefault="00DE78B0" w:rsidP="00767859">
      <w:pPr>
        <w:pStyle w:val="Heading3"/>
        <w:spacing w:after="120"/>
        <w:rPr>
          <w:rFonts w:ascii="Calibri" w:hAnsi="Calibri" w:cs="Calibri"/>
        </w:rPr>
      </w:pPr>
      <w:bookmarkStart w:id="42" w:name="_Toc222842789"/>
      <w:r w:rsidRPr="00B5064E">
        <w:rPr>
          <w:rFonts w:ascii="Calibri" w:hAnsi="Calibri" w:cs="Calibri"/>
        </w:rPr>
        <w:t>Net benefits:</w:t>
      </w:r>
      <w:bookmarkEnd w:id="42"/>
    </w:p>
    <w:p w14:paraId="1DEAA3CC" w14:textId="77777777" w:rsidR="00DE78B0" w:rsidRPr="00B5064E" w:rsidRDefault="00DE78B0" w:rsidP="00CF405C">
      <w:pPr>
        <w:pStyle w:val="ListParagraph"/>
        <w:numPr>
          <w:ilvl w:val="0"/>
          <w:numId w:val="20"/>
        </w:numPr>
        <w:spacing w:before="120" w:after="120"/>
        <w:ind w:left="714" w:hanging="357"/>
        <w:contextualSpacing w:val="0"/>
        <w:rPr>
          <w:rFonts w:ascii="Calibri" w:hAnsi="Calibri" w:cs="Calibri"/>
        </w:rPr>
      </w:pPr>
      <w:r w:rsidRPr="00B5064E">
        <w:rPr>
          <w:rFonts w:ascii="Calibri" w:hAnsi="Calibri" w:cs="Calibri"/>
        </w:rPr>
        <w:t>Lower regulatory burden than a mandated standing offer.</w:t>
      </w:r>
    </w:p>
    <w:p w14:paraId="4D9A87C0" w14:textId="77777777" w:rsidR="00DE78B0" w:rsidRPr="00B5064E" w:rsidRDefault="00DE78B0" w:rsidP="00CF405C">
      <w:pPr>
        <w:pStyle w:val="ListParagraph"/>
        <w:numPr>
          <w:ilvl w:val="0"/>
          <w:numId w:val="20"/>
        </w:numPr>
        <w:spacing w:before="120" w:after="120"/>
        <w:ind w:left="714" w:hanging="357"/>
        <w:contextualSpacing w:val="0"/>
        <w:rPr>
          <w:rFonts w:ascii="Calibri" w:hAnsi="Calibri" w:cs="Calibri"/>
        </w:rPr>
      </w:pPr>
      <w:r w:rsidRPr="00B5064E">
        <w:rPr>
          <w:rFonts w:ascii="Calibri" w:hAnsi="Calibri" w:cs="Calibri"/>
        </w:rPr>
        <w:t>Greater flexibility for retailers to adapt products to local conditions.</w:t>
      </w:r>
    </w:p>
    <w:p w14:paraId="3C56A4E5" w14:textId="77777777" w:rsidR="00DE78B0" w:rsidRPr="00B5064E" w:rsidRDefault="00DE78B0" w:rsidP="00CF405C">
      <w:pPr>
        <w:pStyle w:val="ListParagraph"/>
        <w:numPr>
          <w:ilvl w:val="0"/>
          <w:numId w:val="20"/>
        </w:numPr>
        <w:spacing w:before="120" w:after="120"/>
        <w:ind w:left="714" w:hanging="357"/>
        <w:contextualSpacing w:val="0"/>
        <w:rPr>
          <w:rFonts w:ascii="Calibri" w:hAnsi="Calibri" w:cs="Calibri"/>
        </w:rPr>
      </w:pPr>
      <w:r w:rsidRPr="00B5064E">
        <w:rPr>
          <w:rFonts w:ascii="Calibri" w:hAnsi="Calibri" w:cs="Calibri"/>
        </w:rPr>
        <w:t>Potential improvement in comparability and transparency if broadly adopted.</w:t>
      </w:r>
    </w:p>
    <w:p w14:paraId="6300BE5B" w14:textId="77777777" w:rsidR="00DE78B0" w:rsidRPr="00B5064E" w:rsidRDefault="00DE78B0" w:rsidP="00CF405C">
      <w:pPr>
        <w:pStyle w:val="ListParagraph"/>
        <w:numPr>
          <w:ilvl w:val="0"/>
          <w:numId w:val="20"/>
        </w:numPr>
        <w:spacing w:before="120" w:after="120"/>
        <w:ind w:left="714" w:hanging="357"/>
        <w:contextualSpacing w:val="0"/>
        <w:rPr>
          <w:rFonts w:ascii="Calibri" w:hAnsi="Calibri" w:cs="Calibri"/>
          <w:iCs/>
        </w:rPr>
      </w:pPr>
      <w:r w:rsidRPr="00B5064E">
        <w:rPr>
          <w:rFonts w:ascii="Calibri" w:hAnsi="Calibri" w:cs="Calibri"/>
        </w:rPr>
        <w:t>Reduced risk of regulatory distortion.</w:t>
      </w:r>
    </w:p>
    <w:p w14:paraId="6561BC30" w14:textId="3206152D" w:rsidR="00AC4394" w:rsidRDefault="00E449AD" w:rsidP="00E449AD">
      <w:pPr>
        <w:spacing w:after="0"/>
        <w:rPr>
          <w:rFonts w:ascii="Calibri" w:hAnsi="Calibri" w:cs="Calibri"/>
          <w:i/>
          <w:sz w:val="20"/>
          <w:szCs w:val="20"/>
        </w:rPr>
      </w:pPr>
      <w:r w:rsidRPr="00B5064E">
        <w:rPr>
          <w:rFonts w:ascii="Calibri" w:hAnsi="Calibri" w:cs="Calibri"/>
          <w:i/>
          <w:sz w:val="20"/>
          <w:szCs w:val="20"/>
        </w:rPr>
        <w:lastRenderedPageBreak/>
        <w:t xml:space="preserve">Table </w:t>
      </w:r>
      <w:r w:rsidR="009D4797">
        <w:rPr>
          <w:rFonts w:ascii="Calibri" w:hAnsi="Calibri" w:cs="Calibri"/>
          <w:i/>
          <w:sz w:val="20"/>
          <w:szCs w:val="20"/>
        </w:rPr>
        <w:t>6</w:t>
      </w:r>
      <w:r w:rsidRPr="00B5064E">
        <w:rPr>
          <w:rFonts w:ascii="Calibri" w:hAnsi="Calibri" w:cs="Calibri"/>
          <w:i/>
          <w:sz w:val="20"/>
          <w:szCs w:val="20"/>
        </w:rPr>
        <w:t>: Net Benefit Assessment, Option A2 – Voluntary industry code or guidance framework</w:t>
      </w:r>
    </w:p>
    <w:tbl>
      <w:tblPr>
        <w:tblW w:w="9356" w:type="dxa"/>
        <w:tblBorders>
          <w:bottom w:val="single" w:sz="4" w:space="0" w:color="D1D1D1" w:themeColor="background2" w:themeShade="E6"/>
        </w:tblBorders>
        <w:tblCellMar>
          <w:left w:w="0" w:type="dxa"/>
          <w:right w:w="0" w:type="dxa"/>
        </w:tblCellMar>
        <w:tblLook w:val="04A0" w:firstRow="1" w:lastRow="0" w:firstColumn="1" w:lastColumn="0" w:noHBand="0" w:noVBand="1"/>
      </w:tblPr>
      <w:tblGrid>
        <w:gridCol w:w="1936"/>
        <w:gridCol w:w="1496"/>
        <w:gridCol w:w="537"/>
        <w:gridCol w:w="2694"/>
        <w:gridCol w:w="2693"/>
      </w:tblGrid>
      <w:tr w:rsidR="009D4797" w:rsidRPr="009D4797" w14:paraId="1CD18EDD" w14:textId="77777777" w:rsidTr="00170226">
        <w:trPr>
          <w:trHeight w:val="405"/>
        </w:trPr>
        <w:tc>
          <w:tcPr>
            <w:tcW w:w="3969" w:type="dxa"/>
            <w:gridSpan w:val="3"/>
            <w:shd w:val="clear" w:color="auto" w:fill="E8E8E8" w:themeFill="background2"/>
            <w:vAlign w:val="center"/>
            <w:hideMark/>
          </w:tcPr>
          <w:p w14:paraId="7DD923EA" w14:textId="504FB554" w:rsidR="009D4797" w:rsidRPr="009D4797" w:rsidRDefault="009D4797" w:rsidP="009D4797">
            <w:pPr>
              <w:spacing w:after="0" w:line="240" w:lineRule="auto"/>
              <w:textAlignment w:val="baseline"/>
              <w:rPr>
                <w:rFonts w:ascii="Segoe UI" w:eastAsia="Times New Roman" w:hAnsi="Segoe UI" w:cs="Segoe UI"/>
                <w:b/>
                <w:bCs/>
                <w:kern w:val="0"/>
                <w:sz w:val="18"/>
                <w:szCs w:val="18"/>
                <w:lang w:eastAsia="en-AU"/>
                <w14:ligatures w14:val="none"/>
              </w:rPr>
            </w:pPr>
            <w:r w:rsidRPr="009D4797">
              <w:rPr>
                <w:rFonts w:ascii="Calibri" w:eastAsia="Times New Roman" w:hAnsi="Calibri" w:cs="Calibri"/>
                <w:b/>
                <w:bCs/>
                <w:kern w:val="0"/>
                <w:lang w:eastAsia="en-AU"/>
                <w14:ligatures w14:val="none"/>
              </w:rPr>
              <w:t>Legend </w:t>
            </w:r>
            <w:r w:rsidRPr="009D4797">
              <w:rPr>
                <w:rFonts w:ascii="Segoe UI Emoji" w:eastAsia="Times New Roman" w:hAnsi="Segoe UI Emoji" w:cs="Segoe UI"/>
                <w:b/>
                <w:bCs/>
                <w:kern w:val="0"/>
                <w:lang w:eastAsia="en-AU"/>
                <w14:ligatures w14:val="none"/>
              </w:rPr>
              <w:t>🟢</w:t>
            </w:r>
            <w:r w:rsidRPr="009D4797">
              <w:rPr>
                <w:rFonts w:ascii="Calibri" w:eastAsia="Times New Roman" w:hAnsi="Calibri" w:cs="Calibri"/>
                <w:b/>
                <w:bCs/>
                <w:kern w:val="0"/>
                <w:lang w:eastAsia="en-AU"/>
                <w14:ligatures w14:val="none"/>
              </w:rPr>
              <w:t> = Strong positive / Low risk </w:t>
            </w:r>
            <w:r w:rsidRPr="009D4797">
              <w:rPr>
                <w:rFonts w:ascii="Segoe UI Emoji" w:eastAsia="Times New Roman" w:hAnsi="Segoe UI Emoji" w:cs="Segoe UI"/>
                <w:b/>
                <w:bCs/>
                <w:kern w:val="0"/>
                <w:lang w:eastAsia="en-AU"/>
                <w14:ligatures w14:val="none"/>
              </w:rPr>
              <w:t xml:space="preserve"> </w:t>
            </w:r>
          </w:p>
        </w:tc>
        <w:tc>
          <w:tcPr>
            <w:tcW w:w="2694" w:type="dxa"/>
            <w:shd w:val="clear" w:color="auto" w:fill="E8E8E8" w:themeFill="background2"/>
            <w:vAlign w:val="center"/>
          </w:tcPr>
          <w:p w14:paraId="0E43BD6C" w14:textId="2A2C0C13" w:rsidR="009D4797" w:rsidRPr="009D4797" w:rsidRDefault="009D4797" w:rsidP="009D4797">
            <w:pPr>
              <w:spacing w:after="0" w:line="240" w:lineRule="auto"/>
              <w:textAlignment w:val="baseline"/>
              <w:rPr>
                <w:rFonts w:ascii="Segoe UI" w:eastAsia="Times New Roman" w:hAnsi="Segoe UI" w:cs="Segoe UI"/>
                <w:b/>
                <w:bCs/>
                <w:kern w:val="0"/>
                <w:sz w:val="18"/>
                <w:szCs w:val="18"/>
                <w:lang w:eastAsia="en-AU"/>
                <w14:ligatures w14:val="none"/>
              </w:rPr>
            </w:pPr>
            <w:r w:rsidRPr="009D4797">
              <w:rPr>
                <w:rFonts w:ascii="Segoe UI Emoji" w:eastAsia="Times New Roman" w:hAnsi="Segoe UI Emoji" w:cs="Segoe UI"/>
                <w:b/>
                <w:bCs/>
                <w:kern w:val="0"/>
                <w:lang w:eastAsia="en-AU"/>
                <w14:ligatures w14:val="none"/>
              </w:rPr>
              <w:t>🟡</w:t>
            </w:r>
            <w:r w:rsidRPr="009D4797">
              <w:rPr>
                <w:rFonts w:ascii="Calibri" w:eastAsia="Times New Roman" w:hAnsi="Calibri" w:cs="Calibri"/>
                <w:b/>
                <w:bCs/>
                <w:kern w:val="0"/>
                <w:lang w:eastAsia="en-AU"/>
                <w14:ligatures w14:val="none"/>
              </w:rPr>
              <w:t> = Mixed / Moderate </w:t>
            </w:r>
          </w:p>
        </w:tc>
        <w:tc>
          <w:tcPr>
            <w:tcW w:w="2693" w:type="dxa"/>
            <w:shd w:val="clear" w:color="auto" w:fill="E8E8E8" w:themeFill="background2"/>
            <w:vAlign w:val="center"/>
          </w:tcPr>
          <w:p w14:paraId="6F409CF0" w14:textId="1CEC36AD" w:rsidR="009D4797" w:rsidRPr="009D4797" w:rsidRDefault="009D4797" w:rsidP="009D4797">
            <w:pPr>
              <w:spacing w:after="0" w:line="240" w:lineRule="auto"/>
              <w:textAlignment w:val="baseline"/>
              <w:rPr>
                <w:rFonts w:ascii="Segoe UI" w:eastAsia="Times New Roman" w:hAnsi="Segoe UI" w:cs="Segoe UI"/>
                <w:b/>
                <w:bCs/>
                <w:kern w:val="0"/>
                <w:sz w:val="18"/>
                <w:szCs w:val="18"/>
                <w:lang w:eastAsia="en-AU"/>
                <w14:ligatures w14:val="none"/>
              </w:rPr>
            </w:pPr>
            <w:r w:rsidRPr="009D4797">
              <w:rPr>
                <w:rFonts w:ascii="Segoe UI Emoji" w:eastAsia="Times New Roman" w:hAnsi="Segoe UI Emoji" w:cs="Segoe UI"/>
                <w:b/>
                <w:bCs/>
                <w:kern w:val="0"/>
                <w:lang w:eastAsia="en-AU"/>
                <w14:ligatures w14:val="none"/>
              </w:rPr>
              <w:t>🔴</w:t>
            </w:r>
            <w:r w:rsidRPr="009D4797">
              <w:rPr>
                <w:rFonts w:ascii="Calibri" w:eastAsia="Times New Roman" w:hAnsi="Calibri" w:cs="Calibri"/>
                <w:b/>
                <w:bCs/>
                <w:kern w:val="0"/>
                <w:lang w:eastAsia="en-AU"/>
                <w14:ligatures w14:val="none"/>
              </w:rPr>
              <w:t> = Weak / Limited benefit </w:t>
            </w:r>
          </w:p>
        </w:tc>
      </w:tr>
      <w:tr w:rsidR="009D4797" w:rsidRPr="009D4797" w14:paraId="5B159A7B" w14:textId="77777777" w:rsidTr="00170226">
        <w:trPr>
          <w:trHeight w:val="360"/>
        </w:trPr>
        <w:tc>
          <w:tcPr>
            <w:tcW w:w="1936" w:type="dxa"/>
            <w:shd w:val="clear" w:color="auto" w:fill="E8E8E8" w:themeFill="background2"/>
            <w:vAlign w:val="center"/>
            <w:hideMark/>
          </w:tcPr>
          <w:p w14:paraId="2E627F71" w14:textId="77777777" w:rsidR="009D4797" w:rsidRPr="009D4797" w:rsidRDefault="009D4797" w:rsidP="009D4797">
            <w:pPr>
              <w:spacing w:after="0" w:line="240" w:lineRule="auto"/>
              <w:jc w:val="center"/>
              <w:textAlignment w:val="baseline"/>
              <w:rPr>
                <w:rFonts w:ascii="Segoe UI" w:eastAsia="Times New Roman" w:hAnsi="Segoe UI" w:cs="Segoe UI"/>
                <w:b/>
                <w:bCs/>
                <w:kern w:val="0"/>
                <w:sz w:val="18"/>
                <w:szCs w:val="18"/>
                <w:lang w:eastAsia="en-AU"/>
                <w14:ligatures w14:val="none"/>
              </w:rPr>
            </w:pPr>
            <w:r w:rsidRPr="009D4797">
              <w:rPr>
                <w:rFonts w:ascii="Calibri" w:eastAsia="Times New Roman" w:hAnsi="Calibri" w:cs="Calibri"/>
                <w:b/>
                <w:bCs/>
                <w:kern w:val="0"/>
                <w:lang w:eastAsia="en-AU"/>
                <w14:ligatures w14:val="none"/>
              </w:rPr>
              <w:t>Impact Category </w:t>
            </w:r>
          </w:p>
        </w:tc>
        <w:tc>
          <w:tcPr>
            <w:tcW w:w="1496" w:type="dxa"/>
            <w:shd w:val="clear" w:color="auto" w:fill="E8E8E8" w:themeFill="background2"/>
            <w:vAlign w:val="center"/>
            <w:hideMark/>
          </w:tcPr>
          <w:p w14:paraId="13BFCCA6" w14:textId="77777777" w:rsidR="009D4797" w:rsidRPr="009D4797" w:rsidRDefault="009D4797" w:rsidP="009D4797">
            <w:pPr>
              <w:spacing w:after="0" w:line="240" w:lineRule="auto"/>
              <w:jc w:val="center"/>
              <w:textAlignment w:val="baseline"/>
              <w:rPr>
                <w:rFonts w:ascii="Segoe UI" w:eastAsia="Times New Roman" w:hAnsi="Segoe UI" w:cs="Segoe UI"/>
                <w:kern w:val="0"/>
                <w:sz w:val="18"/>
                <w:szCs w:val="18"/>
                <w:lang w:eastAsia="en-AU"/>
                <w14:ligatures w14:val="none"/>
              </w:rPr>
            </w:pPr>
            <w:r w:rsidRPr="009D4797">
              <w:rPr>
                <w:rFonts w:ascii="Calibri" w:eastAsia="Times New Roman" w:hAnsi="Calibri" w:cs="Calibri"/>
                <w:b/>
                <w:bCs/>
                <w:kern w:val="0"/>
                <w:lang w:eastAsia="en-AU"/>
                <w14:ligatures w14:val="none"/>
              </w:rPr>
              <w:t>Net Benefit Rating</w:t>
            </w:r>
            <w:r w:rsidRPr="009D4797">
              <w:rPr>
                <w:rFonts w:ascii="Calibri" w:eastAsia="Times New Roman" w:hAnsi="Calibri" w:cs="Calibri"/>
                <w:kern w:val="0"/>
                <w:lang w:eastAsia="en-AU"/>
                <w14:ligatures w14:val="none"/>
              </w:rPr>
              <w:t> </w:t>
            </w:r>
          </w:p>
        </w:tc>
        <w:tc>
          <w:tcPr>
            <w:tcW w:w="5924" w:type="dxa"/>
            <w:gridSpan w:val="3"/>
            <w:shd w:val="clear" w:color="auto" w:fill="E8E8E8" w:themeFill="background2"/>
            <w:vAlign w:val="center"/>
            <w:hideMark/>
          </w:tcPr>
          <w:p w14:paraId="401AB16E" w14:textId="77777777" w:rsidR="009D4797" w:rsidRPr="009D4797" w:rsidRDefault="009D4797" w:rsidP="009D4797">
            <w:pPr>
              <w:spacing w:after="0" w:line="240" w:lineRule="auto"/>
              <w:jc w:val="center"/>
              <w:textAlignment w:val="baseline"/>
              <w:rPr>
                <w:rFonts w:ascii="Segoe UI" w:eastAsia="Times New Roman" w:hAnsi="Segoe UI" w:cs="Segoe UI"/>
                <w:kern w:val="0"/>
                <w:sz w:val="18"/>
                <w:szCs w:val="18"/>
                <w:lang w:eastAsia="en-AU"/>
                <w14:ligatures w14:val="none"/>
              </w:rPr>
            </w:pPr>
            <w:r w:rsidRPr="009D4797">
              <w:rPr>
                <w:rFonts w:ascii="Calibri" w:eastAsia="Times New Roman" w:hAnsi="Calibri" w:cs="Calibri"/>
                <w:b/>
                <w:bCs/>
                <w:kern w:val="0"/>
                <w:lang w:eastAsia="en-AU"/>
                <w14:ligatures w14:val="none"/>
              </w:rPr>
              <w:t>Explanation</w:t>
            </w:r>
            <w:r w:rsidRPr="009D4797">
              <w:rPr>
                <w:rFonts w:ascii="Calibri" w:eastAsia="Times New Roman" w:hAnsi="Calibri" w:cs="Calibri"/>
                <w:kern w:val="0"/>
                <w:lang w:eastAsia="en-AU"/>
                <w14:ligatures w14:val="none"/>
              </w:rPr>
              <w:t> </w:t>
            </w:r>
          </w:p>
        </w:tc>
      </w:tr>
      <w:tr w:rsidR="009D4797" w:rsidRPr="009D4797" w14:paraId="49E1512D" w14:textId="77777777" w:rsidTr="00170226">
        <w:trPr>
          <w:trHeight w:val="720"/>
        </w:trPr>
        <w:tc>
          <w:tcPr>
            <w:tcW w:w="1936" w:type="dxa"/>
            <w:shd w:val="clear" w:color="auto" w:fill="FFFFFF" w:themeFill="background1"/>
            <w:vAlign w:val="center"/>
            <w:hideMark/>
          </w:tcPr>
          <w:p w14:paraId="66D4527F" w14:textId="77777777" w:rsidR="009D4797" w:rsidRPr="009D4797" w:rsidRDefault="009D4797" w:rsidP="009D4797">
            <w:pPr>
              <w:spacing w:after="0" w:line="240" w:lineRule="auto"/>
              <w:textAlignment w:val="baseline"/>
              <w:rPr>
                <w:rFonts w:ascii="Segoe UI" w:eastAsia="Times New Roman" w:hAnsi="Segoe UI" w:cs="Segoe UI"/>
                <w:b/>
                <w:bCs/>
                <w:kern w:val="0"/>
                <w:sz w:val="18"/>
                <w:szCs w:val="18"/>
                <w:lang w:eastAsia="en-AU"/>
                <w14:ligatures w14:val="none"/>
              </w:rPr>
            </w:pPr>
            <w:r w:rsidRPr="009D4797">
              <w:rPr>
                <w:rFonts w:ascii="Calibri" w:eastAsia="Times New Roman" w:hAnsi="Calibri" w:cs="Calibri"/>
                <w:b/>
                <w:bCs/>
                <w:kern w:val="0"/>
                <w:lang w:eastAsia="en-AU"/>
                <w14:ligatures w14:val="none"/>
              </w:rPr>
              <w:t>Economic </w:t>
            </w:r>
          </w:p>
        </w:tc>
        <w:tc>
          <w:tcPr>
            <w:tcW w:w="1496" w:type="dxa"/>
            <w:shd w:val="clear" w:color="auto" w:fill="FFFFFF" w:themeFill="background1"/>
            <w:vAlign w:val="center"/>
            <w:hideMark/>
          </w:tcPr>
          <w:p w14:paraId="7A6DCEF7" w14:textId="77777777" w:rsidR="009D4797" w:rsidRPr="009D4797" w:rsidRDefault="009D4797" w:rsidP="009D4797">
            <w:pPr>
              <w:spacing w:after="0" w:line="240" w:lineRule="auto"/>
              <w:jc w:val="center"/>
              <w:textAlignment w:val="baseline"/>
              <w:rPr>
                <w:rFonts w:ascii="Segoe UI" w:eastAsia="Times New Roman" w:hAnsi="Segoe UI" w:cs="Segoe UI"/>
                <w:kern w:val="0"/>
                <w:sz w:val="18"/>
                <w:szCs w:val="18"/>
                <w:lang w:eastAsia="en-AU"/>
                <w14:ligatures w14:val="none"/>
              </w:rPr>
            </w:pPr>
            <w:r w:rsidRPr="009D4797">
              <w:rPr>
                <w:rFonts w:ascii="Segoe UI Emoji" w:eastAsia="Times New Roman" w:hAnsi="Segoe UI Emoji" w:cs="Segoe UI"/>
                <w:kern w:val="0"/>
                <w:lang w:eastAsia="en-AU"/>
                <w14:ligatures w14:val="none"/>
              </w:rPr>
              <w:t>🟡 </w:t>
            </w:r>
          </w:p>
        </w:tc>
        <w:tc>
          <w:tcPr>
            <w:tcW w:w="5924" w:type="dxa"/>
            <w:gridSpan w:val="3"/>
            <w:shd w:val="clear" w:color="auto" w:fill="FFFFFF" w:themeFill="background1"/>
            <w:vAlign w:val="center"/>
            <w:hideMark/>
          </w:tcPr>
          <w:p w14:paraId="61A9CB18" w14:textId="77777777" w:rsidR="009D4797" w:rsidRPr="009D4797" w:rsidRDefault="009D4797" w:rsidP="009D4797">
            <w:pPr>
              <w:spacing w:after="0" w:line="240" w:lineRule="auto"/>
              <w:textAlignment w:val="baseline"/>
              <w:rPr>
                <w:rFonts w:ascii="Segoe UI" w:eastAsia="Times New Roman" w:hAnsi="Segoe UI" w:cs="Segoe UI"/>
                <w:kern w:val="0"/>
                <w:sz w:val="18"/>
                <w:szCs w:val="18"/>
                <w:lang w:eastAsia="en-AU"/>
                <w14:ligatures w14:val="none"/>
              </w:rPr>
            </w:pPr>
            <w:r w:rsidRPr="009D4797">
              <w:rPr>
                <w:rFonts w:ascii="Calibri" w:eastAsia="Times New Roman" w:hAnsi="Calibri" w:cs="Calibri"/>
                <w:kern w:val="0"/>
                <w:lang w:eastAsia="en-AU"/>
                <w14:ligatures w14:val="none"/>
              </w:rPr>
              <w:t>Potential moderate bill savings where retailers adopt guidance; impact scale uncertain. </w:t>
            </w:r>
          </w:p>
        </w:tc>
      </w:tr>
      <w:tr w:rsidR="009D4797" w:rsidRPr="009D4797" w14:paraId="5AA15329" w14:textId="77777777" w:rsidTr="00170226">
        <w:trPr>
          <w:trHeight w:val="720"/>
        </w:trPr>
        <w:tc>
          <w:tcPr>
            <w:tcW w:w="1936" w:type="dxa"/>
            <w:shd w:val="clear" w:color="auto" w:fill="F2F2F2" w:themeFill="background1" w:themeFillShade="F2"/>
            <w:vAlign w:val="center"/>
            <w:hideMark/>
          </w:tcPr>
          <w:p w14:paraId="63F4160B" w14:textId="77777777" w:rsidR="009D4797" w:rsidRPr="009D4797" w:rsidRDefault="009D4797" w:rsidP="009D4797">
            <w:pPr>
              <w:spacing w:after="0" w:line="240" w:lineRule="auto"/>
              <w:textAlignment w:val="baseline"/>
              <w:rPr>
                <w:rFonts w:ascii="Segoe UI" w:eastAsia="Times New Roman" w:hAnsi="Segoe UI" w:cs="Segoe UI"/>
                <w:b/>
                <w:bCs/>
                <w:kern w:val="0"/>
                <w:sz w:val="18"/>
                <w:szCs w:val="18"/>
                <w:lang w:eastAsia="en-AU"/>
                <w14:ligatures w14:val="none"/>
              </w:rPr>
            </w:pPr>
            <w:r w:rsidRPr="009D4797">
              <w:rPr>
                <w:rFonts w:ascii="Calibri" w:eastAsia="Times New Roman" w:hAnsi="Calibri" w:cs="Calibri"/>
                <w:b/>
                <w:bCs/>
                <w:kern w:val="0"/>
                <w:lang w:eastAsia="en-AU"/>
                <w14:ligatures w14:val="none"/>
              </w:rPr>
              <w:t>Competition </w:t>
            </w:r>
          </w:p>
        </w:tc>
        <w:tc>
          <w:tcPr>
            <w:tcW w:w="1496" w:type="dxa"/>
            <w:shd w:val="clear" w:color="auto" w:fill="F2F2F2" w:themeFill="background1" w:themeFillShade="F2"/>
            <w:vAlign w:val="center"/>
            <w:hideMark/>
          </w:tcPr>
          <w:p w14:paraId="25FE9703" w14:textId="77777777" w:rsidR="009D4797" w:rsidRPr="009D4797" w:rsidRDefault="009D4797" w:rsidP="009D4797">
            <w:pPr>
              <w:spacing w:after="0" w:line="240" w:lineRule="auto"/>
              <w:jc w:val="center"/>
              <w:textAlignment w:val="baseline"/>
              <w:rPr>
                <w:rFonts w:ascii="Segoe UI" w:eastAsia="Times New Roman" w:hAnsi="Segoe UI" w:cs="Segoe UI"/>
                <w:kern w:val="0"/>
                <w:sz w:val="18"/>
                <w:szCs w:val="18"/>
                <w:lang w:eastAsia="en-AU"/>
                <w14:ligatures w14:val="none"/>
              </w:rPr>
            </w:pPr>
            <w:r w:rsidRPr="009D4797">
              <w:rPr>
                <w:rFonts w:ascii="Segoe UI Emoji" w:eastAsia="Times New Roman" w:hAnsi="Segoe UI Emoji" w:cs="Segoe UI"/>
                <w:kern w:val="0"/>
                <w:lang w:eastAsia="en-AU"/>
                <w14:ligatures w14:val="none"/>
              </w:rPr>
              <w:t>🟢 </w:t>
            </w:r>
          </w:p>
        </w:tc>
        <w:tc>
          <w:tcPr>
            <w:tcW w:w="5924" w:type="dxa"/>
            <w:gridSpan w:val="3"/>
            <w:shd w:val="clear" w:color="auto" w:fill="F2F2F2" w:themeFill="background1" w:themeFillShade="F2"/>
            <w:vAlign w:val="center"/>
            <w:hideMark/>
          </w:tcPr>
          <w:p w14:paraId="32F420F6" w14:textId="77777777" w:rsidR="009D4797" w:rsidRPr="009D4797" w:rsidRDefault="009D4797" w:rsidP="009D4797">
            <w:pPr>
              <w:spacing w:after="0" w:line="240" w:lineRule="auto"/>
              <w:textAlignment w:val="baseline"/>
              <w:rPr>
                <w:rFonts w:ascii="Segoe UI" w:eastAsia="Times New Roman" w:hAnsi="Segoe UI" w:cs="Segoe UI"/>
                <w:kern w:val="0"/>
                <w:sz w:val="18"/>
                <w:szCs w:val="18"/>
                <w:lang w:eastAsia="en-AU"/>
                <w14:ligatures w14:val="none"/>
              </w:rPr>
            </w:pPr>
            <w:r w:rsidRPr="009D4797">
              <w:rPr>
                <w:rFonts w:ascii="Calibri" w:eastAsia="Times New Roman" w:hAnsi="Calibri" w:cs="Calibri"/>
                <w:kern w:val="0"/>
                <w:lang w:eastAsia="en-AU"/>
                <w14:ligatures w14:val="none"/>
              </w:rPr>
              <w:t>Maintains innovation flexibility; avoids prescriptive regulation; however, no enforceable standard. </w:t>
            </w:r>
          </w:p>
        </w:tc>
      </w:tr>
      <w:tr w:rsidR="009D4797" w:rsidRPr="009D4797" w14:paraId="1B5845FD" w14:textId="77777777" w:rsidTr="00170226">
        <w:trPr>
          <w:trHeight w:val="720"/>
        </w:trPr>
        <w:tc>
          <w:tcPr>
            <w:tcW w:w="1936" w:type="dxa"/>
            <w:shd w:val="clear" w:color="auto" w:fill="FFFFFF" w:themeFill="background1"/>
            <w:vAlign w:val="center"/>
            <w:hideMark/>
          </w:tcPr>
          <w:p w14:paraId="7A0024E8" w14:textId="77777777" w:rsidR="009D4797" w:rsidRPr="009D4797" w:rsidRDefault="009D4797" w:rsidP="009D4797">
            <w:pPr>
              <w:spacing w:after="0" w:line="240" w:lineRule="auto"/>
              <w:textAlignment w:val="baseline"/>
              <w:rPr>
                <w:rFonts w:ascii="Segoe UI" w:eastAsia="Times New Roman" w:hAnsi="Segoe UI" w:cs="Segoe UI"/>
                <w:b/>
                <w:bCs/>
                <w:kern w:val="0"/>
                <w:sz w:val="18"/>
                <w:szCs w:val="18"/>
                <w:lang w:eastAsia="en-AU"/>
                <w14:ligatures w14:val="none"/>
              </w:rPr>
            </w:pPr>
            <w:r w:rsidRPr="009D4797">
              <w:rPr>
                <w:rFonts w:ascii="Calibri" w:eastAsia="Times New Roman" w:hAnsi="Calibri" w:cs="Calibri"/>
                <w:b/>
                <w:bCs/>
                <w:kern w:val="0"/>
                <w:lang w:eastAsia="en-AU"/>
                <w14:ligatures w14:val="none"/>
              </w:rPr>
              <w:t>Social / Distributional </w:t>
            </w:r>
          </w:p>
        </w:tc>
        <w:tc>
          <w:tcPr>
            <w:tcW w:w="1496" w:type="dxa"/>
            <w:shd w:val="clear" w:color="auto" w:fill="FFFFFF" w:themeFill="background1"/>
            <w:vAlign w:val="center"/>
            <w:hideMark/>
          </w:tcPr>
          <w:p w14:paraId="7294D063" w14:textId="77777777" w:rsidR="009D4797" w:rsidRPr="009D4797" w:rsidRDefault="009D4797" w:rsidP="009D4797">
            <w:pPr>
              <w:spacing w:after="0" w:line="240" w:lineRule="auto"/>
              <w:jc w:val="center"/>
              <w:textAlignment w:val="baseline"/>
              <w:rPr>
                <w:rFonts w:ascii="Segoe UI" w:eastAsia="Times New Roman" w:hAnsi="Segoe UI" w:cs="Segoe UI"/>
                <w:kern w:val="0"/>
                <w:sz w:val="18"/>
                <w:szCs w:val="18"/>
                <w:lang w:eastAsia="en-AU"/>
                <w14:ligatures w14:val="none"/>
              </w:rPr>
            </w:pPr>
            <w:r w:rsidRPr="009D4797">
              <w:rPr>
                <w:rFonts w:ascii="Segoe UI Emoji" w:eastAsia="Times New Roman" w:hAnsi="Segoe UI Emoji" w:cs="Segoe UI"/>
                <w:kern w:val="0"/>
                <w:lang w:eastAsia="en-AU"/>
                <w14:ligatures w14:val="none"/>
              </w:rPr>
              <w:t>🟡 </w:t>
            </w:r>
          </w:p>
        </w:tc>
        <w:tc>
          <w:tcPr>
            <w:tcW w:w="5924" w:type="dxa"/>
            <w:gridSpan w:val="3"/>
            <w:shd w:val="clear" w:color="auto" w:fill="FFFFFF" w:themeFill="background1"/>
            <w:vAlign w:val="center"/>
            <w:hideMark/>
          </w:tcPr>
          <w:p w14:paraId="520B6CC3" w14:textId="77777777" w:rsidR="009D4797" w:rsidRPr="009D4797" w:rsidRDefault="009D4797" w:rsidP="009D4797">
            <w:pPr>
              <w:spacing w:after="0" w:line="240" w:lineRule="auto"/>
              <w:textAlignment w:val="baseline"/>
              <w:rPr>
                <w:rFonts w:ascii="Segoe UI" w:eastAsia="Times New Roman" w:hAnsi="Segoe UI" w:cs="Segoe UI"/>
                <w:kern w:val="0"/>
                <w:sz w:val="18"/>
                <w:szCs w:val="18"/>
                <w:lang w:eastAsia="en-AU"/>
                <w14:ligatures w14:val="none"/>
              </w:rPr>
            </w:pPr>
            <w:r w:rsidRPr="009D4797">
              <w:rPr>
                <w:rFonts w:ascii="Calibri" w:eastAsia="Times New Roman" w:hAnsi="Calibri" w:cs="Calibri"/>
                <w:kern w:val="0"/>
                <w:lang w:eastAsia="en-AU"/>
                <w14:ligatures w14:val="none"/>
              </w:rPr>
              <w:t>Improved transparency possible; access remains uneven and dependent on voluntary retailer participation. </w:t>
            </w:r>
          </w:p>
        </w:tc>
      </w:tr>
      <w:tr w:rsidR="009D4797" w:rsidRPr="009D4797" w14:paraId="76F2F5F2" w14:textId="77777777" w:rsidTr="00170226">
        <w:trPr>
          <w:trHeight w:val="720"/>
        </w:trPr>
        <w:tc>
          <w:tcPr>
            <w:tcW w:w="1936" w:type="dxa"/>
            <w:shd w:val="clear" w:color="auto" w:fill="F2F2F2" w:themeFill="background1" w:themeFillShade="F2"/>
            <w:vAlign w:val="center"/>
            <w:hideMark/>
          </w:tcPr>
          <w:p w14:paraId="2481C9E3" w14:textId="77777777" w:rsidR="009D4797" w:rsidRPr="009D4797" w:rsidRDefault="009D4797" w:rsidP="009D4797">
            <w:pPr>
              <w:spacing w:after="0" w:line="240" w:lineRule="auto"/>
              <w:textAlignment w:val="baseline"/>
              <w:rPr>
                <w:rFonts w:ascii="Segoe UI" w:eastAsia="Times New Roman" w:hAnsi="Segoe UI" w:cs="Segoe UI"/>
                <w:b/>
                <w:bCs/>
                <w:kern w:val="0"/>
                <w:sz w:val="18"/>
                <w:szCs w:val="18"/>
                <w:lang w:eastAsia="en-AU"/>
                <w14:ligatures w14:val="none"/>
              </w:rPr>
            </w:pPr>
            <w:r w:rsidRPr="009D4797">
              <w:rPr>
                <w:rFonts w:ascii="Calibri" w:eastAsia="Times New Roman" w:hAnsi="Calibri" w:cs="Calibri"/>
                <w:b/>
                <w:bCs/>
                <w:kern w:val="0"/>
                <w:lang w:eastAsia="en-AU"/>
                <w14:ligatures w14:val="none"/>
              </w:rPr>
              <w:t>Environmental / System </w:t>
            </w:r>
          </w:p>
        </w:tc>
        <w:tc>
          <w:tcPr>
            <w:tcW w:w="1496" w:type="dxa"/>
            <w:shd w:val="clear" w:color="auto" w:fill="F2F2F2" w:themeFill="background1" w:themeFillShade="F2"/>
            <w:vAlign w:val="center"/>
            <w:hideMark/>
          </w:tcPr>
          <w:p w14:paraId="222ACE2D" w14:textId="77777777" w:rsidR="009D4797" w:rsidRPr="009D4797" w:rsidRDefault="009D4797" w:rsidP="009D4797">
            <w:pPr>
              <w:spacing w:after="0" w:line="240" w:lineRule="auto"/>
              <w:jc w:val="center"/>
              <w:textAlignment w:val="baseline"/>
              <w:rPr>
                <w:rFonts w:ascii="Segoe UI" w:eastAsia="Times New Roman" w:hAnsi="Segoe UI" w:cs="Segoe UI"/>
                <w:kern w:val="0"/>
                <w:sz w:val="18"/>
                <w:szCs w:val="18"/>
                <w:lang w:eastAsia="en-AU"/>
                <w14:ligatures w14:val="none"/>
              </w:rPr>
            </w:pPr>
            <w:r w:rsidRPr="009D4797">
              <w:rPr>
                <w:rFonts w:ascii="Segoe UI Emoji" w:eastAsia="Times New Roman" w:hAnsi="Segoe UI Emoji" w:cs="Segoe UI"/>
                <w:kern w:val="0"/>
                <w:lang w:eastAsia="en-AU"/>
                <w14:ligatures w14:val="none"/>
              </w:rPr>
              <w:t>🟡 </w:t>
            </w:r>
          </w:p>
        </w:tc>
        <w:tc>
          <w:tcPr>
            <w:tcW w:w="5924" w:type="dxa"/>
            <w:gridSpan w:val="3"/>
            <w:shd w:val="clear" w:color="auto" w:fill="F2F2F2" w:themeFill="background1" w:themeFillShade="F2"/>
            <w:vAlign w:val="center"/>
            <w:hideMark/>
          </w:tcPr>
          <w:p w14:paraId="5F345D7A" w14:textId="77777777" w:rsidR="009D4797" w:rsidRPr="009D4797" w:rsidRDefault="009D4797" w:rsidP="009D4797">
            <w:pPr>
              <w:spacing w:after="0" w:line="240" w:lineRule="auto"/>
              <w:textAlignment w:val="baseline"/>
              <w:rPr>
                <w:rFonts w:ascii="Segoe UI" w:eastAsia="Times New Roman" w:hAnsi="Segoe UI" w:cs="Segoe UI"/>
                <w:kern w:val="0"/>
                <w:sz w:val="18"/>
                <w:szCs w:val="18"/>
                <w:lang w:eastAsia="en-AU"/>
                <w14:ligatures w14:val="none"/>
              </w:rPr>
            </w:pPr>
            <w:r w:rsidRPr="009D4797">
              <w:rPr>
                <w:rFonts w:ascii="Calibri" w:eastAsia="Times New Roman" w:hAnsi="Calibri" w:cs="Calibri"/>
                <w:kern w:val="0"/>
                <w:lang w:eastAsia="en-AU"/>
                <w14:ligatures w14:val="none"/>
              </w:rPr>
              <w:t>Some demand shifting possible; scale and system impact uncertain. </w:t>
            </w:r>
          </w:p>
        </w:tc>
      </w:tr>
      <w:tr w:rsidR="009D4797" w:rsidRPr="009D4797" w14:paraId="61E9C316" w14:textId="77777777" w:rsidTr="00170226">
        <w:trPr>
          <w:trHeight w:val="450"/>
        </w:trPr>
        <w:tc>
          <w:tcPr>
            <w:tcW w:w="1936" w:type="dxa"/>
            <w:shd w:val="clear" w:color="auto" w:fill="FFFFFF" w:themeFill="background1"/>
            <w:vAlign w:val="center"/>
            <w:hideMark/>
          </w:tcPr>
          <w:p w14:paraId="61D242F1" w14:textId="77777777" w:rsidR="009D4797" w:rsidRPr="009D4797" w:rsidRDefault="009D4797" w:rsidP="009D4797">
            <w:pPr>
              <w:spacing w:after="0" w:line="240" w:lineRule="auto"/>
              <w:textAlignment w:val="baseline"/>
              <w:rPr>
                <w:rFonts w:ascii="Segoe UI" w:eastAsia="Times New Roman" w:hAnsi="Segoe UI" w:cs="Segoe UI"/>
                <w:b/>
                <w:bCs/>
                <w:kern w:val="0"/>
                <w:sz w:val="18"/>
                <w:szCs w:val="18"/>
                <w:lang w:eastAsia="en-AU"/>
                <w14:ligatures w14:val="none"/>
              </w:rPr>
            </w:pPr>
            <w:r w:rsidRPr="009D4797">
              <w:rPr>
                <w:rFonts w:ascii="Calibri" w:eastAsia="Times New Roman" w:hAnsi="Calibri" w:cs="Calibri"/>
                <w:b/>
                <w:bCs/>
                <w:kern w:val="0"/>
                <w:lang w:eastAsia="en-AU"/>
                <w14:ligatures w14:val="none"/>
              </w:rPr>
              <w:t>Regulatory Burden </w:t>
            </w:r>
          </w:p>
        </w:tc>
        <w:tc>
          <w:tcPr>
            <w:tcW w:w="1496" w:type="dxa"/>
            <w:shd w:val="clear" w:color="auto" w:fill="FFFFFF" w:themeFill="background1"/>
            <w:vAlign w:val="center"/>
            <w:hideMark/>
          </w:tcPr>
          <w:p w14:paraId="5A5F0578" w14:textId="77777777" w:rsidR="009D4797" w:rsidRPr="009D4797" w:rsidRDefault="009D4797" w:rsidP="009D4797">
            <w:pPr>
              <w:spacing w:after="0" w:line="240" w:lineRule="auto"/>
              <w:jc w:val="center"/>
              <w:textAlignment w:val="baseline"/>
              <w:rPr>
                <w:rFonts w:ascii="Segoe UI" w:eastAsia="Times New Roman" w:hAnsi="Segoe UI" w:cs="Segoe UI"/>
                <w:kern w:val="0"/>
                <w:sz w:val="18"/>
                <w:szCs w:val="18"/>
                <w:lang w:eastAsia="en-AU"/>
                <w14:ligatures w14:val="none"/>
              </w:rPr>
            </w:pPr>
            <w:r w:rsidRPr="009D4797">
              <w:rPr>
                <w:rFonts w:ascii="Segoe UI Emoji" w:eastAsia="Times New Roman" w:hAnsi="Segoe UI Emoji" w:cs="Segoe UI"/>
                <w:kern w:val="0"/>
                <w:lang w:eastAsia="en-AU"/>
                <w14:ligatures w14:val="none"/>
              </w:rPr>
              <w:t>🟢 </w:t>
            </w:r>
          </w:p>
        </w:tc>
        <w:tc>
          <w:tcPr>
            <w:tcW w:w="5924" w:type="dxa"/>
            <w:gridSpan w:val="3"/>
            <w:shd w:val="clear" w:color="auto" w:fill="FFFFFF" w:themeFill="background1"/>
            <w:vAlign w:val="center"/>
            <w:hideMark/>
          </w:tcPr>
          <w:p w14:paraId="0A61B858" w14:textId="77777777" w:rsidR="009D4797" w:rsidRPr="009D4797" w:rsidRDefault="009D4797" w:rsidP="009D4797">
            <w:pPr>
              <w:spacing w:after="0" w:line="240" w:lineRule="auto"/>
              <w:textAlignment w:val="baseline"/>
              <w:rPr>
                <w:rFonts w:ascii="Segoe UI" w:eastAsia="Times New Roman" w:hAnsi="Segoe UI" w:cs="Segoe UI"/>
                <w:kern w:val="0"/>
                <w:sz w:val="18"/>
                <w:szCs w:val="18"/>
                <w:lang w:eastAsia="en-AU"/>
                <w14:ligatures w14:val="none"/>
              </w:rPr>
            </w:pPr>
            <w:r w:rsidRPr="009D4797">
              <w:rPr>
                <w:rFonts w:ascii="Calibri" w:eastAsia="Times New Roman" w:hAnsi="Calibri" w:cs="Calibri"/>
                <w:kern w:val="0"/>
                <w:lang w:eastAsia="en-AU"/>
                <w14:ligatures w14:val="none"/>
              </w:rPr>
              <w:t>Low compliance cost; no mandatory implementation. </w:t>
            </w:r>
          </w:p>
        </w:tc>
      </w:tr>
      <w:tr w:rsidR="009D4797" w:rsidRPr="009D4797" w14:paraId="15E70469" w14:textId="77777777" w:rsidTr="00170226">
        <w:trPr>
          <w:trHeight w:val="720"/>
        </w:trPr>
        <w:tc>
          <w:tcPr>
            <w:tcW w:w="1936" w:type="dxa"/>
            <w:shd w:val="clear" w:color="auto" w:fill="F2F2F2" w:themeFill="background1" w:themeFillShade="F2"/>
            <w:vAlign w:val="center"/>
            <w:hideMark/>
          </w:tcPr>
          <w:p w14:paraId="5FEE08E5" w14:textId="77777777" w:rsidR="009D4797" w:rsidRPr="009D4797" w:rsidRDefault="009D4797" w:rsidP="009D4797">
            <w:pPr>
              <w:spacing w:after="0" w:line="240" w:lineRule="auto"/>
              <w:textAlignment w:val="baseline"/>
              <w:rPr>
                <w:rFonts w:ascii="Segoe UI" w:eastAsia="Times New Roman" w:hAnsi="Segoe UI" w:cs="Segoe UI"/>
                <w:b/>
                <w:bCs/>
                <w:kern w:val="0"/>
                <w:sz w:val="18"/>
                <w:szCs w:val="18"/>
                <w:lang w:eastAsia="en-AU"/>
                <w14:ligatures w14:val="none"/>
              </w:rPr>
            </w:pPr>
            <w:r w:rsidRPr="009D4797">
              <w:rPr>
                <w:rFonts w:ascii="Calibri" w:eastAsia="Times New Roman" w:hAnsi="Calibri" w:cs="Calibri"/>
                <w:b/>
                <w:bCs/>
                <w:kern w:val="0"/>
                <w:lang w:eastAsia="en-AU"/>
                <w14:ligatures w14:val="none"/>
              </w:rPr>
              <w:t>Overall Net Benefit </w:t>
            </w:r>
          </w:p>
        </w:tc>
        <w:tc>
          <w:tcPr>
            <w:tcW w:w="1496" w:type="dxa"/>
            <w:shd w:val="clear" w:color="auto" w:fill="F2F2F2" w:themeFill="background1" w:themeFillShade="F2"/>
            <w:vAlign w:val="center"/>
            <w:hideMark/>
          </w:tcPr>
          <w:p w14:paraId="49D8143B" w14:textId="77777777" w:rsidR="009D4797" w:rsidRPr="009D4797" w:rsidRDefault="009D4797" w:rsidP="009D4797">
            <w:pPr>
              <w:spacing w:after="0" w:line="240" w:lineRule="auto"/>
              <w:jc w:val="center"/>
              <w:textAlignment w:val="baseline"/>
              <w:rPr>
                <w:rFonts w:ascii="Segoe UI" w:eastAsia="Times New Roman" w:hAnsi="Segoe UI" w:cs="Segoe UI"/>
                <w:kern w:val="0"/>
                <w:sz w:val="18"/>
                <w:szCs w:val="18"/>
                <w:lang w:eastAsia="en-AU"/>
                <w14:ligatures w14:val="none"/>
              </w:rPr>
            </w:pPr>
            <w:r w:rsidRPr="009D4797">
              <w:rPr>
                <w:rFonts w:ascii="Segoe UI Emoji" w:eastAsia="Times New Roman" w:hAnsi="Segoe UI Emoji" w:cs="Segoe UI"/>
                <w:kern w:val="0"/>
                <w:lang w:eastAsia="en-AU"/>
                <w14:ligatures w14:val="none"/>
              </w:rPr>
              <w:t>🟡</w:t>
            </w:r>
            <w:r w:rsidRPr="009D4797">
              <w:rPr>
                <w:rFonts w:ascii="Calibri" w:eastAsia="Times New Roman" w:hAnsi="Calibri" w:cs="Calibri"/>
                <w:kern w:val="0"/>
                <w:lang w:eastAsia="en-AU"/>
                <w14:ligatures w14:val="none"/>
              </w:rPr>
              <w:t> Moderate </w:t>
            </w:r>
          </w:p>
        </w:tc>
        <w:tc>
          <w:tcPr>
            <w:tcW w:w="5924" w:type="dxa"/>
            <w:gridSpan w:val="3"/>
            <w:shd w:val="clear" w:color="auto" w:fill="F2F2F2" w:themeFill="background1" w:themeFillShade="F2"/>
            <w:vAlign w:val="center"/>
            <w:hideMark/>
          </w:tcPr>
          <w:p w14:paraId="018CE983" w14:textId="77777777" w:rsidR="009D4797" w:rsidRPr="009D4797" w:rsidRDefault="009D4797" w:rsidP="009D4797">
            <w:pPr>
              <w:spacing w:after="0" w:line="240" w:lineRule="auto"/>
              <w:textAlignment w:val="baseline"/>
              <w:rPr>
                <w:rFonts w:ascii="Segoe UI" w:eastAsia="Times New Roman" w:hAnsi="Segoe UI" w:cs="Segoe UI"/>
                <w:kern w:val="0"/>
                <w:sz w:val="18"/>
                <w:szCs w:val="18"/>
                <w:lang w:eastAsia="en-AU"/>
                <w14:ligatures w14:val="none"/>
              </w:rPr>
            </w:pPr>
            <w:r w:rsidRPr="009D4797">
              <w:rPr>
                <w:rFonts w:ascii="Calibri" w:eastAsia="Times New Roman" w:hAnsi="Calibri" w:cs="Calibri"/>
                <w:kern w:val="0"/>
                <w:lang w:eastAsia="en-AU"/>
                <w14:ligatures w14:val="none"/>
              </w:rPr>
              <w:t>Improves guidance and transparency but lacks certainty, scale and enforceability. </w:t>
            </w:r>
          </w:p>
        </w:tc>
      </w:tr>
    </w:tbl>
    <w:p w14:paraId="13C19DCE" w14:textId="77777777" w:rsidR="009D4797" w:rsidRDefault="009D4797" w:rsidP="00E449AD">
      <w:pPr>
        <w:spacing w:after="0"/>
        <w:rPr>
          <w:rFonts w:ascii="Calibri" w:hAnsi="Calibri" w:cs="Calibri"/>
          <w:i/>
          <w:sz w:val="20"/>
          <w:szCs w:val="20"/>
        </w:rPr>
      </w:pPr>
    </w:p>
    <w:p w14:paraId="4CB6B196" w14:textId="31F67BB5" w:rsidR="00066F5F" w:rsidRPr="00B5064E" w:rsidRDefault="00066F5F" w:rsidP="00767859">
      <w:pPr>
        <w:spacing w:before="120" w:after="120"/>
        <w:rPr>
          <w:rFonts w:ascii="Calibri" w:hAnsi="Calibri" w:cs="Calibri"/>
        </w:rPr>
      </w:pPr>
      <w:r w:rsidRPr="00B5064E">
        <w:rPr>
          <w:rFonts w:ascii="Calibri" w:hAnsi="Calibri" w:cs="Calibri"/>
        </w:rPr>
        <w:t>A voluntary code approach would improve transparency and may encourage more consistent design of solar-aligned products without imposing mandatory obligations. Regulatory burden would remain low and innovation flexibility preserved, reducing implementation risks for retailers.</w:t>
      </w:r>
    </w:p>
    <w:p w14:paraId="17C7B7D0" w14:textId="77777777" w:rsidR="00066F5F" w:rsidRPr="00B5064E" w:rsidRDefault="00066F5F" w:rsidP="00066F5F">
      <w:pPr>
        <w:rPr>
          <w:rFonts w:ascii="Calibri" w:hAnsi="Calibri" w:cs="Calibri"/>
        </w:rPr>
      </w:pPr>
      <w:r w:rsidRPr="00B5064E">
        <w:rPr>
          <w:rFonts w:ascii="Calibri" w:hAnsi="Calibri" w:cs="Calibri"/>
        </w:rPr>
        <w:t>However, participation would be discretionary, meaning uptake and product availability would likely remain uneven across jurisdictions and customer cohorts. Without enforceability, system-level demand shifting and equity improvements are uncertain and dependent on market incentives.</w:t>
      </w:r>
    </w:p>
    <w:p w14:paraId="490FC166" w14:textId="3E57C12E" w:rsidR="00066F5F" w:rsidRPr="00B5064E" w:rsidRDefault="00066F5F" w:rsidP="00066F5F">
      <w:pPr>
        <w:rPr>
          <w:rFonts w:ascii="Calibri" w:hAnsi="Calibri" w:cs="Calibri"/>
        </w:rPr>
      </w:pPr>
      <w:r w:rsidRPr="00B5064E">
        <w:rPr>
          <w:rFonts w:ascii="Calibri" w:hAnsi="Calibri" w:cs="Calibri"/>
        </w:rPr>
        <w:t>Overall, this option offers moderate improvement relative to the status quo but lacks the scale, certainty and universality required to fully address the identified structural and distributional issues.</w:t>
      </w:r>
    </w:p>
    <w:p w14:paraId="7CC79B85" w14:textId="28413B43" w:rsidR="00DE78B0" w:rsidRPr="00B5064E" w:rsidRDefault="00DE78B0" w:rsidP="00767859">
      <w:pPr>
        <w:pStyle w:val="Heading3"/>
        <w:spacing w:after="120"/>
        <w:rPr>
          <w:rFonts w:ascii="Calibri" w:hAnsi="Calibri" w:cs="Calibri"/>
        </w:rPr>
      </w:pPr>
      <w:bookmarkStart w:id="43" w:name="_Toc222842790"/>
      <w:r w:rsidRPr="00B5064E">
        <w:rPr>
          <w:rFonts w:ascii="Calibri" w:hAnsi="Calibri" w:cs="Calibri"/>
        </w:rPr>
        <w:t>Limitations:</w:t>
      </w:r>
      <w:bookmarkEnd w:id="43"/>
    </w:p>
    <w:p w14:paraId="52D83CFB" w14:textId="116C5858" w:rsidR="00DE78B0" w:rsidRPr="00B5064E" w:rsidRDefault="00DE78B0" w:rsidP="00CF405C">
      <w:pPr>
        <w:pStyle w:val="ListParagraph"/>
        <w:numPr>
          <w:ilvl w:val="0"/>
          <w:numId w:val="20"/>
        </w:numPr>
        <w:spacing w:before="120" w:after="120"/>
        <w:ind w:left="714" w:hanging="357"/>
        <w:contextualSpacing w:val="0"/>
        <w:rPr>
          <w:rFonts w:ascii="Calibri" w:hAnsi="Calibri" w:cs="Calibri"/>
        </w:rPr>
      </w:pPr>
      <w:r w:rsidRPr="00B5064E">
        <w:rPr>
          <w:rFonts w:ascii="Calibri" w:hAnsi="Calibri" w:cs="Calibri"/>
        </w:rPr>
        <w:t>No guarantee of universal participation or consistent consumer access.</w:t>
      </w:r>
    </w:p>
    <w:p w14:paraId="4CA83802" w14:textId="77777777" w:rsidR="00DE78B0" w:rsidRPr="00B5064E" w:rsidRDefault="00DE78B0" w:rsidP="00CF405C">
      <w:pPr>
        <w:pStyle w:val="ListParagraph"/>
        <w:numPr>
          <w:ilvl w:val="0"/>
          <w:numId w:val="20"/>
        </w:numPr>
        <w:spacing w:before="120" w:after="120"/>
        <w:ind w:left="714" w:hanging="357"/>
        <w:contextualSpacing w:val="0"/>
        <w:rPr>
          <w:rFonts w:ascii="Calibri" w:hAnsi="Calibri" w:cs="Calibri"/>
        </w:rPr>
      </w:pPr>
      <w:r w:rsidRPr="00B5064E">
        <w:rPr>
          <w:rFonts w:ascii="Calibri" w:hAnsi="Calibri" w:cs="Calibri"/>
        </w:rPr>
        <w:t>Risk of partial or uneven adoption across retailers and jurisdictions.</w:t>
      </w:r>
    </w:p>
    <w:p w14:paraId="04D52711" w14:textId="77777777" w:rsidR="00DE78B0" w:rsidRPr="00B5064E" w:rsidRDefault="00DE78B0" w:rsidP="00CF405C">
      <w:pPr>
        <w:pStyle w:val="ListParagraph"/>
        <w:numPr>
          <w:ilvl w:val="0"/>
          <w:numId w:val="20"/>
        </w:numPr>
        <w:spacing w:before="120" w:after="120"/>
        <w:ind w:left="714" w:hanging="357"/>
        <w:contextualSpacing w:val="0"/>
        <w:rPr>
          <w:rFonts w:ascii="Calibri" w:hAnsi="Calibri" w:cs="Calibri"/>
        </w:rPr>
      </w:pPr>
      <w:r w:rsidRPr="00B5064E">
        <w:rPr>
          <w:rFonts w:ascii="Calibri" w:hAnsi="Calibri" w:cs="Calibri"/>
        </w:rPr>
        <w:t>Limited enforceability beyond general consumer law.</w:t>
      </w:r>
    </w:p>
    <w:p w14:paraId="0E148519" w14:textId="2458FC56" w:rsidR="00DE78B0" w:rsidRPr="00B5064E" w:rsidRDefault="00DE78B0" w:rsidP="00CF405C">
      <w:pPr>
        <w:pStyle w:val="ListParagraph"/>
        <w:numPr>
          <w:ilvl w:val="0"/>
          <w:numId w:val="20"/>
        </w:numPr>
        <w:spacing w:before="120" w:after="120"/>
        <w:ind w:left="714" w:hanging="357"/>
        <w:contextualSpacing w:val="0"/>
        <w:rPr>
          <w:rFonts w:ascii="Calibri" w:hAnsi="Calibri" w:cs="Calibri"/>
        </w:rPr>
      </w:pPr>
      <w:r w:rsidRPr="00B5064E">
        <w:rPr>
          <w:rFonts w:ascii="Calibri" w:hAnsi="Calibri" w:cs="Calibri"/>
        </w:rPr>
        <w:t>Reduced certainty of equitable outcomes for disengaged customers.</w:t>
      </w:r>
    </w:p>
    <w:p w14:paraId="43FD9A9D" w14:textId="52887D46" w:rsidR="00DE78B0" w:rsidRPr="00B5064E" w:rsidRDefault="00DE78B0" w:rsidP="00CF405C">
      <w:pPr>
        <w:pStyle w:val="ListParagraph"/>
        <w:numPr>
          <w:ilvl w:val="0"/>
          <w:numId w:val="20"/>
        </w:numPr>
        <w:spacing w:before="120" w:after="120"/>
        <w:ind w:left="714" w:hanging="357"/>
        <w:contextualSpacing w:val="0"/>
        <w:rPr>
          <w:rFonts w:ascii="Calibri" w:hAnsi="Calibri" w:cs="Calibri"/>
        </w:rPr>
      </w:pPr>
      <w:r w:rsidRPr="00B5064E">
        <w:rPr>
          <w:rFonts w:ascii="Calibri" w:hAnsi="Calibri" w:cs="Calibri"/>
        </w:rPr>
        <w:t>May not provide a sufficiently strong benchmark or reference point for comparison under the DMO framework.</w:t>
      </w:r>
    </w:p>
    <w:p w14:paraId="5DA3AD82" w14:textId="6F6E43BA" w:rsidR="00DE78B0" w:rsidRPr="00B5064E" w:rsidRDefault="00066F5F" w:rsidP="00767859">
      <w:pPr>
        <w:pStyle w:val="Heading3"/>
        <w:spacing w:after="120"/>
        <w:rPr>
          <w:rFonts w:ascii="Calibri" w:hAnsi="Calibri" w:cs="Calibri"/>
        </w:rPr>
      </w:pPr>
      <w:bookmarkStart w:id="44" w:name="_Toc222842791"/>
      <w:r w:rsidRPr="00B5064E">
        <w:rPr>
          <w:rFonts w:ascii="Calibri" w:hAnsi="Calibri" w:cs="Calibri"/>
        </w:rPr>
        <w:t xml:space="preserve">Overall </w:t>
      </w:r>
      <w:r w:rsidR="00DE78B0" w:rsidRPr="00B5064E">
        <w:rPr>
          <w:rFonts w:ascii="Calibri" w:hAnsi="Calibri" w:cs="Calibri"/>
        </w:rPr>
        <w:t>Assessment</w:t>
      </w:r>
      <w:bookmarkEnd w:id="44"/>
    </w:p>
    <w:p w14:paraId="2CAB879F" w14:textId="78381666" w:rsidR="00DE78B0" w:rsidRPr="00B5064E" w:rsidRDefault="00DE78B0" w:rsidP="00DE78B0">
      <w:pPr>
        <w:rPr>
          <w:rFonts w:ascii="Calibri" w:hAnsi="Calibri" w:cs="Calibri"/>
        </w:rPr>
      </w:pPr>
      <w:r w:rsidRPr="00B5064E">
        <w:rPr>
          <w:rFonts w:ascii="Calibri" w:hAnsi="Calibri" w:cs="Calibri"/>
        </w:rPr>
        <w:t>Stakeholder feedback suggested that while voluntary guidance may improve product consistency, it would not ensure universal access or address concerns about cross-subsidisation, network alignment, or consumer safeguards with sufficient certainty</w:t>
      </w:r>
      <w:r w:rsidR="00207E2B" w:rsidRPr="00B5064E">
        <w:rPr>
          <w:rFonts w:ascii="Calibri" w:hAnsi="Calibri" w:cs="Calibri"/>
        </w:rPr>
        <w:t>.</w:t>
      </w:r>
    </w:p>
    <w:p w14:paraId="316316F4" w14:textId="77777777" w:rsidR="00DE78B0" w:rsidRPr="00B5064E" w:rsidRDefault="00DE78B0" w:rsidP="00DE78B0">
      <w:pPr>
        <w:rPr>
          <w:rFonts w:ascii="Calibri" w:hAnsi="Calibri" w:cs="Calibri"/>
          <w:iCs/>
        </w:rPr>
      </w:pPr>
    </w:p>
    <w:p w14:paraId="3640BBA3" w14:textId="77777777" w:rsidR="00DE78B0" w:rsidRPr="00B5064E" w:rsidRDefault="00DE78B0" w:rsidP="00DE78B0">
      <w:pPr>
        <w:rPr>
          <w:rFonts w:ascii="Calibri" w:hAnsi="Calibri" w:cs="Calibri"/>
        </w:rPr>
        <w:sectPr w:rsidR="00DE78B0" w:rsidRPr="00B5064E" w:rsidSect="00DE78B0">
          <w:pgSz w:w="11906" w:h="16838"/>
          <w:pgMar w:top="1440" w:right="1440" w:bottom="1440" w:left="1440" w:header="708" w:footer="708" w:gutter="0"/>
          <w:cols w:space="708"/>
          <w:titlePg/>
          <w:docGrid w:linePitch="360"/>
        </w:sectPr>
      </w:pPr>
    </w:p>
    <w:p w14:paraId="41853B53" w14:textId="0AB73661" w:rsidR="00390E2D" w:rsidRPr="00B5064E" w:rsidRDefault="00D61980" w:rsidP="00ED55EF">
      <w:pPr>
        <w:pStyle w:val="TableHeading"/>
        <w:spacing w:after="0" w:line="240" w:lineRule="auto"/>
        <w:jc w:val="left"/>
        <w:rPr>
          <w:rFonts w:ascii="Calibri" w:hAnsi="Calibri" w:cs="Calibri"/>
          <w:b w:val="0"/>
          <w:bCs/>
          <w:i/>
          <w:iCs/>
          <w:highlight w:val="yellow"/>
        </w:rPr>
      </w:pPr>
      <w:r w:rsidRPr="00B5064E">
        <w:rPr>
          <w:rFonts w:ascii="Calibri" w:hAnsi="Calibri" w:cs="Calibri"/>
          <w:b w:val="0"/>
          <w:bCs/>
          <w:i/>
          <w:iCs/>
        </w:rPr>
        <w:lastRenderedPageBreak/>
        <w:t xml:space="preserve">Table </w:t>
      </w:r>
      <w:r w:rsidR="006613D5">
        <w:rPr>
          <w:rFonts w:ascii="Calibri" w:hAnsi="Calibri" w:cs="Calibri"/>
          <w:b w:val="0"/>
          <w:bCs/>
          <w:i/>
          <w:iCs/>
        </w:rPr>
        <w:t>7</w:t>
      </w:r>
      <w:r w:rsidRPr="00B5064E">
        <w:rPr>
          <w:rFonts w:ascii="Calibri" w:hAnsi="Calibri" w:cs="Calibri"/>
          <w:b w:val="0"/>
          <w:bCs/>
          <w:i/>
          <w:iCs/>
        </w:rPr>
        <w:t>: Policy Options: Impact Assessment Summary</w:t>
      </w:r>
    </w:p>
    <w:tbl>
      <w:tblPr>
        <w:tblStyle w:val="PlainTable1"/>
        <w:tblW w:w="14742" w:type="dxa"/>
        <w:tblBorders>
          <w:top w:val="none" w:sz="0" w:space="0" w:color="auto"/>
          <w:left w:val="none" w:sz="0" w:space="0" w:color="auto"/>
          <w:bottom w:val="single" w:sz="4" w:space="0" w:color="D1D1D1" w:themeColor="background2" w:themeShade="E6"/>
          <w:right w:val="none" w:sz="0" w:space="0" w:color="auto"/>
          <w:insideH w:val="none" w:sz="0" w:space="0" w:color="auto"/>
          <w:insideV w:val="none" w:sz="0" w:space="0" w:color="auto"/>
        </w:tblBorders>
        <w:tblLook w:val="04A0" w:firstRow="1" w:lastRow="0" w:firstColumn="1" w:lastColumn="0" w:noHBand="0" w:noVBand="1"/>
      </w:tblPr>
      <w:tblGrid>
        <w:gridCol w:w="1418"/>
        <w:gridCol w:w="1786"/>
        <w:gridCol w:w="2260"/>
        <w:gridCol w:w="2254"/>
        <w:gridCol w:w="2399"/>
        <w:gridCol w:w="2521"/>
        <w:gridCol w:w="2104"/>
      </w:tblGrid>
      <w:tr w:rsidR="00173438" w:rsidRPr="00B5064E" w14:paraId="243CC5E7" w14:textId="77777777" w:rsidTr="3AE2F883">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E8E8E8" w:themeFill="background2"/>
            <w:vAlign w:val="center"/>
            <w:hideMark/>
          </w:tcPr>
          <w:p w14:paraId="68183982" w14:textId="77777777" w:rsidR="00666720" w:rsidRPr="00B5064E" w:rsidRDefault="00666720" w:rsidP="0097598A">
            <w:pPr>
              <w:pStyle w:val="BodyText"/>
              <w:spacing w:before="0" w:after="0" w:line="240" w:lineRule="auto"/>
              <w:jc w:val="center"/>
              <w:rPr>
                <w:rFonts w:ascii="Calibri" w:hAnsi="Calibri" w:cs="Calibri"/>
              </w:rPr>
            </w:pPr>
            <w:r w:rsidRPr="00B5064E">
              <w:rPr>
                <w:rFonts w:ascii="Calibri" w:hAnsi="Calibri" w:cs="Calibri"/>
              </w:rPr>
              <w:t>Option</w:t>
            </w:r>
          </w:p>
        </w:tc>
        <w:tc>
          <w:tcPr>
            <w:tcW w:w="1786" w:type="dxa"/>
            <w:shd w:val="clear" w:color="auto" w:fill="E8E8E8" w:themeFill="background2"/>
            <w:vAlign w:val="center"/>
            <w:hideMark/>
          </w:tcPr>
          <w:p w14:paraId="04631A2E" w14:textId="77777777" w:rsidR="00666720" w:rsidRPr="00B5064E" w:rsidRDefault="00666720" w:rsidP="0097598A">
            <w:pPr>
              <w:pStyle w:val="BodyText"/>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B5064E">
              <w:rPr>
                <w:rFonts w:ascii="Calibri" w:hAnsi="Calibri" w:cs="Calibri"/>
              </w:rPr>
              <w:t>Who is affected</w:t>
            </w:r>
          </w:p>
        </w:tc>
        <w:tc>
          <w:tcPr>
            <w:tcW w:w="2260" w:type="dxa"/>
            <w:shd w:val="clear" w:color="auto" w:fill="E8E8E8" w:themeFill="background2"/>
            <w:vAlign w:val="center"/>
            <w:hideMark/>
          </w:tcPr>
          <w:p w14:paraId="68F0040A" w14:textId="77777777" w:rsidR="00666720" w:rsidRPr="00B5064E" w:rsidRDefault="00666720" w:rsidP="0097598A">
            <w:pPr>
              <w:pStyle w:val="BodyText"/>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B5064E">
              <w:rPr>
                <w:rFonts w:ascii="Calibri" w:hAnsi="Calibri" w:cs="Calibri"/>
              </w:rPr>
              <w:t>Economic impacts</w:t>
            </w:r>
          </w:p>
        </w:tc>
        <w:tc>
          <w:tcPr>
            <w:tcW w:w="2254" w:type="dxa"/>
            <w:shd w:val="clear" w:color="auto" w:fill="E8E8E8" w:themeFill="background2"/>
            <w:vAlign w:val="center"/>
            <w:hideMark/>
          </w:tcPr>
          <w:p w14:paraId="5AD7EFB6" w14:textId="1050289C" w:rsidR="00666720" w:rsidRPr="00B5064E" w:rsidRDefault="00FD60C1" w:rsidP="0097598A">
            <w:pPr>
              <w:pStyle w:val="BodyText"/>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B5064E">
              <w:rPr>
                <w:rFonts w:ascii="Calibri" w:hAnsi="Calibri" w:cs="Calibri"/>
              </w:rPr>
              <w:t xml:space="preserve">Market </w:t>
            </w:r>
            <w:r w:rsidR="00666720" w:rsidRPr="00B5064E">
              <w:rPr>
                <w:rFonts w:ascii="Calibri" w:hAnsi="Calibri" w:cs="Calibri"/>
              </w:rPr>
              <w:t>impacts</w:t>
            </w:r>
          </w:p>
        </w:tc>
        <w:tc>
          <w:tcPr>
            <w:tcW w:w="2399" w:type="dxa"/>
            <w:shd w:val="clear" w:color="auto" w:fill="E8E8E8" w:themeFill="background2"/>
            <w:vAlign w:val="center"/>
            <w:hideMark/>
          </w:tcPr>
          <w:p w14:paraId="29141187" w14:textId="77777777" w:rsidR="00666720" w:rsidRPr="00B5064E" w:rsidRDefault="00666720" w:rsidP="0097598A">
            <w:pPr>
              <w:pStyle w:val="BodyText"/>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B5064E">
              <w:rPr>
                <w:rFonts w:ascii="Calibri" w:hAnsi="Calibri" w:cs="Calibri"/>
              </w:rPr>
              <w:t>Social / Distributional impacts</w:t>
            </w:r>
          </w:p>
        </w:tc>
        <w:tc>
          <w:tcPr>
            <w:tcW w:w="2521" w:type="dxa"/>
            <w:shd w:val="clear" w:color="auto" w:fill="E8E8E8" w:themeFill="background2"/>
            <w:vAlign w:val="center"/>
            <w:hideMark/>
          </w:tcPr>
          <w:p w14:paraId="01F13DEA" w14:textId="77777777" w:rsidR="00666720" w:rsidRPr="00B5064E" w:rsidRDefault="00666720" w:rsidP="0097598A">
            <w:pPr>
              <w:pStyle w:val="BodyText"/>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B5064E">
              <w:rPr>
                <w:rFonts w:ascii="Calibri" w:hAnsi="Calibri" w:cs="Calibri"/>
              </w:rPr>
              <w:t>Environmental &amp; System impacts</w:t>
            </w:r>
          </w:p>
        </w:tc>
        <w:tc>
          <w:tcPr>
            <w:tcW w:w="2104" w:type="dxa"/>
            <w:shd w:val="clear" w:color="auto" w:fill="E8E8E8" w:themeFill="background2"/>
            <w:vAlign w:val="center"/>
            <w:hideMark/>
          </w:tcPr>
          <w:p w14:paraId="1EE0F3A1" w14:textId="77777777" w:rsidR="00666720" w:rsidRPr="00B5064E" w:rsidRDefault="00666720" w:rsidP="0097598A">
            <w:pPr>
              <w:pStyle w:val="BodyText"/>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B5064E">
              <w:rPr>
                <w:rFonts w:ascii="Calibri" w:hAnsi="Calibri" w:cs="Calibri"/>
              </w:rPr>
              <w:t>Net benefit assessment</w:t>
            </w:r>
          </w:p>
        </w:tc>
      </w:tr>
      <w:tr w:rsidR="00ED687F" w:rsidRPr="00B5064E" w14:paraId="72A97360" w14:textId="77777777" w:rsidTr="00E92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hideMark/>
          </w:tcPr>
          <w:p w14:paraId="11D59146" w14:textId="77777777" w:rsidR="00666720" w:rsidRPr="00B5064E" w:rsidRDefault="00666720" w:rsidP="00661E9D">
            <w:pPr>
              <w:pStyle w:val="BodyText"/>
              <w:rPr>
                <w:rFonts w:ascii="Calibri" w:hAnsi="Calibri" w:cs="Calibri"/>
              </w:rPr>
            </w:pPr>
            <w:r w:rsidRPr="00B5064E">
              <w:rPr>
                <w:rFonts w:ascii="Calibri" w:hAnsi="Calibri" w:cs="Calibri"/>
              </w:rPr>
              <w:t>A0 – Status quo / market-led approach</w:t>
            </w:r>
          </w:p>
        </w:tc>
        <w:tc>
          <w:tcPr>
            <w:tcW w:w="1786" w:type="dxa"/>
            <w:shd w:val="clear" w:color="auto" w:fill="FFFFFF" w:themeFill="background1"/>
            <w:hideMark/>
          </w:tcPr>
          <w:p w14:paraId="5CF4E58C" w14:textId="77777777" w:rsidR="00643DF4" w:rsidRPr="00B5064E" w:rsidRDefault="00666720"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Households (CER &amp; non-CER)</w:t>
            </w:r>
            <w:r w:rsidR="007B4C0C" w:rsidRPr="00B5064E">
              <w:rPr>
                <w:rFonts w:ascii="Calibri" w:hAnsi="Calibri" w:cs="Calibri"/>
              </w:rPr>
              <w:t>,</w:t>
            </w:r>
          </w:p>
          <w:p w14:paraId="635444B9" w14:textId="77777777" w:rsidR="00643DF4" w:rsidRPr="00B5064E" w:rsidRDefault="00666720" w:rsidP="002D2E3A">
            <w:pPr>
              <w:pStyle w:val="BodyText"/>
              <w:numPr>
                <w:ilvl w:val="0"/>
                <w:numId w:val="26"/>
              </w:num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Retailers</w:t>
            </w:r>
            <w:r w:rsidR="007B4C0C" w:rsidRPr="00B5064E">
              <w:rPr>
                <w:rFonts w:ascii="Calibri" w:hAnsi="Calibri" w:cs="Calibri"/>
              </w:rPr>
              <w:t>,</w:t>
            </w:r>
          </w:p>
          <w:p w14:paraId="41F16A97" w14:textId="77777777" w:rsidR="00643DF4" w:rsidRPr="00B5064E" w:rsidRDefault="00666720" w:rsidP="002D2E3A">
            <w:pPr>
              <w:pStyle w:val="BodyText"/>
              <w:numPr>
                <w:ilvl w:val="0"/>
                <w:numId w:val="26"/>
              </w:num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 xml:space="preserve">DNSPs </w:t>
            </w:r>
          </w:p>
          <w:p w14:paraId="4932E7F2" w14:textId="7F783760" w:rsidR="00666720" w:rsidRPr="00B5064E" w:rsidRDefault="00666720" w:rsidP="002D2E3A">
            <w:pPr>
              <w:pStyle w:val="BodyText"/>
              <w:numPr>
                <w:ilvl w:val="0"/>
                <w:numId w:val="26"/>
              </w:num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Regulators</w:t>
            </w:r>
          </w:p>
        </w:tc>
        <w:tc>
          <w:tcPr>
            <w:tcW w:w="2260" w:type="dxa"/>
            <w:shd w:val="clear" w:color="auto" w:fill="FFFFFF" w:themeFill="background1"/>
            <w:hideMark/>
          </w:tcPr>
          <w:p w14:paraId="11303ED5" w14:textId="61FE9058" w:rsidR="00136438" w:rsidRPr="00B5064E" w:rsidRDefault="00666720" w:rsidP="002D2E3A">
            <w:pPr>
              <w:pStyle w:val="BodyText"/>
              <w:numPr>
                <w:ilvl w:val="0"/>
                <w:numId w:val="25"/>
              </w:num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Minimal new compliance cost</w:t>
            </w:r>
          </w:p>
          <w:p w14:paraId="3AD778B0" w14:textId="24DCC3A7" w:rsidR="00136438" w:rsidRPr="00B5064E" w:rsidRDefault="00666720" w:rsidP="002D2E3A">
            <w:pPr>
              <w:pStyle w:val="BodyText"/>
              <w:numPr>
                <w:ilvl w:val="0"/>
                <w:numId w:val="25"/>
              </w:num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Limited and un</w:t>
            </w:r>
            <w:r w:rsidR="00D96B11" w:rsidRPr="00B5064E">
              <w:rPr>
                <w:rFonts w:ascii="Calibri" w:hAnsi="Calibri" w:cs="Calibri"/>
              </w:rPr>
              <w:t xml:space="preserve">certainty on </w:t>
            </w:r>
            <w:r w:rsidRPr="00B5064E">
              <w:rPr>
                <w:rFonts w:ascii="Calibri" w:hAnsi="Calibri" w:cs="Calibri"/>
              </w:rPr>
              <w:t>bill saving</w:t>
            </w:r>
            <w:r w:rsidR="00D96B11" w:rsidRPr="00B5064E">
              <w:rPr>
                <w:rFonts w:ascii="Calibri" w:hAnsi="Calibri" w:cs="Calibri"/>
              </w:rPr>
              <w:t xml:space="preserve"> for customers</w:t>
            </w:r>
          </w:p>
          <w:p w14:paraId="40F90DA0" w14:textId="17A1F241" w:rsidR="00666720" w:rsidRPr="00B5064E" w:rsidRDefault="00666720" w:rsidP="002D2E3A">
            <w:pPr>
              <w:pStyle w:val="BodyText"/>
              <w:numPr>
                <w:ilvl w:val="0"/>
                <w:numId w:val="25"/>
              </w:num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Continued exposure to evening peak pricing</w:t>
            </w:r>
          </w:p>
        </w:tc>
        <w:tc>
          <w:tcPr>
            <w:tcW w:w="2254" w:type="dxa"/>
            <w:shd w:val="clear" w:color="auto" w:fill="FFFFFF" w:themeFill="background1"/>
            <w:hideMark/>
          </w:tcPr>
          <w:p w14:paraId="01837522" w14:textId="1D97FECE" w:rsidR="00136438" w:rsidRPr="00B5064E" w:rsidRDefault="00666720" w:rsidP="002D2E3A">
            <w:pPr>
              <w:pStyle w:val="BodyText"/>
              <w:numPr>
                <w:ilvl w:val="0"/>
                <w:numId w:val="24"/>
              </w:num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Preserves full retailer flexibility</w:t>
            </w:r>
          </w:p>
          <w:p w14:paraId="2D8C7D61" w14:textId="444AADEB" w:rsidR="00666720" w:rsidRPr="00B5064E" w:rsidRDefault="00666720" w:rsidP="002D2E3A">
            <w:pPr>
              <w:pStyle w:val="BodyText"/>
              <w:numPr>
                <w:ilvl w:val="0"/>
                <w:numId w:val="24"/>
              </w:num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Product complexity may limit effective comparability</w:t>
            </w:r>
            <w:r w:rsidR="00FD60C1" w:rsidRPr="00B5064E">
              <w:rPr>
                <w:rFonts w:ascii="Calibri" w:hAnsi="Calibri" w:cs="Calibri"/>
              </w:rPr>
              <w:t xml:space="preserve"> and therefore value for money</w:t>
            </w:r>
          </w:p>
        </w:tc>
        <w:tc>
          <w:tcPr>
            <w:tcW w:w="2399" w:type="dxa"/>
            <w:shd w:val="clear" w:color="auto" w:fill="FFFFFF" w:themeFill="background1"/>
            <w:hideMark/>
          </w:tcPr>
          <w:p w14:paraId="670521BE" w14:textId="77777777" w:rsidR="00682D48" w:rsidRPr="00B5064E" w:rsidRDefault="00666720" w:rsidP="002D2E3A">
            <w:pPr>
              <w:pStyle w:val="BodyText"/>
              <w:numPr>
                <w:ilvl w:val="0"/>
                <w:numId w:val="24"/>
              </w:num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Benefits concentrated among engaged/CER-enabled households</w:t>
            </w:r>
          </w:p>
          <w:p w14:paraId="6325AE9D" w14:textId="77777777" w:rsidR="00682D48" w:rsidRPr="00B5064E" w:rsidRDefault="00666720" w:rsidP="002D2E3A">
            <w:pPr>
              <w:pStyle w:val="BodyText"/>
              <w:numPr>
                <w:ilvl w:val="0"/>
                <w:numId w:val="24"/>
              </w:num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 xml:space="preserve">Renters &amp; low-income households unlikely to benefit </w:t>
            </w:r>
          </w:p>
          <w:p w14:paraId="01B2CC4E" w14:textId="5FC351CA" w:rsidR="00666720" w:rsidRPr="00B5064E" w:rsidRDefault="00666720" w:rsidP="002D2E3A">
            <w:pPr>
              <w:pStyle w:val="BodyText"/>
              <w:numPr>
                <w:ilvl w:val="0"/>
                <w:numId w:val="24"/>
              </w:num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 xml:space="preserve"> Equity gap persists</w:t>
            </w:r>
          </w:p>
        </w:tc>
        <w:tc>
          <w:tcPr>
            <w:tcW w:w="2521" w:type="dxa"/>
            <w:shd w:val="clear" w:color="auto" w:fill="FFFFFF" w:themeFill="background1"/>
            <w:hideMark/>
          </w:tcPr>
          <w:p w14:paraId="556A12B9" w14:textId="0231C437" w:rsidR="00080653" w:rsidRPr="00B5064E" w:rsidRDefault="00666720" w:rsidP="002D2E3A">
            <w:pPr>
              <w:pStyle w:val="BodyText"/>
              <w:numPr>
                <w:ilvl w:val="0"/>
                <w:numId w:val="27"/>
              </w:num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 xml:space="preserve">Limited demand shifting </w:t>
            </w:r>
            <w:r w:rsidR="004D3F99" w:rsidRPr="00B5064E">
              <w:rPr>
                <w:rFonts w:ascii="Calibri" w:hAnsi="Calibri" w:cs="Calibri"/>
              </w:rPr>
              <w:t xml:space="preserve">and </w:t>
            </w:r>
            <w:r w:rsidR="008D423E" w:rsidRPr="00B5064E">
              <w:rPr>
                <w:rFonts w:ascii="Calibri" w:hAnsi="Calibri" w:cs="Calibri"/>
              </w:rPr>
              <w:t>network utilisation</w:t>
            </w:r>
          </w:p>
          <w:p w14:paraId="27CF6A0F" w14:textId="77777777" w:rsidR="00080653" w:rsidRPr="00B5064E" w:rsidRDefault="00666720" w:rsidP="002D2E3A">
            <w:pPr>
              <w:pStyle w:val="BodyText"/>
              <w:numPr>
                <w:ilvl w:val="0"/>
                <w:numId w:val="27"/>
              </w:num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Continued minimum-demand risk</w:t>
            </w:r>
          </w:p>
          <w:p w14:paraId="5075FC83" w14:textId="77777777" w:rsidR="00080653" w:rsidRPr="00B5064E" w:rsidRDefault="00666720" w:rsidP="002D2E3A">
            <w:pPr>
              <w:pStyle w:val="BodyText"/>
              <w:numPr>
                <w:ilvl w:val="0"/>
                <w:numId w:val="27"/>
              </w:num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Ongoing curtailment</w:t>
            </w:r>
          </w:p>
          <w:p w14:paraId="43548C8D" w14:textId="6AD38A85" w:rsidR="00666720" w:rsidRPr="00B5064E" w:rsidRDefault="00666720" w:rsidP="002D2E3A">
            <w:pPr>
              <w:pStyle w:val="BodyText"/>
              <w:numPr>
                <w:ilvl w:val="0"/>
                <w:numId w:val="27"/>
              </w:num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Continued reliance on peaking generation</w:t>
            </w:r>
          </w:p>
        </w:tc>
        <w:tc>
          <w:tcPr>
            <w:tcW w:w="2104" w:type="dxa"/>
            <w:shd w:val="clear" w:color="auto" w:fill="FFFFFF" w:themeFill="background1"/>
            <w:hideMark/>
          </w:tcPr>
          <w:p w14:paraId="50E0DD4A" w14:textId="77777777" w:rsidR="00173438" w:rsidRPr="00B5064E" w:rsidRDefault="00666720" w:rsidP="002D2E3A">
            <w:pPr>
              <w:pStyle w:val="BodyText"/>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 xml:space="preserve">Low–Moderate </w:t>
            </w:r>
          </w:p>
          <w:p w14:paraId="1DA0CA41" w14:textId="5D4F93AB" w:rsidR="00666720" w:rsidRPr="00B5064E" w:rsidRDefault="00666720" w:rsidP="002D2E3A">
            <w:pPr>
              <w:pStyle w:val="BodyText"/>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Low regulatory burden but limited ability to address structural problem</w:t>
            </w:r>
          </w:p>
        </w:tc>
      </w:tr>
      <w:tr w:rsidR="003067FC" w:rsidRPr="00B5064E" w14:paraId="5FED4D81" w14:textId="77777777" w:rsidTr="00E929CB">
        <w:tc>
          <w:tcPr>
            <w:cnfStyle w:val="001000000000" w:firstRow="0" w:lastRow="0" w:firstColumn="1" w:lastColumn="0" w:oddVBand="0" w:evenVBand="0" w:oddHBand="0" w:evenHBand="0" w:firstRowFirstColumn="0" w:firstRowLastColumn="0" w:lastRowFirstColumn="0" w:lastRowLastColumn="0"/>
            <w:tcW w:w="1418" w:type="dxa"/>
            <w:shd w:val="clear" w:color="auto" w:fill="F2F2F2" w:themeFill="background1" w:themeFillShade="F2"/>
            <w:hideMark/>
          </w:tcPr>
          <w:p w14:paraId="773DF56D" w14:textId="77777777" w:rsidR="00666720" w:rsidRPr="00B5064E" w:rsidRDefault="00666720" w:rsidP="00661E9D">
            <w:pPr>
              <w:pStyle w:val="BodyText"/>
              <w:rPr>
                <w:rFonts w:ascii="Calibri" w:hAnsi="Calibri" w:cs="Calibri"/>
              </w:rPr>
            </w:pPr>
            <w:r w:rsidRPr="00B5064E">
              <w:rPr>
                <w:rFonts w:ascii="Calibri" w:hAnsi="Calibri" w:cs="Calibri"/>
              </w:rPr>
              <w:t>A2 – Voluntary industry code / guidance framework</w:t>
            </w:r>
          </w:p>
        </w:tc>
        <w:tc>
          <w:tcPr>
            <w:tcW w:w="1786" w:type="dxa"/>
            <w:shd w:val="clear" w:color="auto" w:fill="F2F2F2" w:themeFill="background1" w:themeFillShade="F2"/>
            <w:hideMark/>
          </w:tcPr>
          <w:p w14:paraId="6A6A86B8" w14:textId="77777777" w:rsidR="00080653" w:rsidRPr="00B5064E" w:rsidRDefault="00666720" w:rsidP="002D2E3A">
            <w:pPr>
              <w:pStyle w:val="BodyText"/>
              <w:numPr>
                <w:ilvl w:val="0"/>
                <w:numId w:val="26"/>
              </w:numPr>
              <w:spacing w:beforeLines="60" w:before="144" w:afterLines="60" w:after="144"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Retailers (voluntary participants)</w:t>
            </w:r>
          </w:p>
          <w:p w14:paraId="7E9BF447" w14:textId="77777777" w:rsidR="00080653" w:rsidRPr="00B5064E" w:rsidRDefault="00666720" w:rsidP="002D2E3A">
            <w:pPr>
              <w:pStyle w:val="BodyText"/>
              <w:numPr>
                <w:ilvl w:val="0"/>
                <w:numId w:val="26"/>
              </w:numPr>
              <w:spacing w:beforeLines="60" w:before="144" w:afterLines="60" w:after="144"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Households (dependent on uptake)</w:t>
            </w:r>
          </w:p>
          <w:p w14:paraId="58AA2AE8" w14:textId="77777777" w:rsidR="00080653" w:rsidRPr="00B5064E" w:rsidRDefault="00666720" w:rsidP="002D2E3A">
            <w:pPr>
              <w:pStyle w:val="BodyText"/>
              <w:numPr>
                <w:ilvl w:val="0"/>
                <w:numId w:val="26"/>
              </w:numPr>
              <w:spacing w:beforeLines="60" w:before="144" w:afterLines="60" w:after="144"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DNSPs</w:t>
            </w:r>
          </w:p>
          <w:p w14:paraId="1EFD58AD" w14:textId="3AA7F68C" w:rsidR="00666720" w:rsidRPr="00B5064E" w:rsidRDefault="00666720" w:rsidP="002D2E3A">
            <w:pPr>
              <w:pStyle w:val="BodyText"/>
              <w:numPr>
                <w:ilvl w:val="0"/>
                <w:numId w:val="26"/>
              </w:numPr>
              <w:spacing w:beforeLines="60" w:before="144" w:afterLines="60" w:after="144"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Regulators</w:t>
            </w:r>
          </w:p>
        </w:tc>
        <w:tc>
          <w:tcPr>
            <w:tcW w:w="2260" w:type="dxa"/>
            <w:shd w:val="clear" w:color="auto" w:fill="F2F2F2" w:themeFill="background1" w:themeFillShade="F2"/>
            <w:hideMark/>
          </w:tcPr>
          <w:p w14:paraId="170FFCE5" w14:textId="77777777" w:rsidR="008D1B78" w:rsidRPr="00B5064E" w:rsidRDefault="00666720" w:rsidP="002D2E3A">
            <w:pPr>
              <w:pStyle w:val="BodyText"/>
              <w:numPr>
                <w:ilvl w:val="0"/>
                <w:numId w:val="26"/>
              </w:numPr>
              <w:spacing w:beforeLines="60" w:before="144" w:afterLines="60" w:after="144"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Low compliance burden</w:t>
            </w:r>
          </w:p>
          <w:p w14:paraId="3370FC76" w14:textId="66638002" w:rsidR="008D1B78" w:rsidRPr="00B5064E" w:rsidRDefault="00666720" w:rsidP="002D2E3A">
            <w:pPr>
              <w:pStyle w:val="BodyText"/>
              <w:numPr>
                <w:ilvl w:val="0"/>
                <w:numId w:val="26"/>
              </w:numPr>
              <w:spacing w:beforeLines="60" w:before="144" w:afterLines="60" w:after="144"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 xml:space="preserve">Potential moderate </w:t>
            </w:r>
            <w:r w:rsidR="0062618D" w:rsidRPr="00B5064E">
              <w:rPr>
                <w:rFonts w:ascii="Calibri" w:hAnsi="Calibri" w:cs="Calibri"/>
              </w:rPr>
              <w:t xml:space="preserve">and transparent </w:t>
            </w:r>
            <w:r w:rsidRPr="00B5064E">
              <w:rPr>
                <w:rFonts w:ascii="Calibri" w:hAnsi="Calibri" w:cs="Calibri"/>
              </w:rPr>
              <w:t xml:space="preserve">bill benefits where adopted </w:t>
            </w:r>
          </w:p>
          <w:p w14:paraId="783FA4E9" w14:textId="055F489A" w:rsidR="00666720" w:rsidRPr="00B5064E" w:rsidRDefault="00666720" w:rsidP="002D2E3A">
            <w:pPr>
              <w:pStyle w:val="BodyText"/>
              <w:numPr>
                <w:ilvl w:val="0"/>
                <w:numId w:val="26"/>
              </w:numPr>
              <w:spacing w:beforeLines="60" w:before="144" w:afterLines="60" w:after="144"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No guarantee of scale</w:t>
            </w:r>
          </w:p>
        </w:tc>
        <w:tc>
          <w:tcPr>
            <w:tcW w:w="2254" w:type="dxa"/>
            <w:shd w:val="clear" w:color="auto" w:fill="F2F2F2" w:themeFill="background1" w:themeFillShade="F2"/>
            <w:hideMark/>
          </w:tcPr>
          <w:p w14:paraId="10483B2D" w14:textId="77777777" w:rsidR="0071771A" w:rsidRPr="00B5064E" w:rsidRDefault="00666720" w:rsidP="002D2E3A">
            <w:pPr>
              <w:pStyle w:val="BodyText"/>
              <w:numPr>
                <w:ilvl w:val="0"/>
                <w:numId w:val="26"/>
              </w:numPr>
              <w:spacing w:beforeLines="60" w:before="144" w:afterLines="60" w:after="144"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Maintains innovation flexibility</w:t>
            </w:r>
          </w:p>
          <w:p w14:paraId="1CD06C8D" w14:textId="77777777" w:rsidR="0071771A" w:rsidRPr="00B5064E" w:rsidRDefault="00666720" w:rsidP="002D2E3A">
            <w:pPr>
              <w:pStyle w:val="BodyText"/>
              <w:numPr>
                <w:ilvl w:val="0"/>
                <w:numId w:val="26"/>
              </w:numPr>
              <w:spacing w:beforeLines="60" w:before="144" w:afterLines="60" w:after="144"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 xml:space="preserve">Risk of fragmented product design </w:t>
            </w:r>
          </w:p>
          <w:p w14:paraId="3CA66419" w14:textId="138CD4E7" w:rsidR="00666720" w:rsidRPr="00B5064E" w:rsidRDefault="00666720" w:rsidP="002D2E3A">
            <w:pPr>
              <w:pStyle w:val="BodyText"/>
              <w:numPr>
                <w:ilvl w:val="0"/>
                <w:numId w:val="26"/>
              </w:numPr>
              <w:spacing w:beforeLines="60" w:before="144" w:afterLines="60" w:after="144"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No enforceable standard</w:t>
            </w:r>
          </w:p>
        </w:tc>
        <w:tc>
          <w:tcPr>
            <w:tcW w:w="2399" w:type="dxa"/>
            <w:shd w:val="clear" w:color="auto" w:fill="F2F2F2" w:themeFill="background1" w:themeFillShade="F2"/>
            <w:hideMark/>
          </w:tcPr>
          <w:p w14:paraId="0F4655A4" w14:textId="77777777" w:rsidR="00530A6C" w:rsidRPr="00B5064E" w:rsidRDefault="00666720" w:rsidP="002D2E3A">
            <w:pPr>
              <w:pStyle w:val="BodyText"/>
              <w:numPr>
                <w:ilvl w:val="0"/>
                <w:numId w:val="26"/>
              </w:numPr>
              <w:spacing w:beforeLines="60" w:before="144" w:afterLines="60" w:after="144"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 xml:space="preserve">Improved transparency where adopted </w:t>
            </w:r>
          </w:p>
          <w:p w14:paraId="620ACD40" w14:textId="77777777" w:rsidR="00530A6C" w:rsidRPr="00B5064E" w:rsidRDefault="00666720" w:rsidP="002D2E3A">
            <w:pPr>
              <w:pStyle w:val="BodyText"/>
              <w:numPr>
                <w:ilvl w:val="0"/>
                <w:numId w:val="26"/>
              </w:numPr>
              <w:spacing w:beforeLines="60" w:before="144" w:afterLines="60" w:after="144"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Uneven access likely</w:t>
            </w:r>
          </w:p>
          <w:p w14:paraId="565AEAD2" w14:textId="2A859751" w:rsidR="00666720" w:rsidRPr="00B5064E" w:rsidRDefault="00666720" w:rsidP="002D2E3A">
            <w:pPr>
              <w:pStyle w:val="BodyText"/>
              <w:numPr>
                <w:ilvl w:val="0"/>
                <w:numId w:val="26"/>
              </w:numPr>
              <w:spacing w:beforeLines="60" w:before="144" w:afterLines="60" w:after="144"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Vulnerable cohorts not guaranteed access</w:t>
            </w:r>
          </w:p>
        </w:tc>
        <w:tc>
          <w:tcPr>
            <w:tcW w:w="2521" w:type="dxa"/>
            <w:shd w:val="clear" w:color="auto" w:fill="F2F2F2" w:themeFill="background1" w:themeFillShade="F2"/>
            <w:hideMark/>
          </w:tcPr>
          <w:p w14:paraId="5272DD01" w14:textId="77777777" w:rsidR="00530A6C" w:rsidRPr="00B5064E" w:rsidRDefault="00666720" w:rsidP="002D2E3A">
            <w:pPr>
              <w:pStyle w:val="BodyText"/>
              <w:numPr>
                <w:ilvl w:val="0"/>
                <w:numId w:val="26"/>
              </w:numPr>
              <w:spacing w:beforeLines="60" w:before="144" w:afterLines="60" w:after="144"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 xml:space="preserve">Some demand-shifting possible </w:t>
            </w:r>
          </w:p>
          <w:p w14:paraId="5237E5E6" w14:textId="77777777" w:rsidR="00530A6C" w:rsidRPr="00B5064E" w:rsidRDefault="00666720" w:rsidP="002D2E3A">
            <w:pPr>
              <w:pStyle w:val="BodyText"/>
              <w:numPr>
                <w:ilvl w:val="0"/>
                <w:numId w:val="26"/>
              </w:numPr>
              <w:spacing w:beforeLines="60" w:before="144" w:afterLines="60" w:after="144"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 xml:space="preserve">System impact uncertain </w:t>
            </w:r>
          </w:p>
          <w:p w14:paraId="78EF6F06" w14:textId="3646B91A" w:rsidR="00666720" w:rsidRPr="00B5064E" w:rsidRDefault="00666720" w:rsidP="002D2E3A">
            <w:pPr>
              <w:pStyle w:val="BodyText"/>
              <w:numPr>
                <w:ilvl w:val="0"/>
                <w:numId w:val="26"/>
              </w:numPr>
              <w:spacing w:beforeLines="60" w:before="144" w:afterLines="60" w:after="144"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Scale dependent on voluntary adoption</w:t>
            </w:r>
          </w:p>
        </w:tc>
        <w:tc>
          <w:tcPr>
            <w:tcW w:w="2104" w:type="dxa"/>
            <w:shd w:val="clear" w:color="auto" w:fill="F2F2F2" w:themeFill="background1" w:themeFillShade="F2"/>
            <w:hideMark/>
          </w:tcPr>
          <w:p w14:paraId="52146A42" w14:textId="77777777" w:rsidR="00173438" w:rsidRPr="00B5064E" w:rsidRDefault="00666720" w:rsidP="002D2E3A">
            <w:pPr>
              <w:pStyle w:val="BodyText"/>
              <w:numPr>
                <w:ilvl w:val="0"/>
                <w:numId w:val="26"/>
              </w:numPr>
              <w:spacing w:beforeLines="60" w:before="144" w:afterLines="60" w:after="144"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 xml:space="preserve">Moderate </w:t>
            </w:r>
          </w:p>
          <w:p w14:paraId="1483393C" w14:textId="0E9A5751" w:rsidR="00666720" w:rsidRPr="00B5064E" w:rsidRDefault="00666720" w:rsidP="002D2E3A">
            <w:pPr>
              <w:pStyle w:val="BodyText"/>
              <w:numPr>
                <w:ilvl w:val="0"/>
                <w:numId w:val="26"/>
              </w:numPr>
              <w:spacing w:beforeLines="60" w:before="144" w:afterLines="60" w:after="144"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Improves guidance but lacks enforceability and scale certainty</w:t>
            </w:r>
          </w:p>
        </w:tc>
      </w:tr>
      <w:tr w:rsidR="00ED687F" w:rsidRPr="00B5064E" w14:paraId="20AD310A" w14:textId="77777777" w:rsidTr="00E92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hideMark/>
          </w:tcPr>
          <w:p w14:paraId="2FCE00E9" w14:textId="412A43D5" w:rsidR="00666720" w:rsidRPr="00B5064E" w:rsidRDefault="00666720" w:rsidP="00661E9D">
            <w:pPr>
              <w:pStyle w:val="BodyText"/>
              <w:rPr>
                <w:rFonts w:ascii="Calibri" w:hAnsi="Calibri" w:cs="Calibri"/>
              </w:rPr>
            </w:pPr>
            <w:r w:rsidRPr="00B5064E">
              <w:rPr>
                <w:rFonts w:ascii="Calibri" w:hAnsi="Calibri" w:cs="Calibri"/>
              </w:rPr>
              <w:t>A1 – Regulated SSO</w:t>
            </w:r>
            <w:r w:rsidR="00440344" w:rsidRPr="00B5064E">
              <w:rPr>
                <w:rFonts w:ascii="Calibri" w:hAnsi="Calibri" w:cs="Calibri"/>
              </w:rPr>
              <w:t xml:space="preserve"> </w:t>
            </w:r>
          </w:p>
        </w:tc>
        <w:tc>
          <w:tcPr>
            <w:tcW w:w="1786" w:type="dxa"/>
            <w:shd w:val="clear" w:color="auto" w:fill="FFFFFF" w:themeFill="background1"/>
            <w:hideMark/>
          </w:tcPr>
          <w:p w14:paraId="0D0D3463" w14:textId="77777777" w:rsidR="001E20F9" w:rsidRPr="00B5064E" w:rsidRDefault="00666720"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 xml:space="preserve">Load-shifting households </w:t>
            </w:r>
          </w:p>
          <w:p w14:paraId="5CDCAD54" w14:textId="77777777" w:rsidR="001E20F9" w:rsidRPr="00B5064E" w:rsidRDefault="00666720"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 xml:space="preserve">Inflexible </w:t>
            </w:r>
            <w:r w:rsidRPr="00B5064E">
              <w:rPr>
                <w:rFonts w:ascii="Calibri" w:hAnsi="Calibri" w:cs="Calibri"/>
              </w:rPr>
              <w:lastRenderedPageBreak/>
              <w:t xml:space="preserve">households </w:t>
            </w:r>
          </w:p>
          <w:p w14:paraId="09EFA173" w14:textId="77777777" w:rsidR="001E20F9" w:rsidRPr="00B5064E" w:rsidRDefault="00666720"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Retailers (&gt;1,000 customers)</w:t>
            </w:r>
          </w:p>
          <w:p w14:paraId="1082EC9A" w14:textId="77777777" w:rsidR="001E20F9" w:rsidRPr="00B5064E" w:rsidRDefault="00666720"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 xml:space="preserve">Small retailers (exempt) </w:t>
            </w:r>
          </w:p>
          <w:p w14:paraId="5D7AAA07" w14:textId="77777777" w:rsidR="001E20F9" w:rsidRPr="00B5064E" w:rsidRDefault="00666720"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 xml:space="preserve">DNSPs </w:t>
            </w:r>
          </w:p>
          <w:p w14:paraId="0D05B401" w14:textId="23371DB1" w:rsidR="00666720" w:rsidRPr="00B5064E" w:rsidRDefault="00666720"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 xml:space="preserve">Regulators </w:t>
            </w:r>
          </w:p>
        </w:tc>
        <w:tc>
          <w:tcPr>
            <w:tcW w:w="2260" w:type="dxa"/>
            <w:shd w:val="clear" w:color="auto" w:fill="FFFFFF" w:themeFill="background1"/>
            <w:hideMark/>
          </w:tcPr>
          <w:p w14:paraId="580892E7" w14:textId="1E735DFE" w:rsidR="004C4237" w:rsidRPr="00B5064E" w:rsidRDefault="00F71593"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lastRenderedPageBreak/>
              <w:t>Transparent b</w:t>
            </w:r>
            <w:r w:rsidR="00666720" w:rsidRPr="00B5064E">
              <w:rPr>
                <w:rFonts w:ascii="Calibri" w:hAnsi="Calibri" w:cs="Calibri"/>
              </w:rPr>
              <w:t xml:space="preserve">ill savings for load-shifting households </w:t>
            </w:r>
          </w:p>
          <w:p w14:paraId="6E4ECC39" w14:textId="77777777" w:rsidR="004C4237" w:rsidRPr="00B5064E" w:rsidRDefault="00666720"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lastRenderedPageBreak/>
              <w:t xml:space="preserve">Implementation and IT costs for retailers </w:t>
            </w:r>
          </w:p>
          <w:p w14:paraId="1C544C9D" w14:textId="77777777" w:rsidR="004C4237" w:rsidRPr="00B5064E" w:rsidRDefault="00666720"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 xml:space="preserve">Wholesale &amp; network exposure managed via DMO framework </w:t>
            </w:r>
          </w:p>
          <w:p w14:paraId="2ED7372C" w14:textId="297C3043" w:rsidR="00666720" w:rsidRPr="00B5064E" w:rsidRDefault="00666720"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Regulatory monitoring costs</w:t>
            </w:r>
          </w:p>
        </w:tc>
        <w:tc>
          <w:tcPr>
            <w:tcW w:w="2254" w:type="dxa"/>
            <w:shd w:val="clear" w:color="auto" w:fill="FFFFFF" w:themeFill="background1"/>
            <w:hideMark/>
          </w:tcPr>
          <w:p w14:paraId="3C70989E" w14:textId="77777777" w:rsidR="005B4E8D" w:rsidRPr="00B5064E" w:rsidRDefault="00666720"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lastRenderedPageBreak/>
              <w:t xml:space="preserve">Creates benchmark improving comparability </w:t>
            </w:r>
          </w:p>
          <w:p w14:paraId="7ED172D4" w14:textId="43299853" w:rsidR="005B4E8D" w:rsidRPr="00B5064E" w:rsidRDefault="008B1091"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lastRenderedPageBreak/>
              <w:t>Spurs innovation</w:t>
            </w:r>
            <w:r w:rsidR="00666720" w:rsidRPr="00B5064E">
              <w:rPr>
                <w:rFonts w:ascii="Calibri" w:hAnsi="Calibri" w:cs="Calibri"/>
              </w:rPr>
              <w:t xml:space="preserve"> through </w:t>
            </w:r>
            <w:r w:rsidR="004F70F8" w:rsidRPr="00B5064E">
              <w:rPr>
                <w:rFonts w:ascii="Calibri" w:hAnsi="Calibri" w:cs="Calibri"/>
              </w:rPr>
              <w:t xml:space="preserve">the development of competing or similar </w:t>
            </w:r>
            <w:r w:rsidR="00666720" w:rsidRPr="00B5064E">
              <w:rPr>
                <w:rFonts w:ascii="Calibri" w:hAnsi="Calibri" w:cs="Calibri"/>
              </w:rPr>
              <w:t>market offers</w:t>
            </w:r>
          </w:p>
          <w:p w14:paraId="116C5E4A" w14:textId="06FEFA35" w:rsidR="00666720" w:rsidRPr="00B5064E" w:rsidRDefault="00666720"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 xml:space="preserve"> Proportionate compliance (small retailer exemption)</w:t>
            </w:r>
          </w:p>
        </w:tc>
        <w:tc>
          <w:tcPr>
            <w:tcW w:w="2399" w:type="dxa"/>
            <w:shd w:val="clear" w:color="auto" w:fill="FFFFFF" w:themeFill="background1"/>
            <w:hideMark/>
          </w:tcPr>
          <w:p w14:paraId="6BDBE522" w14:textId="77777777" w:rsidR="00C5733B" w:rsidRPr="00B5064E" w:rsidRDefault="00666720"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lastRenderedPageBreak/>
              <w:t xml:space="preserve">Expands access for non-CER households </w:t>
            </w:r>
          </w:p>
          <w:p w14:paraId="4774E956" w14:textId="65DD9734" w:rsidR="00C5733B" w:rsidRPr="00B5064E" w:rsidRDefault="00666720"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 xml:space="preserve">Opt-in reduces </w:t>
            </w:r>
            <w:r w:rsidR="00655FEE" w:rsidRPr="00B5064E">
              <w:rPr>
                <w:rFonts w:ascii="Calibri" w:hAnsi="Calibri" w:cs="Calibri"/>
              </w:rPr>
              <w:lastRenderedPageBreak/>
              <w:t xml:space="preserve">consumer </w:t>
            </w:r>
            <w:r w:rsidRPr="00B5064E">
              <w:rPr>
                <w:rFonts w:ascii="Calibri" w:hAnsi="Calibri" w:cs="Calibri"/>
              </w:rPr>
              <w:t xml:space="preserve">harm risk </w:t>
            </w:r>
          </w:p>
          <w:p w14:paraId="50FA8ED9" w14:textId="77777777" w:rsidR="00C5733B" w:rsidRPr="00B5064E" w:rsidRDefault="00666720"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 xml:space="preserve">Reasonable-use cap limits disproportionate capture </w:t>
            </w:r>
          </w:p>
          <w:p w14:paraId="056A056B" w14:textId="53070FEB" w:rsidR="00666720" w:rsidRPr="00B5064E" w:rsidRDefault="00666720"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Distributional improvement relative to A0/A2</w:t>
            </w:r>
          </w:p>
        </w:tc>
        <w:tc>
          <w:tcPr>
            <w:tcW w:w="2521" w:type="dxa"/>
            <w:shd w:val="clear" w:color="auto" w:fill="FFFFFF" w:themeFill="background1"/>
            <w:hideMark/>
          </w:tcPr>
          <w:p w14:paraId="2A4FC7D9" w14:textId="24C796C0" w:rsidR="00C5733B" w:rsidRPr="00B5064E" w:rsidRDefault="00666720"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lastRenderedPageBreak/>
              <w:t xml:space="preserve">Improved midday utilisation </w:t>
            </w:r>
          </w:p>
          <w:p w14:paraId="47DA3485" w14:textId="77777777" w:rsidR="00C5733B" w:rsidRPr="00B5064E" w:rsidRDefault="00666720"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 xml:space="preserve">Reduced curtailment </w:t>
            </w:r>
          </w:p>
          <w:p w14:paraId="22808623" w14:textId="77777777" w:rsidR="00C5733B" w:rsidRPr="00B5064E" w:rsidRDefault="00666720"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lastRenderedPageBreak/>
              <w:t xml:space="preserve">Potential moderation of evening peaks </w:t>
            </w:r>
          </w:p>
          <w:p w14:paraId="4F5E86C1" w14:textId="3AA336F7" w:rsidR="00666720" w:rsidRPr="00B5064E" w:rsidRDefault="00666720"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Risk of local congestion mitigated via DNSP timing flexibility</w:t>
            </w:r>
          </w:p>
        </w:tc>
        <w:tc>
          <w:tcPr>
            <w:tcW w:w="2104" w:type="dxa"/>
            <w:shd w:val="clear" w:color="auto" w:fill="FFFFFF" w:themeFill="background1"/>
            <w:hideMark/>
          </w:tcPr>
          <w:p w14:paraId="4DCC4220" w14:textId="77777777" w:rsidR="00C5733B" w:rsidRPr="00B5064E" w:rsidRDefault="00666720"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lastRenderedPageBreak/>
              <w:t xml:space="preserve">High </w:t>
            </w:r>
          </w:p>
          <w:p w14:paraId="78646C62" w14:textId="15E358A4" w:rsidR="00666720" w:rsidRPr="00B5064E" w:rsidRDefault="00666720" w:rsidP="002D2E3A">
            <w:pPr>
              <w:pStyle w:val="BodyText"/>
              <w:numPr>
                <w:ilvl w:val="0"/>
                <w:numId w:val="26"/>
              </w:numPr>
              <w:spacing w:beforeLines="60" w:before="144" w:afterLines="60" w:after="144" w:line="240"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 xml:space="preserve">Strongest structural alignment with </w:t>
            </w:r>
            <w:r w:rsidRPr="00B5064E">
              <w:rPr>
                <w:rFonts w:ascii="Calibri" w:hAnsi="Calibri" w:cs="Calibri"/>
              </w:rPr>
              <w:lastRenderedPageBreak/>
              <w:t>system and equity objectives, subject to calibration and monitoring</w:t>
            </w:r>
          </w:p>
        </w:tc>
      </w:tr>
    </w:tbl>
    <w:p w14:paraId="6F354C4C" w14:textId="7686E652" w:rsidR="00DE78B0" w:rsidRPr="00B5064E" w:rsidRDefault="00D61980" w:rsidP="00D960AF">
      <w:pPr>
        <w:tabs>
          <w:tab w:val="left" w:pos="1575"/>
        </w:tabs>
        <w:spacing w:before="240" w:after="0"/>
        <w:rPr>
          <w:rFonts w:ascii="Calibri" w:eastAsiaTheme="majorEastAsia" w:hAnsi="Calibri" w:cs="Calibri"/>
          <w:b/>
          <w:bCs/>
          <w:color w:val="0F4761" w:themeColor="accent1" w:themeShade="BF"/>
        </w:rPr>
      </w:pPr>
      <w:r w:rsidRPr="00B5064E">
        <w:rPr>
          <w:rFonts w:ascii="Calibri" w:hAnsi="Calibri" w:cs="Calibri"/>
          <w:i/>
          <w:color w:val="000000" w:themeColor="text1"/>
          <w:sz w:val="20"/>
          <w:szCs w:val="20"/>
        </w:rPr>
        <w:lastRenderedPageBreak/>
        <w:t xml:space="preserve">Table </w:t>
      </w:r>
      <w:r w:rsidR="006613D5">
        <w:rPr>
          <w:rFonts w:ascii="Calibri" w:hAnsi="Calibri" w:cs="Calibri"/>
          <w:i/>
          <w:iCs/>
          <w:color w:val="000000" w:themeColor="text1"/>
          <w:sz w:val="20"/>
          <w:szCs w:val="20"/>
        </w:rPr>
        <w:t>8</w:t>
      </w:r>
      <w:r w:rsidRPr="00B5064E">
        <w:rPr>
          <w:rFonts w:ascii="Calibri" w:hAnsi="Calibri" w:cs="Calibri"/>
          <w:i/>
          <w:color w:val="000000" w:themeColor="text1"/>
          <w:sz w:val="20"/>
          <w:szCs w:val="20"/>
        </w:rPr>
        <w:t>: High-Level Risk Comparison – For all Policy Options</w:t>
      </w:r>
    </w:p>
    <w:tbl>
      <w:tblPr>
        <w:tblStyle w:val="PlainTable1"/>
        <w:tblW w:w="14737" w:type="dxa"/>
        <w:tblBorders>
          <w:top w:val="none" w:sz="0" w:space="0" w:color="auto"/>
          <w:left w:val="none" w:sz="0" w:space="0" w:color="auto"/>
          <w:bottom w:val="single" w:sz="4" w:space="0" w:color="D1D1D1" w:themeColor="background2" w:themeShade="E6"/>
          <w:right w:val="none" w:sz="0" w:space="0" w:color="auto"/>
          <w:insideH w:val="none" w:sz="0" w:space="0" w:color="auto"/>
          <w:insideV w:val="none" w:sz="0" w:space="0" w:color="auto"/>
        </w:tblBorders>
        <w:tblLook w:val="04A0" w:firstRow="1" w:lastRow="0" w:firstColumn="1" w:lastColumn="0" w:noHBand="0" w:noVBand="1"/>
      </w:tblPr>
      <w:tblGrid>
        <w:gridCol w:w="2732"/>
        <w:gridCol w:w="3546"/>
        <w:gridCol w:w="4157"/>
        <w:gridCol w:w="4302"/>
      </w:tblGrid>
      <w:tr w:rsidR="00DE78B0" w:rsidRPr="00B5064E" w14:paraId="1EFB2C07" w14:textId="77777777" w:rsidTr="00D96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8E8E8" w:themeFill="background2"/>
            <w:vAlign w:val="center"/>
            <w:hideMark/>
          </w:tcPr>
          <w:p w14:paraId="25D66D43" w14:textId="77777777" w:rsidR="00DE78B0" w:rsidRPr="00B5064E" w:rsidRDefault="00DE78B0" w:rsidP="00D960AF">
            <w:pPr>
              <w:tabs>
                <w:tab w:val="left" w:pos="1575"/>
              </w:tabs>
              <w:spacing w:line="259" w:lineRule="auto"/>
              <w:jc w:val="center"/>
              <w:rPr>
                <w:rFonts w:ascii="Calibri" w:hAnsi="Calibri" w:cs="Calibri"/>
                <w:sz w:val="24"/>
                <w:szCs w:val="24"/>
              </w:rPr>
            </w:pPr>
            <w:r w:rsidRPr="00B5064E">
              <w:rPr>
                <w:rFonts w:ascii="Calibri" w:hAnsi="Calibri" w:cs="Calibri"/>
                <w:sz w:val="24"/>
                <w:szCs w:val="24"/>
              </w:rPr>
              <w:t>Risk Category</w:t>
            </w:r>
          </w:p>
        </w:tc>
        <w:tc>
          <w:tcPr>
            <w:tcW w:w="0" w:type="auto"/>
            <w:shd w:val="clear" w:color="auto" w:fill="E8E8E8" w:themeFill="background2"/>
            <w:vAlign w:val="center"/>
            <w:hideMark/>
          </w:tcPr>
          <w:p w14:paraId="2E2A6AE6" w14:textId="77777777" w:rsidR="00DE78B0" w:rsidRPr="00B5064E" w:rsidRDefault="00DE78B0" w:rsidP="00D960AF">
            <w:pPr>
              <w:tabs>
                <w:tab w:val="left" w:pos="1575"/>
              </w:tabs>
              <w:spacing w:line="259"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B5064E">
              <w:rPr>
                <w:rFonts w:ascii="Calibri" w:hAnsi="Calibri" w:cs="Calibri"/>
                <w:sz w:val="24"/>
                <w:szCs w:val="24"/>
              </w:rPr>
              <w:t>Option A0 Status Quo (Market-led)</w:t>
            </w:r>
          </w:p>
        </w:tc>
        <w:tc>
          <w:tcPr>
            <w:tcW w:w="0" w:type="auto"/>
            <w:shd w:val="clear" w:color="auto" w:fill="E8E8E8" w:themeFill="background2"/>
            <w:vAlign w:val="center"/>
            <w:hideMark/>
          </w:tcPr>
          <w:p w14:paraId="2C53BEF1" w14:textId="77777777" w:rsidR="00DE78B0" w:rsidRPr="00B5064E" w:rsidRDefault="00DE78B0" w:rsidP="00D960AF">
            <w:pPr>
              <w:tabs>
                <w:tab w:val="left" w:pos="1575"/>
              </w:tabs>
              <w:spacing w:line="259"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B5064E">
              <w:rPr>
                <w:rFonts w:ascii="Calibri" w:hAnsi="Calibri" w:cs="Calibri"/>
                <w:sz w:val="24"/>
                <w:szCs w:val="24"/>
              </w:rPr>
              <w:t>Option A1 Regulated SSO Standing Offer</w:t>
            </w:r>
          </w:p>
        </w:tc>
        <w:tc>
          <w:tcPr>
            <w:tcW w:w="4302" w:type="dxa"/>
            <w:shd w:val="clear" w:color="auto" w:fill="E8E8E8" w:themeFill="background2"/>
            <w:vAlign w:val="center"/>
            <w:hideMark/>
          </w:tcPr>
          <w:p w14:paraId="23D0DEAC" w14:textId="77777777" w:rsidR="00DE78B0" w:rsidRPr="00B5064E" w:rsidRDefault="00DE78B0" w:rsidP="00D960AF">
            <w:pPr>
              <w:tabs>
                <w:tab w:val="left" w:pos="1575"/>
              </w:tabs>
              <w:spacing w:line="259"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B5064E">
              <w:rPr>
                <w:rFonts w:ascii="Calibri" w:hAnsi="Calibri" w:cs="Calibri"/>
                <w:sz w:val="24"/>
                <w:szCs w:val="24"/>
              </w:rPr>
              <w:t>Option A2 Voluntary Guideline / Code-Based Approach</w:t>
            </w:r>
          </w:p>
        </w:tc>
      </w:tr>
      <w:tr w:rsidR="00DE78B0" w:rsidRPr="00B5064E" w14:paraId="2ED547AF" w14:textId="77777777" w:rsidTr="3AE2F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14:paraId="24D4BD38" w14:textId="77777777" w:rsidR="00DE78B0" w:rsidRPr="00B5064E" w:rsidRDefault="00DE78B0" w:rsidP="00D960AF">
            <w:pPr>
              <w:tabs>
                <w:tab w:val="left" w:pos="1575"/>
              </w:tabs>
              <w:spacing w:after="160" w:line="259" w:lineRule="auto"/>
              <w:rPr>
                <w:rFonts w:ascii="Calibri" w:hAnsi="Calibri" w:cs="Calibri"/>
              </w:rPr>
            </w:pPr>
            <w:r w:rsidRPr="00B5064E">
              <w:rPr>
                <w:rFonts w:ascii="Calibri" w:hAnsi="Calibri" w:cs="Calibri"/>
              </w:rPr>
              <w:t>Equity &amp; Access Risk</w:t>
            </w:r>
          </w:p>
        </w:tc>
        <w:tc>
          <w:tcPr>
            <w:tcW w:w="0" w:type="auto"/>
            <w:shd w:val="clear" w:color="auto" w:fill="FFFFFF" w:themeFill="background1"/>
            <w:vAlign w:val="center"/>
            <w:hideMark/>
          </w:tcPr>
          <w:p w14:paraId="38F02FFB" w14:textId="77777777"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Segoe UI Emoji" w:hAnsi="Segoe UI Emoji" w:cs="Segoe UI Emoji"/>
              </w:rPr>
              <w:t>🔴</w:t>
            </w:r>
            <w:r w:rsidRPr="00B5064E">
              <w:rPr>
                <w:rFonts w:ascii="Calibri" w:hAnsi="Calibri" w:cs="Calibri"/>
                <w:b/>
              </w:rPr>
              <w:t xml:space="preserve"> High</w:t>
            </w:r>
            <w:r w:rsidRPr="00B5064E">
              <w:rPr>
                <w:rFonts w:ascii="Calibri" w:hAnsi="Calibri" w:cs="Calibri"/>
              </w:rPr>
              <w:t xml:space="preserve"> </w:t>
            </w:r>
          </w:p>
          <w:p w14:paraId="106BDB6C" w14:textId="4B6691B2"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Uneven access; benefits concentrated among CER households</w:t>
            </w:r>
          </w:p>
        </w:tc>
        <w:tc>
          <w:tcPr>
            <w:tcW w:w="0" w:type="auto"/>
            <w:shd w:val="clear" w:color="auto" w:fill="FFFFFF" w:themeFill="background1"/>
            <w:vAlign w:val="center"/>
            <w:hideMark/>
          </w:tcPr>
          <w:p w14:paraId="13C4C94D" w14:textId="77777777"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Segoe UI Emoji" w:hAnsi="Segoe UI Emoji" w:cs="Segoe UI Emoji"/>
              </w:rPr>
              <w:t>🟠</w:t>
            </w:r>
            <w:r w:rsidRPr="00B5064E">
              <w:rPr>
                <w:rFonts w:ascii="Calibri" w:hAnsi="Calibri" w:cs="Calibri"/>
              </w:rPr>
              <w:t xml:space="preserve"> </w:t>
            </w:r>
            <w:r w:rsidRPr="00B5064E">
              <w:rPr>
                <w:rFonts w:ascii="Calibri" w:hAnsi="Calibri" w:cs="Calibri"/>
                <w:b/>
              </w:rPr>
              <w:t xml:space="preserve">Medium </w:t>
            </w:r>
          </w:p>
          <w:p w14:paraId="14CD7C0E" w14:textId="716D939C"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Improves access but cross-subsidy risk if poorly calibrated</w:t>
            </w:r>
          </w:p>
        </w:tc>
        <w:tc>
          <w:tcPr>
            <w:tcW w:w="4302" w:type="dxa"/>
            <w:shd w:val="clear" w:color="auto" w:fill="FFFFFF" w:themeFill="background1"/>
            <w:vAlign w:val="center"/>
            <w:hideMark/>
          </w:tcPr>
          <w:p w14:paraId="52457769" w14:textId="77777777"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Segoe UI Emoji" w:hAnsi="Segoe UI Emoji" w:cs="Segoe UI Emoji"/>
              </w:rPr>
              <w:t>🔴</w:t>
            </w:r>
            <w:r w:rsidRPr="00B5064E">
              <w:rPr>
                <w:rFonts w:ascii="Calibri" w:hAnsi="Calibri" w:cs="Calibri"/>
              </w:rPr>
              <w:t xml:space="preserve"> </w:t>
            </w:r>
            <w:r w:rsidRPr="00B5064E">
              <w:rPr>
                <w:rFonts w:ascii="Calibri" w:hAnsi="Calibri" w:cs="Calibri"/>
                <w:b/>
              </w:rPr>
              <w:t xml:space="preserve">High </w:t>
            </w:r>
          </w:p>
          <w:p w14:paraId="2A1CD2F2" w14:textId="7F6B4BBC"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No guarantee of universal access; fragmented uptake</w:t>
            </w:r>
          </w:p>
        </w:tc>
      </w:tr>
      <w:tr w:rsidR="00DE78B0" w:rsidRPr="00B5064E" w14:paraId="6C54E2B9" w14:textId="77777777" w:rsidTr="00D960AF">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hideMark/>
          </w:tcPr>
          <w:p w14:paraId="472BE023" w14:textId="77777777" w:rsidR="00DE78B0" w:rsidRPr="00B5064E" w:rsidRDefault="00DE78B0" w:rsidP="00D960AF">
            <w:pPr>
              <w:tabs>
                <w:tab w:val="left" w:pos="1575"/>
              </w:tabs>
              <w:spacing w:after="160" w:line="259" w:lineRule="auto"/>
              <w:rPr>
                <w:rFonts w:ascii="Calibri" w:hAnsi="Calibri" w:cs="Calibri"/>
              </w:rPr>
            </w:pPr>
            <w:r w:rsidRPr="00B5064E">
              <w:rPr>
                <w:rFonts w:ascii="Calibri" w:hAnsi="Calibri" w:cs="Calibri"/>
              </w:rPr>
              <w:t>Consumer Bill Shock Risk</w:t>
            </w:r>
          </w:p>
        </w:tc>
        <w:tc>
          <w:tcPr>
            <w:tcW w:w="0" w:type="auto"/>
            <w:shd w:val="clear" w:color="auto" w:fill="F2F2F2" w:themeFill="background1" w:themeFillShade="F2"/>
            <w:vAlign w:val="center"/>
            <w:hideMark/>
          </w:tcPr>
          <w:p w14:paraId="60F4F8BB" w14:textId="77777777" w:rsidR="00DE78B0" w:rsidRPr="00B5064E" w:rsidRDefault="00DE78B0" w:rsidP="00D960AF">
            <w:pPr>
              <w:tabs>
                <w:tab w:val="left" w:pos="1575"/>
              </w:tabs>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Segoe UI Emoji" w:hAnsi="Segoe UI Emoji" w:cs="Segoe UI Emoji"/>
              </w:rPr>
              <w:t>🟠</w:t>
            </w:r>
            <w:r w:rsidRPr="00B5064E">
              <w:rPr>
                <w:rFonts w:ascii="Calibri" w:hAnsi="Calibri" w:cs="Calibri"/>
              </w:rPr>
              <w:t xml:space="preserve"> </w:t>
            </w:r>
            <w:r w:rsidRPr="00B5064E">
              <w:rPr>
                <w:rFonts w:ascii="Calibri" w:hAnsi="Calibri" w:cs="Calibri"/>
                <w:b/>
              </w:rPr>
              <w:t xml:space="preserve">Medium </w:t>
            </w:r>
          </w:p>
          <w:p w14:paraId="79427734" w14:textId="4E02EAC2" w:rsidR="00DE78B0" w:rsidRPr="00B5064E" w:rsidRDefault="00DE78B0" w:rsidP="00D960AF">
            <w:pPr>
              <w:tabs>
                <w:tab w:val="left" w:pos="1575"/>
              </w:tabs>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Complex offers remain; inconsistent protections</w:t>
            </w:r>
          </w:p>
        </w:tc>
        <w:tc>
          <w:tcPr>
            <w:tcW w:w="0" w:type="auto"/>
            <w:shd w:val="clear" w:color="auto" w:fill="F2F2F2" w:themeFill="background1" w:themeFillShade="F2"/>
            <w:vAlign w:val="center"/>
            <w:hideMark/>
          </w:tcPr>
          <w:p w14:paraId="0DBFF647" w14:textId="77777777" w:rsidR="00DE78B0" w:rsidRPr="00B5064E" w:rsidRDefault="00DE78B0" w:rsidP="00D960AF">
            <w:pPr>
              <w:tabs>
                <w:tab w:val="left" w:pos="1575"/>
              </w:tabs>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Segoe UI Emoji" w:hAnsi="Segoe UI Emoji" w:cs="Segoe UI Emoji"/>
              </w:rPr>
              <w:t>🟠</w:t>
            </w:r>
            <w:r w:rsidRPr="00B5064E">
              <w:rPr>
                <w:rFonts w:ascii="Calibri" w:hAnsi="Calibri" w:cs="Calibri"/>
              </w:rPr>
              <w:t xml:space="preserve"> </w:t>
            </w:r>
            <w:r w:rsidRPr="00B5064E">
              <w:rPr>
                <w:rFonts w:ascii="Calibri" w:hAnsi="Calibri" w:cs="Calibri"/>
                <w:b/>
              </w:rPr>
              <w:t xml:space="preserve">Medium </w:t>
            </w:r>
          </w:p>
          <w:p w14:paraId="05E3F397" w14:textId="30F6F91F" w:rsidR="00DE78B0" w:rsidRPr="00B5064E" w:rsidRDefault="00DE78B0" w:rsidP="00D960AF">
            <w:pPr>
              <w:tabs>
                <w:tab w:val="left" w:pos="1575"/>
              </w:tabs>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Opt-in mitigates risk, but misunderstanding possible</w:t>
            </w:r>
          </w:p>
        </w:tc>
        <w:tc>
          <w:tcPr>
            <w:tcW w:w="4302" w:type="dxa"/>
            <w:shd w:val="clear" w:color="auto" w:fill="F2F2F2" w:themeFill="background1" w:themeFillShade="F2"/>
            <w:vAlign w:val="center"/>
            <w:hideMark/>
          </w:tcPr>
          <w:p w14:paraId="55B973B3" w14:textId="77777777" w:rsidR="00DE78B0" w:rsidRPr="00B5064E" w:rsidRDefault="00DE78B0" w:rsidP="00D960AF">
            <w:pPr>
              <w:tabs>
                <w:tab w:val="left" w:pos="1575"/>
              </w:tabs>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Segoe UI Emoji" w:hAnsi="Segoe UI Emoji" w:cs="Segoe UI Emoji"/>
              </w:rPr>
              <w:t>🔴</w:t>
            </w:r>
            <w:r w:rsidRPr="00B5064E">
              <w:rPr>
                <w:rFonts w:ascii="Calibri" w:hAnsi="Calibri" w:cs="Calibri"/>
              </w:rPr>
              <w:t xml:space="preserve"> </w:t>
            </w:r>
            <w:r w:rsidRPr="00B5064E">
              <w:rPr>
                <w:rFonts w:ascii="Calibri" w:hAnsi="Calibri" w:cs="Calibri"/>
                <w:b/>
              </w:rPr>
              <w:t xml:space="preserve">High </w:t>
            </w:r>
          </w:p>
          <w:p w14:paraId="15049856" w14:textId="1857B75F" w:rsidR="00DE78B0" w:rsidRPr="00B5064E" w:rsidRDefault="00DE78B0" w:rsidP="00D960AF">
            <w:pPr>
              <w:tabs>
                <w:tab w:val="left" w:pos="1575"/>
              </w:tabs>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Inconsistent disclosures; variable product design</w:t>
            </w:r>
          </w:p>
        </w:tc>
      </w:tr>
      <w:tr w:rsidR="00DE78B0" w:rsidRPr="00B5064E" w14:paraId="2EB28D92" w14:textId="77777777" w:rsidTr="00D96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14:paraId="0F8AB7FD" w14:textId="77777777" w:rsidR="00DE78B0" w:rsidRPr="00B5064E" w:rsidRDefault="00DE78B0" w:rsidP="00D960AF">
            <w:pPr>
              <w:tabs>
                <w:tab w:val="left" w:pos="1575"/>
              </w:tabs>
              <w:spacing w:after="160" w:line="259" w:lineRule="auto"/>
              <w:rPr>
                <w:rFonts w:ascii="Calibri" w:hAnsi="Calibri" w:cs="Calibri"/>
              </w:rPr>
            </w:pPr>
            <w:r w:rsidRPr="00B5064E">
              <w:rPr>
                <w:rFonts w:ascii="Calibri" w:hAnsi="Calibri" w:cs="Calibri"/>
              </w:rPr>
              <w:t>System Efficiency / Minimum Demand Risk</w:t>
            </w:r>
          </w:p>
        </w:tc>
        <w:tc>
          <w:tcPr>
            <w:tcW w:w="0" w:type="auto"/>
            <w:shd w:val="clear" w:color="auto" w:fill="FFFFFF" w:themeFill="background1"/>
            <w:vAlign w:val="center"/>
            <w:hideMark/>
          </w:tcPr>
          <w:p w14:paraId="72162082" w14:textId="77777777"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Segoe UI Emoji" w:hAnsi="Segoe UI Emoji" w:cs="Segoe UI Emoji"/>
              </w:rPr>
              <w:t>🔴</w:t>
            </w:r>
            <w:r w:rsidRPr="00B5064E">
              <w:rPr>
                <w:rFonts w:ascii="Calibri" w:hAnsi="Calibri" w:cs="Calibri"/>
                <w:b/>
              </w:rPr>
              <w:t xml:space="preserve"> High</w:t>
            </w:r>
            <w:r w:rsidRPr="00B5064E">
              <w:rPr>
                <w:rFonts w:ascii="Calibri" w:hAnsi="Calibri" w:cs="Calibri"/>
              </w:rPr>
              <w:t xml:space="preserve"> </w:t>
            </w:r>
          </w:p>
          <w:p w14:paraId="57C12439" w14:textId="63092D27"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Weak demand-shifting incentives; growing minimum demand events</w:t>
            </w:r>
          </w:p>
        </w:tc>
        <w:tc>
          <w:tcPr>
            <w:tcW w:w="0" w:type="auto"/>
            <w:shd w:val="clear" w:color="auto" w:fill="FFFFFF" w:themeFill="background1"/>
            <w:vAlign w:val="center"/>
            <w:hideMark/>
          </w:tcPr>
          <w:p w14:paraId="29713447" w14:textId="77777777"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Segoe UI Emoji" w:hAnsi="Segoe UI Emoji" w:cs="Segoe UI Emoji"/>
              </w:rPr>
              <w:t>🟢</w:t>
            </w:r>
            <w:r w:rsidRPr="00B5064E">
              <w:rPr>
                <w:rFonts w:ascii="Calibri" w:hAnsi="Calibri" w:cs="Calibri"/>
              </w:rPr>
              <w:t xml:space="preserve"> </w:t>
            </w:r>
            <w:r w:rsidRPr="00B5064E">
              <w:rPr>
                <w:rFonts w:ascii="Calibri" w:hAnsi="Calibri" w:cs="Calibri"/>
                <w:b/>
              </w:rPr>
              <w:t>Low</w:t>
            </w:r>
            <w:r w:rsidRPr="00B5064E">
              <w:rPr>
                <w:rFonts w:ascii="Calibri" w:hAnsi="Calibri" w:cs="Calibri"/>
              </w:rPr>
              <w:t xml:space="preserve"> </w:t>
            </w:r>
          </w:p>
          <w:p w14:paraId="27978B34" w14:textId="05AAF239"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Improves alignment and flattens duck curve</w:t>
            </w:r>
          </w:p>
        </w:tc>
        <w:tc>
          <w:tcPr>
            <w:tcW w:w="4302" w:type="dxa"/>
            <w:shd w:val="clear" w:color="auto" w:fill="FFFFFF" w:themeFill="background1"/>
            <w:vAlign w:val="center"/>
            <w:hideMark/>
          </w:tcPr>
          <w:p w14:paraId="1098F620" w14:textId="77777777"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Segoe UI Emoji" w:hAnsi="Segoe UI Emoji" w:cs="Segoe UI Emoji"/>
              </w:rPr>
              <w:t>🔴</w:t>
            </w:r>
            <w:r w:rsidRPr="00B5064E">
              <w:rPr>
                <w:rFonts w:ascii="Calibri" w:hAnsi="Calibri" w:cs="Calibri"/>
              </w:rPr>
              <w:t xml:space="preserve"> </w:t>
            </w:r>
            <w:r w:rsidRPr="00B5064E">
              <w:rPr>
                <w:rFonts w:ascii="Calibri" w:hAnsi="Calibri" w:cs="Calibri"/>
                <w:b/>
              </w:rPr>
              <w:t xml:space="preserve">High </w:t>
            </w:r>
          </w:p>
          <w:p w14:paraId="7BC42453" w14:textId="266BCCB5"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Voluntary uptake unlikely to materially shift load</w:t>
            </w:r>
          </w:p>
        </w:tc>
      </w:tr>
      <w:tr w:rsidR="00DE78B0" w:rsidRPr="00B5064E" w14:paraId="1911257C" w14:textId="77777777" w:rsidTr="00D960AF">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hideMark/>
          </w:tcPr>
          <w:p w14:paraId="12EDF8FA" w14:textId="77777777" w:rsidR="00DE78B0" w:rsidRPr="00B5064E" w:rsidRDefault="00DE78B0" w:rsidP="00D960AF">
            <w:pPr>
              <w:tabs>
                <w:tab w:val="left" w:pos="1575"/>
              </w:tabs>
              <w:spacing w:after="160" w:line="259" w:lineRule="auto"/>
              <w:rPr>
                <w:rFonts w:ascii="Calibri" w:hAnsi="Calibri" w:cs="Calibri"/>
              </w:rPr>
            </w:pPr>
            <w:r w:rsidRPr="00B5064E">
              <w:rPr>
                <w:rFonts w:ascii="Calibri" w:hAnsi="Calibri" w:cs="Calibri"/>
              </w:rPr>
              <w:t>Network Congestion Risk</w:t>
            </w:r>
          </w:p>
        </w:tc>
        <w:tc>
          <w:tcPr>
            <w:tcW w:w="0" w:type="auto"/>
            <w:shd w:val="clear" w:color="auto" w:fill="F2F2F2" w:themeFill="background1" w:themeFillShade="F2"/>
            <w:vAlign w:val="center"/>
            <w:hideMark/>
          </w:tcPr>
          <w:p w14:paraId="0BD9FF24" w14:textId="77777777" w:rsidR="00DE78B0" w:rsidRPr="00B5064E" w:rsidRDefault="00DE78B0" w:rsidP="00D960AF">
            <w:pPr>
              <w:tabs>
                <w:tab w:val="left" w:pos="1575"/>
              </w:tabs>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B5064E">
              <w:rPr>
                <w:rFonts w:ascii="Segoe UI Emoji" w:hAnsi="Segoe UI Emoji" w:cs="Segoe UI Emoji"/>
                <w:b/>
              </w:rPr>
              <w:t>🟢</w:t>
            </w:r>
            <w:r w:rsidRPr="00B5064E">
              <w:rPr>
                <w:rFonts w:ascii="Calibri" w:hAnsi="Calibri" w:cs="Calibri"/>
                <w:b/>
              </w:rPr>
              <w:t xml:space="preserve"> Low </w:t>
            </w:r>
          </w:p>
          <w:p w14:paraId="4E75479E" w14:textId="7E44E259" w:rsidR="00DE78B0" w:rsidRPr="00B5064E" w:rsidRDefault="005B2EB8" w:rsidP="00D960AF">
            <w:pPr>
              <w:tabs>
                <w:tab w:val="left" w:pos="1575"/>
              </w:tabs>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 xml:space="preserve">Less uptake reduces risk </w:t>
            </w:r>
          </w:p>
        </w:tc>
        <w:tc>
          <w:tcPr>
            <w:tcW w:w="0" w:type="auto"/>
            <w:shd w:val="clear" w:color="auto" w:fill="F2F2F2" w:themeFill="background1" w:themeFillShade="F2"/>
            <w:vAlign w:val="center"/>
            <w:hideMark/>
          </w:tcPr>
          <w:p w14:paraId="1D168C15" w14:textId="12A2C7EE" w:rsidR="00DE78B0" w:rsidRPr="00B5064E" w:rsidRDefault="00D41256" w:rsidP="00D960AF">
            <w:pPr>
              <w:tabs>
                <w:tab w:val="left" w:pos="1575"/>
              </w:tabs>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b/>
              </w:rPr>
              <w:t xml:space="preserve"> </w:t>
            </w:r>
            <w:r w:rsidRPr="00B5064E">
              <w:rPr>
                <w:rFonts w:ascii="Segoe UI Emoji" w:hAnsi="Segoe UI Emoji" w:cs="Segoe UI Emoji"/>
                <w:b/>
              </w:rPr>
              <w:t>🟢</w:t>
            </w:r>
            <w:r w:rsidR="00DE78B0" w:rsidRPr="00B5064E">
              <w:rPr>
                <w:rFonts w:ascii="Calibri" w:hAnsi="Calibri" w:cs="Calibri"/>
                <w:b/>
              </w:rPr>
              <w:t xml:space="preserve"> </w:t>
            </w:r>
            <w:r w:rsidRPr="00B5064E">
              <w:rPr>
                <w:rFonts w:ascii="Calibri" w:hAnsi="Calibri" w:cs="Calibri"/>
                <w:b/>
              </w:rPr>
              <w:t>Low</w:t>
            </w:r>
            <w:r w:rsidR="00DE78B0" w:rsidRPr="00B5064E">
              <w:rPr>
                <w:rFonts w:ascii="Calibri" w:hAnsi="Calibri" w:cs="Calibri"/>
              </w:rPr>
              <w:t xml:space="preserve"> </w:t>
            </w:r>
          </w:p>
          <w:p w14:paraId="0449461A" w14:textId="33AC6931" w:rsidR="00DE78B0" w:rsidRPr="00B5064E" w:rsidRDefault="00FA6913" w:rsidP="00D960AF">
            <w:pPr>
              <w:tabs>
                <w:tab w:val="left" w:pos="1575"/>
              </w:tabs>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lastRenderedPageBreak/>
              <w:t xml:space="preserve">Low probability but moderate </w:t>
            </w:r>
            <w:r w:rsidR="00DE78B0" w:rsidRPr="00B5064E">
              <w:rPr>
                <w:rFonts w:ascii="Calibri" w:hAnsi="Calibri" w:cs="Calibri"/>
              </w:rPr>
              <w:t xml:space="preserve"> risk of feeder-level clustering if uniform window</w:t>
            </w:r>
          </w:p>
        </w:tc>
        <w:tc>
          <w:tcPr>
            <w:tcW w:w="4302" w:type="dxa"/>
            <w:shd w:val="clear" w:color="auto" w:fill="F2F2F2" w:themeFill="background1" w:themeFillShade="F2"/>
            <w:vAlign w:val="center"/>
            <w:hideMark/>
          </w:tcPr>
          <w:p w14:paraId="7B9EBE74" w14:textId="09B7F5FC" w:rsidR="00DE78B0" w:rsidRPr="00B5064E" w:rsidRDefault="005B2EB8" w:rsidP="00D960AF">
            <w:pPr>
              <w:tabs>
                <w:tab w:val="left" w:pos="1575"/>
              </w:tabs>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B5064E">
              <w:rPr>
                <w:rFonts w:ascii="Segoe UI Emoji" w:hAnsi="Segoe UI Emoji" w:cs="Segoe UI Emoji"/>
                <w:b/>
              </w:rPr>
              <w:lastRenderedPageBreak/>
              <w:t>🟢</w:t>
            </w:r>
            <w:r w:rsidRPr="00B5064E">
              <w:rPr>
                <w:rFonts w:ascii="Calibri" w:hAnsi="Calibri" w:cs="Calibri"/>
                <w:b/>
              </w:rPr>
              <w:t xml:space="preserve"> Low </w:t>
            </w:r>
          </w:p>
          <w:p w14:paraId="0A1314C9" w14:textId="784C5630" w:rsidR="00DE78B0" w:rsidRPr="00B5064E" w:rsidRDefault="00DE78B0" w:rsidP="00D960AF">
            <w:pPr>
              <w:tabs>
                <w:tab w:val="left" w:pos="1575"/>
              </w:tabs>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 xml:space="preserve">Less uptake reduces risk </w:t>
            </w:r>
          </w:p>
        </w:tc>
      </w:tr>
      <w:tr w:rsidR="00DE78B0" w:rsidRPr="00B5064E" w14:paraId="21859B28" w14:textId="77777777" w:rsidTr="00D96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14:paraId="0CF6898B" w14:textId="77777777" w:rsidR="00DE78B0" w:rsidRPr="00B5064E" w:rsidRDefault="00DE78B0" w:rsidP="00D960AF">
            <w:pPr>
              <w:tabs>
                <w:tab w:val="left" w:pos="1575"/>
              </w:tabs>
              <w:spacing w:after="160" w:line="259" w:lineRule="auto"/>
              <w:rPr>
                <w:rFonts w:ascii="Calibri" w:hAnsi="Calibri" w:cs="Calibri"/>
              </w:rPr>
            </w:pPr>
            <w:r w:rsidRPr="00B5064E">
              <w:rPr>
                <w:rFonts w:ascii="Calibri" w:hAnsi="Calibri" w:cs="Calibri"/>
              </w:rPr>
              <w:t>Retailer Cost Recovery Risk</w:t>
            </w:r>
          </w:p>
        </w:tc>
        <w:tc>
          <w:tcPr>
            <w:tcW w:w="0" w:type="auto"/>
            <w:shd w:val="clear" w:color="auto" w:fill="FFFFFF" w:themeFill="background1"/>
            <w:vAlign w:val="center"/>
            <w:hideMark/>
          </w:tcPr>
          <w:p w14:paraId="50993C78" w14:textId="77777777"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Segoe UI Emoji" w:hAnsi="Segoe UI Emoji" w:cs="Segoe UI Emoji"/>
              </w:rPr>
              <w:t>🟢</w:t>
            </w:r>
            <w:r w:rsidRPr="00B5064E">
              <w:rPr>
                <w:rFonts w:ascii="Calibri" w:hAnsi="Calibri" w:cs="Calibri"/>
                <w:b/>
              </w:rPr>
              <w:t xml:space="preserve"> Low</w:t>
            </w:r>
            <w:r w:rsidRPr="00B5064E">
              <w:rPr>
                <w:rFonts w:ascii="Calibri" w:hAnsi="Calibri" w:cs="Calibri"/>
              </w:rPr>
              <w:t xml:space="preserve"> </w:t>
            </w:r>
          </w:p>
          <w:p w14:paraId="69074F71" w14:textId="5B5114D6"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Existing structures maintained</w:t>
            </w:r>
          </w:p>
        </w:tc>
        <w:tc>
          <w:tcPr>
            <w:tcW w:w="0" w:type="auto"/>
            <w:shd w:val="clear" w:color="auto" w:fill="FFFFFF" w:themeFill="background1"/>
            <w:vAlign w:val="center"/>
            <w:hideMark/>
          </w:tcPr>
          <w:p w14:paraId="38B9CDCF" w14:textId="269FE893"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Segoe UI Emoji" w:hAnsi="Segoe UI Emoji" w:cs="Segoe UI Emoji"/>
              </w:rPr>
              <w:t>🟠</w:t>
            </w:r>
            <w:r w:rsidRPr="00B5064E">
              <w:rPr>
                <w:rFonts w:ascii="Calibri" w:hAnsi="Calibri" w:cs="Calibri"/>
              </w:rPr>
              <w:t xml:space="preserve"> </w:t>
            </w:r>
            <w:r w:rsidR="003948B9" w:rsidRPr="00B5064E">
              <w:rPr>
                <w:rFonts w:ascii="Calibri" w:hAnsi="Calibri" w:cs="Calibri"/>
                <w:b/>
                <w:bCs/>
              </w:rPr>
              <w:t xml:space="preserve">Low- </w:t>
            </w:r>
            <w:r w:rsidRPr="00B5064E">
              <w:rPr>
                <w:rFonts w:ascii="Calibri" w:hAnsi="Calibri" w:cs="Calibri"/>
                <w:b/>
              </w:rPr>
              <w:t xml:space="preserve">Medium </w:t>
            </w:r>
          </w:p>
          <w:p w14:paraId="587F99DC" w14:textId="016C7464"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Exposure during free window; mitigated via DMO guardrails</w:t>
            </w:r>
          </w:p>
        </w:tc>
        <w:tc>
          <w:tcPr>
            <w:tcW w:w="4302" w:type="dxa"/>
            <w:shd w:val="clear" w:color="auto" w:fill="FFFFFF" w:themeFill="background1"/>
            <w:vAlign w:val="center"/>
            <w:hideMark/>
          </w:tcPr>
          <w:p w14:paraId="36B60F0F" w14:textId="268A3026"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 xml:space="preserve"> </w:t>
            </w:r>
            <w:r w:rsidR="00B01E7A" w:rsidRPr="00B5064E">
              <w:rPr>
                <w:rFonts w:ascii="Segoe UI Emoji" w:hAnsi="Segoe UI Emoji" w:cs="Segoe UI Emoji"/>
              </w:rPr>
              <w:t>🟢</w:t>
            </w:r>
            <w:r w:rsidR="00B01E7A" w:rsidRPr="00B5064E">
              <w:rPr>
                <w:rFonts w:ascii="Calibri" w:hAnsi="Calibri" w:cs="Calibri"/>
                <w:b/>
                <w:bCs/>
              </w:rPr>
              <w:t xml:space="preserve"> </w:t>
            </w:r>
            <w:r w:rsidR="003948B9" w:rsidRPr="00B5064E">
              <w:rPr>
                <w:rFonts w:ascii="Calibri" w:hAnsi="Calibri" w:cs="Calibri"/>
                <w:b/>
                <w:bCs/>
              </w:rPr>
              <w:t>Low</w:t>
            </w:r>
            <w:r w:rsidRPr="00B5064E">
              <w:rPr>
                <w:rFonts w:ascii="Calibri" w:hAnsi="Calibri" w:cs="Calibri"/>
                <w:b/>
              </w:rPr>
              <w:t xml:space="preserve"> </w:t>
            </w:r>
          </w:p>
          <w:p w14:paraId="323E77C5" w14:textId="21B1A28F"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Retailers bear design risk without regulatory clarity</w:t>
            </w:r>
          </w:p>
        </w:tc>
      </w:tr>
      <w:tr w:rsidR="00DE78B0" w:rsidRPr="00B5064E" w14:paraId="321EE45A" w14:textId="77777777" w:rsidTr="00D960AF">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hideMark/>
          </w:tcPr>
          <w:p w14:paraId="1D9E182A" w14:textId="77777777" w:rsidR="00DE78B0" w:rsidRPr="00B5064E" w:rsidRDefault="00DE78B0" w:rsidP="00D960AF">
            <w:pPr>
              <w:tabs>
                <w:tab w:val="left" w:pos="1575"/>
              </w:tabs>
              <w:spacing w:after="160" w:line="259" w:lineRule="auto"/>
              <w:rPr>
                <w:rFonts w:ascii="Calibri" w:hAnsi="Calibri" w:cs="Calibri"/>
              </w:rPr>
            </w:pPr>
            <w:r w:rsidRPr="00B5064E">
              <w:rPr>
                <w:rFonts w:ascii="Calibri" w:hAnsi="Calibri" w:cs="Calibri"/>
              </w:rPr>
              <w:t>Implementation &amp; Compliance Burden</w:t>
            </w:r>
          </w:p>
        </w:tc>
        <w:tc>
          <w:tcPr>
            <w:tcW w:w="0" w:type="auto"/>
            <w:shd w:val="clear" w:color="auto" w:fill="F2F2F2" w:themeFill="background1" w:themeFillShade="F2"/>
            <w:vAlign w:val="center"/>
            <w:hideMark/>
          </w:tcPr>
          <w:p w14:paraId="4D09F9F4" w14:textId="77777777" w:rsidR="00DE78B0" w:rsidRPr="00B5064E" w:rsidRDefault="00DE78B0" w:rsidP="00D960AF">
            <w:pPr>
              <w:tabs>
                <w:tab w:val="left" w:pos="1575"/>
              </w:tabs>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Segoe UI Emoji" w:hAnsi="Segoe UI Emoji" w:cs="Segoe UI Emoji"/>
              </w:rPr>
              <w:t>🟢</w:t>
            </w:r>
            <w:r w:rsidRPr="00B5064E">
              <w:rPr>
                <w:rFonts w:ascii="Calibri" w:hAnsi="Calibri" w:cs="Calibri"/>
                <w:b/>
              </w:rPr>
              <w:t xml:space="preserve"> Low</w:t>
            </w:r>
            <w:r w:rsidRPr="00B5064E">
              <w:rPr>
                <w:rFonts w:ascii="Calibri" w:hAnsi="Calibri" w:cs="Calibri"/>
              </w:rPr>
              <w:t xml:space="preserve"> </w:t>
            </w:r>
          </w:p>
          <w:p w14:paraId="5511B370" w14:textId="0A1B1BE6" w:rsidR="00DE78B0" w:rsidRPr="00B5064E" w:rsidRDefault="00DE78B0" w:rsidP="00D960AF">
            <w:pPr>
              <w:tabs>
                <w:tab w:val="left" w:pos="1575"/>
              </w:tabs>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No new obligations</w:t>
            </w:r>
          </w:p>
        </w:tc>
        <w:tc>
          <w:tcPr>
            <w:tcW w:w="0" w:type="auto"/>
            <w:shd w:val="clear" w:color="auto" w:fill="F2F2F2" w:themeFill="background1" w:themeFillShade="F2"/>
            <w:vAlign w:val="center"/>
            <w:hideMark/>
          </w:tcPr>
          <w:p w14:paraId="75F35B43" w14:textId="2D734A46" w:rsidR="00DE78B0" w:rsidRPr="00B5064E" w:rsidRDefault="00DE78B0" w:rsidP="00D960AF">
            <w:pPr>
              <w:tabs>
                <w:tab w:val="left" w:pos="1575"/>
              </w:tabs>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Segoe UI Emoji" w:hAnsi="Segoe UI Emoji" w:cs="Segoe UI Emoji"/>
              </w:rPr>
              <w:t>🟠</w:t>
            </w:r>
            <w:r w:rsidRPr="00B5064E">
              <w:rPr>
                <w:rFonts w:ascii="Calibri" w:hAnsi="Calibri" w:cs="Calibri"/>
              </w:rPr>
              <w:t xml:space="preserve"> </w:t>
            </w:r>
            <w:r w:rsidR="004D7D13" w:rsidRPr="00B5064E">
              <w:rPr>
                <w:rFonts w:ascii="Calibri" w:hAnsi="Calibri" w:cs="Calibri"/>
                <w:b/>
                <w:bCs/>
              </w:rPr>
              <w:t>Low</w:t>
            </w:r>
            <w:r w:rsidR="00581CEC" w:rsidRPr="00B5064E">
              <w:rPr>
                <w:rFonts w:ascii="Calibri" w:hAnsi="Calibri" w:cs="Calibri"/>
                <w:b/>
                <w:bCs/>
              </w:rPr>
              <w:t xml:space="preserve"> - </w:t>
            </w:r>
            <w:r w:rsidRPr="00B5064E">
              <w:rPr>
                <w:rFonts w:ascii="Calibri" w:hAnsi="Calibri" w:cs="Calibri"/>
                <w:b/>
              </w:rPr>
              <w:t>Medium</w:t>
            </w:r>
            <w:r w:rsidRPr="00B5064E">
              <w:rPr>
                <w:rFonts w:ascii="Calibri" w:hAnsi="Calibri" w:cs="Calibri"/>
              </w:rPr>
              <w:t xml:space="preserve"> </w:t>
            </w:r>
          </w:p>
          <w:p w14:paraId="231DA1A9" w14:textId="12C6F6B6" w:rsidR="00DE78B0" w:rsidRPr="00B5064E" w:rsidRDefault="00DE78B0" w:rsidP="00D960AF">
            <w:pPr>
              <w:tabs>
                <w:tab w:val="left" w:pos="1575"/>
              </w:tabs>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IT/billing changes; regulatory oversight required</w:t>
            </w:r>
          </w:p>
        </w:tc>
        <w:tc>
          <w:tcPr>
            <w:tcW w:w="4302" w:type="dxa"/>
            <w:shd w:val="clear" w:color="auto" w:fill="F2F2F2" w:themeFill="background1" w:themeFillShade="F2"/>
            <w:vAlign w:val="center"/>
            <w:hideMark/>
          </w:tcPr>
          <w:p w14:paraId="0771CFF0" w14:textId="2D3F3136" w:rsidR="00DE78B0" w:rsidRPr="00B5064E" w:rsidRDefault="00DE78B0" w:rsidP="00D960AF">
            <w:pPr>
              <w:tabs>
                <w:tab w:val="left" w:pos="1575"/>
              </w:tabs>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Segoe UI Emoji" w:hAnsi="Segoe UI Emoji" w:cs="Segoe UI Emoji"/>
              </w:rPr>
              <w:t>🟢</w:t>
            </w:r>
            <w:r w:rsidRPr="00B5064E">
              <w:rPr>
                <w:rFonts w:ascii="Calibri" w:hAnsi="Calibri" w:cs="Calibri"/>
              </w:rPr>
              <w:t xml:space="preserve"> </w:t>
            </w:r>
            <w:r w:rsidRPr="00B5064E">
              <w:rPr>
                <w:rFonts w:ascii="Calibri" w:hAnsi="Calibri" w:cs="Calibri"/>
                <w:b/>
              </w:rPr>
              <w:t>Low</w:t>
            </w:r>
            <w:r w:rsidRPr="00B5064E">
              <w:rPr>
                <w:rFonts w:ascii="Calibri" w:hAnsi="Calibri" w:cs="Calibri"/>
              </w:rPr>
              <w:t xml:space="preserve"> </w:t>
            </w:r>
          </w:p>
          <w:p w14:paraId="42CF9F4B" w14:textId="14010D8E" w:rsidR="00DE78B0" w:rsidRPr="00B5064E" w:rsidRDefault="00DE78B0" w:rsidP="00D960AF">
            <w:pPr>
              <w:tabs>
                <w:tab w:val="left" w:pos="1575"/>
              </w:tabs>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Minimal regulatory change; lighter compliance</w:t>
            </w:r>
          </w:p>
        </w:tc>
      </w:tr>
      <w:tr w:rsidR="00DE78B0" w:rsidRPr="00B5064E" w14:paraId="7BC1D18D" w14:textId="77777777" w:rsidTr="00D96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14:paraId="662B1DF2" w14:textId="77777777" w:rsidR="00DE78B0" w:rsidRPr="00B5064E" w:rsidRDefault="00DE78B0" w:rsidP="00D960AF">
            <w:pPr>
              <w:tabs>
                <w:tab w:val="left" w:pos="1575"/>
              </w:tabs>
              <w:spacing w:after="160" w:line="259" w:lineRule="auto"/>
              <w:rPr>
                <w:rFonts w:ascii="Calibri" w:hAnsi="Calibri" w:cs="Calibri"/>
              </w:rPr>
            </w:pPr>
            <w:r w:rsidRPr="00B5064E">
              <w:rPr>
                <w:rFonts w:ascii="Calibri" w:hAnsi="Calibri" w:cs="Calibri"/>
              </w:rPr>
              <w:t>Policy / Reputational Risk</w:t>
            </w:r>
          </w:p>
        </w:tc>
        <w:tc>
          <w:tcPr>
            <w:tcW w:w="0" w:type="auto"/>
            <w:shd w:val="clear" w:color="auto" w:fill="FFFFFF" w:themeFill="background1"/>
            <w:vAlign w:val="center"/>
            <w:hideMark/>
          </w:tcPr>
          <w:p w14:paraId="064C9CC4" w14:textId="77777777"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Segoe UI Emoji" w:hAnsi="Segoe UI Emoji" w:cs="Segoe UI Emoji"/>
              </w:rPr>
              <w:t>🔴</w:t>
            </w:r>
            <w:r w:rsidRPr="00B5064E">
              <w:rPr>
                <w:rFonts w:ascii="Calibri" w:hAnsi="Calibri" w:cs="Calibri"/>
              </w:rPr>
              <w:t xml:space="preserve"> </w:t>
            </w:r>
            <w:r w:rsidRPr="00B5064E">
              <w:rPr>
                <w:rFonts w:ascii="Calibri" w:hAnsi="Calibri" w:cs="Calibri"/>
                <w:b/>
              </w:rPr>
              <w:t xml:space="preserve">High </w:t>
            </w:r>
          </w:p>
          <w:p w14:paraId="1F28B12C" w14:textId="3442EB60"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Government seen as not addressing equity or system misalignment</w:t>
            </w:r>
          </w:p>
        </w:tc>
        <w:tc>
          <w:tcPr>
            <w:tcW w:w="0" w:type="auto"/>
            <w:shd w:val="clear" w:color="auto" w:fill="FFFFFF" w:themeFill="background1"/>
            <w:vAlign w:val="center"/>
            <w:hideMark/>
          </w:tcPr>
          <w:p w14:paraId="6EB1D743" w14:textId="77777777"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Segoe UI Emoji" w:hAnsi="Segoe UI Emoji" w:cs="Segoe UI Emoji"/>
              </w:rPr>
              <w:t>🟢</w:t>
            </w:r>
            <w:r w:rsidRPr="00B5064E">
              <w:rPr>
                <w:rFonts w:ascii="Calibri" w:hAnsi="Calibri" w:cs="Calibri"/>
              </w:rPr>
              <w:t xml:space="preserve"> </w:t>
            </w:r>
            <w:r w:rsidRPr="00B5064E">
              <w:rPr>
                <w:rFonts w:ascii="Calibri" w:hAnsi="Calibri" w:cs="Calibri"/>
                <w:b/>
              </w:rPr>
              <w:t xml:space="preserve">Low </w:t>
            </w:r>
          </w:p>
          <w:p w14:paraId="772199CE" w14:textId="4426CB58"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Managed through safeguards and communication</w:t>
            </w:r>
          </w:p>
        </w:tc>
        <w:tc>
          <w:tcPr>
            <w:tcW w:w="4302" w:type="dxa"/>
            <w:shd w:val="clear" w:color="auto" w:fill="FFFFFF" w:themeFill="background1"/>
            <w:vAlign w:val="center"/>
            <w:hideMark/>
          </w:tcPr>
          <w:p w14:paraId="1C0CAD65" w14:textId="77777777"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Segoe UI Emoji" w:hAnsi="Segoe UI Emoji" w:cs="Segoe UI Emoji"/>
              </w:rPr>
              <w:t>🔴</w:t>
            </w:r>
            <w:r w:rsidRPr="00B5064E">
              <w:rPr>
                <w:rFonts w:ascii="Calibri" w:hAnsi="Calibri" w:cs="Calibri"/>
              </w:rPr>
              <w:t xml:space="preserve"> </w:t>
            </w:r>
            <w:r w:rsidRPr="00B5064E">
              <w:rPr>
                <w:rFonts w:ascii="Calibri" w:hAnsi="Calibri" w:cs="Calibri"/>
                <w:b/>
              </w:rPr>
              <w:t xml:space="preserve">High </w:t>
            </w:r>
          </w:p>
          <w:p w14:paraId="5F167636" w14:textId="07E94BC6" w:rsidR="00DE78B0" w:rsidRPr="00B5064E" w:rsidRDefault="00DE78B0" w:rsidP="00D960AF">
            <w:pPr>
              <w:tabs>
                <w:tab w:val="left" w:pos="1575"/>
              </w:tabs>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Perceived weak intervention; limited measurable impact</w:t>
            </w:r>
          </w:p>
        </w:tc>
      </w:tr>
      <w:tr w:rsidR="00DE78B0" w:rsidRPr="00B5064E" w14:paraId="6C70E21B" w14:textId="77777777" w:rsidTr="00D960AF">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hideMark/>
          </w:tcPr>
          <w:p w14:paraId="5591098E" w14:textId="77777777" w:rsidR="00DE78B0" w:rsidRPr="00B5064E" w:rsidRDefault="00DE78B0" w:rsidP="00D960AF">
            <w:pPr>
              <w:tabs>
                <w:tab w:val="left" w:pos="1575"/>
              </w:tabs>
              <w:spacing w:after="160" w:line="259" w:lineRule="auto"/>
              <w:rPr>
                <w:rFonts w:ascii="Calibri" w:hAnsi="Calibri" w:cs="Calibri"/>
              </w:rPr>
            </w:pPr>
            <w:r w:rsidRPr="00B5064E">
              <w:rPr>
                <w:rFonts w:ascii="Calibri" w:hAnsi="Calibri" w:cs="Calibri"/>
              </w:rPr>
              <w:t>Ability to Deliver Measurable Outcomes</w:t>
            </w:r>
          </w:p>
        </w:tc>
        <w:tc>
          <w:tcPr>
            <w:tcW w:w="0" w:type="auto"/>
            <w:shd w:val="clear" w:color="auto" w:fill="F2F2F2" w:themeFill="background1" w:themeFillShade="F2"/>
            <w:vAlign w:val="center"/>
            <w:hideMark/>
          </w:tcPr>
          <w:p w14:paraId="382865D4" w14:textId="3BF34093" w:rsidR="00DE78B0" w:rsidRPr="00B5064E" w:rsidRDefault="00DE78B0" w:rsidP="00D960AF">
            <w:pPr>
              <w:tabs>
                <w:tab w:val="left" w:pos="1575"/>
              </w:tabs>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B5064E">
              <w:rPr>
                <w:rFonts w:ascii="Segoe UI Emoji" w:hAnsi="Segoe UI Emoji" w:cs="Segoe UI Emoji"/>
                <w:b/>
              </w:rPr>
              <w:t>🔴</w:t>
            </w:r>
            <w:r w:rsidRPr="00B5064E">
              <w:rPr>
                <w:rFonts w:ascii="Calibri" w:hAnsi="Calibri" w:cs="Calibri"/>
                <w:b/>
              </w:rPr>
              <w:t xml:space="preserve"> Low Effectiveness</w:t>
            </w:r>
          </w:p>
        </w:tc>
        <w:tc>
          <w:tcPr>
            <w:tcW w:w="0" w:type="auto"/>
            <w:shd w:val="clear" w:color="auto" w:fill="F2F2F2" w:themeFill="background1" w:themeFillShade="F2"/>
            <w:vAlign w:val="center"/>
            <w:hideMark/>
          </w:tcPr>
          <w:p w14:paraId="00D7364F" w14:textId="77777777" w:rsidR="00DE78B0" w:rsidRPr="00B5064E" w:rsidRDefault="00DE78B0" w:rsidP="00D960AF">
            <w:pPr>
              <w:tabs>
                <w:tab w:val="left" w:pos="1575"/>
              </w:tabs>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B5064E">
              <w:rPr>
                <w:rFonts w:ascii="Segoe UI Emoji" w:hAnsi="Segoe UI Emoji" w:cs="Segoe UI Emoji"/>
                <w:b/>
              </w:rPr>
              <w:t>🟢</w:t>
            </w:r>
            <w:r w:rsidRPr="00B5064E">
              <w:rPr>
                <w:rFonts w:ascii="Calibri" w:hAnsi="Calibri" w:cs="Calibri"/>
                <w:b/>
              </w:rPr>
              <w:t xml:space="preserve"> High effectiveness (if calibrated)</w:t>
            </w:r>
          </w:p>
        </w:tc>
        <w:tc>
          <w:tcPr>
            <w:tcW w:w="4302" w:type="dxa"/>
            <w:shd w:val="clear" w:color="auto" w:fill="F2F2F2" w:themeFill="background1" w:themeFillShade="F2"/>
            <w:vAlign w:val="center"/>
            <w:hideMark/>
          </w:tcPr>
          <w:p w14:paraId="5B4B2254" w14:textId="77777777" w:rsidR="00DE78B0" w:rsidRPr="00B5064E" w:rsidRDefault="00DE78B0" w:rsidP="00D960AF">
            <w:pPr>
              <w:tabs>
                <w:tab w:val="left" w:pos="1575"/>
              </w:tabs>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B5064E">
              <w:rPr>
                <w:rFonts w:ascii="Segoe UI Emoji" w:hAnsi="Segoe UI Emoji" w:cs="Segoe UI Emoji"/>
                <w:b/>
              </w:rPr>
              <w:t>🟠</w:t>
            </w:r>
            <w:r w:rsidRPr="00B5064E">
              <w:rPr>
                <w:rFonts w:ascii="Calibri" w:hAnsi="Calibri" w:cs="Calibri"/>
                <w:b/>
              </w:rPr>
              <w:t xml:space="preserve"> Moderate effectiveness</w:t>
            </w:r>
          </w:p>
        </w:tc>
      </w:tr>
    </w:tbl>
    <w:p w14:paraId="1E09EC2C" w14:textId="6F1E663B" w:rsidR="00DE78B0" w:rsidRPr="00B5064E" w:rsidRDefault="00DE78B0" w:rsidP="00881370">
      <w:pPr>
        <w:pStyle w:val="Heading3"/>
        <w:spacing w:after="120"/>
        <w:rPr>
          <w:rFonts w:ascii="Calibri" w:hAnsi="Calibri" w:cs="Calibri"/>
        </w:rPr>
      </w:pPr>
      <w:bookmarkStart w:id="45" w:name="_Toc222842792"/>
      <w:r w:rsidRPr="00B5064E">
        <w:rPr>
          <w:rFonts w:ascii="Calibri" w:hAnsi="Calibri" w:cs="Calibri"/>
        </w:rPr>
        <w:t>Insight</w:t>
      </w:r>
      <w:bookmarkEnd w:id="45"/>
    </w:p>
    <w:p w14:paraId="7DB61518" w14:textId="77777777" w:rsidR="00DE78B0" w:rsidRPr="00B5064E" w:rsidRDefault="00DE78B0" w:rsidP="00CF405C">
      <w:pPr>
        <w:numPr>
          <w:ilvl w:val="0"/>
          <w:numId w:val="12"/>
        </w:numPr>
        <w:tabs>
          <w:tab w:val="left" w:pos="1575"/>
        </w:tabs>
        <w:spacing w:before="120" w:after="120"/>
        <w:ind w:left="714" w:hanging="357"/>
        <w:rPr>
          <w:rFonts w:ascii="Calibri" w:hAnsi="Calibri" w:cs="Calibri"/>
        </w:rPr>
      </w:pPr>
      <w:r w:rsidRPr="00B5064E">
        <w:rPr>
          <w:rFonts w:ascii="Calibri" w:hAnsi="Calibri" w:cs="Calibri"/>
          <w:b/>
          <w:bCs/>
        </w:rPr>
        <w:t>Option A0</w:t>
      </w:r>
      <w:r w:rsidRPr="00B5064E">
        <w:rPr>
          <w:rFonts w:ascii="Calibri" w:hAnsi="Calibri" w:cs="Calibri"/>
        </w:rPr>
        <w:t xml:space="preserve"> carries the lowest implementation risk but the highest long-term equity and system inefficiency risk.</w:t>
      </w:r>
    </w:p>
    <w:p w14:paraId="4D543400" w14:textId="77777777" w:rsidR="00DE78B0" w:rsidRPr="00B5064E" w:rsidRDefault="00DE78B0" w:rsidP="00CF405C">
      <w:pPr>
        <w:numPr>
          <w:ilvl w:val="0"/>
          <w:numId w:val="12"/>
        </w:numPr>
        <w:tabs>
          <w:tab w:val="left" w:pos="1575"/>
        </w:tabs>
        <w:spacing w:before="120" w:after="120"/>
        <w:ind w:left="714" w:hanging="357"/>
        <w:rPr>
          <w:rFonts w:ascii="Calibri" w:hAnsi="Calibri" w:cs="Calibri"/>
        </w:rPr>
      </w:pPr>
      <w:r w:rsidRPr="00B5064E">
        <w:rPr>
          <w:rFonts w:ascii="Calibri" w:hAnsi="Calibri" w:cs="Calibri"/>
          <w:b/>
          <w:bCs/>
        </w:rPr>
        <w:t>Option A1</w:t>
      </w:r>
      <w:r w:rsidRPr="00B5064E">
        <w:rPr>
          <w:rFonts w:ascii="Calibri" w:hAnsi="Calibri" w:cs="Calibri"/>
        </w:rPr>
        <w:t xml:space="preserve"> introduces implementation and network management risks but delivers the strongest structural benefits and measurable outcomes.</w:t>
      </w:r>
    </w:p>
    <w:p w14:paraId="325BCEA0" w14:textId="77777777" w:rsidR="00DE78B0" w:rsidRPr="00B5064E" w:rsidRDefault="00DE78B0" w:rsidP="00CF405C">
      <w:pPr>
        <w:numPr>
          <w:ilvl w:val="0"/>
          <w:numId w:val="12"/>
        </w:numPr>
        <w:tabs>
          <w:tab w:val="left" w:pos="1575"/>
        </w:tabs>
        <w:spacing w:before="120" w:after="120"/>
        <w:ind w:left="714" w:hanging="357"/>
        <w:rPr>
          <w:rFonts w:ascii="Calibri" w:hAnsi="Calibri" w:cs="Calibri"/>
        </w:rPr>
      </w:pPr>
      <w:r w:rsidRPr="00B5064E">
        <w:rPr>
          <w:rFonts w:ascii="Calibri" w:hAnsi="Calibri" w:cs="Calibri"/>
          <w:b/>
          <w:bCs/>
        </w:rPr>
        <w:t>Option A2</w:t>
      </w:r>
      <w:r w:rsidRPr="00B5064E">
        <w:rPr>
          <w:rFonts w:ascii="Calibri" w:hAnsi="Calibri" w:cs="Calibri"/>
        </w:rPr>
        <w:t xml:space="preserve"> reduces regulatory burden but is unlikely to materially resolve equity or demand-alignment issues.</w:t>
      </w:r>
    </w:p>
    <w:p w14:paraId="329B5B7D" w14:textId="30617D96" w:rsidR="00DE78B0" w:rsidRPr="00B5064E" w:rsidRDefault="00DE78B0" w:rsidP="00DE78B0">
      <w:pPr>
        <w:tabs>
          <w:tab w:val="left" w:pos="1575"/>
        </w:tabs>
        <w:rPr>
          <w:rFonts w:ascii="Calibri" w:hAnsi="Calibri" w:cs="Calibri"/>
        </w:rPr>
        <w:sectPr w:rsidR="00DE78B0" w:rsidRPr="00B5064E" w:rsidSect="00366DB0">
          <w:pgSz w:w="16838" w:h="11906" w:orient="landscape"/>
          <w:pgMar w:top="1440" w:right="1440" w:bottom="1440" w:left="1440" w:header="708" w:footer="708" w:gutter="0"/>
          <w:cols w:space="708"/>
          <w:titlePg/>
          <w:docGrid w:linePitch="360"/>
        </w:sectPr>
      </w:pPr>
    </w:p>
    <w:p w14:paraId="259D1A23" w14:textId="74664F03" w:rsidR="00366DB0" w:rsidRDefault="00B84B53" w:rsidP="00291C02">
      <w:pPr>
        <w:spacing w:after="0"/>
        <w:rPr>
          <w:rFonts w:ascii="Calibri" w:hAnsi="Calibri" w:cs="Calibri"/>
          <w:i/>
          <w:sz w:val="20"/>
          <w:szCs w:val="20"/>
        </w:rPr>
      </w:pPr>
      <w:r w:rsidRPr="00B5064E">
        <w:rPr>
          <w:rFonts w:ascii="Calibri" w:hAnsi="Calibri" w:cs="Calibri"/>
          <w:i/>
          <w:sz w:val="20"/>
          <w:szCs w:val="20"/>
        </w:rPr>
        <w:lastRenderedPageBreak/>
        <w:t xml:space="preserve">Table </w:t>
      </w:r>
      <w:r w:rsidR="006613D5">
        <w:rPr>
          <w:rFonts w:ascii="Calibri" w:hAnsi="Calibri" w:cs="Calibri"/>
          <w:i/>
          <w:sz w:val="20"/>
          <w:szCs w:val="20"/>
        </w:rPr>
        <w:t>9:</w:t>
      </w:r>
      <w:r w:rsidRPr="00B5064E">
        <w:rPr>
          <w:rFonts w:ascii="Calibri" w:hAnsi="Calibri" w:cs="Calibri"/>
          <w:i/>
          <w:sz w:val="20"/>
          <w:szCs w:val="20"/>
        </w:rPr>
        <w:t xml:space="preserve"> Risk Rating Scale, Summary comparison of options in a risk matrix – for option A0 Status Quo and A1 Regulated SSO ONLY</w:t>
      </w:r>
    </w:p>
    <w:tbl>
      <w:tblPr>
        <w:tblW w:w="13942" w:type="dxa"/>
        <w:tblBorders>
          <w:bottom w:val="single" w:sz="4" w:space="0" w:color="D1D1D1" w:themeColor="background2" w:themeShade="E6"/>
        </w:tblBorders>
        <w:shd w:val="clear" w:color="auto" w:fill="FFFFFF" w:themeFill="background1"/>
        <w:tblCellMar>
          <w:left w:w="0" w:type="dxa"/>
          <w:right w:w="0" w:type="dxa"/>
        </w:tblCellMar>
        <w:tblLook w:val="04A0" w:firstRow="1" w:lastRow="0" w:firstColumn="1" w:lastColumn="0" w:noHBand="0" w:noVBand="1"/>
      </w:tblPr>
      <w:tblGrid>
        <w:gridCol w:w="1840"/>
        <w:gridCol w:w="2807"/>
        <w:gridCol w:w="296"/>
        <w:gridCol w:w="3150"/>
        <w:gridCol w:w="1201"/>
        <w:gridCol w:w="59"/>
        <w:gridCol w:w="2265"/>
        <w:gridCol w:w="953"/>
        <w:gridCol w:w="1371"/>
      </w:tblGrid>
      <w:tr w:rsidR="00246214" w:rsidRPr="00246214" w14:paraId="4B7AE80B" w14:textId="77777777" w:rsidTr="008B1091">
        <w:trPr>
          <w:trHeight w:val="95"/>
        </w:trPr>
        <w:tc>
          <w:tcPr>
            <w:tcW w:w="4647" w:type="dxa"/>
            <w:gridSpan w:val="2"/>
            <w:shd w:val="clear" w:color="auto" w:fill="E8E8E8" w:themeFill="background2"/>
            <w:vAlign w:val="center"/>
            <w:hideMark/>
          </w:tcPr>
          <w:p w14:paraId="124861FB" w14:textId="2A4D7542" w:rsidR="00246214" w:rsidRPr="00E50713" w:rsidRDefault="00246214" w:rsidP="00E50713">
            <w:pPr>
              <w:spacing w:before="120" w:after="120" w:line="240" w:lineRule="auto"/>
              <w:textAlignment w:val="baseline"/>
              <w:rPr>
                <w:rFonts w:ascii="Calibri" w:eastAsia="Times New Roman" w:hAnsi="Calibri" w:cs="Calibri"/>
                <w:b/>
                <w:bCs/>
                <w:kern w:val="0"/>
                <w:sz w:val="18"/>
                <w:szCs w:val="18"/>
                <w:lang w:eastAsia="en-AU"/>
                <w14:ligatures w14:val="none"/>
              </w:rPr>
            </w:pPr>
            <w:r w:rsidRPr="00246214">
              <w:rPr>
                <w:rFonts w:ascii="Segoe UI Emoji" w:eastAsia="Times New Roman" w:hAnsi="Segoe UI Emoji" w:cs="Segoe UI Emoji"/>
                <w:b/>
                <w:bCs/>
                <w:kern w:val="0"/>
                <w:lang w:eastAsia="en-AU"/>
                <w14:ligatures w14:val="none"/>
              </w:rPr>
              <w:t>🟥</w:t>
            </w:r>
            <w:r w:rsidRPr="00246214">
              <w:rPr>
                <w:rFonts w:ascii="Calibri" w:eastAsia="Times New Roman" w:hAnsi="Calibri" w:cs="Calibri"/>
                <w:b/>
                <w:bCs/>
                <w:kern w:val="0"/>
                <w:lang w:eastAsia="en-AU"/>
                <w14:ligatures w14:val="none"/>
              </w:rPr>
              <w:t> High Risk </w:t>
            </w:r>
            <w:r w:rsidRPr="00E50713">
              <w:rPr>
                <w:rFonts w:ascii="Calibri" w:eastAsia="Times New Roman" w:hAnsi="Calibri" w:cs="Calibri"/>
                <w:b/>
                <w:bCs/>
                <w:kern w:val="0"/>
                <w:lang w:eastAsia="en-AU"/>
                <w14:ligatures w14:val="none"/>
              </w:rPr>
              <w:t xml:space="preserve"> </w:t>
            </w:r>
          </w:p>
        </w:tc>
        <w:tc>
          <w:tcPr>
            <w:tcW w:w="4647" w:type="dxa"/>
            <w:gridSpan w:val="3"/>
            <w:shd w:val="clear" w:color="auto" w:fill="E8E8E8" w:themeFill="background2"/>
            <w:vAlign w:val="center"/>
          </w:tcPr>
          <w:p w14:paraId="7DE3948D" w14:textId="67ABCA91" w:rsidR="00246214" w:rsidRPr="00E50713" w:rsidRDefault="00246214" w:rsidP="00E50713">
            <w:pPr>
              <w:spacing w:before="120" w:after="120" w:line="240" w:lineRule="auto"/>
              <w:textAlignment w:val="baseline"/>
              <w:rPr>
                <w:rFonts w:ascii="Calibri" w:eastAsia="Times New Roman" w:hAnsi="Calibri" w:cs="Calibri"/>
                <w:b/>
                <w:bCs/>
                <w:kern w:val="0"/>
                <w:sz w:val="18"/>
                <w:szCs w:val="18"/>
                <w:lang w:eastAsia="en-AU"/>
                <w14:ligatures w14:val="none"/>
              </w:rPr>
            </w:pPr>
            <w:r w:rsidRPr="00246214">
              <w:rPr>
                <w:rFonts w:ascii="Segoe UI Emoji" w:eastAsia="Times New Roman" w:hAnsi="Segoe UI Emoji" w:cs="Segoe UI Emoji"/>
                <w:b/>
                <w:bCs/>
                <w:kern w:val="0"/>
                <w:lang w:eastAsia="en-AU"/>
                <w14:ligatures w14:val="none"/>
              </w:rPr>
              <w:t>🟧</w:t>
            </w:r>
            <w:r w:rsidRPr="00246214">
              <w:rPr>
                <w:rFonts w:ascii="Calibri" w:eastAsia="Times New Roman" w:hAnsi="Calibri" w:cs="Calibri"/>
                <w:b/>
                <w:bCs/>
                <w:kern w:val="0"/>
                <w:lang w:eastAsia="en-AU"/>
                <w14:ligatures w14:val="none"/>
              </w:rPr>
              <w:t> Medium–High Risk </w:t>
            </w:r>
          </w:p>
        </w:tc>
        <w:tc>
          <w:tcPr>
            <w:tcW w:w="2324" w:type="dxa"/>
            <w:gridSpan w:val="2"/>
            <w:shd w:val="clear" w:color="auto" w:fill="E8E8E8" w:themeFill="background2"/>
            <w:vAlign w:val="center"/>
          </w:tcPr>
          <w:p w14:paraId="2AE138CB" w14:textId="742803DE" w:rsidR="00246214" w:rsidRPr="00E50713" w:rsidRDefault="00246214" w:rsidP="00E50713">
            <w:pPr>
              <w:spacing w:before="120" w:after="120" w:line="240" w:lineRule="auto"/>
              <w:textAlignment w:val="baseline"/>
              <w:rPr>
                <w:rFonts w:ascii="Calibri" w:eastAsia="Times New Roman" w:hAnsi="Calibri" w:cs="Calibri"/>
                <w:b/>
                <w:bCs/>
                <w:kern w:val="0"/>
                <w:sz w:val="18"/>
                <w:szCs w:val="18"/>
                <w:lang w:eastAsia="en-AU"/>
                <w14:ligatures w14:val="none"/>
              </w:rPr>
            </w:pPr>
            <w:r w:rsidRPr="00246214">
              <w:rPr>
                <w:rFonts w:ascii="Segoe UI Emoji" w:eastAsia="Times New Roman" w:hAnsi="Segoe UI Emoji" w:cs="Segoe UI Emoji"/>
                <w:b/>
                <w:bCs/>
                <w:kern w:val="0"/>
                <w:lang w:eastAsia="en-AU"/>
                <w14:ligatures w14:val="none"/>
              </w:rPr>
              <w:t>🟨</w:t>
            </w:r>
            <w:r w:rsidRPr="00246214">
              <w:rPr>
                <w:rFonts w:ascii="Calibri" w:eastAsia="Times New Roman" w:hAnsi="Calibri" w:cs="Calibri"/>
                <w:b/>
                <w:bCs/>
                <w:kern w:val="0"/>
                <w:lang w:eastAsia="en-AU"/>
                <w14:ligatures w14:val="none"/>
              </w:rPr>
              <w:t> Medium Risk </w:t>
            </w:r>
          </w:p>
        </w:tc>
        <w:tc>
          <w:tcPr>
            <w:tcW w:w="2324" w:type="dxa"/>
            <w:gridSpan w:val="2"/>
            <w:shd w:val="clear" w:color="auto" w:fill="E8E8E8" w:themeFill="background2"/>
            <w:vAlign w:val="center"/>
          </w:tcPr>
          <w:p w14:paraId="72A8A97C" w14:textId="7898385E" w:rsidR="00246214" w:rsidRPr="00246214" w:rsidRDefault="00246214" w:rsidP="00E50713">
            <w:pPr>
              <w:spacing w:before="120" w:after="120" w:line="240" w:lineRule="auto"/>
              <w:textAlignment w:val="baseline"/>
              <w:rPr>
                <w:rFonts w:ascii="Calibri" w:eastAsia="Times New Roman" w:hAnsi="Calibri" w:cs="Calibri"/>
                <w:b/>
                <w:bCs/>
                <w:kern w:val="0"/>
                <w:sz w:val="18"/>
                <w:szCs w:val="18"/>
                <w:lang w:eastAsia="en-AU"/>
                <w14:ligatures w14:val="none"/>
              </w:rPr>
            </w:pPr>
            <w:r w:rsidRPr="00246214">
              <w:rPr>
                <w:rFonts w:ascii="Segoe UI Emoji" w:eastAsia="Times New Roman" w:hAnsi="Segoe UI Emoji" w:cs="Segoe UI Emoji"/>
                <w:b/>
                <w:bCs/>
                <w:kern w:val="0"/>
                <w:lang w:eastAsia="en-AU"/>
                <w14:ligatures w14:val="none"/>
              </w:rPr>
              <w:t>🟩</w:t>
            </w:r>
            <w:r w:rsidRPr="00246214">
              <w:rPr>
                <w:rFonts w:ascii="Calibri" w:eastAsia="Times New Roman" w:hAnsi="Calibri" w:cs="Calibri"/>
                <w:b/>
                <w:bCs/>
                <w:kern w:val="0"/>
                <w:lang w:eastAsia="en-AU"/>
                <w14:ligatures w14:val="none"/>
              </w:rPr>
              <w:t> Low Risk </w:t>
            </w:r>
          </w:p>
        </w:tc>
      </w:tr>
      <w:tr w:rsidR="00246214" w:rsidRPr="00246214" w14:paraId="1E5F5058" w14:textId="77777777" w:rsidTr="00246214">
        <w:trPr>
          <w:trHeight w:val="300"/>
        </w:trPr>
        <w:tc>
          <w:tcPr>
            <w:tcW w:w="1840" w:type="dxa"/>
            <w:shd w:val="clear" w:color="auto" w:fill="E8E8E8" w:themeFill="background2"/>
            <w:vAlign w:val="center"/>
            <w:hideMark/>
          </w:tcPr>
          <w:p w14:paraId="4524BA59" w14:textId="77777777" w:rsidR="00246214" w:rsidRPr="00246214" w:rsidRDefault="00246214" w:rsidP="008B1091">
            <w:pPr>
              <w:spacing w:before="120" w:after="120" w:line="240" w:lineRule="auto"/>
              <w:jc w:val="center"/>
              <w:textAlignment w:val="baseline"/>
              <w:rPr>
                <w:rFonts w:ascii="Segoe UI" w:eastAsia="Times New Roman" w:hAnsi="Segoe UI" w:cs="Segoe UI"/>
                <w:b/>
                <w:bCs/>
                <w:kern w:val="0"/>
                <w:sz w:val="18"/>
                <w:szCs w:val="18"/>
                <w:lang w:eastAsia="en-AU"/>
                <w14:ligatures w14:val="none"/>
              </w:rPr>
            </w:pPr>
            <w:r w:rsidRPr="00246214">
              <w:rPr>
                <w:rFonts w:ascii="Calibri" w:eastAsia="Times New Roman" w:hAnsi="Calibri" w:cs="Calibri"/>
                <w:b/>
                <w:bCs/>
                <w:kern w:val="0"/>
                <w:lang w:eastAsia="en-AU"/>
                <w14:ligatures w14:val="none"/>
              </w:rPr>
              <w:t>Risk Domain </w:t>
            </w:r>
          </w:p>
        </w:tc>
        <w:tc>
          <w:tcPr>
            <w:tcW w:w="3103" w:type="dxa"/>
            <w:gridSpan w:val="2"/>
            <w:shd w:val="clear" w:color="auto" w:fill="E8E8E8" w:themeFill="background2"/>
            <w:vAlign w:val="center"/>
            <w:hideMark/>
          </w:tcPr>
          <w:p w14:paraId="2D0DC5B2" w14:textId="77777777" w:rsidR="00246214" w:rsidRPr="00246214" w:rsidRDefault="00246214" w:rsidP="008B1091">
            <w:pPr>
              <w:spacing w:before="120" w:after="120" w:line="240" w:lineRule="auto"/>
              <w:jc w:val="center"/>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b/>
                <w:bCs/>
                <w:kern w:val="0"/>
                <w:lang w:eastAsia="en-AU"/>
                <w14:ligatures w14:val="none"/>
              </w:rPr>
              <w:t>Risk Description</w:t>
            </w:r>
            <w:r w:rsidRPr="00246214">
              <w:rPr>
                <w:rFonts w:ascii="Calibri" w:eastAsia="Times New Roman" w:hAnsi="Calibri" w:cs="Calibri"/>
                <w:kern w:val="0"/>
                <w:lang w:eastAsia="en-AU"/>
                <w14:ligatures w14:val="none"/>
              </w:rPr>
              <w:t> </w:t>
            </w:r>
          </w:p>
        </w:tc>
        <w:tc>
          <w:tcPr>
            <w:tcW w:w="3150" w:type="dxa"/>
            <w:shd w:val="clear" w:color="auto" w:fill="E8E8E8" w:themeFill="background2"/>
            <w:vAlign w:val="center"/>
            <w:hideMark/>
          </w:tcPr>
          <w:p w14:paraId="0465FD95" w14:textId="77777777" w:rsidR="00246214" w:rsidRPr="00246214" w:rsidRDefault="00246214" w:rsidP="008B1091">
            <w:pPr>
              <w:spacing w:before="120" w:after="120" w:line="240" w:lineRule="auto"/>
              <w:jc w:val="center"/>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b/>
                <w:bCs/>
                <w:kern w:val="0"/>
                <w:lang w:eastAsia="en-AU"/>
                <w14:ligatures w14:val="none"/>
              </w:rPr>
              <w:t>Option A0 – Status Quo (Market-led approach)</w:t>
            </w:r>
            <w:r w:rsidRPr="00246214">
              <w:rPr>
                <w:rFonts w:ascii="Calibri" w:eastAsia="Times New Roman" w:hAnsi="Calibri" w:cs="Calibri"/>
                <w:kern w:val="0"/>
                <w:lang w:eastAsia="en-AU"/>
                <w14:ligatures w14:val="none"/>
              </w:rPr>
              <w:t> </w:t>
            </w:r>
          </w:p>
        </w:tc>
        <w:tc>
          <w:tcPr>
            <w:tcW w:w="1260" w:type="dxa"/>
            <w:gridSpan w:val="2"/>
            <w:shd w:val="clear" w:color="auto" w:fill="E8E8E8" w:themeFill="background2"/>
            <w:vAlign w:val="center"/>
            <w:hideMark/>
          </w:tcPr>
          <w:p w14:paraId="57BDEE48" w14:textId="77777777" w:rsidR="00246214" w:rsidRPr="00246214" w:rsidRDefault="00246214" w:rsidP="008B1091">
            <w:pPr>
              <w:spacing w:before="120" w:after="120" w:line="240" w:lineRule="auto"/>
              <w:jc w:val="center"/>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b/>
                <w:bCs/>
                <w:kern w:val="0"/>
                <w:lang w:eastAsia="en-AU"/>
                <w14:ligatures w14:val="none"/>
              </w:rPr>
              <w:t>Risk Rating</w:t>
            </w:r>
            <w:r w:rsidRPr="00246214">
              <w:rPr>
                <w:rFonts w:ascii="Calibri" w:eastAsia="Times New Roman" w:hAnsi="Calibri" w:cs="Calibri"/>
                <w:kern w:val="0"/>
                <w:lang w:eastAsia="en-AU"/>
                <w14:ligatures w14:val="none"/>
              </w:rPr>
              <w:t> </w:t>
            </w:r>
          </w:p>
        </w:tc>
        <w:tc>
          <w:tcPr>
            <w:tcW w:w="3218" w:type="dxa"/>
            <w:gridSpan w:val="2"/>
            <w:shd w:val="clear" w:color="auto" w:fill="E8E8E8" w:themeFill="background2"/>
            <w:vAlign w:val="center"/>
            <w:hideMark/>
          </w:tcPr>
          <w:p w14:paraId="2C6B1FFE" w14:textId="77777777" w:rsidR="00246214" w:rsidRPr="00246214" w:rsidRDefault="00246214" w:rsidP="008B1091">
            <w:pPr>
              <w:spacing w:before="120" w:after="120" w:line="240" w:lineRule="auto"/>
              <w:jc w:val="center"/>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b/>
                <w:bCs/>
                <w:kern w:val="0"/>
                <w:lang w:eastAsia="en-AU"/>
                <w14:ligatures w14:val="none"/>
              </w:rPr>
              <w:t>Option A1 – Regulated Solar Sharer Offer</w:t>
            </w:r>
            <w:r w:rsidRPr="00246214">
              <w:rPr>
                <w:rFonts w:ascii="Calibri" w:eastAsia="Times New Roman" w:hAnsi="Calibri" w:cs="Calibri"/>
                <w:kern w:val="0"/>
                <w:lang w:eastAsia="en-AU"/>
                <w14:ligatures w14:val="none"/>
              </w:rPr>
              <w:t> </w:t>
            </w:r>
          </w:p>
        </w:tc>
        <w:tc>
          <w:tcPr>
            <w:tcW w:w="1371" w:type="dxa"/>
            <w:shd w:val="clear" w:color="auto" w:fill="E8E8E8" w:themeFill="background2"/>
            <w:vAlign w:val="center"/>
            <w:hideMark/>
          </w:tcPr>
          <w:p w14:paraId="24B712F7" w14:textId="77777777" w:rsidR="00246214" w:rsidRPr="00246214" w:rsidRDefault="00246214" w:rsidP="008B1091">
            <w:pPr>
              <w:spacing w:before="120" w:after="120" w:line="240" w:lineRule="auto"/>
              <w:jc w:val="center"/>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b/>
                <w:bCs/>
                <w:kern w:val="0"/>
                <w:lang w:eastAsia="en-AU"/>
                <w14:ligatures w14:val="none"/>
              </w:rPr>
              <w:t>Risk Rating</w:t>
            </w:r>
            <w:r w:rsidRPr="00246214">
              <w:rPr>
                <w:rFonts w:ascii="Calibri" w:eastAsia="Times New Roman" w:hAnsi="Calibri" w:cs="Calibri"/>
                <w:kern w:val="0"/>
                <w:lang w:eastAsia="en-AU"/>
                <w14:ligatures w14:val="none"/>
              </w:rPr>
              <w:t> </w:t>
            </w:r>
          </w:p>
        </w:tc>
      </w:tr>
      <w:tr w:rsidR="00246214" w:rsidRPr="00246214" w14:paraId="0EBE5439" w14:textId="77777777" w:rsidTr="00246214">
        <w:trPr>
          <w:trHeight w:val="300"/>
        </w:trPr>
        <w:tc>
          <w:tcPr>
            <w:tcW w:w="1840" w:type="dxa"/>
            <w:shd w:val="clear" w:color="auto" w:fill="FFFFFF" w:themeFill="background1"/>
            <w:vAlign w:val="center"/>
            <w:hideMark/>
          </w:tcPr>
          <w:p w14:paraId="499A05CD" w14:textId="77777777" w:rsidR="00246214" w:rsidRPr="00246214" w:rsidRDefault="00246214" w:rsidP="00246214">
            <w:pPr>
              <w:spacing w:after="0" w:line="240" w:lineRule="auto"/>
              <w:textAlignment w:val="baseline"/>
              <w:rPr>
                <w:rFonts w:ascii="Segoe UI" w:eastAsia="Times New Roman" w:hAnsi="Segoe UI" w:cs="Segoe UI"/>
                <w:b/>
                <w:bCs/>
                <w:kern w:val="0"/>
                <w:sz w:val="18"/>
                <w:szCs w:val="18"/>
                <w:lang w:eastAsia="en-AU"/>
                <w14:ligatures w14:val="none"/>
              </w:rPr>
            </w:pPr>
            <w:r w:rsidRPr="00246214">
              <w:rPr>
                <w:rFonts w:ascii="Calibri" w:eastAsia="Times New Roman" w:hAnsi="Calibri" w:cs="Calibri"/>
                <w:b/>
                <w:bCs/>
                <w:kern w:val="0"/>
                <w:lang w:eastAsia="en-AU"/>
                <w14:ligatures w14:val="none"/>
              </w:rPr>
              <w:t>Affordability Risk </w:t>
            </w:r>
          </w:p>
        </w:tc>
        <w:tc>
          <w:tcPr>
            <w:tcW w:w="3103" w:type="dxa"/>
            <w:gridSpan w:val="2"/>
            <w:shd w:val="clear" w:color="auto" w:fill="FFFFFF" w:themeFill="background1"/>
            <w:vAlign w:val="center"/>
            <w:hideMark/>
          </w:tcPr>
          <w:p w14:paraId="34DD6E67"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Consumers do not experience bill savings or costs increase unevenly across customer groups. </w:t>
            </w:r>
          </w:p>
        </w:tc>
        <w:tc>
          <w:tcPr>
            <w:tcW w:w="3150" w:type="dxa"/>
            <w:shd w:val="clear" w:color="auto" w:fill="FFFFFF" w:themeFill="background1"/>
            <w:vAlign w:val="center"/>
            <w:hideMark/>
          </w:tcPr>
          <w:p w14:paraId="2DE13298"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Likely / Major — Limited affordability improvement and no consistent mechanism to protect vulnerable consumers from price volatility. </w:t>
            </w:r>
          </w:p>
        </w:tc>
        <w:tc>
          <w:tcPr>
            <w:tcW w:w="1260" w:type="dxa"/>
            <w:gridSpan w:val="2"/>
            <w:shd w:val="clear" w:color="auto" w:fill="FFFFFF" w:themeFill="background1"/>
            <w:vAlign w:val="center"/>
            <w:hideMark/>
          </w:tcPr>
          <w:p w14:paraId="335ECE81"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Segoe UI Emoji" w:eastAsia="Times New Roman" w:hAnsi="Segoe UI Emoji" w:cs="Segoe UI"/>
                <w:kern w:val="0"/>
                <w:lang w:eastAsia="en-AU"/>
                <w14:ligatures w14:val="none"/>
              </w:rPr>
              <w:t>🟥</w:t>
            </w:r>
            <w:r w:rsidRPr="00246214">
              <w:rPr>
                <w:rFonts w:ascii="Calibri" w:eastAsia="Times New Roman" w:hAnsi="Calibri" w:cs="Calibri"/>
                <w:kern w:val="0"/>
                <w:lang w:eastAsia="en-AU"/>
                <w14:ligatures w14:val="none"/>
              </w:rPr>
              <w:t> </w:t>
            </w:r>
            <w:r w:rsidRPr="00246214">
              <w:rPr>
                <w:rFonts w:ascii="Calibri" w:eastAsia="Times New Roman" w:hAnsi="Calibri" w:cs="Calibri"/>
                <w:b/>
                <w:bCs/>
                <w:kern w:val="0"/>
                <w:lang w:eastAsia="en-AU"/>
                <w14:ligatures w14:val="none"/>
              </w:rPr>
              <w:t>HIGH</w:t>
            </w:r>
            <w:r w:rsidRPr="00246214">
              <w:rPr>
                <w:rFonts w:ascii="Calibri" w:eastAsia="Times New Roman" w:hAnsi="Calibri" w:cs="Calibri"/>
                <w:kern w:val="0"/>
                <w:lang w:eastAsia="en-AU"/>
                <w14:ligatures w14:val="none"/>
              </w:rPr>
              <w:t> </w:t>
            </w:r>
          </w:p>
        </w:tc>
        <w:tc>
          <w:tcPr>
            <w:tcW w:w="3218" w:type="dxa"/>
            <w:gridSpan w:val="2"/>
            <w:shd w:val="clear" w:color="auto" w:fill="FFFFFF" w:themeFill="background1"/>
            <w:vAlign w:val="center"/>
            <w:hideMark/>
          </w:tcPr>
          <w:p w14:paraId="57250A2C"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Unlikely / Minor — Load-shifting households benefit from lower-cost periods with regulated safeguards and oversight through the DMO framework. </w:t>
            </w:r>
          </w:p>
        </w:tc>
        <w:tc>
          <w:tcPr>
            <w:tcW w:w="1371" w:type="dxa"/>
            <w:shd w:val="clear" w:color="auto" w:fill="FFFFFF" w:themeFill="background1"/>
            <w:vAlign w:val="center"/>
            <w:hideMark/>
          </w:tcPr>
          <w:p w14:paraId="4304159F"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Segoe UI Emoji" w:eastAsia="Times New Roman" w:hAnsi="Segoe UI Emoji" w:cs="Segoe UI"/>
                <w:kern w:val="0"/>
                <w:lang w:eastAsia="en-AU"/>
                <w14:ligatures w14:val="none"/>
              </w:rPr>
              <w:t>🟩</w:t>
            </w:r>
            <w:r w:rsidRPr="00246214">
              <w:rPr>
                <w:rFonts w:ascii="Calibri" w:eastAsia="Times New Roman" w:hAnsi="Calibri" w:cs="Calibri"/>
                <w:kern w:val="0"/>
                <w:lang w:eastAsia="en-AU"/>
                <w14:ligatures w14:val="none"/>
              </w:rPr>
              <w:t> </w:t>
            </w:r>
            <w:r w:rsidRPr="00246214">
              <w:rPr>
                <w:rFonts w:ascii="Calibri" w:eastAsia="Times New Roman" w:hAnsi="Calibri" w:cs="Calibri"/>
                <w:b/>
                <w:bCs/>
                <w:kern w:val="0"/>
                <w:lang w:eastAsia="en-AU"/>
                <w14:ligatures w14:val="none"/>
              </w:rPr>
              <w:t>LOW</w:t>
            </w:r>
            <w:r w:rsidRPr="00246214">
              <w:rPr>
                <w:rFonts w:ascii="Calibri" w:eastAsia="Times New Roman" w:hAnsi="Calibri" w:cs="Calibri"/>
                <w:kern w:val="0"/>
                <w:lang w:eastAsia="en-AU"/>
                <w14:ligatures w14:val="none"/>
              </w:rPr>
              <w:t> </w:t>
            </w:r>
          </w:p>
        </w:tc>
      </w:tr>
      <w:tr w:rsidR="00246214" w:rsidRPr="00246214" w14:paraId="3E65CF46" w14:textId="77777777" w:rsidTr="00246214">
        <w:trPr>
          <w:trHeight w:val="300"/>
        </w:trPr>
        <w:tc>
          <w:tcPr>
            <w:tcW w:w="1840" w:type="dxa"/>
            <w:shd w:val="clear" w:color="auto" w:fill="F2F2F2" w:themeFill="background1" w:themeFillShade="F2"/>
            <w:vAlign w:val="center"/>
            <w:hideMark/>
          </w:tcPr>
          <w:p w14:paraId="36B1D1EB" w14:textId="77777777" w:rsidR="00246214" w:rsidRPr="00246214" w:rsidRDefault="00246214" w:rsidP="00246214">
            <w:pPr>
              <w:spacing w:after="0" w:line="240" w:lineRule="auto"/>
              <w:textAlignment w:val="baseline"/>
              <w:rPr>
                <w:rFonts w:ascii="Segoe UI" w:eastAsia="Times New Roman" w:hAnsi="Segoe UI" w:cs="Segoe UI"/>
                <w:b/>
                <w:bCs/>
                <w:kern w:val="0"/>
                <w:sz w:val="18"/>
                <w:szCs w:val="18"/>
                <w:lang w:eastAsia="en-AU"/>
                <w14:ligatures w14:val="none"/>
              </w:rPr>
            </w:pPr>
            <w:r w:rsidRPr="00246214">
              <w:rPr>
                <w:rFonts w:ascii="Calibri" w:eastAsia="Times New Roman" w:hAnsi="Calibri" w:cs="Calibri"/>
                <w:b/>
                <w:bCs/>
                <w:kern w:val="0"/>
                <w:lang w:eastAsia="en-AU"/>
                <w14:ligatures w14:val="none"/>
              </w:rPr>
              <w:t>Equity Risk </w:t>
            </w:r>
          </w:p>
        </w:tc>
        <w:tc>
          <w:tcPr>
            <w:tcW w:w="3103" w:type="dxa"/>
            <w:gridSpan w:val="2"/>
            <w:shd w:val="clear" w:color="auto" w:fill="F2F2F2" w:themeFill="background1" w:themeFillShade="F2"/>
            <w:vAlign w:val="center"/>
            <w:hideMark/>
          </w:tcPr>
          <w:p w14:paraId="5ECEFB96"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Benefits accrue disproportionately to CER-enabled or higher-income households. </w:t>
            </w:r>
          </w:p>
        </w:tc>
        <w:tc>
          <w:tcPr>
            <w:tcW w:w="3150" w:type="dxa"/>
            <w:shd w:val="clear" w:color="auto" w:fill="F2F2F2" w:themeFill="background1" w:themeFillShade="F2"/>
            <w:vAlign w:val="center"/>
            <w:hideMark/>
          </w:tcPr>
          <w:p w14:paraId="459693D1"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Almost Certain / Major — Existing dynamics continue to favour households with solar, batteries or EVs, widening equity gaps. </w:t>
            </w:r>
          </w:p>
        </w:tc>
        <w:tc>
          <w:tcPr>
            <w:tcW w:w="1260" w:type="dxa"/>
            <w:gridSpan w:val="2"/>
            <w:shd w:val="clear" w:color="auto" w:fill="F2F2F2" w:themeFill="background1" w:themeFillShade="F2"/>
            <w:vAlign w:val="center"/>
            <w:hideMark/>
          </w:tcPr>
          <w:p w14:paraId="3CB18919"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Segoe UI Emoji" w:eastAsia="Times New Roman" w:hAnsi="Segoe UI Emoji" w:cs="Segoe UI"/>
                <w:kern w:val="0"/>
                <w:lang w:eastAsia="en-AU"/>
                <w14:ligatures w14:val="none"/>
              </w:rPr>
              <w:t>🟥</w:t>
            </w:r>
            <w:r w:rsidRPr="00246214">
              <w:rPr>
                <w:rFonts w:ascii="Calibri" w:eastAsia="Times New Roman" w:hAnsi="Calibri" w:cs="Calibri"/>
                <w:kern w:val="0"/>
                <w:lang w:eastAsia="en-AU"/>
                <w14:ligatures w14:val="none"/>
              </w:rPr>
              <w:t> </w:t>
            </w:r>
            <w:r w:rsidRPr="00246214">
              <w:rPr>
                <w:rFonts w:ascii="Calibri" w:eastAsia="Times New Roman" w:hAnsi="Calibri" w:cs="Calibri"/>
                <w:b/>
                <w:bCs/>
                <w:kern w:val="0"/>
                <w:lang w:eastAsia="en-AU"/>
                <w14:ligatures w14:val="none"/>
              </w:rPr>
              <w:t>HIGH</w:t>
            </w:r>
            <w:r w:rsidRPr="00246214">
              <w:rPr>
                <w:rFonts w:ascii="Calibri" w:eastAsia="Times New Roman" w:hAnsi="Calibri" w:cs="Calibri"/>
                <w:kern w:val="0"/>
                <w:lang w:eastAsia="en-AU"/>
                <w14:ligatures w14:val="none"/>
              </w:rPr>
              <w:t> </w:t>
            </w:r>
          </w:p>
        </w:tc>
        <w:tc>
          <w:tcPr>
            <w:tcW w:w="3218" w:type="dxa"/>
            <w:gridSpan w:val="2"/>
            <w:shd w:val="clear" w:color="auto" w:fill="F2F2F2" w:themeFill="background1" w:themeFillShade="F2"/>
            <w:vAlign w:val="center"/>
            <w:hideMark/>
          </w:tcPr>
          <w:p w14:paraId="01E56B90"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Unlikely / Minor — Design features broaden access to low-cost solar generation for non-CER households and reduce structural disadvantage. </w:t>
            </w:r>
          </w:p>
        </w:tc>
        <w:tc>
          <w:tcPr>
            <w:tcW w:w="1371" w:type="dxa"/>
            <w:shd w:val="clear" w:color="auto" w:fill="F2F2F2" w:themeFill="background1" w:themeFillShade="F2"/>
            <w:vAlign w:val="center"/>
            <w:hideMark/>
          </w:tcPr>
          <w:p w14:paraId="595C20DE"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Segoe UI Emoji" w:eastAsia="Times New Roman" w:hAnsi="Segoe UI Emoji" w:cs="Segoe UI"/>
                <w:kern w:val="0"/>
                <w:lang w:eastAsia="en-AU"/>
                <w14:ligatures w14:val="none"/>
              </w:rPr>
              <w:t>🟩</w:t>
            </w:r>
            <w:r w:rsidRPr="00246214">
              <w:rPr>
                <w:rFonts w:ascii="Calibri" w:eastAsia="Times New Roman" w:hAnsi="Calibri" w:cs="Calibri"/>
                <w:kern w:val="0"/>
                <w:lang w:eastAsia="en-AU"/>
                <w14:ligatures w14:val="none"/>
              </w:rPr>
              <w:t> </w:t>
            </w:r>
            <w:r w:rsidRPr="00246214">
              <w:rPr>
                <w:rFonts w:ascii="Calibri" w:eastAsia="Times New Roman" w:hAnsi="Calibri" w:cs="Calibri"/>
                <w:b/>
                <w:bCs/>
                <w:kern w:val="0"/>
                <w:lang w:eastAsia="en-AU"/>
                <w14:ligatures w14:val="none"/>
              </w:rPr>
              <w:t>LOW</w:t>
            </w:r>
            <w:r w:rsidRPr="00246214">
              <w:rPr>
                <w:rFonts w:ascii="Calibri" w:eastAsia="Times New Roman" w:hAnsi="Calibri" w:cs="Calibri"/>
                <w:kern w:val="0"/>
                <w:lang w:eastAsia="en-AU"/>
                <w14:ligatures w14:val="none"/>
              </w:rPr>
              <w:t> </w:t>
            </w:r>
          </w:p>
        </w:tc>
      </w:tr>
      <w:tr w:rsidR="00246214" w:rsidRPr="00246214" w14:paraId="19D34E10" w14:textId="77777777" w:rsidTr="00246214">
        <w:trPr>
          <w:trHeight w:val="300"/>
        </w:trPr>
        <w:tc>
          <w:tcPr>
            <w:tcW w:w="1840" w:type="dxa"/>
            <w:shd w:val="clear" w:color="auto" w:fill="FFFFFF" w:themeFill="background1"/>
            <w:vAlign w:val="center"/>
            <w:hideMark/>
          </w:tcPr>
          <w:p w14:paraId="62CD8D1D" w14:textId="77777777" w:rsidR="00246214" w:rsidRPr="00246214" w:rsidRDefault="00246214" w:rsidP="00246214">
            <w:pPr>
              <w:spacing w:after="0" w:line="240" w:lineRule="auto"/>
              <w:textAlignment w:val="baseline"/>
              <w:rPr>
                <w:rFonts w:ascii="Segoe UI" w:eastAsia="Times New Roman" w:hAnsi="Segoe UI" w:cs="Segoe UI"/>
                <w:b/>
                <w:bCs/>
                <w:kern w:val="0"/>
                <w:sz w:val="18"/>
                <w:szCs w:val="18"/>
                <w:lang w:eastAsia="en-AU"/>
                <w14:ligatures w14:val="none"/>
              </w:rPr>
            </w:pPr>
            <w:r w:rsidRPr="00246214">
              <w:rPr>
                <w:rFonts w:ascii="Calibri" w:eastAsia="Times New Roman" w:hAnsi="Calibri" w:cs="Calibri"/>
                <w:b/>
                <w:bCs/>
                <w:kern w:val="0"/>
                <w:lang w:eastAsia="en-AU"/>
                <w14:ligatures w14:val="none"/>
              </w:rPr>
              <w:t>System Efficiency Risk </w:t>
            </w:r>
          </w:p>
        </w:tc>
        <w:tc>
          <w:tcPr>
            <w:tcW w:w="3103" w:type="dxa"/>
            <w:gridSpan w:val="2"/>
            <w:shd w:val="clear" w:color="auto" w:fill="FFFFFF" w:themeFill="background1"/>
            <w:vAlign w:val="center"/>
            <w:hideMark/>
          </w:tcPr>
          <w:p w14:paraId="02AB85D4"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Insufficient demand shifting into solar-abundant periods leads to ongoing system inefficiencies. </w:t>
            </w:r>
          </w:p>
        </w:tc>
        <w:tc>
          <w:tcPr>
            <w:tcW w:w="3150" w:type="dxa"/>
            <w:shd w:val="clear" w:color="auto" w:fill="FFFFFF" w:themeFill="background1"/>
            <w:vAlign w:val="center"/>
            <w:hideMark/>
          </w:tcPr>
          <w:p w14:paraId="0939C5E6"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Likely / Major — Voluntary offers insufficient to materially shift aggregate demand; minimum demand and evening peak pressures persist. </w:t>
            </w:r>
          </w:p>
        </w:tc>
        <w:tc>
          <w:tcPr>
            <w:tcW w:w="1260" w:type="dxa"/>
            <w:gridSpan w:val="2"/>
            <w:shd w:val="clear" w:color="auto" w:fill="FFFFFF" w:themeFill="background1"/>
            <w:vAlign w:val="center"/>
            <w:hideMark/>
          </w:tcPr>
          <w:p w14:paraId="0869BEA9"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Segoe UI Emoji" w:eastAsia="Times New Roman" w:hAnsi="Segoe UI Emoji" w:cs="Segoe UI"/>
                <w:kern w:val="0"/>
                <w:lang w:eastAsia="en-AU"/>
                <w14:ligatures w14:val="none"/>
              </w:rPr>
              <w:t>🟥</w:t>
            </w:r>
            <w:r w:rsidRPr="00246214">
              <w:rPr>
                <w:rFonts w:ascii="Calibri" w:eastAsia="Times New Roman" w:hAnsi="Calibri" w:cs="Calibri"/>
                <w:kern w:val="0"/>
                <w:lang w:eastAsia="en-AU"/>
                <w14:ligatures w14:val="none"/>
              </w:rPr>
              <w:t> </w:t>
            </w:r>
            <w:r w:rsidRPr="00246214">
              <w:rPr>
                <w:rFonts w:ascii="Calibri" w:eastAsia="Times New Roman" w:hAnsi="Calibri" w:cs="Calibri"/>
                <w:b/>
                <w:bCs/>
                <w:kern w:val="0"/>
                <w:lang w:eastAsia="en-AU"/>
                <w14:ligatures w14:val="none"/>
              </w:rPr>
              <w:t>HIGH</w:t>
            </w:r>
            <w:r w:rsidRPr="00246214">
              <w:rPr>
                <w:rFonts w:ascii="Calibri" w:eastAsia="Times New Roman" w:hAnsi="Calibri" w:cs="Calibri"/>
                <w:kern w:val="0"/>
                <w:lang w:eastAsia="en-AU"/>
                <w14:ligatures w14:val="none"/>
              </w:rPr>
              <w:t> </w:t>
            </w:r>
          </w:p>
        </w:tc>
        <w:tc>
          <w:tcPr>
            <w:tcW w:w="3218" w:type="dxa"/>
            <w:gridSpan w:val="2"/>
            <w:shd w:val="clear" w:color="auto" w:fill="FFFFFF" w:themeFill="background1"/>
            <w:vAlign w:val="center"/>
            <w:hideMark/>
          </w:tcPr>
          <w:p w14:paraId="5BC4030B"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Possible / Minor — Coordinated AER-set free periods improve utilisation of renewable generation and reduce system stress. </w:t>
            </w:r>
          </w:p>
        </w:tc>
        <w:tc>
          <w:tcPr>
            <w:tcW w:w="1371" w:type="dxa"/>
            <w:shd w:val="clear" w:color="auto" w:fill="FFFFFF" w:themeFill="background1"/>
            <w:vAlign w:val="center"/>
            <w:hideMark/>
          </w:tcPr>
          <w:p w14:paraId="09B5ADA5"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Segoe UI Emoji" w:eastAsia="Times New Roman" w:hAnsi="Segoe UI Emoji" w:cs="Segoe UI"/>
                <w:kern w:val="0"/>
                <w:lang w:eastAsia="en-AU"/>
                <w14:ligatures w14:val="none"/>
              </w:rPr>
              <w:t>🟨</w:t>
            </w:r>
            <w:r w:rsidRPr="00246214">
              <w:rPr>
                <w:rFonts w:ascii="Calibri" w:eastAsia="Times New Roman" w:hAnsi="Calibri" w:cs="Calibri"/>
                <w:kern w:val="0"/>
                <w:lang w:eastAsia="en-AU"/>
                <w14:ligatures w14:val="none"/>
              </w:rPr>
              <w:t> </w:t>
            </w:r>
            <w:r w:rsidRPr="00246214">
              <w:rPr>
                <w:rFonts w:ascii="Calibri" w:eastAsia="Times New Roman" w:hAnsi="Calibri" w:cs="Calibri"/>
                <w:b/>
                <w:bCs/>
                <w:kern w:val="0"/>
                <w:lang w:eastAsia="en-AU"/>
                <w14:ligatures w14:val="none"/>
              </w:rPr>
              <w:t>MEDIUM–LOW</w:t>
            </w:r>
            <w:r w:rsidRPr="00246214">
              <w:rPr>
                <w:rFonts w:ascii="Calibri" w:eastAsia="Times New Roman" w:hAnsi="Calibri" w:cs="Calibri"/>
                <w:kern w:val="0"/>
                <w:lang w:eastAsia="en-AU"/>
                <w14:ligatures w14:val="none"/>
              </w:rPr>
              <w:t> </w:t>
            </w:r>
          </w:p>
        </w:tc>
      </w:tr>
      <w:tr w:rsidR="00246214" w:rsidRPr="00246214" w14:paraId="6BBEDF56" w14:textId="77777777" w:rsidTr="00246214">
        <w:trPr>
          <w:trHeight w:val="300"/>
        </w:trPr>
        <w:tc>
          <w:tcPr>
            <w:tcW w:w="1840" w:type="dxa"/>
            <w:shd w:val="clear" w:color="auto" w:fill="F2F2F2" w:themeFill="background1" w:themeFillShade="F2"/>
            <w:vAlign w:val="center"/>
            <w:hideMark/>
          </w:tcPr>
          <w:p w14:paraId="5A667B5A" w14:textId="77777777" w:rsidR="00246214" w:rsidRPr="00246214" w:rsidRDefault="00246214" w:rsidP="00246214">
            <w:pPr>
              <w:spacing w:after="0" w:line="240" w:lineRule="auto"/>
              <w:textAlignment w:val="baseline"/>
              <w:rPr>
                <w:rFonts w:ascii="Segoe UI" w:eastAsia="Times New Roman" w:hAnsi="Segoe UI" w:cs="Segoe UI"/>
                <w:b/>
                <w:bCs/>
                <w:kern w:val="0"/>
                <w:sz w:val="18"/>
                <w:szCs w:val="18"/>
                <w:lang w:eastAsia="en-AU"/>
                <w14:ligatures w14:val="none"/>
              </w:rPr>
            </w:pPr>
            <w:r w:rsidRPr="00246214">
              <w:rPr>
                <w:rFonts w:ascii="Calibri" w:eastAsia="Times New Roman" w:hAnsi="Calibri" w:cs="Calibri"/>
                <w:b/>
                <w:bCs/>
                <w:kern w:val="0"/>
                <w:lang w:eastAsia="en-AU"/>
                <w14:ligatures w14:val="none"/>
              </w:rPr>
              <w:t>Consumer Protection Risk </w:t>
            </w:r>
          </w:p>
        </w:tc>
        <w:tc>
          <w:tcPr>
            <w:tcW w:w="3103" w:type="dxa"/>
            <w:gridSpan w:val="2"/>
            <w:shd w:val="clear" w:color="auto" w:fill="F2F2F2" w:themeFill="background1" w:themeFillShade="F2"/>
            <w:vAlign w:val="center"/>
            <w:hideMark/>
          </w:tcPr>
          <w:p w14:paraId="289706BC"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Consumers misunderstand tariff structures, leading to unintended bill outcomes. </w:t>
            </w:r>
          </w:p>
        </w:tc>
        <w:tc>
          <w:tcPr>
            <w:tcW w:w="3150" w:type="dxa"/>
            <w:shd w:val="clear" w:color="auto" w:fill="F2F2F2" w:themeFill="background1" w:themeFillShade="F2"/>
            <w:vAlign w:val="center"/>
            <w:hideMark/>
          </w:tcPr>
          <w:p w14:paraId="44EA285F"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Likely / Moderate — Wide variation in voluntary offers and complexity reduces transparency and comparability. </w:t>
            </w:r>
          </w:p>
        </w:tc>
        <w:tc>
          <w:tcPr>
            <w:tcW w:w="1260" w:type="dxa"/>
            <w:gridSpan w:val="2"/>
            <w:shd w:val="clear" w:color="auto" w:fill="F2F2F2" w:themeFill="background1" w:themeFillShade="F2"/>
            <w:vAlign w:val="center"/>
            <w:hideMark/>
          </w:tcPr>
          <w:p w14:paraId="661BA8B0" w14:textId="77777777" w:rsidR="00246214" w:rsidRPr="00246214" w:rsidRDefault="00246214" w:rsidP="00246214">
            <w:pPr>
              <w:spacing w:after="0" w:line="240" w:lineRule="auto"/>
              <w:jc w:val="center"/>
              <w:textAlignment w:val="baseline"/>
              <w:rPr>
                <w:rFonts w:ascii="Segoe UI" w:eastAsia="Times New Roman" w:hAnsi="Segoe UI" w:cs="Segoe UI"/>
                <w:kern w:val="0"/>
                <w:sz w:val="18"/>
                <w:szCs w:val="18"/>
                <w:lang w:eastAsia="en-AU"/>
                <w14:ligatures w14:val="none"/>
              </w:rPr>
            </w:pPr>
            <w:r w:rsidRPr="00246214">
              <w:rPr>
                <w:rFonts w:ascii="Segoe UI Emoji" w:eastAsia="Times New Roman" w:hAnsi="Segoe UI Emoji" w:cs="Segoe UI"/>
                <w:kern w:val="0"/>
                <w:lang w:eastAsia="en-AU"/>
                <w14:ligatures w14:val="none"/>
              </w:rPr>
              <w:t>🟧</w:t>
            </w:r>
            <w:r w:rsidRPr="00246214">
              <w:rPr>
                <w:rFonts w:ascii="Calibri" w:eastAsia="Times New Roman" w:hAnsi="Calibri" w:cs="Calibri"/>
                <w:kern w:val="0"/>
                <w:lang w:eastAsia="en-AU"/>
                <w14:ligatures w14:val="none"/>
              </w:rPr>
              <w:t> </w:t>
            </w:r>
            <w:r w:rsidRPr="00246214">
              <w:rPr>
                <w:rFonts w:ascii="Calibri" w:eastAsia="Times New Roman" w:hAnsi="Calibri" w:cs="Calibri"/>
                <w:b/>
                <w:bCs/>
                <w:kern w:val="0"/>
                <w:lang w:eastAsia="en-AU"/>
                <w14:ligatures w14:val="none"/>
              </w:rPr>
              <w:t>HIGH–MEDIUM</w:t>
            </w:r>
            <w:r w:rsidRPr="00246214">
              <w:rPr>
                <w:rFonts w:ascii="Calibri" w:eastAsia="Times New Roman" w:hAnsi="Calibri" w:cs="Calibri"/>
                <w:kern w:val="0"/>
                <w:lang w:eastAsia="en-AU"/>
                <w14:ligatures w14:val="none"/>
              </w:rPr>
              <w:t> </w:t>
            </w:r>
          </w:p>
        </w:tc>
        <w:tc>
          <w:tcPr>
            <w:tcW w:w="3218" w:type="dxa"/>
            <w:gridSpan w:val="2"/>
            <w:shd w:val="clear" w:color="auto" w:fill="F2F2F2" w:themeFill="background1" w:themeFillShade="F2"/>
            <w:vAlign w:val="center"/>
            <w:hideMark/>
          </w:tcPr>
          <w:p w14:paraId="4E236285"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Unlikely / Minor — Consistent standing offer design, disclosure requirements and NECF protections reduce risk. </w:t>
            </w:r>
          </w:p>
        </w:tc>
        <w:tc>
          <w:tcPr>
            <w:tcW w:w="1371" w:type="dxa"/>
            <w:shd w:val="clear" w:color="auto" w:fill="F2F2F2" w:themeFill="background1" w:themeFillShade="F2"/>
            <w:vAlign w:val="center"/>
            <w:hideMark/>
          </w:tcPr>
          <w:p w14:paraId="3E876873"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Segoe UI Emoji" w:eastAsia="Times New Roman" w:hAnsi="Segoe UI Emoji" w:cs="Segoe UI"/>
                <w:kern w:val="0"/>
                <w:lang w:eastAsia="en-AU"/>
                <w14:ligatures w14:val="none"/>
              </w:rPr>
              <w:t>🟩</w:t>
            </w:r>
            <w:r w:rsidRPr="00246214">
              <w:rPr>
                <w:rFonts w:ascii="Calibri" w:eastAsia="Times New Roman" w:hAnsi="Calibri" w:cs="Calibri"/>
                <w:kern w:val="0"/>
                <w:lang w:eastAsia="en-AU"/>
                <w14:ligatures w14:val="none"/>
              </w:rPr>
              <w:t> </w:t>
            </w:r>
            <w:r w:rsidRPr="00246214">
              <w:rPr>
                <w:rFonts w:ascii="Calibri" w:eastAsia="Times New Roman" w:hAnsi="Calibri" w:cs="Calibri"/>
                <w:b/>
                <w:bCs/>
                <w:kern w:val="0"/>
                <w:lang w:eastAsia="en-AU"/>
                <w14:ligatures w14:val="none"/>
              </w:rPr>
              <w:t>LOW</w:t>
            </w:r>
            <w:r w:rsidRPr="00246214">
              <w:rPr>
                <w:rFonts w:ascii="Calibri" w:eastAsia="Times New Roman" w:hAnsi="Calibri" w:cs="Calibri"/>
                <w:kern w:val="0"/>
                <w:lang w:eastAsia="en-AU"/>
                <w14:ligatures w14:val="none"/>
              </w:rPr>
              <w:t> </w:t>
            </w:r>
          </w:p>
        </w:tc>
      </w:tr>
      <w:tr w:rsidR="00246214" w:rsidRPr="00246214" w14:paraId="29115366" w14:textId="77777777" w:rsidTr="00246214">
        <w:trPr>
          <w:trHeight w:val="300"/>
        </w:trPr>
        <w:tc>
          <w:tcPr>
            <w:tcW w:w="1840" w:type="dxa"/>
            <w:shd w:val="clear" w:color="auto" w:fill="FFFFFF" w:themeFill="background1"/>
            <w:vAlign w:val="center"/>
            <w:hideMark/>
          </w:tcPr>
          <w:p w14:paraId="148AE519" w14:textId="77777777" w:rsidR="00246214" w:rsidRPr="00246214" w:rsidRDefault="00246214" w:rsidP="00246214">
            <w:pPr>
              <w:spacing w:after="0" w:line="240" w:lineRule="auto"/>
              <w:textAlignment w:val="baseline"/>
              <w:rPr>
                <w:rFonts w:ascii="Segoe UI" w:eastAsia="Times New Roman" w:hAnsi="Segoe UI" w:cs="Segoe UI"/>
                <w:b/>
                <w:bCs/>
                <w:kern w:val="0"/>
                <w:sz w:val="18"/>
                <w:szCs w:val="18"/>
                <w:lang w:eastAsia="en-AU"/>
                <w14:ligatures w14:val="none"/>
              </w:rPr>
            </w:pPr>
            <w:r w:rsidRPr="00246214">
              <w:rPr>
                <w:rFonts w:ascii="Calibri" w:eastAsia="Times New Roman" w:hAnsi="Calibri" w:cs="Calibri"/>
                <w:b/>
                <w:bCs/>
                <w:kern w:val="0"/>
                <w:lang w:eastAsia="en-AU"/>
                <w14:ligatures w14:val="none"/>
              </w:rPr>
              <w:t>Retailer Cost Recovery Risk </w:t>
            </w:r>
          </w:p>
        </w:tc>
        <w:tc>
          <w:tcPr>
            <w:tcW w:w="3103" w:type="dxa"/>
            <w:gridSpan w:val="2"/>
            <w:shd w:val="clear" w:color="auto" w:fill="FFFFFF" w:themeFill="background1"/>
            <w:vAlign w:val="center"/>
            <w:hideMark/>
          </w:tcPr>
          <w:p w14:paraId="2F83B77D"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Retailers face insufficient cost recovery. </w:t>
            </w:r>
          </w:p>
        </w:tc>
        <w:tc>
          <w:tcPr>
            <w:tcW w:w="3150" w:type="dxa"/>
            <w:shd w:val="clear" w:color="auto" w:fill="FFFFFF" w:themeFill="background1"/>
            <w:vAlign w:val="center"/>
            <w:hideMark/>
          </w:tcPr>
          <w:p w14:paraId="6B231438"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Minor —retailer set tariffs generally align with network tariffs. </w:t>
            </w:r>
          </w:p>
        </w:tc>
        <w:tc>
          <w:tcPr>
            <w:tcW w:w="1260" w:type="dxa"/>
            <w:gridSpan w:val="2"/>
            <w:shd w:val="clear" w:color="auto" w:fill="FFFFFF" w:themeFill="background1"/>
            <w:vAlign w:val="center"/>
            <w:hideMark/>
          </w:tcPr>
          <w:p w14:paraId="3BCB9211"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 </w:t>
            </w:r>
            <w:r w:rsidRPr="00246214">
              <w:rPr>
                <w:rFonts w:ascii="Segoe UI Emoji" w:eastAsia="Times New Roman" w:hAnsi="Segoe UI Emoji" w:cs="Segoe UI"/>
                <w:kern w:val="0"/>
                <w:lang w:eastAsia="en-AU"/>
                <w14:ligatures w14:val="none"/>
              </w:rPr>
              <w:t>🟩</w:t>
            </w:r>
            <w:r w:rsidRPr="00246214">
              <w:rPr>
                <w:rFonts w:ascii="Calibri" w:eastAsia="Times New Roman" w:hAnsi="Calibri" w:cs="Calibri"/>
                <w:b/>
                <w:bCs/>
                <w:kern w:val="0"/>
                <w:lang w:eastAsia="en-AU"/>
                <w14:ligatures w14:val="none"/>
              </w:rPr>
              <w:t> LOW</w:t>
            </w:r>
            <w:r w:rsidRPr="00246214">
              <w:rPr>
                <w:rFonts w:ascii="Calibri" w:eastAsia="Times New Roman" w:hAnsi="Calibri" w:cs="Calibri"/>
                <w:kern w:val="0"/>
                <w:lang w:eastAsia="en-AU"/>
                <w14:ligatures w14:val="none"/>
              </w:rPr>
              <w:t> </w:t>
            </w:r>
          </w:p>
        </w:tc>
        <w:tc>
          <w:tcPr>
            <w:tcW w:w="3218" w:type="dxa"/>
            <w:gridSpan w:val="2"/>
            <w:shd w:val="clear" w:color="auto" w:fill="FFFFFF" w:themeFill="background1"/>
            <w:vAlign w:val="center"/>
            <w:hideMark/>
          </w:tcPr>
          <w:p w14:paraId="0BAF7B68"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Possible / Minor — Efficient cost recovery incorporated through AER methodology and regulated parameters. </w:t>
            </w:r>
          </w:p>
        </w:tc>
        <w:tc>
          <w:tcPr>
            <w:tcW w:w="1371" w:type="dxa"/>
            <w:shd w:val="clear" w:color="auto" w:fill="FFFFFF" w:themeFill="background1"/>
            <w:vAlign w:val="center"/>
            <w:hideMark/>
          </w:tcPr>
          <w:p w14:paraId="661E0777"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Segoe UI Emoji" w:eastAsia="Times New Roman" w:hAnsi="Segoe UI Emoji" w:cs="Segoe UI"/>
                <w:kern w:val="0"/>
                <w:lang w:eastAsia="en-AU"/>
                <w14:ligatures w14:val="none"/>
              </w:rPr>
              <w:t>🟨</w:t>
            </w:r>
            <w:r w:rsidRPr="00246214">
              <w:rPr>
                <w:rFonts w:ascii="Calibri" w:eastAsia="Times New Roman" w:hAnsi="Calibri" w:cs="Calibri"/>
                <w:kern w:val="0"/>
                <w:lang w:eastAsia="en-AU"/>
                <w14:ligatures w14:val="none"/>
              </w:rPr>
              <w:t> </w:t>
            </w:r>
            <w:r w:rsidRPr="00246214">
              <w:rPr>
                <w:rFonts w:ascii="Calibri" w:eastAsia="Times New Roman" w:hAnsi="Calibri" w:cs="Calibri"/>
                <w:b/>
                <w:bCs/>
                <w:kern w:val="0"/>
                <w:lang w:eastAsia="en-AU"/>
                <w14:ligatures w14:val="none"/>
              </w:rPr>
              <w:t>LOW–MEDIUM</w:t>
            </w:r>
            <w:r w:rsidRPr="00246214">
              <w:rPr>
                <w:rFonts w:ascii="Calibri" w:eastAsia="Times New Roman" w:hAnsi="Calibri" w:cs="Calibri"/>
                <w:kern w:val="0"/>
                <w:lang w:eastAsia="en-AU"/>
                <w14:ligatures w14:val="none"/>
              </w:rPr>
              <w:t> </w:t>
            </w:r>
          </w:p>
        </w:tc>
      </w:tr>
      <w:tr w:rsidR="00246214" w:rsidRPr="00246214" w14:paraId="0EF7CEE5" w14:textId="77777777" w:rsidTr="00246214">
        <w:trPr>
          <w:trHeight w:val="300"/>
        </w:trPr>
        <w:tc>
          <w:tcPr>
            <w:tcW w:w="1840" w:type="dxa"/>
            <w:shd w:val="clear" w:color="auto" w:fill="F2F2F2" w:themeFill="background1" w:themeFillShade="F2"/>
            <w:vAlign w:val="center"/>
            <w:hideMark/>
          </w:tcPr>
          <w:p w14:paraId="18B92A80" w14:textId="77777777" w:rsidR="00246214" w:rsidRPr="00246214" w:rsidRDefault="00246214" w:rsidP="00246214">
            <w:pPr>
              <w:spacing w:after="0" w:line="240" w:lineRule="auto"/>
              <w:textAlignment w:val="baseline"/>
              <w:rPr>
                <w:rFonts w:ascii="Segoe UI" w:eastAsia="Times New Roman" w:hAnsi="Segoe UI" w:cs="Segoe UI"/>
                <w:b/>
                <w:bCs/>
                <w:kern w:val="0"/>
                <w:sz w:val="18"/>
                <w:szCs w:val="18"/>
                <w:lang w:eastAsia="en-AU"/>
                <w14:ligatures w14:val="none"/>
              </w:rPr>
            </w:pPr>
            <w:r w:rsidRPr="00246214">
              <w:rPr>
                <w:rFonts w:ascii="Calibri" w:eastAsia="Times New Roman" w:hAnsi="Calibri" w:cs="Calibri"/>
                <w:b/>
                <w:bCs/>
                <w:kern w:val="0"/>
                <w:lang w:eastAsia="en-AU"/>
                <w14:ligatures w14:val="none"/>
              </w:rPr>
              <w:t>Network Alignment Risk </w:t>
            </w:r>
          </w:p>
        </w:tc>
        <w:tc>
          <w:tcPr>
            <w:tcW w:w="3103" w:type="dxa"/>
            <w:gridSpan w:val="2"/>
            <w:shd w:val="clear" w:color="auto" w:fill="F2F2F2" w:themeFill="background1" w:themeFillShade="F2"/>
            <w:vAlign w:val="center"/>
            <w:hideMark/>
          </w:tcPr>
          <w:p w14:paraId="12A03E0E"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Misaligned timing between retail tariffs and network costs creates distortions. </w:t>
            </w:r>
          </w:p>
        </w:tc>
        <w:tc>
          <w:tcPr>
            <w:tcW w:w="3150" w:type="dxa"/>
            <w:shd w:val="clear" w:color="auto" w:fill="F2F2F2" w:themeFill="background1" w:themeFillShade="F2"/>
            <w:vAlign w:val="center"/>
            <w:hideMark/>
          </w:tcPr>
          <w:p w14:paraId="2879527D"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Likely / Moderate — Retailers continue managing misalignment through unregulated market offers. </w:t>
            </w:r>
          </w:p>
        </w:tc>
        <w:tc>
          <w:tcPr>
            <w:tcW w:w="1260" w:type="dxa"/>
            <w:gridSpan w:val="2"/>
            <w:shd w:val="clear" w:color="auto" w:fill="F2F2F2" w:themeFill="background1" w:themeFillShade="F2"/>
            <w:vAlign w:val="center"/>
            <w:hideMark/>
          </w:tcPr>
          <w:p w14:paraId="515E501D" w14:textId="77777777" w:rsidR="00246214" w:rsidRPr="00246214" w:rsidRDefault="00246214" w:rsidP="00246214">
            <w:pPr>
              <w:spacing w:after="0" w:line="240" w:lineRule="auto"/>
              <w:jc w:val="center"/>
              <w:textAlignment w:val="baseline"/>
              <w:rPr>
                <w:rFonts w:ascii="Segoe UI" w:eastAsia="Times New Roman" w:hAnsi="Segoe UI" w:cs="Segoe UI"/>
                <w:kern w:val="0"/>
                <w:sz w:val="18"/>
                <w:szCs w:val="18"/>
                <w:lang w:eastAsia="en-AU"/>
                <w14:ligatures w14:val="none"/>
              </w:rPr>
            </w:pPr>
            <w:r w:rsidRPr="00246214">
              <w:rPr>
                <w:rFonts w:ascii="Segoe UI Emoji" w:eastAsia="Times New Roman" w:hAnsi="Segoe UI Emoji" w:cs="Segoe UI"/>
                <w:kern w:val="0"/>
                <w:lang w:eastAsia="en-AU"/>
                <w14:ligatures w14:val="none"/>
              </w:rPr>
              <w:t>🟧</w:t>
            </w:r>
            <w:r w:rsidRPr="00246214">
              <w:rPr>
                <w:rFonts w:ascii="Calibri" w:eastAsia="Times New Roman" w:hAnsi="Calibri" w:cs="Calibri"/>
                <w:kern w:val="0"/>
                <w:lang w:eastAsia="en-AU"/>
                <w14:ligatures w14:val="none"/>
              </w:rPr>
              <w:t> </w:t>
            </w:r>
            <w:r w:rsidRPr="00246214">
              <w:rPr>
                <w:rFonts w:ascii="Calibri" w:eastAsia="Times New Roman" w:hAnsi="Calibri" w:cs="Calibri"/>
                <w:b/>
                <w:bCs/>
                <w:kern w:val="0"/>
                <w:lang w:eastAsia="en-AU"/>
                <w14:ligatures w14:val="none"/>
              </w:rPr>
              <w:t>HIGH–MEDIUM</w:t>
            </w:r>
            <w:r w:rsidRPr="00246214">
              <w:rPr>
                <w:rFonts w:ascii="Calibri" w:eastAsia="Times New Roman" w:hAnsi="Calibri" w:cs="Calibri"/>
                <w:kern w:val="0"/>
                <w:lang w:eastAsia="en-AU"/>
                <w14:ligatures w14:val="none"/>
              </w:rPr>
              <w:t> </w:t>
            </w:r>
          </w:p>
        </w:tc>
        <w:tc>
          <w:tcPr>
            <w:tcW w:w="3218" w:type="dxa"/>
            <w:gridSpan w:val="2"/>
            <w:shd w:val="clear" w:color="auto" w:fill="F2F2F2" w:themeFill="background1" w:themeFillShade="F2"/>
            <w:vAlign w:val="center"/>
            <w:hideMark/>
          </w:tcPr>
          <w:p w14:paraId="2A34460C"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Unlikely / Minor — Free period timing determined by distribution zone, reflecting solar and network conditions. </w:t>
            </w:r>
          </w:p>
        </w:tc>
        <w:tc>
          <w:tcPr>
            <w:tcW w:w="1371" w:type="dxa"/>
            <w:shd w:val="clear" w:color="auto" w:fill="F2F2F2" w:themeFill="background1" w:themeFillShade="F2"/>
            <w:vAlign w:val="center"/>
            <w:hideMark/>
          </w:tcPr>
          <w:p w14:paraId="32700836"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Segoe UI Emoji" w:eastAsia="Times New Roman" w:hAnsi="Segoe UI Emoji" w:cs="Segoe UI"/>
                <w:kern w:val="0"/>
                <w:lang w:eastAsia="en-AU"/>
                <w14:ligatures w14:val="none"/>
              </w:rPr>
              <w:t>🟩</w:t>
            </w:r>
            <w:r w:rsidRPr="00246214">
              <w:rPr>
                <w:rFonts w:ascii="Calibri" w:eastAsia="Times New Roman" w:hAnsi="Calibri" w:cs="Calibri"/>
                <w:kern w:val="0"/>
                <w:lang w:eastAsia="en-AU"/>
                <w14:ligatures w14:val="none"/>
              </w:rPr>
              <w:t> </w:t>
            </w:r>
            <w:r w:rsidRPr="00246214">
              <w:rPr>
                <w:rFonts w:ascii="Calibri" w:eastAsia="Times New Roman" w:hAnsi="Calibri" w:cs="Calibri"/>
                <w:b/>
                <w:bCs/>
                <w:kern w:val="0"/>
                <w:lang w:eastAsia="en-AU"/>
                <w14:ligatures w14:val="none"/>
              </w:rPr>
              <w:t>LOW</w:t>
            </w:r>
            <w:r w:rsidRPr="00246214">
              <w:rPr>
                <w:rFonts w:ascii="Calibri" w:eastAsia="Times New Roman" w:hAnsi="Calibri" w:cs="Calibri"/>
                <w:kern w:val="0"/>
                <w:lang w:eastAsia="en-AU"/>
                <w14:ligatures w14:val="none"/>
              </w:rPr>
              <w:t> </w:t>
            </w:r>
          </w:p>
        </w:tc>
      </w:tr>
      <w:tr w:rsidR="00246214" w:rsidRPr="00246214" w14:paraId="303DE0D9" w14:textId="77777777" w:rsidTr="00246214">
        <w:trPr>
          <w:trHeight w:val="300"/>
        </w:trPr>
        <w:tc>
          <w:tcPr>
            <w:tcW w:w="1840" w:type="dxa"/>
            <w:shd w:val="clear" w:color="auto" w:fill="FFFFFF" w:themeFill="background1"/>
            <w:vAlign w:val="center"/>
            <w:hideMark/>
          </w:tcPr>
          <w:p w14:paraId="53C8E169" w14:textId="77777777" w:rsidR="00246214" w:rsidRPr="00246214" w:rsidRDefault="00246214" w:rsidP="00246214">
            <w:pPr>
              <w:spacing w:after="0" w:line="240" w:lineRule="auto"/>
              <w:textAlignment w:val="baseline"/>
              <w:rPr>
                <w:rFonts w:ascii="Segoe UI" w:eastAsia="Times New Roman" w:hAnsi="Segoe UI" w:cs="Segoe UI"/>
                <w:b/>
                <w:bCs/>
                <w:kern w:val="0"/>
                <w:sz w:val="18"/>
                <w:szCs w:val="18"/>
                <w:lang w:eastAsia="en-AU"/>
                <w14:ligatures w14:val="none"/>
              </w:rPr>
            </w:pPr>
            <w:r w:rsidRPr="00246214">
              <w:rPr>
                <w:rFonts w:ascii="Calibri" w:eastAsia="Times New Roman" w:hAnsi="Calibri" w:cs="Calibri"/>
                <w:b/>
                <w:bCs/>
                <w:kern w:val="0"/>
                <w:lang w:eastAsia="en-AU"/>
                <w14:ligatures w14:val="none"/>
              </w:rPr>
              <w:lastRenderedPageBreak/>
              <w:t>Implementation / Delivery Risk </w:t>
            </w:r>
          </w:p>
        </w:tc>
        <w:tc>
          <w:tcPr>
            <w:tcW w:w="3103" w:type="dxa"/>
            <w:gridSpan w:val="2"/>
            <w:shd w:val="clear" w:color="auto" w:fill="FFFFFF" w:themeFill="background1"/>
            <w:vAlign w:val="center"/>
            <w:hideMark/>
          </w:tcPr>
          <w:p w14:paraId="5C7C5827"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Complexity leads to delays or unintended operational outcomes. </w:t>
            </w:r>
          </w:p>
        </w:tc>
        <w:tc>
          <w:tcPr>
            <w:tcW w:w="3150" w:type="dxa"/>
            <w:shd w:val="clear" w:color="auto" w:fill="FFFFFF" w:themeFill="background1"/>
            <w:vAlign w:val="center"/>
            <w:hideMark/>
          </w:tcPr>
          <w:p w14:paraId="294EB64C"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Rare / Negligible — No new implementation requirements under status quo. </w:t>
            </w:r>
          </w:p>
        </w:tc>
        <w:tc>
          <w:tcPr>
            <w:tcW w:w="1260" w:type="dxa"/>
            <w:gridSpan w:val="2"/>
            <w:shd w:val="clear" w:color="auto" w:fill="FFFFFF" w:themeFill="background1"/>
            <w:vAlign w:val="center"/>
            <w:hideMark/>
          </w:tcPr>
          <w:p w14:paraId="4BB44B30"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Segoe UI Emoji" w:eastAsia="Times New Roman" w:hAnsi="Segoe UI Emoji" w:cs="Segoe UI"/>
                <w:kern w:val="0"/>
                <w:lang w:eastAsia="en-AU"/>
                <w14:ligatures w14:val="none"/>
              </w:rPr>
              <w:t>🟩</w:t>
            </w:r>
            <w:r w:rsidRPr="00246214">
              <w:rPr>
                <w:rFonts w:ascii="Calibri" w:eastAsia="Times New Roman" w:hAnsi="Calibri" w:cs="Calibri"/>
                <w:kern w:val="0"/>
                <w:lang w:eastAsia="en-AU"/>
                <w14:ligatures w14:val="none"/>
              </w:rPr>
              <w:t> </w:t>
            </w:r>
            <w:r w:rsidRPr="00246214">
              <w:rPr>
                <w:rFonts w:ascii="Calibri" w:eastAsia="Times New Roman" w:hAnsi="Calibri" w:cs="Calibri"/>
                <w:b/>
                <w:bCs/>
                <w:kern w:val="0"/>
                <w:lang w:eastAsia="en-AU"/>
                <w14:ligatures w14:val="none"/>
              </w:rPr>
              <w:t>LOW</w:t>
            </w:r>
            <w:r w:rsidRPr="00246214">
              <w:rPr>
                <w:rFonts w:ascii="Calibri" w:eastAsia="Times New Roman" w:hAnsi="Calibri" w:cs="Calibri"/>
                <w:kern w:val="0"/>
                <w:lang w:eastAsia="en-AU"/>
                <w14:ligatures w14:val="none"/>
              </w:rPr>
              <w:t> </w:t>
            </w:r>
          </w:p>
        </w:tc>
        <w:tc>
          <w:tcPr>
            <w:tcW w:w="3218" w:type="dxa"/>
            <w:gridSpan w:val="2"/>
            <w:shd w:val="clear" w:color="auto" w:fill="FFFFFF" w:themeFill="background1"/>
            <w:vAlign w:val="center"/>
            <w:hideMark/>
          </w:tcPr>
          <w:p w14:paraId="5EB55883"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Possible / Moderate — Billing and operational changes required, mitigated through standardisation and staged implementation. </w:t>
            </w:r>
          </w:p>
        </w:tc>
        <w:tc>
          <w:tcPr>
            <w:tcW w:w="1371" w:type="dxa"/>
            <w:shd w:val="clear" w:color="auto" w:fill="FFFFFF" w:themeFill="background1"/>
            <w:vAlign w:val="center"/>
            <w:hideMark/>
          </w:tcPr>
          <w:p w14:paraId="6E117EE4"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Segoe UI Emoji" w:eastAsia="Times New Roman" w:hAnsi="Segoe UI Emoji" w:cs="Segoe UI"/>
                <w:kern w:val="0"/>
                <w:lang w:eastAsia="en-AU"/>
                <w14:ligatures w14:val="none"/>
              </w:rPr>
              <w:t>🟨</w:t>
            </w:r>
            <w:r w:rsidRPr="00246214">
              <w:rPr>
                <w:rFonts w:ascii="Calibri" w:eastAsia="Times New Roman" w:hAnsi="Calibri" w:cs="Calibri"/>
                <w:kern w:val="0"/>
                <w:lang w:eastAsia="en-AU"/>
                <w14:ligatures w14:val="none"/>
              </w:rPr>
              <w:t> </w:t>
            </w:r>
            <w:r w:rsidRPr="00246214">
              <w:rPr>
                <w:rFonts w:ascii="Calibri" w:eastAsia="Times New Roman" w:hAnsi="Calibri" w:cs="Calibri"/>
                <w:b/>
                <w:bCs/>
                <w:kern w:val="0"/>
                <w:lang w:eastAsia="en-AU"/>
                <w14:ligatures w14:val="none"/>
              </w:rPr>
              <w:t>MEDIUM</w:t>
            </w:r>
            <w:r w:rsidRPr="00246214">
              <w:rPr>
                <w:rFonts w:ascii="Calibri" w:eastAsia="Times New Roman" w:hAnsi="Calibri" w:cs="Calibri"/>
                <w:kern w:val="0"/>
                <w:lang w:eastAsia="en-AU"/>
                <w14:ligatures w14:val="none"/>
              </w:rPr>
              <w:t> </w:t>
            </w:r>
          </w:p>
        </w:tc>
      </w:tr>
      <w:tr w:rsidR="00246214" w:rsidRPr="00246214" w14:paraId="5E4143D3" w14:textId="77777777" w:rsidTr="00246214">
        <w:trPr>
          <w:trHeight w:val="300"/>
        </w:trPr>
        <w:tc>
          <w:tcPr>
            <w:tcW w:w="1840" w:type="dxa"/>
            <w:shd w:val="clear" w:color="auto" w:fill="F2F2F2" w:themeFill="background1" w:themeFillShade="F2"/>
            <w:vAlign w:val="center"/>
            <w:hideMark/>
          </w:tcPr>
          <w:p w14:paraId="50E7AD96" w14:textId="77777777" w:rsidR="00246214" w:rsidRPr="00246214" w:rsidRDefault="00246214" w:rsidP="00246214">
            <w:pPr>
              <w:spacing w:after="0" w:line="240" w:lineRule="auto"/>
              <w:textAlignment w:val="baseline"/>
              <w:rPr>
                <w:rFonts w:ascii="Segoe UI" w:eastAsia="Times New Roman" w:hAnsi="Segoe UI" w:cs="Segoe UI"/>
                <w:b/>
                <w:bCs/>
                <w:kern w:val="0"/>
                <w:sz w:val="18"/>
                <w:szCs w:val="18"/>
                <w:lang w:eastAsia="en-AU"/>
                <w14:ligatures w14:val="none"/>
              </w:rPr>
            </w:pPr>
            <w:r w:rsidRPr="00246214">
              <w:rPr>
                <w:rFonts w:ascii="Calibri" w:eastAsia="Times New Roman" w:hAnsi="Calibri" w:cs="Calibri"/>
                <w:b/>
                <w:bCs/>
                <w:kern w:val="0"/>
                <w:lang w:eastAsia="en-AU"/>
                <w14:ligatures w14:val="none"/>
              </w:rPr>
              <w:t>Monitoring &amp; Adaptability Risk </w:t>
            </w:r>
          </w:p>
        </w:tc>
        <w:tc>
          <w:tcPr>
            <w:tcW w:w="3103" w:type="dxa"/>
            <w:gridSpan w:val="2"/>
            <w:shd w:val="clear" w:color="auto" w:fill="F2F2F2" w:themeFill="background1" w:themeFillShade="F2"/>
            <w:vAlign w:val="center"/>
            <w:hideMark/>
          </w:tcPr>
          <w:p w14:paraId="62FB3BA4"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Policy becomes ineffective without adjustment over time. </w:t>
            </w:r>
          </w:p>
        </w:tc>
        <w:tc>
          <w:tcPr>
            <w:tcW w:w="3150" w:type="dxa"/>
            <w:shd w:val="clear" w:color="auto" w:fill="F2F2F2" w:themeFill="background1" w:themeFillShade="F2"/>
            <w:vAlign w:val="center"/>
            <w:hideMark/>
          </w:tcPr>
          <w:p w14:paraId="5B2BEED9"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Almost Certain / Moderate — No structured mechanism exists to refine tariff outcomes. </w:t>
            </w:r>
          </w:p>
        </w:tc>
        <w:tc>
          <w:tcPr>
            <w:tcW w:w="1260" w:type="dxa"/>
            <w:gridSpan w:val="2"/>
            <w:shd w:val="clear" w:color="auto" w:fill="F2F2F2" w:themeFill="background1" w:themeFillShade="F2"/>
            <w:vAlign w:val="center"/>
            <w:hideMark/>
          </w:tcPr>
          <w:p w14:paraId="3F76E6BB"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Segoe UI Emoji" w:eastAsia="Times New Roman" w:hAnsi="Segoe UI Emoji" w:cs="Segoe UI"/>
                <w:kern w:val="0"/>
                <w:lang w:eastAsia="en-AU"/>
                <w14:ligatures w14:val="none"/>
              </w:rPr>
              <w:t>🟥</w:t>
            </w:r>
            <w:r w:rsidRPr="00246214">
              <w:rPr>
                <w:rFonts w:ascii="Calibri" w:eastAsia="Times New Roman" w:hAnsi="Calibri" w:cs="Calibri"/>
                <w:kern w:val="0"/>
                <w:lang w:eastAsia="en-AU"/>
                <w14:ligatures w14:val="none"/>
              </w:rPr>
              <w:t> </w:t>
            </w:r>
            <w:r w:rsidRPr="00246214">
              <w:rPr>
                <w:rFonts w:ascii="Calibri" w:eastAsia="Times New Roman" w:hAnsi="Calibri" w:cs="Calibri"/>
                <w:b/>
                <w:bCs/>
                <w:kern w:val="0"/>
                <w:lang w:eastAsia="en-AU"/>
                <w14:ligatures w14:val="none"/>
              </w:rPr>
              <w:t>HIGH</w:t>
            </w:r>
            <w:r w:rsidRPr="00246214">
              <w:rPr>
                <w:rFonts w:ascii="Calibri" w:eastAsia="Times New Roman" w:hAnsi="Calibri" w:cs="Calibri"/>
                <w:kern w:val="0"/>
                <w:lang w:eastAsia="en-AU"/>
                <w14:ligatures w14:val="none"/>
              </w:rPr>
              <w:t> </w:t>
            </w:r>
          </w:p>
        </w:tc>
        <w:tc>
          <w:tcPr>
            <w:tcW w:w="3218" w:type="dxa"/>
            <w:gridSpan w:val="2"/>
            <w:shd w:val="clear" w:color="auto" w:fill="F2F2F2" w:themeFill="background1" w:themeFillShade="F2"/>
            <w:vAlign w:val="center"/>
            <w:hideMark/>
          </w:tcPr>
          <w:p w14:paraId="4F7E5CFD"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Calibri" w:eastAsia="Times New Roman" w:hAnsi="Calibri" w:cs="Calibri"/>
                <w:kern w:val="0"/>
                <w:lang w:eastAsia="en-AU"/>
                <w14:ligatures w14:val="none"/>
              </w:rPr>
              <w:t>Unlikely / Minor — Ongoing AER / ACCC oversight and scheduled review enable refinement following implementation. </w:t>
            </w:r>
          </w:p>
        </w:tc>
        <w:tc>
          <w:tcPr>
            <w:tcW w:w="1371" w:type="dxa"/>
            <w:shd w:val="clear" w:color="auto" w:fill="F2F2F2" w:themeFill="background1" w:themeFillShade="F2"/>
            <w:vAlign w:val="center"/>
            <w:hideMark/>
          </w:tcPr>
          <w:p w14:paraId="3DC23392" w14:textId="77777777" w:rsidR="00246214" w:rsidRPr="00246214" w:rsidRDefault="00246214" w:rsidP="00246214">
            <w:pPr>
              <w:spacing w:after="0" w:line="240" w:lineRule="auto"/>
              <w:textAlignment w:val="baseline"/>
              <w:rPr>
                <w:rFonts w:ascii="Segoe UI" w:eastAsia="Times New Roman" w:hAnsi="Segoe UI" w:cs="Segoe UI"/>
                <w:kern w:val="0"/>
                <w:sz w:val="18"/>
                <w:szCs w:val="18"/>
                <w:lang w:eastAsia="en-AU"/>
                <w14:ligatures w14:val="none"/>
              </w:rPr>
            </w:pPr>
            <w:r w:rsidRPr="00246214">
              <w:rPr>
                <w:rFonts w:ascii="Segoe UI Emoji" w:eastAsia="Times New Roman" w:hAnsi="Segoe UI Emoji" w:cs="Segoe UI"/>
                <w:kern w:val="0"/>
                <w:lang w:eastAsia="en-AU"/>
                <w14:ligatures w14:val="none"/>
              </w:rPr>
              <w:t>🟩</w:t>
            </w:r>
            <w:r w:rsidRPr="00246214">
              <w:rPr>
                <w:rFonts w:ascii="Calibri" w:eastAsia="Times New Roman" w:hAnsi="Calibri" w:cs="Calibri"/>
                <w:kern w:val="0"/>
                <w:lang w:eastAsia="en-AU"/>
                <w14:ligatures w14:val="none"/>
              </w:rPr>
              <w:t> </w:t>
            </w:r>
            <w:r w:rsidRPr="00246214">
              <w:rPr>
                <w:rFonts w:ascii="Calibri" w:eastAsia="Times New Roman" w:hAnsi="Calibri" w:cs="Calibri"/>
                <w:b/>
                <w:bCs/>
                <w:kern w:val="0"/>
                <w:lang w:eastAsia="en-AU"/>
                <w14:ligatures w14:val="none"/>
              </w:rPr>
              <w:t>LOW</w:t>
            </w:r>
            <w:r w:rsidRPr="00246214">
              <w:rPr>
                <w:rFonts w:ascii="Calibri" w:eastAsia="Times New Roman" w:hAnsi="Calibri" w:cs="Calibri"/>
                <w:kern w:val="0"/>
                <w:lang w:eastAsia="en-AU"/>
                <w14:ligatures w14:val="none"/>
              </w:rPr>
              <w:t> </w:t>
            </w:r>
          </w:p>
        </w:tc>
      </w:tr>
    </w:tbl>
    <w:p w14:paraId="39CAB6ED" w14:textId="77777777" w:rsidR="006613D5" w:rsidRPr="00B5064E" w:rsidRDefault="006613D5" w:rsidP="00366DB0">
      <w:pPr>
        <w:rPr>
          <w:rFonts w:ascii="Calibri" w:hAnsi="Calibri" w:cs="Calibri"/>
          <w:b/>
          <w:bCs/>
          <w:iCs/>
        </w:rPr>
        <w:sectPr w:rsidR="006613D5" w:rsidRPr="00B5064E" w:rsidSect="00366DB0">
          <w:pgSz w:w="16838" w:h="11906" w:orient="landscape"/>
          <w:pgMar w:top="1440" w:right="1440" w:bottom="1440" w:left="1440" w:header="708" w:footer="708" w:gutter="0"/>
          <w:cols w:space="708"/>
          <w:titlePg/>
          <w:docGrid w:linePitch="360"/>
        </w:sectPr>
      </w:pPr>
    </w:p>
    <w:p w14:paraId="359E21CC" w14:textId="62E24AB9" w:rsidR="00C46629" w:rsidRPr="00B5064E" w:rsidRDefault="00C46629" w:rsidP="00881370">
      <w:pPr>
        <w:pStyle w:val="Heading1"/>
        <w:spacing w:before="160" w:after="120"/>
        <w:rPr>
          <w:rFonts w:ascii="Calibri" w:hAnsi="Calibri" w:cs="Calibri"/>
          <w:b/>
          <w:bCs/>
        </w:rPr>
      </w:pPr>
      <w:bookmarkStart w:id="46" w:name="_Toc222842793"/>
      <w:r w:rsidRPr="00B5064E">
        <w:rPr>
          <w:rFonts w:ascii="Calibri" w:hAnsi="Calibri" w:cs="Calibri"/>
          <w:b/>
          <w:bCs/>
        </w:rPr>
        <w:lastRenderedPageBreak/>
        <w:t xml:space="preserve">What </w:t>
      </w:r>
      <w:r w:rsidR="0032690A" w:rsidRPr="00B5064E">
        <w:rPr>
          <w:rFonts w:ascii="Calibri" w:hAnsi="Calibri" w:cs="Calibri"/>
          <w:b/>
          <w:bCs/>
        </w:rPr>
        <w:t>were</w:t>
      </w:r>
      <w:r w:rsidRPr="00B5064E">
        <w:rPr>
          <w:rFonts w:ascii="Calibri" w:hAnsi="Calibri" w:cs="Calibri"/>
          <w:b/>
          <w:bCs/>
        </w:rPr>
        <w:t xml:space="preserve"> the core analytical methods </w:t>
      </w:r>
      <w:r w:rsidR="0032690A" w:rsidRPr="00B5064E">
        <w:rPr>
          <w:rFonts w:ascii="Calibri" w:hAnsi="Calibri" w:cs="Calibri"/>
          <w:b/>
          <w:bCs/>
        </w:rPr>
        <w:t xml:space="preserve">undertaken </w:t>
      </w:r>
      <w:r w:rsidRPr="00B5064E">
        <w:rPr>
          <w:rFonts w:ascii="Calibri" w:hAnsi="Calibri" w:cs="Calibri"/>
          <w:b/>
          <w:bCs/>
        </w:rPr>
        <w:t>for the SSO Impact Assessment?</w:t>
      </w:r>
      <w:bookmarkEnd w:id="46"/>
    </w:p>
    <w:p w14:paraId="76E67F7B" w14:textId="17EFC4DF" w:rsidR="00C82100" w:rsidRPr="00B5064E" w:rsidRDefault="00CA2A27" w:rsidP="00CA2A27">
      <w:pPr>
        <w:rPr>
          <w:rFonts w:ascii="Calibri" w:hAnsi="Calibri" w:cs="Calibri"/>
          <w:color w:val="000000" w:themeColor="text1"/>
          <w:szCs w:val="18"/>
          <w:lang w:val="en-GB"/>
        </w:rPr>
      </w:pPr>
      <w:r w:rsidRPr="00B5064E">
        <w:rPr>
          <w:rFonts w:ascii="Calibri" w:hAnsi="Calibri" w:cs="Calibri"/>
          <w:color w:val="000000" w:themeColor="text1"/>
          <w:szCs w:val="18"/>
          <w:lang w:val="en-GB"/>
        </w:rPr>
        <w:t xml:space="preserve">The Department </w:t>
      </w:r>
      <w:r w:rsidR="00D130CE" w:rsidRPr="00B5064E">
        <w:rPr>
          <w:rFonts w:ascii="Calibri" w:hAnsi="Calibri" w:cs="Calibri"/>
          <w:color w:val="000000" w:themeColor="text1"/>
          <w:szCs w:val="18"/>
          <w:lang w:val="en-GB"/>
        </w:rPr>
        <w:t>used a variety of information sources</w:t>
      </w:r>
      <w:r w:rsidRPr="00B5064E">
        <w:rPr>
          <w:rFonts w:ascii="Calibri" w:hAnsi="Calibri" w:cs="Calibri"/>
          <w:color w:val="000000" w:themeColor="text1"/>
          <w:szCs w:val="18"/>
          <w:lang w:val="en-GB"/>
        </w:rPr>
        <w:t xml:space="preserve"> to inform the design of the Solar Share Offer (SSO</w:t>
      </w:r>
      <w:r w:rsidR="001F4170" w:rsidRPr="00B5064E">
        <w:rPr>
          <w:rFonts w:ascii="Calibri" w:hAnsi="Calibri" w:cs="Calibri"/>
          <w:color w:val="000000" w:themeColor="text1"/>
          <w:szCs w:val="18"/>
          <w:lang w:val="en-GB"/>
        </w:rPr>
        <w:t xml:space="preserve">) including the AER Residential Energy Consumption Benchmarks, publicly available tariff information, Energy Made Easy market data, and wholesale pricing data. </w:t>
      </w:r>
      <w:r w:rsidRPr="00B5064E">
        <w:rPr>
          <w:rFonts w:ascii="Calibri" w:hAnsi="Calibri" w:cs="Calibri"/>
          <w:color w:val="000000" w:themeColor="text1"/>
          <w:szCs w:val="18"/>
          <w:lang w:val="en-GB"/>
        </w:rPr>
        <w:t>Th</w:t>
      </w:r>
      <w:r w:rsidR="000D34A3" w:rsidRPr="00B5064E">
        <w:rPr>
          <w:rFonts w:ascii="Calibri" w:hAnsi="Calibri" w:cs="Calibri"/>
          <w:color w:val="000000" w:themeColor="text1"/>
          <w:szCs w:val="18"/>
          <w:lang w:val="en-GB"/>
        </w:rPr>
        <w:t xml:space="preserve">e Department </w:t>
      </w:r>
      <w:r w:rsidRPr="00B5064E">
        <w:rPr>
          <w:rFonts w:ascii="Calibri" w:hAnsi="Calibri" w:cs="Calibri"/>
          <w:color w:val="000000" w:themeColor="text1"/>
          <w:szCs w:val="18"/>
          <w:lang w:val="en-GB"/>
        </w:rPr>
        <w:t>examined potential bill impacts, the scale and distribution of customer benefits, interactions with network tariffs, reasonable-use threshold settings, and the treatment of controlled load arrangements, supporting a balanced and implementable policy design.</w:t>
      </w:r>
      <w:r w:rsidR="00396F6E" w:rsidRPr="00B5064E">
        <w:rPr>
          <w:rFonts w:ascii="Calibri" w:hAnsi="Calibri" w:cs="Calibri"/>
          <w:color w:val="000000" w:themeColor="text1"/>
          <w:szCs w:val="18"/>
          <w:lang w:val="en-GB"/>
        </w:rPr>
        <w:t xml:space="preserve"> </w:t>
      </w:r>
    </w:p>
    <w:p w14:paraId="0E835146" w14:textId="494DE3B8" w:rsidR="00C46629" w:rsidRPr="00AA089B" w:rsidRDefault="00C46629" w:rsidP="00881370">
      <w:pPr>
        <w:pStyle w:val="Heading2"/>
        <w:spacing w:after="120"/>
        <w:rPr>
          <w:rFonts w:ascii="Calibri" w:hAnsi="Calibri" w:cs="Calibri"/>
          <w:sz w:val="28"/>
          <w:szCs w:val="28"/>
          <w:lang w:val="en-GB"/>
        </w:rPr>
      </w:pPr>
      <w:bookmarkStart w:id="47" w:name="_Toc222842794"/>
      <w:r w:rsidRPr="00B5064E">
        <w:rPr>
          <w:rFonts w:ascii="Calibri" w:hAnsi="Calibri" w:cs="Calibri"/>
        </w:rPr>
        <w:t>A — System and Consumer Benefits</w:t>
      </w:r>
      <w:bookmarkEnd w:id="47"/>
      <w:r w:rsidRPr="00B5064E">
        <w:rPr>
          <w:rFonts w:ascii="Calibri" w:hAnsi="Calibri" w:cs="Calibri"/>
        </w:rPr>
        <w:t xml:space="preserve"> </w:t>
      </w:r>
    </w:p>
    <w:p w14:paraId="5C9F6EC9" w14:textId="77777777" w:rsidR="00F607CD" w:rsidRPr="00B5064E" w:rsidRDefault="00F607CD" w:rsidP="00F93528">
      <w:pPr>
        <w:spacing w:line="240" w:lineRule="auto"/>
        <w:rPr>
          <w:rFonts w:ascii="Calibri" w:hAnsi="Calibri" w:cs="Calibri"/>
          <w:color w:val="000000" w:themeColor="text1"/>
          <w:szCs w:val="18"/>
        </w:rPr>
      </w:pPr>
      <w:r w:rsidRPr="00B5064E">
        <w:rPr>
          <w:rFonts w:ascii="Calibri" w:hAnsi="Calibri" w:cs="Calibri"/>
          <w:color w:val="000000" w:themeColor="text1"/>
          <w:szCs w:val="18"/>
        </w:rPr>
        <w:t>The Department conducted detailed analysis to evaluate the extent to which the SSO improves consumer outcomes and system efficiency. This included:</w:t>
      </w:r>
    </w:p>
    <w:p w14:paraId="19FD646E" w14:textId="1C8C2A80" w:rsidR="000A11B4" w:rsidRPr="00B5064E" w:rsidRDefault="009B71BA" w:rsidP="00CF405C">
      <w:pPr>
        <w:pStyle w:val="ListParagraph"/>
        <w:numPr>
          <w:ilvl w:val="0"/>
          <w:numId w:val="18"/>
        </w:numPr>
        <w:spacing w:before="120" w:after="120"/>
        <w:ind w:left="714" w:hanging="357"/>
        <w:contextualSpacing w:val="0"/>
        <w:rPr>
          <w:rFonts w:ascii="Calibri" w:hAnsi="Calibri" w:cs="Calibri"/>
          <w:color w:val="000000" w:themeColor="text1"/>
          <w:szCs w:val="18"/>
        </w:rPr>
      </w:pPr>
      <w:r w:rsidRPr="00B5064E">
        <w:rPr>
          <w:rFonts w:ascii="Calibri" w:hAnsi="Calibri" w:cs="Calibri"/>
          <w:b/>
          <w:bCs/>
          <w:color w:val="000000" w:themeColor="text1"/>
          <w:szCs w:val="18"/>
        </w:rPr>
        <w:t>Bill impact and Market analysis</w:t>
      </w:r>
      <w:r w:rsidRPr="00B5064E">
        <w:rPr>
          <w:rFonts w:ascii="Calibri" w:hAnsi="Calibri" w:cs="Calibri"/>
          <w:color w:val="000000" w:themeColor="text1"/>
          <w:szCs w:val="18"/>
        </w:rPr>
        <w:t> Bill impact analysis was undertaken across both DMO and non-DMO regions, including assessment of existing retail market offers, retailer tariff structures, free power period offerings, and potential cross-subsidisation risks. This analysis considered how the SSO may interact with current market products and cost recovery mechanisms.  </w:t>
      </w:r>
    </w:p>
    <w:p w14:paraId="0F8023AE" w14:textId="1AE5C739" w:rsidR="004F7B7F" w:rsidRPr="00B5064E" w:rsidRDefault="008A1B99" w:rsidP="00AA4000">
      <w:pPr>
        <w:numPr>
          <w:ilvl w:val="0"/>
          <w:numId w:val="9"/>
        </w:numPr>
        <w:spacing w:before="120" w:after="120"/>
        <w:ind w:left="714" w:hanging="357"/>
        <w:rPr>
          <w:rFonts w:ascii="Calibri" w:hAnsi="Calibri" w:cs="Calibri"/>
          <w:color w:val="000000" w:themeColor="text1"/>
          <w:szCs w:val="18"/>
        </w:rPr>
      </w:pPr>
      <w:r w:rsidRPr="00B5064E">
        <w:rPr>
          <w:rFonts w:ascii="Calibri" w:hAnsi="Calibri" w:cs="Calibri"/>
          <w:b/>
          <w:bCs/>
          <w:color w:val="000000" w:themeColor="text1"/>
          <w:szCs w:val="18"/>
        </w:rPr>
        <w:t>Network Tariff Impact:</w:t>
      </w:r>
      <w:r w:rsidRPr="00B5064E">
        <w:rPr>
          <w:rFonts w:ascii="Calibri" w:hAnsi="Calibri" w:cs="Calibri"/>
          <w:color w:val="000000" w:themeColor="text1"/>
          <w:szCs w:val="18"/>
        </w:rPr>
        <w:t xml:space="preserve"> The Department assessed network tariff impacts, including indicative </w:t>
      </w:r>
      <w:r w:rsidR="00EC5F33" w:rsidRPr="00B5064E">
        <w:rPr>
          <w:rFonts w:ascii="Calibri" w:hAnsi="Calibri" w:cs="Calibri"/>
          <w:color w:val="000000" w:themeColor="text1"/>
          <w:szCs w:val="18"/>
        </w:rPr>
        <w:t xml:space="preserve">analysis </w:t>
      </w:r>
      <w:r w:rsidRPr="00B5064E">
        <w:rPr>
          <w:rFonts w:ascii="Calibri" w:hAnsi="Calibri" w:cs="Calibri"/>
          <w:color w:val="000000" w:themeColor="text1"/>
          <w:szCs w:val="18"/>
        </w:rPr>
        <w:t>of variable network charges payable by retailers where households shift consumption into the free power period (for example, approximately 2</w:t>
      </w:r>
      <w:r w:rsidR="0098693C" w:rsidRPr="00B5064E">
        <w:rPr>
          <w:rFonts w:ascii="Calibri" w:hAnsi="Calibri" w:cs="Calibri"/>
          <w:color w:val="000000" w:themeColor="text1"/>
          <w:szCs w:val="18"/>
        </w:rPr>
        <w:t>0</w:t>
      </w:r>
      <w:r w:rsidRPr="00B5064E">
        <w:rPr>
          <w:rFonts w:ascii="Calibri" w:hAnsi="Calibri" w:cs="Calibri"/>
          <w:color w:val="000000" w:themeColor="text1"/>
          <w:szCs w:val="18"/>
        </w:rPr>
        <w:t xml:space="preserve"> kWh during an indicative 11am–2pm window), based on current network usage charges</w:t>
      </w:r>
      <w:r w:rsidR="00806F8C" w:rsidRPr="00B5064E">
        <w:rPr>
          <w:rFonts w:ascii="Calibri" w:hAnsi="Calibri" w:cs="Calibri"/>
          <w:color w:val="000000" w:themeColor="text1"/>
          <w:szCs w:val="18"/>
        </w:rPr>
        <w:t xml:space="preserve">. </w:t>
      </w:r>
    </w:p>
    <w:p w14:paraId="1155E355" w14:textId="7B01F114" w:rsidR="00F739EC" w:rsidRPr="00B5064E" w:rsidRDefault="008A1B99" w:rsidP="00366EF3">
      <w:pPr>
        <w:numPr>
          <w:ilvl w:val="0"/>
          <w:numId w:val="9"/>
        </w:numPr>
        <w:spacing w:before="120" w:after="120"/>
        <w:ind w:left="714" w:hanging="357"/>
        <w:rPr>
          <w:rFonts w:ascii="Calibri" w:hAnsi="Calibri" w:cs="Calibri"/>
          <w:color w:val="000000" w:themeColor="text1"/>
          <w:szCs w:val="18"/>
        </w:rPr>
      </w:pPr>
      <w:r w:rsidRPr="3AE2F883">
        <w:rPr>
          <w:rFonts w:ascii="Calibri" w:hAnsi="Calibri" w:cs="Calibri"/>
          <w:b/>
          <w:color w:val="000000" w:themeColor="text1"/>
        </w:rPr>
        <w:t>Reasonable use threshold assessment:</w:t>
      </w:r>
      <w:r w:rsidRPr="3AE2F883">
        <w:rPr>
          <w:rFonts w:ascii="Calibri" w:hAnsi="Calibri" w:cs="Calibri"/>
          <w:color w:val="000000" w:themeColor="text1"/>
        </w:rPr>
        <w:t xml:space="preserve"> The </w:t>
      </w:r>
      <w:r w:rsidR="00E752FC" w:rsidRPr="3AE2F883">
        <w:rPr>
          <w:rFonts w:ascii="Calibri" w:hAnsi="Calibri" w:cs="Calibri"/>
          <w:color w:val="000000" w:themeColor="text1"/>
        </w:rPr>
        <w:t>Department considered</w:t>
      </w:r>
      <w:r w:rsidR="001D2014" w:rsidRPr="3AE2F883">
        <w:rPr>
          <w:rFonts w:ascii="Calibri" w:hAnsi="Calibri" w:cs="Calibri"/>
          <w:color w:val="000000" w:themeColor="text1"/>
        </w:rPr>
        <w:t xml:space="preserve"> a range of information sources when determining the reasonable use threshold assessment</w:t>
      </w:r>
      <w:r w:rsidR="003554F8" w:rsidRPr="3AE2F883">
        <w:rPr>
          <w:rFonts w:ascii="Calibri" w:hAnsi="Calibri" w:cs="Calibri"/>
          <w:color w:val="000000" w:themeColor="text1"/>
        </w:rPr>
        <w:t xml:space="preserve"> including broad stakeholder feedback and </w:t>
      </w:r>
      <w:r w:rsidR="00653D50" w:rsidRPr="3AE2F883">
        <w:rPr>
          <w:rFonts w:ascii="Calibri" w:hAnsi="Calibri" w:cs="Calibri"/>
          <w:color w:val="000000" w:themeColor="text1"/>
        </w:rPr>
        <w:t>the</w:t>
      </w:r>
      <w:r w:rsidR="001D2014" w:rsidRPr="3AE2F883">
        <w:rPr>
          <w:rFonts w:ascii="Calibri" w:hAnsi="Calibri" w:cs="Calibri"/>
          <w:color w:val="000000" w:themeColor="text1"/>
        </w:rPr>
        <w:t xml:space="preserve"> </w:t>
      </w:r>
      <w:r w:rsidR="00953C16" w:rsidRPr="3AE2F883">
        <w:rPr>
          <w:rFonts w:ascii="Calibri" w:hAnsi="Calibri" w:cs="Calibri"/>
          <w:i/>
          <w:color w:val="000000" w:themeColor="text1"/>
        </w:rPr>
        <w:t>A</w:t>
      </w:r>
      <w:r w:rsidR="00C86360" w:rsidRPr="3AE2F883">
        <w:rPr>
          <w:rFonts w:ascii="Calibri" w:hAnsi="Calibri" w:cs="Calibri"/>
          <w:i/>
          <w:color w:val="000000" w:themeColor="text1"/>
        </w:rPr>
        <w:t>ER’s Residential energy consumption benchmarks</w:t>
      </w:r>
      <w:r w:rsidR="00C86360" w:rsidRPr="3AE2F883">
        <w:rPr>
          <w:rStyle w:val="FootnoteReference"/>
          <w:rFonts w:ascii="Calibri" w:hAnsi="Calibri" w:cs="Calibri"/>
          <w:i/>
          <w:color w:val="000000" w:themeColor="text1"/>
        </w:rPr>
        <w:footnoteReference w:id="15"/>
      </w:r>
      <w:r w:rsidR="00D81FE0" w:rsidRPr="3AE2F883">
        <w:rPr>
          <w:rFonts w:ascii="Calibri" w:hAnsi="Calibri" w:cs="Calibri"/>
          <w:i/>
          <w:color w:val="000000" w:themeColor="text1"/>
        </w:rPr>
        <w:t xml:space="preserve"> </w:t>
      </w:r>
      <w:r w:rsidR="00C80C9C" w:rsidRPr="3AE2F883">
        <w:rPr>
          <w:rFonts w:ascii="Calibri" w:hAnsi="Calibri" w:cs="Calibri"/>
          <w:color w:val="000000" w:themeColor="text1"/>
        </w:rPr>
        <w:t>for the</w:t>
      </w:r>
      <w:r w:rsidR="007D7780" w:rsidRPr="3AE2F883">
        <w:rPr>
          <w:rFonts w:ascii="Calibri" w:hAnsi="Calibri" w:cs="Calibri"/>
          <w:color w:val="000000" w:themeColor="text1"/>
        </w:rPr>
        <w:t xml:space="preserve"> DMO regions.</w:t>
      </w:r>
      <w:r w:rsidR="008F6DA3" w:rsidRPr="3AE2F883">
        <w:rPr>
          <w:rFonts w:ascii="Calibri" w:hAnsi="Calibri" w:cs="Calibri"/>
          <w:color w:val="000000" w:themeColor="text1"/>
        </w:rPr>
        <w:t xml:space="preserve"> </w:t>
      </w:r>
      <w:r w:rsidR="000D23E2" w:rsidRPr="3AE2F883">
        <w:rPr>
          <w:rFonts w:ascii="Calibri" w:hAnsi="Calibri" w:cs="Calibri"/>
          <w:color w:val="000000" w:themeColor="text1"/>
        </w:rPr>
        <w:t>T</w:t>
      </w:r>
      <w:r w:rsidR="0048351C" w:rsidRPr="3AE2F883">
        <w:rPr>
          <w:rFonts w:ascii="Calibri" w:hAnsi="Calibri" w:cs="Calibri"/>
          <w:color w:val="000000" w:themeColor="text1"/>
        </w:rPr>
        <w:t>he AER data provides a single average consumption benchmark by household size in each region. While this benchmark captures key drivers of electricity consumption, it does not reflect all household-specific factors, and actual consumption may be materially higher or lower for reasons such as appliance stock, dwelling characteristics or occupancy patterns</w:t>
      </w:r>
      <w:r w:rsidR="004E1463" w:rsidRPr="3AE2F883">
        <w:rPr>
          <w:rFonts w:ascii="Calibri" w:hAnsi="Calibri" w:cs="Calibri"/>
          <w:color w:val="000000" w:themeColor="text1"/>
        </w:rPr>
        <w:t>.</w:t>
      </w:r>
      <w:r w:rsidR="00D81FE0" w:rsidRPr="3AE2F883">
        <w:rPr>
          <w:rFonts w:ascii="Calibri" w:hAnsi="Calibri" w:cs="Calibri"/>
          <w:i/>
          <w:color w:val="000000" w:themeColor="text1"/>
        </w:rPr>
        <w:t xml:space="preserve"> </w:t>
      </w:r>
    </w:p>
    <w:p w14:paraId="4CB00DE3" w14:textId="140D552A" w:rsidR="00372625" w:rsidRPr="00B5064E" w:rsidRDefault="00F739EC" w:rsidP="00372625">
      <w:pPr>
        <w:spacing w:before="120" w:after="120"/>
        <w:ind w:left="714"/>
        <w:rPr>
          <w:rFonts w:ascii="Calibri" w:hAnsi="Calibri" w:cs="Calibri"/>
          <w:color w:val="000000" w:themeColor="text1"/>
          <w:szCs w:val="18"/>
        </w:rPr>
      </w:pPr>
      <w:r w:rsidRPr="00B5064E">
        <w:rPr>
          <w:rFonts w:ascii="Calibri" w:hAnsi="Calibri" w:cs="Calibri"/>
          <w:color w:val="000000" w:themeColor="text1"/>
          <w:szCs w:val="18"/>
        </w:rPr>
        <w:t xml:space="preserve">This informed the development of two kWh-based options </w:t>
      </w:r>
      <w:r w:rsidR="00372625" w:rsidRPr="00B5064E">
        <w:rPr>
          <w:rFonts w:ascii="Calibri" w:hAnsi="Calibri" w:cs="Calibri"/>
          <w:color w:val="000000" w:themeColor="text1"/>
          <w:szCs w:val="18"/>
        </w:rPr>
        <w:t>for two household sizes</w:t>
      </w:r>
      <w:r w:rsidRPr="00B5064E">
        <w:rPr>
          <w:rFonts w:ascii="Calibri" w:hAnsi="Calibri" w:cs="Calibri"/>
          <w:color w:val="000000" w:themeColor="text1"/>
          <w:szCs w:val="18"/>
        </w:rPr>
        <w:t xml:space="preserve"> under the SSO retail tariff. </w:t>
      </w:r>
      <w:r w:rsidR="00372625" w:rsidRPr="00B5064E">
        <w:rPr>
          <w:rFonts w:ascii="Calibri" w:hAnsi="Calibri" w:cs="Calibri"/>
          <w:color w:val="000000" w:themeColor="text1"/>
          <w:szCs w:val="18"/>
        </w:rPr>
        <w:t>Th</w:t>
      </w:r>
      <w:r w:rsidR="003415B4" w:rsidRPr="00B5064E">
        <w:rPr>
          <w:rFonts w:ascii="Calibri" w:hAnsi="Calibri" w:cs="Calibri"/>
          <w:color w:val="000000" w:themeColor="text1"/>
          <w:szCs w:val="18"/>
        </w:rPr>
        <w:t>e</w:t>
      </w:r>
      <w:r w:rsidR="00372625" w:rsidRPr="00B5064E">
        <w:rPr>
          <w:rFonts w:ascii="Calibri" w:hAnsi="Calibri" w:cs="Calibri"/>
          <w:color w:val="000000" w:themeColor="text1"/>
          <w:szCs w:val="18"/>
        </w:rPr>
        <w:t xml:space="preserve"> cap </w:t>
      </w:r>
      <w:r w:rsidR="003415B4" w:rsidRPr="00B5064E">
        <w:rPr>
          <w:rFonts w:ascii="Calibri" w:hAnsi="Calibri" w:cs="Calibri"/>
          <w:color w:val="000000" w:themeColor="text1"/>
          <w:szCs w:val="18"/>
        </w:rPr>
        <w:t xml:space="preserve">was </w:t>
      </w:r>
      <w:r w:rsidR="00372625" w:rsidRPr="00B5064E">
        <w:rPr>
          <w:rFonts w:ascii="Calibri" w:hAnsi="Calibri" w:cs="Calibri"/>
          <w:color w:val="000000" w:themeColor="text1"/>
          <w:szCs w:val="18"/>
        </w:rPr>
        <w:t>set at an amount which is equivalent to an average five plus person household shifting its total daily electricity use in the free-power period</w:t>
      </w:r>
      <w:r w:rsidR="007D2E0C" w:rsidRPr="00B5064E">
        <w:rPr>
          <w:rFonts w:ascii="Calibri" w:hAnsi="Calibri" w:cs="Calibri"/>
          <w:color w:val="000000" w:themeColor="text1"/>
          <w:szCs w:val="18"/>
        </w:rPr>
        <w:t>, with a view to encouraging broad uptake of all household types</w:t>
      </w:r>
      <w:r w:rsidR="00372625" w:rsidRPr="00B5064E">
        <w:rPr>
          <w:rFonts w:ascii="Calibri" w:hAnsi="Calibri" w:cs="Calibri"/>
          <w:color w:val="000000" w:themeColor="text1"/>
          <w:szCs w:val="18"/>
        </w:rPr>
        <w:t xml:space="preserve">. </w:t>
      </w:r>
      <w:r w:rsidR="003415B4" w:rsidRPr="00B5064E">
        <w:rPr>
          <w:rFonts w:ascii="Calibri" w:hAnsi="Calibri" w:cs="Calibri"/>
          <w:color w:val="000000" w:themeColor="text1"/>
          <w:szCs w:val="18"/>
        </w:rPr>
        <w:t>As indicated in the report,</w:t>
      </w:r>
      <w:r w:rsidR="00372625" w:rsidRPr="00B5064E">
        <w:rPr>
          <w:rFonts w:ascii="Calibri" w:hAnsi="Calibri" w:cs="Calibri"/>
          <w:color w:val="000000" w:themeColor="text1"/>
          <w:szCs w:val="18"/>
        </w:rPr>
        <w:t xml:space="preserve"> </w:t>
      </w:r>
      <w:r w:rsidR="003415B4" w:rsidRPr="00B5064E">
        <w:rPr>
          <w:rFonts w:ascii="Calibri" w:hAnsi="Calibri" w:cs="Calibri"/>
          <w:color w:val="000000" w:themeColor="text1"/>
          <w:szCs w:val="18"/>
        </w:rPr>
        <w:t>a</w:t>
      </w:r>
      <w:r w:rsidR="00372625" w:rsidRPr="00B5064E">
        <w:rPr>
          <w:rFonts w:ascii="Calibri" w:hAnsi="Calibri" w:cs="Calibri"/>
          <w:color w:val="000000" w:themeColor="text1"/>
          <w:szCs w:val="18"/>
        </w:rPr>
        <w:t xml:space="preserve"> house</w:t>
      </w:r>
      <w:r w:rsidR="00FA7AED" w:rsidRPr="00B5064E">
        <w:rPr>
          <w:rFonts w:ascii="Calibri" w:hAnsi="Calibri" w:cs="Calibri"/>
          <w:color w:val="000000" w:themeColor="text1"/>
          <w:szCs w:val="18"/>
        </w:rPr>
        <w:t xml:space="preserve"> this size</w:t>
      </w:r>
      <w:r w:rsidR="00372625" w:rsidRPr="00B5064E">
        <w:rPr>
          <w:rFonts w:ascii="Calibri" w:hAnsi="Calibri" w:cs="Calibri"/>
          <w:color w:val="000000" w:themeColor="text1"/>
          <w:szCs w:val="18"/>
        </w:rPr>
        <w:t xml:space="preserve"> in a warmer climate zone would consume 8,800–9,700 kWh per year, depending on appliance mix and usage patterns. This equates to a daily average of between approximately 24–27 kWh. </w:t>
      </w:r>
    </w:p>
    <w:p w14:paraId="1911AE62" w14:textId="70BA3130" w:rsidR="00372625" w:rsidRPr="00B5064E" w:rsidRDefault="00372625" w:rsidP="00372625">
      <w:pPr>
        <w:spacing w:before="120" w:after="120"/>
        <w:ind w:left="714"/>
        <w:rPr>
          <w:rFonts w:ascii="Calibri" w:hAnsi="Calibri" w:cs="Calibri"/>
          <w:color w:val="000000" w:themeColor="text1"/>
          <w:szCs w:val="18"/>
        </w:rPr>
      </w:pPr>
      <w:r w:rsidRPr="3AE2F883">
        <w:rPr>
          <w:rFonts w:ascii="Calibri" w:hAnsi="Calibri" w:cs="Calibri"/>
          <w:color w:val="000000" w:themeColor="text1"/>
        </w:rPr>
        <w:t xml:space="preserve">In having regard to an appropriate daily cap, the </w:t>
      </w:r>
      <w:r w:rsidR="003E1D9E" w:rsidRPr="3AE2F883">
        <w:rPr>
          <w:rFonts w:ascii="Calibri" w:hAnsi="Calibri" w:cs="Calibri"/>
          <w:color w:val="000000" w:themeColor="text1"/>
        </w:rPr>
        <w:t>Department</w:t>
      </w:r>
      <w:r w:rsidRPr="3AE2F883">
        <w:rPr>
          <w:rFonts w:ascii="Calibri" w:hAnsi="Calibri" w:cs="Calibri"/>
          <w:color w:val="000000" w:themeColor="text1"/>
        </w:rPr>
        <w:t xml:space="preserve"> notes that the AER’s latest consumption data figures were from 2020, and that more recent data suggests average </w:t>
      </w:r>
      <w:r w:rsidRPr="3AE2F883">
        <w:rPr>
          <w:rFonts w:ascii="Calibri" w:hAnsi="Calibri" w:cs="Calibri"/>
          <w:color w:val="000000" w:themeColor="text1"/>
        </w:rPr>
        <w:lastRenderedPageBreak/>
        <w:t>household electricity consumption may be reducing slightly.</w:t>
      </w:r>
      <w:r w:rsidRPr="3AE2F883">
        <w:rPr>
          <w:rFonts w:ascii="Calibri" w:hAnsi="Calibri" w:cs="Calibri"/>
          <w:color w:val="000000" w:themeColor="text1"/>
          <w:vertAlign w:val="superscript"/>
        </w:rPr>
        <w:footnoteReference w:id="16"/>
      </w:r>
      <w:r w:rsidRPr="3AE2F883">
        <w:rPr>
          <w:rFonts w:ascii="Calibri" w:hAnsi="Calibri" w:cs="Calibri"/>
          <w:color w:val="000000" w:themeColor="text1"/>
        </w:rPr>
        <w:t xml:space="preserve"> This would make the lower end of the AER’s daily average range a reasonable use cap, at 24 kWh per day. </w:t>
      </w:r>
    </w:p>
    <w:p w14:paraId="4D4AC15E" w14:textId="1DEFBF0F" w:rsidR="00FE0207" w:rsidRPr="00B5064E" w:rsidRDefault="00FE0207" w:rsidP="00366EF3">
      <w:pPr>
        <w:numPr>
          <w:ilvl w:val="0"/>
          <w:numId w:val="9"/>
        </w:numPr>
        <w:spacing w:before="120" w:after="120"/>
        <w:ind w:left="714" w:hanging="357"/>
        <w:rPr>
          <w:rFonts w:ascii="Calibri" w:hAnsi="Calibri" w:cs="Calibri"/>
          <w:color w:val="000000" w:themeColor="text1"/>
          <w:szCs w:val="18"/>
        </w:rPr>
      </w:pPr>
      <w:r w:rsidRPr="00B5064E">
        <w:rPr>
          <w:rFonts w:ascii="Calibri" w:hAnsi="Calibri" w:cs="Calibri"/>
          <w:b/>
          <w:bCs/>
          <w:color w:val="000000" w:themeColor="text1"/>
          <w:szCs w:val="18"/>
        </w:rPr>
        <w:t>Controlled load analysis:</w:t>
      </w:r>
      <w:r w:rsidRPr="00B5064E">
        <w:rPr>
          <w:rFonts w:ascii="Calibri" w:hAnsi="Calibri" w:cs="Calibri"/>
          <w:color w:val="000000" w:themeColor="text1"/>
          <w:szCs w:val="18"/>
        </w:rPr>
        <w:t> </w:t>
      </w:r>
      <w:r w:rsidR="00EC5F33" w:rsidRPr="00B5064E">
        <w:rPr>
          <w:rFonts w:ascii="Calibri" w:hAnsi="Calibri" w:cs="Calibri"/>
          <w:color w:val="000000" w:themeColor="text1"/>
          <w:szCs w:val="18"/>
        </w:rPr>
        <w:t>A</w:t>
      </w:r>
      <w:r w:rsidRPr="00B5064E">
        <w:rPr>
          <w:rFonts w:ascii="Calibri" w:hAnsi="Calibri" w:cs="Calibri"/>
          <w:color w:val="000000" w:themeColor="text1"/>
          <w:szCs w:val="18"/>
        </w:rPr>
        <w:t>nalysis was undertaken on controlled load arrangements to examine potential risks to established demand management outcomes, including impacts on reliability, customer behaviour, load diversity and system integrity. This work also considered mitigation measures and retailer cost recovery implications, including changes to hedging exposure under the SSO, particularly during low-probability, high-impact demand events</w:t>
      </w:r>
    </w:p>
    <w:p w14:paraId="1AD22046" w14:textId="3DD8A311" w:rsidR="00C46629" w:rsidRPr="00B5064E" w:rsidRDefault="00C46629" w:rsidP="00881370">
      <w:pPr>
        <w:pStyle w:val="Heading2"/>
        <w:spacing w:after="120"/>
        <w:rPr>
          <w:rFonts w:ascii="Calibri" w:hAnsi="Calibri" w:cs="Calibri"/>
        </w:rPr>
      </w:pPr>
      <w:bookmarkStart w:id="48" w:name="_Toc222842795"/>
      <w:r w:rsidRPr="00B5064E">
        <w:rPr>
          <w:rFonts w:ascii="Calibri" w:hAnsi="Calibri" w:cs="Calibri"/>
        </w:rPr>
        <w:t>B — Market and Regulatory Impacts (Regulatory Burden</w:t>
      </w:r>
      <w:r w:rsidR="001C0A21" w:rsidRPr="00B5064E">
        <w:rPr>
          <w:rFonts w:ascii="Calibri" w:hAnsi="Calibri" w:cs="Calibri"/>
        </w:rPr>
        <w:t xml:space="preserve"> Estimate</w:t>
      </w:r>
      <w:r w:rsidRPr="00B5064E">
        <w:rPr>
          <w:rFonts w:ascii="Calibri" w:hAnsi="Calibri" w:cs="Calibri"/>
        </w:rPr>
        <w:t>)</w:t>
      </w:r>
      <w:bookmarkEnd w:id="48"/>
      <w:r w:rsidR="003B1946" w:rsidRPr="00B5064E">
        <w:rPr>
          <w:rFonts w:ascii="Calibri" w:hAnsi="Calibri" w:cs="Calibri"/>
        </w:rPr>
        <w:t xml:space="preserve"> </w:t>
      </w:r>
    </w:p>
    <w:p w14:paraId="5E9CE596" w14:textId="38997D7D" w:rsidR="0026635D" w:rsidRPr="00B5064E" w:rsidRDefault="00210635" w:rsidP="00D72618">
      <w:pPr>
        <w:rPr>
          <w:rFonts w:ascii="Calibri" w:hAnsi="Calibri" w:cs="Calibri"/>
        </w:rPr>
      </w:pPr>
      <w:r w:rsidRPr="00B5064E">
        <w:rPr>
          <w:rFonts w:ascii="Calibri" w:hAnsi="Calibri" w:cs="Calibri"/>
        </w:rPr>
        <w:t>This analysis examined the operational and regulatory impacts of implementing the SSO across consumers, retailers and networks. It considered implementation complexity, retailer hedging and cost recovery risks, and interactions with existing tariff structures and regulatory frameworks. To form a robust understanding of these impacts, the Department undertook extensive stakeholder consultation, including review of submissions and organised an engagement processes and targeted discussions with retailers regarding operational, compliance, and cost recovery considerations. The analysis also evaluated alignment with broader market incentives to minimise unnecessary regulatory burden while maintaining investment, retail innovation, and efficient market operation. Network tariff impacts were assessed through analysis of variable charges where households shift consumption into the free power period (e.g., ~24 kWh during an 11am–2pm window), enabling assessment of retailer exposure under different scenarios)</w:t>
      </w:r>
      <w:r w:rsidR="004B570E" w:rsidRPr="00B5064E">
        <w:rPr>
          <w:rFonts w:ascii="Calibri" w:hAnsi="Calibri" w:cs="Calibri"/>
        </w:rPr>
        <w:t>.</w:t>
      </w:r>
    </w:p>
    <w:p w14:paraId="188F872C" w14:textId="1F08A0FF" w:rsidR="00C46629" w:rsidRPr="00B5064E" w:rsidRDefault="00C46629" w:rsidP="00881370">
      <w:pPr>
        <w:pStyle w:val="Heading2"/>
        <w:spacing w:after="120"/>
        <w:rPr>
          <w:rFonts w:ascii="Calibri" w:hAnsi="Calibri" w:cs="Calibri"/>
        </w:rPr>
      </w:pPr>
      <w:bookmarkStart w:id="49" w:name="_Toc222842796"/>
      <w:r w:rsidRPr="00B5064E">
        <w:rPr>
          <w:rFonts w:ascii="Calibri" w:hAnsi="Calibri" w:cs="Calibri"/>
        </w:rPr>
        <w:t>C — Distributional and Equity Impacts</w:t>
      </w:r>
      <w:bookmarkEnd w:id="49"/>
    </w:p>
    <w:p w14:paraId="1779C2D7" w14:textId="4ED40358" w:rsidR="00C46629" w:rsidRPr="00B5064E" w:rsidRDefault="00DA1D22" w:rsidP="0003193D">
      <w:pPr>
        <w:rPr>
          <w:rFonts w:ascii="Calibri" w:hAnsi="Calibri" w:cs="Calibri"/>
          <w:b/>
          <w:bCs/>
          <w:color w:val="3A3A3A" w:themeColor="background2" w:themeShade="40"/>
          <w:sz w:val="50"/>
          <w:szCs w:val="72"/>
        </w:rPr>
      </w:pPr>
      <w:r w:rsidRPr="00B5064E">
        <w:rPr>
          <w:rFonts w:ascii="Calibri" w:hAnsi="Calibri" w:cs="Calibri"/>
          <w:color w:val="000000" w:themeColor="text1"/>
          <w:szCs w:val="18"/>
          <w:lang w:val="en-GB"/>
        </w:rPr>
        <w:t>Distributional and equity analysis focused on how the benefits and costs of the SSO are shared across different customer groups, including households with and without CER, renters, low-income households, and households unable to shift consumption. The Department assessed reasonable-use threshold options to balance benefits across these groups and examined controlled load arrangements to identify potential risks to demand management outcomes, reliability, load diversity, and system integrity. Mitigation measures, including retailer cost recovery strategies and adjustments under low-probability, high-impact demand events, were considered to ensure the SSO delivers equitable, fair, and affordable outcomes across the customer base.</w:t>
      </w:r>
    </w:p>
    <w:p w14:paraId="74C3CCF8" w14:textId="70AFA5EF" w:rsidR="00792936" w:rsidRPr="00B5064E" w:rsidRDefault="00792936" w:rsidP="00881370">
      <w:pPr>
        <w:pStyle w:val="Heading2"/>
        <w:spacing w:after="120"/>
        <w:rPr>
          <w:rFonts w:ascii="Calibri" w:hAnsi="Calibri" w:cs="Calibri"/>
        </w:rPr>
      </w:pPr>
      <w:bookmarkStart w:id="50" w:name="_Toc222842797"/>
      <w:r w:rsidRPr="00B5064E">
        <w:rPr>
          <w:rFonts w:ascii="Calibri" w:hAnsi="Calibri" w:cs="Calibri"/>
        </w:rPr>
        <w:t>International standards and comparative approaches</w:t>
      </w:r>
      <w:bookmarkEnd w:id="50"/>
    </w:p>
    <w:p w14:paraId="627A697B" w14:textId="77777777" w:rsidR="005E3DA6" w:rsidRPr="00B5064E" w:rsidRDefault="009C665C" w:rsidP="009C665C">
      <w:pPr>
        <w:rPr>
          <w:rFonts w:ascii="Calibri" w:hAnsi="Calibri" w:cs="Calibri"/>
        </w:rPr>
      </w:pPr>
      <w:r w:rsidRPr="00B5064E">
        <w:rPr>
          <w:rFonts w:ascii="Calibri" w:hAnsi="Calibri" w:cs="Calibri"/>
        </w:rPr>
        <w:t>There are no directly applicable international standards mandating the design of regulated “free power period” tariffs. While time-of-use (ToU) pricing and demand response programs are common internationally, fully regulated, nationally benchmarked standing offers incorporating a mandated zero-cost window aligned to renewable abundance are not widely adopted</w:t>
      </w:r>
      <w:r w:rsidR="005E3DA6" w:rsidRPr="00B5064E">
        <w:rPr>
          <w:rFonts w:ascii="Calibri" w:hAnsi="Calibri" w:cs="Calibri"/>
        </w:rPr>
        <w:t>.</w:t>
      </w:r>
    </w:p>
    <w:p w14:paraId="7E6DA673" w14:textId="77777777" w:rsidR="0079479D" w:rsidRPr="00B5064E" w:rsidRDefault="006202EC" w:rsidP="009C665C">
      <w:pPr>
        <w:rPr>
          <w:rFonts w:ascii="Calibri" w:hAnsi="Calibri" w:cs="Calibri"/>
        </w:rPr>
      </w:pPr>
      <w:r w:rsidRPr="00B5064E">
        <w:rPr>
          <w:rFonts w:ascii="Calibri" w:hAnsi="Calibri" w:cs="Calibri"/>
        </w:rPr>
        <w:t>Free Power Period (FPP) initiatives have been introduced by electricity retailers in several international jurisdictions, including New Zealand, the United Kingdom, and the United States. Across these markets, the core objective is broadly consistent: to incentivise consumers to shift electricity consumption from peak to off-peak periods in order to improve system efficiency and reduce network stress. However, these initiatives are typically voluntary, retailer-led market offers rather than regulated standing products.</w:t>
      </w:r>
    </w:p>
    <w:p w14:paraId="48C7C281" w14:textId="77777777" w:rsidR="00F264DE" w:rsidRPr="00B5064E" w:rsidRDefault="0079479D" w:rsidP="009C665C">
      <w:pPr>
        <w:rPr>
          <w:rFonts w:ascii="Calibri" w:hAnsi="Calibri" w:cs="Calibri"/>
        </w:rPr>
      </w:pPr>
      <w:r w:rsidRPr="00B5064E">
        <w:rPr>
          <w:rFonts w:ascii="Calibri" w:hAnsi="Calibri" w:cs="Calibri"/>
        </w:rPr>
        <w:lastRenderedPageBreak/>
        <w:t>In New Zealand, retailers such as Contact Energy</w:t>
      </w:r>
      <w:r w:rsidR="00727873" w:rsidRPr="00B5064E">
        <w:rPr>
          <w:rStyle w:val="FootnoteReference"/>
          <w:rFonts w:ascii="Calibri" w:hAnsi="Calibri" w:cs="Calibri"/>
        </w:rPr>
        <w:footnoteReference w:id="17"/>
      </w:r>
      <w:r w:rsidRPr="00B5064E">
        <w:rPr>
          <w:rFonts w:ascii="Calibri" w:hAnsi="Calibri" w:cs="Calibri"/>
        </w:rPr>
        <w:t xml:space="preserve"> and Electric Kiwi</w:t>
      </w:r>
      <w:r w:rsidR="00EA4FD1" w:rsidRPr="00B5064E">
        <w:rPr>
          <w:rStyle w:val="FootnoteReference"/>
          <w:rFonts w:ascii="Calibri" w:hAnsi="Calibri" w:cs="Calibri"/>
        </w:rPr>
        <w:footnoteReference w:id="18"/>
      </w:r>
      <w:r w:rsidRPr="00B5064E">
        <w:rPr>
          <w:rFonts w:ascii="Calibri" w:hAnsi="Calibri" w:cs="Calibri"/>
        </w:rPr>
        <w:t xml:space="preserve"> provide “free hour” or overnight free usage products, generally targeting late evening or overnight periods when demand is lower. In the United Kingdom, retailers including Ovo</w:t>
      </w:r>
      <w:r w:rsidR="009057D3" w:rsidRPr="00B5064E">
        <w:rPr>
          <w:rStyle w:val="FootnoteReference"/>
          <w:rFonts w:ascii="Calibri" w:hAnsi="Calibri" w:cs="Calibri"/>
        </w:rPr>
        <w:footnoteReference w:id="19"/>
      </w:r>
      <w:r w:rsidRPr="00B5064E">
        <w:rPr>
          <w:rFonts w:ascii="Calibri" w:hAnsi="Calibri" w:cs="Calibri"/>
        </w:rPr>
        <w:t xml:space="preserve"> and EDF</w:t>
      </w:r>
      <w:r w:rsidR="006E0618" w:rsidRPr="00B5064E">
        <w:rPr>
          <w:rStyle w:val="FootnoteReference"/>
          <w:rFonts w:ascii="Calibri" w:hAnsi="Calibri" w:cs="Calibri"/>
        </w:rPr>
        <w:footnoteReference w:id="20"/>
      </w:r>
      <w:r w:rsidRPr="00B5064E">
        <w:rPr>
          <w:rFonts w:ascii="Calibri" w:hAnsi="Calibri" w:cs="Calibri"/>
        </w:rPr>
        <w:t xml:space="preserve"> have offered dynamic or nominated-hour free electricity products, often rewarding customers for reducing peak consumption with access to discounted or free weekend hours. In the United States, FPP-style products offered by retailers such as Reliant Energy and Direct Energy</w:t>
      </w:r>
      <w:r w:rsidR="00ED1F37" w:rsidRPr="00B5064E">
        <w:rPr>
          <w:rStyle w:val="FootnoteReference"/>
          <w:rFonts w:ascii="Calibri" w:hAnsi="Calibri" w:cs="Calibri"/>
        </w:rPr>
        <w:footnoteReference w:id="21"/>
      </w:r>
      <w:r w:rsidRPr="00B5064E">
        <w:rPr>
          <w:rFonts w:ascii="Calibri" w:hAnsi="Calibri" w:cs="Calibri"/>
        </w:rPr>
        <w:t xml:space="preserve"> are commonly structured around overnight or weekend periods to encourage off-peak usage.</w:t>
      </w:r>
    </w:p>
    <w:p w14:paraId="5DE1D62D" w14:textId="4742B5ED" w:rsidR="00843AD1" w:rsidRPr="00B5064E" w:rsidRDefault="00843AD1" w:rsidP="00843AD1">
      <w:pPr>
        <w:rPr>
          <w:rFonts w:ascii="Calibri" w:hAnsi="Calibri" w:cs="Calibri"/>
        </w:rPr>
      </w:pPr>
      <w:r w:rsidRPr="00B5064E">
        <w:rPr>
          <w:rFonts w:ascii="Calibri" w:hAnsi="Calibri" w:cs="Calibri"/>
        </w:rPr>
        <w:t xml:space="preserve">These international models differ from the proposed </w:t>
      </w:r>
      <w:r w:rsidR="004B2149" w:rsidRPr="00B5064E">
        <w:rPr>
          <w:rFonts w:ascii="Calibri" w:hAnsi="Calibri" w:cs="Calibri"/>
        </w:rPr>
        <w:t>SSO</w:t>
      </w:r>
      <w:r w:rsidRPr="00B5064E">
        <w:rPr>
          <w:rFonts w:ascii="Calibri" w:hAnsi="Calibri" w:cs="Calibri"/>
        </w:rPr>
        <w:t xml:space="preserve"> in several important respects:</w:t>
      </w:r>
    </w:p>
    <w:p w14:paraId="3BE26BC4" w14:textId="2BEC6BCA" w:rsidR="00843AD1" w:rsidRPr="00B5064E" w:rsidRDefault="00843AD1" w:rsidP="00CF405C">
      <w:pPr>
        <w:numPr>
          <w:ilvl w:val="0"/>
          <w:numId w:val="19"/>
        </w:numPr>
        <w:spacing w:before="120" w:after="120"/>
        <w:ind w:left="714" w:hanging="357"/>
        <w:rPr>
          <w:rFonts w:ascii="Calibri" w:hAnsi="Calibri" w:cs="Calibri"/>
        </w:rPr>
      </w:pPr>
      <w:r w:rsidRPr="00B5064E">
        <w:rPr>
          <w:rFonts w:ascii="Calibri" w:hAnsi="Calibri" w:cs="Calibri"/>
          <w:b/>
          <w:bCs/>
        </w:rPr>
        <w:t>Timing rationale:</w:t>
      </w:r>
      <w:r w:rsidRPr="00B5064E">
        <w:rPr>
          <w:rFonts w:ascii="Calibri" w:hAnsi="Calibri" w:cs="Calibri"/>
        </w:rPr>
        <w:t xml:space="preserve"> Overseas FPPs typically target overnight</w:t>
      </w:r>
      <w:r w:rsidR="00425344" w:rsidRPr="00B5064E">
        <w:rPr>
          <w:rFonts w:ascii="Calibri" w:hAnsi="Calibri" w:cs="Calibri"/>
        </w:rPr>
        <w:t>,</w:t>
      </w:r>
      <w:r w:rsidRPr="00B5064E">
        <w:rPr>
          <w:rFonts w:ascii="Calibri" w:hAnsi="Calibri" w:cs="Calibri"/>
        </w:rPr>
        <w:t xml:space="preserve"> or shoulder periods aligned to traditional demand troughs. The Australian SSO is designed to align specifically with midday solar abundance, reflecting Australia’s uniquely high penetration of rooftop solar and increasing incidence of minimum demand events.</w:t>
      </w:r>
    </w:p>
    <w:p w14:paraId="784D1BDC" w14:textId="1D35392E" w:rsidR="00843AD1" w:rsidRPr="00B5064E" w:rsidRDefault="00843AD1" w:rsidP="00CF405C">
      <w:pPr>
        <w:numPr>
          <w:ilvl w:val="0"/>
          <w:numId w:val="19"/>
        </w:numPr>
        <w:spacing w:before="120" w:after="120"/>
        <w:ind w:left="714" w:hanging="357"/>
        <w:rPr>
          <w:rFonts w:ascii="Calibri" w:hAnsi="Calibri" w:cs="Calibri"/>
        </w:rPr>
      </w:pPr>
      <w:r w:rsidRPr="00B5064E">
        <w:rPr>
          <w:rFonts w:ascii="Calibri" w:hAnsi="Calibri" w:cs="Calibri"/>
          <w:b/>
          <w:bCs/>
        </w:rPr>
        <w:t>Regulatory status:</w:t>
      </w:r>
      <w:r w:rsidRPr="00B5064E">
        <w:rPr>
          <w:rFonts w:ascii="Calibri" w:hAnsi="Calibri" w:cs="Calibri"/>
        </w:rPr>
        <w:t xml:space="preserve"> International FPPs are predominantly competitive market offers. The SSO proposes a regulated standing offer embedded within the existing Default Market Offer (DMO) framework, with price cap oversight by the </w:t>
      </w:r>
      <w:r w:rsidR="0024333C">
        <w:rPr>
          <w:rFonts w:ascii="Calibri" w:hAnsi="Calibri" w:cs="Calibri"/>
        </w:rPr>
        <w:t>AER</w:t>
      </w:r>
      <w:r w:rsidRPr="00B5064E">
        <w:rPr>
          <w:rFonts w:ascii="Calibri" w:hAnsi="Calibri" w:cs="Calibri"/>
        </w:rPr>
        <w:t>.</w:t>
      </w:r>
    </w:p>
    <w:p w14:paraId="4132C913" w14:textId="654A1A84" w:rsidR="00843AD1" w:rsidRPr="00B5064E" w:rsidRDefault="00843AD1" w:rsidP="00CF405C">
      <w:pPr>
        <w:numPr>
          <w:ilvl w:val="0"/>
          <w:numId w:val="19"/>
        </w:numPr>
        <w:spacing w:before="120" w:after="120"/>
        <w:ind w:left="714" w:hanging="357"/>
        <w:rPr>
          <w:rFonts w:ascii="Calibri" w:hAnsi="Calibri" w:cs="Calibri"/>
        </w:rPr>
      </w:pPr>
      <w:r w:rsidRPr="00B5064E">
        <w:rPr>
          <w:rFonts w:ascii="Calibri" w:hAnsi="Calibri" w:cs="Calibri"/>
          <w:b/>
          <w:bCs/>
        </w:rPr>
        <w:t>Equity objective:</w:t>
      </w:r>
      <w:r w:rsidRPr="00B5064E">
        <w:rPr>
          <w:rFonts w:ascii="Calibri" w:hAnsi="Calibri" w:cs="Calibri"/>
        </w:rPr>
        <w:t xml:space="preserve"> Many international FPPs are primarily commercial products aimed at attracting customers. The SSO is designed as an equity-oriented structural reform to ensure that households without </w:t>
      </w:r>
      <w:r w:rsidR="004B2149" w:rsidRPr="00B5064E">
        <w:rPr>
          <w:rFonts w:ascii="Calibri" w:hAnsi="Calibri" w:cs="Calibri"/>
        </w:rPr>
        <w:t>CER</w:t>
      </w:r>
      <w:r w:rsidR="00C1287D" w:rsidRPr="00B5064E">
        <w:rPr>
          <w:rFonts w:ascii="Calibri" w:hAnsi="Calibri" w:cs="Calibri"/>
        </w:rPr>
        <w:t xml:space="preserve"> </w:t>
      </w:r>
      <w:r w:rsidRPr="00B5064E">
        <w:rPr>
          <w:rFonts w:ascii="Calibri" w:hAnsi="Calibri" w:cs="Calibri"/>
        </w:rPr>
        <w:t>can share in the benefits of abundant daytime renewable generation.</w:t>
      </w:r>
    </w:p>
    <w:p w14:paraId="5458A502" w14:textId="77777777" w:rsidR="00843AD1" w:rsidRPr="00B5064E" w:rsidRDefault="00843AD1" w:rsidP="00CF405C">
      <w:pPr>
        <w:numPr>
          <w:ilvl w:val="0"/>
          <w:numId w:val="19"/>
        </w:numPr>
        <w:spacing w:before="120" w:after="120"/>
        <w:ind w:left="714" w:hanging="357"/>
        <w:rPr>
          <w:rFonts w:ascii="Calibri" w:hAnsi="Calibri" w:cs="Calibri"/>
        </w:rPr>
      </w:pPr>
      <w:r w:rsidRPr="00B5064E">
        <w:rPr>
          <w:rFonts w:ascii="Calibri" w:hAnsi="Calibri" w:cs="Calibri"/>
          <w:b/>
          <w:bCs/>
        </w:rPr>
        <w:t>System integration purpose:</w:t>
      </w:r>
      <w:r w:rsidRPr="00B5064E">
        <w:rPr>
          <w:rFonts w:ascii="Calibri" w:hAnsi="Calibri" w:cs="Calibri"/>
        </w:rPr>
        <w:t xml:space="preserve"> Australia’s SSO explicitly seeks to address minimum demand risks, renewable curtailment and evening ramp pressures identified in AEMO and AER publications, linking retail pricing reform directly to renewable integration and system security objectives.</w:t>
      </w:r>
    </w:p>
    <w:p w14:paraId="325D3392" w14:textId="3F820DE9" w:rsidR="0053278F" w:rsidRPr="00B5064E" w:rsidRDefault="0053278F" w:rsidP="0053278F">
      <w:pPr>
        <w:rPr>
          <w:rFonts w:ascii="Calibri" w:hAnsi="Calibri" w:cs="Calibri"/>
        </w:rPr>
      </w:pPr>
      <w:r w:rsidRPr="00B5064E">
        <w:rPr>
          <w:rFonts w:ascii="Calibri" w:hAnsi="Calibri" w:cs="Calibri"/>
        </w:rPr>
        <w:t>For these reasons, the regulated SSO is comparatively novel in an international context. It represents one of the first proposals globally to embed a renewable-aligned free usage window within a regulated retail benchmark product at a national level. This approach reflects Australia’s distinctive energy market characteristics — particularly world-leading rooftop solar penetration and increasing midday negative pricing events</w:t>
      </w:r>
      <w:r w:rsidR="00C31DC9" w:rsidRPr="00B5064E">
        <w:rPr>
          <w:rFonts w:ascii="Calibri" w:hAnsi="Calibri" w:cs="Calibri"/>
        </w:rPr>
        <w:t>,</w:t>
      </w:r>
      <w:r w:rsidRPr="00B5064E">
        <w:rPr>
          <w:rFonts w:ascii="Calibri" w:hAnsi="Calibri" w:cs="Calibri"/>
        </w:rPr>
        <w:t xml:space="preserve"> which require a policy response tailored to local system conditions.</w:t>
      </w:r>
    </w:p>
    <w:p w14:paraId="34B3CB74" w14:textId="3C903853" w:rsidR="003459A0" w:rsidRPr="00B5064E" w:rsidRDefault="0053278F" w:rsidP="009C665C">
      <w:pPr>
        <w:rPr>
          <w:rFonts w:ascii="Calibri" w:hAnsi="Calibri" w:cs="Calibri"/>
        </w:rPr>
      </w:pPr>
      <w:r w:rsidRPr="00B5064E">
        <w:rPr>
          <w:rFonts w:ascii="Calibri" w:hAnsi="Calibri" w:cs="Calibri"/>
        </w:rPr>
        <w:t>While the SSO draws conceptually on international FPP experience in encouraging demand flexibility, it adapts and extends those principles within a regulated consumer protection framework to ensure transparency, comparability, and equitable access.</w:t>
      </w:r>
      <w:r w:rsidR="003459A0" w:rsidRPr="00B5064E">
        <w:rPr>
          <w:rFonts w:ascii="Calibri" w:hAnsi="Calibri" w:cs="Calibri"/>
        </w:rPr>
        <w:br w:type="page"/>
      </w:r>
    </w:p>
    <w:p w14:paraId="05053E2D" w14:textId="451A7EA3" w:rsidR="00810015" w:rsidRPr="00B5064E" w:rsidRDefault="00B41FCF" w:rsidP="00881370">
      <w:pPr>
        <w:pStyle w:val="Heading1"/>
        <w:spacing w:before="160" w:after="120"/>
        <w:rPr>
          <w:rFonts w:ascii="Calibri" w:hAnsi="Calibri" w:cs="Calibri"/>
          <w:b/>
          <w:bCs/>
        </w:rPr>
      </w:pPr>
      <w:bookmarkStart w:id="51" w:name="_Toc222842798"/>
      <w:r w:rsidRPr="00B5064E">
        <w:rPr>
          <w:rFonts w:ascii="Calibri" w:hAnsi="Calibri" w:cs="Calibri"/>
          <w:b/>
          <w:bCs/>
        </w:rPr>
        <w:lastRenderedPageBreak/>
        <w:t>Detaile</w:t>
      </w:r>
      <w:r w:rsidR="007B5990" w:rsidRPr="00B5064E">
        <w:rPr>
          <w:rFonts w:ascii="Calibri" w:hAnsi="Calibri" w:cs="Calibri"/>
          <w:b/>
          <w:bCs/>
        </w:rPr>
        <w:t>d</w:t>
      </w:r>
      <w:r w:rsidRPr="00B5064E">
        <w:rPr>
          <w:rFonts w:ascii="Calibri" w:hAnsi="Calibri" w:cs="Calibri"/>
          <w:b/>
          <w:bCs/>
        </w:rPr>
        <w:t xml:space="preserve"> </w:t>
      </w:r>
      <w:r w:rsidR="00BC2854" w:rsidRPr="00B5064E">
        <w:rPr>
          <w:rFonts w:ascii="Calibri" w:hAnsi="Calibri" w:cs="Calibri"/>
          <w:b/>
          <w:bCs/>
        </w:rPr>
        <w:t>Impact Analysis</w:t>
      </w:r>
      <w:r w:rsidRPr="00B5064E">
        <w:rPr>
          <w:rFonts w:ascii="Calibri" w:hAnsi="Calibri" w:cs="Calibri"/>
          <w:b/>
          <w:bCs/>
        </w:rPr>
        <w:t xml:space="preserve"> for Option A1</w:t>
      </w:r>
      <w:r w:rsidR="00C72238" w:rsidRPr="00B5064E">
        <w:rPr>
          <w:rFonts w:ascii="Calibri" w:hAnsi="Calibri" w:cs="Calibri"/>
          <w:b/>
          <w:bCs/>
        </w:rPr>
        <w:t xml:space="preserve"> by stakeholders</w:t>
      </w:r>
      <w:bookmarkEnd w:id="51"/>
    </w:p>
    <w:p w14:paraId="4AC63428" w14:textId="38D36AA2" w:rsidR="002D07FC" w:rsidRPr="00B5064E" w:rsidRDefault="002D07FC" w:rsidP="00E40352">
      <w:pPr>
        <w:rPr>
          <w:rFonts w:ascii="Calibri" w:hAnsi="Calibri" w:cs="Calibri"/>
        </w:rPr>
      </w:pPr>
      <w:r w:rsidRPr="00B5064E">
        <w:rPr>
          <w:rFonts w:ascii="Calibri" w:hAnsi="Calibri" w:cs="Calibri"/>
        </w:rPr>
        <w:t xml:space="preserve">Option A1 introduces a regulated Free-Power-Period (FPP) standing offer, known as the </w:t>
      </w:r>
      <w:r w:rsidR="00511052" w:rsidRPr="00B5064E">
        <w:rPr>
          <w:rFonts w:ascii="Calibri" w:hAnsi="Calibri" w:cs="Calibri"/>
        </w:rPr>
        <w:t>SSO</w:t>
      </w:r>
      <w:r w:rsidRPr="00B5064E">
        <w:rPr>
          <w:rFonts w:ascii="Calibri" w:hAnsi="Calibri" w:cs="Calibri"/>
        </w:rPr>
        <w:t xml:space="preserve">, within the DMO framework. This chapter presents a detailed assessment of the expected impacts and risks for all key stakeholders, highlighting how the option affects households, retailers, distributors, regulators, and the broader market. </w:t>
      </w:r>
    </w:p>
    <w:p w14:paraId="25D36A0E" w14:textId="6C7225B2" w:rsidR="00B07EC3" w:rsidRPr="00B5064E" w:rsidRDefault="006104EA" w:rsidP="00E40352">
      <w:pPr>
        <w:rPr>
          <w:rFonts w:ascii="Calibri" w:hAnsi="Calibri" w:cs="Calibri"/>
        </w:rPr>
      </w:pPr>
      <w:r w:rsidRPr="00B5064E">
        <w:rPr>
          <w:rFonts w:ascii="Calibri" w:hAnsi="Calibri" w:cs="Calibri"/>
        </w:rPr>
        <w:t xml:space="preserve">The analysis considers both the potential benefits such as bill savings, access to cheaper daytime renewable electricity, and system efficiency gains—and the associated risks, including equity considerations, compliance burdens, and network demand management. By systematically evaluating these effects, the chapter demonstrates how the </w:t>
      </w:r>
      <w:r w:rsidR="00511052" w:rsidRPr="00B5064E">
        <w:rPr>
          <w:rFonts w:ascii="Calibri" w:hAnsi="Calibri" w:cs="Calibri"/>
        </w:rPr>
        <w:t>SSO</w:t>
      </w:r>
      <w:r w:rsidRPr="00B5064E">
        <w:rPr>
          <w:rFonts w:ascii="Calibri" w:hAnsi="Calibri" w:cs="Calibri"/>
        </w:rPr>
        <w:t xml:space="preserve"> is designed to balance equitable access, consumer protection, retailer viability, and operational feasibility, while providing a structured basis for ongoing monitoring, evaluation, and refinement</w:t>
      </w:r>
      <w:r w:rsidR="002D07FC" w:rsidRPr="00B5064E">
        <w:rPr>
          <w:rFonts w:ascii="Calibri" w:hAnsi="Calibri" w:cs="Calibri"/>
        </w:rPr>
        <w:t>.</w:t>
      </w:r>
    </w:p>
    <w:p w14:paraId="71105DA4" w14:textId="436E8281" w:rsidR="007E11EF" w:rsidRPr="00B5064E" w:rsidRDefault="007E11EF" w:rsidP="00881370">
      <w:pPr>
        <w:pStyle w:val="Heading2"/>
        <w:spacing w:after="120"/>
        <w:rPr>
          <w:rFonts w:ascii="Calibri" w:hAnsi="Calibri" w:cs="Calibri"/>
        </w:rPr>
      </w:pPr>
      <w:bookmarkStart w:id="52" w:name="_Toc222842799"/>
      <w:r w:rsidRPr="00B5064E">
        <w:rPr>
          <w:rFonts w:ascii="Calibri" w:hAnsi="Calibri" w:cs="Calibri"/>
        </w:rPr>
        <w:t>Stakeholder Identification</w:t>
      </w:r>
      <w:bookmarkEnd w:id="52"/>
    </w:p>
    <w:p w14:paraId="1BE54DCC" w14:textId="77777777" w:rsidR="007E11EF" w:rsidRPr="00B5064E" w:rsidRDefault="007E11EF" w:rsidP="007E11EF">
      <w:pPr>
        <w:rPr>
          <w:rFonts w:ascii="Calibri" w:hAnsi="Calibri" w:cs="Calibri"/>
        </w:rPr>
      </w:pPr>
      <w:r w:rsidRPr="00B5064E">
        <w:rPr>
          <w:rFonts w:ascii="Calibri" w:hAnsi="Calibri" w:cs="Calibri"/>
        </w:rPr>
        <w:t>The stakeholders affected by Option A1 include:</w:t>
      </w:r>
    </w:p>
    <w:p w14:paraId="46E65045" w14:textId="77777777" w:rsidR="007E11EF" w:rsidRPr="00B5064E" w:rsidRDefault="007E11EF" w:rsidP="00366EF3">
      <w:pPr>
        <w:numPr>
          <w:ilvl w:val="0"/>
          <w:numId w:val="8"/>
        </w:numPr>
        <w:spacing w:before="120" w:after="120"/>
        <w:ind w:left="714" w:hanging="357"/>
        <w:rPr>
          <w:rFonts w:ascii="Calibri" w:hAnsi="Calibri" w:cs="Calibri"/>
        </w:rPr>
      </w:pPr>
      <w:r w:rsidRPr="00B5064E">
        <w:rPr>
          <w:rFonts w:ascii="Calibri" w:hAnsi="Calibri" w:cs="Calibri"/>
          <w:b/>
          <w:bCs/>
        </w:rPr>
        <w:t>Households able to shift 10–30% of usage</w:t>
      </w:r>
      <w:r w:rsidRPr="00B5064E">
        <w:rPr>
          <w:rFonts w:ascii="Calibri" w:hAnsi="Calibri" w:cs="Calibri"/>
        </w:rPr>
        <w:t xml:space="preserve"> – those with flexibility to adjust consumption to the free-power window.</w:t>
      </w:r>
    </w:p>
    <w:p w14:paraId="0CA233A6" w14:textId="3A43BC34" w:rsidR="007E11EF" w:rsidRPr="00B5064E" w:rsidRDefault="007E11EF" w:rsidP="00366EF3">
      <w:pPr>
        <w:numPr>
          <w:ilvl w:val="0"/>
          <w:numId w:val="8"/>
        </w:numPr>
        <w:spacing w:before="120" w:after="120"/>
        <w:ind w:left="714" w:hanging="357"/>
        <w:rPr>
          <w:rFonts w:ascii="Calibri" w:hAnsi="Calibri" w:cs="Calibri"/>
        </w:rPr>
      </w:pPr>
      <w:r w:rsidRPr="00B5064E">
        <w:rPr>
          <w:rFonts w:ascii="Calibri" w:hAnsi="Calibri" w:cs="Calibri"/>
          <w:b/>
          <w:bCs/>
        </w:rPr>
        <w:t>Households with limited flexibility</w:t>
      </w:r>
      <w:r w:rsidRPr="00B5064E">
        <w:rPr>
          <w:rFonts w:ascii="Calibri" w:hAnsi="Calibri" w:cs="Calibri"/>
        </w:rPr>
        <w:t xml:space="preserve"> – such as renters, </w:t>
      </w:r>
      <w:r w:rsidR="00611239" w:rsidRPr="00B5064E">
        <w:rPr>
          <w:rFonts w:ascii="Calibri" w:hAnsi="Calibri" w:cs="Calibri"/>
        </w:rPr>
        <w:t xml:space="preserve">apartment dwellers, </w:t>
      </w:r>
      <w:r w:rsidRPr="00B5064E">
        <w:rPr>
          <w:rFonts w:ascii="Calibri" w:hAnsi="Calibri" w:cs="Calibri"/>
        </w:rPr>
        <w:t>shift workers, or those with constrained schedules.</w:t>
      </w:r>
    </w:p>
    <w:p w14:paraId="45A40CD8" w14:textId="77777777" w:rsidR="007E11EF" w:rsidRPr="00B5064E" w:rsidRDefault="007E11EF" w:rsidP="00366EF3">
      <w:pPr>
        <w:numPr>
          <w:ilvl w:val="0"/>
          <w:numId w:val="8"/>
        </w:numPr>
        <w:spacing w:before="120" w:after="120"/>
        <w:ind w:left="714" w:hanging="357"/>
        <w:rPr>
          <w:rFonts w:ascii="Calibri" w:hAnsi="Calibri" w:cs="Calibri"/>
        </w:rPr>
      </w:pPr>
      <w:r w:rsidRPr="00B5064E">
        <w:rPr>
          <w:rFonts w:ascii="Calibri" w:hAnsi="Calibri" w:cs="Calibri"/>
          <w:b/>
          <w:bCs/>
        </w:rPr>
        <w:t>Non-CER households</w:t>
      </w:r>
      <w:r w:rsidRPr="00B5064E">
        <w:rPr>
          <w:rFonts w:ascii="Calibri" w:hAnsi="Calibri" w:cs="Calibri"/>
        </w:rPr>
        <w:t xml:space="preserve"> – households without solar PV, batteries, or electric vehicles.</w:t>
      </w:r>
    </w:p>
    <w:p w14:paraId="418D9462" w14:textId="77777777" w:rsidR="007E11EF" w:rsidRPr="00B5064E" w:rsidRDefault="007E11EF" w:rsidP="00366EF3">
      <w:pPr>
        <w:numPr>
          <w:ilvl w:val="0"/>
          <w:numId w:val="8"/>
        </w:numPr>
        <w:spacing w:before="120" w:after="120"/>
        <w:ind w:left="714" w:hanging="357"/>
        <w:rPr>
          <w:rFonts w:ascii="Calibri" w:hAnsi="Calibri" w:cs="Calibri"/>
        </w:rPr>
      </w:pPr>
      <w:r w:rsidRPr="00B5064E">
        <w:rPr>
          <w:rFonts w:ascii="Calibri" w:hAnsi="Calibri" w:cs="Calibri"/>
          <w:b/>
          <w:bCs/>
        </w:rPr>
        <w:t>CER-enabled households</w:t>
      </w:r>
      <w:r w:rsidRPr="00B5064E">
        <w:rPr>
          <w:rFonts w:ascii="Calibri" w:hAnsi="Calibri" w:cs="Calibri"/>
        </w:rPr>
        <w:t xml:space="preserve"> – households with distributed energy resources such as solar PV, batteries, or EVs.</w:t>
      </w:r>
    </w:p>
    <w:p w14:paraId="6F824C3D" w14:textId="038B4FF3" w:rsidR="007E11EF" w:rsidRPr="00B5064E" w:rsidRDefault="007E11EF" w:rsidP="00366EF3">
      <w:pPr>
        <w:numPr>
          <w:ilvl w:val="0"/>
          <w:numId w:val="8"/>
        </w:numPr>
        <w:spacing w:before="120" w:after="120"/>
        <w:ind w:left="714" w:hanging="357"/>
        <w:rPr>
          <w:rFonts w:ascii="Calibri" w:hAnsi="Calibri" w:cs="Calibri"/>
        </w:rPr>
      </w:pPr>
      <w:r w:rsidRPr="00B5064E">
        <w:rPr>
          <w:rFonts w:ascii="Calibri" w:hAnsi="Calibri" w:cs="Calibri"/>
          <w:b/>
          <w:bCs/>
        </w:rPr>
        <w:t>Retailers</w:t>
      </w:r>
      <w:r w:rsidRPr="00B5064E">
        <w:rPr>
          <w:rFonts w:ascii="Calibri" w:hAnsi="Calibri" w:cs="Calibri"/>
        </w:rPr>
        <w:t xml:space="preserve"> – Tier 1 and mid-tier providers responsible for billing, product configuration, and cost recovery.</w:t>
      </w:r>
    </w:p>
    <w:p w14:paraId="74B3BBCA" w14:textId="77777777" w:rsidR="007E11EF" w:rsidRPr="00B5064E" w:rsidRDefault="007E11EF" w:rsidP="00366EF3">
      <w:pPr>
        <w:numPr>
          <w:ilvl w:val="0"/>
          <w:numId w:val="8"/>
        </w:numPr>
        <w:spacing w:before="120" w:after="120"/>
        <w:ind w:left="714" w:hanging="357"/>
        <w:rPr>
          <w:rFonts w:ascii="Calibri" w:hAnsi="Calibri" w:cs="Calibri"/>
        </w:rPr>
      </w:pPr>
      <w:r w:rsidRPr="00B5064E">
        <w:rPr>
          <w:rFonts w:ascii="Calibri" w:hAnsi="Calibri" w:cs="Calibri"/>
          <w:b/>
          <w:bCs/>
        </w:rPr>
        <w:t>Small retailers (&lt;1,000 customers)</w:t>
      </w:r>
      <w:r w:rsidRPr="00B5064E">
        <w:rPr>
          <w:rFonts w:ascii="Calibri" w:hAnsi="Calibri" w:cs="Calibri"/>
        </w:rPr>
        <w:t xml:space="preserve"> – potentially affected by compliance requirements and market positioning.</w:t>
      </w:r>
    </w:p>
    <w:p w14:paraId="2E38297F" w14:textId="77777777" w:rsidR="007E11EF" w:rsidRPr="00B5064E" w:rsidRDefault="007E11EF" w:rsidP="00366EF3">
      <w:pPr>
        <w:numPr>
          <w:ilvl w:val="0"/>
          <w:numId w:val="8"/>
        </w:numPr>
        <w:spacing w:before="120" w:after="120"/>
        <w:ind w:left="714" w:hanging="357"/>
        <w:rPr>
          <w:rFonts w:ascii="Calibri" w:hAnsi="Calibri" w:cs="Calibri"/>
        </w:rPr>
      </w:pPr>
      <w:r w:rsidRPr="00B5064E">
        <w:rPr>
          <w:rFonts w:ascii="Calibri" w:hAnsi="Calibri" w:cs="Calibri"/>
          <w:b/>
          <w:bCs/>
        </w:rPr>
        <w:t>Distribution Network Service Providers (DNSPs)</w:t>
      </w:r>
      <w:r w:rsidRPr="00B5064E">
        <w:rPr>
          <w:rFonts w:ascii="Calibri" w:hAnsi="Calibri" w:cs="Calibri"/>
        </w:rPr>
        <w:t xml:space="preserve"> – responsible for managing demand profiles, local congestion, and system efficiency.</w:t>
      </w:r>
    </w:p>
    <w:p w14:paraId="3B9CC361" w14:textId="77777777" w:rsidR="007E11EF" w:rsidRPr="00B5064E" w:rsidRDefault="007E11EF" w:rsidP="00366EF3">
      <w:pPr>
        <w:numPr>
          <w:ilvl w:val="0"/>
          <w:numId w:val="8"/>
        </w:numPr>
        <w:spacing w:before="120" w:after="120"/>
        <w:ind w:left="714" w:hanging="357"/>
        <w:rPr>
          <w:rFonts w:ascii="Calibri" w:hAnsi="Calibri" w:cs="Calibri"/>
        </w:rPr>
      </w:pPr>
      <w:r w:rsidRPr="00B5064E">
        <w:rPr>
          <w:rFonts w:ascii="Calibri" w:hAnsi="Calibri" w:cs="Calibri"/>
          <w:b/>
          <w:bCs/>
        </w:rPr>
        <w:t>Controlled load customers/programs</w:t>
      </w:r>
      <w:r w:rsidRPr="00B5064E">
        <w:rPr>
          <w:rFonts w:ascii="Calibri" w:hAnsi="Calibri" w:cs="Calibri"/>
        </w:rPr>
        <w:t xml:space="preserve"> – customers with existing controlled load arrangements.</w:t>
      </w:r>
    </w:p>
    <w:p w14:paraId="08003CB4" w14:textId="436E29A0" w:rsidR="007E11EF" w:rsidRPr="00B5064E" w:rsidRDefault="0024333C" w:rsidP="00366EF3">
      <w:pPr>
        <w:numPr>
          <w:ilvl w:val="0"/>
          <w:numId w:val="8"/>
        </w:numPr>
        <w:spacing w:before="120" w:after="120"/>
        <w:ind w:left="714" w:hanging="357"/>
        <w:rPr>
          <w:rFonts w:ascii="Calibri" w:hAnsi="Calibri" w:cs="Calibri"/>
        </w:rPr>
      </w:pPr>
      <w:r>
        <w:rPr>
          <w:rFonts w:ascii="Calibri" w:hAnsi="Calibri" w:cs="Calibri"/>
          <w:b/>
          <w:bCs/>
        </w:rPr>
        <w:t>AER</w:t>
      </w:r>
      <w:r w:rsidR="007E11EF" w:rsidRPr="00B5064E">
        <w:rPr>
          <w:rFonts w:ascii="Calibri" w:hAnsi="Calibri" w:cs="Calibri"/>
        </w:rPr>
        <w:t xml:space="preserve"> – </w:t>
      </w:r>
      <w:r w:rsidR="00CF0A19" w:rsidRPr="00B5064E">
        <w:rPr>
          <w:rFonts w:ascii="Calibri" w:hAnsi="Calibri" w:cs="Calibri"/>
        </w:rPr>
        <w:t>responsible</w:t>
      </w:r>
      <w:r w:rsidR="007E11EF" w:rsidRPr="00B5064E">
        <w:rPr>
          <w:rFonts w:ascii="Calibri" w:hAnsi="Calibri" w:cs="Calibri"/>
        </w:rPr>
        <w:t xml:space="preserve"> </w:t>
      </w:r>
      <w:r w:rsidR="00CF0A19" w:rsidRPr="00B5064E">
        <w:rPr>
          <w:rFonts w:ascii="Calibri" w:hAnsi="Calibri" w:cs="Calibri"/>
        </w:rPr>
        <w:t>for</w:t>
      </w:r>
      <w:r w:rsidR="007E11EF" w:rsidRPr="00B5064E">
        <w:rPr>
          <w:rFonts w:ascii="Calibri" w:hAnsi="Calibri" w:cs="Calibri"/>
        </w:rPr>
        <w:t xml:space="preserve"> setting FPP timing</w:t>
      </w:r>
      <w:r w:rsidR="00E54B68" w:rsidRPr="00B5064E">
        <w:rPr>
          <w:rFonts w:ascii="Calibri" w:hAnsi="Calibri" w:cs="Calibri"/>
        </w:rPr>
        <w:t xml:space="preserve"> and </w:t>
      </w:r>
      <w:r w:rsidR="007E11EF" w:rsidRPr="00B5064E">
        <w:rPr>
          <w:rFonts w:ascii="Calibri" w:hAnsi="Calibri" w:cs="Calibri"/>
        </w:rPr>
        <w:t>tariff parameters.</w:t>
      </w:r>
    </w:p>
    <w:p w14:paraId="0C257E6A" w14:textId="77777777" w:rsidR="007E11EF" w:rsidRPr="00B5064E" w:rsidRDefault="007E11EF" w:rsidP="00366EF3">
      <w:pPr>
        <w:numPr>
          <w:ilvl w:val="0"/>
          <w:numId w:val="8"/>
        </w:numPr>
        <w:spacing w:before="120" w:after="120"/>
        <w:ind w:left="714" w:hanging="357"/>
        <w:rPr>
          <w:rFonts w:ascii="Calibri" w:hAnsi="Calibri" w:cs="Calibri"/>
        </w:rPr>
      </w:pPr>
      <w:r w:rsidRPr="00B5064E">
        <w:rPr>
          <w:rFonts w:ascii="Calibri" w:hAnsi="Calibri" w:cs="Calibri"/>
          <w:b/>
          <w:bCs/>
        </w:rPr>
        <w:t>Australian Competition and Consumer Commission (ACCC)</w:t>
      </w:r>
      <w:r w:rsidRPr="00B5064E">
        <w:rPr>
          <w:rFonts w:ascii="Calibri" w:hAnsi="Calibri" w:cs="Calibri"/>
        </w:rPr>
        <w:t xml:space="preserve"> – responsible for Code compliance and enforcement.</w:t>
      </w:r>
    </w:p>
    <w:p w14:paraId="156F64C1" w14:textId="77777777" w:rsidR="007E11EF" w:rsidRPr="00B5064E" w:rsidRDefault="007E11EF" w:rsidP="00366EF3">
      <w:pPr>
        <w:numPr>
          <w:ilvl w:val="0"/>
          <w:numId w:val="8"/>
        </w:numPr>
        <w:spacing w:before="120" w:after="120"/>
        <w:ind w:left="714" w:hanging="357"/>
        <w:rPr>
          <w:rFonts w:ascii="Calibri" w:hAnsi="Calibri" w:cs="Calibri"/>
        </w:rPr>
      </w:pPr>
      <w:r w:rsidRPr="00B5064E">
        <w:rPr>
          <w:rFonts w:ascii="Calibri" w:hAnsi="Calibri" w:cs="Calibri"/>
          <w:b/>
          <w:bCs/>
        </w:rPr>
        <w:t>Department of Climate Change, Energy, the Environment and Water (DCCEEW)</w:t>
      </w:r>
      <w:r w:rsidRPr="00B5064E">
        <w:rPr>
          <w:rFonts w:ascii="Calibri" w:hAnsi="Calibri" w:cs="Calibri"/>
        </w:rPr>
        <w:t xml:space="preserve"> – policy stewardship, communications, and post-implementation review.</w:t>
      </w:r>
    </w:p>
    <w:p w14:paraId="78F302A6" w14:textId="29FB6CA7" w:rsidR="00EC325C" w:rsidRPr="00B5064E" w:rsidRDefault="007E11EF" w:rsidP="00366EF3">
      <w:pPr>
        <w:numPr>
          <w:ilvl w:val="0"/>
          <w:numId w:val="8"/>
        </w:numPr>
        <w:spacing w:before="120" w:after="120"/>
        <w:ind w:left="714" w:hanging="357"/>
        <w:rPr>
          <w:rFonts w:ascii="Calibri" w:hAnsi="Calibri" w:cs="Calibri"/>
        </w:rPr>
      </w:pPr>
      <w:r w:rsidRPr="00B5064E">
        <w:rPr>
          <w:rFonts w:ascii="Calibri" w:hAnsi="Calibri" w:cs="Calibri"/>
          <w:b/>
          <w:bCs/>
        </w:rPr>
        <w:t>Wider market &amp; competition</w:t>
      </w:r>
      <w:r w:rsidRPr="00B5064E">
        <w:rPr>
          <w:rFonts w:ascii="Calibri" w:hAnsi="Calibri" w:cs="Calibri"/>
        </w:rPr>
        <w:t xml:space="preserve"> – including Energy Made Easy users and competing retailers responding to a new standing offer floor.</w:t>
      </w:r>
    </w:p>
    <w:p w14:paraId="2F5F56D0" w14:textId="77777777" w:rsidR="008C106A" w:rsidRPr="00B5064E" w:rsidRDefault="008C106A" w:rsidP="008C106A">
      <w:pPr>
        <w:rPr>
          <w:rFonts w:ascii="Calibri" w:hAnsi="Calibri" w:cs="Calibri"/>
        </w:rPr>
      </w:pPr>
    </w:p>
    <w:p w14:paraId="3A6FB0B8" w14:textId="626ACFC3" w:rsidR="00EC325C" w:rsidRPr="00B5064E" w:rsidRDefault="00EC325C" w:rsidP="00881370">
      <w:pPr>
        <w:pStyle w:val="Heading2"/>
        <w:spacing w:after="120"/>
        <w:rPr>
          <w:rFonts w:ascii="Calibri" w:hAnsi="Calibri" w:cs="Calibri"/>
        </w:rPr>
      </w:pPr>
      <w:bookmarkStart w:id="53" w:name="_Toc222842800"/>
      <w:r w:rsidRPr="00B5064E">
        <w:rPr>
          <w:rFonts w:ascii="Calibri" w:hAnsi="Calibri" w:cs="Calibri"/>
        </w:rPr>
        <w:lastRenderedPageBreak/>
        <w:t>Stakeholder impact on Option A1</w:t>
      </w:r>
      <w:bookmarkEnd w:id="53"/>
    </w:p>
    <w:p w14:paraId="24D33519" w14:textId="4541DD78" w:rsidR="00B84B53" w:rsidRPr="00B5064E" w:rsidRDefault="00B84B53" w:rsidP="00B84B53">
      <w:pPr>
        <w:spacing w:after="0"/>
        <w:rPr>
          <w:rFonts w:ascii="Calibri" w:hAnsi="Calibri" w:cs="Calibri"/>
          <w:sz w:val="20"/>
          <w:szCs w:val="20"/>
        </w:rPr>
      </w:pPr>
      <w:r w:rsidRPr="00B5064E">
        <w:rPr>
          <w:rFonts w:ascii="Calibri" w:hAnsi="Calibri" w:cs="Calibri"/>
          <w:i/>
          <w:sz w:val="20"/>
          <w:szCs w:val="20"/>
        </w:rPr>
        <w:t xml:space="preserve">Table </w:t>
      </w:r>
      <w:r w:rsidRPr="00B5064E">
        <w:rPr>
          <w:rFonts w:ascii="Calibri" w:hAnsi="Calibri" w:cs="Calibri"/>
          <w:i/>
          <w:iCs/>
          <w:sz w:val="20"/>
          <w:szCs w:val="20"/>
        </w:rPr>
        <w:t>1</w:t>
      </w:r>
      <w:r w:rsidR="00E50713">
        <w:rPr>
          <w:rFonts w:ascii="Calibri" w:hAnsi="Calibri" w:cs="Calibri"/>
          <w:i/>
          <w:iCs/>
          <w:sz w:val="20"/>
          <w:szCs w:val="20"/>
        </w:rPr>
        <w:t>0</w:t>
      </w:r>
      <w:r w:rsidRPr="00B5064E">
        <w:rPr>
          <w:rFonts w:ascii="Calibri" w:hAnsi="Calibri" w:cs="Calibri"/>
          <w:i/>
          <w:sz w:val="20"/>
          <w:szCs w:val="20"/>
        </w:rPr>
        <w:t>: Stakeholder impact on Option A1</w:t>
      </w:r>
    </w:p>
    <w:tbl>
      <w:tblPr>
        <w:tblStyle w:val="PlainTable4"/>
        <w:tblW w:w="5000" w:type="pct"/>
        <w:tblLook w:val="04A0" w:firstRow="1" w:lastRow="0" w:firstColumn="1" w:lastColumn="0" w:noHBand="0" w:noVBand="1"/>
      </w:tblPr>
      <w:tblGrid>
        <w:gridCol w:w="2437"/>
        <w:gridCol w:w="6589"/>
      </w:tblGrid>
      <w:tr w:rsidR="00EC325C" w:rsidRPr="00B5064E" w14:paraId="19DFD6EC" w14:textId="77777777" w:rsidTr="007E59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pct"/>
            <w:shd w:val="clear" w:color="auto" w:fill="E8E8E8" w:themeFill="background2"/>
            <w:hideMark/>
          </w:tcPr>
          <w:p w14:paraId="6418682F" w14:textId="77777777" w:rsidR="00EC325C" w:rsidRPr="00B5064E" w:rsidRDefault="00EC325C" w:rsidP="00036582">
            <w:pPr>
              <w:spacing w:before="120" w:after="120" w:line="259" w:lineRule="auto"/>
              <w:jc w:val="center"/>
              <w:rPr>
                <w:rFonts w:ascii="Calibri" w:hAnsi="Calibri" w:cs="Calibri"/>
              </w:rPr>
            </w:pPr>
            <w:r w:rsidRPr="00B5064E">
              <w:rPr>
                <w:rFonts w:ascii="Calibri" w:hAnsi="Calibri" w:cs="Calibri"/>
              </w:rPr>
              <w:t>Stakeholder group</w:t>
            </w:r>
          </w:p>
        </w:tc>
        <w:tc>
          <w:tcPr>
            <w:tcW w:w="3650" w:type="pct"/>
            <w:shd w:val="clear" w:color="auto" w:fill="E8E8E8" w:themeFill="background2"/>
            <w:hideMark/>
          </w:tcPr>
          <w:p w14:paraId="1761B169" w14:textId="77777777" w:rsidR="00EC325C" w:rsidRPr="00B5064E" w:rsidRDefault="00EC325C" w:rsidP="00036582">
            <w:pPr>
              <w:spacing w:before="120" w:after="120" w:line="259"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Impact</w:t>
            </w:r>
          </w:p>
        </w:tc>
      </w:tr>
      <w:tr w:rsidR="00EC325C" w:rsidRPr="00B5064E" w14:paraId="139719E1" w14:textId="77777777" w:rsidTr="007E5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pct"/>
            <w:shd w:val="clear" w:color="auto" w:fill="FFFFFF" w:themeFill="background1"/>
            <w:vAlign w:val="center"/>
            <w:hideMark/>
          </w:tcPr>
          <w:p w14:paraId="3B44E40A" w14:textId="77777777" w:rsidR="00EC325C" w:rsidRPr="00B5064E" w:rsidRDefault="00EC325C" w:rsidP="00C7509A">
            <w:pPr>
              <w:spacing w:before="120" w:after="120" w:line="259" w:lineRule="auto"/>
              <w:rPr>
                <w:rFonts w:ascii="Calibri" w:hAnsi="Calibri" w:cs="Calibri"/>
              </w:rPr>
            </w:pPr>
            <w:r w:rsidRPr="00B5064E">
              <w:rPr>
                <w:rFonts w:ascii="Calibri" w:hAnsi="Calibri" w:cs="Calibri"/>
              </w:rPr>
              <w:t>Households able to shift 10–30%</w:t>
            </w:r>
          </w:p>
        </w:tc>
        <w:tc>
          <w:tcPr>
            <w:tcW w:w="3650" w:type="pct"/>
            <w:shd w:val="clear" w:color="auto" w:fill="FFFFFF" w:themeFill="background1"/>
            <w:vAlign w:val="center"/>
            <w:hideMark/>
          </w:tcPr>
          <w:p w14:paraId="5CED3856" w14:textId="77777777" w:rsidR="00EC325C" w:rsidRPr="00B5064E" w:rsidRDefault="00EC325C" w:rsidP="00C7509A">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Households with flexibility to shift electricity usage to the free-power window would be expected to achieve bill savings of approximately 8–37% annually, depending on the share of consumption shifted and network zone. These savings are contingent on accurate timing of the FPP and effective communication of the opportunity.</w:t>
            </w:r>
          </w:p>
        </w:tc>
      </w:tr>
      <w:tr w:rsidR="00EC325C" w:rsidRPr="00B5064E" w14:paraId="6FFC19FC" w14:textId="77777777" w:rsidTr="00E50713">
        <w:tc>
          <w:tcPr>
            <w:cnfStyle w:val="001000000000" w:firstRow="0" w:lastRow="0" w:firstColumn="1" w:lastColumn="0" w:oddVBand="0" w:evenVBand="0" w:oddHBand="0" w:evenHBand="0" w:firstRowFirstColumn="0" w:firstRowLastColumn="0" w:lastRowFirstColumn="0" w:lastRowLastColumn="0"/>
            <w:tcW w:w="1350" w:type="pct"/>
            <w:shd w:val="clear" w:color="auto" w:fill="F2F2F2" w:themeFill="background1" w:themeFillShade="F2"/>
            <w:vAlign w:val="center"/>
            <w:hideMark/>
          </w:tcPr>
          <w:p w14:paraId="26C89007" w14:textId="77777777" w:rsidR="00EC325C" w:rsidRPr="00B5064E" w:rsidRDefault="00EC325C" w:rsidP="00C7509A">
            <w:pPr>
              <w:spacing w:before="120" w:after="120" w:line="259" w:lineRule="auto"/>
              <w:rPr>
                <w:rFonts w:ascii="Calibri" w:hAnsi="Calibri" w:cs="Calibri"/>
              </w:rPr>
            </w:pPr>
            <w:r w:rsidRPr="00B5064E">
              <w:rPr>
                <w:rFonts w:ascii="Calibri" w:hAnsi="Calibri" w:cs="Calibri"/>
              </w:rPr>
              <w:t>Households with limited flexibility</w:t>
            </w:r>
          </w:p>
        </w:tc>
        <w:tc>
          <w:tcPr>
            <w:tcW w:w="3650" w:type="pct"/>
            <w:shd w:val="clear" w:color="auto" w:fill="F2F2F2" w:themeFill="background1" w:themeFillShade="F2"/>
            <w:vAlign w:val="center"/>
            <w:hideMark/>
          </w:tcPr>
          <w:p w14:paraId="774A145D" w14:textId="77777777" w:rsidR="00EC325C" w:rsidRPr="00B5064E" w:rsidRDefault="00EC325C" w:rsidP="00C7509A">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Households such as renters or shift workers may see limited or moderate benefits. Their outcomes depend on their ability to adjust consumption patterns. The opt-in design and plain language disclosures help mitigate the risk of unsuitable uptake.</w:t>
            </w:r>
          </w:p>
        </w:tc>
      </w:tr>
      <w:tr w:rsidR="00EC325C" w:rsidRPr="00B5064E" w14:paraId="4BD1110D" w14:textId="77777777" w:rsidTr="007E5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pct"/>
            <w:shd w:val="clear" w:color="auto" w:fill="FFFFFF" w:themeFill="background1"/>
            <w:vAlign w:val="center"/>
            <w:hideMark/>
          </w:tcPr>
          <w:p w14:paraId="357DCF76" w14:textId="77777777" w:rsidR="00EC325C" w:rsidRPr="00B5064E" w:rsidRDefault="00EC325C" w:rsidP="00C7509A">
            <w:pPr>
              <w:spacing w:before="120" w:after="120" w:line="259" w:lineRule="auto"/>
              <w:rPr>
                <w:rFonts w:ascii="Calibri" w:hAnsi="Calibri" w:cs="Calibri"/>
              </w:rPr>
            </w:pPr>
            <w:r w:rsidRPr="00B5064E">
              <w:rPr>
                <w:rFonts w:ascii="Calibri" w:hAnsi="Calibri" w:cs="Calibri"/>
              </w:rPr>
              <w:t>Non-CER households</w:t>
            </w:r>
          </w:p>
        </w:tc>
        <w:tc>
          <w:tcPr>
            <w:tcW w:w="3650" w:type="pct"/>
            <w:shd w:val="clear" w:color="auto" w:fill="FFFFFF" w:themeFill="background1"/>
            <w:vAlign w:val="center"/>
            <w:hideMark/>
          </w:tcPr>
          <w:p w14:paraId="368C9F89" w14:textId="77777777" w:rsidR="00EC325C" w:rsidRPr="00B5064E" w:rsidRDefault="00EC325C" w:rsidP="00C7509A">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Households without solar PV, batteries, or EVs gain access to cheaper daytime renewable electricity without capital investment. Residual costs outside the FPP are managed via AER-set efficient rates and transparent comparison tools.</w:t>
            </w:r>
          </w:p>
        </w:tc>
      </w:tr>
      <w:tr w:rsidR="00EC325C" w:rsidRPr="00B5064E" w14:paraId="55A30DB9" w14:textId="77777777" w:rsidTr="00E50713">
        <w:tc>
          <w:tcPr>
            <w:cnfStyle w:val="001000000000" w:firstRow="0" w:lastRow="0" w:firstColumn="1" w:lastColumn="0" w:oddVBand="0" w:evenVBand="0" w:oddHBand="0" w:evenHBand="0" w:firstRowFirstColumn="0" w:firstRowLastColumn="0" w:lastRowFirstColumn="0" w:lastRowLastColumn="0"/>
            <w:tcW w:w="1350" w:type="pct"/>
            <w:shd w:val="clear" w:color="auto" w:fill="F2F2F2" w:themeFill="background1" w:themeFillShade="F2"/>
            <w:vAlign w:val="center"/>
            <w:hideMark/>
          </w:tcPr>
          <w:p w14:paraId="2E880819" w14:textId="77777777" w:rsidR="00EC325C" w:rsidRPr="00B5064E" w:rsidRDefault="00EC325C" w:rsidP="00C7509A">
            <w:pPr>
              <w:spacing w:before="120" w:after="120" w:line="259" w:lineRule="auto"/>
              <w:rPr>
                <w:rFonts w:ascii="Calibri" w:hAnsi="Calibri" w:cs="Calibri"/>
              </w:rPr>
            </w:pPr>
            <w:r w:rsidRPr="00B5064E">
              <w:rPr>
                <w:rFonts w:ascii="Calibri" w:hAnsi="Calibri" w:cs="Calibri"/>
              </w:rPr>
              <w:t>CER-enabled households (PV, batteries, EVs)</w:t>
            </w:r>
          </w:p>
        </w:tc>
        <w:tc>
          <w:tcPr>
            <w:tcW w:w="3650" w:type="pct"/>
            <w:shd w:val="clear" w:color="auto" w:fill="F2F2F2" w:themeFill="background1" w:themeFillShade="F2"/>
            <w:vAlign w:val="center"/>
            <w:hideMark/>
          </w:tcPr>
          <w:p w14:paraId="0C55C64C" w14:textId="6BCEE126" w:rsidR="006458E3" w:rsidRPr="00B5064E" w:rsidRDefault="006458E3" w:rsidP="00C7509A">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 xml:space="preserve">Households with batteries, or EVs are better placed to benefit from </w:t>
            </w:r>
            <w:r w:rsidR="002036AC" w:rsidRPr="00B5064E">
              <w:rPr>
                <w:rFonts w:ascii="Calibri" w:hAnsi="Calibri" w:cs="Calibri"/>
              </w:rPr>
              <w:t>SSO</w:t>
            </w:r>
            <w:r w:rsidRPr="00B5064E">
              <w:rPr>
                <w:rFonts w:ascii="Calibri" w:hAnsi="Calibri" w:cs="Calibri"/>
              </w:rPr>
              <w:t xml:space="preserve"> due to their ability to automate load-shifting. In contrast, some households may lack the technology or flexibility to participate, potentially facing higher costs if standard tariffs are adjusted to offset FPP revenue loss. The reliance on consumer capability makes FPPs more prone to selective targeting by retailers, which could deepen energy inequities. Regulatory safeguards</w:t>
            </w:r>
            <w:r w:rsidR="003F6851" w:rsidRPr="00B5064E">
              <w:rPr>
                <w:rFonts w:ascii="Calibri" w:hAnsi="Calibri" w:cs="Calibri"/>
              </w:rPr>
              <w:t xml:space="preserve"> </w:t>
            </w:r>
            <w:r w:rsidRPr="00B5064E">
              <w:rPr>
                <w:rFonts w:ascii="Calibri" w:hAnsi="Calibri" w:cs="Calibri"/>
              </w:rPr>
              <w:t>such as universal access to a regulated FPP product, clear pricing rules, and monitoring—are essential to ensure fairness and protect vulnerable consumers.</w:t>
            </w:r>
          </w:p>
          <w:p w14:paraId="33AB81E5" w14:textId="52DA101B" w:rsidR="006458E3" w:rsidRPr="00B5064E" w:rsidRDefault="003E53C5" w:rsidP="00C7509A">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 xml:space="preserve">Households with distributed energy resources can optimize the timing of energy use to maximize savings, but benefits are capped at 24 kWh/day to maintain fairness. Monitoring and potential adjustments at review mitigate disproportionate </w:t>
            </w:r>
            <w:r w:rsidRPr="00B5064E">
              <w:rPr>
                <w:rFonts w:ascii="Calibri" w:hAnsi="Calibri" w:cs="Calibri"/>
                <w:color w:val="000000" w:themeColor="text1"/>
                <w:kern w:val="0"/>
                <w14:ligatures w14:val="none"/>
              </w:rPr>
              <w:t>advantages</w:t>
            </w:r>
            <w:r w:rsidRPr="00B5064E">
              <w:rPr>
                <w:rFonts w:ascii="Calibri" w:hAnsi="Calibri" w:cs="Calibri"/>
              </w:rPr>
              <w:t>.</w:t>
            </w:r>
          </w:p>
        </w:tc>
      </w:tr>
      <w:tr w:rsidR="00EC325C" w:rsidRPr="00B5064E" w14:paraId="59E2733E" w14:textId="77777777" w:rsidTr="007E5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pct"/>
            <w:shd w:val="clear" w:color="auto" w:fill="FFFFFF" w:themeFill="background1"/>
            <w:vAlign w:val="center"/>
            <w:hideMark/>
          </w:tcPr>
          <w:p w14:paraId="6B5262BF" w14:textId="77777777" w:rsidR="00EC325C" w:rsidRPr="00B5064E" w:rsidRDefault="00EC325C" w:rsidP="00C7509A">
            <w:pPr>
              <w:spacing w:before="120" w:after="120" w:line="259" w:lineRule="auto"/>
              <w:rPr>
                <w:rFonts w:ascii="Calibri" w:hAnsi="Calibri" w:cs="Calibri"/>
              </w:rPr>
            </w:pPr>
            <w:r w:rsidRPr="00B5064E">
              <w:rPr>
                <w:rFonts w:ascii="Calibri" w:hAnsi="Calibri" w:cs="Calibri"/>
              </w:rPr>
              <w:t>Retailers (Tier 1 &amp; mid-tier)</w:t>
            </w:r>
          </w:p>
        </w:tc>
        <w:tc>
          <w:tcPr>
            <w:tcW w:w="3650" w:type="pct"/>
            <w:shd w:val="clear" w:color="auto" w:fill="FFFFFF" w:themeFill="background1"/>
            <w:vAlign w:val="center"/>
            <w:hideMark/>
          </w:tcPr>
          <w:p w14:paraId="52A332D8" w14:textId="77777777" w:rsidR="00EC325C" w:rsidRPr="00B5064E" w:rsidRDefault="00EC325C" w:rsidP="00C7509A">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Retailers face operational impacts including billing configuration, cost recovery, and product portfolio adjustments. The single-zone timing of the FPP reduces IT complexity, while engagement with AER and AEMC helps align tariffs with network conditions.</w:t>
            </w:r>
          </w:p>
        </w:tc>
      </w:tr>
      <w:tr w:rsidR="00EC325C" w:rsidRPr="00B5064E" w14:paraId="18E2ACF9" w14:textId="77777777" w:rsidTr="00E50713">
        <w:tc>
          <w:tcPr>
            <w:cnfStyle w:val="001000000000" w:firstRow="0" w:lastRow="0" w:firstColumn="1" w:lastColumn="0" w:oddVBand="0" w:evenVBand="0" w:oddHBand="0" w:evenHBand="0" w:firstRowFirstColumn="0" w:firstRowLastColumn="0" w:lastRowFirstColumn="0" w:lastRowLastColumn="0"/>
            <w:tcW w:w="1350" w:type="pct"/>
            <w:shd w:val="clear" w:color="auto" w:fill="F2F2F2" w:themeFill="background1" w:themeFillShade="F2"/>
            <w:vAlign w:val="center"/>
            <w:hideMark/>
          </w:tcPr>
          <w:p w14:paraId="5F6BE524" w14:textId="77777777" w:rsidR="00EC325C" w:rsidRPr="00B5064E" w:rsidRDefault="00EC325C" w:rsidP="00C7509A">
            <w:pPr>
              <w:spacing w:before="120" w:after="120" w:line="259" w:lineRule="auto"/>
              <w:rPr>
                <w:rFonts w:ascii="Calibri" w:hAnsi="Calibri" w:cs="Calibri"/>
              </w:rPr>
            </w:pPr>
            <w:r w:rsidRPr="00B5064E">
              <w:rPr>
                <w:rFonts w:ascii="Calibri" w:hAnsi="Calibri" w:cs="Calibri"/>
              </w:rPr>
              <w:t>Small retailers (&lt;1,000 customers)</w:t>
            </w:r>
          </w:p>
        </w:tc>
        <w:tc>
          <w:tcPr>
            <w:tcW w:w="3650" w:type="pct"/>
            <w:shd w:val="clear" w:color="auto" w:fill="F2F2F2" w:themeFill="background1" w:themeFillShade="F2"/>
            <w:vAlign w:val="center"/>
            <w:hideMark/>
          </w:tcPr>
          <w:p w14:paraId="49428B31" w14:textId="77777777" w:rsidR="00EC325C" w:rsidRPr="00B5064E" w:rsidRDefault="00EC325C" w:rsidP="00C7509A">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Small retailers are largely neutral, as they are exempt from mandatory FPP offerings. They may benefit from optional innovation opportunities, while transparency ensures competitive neutrality.</w:t>
            </w:r>
          </w:p>
        </w:tc>
      </w:tr>
      <w:tr w:rsidR="00EC325C" w:rsidRPr="00B5064E" w14:paraId="122B74DF" w14:textId="77777777" w:rsidTr="007E5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pct"/>
            <w:shd w:val="clear" w:color="auto" w:fill="FFFFFF" w:themeFill="background1"/>
            <w:vAlign w:val="center"/>
            <w:hideMark/>
          </w:tcPr>
          <w:p w14:paraId="4B127B96" w14:textId="77777777" w:rsidR="00EC325C" w:rsidRPr="00B5064E" w:rsidRDefault="00EC325C" w:rsidP="00C7509A">
            <w:pPr>
              <w:spacing w:before="120" w:after="120" w:line="259" w:lineRule="auto"/>
              <w:rPr>
                <w:rFonts w:ascii="Calibri" w:hAnsi="Calibri" w:cs="Calibri"/>
              </w:rPr>
            </w:pPr>
            <w:r w:rsidRPr="00B5064E">
              <w:rPr>
                <w:rFonts w:ascii="Calibri" w:hAnsi="Calibri" w:cs="Calibri"/>
              </w:rPr>
              <w:t>Distribution Network Service Providers (DNSPs)</w:t>
            </w:r>
          </w:p>
        </w:tc>
        <w:tc>
          <w:tcPr>
            <w:tcW w:w="3650" w:type="pct"/>
            <w:shd w:val="clear" w:color="auto" w:fill="FFFFFF" w:themeFill="background1"/>
            <w:vAlign w:val="center"/>
            <w:hideMark/>
          </w:tcPr>
          <w:p w14:paraId="1F1C0D00" w14:textId="77777777" w:rsidR="00EC325C" w:rsidRPr="00B5064E" w:rsidRDefault="00EC325C" w:rsidP="00C7509A">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DNSPs may experience changes in daytime demand profiles, which could improve system efficiency and reduce congestion. Risks such as daytime clustering are mitigated through reasonable use caps and zone-level timing adjustments.</w:t>
            </w:r>
          </w:p>
        </w:tc>
      </w:tr>
      <w:tr w:rsidR="00EC325C" w:rsidRPr="00B5064E" w14:paraId="2FB6C0B2" w14:textId="77777777" w:rsidTr="00E50713">
        <w:tc>
          <w:tcPr>
            <w:cnfStyle w:val="001000000000" w:firstRow="0" w:lastRow="0" w:firstColumn="1" w:lastColumn="0" w:oddVBand="0" w:evenVBand="0" w:oddHBand="0" w:evenHBand="0" w:firstRowFirstColumn="0" w:firstRowLastColumn="0" w:lastRowFirstColumn="0" w:lastRowLastColumn="0"/>
            <w:tcW w:w="1350" w:type="pct"/>
            <w:shd w:val="clear" w:color="auto" w:fill="F2F2F2" w:themeFill="background1" w:themeFillShade="F2"/>
            <w:vAlign w:val="center"/>
            <w:hideMark/>
          </w:tcPr>
          <w:p w14:paraId="282F4782" w14:textId="77777777" w:rsidR="00EC325C" w:rsidRPr="00B5064E" w:rsidRDefault="00EC325C" w:rsidP="00C7509A">
            <w:pPr>
              <w:spacing w:before="120" w:after="120" w:line="259" w:lineRule="auto"/>
              <w:rPr>
                <w:rFonts w:ascii="Calibri" w:hAnsi="Calibri" w:cs="Calibri"/>
              </w:rPr>
            </w:pPr>
            <w:r w:rsidRPr="00B5064E">
              <w:rPr>
                <w:rFonts w:ascii="Calibri" w:hAnsi="Calibri" w:cs="Calibri"/>
              </w:rPr>
              <w:lastRenderedPageBreak/>
              <w:t>Controlled load customers/programs</w:t>
            </w:r>
          </w:p>
        </w:tc>
        <w:tc>
          <w:tcPr>
            <w:tcW w:w="3650" w:type="pct"/>
            <w:shd w:val="clear" w:color="auto" w:fill="F2F2F2" w:themeFill="background1" w:themeFillShade="F2"/>
            <w:vAlign w:val="center"/>
            <w:hideMark/>
          </w:tcPr>
          <w:p w14:paraId="38D71E6B" w14:textId="4ADA73FE" w:rsidR="00337B95" w:rsidRPr="00B5064E" w:rsidRDefault="00337B95" w:rsidP="00C7509A">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Controlled load customers are initially unaffected, as CL is excluded from the FPP. Monitoring post-implementation ensures that any migration away from CL is identified and addressed.</w:t>
            </w:r>
          </w:p>
        </w:tc>
      </w:tr>
      <w:tr w:rsidR="00EC325C" w:rsidRPr="00B5064E" w14:paraId="26A9D176" w14:textId="77777777" w:rsidTr="007E5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pct"/>
            <w:shd w:val="clear" w:color="auto" w:fill="FFFFFF" w:themeFill="background1"/>
            <w:vAlign w:val="center"/>
            <w:hideMark/>
          </w:tcPr>
          <w:p w14:paraId="110B2DA1" w14:textId="1E165448" w:rsidR="00EC325C" w:rsidRPr="00B5064E" w:rsidRDefault="0024333C" w:rsidP="00C7509A">
            <w:pPr>
              <w:spacing w:before="120" w:after="120" w:line="259" w:lineRule="auto"/>
              <w:rPr>
                <w:rFonts w:ascii="Calibri" w:hAnsi="Calibri" w:cs="Calibri"/>
              </w:rPr>
            </w:pPr>
            <w:r>
              <w:rPr>
                <w:rFonts w:ascii="Calibri" w:hAnsi="Calibri" w:cs="Calibri"/>
              </w:rPr>
              <w:t>AER</w:t>
            </w:r>
          </w:p>
        </w:tc>
        <w:tc>
          <w:tcPr>
            <w:tcW w:w="3650" w:type="pct"/>
            <w:shd w:val="clear" w:color="auto" w:fill="FFFFFF" w:themeFill="background1"/>
            <w:vAlign w:val="center"/>
            <w:hideMark/>
          </w:tcPr>
          <w:p w14:paraId="74E23F78" w14:textId="77777777" w:rsidR="00EC325C" w:rsidRPr="00B5064E" w:rsidRDefault="00EC325C" w:rsidP="00C7509A">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The AER faces increased workload from determining timing and tariff parameters and monitoring outcomes. These impacts are mitigated through integration with the DMO process and the use of smart meter data.</w:t>
            </w:r>
          </w:p>
        </w:tc>
      </w:tr>
      <w:tr w:rsidR="00EC325C" w:rsidRPr="00B5064E" w14:paraId="22E89B63" w14:textId="77777777" w:rsidTr="00E50713">
        <w:tc>
          <w:tcPr>
            <w:cnfStyle w:val="001000000000" w:firstRow="0" w:lastRow="0" w:firstColumn="1" w:lastColumn="0" w:oddVBand="0" w:evenVBand="0" w:oddHBand="0" w:evenHBand="0" w:firstRowFirstColumn="0" w:firstRowLastColumn="0" w:lastRowFirstColumn="0" w:lastRowLastColumn="0"/>
            <w:tcW w:w="1350" w:type="pct"/>
            <w:shd w:val="clear" w:color="auto" w:fill="F2F2F2" w:themeFill="background1" w:themeFillShade="F2"/>
            <w:vAlign w:val="center"/>
            <w:hideMark/>
          </w:tcPr>
          <w:p w14:paraId="5BD560E0" w14:textId="77777777" w:rsidR="00EC325C" w:rsidRPr="00B5064E" w:rsidRDefault="00EC325C" w:rsidP="00C7509A">
            <w:pPr>
              <w:spacing w:before="120" w:after="120" w:line="259" w:lineRule="auto"/>
              <w:rPr>
                <w:rFonts w:ascii="Calibri" w:hAnsi="Calibri" w:cs="Calibri"/>
              </w:rPr>
            </w:pPr>
            <w:r w:rsidRPr="00B5064E">
              <w:rPr>
                <w:rFonts w:ascii="Calibri" w:hAnsi="Calibri" w:cs="Calibri"/>
              </w:rPr>
              <w:t>Australian Competition and Consumer Commission (ACCC)</w:t>
            </w:r>
          </w:p>
        </w:tc>
        <w:tc>
          <w:tcPr>
            <w:tcW w:w="3650" w:type="pct"/>
            <w:shd w:val="clear" w:color="auto" w:fill="F2F2F2" w:themeFill="background1" w:themeFillShade="F2"/>
            <w:vAlign w:val="center"/>
            <w:hideMark/>
          </w:tcPr>
          <w:p w14:paraId="23F25661" w14:textId="77777777" w:rsidR="00EC325C" w:rsidRPr="00B5064E" w:rsidRDefault="00EC325C" w:rsidP="00C7509A">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ACCC faces moderate administrative impacts from ensuring Code compliance and retailer adherence to disclosure obligations. Enforcement and guidance updates reduce the risk of inconsistent conduct.</w:t>
            </w:r>
          </w:p>
        </w:tc>
      </w:tr>
      <w:tr w:rsidR="00EC325C" w:rsidRPr="00B5064E" w14:paraId="7B643194" w14:textId="77777777" w:rsidTr="007E5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pct"/>
            <w:shd w:val="clear" w:color="auto" w:fill="FFFFFF" w:themeFill="background1"/>
            <w:vAlign w:val="center"/>
            <w:hideMark/>
          </w:tcPr>
          <w:p w14:paraId="509DD7C4" w14:textId="77777777" w:rsidR="00EC325C" w:rsidRPr="00B5064E" w:rsidRDefault="00EC325C" w:rsidP="00C7509A">
            <w:pPr>
              <w:spacing w:before="120" w:after="120" w:line="259" w:lineRule="auto"/>
              <w:rPr>
                <w:rFonts w:ascii="Calibri" w:hAnsi="Calibri" w:cs="Calibri"/>
              </w:rPr>
            </w:pPr>
            <w:r w:rsidRPr="00B5064E">
              <w:rPr>
                <w:rFonts w:ascii="Calibri" w:hAnsi="Calibri" w:cs="Calibri"/>
              </w:rPr>
              <w:t>Department of Climate Change, Energy, the Environment and Water (DCCEEW)</w:t>
            </w:r>
          </w:p>
        </w:tc>
        <w:tc>
          <w:tcPr>
            <w:tcW w:w="3650" w:type="pct"/>
            <w:shd w:val="clear" w:color="auto" w:fill="FFFFFF" w:themeFill="background1"/>
            <w:vAlign w:val="center"/>
            <w:hideMark/>
          </w:tcPr>
          <w:p w14:paraId="526B59E3" w14:textId="77777777" w:rsidR="00EC325C" w:rsidRPr="00B5064E" w:rsidRDefault="00EC325C" w:rsidP="00C7509A">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064E">
              <w:rPr>
                <w:rFonts w:ascii="Calibri" w:hAnsi="Calibri" w:cs="Calibri"/>
              </w:rPr>
              <w:t>DCCEEW supports policy stewardship, communications, and a two-year post-implementation review. These activities are moderate and time-bound, ensuring transparency and management of policy drift.</w:t>
            </w:r>
          </w:p>
        </w:tc>
      </w:tr>
      <w:tr w:rsidR="00EC325C" w:rsidRPr="00B5064E" w14:paraId="2CA8D755" w14:textId="77777777" w:rsidTr="00E50713">
        <w:tc>
          <w:tcPr>
            <w:cnfStyle w:val="001000000000" w:firstRow="0" w:lastRow="0" w:firstColumn="1" w:lastColumn="0" w:oddVBand="0" w:evenVBand="0" w:oddHBand="0" w:evenHBand="0" w:firstRowFirstColumn="0" w:firstRowLastColumn="0" w:lastRowFirstColumn="0" w:lastRowLastColumn="0"/>
            <w:tcW w:w="1350" w:type="pct"/>
            <w:tcBorders>
              <w:bottom w:val="single" w:sz="4" w:space="0" w:color="D1D1D1" w:themeColor="background2" w:themeShade="E6"/>
            </w:tcBorders>
            <w:shd w:val="clear" w:color="auto" w:fill="F2F2F2" w:themeFill="background1" w:themeFillShade="F2"/>
            <w:vAlign w:val="center"/>
            <w:hideMark/>
          </w:tcPr>
          <w:p w14:paraId="4DCEEBFB" w14:textId="77777777" w:rsidR="00EC325C" w:rsidRPr="00B5064E" w:rsidRDefault="00EC325C" w:rsidP="00C7509A">
            <w:pPr>
              <w:spacing w:before="120" w:after="120" w:line="259" w:lineRule="auto"/>
              <w:rPr>
                <w:rFonts w:ascii="Calibri" w:hAnsi="Calibri" w:cs="Calibri"/>
              </w:rPr>
            </w:pPr>
            <w:r w:rsidRPr="00B5064E">
              <w:rPr>
                <w:rFonts w:ascii="Calibri" w:hAnsi="Calibri" w:cs="Calibri"/>
              </w:rPr>
              <w:t>Wider market &amp; competition</w:t>
            </w:r>
          </w:p>
        </w:tc>
        <w:tc>
          <w:tcPr>
            <w:tcW w:w="3650" w:type="pct"/>
            <w:tcBorders>
              <w:bottom w:val="single" w:sz="4" w:space="0" w:color="D1D1D1" w:themeColor="background2" w:themeShade="E6"/>
            </w:tcBorders>
            <w:shd w:val="clear" w:color="auto" w:fill="F2F2F2" w:themeFill="background1" w:themeFillShade="F2"/>
            <w:vAlign w:val="center"/>
            <w:hideMark/>
          </w:tcPr>
          <w:p w14:paraId="163FE7B5" w14:textId="77777777" w:rsidR="00EC325C" w:rsidRPr="00B5064E" w:rsidRDefault="00EC325C" w:rsidP="00C7509A">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The broader market benefits from improved comparability and a standing offer floor that encourages innovation. Risks of consumer confusion are mitigated through Better Bills disclosures, Code guidance, and AER publishing of DMO/FPP settings.</w:t>
            </w:r>
          </w:p>
        </w:tc>
      </w:tr>
    </w:tbl>
    <w:p w14:paraId="1478CDA9" w14:textId="11919136" w:rsidR="00FE6144" w:rsidRPr="00B5064E" w:rsidRDefault="00FE6144" w:rsidP="00881370">
      <w:pPr>
        <w:pStyle w:val="Heading3"/>
        <w:rPr>
          <w:rFonts w:ascii="Calibri" w:hAnsi="Calibri" w:cs="Calibri"/>
        </w:rPr>
      </w:pPr>
      <w:bookmarkStart w:id="54" w:name="_Toc222842801"/>
      <w:r w:rsidRPr="00B5064E">
        <w:rPr>
          <w:rFonts w:ascii="Calibri" w:hAnsi="Calibri" w:cs="Calibri"/>
        </w:rPr>
        <w:t>Heat Map for option A1</w:t>
      </w:r>
      <w:bookmarkEnd w:id="54"/>
    </w:p>
    <w:p w14:paraId="0DC682B1" w14:textId="17D87538" w:rsidR="00DE78B0" w:rsidRPr="00B5064E" w:rsidRDefault="00FE6144" w:rsidP="00FE6144">
      <w:pPr>
        <w:rPr>
          <w:rFonts w:ascii="Calibri" w:hAnsi="Calibri" w:cs="Calibri"/>
        </w:rPr>
      </w:pPr>
      <w:r w:rsidRPr="00B5064E">
        <w:rPr>
          <w:rFonts w:ascii="Calibri" w:hAnsi="Calibri" w:cs="Calibri"/>
        </w:rPr>
        <w:t xml:space="preserve">The heat map visually represents each stakeholder’s impact magnitude and risk severity under Option A1, using a 1–4 scale where 1 is low and 4 is high. </w:t>
      </w:r>
      <w:r w:rsidR="00DE78B0" w:rsidRPr="00B5064E">
        <w:rPr>
          <w:rFonts w:ascii="Calibri" w:hAnsi="Calibri" w:cs="Calibri"/>
        </w:rPr>
        <w:t>The 1–4 scale applied in the heat map was developed through a structured qualitative assessment informed by multiple evidence sources rather than a single input. The Department triangulated:</w:t>
      </w:r>
    </w:p>
    <w:p w14:paraId="13A8E8A8" w14:textId="57A18B0A" w:rsidR="00DE78B0" w:rsidRPr="00B5064E" w:rsidRDefault="00DE78B0" w:rsidP="00994E7A">
      <w:pPr>
        <w:pStyle w:val="ListParagraph"/>
        <w:numPr>
          <w:ilvl w:val="0"/>
          <w:numId w:val="8"/>
        </w:numPr>
        <w:spacing w:before="120" w:after="120"/>
        <w:ind w:left="714" w:hanging="357"/>
        <w:contextualSpacing w:val="0"/>
        <w:rPr>
          <w:rFonts w:ascii="Calibri" w:hAnsi="Calibri" w:cs="Calibri"/>
        </w:rPr>
      </w:pPr>
      <w:r w:rsidRPr="00B5064E">
        <w:rPr>
          <w:rFonts w:ascii="Calibri" w:hAnsi="Calibri" w:cs="Calibri"/>
          <w:b/>
          <w:bCs/>
        </w:rPr>
        <w:t>Direct stakeholder feedback</w:t>
      </w:r>
      <w:r w:rsidRPr="00B5064E">
        <w:rPr>
          <w:rFonts w:ascii="Calibri" w:hAnsi="Calibri" w:cs="Calibri"/>
        </w:rPr>
        <w:t xml:space="preserve"> provided through formal consultation submissions, including the frequency and intensity of concerns raised by particular cohorts.</w:t>
      </w:r>
    </w:p>
    <w:p w14:paraId="51F22283" w14:textId="1DA84289" w:rsidR="00DE78B0" w:rsidRPr="00B5064E" w:rsidRDefault="00DE78B0" w:rsidP="00994E7A">
      <w:pPr>
        <w:pStyle w:val="ListParagraph"/>
        <w:numPr>
          <w:ilvl w:val="0"/>
          <w:numId w:val="8"/>
        </w:numPr>
        <w:spacing w:before="120" w:after="120"/>
        <w:ind w:left="714" w:hanging="357"/>
        <w:contextualSpacing w:val="0"/>
        <w:rPr>
          <w:rFonts w:ascii="Calibri" w:hAnsi="Calibri" w:cs="Calibri"/>
        </w:rPr>
      </w:pPr>
      <w:r w:rsidRPr="00B5064E">
        <w:rPr>
          <w:rFonts w:ascii="Calibri" w:hAnsi="Calibri" w:cs="Calibri"/>
          <w:b/>
          <w:bCs/>
        </w:rPr>
        <w:t>Bill impact analysis</w:t>
      </w:r>
      <w:r w:rsidRPr="00B5064E">
        <w:rPr>
          <w:rFonts w:ascii="Calibri" w:hAnsi="Calibri" w:cs="Calibri"/>
        </w:rPr>
        <w:t>, where available (e.g. estimated household bill savings, potential network impacts, retailer cost exposure);</w:t>
      </w:r>
    </w:p>
    <w:p w14:paraId="5122DF3E" w14:textId="49B7ADF2" w:rsidR="00DE78B0" w:rsidRPr="00B5064E" w:rsidRDefault="00DE78B0" w:rsidP="00994E7A">
      <w:pPr>
        <w:pStyle w:val="ListParagraph"/>
        <w:numPr>
          <w:ilvl w:val="0"/>
          <w:numId w:val="8"/>
        </w:numPr>
        <w:spacing w:before="120" w:after="120"/>
        <w:ind w:left="714" w:hanging="357"/>
        <w:contextualSpacing w:val="0"/>
        <w:rPr>
          <w:rFonts w:ascii="Calibri" w:hAnsi="Calibri" w:cs="Calibri"/>
        </w:rPr>
      </w:pPr>
      <w:r w:rsidRPr="00B5064E">
        <w:rPr>
          <w:rFonts w:ascii="Calibri" w:hAnsi="Calibri" w:cs="Calibri"/>
          <w:b/>
          <w:bCs/>
        </w:rPr>
        <w:t>Policy and regulatory assessment</w:t>
      </w:r>
      <w:r w:rsidRPr="00B5064E">
        <w:rPr>
          <w:rFonts w:ascii="Calibri" w:hAnsi="Calibri" w:cs="Calibri"/>
        </w:rPr>
        <w:t>, including implementation burden, compliance costs, and systemic risk considerations; and</w:t>
      </w:r>
    </w:p>
    <w:p w14:paraId="41DB3DB1" w14:textId="15A91C3E" w:rsidR="00DE78B0" w:rsidRPr="00B5064E" w:rsidRDefault="00DE78B0" w:rsidP="00994E7A">
      <w:pPr>
        <w:pStyle w:val="ListParagraph"/>
        <w:numPr>
          <w:ilvl w:val="0"/>
          <w:numId w:val="8"/>
        </w:numPr>
        <w:spacing w:before="120" w:after="120"/>
        <w:ind w:left="714" w:hanging="357"/>
        <w:contextualSpacing w:val="0"/>
        <w:rPr>
          <w:rFonts w:ascii="Calibri" w:hAnsi="Calibri" w:cs="Calibri"/>
        </w:rPr>
      </w:pPr>
      <w:r w:rsidRPr="00B5064E">
        <w:rPr>
          <w:rFonts w:ascii="Calibri" w:hAnsi="Calibri" w:cs="Calibri"/>
          <w:b/>
          <w:bCs/>
        </w:rPr>
        <w:t>Professional judgement</w:t>
      </w:r>
      <w:r w:rsidRPr="00B5064E">
        <w:rPr>
          <w:rFonts w:ascii="Calibri" w:hAnsi="Calibri" w:cs="Calibri"/>
        </w:rPr>
        <w:t xml:space="preserve"> based on the materiality of impacts relative to the stakeholder’s exposure to wholesale prices, network tariffs, or behavioural change requirements.</w:t>
      </w:r>
    </w:p>
    <w:p w14:paraId="797683D7" w14:textId="3DA8BF7A" w:rsidR="00FE6144" w:rsidRPr="00B5064E" w:rsidRDefault="00FE6144" w:rsidP="00FE6144">
      <w:pPr>
        <w:rPr>
          <w:rFonts w:ascii="Calibri" w:hAnsi="Calibri" w:cs="Calibri"/>
        </w:rPr>
      </w:pPr>
      <w:r w:rsidRPr="00B5064E">
        <w:rPr>
          <w:rFonts w:ascii="Calibri" w:hAnsi="Calibri" w:cs="Calibri"/>
        </w:rPr>
        <w:t>Darker colours indicate higher values, making it immediately clear which stakeholders are most affected by the introduction of the Solar Sharer Offer. For example, households able to shift 10–30% of their electricity usage and DNSPs are shown with the highest impact and moderate-to-high risk, reflecting both the potential for significant bill savings and system efficiency gains, as well as the need for careful monitoring to prevent network congestion and ensure accurate savings estimates. In contrast, stakeholders like controlled load customers or small retailers are lightly shaded, indicating low to moderate impacts and minimal risk.</w:t>
      </w:r>
    </w:p>
    <w:p w14:paraId="59D6BE33" w14:textId="6BBFD800" w:rsidR="00B12486" w:rsidRPr="00B5064E" w:rsidRDefault="00FE6144" w:rsidP="00FE6144">
      <w:pPr>
        <w:rPr>
          <w:rFonts w:ascii="Calibri" w:hAnsi="Calibri" w:cs="Calibri"/>
        </w:rPr>
      </w:pPr>
      <w:r w:rsidRPr="00B5064E">
        <w:rPr>
          <w:rFonts w:ascii="Calibri" w:hAnsi="Calibri" w:cs="Calibri"/>
        </w:rPr>
        <w:lastRenderedPageBreak/>
        <w:t>The heat map also highlights where mitigation measures are particularly important. Stakeholders with both high impact and moderate risk such as CER-enabled households, the AER, and Tier 1 retailers require clear guidance, effective communication, and ongoing monitoring to ensure the intended outcomes are realized without unintended consequences. Conversely, stakeholders in the lower-left corner of the map have minimal exposure, meaning engagement can focus on compliance and awareness rather than major operational adjustments. Overall, the heat map provides a quick, at-a-glance tool to prioritize stakeholder engagement, risk management, and policy oversight, complementing the detailed impact analy</w:t>
      </w:r>
      <w:r w:rsidR="00B12486" w:rsidRPr="00B5064E">
        <w:rPr>
          <w:rFonts w:ascii="Calibri" w:hAnsi="Calibri" w:cs="Calibri"/>
        </w:rPr>
        <w:t xml:space="preserve">sis. </w:t>
      </w:r>
    </w:p>
    <w:p w14:paraId="47417D2B" w14:textId="2CE76F10" w:rsidR="004E68AE" w:rsidRPr="00B5064E" w:rsidRDefault="004E68AE" w:rsidP="00ED55EF">
      <w:pPr>
        <w:spacing w:after="0"/>
        <w:rPr>
          <w:rFonts w:ascii="Calibri" w:hAnsi="Calibri" w:cs="Calibri"/>
          <w:i/>
          <w:iCs/>
        </w:rPr>
      </w:pPr>
      <w:r w:rsidRPr="00B5064E">
        <w:rPr>
          <w:rFonts w:ascii="Calibri" w:hAnsi="Calibri" w:cs="Calibri"/>
          <w:i/>
          <w:iCs/>
        </w:rPr>
        <w:t xml:space="preserve">Figure 3. </w:t>
      </w:r>
      <w:r w:rsidR="00A95D0E" w:rsidRPr="00B5064E">
        <w:rPr>
          <w:rFonts w:ascii="Calibri" w:hAnsi="Calibri" w:cs="Calibri"/>
          <w:i/>
          <w:iCs/>
        </w:rPr>
        <w:t>Option A1: Stakeholder Impact &amp; Risk Heatmap</w:t>
      </w:r>
    </w:p>
    <w:p w14:paraId="3B4F40CF" w14:textId="4BBFE8F5" w:rsidR="00196939" w:rsidRPr="00B5064E" w:rsidRDefault="00A74C0E" w:rsidP="00196939">
      <w:pPr>
        <w:jc w:val="center"/>
        <w:rPr>
          <w:rFonts w:ascii="Calibri" w:hAnsi="Calibri" w:cs="Calibri"/>
        </w:rPr>
      </w:pPr>
      <w:r>
        <w:rPr>
          <w:noProof/>
        </w:rPr>
        <w:drawing>
          <wp:anchor distT="0" distB="0" distL="114300" distR="114300" simplePos="0" relativeHeight="251658243" behindDoc="0" locked="0" layoutInCell="1" allowOverlap="1" wp14:anchorId="75B4FCB2" wp14:editId="1C58CB35">
            <wp:simplePos x="0" y="0"/>
            <wp:positionH relativeFrom="margin">
              <wp:align>left</wp:align>
            </wp:positionH>
            <wp:positionV relativeFrom="margin">
              <wp:posOffset>1831109</wp:posOffset>
            </wp:positionV>
            <wp:extent cx="5219700" cy="3811270"/>
            <wp:effectExtent l="0" t="0" r="0" b="0"/>
            <wp:wrapSquare wrapText="bothSides"/>
            <wp:docPr id="1804915919" name="Picture 13" descr="Heatmap chart titled &quot;Option A1: Stakeholder Impact &amp; Risk Heatmap&quot; displays impact magnitude and risk severity scores for various stakeholder groups using a color gradient from purple (low) to yellow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915919" name="Picture 13" descr="Heatmap chart titled &quot;Option A1: Stakeholder Impact &amp; Risk Heatmap&quot; displays impact magnitude and risk severity scores for various stakeholder groups using a color gradient from purple (low) to yellow (hig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9700" cy="3811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C53841" w14:textId="2BD2A991" w:rsidR="00727861" w:rsidRPr="00B5064E" w:rsidRDefault="00CA0894" w:rsidP="008020D1">
      <w:pPr>
        <w:pStyle w:val="Heading3"/>
        <w:spacing w:after="120"/>
        <w:rPr>
          <w:rFonts w:ascii="Calibri" w:hAnsi="Calibri" w:cs="Calibri"/>
        </w:rPr>
      </w:pPr>
      <w:bookmarkStart w:id="55" w:name="_Toc222842802"/>
      <w:r w:rsidRPr="00B5064E">
        <w:rPr>
          <w:rFonts w:ascii="Calibri" w:hAnsi="Calibri" w:cs="Calibri"/>
        </w:rPr>
        <w:t xml:space="preserve">Detailed </w:t>
      </w:r>
      <w:r w:rsidR="00E62155" w:rsidRPr="00B5064E">
        <w:rPr>
          <w:rFonts w:ascii="Calibri" w:hAnsi="Calibri" w:cs="Calibri"/>
        </w:rPr>
        <w:t>breakdown of key stakeholder impacts as per heat map (with reference to stakeholder submissions)</w:t>
      </w:r>
      <w:bookmarkEnd w:id="55"/>
    </w:p>
    <w:p w14:paraId="4D28958A" w14:textId="2831D086" w:rsidR="003235D0" w:rsidRPr="00B5064E" w:rsidRDefault="003235D0" w:rsidP="003235D0">
      <w:pPr>
        <w:rPr>
          <w:rFonts w:ascii="Calibri" w:hAnsi="Calibri" w:cs="Calibri"/>
        </w:rPr>
      </w:pPr>
      <w:r w:rsidRPr="00B5064E">
        <w:rPr>
          <w:rFonts w:ascii="Calibri" w:hAnsi="Calibri" w:cs="Calibri"/>
        </w:rPr>
        <w:t>This section expands on the stakeholder heat map by incorporating key issues raised through consultation submissions from retailers, networks and market participants. While views differed, several consistent themes emerged regarding cost recovery, implementation feasibility, equity, network alignment and market impacts.</w:t>
      </w:r>
    </w:p>
    <w:p w14:paraId="5D96D977" w14:textId="290A0EE0" w:rsidR="001D01D8" w:rsidRPr="00B5064E" w:rsidRDefault="00E62155" w:rsidP="00881370">
      <w:pPr>
        <w:pStyle w:val="Heading4"/>
        <w:spacing w:before="120" w:after="120"/>
        <w:rPr>
          <w:rFonts w:ascii="Calibri" w:hAnsi="Calibri" w:cs="Calibri"/>
          <w:b/>
          <w:bCs/>
          <w:sz w:val="24"/>
          <w:szCs w:val="24"/>
        </w:rPr>
      </w:pPr>
      <w:r w:rsidRPr="00B5064E">
        <w:rPr>
          <w:rFonts w:ascii="Calibri" w:hAnsi="Calibri" w:cs="Calibri"/>
          <w:b/>
          <w:bCs/>
          <w:sz w:val="24"/>
          <w:szCs w:val="24"/>
        </w:rPr>
        <w:t xml:space="preserve">1. </w:t>
      </w:r>
      <w:r w:rsidR="001D01D8" w:rsidRPr="00B5064E">
        <w:rPr>
          <w:rFonts w:ascii="Calibri" w:hAnsi="Calibri" w:cs="Calibri"/>
          <w:b/>
          <w:bCs/>
          <w:sz w:val="24"/>
          <w:szCs w:val="24"/>
        </w:rPr>
        <w:t>Residential households (eligible customers with smart meters)</w:t>
      </w:r>
    </w:p>
    <w:p w14:paraId="7F21A21D" w14:textId="77777777" w:rsidR="001D01D8" w:rsidRPr="00B5064E" w:rsidRDefault="001D01D8" w:rsidP="001D01D8">
      <w:pPr>
        <w:rPr>
          <w:rFonts w:ascii="Calibri" w:hAnsi="Calibri" w:cs="Calibri"/>
        </w:rPr>
      </w:pPr>
      <w:r w:rsidRPr="00B5064E">
        <w:rPr>
          <w:rFonts w:ascii="Calibri" w:hAnsi="Calibri" w:cs="Calibri"/>
          <w:b/>
          <w:bCs/>
        </w:rPr>
        <w:t>Impact magnitude: High</w:t>
      </w:r>
      <w:r w:rsidRPr="00B5064E">
        <w:rPr>
          <w:rFonts w:ascii="Calibri" w:hAnsi="Calibri" w:cs="Calibri"/>
        </w:rPr>
        <w:br/>
      </w:r>
      <w:r w:rsidRPr="00B5064E">
        <w:rPr>
          <w:rFonts w:ascii="Calibri" w:hAnsi="Calibri" w:cs="Calibri"/>
          <w:b/>
          <w:bCs/>
        </w:rPr>
        <w:t>Risk severity: Low–Moderate (with safeguards)</w:t>
      </w:r>
    </w:p>
    <w:p w14:paraId="48734428" w14:textId="733722CD" w:rsidR="004F7722" w:rsidRPr="00B5064E" w:rsidRDefault="001D01D8" w:rsidP="00B57CC3">
      <w:pPr>
        <w:rPr>
          <w:rFonts w:ascii="Calibri" w:hAnsi="Calibri" w:cs="Calibri"/>
        </w:rPr>
      </w:pPr>
      <w:r w:rsidRPr="00B5064E">
        <w:rPr>
          <w:rFonts w:ascii="Calibri" w:hAnsi="Calibri" w:cs="Calibri"/>
        </w:rPr>
        <w:t>Residential customers are the primary intended beneficiaries of Option A1. The SSO provides an opt-in, regulated standing offer with a defined three-hour zero-cost usage window, enabling households to shift consumption into periods of high solar generation and lower wholesale costs</w:t>
      </w:r>
      <w:r w:rsidR="004F7722" w:rsidRPr="00B5064E">
        <w:rPr>
          <w:rFonts w:ascii="Calibri" w:hAnsi="Calibri" w:cs="Calibri"/>
        </w:rPr>
        <w:t>.</w:t>
      </w:r>
    </w:p>
    <w:p w14:paraId="42D59D0D" w14:textId="77777777" w:rsidR="004F7722" w:rsidRPr="00B5064E" w:rsidRDefault="004F7722" w:rsidP="004F7722">
      <w:pPr>
        <w:rPr>
          <w:rFonts w:ascii="Calibri" w:hAnsi="Calibri" w:cs="Calibri"/>
          <w:b/>
          <w:bCs/>
        </w:rPr>
      </w:pPr>
      <w:r w:rsidRPr="00B5064E">
        <w:rPr>
          <w:rFonts w:ascii="Calibri" w:hAnsi="Calibri" w:cs="Calibri"/>
          <w:b/>
          <w:bCs/>
        </w:rPr>
        <w:t>Benefits</w:t>
      </w:r>
    </w:p>
    <w:p w14:paraId="17F6C694" w14:textId="77777777" w:rsidR="004F7722" w:rsidRPr="00B5064E" w:rsidRDefault="004F7722" w:rsidP="004F7722">
      <w:pPr>
        <w:rPr>
          <w:rFonts w:ascii="Calibri" w:hAnsi="Calibri" w:cs="Calibri"/>
        </w:rPr>
      </w:pPr>
      <w:r w:rsidRPr="00B5064E">
        <w:rPr>
          <w:rFonts w:ascii="Calibri" w:hAnsi="Calibri" w:cs="Calibri"/>
        </w:rPr>
        <w:lastRenderedPageBreak/>
        <w:t>Submissions broadly acknowledged that:</w:t>
      </w:r>
    </w:p>
    <w:p w14:paraId="712CE0D9" w14:textId="77777777" w:rsidR="004F7722" w:rsidRPr="00B5064E" w:rsidRDefault="004F7722" w:rsidP="00CF405C">
      <w:pPr>
        <w:pStyle w:val="ListParagraph"/>
        <w:numPr>
          <w:ilvl w:val="0"/>
          <w:numId w:val="30"/>
        </w:numPr>
        <w:spacing w:before="120" w:after="120"/>
        <w:ind w:left="714" w:hanging="357"/>
        <w:contextualSpacing w:val="0"/>
        <w:rPr>
          <w:rFonts w:ascii="Calibri" w:hAnsi="Calibri" w:cs="Calibri"/>
        </w:rPr>
      </w:pPr>
      <w:r w:rsidRPr="00B5064E">
        <w:rPr>
          <w:rFonts w:ascii="Calibri" w:hAnsi="Calibri" w:cs="Calibri"/>
        </w:rPr>
        <w:t>The SSO could improve equitable access to solar benefits, particularly for renters and households without rooftop solar.</w:t>
      </w:r>
    </w:p>
    <w:p w14:paraId="61BAD0CD" w14:textId="77777777" w:rsidR="004F7722" w:rsidRPr="00B5064E" w:rsidRDefault="004F7722" w:rsidP="00CF405C">
      <w:pPr>
        <w:pStyle w:val="ListParagraph"/>
        <w:numPr>
          <w:ilvl w:val="0"/>
          <w:numId w:val="30"/>
        </w:numPr>
        <w:spacing w:before="120" w:after="120"/>
        <w:ind w:left="714" w:hanging="357"/>
        <w:contextualSpacing w:val="0"/>
        <w:rPr>
          <w:rFonts w:ascii="Calibri" w:hAnsi="Calibri" w:cs="Calibri"/>
        </w:rPr>
      </w:pPr>
      <w:r w:rsidRPr="00B5064E">
        <w:rPr>
          <w:rFonts w:ascii="Calibri" w:hAnsi="Calibri" w:cs="Calibri"/>
        </w:rPr>
        <w:t>Clear price signals may support engagement in the energy transition and encourage load shifting.</w:t>
      </w:r>
    </w:p>
    <w:p w14:paraId="56E93EEF" w14:textId="77777777" w:rsidR="004F7722" w:rsidRPr="00B5064E" w:rsidRDefault="004F7722" w:rsidP="00CF405C">
      <w:pPr>
        <w:pStyle w:val="ListParagraph"/>
        <w:numPr>
          <w:ilvl w:val="0"/>
          <w:numId w:val="30"/>
        </w:numPr>
        <w:spacing w:before="120" w:after="120"/>
        <w:ind w:left="714" w:hanging="357"/>
        <w:contextualSpacing w:val="0"/>
        <w:rPr>
          <w:rFonts w:ascii="Calibri" w:hAnsi="Calibri" w:cs="Calibri"/>
        </w:rPr>
      </w:pPr>
      <w:r w:rsidRPr="00B5064E">
        <w:rPr>
          <w:rFonts w:ascii="Calibri" w:hAnsi="Calibri" w:cs="Calibri"/>
        </w:rPr>
        <w:t>A regulated benchmark may improve transparency relative to diverse market-led free-power offers.</w:t>
      </w:r>
    </w:p>
    <w:p w14:paraId="4D203755" w14:textId="77777777" w:rsidR="004F7722" w:rsidRPr="00B5064E" w:rsidRDefault="004F7722" w:rsidP="004F7722">
      <w:pPr>
        <w:rPr>
          <w:rFonts w:ascii="Calibri" w:hAnsi="Calibri" w:cs="Calibri"/>
        </w:rPr>
      </w:pPr>
      <w:r w:rsidRPr="00B5064E">
        <w:rPr>
          <w:rFonts w:ascii="Calibri" w:hAnsi="Calibri" w:cs="Calibri"/>
        </w:rPr>
        <w:t>Several submissions supported the policy intent of expanding access to midday renewable generation and smoothing demand.</w:t>
      </w:r>
    </w:p>
    <w:p w14:paraId="67F78FEB" w14:textId="77777777" w:rsidR="004F7722" w:rsidRPr="00B5064E" w:rsidRDefault="004F7722" w:rsidP="004F7722">
      <w:pPr>
        <w:rPr>
          <w:rFonts w:ascii="Calibri" w:hAnsi="Calibri" w:cs="Calibri"/>
          <w:b/>
          <w:bCs/>
        </w:rPr>
      </w:pPr>
      <w:r w:rsidRPr="00B5064E">
        <w:rPr>
          <w:rFonts w:ascii="Calibri" w:hAnsi="Calibri" w:cs="Calibri"/>
          <w:b/>
          <w:bCs/>
        </w:rPr>
        <w:t>Risks identified in submissions</w:t>
      </w:r>
    </w:p>
    <w:p w14:paraId="1F59149F" w14:textId="77777777" w:rsidR="004F7722" w:rsidRPr="00B5064E" w:rsidRDefault="004F7722" w:rsidP="004F7722">
      <w:pPr>
        <w:rPr>
          <w:rFonts w:ascii="Calibri" w:hAnsi="Calibri" w:cs="Calibri"/>
        </w:rPr>
      </w:pPr>
      <w:r w:rsidRPr="00B5064E">
        <w:rPr>
          <w:rFonts w:ascii="Calibri" w:hAnsi="Calibri" w:cs="Calibri"/>
        </w:rPr>
        <w:t>However, stakeholders also raised concerns that:</w:t>
      </w:r>
    </w:p>
    <w:p w14:paraId="3778E0F8" w14:textId="77777777" w:rsidR="004F7722" w:rsidRPr="00B5064E" w:rsidRDefault="004F7722" w:rsidP="00CF405C">
      <w:pPr>
        <w:pStyle w:val="ListParagraph"/>
        <w:numPr>
          <w:ilvl w:val="0"/>
          <w:numId w:val="30"/>
        </w:numPr>
        <w:spacing w:before="120" w:after="120"/>
        <w:ind w:left="714" w:hanging="357"/>
        <w:contextualSpacing w:val="0"/>
        <w:rPr>
          <w:rFonts w:ascii="Calibri" w:hAnsi="Calibri" w:cs="Calibri"/>
        </w:rPr>
      </w:pPr>
      <w:r w:rsidRPr="00B5064E">
        <w:rPr>
          <w:rFonts w:ascii="Calibri" w:hAnsi="Calibri" w:cs="Calibri"/>
        </w:rPr>
        <w:t>The SSO is a behaviour-based product that may disproportionately benefit households with batteries, EVs or high daytime flexibility, rather than low-income or vulnerable customers.</w:t>
      </w:r>
    </w:p>
    <w:p w14:paraId="335B4F54" w14:textId="77777777" w:rsidR="004F7722" w:rsidRPr="00B5064E" w:rsidRDefault="004F7722" w:rsidP="00CF405C">
      <w:pPr>
        <w:pStyle w:val="ListParagraph"/>
        <w:numPr>
          <w:ilvl w:val="0"/>
          <w:numId w:val="30"/>
        </w:numPr>
        <w:spacing w:before="120" w:after="120"/>
        <w:ind w:left="714" w:hanging="357"/>
        <w:contextualSpacing w:val="0"/>
        <w:rPr>
          <w:rFonts w:ascii="Calibri" w:hAnsi="Calibri" w:cs="Calibri"/>
        </w:rPr>
      </w:pPr>
      <w:r w:rsidRPr="00B5064E">
        <w:rPr>
          <w:rFonts w:ascii="Calibri" w:hAnsi="Calibri" w:cs="Calibri"/>
        </w:rPr>
        <w:t>Customers unable to shift load (e.g. working households, vulnerable cohorts) could face higher charges outside the free window if pricing is rebalanced to recover costs.</w:t>
      </w:r>
    </w:p>
    <w:p w14:paraId="50FF1D0F" w14:textId="77777777" w:rsidR="004F7722" w:rsidRPr="00B5064E" w:rsidRDefault="004F7722" w:rsidP="00CF405C">
      <w:pPr>
        <w:pStyle w:val="ListParagraph"/>
        <w:numPr>
          <w:ilvl w:val="0"/>
          <w:numId w:val="30"/>
        </w:numPr>
        <w:spacing w:before="120" w:after="120"/>
        <w:ind w:left="714" w:hanging="357"/>
        <w:contextualSpacing w:val="0"/>
        <w:rPr>
          <w:rFonts w:ascii="Calibri" w:hAnsi="Calibri" w:cs="Calibri"/>
        </w:rPr>
      </w:pPr>
      <w:r w:rsidRPr="00B5064E">
        <w:rPr>
          <w:rFonts w:ascii="Calibri" w:hAnsi="Calibri" w:cs="Calibri"/>
        </w:rPr>
        <w:t>Time-of-use style products can produce worse outcomes for disengaged customers if not well understood.</w:t>
      </w:r>
    </w:p>
    <w:p w14:paraId="660AB698" w14:textId="77777777" w:rsidR="004F7722" w:rsidRPr="00B5064E" w:rsidRDefault="004F7722" w:rsidP="004F7722">
      <w:pPr>
        <w:rPr>
          <w:rFonts w:ascii="Calibri" w:hAnsi="Calibri" w:cs="Calibri"/>
        </w:rPr>
      </w:pPr>
      <w:r w:rsidRPr="00B5064E">
        <w:rPr>
          <w:rFonts w:ascii="Calibri" w:hAnsi="Calibri" w:cs="Calibri"/>
        </w:rPr>
        <w:t>To mitigate these risks, submissions emphasised:</w:t>
      </w:r>
    </w:p>
    <w:p w14:paraId="440BBF82" w14:textId="77777777" w:rsidR="004F7722" w:rsidRPr="00B5064E" w:rsidRDefault="004F7722" w:rsidP="00CF405C">
      <w:pPr>
        <w:pStyle w:val="ListParagraph"/>
        <w:numPr>
          <w:ilvl w:val="0"/>
          <w:numId w:val="30"/>
        </w:numPr>
        <w:spacing w:before="120" w:after="120"/>
        <w:ind w:left="714" w:hanging="357"/>
        <w:contextualSpacing w:val="0"/>
        <w:rPr>
          <w:rFonts w:ascii="Calibri" w:hAnsi="Calibri" w:cs="Calibri"/>
        </w:rPr>
      </w:pPr>
      <w:r w:rsidRPr="00B5064E">
        <w:rPr>
          <w:rFonts w:ascii="Calibri" w:hAnsi="Calibri" w:cs="Calibri"/>
        </w:rPr>
        <w:t>The importance of maintaining the SSO as a voluntary opt-in product;</w:t>
      </w:r>
    </w:p>
    <w:p w14:paraId="11BEB359" w14:textId="77777777" w:rsidR="004F7722" w:rsidRPr="00B5064E" w:rsidRDefault="004F7722" w:rsidP="00CF405C">
      <w:pPr>
        <w:pStyle w:val="ListParagraph"/>
        <w:numPr>
          <w:ilvl w:val="0"/>
          <w:numId w:val="30"/>
        </w:numPr>
        <w:spacing w:before="120" w:after="120"/>
        <w:ind w:left="714" w:hanging="357"/>
        <w:contextualSpacing w:val="0"/>
        <w:rPr>
          <w:rFonts w:ascii="Calibri" w:hAnsi="Calibri" w:cs="Calibri"/>
        </w:rPr>
      </w:pPr>
      <w:r w:rsidRPr="00B5064E">
        <w:rPr>
          <w:rFonts w:ascii="Calibri" w:hAnsi="Calibri" w:cs="Calibri"/>
        </w:rPr>
        <w:t>Strong suitability messaging and consumer education;</w:t>
      </w:r>
    </w:p>
    <w:p w14:paraId="5BF31DFE" w14:textId="77777777" w:rsidR="004F7722" w:rsidRPr="00B5064E" w:rsidRDefault="004F7722" w:rsidP="00CF405C">
      <w:pPr>
        <w:pStyle w:val="ListParagraph"/>
        <w:numPr>
          <w:ilvl w:val="0"/>
          <w:numId w:val="30"/>
        </w:numPr>
        <w:spacing w:before="120" w:after="120"/>
        <w:ind w:left="714" w:hanging="357"/>
        <w:contextualSpacing w:val="0"/>
        <w:rPr>
          <w:rFonts w:ascii="Calibri" w:hAnsi="Calibri" w:cs="Calibri"/>
        </w:rPr>
      </w:pPr>
      <w:r w:rsidRPr="00B5064E">
        <w:rPr>
          <w:rFonts w:ascii="Calibri" w:hAnsi="Calibri" w:cs="Calibri"/>
        </w:rPr>
        <w:t>A reasonable use cap to limit excessive arbitrage behaviour;</w:t>
      </w:r>
    </w:p>
    <w:p w14:paraId="18D2901D" w14:textId="77777777" w:rsidR="004F7722" w:rsidRPr="00B5064E" w:rsidRDefault="004F7722" w:rsidP="00CF405C">
      <w:pPr>
        <w:pStyle w:val="ListParagraph"/>
        <w:numPr>
          <w:ilvl w:val="0"/>
          <w:numId w:val="30"/>
        </w:numPr>
        <w:spacing w:before="120" w:after="120"/>
        <w:ind w:left="714" w:hanging="357"/>
        <w:contextualSpacing w:val="0"/>
        <w:rPr>
          <w:rFonts w:ascii="Calibri" w:hAnsi="Calibri" w:cs="Calibri"/>
        </w:rPr>
      </w:pPr>
      <w:r w:rsidRPr="00B5064E">
        <w:rPr>
          <w:rFonts w:ascii="Calibri" w:hAnsi="Calibri" w:cs="Calibri"/>
        </w:rPr>
        <w:t>Monitoring and post-implementation review to identify unintended distributional outcome</w:t>
      </w:r>
    </w:p>
    <w:p w14:paraId="5091A143" w14:textId="63F2AD2C" w:rsidR="004F7722" w:rsidRPr="00B5064E" w:rsidRDefault="00BF26D3" w:rsidP="00B57CC3">
      <w:pPr>
        <w:rPr>
          <w:rFonts w:ascii="Calibri" w:hAnsi="Calibri" w:cs="Calibri"/>
        </w:rPr>
      </w:pPr>
      <w:r w:rsidRPr="00B5064E">
        <w:rPr>
          <w:rFonts w:ascii="Calibri" w:hAnsi="Calibri" w:cs="Calibri"/>
        </w:rPr>
        <w:t>Overall, consumer impacts remain strongly positive in intent, but submissions indicate the need for calibrated safeguards to avoid regressive cross-subsidies.</w:t>
      </w:r>
    </w:p>
    <w:p w14:paraId="01028CD9" w14:textId="77777777" w:rsidR="00D335F5" w:rsidRPr="00B5064E" w:rsidRDefault="004F7722" w:rsidP="00881370">
      <w:pPr>
        <w:pStyle w:val="Heading4"/>
        <w:spacing w:before="120" w:after="120"/>
        <w:rPr>
          <w:rFonts w:ascii="Calibri" w:hAnsi="Calibri" w:cs="Calibri"/>
          <w:b/>
          <w:bCs/>
          <w:sz w:val="24"/>
          <w:szCs w:val="24"/>
        </w:rPr>
      </w:pPr>
      <w:r w:rsidRPr="00B5064E">
        <w:rPr>
          <w:rFonts w:ascii="Calibri" w:hAnsi="Calibri" w:cs="Calibri"/>
          <w:b/>
          <w:bCs/>
          <w:sz w:val="24"/>
          <w:szCs w:val="24"/>
        </w:rPr>
        <w:t>2.</w:t>
      </w:r>
      <w:r w:rsidR="00D335F5" w:rsidRPr="00B5064E">
        <w:rPr>
          <w:rFonts w:ascii="Calibri" w:hAnsi="Calibri" w:cs="Calibri"/>
          <w:b/>
          <w:bCs/>
          <w:sz w:val="24"/>
          <w:szCs w:val="24"/>
        </w:rPr>
        <w:t xml:space="preserve">  Households without Consumer Energy Resources (CER)</w:t>
      </w:r>
    </w:p>
    <w:p w14:paraId="59E20D7D" w14:textId="77777777" w:rsidR="00D335F5" w:rsidRPr="00B5064E" w:rsidRDefault="00D335F5" w:rsidP="00D335F5">
      <w:pPr>
        <w:rPr>
          <w:rFonts w:ascii="Calibri" w:hAnsi="Calibri" w:cs="Calibri"/>
          <w:b/>
          <w:bCs/>
        </w:rPr>
      </w:pPr>
      <w:r w:rsidRPr="00B5064E">
        <w:rPr>
          <w:rFonts w:ascii="Calibri" w:hAnsi="Calibri" w:cs="Calibri"/>
          <w:b/>
          <w:bCs/>
        </w:rPr>
        <w:t>Impact magnitude: High (distributional benefit)</w:t>
      </w:r>
      <w:r w:rsidRPr="00B5064E">
        <w:rPr>
          <w:rFonts w:ascii="Calibri" w:hAnsi="Calibri" w:cs="Calibri"/>
          <w:b/>
          <w:bCs/>
        </w:rPr>
        <w:br/>
        <w:t>Risk severity: Moderate (if cross-subsidies emerge)</w:t>
      </w:r>
    </w:p>
    <w:p w14:paraId="5123835B" w14:textId="253F1680" w:rsidR="00637D54" w:rsidRPr="00B5064E" w:rsidRDefault="00637D54" w:rsidP="00637D54">
      <w:pPr>
        <w:rPr>
          <w:rFonts w:ascii="Calibri" w:hAnsi="Calibri" w:cs="Calibri"/>
        </w:rPr>
      </w:pPr>
      <w:r w:rsidRPr="00B5064E">
        <w:rPr>
          <w:rFonts w:ascii="Calibri" w:hAnsi="Calibri" w:cs="Calibri"/>
        </w:rPr>
        <w:t>Submissions widely recognised that non-CER households currently face barriers to accessing midday solar benefits. Many stakeholders agreed that expanding access to renewable abundance is an appropriate policy objective. However, several submissions cautioned that if:</w:t>
      </w:r>
    </w:p>
    <w:p w14:paraId="5A732C53" w14:textId="77777777" w:rsidR="00637D54" w:rsidRPr="00B5064E" w:rsidRDefault="00637D54" w:rsidP="00CF405C">
      <w:pPr>
        <w:pStyle w:val="ListParagraph"/>
        <w:numPr>
          <w:ilvl w:val="0"/>
          <w:numId w:val="30"/>
        </w:numPr>
        <w:spacing w:before="120" w:after="120"/>
        <w:ind w:left="714" w:hanging="357"/>
        <w:contextualSpacing w:val="0"/>
        <w:rPr>
          <w:rFonts w:ascii="Calibri" w:hAnsi="Calibri" w:cs="Calibri"/>
        </w:rPr>
      </w:pPr>
      <w:r w:rsidRPr="00B5064E">
        <w:rPr>
          <w:rFonts w:ascii="Calibri" w:hAnsi="Calibri" w:cs="Calibri"/>
        </w:rPr>
        <w:t>Customers with batteries or EVs can shift disproportionately large volumes into the free window; and</w:t>
      </w:r>
    </w:p>
    <w:p w14:paraId="0F784612" w14:textId="77777777" w:rsidR="00637D54" w:rsidRPr="00B5064E" w:rsidRDefault="00637D54" w:rsidP="00CF405C">
      <w:pPr>
        <w:pStyle w:val="ListParagraph"/>
        <w:numPr>
          <w:ilvl w:val="0"/>
          <w:numId w:val="30"/>
        </w:numPr>
        <w:spacing w:before="120" w:after="120"/>
        <w:ind w:left="714" w:hanging="357"/>
        <w:contextualSpacing w:val="0"/>
        <w:rPr>
          <w:rFonts w:ascii="Calibri" w:hAnsi="Calibri" w:cs="Calibri"/>
        </w:rPr>
      </w:pPr>
      <w:r w:rsidRPr="00B5064E">
        <w:rPr>
          <w:rFonts w:ascii="Calibri" w:hAnsi="Calibri" w:cs="Calibri"/>
        </w:rPr>
        <w:t>Tariffs outside the free period increase to recover costs;</w:t>
      </w:r>
    </w:p>
    <w:p w14:paraId="1424D2D2" w14:textId="77777777" w:rsidR="00637D54" w:rsidRPr="00B5064E" w:rsidRDefault="00637D54" w:rsidP="00637D54">
      <w:pPr>
        <w:rPr>
          <w:rFonts w:ascii="Calibri" w:hAnsi="Calibri" w:cs="Calibri"/>
        </w:rPr>
      </w:pPr>
      <w:r w:rsidRPr="00B5064E">
        <w:rPr>
          <w:rFonts w:ascii="Calibri" w:hAnsi="Calibri" w:cs="Calibri"/>
        </w:rPr>
        <w:t>then households without load-shifting capability could indirectly subsidise higher-response customers.</w:t>
      </w:r>
    </w:p>
    <w:p w14:paraId="63B87131" w14:textId="77777777" w:rsidR="00637D54" w:rsidRPr="00B5064E" w:rsidRDefault="00637D54" w:rsidP="00EC47FE">
      <w:pPr>
        <w:rPr>
          <w:rFonts w:ascii="Calibri" w:hAnsi="Calibri" w:cs="Calibri"/>
        </w:rPr>
      </w:pPr>
      <w:r w:rsidRPr="00B5064E">
        <w:rPr>
          <w:rFonts w:ascii="Calibri" w:hAnsi="Calibri" w:cs="Calibri"/>
        </w:rPr>
        <w:t>This risk underscores the importance of:</w:t>
      </w:r>
    </w:p>
    <w:p w14:paraId="35DB59C4" w14:textId="77777777" w:rsidR="00637D54" w:rsidRPr="00B5064E" w:rsidRDefault="00637D54" w:rsidP="00CF405C">
      <w:pPr>
        <w:pStyle w:val="ListParagraph"/>
        <w:numPr>
          <w:ilvl w:val="0"/>
          <w:numId w:val="30"/>
        </w:numPr>
        <w:spacing w:before="120" w:after="120"/>
        <w:ind w:left="714" w:hanging="357"/>
        <w:contextualSpacing w:val="0"/>
        <w:rPr>
          <w:rFonts w:ascii="Calibri" w:hAnsi="Calibri" w:cs="Calibri"/>
        </w:rPr>
      </w:pPr>
      <w:r w:rsidRPr="00B5064E">
        <w:rPr>
          <w:rFonts w:ascii="Calibri" w:hAnsi="Calibri" w:cs="Calibri"/>
        </w:rPr>
        <w:t>The 24 kWh/day reasonable use cap;</w:t>
      </w:r>
    </w:p>
    <w:p w14:paraId="3B0F7C6F" w14:textId="77777777" w:rsidR="00637D54" w:rsidRPr="00B5064E" w:rsidRDefault="00637D54" w:rsidP="00CF405C">
      <w:pPr>
        <w:pStyle w:val="ListParagraph"/>
        <w:numPr>
          <w:ilvl w:val="0"/>
          <w:numId w:val="30"/>
        </w:numPr>
        <w:spacing w:before="120" w:after="120"/>
        <w:ind w:left="714" w:hanging="357"/>
        <w:contextualSpacing w:val="0"/>
        <w:rPr>
          <w:rFonts w:ascii="Calibri" w:hAnsi="Calibri" w:cs="Calibri"/>
        </w:rPr>
      </w:pPr>
      <w:r w:rsidRPr="00B5064E">
        <w:rPr>
          <w:rFonts w:ascii="Calibri" w:hAnsi="Calibri" w:cs="Calibri"/>
        </w:rPr>
        <w:lastRenderedPageBreak/>
        <w:t>Careful AER forecasting of representative load profiles;</w:t>
      </w:r>
    </w:p>
    <w:p w14:paraId="5C258C0F" w14:textId="77777777" w:rsidR="00637D54" w:rsidRPr="00B5064E" w:rsidRDefault="00637D54" w:rsidP="00CF405C">
      <w:pPr>
        <w:pStyle w:val="ListParagraph"/>
        <w:numPr>
          <w:ilvl w:val="0"/>
          <w:numId w:val="30"/>
        </w:numPr>
        <w:spacing w:before="120" w:after="120"/>
        <w:ind w:left="714" w:hanging="357"/>
        <w:contextualSpacing w:val="0"/>
        <w:rPr>
          <w:rFonts w:ascii="Calibri" w:hAnsi="Calibri" w:cs="Calibri"/>
        </w:rPr>
      </w:pPr>
      <w:r w:rsidRPr="00B5064E">
        <w:rPr>
          <w:rFonts w:ascii="Calibri" w:hAnsi="Calibri" w:cs="Calibri"/>
        </w:rPr>
        <w:t>Ensuring cost recovery is calibrated to realistic behavioural assumptions;</w:t>
      </w:r>
    </w:p>
    <w:p w14:paraId="277AFE35" w14:textId="77777777" w:rsidR="00637D54" w:rsidRPr="00B5064E" w:rsidRDefault="00637D54" w:rsidP="00CF405C">
      <w:pPr>
        <w:pStyle w:val="ListParagraph"/>
        <w:numPr>
          <w:ilvl w:val="0"/>
          <w:numId w:val="30"/>
        </w:numPr>
        <w:spacing w:before="120" w:after="120"/>
        <w:ind w:left="714" w:hanging="357"/>
        <w:contextualSpacing w:val="0"/>
        <w:rPr>
          <w:rFonts w:ascii="Calibri" w:hAnsi="Calibri" w:cs="Calibri"/>
        </w:rPr>
      </w:pPr>
      <w:r w:rsidRPr="00B5064E">
        <w:rPr>
          <w:rFonts w:ascii="Calibri" w:hAnsi="Calibri" w:cs="Calibri"/>
        </w:rPr>
        <w:t>Monitoring switching patterns and bill outcomes by customer cohort.</w:t>
      </w:r>
    </w:p>
    <w:p w14:paraId="3476FA2A" w14:textId="77777777" w:rsidR="00637D54" w:rsidRPr="00B5064E" w:rsidRDefault="00637D54" w:rsidP="00637D54">
      <w:pPr>
        <w:rPr>
          <w:rFonts w:ascii="Calibri" w:hAnsi="Calibri" w:cs="Calibri"/>
        </w:rPr>
      </w:pPr>
      <w:r w:rsidRPr="00B5064E">
        <w:rPr>
          <w:rFonts w:ascii="Calibri" w:hAnsi="Calibri" w:cs="Calibri"/>
        </w:rPr>
        <w:t>The heat map therefore reflects high positive impact potential, but with equity-sensitive design considerations.</w:t>
      </w:r>
    </w:p>
    <w:p w14:paraId="27A719AA" w14:textId="77777777" w:rsidR="004C7D15" w:rsidRPr="00B5064E" w:rsidRDefault="004C7D15" w:rsidP="00881370">
      <w:pPr>
        <w:pStyle w:val="Heading4"/>
        <w:spacing w:before="120" w:after="120"/>
        <w:rPr>
          <w:rFonts w:ascii="Calibri" w:hAnsi="Calibri" w:cs="Calibri"/>
          <w:b/>
          <w:bCs/>
          <w:sz w:val="24"/>
          <w:szCs w:val="24"/>
        </w:rPr>
      </w:pPr>
      <w:r w:rsidRPr="00B5064E">
        <w:rPr>
          <w:rFonts w:ascii="Calibri" w:hAnsi="Calibri" w:cs="Calibri"/>
          <w:b/>
          <w:bCs/>
          <w:sz w:val="24"/>
          <w:szCs w:val="24"/>
        </w:rPr>
        <w:t>3.  Electricity retailers (DMO jurisdictions)</w:t>
      </w:r>
    </w:p>
    <w:p w14:paraId="18BFDBB3" w14:textId="03D02C26" w:rsidR="003D074F" w:rsidRPr="00B5064E" w:rsidRDefault="004C7D15" w:rsidP="003D074F">
      <w:pPr>
        <w:rPr>
          <w:rFonts w:ascii="Calibri" w:hAnsi="Calibri" w:cs="Calibri"/>
          <w:b/>
          <w:bCs/>
        </w:rPr>
      </w:pPr>
      <w:r w:rsidRPr="00B5064E">
        <w:rPr>
          <w:rFonts w:ascii="Calibri" w:hAnsi="Calibri" w:cs="Calibri"/>
          <w:b/>
          <w:bCs/>
        </w:rPr>
        <w:t xml:space="preserve">Impact magnitude: </w:t>
      </w:r>
      <w:r w:rsidR="00434ED0" w:rsidRPr="00B5064E">
        <w:rPr>
          <w:rFonts w:ascii="Calibri" w:hAnsi="Calibri" w:cs="Calibri"/>
          <w:b/>
          <w:bCs/>
        </w:rPr>
        <w:t>Moderate</w:t>
      </w:r>
      <w:r w:rsidRPr="00B5064E">
        <w:rPr>
          <w:rFonts w:ascii="Calibri" w:hAnsi="Calibri" w:cs="Calibri"/>
          <w:b/>
          <w:bCs/>
        </w:rPr>
        <w:br/>
        <w:t xml:space="preserve">Risk severity: </w:t>
      </w:r>
      <w:r w:rsidR="00434ED0" w:rsidRPr="00B5064E">
        <w:rPr>
          <w:rFonts w:ascii="Calibri" w:hAnsi="Calibri" w:cs="Calibri"/>
          <w:b/>
          <w:bCs/>
        </w:rPr>
        <w:t>Low - moderate</w:t>
      </w:r>
      <w:r w:rsidRPr="00B5064E">
        <w:rPr>
          <w:rFonts w:ascii="Calibri" w:hAnsi="Calibri" w:cs="Calibri"/>
          <w:b/>
          <w:bCs/>
        </w:rPr>
        <w:t xml:space="preserve"> (implementation and cost recovery risk)</w:t>
      </w:r>
    </w:p>
    <w:p w14:paraId="67D32254" w14:textId="5EB14631" w:rsidR="001C147A" w:rsidRPr="00B5064E" w:rsidRDefault="001C147A" w:rsidP="001C147A">
      <w:pPr>
        <w:rPr>
          <w:rFonts w:ascii="Calibri" w:hAnsi="Calibri" w:cs="Calibri"/>
        </w:rPr>
      </w:pPr>
      <w:r w:rsidRPr="00B5064E">
        <w:rPr>
          <w:rFonts w:ascii="Calibri" w:hAnsi="Calibri" w:cs="Calibri"/>
        </w:rPr>
        <w:t>Option A1 introduces a mandatory obligation on retailers in DMO jurisdictions to make available a regulated SSO standing offer to eligible residential customers with smart meters. The SSO includes a defined three-hour zero-cost usage window, a reasonable use cap (24 kWh per day), and pricing parameters determined by the AER under the DMO framework.</w:t>
      </w:r>
    </w:p>
    <w:p w14:paraId="29D8D166" w14:textId="1D9EE5DA" w:rsidR="001C147A" w:rsidRPr="00B5064E" w:rsidRDefault="001C147A" w:rsidP="001C147A">
      <w:pPr>
        <w:rPr>
          <w:rFonts w:ascii="Calibri" w:hAnsi="Calibri" w:cs="Calibri"/>
        </w:rPr>
      </w:pPr>
      <w:r w:rsidRPr="00B5064E">
        <w:rPr>
          <w:rFonts w:ascii="Calibri" w:hAnsi="Calibri" w:cs="Calibri"/>
        </w:rPr>
        <w:t>Retailers will incur implementation costs and ongoing regulatory compliance and operational costs. Submissions consistently emphasised that the SSO represents a material product and system change beyond standard annual DMO updates.</w:t>
      </w:r>
    </w:p>
    <w:p w14:paraId="7DE60A92" w14:textId="77777777" w:rsidR="001C147A" w:rsidRPr="00B5064E" w:rsidRDefault="001C147A" w:rsidP="001C147A">
      <w:pPr>
        <w:rPr>
          <w:rFonts w:ascii="Calibri" w:hAnsi="Calibri" w:cs="Calibri"/>
        </w:rPr>
      </w:pPr>
      <w:r w:rsidRPr="00B5064E">
        <w:rPr>
          <w:rFonts w:ascii="Calibri" w:hAnsi="Calibri" w:cs="Calibri"/>
        </w:rPr>
        <w:t>The regulatory burden on retailers arises across five key domains:</w:t>
      </w:r>
    </w:p>
    <w:p w14:paraId="7D307F0B" w14:textId="77777777" w:rsidR="001C147A" w:rsidRPr="00B5064E" w:rsidRDefault="001C147A" w:rsidP="00CF405C">
      <w:pPr>
        <w:pStyle w:val="ListParagraph"/>
        <w:numPr>
          <w:ilvl w:val="0"/>
          <w:numId w:val="15"/>
        </w:numPr>
        <w:spacing w:before="120" w:after="120"/>
        <w:ind w:left="714" w:hanging="357"/>
        <w:contextualSpacing w:val="0"/>
        <w:rPr>
          <w:rFonts w:ascii="Calibri" w:hAnsi="Calibri" w:cs="Calibri"/>
        </w:rPr>
      </w:pPr>
      <w:r w:rsidRPr="00B5064E">
        <w:rPr>
          <w:rFonts w:ascii="Calibri" w:hAnsi="Calibri" w:cs="Calibri"/>
        </w:rPr>
        <w:t>IT and billing system changes</w:t>
      </w:r>
    </w:p>
    <w:p w14:paraId="4886BA83" w14:textId="77777777" w:rsidR="001C147A" w:rsidRPr="00B5064E" w:rsidRDefault="001C147A" w:rsidP="00CF405C">
      <w:pPr>
        <w:pStyle w:val="ListParagraph"/>
        <w:numPr>
          <w:ilvl w:val="0"/>
          <w:numId w:val="15"/>
        </w:numPr>
        <w:spacing w:before="120" w:after="120"/>
        <w:ind w:left="714" w:hanging="357"/>
        <w:contextualSpacing w:val="0"/>
        <w:rPr>
          <w:rFonts w:ascii="Calibri" w:hAnsi="Calibri" w:cs="Calibri"/>
        </w:rPr>
      </w:pPr>
      <w:r w:rsidRPr="00B5064E">
        <w:rPr>
          <w:rFonts w:ascii="Calibri" w:hAnsi="Calibri" w:cs="Calibri"/>
        </w:rPr>
        <w:t>Tariff modelling and cost recovery design</w:t>
      </w:r>
    </w:p>
    <w:p w14:paraId="73AE149F" w14:textId="77777777" w:rsidR="001C147A" w:rsidRPr="00B5064E" w:rsidRDefault="001C147A" w:rsidP="00CF405C">
      <w:pPr>
        <w:pStyle w:val="ListParagraph"/>
        <w:numPr>
          <w:ilvl w:val="0"/>
          <w:numId w:val="15"/>
        </w:numPr>
        <w:spacing w:before="120" w:after="120"/>
        <w:ind w:left="714" w:hanging="357"/>
        <w:contextualSpacing w:val="0"/>
        <w:rPr>
          <w:rFonts w:ascii="Calibri" w:hAnsi="Calibri" w:cs="Calibri"/>
        </w:rPr>
      </w:pPr>
      <w:r w:rsidRPr="00B5064E">
        <w:rPr>
          <w:rFonts w:ascii="Calibri" w:hAnsi="Calibri" w:cs="Calibri"/>
        </w:rPr>
        <w:t>Compliance, disclosure and reporting</w:t>
      </w:r>
    </w:p>
    <w:p w14:paraId="7859FA37" w14:textId="77777777" w:rsidR="001C147A" w:rsidRPr="00B5064E" w:rsidRDefault="001C147A" w:rsidP="00CF405C">
      <w:pPr>
        <w:pStyle w:val="ListParagraph"/>
        <w:numPr>
          <w:ilvl w:val="0"/>
          <w:numId w:val="15"/>
        </w:numPr>
        <w:spacing w:before="120" w:after="120"/>
        <w:ind w:left="714" w:hanging="357"/>
        <w:contextualSpacing w:val="0"/>
        <w:rPr>
          <w:rFonts w:ascii="Calibri" w:hAnsi="Calibri" w:cs="Calibri"/>
        </w:rPr>
      </w:pPr>
      <w:r w:rsidRPr="00B5064E">
        <w:rPr>
          <w:rFonts w:ascii="Calibri" w:hAnsi="Calibri" w:cs="Calibri"/>
        </w:rPr>
        <w:t>Hedging and risk management adjustments</w:t>
      </w:r>
    </w:p>
    <w:p w14:paraId="2EE103E5" w14:textId="77777777" w:rsidR="001C147A" w:rsidRPr="00B5064E" w:rsidRDefault="001C147A" w:rsidP="00CF405C">
      <w:pPr>
        <w:pStyle w:val="ListParagraph"/>
        <w:numPr>
          <w:ilvl w:val="0"/>
          <w:numId w:val="15"/>
        </w:numPr>
        <w:spacing w:before="120" w:after="120"/>
        <w:ind w:left="714" w:hanging="357"/>
        <w:contextualSpacing w:val="0"/>
        <w:rPr>
          <w:rFonts w:ascii="Calibri" w:hAnsi="Calibri" w:cs="Calibri"/>
        </w:rPr>
      </w:pPr>
      <w:r w:rsidRPr="00B5064E">
        <w:rPr>
          <w:rFonts w:ascii="Calibri" w:hAnsi="Calibri" w:cs="Calibri"/>
        </w:rPr>
        <w:t>Ongoing customer service and administration</w:t>
      </w:r>
    </w:p>
    <w:p w14:paraId="05DF0990" w14:textId="77777777" w:rsidR="004F549D" w:rsidRPr="00B5064E" w:rsidRDefault="001C147A" w:rsidP="003D074F">
      <w:pPr>
        <w:rPr>
          <w:rFonts w:ascii="Calibri" w:hAnsi="Calibri" w:cs="Calibri"/>
        </w:rPr>
      </w:pPr>
      <w:r w:rsidRPr="00B5064E">
        <w:rPr>
          <w:rFonts w:ascii="Calibri" w:hAnsi="Calibri" w:cs="Calibri"/>
        </w:rPr>
        <w:t>The magnitude of burden varies by retailer size, system architecture and product complexity. The proposed exemption for retailers with fewer than 1,000 customers mitigates disproportionate burden for very small retailers</w:t>
      </w:r>
    </w:p>
    <w:p w14:paraId="72B4A244" w14:textId="39AD183B" w:rsidR="00D61980" w:rsidRPr="00B5064E" w:rsidRDefault="00D61980" w:rsidP="00D61980">
      <w:pPr>
        <w:spacing w:after="0"/>
        <w:rPr>
          <w:rFonts w:ascii="Calibri" w:hAnsi="Calibri" w:cs="Calibri"/>
          <w:i/>
          <w:iCs/>
          <w:sz w:val="20"/>
          <w:szCs w:val="20"/>
        </w:rPr>
      </w:pPr>
      <w:r w:rsidRPr="00B5064E">
        <w:rPr>
          <w:rFonts w:ascii="Calibri" w:hAnsi="Calibri" w:cs="Calibri"/>
          <w:i/>
          <w:iCs/>
          <w:sz w:val="20"/>
          <w:szCs w:val="20"/>
        </w:rPr>
        <w:t>Table 1</w:t>
      </w:r>
      <w:r w:rsidR="00927D00">
        <w:rPr>
          <w:rFonts w:ascii="Calibri" w:hAnsi="Calibri" w:cs="Calibri"/>
          <w:i/>
          <w:iCs/>
          <w:sz w:val="20"/>
          <w:szCs w:val="20"/>
        </w:rPr>
        <w:t>1</w:t>
      </w:r>
      <w:r w:rsidRPr="00B5064E">
        <w:rPr>
          <w:rFonts w:ascii="Calibri" w:hAnsi="Calibri" w:cs="Calibri"/>
          <w:i/>
          <w:iCs/>
          <w:sz w:val="20"/>
          <w:szCs w:val="20"/>
        </w:rPr>
        <w:t>: Risk Impact</w:t>
      </w:r>
    </w:p>
    <w:tbl>
      <w:tblPr>
        <w:tblStyle w:val="SynergiesTable"/>
        <w:tblW w:w="5000" w:type="pct"/>
        <w:tblLook w:val="04A0" w:firstRow="1" w:lastRow="0" w:firstColumn="1" w:lastColumn="0" w:noHBand="0" w:noVBand="1"/>
      </w:tblPr>
      <w:tblGrid>
        <w:gridCol w:w="1420"/>
        <w:gridCol w:w="1830"/>
        <w:gridCol w:w="1477"/>
        <w:gridCol w:w="1171"/>
        <w:gridCol w:w="1574"/>
        <w:gridCol w:w="1554"/>
      </w:tblGrid>
      <w:tr w:rsidR="00AF0A1E" w:rsidRPr="00B5064E" w14:paraId="11FFB9B3" w14:textId="77777777" w:rsidTr="007E5903">
        <w:trPr>
          <w:cnfStyle w:val="100000000000" w:firstRow="1" w:lastRow="0" w:firstColumn="0" w:lastColumn="0" w:oddVBand="0" w:evenVBand="0" w:oddHBand="0" w:evenHBand="0" w:firstRowFirstColumn="0" w:firstRowLastColumn="0" w:lastRowFirstColumn="0" w:lastRowLastColumn="0"/>
        </w:trPr>
        <w:tc>
          <w:tcPr>
            <w:tcW w:w="787" w:type="pct"/>
            <w:vAlign w:val="center"/>
            <w:hideMark/>
          </w:tcPr>
          <w:p w14:paraId="6D5FB37A" w14:textId="77777777" w:rsidR="00C90DE5" w:rsidRPr="00B5064E" w:rsidRDefault="00C90DE5" w:rsidP="00EE549D">
            <w:pPr>
              <w:spacing w:line="259" w:lineRule="auto"/>
              <w:jc w:val="center"/>
              <w:rPr>
                <w:rFonts w:ascii="Calibri" w:hAnsi="Calibri" w:cs="Calibri"/>
                <w:b/>
                <w:sz w:val="22"/>
              </w:rPr>
            </w:pPr>
            <w:r w:rsidRPr="00B5064E">
              <w:rPr>
                <w:rFonts w:ascii="Calibri" w:hAnsi="Calibri" w:cs="Calibri"/>
                <w:b/>
                <w:sz w:val="22"/>
              </w:rPr>
              <w:t>Impact Category</w:t>
            </w:r>
          </w:p>
        </w:tc>
        <w:tc>
          <w:tcPr>
            <w:tcW w:w="1034" w:type="pct"/>
            <w:vAlign w:val="center"/>
            <w:hideMark/>
          </w:tcPr>
          <w:p w14:paraId="0B753F31" w14:textId="77777777" w:rsidR="00C90DE5" w:rsidRPr="00B5064E" w:rsidRDefault="00C90DE5" w:rsidP="00EE549D">
            <w:pPr>
              <w:spacing w:line="259" w:lineRule="auto"/>
              <w:jc w:val="center"/>
              <w:rPr>
                <w:rFonts w:ascii="Calibri" w:hAnsi="Calibri" w:cs="Calibri"/>
                <w:b/>
                <w:sz w:val="22"/>
              </w:rPr>
            </w:pPr>
            <w:r w:rsidRPr="00B5064E">
              <w:rPr>
                <w:rFonts w:ascii="Calibri" w:hAnsi="Calibri" w:cs="Calibri"/>
                <w:b/>
                <w:sz w:val="22"/>
              </w:rPr>
              <w:t>Description of Impact</w:t>
            </w:r>
          </w:p>
        </w:tc>
        <w:tc>
          <w:tcPr>
            <w:tcW w:w="818" w:type="pct"/>
            <w:vAlign w:val="center"/>
            <w:hideMark/>
          </w:tcPr>
          <w:p w14:paraId="2C05F59F" w14:textId="77777777" w:rsidR="00C90DE5" w:rsidRPr="00B5064E" w:rsidRDefault="00C90DE5" w:rsidP="00EE549D">
            <w:pPr>
              <w:spacing w:line="259" w:lineRule="auto"/>
              <w:jc w:val="center"/>
              <w:rPr>
                <w:rFonts w:ascii="Calibri" w:hAnsi="Calibri" w:cs="Calibri"/>
                <w:b/>
                <w:sz w:val="22"/>
              </w:rPr>
            </w:pPr>
            <w:r w:rsidRPr="00B5064E">
              <w:rPr>
                <w:rFonts w:ascii="Calibri" w:hAnsi="Calibri" w:cs="Calibri"/>
                <w:b/>
                <w:sz w:val="22"/>
              </w:rPr>
              <w:t>Nature of Impact</w:t>
            </w:r>
          </w:p>
        </w:tc>
        <w:tc>
          <w:tcPr>
            <w:tcW w:w="649" w:type="pct"/>
            <w:tcBorders>
              <w:bottom w:val="nil"/>
            </w:tcBorders>
            <w:vAlign w:val="center"/>
            <w:hideMark/>
          </w:tcPr>
          <w:p w14:paraId="7BAC9ECA" w14:textId="77777777" w:rsidR="00C90DE5" w:rsidRPr="00B5064E" w:rsidRDefault="00C90DE5" w:rsidP="00EE549D">
            <w:pPr>
              <w:spacing w:line="259" w:lineRule="auto"/>
              <w:jc w:val="center"/>
              <w:rPr>
                <w:rFonts w:ascii="Calibri" w:hAnsi="Calibri" w:cs="Calibri"/>
                <w:b/>
                <w:sz w:val="22"/>
              </w:rPr>
            </w:pPr>
            <w:r w:rsidRPr="00B5064E">
              <w:rPr>
                <w:rFonts w:ascii="Calibri" w:hAnsi="Calibri" w:cs="Calibri"/>
                <w:b/>
                <w:sz w:val="22"/>
              </w:rPr>
              <w:t>Magnitude</w:t>
            </w:r>
          </w:p>
        </w:tc>
        <w:tc>
          <w:tcPr>
            <w:tcW w:w="852" w:type="pct"/>
            <w:tcBorders>
              <w:bottom w:val="nil"/>
            </w:tcBorders>
            <w:vAlign w:val="center"/>
            <w:hideMark/>
          </w:tcPr>
          <w:p w14:paraId="285496E8" w14:textId="77777777" w:rsidR="00C90DE5" w:rsidRPr="00B5064E" w:rsidRDefault="00C90DE5" w:rsidP="00EE549D">
            <w:pPr>
              <w:spacing w:line="259" w:lineRule="auto"/>
              <w:jc w:val="center"/>
              <w:rPr>
                <w:rFonts w:ascii="Calibri" w:hAnsi="Calibri" w:cs="Calibri"/>
                <w:b/>
                <w:sz w:val="22"/>
              </w:rPr>
            </w:pPr>
            <w:r w:rsidRPr="00B5064E">
              <w:rPr>
                <w:rFonts w:ascii="Calibri" w:hAnsi="Calibri" w:cs="Calibri"/>
                <w:b/>
                <w:sz w:val="22"/>
              </w:rPr>
              <w:t>Risk Level</w:t>
            </w:r>
          </w:p>
        </w:tc>
        <w:tc>
          <w:tcPr>
            <w:tcW w:w="861" w:type="pct"/>
            <w:vAlign w:val="center"/>
            <w:hideMark/>
          </w:tcPr>
          <w:p w14:paraId="502E0EEF" w14:textId="77777777" w:rsidR="00C90DE5" w:rsidRPr="00B5064E" w:rsidRDefault="00C90DE5" w:rsidP="00EE549D">
            <w:pPr>
              <w:spacing w:line="259" w:lineRule="auto"/>
              <w:jc w:val="center"/>
              <w:rPr>
                <w:rFonts w:ascii="Calibri" w:hAnsi="Calibri" w:cs="Calibri"/>
                <w:b/>
                <w:sz w:val="22"/>
              </w:rPr>
            </w:pPr>
            <w:r w:rsidRPr="00B5064E">
              <w:rPr>
                <w:rFonts w:ascii="Calibri" w:hAnsi="Calibri" w:cs="Calibri"/>
                <w:b/>
                <w:sz w:val="22"/>
              </w:rPr>
              <w:t>Mitigation Measures</w:t>
            </w:r>
          </w:p>
        </w:tc>
      </w:tr>
      <w:tr w:rsidR="00877798" w:rsidRPr="00B5064E" w14:paraId="0AAD9F82" w14:textId="77777777" w:rsidTr="007E5903">
        <w:tc>
          <w:tcPr>
            <w:tcW w:w="787" w:type="pct"/>
            <w:vAlign w:val="center"/>
            <w:hideMark/>
          </w:tcPr>
          <w:p w14:paraId="1A83B776" w14:textId="77777777" w:rsidR="00C90DE5" w:rsidRPr="00B5064E" w:rsidRDefault="00C90DE5" w:rsidP="005D5222">
            <w:pPr>
              <w:spacing w:line="259" w:lineRule="auto"/>
              <w:rPr>
                <w:rFonts w:ascii="Calibri" w:hAnsi="Calibri" w:cs="Calibri"/>
                <w:b/>
                <w:bCs/>
                <w:color w:val="auto"/>
                <w:kern w:val="2"/>
                <w:sz w:val="20"/>
                <w:szCs w:val="20"/>
                <w14:ligatures w14:val="standardContextual"/>
              </w:rPr>
            </w:pPr>
            <w:r w:rsidRPr="00B5064E">
              <w:rPr>
                <w:rFonts w:ascii="Calibri" w:hAnsi="Calibri" w:cs="Calibri"/>
                <w:b/>
                <w:bCs/>
                <w:color w:val="auto"/>
                <w:kern w:val="2"/>
                <w:sz w:val="20"/>
                <w:szCs w:val="20"/>
                <w14:ligatures w14:val="standardContextual"/>
              </w:rPr>
              <w:t>Product Obligation</w:t>
            </w:r>
          </w:p>
        </w:tc>
        <w:tc>
          <w:tcPr>
            <w:tcW w:w="1034" w:type="pct"/>
            <w:vAlign w:val="center"/>
            <w:hideMark/>
          </w:tcPr>
          <w:p w14:paraId="4A21DC85"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Mandatory requirement to offer an SSO standing offer to eligible residential customers in DMO jurisdictions</w:t>
            </w:r>
          </w:p>
        </w:tc>
        <w:tc>
          <w:tcPr>
            <w:tcW w:w="818" w:type="pct"/>
            <w:vAlign w:val="center"/>
            <w:hideMark/>
          </w:tcPr>
          <w:p w14:paraId="1015AC11"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Regulatory compliance</w:t>
            </w:r>
          </w:p>
        </w:tc>
        <w:tc>
          <w:tcPr>
            <w:tcW w:w="649" w:type="pct"/>
            <w:tcBorders>
              <w:bottom w:val="nil"/>
            </w:tcBorders>
            <w:shd w:val="clear" w:color="auto" w:fill="FFC000"/>
            <w:vAlign w:val="center"/>
            <w:hideMark/>
          </w:tcPr>
          <w:p w14:paraId="2A76C22C" w14:textId="472677E7" w:rsidR="00C90DE5" w:rsidRPr="00B5064E" w:rsidRDefault="001F2CAE" w:rsidP="005D5222">
            <w:pPr>
              <w:spacing w:after="160" w:line="259" w:lineRule="auto"/>
              <w:jc w:val="center"/>
              <w:rPr>
                <w:rFonts w:ascii="Calibri" w:hAnsi="Calibri" w:cs="Calibri"/>
                <w:color w:val="auto"/>
                <w:sz w:val="20"/>
                <w:szCs w:val="20"/>
              </w:rPr>
            </w:pPr>
            <w:r w:rsidRPr="00B5064E">
              <w:rPr>
                <w:rFonts w:ascii="Calibri" w:hAnsi="Calibri" w:cs="Calibri"/>
                <w:color w:val="auto"/>
                <w:sz w:val="20"/>
                <w:szCs w:val="20"/>
              </w:rPr>
              <w:t>Moderate</w:t>
            </w:r>
          </w:p>
        </w:tc>
        <w:tc>
          <w:tcPr>
            <w:tcW w:w="852" w:type="pct"/>
            <w:tcBorders>
              <w:bottom w:val="nil"/>
            </w:tcBorders>
            <w:shd w:val="clear" w:color="auto" w:fill="4EA72E" w:themeFill="accent6"/>
            <w:vAlign w:val="center"/>
            <w:hideMark/>
          </w:tcPr>
          <w:p w14:paraId="2903DC17" w14:textId="1A0488F3" w:rsidR="00C90DE5" w:rsidRPr="00B5064E" w:rsidRDefault="001F2CAE" w:rsidP="005D5222">
            <w:pPr>
              <w:spacing w:after="160" w:line="259" w:lineRule="auto"/>
              <w:jc w:val="center"/>
              <w:rPr>
                <w:rFonts w:ascii="Calibri" w:hAnsi="Calibri" w:cs="Calibri"/>
                <w:color w:val="auto"/>
                <w:sz w:val="20"/>
                <w:szCs w:val="20"/>
              </w:rPr>
            </w:pPr>
            <w:r w:rsidRPr="00B5064E">
              <w:rPr>
                <w:rFonts w:ascii="Calibri" w:hAnsi="Calibri" w:cs="Calibri"/>
                <w:color w:val="auto"/>
                <w:sz w:val="20"/>
                <w:szCs w:val="20"/>
              </w:rPr>
              <w:t>Low</w:t>
            </w:r>
          </w:p>
        </w:tc>
        <w:tc>
          <w:tcPr>
            <w:tcW w:w="861" w:type="pct"/>
            <w:vAlign w:val="center"/>
            <w:hideMark/>
          </w:tcPr>
          <w:p w14:paraId="141F2A7C"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Use of existing DMO framework; opt-in design; exemption for retailers &lt;1,000 customers</w:t>
            </w:r>
          </w:p>
        </w:tc>
      </w:tr>
      <w:tr w:rsidR="00877798" w:rsidRPr="00B5064E" w14:paraId="1A1106DF" w14:textId="77777777" w:rsidTr="007E5903">
        <w:tc>
          <w:tcPr>
            <w:tcW w:w="787" w:type="pct"/>
            <w:vAlign w:val="center"/>
            <w:hideMark/>
          </w:tcPr>
          <w:p w14:paraId="41CCE424" w14:textId="77777777" w:rsidR="00C90DE5" w:rsidRPr="00B5064E" w:rsidRDefault="00C90DE5" w:rsidP="005D5222">
            <w:pPr>
              <w:spacing w:line="259" w:lineRule="auto"/>
              <w:rPr>
                <w:rFonts w:ascii="Calibri" w:hAnsi="Calibri" w:cs="Calibri"/>
                <w:b/>
                <w:bCs/>
                <w:color w:val="auto"/>
                <w:kern w:val="2"/>
                <w:sz w:val="20"/>
                <w:szCs w:val="20"/>
                <w14:ligatures w14:val="standardContextual"/>
              </w:rPr>
            </w:pPr>
            <w:r w:rsidRPr="00B5064E">
              <w:rPr>
                <w:rFonts w:ascii="Calibri" w:hAnsi="Calibri" w:cs="Calibri"/>
                <w:b/>
                <w:bCs/>
                <w:color w:val="auto"/>
                <w:kern w:val="2"/>
                <w:sz w:val="20"/>
                <w:szCs w:val="20"/>
                <w14:ligatures w14:val="standardContextual"/>
              </w:rPr>
              <w:t>IT &amp; Billing System Changes</w:t>
            </w:r>
          </w:p>
        </w:tc>
        <w:tc>
          <w:tcPr>
            <w:tcW w:w="1034" w:type="pct"/>
            <w:vAlign w:val="center"/>
            <w:hideMark/>
          </w:tcPr>
          <w:p w14:paraId="6C590F78"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 xml:space="preserve">Configuration of new TOU structure with 3-hour zero-cost window; integration of 24 kWh/day cap; interval data </w:t>
            </w:r>
            <w:r w:rsidRPr="00B5064E">
              <w:rPr>
                <w:rFonts w:ascii="Calibri" w:hAnsi="Calibri" w:cs="Calibri"/>
                <w:sz w:val="20"/>
                <w:szCs w:val="20"/>
              </w:rPr>
              <w:lastRenderedPageBreak/>
              <w:t>processing updates; testing and assurance</w:t>
            </w:r>
          </w:p>
        </w:tc>
        <w:tc>
          <w:tcPr>
            <w:tcW w:w="818" w:type="pct"/>
            <w:vAlign w:val="center"/>
            <w:hideMark/>
          </w:tcPr>
          <w:p w14:paraId="2FB358FE"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lastRenderedPageBreak/>
              <w:t>One-off implementation cost</w:t>
            </w:r>
          </w:p>
        </w:tc>
        <w:tc>
          <w:tcPr>
            <w:tcW w:w="649" w:type="pct"/>
            <w:tcBorders>
              <w:bottom w:val="nil"/>
            </w:tcBorders>
            <w:shd w:val="clear" w:color="auto" w:fill="FFC000"/>
            <w:vAlign w:val="center"/>
            <w:hideMark/>
          </w:tcPr>
          <w:p w14:paraId="0E69DF6B" w14:textId="3B06957D" w:rsidR="00C90DE5" w:rsidRPr="00B5064E" w:rsidRDefault="001F2CAE" w:rsidP="00ED55EF">
            <w:pPr>
              <w:jc w:val="center"/>
              <w:rPr>
                <w:rFonts w:ascii="Calibri" w:hAnsi="Calibri" w:cs="Calibri"/>
                <w:b/>
                <w:bCs/>
                <w:sz w:val="20"/>
                <w:szCs w:val="20"/>
              </w:rPr>
            </w:pPr>
            <w:r w:rsidRPr="00B5064E">
              <w:rPr>
                <w:rFonts w:ascii="Calibri" w:hAnsi="Calibri" w:cs="Calibri"/>
                <w:b/>
                <w:bCs/>
                <w:sz w:val="20"/>
                <w:szCs w:val="20"/>
              </w:rPr>
              <w:t>Moderate</w:t>
            </w:r>
          </w:p>
        </w:tc>
        <w:tc>
          <w:tcPr>
            <w:tcW w:w="852" w:type="pct"/>
            <w:tcBorders>
              <w:bottom w:val="nil"/>
            </w:tcBorders>
            <w:shd w:val="clear" w:color="auto" w:fill="FFC000"/>
            <w:vAlign w:val="center"/>
            <w:hideMark/>
          </w:tcPr>
          <w:p w14:paraId="0EACC8DE" w14:textId="19327CED" w:rsidR="00C90DE5" w:rsidRPr="00B5064E" w:rsidRDefault="001F2CAE" w:rsidP="00ED55EF">
            <w:pPr>
              <w:jc w:val="center"/>
              <w:rPr>
                <w:rFonts w:ascii="Calibri" w:hAnsi="Calibri" w:cs="Calibri"/>
                <w:b/>
                <w:bCs/>
                <w:sz w:val="20"/>
                <w:szCs w:val="20"/>
              </w:rPr>
            </w:pPr>
            <w:r w:rsidRPr="00B5064E">
              <w:rPr>
                <w:rFonts w:ascii="Calibri" w:hAnsi="Calibri" w:cs="Calibri"/>
                <w:b/>
                <w:bCs/>
                <w:sz w:val="20"/>
                <w:szCs w:val="20"/>
              </w:rPr>
              <w:t>Moderate</w:t>
            </w:r>
            <w:r w:rsidR="00C90DE5" w:rsidRPr="00B5064E">
              <w:rPr>
                <w:rFonts w:ascii="Calibri" w:hAnsi="Calibri" w:cs="Calibri"/>
                <w:b/>
                <w:bCs/>
                <w:sz w:val="20"/>
                <w:szCs w:val="20"/>
              </w:rPr>
              <w:t xml:space="preserve"> (implementation risk)</w:t>
            </w:r>
          </w:p>
        </w:tc>
        <w:tc>
          <w:tcPr>
            <w:tcW w:w="861" w:type="pct"/>
            <w:vAlign w:val="center"/>
            <w:hideMark/>
          </w:tcPr>
          <w:p w14:paraId="15A29A95"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 xml:space="preserve">Advance regulatory clarity; phased commencement; leverage existing </w:t>
            </w:r>
            <w:r w:rsidRPr="00B5064E">
              <w:rPr>
                <w:rFonts w:ascii="Calibri" w:hAnsi="Calibri" w:cs="Calibri"/>
                <w:sz w:val="20"/>
                <w:szCs w:val="20"/>
              </w:rPr>
              <w:lastRenderedPageBreak/>
              <w:t>TOU infrastructure</w:t>
            </w:r>
          </w:p>
        </w:tc>
      </w:tr>
      <w:tr w:rsidR="00877798" w:rsidRPr="00B5064E" w14:paraId="40B20B83" w14:textId="77777777" w:rsidTr="007E5903">
        <w:tc>
          <w:tcPr>
            <w:tcW w:w="787" w:type="pct"/>
            <w:vAlign w:val="center"/>
            <w:hideMark/>
          </w:tcPr>
          <w:p w14:paraId="1A414A18" w14:textId="77777777" w:rsidR="00C90DE5" w:rsidRPr="00B5064E" w:rsidRDefault="00C90DE5" w:rsidP="005D5222">
            <w:pPr>
              <w:spacing w:line="259" w:lineRule="auto"/>
              <w:rPr>
                <w:rFonts w:ascii="Calibri" w:hAnsi="Calibri" w:cs="Calibri"/>
                <w:b/>
                <w:bCs/>
                <w:color w:val="auto"/>
                <w:kern w:val="2"/>
                <w:sz w:val="20"/>
                <w:szCs w:val="20"/>
                <w14:ligatures w14:val="standardContextual"/>
              </w:rPr>
            </w:pPr>
            <w:r w:rsidRPr="00B5064E">
              <w:rPr>
                <w:rFonts w:ascii="Calibri" w:hAnsi="Calibri" w:cs="Calibri"/>
                <w:b/>
                <w:bCs/>
                <w:color w:val="auto"/>
                <w:kern w:val="2"/>
                <w:sz w:val="20"/>
                <w:szCs w:val="20"/>
                <w14:ligatures w14:val="standardContextual"/>
              </w:rPr>
              <w:lastRenderedPageBreak/>
              <w:t>Tariff Modelling &amp; Cost Recovery</w:t>
            </w:r>
          </w:p>
        </w:tc>
        <w:tc>
          <w:tcPr>
            <w:tcW w:w="1034" w:type="pct"/>
            <w:vAlign w:val="center"/>
            <w:hideMark/>
          </w:tcPr>
          <w:p w14:paraId="55C42D38"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Development of representative load profiles; modelling of behavioural response; rebalancing of non-free period tariffs; incorporation of network and wholesale costs</w:t>
            </w:r>
          </w:p>
        </w:tc>
        <w:tc>
          <w:tcPr>
            <w:tcW w:w="818" w:type="pct"/>
            <w:vAlign w:val="center"/>
            <w:hideMark/>
          </w:tcPr>
          <w:p w14:paraId="6207A784"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Analytical and pricing burden (initial + ongoing annual DMO cycle)</w:t>
            </w:r>
          </w:p>
        </w:tc>
        <w:tc>
          <w:tcPr>
            <w:tcW w:w="649" w:type="pct"/>
            <w:tcBorders>
              <w:bottom w:val="nil"/>
            </w:tcBorders>
            <w:shd w:val="clear" w:color="auto" w:fill="FFC000"/>
            <w:vAlign w:val="center"/>
            <w:hideMark/>
          </w:tcPr>
          <w:p w14:paraId="5AB25B8D" w14:textId="40EF5914" w:rsidR="00C90DE5" w:rsidRPr="00B5064E" w:rsidRDefault="009364B2" w:rsidP="00ED55EF">
            <w:pPr>
              <w:jc w:val="center"/>
              <w:rPr>
                <w:rFonts w:ascii="Calibri" w:hAnsi="Calibri" w:cs="Calibri"/>
                <w:b/>
                <w:bCs/>
                <w:sz w:val="20"/>
                <w:szCs w:val="20"/>
              </w:rPr>
            </w:pPr>
            <w:r w:rsidRPr="00B5064E">
              <w:rPr>
                <w:rFonts w:ascii="Calibri" w:hAnsi="Calibri" w:cs="Calibri"/>
                <w:b/>
                <w:bCs/>
                <w:sz w:val="20"/>
                <w:szCs w:val="20"/>
              </w:rPr>
              <w:t>Moderate</w:t>
            </w:r>
          </w:p>
        </w:tc>
        <w:tc>
          <w:tcPr>
            <w:tcW w:w="852" w:type="pct"/>
            <w:tcBorders>
              <w:bottom w:val="nil"/>
            </w:tcBorders>
            <w:shd w:val="clear" w:color="auto" w:fill="FFC000"/>
            <w:vAlign w:val="center"/>
            <w:hideMark/>
          </w:tcPr>
          <w:p w14:paraId="076F1FF2" w14:textId="77777777" w:rsidR="00C90DE5" w:rsidRPr="00B5064E" w:rsidRDefault="00C90DE5" w:rsidP="00ED55EF">
            <w:pPr>
              <w:jc w:val="center"/>
              <w:rPr>
                <w:rFonts w:ascii="Calibri" w:hAnsi="Calibri" w:cs="Calibri"/>
                <w:b/>
                <w:bCs/>
                <w:sz w:val="20"/>
                <w:szCs w:val="20"/>
              </w:rPr>
            </w:pPr>
            <w:r w:rsidRPr="00B5064E">
              <w:rPr>
                <w:rFonts w:ascii="Calibri" w:hAnsi="Calibri" w:cs="Calibri"/>
                <w:b/>
                <w:bCs/>
                <w:sz w:val="20"/>
                <w:szCs w:val="20"/>
              </w:rPr>
              <w:t>Moderate</w:t>
            </w:r>
          </w:p>
        </w:tc>
        <w:tc>
          <w:tcPr>
            <w:tcW w:w="861" w:type="pct"/>
            <w:vAlign w:val="center"/>
            <w:hideMark/>
          </w:tcPr>
          <w:p w14:paraId="4D2933B9"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AER flexibility in forecasting assumptions; conservative load modelling; post-implementation review</w:t>
            </w:r>
          </w:p>
        </w:tc>
      </w:tr>
      <w:tr w:rsidR="00877798" w:rsidRPr="00B5064E" w14:paraId="2EB4F962" w14:textId="77777777" w:rsidTr="007E5903">
        <w:tc>
          <w:tcPr>
            <w:tcW w:w="787" w:type="pct"/>
            <w:vAlign w:val="center"/>
            <w:hideMark/>
          </w:tcPr>
          <w:p w14:paraId="09706920"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b/>
                <w:bCs/>
                <w:sz w:val="20"/>
                <w:szCs w:val="20"/>
              </w:rPr>
              <w:t>Wholesale &amp; Hedging Adjustments</w:t>
            </w:r>
          </w:p>
        </w:tc>
        <w:tc>
          <w:tcPr>
            <w:tcW w:w="1034" w:type="pct"/>
            <w:vAlign w:val="center"/>
            <w:hideMark/>
          </w:tcPr>
          <w:p w14:paraId="387D9D82"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Portfolio risk adjustments due to potential intra-day load concentration; interaction with forward hedge positions</w:t>
            </w:r>
          </w:p>
        </w:tc>
        <w:tc>
          <w:tcPr>
            <w:tcW w:w="818" w:type="pct"/>
            <w:vAlign w:val="center"/>
            <w:hideMark/>
          </w:tcPr>
          <w:p w14:paraId="4610567F"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Indirect financial risk exposure</w:t>
            </w:r>
          </w:p>
        </w:tc>
        <w:tc>
          <w:tcPr>
            <w:tcW w:w="649" w:type="pct"/>
            <w:tcBorders>
              <w:bottom w:val="nil"/>
            </w:tcBorders>
            <w:shd w:val="clear" w:color="auto" w:fill="4EA72E" w:themeFill="accent6"/>
            <w:vAlign w:val="center"/>
            <w:hideMark/>
          </w:tcPr>
          <w:p w14:paraId="7BD330E8" w14:textId="0D96A020" w:rsidR="00C90DE5" w:rsidRPr="00B5064E" w:rsidRDefault="009364B2" w:rsidP="00ED55EF">
            <w:pPr>
              <w:jc w:val="center"/>
              <w:rPr>
                <w:rFonts w:ascii="Calibri" w:hAnsi="Calibri" w:cs="Calibri"/>
                <w:b/>
                <w:bCs/>
                <w:sz w:val="20"/>
                <w:szCs w:val="20"/>
              </w:rPr>
            </w:pPr>
            <w:r w:rsidRPr="00B5064E">
              <w:rPr>
                <w:rFonts w:ascii="Calibri" w:hAnsi="Calibri" w:cs="Calibri"/>
                <w:b/>
                <w:bCs/>
                <w:sz w:val="20"/>
                <w:szCs w:val="20"/>
              </w:rPr>
              <w:t>Low</w:t>
            </w:r>
          </w:p>
        </w:tc>
        <w:tc>
          <w:tcPr>
            <w:tcW w:w="852" w:type="pct"/>
            <w:tcBorders>
              <w:bottom w:val="nil"/>
            </w:tcBorders>
            <w:shd w:val="clear" w:color="auto" w:fill="4EA72E" w:themeFill="accent6"/>
            <w:vAlign w:val="center"/>
            <w:hideMark/>
          </w:tcPr>
          <w:p w14:paraId="70082E43" w14:textId="6689AE62" w:rsidR="00C90DE5" w:rsidRPr="00B5064E" w:rsidRDefault="009364B2" w:rsidP="00ED55EF">
            <w:pPr>
              <w:jc w:val="center"/>
              <w:rPr>
                <w:rFonts w:ascii="Calibri" w:hAnsi="Calibri" w:cs="Calibri"/>
                <w:b/>
                <w:bCs/>
                <w:sz w:val="20"/>
                <w:szCs w:val="20"/>
              </w:rPr>
            </w:pPr>
            <w:r w:rsidRPr="00B5064E">
              <w:rPr>
                <w:rFonts w:ascii="Calibri" w:hAnsi="Calibri" w:cs="Calibri"/>
                <w:b/>
                <w:bCs/>
                <w:sz w:val="20"/>
                <w:szCs w:val="20"/>
              </w:rPr>
              <w:t>Low</w:t>
            </w:r>
          </w:p>
        </w:tc>
        <w:tc>
          <w:tcPr>
            <w:tcW w:w="861" w:type="pct"/>
            <w:vAlign w:val="center"/>
            <w:hideMark/>
          </w:tcPr>
          <w:p w14:paraId="04E3B575"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Gradual implementation; DMO cost recovery mechanisms; monitoring of uptake</w:t>
            </w:r>
          </w:p>
        </w:tc>
      </w:tr>
      <w:tr w:rsidR="00877798" w:rsidRPr="00B5064E" w14:paraId="2D0DADEE" w14:textId="77777777" w:rsidTr="007E5903">
        <w:tc>
          <w:tcPr>
            <w:tcW w:w="787" w:type="pct"/>
            <w:vAlign w:val="center"/>
            <w:hideMark/>
          </w:tcPr>
          <w:p w14:paraId="6FD0010F"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b/>
                <w:bCs/>
                <w:sz w:val="20"/>
                <w:szCs w:val="20"/>
              </w:rPr>
              <w:t>Network Cost Exposure</w:t>
            </w:r>
          </w:p>
        </w:tc>
        <w:tc>
          <w:tcPr>
            <w:tcW w:w="1034" w:type="pct"/>
            <w:vAlign w:val="center"/>
            <w:hideMark/>
          </w:tcPr>
          <w:p w14:paraId="19C5A233"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Retailers continue to incur network use-of-system charges during free window; potential misalignment with DNSP tariffs</w:t>
            </w:r>
          </w:p>
        </w:tc>
        <w:tc>
          <w:tcPr>
            <w:tcW w:w="818" w:type="pct"/>
            <w:vAlign w:val="center"/>
            <w:hideMark/>
          </w:tcPr>
          <w:p w14:paraId="4DEC3AD8"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Structural cost recovery challenge</w:t>
            </w:r>
          </w:p>
        </w:tc>
        <w:tc>
          <w:tcPr>
            <w:tcW w:w="649" w:type="pct"/>
            <w:tcBorders>
              <w:bottom w:val="nil"/>
            </w:tcBorders>
            <w:shd w:val="clear" w:color="auto" w:fill="4EA72E" w:themeFill="accent6"/>
            <w:vAlign w:val="center"/>
            <w:hideMark/>
          </w:tcPr>
          <w:p w14:paraId="7A9A52C5" w14:textId="4AF3DFBC" w:rsidR="00C90DE5" w:rsidRPr="00B5064E" w:rsidRDefault="0064529F" w:rsidP="00ED55EF">
            <w:pPr>
              <w:jc w:val="center"/>
              <w:rPr>
                <w:rFonts w:ascii="Calibri" w:hAnsi="Calibri" w:cs="Calibri"/>
                <w:b/>
                <w:bCs/>
                <w:sz w:val="20"/>
                <w:szCs w:val="20"/>
              </w:rPr>
            </w:pPr>
            <w:r w:rsidRPr="00B5064E">
              <w:rPr>
                <w:rFonts w:ascii="Calibri" w:hAnsi="Calibri" w:cs="Calibri"/>
                <w:b/>
                <w:bCs/>
                <w:sz w:val="20"/>
                <w:szCs w:val="20"/>
              </w:rPr>
              <w:t>Low</w:t>
            </w:r>
          </w:p>
        </w:tc>
        <w:tc>
          <w:tcPr>
            <w:tcW w:w="852" w:type="pct"/>
            <w:tcBorders>
              <w:bottom w:val="nil"/>
            </w:tcBorders>
            <w:shd w:val="clear" w:color="auto" w:fill="4EA72E" w:themeFill="accent6"/>
            <w:vAlign w:val="center"/>
            <w:hideMark/>
          </w:tcPr>
          <w:p w14:paraId="0D665BC3" w14:textId="7CDDBFF1" w:rsidR="00C90DE5" w:rsidRPr="00B5064E" w:rsidRDefault="00D773EA" w:rsidP="00ED55EF">
            <w:pPr>
              <w:jc w:val="center"/>
              <w:rPr>
                <w:rFonts w:ascii="Calibri" w:hAnsi="Calibri" w:cs="Calibri"/>
                <w:b/>
                <w:bCs/>
                <w:sz w:val="20"/>
                <w:szCs w:val="20"/>
              </w:rPr>
            </w:pPr>
            <w:r w:rsidRPr="00B5064E">
              <w:rPr>
                <w:rFonts w:ascii="Calibri" w:hAnsi="Calibri" w:cs="Calibri"/>
                <w:b/>
                <w:bCs/>
                <w:sz w:val="20"/>
                <w:szCs w:val="20"/>
              </w:rPr>
              <w:t xml:space="preserve">Low- </w:t>
            </w:r>
          </w:p>
        </w:tc>
        <w:tc>
          <w:tcPr>
            <w:tcW w:w="861" w:type="pct"/>
            <w:vAlign w:val="center"/>
            <w:hideMark/>
          </w:tcPr>
          <w:p w14:paraId="2ADAF59F"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DNSP-specific timing; alignment with existing off-peak windows where feasible</w:t>
            </w:r>
          </w:p>
        </w:tc>
      </w:tr>
      <w:tr w:rsidR="00877798" w:rsidRPr="00B5064E" w14:paraId="7C14FED3" w14:textId="77777777" w:rsidTr="007E5903">
        <w:tc>
          <w:tcPr>
            <w:tcW w:w="787" w:type="pct"/>
            <w:vAlign w:val="center"/>
          </w:tcPr>
          <w:p w14:paraId="494CAF0A" w14:textId="77777777" w:rsidR="00DA416B" w:rsidRPr="00B5064E" w:rsidRDefault="00DA416B" w:rsidP="005D5222">
            <w:pPr>
              <w:rPr>
                <w:rFonts w:ascii="Calibri" w:hAnsi="Calibri" w:cs="Calibri"/>
                <w:b/>
                <w:bCs/>
                <w:sz w:val="20"/>
                <w:szCs w:val="20"/>
              </w:rPr>
            </w:pPr>
            <w:r w:rsidRPr="00B5064E">
              <w:rPr>
                <w:rFonts w:ascii="Calibri" w:hAnsi="Calibri" w:cs="Calibri"/>
                <w:b/>
                <w:bCs/>
                <w:sz w:val="20"/>
                <w:szCs w:val="20"/>
              </w:rPr>
              <w:t>Environmental Scheme Costs</w:t>
            </w:r>
          </w:p>
          <w:p w14:paraId="0C031801" w14:textId="31B483B6" w:rsidR="00DA416B" w:rsidRPr="00B5064E" w:rsidRDefault="00DA416B" w:rsidP="005D5222">
            <w:pPr>
              <w:rPr>
                <w:rFonts w:ascii="Calibri" w:hAnsi="Calibri" w:cs="Calibri"/>
                <w:b/>
                <w:bCs/>
                <w:sz w:val="20"/>
                <w:szCs w:val="20"/>
              </w:rPr>
            </w:pPr>
          </w:p>
        </w:tc>
        <w:tc>
          <w:tcPr>
            <w:tcW w:w="1034" w:type="pct"/>
            <w:vAlign w:val="center"/>
          </w:tcPr>
          <w:p w14:paraId="6DBC8BD8" w14:textId="5420E919" w:rsidR="00DA416B" w:rsidRPr="00B5064E" w:rsidRDefault="00DA416B" w:rsidP="005D5222">
            <w:pPr>
              <w:rPr>
                <w:rFonts w:ascii="Calibri" w:hAnsi="Calibri" w:cs="Calibri"/>
                <w:sz w:val="20"/>
                <w:szCs w:val="20"/>
              </w:rPr>
            </w:pPr>
            <w:r w:rsidRPr="00B5064E">
              <w:rPr>
                <w:rFonts w:ascii="Calibri" w:hAnsi="Calibri" w:cs="Calibri"/>
                <w:sz w:val="20"/>
                <w:szCs w:val="20"/>
              </w:rPr>
              <w:t>Retailers remain liable for renewable energy scheme costs (e.g. LGCs, STCs, state-based environmental schemes) and other statutory obligations during the free window, as these are volume-based and not linked to wholesale price</w:t>
            </w:r>
          </w:p>
        </w:tc>
        <w:tc>
          <w:tcPr>
            <w:tcW w:w="818" w:type="pct"/>
            <w:vAlign w:val="center"/>
          </w:tcPr>
          <w:p w14:paraId="754DC11F" w14:textId="7D872A66" w:rsidR="00DA416B" w:rsidRPr="00B5064E" w:rsidRDefault="00A00FB4" w:rsidP="005D5222">
            <w:pPr>
              <w:rPr>
                <w:rFonts w:ascii="Calibri" w:hAnsi="Calibri" w:cs="Calibri"/>
                <w:sz w:val="20"/>
                <w:szCs w:val="20"/>
              </w:rPr>
            </w:pPr>
            <w:r w:rsidRPr="00B5064E">
              <w:rPr>
                <w:rFonts w:ascii="Calibri" w:hAnsi="Calibri" w:cs="Calibri"/>
                <w:sz w:val="20"/>
                <w:szCs w:val="20"/>
              </w:rPr>
              <w:t>Direct variable cost exposure</w:t>
            </w:r>
          </w:p>
        </w:tc>
        <w:tc>
          <w:tcPr>
            <w:tcW w:w="649" w:type="pct"/>
            <w:tcBorders>
              <w:bottom w:val="nil"/>
            </w:tcBorders>
            <w:shd w:val="clear" w:color="auto" w:fill="4EA72E" w:themeFill="accent6"/>
            <w:vAlign w:val="center"/>
          </w:tcPr>
          <w:p w14:paraId="42F6B294" w14:textId="62198BFE" w:rsidR="00DA416B" w:rsidRPr="00B5064E" w:rsidRDefault="009364B2" w:rsidP="00ED55EF">
            <w:pPr>
              <w:jc w:val="center"/>
              <w:rPr>
                <w:rFonts w:ascii="Calibri" w:hAnsi="Calibri" w:cs="Calibri"/>
                <w:b/>
                <w:bCs/>
                <w:sz w:val="20"/>
                <w:szCs w:val="20"/>
              </w:rPr>
            </w:pPr>
            <w:r w:rsidRPr="00B5064E">
              <w:rPr>
                <w:rFonts w:ascii="Calibri" w:hAnsi="Calibri" w:cs="Calibri"/>
                <w:b/>
                <w:bCs/>
                <w:sz w:val="20"/>
                <w:szCs w:val="20"/>
              </w:rPr>
              <w:t>Low</w:t>
            </w:r>
          </w:p>
        </w:tc>
        <w:tc>
          <w:tcPr>
            <w:tcW w:w="852" w:type="pct"/>
            <w:tcBorders>
              <w:bottom w:val="nil"/>
            </w:tcBorders>
            <w:shd w:val="clear" w:color="auto" w:fill="4EA72E" w:themeFill="accent6"/>
            <w:vAlign w:val="center"/>
          </w:tcPr>
          <w:p w14:paraId="0D2DBC66" w14:textId="091C6A77" w:rsidR="00DA416B" w:rsidRPr="00B5064E" w:rsidRDefault="009364B2" w:rsidP="00ED55EF">
            <w:pPr>
              <w:jc w:val="center"/>
              <w:rPr>
                <w:rFonts w:ascii="Calibri" w:hAnsi="Calibri" w:cs="Calibri"/>
                <w:b/>
                <w:bCs/>
                <w:sz w:val="20"/>
                <w:szCs w:val="20"/>
              </w:rPr>
            </w:pPr>
            <w:r w:rsidRPr="00B5064E">
              <w:rPr>
                <w:rFonts w:ascii="Calibri" w:hAnsi="Calibri" w:cs="Calibri"/>
                <w:b/>
                <w:bCs/>
                <w:sz w:val="20"/>
                <w:szCs w:val="20"/>
              </w:rPr>
              <w:t>Low</w:t>
            </w:r>
          </w:p>
        </w:tc>
        <w:tc>
          <w:tcPr>
            <w:tcW w:w="861" w:type="pct"/>
            <w:vAlign w:val="center"/>
          </w:tcPr>
          <w:p w14:paraId="2EA1465C" w14:textId="11F2CDAD" w:rsidR="00DA416B" w:rsidRPr="00B5064E" w:rsidRDefault="00B359AD" w:rsidP="005D5222">
            <w:pPr>
              <w:rPr>
                <w:rFonts w:ascii="Calibri" w:hAnsi="Calibri" w:cs="Calibri"/>
                <w:sz w:val="20"/>
                <w:szCs w:val="20"/>
              </w:rPr>
            </w:pPr>
            <w:r w:rsidRPr="00B5064E">
              <w:rPr>
                <w:rFonts w:ascii="Calibri" w:hAnsi="Calibri" w:cs="Calibri"/>
                <w:sz w:val="20"/>
                <w:szCs w:val="20"/>
              </w:rPr>
              <w:t>Inclusion of environmental cost components in DMO price setting; cost recovery through overall tariff structure</w:t>
            </w:r>
          </w:p>
        </w:tc>
      </w:tr>
      <w:tr w:rsidR="00877798" w:rsidRPr="00B5064E" w14:paraId="7F464AA4" w14:textId="77777777" w:rsidTr="007E5903">
        <w:tc>
          <w:tcPr>
            <w:tcW w:w="787" w:type="pct"/>
            <w:vAlign w:val="center"/>
            <w:hideMark/>
          </w:tcPr>
          <w:p w14:paraId="00D63CC9"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b/>
                <w:bCs/>
                <w:sz w:val="20"/>
                <w:szCs w:val="20"/>
              </w:rPr>
              <w:t>Compliance &amp; Disclosure Requirements</w:t>
            </w:r>
          </w:p>
        </w:tc>
        <w:tc>
          <w:tcPr>
            <w:tcW w:w="1034" w:type="pct"/>
            <w:vAlign w:val="center"/>
            <w:hideMark/>
          </w:tcPr>
          <w:p w14:paraId="35E69CC6"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 xml:space="preserve">Updates to product disclosure statements, consent scripts, bill messaging, </w:t>
            </w:r>
            <w:r w:rsidRPr="00B5064E">
              <w:rPr>
                <w:rFonts w:ascii="Calibri" w:hAnsi="Calibri" w:cs="Calibri"/>
                <w:sz w:val="20"/>
                <w:szCs w:val="20"/>
              </w:rPr>
              <w:lastRenderedPageBreak/>
              <w:t>comparison tools; training staff</w:t>
            </w:r>
          </w:p>
        </w:tc>
        <w:tc>
          <w:tcPr>
            <w:tcW w:w="818" w:type="pct"/>
            <w:vAlign w:val="center"/>
            <w:hideMark/>
          </w:tcPr>
          <w:p w14:paraId="6B1922C8"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lastRenderedPageBreak/>
              <w:t>Ongoing administrative burden</w:t>
            </w:r>
          </w:p>
        </w:tc>
        <w:tc>
          <w:tcPr>
            <w:tcW w:w="649" w:type="pct"/>
            <w:tcBorders>
              <w:bottom w:val="nil"/>
            </w:tcBorders>
            <w:shd w:val="clear" w:color="auto" w:fill="4EA72E" w:themeFill="accent6"/>
            <w:vAlign w:val="center"/>
            <w:hideMark/>
          </w:tcPr>
          <w:p w14:paraId="3E584991" w14:textId="222D0CE2" w:rsidR="00C90DE5" w:rsidRPr="00B5064E" w:rsidRDefault="009364B2" w:rsidP="00ED55EF">
            <w:pPr>
              <w:jc w:val="center"/>
              <w:rPr>
                <w:rFonts w:ascii="Calibri" w:hAnsi="Calibri" w:cs="Calibri"/>
                <w:b/>
                <w:bCs/>
                <w:sz w:val="20"/>
                <w:szCs w:val="20"/>
              </w:rPr>
            </w:pPr>
            <w:r w:rsidRPr="00B5064E">
              <w:rPr>
                <w:rFonts w:ascii="Calibri" w:hAnsi="Calibri" w:cs="Calibri"/>
                <w:b/>
                <w:bCs/>
                <w:sz w:val="20"/>
                <w:szCs w:val="20"/>
              </w:rPr>
              <w:t>Low</w:t>
            </w:r>
          </w:p>
        </w:tc>
        <w:tc>
          <w:tcPr>
            <w:tcW w:w="852" w:type="pct"/>
            <w:tcBorders>
              <w:bottom w:val="nil"/>
            </w:tcBorders>
            <w:shd w:val="clear" w:color="auto" w:fill="4EA72E" w:themeFill="accent6"/>
            <w:vAlign w:val="center"/>
            <w:hideMark/>
          </w:tcPr>
          <w:p w14:paraId="5C0B23B4" w14:textId="58F21757" w:rsidR="00C90DE5" w:rsidRPr="00B5064E" w:rsidRDefault="00C90DE5" w:rsidP="00ED55EF">
            <w:pPr>
              <w:jc w:val="center"/>
              <w:rPr>
                <w:rFonts w:ascii="Calibri" w:hAnsi="Calibri" w:cs="Calibri"/>
                <w:b/>
                <w:bCs/>
                <w:sz w:val="20"/>
                <w:szCs w:val="20"/>
              </w:rPr>
            </w:pPr>
            <w:r w:rsidRPr="00B5064E">
              <w:rPr>
                <w:rFonts w:ascii="Calibri" w:hAnsi="Calibri" w:cs="Calibri"/>
                <w:b/>
                <w:bCs/>
                <w:sz w:val="20"/>
                <w:szCs w:val="20"/>
                <w:shd w:val="clear" w:color="auto" w:fill="4EA72E" w:themeFill="accent6"/>
              </w:rPr>
              <w:t>Low</w:t>
            </w:r>
          </w:p>
        </w:tc>
        <w:tc>
          <w:tcPr>
            <w:tcW w:w="861" w:type="pct"/>
            <w:vAlign w:val="center"/>
            <w:hideMark/>
          </w:tcPr>
          <w:p w14:paraId="32659D0A"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Application of existing EIC framework; principles-based disclosure approach</w:t>
            </w:r>
          </w:p>
        </w:tc>
      </w:tr>
      <w:tr w:rsidR="00877798" w:rsidRPr="00B5064E" w14:paraId="6320E1C9" w14:textId="77777777" w:rsidTr="007E5903">
        <w:tc>
          <w:tcPr>
            <w:tcW w:w="787" w:type="pct"/>
            <w:vAlign w:val="center"/>
            <w:hideMark/>
          </w:tcPr>
          <w:p w14:paraId="46AA76C1"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b/>
                <w:bCs/>
                <w:sz w:val="20"/>
                <w:szCs w:val="20"/>
              </w:rPr>
              <w:t>Reasonable Use Cap Administration</w:t>
            </w:r>
          </w:p>
        </w:tc>
        <w:tc>
          <w:tcPr>
            <w:tcW w:w="1034" w:type="pct"/>
            <w:vAlign w:val="center"/>
            <w:hideMark/>
          </w:tcPr>
          <w:p w14:paraId="149AA9A6"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Monitoring and enforcement of 24 kWh/day cap; billing adjustments if exceeded</w:t>
            </w:r>
          </w:p>
        </w:tc>
        <w:tc>
          <w:tcPr>
            <w:tcW w:w="818" w:type="pct"/>
            <w:vAlign w:val="center"/>
            <w:hideMark/>
          </w:tcPr>
          <w:p w14:paraId="0C6B0F7D"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Ongoing operational burden</w:t>
            </w:r>
          </w:p>
        </w:tc>
        <w:tc>
          <w:tcPr>
            <w:tcW w:w="649" w:type="pct"/>
            <w:tcBorders>
              <w:bottom w:val="nil"/>
            </w:tcBorders>
            <w:shd w:val="clear" w:color="auto" w:fill="FFC000"/>
            <w:vAlign w:val="center"/>
            <w:hideMark/>
          </w:tcPr>
          <w:p w14:paraId="023DDB25" w14:textId="5A7645C9" w:rsidR="00C90DE5" w:rsidRPr="00B5064E" w:rsidRDefault="00C90DE5" w:rsidP="00ED55EF">
            <w:pPr>
              <w:jc w:val="center"/>
              <w:rPr>
                <w:rFonts w:ascii="Calibri" w:hAnsi="Calibri" w:cs="Calibri"/>
                <w:b/>
                <w:bCs/>
                <w:sz w:val="20"/>
                <w:szCs w:val="20"/>
              </w:rPr>
            </w:pPr>
            <w:r w:rsidRPr="00B5064E">
              <w:rPr>
                <w:rFonts w:ascii="Calibri" w:hAnsi="Calibri" w:cs="Calibri"/>
                <w:b/>
                <w:bCs/>
                <w:sz w:val="20"/>
                <w:szCs w:val="20"/>
              </w:rPr>
              <w:t>Moderate</w:t>
            </w:r>
          </w:p>
        </w:tc>
        <w:tc>
          <w:tcPr>
            <w:tcW w:w="852" w:type="pct"/>
            <w:tcBorders>
              <w:bottom w:val="nil"/>
            </w:tcBorders>
            <w:shd w:val="clear" w:color="auto" w:fill="4EA72E" w:themeFill="accent6"/>
            <w:vAlign w:val="center"/>
            <w:hideMark/>
          </w:tcPr>
          <w:p w14:paraId="1A0CDEC7" w14:textId="77777777" w:rsidR="00C90DE5" w:rsidRPr="00B5064E" w:rsidRDefault="00C90DE5" w:rsidP="00ED55EF">
            <w:pPr>
              <w:jc w:val="center"/>
              <w:rPr>
                <w:rFonts w:ascii="Calibri" w:hAnsi="Calibri" w:cs="Calibri"/>
                <w:b/>
                <w:bCs/>
                <w:sz w:val="20"/>
                <w:szCs w:val="20"/>
              </w:rPr>
            </w:pPr>
            <w:r w:rsidRPr="00B5064E">
              <w:rPr>
                <w:rFonts w:ascii="Calibri" w:hAnsi="Calibri" w:cs="Calibri"/>
                <w:b/>
                <w:bCs/>
                <w:sz w:val="20"/>
                <w:szCs w:val="20"/>
              </w:rPr>
              <w:t>Low</w:t>
            </w:r>
          </w:p>
        </w:tc>
        <w:tc>
          <w:tcPr>
            <w:tcW w:w="861" w:type="pct"/>
            <w:vAlign w:val="center"/>
            <w:hideMark/>
          </w:tcPr>
          <w:p w14:paraId="7ACB44F2"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Automated billing rules; defined cap structure</w:t>
            </w:r>
          </w:p>
        </w:tc>
      </w:tr>
      <w:tr w:rsidR="00877798" w:rsidRPr="00B5064E" w14:paraId="200B4A67" w14:textId="77777777" w:rsidTr="007E5903">
        <w:tc>
          <w:tcPr>
            <w:tcW w:w="787" w:type="pct"/>
            <w:vAlign w:val="center"/>
            <w:hideMark/>
          </w:tcPr>
          <w:p w14:paraId="7F82CF2E"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b/>
                <w:bCs/>
                <w:sz w:val="20"/>
                <w:szCs w:val="20"/>
              </w:rPr>
              <w:t>Customer Service &amp; Complaints</w:t>
            </w:r>
          </w:p>
        </w:tc>
        <w:tc>
          <w:tcPr>
            <w:tcW w:w="1034" w:type="pct"/>
            <w:vAlign w:val="center"/>
            <w:hideMark/>
          </w:tcPr>
          <w:p w14:paraId="58531EE1"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Increased enquiries regarding suitability, bill variability, switching; potential short-term confusion</w:t>
            </w:r>
          </w:p>
        </w:tc>
        <w:tc>
          <w:tcPr>
            <w:tcW w:w="818" w:type="pct"/>
            <w:vAlign w:val="center"/>
            <w:hideMark/>
          </w:tcPr>
          <w:p w14:paraId="07D491A8"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Ongoing operational impact</w:t>
            </w:r>
          </w:p>
        </w:tc>
        <w:tc>
          <w:tcPr>
            <w:tcW w:w="649" w:type="pct"/>
            <w:tcBorders>
              <w:bottom w:val="nil"/>
            </w:tcBorders>
            <w:shd w:val="clear" w:color="auto" w:fill="FFC000"/>
            <w:vAlign w:val="center"/>
            <w:hideMark/>
          </w:tcPr>
          <w:p w14:paraId="00E48D70" w14:textId="77777777" w:rsidR="00C90DE5" w:rsidRPr="00B5064E" w:rsidRDefault="00C90DE5" w:rsidP="00ED55EF">
            <w:pPr>
              <w:jc w:val="center"/>
              <w:rPr>
                <w:rFonts w:ascii="Calibri" w:hAnsi="Calibri" w:cs="Calibri"/>
                <w:b/>
                <w:bCs/>
                <w:sz w:val="20"/>
                <w:szCs w:val="20"/>
              </w:rPr>
            </w:pPr>
            <w:r w:rsidRPr="00B5064E">
              <w:rPr>
                <w:rFonts w:ascii="Calibri" w:hAnsi="Calibri" w:cs="Calibri"/>
                <w:b/>
                <w:bCs/>
                <w:sz w:val="20"/>
                <w:szCs w:val="20"/>
              </w:rPr>
              <w:t>Moderate (initially)</w:t>
            </w:r>
          </w:p>
        </w:tc>
        <w:tc>
          <w:tcPr>
            <w:tcW w:w="852" w:type="pct"/>
            <w:tcBorders>
              <w:bottom w:val="nil"/>
            </w:tcBorders>
            <w:shd w:val="clear" w:color="auto" w:fill="F1A983" w:themeFill="accent2" w:themeFillTint="99"/>
            <w:vAlign w:val="center"/>
            <w:hideMark/>
          </w:tcPr>
          <w:p w14:paraId="5B12A607" w14:textId="77777777" w:rsidR="00C90DE5" w:rsidRPr="00B5064E" w:rsidRDefault="00C90DE5" w:rsidP="00ED55EF">
            <w:pPr>
              <w:jc w:val="center"/>
              <w:rPr>
                <w:rFonts w:ascii="Calibri" w:hAnsi="Calibri" w:cs="Calibri"/>
                <w:b/>
                <w:bCs/>
                <w:sz w:val="20"/>
                <w:szCs w:val="20"/>
              </w:rPr>
            </w:pPr>
            <w:r w:rsidRPr="00B5064E">
              <w:rPr>
                <w:rFonts w:ascii="Calibri" w:hAnsi="Calibri" w:cs="Calibri"/>
                <w:b/>
                <w:bCs/>
                <w:sz w:val="20"/>
                <w:szCs w:val="20"/>
              </w:rPr>
              <w:t>Low–Moderate</w:t>
            </w:r>
          </w:p>
        </w:tc>
        <w:tc>
          <w:tcPr>
            <w:tcW w:w="861" w:type="pct"/>
            <w:vAlign w:val="center"/>
            <w:hideMark/>
          </w:tcPr>
          <w:p w14:paraId="7578380D"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Clear communication; consumer education; opt-in participation</w:t>
            </w:r>
          </w:p>
        </w:tc>
      </w:tr>
      <w:tr w:rsidR="00210635" w:rsidRPr="00B5064E" w14:paraId="173E548B" w14:textId="77777777" w:rsidTr="007E5903">
        <w:tc>
          <w:tcPr>
            <w:tcW w:w="787" w:type="pct"/>
            <w:vAlign w:val="center"/>
            <w:hideMark/>
          </w:tcPr>
          <w:p w14:paraId="420418C7"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b/>
                <w:bCs/>
                <w:sz w:val="20"/>
                <w:szCs w:val="20"/>
              </w:rPr>
              <w:t>Impact on Smaller Retailers</w:t>
            </w:r>
          </w:p>
        </w:tc>
        <w:tc>
          <w:tcPr>
            <w:tcW w:w="1034" w:type="pct"/>
            <w:vAlign w:val="center"/>
            <w:hideMark/>
          </w:tcPr>
          <w:p w14:paraId="32376B40"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Disproportionate compliance and IT cost relative to customer base</w:t>
            </w:r>
          </w:p>
        </w:tc>
        <w:tc>
          <w:tcPr>
            <w:tcW w:w="818" w:type="pct"/>
            <w:vAlign w:val="center"/>
            <w:hideMark/>
          </w:tcPr>
          <w:p w14:paraId="131A51BE"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Structural burden</w:t>
            </w:r>
          </w:p>
        </w:tc>
        <w:tc>
          <w:tcPr>
            <w:tcW w:w="649" w:type="pct"/>
            <w:tcBorders>
              <w:bottom w:val="nil"/>
            </w:tcBorders>
            <w:shd w:val="clear" w:color="auto" w:fill="F1A983" w:themeFill="accent2" w:themeFillTint="99"/>
            <w:vAlign w:val="center"/>
            <w:hideMark/>
          </w:tcPr>
          <w:p w14:paraId="73BE912E" w14:textId="77777777" w:rsidR="00C90DE5" w:rsidRPr="00B5064E" w:rsidRDefault="00C90DE5" w:rsidP="00ED55EF">
            <w:pPr>
              <w:jc w:val="center"/>
              <w:rPr>
                <w:rFonts w:ascii="Calibri" w:hAnsi="Calibri" w:cs="Calibri"/>
                <w:b/>
                <w:bCs/>
                <w:sz w:val="20"/>
                <w:szCs w:val="20"/>
              </w:rPr>
            </w:pPr>
            <w:r w:rsidRPr="00B5064E">
              <w:rPr>
                <w:rFonts w:ascii="Calibri" w:hAnsi="Calibri" w:cs="Calibri"/>
                <w:b/>
                <w:bCs/>
                <w:sz w:val="20"/>
                <w:szCs w:val="20"/>
              </w:rPr>
              <w:t>Moderate (mid-tier) / Low (exempt cohort)</w:t>
            </w:r>
          </w:p>
        </w:tc>
        <w:tc>
          <w:tcPr>
            <w:tcW w:w="852" w:type="pct"/>
            <w:tcBorders>
              <w:bottom w:val="nil"/>
            </w:tcBorders>
            <w:shd w:val="clear" w:color="auto" w:fill="FFC000"/>
            <w:vAlign w:val="center"/>
            <w:hideMark/>
          </w:tcPr>
          <w:p w14:paraId="70D48386" w14:textId="77777777" w:rsidR="00C90DE5" w:rsidRPr="00B5064E" w:rsidRDefault="00C90DE5" w:rsidP="00ED55EF">
            <w:pPr>
              <w:jc w:val="center"/>
              <w:rPr>
                <w:rFonts w:ascii="Calibri" w:hAnsi="Calibri" w:cs="Calibri"/>
                <w:b/>
                <w:bCs/>
                <w:sz w:val="20"/>
                <w:szCs w:val="20"/>
              </w:rPr>
            </w:pPr>
            <w:r w:rsidRPr="00B5064E">
              <w:rPr>
                <w:rFonts w:ascii="Calibri" w:hAnsi="Calibri" w:cs="Calibri"/>
                <w:b/>
                <w:bCs/>
                <w:sz w:val="20"/>
                <w:szCs w:val="20"/>
              </w:rPr>
              <w:t>Moderate</w:t>
            </w:r>
          </w:p>
        </w:tc>
        <w:tc>
          <w:tcPr>
            <w:tcW w:w="861" w:type="pct"/>
            <w:vAlign w:val="center"/>
            <w:hideMark/>
          </w:tcPr>
          <w:p w14:paraId="23C6A896" w14:textId="77777777" w:rsidR="00C90DE5" w:rsidRPr="00B5064E" w:rsidRDefault="00C90DE5" w:rsidP="005D5222">
            <w:pPr>
              <w:spacing w:after="160" w:line="259" w:lineRule="auto"/>
              <w:rPr>
                <w:rFonts w:ascii="Calibri" w:hAnsi="Calibri" w:cs="Calibri"/>
                <w:sz w:val="20"/>
                <w:szCs w:val="20"/>
              </w:rPr>
            </w:pPr>
            <w:r w:rsidRPr="00B5064E">
              <w:rPr>
                <w:rFonts w:ascii="Calibri" w:hAnsi="Calibri" w:cs="Calibri"/>
                <w:sz w:val="20"/>
                <w:szCs w:val="20"/>
              </w:rPr>
              <w:t>Exemption for &lt;1,000 customers; consideration of staged implementation</w:t>
            </w:r>
          </w:p>
        </w:tc>
      </w:tr>
    </w:tbl>
    <w:p w14:paraId="23306921" w14:textId="6B09E7CA" w:rsidR="00813589" w:rsidRPr="00B5064E" w:rsidRDefault="004E2994" w:rsidP="00881370">
      <w:pPr>
        <w:pStyle w:val="Heading4"/>
        <w:spacing w:before="120" w:after="120"/>
        <w:rPr>
          <w:rFonts w:ascii="Calibri" w:hAnsi="Calibri" w:cs="Calibri"/>
          <w:b/>
          <w:bCs/>
          <w:sz w:val="24"/>
          <w:szCs w:val="24"/>
        </w:rPr>
      </w:pPr>
      <w:r w:rsidRPr="00B5064E">
        <w:rPr>
          <w:rFonts w:ascii="Calibri" w:hAnsi="Calibri" w:cs="Calibri"/>
          <w:b/>
          <w:bCs/>
          <w:sz w:val="24"/>
          <w:szCs w:val="24"/>
        </w:rPr>
        <w:t>4.</w:t>
      </w:r>
      <w:r w:rsidR="00121874" w:rsidRPr="00B5064E">
        <w:rPr>
          <w:rFonts w:ascii="Calibri" w:hAnsi="Calibri" w:cs="Calibri"/>
          <w:b/>
          <w:bCs/>
          <w:sz w:val="24"/>
          <w:szCs w:val="24"/>
        </w:rPr>
        <w:t>Overall Retailer Impact Assessment</w:t>
      </w:r>
    </w:p>
    <w:p w14:paraId="2F5E3B13" w14:textId="27A77F8A" w:rsidR="00D61980" w:rsidRPr="00B5064E" w:rsidRDefault="00D61980" w:rsidP="00D61980">
      <w:pPr>
        <w:spacing w:before="120" w:after="0"/>
        <w:rPr>
          <w:rFonts w:ascii="Calibri" w:hAnsi="Calibri" w:cs="Calibri"/>
        </w:rPr>
      </w:pPr>
      <w:r w:rsidRPr="00B5064E">
        <w:rPr>
          <w:rFonts w:ascii="Calibri" w:hAnsi="Calibri" w:cs="Calibri"/>
          <w:i/>
          <w:iCs/>
          <w:sz w:val="20"/>
          <w:szCs w:val="20"/>
        </w:rPr>
        <w:t>Table 1</w:t>
      </w:r>
      <w:r w:rsidR="00927D00">
        <w:rPr>
          <w:rFonts w:ascii="Calibri" w:hAnsi="Calibri" w:cs="Calibri"/>
          <w:i/>
          <w:iCs/>
          <w:sz w:val="20"/>
          <w:szCs w:val="20"/>
        </w:rPr>
        <w:t>2</w:t>
      </w:r>
      <w:r w:rsidRPr="00B5064E">
        <w:rPr>
          <w:rFonts w:ascii="Calibri" w:hAnsi="Calibri" w:cs="Calibri"/>
          <w:i/>
          <w:iCs/>
          <w:sz w:val="20"/>
          <w:szCs w:val="20"/>
        </w:rPr>
        <w:t>: Overall Risk Impact Assessment</w:t>
      </w:r>
    </w:p>
    <w:tbl>
      <w:tblPr>
        <w:tblStyle w:val="SynergiesTable"/>
        <w:tblW w:w="5000" w:type="pct"/>
        <w:tblLook w:val="04A0" w:firstRow="1" w:lastRow="0" w:firstColumn="1" w:lastColumn="0" w:noHBand="0" w:noVBand="1"/>
      </w:tblPr>
      <w:tblGrid>
        <w:gridCol w:w="5670"/>
        <w:gridCol w:w="3356"/>
      </w:tblGrid>
      <w:tr w:rsidR="00121874" w:rsidRPr="00B5064E" w14:paraId="6AF4D2BA" w14:textId="77777777" w:rsidTr="007E5903">
        <w:trPr>
          <w:cnfStyle w:val="100000000000" w:firstRow="1" w:lastRow="0" w:firstColumn="0" w:lastColumn="0" w:oddVBand="0" w:evenVBand="0" w:oddHBand="0" w:evenHBand="0" w:firstRowFirstColumn="0" w:firstRowLastColumn="0" w:lastRowFirstColumn="0" w:lastRowLastColumn="0"/>
          <w:trHeight w:val="67"/>
        </w:trPr>
        <w:tc>
          <w:tcPr>
            <w:tcW w:w="3141" w:type="pct"/>
            <w:hideMark/>
          </w:tcPr>
          <w:p w14:paraId="0AD70BA1" w14:textId="77777777" w:rsidR="00121874" w:rsidRPr="00B5064E" w:rsidRDefault="00121874" w:rsidP="00EE549D">
            <w:pPr>
              <w:spacing w:before="120" w:after="120" w:line="259" w:lineRule="auto"/>
              <w:jc w:val="center"/>
              <w:rPr>
                <w:rFonts w:ascii="Calibri" w:hAnsi="Calibri" w:cs="Calibri"/>
                <w:b/>
                <w:bCs/>
                <w:sz w:val="20"/>
                <w:szCs w:val="20"/>
              </w:rPr>
            </w:pPr>
            <w:r w:rsidRPr="00B5064E">
              <w:rPr>
                <w:rFonts w:ascii="Calibri" w:hAnsi="Calibri" w:cs="Calibri"/>
                <w:b/>
                <w:bCs/>
                <w:sz w:val="20"/>
                <w:szCs w:val="20"/>
              </w:rPr>
              <w:t>Dimension</w:t>
            </w:r>
          </w:p>
        </w:tc>
        <w:tc>
          <w:tcPr>
            <w:tcW w:w="1859" w:type="pct"/>
            <w:hideMark/>
          </w:tcPr>
          <w:p w14:paraId="76E5DA4E" w14:textId="77777777" w:rsidR="00121874" w:rsidRPr="00B5064E" w:rsidRDefault="00121874" w:rsidP="005D5222">
            <w:pPr>
              <w:spacing w:before="120" w:after="120" w:line="259" w:lineRule="auto"/>
              <w:jc w:val="center"/>
              <w:rPr>
                <w:rFonts w:ascii="Calibri" w:hAnsi="Calibri" w:cs="Calibri"/>
                <w:b/>
                <w:bCs/>
                <w:sz w:val="20"/>
                <w:szCs w:val="20"/>
              </w:rPr>
            </w:pPr>
            <w:r w:rsidRPr="00B5064E">
              <w:rPr>
                <w:rFonts w:ascii="Calibri" w:hAnsi="Calibri" w:cs="Calibri"/>
                <w:b/>
                <w:bCs/>
                <w:sz w:val="20"/>
                <w:szCs w:val="20"/>
              </w:rPr>
              <w:t>Assessment</w:t>
            </w:r>
          </w:p>
        </w:tc>
      </w:tr>
      <w:tr w:rsidR="00121874" w:rsidRPr="00B5064E" w14:paraId="35CC3D62" w14:textId="77777777" w:rsidTr="007E5903">
        <w:trPr>
          <w:trHeight w:val="257"/>
        </w:trPr>
        <w:tc>
          <w:tcPr>
            <w:tcW w:w="3141" w:type="pct"/>
            <w:hideMark/>
          </w:tcPr>
          <w:p w14:paraId="4D451518" w14:textId="77777777" w:rsidR="00121874" w:rsidRPr="00B5064E" w:rsidRDefault="00121874" w:rsidP="00BA0FEF">
            <w:pPr>
              <w:rPr>
                <w:rFonts w:ascii="Calibri" w:hAnsi="Calibri" w:cs="Calibri"/>
                <w:sz w:val="20"/>
                <w:szCs w:val="20"/>
              </w:rPr>
            </w:pPr>
            <w:r w:rsidRPr="00B5064E">
              <w:rPr>
                <w:rFonts w:ascii="Calibri" w:hAnsi="Calibri" w:cs="Calibri"/>
                <w:b/>
                <w:bCs/>
                <w:sz w:val="20"/>
                <w:szCs w:val="20"/>
              </w:rPr>
              <w:t>Implementation Burden (Year 1)</w:t>
            </w:r>
          </w:p>
        </w:tc>
        <w:tc>
          <w:tcPr>
            <w:tcW w:w="1859" w:type="pct"/>
            <w:hideMark/>
          </w:tcPr>
          <w:p w14:paraId="6E47065E" w14:textId="0660206A" w:rsidR="00121874" w:rsidRPr="00B5064E" w:rsidRDefault="00121874" w:rsidP="00BA0FEF">
            <w:pPr>
              <w:jc w:val="center"/>
              <w:rPr>
                <w:rFonts w:ascii="Calibri" w:hAnsi="Calibri" w:cs="Calibri"/>
                <w:sz w:val="20"/>
                <w:szCs w:val="20"/>
              </w:rPr>
            </w:pPr>
            <w:r w:rsidRPr="00B5064E">
              <w:rPr>
                <w:rFonts w:ascii="Calibri" w:hAnsi="Calibri" w:cs="Calibri"/>
                <w:sz w:val="20"/>
                <w:szCs w:val="20"/>
              </w:rPr>
              <w:t>Moderate</w:t>
            </w:r>
          </w:p>
        </w:tc>
      </w:tr>
      <w:tr w:rsidR="00121874" w:rsidRPr="00B5064E" w14:paraId="3092926F" w14:textId="77777777" w:rsidTr="0098735E">
        <w:trPr>
          <w:trHeight w:val="257"/>
        </w:trPr>
        <w:tc>
          <w:tcPr>
            <w:tcW w:w="3141" w:type="pct"/>
            <w:shd w:val="clear" w:color="auto" w:fill="F2F2F2" w:themeFill="background1" w:themeFillShade="F2"/>
            <w:hideMark/>
          </w:tcPr>
          <w:p w14:paraId="775BAE8B" w14:textId="77777777" w:rsidR="00121874" w:rsidRPr="00B5064E" w:rsidRDefault="00121874" w:rsidP="00BA0FEF">
            <w:pPr>
              <w:rPr>
                <w:rFonts w:ascii="Calibri" w:hAnsi="Calibri" w:cs="Calibri"/>
                <w:sz w:val="20"/>
                <w:szCs w:val="20"/>
              </w:rPr>
            </w:pPr>
            <w:r w:rsidRPr="00B5064E">
              <w:rPr>
                <w:rFonts w:ascii="Calibri" w:hAnsi="Calibri" w:cs="Calibri"/>
                <w:b/>
                <w:bCs/>
                <w:sz w:val="20"/>
                <w:szCs w:val="20"/>
              </w:rPr>
              <w:t>Ongoing Compliance Burden</w:t>
            </w:r>
          </w:p>
        </w:tc>
        <w:tc>
          <w:tcPr>
            <w:tcW w:w="1859" w:type="pct"/>
            <w:shd w:val="clear" w:color="auto" w:fill="F2F2F2" w:themeFill="background1" w:themeFillShade="F2"/>
            <w:hideMark/>
          </w:tcPr>
          <w:p w14:paraId="1343F173" w14:textId="4ECF99EE" w:rsidR="00121874" w:rsidRPr="00B5064E" w:rsidRDefault="00434ED0" w:rsidP="00BA0FEF">
            <w:pPr>
              <w:jc w:val="center"/>
              <w:rPr>
                <w:rFonts w:ascii="Calibri" w:hAnsi="Calibri" w:cs="Calibri"/>
                <w:sz w:val="20"/>
                <w:szCs w:val="20"/>
              </w:rPr>
            </w:pPr>
            <w:r w:rsidRPr="00B5064E">
              <w:rPr>
                <w:rFonts w:ascii="Calibri" w:hAnsi="Calibri" w:cs="Calibri"/>
                <w:sz w:val="20"/>
                <w:szCs w:val="20"/>
              </w:rPr>
              <w:t>Low</w:t>
            </w:r>
          </w:p>
        </w:tc>
      </w:tr>
      <w:tr w:rsidR="004C74AE" w:rsidRPr="00B5064E" w14:paraId="328ED30C" w14:textId="77777777" w:rsidTr="007E5903">
        <w:trPr>
          <w:trHeight w:val="257"/>
        </w:trPr>
        <w:tc>
          <w:tcPr>
            <w:tcW w:w="3141" w:type="pct"/>
          </w:tcPr>
          <w:p w14:paraId="6A143AD8" w14:textId="20940AE9" w:rsidR="004C74AE" w:rsidRPr="00B5064E" w:rsidRDefault="004C74AE" w:rsidP="00BA0FEF">
            <w:pPr>
              <w:rPr>
                <w:rFonts w:ascii="Calibri" w:hAnsi="Calibri" w:cs="Calibri"/>
                <w:b/>
                <w:bCs/>
                <w:sz w:val="20"/>
                <w:szCs w:val="20"/>
              </w:rPr>
            </w:pPr>
            <w:r w:rsidRPr="00B5064E">
              <w:rPr>
                <w:rFonts w:ascii="Calibri" w:hAnsi="Calibri" w:cs="Calibri"/>
                <w:b/>
                <w:bCs/>
                <w:sz w:val="20"/>
                <w:szCs w:val="20"/>
              </w:rPr>
              <w:t>Variable Cost Exposure (Wholesale, Network, Environmental)</w:t>
            </w:r>
          </w:p>
        </w:tc>
        <w:tc>
          <w:tcPr>
            <w:tcW w:w="1859" w:type="pct"/>
          </w:tcPr>
          <w:p w14:paraId="25225E77" w14:textId="4E3B59A6" w:rsidR="004C74AE" w:rsidRPr="00B5064E" w:rsidRDefault="004C74AE" w:rsidP="00BA0FEF">
            <w:pPr>
              <w:jc w:val="center"/>
              <w:rPr>
                <w:rFonts w:ascii="Calibri" w:hAnsi="Calibri" w:cs="Calibri"/>
                <w:sz w:val="20"/>
                <w:szCs w:val="20"/>
              </w:rPr>
            </w:pPr>
            <w:r w:rsidRPr="00B5064E">
              <w:rPr>
                <w:rFonts w:ascii="Calibri" w:hAnsi="Calibri" w:cs="Calibri"/>
                <w:sz w:val="20"/>
                <w:szCs w:val="20"/>
              </w:rPr>
              <w:t>Moderate</w:t>
            </w:r>
          </w:p>
        </w:tc>
      </w:tr>
      <w:tr w:rsidR="00121874" w:rsidRPr="00B5064E" w14:paraId="7FEC2CE3" w14:textId="77777777" w:rsidTr="3AE2F883">
        <w:trPr>
          <w:trHeight w:val="249"/>
        </w:trPr>
        <w:tc>
          <w:tcPr>
            <w:tcW w:w="3141" w:type="pct"/>
            <w:shd w:val="clear" w:color="auto" w:fill="F2F2F2" w:themeFill="background1" w:themeFillShade="F2"/>
            <w:hideMark/>
          </w:tcPr>
          <w:p w14:paraId="02087502" w14:textId="77777777" w:rsidR="00121874" w:rsidRPr="00B5064E" w:rsidRDefault="00121874" w:rsidP="00BA0FEF">
            <w:pPr>
              <w:rPr>
                <w:rFonts w:ascii="Calibri" w:hAnsi="Calibri" w:cs="Calibri"/>
                <w:sz w:val="20"/>
                <w:szCs w:val="20"/>
              </w:rPr>
            </w:pPr>
            <w:r w:rsidRPr="00B5064E">
              <w:rPr>
                <w:rFonts w:ascii="Calibri" w:hAnsi="Calibri" w:cs="Calibri"/>
                <w:b/>
                <w:bCs/>
                <w:sz w:val="20"/>
                <w:szCs w:val="20"/>
              </w:rPr>
              <w:t>Financial Risk Exposure</w:t>
            </w:r>
          </w:p>
        </w:tc>
        <w:tc>
          <w:tcPr>
            <w:tcW w:w="1859" w:type="pct"/>
            <w:shd w:val="clear" w:color="auto" w:fill="F2F2F2" w:themeFill="background1" w:themeFillShade="F2"/>
            <w:hideMark/>
          </w:tcPr>
          <w:p w14:paraId="197D888C" w14:textId="6BA24AD5" w:rsidR="00121874" w:rsidRPr="00B5064E" w:rsidRDefault="00434ED0" w:rsidP="00BA0FEF">
            <w:pPr>
              <w:jc w:val="center"/>
              <w:rPr>
                <w:rFonts w:ascii="Calibri" w:hAnsi="Calibri" w:cs="Calibri"/>
                <w:sz w:val="20"/>
                <w:szCs w:val="20"/>
              </w:rPr>
            </w:pPr>
            <w:r w:rsidRPr="00B5064E">
              <w:rPr>
                <w:rFonts w:ascii="Calibri" w:hAnsi="Calibri" w:cs="Calibri"/>
                <w:sz w:val="20"/>
                <w:szCs w:val="20"/>
              </w:rPr>
              <w:t>Low - moderate</w:t>
            </w:r>
          </w:p>
        </w:tc>
      </w:tr>
      <w:tr w:rsidR="00121874" w:rsidRPr="00B5064E" w14:paraId="35FEF027" w14:textId="77777777" w:rsidTr="007E5903">
        <w:trPr>
          <w:trHeight w:val="38"/>
        </w:trPr>
        <w:tc>
          <w:tcPr>
            <w:tcW w:w="3141" w:type="pct"/>
            <w:hideMark/>
          </w:tcPr>
          <w:p w14:paraId="2EFD6102" w14:textId="77777777" w:rsidR="00121874" w:rsidRPr="00B5064E" w:rsidRDefault="00121874" w:rsidP="00BA0FEF">
            <w:pPr>
              <w:rPr>
                <w:rFonts w:ascii="Calibri" w:hAnsi="Calibri" w:cs="Calibri"/>
                <w:sz w:val="20"/>
                <w:szCs w:val="20"/>
              </w:rPr>
            </w:pPr>
            <w:r w:rsidRPr="00B5064E">
              <w:rPr>
                <w:rFonts w:ascii="Calibri" w:hAnsi="Calibri" w:cs="Calibri"/>
                <w:b/>
                <w:bCs/>
                <w:sz w:val="20"/>
                <w:szCs w:val="20"/>
              </w:rPr>
              <w:t>Residual Risk After Mitigation</w:t>
            </w:r>
          </w:p>
        </w:tc>
        <w:tc>
          <w:tcPr>
            <w:tcW w:w="1859" w:type="pct"/>
            <w:hideMark/>
          </w:tcPr>
          <w:p w14:paraId="497F5C26" w14:textId="77777777" w:rsidR="00121874" w:rsidRPr="00B5064E" w:rsidRDefault="00121874" w:rsidP="00BA0FEF">
            <w:pPr>
              <w:jc w:val="center"/>
              <w:rPr>
                <w:rFonts w:ascii="Calibri" w:hAnsi="Calibri" w:cs="Calibri"/>
                <w:sz w:val="20"/>
                <w:szCs w:val="20"/>
              </w:rPr>
            </w:pPr>
            <w:r w:rsidRPr="00B5064E">
              <w:rPr>
                <w:rFonts w:ascii="Calibri" w:hAnsi="Calibri" w:cs="Calibri"/>
                <w:sz w:val="20"/>
                <w:szCs w:val="20"/>
              </w:rPr>
              <w:t>Manageable within DMO framework</w:t>
            </w:r>
          </w:p>
        </w:tc>
      </w:tr>
    </w:tbl>
    <w:p w14:paraId="5B289C3D" w14:textId="75127CA7" w:rsidR="00452798" w:rsidRPr="00B5064E" w:rsidRDefault="00452798" w:rsidP="00881370">
      <w:pPr>
        <w:pStyle w:val="Heading4"/>
        <w:spacing w:before="120" w:after="120"/>
        <w:rPr>
          <w:rFonts w:ascii="Calibri" w:hAnsi="Calibri" w:cs="Calibri"/>
          <w:b/>
          <w:bCs/>
          <w:sz w:val="24"/>
          <w:szCs w:val="24"/>
        </w:rPr>
      </w:pPr>
      <w:r w:rsidRPr="00B5064E">
        <w:rPr>
          <w:rFonts w:ascii="Calibri" w:hAnsi="Calibri" w:cs="Calibri"/>
          <w:b/>
          <w:bCs/>
          <w:sz w:val="24"/>
          <w:szCs w:val="24"/>
        </w:rPr>
        <w:t>5. Small retailers</w:t>
      </w:r>
    </w:p>
    <w:p w14:paraId="3FFEAD4C" w14:textId="77777777" w:rsidR="00452798" w:rsidRPr="00B5064E" w:rsidRDefault="00452798" w:rsidP="00452798">
      <w:pPr>
        <w:rPr>
          <w:rFonts w:ascii="Calibri" w:hAnsi="Calibri" w:cs="Calibri"/>
          <w:b/>
          <w:bCs/>
        </w:rPr>
      </w:pPr>
      <w:r w:rsidRPr="00B5064E">
        <w:rPr>
          <w:rFonts w:ascii="Calibri" w:hAnsi="Calibri" w:cs="Calibri"/>
          <w:b/>
          <w:bCs/>
        </w:rPr>
        <w:t>Impact magnitude: Moderate (if not exempt)</w:t>
      </w:r>
      <w:r w:rsidRPr="00B5064E">
        <w:rPr>
          <w:rFonts w:ascii="Calibri" w:hAnsi="Calibri" w:cs="Calibri"/>
          <w:b/>
          <w:bCs/>
        </w:rPr>
        <w:br/>
        <w:t>Risk severity: Moderate</w:t>
      </w:r>
    </w:p>
    <w:p w14:paraId="284B0DFC" w14:textId="77777777" w:rsidR="00452798" w:rsidRPr="00B5064E" w:rsidRDefault="00452798" w:rsidP="00452798">
      <w:pPr>
        <w:rPr>
          <w:rFonts w:ascii="Calibri" w:hAnsi="Calibri" w:cs="Calibri"/>
        </w:rPr>
      </w:pPr>
      <w:r w:rsidRPr="00B5064E">
        <w:rPr>
          <w:rFonts w:ascii="Calibri" w:hAnsi="Calibri" w:cs="Calibri"/>
        </w:rPr>
        <w:t>Submissions from smaller retailers emphasised that:</w:t>
      </w:r>
    </w:p>
    <w:p w14:paraId="62643A10" w14:textId="77777777" w:rsidR="00452798" w:rsidRPr="00B5064E" w:rsidRDefault="00452798" w:rsidP="00994E7A">
      <w:pPr>
        <w:numPr>
          <w:ilvl w:val="0"/>
          <w:numId w:val="8"/>
        </w:numPr>
        <w:spacing w:before="120" w:after="120"/>
        <w:ind w:left="714" w:hanging="357"/>
        <w:rPr>
          <w:rFonts w:ascii="Calibri" w:hAnsi="Calibri" w:cs="Calibri"/>
        </w:rPr>
      </w:pPr>
      <w:r w:rsidRPr="00B5064E">
        <w:rPr>
          <w:rFonts w:ascii="Calibri" w:hAnsi="Calibri" w:cs="Calibri"/>
        </w:rPr>
        <w:t>IT and billing reconfiguration costs are material relative to customer base size;</w:t>
      </w:r>
    </w:p>
    <w:p w14:paraId="3A145686" w14:textId="77777777" w:rsidR="00452798" w:rsidRPr="00B5064E" w:rsidRDefault="00452798" w:rsidP="00CF405C">
      <w:pPr>
        <w:numPr>
          <w:ilvl w:val="0"/>
          <w:numId w:val="31"/>
        </w:numPr>
        <w:spacing w:before="120" w:after="120"/>
        <w:ind w:left="714" w:hanging="357"/>
        <w:rPr>
          <w:rFonts w:ascii="Calibri" w:hAnsi="Calibri" w:cs="Calibri"/>
        </w:rPr>
      </w:pPr>
      <w:r w:rsidRPr="00B5064E">
        <w:rPr>
          <w:rFonts w:ascii="Calibri" w:hAnsi="Calibri" w:cs="Calibri"/>
        </w:rPr>
        <w:t>Hedging positions already taken may not reflect SSO assumptions;</w:t>
      </w:r>
    </w:p>
    <w:p w14:paraId="39481CEF" w14:textId="77777777" w:rsidR="00452798" w:rsidRPr="00B5064E" w:rsidRDefault="00452798" w:rsidP="00CF405C">
      <w:pPr>
        <w:numPr>
          <w:ilvl w:val="0"/>
          <w:numId w:val="31"/>
        </w:numPr>
        <w:spacing w:before="120" w:after="120"/>
        <w:ind w:left="714" w:hanging="357"/>
        <w:rPr>
          <w:rFonts w:ascii="Calibri" w:hAnsi="Calibri" w:cs="Calibri"/>
        </w:rPr>
      </w:pPr>
      <w:r w:rsidRPr="00B5064E">
        <w:rPr>
          <w:rFonts w:ascii="Calibri" w:hAnsi="Calibri" w:cs="Calibri"/>
        </w:rPr>
        <w:t>Mandatory implementation without lead time increases financial and operational risk.</w:t>
      </w:r>
    </w:p>
    <w:p w14:paraId="4113A4CB" w14:textId="25C47064" w:rsidR="00121874" w:rsidRPr="00B5064E" w:rsidRDefault="00452798" w:rsidP="00EC7EAB">
      <w:pPr>
        <w:rPr>
          <w:rFonts w:ascii="Calibri" w:hAnsi="Calibri" w:cs="Calibri"/>
        </w:rPr>
      </w:pPr>
      <w:r w:rsidRPr="00B5064E">
        <w:rPr>
          <w:rFonts w:ascii="Calibri" w:hAnsi="Calibri" w:cs="Calibri"/>
        </w:rPr>
        <w:t xml:space="preserve">The proposed exemption for retailers under 1,000 customers mitigates some </w:t>
      </w:r>
      <w:r w:rsidR="00D95A1D" w:rsidRPr="00B5064E">
        <w:rPr>
          <w:rFonts w:ascii="Calibri" w:hAnsi="Calibri" w:cs="Calibri"/>
        </w:rPr>
        <w:t>risk. However</w:t>
      </w:r>
      <w:r w:rsidRPr="00B5064E">
        <w:rPr>
          <w:rFonts w:ascii="Calibri" w:hAnsi="Calibri" w:cs="Calibri"/>
        </w:rPr>
        <w:t>, some submissions suggested a higher threshold or staged rollout.</w:t>
      </w:r>
      <w:r w:rsidR="00EC7EAB" w:rsidRPr="00B5064E">
        <w:rPr>
          <w:rFonts w:ascii="Calibri" w:hAnsi="Calibri" w:cs="Calibri"/>
        </w:rPr>
        <w:t xml:space="preserve"> </w:t>
      </w:r>
      <w:r w:rsidRPr="00B5064E">
        <w:rPr>
          <w:rFonts w:ascii="Calibri" w:hAnsi="Calibri" w:cs="Calibri"/>
        </w:rPr>
        <w:t>The heat map therefore reflects moderated risk due to exemption settings, but implementation timing remains a key variable.</w:t>
      </w:r>
    </w:p>
    <w:p w14:paraId="08615E65" w14:textId="28F45A56" w:rsidR="00EC7EAB" w:rsidRPr="00B5064E" w:rsidRDefault="00EC7EAB" w:rsidP="00881370">
      <w:pPr>
        <w:pStyle w:val="Heading4"/>
        <w:spacing w:before="120" w:after="120"/>
        <w:rPr>
          <w:rFonts w:ascii="Calibri" w:hAnsi="Calibri" w:cs="Calibri"/>
          <w:b/>
          <w:bCs/>
          <w:sz w:val="24"/>
          <w:szCs w:val="24"/>
        </w:rPr>
      </w:pPr>
      <w:r w:rsidRPr="00B5064E">
        <w:rPr>
          <w:rFonts w:ascii="Calibri" w:hAnsi="Calibri" w:cs="Calibri"/>
          <w:b/>
          <w:bCs/>
          <w:sz w:val="24"/>
          <w:szCs w:val="24"/>
        </w:rPr>
        <w:lastRenderedPageBreak/>
        <w:t>6. Distribution Network Service Providers (DNSPs)</w:t>
      </w:r>
    </w:p>
    <w:p w14:paraId="1A6F040A" w14:textId="77777777" w:rsidR="00EC7EAB" w:rsidRPr="00B5064E" w:rsidRDefault="00EC7EAB" w:rsidP="00EC7EAB">
      <w:pPr>
        <w:rPr>
          <w:rFonts w:ascii="Calibri" w:hAnsi="Calibri" w:cs="Calibri"/>
          <w:b/>
          <w:bCs/>
        </w:rPr>
      </w:pPr>
      <w:r w:rsidRPr="00B5064E">
        <w:rPr>
          <w:rFonts w:ascii="Calibri" w:hAnsi="Calibri" w:cs="Calibri"/>
          <w:b/>
          <w:bCs/>
        </w:rPr>
        <w:t>Impact magnitude: Moderate–High (operational impact)</w:t>
      </w:r>
      <w:r w:rsidRPr="00B5064E">
        <w:rPr>
          <w:rFonts w:ascii="Calibri" w:hAnsi="Calibri" w:cs="Calibri"/>
          <w:b/>
          <w:bCs/>
        </w:rPr>
        <w:br/>
        <w:t>Risk severity: Moderate</w:t>
      </w:r>
    </w:p>
    <w:p w14:paraId="7A2B83E5" w14:textId="77777777" w:rsidR="004552B7" w:rsidRPr="00B5064E" w:rsidRDefault="004552B7" w:rsidP="004552B7">
      <w:pPr>
        <w:rPr>
          <w:rFonts w:ascii="Calibri" w:hAnsi="Calibri" w:cs="Calibri"/>
        </w:rPr>
      </w:pPr>
      <w:r w:rsidRPr="00B5064E">
        <w:rPr>
          <w:rFonts w:ascii="Calibri" w:hAnsi="Calibri" w:cs="Calibri"/>
        </w:rPr>
        <w:t>DNSP submissions focused on:</w:t>
      </w:r>
    </w:p>
    <w:p w14:paraId="726FD1C3" w14:textId="77777777" w:rsidR="004552B7" w:rsidRPr="00B5064E" w:rsidRDefault="004552B7" w:rsidP="004552B7">
      <w:pPr>
        <w:rPr>
          <w:rFonts w:ascii="Calibri" w:hAnsi="Calibri" w:cs="Calibri"/>
          <w:b/>
          <w:bCs/>
        </w:rPr>
      </w:pPr>
      <w:r w:rsidRPr="00B5064E">
        <w:rPr>
          <w:rFonts w:ascii="Calibri" w:hAnsi="Calibri" w:cs="Calibri"/>
          <w:b/>
          <w:bCs/>
        </w:rPr>
        <w:t>(a) Local network impacts</w:t>
      </w:r>
    </w:p>
    <w:p w14:paraId="46CF237F" w14:textId="77777777" w:rsidR="004552B7" w:rsidRPr="00B5064E" w:rsidRDefault="004552B7" w:rsidP="00994E7A">
      <w:pPr>
        <w:numPr>
          <w:ilvl w:val="0"/>
          <w:numId w:val="8"/>
        </w:numPr>
        <w:spacing w:before="120" w:after="120"/>
        <w:ind w:left="714" w:hanging="357"/>
        <w:rPr>
          <w:rFonts w:ascii="Calibri" w:hAnsi="Calibri" w:cs="Calibri"/>
        </w:rPr>
      </w:pPr>
      <w:r w:rsidRPr="00B5064E">
        <w:rPr>
          <w:rFonts w:ascii="Calibri" w:hAnsi="Calibri" w:cs="Calibri"/>
        </w:rPr>
        <w:t>Risk of concentrated midday load increases at the feeder or transformer level;</w:t>
      </w:r>
    </w:p>
    <w:p w14:paraId="13918A25" w14:textId="77777777" w:rsidR="004552B7" w:rsidRPr="00B5064E" w:rsidRDefault="004552B7" w:rsidP="00994E7A">
      <w:pPr>
        <w:numPr>
          <w:ilvl w:val="0"/>
          <w:numId w:val="8"/>
        </w:numPr>
        <w:spacing w:before="120" w:after="120"/>
        <w:ind w:left="714" w:hanging="357"/>
        <w:rPr>
          <w:rFonts w:ascii="Calibri" w:hAnsi="Calibri" w:cs="Calibri"/>
        </w:rPr>
      </w:pPr>
      <w:r w:rsidRPr="00B5064E">
        <w:rPr>
          <w:rFonts w:ascii="Calibri" w:hAnsi="Calibri" w:cs="Calibri"/>
        </w:rPr>
        <w:t>Potential voltage or power quality issues;</w:t>
      </w:r>
    </w:p>
    <w:p w14:paraId="516D5A19" w14:textId="77777777" w:rsidR="004552B7" w:rsidRPr="00B5064E" w:rsidRDefault="004552B7" w:rsidP="00994E7A">
      <w:pPr>
        <w:numPr>
          <w:ilvl w:val="0"/>
          <w:numId w:val="8"/>
        </w:numPr>
        <w:spacing w:before="120" w:after="120"/>
        <w:ind w:left="714" w:hanging="357"/>
        <w:rPr>
          <w:rFonts w:ascii="Calibri" w:hAnsi="Calibri" w:cs="Calibri"/>
        </w:rPr>
      </w:pPr>
      <w:r w:rsidRPr="00B5064E">
        <w:rPr>
          <w:rFonts w:ascii="Calibri" w:hAnsi="Calibri" w:cs="Calibri"/>
        </w:rPr>
        <w:t>Possible augmentation requirements if uptake is high and synchronised.</w:t>
      </w:r>
    </w:p>
    <w:p w14:paraId="6B2654CF" w14:textId="77777777" w:rsidR="004552B7" w:rsidRPr="00B5064E" w:rsidRDefault="004552B7" w:rsidP="004552B7">
      <w:pPr>
        <w:rPr>
          <w:rFonts w:ascii="Calibri" w:hAnsi="Calibri" w:cs="Calibri"/>
        </w:rPr>
      </w:pPr>
      <w:r w:rsidRPr="00B5064E">
        <w:rPr>
          <w:rFonts w:ascii="Calibri" w:hAnsi="Calibri" w:cs="Calibri"/>
        </w:rPr>
        <w:t>Networks emphasised that very low wholesale prices do not automatically equate to zero network costs, and that network tariffs must align with the SSO design to avoid cost distortions.</w:t>
      </w:r>
    </w:p>
    <w:p w14:paraId="38908056" w14:textId="77777777" w:rsidR="004552B7" w:rsidRPr="00B5064E" w:rsidRDefault="004552B7" w:rsidP="004552B7">
      <w:pPr>
        <w:rPr>
          <w:rFonts w:ascii="Calibri" w:hAnsi="Calibri" w:cs="Calibri"/>
          <w:b/>
          <w:bCs/>
        </w:rPr>
      </w:pPr>
      <w:r w:rsidRPr="00B5064E">
        <w:rPr>
          <w:rFonts w:ascii="Calibri" w:hAnsi="Calibri" w:cs="Calibri"/>
          <w:b/>
          <w:bCs/>
        </w:rPr>
        <w:t>(b) Tariff alignment</w:t>
      </w:r>
    </w:p>
    <w:p w14:paraId="1A9835E4" w14:textId="77777777" w:rsidR="004552B7" w:rsidRPr="00B5064E" w:rsidRDefault="004552B7" w:rsidP="004552B7">
      <w:pPr>
        <w:rPr>
          <w:rFonts w:ascii="Calibri" w:hAnsi="Calibri" w:cs="Calibri"/>
        </w:rPr>
      </w:pPr>
      <w:r w:rsidRPr="00B5064E">
        <w:rPr>
          <w:rFonts w:ascii="Calibri" w:hAnsi="Calibri" w:cs="Calibri"/>
        </w:rPr>
        <w:t>Submissions recommended aligning the free-power period with existing network off-peak structures to reduce mispricing risk.</w:t>
      </w:r>
    </w:p>
    <w:p w14:paraId="5C582CB7" w14:textId="77777777" w:rsidR="004552B7" w:rsidRPr="00B5064E" w:rsidRDefault="004552B7" w:rsidP="004552B7">
      <w:pPr>
        <w:rPr>
          <w:rFonts w:ascii="Calibri" w:hAnsi="Calibri" w:cs="Calibri"/>
        </w:rPr>
      </w:pPr>
      <w:r w:rsidRPr="00B5064E">
        <w:rPr>
          <w:rFonts w:ascii="Calibri" w:hAnsi="Calibri" w:cs="Calibri"/>
        </w:rPr>
        <w:t>These issues support a moderate-to-high operational impact rating, mitigated by:</w:t>
      </w:r>
    </w:p>
    <w:p w14:paraId="3DB84DDC" w14:textId="77777777" w:rsidR="004552B7" w:rsidRPr="00B5064E" w:rsidRDefault="004552B7" w:rsidP="00994E7A">
      <w:pPr>
        <w:numPr>
          <w:ilvl w:val="0"/>
          <w:numId w:val="8"/>
        </w:numPr>
        <w:spacing w:before="120" w:after="120"/>
        <w:ind w:left="714" w:hanging="357"/>
        <w:rPr>
          <w:rFonts w:ascii="Calibri" w:hAnsi="Calibri" w:cs="Calibri"/>
        </w:rPr>
      </w:pPr>
      <w:r w:rsidRPr="00B5064E">
        <w:rPr>
          <w:rFonts w:ascii="Calibri" w:hAnsi="Calibri" w:cs="Calibri"/>
        </w:rPr>
        <w:t>DNSP-specific free window determination;</w:t>
      </w:r>
    </w:p>
    <w:p w14:paraId="628FC18B" w14:textId="77777777" w:rsidR="004552B7" w:rsidRPr="00B5064E" w:rsidRDefault="004552B7" w:rsidP="00994E7A">
      <w:pPr>
        <w:numPr>
          <w:ilvl w:val="0"/>
          <w:numId w:val="8"/>
        </w:numPr>
        <w:spacing w:before="120" w:after="120"/>
        <w:ind w:left="714" w:hanging="357"/>
        <w:rPr>
          <w:rFonts w:ascii="Calibri" w:hAnsi="Calibri" w:cs="Calibri"/>
        </w:rPr>
      </w:pPr>
      <w:r w:rsidRPr="00B5064E">
        <w:rPr>
          <w:rFonts w:ascii="Calibri" w:hAnsi="Calibri" w:cs="Calibri"/>
        </w:rPr>
        <w:t>Reasonable use cap;</w:t>
      </w:r>
    </w:p>
    <w:p w14:paraId="4000DC6B" w14:textId="77777777" w:rsidR="004552B7" w:rsidRPr="00B5064E" w:rsidRDefault="004552B7" w:rsidP="00994E7A">
      <w:pPr>
        <w:numPr>
          <w:ilvl w:val="0"/>
          <w:numId w:val="8"/>
        </w:numPr>
        <w:spacing w:before="120" w:after="120"/>
        <w:ind w:left="714" w:hanging="357"/>
        <w:rPr>
          <w:rFonts w:ascii="Calibri" w:hAnsi="Calibri" w:cs="Calibri"/>
        </w:rPr>
      </w:pPr>
      <w:r w:rsidRPr="00B5064E">
        <w:rPr>
          <w:rFonts w:ascii="Calibri" w:hAnsi="Calibri" w:cs="Calibri"/>
        </w:rPr>
        <w:t>Ongoing monitoring and adaptability</w:t>
      </w:r>
    </w:p>
    <w:p w14:paraId="05F89EDE" w14:textId="77777777" w:rsidR="00A57E48" w:rsidRPr="00B5064E" w:rsidRDefault="00A57E48" w:rsidP="00881370">
      <w:pPr>
        <w:pStyle w:val="Heading4"/>
        <w:spacing w:before="120" w:after="120"/>
        <w:rPr>
          <w:rFonts w:ascii="Calibri" w:hAnsi="Calibri" w:cs="Calibri"/>
          <w:b/>
          <w:bCs/>
          <w:sz w:val="24"/>
          <w:szCs w:val="24"/>
        </w:rPr>
      </w:pPr>
      <w:r w:rsidRPr="00B5064E">
        <w:rPr>
          <w:rFonts w:ascii="Calibri" w:hAnsi="Calibri" w:cs="Calibri"/>
          <w:b/>
          <w:bCs/>
          <w:sz w:val="24"/>
          <w:szCs w:val="24"/>
        </w:rPr>
        <w:t>7. Wholesale market participants and generators</w:t>
      </w:r>
    </w:p>
    <w:p w14:paraId="2DF35F2D" w14:textId="77777777" w:rsidR="00A57E48" w:rsidRPr="00B5064E" w:rsidRDefault="00A57E48" w:rsidP="00A57E48">
      <w:pPr>
        <w:rPr>
          <w:rFonts w:ascii="Calibri" w:hAnsi="Calibri" w:cs="Calibri"/>
          <w:b/>
          <w:bCs/>
        </w:rPr>
      </w:pPr>
      <w:r w:rsidRPr="00B5064E">
        <w:rPr>
          <w:rFonts w:ascii="Calibri" w:hAnsi="Calibri" w:cs="Calibri"/>
          <w:b/>
          <w:bCs/>
        </w:rPr>
        <w:t>Impact magnitude: Moderate</w:t>
      </w:r>
      <w:r w:rsidRPr="00B5064E">
        <w:rPr>
          <w:rFonts w:ascii="Calibri" w:hAnsi="Calibri" w:cs="Calibri"/>
          <w:b/>
          <w:bCs/>
        </w:rPr>
        <w:br/>
        <w:t>Risk severity: Moderate (investment signal risk)</w:t>
      </w:r>
    </w:p>
    <w:p w14:paraId="6C97017C" w14:textId="77777777" w:rsidR="00A57E48" w:rsidRPr="00B5064E" w:rsidRDefault="00A57E48" w:rsidP="00A57E48">
      <w:pPr>
        <w:rPr>
          <w:rFonts w:ascii="Calibri" w:hAnsi="Calibri" w:cs="Calibri"/>
        </w:rPr>
      </w:pPr>
      <w:r w:rsidRPr="00B5064E">
        <w:rPr>
          <w:rFonts w:ascii="Calibri" w:hAnsi="Calibri" w:cs="Calibri"/>
        </w:rPr>
        <w:t>Some submissions raised concerns that:</w:t>
      </w:r>
    </w:p>
    <w:p w14:paraId="7820DE77" w14:textId="77777777" w:rsidR="00A57E48" w:rsidRPr="00B5064E" w:rsidRDefault="00A57E48" w:rsidP="00994E7A">
      <w:pPr>
        <w:numPr>
          <w:ilvl w:val="0"/>
          <w:numId w:val="8"/>
        </w:numPr>
        <w:spacing w:before="120" w:after="120"/>
        <w:ind w:left="714" w:hanging="357"/>
        <w:rPr>
          <w:rFonts w:ascii="Calibri" w:hAnsi="Calibri" w:cs="Calibri"/>
        </w:rPr>
      </w:pPr>
      <w:r w:rsidRPr="00B5064E">
        <w:rPr>
          <w:rFonts w:ascii="Calibri" w:hAnsi="Calibri" w:cs="Calibri"/>
        </w:rPr>
        <w:t>A mandated zero-price retail window could suppress intraday price variability;</w:t>
      </w:r>
    </w:p>
    <w:p w14:paraId="20037524" w14:textId="77777777" w:rsidR="00A57E48" w:rsidRPr="00B5064E" w:rsidRDefault="00A57E48" w:rsidP="00994E7A">
      <w:pPr>
        <w:numPr>
          <w:ilvl w:val="0"/>
          <w:numId w:val="8"/>
        </w:numPr>
        <w:spacing w:before="120" w:after="120"/>
        <w:ind w:left="714" w:hanging="357"/>
        <w:rPr>
          <w:rFonts w:ascii="Calibri" w:hAnsi="Calibri" w:cs="Calibri"/>
        </w:rPr>
      </w:pPr>
      <w:r w:rsidRPr="00B5064E">
        <w:rPr>
          <w:rFonts w:ascii="Calibri" w:hAnsi="Calibri" w:cs="Calibri"/>
        </w:rPr>
        <w:t>Investment signals for storage and flexible generation may be dampened;</w:t>
      </w:r>
    </w:p>
    <w:p w14:paraId="64A26256" w14:textId="77777777" w:rsidR="00A57E48" w:rsidRPr="00B5064E" w:rsidRDefault="00A57E48" w:rsidP="00994E7A">
      <w:pPr>
        <w:numPr>
          <w:ilvl w:val="0"/>
          <w:numId w:val="8"/>
        </w:numPr>
        <w:spacing w:before="120" w:after="120"/>
        <w:ind w:left="714" w:hanging="357"/>
        <w:rPr>
          <w:rFonts w:ascii="Calibri" w:hAnsi="Calibri" w:cs="Calibri"/>
        </w:rPr>
      </w:pPr>
      <w:r w:rsidRPr="00B5064E">
        <w:rPr>
          <w:rFonts w:ascii="Calibri" w:hAnsi="Calibri" w:cs="Calibri"/>
        </w:rPr>
        <w:t>Midday price formation may be distorted;</w:t>
      </w:r>
    </w:p>
    <w:p w14:paraId="1E6A8B15" w14:textId="169170D5" w:rsidR="00A57E48" w:rsidRPr="00B5064E" w:rsidRDefault="00A57E48" w:rsidP="00994E7A">
      <w:pPr>
        <w:numPr>
          <w:ilvl w:val="0"/>
          <w:numId w:val="8"/>
        </w:numPr>
        <w:spacing w:before="120" w:after="120"/>
        <w:ind w:left="714" w:hanging="357"/>
        <w:rPr>
          <w:rFonts w:ascii="Calibri" w:hAnsi="Calibri" w:cs="Calibri"/>
        </w:rPr>
      </w:pPr>
      <w:r w:rsidRPr="00B5064E">
        <w:rPr>
          <w:rFonts w:ascii="Calibri" w:hAnsi="Calibri" w:cs="Calibri"/>
        </w:rPr>
        <w:t>The SSO may interact with broader decarbonisation investment dynamics.</w:t>
      </w:r>
    </w:p>
    <w:p w14:paraId="786675A0" w14:textId="77777777" w:rsidR="00A57E48" w:rsidRPr="00B5064E" w:rsidRDefault="00A57E48" w:rsidP="00A57E48">
      <w:pPr>
        <w:rPr>
          <w:rFonts w:ascii="Calibri" w:hAnsi="Calibri" w:cs="Calibri"/>
        </w:rPr>
      </w:pPr>
      <w:r w:rsidRPr="00B5064E">
        <w:rPr>
          <w:rFonts w:ascii="Calibri" w:hAnsi="Calibri" w:cs="Calibri"/>
        </w:rPr>
        <w:t>Other submissions noted that existing battery uptake and storage investment are already addressing minimum demand challenges, questioning the incremental benefit of regulation.</w:t>
      </w:r>
    </w:p>
    <w:p w14:paraId="0DBB6288" w14:textId="77777777" w:rsidR="00A57E48" w:rsidRPr="00B5064E" w:rsidRDefault="00A57E48" w:rsidP="00A57E48">
      <w:pPr>
        <w:rPr>
          <w:rFonts w:ascii="Calibri" w:hAnsi="Calibri" w:cs="Calibri"/>
        </w:rPr>
      </w:pPr>
      <w:r w:rsidRPr="00B5064E">
        <w:rPr>
          <w:rFonts w:ascii="Calibri" w:hAnsi="Calibri" w:cs="Calibri"/>
        </w:rPr>
        <w:t>These issues suggest moderate system-level impact, but the limited duration (3 hours), load cap, and DMO anchoring reduce systemic risk relative to broader structural reforms.</w:t>
      </w:r>
    </w:p>
    <w:p w14:paraId="056350BE" w14:textId="720BFF8B" w:rsidR="00874D1E" w:rsidRPr="00B5064E" w:rsidRDefault="0059355E" w:rsidP="00881370">
      <w:pPr>
        <w:pStyle w:val="Heading4"/>
        <w:spacing w:before="120" w:after="120"/>
        <w:rPr>
          <w:rFonts w:ascii="Calibri" w:hAnsi="Calibri" w:cs="Calibri"/>
          <w:b/>
          <w:bCs/>
          <w:sz w:val="24"/>
          <w:szCs w:val="24"/>
        </w:rPr>
      </w:pPr>
      <w:r w:rsidRPr="00B5064E">
        <w:rPr>
          <w:rFonts w:ascii="Calibri" w:hAnsi="Calibri" w:cs="Calibri"/>
          <w:b/>
          <w:bCs/>
          <w:sz w:val="24"/>
          <w:szCs w:val="24"/>
        </w:rPr>
        <w:t>8</w:t>
      </w:r>
      <w:r w:rsidR="00874D1E" w:rsidRPr="00B5064E">
        <w:rPr>
          <w:rFonts w:ascii="Calibri" w:hAnsi="Calibri" w:cs="Calibri"/>
          <w:b/>
          <w:bCs/>
          <w:sz w:val="24"/>
          <w:szCs w:val="24"/>
        </w:rPr>
        <w:t>. Government and regulators</w:t>
      </w:r>
    </w:p>
    <w:p w14:paraId="4E1D41E5" w14:textId="77777777" w:rsidR="00874D1E" w:rsidRPr="00B5064E" w:rsidRDefault="00874D1E" w:rsidP="00874D1E">
      <w:pPr>
        <w:rPr>
          <w:rFonts w:ascii="Calibri" w:hAnsi="Calibri" w:cs="Calibri"/>
          <w:b/>
          <w:bCs/>
        </w:rPr>
      </w:pPr>
      <w:r w:rsidRPr="00B5064E">
        <w:rPr>
          <w:rFonts w:ascii="Calibri" w:hAnsi="Calibri" w:cs="Calibri"/>
          <w:b/>
          <w:bCs/>
        </w:rPr>
        <w:t>Impact magnitude: Moderate</w:t>
      </w:r>
      <w:r w:rsidRPr="00B5064E">
        <w:rPr>
          <w:rFonts w:ascii="Calibri" w:hAnsi="Calibri" w:cs="Calibri"/>
          <w:b/>
          <w:bCs/>
        </w:rPr>
        <w:br/>
        <w:t>Risk severity: Low–Moderate (policy delivery risk)</w:t>
      </w:r>
    </w:p>
    <w:p w14:paraId="6BEA3194" w14:textId="77777777" w:rsidR="00874D1E" w:rsidRPr="00B5064E" w:rsidRDefault="00874D1E" w:rsidP="00874D1E">
      <w:pPr>
        <w:rPr>
          <w:rFonts w:ascii="Calibri" w:hAnsi="Calibri" w:cs="Calibri"/>
        </w:rPr>
      </w:pPr>
      <w:r w:rsidRPr="00B5064E">
        <w:rPr>
          <w:rFonts w:ascii="Calibri" w:hAnsi="Calibri" w:cs="Calibri"/>
        </w:rPr>
        <w:t>Government and regulators will need to:</w:t>
      </w:r>
    </w:p>
    <w:p w14:paraId="67C15580" w14:textId="77777777" w:rsidR="00874D1E" w:rsidRPr="00B5064E" w:rsidRDefault="00874D1E" w:rsidP="00994E7A">
      <w:pPr>
        <w:numPr>
          <w:ilvl w:val="0"/>
          <w:numId w:val="8"/>
        </w:numPr>
        <w:spacing w:before="120" w:after="120"/>
        <w:ind w:left="714" w:hanging="357"/>
        <w:rPr>
          <w:rFonts w:ascii="Calibri" w:hAnsi="Calibri" w:cs="Calibri"/>
        </w:rPr>
      </w:pPr>
      <w:r w:rsidRPr="00B5064E">
        <w:rPr>
          <w:rFonts w:ascii="Calibri" w:hAnsi="Calibri" w:cs="Calibri"/>
        </w:rPr>
        <w:t>Develop modelling methodologies for representative SSO load profiles;</w:t>
      </w:r>
    </w:p>
    <w:p w14:paraId="7EF9F8B2" w14:textId="77777777" w:rsidR="00874D1E" w:rsidRPr="00B5064E" w:rsidRDefault="00874D1E" w:rsidP="00994E7A">
      <w:pPr>
        <w:numPr>
          <w:ilvl w:val="0"/>
          <w:numId w:val="8"/>
        </w:numPr>
        <w:spacing w:before="120" w:after="120"/>
        <w:ind w:left="714" w:hanging="357"/>
        <w:rPr>
          <w:rFonts w:ascii="Calibri" w:hAnsi="Calibri" w:cs="Calibri"/>
        </w:rPr>
      </w:pPr>
      <w:r w:rsidRPr="00B5064E">
        <w:rPr>
          <w:rFonts w:ascii="Calibri" w:hAnsi="Calibri" w:cs="Calibri"/>
        </w:rPr>
        <w:lastRenderedPageBreak/>
        <w:t>Calibrate cost recovery under DMO;</w:t>
      </w:r>
    </w:p>
    <w:p w14:paraId="56C6C5C4" w14:textId="77777777" w:rsidR="00874D1E" w:rsidRPr="00B5064E" w:rsidRDefault="00874D1E" w:rsidP="00994E7A">
      <w:pPr>
        <w:numPr>
          <w:ilvl w:val="0"/>
          <w:numId w:val="8"/>
        </w:numPr>
        <w:spacing w:before="120" w:after="120"/>
        <w:ind w:left="714" w:hanging="357"/>
        <w:rPr>
          <w:rFonts w:ascii="Calibri" w:hAnsi="Calibri" w:cs="Calibri"/>
        </w:rPr>
      </w:pPr>
      <w:r w:rsidRPr="00B5064E">
        <w:rPr>
          <w:rFonts w:ascii="Calibri" w:hAnsi="Calibri" w:cs="Calibri"/>
        </w:rPr>
        <w:t>Monitor equity and bill outcomes;</w:t>
      </w:r>
    </w:p>
    <w:p w14:paraId="12B0B043" w14:textId="068A912D" w:rsidR="00874D1E" w:rsidRPr="00B5064E" w:rsidRDefault="00874D1E" w:rsidP="00994E7A">
      <w:pPr>
        <w:numPr>
          <w:ilvl w:val="0"/>
          <w:numId w:val="8"/>
        </w:numPr>
        <w:spacing w:before="120" w:after="120"/>
        <w:ind w:left="714" w:hanging="357"/>
        <w:rPr>
          <w:rFonts w:ascii="Calibri" w:hAnsi="Calibri" w:cs="Calibri"/>
        </w:rPr>
      </w:pPr>
      <w:r w:rsidRPr="00B5064E">
        <w:rPr>
          <w:rFonts w:ascii="Calibri" w:hAnsi="Calibri" w:cs="Calibri"/>
        </w:rPr>
        <w:t xml:space="preserve">Undertake post-implementation review within two years </w:t>
      </w:r>
    </w:p>
    <w:p w14:paraId="0B2B8514" w14:textId="7E7D8438" w:rsidR="00EC7EAB" w:rsidRPr="00B5064E" w:rsidRDefault="00874D1E" w:rsidP="00EC7EAB">
      <w:pPr>
        <w:rPr>
          <w:rFonts w:ascii="Calibri" w:hAnsi="Calibri" w:cs="Calibri"/>
        </w:rPr>
        <w:sectPr w:rsidR="00EC7EAB" w:rsidRPr="00B5064E" w:rsidSect="00C065F3">
          <w:pgSz w:w="11906" w:h="16838"/>
          <w:pgMar w:top="1440" w:right="1440" w:bottom="1440" w:left="1440" w:header="708" w:footer="708" w:gutter="0"/>
          <w:cols w:space="708"/>
          <w:titlePg/>
          <w:docGrid w:linePitch="360"/>
        </w:sectPr>
      </w:pPr>
      <w:r w:rsidRPr="00B5064E">
        <w:rPr>
          <w:rFonts w:ascii="Calibri" w:hAnsi="Calibri" w:cs="Calibri"/>
        </w:rPr>
        <w:t>Submissions stressed that inadequate modelling or rushed timelines may undermine policy credibility and consumer trust. Accordingly, regulatory design and sequencing are central to risk mitigation.</w:t>
      </w:r>
    </w:p>
    <w:p w14:paraId="797BB685" w14:textId="77777777" w:rsidR="00436A72" w:rsidRPr="00B5064E" w:rsidRDefault="00770A24" w:rsidP="006F688B">
      <w:pPr>
        <w:pStyle w:val="Heading1"/>
        <w:spacing w:before="160" w:after="120"/>
        <w:rPr>
          <w:rFonts w:ascii="Calibri" w:hAnsi="Calibri" w:cs="Calibri"/>
          <w:b/>
          <w:bCs/>
        </w:rPr>
      </w:pPr>
      <w:bookmarkStart w:id="56" w:name="_Toc222842803"/>
      <w:r w:rsidRPr="00B5064E">
        <w:rPr>
          <w:rFonts w:ascii="Calibri" w:hAnsi="Calibri" w:cs="Calibri"/>
          <w:b/>
          <w:bCs/>
        </w:rPr>
        <w:lastRenderedPageBreak/>
        <w:t>Consultation</w:t>
      </w:r>
      <w:bookmarkEnd w:id="56"/>
    </w:p>
    <w:p w14:paraId="7F406505" w14:textId="1AD90E94" w:rsidR="00DE78B0" w:rsidRPr="00B5064E" w:rsidRDefault="00DE78B0" w:rsidP="006F688B">
      <w:pPr>
        <w:pStyle w:val="Heading2"/>
        <w:rPr>
          <w:rFonts w:ascii="Calibri" w:hAnsi="Calibri" w:cs="Calibri"/>
        </w:rPr>
      </w:pPr>
      <w:bookmarkStart w:id="57" w:name="_Toc222842804"/>
      <w:r w:rsidRPr="00B5064E">
        <w:rPr>
          <w:rFonts w:ascii="Calibri" w:hAnsi="Calibri" w:cs="Calibri"/>
        </w:rPr>
        <w:t>Purpose and Objectives of Consultation</w:t>
      </w:r>
      <w:bookmarkEnd w:id="57"/>
      <w:r w:rsidRPr="00B5064E">
        <w:rPr>
          <w:rFonts w:ascii="Calibri" w:hAnsi="Calibri" w:cs="Calibri"/>
        </w:rPr>
        <w:t xml:space="preserve"> </w:t>
      </w:r>
    </w:p>
    <w:p w14:paraId="5E37F3E9" w14:textId="51B66CEC" w:rsidR="00DE78B0" w:rsidRPr="00B5064E" w:rsidRDefault="00DE78B0" w:rsidP="00DE78B0">
      <w:pPr>
        <w:rPr>
          <w:rFonts w:ascii="Calibri" w:hAnsi="Calibri" w:cs="Calibri"/>
        </w:rPr>
      </w:pPr>
      <w:r w:rsidRPr="00B5064E">
        <w:rPr>
          <w:rFonts w:ascii="Calibri" w:hAnsi="Calibri" w:cs="Calibri"/>
        </w:rPr>
        <w:t xml:space="preserve">The Department undertook targeted public consultation on the proposed SSO through the release of the </w:t>
      </w:r>
      <w:r w:rsidR="001B6BB8" w:rsidRPr="00B5064E">
        <w:rPr>
          <w:rFonts w:ascii="Calibri" w:hAnsi="Calibri" w:cs="Calibri"/>
        </w:rPr>
        <w:t>SSO</w:t>
      </w:r>
      <w:r w:rsidRPr="00B5064E">
        <w:rPr>
          <w:rFonts w:ascii="Calibri" w:hAnsi="Calibri" w:cs="Calibri"/>
        </w:rPr>
        <w:t xml:space="preserve"> Consultation Paper 2025–26. Consultation sought evidence and stakeholder views to:</w:t>
      </w:r>
    </w:p>
    <w:p w14:paraId="239526AF" w14:textId="1E5C09BE" w:rsidR="00DE78B0" w:rsidRPr="00B5064E" w:rsidRDefault="00DE78B0" w:rsidP="00994E7A">
      <w:pPr>
        <w:numPr>
          <w:ilvl w:val="0"/>
          <w:numId w:val="8"/>
        </w:numPr>
        <w:spacing w:before="120" w:after="120"/>
        <w:ind w:left="714" w:hanging="357"/>
        <w:rPr>
          <w:rFonts w:ascii="Calibri" w:hAnsi="Calibri" w:cs="Calibri"/>
        </w:rPr>
      </w:pPr>
      <w:r w:rsidRPr="00B5064E">
        <w:rPr>
          <w:rFonts w:ascii="Calibri" w:hAnsi="Calibri" w:cs="Calibri"/>
        </w:rPr>
        <w:t>Test the case for regulatory intervention</w:t>
      </w:r>
      <w:r w:rsidR="003D19F3" w:rsidRPr="00B5064E">
        <w:rPr>
          <w:rFonts w:ascii="Calibri" w:hAnsi="Calibri" w:cs="Calibri"/>
        </w:rPr>
        <w:t>;</w:t>
      </w:r>
    </w:p>
    <w:p w14:paraId="2BF9D6C6" w14:textId="77777777" w:rsidR="00DE78B0" w:rsidRPr="00B5064E" w:rsidRDefault="00DE78B0" w:rsidP="00994E7A">
      <w:pPr>
        <w:numPr>
          <w:ilvl w:val="0"/>
          <w:numId w:val="8"/>
        </w:numPr>
        <w:spacing w:before="120" w:after="120"/>
        <w:ind w:left="714" w:hanging="357"/>
        <w:rPr>
          <w:rFonts w:ascii="Calibri" w:hAnsi="Calibri" w:cs="Calibri"/>
        </w:rPr>
      </w:pPr>
      <w:r w:rsidRPr="00B5064E">
        <w:rPr>
          <w:rFonts w:ascii="Calibri" w:hAnsi="Calibri" w:cs="Calibri"/>
        </w:rPr>
        <w:t>Refine the design of a regulated time-of-use standing offer incorporating a daily free-power period;</w:t>
      </w:r>
    </w:p>
    <w:p w14:paraId="2AB1438C" w14:textId="77777777" w:rsidR="00DE78B0" w:rsidRPr="00B5064E" w:rsidRDefault="00DE78B0" w:rsidP="00994E7A">
      <w:pPr>
        <w:numPr>
          <w:ilvl w:val="0"/>
          <w:numId w:val="8"/>
        </w:numPr>
        <w:spacing w:before="120" w:after="120"/>
        <w:ind w:left="714" w:hanging="357"/>
        <w:rPr>
          <w:rFonts w:ascii="Calibri" w:hAnsi="Calibri" w:cs="Calibri"/>
        </w:rPr>
      </w:pPr>
      <w:r w:rsidRPr="00B5064E">
        <w:rPr>
          <w:rFonts w:ascii="Calibri" w:hAnsi="Calibri" w:cs="Calibri"/>
        </w:rPr>
        <w:t>Assess equity, affordability and consumer protection impacts;</w:t>
      </w:r>
    </w:p>
    <w:p w14:paraId="6D790EA0" w14:textId="77777777" w:rsidR="00DE78B0" w:rsidRPr="00B5064E" w:rsidRDefault="00DE78B0" w:rsidP="00994E7A">
      <w:pPr>
        <w:numPr>
          <w:ilvl w:val="0"/>
          <w:numId w:val="8"/>
        </w:numPr>
        <w:spacing w:before="120" w:after="120"/>
        <w:ind w:left="714" w:hanging="357"/>
        <w:rPr>
          <w:rFonts w:ascii="Calibri" w:hAnsi="Calibri" w:cs="Calibri"/>
        </w:rPr>
      </w:pPr>
      <w:r w:rsidRPr="00B5064E">
        <w:rPr>
          <w:rFonts w:ascii="Calibri" w:hAnsi="Calibri" w:cs="Calibri"/>
        </w:rPr>
        <w:t>Examine network alignment, cost recovery and retailer viability issues; and</w:t>
      </w:r>
    </w:p>
    <w:p w14:paraId="5832F5E0" w14:textId="77777777" w:rsidR="00DE78B0" w:rsidRPr="00B5064E" w:rsidRDefault="00DE78B0" w:rsidP="00994E7A">
      <w:pPr>
        <w:numPr>
          <w:ilvl w:val="0"/>
          <w:numId w:val="8"/>
        </w:numPr>
        <w:spacing w:before="120" w:after="120"/>
        <w:ind w:left="714" w:hanging="357"/>
        <w:rPr>
          <w:rFonts w:ascii="Calibri" w:hAnsi="Calibri" w:cs="Calibri"/>
        </w:rPr>
      </w:pPr>
      <w:r w:rsidRPr="00B5064E">
        <w:rPr>
          <w:rFonts w:ascii="Calibri" w:hAnsi="Calibri" w:cs="Calibri"/>
        </w:rPr>
        <w:t>Inform implementation timing, monitoring and review arrangements.</w:t>
      </w:r>
    </w:p>
    <w:p w14:paraId="360F85FE" w14:textId="37398CBB" w:rsidR="00DE78B0" w:rsidRPr="00B5064E" w:rsidRDefault="00DE78B0" w:rsidP="00DE78B0">
      <w:pPr>
        <w:rPr>
          <w:rFonts w:ascii="Calibri" w:hAnsi="Calibri" w:cs="Calibri"/>
        </w:rPr>
      </w:pPr>
      <w:r w:rsidRPr="00B5064E">
        <w:rPr>
          <w:rFonts w:ascii="Calibri" w:hAnsi="Calibri" w:cs="Calibri"/>
        </w:rPr>
        <w:t>Consultation occurred in parallel with reforms to the DMO framework to ensure regulatory coherence and consistency across jurisdictions.</w:t>
      </w:r>
    </w:p>
    <w:p w14:paraId="38389CD4" w14:textId="368440DC" w:rsidR="0016281C" w:rsidRPr="00B5064E" w:rsidRDefault="00DE78B0" w:rsidP="00DE78B0">
      <w:pPr>
        <w:rPr>
          <w:rFonts w:ascii="Calibri" w:hAnsi="Calibri" w:cs="Calibri"/>
        </w:rPr>
      </w:pPr>
      <w:r w:rsidRPr="00B5064E">
        <w:rPr>
          <w:rFonts w:ascii="Calibri" w:hAnsi="Calibri" w:cs="Calibri"/>
        </w:rPr>
        <w:t xml:space="preserve">Seventy-six submissions were received from retailers (large and small), DNSPs, consumer and community organisations, academics, individuals and a state government agency. Bilateral discussions were also conducted to clarify </w:t>
      </w:r>
      <w:r w:rsidR="00EE5290" w:rsidRPr="00B5064E">
        <w:rPr>
          <w:rFonts w:ascii="Calibri" w:hAnsi="Calibri" w:cs="Calibri"/>
        </w:rPr>
        <w:t>analysis,</w:t>
      </w:r>
      <w:r w:rsidR="00AD30C8" w:rsidRPr="00B5064E">
        <w:rPr>
          <w:rFonts w:ascii="Calibri" w:hAnsi="Calibri" w:cs="Calibri"/>
        </w:rPr>
        <w:t xml:space="preserve"> </w:t>
      </w:r>
      <w:r w:rsidRPr="00B5064E">
        <w:rPr>
          <w:rFonts w:ascii="Calibri" w:hAnsi="Calibri" w:cs="Calibri"/>
        </w:rPr>
        <w:t>cost-recovery approaches, and operational impacts.</w:t>
      </w:r>
    </w:p>
    <w:p w14:paraId="7D44F7D1" w14:textId="60AAFFF2" w:rsidR="00AA6706" w:rsidRPr="00B5064E" w:rsidRDefault="00C411B4" w:rsidP="0016281C">
      <w:pPr>
        <w:rPr>
          <w:rFonts w:ascii="Calibri" w:eastAsia="Times New Roman" w:hAnsi="Calibri" w:cs="Calibri"/>
          <w:kern w:val="0"/>
          <w:lang w:eastAsia="en-AU"/>
          <w14:ligatures w14:val="none"/>
        </w:rPr>
      </w:pPr>
      <w:r w:rsidRPr="00B5064E">
        <w:rPr>
          <w:rFonts w:ascii="Calibri" w:eastAsia="Times New Roman" w:hAnsi="Calibri" w:cs="Calibri"/>
          <w:kern w:val="0"/>
          <w:lang w:eastAsia="en-AU"/>
          <w14:ligatures w14:val="none"/>
        </w:rPr>
        <w:t>Consultation confirmed that the objectives of improving access to midday renewable abundance and encouraging demand flexibility are broadly understood across the sector. However, stakeholders expressed divergent views on the appropriate mechanism to achieve these objectives and the degree of regulatory prescription required</w:t>
      </w:r>
      <w:r w:rsidR="002C7042" w:rsidRPr="00B5064E">
        <w:rPr>
          <w:rFonts w:ascii="Calibri" w:eastAsia="Times New Roman" w:hAnsi="Calibri" w:cs="Calibri"/>
          <w:kern w:val="0"/>
          <w:lang w:eastAsia="en-AU"/>
          <w14:ligatures w14:val="none"/>
        </w:rPr>
        <w:t xml:space="preserve">. </w:t>
      </w:r>
    </w:p>
    <w:p w14:paraId="13E159AA" w14:textId="13F808B2" w:rsidR="002C7042" w:rsidRPr="00B5064E" w:rsidRDefault="00DE78B0" w:rsidP="00881370">
      <w:pPr>
        <w:pStyle w:val="Heading3"/>
        <w:spacing w:after="120"/>
        <w:rPr>
          <w:rFonts w:ascii="Calibri" w:hAnsi="Calibri" w:cs="Calibri"/>
        </w:rPr>
      </w:pPr>
      <w:bookmarkStart w:id="58" w:name="_Toc222842805"/>
      <w:r w:rsidRPr="00B5064E">
        <w:rPr>
          <w:rFonts w:ascii="Calibri" w:hAnsi="Calibri" w:cs="Calibri"/>
        </w:rPr>
        <w:t>Principle Views of Stakeholders</w:t>
      </w:r>
      <w:bookmarkEnd w:id="58"/>
    </w:p>
    <w:p w14:paraId="488D73E5" w14:textId="77777777" w:rsidR="00DE78B0" w:rsidRPr="00B5064E" w:rsidRDefault="00DE78B0" w:rsidP="00CF405C">
      <w:pPr>
        <w:pStyle w:val="ListParagraph"/>
        <w:numPr>
          <w:ilvl w:val="0"/>
          <w:numId w:val="13"/>
        </w:numPr>
        <w:spacing w:before="120" w:after="120"/>
        <w:ind w:left="714" w:hanging="357"/>
        <w:contextualSpacing w:val="0"/>
        <w:rPr>
          <w:rFonts w:ascii="Calibri" w:hAnsi="Calibri" w:cs="Calibri"/>
          <w:lang w:eastAsia="en-AU"/>
        </w:rPr>
      </w:pPr>
      <w:r w:rsidRPr="00B5064E">
        <w:rPr>
          <w:rFonts w:ascii="Calibri" w:hAnsi="Calibri" w:cs="Calibri"/>
          <w:b/>
          <w:bCs/>
          <w:lang w:eastAsia="en-AU"/>
        </w:rPr>
        <w:t>Broad support for policy intent</w:t>
      </w:r>
      <w:r w:rsidRPr="00B5064E">
        <w:rPr>
          <w:rFonts w:ascii="Calibri" w:hAnsi="Calibri" w:cs="Calibri"/>
          <w:lang w:eastAsia="en-AU"/>
        </w:rPr>
        <w:br/>
        <w:t>Stakeholders widely supported the objective of enabling households without rooftop solar to share in the benefits of abundant daytime renewable generation and improving system efficiency through demand shifting.</w:t>
      </w:r>
    </w:p>
    <w:p w14:paraId="1D14F464" w14:textId="77777777" w:rsidR="001109B0" w:rsidRPr="00B5064E" w:rsidRDefault="00DE78B0" w:rsidP="00CF405C">
      <w:pPr>
        <w:pStyle w:val="ListParagraph"/>
        <w:numPr>
          <w:ilvl w:val="0"/>
          <w:numId w:val="13"/>
        </w:numPr>
        <w:spacing w:before="120" w:after="120"/>
        <w:ind w:left="714" w:hanging="357"/>
        <w:contextualSpacing w:val="0"/>
        <w:rPr>
          <w:rFonts w:ascii="Calibri" w:hAnsi="Calibri" w:cs="Calibri"/>
          <w:lang w:eastAsia="en-AU"/>
        </w:rPr>
      </w:pPr>
      <w:r w:rsidRPr="00B5064E">
        <w:rPr>
          <w:rFonts w:ascii="Calibri" w:hAnsi="Calibri" w:cs="Calibri"/>
          <w:b/>
          <w:bCs/>
          <w:lang w:eastAsia="en-AU"/>
        </w:rPr>
        <w:t>Equity and consumer protection concerns</w:t>
      </w:r>
      <w:r w:rsidRPr="00B5064E">
        <w:rPr>
          <w:rFonts w:ascii="Calibri" w:hAnsi="Calibri" w:cs="Calibri"/>
          <w:lang w:eastAsia="en-AU"/>
        </w:rPr>
        <w:br/>
        <w:t>Consumer representatives emphasised that the SSO must not disadvantage renters, low-income households or customers unable to shift load. Concerns were raised about potential cross-subsidies if costs incurred during the free-power period were recovered through higher charges outside the window. Strong support was expressed for opt-in participation, plain-language disclosures, suitability messaging and enhanced comparison tools.</w:t>
      </w:r>
    </w:p>
    <w:p w14:paraId="788AF00C" w14:textId="77777777" w:rsidR="001109B0" w:rsidRPr="00B5064E" w:rsidRDefault="00DE78B0" w:rsidP="00CF405C">
      <w:pPr>
        <w:pStyle w:val="ListParagraph"/>
        <w:numPr>
          <w:ilvl w:val="0"/>
          <w:numId w:val="13"/>
        </w:numPr>
        <w:spacing w:before="120" w:after="120"/>
        <w:ind w:left="714" w:hanging="357"/>
        <w:contextualSpacing w:val="0"/>
        <w:rPr>
          <w:rFonts w:ascii="Calibri" w:hAnsi="Calibri" w:cs="Calibri"/>
          <w:lang w:eastAsia="en-AU"/>
        </w:rPr>
      </w:pPr>
      <w:r w:rsidRPr="00B5064E">
        <w:rPr>
          <w:rFonts w:ascii="Calibri" w:hAnsi="Calibri" w:cs="Calibri"/>
          <w:b/>
          <w:bCs/>
          <w:lang w:eastAsia="en-AU"/>
        </w:rPr>
        <w:t>Network alignment and operational risks</w:t>
      </w:r>
      <w:r w:rsidRPr="00B5064E">
        <w:rPr>
          <w:rFonts w:ascii="Calibri" w:hAnsi="Calibri" w:cs="Calibri"/>
          <w:lang w:eastAsia="en-AU"/>
        </w:rPr>
        <w:br/>
        <w:t>DNSPs highlighted the absence of network tariffs that mirror a zero-charge window and warned of potential feeder-level congestion, voltage issues or new midday peaks if demand becomes synchronised. Several cautioned against a uniform national window and called for regional flexibility.</w:t>
      </w:r>
    </w:p>
    <w:p w14:paraId="19A19259" w14:textId="77777777" w:rsidR="001109B0" w:rsidRPr="00B5064E" w:rsidRDefault="00DE78B0" w:rsidP="00CF405C">
      <w:pPr>
        <w:pStyle w:val="ListParagraph"/>
        <w:numPr>
          <w:ilvl w:val="0"/>
          <w:numId w:val="13"/>
        </w:numPr>
        <w:spacing w:before="120" w:after="120"/>
        <w:ind w:left="714" w:hanging="357"/>
        <w:contextualSpacing w:val="0"/>
        <w:rPr>
          <w:rFonts w:ascii="Calibri" w:hAnsi="Calibri" w:cs="Calibri"/>
          <w:lang w:eastAsia="en-AU"/>
        </w:rPr>
      </w:pPr>
      <w:r w:rsidRPr="00B5064E">
        <w:rPr>
          <w:rFonts w:ascii="Calibri" w:hAnsi="Calibri" w:cs="Calibri"/>
          <w:b/>
          <w:bCs/>
          <w:lang w:eastAsia="en-AU"/>
        </w:rPr>
        <w:t>Retailer viability and cost recovery</w:t>
      </w:r>
      <w:r w:rsidRPr="00B5064E">
        <w:rPr>
          <w:rFonts w:ascii="Calibri" w:hAnsi="Calibri" w:cs="Calibri"/>
          <w:lang w:eastAsia="en-AU"/>
        </w:rPr>
        <w:br/>
        <w:t xml:space="preserve">Retailers emphasised that wholesale, network, environmental and operational costs persist during low wholesale price periods. Submissions argued that regulated settings must allow </w:t>
      </w:r>
      <w:r w:rsidRPr="00B5064E">
        <w:rPr>
          <w:rFonts w:ascii="Calibri" w:hAnsi="Calibri" w:cs="Calibri"/>
          <w:lang w:eastAsia="en-AU"/>
        </w:rPr>
        <w:lastRenderedPageBreak/>
        <w:t>efficient cost recovery and avoid distortions between SSO and non-SSO customers. Smaller retailers raised proportionality concerns regarding IT and compliance costs.</w:t>
      </w:r>
    </w:p>
    <w:p w14:paraId="5AD9E737" w14:textId="77777777" w:rsidR="001109B0" w:rsidRPr="00B5064E" w:rsidRDefault="00DE78B0" w:rsidP="00CF405C">
      <w:pPr>
        <w:pStyle w:val="ListParagraph"/>
        <w:numPr>
          <w:ilvl w:val="0"/>
          <w:numId w:val="13"/>
        </w:numPr>
        <w:spacing w:before="120" w:after="120"/>
        <w:ind w:left="714" w:hanging="357"/>
        <w:contextualSpacing w:val="0"/>
        <w:rPr>
          <w:rFonts w:ascii="Calibri" w:hAnsi="Calibri" w:cs="Calibri"/>
          <w:lang w:eastAsia="en-AU"/>
        </w:rPr>
      </w:pPr>
      <w:r w:rsidRPr="00B5064E">
        <w:rPr>
          <w:rFonts w:ascii="Calibri" w:hAnsi="Calibri" w:cs="Calibri"/>
          <w:b/>
          <w:bCs/>
          <w:lang w:eastAsia="en-AU"/>
        </w:rPr>
        <w:t>Controlled load interactions</w:t>
      </w:r>
      <w:r w:rsidRPr="00B5064E">
        <w:rPr>
          <w:rFonts w:ascii="Calibri" w:hAnsi="Calibri" w:cs="Calibri"/>
          <w:lang w:eastAsia="en-AU"/>
        </w:rPr>
        <w:br/>
        <w:t>DNSPs expressed concern that the SSO could “cannibalise” controlled load arrangements if customers abandon existing off-peak tariffs, potentially undermining established load-management tools.</w:t>
      </w:r>
    </w:p>
    <w:p w14:paraId="53805033" w14:textId="22B02442" w:rsidR="001109B0" w:rsidRPr="00B5064E" w:rsidRDefault="00DE78B0" w:rsidP="00CF405C">
      <w:pPr>
        <w:pStyle w:val="ListParagraph"/>
        <w:numPr>
          <w:ilvl w:val="0"/>
          <w:numId w:val="13"/>
        </w:numPr>
        <w:spacing w:before="120" w:after="120"/>
        <w:ind w:left="714" w:hanging="357"/>
        <w:contextualSpacing w:val="0"/>
        <w:rPr>
          <w:rFonts w:ascii="Calibri" w:hAnsi="Calibri" w:cs="Calibri"/>
          <w:lang w:eastAsia="en-AU"/>
        </w:rPr>
      </w:pPr>
      <w:r w:rsidRPr="00B5064E">
        <w:rPr>
          <w:rFonts w:ascii="Calibri" w:hAnsi="Calibri" w:cs="Calibri"/>
          <w:b/>
          <w:bCs/>
          <w:lang w:eastAsia="en-AU"/>
        </w:rPr>
        <w:t>Implementation timing and readiness</w:t>
      </w:r>
      <w:r w:rsidRPr="00B5064E">
        <w:rPr>
          <w:rFonts w:ascii="Calibri" w:hAnsi="Calibri" w:cs="Calibri"/>
          <w:lang w:eastAsia="en-AU"/>
        </w:rPr>
        <w:br/>
        <w:t>Many submissions considered a July 2026 commencement ambitious given concurrent reforms</w:t>
      </w:r>
      <w:r w:rsidR="00EE5290" w:rsidRPr="00B5064E">
        <w:rPr>
          <w:rFonts w:ascii="Calibri" w:hAnsi="Calibri" w:cs="Calibri"/>
          <w:lang w:eastAsia="en-AU"/>
        </w:rPr>
        <w:t xml:space="preserve"> recently finalised by the AEMC</w:t>
      </w:r>
      <w:r w:rsidRPr="00B5064E">
        <w:rPr>
          <w:rFonts w:ascii="Calibri" w:hAnsi="Calibri" w:cs="Calibri"/>
          <w:lang w:eastAsia="en-AU"/>
        </w:rPr>
        <w:t>, recommending phased implementation or flexibility to manage delivery risk.</w:t>
      </w:r>
    </w:p>
    <w:p w14:paraId="3E8D5BDC" w14:textId="7BD27285" w:rsidR="00DE78B0" w:rsidRPr="00B5064E" w:rsidRDefault="00DE78B0" w:rsidP="00CF405C">
      <w:pPr>
        <w:pStyle w:val="ListParagraph"/>
        <w:numPr>
          <w:ilvl w:val="0"/>
          <w:numId w:val="13"/>
        </w:numPr>
        <w:spacing w:before="120" w:after="120"/>
        <w:ind w:left="714" w:hanging="357"/>
        <w:contextualSpacing w:val="0"/>
        <w:rPr>
          <w:rFonts w:ascii="Calibri" w:hAnsi="Calibri" w:cs="Calibri"/>
          <w:lang w:eastAsia="en-AU"/>
        </w:rPr>
      </w:pPr>
      <w:r w:rsidRPr="00B5064E">
        <w:rPr>
          <w:rFonts w:ascii="Calibri" w:hAnsi="Calibri" w:cs="Calibri"/>
          <w:b/>
          <w:bCs/>
          <w:color w:val="000000" w:themeColor="text1"/>
          <w:lang w:eastAsia="en-AU"/>
        </w:rPr>
        <w:t>Monitoring and review</w:t>
      </w:r>
      <w:r w:rsidRPr="00B5064E">
        <w:rPr>
          <w:rFonts w:ascii="Calibri" w:hAnsi="Calibri" w:cs="Calibri"/>
          <w:lang w:eastAsia="en-AU"/>
        </w:rPr>
        <w:br/>
        <w:t>There were strong consensus on the need for transparent metrics and a formal post-implementation review to assess bill impacts, uptake patterns, demand shifting and system outcomes.</w:t>
      </w:r>
    </w:p>
    <w:p w14:paraId="12B7F127" w14:textId="77777777" w:rsidR="00DE78B0" w:rsidRPr="00B5064E" w:rsidRDefault="00DE78B0" w:rsidP="00881370">
      <w:pPr>
        <w:pStyle w:val="Heading3"/>
        <w:spacing w:after="120"/>
        <w:rPr>
          <w:rFonts w:ascii="Calibri" w:hAnsi="Calibri" w:cs="Calibri"/>
          <w:b/>
          <w:lang w:eastAsia="en-AU"/>
        </w:rPr>
      </w:pPr>
      <w:bookmarkStart w:id="59" w:name="_Toc222842806"/>
      <w:r w:rsidRPr="00B5064E">
        <w:rPr>
          <w:rFonts w:ascii="Calibri" w:hAnsi="Calibri" w:cs="Calibri"/>
        </w:rPr>
        <w:t>Areas of Agreement and Difference</w:t>
      </w:r>
      <w:bookmarkEnd w:id="59"/>
    </w:p>
    <w:p w14:paraId="35AB162C" w14:textId="77777777" w:rsidR="00DE78B0" w:rsidRPr="00B5064E" w:rsidRDefault="00DE78B0" w:rsidP="00ED55EF">
      <w:pPr>
        <w:pStyle w:val="Heading4"/>
        <w:rPr>
          <w:rFonts w:ascii="Calibri" w:hAnsi="Calibri" w:cs="Calibri"/>
          <w:i w:val="0"/>
          <w:iCs w:val="0"/>
          <w:lang w:eastAsia="en-AU"/>
        </w:rPr>
      </w:pPr>
      <w:r w:rsidRPr="00B5064E">
        <w:rPr>
          <w:rFonts w:ascii="Calibri" w:hAnsi="Calibri" w:cs="Calibri"/>
          <w:i w:val="0"/>
          <w:iCs w:val="0"/>
          <w:lang w:eastAsia="en-AU"/>
        </w:rPr>
        <w:t>Areas of Agreement</w:t>
      </w:r>
    </w:p>
    <w:p w14:paraId="1124FC81" w14:textId="77777777" w:rsidR="00DE78B0" w:rsidRPr="00B5064E" w:rsidRDefault="00DE78B0" w:rsidP="00994E7A">
      <w:pPr>
        <w:numPr>
          <w:ilvl w:val="0"/>
          <w:numId w:val="8"/>
        </w:numPr>
        <w:spacing w:before="120" w:after="120"/>
        <w:ind w:left="714" w:hanging="357"/>
        <w:rPr>
          <w:rFonts w:ascii="Calibri" w:hAnsi="Calibri" w:cs="Calibri"/>
        </w:rPr>
      </w:pPr>
      <w:r w:rsidRPr="00B5064E">
        <w:rPr>
          <w:rFonts w:ascii="Calibri" w:hAnsi="Calibri" w:cs="Calibri"/>
        </w:rPr>
        <w:t>The policy objective of improving access to renewable abundance is sound.</w:t>
      </w:r>
    </w:p>
    <w:p w14:paraId="2F641109" w14:textId="77777777" w:rsidR="00DE78B0" w:rsidRPr="00B5064E" w:rsidRDefault="00DE78B0" w:rsidP="00994E7A">
      <w:pPr>
        <w:numPr>
          <w:ilvl w:val="0"/>
          <w:numId w:val="8"/>
        </w:numPr>
        <w:spacing w:before="120" w:after="120"/>
        <w:ind w:left="714" w:hanging="357"/>
        <w:rPr>
          <w:rFonts w:ascii="Calibri" w:hAnsi="Calibri" w:cs="Calibri"/>
        </w:rPr>
      </w:pPr>
      <w:r w:rsidRPr="00B5064E">
        <w:rPr>
          <w:rFonts w:ascii="Calibri" w:hAnsi="Calibri" w:cs="Calibri"/>
        </w:rPr>
        <w:t>Consumer safeguards and opt-in participation are essential.</w:t>
      </w:r>
    </w:p>
    <w:p w14:paraId="2CEE4822" w14:textId="77777777" w:rsidR="00DE78B0" w:rsidRPr="00B5064E" w:rsidRDefault="00DE78B0" w:rsidP="00994E7A">
      <w:pPr>
        <w:numPr>
          <w:ilvl w:val="0"/>
          <w:numId w:val="8"/>
        </w:numPr>
        <w:spacing w:before="120" w:after="120"/>
        <w:ind w:left="714" w:hanging="357"/>
        <w:rPr>
          <w:rFonts w:ascii="Calibri" w:hAnsi="Calibri" w:cs="Calibri"/>
        </w:rPr>
      </w:pPr>
      <w:r w:rsidRPr="00B5064E">
        <w:rPr>
          <w:rFonts w:ascii="Calibri" w:hAnsi="Calibri" w:cs="Calibri"/>
        </w:rPr>
        <w:t>Regional flexibility is preferable to a single national window.</w:t>
      </w:r>
    </w:p>
    <w:p w14:paraId="4C520D3A" w14:textId="77777777" w:rsidR="00DE78B0" w:rsidRPr="00B5064E" w:rsidRDefault="00DE78B0" w:rsidP="00994E7A">
      <w:pPr>
        <w:numPr>
          <w:ilvl w:val="0"/>
          <w:numId w:val="8"/>
        </w:numPr>
        <w:spacing w:before="120" w:after="120"/>
        <w:ind w:left="714" w:hanging="357"/>
        <w:rPr>
          <w:rFonts w:ascii="Calibri" w:hAnsi="Calibri" w:cs="Calibri"/>
        </w:rPr>
      </w:pPr>
      <w:r w:rsidRPr="00B5064E">
        <w:rPr>
          <w:rFonts w:ascii="Calibri" w:hAnsi="Calibri" w:cs="Calibri"/>
        </w:rPr>
        <w:t>Monitoring and review mechanisms are required.</w:t>
      </w:r>
    </w:p>
    <w:p w14:paraId="02D251DA" w14:textId="77777777" w:rsidR="00DE78B0" w:rsidRPr="00B5064E" w:rsidRDefault="00DE78B0" w:rsidP="00ED55EF">
      <w:pPr>
        <w:pStyle w:val="Heading4"/>
        <w:rPr>
          <w:rFonts w:ascii="Calibri" w:hAnsi="Calibri" w:cs="Calibri"/>
          <w:i w:val="0"/>
          <w:iCs w:val="0"/>
          <w:lang w:eastAsia="en-AU"/>
        </w:rPr>
      </w:pPr>
      <w:r w:rsidRPr="00B5064E">
        <w:rPr>
          <w:rFonts w:ascii="Calibri" w:hAnsi="Calibri" w:cs="Calibri"/>
          <w:i w:val="0"/>
          <w:iCs w:val="0"/>
          <w:lang w:eastAsia="en-AU"/>
        </w:rPr>
        <w:t>Areas of Difference</w:t>
      </w:r>
    </w:p>
    <w:p w14:paraId="599ABB43" w14:textId="77777777" w:rsidR="00DE78B0" w:rsidRPr="00B5064E" w:rsidRDefault="00DE78B0" w:rsidP="00994E7A">
      <w:pPr>
        <w:numPr>
          <w:ilvl w:val="0"/>
          <w:numId w:val="8"/>
        </w:numPr>
        <w:spacing w:before="120" w:after="120"/>
        <w:ind w:left="714" w:hanging="357"/>
        <w:rPr>
          <w:rFonts w:ascii="Calibri" w:hAnsi="Calibri" w:cs="Calibri"/>
        </w:rPr>
      </w:pPr>
      <w:r w:rsidRPr="00B5064E">
        <w:rPr>
          <w:rFonts w:ascii="Calibri" w:hAnsi="Calibri" w:cs="Calibri"/>
        </w:rPr>
        <w:t>Whether regulation is necessary, or whether market-led “free period” offers are sufficient.</w:t>
      </w:r>
    </w:p>
    <w:p w14:paraId="200ED37C" w14:textId="77777777" w:rsidR="00DE78B0" w:rsidRPr="00B5064E" w:rsidRDefault="00DE78B0" w:rsidP="00994E7A">
      <w:pPr>
        <w:numPr>
          <w:ilvl w:val="0"/>
          <w:numId w:val="8"/>
        </w:numPr>
        <w:spacing w:before="120" w:after="120"/>
        <w:ind w:left="714" w:hanging="357"/>
        <w:rPr>
          <w:rFonts w:ascii="Calibri" w:hAnsi="Calibri" w:cs="Calibri"/>
        </w:rPr>
      </w:pPr>
      <w:r w:rsidRPr="00B5064E">
        <w:rPr>
          <w:rFonts w:ascii="Calibri" w:hAnsi="Calibri" w:cs="Calibri"/>
        </w:rPr>
        <w:t>The extent of prescription required in tariff design and window setting.</w:t>
      </w:r>
    </w:p>
    <w:p w14:paraId="73D3F3DE" w14:textId="77777777" w:rsidR="00DE78B0" w:rsidRPr="00B5064E" w:rsidRDefault="00DE78B0" w:rsidP="00994E7A">
      <w:pPr>
        <w:numPr>
          <w:ilvl w:val="0"/>
          <w:numId w:val="8"/>
        </w:numPr>
        <w:spacing w:before="120" w:after="120"/>
        <w:ind w:left="714" w:hanging="357"/>
        <w:rPr>
          <w:rFonts w:ascii="Calibri" w:hAnsi="Calibri" w:cs="Calibri"/>
        </w:rPr>
      </w:pPr>
      <w:r w:rsidRPr="00B5064E">
        <w:rPr>
          <w:rFonts w:ascii="Calibri" w:hAnsi="Calibri" w:cs="Calibri"/>
        </w:rPr>
        <w:t>How network costs should be treated during the free-power period.</w:t>
      </w:r>
    </w:p>
    <w:p w14:paraId="253F71DA" w14:textId="77777777" w:rsidR="00DE78B0" w:rsidRPr="00B5064E" w:rsidRDefault="00DE78B0" w:rsidP="00994E7A">
      <w:pPr>
        <w:numPr>
          <w:ilvl w:val="0"/>
          <w:numId w:val="8"/>
        </w:numPr>
        <w:spacing w:before="120" w:after="120"/>
        <w:ind w:left="714" w:hanging="357"/>
        <w:rPr>
          <w:rFonts w:ascii="Calibri" w:hAnsi="Calibri" w:cs="Calibri"/>
        </w:rPr>
      </w:pPr>
      <w:r w:rsidRPr="00B5064E">
        <w:rPr>
          <w:rFonts w:ascii="Calibri" w:hAnsi="Calibri" w:cs="Calibri"/>
        </w:rPr>
        <w:t>The appropriate scale and calibration of a reasonable use cap</w:t>
      </w:r>
    </w:p>
    <w:p w14:paraId="32F02717" w14:textId="16CDFFE5" w:rsidR="00DE78B0" w:rsidRPr="00B5064E" w:rsidRDefault="00DE78B0" w:rsidP="00881370">
      <w:pPr>
        <w:pStyle w:val="Heading3"/>
        <w:spacing w:after="120"/>
        <w:rPr>
          <w:rFonts w:ascii="Calibri" w:hAnsi="Calibri" w:cs="Calibri"/>
          <w:b/>
          <w:lang w:eastAsia="en-AU"/>
        </w:rPr>
      </w:pPr>
      <w:bookmarkStart w:id="60" w:name="_Toc222842807"/>
      <w:r w:rsidRPr="00B5064E">
        <w:rPr>
          <w:rFonts w:ascii="Calibri" w:hAnsi="Calibri" w:cs="Calibri"/>
        </w:rPr>
        <w:t>How Consultation Shaped the Preferred Option</w:t>
      </w:r>
      <w:bookmarkEnd w:id="60"/>
    </w:p>
    <w:p w14:paraId="3096DDB0" w14:textId="120EAA9A" w:rsidR="00DE78B0" w:rsidRPr="00B5064E" w:rsidRDefault="00DE78B0" w:rsidP="00DE78B0">
      <w:pPr>
        <w:rPr>
          <w:rFonts w:ascii="Calibri" w:eastAsiaTheme="majorEastAsia" w:hAnsi="Calibri" w:cs="Calibri"/>
          <w:color w:val="000000" w:themeColor="text1"/>
          <w:lang w:eastAsia="en-AU"/>
        </w:rPr>
      </w:pPr>
      <w:r w:rsidRPr="00B5064E">
        <w:rPr>
          <w:rFonts w:ascii="Calibri" w:eastAsiaTheme="majorEastAsia" w:hAnsi="Calibri" w:cs="Calibri"/>
          <w:color w:val="000000" w:themeColor="text1"/>
          <w:lang w:eastAsia="en-AU"/>
        </w:rPr>
        <w:t>Stakeholder feedback materially informed refinement of the SSO design.</w:t>
      </w:r>
    </w:p>
    <w:p w14:paraId="20A8A118" w14:textId="77777777" w:rsidR="001109B0" w:rsidRPr="00B5064E" w:rsidRDefault="00DE78B0" w:rsidP="00CF405C">
      <w:pPr>
        <w:pStyle w:val="ListParagraph"/>
        <w:numPr>
          <w:ilvl w:val="0"/>
          <w:numId w:val="14"/>
        </w:numPr>
        <w:spacing w:before="120" w:after="120"/>
        <w:ind w:left="714" w:hanging="357"/>
        <w:contextualSpacing w:val="0"/>
        <w:rPr>
          <w:rFonts w:ascii="Calibri" w:eastAsiaTheme="majorEastAsia" w:hAnsi="Calibri" w:cs="Calibri"/>
          <w:b/>
          <w:bCs/>
          <w:color w:val="0F4761" w:themeColor="accent1" w:themeShade="BF"/>
          <w:lang w:eastAsia="en-AU"/>
        </w:rPr>
      </w:pPr>
      <w:r w:rsidRPr="00B5064E">
        <w:rPr>
          <w:rFonts w:ascii="Calibri" w:hAnsi="Calibri" w:cs="Calibri"/>
          <w:b/>
          <w:bCs/>
          <w:lang w:eastAsia="en-AU"/>
        </w:rPr>
        <w:t>Embedding within the DMO framework</w:t>
      </w:r>
      <w:r w:rsidRPr="00B5064E">
        <w:rPr>
          <w:rFonts w:ascii="Calibri" w:eastAsiaTheme="majorEastAsia" w:hAnsi="Calibri" w:cs="Calibri"/>
          <w:b/>
          <w:bCs/>
          <w:color w:val="0F4761" w:themeColor="accent1" w:themeShade="BF"/>
          <w:lang w:eastAsia="en-AU"/>
        </w:rPr>
        <w:br/>
      </w:r>
      <w:r w:rsidRPr="00B5064E">
        <w:rPr>
          <w:rFonts w:ascii="Calibri" w:eastAsiaTheme="majorEastAsia" w:hAnsi="Calibri" w:cs="Calibri"/>
          <w:color w:val="000000" w:themeColor="text1"/>
          <w:lang w:eastAsia="en-AU"/>
        </w:rPr>
        <w:t>To address equity and comparability concerns, the SSO will operate as a regulated standing offer within the DMO framework, ensuring price-cap protections and regulatory oversight.</w:t>
      </w:r>
    </w:p>
    <w:p w14:paraId="4320C389" w14:textId="77777777" w:rsidR="001109B0" w:rsidRPr="00B5064E" w:rsidRDefault="00DE78B0" w:rsidP="00CF405C">
      <w:pPr>
        <w:pStyle w:val="ListParagraph"/>
        <w:numPr>
          <w:ilvl w:val="0"/>
          <w:numId w:val="14"/>
        </w:numPr>
        <w:spacing w:before="120" w:after="120"/>
        <w:ind w:left="714" w:hanging="357"/>
        <w:contextualSpacing w:val="0"/>
        <w:rPr>
          <w:rFonts w:ascii="Calibri" w:eastAsiaTheme="majorEastAsia" w:hAnsi="Calibri" w:cs="Calibri"/>
          <w:b/>
          <w:bCs/>
          <w:color w:val="0F4761" w:themeColor="accent1" w:themeShade="BF"/>
          <w:lang w:eastAsia="en-AU"/>
        </w:rPr>
      </w:pPr>
      <w:r w:rsidRPr="00B5064E">
        <w:rPr>
          <w:rFonts w:ascii="Calibri" w:hAnsi="Calibri" w:cs="Calibri"/>
          <w:b/>
          <w:bCs/>
          <w:lang w:eastAsia="en-AU"/>
        </w:rPr>
        <w:t>Opt-in participation and strengthened communications</w:t>
      </w:r>
      <w:r w:rsidRPr="00B5064E">
        <w:rPr>
          <w:rStyle w:val="Heading5Char"/>
          <w:rFonts w:ascii="Calibri" w:hAnsi="Calibri" w:cs="Calibri"/>
          <w:lang w:eastAsia="en-AU"/>
        </w:rPr>
        <w:br/>
      </w:r>
      <w:r w:rsidRPr="00B5064E">
        <w:rPr>
          <w:rFonts w:ascii="Calibri" w:hAnsi="Calibri" w:cs="Calibri"/>
          <w:lang w:eastAsia="en-AU"/>
        </w:rPr>
        <w:t>In response to consumer protection concerns, the SSO will not be a default tariff. Retailers must support informed decision-making, and the government will develop clear public-facing materials.</w:t>
      </w:r>
    </w:p>
    <w:p w14:paraId="034998FF" w14:textId="77777777" w:rsidR="001109B0" w:rsidRPr="00B5064E" w:rsidRDefault="00DE78B0" w:rsidP="00CF405C">
      <w:pPr>
        <w:pStyle w:val="ListParagraph"/>
        <w:numPr>
          <w:ilvl w:val="0"/>
          <w:numId w:val="14"/>
        </w:numPr>
        <w:spacing w:before="120" w:after="120"/>
        <w:ind w:left="714" w:hanging="357"/>
        <w:contextualSpacing w:val="0"/>
        <w:rPr>
          <w:rFonts w:ascii="Calibri" w:eastAsiaTheme="majorEastAsia" w:hAnsi="Calibri" w:cs="Calibri"/>
          <w:b/>
          <w:bCs/>
          <w:color w:val="0F4761" w:themeColor="accent1" w:themeShade="BF"/>
          <w:lang w:eastAsia="en-AU"/>
        </w:rPr>
      </w:pPr>
      <w:r w:rsidRPr="00B5064E">
        <w:rPr>
          <w:rFonts w:ascii="Calibri" w:hAnsi="Calibri" w:cs="Calibri"/>
          <w:b/>
          <w:bCs/>
          <w:lang w:eastAsia="en-AU"/>
        </w:rPr>
        <w:t>Regional flexibility in window setting</w:t>
      </w:r>
      <w:r w:rsidRPr="00B5064E">
        <w:rPr>
          <w:rStyle w:val="Heading5Char"/>
          <w:rFonts w:ascii="Calibri" w:hAnsi="Calibri" w:cs="Calibri"/>
          <w:lang w:eastAsia="en-AU"/>
        </w:rPr>
        <w:br/>
      </w:r>
      <w:r w:rsidRPr="00B5064E">
        <w:rPr>
          <w:rFonts w:ascii="Calibri" w:hAnsi="Calibri" w:cs="Calibri"/>
          <w:lang w:eastAsia="en-AU"/>
        </w:rPr>
        <w:t>To mitigate network and operational risks, the AER will determine the 3-hour free-power period by distribution network area, having regard to wholesale prices, solar output and network conditions, rather than applying a uniform national window.</w:t>
      </w:r>
    </w:p>
    <w:p w14:paraId="4E5B8BB7" w14:textId="77777777" w:rsidR="001109B0" w:rsidRPr="00B5064E" w:rsidRDefault="00DE78B0" w:rsidP="00CF405C">
      <w:pPr>
        <w:pStyle w:val="ListParagraph"/>
        <w:numPr>
          <w:ilvl w:val="0"/>
          <w:numId w:val="14"/>
        </w:numPr>
        <w:spacing w:before="120" w:after="120"/>
        <w:ind w:left="714" w:hanging="357"/>
        <w:contextualSpacing w:val="0"/>
        <w:rPr>
          <w:rFonts w:ascii="Calibri" w:eastAsiaTheme="majorEastAsia" w:hAnsi="Calibri" w:cs="Calibri"/>
          <w:b/>
          <w:bCs/>
          <w:color w:val="0F4761" w:themeColor="accent1" w:themeShade="BF"/>
          <w:lang w:eastAsia="en-AU"/>
        </w:rPr>
      </w:pPr>
      <w:r w:rsidRPr="00B5064E">
        <w:rPr>
          <w:rFonts w:ascii="Calibri" w:hAnsi="Calibri" w:cs="Calibri"/>
          <w:b/>
          <w:bCs/>
        </w:rPr>
        <w:lastRenderedPageBreak/>
        <w:t>Retailer viability safeguards</w:t>
      </w:r>
      <w:r w:rsidRPr="00B5064E">
        <w:rPr>
          <w:rFonts w:ascii="Calibri" w:hAnsi="Calibri" w:cs="Calibri"/>
          <w:lang w:eastAsia="en-AU"/>
        </w:rPr>
        <w:br/>
        <w:t>Consistent with DMO reforms, the AER will ensure efficient cost recovery outside the free-power period while maintaining that customers who shift load are better off overall. Retailers with fewer than 1,000 customers will be exempt to ensure proportionality.</w:t>
      </w:r>
    </w:p>
    <w:p w14:paraId="73F6ED9B" w14:textId="77777777" w:rsidR="001109B0" w:rsidRPr="00B5064E" w:rsidRDefault="00DE78B0" w:rsidP="00CF405C">
      <w:pPr>
        <w:pStyle w:val="ListParagraph"/>
        <w:numPr>
          <w:ilvl w:val="0"/>
          <w:numId w:val="14"/>
        </w:numPr>
        <w:spacing w:before="120" w:after="120"/>
        <w:ind w:left="714" w:hanging="357"/>
        <w:contextualSpacing w:val="0"/>
        <w:rPr>
          <w:rStyle w:val="Heading5Char"/>
          <w:rFonts w:ascii="Calibri" w:hAnsi="Calibri" w:cs="Calibri"/>
          <w:b/>
          <w:bCs/>
          <w:lang w:eastAsia="en-AU"/>
        </w:rPr>
      </w:pPr>
      <w:r w:rsidRPr="00B5064E">
        <w:rPr>
          <w:rFonts w:ascii="Calibri" w:hAnsi="Calibri" w:cs="Calibri"/>
          <w:b/>
          <w:bCs/>
        </w:rPr>
        <w:t>Reasonable use cap</w:t>
      </w:r>
      <w:r w:rsidRPr="00B5064E">
        <w:rPr>
          <w:rFonts w:ascii="Calibri" w:hAnsi="Calibri" w:cs="Calibri"/>
          <w:lang w:eastAsia="en-AU"/>
        </w:rPr>
        <w:br/>
        <w:t>A 24 kWh daily reasonable use cap will apply to moderate excessive load concentration and address equity concerns regarding disproportionate benefit capture by CER-enabled households.</w:t>
      </w:r>
      <w:r w:rsidRPr="00B5064E">
        <w:rPr>
          <w:rStyle w:val="Heading5Char"/>
          <w:rFonts w:ascii="Calibri" w:hAnsi="Calibri" w:cs="Calibri"/>
        </w:rPr>
        <w:t xml:space="preserve"> </w:t>
      </w:r>
    </w:p>
    <w:p w14:paraId="3EAEB799" w14:textId="77777777" w:rsidR="001109B0" w:rsidRPr="00B5064E" w:rsidRDefault="00DE78B0" w:rsidP="00CF405C">
      <w:pPr>
        <w:pStyle w:val="ListParagraph"/>
        <w:numPr>
          <w:ilvl w:val="0"/>
          <w:numId w:val="14"/>
        </w:numPr>
        <w:spacing w:before="120" w:after="120"/>
        <w:ind w:left="714" w:hanging="357"/>
        <w:contextualSpacing w:val="0"/>
        <w:rPr>
          <w:rFonts w:ascii="Calibri" w:eastAsiaTheme="majorEastAsia" w:hAnsi="Calibri" w:cs="Calibri"/>
          <w:b/>
          <w:bCs/>
          <w:color w:val="0F4761" w:themeColor="accent1" w:themeShade="BF"/>
          <w:lang w:eastAsia="en-AU"/>
        </w:rPr>
      </w:pPr>
      <w:r w:rsidRPr="00B5064E">
        <w:rPr>
          <w:rFonts w:ascii="Calibri" w:hAnsi="Calibri" w:cs="Calibri"/>
          <w:b/>
          <w:bCs/>
        </w:rPr>
        <w:t>Controlled load treatment</w:t>
      </w:r>
      <w:r w:rsidRPr="00B5064E">
        <w:rPr>
          <w:rFonts w:ascii="Calibri" w:hAnsi="Calibri" w:cs="Calibri"/>
          <w:lang w:eastAsia="en-AU"/>
        </w:rPr>
        <w:br/>
        <w:t>Controlled loads will not be required to align with the SSO free-power period in the initial phase. Customers opting into the SSO will do so for general usage only. Ongoing treatment will be reviewed as part of broader evaluation.</w:t>
      </w:r>
    </w:p>
    <w:p w14:paraId="09771C81" w14:textId="3A753CEA" w:rsidR="00DE78B0" w:rsidRPr="00B5064E" w:rsidRDefault="00DE78B0" w:rsidP="00CF405C">
      <w:pPr>
        <w:pStyle w:val="ListParagraph"/>
        <w:numPr>
          <w:ilvl w:val="0"/>
          <w:numId w:val="14"/>
        </w:numPr>
        <w:spacing w:before="120" w:after="120"/>
        <w:ind w:left="714" w:hanging="357"/>
        <w:contextualSpacing w:val="0"/>
        <w:rPr>
          <w:rFonts w:ascii="Calibri" w:eastAsiaTheme="majorEastAsia" w:hAnsi="Calibri" w:cs="Calibri"/>
          <w:b/>
          <w:bCs/>
          <w:color w:val="0F4761" w:themeColor="accent1" w:themeShade="BF"/>
          <w:lang w:eastAsia="en-AU"/>
        </w:rPr>
      </w:pPr>
      <w:r w:rsidRPr="00B5064E">
        <w:rPr>
          <w:rFonts w:ascii="Calibri" w:hAnsi="Calibri" w:cs="Calibri"/>
          <w:b/>
          <w:bCs/>
        </w:rPr>
        <w:t>Post-implementation review</w:t>
      </w:r>
      <w:r w:rsidRPr="00B5064E">
        <w:rPr>
          <w:rFonts w:ascii="Calibri" w:hAnsi="Calibri" w:cs="Calibri"/>
          <w:lang w:eastAsia="en-AU"/>
        </w:rPr>
        <w:br/>
        <w:t>A formal review within two years of commencement will assess behavioural outcomes, bill impacts, network effects and market dynamics, allowing adjustments if unintended impacts arise.</w:t>
      </w:r>
    </w:p>
    <w:p w14:paraId="6B10E5AC" w14:textId="393A37B0" w:rsidR="00DE78B0" w:rsidRPr="00B5064E" w:rsidRDefault="00DE78B0" w:rsidP="00881370">
      <w:pPr>
        <w:pStyle w:val="Heading3"/>
        <w:spacing w:after="120"/>
        <w:rPr>
          <w:rFonts w:ascii="Calibri" w:hAnsi="Calibri" w:cs="Calibri"/>
          <w:b/>
          <w:lang w:eastAsia="en-AU"/>
        </w:rPr>
      </w:pPr>
      <w:bookmarkStart w:id="61" w:name="_Toc222842808"/>
      <w:r w:rsidRPr="00B5064E">
        <w:rPr>
          <w:rFonts w:ascii="Calibri" w:hAnsi="Calibri" w:cs="Calibri"/>
        </w:rPr>
        <w:t>Conclusion</w:t>
      </w:r>
      <w:bookmarkEnd w:id="61"/>
    </w:p>
    <w:p w14:paraId="0247D5E6" w14:textId="3B6228D2" w:rsidR="00DE78B0" w:rsidRPr="00B5064E" w:rsidRDefault="00DE78B0" w:rsidP="00DE78B0">
      <w:pPr>
        <w:rPr>
          <w:rFonts w:ascii="Calibri" w:hAnsi="Calibri" w:cs="Calibri"/>
          <w:lang w:eastAsia="en-AU"/>
        </w:rPr>
      </w:pPr>
      <w:r w:rsidRPr="00B5064E">
        <w:rPr>
          <w:rFonts w:ascii="Calibri" w:hAnsi="Calibri" w:cs="Calibri"/>
          <w:lang w:eastAsia="en-AU"/>
        </w:rPr>
        <w:t>Consultation confirmed broad support for the SSO’s objectives but highlighted material risks requiring careful calibration. The preferred option reflects a balanced approach: retaining a regulated benchmark to ensure equitable access, embedding strong consumer protections, allowing regional flexibility, protecting retailer viability, and incorporating adaptability through structured review</w:t>
      </w:r>
      <w:r w:rsidR="007C0877" w:rsidRPr="00B5064E">
        <w:rPr>
          <w:rFonts w:ascii="Calibri" w:hAnsi="Calibri" w:cs="Calibri"/>
          <w:lang w:eastAsia="en-AU"/>
        </w:rPr>
        <w:t xml:space="preserve"> and monitoring</w:t>
      </w:r>
      <w:r w:rsidRPr="00B5064E">
        <w:rPr>
          <w:rFonts w:ascii="Calibri" w:hAnsi="Calibri" w:cs="Calibri"/>
          <w:lang w:eastAsia="en-AU"/>
        </w:rPr>
        <w:t>.</w:t>
      </w:r>
    </w:p>
    <w:p w14:paraId="18E586F0" w14:textId="77777777" w:rsidR="00DE78B0" w:rsidRPr="00B5064E" w:rsidRDefault="00DE78B0" w:rsidP="00DE78B0">
      <w:pPr>
        <w:rPr>
          <w:rFonts w:ascii="Calibri" w:hAnsi="Calibri" w:cs="Calibri"/>
          <w:lang w:eastAsia="en-AU"/>
        </w:rPr>
      </w:pPr>
      <w:r w:rsidRPr="00B5064E">
        <w:rPr>
          <w:rFonts w:ascii="Calibri" w:hAnsi="Calibri" w:cs="Calibri"/>
          <w:lang w:eastAsia="en-AU"/>
        </w:rPr>
        <w:t>This approach addresses stakeholder concerns while maintaining the core objective of improving affordability, equity and system efficiency in a high-solar electricity market.</w:t>
      </w:r>
    </w:p>
    <w:p w14:paraId="1435D19C" w14:textId="77777777" w:rsidR="00527D04" w:rsidRPr="00B5064E" w:rsidRDefault="00527D04" w:rsidP="00527D04">
      <w:pPr>
        <w:rPr>
          <w:rFonts w:ascii="Calibri" w:hAnsi="Calibri" w:cs="Calibri"/>
        </w:rPr>
      </w:pPr>
    </w:p>
    <w:p w14:paraId="1E6F4868" w14:textId="0722BFBF" w:rsidR="00527D04" w:rsidRPr="00B5064E" w:rsidRDefault="00527D04" w:rsidP="00527D04">
      <w:pPr>
        <w:rPr>
          <w:rFonts w:ascii="Calibri" w:hAnsi="Calibri" w:cs="Calibri"/>
        </w:rPr>
        <w:sectPr w:rsidR="00527D04" w:rsidRPr="00B5064E" w:rsidSect="00436A72">
          <w:pgSz w:w="11906" w:h="16838"/>
          <w:pgMar w:top="1440" w:right="1440" w:bottom="1440" w:left="1440" w:header="708" w:footer="708" w:gutter="0"/>
          <w:cols w:space="708"/>
          <w:titlePg/>
          <w:docGrid w:linePitch="360"/>
        </w:sectPr>
      </w:pPr>
    </w:p>
    <w:p w14:paraId="3376DAAB" w14:textId="017272CA" w:rsidR="0072561F" w:rsidRPr="00B5064E" w:rsidRDefault="00FA5B0C" w:rsidP="00262A41">
      <w:pPr>
        <w:pStyle w:val="Heading1"/>
        <w:spacing w:before="160" w:after="120"/>
        <w:rPr>
          <w:rFonts w:ascii="Calibri" w:hAnsi="Calibri" w:cs="Calibri"/>
          <w:b/>
          <w:bCs/>
        </w:rPr>
      </w:pPr>
      <w:bookmarkStart w:id="62" w:name="_Toc222842809"/>
      <w:r w:rsidRPr="00B5064E">
        <w:rPr>
          <w:rFonts w:ascii="Calibri" w:hAnsi="Calibri" w:cs="Calibri"/>
          <w:b/>
          <w:bCs/>
        </w:rPr>
        <w:lastRenderedPageBreak/>
        <w:t xml:space="preserve">Option Selection and </w:t>
      </w:r>
      <w:r w:rsidR="008E24B0" w:rsidRPr="00B5064E">
        <w:rPr>
          <w:rFonts w:ascii="Calibri" w:hAnsi="Calibri" w:cs="Calibri"/>
          <w:b/>
          <w:bCs/>
        </w:rPr>
        <w:t>i</w:t>
      </w:r>
      <w:r w:rsidRPr="00B5064E">
        <w:rPr>
          <w:rFonts w:ascii="Calibri" w:hAnsi="Calibri" w:cs="Calibri"/>
          <w:b/>
          <w:bCs/>
        </w:rPr>
        <w:t>mplementation</w:t>
      </w:r>
      <w:r w:rsidR="008E24B0" w:rsidRPr="00B5064E">
        <w:rPr>
          <w:rFonts w:ascii="Calibri" w:hAnsi="Calibri" w:cs="Calibri"/>
          <w:b/>
          <w:bCs/>
        </w:rPr>
        <w:t xml:space="preserve"> and evaluation of preferred option</w:t>
      </w:r>
      <w:bookmarkEnd w:id="62"/>
    </w:p>
    <w:p w14:paraId="0ABE8D56" w14:textId="77777777" w:rsidR="005837A4" w:rsidRPr="00B5064E" w:rsidRDefault="005837A4" w:rsidP="008E5162">
      <w:pPr>
        <w:rPr>
          <w:rFonts w:ascii="Calibri" w:hAnsi="Calibri" w:cs="Calibri"/>
        </w:rPr>
      </w:pPr>
      <w:r w:rsidRPr="00B5064E">
        <w:rPr>
          <w:rFonts w:ascii="Calibri" w:hAnsi="Calibri" w:cs="Calibri"/>
        </w:rPr>
        <w:t xml:space="preserve">Following assessment of the net benefits of each option against the Government’s objectives of affordability, equity and system efficiency, this Impact Analysis recommends </w:t>
      </w:r>
      <w:r w:rsidRPr="00B5064E">
        <w:rPr>
          <w:rFonts w:ascii="Calibri" w:hAnsi="Calibri" w:cs="Calibri"/>
          <w:b/>
          <w:bCs/>
        </w:rPr>
        <w:t>Option A1</w:t>
      </w:r>
      <w:r w:rsidRPr="00B5064E">
        <w:rPr>
          <w:rFonts w:ascii="Calibri" w:hAnsi="Calibri" w:cs="Calibri"/>
        </w:rPr>
        <w:t xml:space="preserve"> for implementation.</w:t>
      </w:r>
    </w:p>
    <w:p w14:paraId="7CD686B5" w14:textId="0F9C2AFF" w:rsidR="008E5162" w:rsidRPr="00B5064E" w:rsidRDefault="008E5162" w:rsidP="008E5162">
      <w:pPr>
        <w:rPr>
          <w:rFonts w:ascii="Calibri" w:hAnsi="Calibri" w:cs="Calibri"/>
        </w:rPr>
      </w:pPr>
      <w:r w:rsidRPr="00B5064E">
        <w:rPr>
          <w:rFonts w:ascii="Calibri" w:hAnsi="Calibri" w:cs="Calibri"/>
        </w:rPr>
        <w:t>Option A1 best addresses the identified policy problem by providing a consistent and equitable mechanism for households to access midday renewable generation, while leveraging the established DMO</w:t>
      </w:r>
      <w:r w:rsidRPr="00B5064E" w:rsidDel="00BB4216">
        <w:rPr>
          <w:rFonts w:ascii="Calibri" w:hAnsi="Calibri" w:cs="Calibri"/>
        </w:rPr>
        <w:t xml:space="preserve"> </w:t>
      </w:r>
      <w:r w:rsidRPr="00B5064E">
        <w:rPr>
          <w:rFonts w:ascii="Calibri" w:hAnsi="Calibri" w:cs="Calibri"/>
        </w:rPr>
        <w:t>framework and maintaining full consumer protections. It balances consumer bill relief and demand-shaping benefits with proportionate regulatory safeguards and cost-recovery mechanisms.</w:t>
      </w:r>
    </w:p>
    <w:p w14:paraId="65CFA252" w14:textId="23BE7E2C" w:rsidR="00FB1E1F" w:rsidRPr="00B5064E" w:rsidRDefault="00FB1E1F" w:rsidP="008E5162">
      <w:pPr>
        <w:rPr>
          <w:rFonts w:ascii="Calibri" w:hAnsi="Calibri" w:cs="Calibri"/>
        </w:rPr>
      </w:pPr>
      <w:r w:rsidRPr="00B5064E">
        <w:rPr>
          <w:rFonts w:ascii="Calibri" w:hAnsi="Calibri" w:cs="Calibri"/>
        </w:rPr>
        <w:t xml:space="preserve">Option A2 reduces regulatory burden relative to A1 but lacks enforceability and scale certainty. It may improve transparency but is unlikely to materially resolve equity or system misalignment. As shown in </w:t>
      </w:r>
      <w:r w:rsidRPr="00B5064E">
        <w:rPr>
          <w:rFonts w:ascii="Calibri" w:hAnsi="Calibri" w:cs="Calibri"/>
          <w:i/>
          <w:iCs/>
        </w:rPr>
        <w:t xml:space="preserve">table </w:t>
      </w:r>
      <w:r w:rsidR="0082427B" w:rsidRPr="00B5064E">
        <w:rPr>
          <w:rFonts w:ascii="Calibri" w:hAnsi="Calibri" w:cs="Calibri"/>
          <w:i/>
          <w:iCs/>
        </w:rPr>
        <w:t>1</w:t>
      </w:r>
      <w:r w:rsidR="00D37C27">
        <w:rPr>
          <w:rFonts w:ascii="Calibri" w:hAnsi="Calibri" w:cs="Calibri"/>
          <w:i/>
          <w:iCs/>
        </w:rPr>
        <w:t>3</w:t>
      </w:r>
      <w:r w:rsidR="0082427B" w:rsidRPr="00B5064E">
        <w:rPr>
          <w:rFonts w:ascii="Calibri" w:hAnsi="Calibri" w:cs="Calibri"/>
          <w:i/>
          <w:iCs/>
        </w:rPr>
        <w:t>.</w:t>
      </w:r>
      <w:r w:rsidR="0082427B" w:rsidRPr="00B5064E">
        <w:rPr>
          <w:rFonts w:ascii="Calibri" w:hAnsi="Calibri" w:cs="Calibri"/>
        </w:rPr>
        <w:t xml:space="preserve"> </w:t>
      </w:r>
    </w:p>
    <w:p w14:paraId="2A074020" w14:textId="7A05FA2E" w:rsidR="00397291" w:rsidRPr="00B5064E" w:rsidRDefault="00397291" w:rsidP="00397291">
      <w:pPr>
        <w:spacing w:after="0"/>
        <w:rPr>
          <w:rFonts w:ascii="Calibri" w:hAnsi="Calibri" w:cs="Calibri"/>
        </w:rPr>
      </w:pPr>
      <w:r w:rsidRPr="00B5064E">
        <w:rPr>
          <w:rFonts w:ascii="Calibri" w:hAnsi="Calibri" w:cs="Calibri"/>
          <w:i/>
          <w:sz w:val="20"/>
          <w:szCs w:val="20"/>
        </w:rPr>
        <w:t>Table 1</w:t>
      </w:r>
      <w:r w:rsidR="00D37C27">
        <w:rPr>
          <w:rFonts w:ascii="Calibri" w:hAnsi="Calibri" w:cs="Calibri"/>
          <w:i/>
          <w:sz w:val="20"/>
          <w:szCs w:val="20"/>
        </w:rPr>
        <w:t>3</w:t>
      </w:r>
      <w:r w:rsidRPr="00B5064E">
        <w:rPr>
          <w:rFonts w:ascii="Calibri" w:hAnsi="Calibri" w:cs="Calibri"/>
          <w:i/>
          <w:sz w:val="20"/>
          <w:szCs w:val="20"/>
        </w:rPr>
        <w:t>: Risk level for each option</w:t>
      </w:r>
    </w:p>
    <w:tbl>
      <w:tblPr>
        <w:tblStyle w:val="PlainTable4"/>
        <w:tblW w:w="5000" w:type="pct"/>
        <w:tblLook w:val="04A0" w:firstRow="1" w:lastRow="0" w:firstColumn="1" w:lastColumn="0" w:noHBand="0" w:noVBand="1"/>
      </w:tblPr>
      <w:tblGrid>
        <w:gridCol w:w="2326"/>
        <w:gridCol w:w="3557"/>
        <w:gridCol w:w="3187"/>
      </w:tblGrid>
      <w:tr w:rsidR="001109B0" w:rsidRPr="00B5064E" w14:paraId="65473E81" w14:textId="77777777" w:rsidTr="00397291">
        <w:trPr>
          <w:cnfStyle w:val="100000000000" w:firstRow="1" w:lastRow="0"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282" w:type="pct"/>
            <w:shd w:val="clear" w:color="auto" w:fill="E8E8E8" w:themeFill="background2"/>
            <w:hideMark/>
          </w:tcPr>
          <w:p w14:paraId="4C304DCF" w14:textId="77777777" w:rsidR="001109B0" w:rsidRPr="00B5064E" w:rsidRDefault="001109B0" w:rsidP="00C46935">
            <w:pPr>
              <w:spacing w:before="120" w:after="120" w:line="259" w:lineRule="auto"/>
              <w:jc w:val="center"/>
              <w:rPr>
                <w:rFonts w:ascii="Calibri" w:hAnsi="Calibri" w:cs="Calibri"/>
                <w:b w:val="0"/>
              </w:rPr>
            </w:pPr>
            <w:r w:rsidRPr="00B5064E">
              <w:rPr>
                <w:rFonts w:ascii="Calibri" w:hAnsi="Calibri" w:cs="Calibri"/>
              </w:rPr>
              <w:t>Option</w:t>
            </w:r>
          </w:p>
        </w:tc>
        <w:tc>
          <w:tcPr>
            <w:tcW w:w="1961" w:type="pct"/>
            <w:shd w:val="clear" w:color="auto" w:fill="E8E8E8" w:themeFill="background2"/>
            <w:hideMark/>
          </w:tcPr>
          <w:p w14:paraId="7425D99C" w14:textId="77777777" w:rsidR="001109B0" w:rsidRPr="00B5064E" w:rsidRDefault="001109B0" w:rsidP="00C46935">
            <w:pPr>
              <w:spacing w:before="120" w:after="120" w:line="259"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Overall Risk Level</w:t>
            </w:r>
          </w:p>
        </w:tc>
        <w:tc>
          <w:tcPr>
            <w:tcW w:w="1757" w:type="pct"/>
            <w:shd w:val="clear" w:color="auto" w:fill="E8E8E8" w:themeFill="background2"/>
            <w:hideMark/>
          </w:tcPr>
          <w:p w14:paraId="6B1A2696" w14:textId="77777777" w:rsidR="001109B0" w:rsidRPr="00B5064E" w:rsidRDefault="001109B0" w:rsidP="00C46935">
            <w:pPr>
              <w:spacing w:before="120" w:after="120" w:line="259"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5064E">
              <w:rPr>
                <w:rFonts w:ascii="Calibri" w:hAnsi="Calibri" w:cs="Calibri"/>
              </w:rPr>
              <w:t>Overall Policy Effectiveness</w:t>
            </w:r>
          </w:p>
        </w:tc>
      </w:tr>
      <w:tr w:rsidR="001109B0" w:rsidRPr="00B5064E" w14:paraId="1AE5EBC8" w14:textId="77777777" w:rsidTr="0039729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282" w:type="pct"/>
            <w:shd w:val="clear" w:color="auto" w:fill="FFFFFF" w:themeFill="background1"/>
            <w:vAlign w:val="center"/>
            <w:hideMark/>
          </w:tcPr>
          <w:p w14:paraId="7935B7FF" w14:textId="77777777" w:rsidR="001109B0" w:rsidRPr="00B5064E" w:rsidRDefault="001109B0" w:rsidP="00C46935">
            <w:pPr>
              <w:spacing w:line="259" w:lineRule="auto"/>
              <w:rPr>
                <w:rFonts w:ascii="Calibri" w:hAnsi="Calibri" w:cs="Calibri"/>
                <w:b w:val="0"/>
                <w:sz w:val="20"/>
                <w:szCs w:val="20"/>
              </w:rPr>
            </w:pPr>
            <w:r w:rsidRPr="00B5064E">
              <w:rPr>
                <w:rFonts w:ascii="Calibri" w:hAnsi="Calibri" w:cs="Calibri"/>
                <w:sz w:val="20"/>
                <w:szCs w:val="20"/>
              </w:rPr>
              <w:t>A0 – Status Quo</w:t>
            </w:r>
          </w:p>
        </w:tc>
        <w:tc>
          <w:tcPr>
            <w:tcW w:w="1961" w:type="pct"/>
            <w:shd w:val="clear" w:color="auto" w:fill="FFFFFF" w:themeFill="background1"/>
            <w:vAlign w:val="center"/>
            <w:hideMark/>
          </w:tcPr>
          <w:p w14:paraId="1CE0A960" w14:textId="1BD4314E" w:rsidR="001109B0" w:rsidRPr="00B5064E" w:rsidRDefault="001109B0" w:rsidP="00C46935">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5064E">
              <w:rPr>
                <w:rFonts w:ascii="Segoe UI Emoji" w:hAnsi="Segoe UI Emoji" w:cs="Segoe UI Emoji"/>
                <w:sz w:val="20"/>
                <w:szCs w:val="20"/>
              </w:rPr>
              <w:t>🔴</w:t>
            </w:r>
            <w:r w:rsidRPr="00B5064E">
              <w:rPr>
                <w:rFonts w:ascii="Calibri" w:hAnsi="Calibri" w:cs="Calibri"/>
                <w:sz w:val="20"/>
                <w:szCs w:val="20"/>
              </w:rPr>
              <w:t xml:space="preserve"> </w:t>
            </w:r>
            <w:r w:rsidRPr="00B5064E">
              <w:rPr>
                <w:rFonts w:ascii="Calibri" w:hAnsi="Calibri" w:cs="Calibri"/>
                <w:b/>
                <w:color w:val="ED0000"/>
                <w:sz w:val="20"/>
                <w:szCs w:val="20"/>
              </w:rPr>
              <w:t>High</w:t>
            </w:r>
            <w:r w:rsidRPr="00B5064E">
              <w:rPr>
                <w:rFonts w:ascii="Calibri" w:hAnsi="Calibri" w:cs="Calibri"/>
                <w:sz w:val="20"/>
                <w:szCs w:val="20"/>
              </w:rPr>
              <w:t xml:space="preserve"> - structural risk (equity &amp; system)</w:t>
            </w:r>
          </w:p>
        </w:tc>
        <w:tc>
          <w:tcPr>
            <w:tcW w:w="1757" w:type="pct"/>
            <w:shd w:val="clear" w:color="auto" w:fill="FFFFFF" w:themeFill="background1"/>
            <w:vAlign w:val="center"/>
            <w:hideMark/>
          </w:tcPr>
          <w:p w14:paraId="71CE858A" w14:textId="77777777" w:rsidR="001109B0" w:rsidRPr="00B5064E" w:rsidRDefault="001109B0" w:rsidP="00C46935">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5064E">
              <w:rPr>
                <w:rFonts w:ascii="Segoe UI Emoji" w:hAnsi="Segoe UI Emoji" w:cs="Segoe UI Emoji"/>
                <w:sz w:val="20"/>
                <w:szCs w:val="20"/>
              </w:rPr>
              <w:t>🔴</w:t>
            </w:r>
            <w:r w:rsidRPr="00B5064E">
              <w:rPr>
                <w:rFonts w:ascii="Calibri" w:hAnsi="Calibri" w:cs="Calibri"/>
                <w:sz w:val="20"/>
                <w:szCs w:val="20"/>
              </w:rPr>
              <w:t xml:space="preserve"> </w:t>
            </w:r>
            <w:r w:rsidRPr="00B5064E">
              <w:rPr>
                <w:rFonts w:ascii="Calibri" w:hAnsi="Calibri" w:cs="Calibri"/>
                <w:b/>
                <w:color w:val="196B24" w:themeColor="accent3"/>
                <w:sz w:val="20"/>
                <w:szCs w:val="20"/>
              </w:rPr>
              <w:t>Low</w:t>
            </w:r>
          </w:p>
        </w:tc>
      </w:tr>
      <w:tr w:rsidR="001109B0" w:rsidRPr="00B5064E" w14:paraId="0A327682" w14:textId="77777777" w:rsidTr="3AE2F883">
        <w:trPr>
          <w:trHeight w:val="402"/>
        </w:trPr>
        <w:tc>
          <w:tcPr>
            <w:cnfStyle w:val="001000000000" w:firstRow="0" w:lastRow="0" w:firstColumn="1" w:lastColumn="0" w:oddVBand="0" w:evenVBand="0" w:oddHBand="0" w:evenHBand="0" w:firstRowFirstColumn="0" w:firstRowLastColumn="0" w:lastRowFirstColumn="0" w:lastRowLastColumn="0"/>
            <w:tcW w:w="1282" w:type="pct"/>
            <w:vAlign w:val="center"/>
            <w:hideMark/>
          </w:tcPr>
          <w:p w14:paraId="019319D2" w14:textId="77777777" w:rsidR="001109B0" w:rsidRPr="00B5064E" w:rsidRDefault="001109B0" w:rsidP="00C46935">
            <w:pPr>
              <w:spacing w:line="259" w:lineRule="auto"/>
              <w:rPr>
                <w:rFonts w:ascii="Calibri" w:hAnsi="Calibri" w:cs="Calibri"/>
                <w:b w:val="0"/>
                <w:sz w:val="20"/>
                <w:szCs w:val="20"/>
              </w:rPr>
            </w:pPr>
            <w:r w:rsidRPr="00B5064E">
              <w:rPr>
                <w:rFonts w:ascii="Calibri" w:hAnsi="Calibri" w:cs="Calibri"/>
                <w:sz w:val="20"/>
                <w:szCs w:val="20"/>
              </w:rPr>
              <w:t>A1 – Regulated SSO</w:t>
            </w:r>
          </w:p>
        </w:tc>
        <w:tc>
          <w:tcPr>
            <w:tcW w:w="1961" w:type="pct"/>
            <w:vAlign w:val="center"/>
            <w:hideMark/>
          </w:tcPr>
          <w:p w14:paraId="03524FAE" w14:textId="21C695A5" w:rsidR="001109B0" w:rsidRPr="00B5064E" w:rsidRDefault="001109B0" w:rsidP="00C46935">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5064E">
              <w:rPr>
                <w:rFonts w:ascii="Segoe UI Emoji" w:hAnsi="Segoe UI Emoji" w:cs="Segoe UI Emoji"/>
                <w:sz w:val="20"/>
                <w:szCs w:val="20"/>
              </w:rPr>
              <w:t>🟠</w:t>
            </w:r>
            <w:r w:rsidRPr="00B5064E">
              <w:rPr>
                <w:rFonts w:ascii="Calibri" w:hAnsi="Calibri" w:cs="Calibri"/>
                <w:sz w:val="20"/>
                <w:szCs w:val="20"/>
              </w:rPr>
              <w:t xml:space="preserve"> </w:t>
            </w:r>
            <w:r w:rsidRPr="00B5064E">
              <w:rPr>
                <w:rFonts w:ascii="Calibri" w:hAnsi="Calibri" w:cs="Calibri"/>
                <w:b/>
                <w:color w:val="BF4E14" w:themeColor="accent2" w:themeShade="BF"/>
                <w:sz w:val="20"/>
                <w:szCs w:val="20"/>
              </w:rPr>
              <w:t>Moderate</w:t>
            </w:r>
            <w:r w:rsidRPr="00B5064E">
              <w:rPr>
                <w:rFonts w:ascii="Calibri" w:hAnsi="Calibri" w:cs="Calibri"/>
                <w:sz w:val="20"/>
                <w:szCs w:val="20"/>
              </w:rPr>
              <w:t xml:space="preserve"> - implementation risk (manageable)</w:t>
            </w:r>
          </w:p>
        </w:tc>
        <w:tc>
          <w:tcPr>
            <w:tcW w:w="1757" w:type="pct"/>
            <w:vAlign w:val="center"/>
            <w:hideMark/>
          </w:tcPr>
          <w:p w14:paraId="07C77725" w14:textId="77777777" w:rsidR="001109B0" w:rsidRPr="00B5064E" w:rsidRDefault="001109B0" w:rsidP="00C46935">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5064E">
              <w:rPr>
                <w:rFonts w:ascii="Segoe UI Emoji" w:hAnsi="Segoe UI Emoji" w:cs="Segoe UI Emoji"/>
                <w:sz w:val="20"/>
                <w:szCs w:val="20"/>
              </w:rPr>
              <w:t>🟢</w:t>
            </w:r>
            <w:r w:rsidRPr="00B5064E">
              <w:rPr>
                <w:rFonts w:ascii="Calibri" w:hAnsi="Calibri" w:cs="Calibri"/>
                <w:sz w:val="20"/>
                <w:szCs w:val="20"/>
              </w:rPr>
              <w:t xml:space="preserve"> </w:t>
            </w:r>
            <w:r w:rsidRPr="00B5064E">
              <w:rPr>
                <w:rFonts w:ascii="Calibri" w:hAnsi="Calibri" w:cs="Calibri"/>
                <w:b/>
                <w:color w:val="ED0000"/>
                <w:sz w:val="20"/>
                <w:szCs w:val="20"/>
              </w:rPr>
              <w:t>High</w:t>
            </w:r>
          </w:p>
        </w:tc>
      </w:tr>
      <w:tr w:rsidR="001109B0" w:rsidRPr="00B5064E" w14:paraId="2BC78CFE" w14:textId="77777777" w:rsidTr="00397291">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282" w:type="pct"/>
            <w:tcBorders>
              <w:bottom w:val="single" w:sz="4" w:space="0" w:color="D1D1D1" w:themeColor="background2" w:themeShade="E6"/>
            </w:tcBorders>
            <w:shd w:val="clear" w:color="auto" w:fill="FFFFFF" w:themeFill="background1"/>
            <w:vAlign w:val="center"/>
            <w:hideMark/>
          </w:tcPr>
          <w:p w14:paraId="4CF91CEF" w14:textId="77777777" w:rsidR="001109B0" w:rsidRPr="00B5064E" w:rsidRDefault="001109B0" w:rsidP="00C46935">
            <w:pPr>
              <w:spacing w:line="259" w:lineRule="auto"/>
              <w:rPr>
                <w:rFonts w:ascii="Calibri" w:hAnsi="Calibri" w:cs="Calibri"/>
                <w:b w:val="0"/>
                <w:sz w:val="20"/>
                <w:szCs w:val="20"/>
              </w:rPr>
            </w:pPr>
            <w:r w:rsidRPr="00B5064E">
              <w:rPr>
                <w:rFonts w:ascii="Calibri" w:hAnsi="Calibri" w:cs="Calibri"/>
                <w:sz w:val="20"/>
                <w:szCs w:val="20"/>
              </w:rPr>
              <w:t>A2 – Voluntary Code / Guideline</w:t>
            </w:r>
          </w:p>
        </w:tc>
        <w:tc>
          <w:tcPr>
            <w:tcW w:w="1961" w:type="pct"/>
            <w:tcBorders>
              <w:bottom w:val="single" w:sz="4" w:space="0" w:color="D1D1D1" w:themeColor="background2" w:themeShade="E6"/>
            </w:tcBorders>
            <w:shd w:val="clear" w:color="auto" w:fill="FFFFFF" w:themeFill="background1"/>
            <w:vAlign w:val="center"/>
            <w:hideMark/>
          </w:tcPr>
          <w:p w14:paraId="0BD7D70D" w14:textId="77777777" w:rsidR="001109B0" w:rsidRPr="00B5064E" w:rsidRDefault="001109B0" w:rsidP="00C46935">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5064E">
              <w:rPr>
                <w:rFonts w:ascii="Segoe UI Emoji" w:hAnsi="Segoe UI Emoji" w:cs="Segoe UI Emoji"/>
                <w:sz w:val="20"/>
                <w:szCs w:val="20"/>
              </w:rPr>
              <w:t>🟠</w:t>
            </w:r>
            <w:r w:rsidRPr="00B5064E">
              <w:rPr>
                <w:rFonts w:ascii="Calibri" w:hAnsi="Calibri" w:cs="Calibri"/>
                <w:sz w:val="20"/>
                <w:szCs w:val="20"/>
              </w:rPr>
              <w:t>–</w:t>
            </w:r>
            <w:r w:rsidRPr="00B5064E">
              <w:rPr>
                <w:rFonts w:ascii="Segoe UI Emoji" w:hAnsi="Segoe UI Emoji" w:cs="Segoe UI Emoji"/>
                <w:sz w:val="20"/>
                <w:szCs w:val="20"/>
              </w:rPr>
              <w:t>🔴</w:t>
            </w:r>
            <w:r w:rsidRPr="00B5064E">
              <w:rPr>
                <w:rFonts w:ascii="Calibri" w:hAnsi="Calibri" w:cs="Calibri"/>
                <w:sz w:val="20"/>
                <w:szCs w:val="20"/>
              </w:rPr>
              <w:t xml:space="preserve"> </w:t>
            </w:r>
            <w:r w:rsidRPr="00B5064E">
              <w:rPr>
                <w:rFonts w:ascii="Calibri" w:hAnsi="Calibri" w:cs="Calibri"/>
                <w:b/>
                <w:color w:val="156082" w:themeColor="accent1"/>
                <w:sz w:val="20"/>
                <w:szCs w:val="20"/>
              </w:rPr>
              <w:t>Mixed risk</w:t>
            </w:r>
            <w:r w:rsidRPr="00B5064E">
              <w:rPr>
                <w:rFonts w:ascii="Calibri" w:hAnsi="Calibri" w:cs="Calibri"/>
                <w:sz w:val="20"/>
                <w:szCs w:val="20"/>
              </w:rPr>
              <w:t>, lower certainty</w:t>
            </w:r>
          </w:p>
        </w:tc>
        <w:tc>
          <w:tcPr>
            <w:tcW w:w="1757" w:type="pct"/>
            <w:tcBorders>
              <w:bottom w:val="single" w:sz="4" w:space="0" w:color="D1D1D1" w:themeColor="background2" w:themeShade="E6"/>
            </w:tcBorders>
            <w:shd w:val="clear" w:color="auto" w:fill="FFFFFF" w:themeFill="background1"/>
            <w:vAlign w:val="center"/>
            <w:hideMark/>
          </w:tcPr>
          <w:p w14:paraId="7261C4CB" w14:textId="0E7BF42F" w:rsidR="001109B0" w:rsidRPr="00B5064E" w:rsidRDefault="001109B0" w:rsidP="00C46935">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5064E">
              <w:rPr>
                <w:rFonts w:ascii="Segoe UI Emoji" w:hAnsi="Segoe UI Emoji" w:cs="Segoe UI Emoji"/>
                <w:sz w:val="20"/>
                <w:szCs w:val="20"/>
              </w:rPr>
              <w:t>🔴</w:t>
            </w:r>
            <w:r w:rsidRPr="00B5064E">
              <w:rPr>
                <w:rFonts w:ascii="Calibri" w:hAnsi="Calibri" w:cs="Calibri"/>
                <w:b/>
                <w:color w:val="196B24" w:themeColor="accent3"/>
                <w:sz w:val="20"/>
                <w:szCs w:val="20"/>
              </w:rPr>
              <w:t xml:space="preserve"> Low</w:t>
            </w:r>
          </w:p>
        </w:tc>
      </w:tr>
    </w:tbl>
    <w:p w14:paraId="63A72454" w14:textId="62423522" w:rsidR="003F40A4" w:rsidRPr="00B5064E" w:rsidRDefault="00DB320A" w:rsidP="002421AC">
      <w:pPr>
        <w:spacing w:before="120" w:after="0"/>
        <w:rPr>
          <w:rFonts w:ascii="Calibri" w:hAnsi="Calibri" w:cs="Calibri"/>
          <w:b/>
          <w:sz w:val="20"/>
          <w:szCs w:val="20"/>
        </w:rPr>
      </w:pPr>
      <w:r w:rsidRPr="00B5064E">
        <w:rPr>
          <w:rFonts w:ascii="Calibri" w:hAnsi="Calibri" w:cs="Calibri"/>
          <w:i/>
          <w:iCs/>
          <w:sz w:val="20"/>
          <w:szCs w:val="20"/>
        </w:rPr>
        <w:t>Table</w:t>
      </w:r>
      <w:r w:rsidRPr="00B5064E">
        <w:rPr>
          <w:rFonts w:ascii="Calibri" w:hAnsi="Calibri" w:cs="Calibri"/>
          <w:i/>
          <w:sz w:val="20"/>
          <w:szCs w:val="20"/>
        </w:rPr>
        <w:t xml:space="preserve"> 1</w:t>
      </w:r>
      <w:r w:rsidR="00D37C27">
        <w:rPr>
          <w:rFonts w:ascii="Calibri" w:hAnsi="Calibri" w:cs="Calibri"/>
          <w:i/>
          <w:sz w:val="20"/>
          <w:szCs w:val="20"/>
        </w:rPr>
        <w:t>4</w:t>
      </w:r>
      <w:r w:rsidRPr="00B5064E">
        <w:rPr>
          <w:rFonts w:ascii="Calibri" w:hAnsi="Calibri" w:cs="Calibri"/>
          <w:i/>
          <w:iCs/>
          <w:sz w:val="20"/>
          <w:szCs w:val="20"/>
        </w:rPr>
        <w:t xml:space="preserve">: </w:t>
      </w:r>
      <w:r w:rsidRPr="00B5064E">
        <w:rPr>
          <w:rFonts w:ascii="Calibri" w:hAnsi="Calibri" w:cs="Calibri"/>
          <w:i/>
          <w:sz w:val="20"/>
          <w:szCs w:val="20"/>
        </w:rPr>
        <w:t>Summary of net benefits</w:t>
      </w:r>
    </w:p>
    <w:tbl>
      <w:tblPr>
        <w:tblStyle w:val="SynergiesTable"/>
        <w:tblW w:w="9638" w:type="dxa"/>
        <w:tblLook w:val="04A0" w:firstRow="1" w:lastRow="0" w:firstColumn="1" w:lastColumn="0" w:noHBand="0" w:noVBand="1"/>
      </w:tblPr>
      <w:tblGrid>
        <w:gridCol w:w="1894"/>
        <w:gridCol w:w="1462"/>
        <w:gridCol w:w="1579"/>
        <w:gridCol w:w="1401"/>
        <w:gridCol w:w="1478"/>
        <w:gridCol w:w="1824"/>
      </w:tblGrid>
      <w:tr w:rsidR="003417FA" w:rsidRPr="00B5064E" w14:paraId="33EB7549" w14:textId="77777777" w:rsidTr="3AE2F883">
        <w:trPr>
          <w:cnfStyle w:val="100000000000" w:firstRow="1" w:lastRow="0" w:firstColumn="0" w:lastColumn="0" w:oddVBand="0" w:evenVBand="0" w:oddHBand="0" w:evenHBand="0" w:firstRowFirstColumn="0" w:firstRowLastColumn="0" w:lastRowFirstColumn="0" w:lastRowLastColumn="0"/>
        </w:trPr>
        <w:tc>
          <w:tcPr>
            <w:tcW w:w="1894" w:type="dxa"/>
            <w:vAlign w:val="center"/>
            <w:hideMark/>
          </w:tcPr>
          <w:p w14:paraId="7D9A7584" w14:textId="77777777" w:rsidR="003F40A4" w:rsidRPr="00B5064E" w:rsidRDefault="003F40A4" w:rsidP="00DD4EAC">
            <w:pPr>
              <w:spacing w:line="259" w:lineRule="auto"/>
              <w:jc w:val="center"/>
              <w:rPr>
                <w:rFonts w:ascii="Calibri" w:hAnsi="Calibri" w:cs="Calibri"/>
                <w:b/>
                <w:sz w:val="22"/>
              </w:rPr>
            </w:pPr>
            <w:r w:rsidRPr="00B5064E">
              <w:rPr>
                <w:rFonts w:ascii="Calibri" w:hAnsi="Calibri" w:cs="Calibri"/>
                <w:b/>
                <w:sz w:val="22"/>
              </w:rPr>
              <w:t>Option</w:t>
            </w:r>
          </w:p>
        </w:tc>
        <w:tc>
          <w:tcPr>
            <w:tcW w:w="1462" w:type="dxa"/>
            <w:vAlign w:val="center"/>
            <w:hideMark/>
          </w:tcPr>
          <w:p w14:paraId="299B3CF2" w14:textId="77777777" w:rsidR="003F40A4" w:rsidRPr="00B5064E" w:rsidRDefault="003F40A4" w:rsidP="00DD4EAC">
            <w:pPr>
              <w:spacing w:line="259" w:lineRule="auto"/>
              <w:jc w:val="center"/>
              <w:rPr>
                <w:rFonts w:ascii="Calibri" w:hAnsi="Calibri" w:cs="Calibri"/>
                <w:b/>
                <w:sz w:val="22"/>
              </w:rPr>
            </w:pPr>
            <w:r w:rsidRPr="00B5064E">
              <w:rPr>
                <w:rFonts w:ascii="Calibri" w:hAnsi="Calibri" w:cs="Calibri"/>
                <w:b/>
                <w:sz w:val="22"/>
              </w:rPr>
              <w:t>Regulatory Burden</w:t>
            </w:r>
          </w:p>
        </w:tc>
        <w:tc>
          <w:tcPr>
            <w:tcW w:w="1579" w:type="dxa"/>
            <w:vAlign w:val="center"/>
            <w:hideMark/>
          </w:tcPr>
          <w:p w14:paraId="437DCA49" w14:textId="77777777" w:rsidR="003F40A4" w:rsidRPr="00B5064E" w:rsidRDefault="003F40A4" w:rsidP="00DD4EAC">
            <w:pPr>
              <w:spacing w:line="259" w:lineRule="auto"/>
              <w:jc w:val="center"/>
              <w:rPr>
                <w:rFonts w:ascii="Calibri" w:hAnsi="Calibri" w:cs="Calibri"/>
                <w:b/>
                <w:sz w:val="22"/>
              </w:rPr>
            </w:pPr>
            <w:r w:rsidRPr="00B5064E">
              <w:rPr>
                <w:rFonts w:ascii="Calibri" w:hAnsi="Calibri" w:cs="Calibri"/>
                <w:b/>
                <w:sz w:val="22"/>
              </w:rPr>
              <w:t>Equity Improvement</w:t>
            </w:r>
          </w:p>
        </w:tc>
        <w:tc>
          <w:tcPr>
            <w:tcW w:w="1401" w:type="dxa"/>
            <w:vAlign w:val="center"/>
            <w:hideMark/>
          </w:tcPr>
          <w:p w14:paraId="4BC6191A" w14:textId="77777777" w:rsidR="003F40A4" w:rsidRPr="00B5064E" w:rsidRDefault="003F40A4" w:rsidP="00DD4EAC">
            <w:pPr>
              <w:spacing w:line="259" w:lineRule="auto"/>
              <w:jc w:val="center"/>
              <w:rPr>
                <w:rFonts w:ascii="Calibri" w:hAnsi="Calibri" w:cs="Calibri"/>
                <w:b/>
                <w:sz w:val="22"/>
              </w:rPr>
            </w:pPr>
            <w:r w:rsidRPr="00B5064E">
              <w:rPr>
                <w:rFonts w:ascii="Calibri" w:hAnsi="Calibri" w:cs="Calibri"/>
                <w:b/>
                <w:sz w:val="22"/>
              </w:rPr>
              <w:t>System Efficiency</w:t>
            </w:r>
          </w:p>
        </w:tc>
        <w:tc>
          <w:tcPr>
            <w:tcW w:w="1478" w:type="dxa"/>
            <w:vAlign w:val="center"/>
            <w:hideMark/>
          </w:tcPr>
          <w:p w14:paraId="09BDD856" w14:textId="77777777" w:rsidR="003F40A4" w:rsidRPr="00B5064E" w:rsidRDefault="003F40A4" w:rsidP="00DD4EAC">
            <w:pPr>
              <w:spacing w:line="259" w:lineRule="auto"/>
              <w:jc w:val="center"/>
              <w:rPr>
                <w:rFonts w:ascii="Calibri" w:hAnsi="Calibri" w:cs="Calibri"/>
                <w:b/>
                <w:sz w:val="22"/>
              </w:rPr>
            </w:pPr>
            <w:r w:rsidRPr="00B5064E">
              <w:rPr>
                <w:rFonts w:ascii="Calibri" w:hAnsi="Calibri" w:cs="Calibri"/>
                <w:b/>
                <w:sz w:val="22"/>
              </w:rPr>
              <w:t>Certainty of Impact</w:t>
            </w:r>
          </w:p>
        </w:tc>
        <w:tc>
          <w:tcPr>
            <w:tcW w:w="1824" w:type="dxa"/>
            <w:vAlign w:val="center"/>
            <w:hideMark/>
          </w:tcPr>
          <w:p w14:paraId="5320FF35" w14:textId="77777777" w:rsidR="003F40A4" w:rsidRPr="00B5064E" w:rsidRDefault="003F40A4" w:rsidP="00DD4EAC">
            <w:pPr>
              <w:spacing w:line="259" w:lineRule="auto"/>
              <w:jc w:val="center"/>
              <w:rPr>
                <w:rFonts w:ascii="Calibri" w:hAnsi="Calibri" w:cs="Calibri"/>
                <w:b/>
                <w:sz w:val="22"/>
              </w:rPr>
            </w:pPr>
            <w:r w:rsidRPr="00B5064E">
              <w:rPr>
                <w:rFonts w:ascii="Calibri" w:hAnsi="Calibri" w:cs="Calibri"/>
                <w:b/>
                <w:sz w:val="22"/>
              </w:rPr>
              <w:t>Overall Net Benefit</w:t>
            </w:r>
          </w:p>
        </w:tc>
      </w:tr>
      <w:tr w:rsidR="008074EF" w:rsidRPr="00B5064E" w14:paraId="53BB4D5C" w14:textId="77777777" w:rsidTr="3AE2F883">
        <w:tc>
          <w:tcPr>
            <w:tcW w:w="1894" w:type="dxa"/>
            <w:hideMark/>
          </w:tcPr>
          <w:p w14:paraId="6AFF53F9" w14:textId="77777777" w:rsidR="003F40A4" w:rsidRPr="00B5064E" w:rsidRDefault="003F40A4" w:rsidP="00EE57AD">
            <w:pPr>
              <w:spacing w:line="259" w:lineRule="auto"/>
              <w:rPr>
                <w:rFonts w:ascii="Calibri" w:hAnsi="Calibri" w:cs="Calibri"/>
                <w:b/>
                <w:sz w:val="22"/>
              </w:rPr>
            </w:pPr>
            <w:r w:rsidRPr="00B5064E">
              <w:rPr>
                <w:rFonts w:ascii="Calibri" w:hAnsi="Calibri" w:cs="Calibri"/>
                <w:b/>
                <w:sz w:val="22"/>
              </w:rPr>
              <w:t>A0 – Status quo</w:t>
            </w:r>
          </w:p>
        </w:tc>
        <w:tc>
          <w:tcPr>
            <w:tcW w:w="1462" w:type="dxa"/>
            <w:shd w:val="clear" w:color="auto" w:fill="FE8A8A"/>
            <w:vAlign w:val="center"/>
            <w:hideMark/>
          </w:tcPr>
          <w:p w14:paraId="60456B38" w14:textId="77777777" w:rsidR="003F40A4" w:rsidRPr="00B5064E" w:rsidRDefault="003F40A4" w:rsidP="00EE57AD">
            <w:pPr>
              <w:spacing w:line="259" w:lineRule="auto"/>
              <w:jc w:val="center"/>
              <w:rPr>
                <w:rFonts w:ascii="Calibri" w:hAnsi="Calibri" w:cs="Calibri"/>
                <w:b/>
                <w:bCs/>
                <w:sz w:val="22"/>
              </w:rPr>
            </w:pPr>
            <w:r w:rsidRPr="00B5064E">
              <w:rPr>
                <w:rFonts w:ascii="Calibri" w:hAnsi="Calibri" w:cs="Calibri"/>
                <w:b/>
                <w:bCs/>
                <w:sz w:val="22"/>
              </w:rPr>
              <w:t>Very Low</w:t>
            </w:r>
          </w:p>
        </w:tc>
        <w:tc>
          <w:tcPr>
            <w:tcW w:w="1579" w:type="dxa"/>
            <w:shd w:val="clear" w:color="auto" w:fill="FE8A8A"/>
            <w:vAlign w:val="center"/>
            <w:hideMark/>
          </w:tcPr>
          <w:p w14:paraId="622F359C" w14:textId="5FCE1953" w:rsidR="003F40A4" w:rsidRPr="00B5064E" w:rsidRDefault="003F40A4" w:rsidP="00EE57AD">
            <w:pPr>
              <w:spacing w:line="259" w:lineRule="auto"/>
              <w:jc w:val="center"/>
              <w:rPr>
                <w:rFonts w:ascii="Calibri" w:hAnsi="Calibri" w:cs="Calibri"/>
                <w:b/>
                <w:bCs/>
                <w:sz w:val="22"/>
              </w:rPr>
            </w:pPr>
            <w:r w:rsidRPr="00B5064E">
              <w:rPr>
                <w:rFonts w:ascii="Calibri" w:hAnsi="Calibri" w:cs="Calibri"/>
                <w:b/>
                <w:bCs/>
                <w:sz w:val="22"/>
              </w:rPr>
              <w:t>Lo</w:t>
            </w:r>
            <w:r w:rsidR="008074EF" w:rsidRPr="00B5064E">
              <w:rPr>
                <w:rFonts w:ascii="Calibri" w:hAnsi="Calibri" w:cs="Calibri"/>
                <w:b/>
                <w:bCs/>
                <w:sz w:val="22"/>
              </w:rPr>
              <w:t>w</w:t>
            </w:r>
          </w:p>
        </w:tc>
        <w:tc>
          <w:tcPr>
            <w:tcW w:w="1401" w:type="dxa"/>
            <w:shd w:val="clear" w:color="auto" w:fill="FE8A8A"/>
            <w:vAlign w:val="center"/>
            <w:hideMark/>
          </w:tcPr>
          <w:p w14:paraId="48287B96" w14:textId="77777777" w:rsidR="003F40A4" w:rsidRPr="00B5064E" w:rsidRDefault="003F40A4" w:rsidP="00EE57AD">
            <w:pPr>
              <w:spacing w:line="259" w:lineRule="auto"/>
              <w:jc w:val="center"/>
              <w:rPr>
                <w:rFonts w:ascii="Calibri" w:hAnsi="Calibri" w:cs="Calibri"/>
                <w:b/>
                <w:bCs/>
                <w:sz w:val="22"/>
              </w:rPr>
            </w:pPr>
            <w:r w:rsidRPr="00B5064E">
              <w:rPr>
                <w:rFonts w:ascii="Calibri" w:hAnsi="Calibri" w:cs="Calibri"/>
                <w:b/>
                <w:bCs/>
                <w:sz w:val="22"/>
              </w:rPr>
              <w:t>Low</w:t>
            </w:r>
          </w:p>
        </w:tc>
        <w:tc>
          <w:tcPr>
            <w:tcW w:w="1478" w:type="dxa"/>
            <w:shd w:val="clear" w:color="auto" w:fill="FE8A8A"/>
            <w:vAlign w:val="center"/>
            <w:hideMark/>
          </w:tcPr>
          <w:p w14:paraId="541A0222" w14:textId="77777777" w:rsidR="003F40A4" w:rsidRPr="00B5064E" w:rsidRDefault="003F40A4" w:rsidP="00EE57AD">
            <w:pPr>
              <w:spacing w:line="259" w:lineRule="auto"/>
              <w:jc w:val="center"/>
              <w:rPr>
                <w:rFonts w:ascii="Calibri" w:hAnsi="Calibri" w:cs="Calibri"/>
                <w:b/>
                <w:bCs/>
                <w:sz w:val="22"/>
              </w:rPr>
            </w:pPr>
            <w:r w:rsidRPr="00B5064E">
              <w:rPr>
                <w:rFonts w:ascii="Calibri" w:hAnsi="Calibri" w:cs="Calibri"/>
                <w:b/>
                <w:bCs/>
                <w:sz w:val="22"/>
              </w:rPr>
              <w:t>Low</w:t>
            </w:r>
          </w:p>
        </w:tc>
        <w:tc>
          <w:tcPr>
            <w:tcW w:w="1824" w:type="dxa"/>
            <w:shd w:val="clear" w:color="auto" w:fill="FFC000"/>
            <w:vAlign w:val="center"/>
            <w:hideMark/>
          </w:tcPr>
          <w:p w14:paraId="04D0A7A0" w14:textId="77777777" w:rsidR="003F40A4" w:rsidRPr="00B5064E" w:rsidRDefault="003F40A4" w:rsidP="00EE57AD">
            <w:pPr>
              <w:spacing w:line="259" w:lineRule="auto"/>
              <w:jc w:val="center"/>
              <w:rPr>
                <w:rFonts w:ascii="Calibri" w:hAnsi="Calibri" w:cs="Calibri"/>
                <w:b/>
                <w:bCs/>
                <w:sz w:val="22"/>
              </w:rPr>
            </w:pPr>
            <w:r w:rsidRPr="00B5064E">
              <w:rPr>
                <w:rFonts w:ascii="Calibri" w:hAnsi="Calibri" w:cs="Calibri"/>
                <w:b/>
                <w:bCs/>
                <w:sz w:val="22"/>
              </w:rPr>
              <w:t>Low–Moderate</w:t>
            </w:r>
          </w:p>
        </w:tc>
      </w:tr>
      <w:tr w:rsidR="008074EF" w:rsidRPr="00B5064E" w14:paraId="0476A594" w14:textId="77777777" w:rsidTr="3AE2F883">
        <w:tc>
          <w:tcPr>
            <w:tcW w:w="1894" w:type="dxa"/>
            <w:hideMark/>
          </w:tcPr>
          <w:p w14:paraId="5393B104" w14:textId="77777777" w:rsidR="003F40A4" w:rsidRPr="00B5064E" w:rsidRDefault="003F40A4" w:rsidP="00EE57AD">
            <w:pPr>
              <w:spacing w:line="259" w:lineRule="auto"/>
              <w:rPr>
                <w:rFonts w:ascii="Calibri" w:hAnsi="Calibri" w:cs="Calibri"/>
                <w:b/>
                <w:sz w:val="22"/>
              </w:rPr>
            </w:pPr>
            <w:r w:rsidRPr="00B5064E">
              <w:rPr>
                <w:rFonts w:ascii="Calibri" w:hAnsi="Calibri" w:cs="Calibri"/>
                <w:b/>
                <w:sz w:val="22"/>
              </w:rPr>
              <w:t xml:space="preserve">A2 </w:t>
            </w:r>
            <w:r w:rsidRPr="008A4591">
              <w:rPr>
                <w:rFonts w:ascii="Calibri" w:hAnsi="Calibri" w:cs="Calibri"/>
                <w:b/>
                <w:sz w:val="22"/>
                <w:shd w:val="clear" w:color="auto" w:fill="F2F2F2" w:themeFill="background1" w:themeFillShade="F2"/>
              </w:rPr>
              <w:t>– Voluntary code</w:t>
            </w:r>
          </w:p>
        </w:tc>
        <w:tc>
          <w:tcPr>
            <w:tcW w:w="1462" w:type="dxa"/>
            <w:shd w:val="clear" w:color="auto" w:fill="FE8A8A"/>
            <w:vAlign w:val="center"/>
            <w:hideMark/>
          </w:tcPr>
          <w:p w14:paraId="63FAC430" w14:textId="3947ADC2" w:rsidR="003F40A4" w:rsidRPr="00B5064E" w:rsidRDefault="003F40A4" w:rsidP="00EE57AD">
            <w:pPr>
              <w:spacing w:line="259" w:lineRule="auto"/>
              <w:jc w:val="center"/>
              <w:rPr>
                <w:rFonts w:ascii="Calibri" w:hAnsi="Calibri" w:cs="Calibri"/>
                <w:b/>
                <w:bCs/>
                <w:sz w:val="22"/>
              </w:rPr>
            </w:pPr>
            <w:r w:rsidRPr="00B5064E">
              <w:rPr>
                <w:rFonts w:ascii="Calibri" w:hAnsi="Calibri" w:cs="Calibri"/>
                <w:b/>
                <w:bCs/>
                <w:sz w:val="22"/>
              </w:rPr>
              <w:t>L</w:t>
            </w:r>
            <w:r w:rsidR="008074EF" w:rsidRPr="00B5064E">
              <w:rPr>
                <w:rFonts w:ascii="Calibri" w:hAnsi="Calibri" w:cs="Calibri"/>
                <w:b/>
                <w:bCs/>
                <w:sz w:val="22"/>
              </w:rPr>
              <w:t>ow</w:t>
            </w:r>
          </w:p>
        </w:tc>
        <w:tc>
          <w:tcPr>
            <w:tcW w:w="1579" w:type="dxa"/>
            <w:shd w:val="clear" w:color="auto" w:fill="FFC000"/>
            <w:vAlign w:val="center"/>
            <w:hideMark/>
          </w:tcPr>
          <w:p w14:paraId="26454832" w14:textId="77777777" w:rsidR="003F40A4" w:rsidRPr="00B5064E" w:rsidRDefault="003F40A4" w:rsidP="00EE57AD">
            <w:pPr>
              <w:spacing w:line="259" w:lineRule="auto"/>
              <w:jc w:val="center"/>
              <w:rPr>
                <w:rFonts w:ascii="Calibri" w:hAnsi="Calibri" w:cs="Calibri"/>
                <w:b/>
                <w:bCs/>
                <w:sz w:val="22"/>
              </w:rPr>
            </w:pPr>
            <w:r w:rsidRPr="00B5064E">
              <w:rPr>
                <w:rFonts w:ascii="Calibri" w:hAnsi="Calibri" w:cs="Calibri"/>
                <w:b/>
                <w:bCs/>
                <w:sz w:val="22"/>
              </w:rPr>
              <w:t>Moderate (if adopted)</w:t>
            </w:r>
          </w:p>
        </w:tc>
        <w:tc>
          <w:tcPr>
            <w:tcW w:w="1401" w:type="dxa"/>
            <w:shd w:val="clear" w:color="auto" w:fill="FFC000"/>
            <w:vAlign w:val="center"/>
            <w:hideMark/>
          </w:tcPr>
          <w:p w14:paraId="4AEF6913" w14:textId="62476A93" w:rsidR="003F40A4" w:rsidRPr="00B5064E" w:rsidRDefault="003F40A4" w:rsidP="00EE57AD">
            <w:pPr>
              <w:spacing w:line="259" w:lineRule="auto"/>
              <w:jc w:val="center"/>
              <w:rPr>
                <w:rFonts w:ascii="Calibri" w:hAnsi="Calibri" w:cs="Calibri"/>
                <w:b/>
                <w:bCs/>
                <w:sz w:val="22"/>
              </w:rPr>
            </w:pPr>
            <w:r w:rsidRPr="00B5064E">
              <w:rPr>
                <w:rFonts w:ascii="Calibri" w:hAnsi="Calibri" w:cs="Calibri"/>
                <w:b/>
                <w:bCs/>
                <w:sz w:val="22"/>
              </w:rPr>
              <w:t>Mo</w:t>
            </w:r>
            <w:r w:rsidR="008074EF" w:rsidRPr="00B5064E">
              <w:rPr>
                <w:rFonts w:ascii="Calibri" w:hAnsi="Calibri" w:cs="Calibri"/>
                <w:b/>
                <w:bCs/>
                <w:sz w:val="22"/>
              </w:rPr>
              <w:t>derate</w:t>
            </w:r>
          </w:p>
        </w:tc>
        <w:tc>
          <w:tcPr>
            <w:tcW w:w="1478" w:type="dxa"/>
            <w:shd w:val="clear" w:color="auto" w:fill="FFC000"/>
            <w:vAlign w:val="center"/>
            <w:hideMark/>
          </w:tcPr>
          <w:p w14:paraId="5D9EDF9B" w14:textId="77777777" w:rsidR="003F40A4" w:rsidRPr="00B5064E" w:rsidRDefault="003F40A4" w:rsidP="00EE57AD">
            <w:pPr>
              <w:spacing w:line="259" w:lineRule="auto"/>
              <w:jc w:val="center"/>
              <w:rPr>
                <w:rFonts w:ascii="Calibri" w:hAnsi="Calibri" w:cs="Calibri"/>
                <w:b/>
                <w:bCs/>
                <w:sz w:val="22"/>
              </w:rPr>
            </w:pPr>
            <w:r w:rsidRPr="00B5064E">
              <w:rPr>
                <w:rFonts w:ascii="Calibri" w:hAnsi="Calibri" w:cs="Calibri"/>
                <w:b/>
                <w:bCs/>
                <w:sz w:val="22"/>
              </w:rPr>
              <w:t>Low–Moderate</w:t>
            </w:r>
          </w:p>
        </w:tc>
        <w:tc>
          <w:tcPr>
            <w:tcW w:w="1824" w:type="dxa"/>
            <w:shd w:val="clear" w:color="auto" w:fill="FFC000"/>
            <w:vAlign w:val="center"/>
            <w:hideMark/>
          </w:tcPr>
          <w:p w14:paraId="32F5381E" w14:textId="230D2CAA" w:rsidR="003F40A4" w:rsidRPr="00B5064E" w:rsidRDefault="003F40A4" w:rsidP="00EE57AD">
            <w:pPr>
              <w:spacing w:line="259" w:lineRule="auto"/>
              <w:jc w:val="center"/>
              <w:rPr>
                <w:rFonts w:ascii="Calibri" w:hAnsi="Calibri" w:cs="Calibri"/>
                <w:b/>
                <w:bCs/>
                <w:sz w:val="22"/>
              </w:rPr>
            </w:pPr>
            <w:r w:rsidRPr="00B5064E">
              <w:rPr>
                <w:rFonts w:ascii="Calibri" w:hAnsi="Calibri" w:cs="Calibri"/>
                <w:b/>
                <w:bCs/>
                <w:sz w:val="22"/>
              </w:rPr>
              <w:t>M</w:t>
            </w:r>
            <w:r w:rsidR="008074EF" w:rsidRPr="00B5064E">
              <w:rPr>
                <w:rFonts w:ascii="Calibri" w:hAnsi="Calibri" w:cs="Calibri"/>
                <w:b/>
                <w:bCs/>
                <w:sz w:val="22"/>
              </w:rPr>
              <w:t>oderate</w:t>
            </w:r>
          </w:p>
        </w:tc>
      </w:tr>
      <w:tr w:rsidR="00BE5F7E" w:rsidRPr="00B5064E" w14:paraId="4B975A5E" w14:textId="77777777" w:rsidTr="3AE2F883">
        <w:tc>
          <w:tcPr>
            <w:tcW w:w="1894" w:type="dxa"/>
            <w:hideMark/>
          </w:tcPr>
          <w:p w14:paraId="56BAC79A" w14:textId="77777777" w:rsidR="003F40A4" w:rsidRPr="00B5064E" w:rsidRDefault="003F40A4" w:rsidP="00EE57AD">
            <w:pPr>
              <w:spacing w:line="259" w:lineRule="auto"/>
              <w:rPr>
                <w:rFonts w:ascii="Calibri" w:hAnsi="Calibri" w:cs="Calibri"/>
                <w:b/>
                <w:sz w:val="22"/>
              </w:rPr>
            </w:pPr>
            <w:r w:rsidRPr="00B5064E">
              <w:rPr>
                <w:rFonts w:ascii="Calibri" w:hAnsi="Calibri" w:cs="Calibri"/>
                <w:b/>
                <w:sz w:val="22"/>
              </w:rPr>
              <w:t>A1 – Regulated SSO</w:t>
            </w:r>
          </w:p>
        </w:tc>
        <w:tc>
          <w:tcPr>
            <w:tcW w:w="1462" w:type="dxa"/>
            <w:shd w:val="clear" w:color="auto" w:fill="FFC000"/>
            <w:vAlign w:val="center"/>
            <w:hideMark/>
          </w:tcPr>
          <w:p w14:paraId="5688388F" w14:textId="77777777" w:rsidR="003F40A4" w:rsidRPr="00B5064E" w:rsidRDefault="003F40A4" w:rsidP="00EE57AD">
            <w:pPr>
              <w:spacing w:line="259" w:lineRule="auto"/>
              <w:jc w:val="center"/>
              <w:rPr>
                <w:rFonts w:ascii="Calibri" w:hAnsi="Calibri" w:cs="Calibri"/>
                <w:b/>
                <w:bCs/>
                <w:sz w:val="22"/>
              </w:rPr>
            </w:pPr>
            <w:r w:rsidRPr="00B5064E">
              <w:rPr>
                <w:rFonts w:ascii="Calibri" w:hAnsi="Calibri" w:cs="Calibri"/>
                <w:b/>
                <w:bCs/>
                <w:sz w:val="22"/>
              </w:rPr>
              <w:t>Medium</w:t>
            </w:r>
          </w:p>
        </w:tc>
        <w:tc>
          <w:tcPr>
            <w:tcW w:w="1579" w:type="dxa"/>
            <w:shd w:val="clear" w:color="auto" w:fill="92D050"/>
            <w:vAlign w:val="center"/>
            <w:hideMark/>
          </w:tcPr>
          <w:p w14:paraId="42EEA914" w14:textId="77777777" w:rsidR="003F40A4" w:rsidRPr="00B5064E" w:rsidRDefault="003F40A4" w:rsidP="00EE57AD">
            <w:pPr>
              <w:spacing w:line="259" w:lineRule="auto"/>
              <w:jc w:val="center"/>
              <w:rPr>
                <w:rFonts w:ascii="Calibri" w:hAnsi="Calibri" w:cs="Calibri"/>
                <w:b/>
                <w:bCs/>
                <w:sz w:val="22"/>
              </w:rPr>
            </w:pPr>
            <w:r w:rsidRPr="00B5064E">
              <w:rPr>
                <w:rFonts w:ascii="Calibri" w:hAnsi="Calibri" w:cs="Calibri"/>
                <w:b/>
                <w:bCs/>
                <w:sz w:val="22"/>
              </w:rPr>
              <w:t>High</w:t>
            </w:r>
          </w:p>
        </w:tc>
        <w:tc>
          <w:tcPr>
            <w:tcW w:w="1401" w:type="dxa"/>
            <w:shd w:val="clear" w:color="auto" w:fill="92D050"/>
            <w:vAlign w:val="center"/>
            <w:hideMark/>
          </w:tcPr>
          <w:p w14:paraId="58D94A04" w14:textId="77777777" w:rsidR="003F40A4" w:rsidRPr="00B5064E" w:rsidRDefault="003F40A4" w:rsidP="00EE57AD">
            <w:pPr>
              <w:spacing w:line="259" w:lineRule="auto"/>
              <w:jc w:val="center"/>
              <w:rPr>
                <w:rFonts w:ascii="Calibri" w:hAnsi="Calibri" w:cs="Calibri"/>
                <w:b/>
                <w:bCs/>
                <w:sz w:val="22"/>
              </w:rPr>
            </w:pPr>
            <w:r w:rsidRPr="00B5064E">
              <w:rPr>
                <w:rFonts w:ascii="Calibri" w:hAnsi="Calibri" w:cs="Calibri"/>
                <w:b/>
                <w:bCs/>
                <w:sz w:val="22"/>
              </w:rPr>
              <w:t>High</w:t>
            </w:r>
          </w:p>
        </w:tc>
        <w:tc>
          <w:tcPr>
            <w:tcW w:w="1478" w:type="dxa"/>
            <w:shd w:val="clear" w:color="auto" w:fill="92D050"/>
            <w:vAlign w:val="center"/>
            <w:hideMark/>
          </w:tcPr>
          <w:p w14:paraId="22F96EEB" w14:textId="77777777" w:rsidR="003F40A4" w:rsidRPr="00B5064E" w:rsidRDefault="003F40A4" w:rsidP="00EE57AD">
            <w:pPr>
              <w:spacing w:line="259" w:lineRule="auto"/>
              <w:jc w:val="center"/>
              <w:rPr>
                <w:rFonts w:ascii="Calibri" w:hAnsi="Calibri" w:cs="Calibri"/>
                <w:b/>
                <w:bCs/>
                <w:sz w:val="22"/>
              </w:rPr>
            </w:pPr>
            <w:r w:rsidRPr="00B5064E">
              <w:rPr>
                <w:rFonts w:ascii="Calibri" w:hAnsi="Calibri" w:cs="Calibri"/>
                <w:b/>
                <w:bCs/>
                <w:sz w:val="22"/>
              </w:rPr>
              <w:t>High</w:t>
            </w:r>
          </w:p>
        </w:tc>
        <w:tc>
          <w:tcPr>
            <w:tcW w:w="1824" w:type="dxa"/>
            <w:shd w:val="clear" w:color="auto" w:fill="92D050"/>
            <w:vAlign w:val="center"/>
            <w:hideMark/>
          </w:tcPr>
          <w:p w14:paraId="562103B0" w14:textId="77777777" w:rsidR="003F40A4" w:rsidRPr="00B5064E" w:rsidRDefault="003F40A4" w:rsidP="00EE57AD">
            <w:pPr>
              <w:spacing w:line="259" w:lineRule="auto"/>
              <w:jc w:val="center"/>
              <w:rPr>
                <w:rFonts w:ascii="Calibri" w:hAnsi="Calibri" w:cs="Calibri"/>
                <w:b/>
                <w:bCs/>
                <w:sz w:val="22"/>
              </w:rPr>
            </w:pPr>
            <w:r w:rsidRPr="00B5064E">
              <w:rPr>
                <w:rFonts w:ascii="Calibri" w:hAnsi="Calibri" w:cs="Calibri"/>
                <w:b/>
                <w:bCs/>
                <w:sz w:val="22"/>
              </w:rPr>
              <w:t>High</w:t>
            </w:r>
          </w:p>
        </w:tc>
      </w:tr>
    </w:tbl>
    <w:p w14:paraId="4CFACD0E" w14:textId="5AD11758" w:rsidR="008E5162" w:rsidRPr="00B5064E" w:rsidRDefault="00AD68A5" w:rsidP="00291F4F">
      <w:pPr>
        <w:spacing w:before="120"/>
        <w:rPr>
          <w:rFonts w:ascii="Calibri" w:hAnsi="Calibri" w:cs="Calibri"/>
        </w:rPr>
      </w:pPr>
      <w:r w:rsidRPr="00B5064E">
        <w:rPr>
          <w:rFonts w:ascii="Calibri" w:hAnsi="Calibri" w:cs="Calibri"/>
        </w:rPr>
        <w:t>The comparative assessment of options</w:t>
      </w:r>
      <w:r w:rsidR="008E5162" w:rsidRPr="00B5064E">
        <w:rPr>
          <w:rFonts w:ascii="Calibri" w:hAnsi="Calibri" w:cs="Calibri"/>
        </w:rPr>
        <w:t xml:space="preserve"> </w:t>
      </w:r>
      <w:r w:rsidR="00E411D7" w:rsidRPr="00B5064E">
        <w:rPr>
          <w:rFonts w:ascii="Calibri" w:hAnsi="Calibri" w:cs="Calibri"/>
        </w:rPr>
        <w:t>considered</w:t>
      </w:r>
      <w:r w:rsidR="008E5162" w:rsidRPr="00B5064E">
        <w:rPr>
          <w:rFonts w:ascii="Calibri" w:hAnsi="Calibri" w:cs="Calibri"/>
        </w:rPr>
        <w:t xml:space="preserve"> stakeholder impacts, distributional effects, implementation feasibility and regulatory burden. While Option A1 introduces new obligations for retailers and regulators, these impacts are mitigated through calibrated pricing parameters within the DMO determination process</w:t>
      </w:r>
      <w:r w:rsidR="00E00A3C" w:rsidRPr="00B5064E">
        <w:rPr>
          <w:rFonts w:ascii="Calibri" w:hAnsi="Calibri" w:cs="Calibri"/>
        </w:rPr>
        <w:t>, upcoming retail code amendments</w:t>
      </w:r>
      <w:r w:rsidR="008E5162" w:rsidRPr="00B5064E">
        <w:rPr>
          <w:rFonts w:ascii="Calibri" w:hAnsi="Calibri" w:cs="Calibri"/>
        </w:rPr>
        <w:t xml:space="preserve"> and the Australian Energy Regulator’s (AER) established cost-recovery methodology.</w:t>
      </w:r>
    </w:p>
    <w:p w14:paraId="5B6AF57E" w14:textId="737FFAF9" w:rsidR="00055165" w:rsidRPr="00B5064E" w:rsidRDefault="00055165" w:rsidP="00055165">
      <w:pPr>
        <w:rPr>
          <w:rFonts w:ascii="Calibri" w:hAnsi="Calibri" w:cs="Calibri"/>
        </w:rPr>
      </w:pPr>
      <w:r w:rsidRPr="00B5064E">
        <w:rPr>
          <w:rFonts w:ascii="Calibri" w:hAnsi="Calibri" w:cs="Calibri"/>
        </w:rPr>
        <w:t>Where impacts on retail pricing structures arise, the DMO framework enables efficient recovery of wholesale, network and environmental costs while ensuring that customers who shift consumption into the defined free-power period are better off overall. This approach minimises unintended consequences and preserves market integrity.</w:t>
      </w:r>
    </w:p>
    <w:p w14:paraId="3158CE5F" w14:textId="77777777" w:rsidR="00055165" w:rsidRPr="00B5064E" w:rsidRDefault="00055165" w:rsidP="00055165">
      <w:pPr>
        <w:rPr>
          <w:rFonts w:ascii="Calibri" w:hAnsi="Calibri" w:cs="Calibri"/>
        </w:rPr>
      </w:pPr>
      <w:r w:rsidRPr="00B5064E">
        <w:rPr>
          <w:rFonts w:ascii="Calibri" w:hAnsi="Calibri" w:cs="Calibri"/>
        </w:rPr>
        <w:t>On balance, Option A1 delivers the greatest net benefit and represents a proportionate and practical response to the identified problem</w:t>
      </w:r>
    </w:p>
    <w:p w14:paraId="68EFCFDF" w14:textId="77777777" w:rsidR="00EC59CD" w:rsidRPr="00B5064E" w:rsidRDefault="00EC59CD" w:rsidP="00043239">
      <w:pPr>
        <w:pStyle w:val="Heading2"/>
        <w:spacing w:after="120"/>
        <w:rPr>
          <w:rFonts w:ascii="Calibri" w:hAnsi="Calibri" w:cs="Calibri"/>
        </w:rPr>
      </w:pPr>
      <w:bookmarkStart w:id="63" w:name="_Toc222842810"/>
      <w:r w:rsidRPr="00B5064E">
        <w:rPr>
          <w:rFonts w:ascii="Calibri" w:hAnsi="Calibri" w:cs="Calibri"/>
        </w:rPr>
        <w:lastRenderedPageBreak/>
        <w:t>Implementation</w:t>
      </w:r>
      <w:bookmarkEnd w:id="63"/>
    </w:p>
    <w:p w14:paraId="53068F9A" w14:textId="087179FB" w:rsidR="00EC59CD" w:rsidRPr="00B5064E" w:rsidRDefault="00EC59CD" w:rsidP="00EC59CD">
      <w:pPr>
        <w:rPr>
          <w:rFonts w:ascii="Calibri" w:hAnsi="Calibri" w:cs="Calibri"/>
        </w:rPr>
      </w:pPr>
      <w:r w:rsidRPr="00B5064E">
        <w:rPr>
          <w:rFonts w:ascii="Calibri" w:hAnsi="Calibri" w:cs="Calibri"/>
        </w:rPr>
        <w:t xml:space="preserve">Implementation of Option A1 will occur through amendments to the </w:t>
      </w:r>
      <w:r w:rsidRPr="00B5064E">
        <w:rPr>
          <w:rFonts w:ascii="Calibri" w:hAnsi="Calibri" w:cs="Calibri"/>
          <w:i/>
          <w:iCs/>
        </w:rPr>
        <w:t>Competition and Consumer (Industry Code—Electricity Retail) Regulations 2019</w:t>
      </w:r>
      <w:r w:rsidRPr="00B5064E">
        <w:rPr>
          <w:rFonts w:ascii="Calibri" w:hAnsi="Calibri" w:cs="Calibri"/>
        </w:rPr>
        <w:t xml:space="preserve"> (Electricity Retail Code) and integration within the existing DMO framework in jurisdictions where the DMO applies. The implementation approach reflects the six design principles developed through consultation and outlined in the </w:t>
      </w:r>
      <w:r w:rsidR="005729AE" w:rsidRPr="00B5064E">
        <w:rPr>
          <w:rFonts w:ascii="Calibri" w:hAnsi="Calibri" w:cs="Calibri"/>
        </w:rPr>
        <w:t>SSO</w:t>
      </w:r>
      <w:r w:rsidRPr="00B5064E">
        <w:rPr>
          <w:rFonts w:ascii="Calibri" w:hAnsi="Calibri" w:cs="Calibri"/>
        </w:rPr>
        <w:t xml:space="preserve"> Consultation Outcomes Paper </w:t>
      </w:r>
    </w:p>
    <w:p w14:paraId="4189AEA0" w14:textId="77777777" w:rsidR="00B2249D" w:rsidRPr="00B5064E" w:rsidRDefault="00B2249D" w:rsidP="00043239">
      <w:pPr>
        <w:pStyle w:val="Heading3"/>
        <w:spacing w:after="120"/>
        <w:rPr>
          <w:rFonts w:ascii="Calibri" w:hAnsi="Calibri" w:cs="Calibri"/>
        </w:rPr>
      </w:pPr>
      <w:bookmarkStart w:id="64" w:name="_Toc222842811"/>
      <w:r w:rsidRPr="00B5064E">
        <w:rPr>
          <w:rFonts w:ascii="Calibri" w:hAnsi="Calibri" w:cs="Calibri"/>
        </w:rPr>
        <w:t>Regulatory framework and institutional roles</w:t>
      </w:r>
      <w:bookmarkEnd w:id="64"/>
    </w:p>
    <w:p w14:paraId="59FD1AAC" w14:textId="3637BBFE" w:rsidR="00B2249D" w:rsidRPr="00B5064E" w:rsidRDefault="00B2249D" w:rsidP="00B2249D">
      <w:pPr>
        <w:rPr>
          <w:rFonts w:ascii="Calibri" w:hAnsi="Calibri" w:cs="Calibri"/>
        </w:rPr>
      </w:pPr>
      <w:r w:rsidRPr="00B5064E">
        <w:rPr>
          <w:rFonts w:ascii="Calibri" w:hAnsi="Calibri" w:cs="Calibri"/>
        </w:rPr>
        <w:t xml:space="preserve">The SSO will operate as a regulated standing offer within the DMO framework. The </w:t>
      </w:r>
      <w:r w:rsidR="0024333C">
        <w:rPr>
          <w:rFonts w:ascii="Calibri" w:hAnsi="Calibri" w:cs="Calibri"/>
        </w:rPr>
        <w:t>AER</w:t>
      </w:r>
      <w:r w:rsidRPr="00B5064E">
        <w:rPr>
          <w:rFonts w:ascii="Calibri" w:hAnsi="Calibri" w:cs="Calibri"/>
        </w:rPr>
        <w:t xml:space="preserve"> will be responsible for:</w:t>
      </w:r>
    </w:p>
    <w:p w14:paraId="5DF51D90" w14:textId="77777777" w:rsidR="00B2249D" w:rsidRPr="00B5064E" w:rsidRDefault="00B2249D" w:rsidP="00226046">
      <w:pPr>
        <w:numPr>
          <w:ilvl w:val="0"/>
          <w:numId w:val="8"/>
        </w:numPr>
        <w:spacing w:before="120" w:after="120"/>
        <w:ind w:left="714" w:hanging="357"/>
        <w:rPr>
          <w:rFonts w:ascii="Calibri" w:hAnsi="Calibri" w:cs="Calibri"/>
        </w:rPr>
      </w:pPr>
      <w:r w:rsidRPr="00B5064E">
        <w:rPr>
          <w:rFonts w:ascii="Calibri" w:hAnsi="Calibri" w:cs="Calibri"/>
        </w:rPr>
        <w:t>determining the SSO tariff as part of the annual DMO determination process;</w:t>
      </w:r>
    </w:p>
    <w:p w14:paraId="1F7BF86D" w14:textId="77777777" w:rsidR="00B2249D" w:rsidRPr="00B5064E" w:rsidRDefault="00B2249D" w:rsidP="00226046">
      <w:pPr>
        <w:numPr>
          <w:ilvl w:val="0"/>
          <w:numId w:val="8"/>
        </w:numPr>
        <w:spacing w:before="120" w:after="120"/>
        <w:ind w:left="714" w:hanging="357"/>
        <w:rPr>
          <w:rFonts w:ascii="Calibri" w:hAnsi="Calibri" w:cs="Calibri"/>
        </w:rPr>
      </w:pPr>
      <w:r w:rsidRPr="00B5064E">
        <w:rPr>
          <w:rFonts w:ascii="Calibri" w:hAnsi="Calibri" w:cs="Calibri"/>
        </w:rPr>
        <w:t>setting the consecutive 3-hour free-power period for each distribution network area;</w:t>
      </w:r>
    </w:p>
    <w:p w14:paraId="71F642A3" w14:textId="77777777" w:rsidR="00B2249D" w:rsidRPr="00B5064E" w:rsidRDefault="00B2249D" w:rsidP="00226046">
      <w:pPr>
        <w:numPr>
          <w:ilvl w:val="0"/>
          <w:numId w:val="8"/>
        </w:numPr>
        <w:spacing w:before="120" w:after="120"/>
        <w:ind w:left="714" w:hanging="357"/>
        <w:rPr>
          <w:rFonts w:ascii="Calibri" w:hAnsi="Calibri" w:cs="Calibri"/>
        </w:rPr>
      </w:pPr>
      <w:r w:rsidRPr="00B5064E">
        <w:rPr>
          <w:rFonts w:ascii="Calibri" w:hAnsi="Calibri" w:cs="Calibri"/>
        </w:rPr>
        <w:t>determining regulated usage rates outside the free-power period, consistent with efficient cost-recovery principles; and</w:t>
      </w:r>
    </w:p>
    <w:p w14:paraId="0F676DA4" w14:textId="77777777" w:rsidR="00B2249D" w:rsidRPr="00B5064E" w:rsidRDefault="00B2249D" w:rsidP="00226046">
      <w:pPr>
        <w:numPr>
          <w:ilvl w:val="0"/>
          <w:numId w:val="8"/>
        </w:numPr>
        <w:spacing w:before="120" w:after="120"/>
        <w:ind w:left="714" w:hanging="357"/>
        <w:rPr>
          <w:rFonts w:ascii="Calibri" w:hAnsi="Calibri" w:cs="Calibri"/>
        </w:rPr>
      </w:pPr>
      <w:r w:rsidRPr="00B5064E">
        <w:rPr>
          <w:rFonts w:ascii="Calibri" w:hAnsi="Calibri" w:cs="Calibri"/>
        </w:rPr>
        <w:t>determining the applicable rate for consumption above the reasonable use cap.</w:t>
      </w:r>
    </w:p>
    <w:p w14:paraId="0DE5DAF6" w14:textId="5BA9D007" w:rsidR="00B2249D" w:rsidRPr="00B5064E" w:rsidRDefault="00B2249D" w:rsidP="00B2249D">
      <w:pPr>
        <w:rPr>
          <w:rFonts w:ascii="Calibri" w:hAnsi="Calibri" w:cs="Calibri"/>
        </w:rPr>
      </w:pPr>
      <w:r w:rsidRPr="00B5064E">
        <w:rPr>
          <w:rFonts w:ascii="Calibri" w:hAnsi="Calibri" w:cs="Calibri"/>
        </w:rPr>
        <w:t>The Australian Competition and Consumer Commission (ACCC) will continue to monitor and enforce compliance with the Electricity Retail Code, including obligations relating to price presentation, consumer protections, and retailer conduct.</w:t>
      </w:r>
      <w:r w:rsidR="00222297" w:rsidRPr="00B5064E">
        <w:rPr>
          <w:rFonts w:ascii="Calibri" w:hAnsi="Calibri" w:cs="Calibri"/>
        </w:rPr>
        <w:t xml:space="preserve"> This approach leverages established regulatory institutions and processes, minimising duplication and implementation risk while ensuring the SSO is subject to the same governance and oversight arrangements as other DMO standing offer</w:t>
      </w:r>
      <w:r w:rsidR="00E26181" w:rsidRPr="00B5064E">
        <w:rPr>
          <w:rFonts w:ascii="Calibri" w:hAnsi="Calibri" w:cs="Calibri"/>
        </w:rPr>
        <w:t>.</w:t>
      </w:r>
    </w:p>
    <w:p w14:paraId="4E2BF771" w14:textId="77777777" w:rsidR="000A50D8" w:rsidRPr="00B5064E" w:rsidRDefault="000A50D8" w:rsidP="00043239">
      <w:pPr>
        <w:pStyle w:val="Heading3"/>
        <w:spacing w:after="120"/>
        <w:rPr>
          <w:rFonts w:ascii="Calibri" w:hAnsi="Calibri" w:cs="Calibri"/>
        </w:rPr>
      </w:pPr>
      <w:bookmarkStart w:id="65" w:name="_Toc222842812"/>
      <w:r w:rsidRPr="00B5064E">
        <w:rPr>
          <w:rFonts w:ascii="Calibri" w:hAnsi="Calibri" w:cs="Calibri"/>
        </w:rPr>
        <w:t>Design features to be implemented</w:t>
      </w:r>
      <w:bookmarkEnd w:id="65"/>
    </w:p>
    <w:p w14:paraId="07C095A7" w14:textId="77777777" w:rsidR="000A50D8" w:rsidRPr="00B5064E" w:rsidRDefault="000A50D8" w:rsidP="000A50D8">
      <w:pPr>
        <w:rPr>
          <w:rFonts w:ascii="Calibri" w:hAnsi="Calibri" w:cs="Calibri"/>
        </w:rPr>
      </w:pPr>
      <w:r w:rsidRPr="00B5064E">
        <w:rPr>
          <w:rFonts w:ascii="Calibri" w:hAnsi="Calibri" w:cs="Calibri"/>
        </w:rPr>
        <w:t>Consistent with the Outcomes Paper, the SSO will include the following core elements:</w:t>
      </w:r>
    </w:p>
    <w:p w14:paraId="0239D4DB" w14:textId="77777777" w:rsidR="000A50D8" w:rsidRPr="00B5064E" w:rsidRDefault="000A50D8" w:rsidP="00226046">
      <w:pPr>
        <w:numPr>
          <w:ilvl w:val="0"/>
          <w:numId w:val="8"/>
        </w:numPr>
        <w:spacing w:before="120" w:after="120"/>
        <w:ind w:left="714" w:hanging="357"/>
        <w:rPr>
          <w:rFonts w:ascii="Calibri" w:hAnsi="Calibri" w:cs="Calibri"/>
        </w:rPr>
      </w:pPr>
      <w:r w:rsidRPr="00B5064E">
        <w:rPr>
          <w:rFonts w:ascii="Calibri" w:hAnsi="Calibri" w:cs="Calibri"/>
        </w:rPr>
        <w:t>A mandatory requirement for retailers (subject to exemption thresholds) to make an SSO standing offer available to eligible residential customers in DMO jurisdictions;</w:t>
      </w:r>
    </w:p>
    <w:p w14:paraId="7FA776F9" w14:textId="77777777" w:rsidR="000A50D8" w:rsidRPr="00B5064E" w:rsidRDefault="000A50D8" w:rsidP="00226046">
      <w:pPr>
        <w:numPr>
          <w:ilvl w:val="0"/>
          <w:numId w:val="8"/>
        </w:numPr>
        <w:spacing w:before="120" w:after="120"/>
        <w:ind w:left="714" w:hanging="357"/>
        <w:rPr>
          <w:rFonts w:ascii="Calibri" w:hAnsi="Calibri" w:cs="Calibri"/>
        </w:rPr>
      </w:pPr>
      <w:r w:rsidRPr="00B5064E">
        <w:rPr>
          <w:rFonts w:ascii="Calibri" w:hAnsi="Calibri" w:cs="Calibri"/>
        </w:rPr>
        <w:t>A zero-charge usage window of three consecutive hours per day;</w:t>
      </w:r>
    </w:p>
    <w:p w14:paraId="568C2F1C" w14:textId="77777777" w:rsidR="000A50D8" w:rsidRPr="00B5064E" w:rsidRDefault="000A50D8" w:rsidP="00226046">
      <w:pPr>
        <w:numPr>
          <w:ilvl w:val="0"/>
          <w:numId w:val="8"/>
        </w:numPr>
        <w:spacing w:before="120" w:after="120"/>
        <w:ind w:left="714" w:hanging="357"/>
        <w:rPr>
          <w:rFonts w:ascii="Calibri" w:hAnsi="Calibri" w:cs="Calibri"/>
        </w:rPr>
      </w:pPr>
      <w:r w:rsidRPr="00B5064E">
        <w:rPr>
          <w:rFonts w:ascii="Calibri" w:hAnsi="Calibri" w:cs="Calibri"/>
        </w:rPr>
        <w:t>A regionally determined free-power period set annually by the AER for each distribution network area, having regard to solar generation patterns, wholesale pricing and network conditions;</w:t>
      </w:r>
    </w:p>
    <w:p w14:paraId="5AF8314B" w14:textId="77777777" w:rsidR="000A50D8" w:rsidRPr="00B5064E" w:rsidRDefault="000A50D8" w:rsidP="00226046">
      <w:pPr>
        <w:numPr>
          <w:ilvl w:val="0"/>
          <w:numId w:val="8"/>
        </w:numPr>
        <w:spacing w:before="120" w:after="120"/>
        <w:ind w:left="714" w:hanging="357"/>
        <w:rPr>
          <w:rFonts w:ascii="Calibri" w:hAnsi="Calibri" w:cs="Calibri"/>
        </w:rPr>
      </w:pPr>
      <w:r w:rsidRPr="00B5064E">
        <w:rPr>
          <w:rFonts w:ascii="Calibri" w:hAnsi="Calibri" w:cs="Calibri"/>
        </w:rPr>
        <w:t>Usage charges outside the free-power period determined through the DMO methodology to enable efficient recovery of wholesale, network, environmental and operational costs;</w:t>
      </w:r>
    </w:p>
    <w:p w14:paraId="7E87E834" w14:textId="77777777" w:rsidR="000A50D8" w:rsidRPr="00B5064E" w:rsidRDefault="000A50D8" w:rsidP="00226046">
      <w:pPr>
        <w:numPr>
          <w:ilvl w:val="0"/>
          <w:numId w:val="8"/>
        </w:numPr>
        <w:spacing w:before="120" w:after="120"/>
        <w:ind w:left="714" w:hanging="357"/>
        <w:rPr>
          <w:rFonts w:ascii="Calibri" w:hAnsi="Calibri" w:cs="Calibri"/>
        </w:rPr>
      </w:pPr>
      <w:r w:rsidRPr="00B5064E">
        <w:rPr>
          <w:rFonts w:ascii="Calibri" w:hAnsi="Calibri" w:cs="Calibri"/>
        </w:rPr>
        <w:t>A reasonable use cap of 24 kWh per day, reflecting the average daily consumption of a five-person household; and</w:t>
      </w:r>
    </w:p>
    <w:p w14:paraId="3EE40A8D" w14:textId="77777777" w:rsidR="000A50D8" w:rsidRPr="00B5064E" w:rsidRDefault="000A50D8" w:rsidP="00226046">
      <w:pPr>
        <w:numPr>
          <w:ilvl w:val="0"/>
          <w:numId w:val="8"/>
        </w:numPr>
        <w:spacing w:before="120" w:after="120"/>
        <w:ind w:left="714" w:hanging="357"/>
        <w:rPr>
          <w:rFonts w:ascii="Calibri" w:hAnsi="Calibri" w:cs="Calibri"/>
        </w:rPr>
      </w:pPr>
      <w:r w:rsidRPr="00B5064E">
        <w:rPr>
          <w:rFonts w:ascii="Calibri" w:hAnsi="Calibri" w:cs="Calibri"/>
        </w:rPr>
        <w:t>An opt-in participation model to preserve consumer choice.</w:t>
      </w:r>
    </w:p>
    <w:p w14:paraId="05539217" w14:textId="7EA952C8" w:rsidR="006E7ADD" w:rsidRPr="00B5064E" w:rsidRDefault="006E7ADD" w:rsidP="00226046">
      <w:pPr>
        <w:numPr>
          <w:ilvl w:val="0"/>
          <w:numId w:val="8"/>
        </w:numPr>
        <w:spacing w:before="120" w:after="120"/>
        <w:ind w:left="714" w:hanging="357"/>
        <w:rPr>
          <w:rFonts w:ascii="Calibri" w:hAnsi="Calibri" w:cs="Calibri"/>
        </w:rPr>
      </w:pPr>
      <w:r w:rsidRPr="00B5064E">
        <w:rPr>
          <w:rFonts w:ascii="Calibri" w:hAnsi="Calibri" w:cs="Calibri"/>
        </w:rPr>
        <w:t>Controlled load arrangements will not be required to align with the SSO free-power period in the initial phase. Customers opting into the SSO will do so for general usage, with controlled load components remaining unchanged. This approach reduces implementation complexity and mitigates disruption to existing arrangements.</w:t>
      </w:r>
    </w:p>
    <w:p w14:paraId="348FFB0E" w14:textId="5D58776E" w:rsidR="000A50D8" w:rsidRPr="00B5064E" w:rsidRDefault="000A50D8" w:rsidP="000A50D8">
      <w:pPr>
        <w:rPr>
          <w:rFonts w:ascii="Calibri" w:hAnsi="Calibri" w:cs="Calibri"/>
        </w:rPr>
      </w:pPr>
      <w:r w:rsidRPr="00B5064E">
        <w:rPr>
          <w:rFonts w:ascii="Calibri" w:hAnsi="Calibri" w:cs="Calibri"/>
        </w:rPr>
        <w:t>Eligibility will be limited to customers with smart meters capable of providing interval data, ensuring accurate billing and compliance with the free-power window structure.</w:t>
      </w:r>
      <w:r w:rsidR="00353388" w:rsidRPr="00B5064E">
        <w:rPr>
          <w:rFonts w:ascii="Calibri" w:hAnsi="Calibri" w:cs="Calibri"/>
        </w:rPr>
        <w:t xml:space="preserve"> </w:t>
      </w:r>
      <w:r w:rsidRPr="00B5064E">
        <w:rPr>
          <w:rFonts w:ascii="Calibri" w:hAnsi="Calibri" w:cs="Calibri"/>
        </w:rPr>
        <w:t xml:space="preserve">Retailers with fewer than 1,000 customers will be exempt from the obligation to offer the SSO. </w:t>
      </w:r>
    </w:p>
    <w:p w14:paraId="5EBD9345" w14:textId="77777777" w:rsidR="00353388" w:rsidRPr="00B5064E" w:rsidRDefault="00353388" w:rsidP="00043239">
      <w:pPr>
        <w:pStyle w:val="Heading3"/>
        <w:spacing w:after="120"/>
        <w:rPr>
          <w:rFonts w:ascii="Calibri" w:hAnsi="Calibri" w:cs="Calibri"/>
        </w:rPr>
      </w:pPr>
      <w:bookmarkStart w:id="66" w:name="_Toc222842813"/>
      <w:r w:rsidRPr="00B5064E">
        <w:rPr>
          <w:rFonts w:ascii="Calibri" w:hAnsi="Calibri" w:cs="Calibri"/>
        </w:rPr>
        <w:lastRenderedPageBreak/>
        <w:t>Consumer protections and communication</w:t>
      </w:r>
      <w:bookmarkEnd w:id="66"/>
    </w:p>
    <w:p w14:paraId="29C796EF" w14:textId="77777777" w:rsidR="00353388" w:rsidRPr="00B5064E" w:rsidRDefault="00353388" w:rsidP="00353388">
      <w:pPr>
        <w:rPr>
          <w:rFonts w:ascii="Calibri" w:hAnsi="Calibri" w:cs="Calibri"/>
        </w:rPr>
      </w:pPr>
      <w:r w:rsidRPr="00B5064E">
        <w:rPr>
          <w:rFonts w:ascii="Calibri" w:hAnsi="Calibri" w:cs="Calibri"/>
        </w:rPr>
        <w:t>The SSO will be subject to the full suite of consumer protections under the National Energy Customer Framework (NECF) and the Electricity Retail Code. As a regulated standing offer, it will be supported by existing requirements relating to billing transparency, price disclosure, hardship protections and information provision.</w:t>
      </w:r>
    </w:p>
    <w:p w14:paraId="653ABB4E" w14:textId="49862561" w:rsidR="00353388" w:rsidRPr="00B5064E" w:rsidRDefault="00353388" w:rsidP="00353388">
      <w:pPr>
        <w:rPr>
          <w:rFonts w:ascii="Calibri" w:hAnsi="Calibri" w:cs="Calibri"/>
        </w:rPr>
      </w:pPr>
      <w:r w:rsidRPr="00B5064E">
        <w:rPr>
          <w:rFonts w:ascii="Calibri" w:hAnsi="Calibri" w:cs="Calibri"/>
        </w:rPr>
        <w:t>The SSO will operate on an opt-in basis. Retailers will be required to clearly communicate the suitability criteria of the offer, including the need for customers to be able to shift consumption into the free-power period to realise savings. The Government will support implementation through clear and accessible communication materials to assist households in assessing whether the SSO is appropriate for their usage patterns. These measures respond directly to consultation feedback emphasising the importance of informed consent, transparency and protection of vulnerable consumers</w:t>
      </w:r>
      <w:r w:rsidR="00056A71" w:rsidRPr="00B5064E">
        <w:rPr>
          <w:rFonts w:ascii="Calibri" w:hAnsi="Calibri" w:cs="Calibri"/>
        </w:rPr>
        <w:t>.</w:t>
      </w:r>
    </w:p>
    <w:p w14:paraId="3E6C8AE4" w14:textId="77777777" w:rsidR="007815C8" w:rsidRPr="00B5064E" w:rsidRDefault="007815C8" w:rsidP="00043239">
      <w:pPr>
        <w:pStyle w:val="Heading3"/>
        <w:spacing w:after="120"/>
        <w:rPr>
          <w:rFonts w:ascii="Calibri" w:hAnsi="Calibri" w:cs="Calibri"/>
        </w:rPr>
      </w:pPr>
      <w:bookmarkStart w:id="67" w:name="_Toc222842814"/>
      <w:r w:rsidRPr="00B5064E">
        <w:rPr>
          <w:rFonts w:ascii="Calibri" w:hAnsi="Calibri" w:cs="Calibri"/>
        </w:rPr>
        <w:t>Alignment with system and market conditions</w:t>
      </w:r>
      <w:bookmarkEnd w:id="67"/>
    </w:p>
    <w:p w14:paraId="6519204C" w14:textId="77777777" w:rsidR="007815C8" w:rsidRPr="00B5064E" w:rsidRDefault="007815C8" w:rsidP="007815C8">
      <w:pPr>
        <w:rPr>
          <w:rFonts w:ascii="Calibri" w:hAnsi="Calibri" w:cs="Calibri"/>
        </w:rPr>
      </w:pPr>
      <w:r w:rsidRPr="00B5064E">
        <w:rPr>
          <w:rFonts w:ascii="Calibri" w:hAnsi="Calibri" w:cs="Calibri"/>
        </w:rPr>
        <w:t>In determining the free-power period, the AER will be required to have regard to:</w:t>
      </w:r>
    </w:p>
    <w:p w14:paraId="0FF8EACA" w14:textId="77777777" w:rsidR="007815C8" w:rsidRPr="00B5064E" w:rsidRDefault="007815C8" w:rsidP="00226046">
      <w:pPr>
        <w:numPr>
          <w:ilvl w:val="0"/>
          <w:numId w:val="8"/>
        </w:numPr>
        <w:spacing w:before="120" w:after="120"/>
        <w:ind w:left="714" w:hanging="357"/>
        <w:rPr>
          <w:rFonts w:ascii="Calibri" w:hAnsi="Calibri" w:cs="Calibri"/>
        </w:rPr>
      </w:pPr>
      <w:r w:rsidRPr="00B5064E">
        <w:rPr>
          <w:rFonts w:ascii="Calibri" w:hAnsi="Calibri" w:cs="Calibri"/>
        </w:rPr>
        <w:t>periods of high rooftop solar output;</w:t>
      </w:r>
    </w:p>
    <w:p w14:paraId="5B53FF6E" w14:textId="77777777" w:rsidR="007815C8" w:rsidRPr="00B5064E" w:rsidRDefault="007815C8" w:rsidP="00226046">
      <w:pPr>
        <w:numPr>
          <w:ilvl w:val="0"/>
          <w:numId w:val="8"/>
        </w:numPr>
        <w:spacing w:before="120" w:after="120"/>
        <w:ind w:left="714" w:hanging="357"/>
        <w:rPr>
          <w:rFonts w:ascii="Calibri" w:hAnsi="Calibri" w:cs="Calibri"/>
        </w:rPr>
      </w:pPr>
      <w:r w:rsidRPr="00B5064E">
        <w:rPr>
          <w:rFonts w:ascii="Calibri" w:hAnsi="Calibri" w:cs="Calibri"/>
        </w:rPr>
        <w:t>low wholesale prices, including minimum demand periods; and</w:t>
      </w:r>
    </w:p>
    <w:p w14:paraId="407AF3B5" w14:textId="77777777" w:rsidR="007815C8" w:rsidRPr="00B5064E" w:rsidRDefault="007815C8" w:rsidP="00226046">
      <w:pPr>
        <w:numPr>
          <w:ilvl w:val="0"/>
          <w:numId w:val="8"/>
        </w:numPr>
        <w:spacing w:before="120" w:after="120"/>
        <w:ind w:left="714" w:hanging="357"/>
        <w:rPr>
          <w:rFonts w:ascii="Calibri" w:hAnsi="Calibri" w:cs="Calibri"/>
        </w:rPr>
      </w:pPr>
      <w:r w:rsidRPr="00B5064E">
        <w:rPr>
          <w:rFonts w:ascii="Calibri" w:hAnsi="Calibri" w:cs="Calibri"/>
        </w:rPr>
        <w:t>alignment with appropriate network tariffs.</w:t>
      </w:r>
    </w:p>
    <w:p w14:paraId="09E7634F" w14:textId="77777777" w:rsidR="007C4D77" w:rsidRPr="00B5064E" w:rsidRDefault="007815C8" w:rsidP="007C4D77">
      <w:pPr>
        <w:rPr>
          <w:rFonts w:ascii="Calibri" w:hAnsi="Calibri" w:cs="Calibri"/>
        </w:rPr>
      </w:pPr>
      <w:r w:rsidRPr="00B5064E">
        <w:rPr>
          <w:rFonts w:ascii="Calibri" w:hAnsi="Calibri" w:cs="Calibri"/>
        </w:rPr>
        <w:t>The free-power period will be consistent within each local distribution network area but may differ across regions to reflect local conditions. This design avoids the inefficiencies and system risks associated with a uniform national window and responds to stakeholder concerns regarding network constraints and regional variation</w:t>
      </w:r>
      <w:r w:rsidR="007C4D77" w:rsidRPr="00B5064E">
        <w:rPr>
          <w:rFonts w:ascii="Calibri" w:hAnsi="Calibri" w:cs="Calibri"/>
        </w:rPr>
        <w:t>. For the initial phase, the free-power period will operate year-round and run continuously for three hours per day. Seasonal or dynamic variation may be considered in future refinements.</w:t>
      </w:r>
    </w:p>
    <w:p w14:paraId="52FBE928" w14:textId="77777777" w:rsidR="006E7ADD" w:rsidRPr="00B5064E" w:rsidRDefault="006E7ADD" w:rsidP="00043239">
      <w:pPr>
        <w:pStyle w:val="Heading3"/>
        <w:spacing w:after="120"/>
        <w:rPr>
          <w:rFonts w:ascii="Calibri" w:hAnsi="Calibri" w:cs="Calibri"/>
        </w:rPr>
      </w:pPr>
      <w:bookmarkStart w:id="68" w:name="_Toc222842815"/>
      <w:r w:rsidRPr="00B5064E">
        <w:rPr>
          <w:rFonts w:ascii="Calibri" w:hAnsi="Calibri" w:cs="Calibri"/>
        </w:rPr>
        <w:t>Implementation timing and sequencing</w:t>
      </w:r>
      <w:bookmarkEnd w:id="68"/>
    </w:p>
    <w:p w14:paraId="252C8FA8" w14:textId="77777777" w:rsidR="006E7ADD" w:rsidRPr="00B5064E" w:rsidRDefault="006E7ADD" w:rsidP="006E7ADD">
      <w:pPr>
        <w:rPr>
          <w:rFonts w:ascii="Calibri" w:hAnsi="Calibri" w:cs="Calibri"/>
        </w:rPr>
      </w:pPr>
      <w:r w:rsidRPr="00B5064E">
        <w:rPr>
          <w:rFonts w:ascii="Calibri" w:hAnsi="Calibri" w:cs="Calibri"/>
        </w:rPr>
        <w:t>The initial phase of the SSO will be delivered through the 2026–27 DMO determination process, with commencement from 1 July 2026 in DMO jurisdictions. The Government will continue engagement with other jurisdictions regarding potential extension beyond DMO regions.</w:t>
      </w:r>
    </w:p>
    <w:p w14:paraId="398FD7A1" w14:textId="77777777" w:rsidR="006E7ADD" w:rsidRPr="00B5064E" w:rsidRDefault="006E7ADD" w:rsidP="006E7ADD">
      <w:pPr>
        <w:rPr>
          <w:rFonts w:ascii="Calibri" w:hAnsi="Calibri" w:cs="Calibri"/>
        </w:rPr>
      </w:pPr>
      <w:r w:rsidRPr="00B5064E">
        <w:rPr>
          <w:rFonts w:ascii="Calibri" w:hAnsi="Calibri" w:cs="Calibri"/>
        </w:rPr>
        <w:t>Recognising stakeholder concerns regarding readiness, the implementation approach prioritises regulatory clarity and early engagement with retailers, the AER and other market bodies. Integration within the DMO cycle enables structured consultation on tariff methodology and free-power period determination.</w:t>
      </w:r>
    </w:p>
    <w:p w14:paraId="55EE6C4C" w14:textId="77777777" w:rsidR="0006397C" w:rsidRPr="00B5064E" w:rsidRDefault="0006397C" w:rsidP="00043239">
      <w:pPr>
        <w:pStyle w:val="Heading3"/>
        <w:spacing w:after="120"/>
        <w:rPr>
          <w:rFonts w:ascii="Calibri" w:hAnsi="Calibri" w:cs="Calibri"/>
        </w:rPr>
      </w:pPr>
      <w:bookmarkStart w:id="69" w:name="_Toc222842816"/>
      <w:r w:rsidRPr="00B5064E">
        <w:rPr>
          <w:rFonts w:ascii="Calibri" w:hAnsi="Calibri" w:cs="Calibri"/>
        </w:rPr>
        <w:t>Monitoring and post-implementation review</w:t>
      </w:r>
      <w:bookmarkEnd w:id="69"/>
    </w:p>
    <w:p w14:paraId="6DB2DCCE" w14:textId="2236F634" w:rsidR="007D3E80" w:rsidRPr="00B5064E" w:rsidRDefault="0027178D" w:rsidP="00DA2A60">
      <w:pPr>
        <w:rPr>
          <w:rFonts w:ascii="Calibri" w:hAnsi="Calibri" w:cs="Calibri"/>
        </w:rPr>
      </w:pPr>
      <w:r w:rsidRPr="00B5064E">
        <w:rPr>
          <w:rFonts w:ascii="Calibri" w:hAnsi="Calibri" w:cs="Calibri"/>
        </w:rPr>
        <w:t xml:space="preserve">The SSO </w:t>
      </w:r>
      <w:r w:rsidR="00351CFE" w:rsidRPr="00B5064E">
        <w:rPr>
          <w:rFonts w:ascii="Calibri" w:hAnsi="Calibri" w:cs="Calibri"/>
        </w:rPr>
        <w:t xml:space="preserve">design </w:t>
      </w:r>
      <w:r w:rsidRPr="00B5064E">
        <w:rPr>
          <w:rFonts w:ascii="Calibri" w:hAnsi="Calibri" w:cs="Calibri"/>
        </w:rPr>
        <w:t xml:space="preserve">was </w:t>
      </w:r>
      <w:r w:rsidR="00351CFE" w:rsidRPr="00B5064E">
        <w:rPr>
          <w:rFonts w:ascii="Calibri" w:hAnsi="Calibri" w:cs="Calibri"/>
        </w:rPr>
        <w:t xml:space="preserve">informed by stakeholder consultation. Its operation and implementation was developed in </w:t>
      </w:r>
      <w:r w:rsidR="00DA2A60" w:rsidRPr="00B5064E">
        <w:rPr>
          <w:rFonts w:ascii="Calibri" w:hAnsi="Calibri" w:cs="Calibri"/>
        </w:rPr>
        <w:t xml:space="preserve">close consultation with </w:t>
      </w:r>
      <w:r w:rsidR="00351CFE" w:rsidRPr="00B5064E">
        <w:rPr>
          <w:rFonts w:ascii="Calibri" w:hAnsi="Calibri" w:cs="Calibri"/>
        </w:rPr>
        <w:t xml:space="preserve">relevant </w:t>
      </w:r>
      <w:r w:rsidR="00DA2A60" w:rsidRPr="00B5064E">
        <w:rPr>
          <w:rFonts w:ascii="Calibri" w:hAnsi="Calibri" w:cs="Calibri"/>
        </w:rPr>
        <w:t>agencies. The AER will have regulatory responsibilities, including determining the appropriate free</w:t>
      </w:r>
      <w:r w:rsidR="00DA2A60" w:rsidRPr="00B5064E">
        <w:rPr>
          <w:rFonts w:ascii="Calibri" w:hAnsi="Calibri" w:cs="Calibri"/>
        </w:rPr>
        <w:noBreakHyphen/>
        <w:t>power windows for each distribution zone and setting the reasonable</w:t>
      </w:r>
      <w:r w:rsidR="006A7047" w:rsidRPr="00B5064E">
        <w:rPr>
          <w:rFonts w:ascii="Calibri" w:hAnsi="Calibri" w:cs="Calibri"/>
        </w:rPr>
        <w:t xml:space="preserve"> </w:t>
      </w:r>
      <w:r w:rsidR="00DA2A60" w:rsidRPr="00B5064E">
        <w:rPr>
          <w:rFonts w:ascii="Calibri" w:hAnsi="Calibri" w:cs="Calibri"/>
        </w:rPr>
        <w:t xml:space="preserve">use tariff cap that applies when a household’s consumption exceeds the 24 kWh </w:t>
      </w:r>
      <w:r w:rsidR="008B2D14" w:rsidRPr="00B5064E">
        <w:rPr>
          <w:rFonts w:ascii="Calibri" w:hAnsi="Calibri" w:cs="Calibri"/>
        </w:rPr>
        <w:t>use cap</w:t>
      </w:r>
      <w:r w:rsidR="00DA2A60" w:rsidRPr="00B5064E">
        <w:rPr>
          <w:rFonts w:ascii="Calibri" w:hAnsi="Calibri" w:cs="Calibri"/>
        </w:rPr>
        <w:t xml:space="preserve"> during the free</w:t>
      </w:r>
      <w:r w:rsidR="00DA2A60" w:rsidRPr="00B5064E">
        <w:rPr>
          <w:rFonts w:ascii="Calibri" w:hAnsi="Calibri" w:cs="Calibri"/>
        </w:rPr>
        <w:noBreakHyphen/>
        <w:t xml:space="preserve">power window. The ACCC will oversee retailers’ compliance </w:t>
      </w:r>
      <w:r w:rsidR="003F2137" w:rsidRPr="00B5064E">
        <w:rPr>
          <w:rFonts w:ascii="Calibri" w:hAnsi="Calibri" w:cs="Calibri"/>
        </w:rPr>
        <w:t>in relation to</w:t>
      </w:r>
      <w:r w:rsidR="00DA2A60" w:rsidRPr="00B5064E">
        <w:rPr>
          <w:rFonts w:ascii="Calibri" w:hAnsi="Calibri" w:cs="Calibri"/>
        </w:rPr>
        <w:t xml:space="preserve"> the new communication requirements and charges applied during the free</w:t>
      </w:r>
      <w:r w:rsidR="00DA2A60" w:rsidRPr="00B5064E">
        <w:rPr>
          <w:rFonts w:ascii="Calibri" w:hAnsi="Calibri" w:cs="Calibri"/>
        </w:rPr>
        <w:noBreakHyphen/>
        <w:t>power window</w:t>
      </w:r>
      <w:r w:rsidR="00351CFE" w:rsidRPr="00B5064E">
        <w:rPr>
          <w:rFonts w:ascii="Calibri" w:hAnsi="Calibri" w:cs="Calibri"/>
        </w:rPr>
        <w:t>, consistent with its broader compliance and enforcement function under the regulations</w:t>
      </w:r>
      <w:r w:rsidR="00DA2A60" w:rsidRPr="00B5064E">
        <w:rPr>
          <w:rFonts w:ascii="Calibri" w:hAnsi="Calibri" w:cs="Calibri"/>
        </w:rPr>
        <w:t xml:space="preserve">. </w:t>
      </w:r>
      <w:r w:rsidR="00765353" w:rsidRPr="00B5064E">
        <w:rPr>
          <w:rFonts w:ascii="Calibri" w:hAnsi="Calibri" w:cs="Calibri"/>
        </w:rPr>
        <w:t>T</w:t>
      </w:r>
      <w:r w:rsidR="0040139D" w:rsidRPr="00B5064E">
        <w:rPr>
          <w:rFonts w:ascii="Calibri" w:hAnsi="Calibri" w:cs="Calibri"/>
        </w:rPr>
        <w:t>hese obligations</w:t>
      </w:r>
      <w:r w:rsidR="00765353" w:rsidRPr="00B5064E">
        <w:rPr>
          <w:rFonts w:ascii="Calibri" w:hAnsi="Calibri" w:cs="Calibri"/>
        </w:rPr>
        <w:t xml:space="preserve"> are intended to ensure the risk of customers being worst off are mitigated and both</w:t>
      </w:r>
      <w:r w:rsidR="0040139D" w:rsidRPr="00B5064E">
        <w:rPr>
          <w:rFonts w:ascii="Calibri" w:hAnsi="Calibri" w:cs="Calibri"/>
        </w:rPr>
        <w:t xml:space="preserve"> carry associated civil penalties, which the ACCC will also be responsible for enforcing</w:t>
      </w:r>
      <w:r w:rsidR="00765353" w:rsidRPr="00B5064E">
        <w:rPr>
          <w:rFonts w:ascii="Calibri" w:hAnsi="Calibri" w:cs="Calibri"/>
        </w:rPr>
        <w:t>.</w:t>
      </w:r>
    </w:p>
    <w:p w14:paraId="713D6137" w14:textId="3B74C0D9" w:rsidR="0006397C" w:rsidRPr="00B5064E" w:rsidRDefault="00351CFE" w:rsidP="0006397C">
      <w:pPr>
        <w:rPr>
          <w:rFonts w:ascii="Calibri" w:hAnsi="Calibri" w:cs="Calibri"/>
        </w:rPr>
      </w:pPr>
      <w:r w:rsidRPr="00B5064E">
        <w:rPr>
          <w:rFonts w:ascii="Calibri" w:hAnsi="Calibri" w:cs="Calibri"/>
        </w:rPr>
        <w:lastRenderedPageBreak/>
        <w:t>T</w:t>
      </w:r>
      <w:r w:rsidR="00B631E1" w:rsidRPr="00B5064E">
        <w:rPr>
          <w:rFonts w:ascii="Calibri" w:hAnsi="Calibri" w:cs="Calibri"/>
        </w:rPr>
        <w:t>he department will</w:t>
      </w:r>
      <w:r w:rsidR="00DA2A60" w:rsidRPr="00B5064E">
        <w:rPr>
          <w:rFonts w:ascii="Calibri" w:hAnsi="Calibri" w:cs="Calibri"/>
        </w:rPr>
        <w:t xml:space="preserve"> manage any further policy adjustments, including assessing options for a national rollout and undertaking a post</w:t>
      </w:r>
      <w:r w:rsidR="00DA2A60" w:rsidRPr="00B5064E">
        <w:rPr>
          <w:rFonts w:ascii="Calibri" w:hAnsi="Calibri" w:cs="Calibri"/>
        </w:rPr>
        <w:noBreakHyphen/>
        <w:t>implementation review two years after the commencement of the SSO</w:t>
      </w:r>
      <w:r w:rsidR="00B631E1" w:rsidRPr="00B5064E">
        <w:rPr>
          <w:rFonts w:ascii="Calibri" w:hAnsi="Calibri" w:cs="Calibri"/>
        </w:rPr>
        <w:t>, consistent</w:t>
      </w:r>
      <w:r w:rsidR="0006397C" w:rsidRPr="00B5064E">
        <w:rPr>
          <w:rFonts w:ascii="Calibri" w:hAnsi="Calibri" w:cs="Calibri"/>
        </w:rPr>
        <w:t xml:space="preserve"> with Design Principle 6 (Adaptability</w:t>
      </w:r>
      <w:r w:rsidR="00B631E1" w:rsidRPr="00B5064E">
        <w:rPr>
          <w:rFonts w:ascii="Calibri" w:hAnsi="Calibri" w:cs="Calibri"/>
        </w:rPr>
        <w:t>).</w:t>
      </w:r>
    </w:p>
    <w:p w14:paraId="06D8AD61" w14:textId="0FDFC4BA" w:rsidR="0006397C" w:rsidRPr="00B5064E" w:rsidRDefault="0006397C" w:rsidP="0006397C">
      <w:pPr>
        <w:rPr>
          <w:rFonts w:ascii="Calibri" w:hAnsi="Calibri" w:cs="Calibri"/>
        </w:rPr>
      </w:pPr>
      <w:r w:rsidRPr="00B5064E">
        <w:rPr>
          <w:rFonts w:ascii="Calibri" w:hAnsi="Calibri" w:cs="Calibri"/>
        </w:rPr>
        <w:t>The review will assess:</w:t>
      </w:r>
    </w:p>
    <w:p w14:paraId="4180278C" w14:textId="77777777" w:rsidR="0006397C" w:rsidRPr="00B5064E" w:rsidRDefault="0006397C" w:rsidP="00226046">
      <w:pPr>
        <w:numPr>
          <w:ilvl w:val="0"/>
          <w:numId w:val="8"/>
        </w:numPr>
        <w:spacing w:before="120" w:after="120"/>
        <w:ind w:left="714" w:hanging="357"/>
        <w:rPr>
          <w:rFonts w:ascii="Calibri" w:hAnsi="Calibri" w:cs="Calibri"/>
        </w:rPr>
      </w:pPr>
      <w:r w:rsidRPr="00B5064E">
        <w:rPr>
          <w:rFonts w:ascii="Calibri" w:hAnsi="Calibri" w:cs="Calibri"/>
        </w:rPr>
        <w:t>uptake and participation rates;</w:t>
      </w:r>
    </w:p>
    <w:p w14:paraId="6C7A005F" w14:textId="77777777" w:rsidR="0006397C" w:rsidRPr="00B5064E" w:rsidRDefault="0006397C" w:rsidP="00226046">
      <w:pPr>
        <w:numPr>
          <w:ilvl w:val="0"/>
          <w:numId w:val="8"/>
        </w:numPr>
        <w:spacing w:before="120" w:after="120"/>
        <w:ind w:left="714" w:hanging="357"/>
        <w:rPr>
          <w:rFonts w:ascii="Calibri" w:hAnsi="Calibri" w:cs="Calibri"/>
        </w:rPr>
      </w:pPr>
      <w:r w:rsidRPr="00B5064E">
        <w:rPr>
          <w:rFonts w:ascii="Calibri" w:hAnsi="Calibri" w:cs="Calibri"/>
        </w:rPr>
        <w:t>bill impacts across different household cohorts;</w:t>
      </w:r>
    </w:p>
    <w:p w14:paraId="1F6D268A" w14:textId="06338429" w:rsidR="0006397C" w:rsidRPr="00B5064E" w:rsidRDefault="0006397C" w:rsidP="00226046">
      <w:pPr>
        <w:numPr>
          <w:ilvl w:val="0"/>
          <w:numId w:val="8"/>
        </w:numPr>
        <w:spacing w:before="120" w:after="120"/>
        <w:ind w:left="714" w:hanging="357"/>
        <w:rPr>
          <w:rFonts w:ascii="Calibri" w:hAnsi="Calibri" w:cs="Calibri"/>
        </w:rPr>
      </w:pPr>
      <w:r w:rsidRPr="00B5064E">
        <w:rPr>
          <w:rFonts w:ascii="Calibri" w:hAnsi="Calibri" w:cs="Calibri"/>
        </w:rPr>
        <w:t>demand-shifting behaviour;</w:t>
      </w:r>
    </w:p>
    <w:p w14:paraId="396C3082" w14:textId="77777777" w:rsidR="0006397C" w:rsidRPr="00B5064E" w:rsidRDefault="0006397C" w:rsidP="00226046">
      <w:pPr>
        <w:numPr>
          <w:ilvl w:val="0"/>
          <w:numId w:val="8"/>
        </w:numPr>
        <w:spacing w:before="120" w:after="120"/>
        <w:ind w:left="714" w:hanging="357"/>
        <w:rPr>
          <w:rFonts w:ascii="Calibri" w:hAnsi="Calibri" w:cs="Calibri"/>
        </w:rPr>
      </w:pPr>
      <w:r w:rsidRPr="00B5064E">
        <w:rPr>
          <w:rFonts w:ascii="Calibri" w:hAnsi="Calibri" w:cs="Calibri"/>
        </w:rPr>
        <w:t>network and wholesale market impacts; and</w:t>
      </w:r>
    </w:p>
    <w:p w14:paraId="253421B4" w14:textId="5EDEDA69" w:rsidR="005C2258" w:rsidRDefault="0006397C" w:rsidP="00EB6601">
      <w:pPr>
        <w:numPr>
          <w:ilvl w:val="0"/>
          <w:numId w:val="8"/>
        </w:numPr>
        <w:spacing w:before="120" w:after="120"/>
        <w:ind w:left="714" w:hanging="357"/>
        <w:rPr>
          <w:rFonts w:ascii="Calibri" w:hAnsi="Calibri" w:cs="Calibri"/>
        </w:rPr>
      </w:pPr>
      <w:r w:rsidRPr="00B5064E">
        <w:rPr>
          <w:rFonts w:ascii="Calibri" w:hAnsi="Calibri" w:cs="Calibri"/>
        </w:rPr>
        <w:t>effectiveness of the reasonable use cap and exemption thresholds.</w:t>
      </w:r>
    </w:p>
    <w:p w14:paraId="266DE2E2" w14:textId="77777777" w:rsidR="005C2258" w:rsidRDefault="005C2258">
      <w:pPr>
        <w:rPr>
          <w:rFonts w:ascii="Calibri" w:hAnsi="Calibri" w:cs="Calibri"/>
        </w:rPr>
      </w:pPr>
      <w:r>
        <w:rPr>
          <w:rFonts w:ascii="Calibri" w:hAnsi="Calibri" w:cs="Calibri"/>
        </w:rPr>
        <w:br w:type="page"/>
      </w:r>
    </w:p>
    <w:p w14:paraId="10ABDB97" w14:textId="484B497D" w:rsidR="009A797B" w:rsidRPr="009A797B" w:rsidRDefault="009A797B" w:rsidP="009A797B">
      <w:pPr>
        <w:pStyle w:val="Heading1"/>
        <w:spacing w:before="160" w:after="120"/>
        <w:rPr>
          <w:rFonts w:ascii="Calibri" w:hAnsi="Calibri" w:cs="Calibri"/>
          <w:b/>
          <w:bCs/>
        </w:rPr>
      </w:pPr>
      <w:bookmarkStart w:id="70" w:name="_Toc222842817"/>
      <w:r w:rsidRPr="009A797B">
        <w:rPr>
          <w:rFonts w:ascii="Calibri" w:hAnsi="Calibri" w:cs="Calibri"/>
          <w:b/>
          <w:bCs/>
        </w:rPr>
        <w:lastRenderedPageBreak/>
        <w:t>Abbreviations</w:t>
      </w:r>
      <w:r w:rsidR="00F255B6">
        <w:rPr>
          <w:rFonts w:ascii="Calibri" w:hAnsi="Calibri" w:cs="Calibri"/>
          <w:b/>
          <w:bCs/>
        </w:rPr>
        <w:t xml:space="preserve"> List</w:t>
      </w:r>
      <w:bookmarkEnd w:id="70"/>
    </w:p>
    <w:tbl>
      <w:tblPr>
        <w:tblStyle w:val="SynergiesTable"/>
        <w:tblW w:w="9030" w:type="dxa"/>
        <w:tblLook w:val="04A0" w:firstRow="1" w:lastRow="0" w:firstColumn="1" w:lastColumn="0" w:noHBand="0" w:noVBand="1"/>
      </w:tblPr>
      <w:tblGrid>
        <w:gridCol w:w="2685"/>
        <w:gridCol w:w="6345"/>
      </w:tblGrid>
      <w:tr w:rsidR="009A797B" w:rsidRPr="009A797B" w14:paraId="3AE8ED82" w14:textId="77777777" w:rsidTr="00646E30">
        <w:trPr>
          <w:cnfStyle w:val="100000000000" w:firstRow="1" w:lastRow="0" w:firstColumn="0" w:lastColumn="0" w:oddVBand="0" w:evenVBand="0" w:oddHBand="0" w:evenHBand="0" w:firstRowFirstColumn="0" w:firstRowLastColumn="0" w:lastRowFirstColumn="0" w:lastRowLastColumn="0"/>
          <w:trHeight w:val="300"/>
        </w:trPr>
        <w:tc>
          <w:tcPr>
            <w:tcW w:w="2685" w:type="dxa"/>
            <w:vAlign w:val="center"/>
          </w:tcPr>
          <w:p w14:paraId="7EF21F7D" w14:textId="4A510F18" w:rsidR="009A797B" w:rsidRPr="00646E30" w:rsidRDefault="00F255B6" w:rsidP="00646E30">
            <w:pPr>
              <w:spacing w:before="60" w:after="60"/>
              <w:jc w:val="center"/>
              <w:textAlignment w:val="baseline"/>
              <w:rPr>
                <w:rFonts w:ascii="Calibri" w:eastAsia="Times New Roman" w:hAnsi="Calibri" w:cs="Calibri"/>
                <w:b/>
                <w:bCs/>
                <w:color w:val="000000"/>
                <w:sz w:val="20"/>
                <w:szCs w:val="20"/>
                <w:lang w:eastAsia="en-AU"/>
              </w:rPr>
            </w:pPr>
            <w:r w:rsidRPr="00646E30">
              <w:rPr>
                <w:rFonts w:ascii="Calibri" w:eastAsia="Times New Roman" w:hAnsi="Calibri" w:cs="Calibri"/>
                <w:b/>
                <w:bCs/>
                <w:color w:val="000000"/>
                <w:sz w:val="20"/>
                <w:szCs w:val="20"/>
                <w:lang w:eastAsia="en-AU"/>
              </w:rPr>
              <w:t>Abbreviation</w:t>
            </w:r>
          </w:p>
        </w:tc>
        <w:tc>
          <w:tcPr>
            <w:tcW w:w="6345" w:type="dxa"/>
            <w:vAlign w:val="center"/>
          </w:tcPr>
          <w:p w14:paraId="29AF0894" w14:textId="22BCEA5B" w:rsidR="009A797B" w:rsidRPr="00646E30" w:rsidRDefault="00F255B6" w:rsidP="00646E30">
            <w:pPr>
              <w:spacing w:before="60" w:after="60"/>
              <w:jc w:val="center"/>
              <w:textAlignment w:val="baseline"/>
              <w:rPr>
                <w:rFonts w:ascii="Calibri" w:eastAsia="Times New Roman" w:hAnsi="Calibri" w:cs="Calibri"/>
                <w:b/>
                <w:bCs/>
                <w:color w:val="000000"/>
                <w:sz w:val="20"/>
                <w:szCs w:val="20"/>
                <w:lang w:eastAsia="en-AU"/>
              </w:rPr>
            </w:pPr>
            <w:r w:rsidRPr="00646E30">
              <w:rPr>
                <w:rFonts w:ascii="Calibri" w:eastAsia="Times New Roman" w:hAnsi="Calibri" w:cs="Calibri"/>
                <w:b/>
                <w:bCs/>
                <w:color w:val="000000"/>
                <w:sz w:val="20"/>
                <w:szCs w:val="20"/>
                <w:lang w:eastAsia="en-AU"/>
              </w:rPr>
              <w:t>Full name</w:t>
            </w:r>
          </w:p>
        </w:tc>
      </w:tr>
      <w:tr w:rsidR="009A797B" w:rsidRPr="009A797B" w14:paraId="47D52E7A" w14:textId="77777777" w:rsidTr="00646E30">
        <w:trPr>
          <w:trHeight w:val="300"/>
        </w:trPr>
        <w:tc>
          <w:tcPr>
            <w:tcW w:w="2685" w:type="dxa"/>
            <w:hideMark/>
          </w:tcPr>
          <w:p w14:paraId="2C13F072" w14:textId="77777777" w:rsidR="009A797B" w:rsidRPr="009A797B" w:rsidRDefault="009A797B" w:rsidP="009A797B">
            <w:pPr>
              <w:spacing w:before="60" w:after="60"/>
              <w:textAlignment w:val="baseline"/>
              <w:rPr>
                <w:rFonts w:ascii="Calibri" w:eastAsia="Times New Roman" w:hAnsi="Calibri" w:cs="Calibri"/>
                <w:b/>
                <w:bCs/>
                <w:color w:val="000000"/>
                <w:sz w:val="22"/>
                <w:lang w:eastAsia="en-AU"/>
              </w:rPr>
            </w:pPr>
            <w:r w:rsidRPr="009A797B">
              <w:rPr>
                <w:rFonts w:ascii="Calibri" w:eastAsia="Times New Roman" w:hAnsi="Calibri" w:cs="Calibri"/>
                <w:b/>
                <w:bCs/>
                <w:color w:val="000000"/>
                <w:sz w:val="22"/>
                <w:lang w:eastAsia="en-AU"/>
              </w:rPr>
              <w:t>ACCC  </w:t>
            </w:r>
          </w:p>
        </w:tc>
        <w:tc>
          <w:tcPr>
            <w:tcW w:w="6345" w:type="dxa"/>
            <w:hideMark/>
          </w:tcPr>
          <w:p w14:paraId="13FC0EEC" w14:textId="77777777" w:rsidR="009A797B" w:rsidRPr="009A797B" w:rsidRDefault="009A797B" w:rsidP="009A797B">
            <w:pPr>
              <w:spacing w:before="60" w:after="60"/>
              <w:textAlignment w:val="baseline"/>
              <w:rPr>
                <w:rFonts w:ascii="Calibri" w:eastAsia="Times New Roman" w:hAnsi="Calibri" w:cs="Calibri"/>
                <w:color w:val="000000"/>
                <w:sz w:val="22"/>
                <w:lang w:eastAsia="en-AU"/>
              </w:rPr>
            </w:pPr>
            <w:r w:rsidRPr="009A797B">
              <w:rPr>
                <w:rFonts w:ascii="Calibri" w:eastAsia="Times New Roman" w:hAnsi="Calibri" w:cs="Calibri"/>
                <w:color w:val="000000"/>
                <w:sz w:val="22"/>
                <w:lang w:eastAsia="en-AU"/>
              </w:rPr>
              <w:t>Australian Competition and Consumer Commission </w:t>
            </w:r>
          </w:p>
        </w:tc>
      </w:tr>
      <w:tr w:rsidR="009A797B" w:rsidRPr="009A797B" w14:paraId="5D659352" w14:textId="77777777" w:rsidTr="008A4591">
        <w:trPr>
          <w:trHeight w:val="300"/>
        </w:trPr>
        <w:tc>
          <w:tcPr>
            <w:tcW w:w="2685" w:type="dxa"/>
            <w:shd w:val="clear" w:color="auto" w:fill="F2F2F2" w:themeFill="background1" w:themeFillShade="F2"/>
            <w:hideMark/>
          </w:tcPr>
          <w:p w14:paraId="5864E7BE" w14:textId="77777777" w:rsidR="009A797B" w:rsidRPr="009A797B" w:rsidRDefault="009A797B" w:rsidP="009A797B">
            <w:pPr>
              <w:spacing w:before="60" w:after="60"/>
              <w:textAlignment w:val="baseline"/>
              <w:rPr>
                <w:rFonts w:ascii="Calibri" w:eastAsia="Times New Roman" w:hAnsi="Calibri" w:cs="Calibri"/>
                <w:b/>
                <w:bCs/>
                <w:color w:val="000000"/>
                <w:sz w:val="22"/>
                <w:lang w:eastAsia="en-AU"/>
              </w:rPr>
            </w:pPr>
            <w:r w:rsidRPr="009A797B">
              <w:rPr>
                <w:rFonts w:ascii="Calibri" w:eastAsia="Times New Roman" w:hAnsi="Calibri" w:cs="Calibri"/>
                <w:b/>
                <w:bCs/>
                <w:color w:val="000000"/>
                <w:sz w:val="22"/>
                <w:lang w:eastAsia="en-AU"/>
              </w:rPr>
              <w:t>AEMC  </w:t>
            </w:r>
          </w:p>
        </w:tc>
        <w:tc>
          <w:tcPr>
            <w:tcW w:w="6345" w:type="dxa"/>
            <w:shd w:val="clear" w:color="auto" w:fill="F2F2F2" w:themeFill="background1" w:themeFillShade="F2"/>
            <w:hideMark/>
          </w:tcPr>
          <w:p w14:paraId="321B53AB" w14:textId="77777777" w:rsidR="009A797B" w:rsidRPr="009A797B" w:rsidRDefault="009A797B" w:rsidP="009A797B">
            <w:pPr>
              <w:spacing w:before="60" w:after="60"/>
              <w:textAlignment w:val="baseline"/>
              <w:rPr>
                <w:rFonts w:ascii="Calibri" w:eastAsia="Times New Roman" w:hAnsi="Calibri" w:cs="Calibri"/>
                <w:color w:val="000000"/>
                <w:sz w:val="22"/>
                <w:lang w:eastAsia="en-AU"/>
              </w:rPr>
            </w:pPr>
            <w:r w:rsidRPr="009A797B">
              <w:rPr>
                <w:rFonts w:ascii="Calibri" w:eastAsia="Times New Roman" w:hAnsi="Calibri" w:cs="Calibri"/>
                <w:color w:val="000000"/>
                <w:sz w:val="22"/>
                <w:lang w:eastAsia="en-AU"/>
              </w:rPr>
              <w:t>Australian Energy Market Commission </w:t>
            </w:r>
          </w:p>
        </w:tc>
      </w:tr>
      <w:tr w:rsidR="009A797B" w:rsidRPr="009A797B" w14:paraId="696A8B80" w14:textId="77777777" w:rsidTr="00646E30">
        <w:trPr>
          <w:trHeight w:val="300"/>
        </w:trPr>
        <w:tc>
          <w:tcPr>
            <w:tcW w:w="2685" w:type="dxa"/>
            <w:hideMark/>
          </w:tcPr>
          <w:p w14:paraId="1CD1A694" w14:textId="77777777" w:rsidR="009A797B" w:rsidRPr="009A797B" w:rsidRDefault="009A797B" w:rsidP="009A797B">
            <w:pPr>
              <w:spacing w:before="60" w:after="60"/>
              <w:textAlignment w:val="baseline"/>
              <w:rPr>
                <w:rFonts w:ascii="Calibri" w:eastAsia="Times New Roman" w:hAnsi="Calibri" w:cs="Calibri"/>
                <w:b/>
                <w:bCs/>
                <w:color w:val="000000"/>
                <w:sz w:val="22"/>
                <w:lang w:eastAsia="en-AU"/>
              </w:rPr>
            </w:pPr>
            <w:r w:rsidRPr="009A797B">
              <w:rPr>
                <w:rFonts w:ascii="Calibri" w:eastAsia="Times New Roman" w:hAnsi="Calibri" w:cs="Calibri"/>
                <w:b/>
                <w:bCs/>
                <w:color w:val="000000"/>
                <w:sz w:val="22"/>
                <w:lang w:eastAsia="en-AU"/>
              </w:rPr>
              <w:t>AER  </w:t>
            </w:r>
          </w:p>
        </w:tc>
        <w:tc>
          <w:tcPr>
            <w:tcW w:w="6345" w:type="dxa"/>
            <w:hideMark/>
          </w:tcPr>
          <w:p w14:paraId="31F043EC" w14:textId="77777777" w:rsidR="009A797B" w:rsidRPr="009A797B" w:rsidRDefault="009A797B" w:rsidP="009A797B">
            <w:pPr>
              <w:spacing w:before="60" w:after="60"/>
              <w:textAlignment w:val="baseline"/>
              <w:rPr>
                <w:rFonts w:ascii="Calibri" w:eastAsia="Times New Roman" w:hAnsi="Calibri" w:cs="Calibri"/>
                <w:color w:val="000000"/>
                <w:sz w:val="22"/>
                <w:lang w:eastAsia="en-AU"/>
              </w:rPr>
            </w:pPr>
            <w:r w:rsidRPr="009A797B">
              <w:rPr>
                <w:rFonts w:ascii="Calibri" w:eastAsia="Times New Roman" w:hAnsi="Calibri" w:cs="Calibri"/>
                <w:color w:val="000000"/>
                <w:sz w:val="22"/>
                <w:lang w:eastAsia="en-AU"/>
              </w:rPr>
              <w:t>Australian Energy Regulator </w:t>
            </w:r>
          </w:p>
        </w:tc>
      </w:tr>
      <w:tr w:rsidR="009A797B" w:rsidRPr="009A797B" w14:paraId="04950429" w14:textId="77777777" w:rsidTr="008A4591">
        <w:trPr>
          <w:trHeight w:val="300"/>
        </w:trPr>
        <w:tc>
          <w:tcPr>
            <w:tcW w:w="2685" w:type="dxa"/>
            <w:shd w:val="clear" w:color="auto" w:fill="F2F2F2" w:themeFill="background1" w:themeFillShade="F2"/>
            <w:hideMark/>
          </w:tcPr>
          <w:p w14:paraId="37769461" w14:textId="77777777" w:rsidR="009A797B" w:rsidRPr="009A797B" w:rsidRDefault="009A797B" w:rsidP="009A797B">
            <w:pPr>
              <w:spacing w:before="60" w:after="60"/>
              <w:textAlignment w:val="baseline"/>
              <w:rPr>
                <w:rFonts w:ascii="Calibri" w:eastAsia="Times New Roman" w:hAnsi="Calibri" w:cs="Calibri"/>
                <w:b/>
                <w:bCs/>
                <w:color w:val="000000"/>
                <w:sz w:val="22"/>
                <w:lang w:eastAsia="en-AU"/>
              </w:rPr>
            </w:pPr>
            <w:r w:rsidRPr="009A797B">
              <w:rPr>
                <w:rFonts w:ascii="Calibri" w:eastAsia="Times New Roman" w:hAnsi="Calibri" w:cs="Calibri"/>
                <w:b/>
                <w:bCs/>
                <w:color w:val="000000"/>
                <w:sz w:val="22"/>
                <w:lang w:eastAsia="en-AU"/>
              </w:rPr>
              <w:t>AEMO  </w:t>
            </w:r>
          </w:p>
        </w:tc>
        <w:tc>
          <w:tcPr>
            <w:tcW w:w="6345" w:type="dxa"/>
            <w:shd w:val="clear" w:color="auto" w:fill="F2F2F2" w:themeFill="background1" w:themeFillShade="F2"/>
            <w:hideMark/>
          </w:tcPr>
          <w:p w14:paraId="5B270FC6" w14:textId="77777777" w:rsidR="009A797B" w:rsidRPr="009A797B" w:rsidRDefault="009A797B" w:rsidP="009A797B">
            <w:pPr>
              <w:spacing w:before="60" w:after="60"/>
              <w:textAlignment w:val="baseline"/>
              <w:rPr>
                <w:rFonts w:ascii="Calibri" w:eastAsia="Times New Roman" w:hAnsi="Calibri" w:cs="Calibri"/>
                <w:color w:val="000000"/>
                <w:sz w:val="22"/>
                <w:lang w:eastAsia="en-AU"/>
              </w:rPr>
            </w:pPr>
            <w:r w:rsidRPr="009A797B">
              <w:rPr>
                <w:rFonts w:ascii="Calibri" w:eastAsia="Times New Roman" w:hAnsi="Calibri" w:cs="Calibri"/>
                <w:color w:val="000000"/>
                <w:sz w:val="22"/>
                <w:lang w:eastAsia="en-AU"/>
              </w:rPr>
              <w:t>Australian Energy market Operator </w:t>
            </w:r>
          </w:p>
        </w:tc>
      </w:tr>
      <w:tr w:rsidR="009A797B" w:rsidRPr="009A797B" w14:paraId="0B1E9E46" w14:textId="77777777" w:rsidTr="00646E30">
        <w:trPr>
          <w:trHeight w:val="300"/>
        </w:trPr>
        <w:tc>
          <w:tcPr>
            <w:tcW w:w="2685" w:type="dxa"/>
            <w:hideMark/>
          </w:tcPr>
          <w:p w14:paraId="63CD5B94" w14:textId="77777777" w:rsidR="009A797B" w:rsidRPr="009A797B" w:rsidRDefault="009A797B" w:rsidP="009A797B">
            <w:pPr>
              <w:spacing w:before="60" w:after="60"/>
              <w:textAlignment w:val="baseline"/>
              <w:rPr>
                <w:rFonts w:ascii="Calibri" w:eastAsia="Times New Roman" w:hAnsi="Calibri" w:cs="Calibri"/>
                <w:b/>
                <w:bCs/>
                <w:color w:val="000000"/>
                <w:sz w:val="22"/>
                <w:lang w:eastAsia="en-AU"/>
              </w:rPr>
            </w:pPr>
            <w:r w:rsidRPr="009A797B">
              <w:rPr>
                <w:rFonts w:ascii="Calibri" w:eastAsia="Times New Roman" w:hAnsi="Calibri" w:cs="Calibri"/>
                <w:b/>
                <w:bCs/>
                <w:color w:val="000000"/>
                <w:sz w:val="22"/>
                <w:lang w:eastAsia="en-AU"/>
              </w:rPr>
              <w:t>CEC </w:t>
            </w:r>
          </w:p>
        </w:tc>
        <w:tc>
          <w:tcPr>
            <w:tcW w:w="6345" w:type="dxa"/>
            <w:hideMark/>
          </w:tcPr>
          <w:p w14:paraId="583F2FEE" w14:textId="77777777" w:rsidR="009A797B" w:rsidRPr="009A797B" w:rsidRDefault="009A797B" w:rsidP="009A797B">
            <w:pPr>
              <w:spacing w:before="60" w:after="60"/>
              <w:textAlignment w:val="baseline"/>
              <w:rPr>
                <w:rFonts w:ascii="Calibri" w:eastAsia="Times New Roman" w:hAnsi="Calibri" w:cs="Calibri"/>
                <w:color w:val="000000"/>
                <w:sz w:val="22"/>
                <w:lang w:eastAsia="en-AU"/>
              </w:rPr>
            </w:pPr>
            <w:r w:rsidRPr="009A797B">
              <w:rPr>
                <w:rFonts w:ascii="Calibri" w:eastAsia="Times New Roman" w:hAnsi="Calibri" w:cs="Calibri"/>
                <w:color w:val="000000"/>
                <w:sz w:val="22"/>
                <w:lang w:eastAsia="en-AU"/>
              </w:rPr>
              <w:t>Clean Energy Council </w:t>
            </w:r>
          </w:p>
        </w:tc>
      </w:tr>
      <w:tr w:rsidR="009A797B" w:rsidRPr="009A797B" w14:paraId="772A7AF5" w14:textId="77777777" w:rsidTr="008A4591">
        <w:trPr>
          <w:trHeight w:val="300"/>
        </w:trPr>
        <w:tc>
          <w:tcPr>
            <w:tcW w:w="2685" w:type="dxa"/>
            <w:shd w:val="clear" w:color="auto" w:fill="F2F2F2" w:themeFill="background1" w:themeFillShade="F2"/>
            <w:hideMark/>
          </w:tcPr>
          <w:p w14:paraId="30AA8A9E" w14:textId="77777777" w:rsidR="009A797B" w:rsidRPr="009A797B" w:rsidRDefault="009A797B" w:rsidP="009A797B">
            <w:pPr>
              <w:spacing w:before="60" w:after="60"/>
              <w:textAlignment w:val="baseline"/>
              <w:rPr>
                <w:rFonts w:ascii="Calibri" w:eastAsia="Times New Roman" w:hAnsi="Calibri" w:cs="Calibri"/>
                <w:b/>
                <w:bCs/>
                <w:color w:val="000000"/>
                <w:sz w:val="22"/>
                <w:lang w:eastAsia="en-AU"/>
              </w:rPr>
            </w:pPr>
            <w:r w:rsidRPr="009A797B">
              <w:rPr>
                <w:rFonts w:ascii="Calibri" w:eastAsia="Times New Roman" w:hAnsi="Calibri" w:cs="Calibri"/>
                <w:b/>
                <w:bCs/>
                <w:color w:val="000000"/>
                <w:sz w:val="22"/>
                <w:lang w:eastAsia="en-AU"/>
              </w:rPr>
              <w:t>CER </w:t>
            </w:r>
          </w:p>
        </w:tc>
        <w:tc>
          <w:tcPr>
            <w:tcW w:w="6345" w:type="dxa"/>
            <w:shd w:val="clear" w:color="auto" w:fill="F2F2F2" w:themeFill="background1" w:themeFillShade="F2"/>
            <w:hideMark/>
          </w:tcPr>
          <w:p w14:paraId="1994A92A" w14:textId="77777777" w:rsidR="009A797B" w:rsidRPr="009A797B" w:rsidRDefault="009A797B" w:rsidP="009A797B">
            <w:pPr>
              <w:spacing w:before="60" w:after="60"/>
              <w:textAlignment w:val="baseline"/>
              <w:rPr>
                <w:rFonts w:ascii="Calibri" w:eastAsia="Times New Roman" w:hAnsi="Calibri" w:cs="Calibri"/>
                <w:color w:val="000000"/>
                <w:sz w:val="22"/>
                <w:lang w:eastAsia="en-AU"/>
              </w:rPr>
            </w:pPr>
            <w:r w:rsidRPr="009A797B">
              <w:rPr>
                <w:rFonts w:ascii="Calibri" w:eastAsia="Times New Roman" w:hAnsi="Calibri" w:cs="Calibri"/>
                <w:color w:val="000000"/>
                <w:sz w:val="22"/>
                <w:lang w:eastAsia="en-AU"/>
              </w:rPr>
              <w:t>Consumer Energy Resources </w:t>
            </w:r>
          </w:p>
        </w:tc>
      </w:tr>
      <w:tr w:rsidR="009A797B" w:rsidRPr="009A797B" w14:paraId="4A492D21" w14:textId="77777777" w:rsidTr="00646E30">
        <w:trPr>
          <w:trHeight w:val="300"/>
        </w:trPr>
        <w:tc>
          <w:tcPr>
            <w:tcW w:w="2685" w:type="dxa"/>
            <w:hideMark/>
          </w:tcPr>
          <w:p w14:paraId="33BC0CE1" w14:textId="77777777" w:rsidR="009A797B" w:rsidRPr="009A797B" w:rsidRDefault="009A797B" w:rsidP="009A797B">
            <w:pPr>
              <w:spacing w:before="60" w:after="60"/>
              <w:textAlignment w:val="baseline"/>
              <w:rPr>
                <w:rFonts w:ascii="Calibri" w:eastAsia="Times New Roman" w:hAnsi="Calibri" w:cs="Calibri"/>
                <w:b/>
                <w:bCs/>
                <w:color w:val="000000"/>
                <w:sz w:val="22"/>
                <w:lang w:eastAsia="en-AU"/>
              </w:rPr>
            </w:pPr>
            <w:r w:rsidRPr="009A797B">
              <w:rPr>
                <w:rFonts w:ascii="Calibri" w:eastAsia="Times New Roman" w:hAnsi="Calibri" w:cs="Calibri"/>
                <w:b/>
                <w:bCs/>
                <w:color w:val="000000"/>
                <w:sz w:val="22"/>
                <w:lang w:eastAsia="en-AU"/>
              </w:rPr>
              <w:t>CL </w:t>
            </w:r>
          </w:p>
        </w:tc>
        <w:tc>
          <w:tcPr>
            <w:tcW w:w="6345" w:type="dxa"/>
            <w:hideMark/>
          </w:tcPr>
          <w:p w14:paraId="5046E197" w14:textId="77777777" w:rsidR="009A797B" w:rsidRPr="009A797B" w:rsidRDefault="009A797B" w:rsidP="009A797B">
            <w:pPr>
              <w:spacing w:before="60" w:after="60"/>
              <w:textAlignment w:val="baseline"/>
              <w:rPr>
                <w:rFonts w:ascii="Calibri" w:eastAsia="Times New Roman" w:hAnsi="Calibri" w:cs="Calibri"/>
                <w:color w:val="000000"/>
                <w:sz w:val="22"/>
                <w:lang w:eastAsia="en-AU"/>
              </w:rPr>
            </w:pPr>
            <w:r w:rsidRPr="009A797B">
              <w:rPr>
                <w:rFonts w:ascii="Calibri" w:eastAsia="Times New Roman" w:hAnsi="Calibri" w:cs="Calibri"/>
                <w:color w:val="000000"/>
                <w:sz w:val="22"/>
                <w:lang w:eastAsia="en-AU"/>
              </w:rPr>
              <w:t>Controlled load </w:t>
            </w:r>
          </w:p>
        </w:tc>
      </w:tr>
      <w:tr w:rsidR="009A797B" w:rsidRPr="009A797B" w14:paraId="6BCC357C" w14:textId="77777777" w:rsidTr="008A4591">
        <w:trPr>
          <w:trHeight w:val="300"/>
        </w:trPr>
        <w:tc>
          <w:tcPr>
            <w:tcW w:w="2685" w:type="dxa"/>
            <w:shd w:val="clear" w:color="auto" w:fill="F2F2F2" w:themeFill="background1" w:themeFillShade="F2"/>
            <w:hideMark/>
          </w:tcPr>
          <w:p w14:paraId="74552B91" w14:textId="77777777" w:rsidR="009A797B" w:rsidRPr="009A797B" w:rsidRDefault="009A797B" w:rsidP="009A797B">
            <w:pPr>
              <w:spacing w:before="60" w:after="60"/>
              <w:textAlignment w:val="baseline"/>
              <w:rPr>
                <w:rFonts w:ascii="Calibri" w:eastAsia="Times New Roman" w:hAnsi="Calibri" w:cs="Calibri"/>
                <w:b/>
                <w:bCs/>
                <w:color w:val="000000"/>
                <w:sz w:val="22"/>
                <w:lang w:eastAsia="en-AU"/>
              </w:rPr>
            </w:pPr>
            <w:r w:rsidRPr="009A797B">
              <w:rPr>
                <w:rFonts w:ascii="Calibri" w:eastAsia="Times New Roman" w:hAnsi="Calibri" w:cs="Calibri"/>
                <w:b/>
                <w:bCs/>
                <w:color w:val="000000"/>
                <w:sz w:val="22"/>
                <w:lang w:eastAsia="en-AU"/>
              </w:rPr>
              <w:t>ECA </w:t>
            </w:r>
          </w:p>
        </w:tc>
        <w:tc>
          <w:tcPr>
            <w:tcW w:w="6345" w:type="dxa"/>
            <w:shd w:val="clear" w:color="auto" w:fill="F2F2F2" w:themeFill="background1" w:themeFillShade="F2"/>
            <w:hideMark/>
          </w:tcPr>
          <w:p w14:paraId="02755F0D" w14:textId="77777777" w:rsidR="009A797B" w:rsidRPr="009A797B" w:rsidRDefault="009A797B" w:rsidP="009A797B">
            <w:pPr>
              <w:spacing w:before="60" w:after="60"/>
              <w:textAlignment w:val="baseline"/>
              <w:rPr>
                <w:rFonts w:ascii="Calibri" w:eastAsia="Times New Roman" w:hAnsi="Calibri" w:cs="Calibri"/>
                <w:color w:val="000000"/>
                <w:sz w:val="22"/>
                <w:lang w:eastAsia="en-AU"/>
              </w:rPr>
            </w:pPr>
            <w:r w:rsidRPr="009A797B">
              <w:rPr>
                <w:rFonts w:ascii="Calibri" w:eastAsia="Times New Roman" w:hAnsi="Calibri" w:cs="Calibri"/>
                <w:color w:val="000000"/>
                <w:sz w:val="22"/>
                <w:lang w:eastAsia="en-AU"/>
              </w:rPr>
              <w:t>Energy Consumers Australia </w:t>
            </w:r>
          </w:p>
        </w:tc>
      </w:tr>
      <w:tr w:rsidR="009A797B" w:rsidRPr="009A797B" w14:paraId="6ABB9B04" w14:textId="77777777" w:rsidTr="00646E30">
        <w:trPr>
          <w:trHeight w:val="300"/>
        </w:trPr>
        <w:tc>
          <w:tcPr>
            <w:tcW w:w="2685" w:type="dxa"/>
            <w:hideMark/>
          </w:tcPr>
          <w:p w14:paraId="142CC5FF" w14:textId="77777777" w:rsidR="009A797B" w:rsidRPr="009A797B" w:rsidRDefault="009A797B" w:rsidP="009A797B">
            <w:pPr>
              <w:spacing w:before="60" w:after="60"/>
              <w:textAlignment w:val="baseline"/>
              <w:rPr>
                <w:rFonts w:ascii="Calibri" w:eastAsia="Times New Roman" w:hAnsi="Calibri" w:cs="Calibri"/>
                <w:b/>
                <w:bCs/>
                <w:color w:val="000000"/>
                <w:sz w:val="22"/>
                <w:lang w:eastAsia="en-AU"/>
              </w:rPr>
            </w:pPr>
            <w:r w:rsidRPr="009A797B">
              <w:rPr>
                <w:rFonts w:ascii="Calibri" w:eastAsia="Times New Roman" w:hAnsi="Calibri" w:cs="Calibri"/>
                <w:b/>
                <w:bCs/>
                <w:color w:val="000000"/>
                <w:sz w:val="22"/>
                <w:lang w:eastAsia="en-AU"/>
              </w:rPr>
              <w:t>EEC </w:t>
            </w:r>
          </w:p>
        </w:tc>
        <w:tc>
          <w:tcPr>
            <w:tcW w:w="6345" w:type="dxa"/>
            <w:hideMark/>
          </w:tcPr>
          <w:p w14:paraId="14B47A11" w14:textId="77777777" w:rsidR="009A797B" w:rsidRPr="009A797B" w:rsidRDefault="009A797B" w:rsidP="009A797B">
            <w:pPr>
              <w:spacing w:before="60" w:after="60"/>
              <w:textAlignment w:val="baseline"/>
              <w:rPr>
                <w:rFonts w:ascii="Calibri" w:eastAsia="Times New Roman" w:hAnsi="Calibri" w:cs="Calibri"/>
                <w:color w:val="000000"/>
                <w:sz w:val="22"/>
                <w:lang w:eastAsia="en-AU"/>
              </w:rPr>
            </w:pPr>
            <w:r w:rsidRPr="009A797B">
              <w:rPr>
                <w:rFonts w:ascii="Calibri" w:eastAsia="Times New Roman" w:hAnsi="Calibri" w:cs="Calibri"/>
                <w:color w:val="000000"/>
                <w:sz w:val="22"/>
                <w:lang w:eastAsia="en-AU"/>
              </w:rPr>
              <w:t>Energy Efficiency Council </w:t>
            </w:r>
          </w:p>
        </w:tc>
      </w:tr>
      <w:tr w:rsidR="009A797B" w:rsidRPr="009A797B" w14:paraId="7289B534" w14:textId="77777777" w:rsidTr="008A4591">
        <w:trPr>
          <w:trHeight w:val="300"/>
        </w:trPr>
        <w:tc>
          <w:tcPr>
            <w:tcW w:w="2685" w:type="dxa"/>
            <w:shd w:val="clear" w:color="auto" w:fill="F2F2F2" w:themeFill="background1" w:themeFillShade="F2"/>
            <w:hideMark/>
          </w:tcPr>
          <w:p w14:paraId="3A36D52D" w14:textId="77777777" w:rsidR="009A797B" w:rsidRPr="009A797B" w:rsidRDefault="009A797B" w:rsidP="009A797B">
            <w:pPr>
              <w:spacing w:before="60" w:after="60"/>
              <w:textAlignment w:val="baseline"/>
              <w:rPr>
                <w:rFonts w:ascii="Calibri" w:eastAsia="Times New Roman" w:hAnsi="Calibri" w:cs="Calibri"/>
                <w:b/>
                <w:bCs/>
                <w:color w:val="000000"/>
                <w:sz w:val="22"/>
                <w:lang w:eastAsia="en-AU"/>
              </w:rPr>
            </w:pPr>
            <w:r w:rsidRPr="009A797B">
              <w:rPr>
                <w:rFonts w:ascii="Calibri" w:eastAsia="Times New Roman" w:hAnsi="Calibri" w:cs="Calibri"/>
                <w:b/>
                <w:bCs/>
                <w:color w:val="000000"/>
                <w:sz w:val="22"/>
                <w:lang w:eastAsia="en-AU"/>
              </w:rPr>
              <w:t>DMO </w:t>
            </w:r>
          </w:p>
        </w:tc>
        <w:tc>
          <w:tcPr>
            <w:tcW w:w="6345" w:type="dxa"/>
            <w:shd w:val="clear" w:color="auto" w:fill="F2F2F2" w:themeFill="background1" w:themeFillShade="F2"/>
            <w:hideMark/>
          </w:tcPr>
          <w:p w14:paraId="649CE853" w14:textId="77777777" w:rsidR="009A797B" w:rsidRPr="009A797B" w:rsidRDefault="009A797B" w:rsidP="009A797B">
            <w:pPr>
              <w:spacing w:before="60" w:after="60"/>
              <w:textAlignment w:val="baseline"/>
              <w:rPr>
                <w:rFonts w:ascii="Calibri" w:eastAsia="Times New Roman" w:hAnsi="Calibri" w:cs="Calibri"/>
                <w:color w:val="000000"/>
                <w:sz w:val="22"/>
                <w:lang w:eastAsia="en-AU"/>
              </w:rPr>
            </w:pPr>
            <w:r w:rsidRPr="009A797B">
              <w:rPr>
                <w:rFonts w:ascii="Calibri" w:eastAsia="Times New Roman" w:hAnsi="Calibri" w:cs="Calibri"/>
                <w:color w:val="000000"/>
                <w:sz w:val="22"/>
                <w:lang w:eastAsia="en-AU"/>
              </w:rPr>
              <w:t>Default Market Offer </w:t>
            </w:r>
          </w:p>
        </w:tc>
      </w:tr>
      <w:tr w:rsidR="009A797B" w:rsidRPr="009A797B" w14:paraId="5760C4DC" w14:textId="77777777" w:rsidTr="00646E30">
        <w:trPr>
          <w:trHeight w:val="300"/>
        </w:trPr>
        <w:tc>
          <w:tcPr>
            <w:tcW w:w="2685" w:type="dxa"/>
            <w:hideMark/>
          </w:tcPr>
          <w:p w14:paraId="27F9922A" w14:textId="067E1910" w:rsidR="009A797B" w:rsidRPr="009A797B" w:rsidRDefault="009A797B" w:rsidP="009A797B">
            <w:pPr>
              <w:spacing w:before="60" w:after="60"/>
              <w:textAlignment w:val="baseline"/>
              <w:rPr>
                <w:rFonts w:ascii="Calibri" w:eastAsia="Times New Roman" w:hAnsi="Calibri" w:cs="Calibri"/>
                <w:b/>
                <w:bCs/>
                <w:color w:val="000000"/>
                <w:sz w:val="22"/>
                <w:lang w:eastAsia="en-AU"/>
              </w:rPr>
            </w:pPr>
            <w:r w:rsidRPr="009A797B">
              <w:rPr>
                <w:rFonts w:ascii="Calibri" w:eastAsia="Times New Roman" w:hAnsi="Calibri" w:cs="Calibri"/>
                <w:b/>
                <w:bCs/>
                <w:color w:val="000000"/>
                <w:sz w:val="22"/>
                <w:lang w:eastAsia="en-AU"/>
              </w:rPr>
              <w:t>DCCEEW/The </w:t>
            </w:r>
            <w:r w:rsidR="00646E30" w:rsidRPr="008A4591">
              <w:rPr>
                <w:rFonts w:ascii="Calibri" w:eastAsia="Times New Roman" w:hAnsi="Calibri" w:cs="Calibri"/>
                <w:b/>
                <w:bCs/>
                <w:color w:val="000000"/>
                <w:sz w:val="22"/>
                <w:lang w:eastAsia="en-AU"/>
              </w:rPr>
              <w:t>department</w:t>
            </w:r>
            <w:r w:rsidRPr="009A797B">
              <w:rPr>
                <w:rFonts w:ascii="Calibri" w:eastAsia="Times New Roman" w:hAnsi="Calibri" w:cs="Calibri"/>
                <w:b/>
                <w:bCs/>
                <w:color w:val="000000"/>
                <w:sz w:val="22"/>
                <w:lang w:eastAsia="en-AU"/>
              </w:rPr>
              <w:t> </w:t>
            </w:r>
          </w:p>
        </w:tc>
        <w:tc>
          <w:tcPr>
            <w:tcW w:w="6345" w:type="dxa"/>
            <w:hideMark/>
          </w:tcPr>
          <w:p w14:paraId="2C691BEB" w14:textId="77777777" w:rsidR="009A797B" w:rsidRPr="009A797B" w:rsidRDefault="009A797B" w:rsidP="009A797B">
            <w:pPr>
              <w:spacing w:before="60" w:after="60"/>
              <w:textAlignment w:val="baseline"/>
              <w:rPr>
                <w:rFonts w:ascii="Calibri" w:eastAsia="Times New Roman" w:hAnsi="Calibri" w:cs="Calibri"/>
                <w:color w:val="000000"/>
                <w:sz w:val="22"/>
                <w:lang w:eastAsia="en-AU"/>
              </w:rPr>
            </w:pPr>
            <w:r w:rsidRPr="009A797B">
              <w:rPr>
                <w:rFonts w:ascii="Calibri" w:eastAsia="Times New Roman" w:hAnsi="Calibri" w:cs="Calibri"/>
                <w:color w:val="000000"/>
                <w:sz w:val="22"/>
                <w:lang w:eastAsia="en-AU"/>
              </w:rPr>
              <w:t>Department of Climate Change, Energy, the Environment and Water </w:t>
            </w:r>
          </w:p>
        </w:tc>
      </w:tr>
      <w:tr w:rsidR="009A797B" w:rsidRPr="009A797B" w14:paraId="5AEF72A5" w14:textId="77777777" w:rsidTr="008A4591">
        <w:trPr>
          <w:trHeight w:val="300"/>
        </w:trPr>
        <w:tc>
          <w:tcPr>
            <w:tcW w:w="2685" w:type="dxa"/>
            <w:shd w:val="clear" w:color="auto" w:fill="F2F2F2" w:themeFill="background1" w:themeFillShade="F2"/>
            <w:hideMark/>
          </w:tcPr>
          <w:p w14:paraId="366D187E" w14:textId="77777777" w:rsidR="009A797B" w:rsidRPr="009A797B" w:rsidRDefault="009A797B" w:rsidP="009A797B">
            <w:pPr>
              <w:spacing w:before="60" w:after="60"/>
              <w:textAlignment w:val="baseline"/>
              <w:rPr>
                <w:rFonts w:ascii="Calibri" w:eastAsia="Times New Roman" w:hAnsi="Calibri" w:cs="Calibri"/>
                <w:b/>
                <w:bCs/>
                <w:color w:val="000000"/>
                <w:sz w:val="22"/>
                <w:lang w:eastAsia="en-AU"/>
              </w:rPr>
            </w:pPr>
            <w:r w:rsidRPr="009A797B">
              <w:rPr>
                <w:rFonts w:ascii="Calibri" w:eastAsia="Times New Roman" w:hAnsi="Calibri" w:cs="Calibri"/>
                <w:b/>
                <w:bCs/>
                <w:color w:val="000000"/>
                <w:sz w:val="22"/>
                <w:lang w:eastAsia="en-AU"/>
              </w:rPr>
              <w:t>DER </w:t>
            </w:r>
          </w:p>
        </w:tc>
        <w:tc>
          <w:tcPr>
            <w:tcW w:w="6345" w:type="dxa"/>
            <w:shd w:val="clear" w:color="auto" w:fill="F2F2F2" w:themeFill="background1" w:themeFillShade="F2"/>
            <w:hideMark/>
          </w:tcPr>
          <w:p w14:paraId="12517B2F" w14:textId="77777777" w:rsidR="009A797B" w:rsidRPr="004E42CF" w:rsidRDefault="009A797B" w:rsidP="009A797B">
            <w:pPr>
              <w:spacing w:before="60" w:after="60"/>
              <w:textAlignment w:val="baseline"/>
              <w:rPr>
                <w:rFonts w:ascii="Calibri" w:eastAsia="Times New Roman" w:hAnsi="Calibri" w:cs="Calibri"/>
                <w:color w:val="000000"/>
                <w:sz w:val="22"/>
                <w:lang w:eastAsia="en-AU"/>
              </w:rPr>
            </w:pPr>
            <w:r w:rsidRPr="004E42CF">
              <w:rPr>
                <w:rFonts w:ascii="Calibri" w:eastAsia="Times New Roman" w:hAnsi="Calibri" w:cs="Calibri"/>
                <w:color w:val="000000"/>
                <w:sz w:val="22"/>
                <w:lang w:eastAsia="en-AU"/>
              </w:rPr>
              <w:t>Distributed Energy Resources </w:t>
            </w:r>
          </w:p>
        </w:tc>
      </w:tr>
      <w:tr w:rsidR="009A797B" w:rsidRPr="009A797B" w14:paraId="71ECD524" w14:textId="77777777" w:rsidTr="004E42CF">
        <w:trPr>
          <w:trHeight w:val="300"/>
        </w:trPr>
        <w:tc>
          <w:tcPr>
            <w:tcW w:w="2685" w:type="dxa"/>
            <w:shd w:val="clear" w:color="auto" w:fill="FFFFFF" w:themeFill="background1"/>
            <w:hideMark/>
          </w:tcPr>
          <w:p w14:paraId="2F0E031A" w14:textId="77777777" w:rsidR="009A797B" w:rsidRPr="009A797B" w:rsidRDefault="009A797B" w:rsidP="009A797B">
            <w:pPr>
              <w:spacing w:before="60" w:after="60"/>
              <w:textAlignment w:val="baseline"/>
              <w:rPr>
                <w:rFonts w:ascii="Calibri" w:eastAsia="Times New Roman" w:hAnsi="Calibri" w:cs="Calibri"/>
                <w:b/>
                <w:bCs/>
                <w:color w:val="000000"/>
                <w:sz w:val="22"/>
                <w:lang w:eastAsia="en-AU"/>
              </w:rPr>
            </w:pPr>
            <w:r w:rsidRPr="009A797B">
              <w:rPr>
                <w:rFonts w:ascii="Calibri" w:eastAsia="Times New Roman" w:hAnsi="Calibri" w:cs="Calibri"/>
                <w:b/>
                <w:bCs/>
                <w:color w:val="000000"/>
                <w:sz w:val="22"/>
                <w:lang w:eastAsia="en-AU"/>
              </w:rPr>
              <w:t>DNSP </w:t>
            </w:r>
          </w:p>
        </w:tc>
        <w:tc>
          <w:tcPr>
            <w:tcW w:w="6345" w:type="dxa"/>
            <w:hideMark/>
          </w:tcPr>
          <w:p w14:paraId="4799CA25" w14:textId="77777777" w:rsidR="009A797B" w:rsidRPr="004E42CF" w:rsidRDefault="009A797B" w:rsidP="009A797B">
            <w:pPr>
              <w:spacing w:before="60" w:after="60"/>
              <w:textAlignment w:val="baseline"/>
              <w:rPr>
                <w:rFonts w:ascii="Calibri" w:eastAsia="Times New Roman" w:hAnsi="Calibri" w:cs="Calibri"/>
                <w:color w:val="000000"/>
                <w:sz w:val="22"/>
                <w:lang w:eastAsia="en-AU"/>
              </w:rPr>
            </w:pPr>
            <w:r w:rsidRPr="004E42CF">
              <w:rPr>
                <w:rFonts w:ascii="Calibri" w:eastAsia="Times New Roman" w:hAnsi="Calibri" w:cs="Calibri"/>
                <w:color w:val="000000"/>
                <w:sz w:val="22"/>
                <w:lang w:eastAsia="en-AU"/>
              </w:rPr>
              <w:t>Distribution Network Service Provider </w:t>
            </w:r>
          </w:p>
        </w:tc>
      </w:tr>
      <w:tr w:rsidR="009A797B" w:rsidRPr="009A797B" w14:paraId="0DFE3564" w14:textId="77777777" w:rsidTr="008A4591">
        <w:trPr>
          <w:trHeight w:val="300"/>
        </w:trPr>
        <w:tc>
          <w:tcPr>
            <w:tcW w:w="2685" w:type="dxa"/>
            <w:shd w:val="clear" w:color="auto" w:fill="F2F2F2" w:themeFill="background1" w:themeFillShade="F2"/>
            <w:hideMark/>
          </w:tcPr>
          <w:p w14:paraId="25B9AEE8" w14:textId="77777777" w:rsidR="009A797B" w:rsidRPr="009A797B" w:rsidRDefault="009A797B" w:rsidP="009A797B">
            <w:pPr>
              <w:spacing w:before="60" w:after="60"/>
              <w:textAlignment w:val="baseline"/>
              <w:rPr>
                <w:rFonts w:ascii="Calibri" w:eastAsia="Times New Roman" w:hAnsi="Calibri" w:cs="Calibri"/>
                <w:b/>
                <w:bCs/>
                <w:color w:val="000000"/>
                <w:sz w:val="22"/>
                <w:lang w:eastAsia="en-AU"/>
              </w:rPr>
            </w:pPr>
            <w:r w:rsidRPr="009A797B">
              <w:rPr>
                <w:rFonts w:ascii="Calibri" w:eastAsia="Times New Roman" w:hAnsi="Calibri" w:cs="Calibri"/>
                <w:b/>
                <w:bCs/>
                <w:color w:val="000000"/>
                <w:sz w:val="22"/>
                <w:lang w:eastAsia="en-AU"/>
              </w:rPr>
              <w:t>EV </w:t>
            </w:r>
          </w:p>
        </w:tc>
        <w:tc>
          <w:tcPr>
            <w:tcW w:w="6345" w:type="dxa"/>
            <w:shd w:val="clear" w:color="auto" w:fill="F2F2F2" w:themeFill="background1" w:themeFillShade="F2"/>
            <w:hideMark/>
          </w:tcPr>
          <w:p w14:paraId="5F77B240" w14:textId="77777777" w:rsidR="009A797B" w:rsidRPr="004E42CF" w:rsidRDefault="009A797B" w:rsidP="009A797B">
            <w:pPr>
              <w:spacing w:before="60" w:after="60"/>
              <w:textAlignment w:val="baseline"/>
              <w:rPr>
                <w:rFonts w:ascii="Calibri" w:eastAsia="Times New Roman" w:hAnsi="Calibri" w:cs="Calibri"/>
                <w:color w:val="000000"/>
                <w:sz w:val="22"/>
                <w:lang w:eastAsia="en-AU"/>
              </w:rPr>
            </w:pPr>
            <w:r w:rsidRPr="004E42CF">
              <w:rPr>
                <w:rFonts w:ascii="Calibri" w:eastAsia="Times New Roman" w:hAnsi="Calibri" w:cs="Calibri"/>
                <w:color w:val="000000"/>
                <w:sz w:val="22"/>
                <w:lang w:eastAsia="en-AU"/>
              </w:rPr>
              <w:t>Electric vehicle </w:t>
            </w:r>
          </w:p>
        </w:tc>
      </w:tr>
      <w:tr w:rsidR="00460D53" w:rsidRPr="009A797B" w14:paraId="2143B676" w14:textId="77777777" w:rsidTr="004E42CF">
        <w:trPr>
          <w:trHeight w:val="300"/>
        </w:trPr>
        <w:tc>
          <w:tcPr>
            <w:tcW w:w="2685" w:type="dxa"/>
            <w:shd w:val="clear" w:color="auto" w:fill="FFFFFF" w:themeFill="background1"/>
          </w:tcPr>
          <w:p w14:paraId="4A0EDC44" w14:textId="622CB04A" w:rsidR="00460D53" w:rsidRPr="00460D53" w:rsidRDefault="00460D53" w:rsidP="009A797B">
            <w:pPr>
              <w:spacing w:before="60" w:after="60"/>
              <w:textAlignment w:val="baseline"/>
              <w:rPr>
                <w:rFonts w:ascii="Calibri" w:eastAsia="Times New Roman" w:hAnsi="Calibri" w:cs="Calibri"/>
                <w:b/>
                <w:bCs/>
                <w:color w:val="000000"/>
                <w:sz w:val="22"/>
                <w:lang w:eastAsia="en-AU"/>
              </w:rPr>
            </w:pPr>
            <w:r w:rsidRPr="00460D53">
              <w:rPr>
                <w:rFonts w:ascii="Calibri" w:eastAsia="Times New Roman" w:hAnsi="Calibri" w:cs="Calibri"/>
                <w:b/>
                <w:bCs/>
                <w:color w:val="000000"/>
                <w:sz w:val="22"/>
                <w:lang w:eastAsia="en-AU"/>
              </w:rPr>
              <w:t>FiT</w:t>
            </w:r>
          </w:p>
        </w:tc>
        <w:tc>
          <w:tcPr>
            <w:tcW w:w="6345" w:type="dxa"/>
            <w:shd w:val="clear" w:color="auto" w:fill="FFFFFF" w:themeFill="background1"/>
          </w:tcPr>
          <w:p w14:paraId="3724FE7C" w14:textId="27BA8D81" w:rsidR="00460D53" w:rsidRPr="004E42CF" w:rsidRDefault="00460D53" w:rsidP="009A797B">
            <w:pPr>
              <w:spacing w:before="60" w:after="60"/>
              <w:textAlignment w:val="baseline"/>
              <w:rPr>
                <w:rFonts w:ascii="Calibri" w:eastAsia="Times New Roman" w:hAnsi="Calibri" w:cs="Calibri"/>
                <w:color w:val="000000"/>
                <w:sz w:val="22"/>
                <w:lang w:eastAsia="en-AU"/>
              </w:rPr>
            </w:pPr>
            <w:r w:rsidRPr="004E42CF">
              <w:rPr>
                <w:rFonts w:ascii="Calibri" w:eastAsia="Times New Roman" w:hAnsi="Calibri" w:cs="Calibri"/>
                <w:color w:val="000000"/>
                <w:sz w:val="22"/>
                <w:lang w:eastAsia="en-AU"/>
              </w:rPr>
              <w:t>Feed in Tariffs</w:t>
            </w:r>
          </w:p>
        </w:tc>
      </w:tr>
      <w:tr w:rsidR="009A797B" w:rsidRPr="009A797B" w14:paraId="0EE4B239" w14:textId="77777777" w:rsidTr="004E42CF">
        <w:trPr>
          <w:trHeight w:val="300"/>
        </w:trPr>
        <w:tc>
          <w:tcPr>
            <w:tcW w:w="2685" w:type="dxa"/>
            <w:shd w:val="clear" w:color="auto" w:fill="F2F2F2" w:themeFill="background1" w:themeFillShade="F2"/>
            <w:hideMark/>
          </w:tcPr>
          <w:p w14:paraId="6C5305A2" w14:textId="77777777" w:rsidR="009A797B" w:rsidRPr="009A797B" w:rsidRDefault="009A797B" w:rsidP="009A797B">
            <w:pPr>
              <w:spacing w:before="60" w:after="60"/>
              <w:textAlignment w:val="baseline"/>
              <w:rPr>
                <w:rFonts w:ascii="Calibri" w:eastAsia="Times New Roman" w:hAnsi="Calibri" w:cs="Calibri"/>
                <w:b/>
                <w:bCs/>
                <w:color w:val="000000"/>
                <w:sz w:val="22"/>
                <w:lang w:eastAsia="en-AU"/>
              </w:rPr>
            </w:pPr>
            <w:r w:rsidRPr="009A797B">
              <w:rPr>
                <w:rFonts w:ascii="Calibri" w:eastAsia="Times New Roman" w:hAnsi="Calibri" w:cs="Calibri"/>
                <w:b/>
                <w:bCs/>
                <w:color w:val="000000"/>
                <w:sz w:val="22"/>
                <w:lang w:eastAsia="en-AU"/>
              </w:rPr>
              <w:t>IT </w:t>
            </w:r>
          </w:p>
        </w:tc>
        <w:tc>
          <w:tcPr>
            <w:tcW w:w="6345" w:type="dxa"/>
            <w:shd w:val="clear" w:color="auto" w:fill="F2F2F2" w:themeFill="background1" w:themeFillShade="F2"/>
            <w:hideMark/>
          </w:tcPr>
          <w:p w14:paraId="480BFC8E" w14:textId="77777777" w:rsidR="009A797B" w:rsidRPr="004E42CF" w:rsidRDefault="009A797B" w:rsidP="009A797B">
            <w:pPr>
              <w:spacing w:before="60" w:after="60"/>
              <w:textAlignment w:val="baseline"/>
              <w:rPr>
                <w:rFonts w:ascii="Calibri" w:eastAsia="Times New Roman" w:hAnsi="Calibri" w:cs="Calibri"/>
                <w:color w:val="000000"/>
                <w:sz w:val="22"/>
                <w:lang w:eastAsia="en-AU"/>
              </w:rPr>
            </w:pPr>
            <w:r w:rsidRPr="004E42CF">
              <w:rPr>
                <w:rFonts w:ascii="Calibri" w:eastAsia="Times New Roman" w:hAnsi="Calibri" w:cs="Calibri"/>
                <w:color w:val="000000"/>
                <w:sz w:val="22"/>
                <w:lang w:eastAsia="en-AU"/>
              </w:rPr>
              <w:t>Information technology </w:t>
            </w:r>
          </w:p>
        </w:tc>
      </w:tr>
      <w:tr w:rsidR="009A797B" w:rsidRPr="009A797B" w14:paraId="280CD3C8" w14:textId="77777777" w:rsidTr="004E42CF">
        <w:trPr>
          <w:trHeight w:val="300"/>
        </w:trPr>
        <w:tc>
          <w:tcPr>
            <w:tcW w:w="2685" w:type="dxa"/>
            <w:shd w:val="clear" w:color="auto" w:fill="FFFFFF" w:themeFill="background1"/>
            <w:hideMark/>
          </w:tcPr>
          <w:p w14:paraId="7695F7FD" w14:textId="77777777" w:rsidR="009A797B" w:rsidRPr="009A797B" w:rsidRDefault="009A797B" w:rsidP="009A797B">
            <w:pPr>
              <w:spacing w:before="60" w:after="60"/>
              <w:textAlignment w:val="baseline"/>
              <w:rPr>
                <w:rFonts w:ascii="Calibri" w:eastAsia="Times New Roman" w:hAnsi="Calibri" w:cs="Calibri"/>
                <w:b/>
                <w:bCs/>
                <w:color w:val="000000"/>
                <w:sz w:val="22"/>
                <w:lang w:eastAsia="en-AU"/>
              </w:rPr>
            </w:pPr>
            <w:r w:rsidRPr="009A797B">
              <w:rPr>
                <w:rFonts w:ascii="Calibri" w:eastAsia="Times New Roman" w:hAnsi="Calibri" w:cs="Calibri"/>
                <w:b/>
                <w:bCs/>
                <w:color w:val="000000"/>
                <w:sz w:val="22"/>
                <w:lang w:eastAsia="en-AU"/>
              </w:rPr>
              <w:t>NEM </w:t>
            </w:r>
          </w:p>
        </w:tc>
        <w:tc>
          <w:tcPr>
            <w:tcW w:w="6345" w:type="dxa"/>
            <w:shd w:val="clear" w:color="auto" w:fill="FFFFFF" w:themeFill="background1"/>
            <w:hideMark/>
          </w:tcPr>
          <w:p w14:paraId="7257A975" w14:textId="77777777" w:rsidR="009A797B" w:rsidRPr="004E42CF" w:rsidRDefault="009A797B" w:rsidP="009A797B">
            <w:pPr>
              <w:spacing w:before="60" w:after="60"/>
              <w:textAlignment w:val="baseline"/>
              <w:rPr>
                <w:rFonts w:ascii="Calibri" w:eastAsia="Times New Roman" w:hAnsi="Calibri" w:cs="Calibri"/>
                <w:color w:val="000000"/>
                <w:sz w:val="22"/>
                <w:lang w:eastAsia="en-AU"/>
              </w:rPr>
            </w:pPr>
            <w:r w:rsidRPr="004E42CF">
              <w:rPr>
                <w:rFonts w:ascii="Calibri" w:eastAsia="Times New Roman" w:hAnsi="Calibri" w:cs="Calibri"/>
                <w:color w:val="000000"/>
                <w:sz w:val="22"/>
                <w:lang w:eastAsia="en-AU"/>
              </w:rPr>
              <w:t>National Electricity Market </w:t>
            </w:r>
          </w:p>
        </w:tc>
      </w:tr>
      <w:tr w:rsidR="009A797B" w:rsidRPr="009A797B" w14:paraId="19744BDF" w14:textId="77777777" w:rsidTr="004E42CF">
        <w:trPr>
          <w:trHeight w:val="300"/>
        </w:trPr>
        <w:tc>
          <w:tcPr>
            <w:tcW w:w="2685" w:type="dxa"/>
            <w:shd w:val="clear" w:color="auto" w:fill="F2F2F2" w:themeFill="background1" w:themeFillShade="F2"/>
            <w:hideMark/>
          </w:tcPr>
          <w:p w14:paraId="0F257740" w14:textId="77777777" w:rsidR="009A797B" w:rsidRPr="009A797B" w:rsidRDefault="009A797B" w:rsidP="009A797B">
            <w:pPr>
              <w:spacing w:before="60" w:after="60"/>
              <w:textAlignment w:val="baseline"/>
              <w:rPr>
                <w:rFonts w:ascii="Calibri" w:eastAsia="Times New Roman" w:hAnsi="Calibri" w:cs="Calibri"/>
                <w:b/>
                <w:bCs/>
                <w:color w:val="000000"/>
                <w:sz w:val="22"/>
                <w:lang w:eastAsia="en-AU"/>
              </w:rPr>
            </w:pPr>
            <w:r w:rsidRPr="009A797B">
              <w:rPr>
                <w:rFonts w:ascii="Calibri" w:eastAsia="Times New Roman" w:hAnsi="Calibri" w:cs="Calibri"/>
                <w:b/>
                <w:bCs/>
                <w:color w:val="000000"/>
                <w:sz w:val="22"/>
                <w:lang w:eastAsia="en-AU"/>
              </w:rPr>
              <w:t>NECF </w:t>
            </w:r>
          </w:p>
        </w:tc>
        <w:tc>
          <w:tcPr>
            <w:tcW w:w="6345" w:type="dxa"/>
            <w:shd w:val="clear" w:color="auto" w:fill="F2F2F2" w:themeFill="background1" w:themeFillShade="F2"/>
            <w:hideMark/>
          </w:tcPr>
          <w:p w14:paraId="2B5C92B1" w14:textId="77777777" w:rsidR="009A797B" w:rsidRPr="004E42CF" w:rsidRDefault="009A797B" w:rsidP="009A797B">
            <w:pPr>
              <w:spacing w:before="60" w:after="60"/>
              <w:textAlignment w:val="baseline"/>
              <w:rPr>
                <w:rFonts w:ascii="Calibri" w:eastAsia="Times New Roman" w:hAnsi="Calibri" w:cs="Calibri"/>
                <w:color w:val="000000"/>
                <w:sz w:val="22"/>
                <w:lang w:eastAsia="en-AU"/>
              </w:rPr>
            </w:pPr>
            <w:r w:rsidRPr="004E42CF">
              <w:rPr>
                <w:rFonts w:ascii="Calibri" w:eastAsia="Times New Roman" w:hAnsi="Calibri" w:cs="Calibri"/>
                <w:color w:val="000000"/>
                <w:sz w:val="22"/>
                <w:lang w:eastAsia="en-AU"/>
              </w:rPr>
              <w:t>National Energy Customer Framework </w:t>
            </w:r>
          </w:p>
        </w:tc>
      </w:tr>
      <w:tr w:rsidR="009A797B" w:rsidRPr="009A797B" w14:paraId="3F9CDC63" w14:textId="77777777" w:rsidTr="004E42CF">
        <w:trPr>
          <w:trHeight w:val="300"/>
        </w:trPr>
        <w:tc>
          <w:tcPr>
            <w:tcW w:w="2685" w:type="dxa"/>
            <w:shd w:val="clear" w:color="auto" w:fill="FFFFFF" w:themeFill="background1"/>
            <w:hideMark/>
          </w:tcPr>
          <w:p w14:paraId="1D8F6D00" w14:textId="77777777" w:rsidR="009A797B" w:rsidRPr="009A797B" w:rsidRDefault="009A797B" w:rsidP="009A797B">
            <w:pPr>
              <w:spacing w:before="60" w:after="60"/>
              <w:textAlignment w:val="baseline"/>
              <w:rPr>
                <w:rFonts w:ascii="Calibri" w:eastAsia="Times New Roman" w:hAnsi="Calibri" w:cs="Calibri"/>
                <w:b/>
                <w:bCs/>
                <w:color w:val="000000"/>
                <w:sz w:val="22"/>
                <w:lang w:eastAsia="en-AU"/>
              </w:rPr>
            </w:pPr>
            <w:r w:rsidRPr="009A797B">
              <w:rPr>
                <w:rFonts w:ascii="Calibri" w:eastAsia="Times New Roman" w:hAnsi="Calibri" w:cs="Calibri"/>
                <w:b/>
                <w:bCs/>
                <w:color w:val="000000"/>
                <w:sz w:val="22"/>
                <w:lang w:eastAsia="en-AU"/>
              </w:rPr>
              <w:t>NERL </w:t>
            </w:r>
          </w:p>
        </w:tc>
        <w:tc>
          <w:tcPr>
            <w:tcW w:w="6345" w:type="dxa"/>
            <w:shd w:val="clear" w:color="auto" w:fill="FFFFFF" w:themeFill="background1"/>
            <w:hideMark/>
          </w:tcPr>
          <w:p w14:paraId="22555B50" w14:textId="77777777" w:rsidR="009A797B" w:rsidRPr="004E42CF" w:rsidRDefault="009A797B" w:rsidP="009A797B">
            <w:pPr>
              <w:spacing w:before="60" w:after="60"/>
              <w:textAlignment w:val="baseline"/>
              <w:rPr>
                <w:rFonts w:ascii="Calibri" w:eastAsia="Times New Roman" w:hAnsi="Calibri" w:cs="Calibri"/>
                <w:color w:val="000000"/>
                <w:sz w:val="22"/>
                <w:lang w:eastAsia="en-AU"/>
              </w:rPr>
            </w:pPr>
            <w:r w:rsidRPr="004E42CF">
              <w:rPr>
                <w:rFonts w:ascii="Calibri" w:eastAsia="Times New Roman" w:hAnsi="Calibri" w:cs="Calibri"/>
                <w:color w:val="000000"/>
                <w:sz w:val="22"/>
                <w:lang w:eastAsia="en-AU"/>
              </w:rPr>
              <w:t>National Energy Retail Law </w:t>
            </w:r>
          </w:p>
        </w:tc>
      </w:tr>
      <w:tr w:rsidR="009A797B" w:rsidRPr="009A797B" w14:paraId="56636782" w14:textId="77777777" w:rsidTr="004E42CF">
        <w:trPr>
          <w:trHeight w:val="300"/>
        </w:trPr>
        <w:tc>
          <w:tcPr>
            <w:tcW w:w="2685" w:type="dxa"/>
            <w:shd w:val="clear" w:color="auto" w:fill="F2F2F2" w:themeFill="background1" w:themeFillShade="F2"/>
            <w:hideMark/>
          </w:tcPr>
          <w:p w14:paraId="7FBF9103" w14:textId="77777777" w:rsidR="009A797B" w:rsidRPr="009A797B" w:rsidRDefault="009A797B" w:rsidP="009A797B">
            <w:pPr>
              <w:spacing w:before="60" w:after="60"/>
              <w:textAlignment w:val="baseline"/>
              <w:rPr>
                <w:rFonts w:ascii="Calibri" w:eastAsia="Times New Roman" w:hAnsi="Calibri" w:cs="Calibri"/>
                <w:b/>
                <w:bCs/>
                <w:color w:val="000000"/>
                <w:sz w:val="22"/>
                <w:lang w:eastAsia="en-AU"/>
              </w:rPr>
            </w:pPr>
            <w:r w:rsidRPr="009A797B">
              <w:rPr>
                <w:rFonts w:ascii="Calibri" w:eastAsia="Times New Roman" w:hAnsi="Calibri" w:cs="Calibri"/>
                <w:b/>
                <w:bCs/>
                <w:color w:val="000000"/>
                <w:sz w:val="22"/>
                <w:lang w:eastAsia="en-AU"/>
              </w:rPr>
              <w:t>NERR </w:t>
            </w:r>
          </w:p>
        </w:tc>
        <w:tc>
          <w:tcPr>
            <w:tcW w:w="6345" w:type="dxa"/>
            <w:shd w:val="clear" w:color="auto" w:fill="F2F2F2" w:themeFill="background1" w:themeFillShade="F2"/>
            <w:hideMark/>
          </w:tcPr>
          <w:p w14:paraId="732B1221" w14:textId="77777777" w:rsidR="009A797B" w:rsidRPr="004E42CF" w:rsidRDefault="009A797B" w:rsidP="009A797B">
            <w:pPr>
              <w:spacing w:before="60" w:after="60"/>
              <w:textAlignment w:val="baseline"/>
              <w:rPr>
                <w:rFonts w:ascii="Calibri" w:eastAsia="Times New Roman" w:hAnsi="Calibri" w:cs="Calibri"/>
                <w:color w:val="000000"/>
                <w:sz w:val="22"/>
                <w:lang w:eastAsia="en-AU"/>
              </w:rPr>
            </w:pPr>
            <w:r w:rsidRPr="004E42CF">
              <w:rPr>
                <w:rFonts w:ascii="Calibri" w:eastAsia="Times New Roman" w:hAnsi="Calibri" w:cs="Calibri"/>
                <w:color w:val="000000"/>
                <w:sz w:val="22"/>
                <w:lang w:eastAsia="en-AU"/>
              </w:rPr>
              <w:t>National Energy Retail Rules </w:t>
            </w:r>
          </w:p>
        </w:tc>
      </w:tr>
      <w:tr w:rsidR="009A797B" w:rsidRPr="009A797B" w14:paraId="4787E27C" w14:textId="77777777" w:rsidTr="004E42CF">
        <w:trPr>
          <w:trHeight w:val="300"/>
        </w:trPr>
        <w:tc>
          <w:tcPr>
            <w:tcW w:w="2685" w:type="dxa"/>
            <w:shd w:val="clear" w:color="auto" w:fill="FFFFFF" w:themeFill="background1"/>
            <w:hideMark/>
          </w:tcPr>
          <w:p w14:paraId="3E86D93E" w14:textId="77777777" w:rsidR="009A797B" w:rsidRPr="009A797B" w:rsidRDefault="009A797B" w:rsidP="009A797B">
            <w:pPr>
              <w:spacing w:before="60" w:after="60"/>
              <w:textAlignment w:val="baseline"/>
              <w:rPr>
                <w:rFonts w:ascii="Calibri" w:eastAsia="Times New Roman" w:hAnsi="Calibri" w:cs="Calibri"/>
                <w:b/>
                <w:bCs/>
                <w:color w:val="000000"/>
                <w:sz w:val="22"/>
                <w:lang w:eastAsia="en-AU"/>
              </w:rPr>
            </w:pPr>
            <w:r w:rsidRPr="009A797B">
              <w:rPr>
                <w:rFonts w:ascii="Calibri" w:eastAsia="Times New Roman" w:hAnsi="Calibri" w:cs="Calibri"/>
                <w:b/>
                <w:bCs/>
                <w:color w:val="000000"/>
                <w:sz w:val="22"/>
                <w:lang w:eastAsia="en-AU"/>
              </w:rPr>
              <w:t>PV </w:t>
            </w:r>
          </w:p>
        </w:tc>
        <w:tc>
          <w:tcPr>
            <w:tcW w:w="6345" w:type="dxa"/>
            <w:shd w:val="clear" w:color="auto" w:fill="FFFFFF" w:themeFill="background1"/>
            <w:hideMark/>
          </w:tcPr>
          <w:p w14:paraId="5648F265" w14:textId="77777777" w:rsidR="009A797B" w:rsidRPr="009A797B" w:rsidRDefault="009A797B" w:rsidP="009A797B">
            <w:pPr>
              <w:spacing w:before="60" w:after="60"/>
              <w:textAlignment w:val="baseline"/>
              <w:rPr>
                <w:rFonts w:ascii="Calibri" w:eastAsia="Times New Roman" w:hAnsi="Calibri" w:cs="Calibri"/>
                <w:color w:val="000000"/>
                <w:sz w:val="22"/>
                <w:lang w:eastAsia="en-AU"/>
              </w:rPr>
            </w:pPr>
            <w:r w:rsidRPr="009A797B">
              <w:rPr>
                <w:rFonts w:ascii="Calibri" w:eastAsia="Times New Roman" w:hAnsi="Calibri" w:cs="Calibri"/>
                <w:color w:val="000000"/>
                <w:sz w:val="22"/>
                <w:lang w:eastAsia="en-AU"/>
              </w:rPr>
              <w:t>Photovoltaics </w:t>
            </w:r>
          </w:p>
        </w:tc>
      </w:tr>
      <w:tr w:rsidR="009A797B" w:rsidRPr="009A797B" w14:paraId="17EE114F" w14:textId="77777777" w:rsidTr="004E42CF">
        <w:trPr>
          <w:trHeight w:val="300"/>
        </w:trPr>
        <w:tc>
          <w:tcPr>
            <w:tcW w:w="2685" w:type="dxa"/>
            <w:shd w:val="clear" w:color="auto" w:fill="F2F2F2" w:themeFill="background1" w:themeFillShade="F2"/>
            <w:hideMark/>
          </w:tcPr>
          <w:p w14:paraId="43088810" w14:textId="77777777" w:rsidR="009A797B" w:rsidRPr="009A797B" w:rsidRDefault="009A797B" w:rsidP="009A797B">
            <w:pPr>
              <w:spacing w:before="60" w:after="60"/>
              <w:textAlignment w:val="baseline"/>
              <w:rPr>
                <w:rFonts w:ascii="Calibri" w:eastAsia="Times New Roman" w:hAnsi="Calibri" w:cs="Calibri"/>
                <w:b/>
                <w:bCs/>
                <w:color w:val="000000"/>
                <w:sz w:val="22"/>
                <w:lang w:eastAsia="en-AU"/>
              </w:rPr>
            </w:pPr>
            <w:r w:rsidRPr="009A797B">
              <w:rPr>
                <w:rFonts w:ascii="Calibri" w:eastAsia="Times New Roman" w:hAnsi="Calibri" w:cs="Calibri"/>
                <w:b/>
                <w:bCs/>
                <w:color w:val="000000"/>
                <w:sz w:val="22"/>
                <w:lang w:eastAsia="en-AU"/>
              </w:rPr>
              <w:t>SSO </w:t>
            </w:r>
          </w:p>
        </w:tc>
        <w:tc>
          <w:tcPr>
            <w:tcW w:w="6345" w:type="dxa"/>
            <w:shd w:val="clear" w:color="auto" w:fill="F2F2F2" w:themeFill="background1" w:themeFillShade="F2"/>
            <w:hideMark/>
          </w:tcPr>
          <w:p w14:paraId="39589F8F" w14:textId="77777777" w:rsidR="009A797B" w:rsidRPr="009A797B" w:rsidRDefault="009A797B" w:rsidP="009A797B">
            <w:pPr>
              <w:spacing w:before="60" w:after="60"/>
              <w:textAlignment w:val="baseline"/>
              <w:rPr>
                <w:rFonts w:ascii="Calibri" w:eastAsia="Times New Roman" w:hAnsi="Calibri" w:cs="Calibri"/>
                <w:color w:val="000000"/>
                <w:sz w:val="22"/>
                <w:lang w:eastAsia="en-AU"/>
              </w:rPr>
            </w:pPr>
            <w:r w:rsidRPr="009A797B">
              <w:rPr>
                <w:rFonts w:ascii="Calibri" w:eastAsia="Times New Roman" w:hAnsi="Calibri" w:cs="Calibri"/>
                <w:color w:val="000000"/>
                <w:sz w:val="22"/>
                <w:lang w:eastAsia="en-AU"/>
              </w:rPr>
              <w:t>Solar Sharer Offer </w:t>
            </w:r>
          </w:p>
        </w:tc>
      </w:tr>
      <w:tr w:rsidR="009A797B" w:rsidRPr="009A797B" w14:paraId="41AE8330" w14:textId="77777777" w:rsidTr="004E42CF">
        <w:trPr>
          <w:trHeight w:val="300"/>
        </w:trPr>
        <w:tc>
          <w:tcPr>
            <w:tcW w:w="2685" w:type="dxa"/>
            <w:shd w:val="clear" w:color="auto" w:fill="FFFFFF" w:themeFill="background1"/>
            <w:hideMark/>
          </w:tcPr>
          <w:p w14:paraId="231ACDCE" w14:textId="77777777" w:rsidR="009A797B" w:rsidRPr="009A797B" w:rsidRDefault="009A797B" w:rsidP="009A797B">
            <w:pPr>
              <w:spacing w:before="60" w:after="60"/>
              <w:textAlignment w:val="baseline"/>
              <w:rPr>
                <w:rFonts w:ascii="Calibri" w:eastAsia="Times New Roman" w:hAnsi="Calibri" w:cs="Calibri"/>
                <w:b/>
                <w:bCs/>
                <w:color w:val="000000"/>
                <w:sz w:val="22"/>
                <w:lang w:eastAsia="en-AU"/>
              </w:rPr>
            </w:pPr>
            <w:r w:rsidRPr="009A797B">
              <w:rPr>
                <w:rFonts w:ascii="Calibri" w:eastAsia="Times New Roman" w:hAnsi="Calibri" w:cs="Calibri"/>
                <w:b/>
                <w:bCs/>
                <w:color w:val="000000"/>
                <w:sz w:val="22"/>
                <w:lang w:eastAsia="en-AU"/>
              </w:rPr>
              <w:t>TOU </w:t>
            </w:r>
          </w:p>
        </w:tc>
        <w:tc>
          <w:tcPr>
            <w:tcW w:w="6345" w:type="dxa"/>
            <w:shd w:val="clear" w:color="auto" w:fill="FFFFFF" w:themeFill="background1"/>
            <w:hideMark/>
          </w:tcPr>
          <w:p w14:paraId="565623F6" w14:textId="77777777" w:rsidR="009A797B" w:rsidRPr="009A797B" w:rsidRDefault="009A797B" w:rsidP="009A797B">
            <w:pPr>
              <w:spacing w:before="60" w:after="60"/>
              <w:textAlignment w:val="baseline"/>
              <w:rPr>
                <w:rFonts w:ascii="Calibri" w:eastAsia="Times New Roman" w:hAnsi="Calibri" w:cs="Calibri"/>
                <w:color w:val="000000"/>
                <w:sz w:val="22"/>
                <w:lang w:eastAsia="en-AU"/>
              </w:rPr>
            </w:pPr>
            <w:r w:rsidRPr="009A797B">
              <w:rPr>
                <w:rFonts w:ascii="Calibri" w:eastAsia="Times New Roman" w:hAnsi="Calibri" w:cs="Calibri"/>
                <w:color w:val="000000"/>
                <w:sz w:val="22"/>
                <w:lang w:eastAsia="en-AU"/>
              </w:rPr>
              <w:t>Time of use </w:t>
            </w:r>
          </w:p>
        </w:tc>
      </w:tr>
    </w:tbl>
    <w:p w14:paraId="4B274519" w14:textId="77777777" w:rsidR="00646E30" w:rsidRDefault="00646E30" w:rsidP="00646E30"/>
    <w:p w14:paraId="6426F0FD" w14:textId="77777777" w:rsidR="00646E30" w:rsidRDefault="00646E30">
      <w:r>
        <w:br w:type="page"/>
      </w:r>
    </w:p>
    <w:p w14:paraId="7EA3D878" w14:textId="6351E7C9" w:rsidR="005C2258" w:rsidRPr="00B5064E" w:rsidRDefault="005C2258" w:rsidP="005C2258">
      <w:pPr>
        <w:pStyle w:val="Heading1"/>
        <w:spacing w:before="160" w:after="120"/>
        <w:rPr>
          <w:rFonts w:ascii="Calibri" w:hAnsi="Calibri" w:cs="Calibri"/>
          <w:b/>
          <w:bCs/>
        </w:rPr>
      </w:pPr>
      <w:bookmarkStart w:id="71" w:name="_Toc222842818"/>
      <w:r w:rsidRPr="00B5064E">
        <w:rPr>
          <w:rFonts w:ascii="Calibri" w:hAnsi="Calibri" w:cs="Calibri"/>
          <w:b/>
          <w:bCs/>
        </w:rPr>
        <w:lastRenderedPageBreak/>
        <w:t>G</w:t>
      </w:r>
      <w:r w:rsidR="005A3C1F">
        <w:rPr>
          <w:rFonts w:ascii="Calibri" w:hAnsi="Calibri" w:cs="Calibri"/>
          <w:b/>
          <w:bCs/>
        </w:rPr>
        <w:t>lossary</w:t>
      </w:r>
      <w:bookmarkEnd w:id="71"/>
    </w:p>
    <w:tbl>
      <w:tblPr>
        <w:tblStyle w:val="SynergiesTable"/>
        <w:tblW w:w="9640" w:type="dxa"/>
        <w:tblInd w:w="-284" w:type="dxa"/>
        <w:tblLook w:val="04A0" w:firstRow="1" w:lastRow="0" w:firstColumn="1" w:lastColumn="0" w:noHBand="0" w:noVBand="1"/>
      </w:tblPr>
      <w:tblGrid>
        <w:gridCol w:w="2836"/>
        <w:gridCol w:w="6804"/>
      </w:tblGrid>
      <w:tr w:rsidR="005C2258" w:rsidRPr="00B5064E" w14:paraId="73C55365" w14:textId="77777777" w:rsidTr="004E42CF">
        <w:trPr>
          <w:cnfStyle w:val="100000000000" w:firstRow="1" w:lastRow="0" w:firstColumn="0" w:lastColumn="0" w:oddVBand="0" w:evenVBand="0" w:oddHBand="0" w:evenHBand="0" w:firstRowFirstColumn="0" w:firstRowLastColumn="0" w:lastRowFirstColumn="0" w:lastRowLastColumn="0"/>
          <w:trHeight w:val="300"/>
        </w:trPr>
        <w:tc>
          <w:tcPr>
            <w:tcW w:w="2836" w:type="dxa"/>
            <w:hideMark/>
          </w:tcPr>
          <w:p w14:paraId="6EB476F1" w14:textId="77777777" w:rsidR="005C2258" w:rsidRPr="00266E99" w:rsidRDefault="005C2258" w:rsidP="00066D9D">
            <w:pPr>
              <w:jc w:val="cente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Term</w:t>
            </w:r>
            <w:r w:rsidRPr="00266E99">
              <w:rPr>
                <w:rFonts w:ascii="Calibri" w:eastAsia="Times New Roman" w:hAnsi="Calibri" w:cs="Calibri"/>
                <w:b/>
                <w:bCs/>
                <w:color w:val="498205"/>
                <w:sz w:val="22"/>
                <w:lang w:eastAsia="en-AU"/>
              </w:rPr>
              <w:t> </w:t>
            </w:r>
          </w:p>
        </w:tc>
        <w:tc>
          <w:tcPr>
            <w:tcW w:w="6804" w:type="dxa"/>
            <w:hideMark/>
          </w:tcPr>
          <w:p w14:paraId="1C43E56D" w14:textId="77777777" w:rsidR="005C2258" w:rsidRPr="00266E99" w:rsidRDefault="005C2258" w:rsidP="00066D9D">
            <w:pPr>
              <w:jc w:val="cente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Definition</w:t>
            </w:r>
            <w:r w:rsidRPr="00266E99">
              <w:rPr>
                <w:rFonts w:ascii="Calibri" w:eastAsia="Times New Roman" w:hAnsi="Calibri" w:cs="Calibri"/>
                <w:b/>
                <w:bCs/>
                <w:color w:val="498205"/>
                <w:sz w:val="22"/>
                <w:lang w:eastAsia="en-AU"/>
              </w:rPr>
              <w:t> </w:t>
            </w:r>
          </w:p>
        </w:tc>
      </w:tr>
      <w:tr w:rsidR="005C2258" w:rsidRPr="00B5064E" w14:paraId="4AD11A95" w14:textId="77777777" w:rsidTr="004E42CF">
        <w:trPr>
          <w:trHeight w:val="300"/>
        </w:trPr>
        <w:tc>
          <w:tcPr>
            <w:tcW w:w="2836" w:type="dxa"/>
            <w:vAlign w:val="center"/>
            <w:hideMark/>
          </w:tcPr>
          <w:p w14:paraId="741D50DC"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Australian Competition &amp; Consumer Commission (ACCC)  </w:t>
            </w:r>
          </w:p>
        </w:tc>
        <w:tc>
          <w:tcPr>
            <w:tcW w:w="6804" w:type="dxa"/>
            <w:hideMark/>
          </w:tcPr>
          <w:p w14:paraId="23B3FBD7"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The ACCC monitors and enforces the Electricity Retail Code for electricity retailers. The ACCC also enforces the parts of the Competition and Consumer Act 2010 that prohibit misconduct in the electricity market. </w:t>
            </w:r>
          </w:p>
        </w:tc>
      </w:tr>
      <w:tr w:rsidR="005C2258" w:rsidRPr="00B5064E" w14:paraId="0DD62884" w14:textId="77777777" w:rsidTr="004E42CF">
        <w:trPr>
          <w:trHeight w:val="300"/>
        </w:trPr>
        <w:tc>
          <w:tcPr>
            <w:tcW w:w="2836" w:type="dxa"/>
            <w:shd w:val="clear" w:color="auto" w:fill="F2F2F2" w:themeFill="background1" w:themeFillShade="F2"/>
            <w:vAlign w:val="center"/>
            <w:hideMark/>
          </w:tcPr>
          <w:p w14:paraId="52F597CD"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Australian Energy Market Commission (AEMC) </w:t>
            </w:r>
          </w:p>
        </w:tc>
        <w:tc>
          <w:tcPr>
            <w:tcW w:w="6804" w:type="dxa"/>
            <w:shd w:val="clear" w:color="auto" w:fill="F2F2F2" w:themeFill="background1" w:themeFillShade="F2"/>
            <w:hideMark/>
          </w:tcPr>
          <w:p w14:paraId="32CD6CDD"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The AEMC is the rule maker for Australian electricity and gas markets. They also make and amend the National Electricity Rules, National Gas Rules and National Energy Retail Rules.  </w:t>
            </w:r>
          </w:p>
        </w:tc>
      </w:tr>
      <w:tr w:rsidR="005C2258" w:rsidRPr="00B5064E" w14:paraId="6B40B0F2" w14:textId="77777777" w:rsidTr="004E42CF">
        <w:trPr>
          <w:trHeight w:val="60"/>
        </w:trPr>
        <w:tc>
          <w:tcPr>
            <w:tcW w:w="2836" w:type="dxa"/>
            <w:vAlign w:val="center"/>
            <w:hideMark/>
          </w:tcPr>
          <w:p w14:paraId="6BDCF557"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Australian Energy Regulator (AER) </w:t>
            </w:r>
          </w:p>
        </w:tc>
        <w:tc>
          <w:tcPr>
            <w:tcW w:w="6804" w:type="dxa"/>
            <w:hideMark/>
          </w:tcPr>
          <w:p w14:paraId="16BCFCF3"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The AER is an independent decision-making body responsible for regulating wholesale and retail energy markets, and energy networks, under national energy legislation and rules. </w:t>
            </w:r>
          </w:p>
        </w:tc>
      </w:tr>
      <w:tr w:rsidR="005C2258" w:rsidRPr="00B5064E" w14:paraId="25C62794" w14:textId="77777777" w:rsidTr="004E42CF">
        <w:trPr>
          <w:trHeight w:val="300"/>
        </w:trPr>
        <w:tc>
          <w:tcPr>
            <w:tcW w:w="2836" w:type="dxa"/>
            <w:shd w:val="clear" w:color="auto" w:fill="F2F2F2" w:themeFill="background1" w:themeFillShade="F2"/>
            <w:vAlign w:val="center"/>
            <w:hideMark/>
          </w:tcPr>
          <w:p w14:paraId="2BD1165F"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Australian Energy Market Operator (AEMO)</w:t>
            </w:r>
          </w:p>
        </w:tc>
        <w:tc>
          <w:tcPr>
            <w:tcW w:w="6804" w:type="dxa"/>
            <w:shd w:val="clear" w:color="auto" w:fill="F2F2F2" w:themeFill="background1" w:themeFillShade="F2"/>
            <w:hideMark/>
          </w:tcPr>
          <w:p w14:paraId="0F540811"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The AEMO manages electricity and gas systems and markets across Australia, helping to ensure Australians have access to affordable, secure and reliable energy. </w:t>
            </w:r>
          </w:p>
        </w:tc>
      </w:tr>
      <w:tr w:rsidR="005C2258" w:rsidRPr="00B5064E" w14:paraId="615F29A8" w14:textId="77777777" w:rsidTr="004E42CF">
        <w:trPr>
          <w:trHeight w:val="717"/>
        </w:trPr>
        <w:tc>
          <w:tcPr>
            <w:tcW w:w="2836" w:type="dxa"/>
            <w:vAlign w:val="center"/>
          </w:tcPr>
          <w:p w14:paraId="3DE92378"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 xml:space="preserve">Better Bills Guideline </w:t>
            </w:r>
          </w:p>
        </w:tc>
        <w:tc>
          <w:tcPr>
            <w:tcW w:w="6804" w:type="dxa"/>
          </w:tcPr>
          <w:p w14:paraId="3402901B"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The Better Bills Guideline (Version 1) was published on 31 March 2022. The purpose of the Guideline is to provide guidance to retailers on preparing and issuing bills that make it easy for small customers to understand billing information.</w:t>
            </w:r>
          </w:p>
        </w:tc>
      </w:tr>
      <w:tr w:rsidR="005C2258" w:rsidRPr="00B5064E" w14:paraId="0F12D767" w14:textId="77777777" w:rsidTr="004E42CF">
        <w:trPr>
          <w:trHeight w:val="300"/>
        </w:trPr>
        <w:tc>
          <w:tcPr>
            <w:tcW w:w="2836" w:type="dxa"/>
            <w:shd w:val="clear" w:color="auto" w:fill="F2F2F2" w:themeFill="background1" w:themeFillShade="F2"/>
            <w:vAlign w:val="center"/>
            <w:hideMark/>
          </w:tcPr>
          <w:p w14:paraId="1ACE07AC" w14:textId="77777777" w:rsidR="005C2258" w:rsidRPr="00266E99" w:rsidRDefault="005C2258" w:rsidP="00066D9D">
            <w:pPr>
              <w:textAlignment w:val="baseline"/>
              <w:rPr>
                <w:rFonts w:ascii="Calibri" w:eastAsia="Times New Roman" w:hAnsi="Calibri" w:cs="Calibri"/>
                <w:b/>
                <w:color w:val="000000"/>
                <w:sz w:val="22"/>
                <w:lang w:eastAsia="en-AU"/>
              </w:rPr>
            </w:pPr>
            <w:r w:rsidRPr="00266E99">
              <w:rPr>
                <w:rFonts w:ascii="Calibri" w:eastAsia="Times New Roman" w:hAnsi="Calibri" w:cs="Calibri"/>
                <w:b/>
                <w:color w:val="000000"/>
                <w:sz w:val="22"/>
                <w:lang w:eastAsia="en-AU"/>
              </w:rPr>
              <w:t>Clean Energy Council</w:t>
            </w:r>
          </w:p>
        </w:tc>
        <w:tc>
          <w:tcPr>
            <w:tcW w:w="6804" w:type="dxa"/>
            <w:shd w:val="clear" w:color="auto" w:fill="F2F2F2" w:themeFill="background1" w:themeFillShade="F2"/>
            <w:hideMark/>
          </w:tcPr>
          <w:p w14:paraId="6D090BB4"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The Clean Energy Council is the peak body for the clean energy industry in Australia. They are committed to accelerating the transformation of Australia’s energy system to one that is smarter and cleaner.  </w:t>
            </w:r>
          </w:p>
        </w:tc>
      </w:tr>
      <w:tr w:rsidR="005C2258" w:rsidRPr="00B5064E" w14:paraId="43FC0CBE" w14:textId="77777777" w:rsidTr="004E42CF">
        <w:trPr>
          <w:trHeight w:val="300"/>
        </w:trPr>
        <w:tc>
          <w:tcPr>
            <w:tcW w:w="2836" w:type="dxa"/>
            <w:vAlign w:val="center"/>
          </w:tcPr>
          <w:p w14:paraId="60DE4A2E" w14:textId="77777777" w:rsidR="005C2258" w:rsidRPr="00266E99" w:rsidRDefault="005C2258" w:rsidP="00066D9D">
            <w:pPr>
              <w:textAlignment w:val="baseline"/>
              <w:rPr>
                <w:rFonts w:ascii="Calibri" w:eastAsia="Times New Roman" w:hAnsi="Calibri" w:cs="Calibri"/>
                <w:b/>
                <w:color w:val="000000"/>
                <w:sz w:val="22"/>
                <w:lang w:eastAsia="en-AU"/>
              </w:rPr>
            </w:pPr>
            <w:r w:rsidRPr="00266E99">
              <w:rPr>
                <w:rFonts w:ascii="Calibri" w:eastAsia="Times New Roman" w:hAnsi="Calibri" w:cs="Calibri"/>
                <w:b/>
                <w:color w:val="000000"/>
                <w:sz w:val="22"/>
                <w:lang w:eastAsia="en-AU"/>
              </w:rPr>
              <w:t>Commonwealth Scientific and Industrial Research Organisation</w:t>
            </w:r>
          </w:p>
        </w:tc>
        <w:tc>
          <w:tcPr>
            <w:tcW w:w="6804" w:type="dxa"/>
          </w:tcPr>
          <w:p w14:paraId="4AD0B6A7"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Australia's national science agency that uses science and technology to solve challenges for industry, the community, and the nation, with innovations like fast Wi-Fi and polymer banknotes</w:t>
            </w:r>
          </w:p>
        </w:tc>
      </w:tr>
      <w:tr w:rsidR="005C2258" w:rsidRPr="00B5064E" w14:paraId="58B84AAA" w14:textId="77777777" w:rsidTr="004E42CF">
        <w:trPr>
          <w:trHeight w:val="300"/>
        </w:trPr>
        <w:tc>
          <w:tcPr>
            <w:tcW w:w="2836" w:type="dxa"/>
            <w:shd w:val="clear" w:color="auto" w:fill="F2F2F2" w:themeFill="background1" w:themeFillShade="F2"/>
            <w:vAlign w:val="center"/>
            <w:hideMark/>
          </w:tcPr>
          <w:p w14:paraId="3781BA54"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The Competition and Consumer Act 2010 (CCA) </w:t>
            </w:r>
          </w:p>
        </w:tc>
        <w:tc>
          <w:tcPr>
            <w:tcW w:w="6804" w:type="dxa"/>
            <w:shd w:val="clear" w:color="auto" w:fill="F2F2F2" w:themeFill="background1" w:themeFillShade="F2"/>
            <w:hideMark/>
          </w:tcPr>
          <w:p w14:paraId="06D5F22D"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The Competition and Consumer Act 2010 (CCA), Australia's key national law, promotes fair trading, competition, and consumer protection by regulating business conduct, covering areas like anti-competitive practices (cartels, price fixing), mergers, product safety, and unfair market behaviour. </w:t>
            </w:r>
          </w:p>
        </w:tc>
      </w:tr>
      <w:tr w:rsidR="005C2258" w:rsidRPr="00B5064E" w14:paraId="3929204A" w14:textId="77777777" w:rsidTr="004E42CF">
        <w:trPr>
          <w:trHeight w:val="300"/>
        </w:trPr>
        <w:tc>
          <w:tcPr>
            <w:tcW w:w="2836" w:type="dxa"/>
            <w:vAlign w:val="center"/>
          </w:tcPr>
          <w:p w14:paraId="31153CF1"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The Competition and Consumer (Industry Code- Electricity retail) Regulations 2019</w:t>
            </w:r>
          </w:p>
        </w:tc>
        <w:tc>
          <w:tcPr>
            <w:tcW w:w="6804" w:type="dxa"/>
          </w:tcPr>
          <w:p w14:paraId="16CFB395"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 xml:space="preserve">Set mandatory, legally binding rules for electricity retailers supplying small customers in specific regions. It limits standing offer prices via the AER's Default Market Offer (DMO), mandates clear comparisons against this reference price, restricts conditional advertising, and empowers the </w:t>
            </w:r>
            <w:hyperlink r:id="rId17" w:tgtFrame="_blank" w:history="1">
              <w:r w:rsidRPr="00266E99">
                <w:rPr>
                  <w:rFonts w:ascii="Calibri" w:eastAsia="Times New Roman" w:hAnsi="Calibri" w:cs="Calibri"/>
                  <w:color w:val="000000"/>
                  <w:sz w:val="22"/>
                  <w:lang w:eastAsia="en-AU"/>
                </w:rPr>
                <w:t>ACCC</w:t>
              </w:r>
            </w:hyperlink>
            <w:r w:rsidRPr="00266E99">
              <w:rPr>
                <w:rFonts w:ascii="Calibri" w:eastAsia="Times New Roman" w:hAnsi="Calibri" w:cs="Calibri"/>
                <w:color w:val="000000"/>
                <w:sz w:val="22"/>
                <w:lang w:eastAsia="en-AU"/>
              </w:rPr>
              <w:t xml:space="preserve"> to enforce compliance</w:t>
            </w:r>
          </w:p>
        </w:tc>
      </w:tr>
      <w:tr w:rsidR="005C2258" w:rsidRPr="00B5064E" w14:paraId="5F7E8C8E" w14:textId="77777777" w:rsidTr="004E42CF">
        <w:trPr>
          <w:trHeight w:val="300"/>
        </w:trPr>
        <w:tc>
          <w:tcPr>
            <w:tcW w:w="2836" w:type="dxa"/>
            <w:shd w:val="clear" w:color="auto" w:fill="F2F2F2" w:themeFill="background1" w:themeFillShade="F2"/>
            <w:vAlign w:val="center"/>
            <w:hideMark/>
          </w:tcPr>
          <w:p w14:paraId="79C88375"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 xml:space="preserve">Consumer energy </w:t>
            </w:r>
            <w:r w:rsidRPr="00266E99">
              <w:rPr>
                <w:rFonts w:ascii="Calibri" w:eastAsia="Times New Roman" w:hAnsi="Calibri" w:cs="Calibri"/>
                <w:b/>
                <w:color w:val="000000"/>
                <w:sz w:val="22"/>
                <w:lang w:eastAsia="en-AU"/>
              </w:rPr>
              <w:t>resources (</w:t>
            </w:r>
            <w:r w:rsidRPr="00266E99">
              <w:rPr>
                <w:rFonts w:ascii="Calibri" w:eastAsia="Times New Roman" w:hAnsi="Calibri" w:cs="Calibri"/>
                <w:b/>
                <w:bCs/>
                <w:color w:val="000000"/>
                <w:sz w:val="22"/>
                <w:lang w:eastAsia="en-AU"/>
              </w:rPr>
              <w:t>CER) </w:t>
            </w:r>
          </w:p>
        </w:tc>
        <w:tc>
          <w:tcPr>
            <w:tcW w:w="6804" w:type="dxa"/>
            <w:shd w:val="clear" w:color="auto" w:fill="F2F2F2" w:themeFill="background1" w:themeFillShade="F2"/>
            <w:hideMark/>
          </w:tcPr>
          <w:p w14:paraId="1C6811C6"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CER are consumers' resources that generate or store electricity and includes flexible loads that can alter demand in response to external signals. CER includes rooftop solar. batteries. electric vehicle chargers. </w:t>
            </w:r>
          </w:p>
        </w:tc>
      </w:tr>
      <w:tr w:rsidR="005C2258" w:rsidRPr="00B5064E" w14:paraId="31A7DA0A" w14:textId="77777777" w:rsidTr="004E42CF">
        <w:trPr>
          <w:trHeight w:val="300"/>
        </w:trPr>
        <w:tc>
          <w:tcPr>
            <w:tcW w:w="2836" w:type="dxa"/>
            <w:vAlign w:val="center"/>
            <w:hideMark/>
          </w:tcPr>
          <w:p w14:paraId="14E30333"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Controlled Load </w:t>
            </w:r>
          </w:p>
        </w:tc>
        <w:tc>
          <w:tcPr>
            <w:tcW w:w="6804" w:type="dxa"/>
            <w:hideMark/>
          </w:tcPr>
          <w:p w14:paraId="63FE664F"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Controlled Load tariffs are designed for electrical appliances that do not require continuous power and allows the shifting of electricity load which in turn reduces high demand on the network. </w:t>
            </w:r>
          </w:p>
        </w:tc>
      </w:tr>
      <w:tr w:rsidR="005C2258" w:rsidRPr="00B5064E" w14:paraId="1974BEB7" w14:textId="77777777" w:rsidTr="004E42CF">
        <w:trPr>
          <w:trHeight w:val="45"/>
        </w:trPr>
        <w:tc>
          <w:tcPr>
            <w:tcW w:w="2836" w:type="dxa"/>
            <w:shd w:val="clear" w:color="auto" w:fill="F2F2F2" w:themeFill="background1" w:themeFillShade="F2"/>
            <w:vAlign w:val="center"/>
            <w:hideMark/>
          </w:tcPr>
          <w:p w14:paraId="0F647658"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The Electricity Retail Code  </w:t>
            </w:r>
          </w:p>
        </w:tc>
        <w:tc>
          <w:tcPr>
            <w:tcW w:w="6804" w:type="dxa"/>
            <w:shd w:val="clear" w:color="auto" w:fill="F2F2F2" w:themeFill="background1" w:themeFillShade="F2"/>
            <w:hideMark/>
          </w:tcPr>
          <w:p w14:paraId="1C1CD71A"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 xml:space="preserve">The Electricity Retail Code </w:t>
            </w:r>
            <w:r w:rsidRPr="00266E99" w:rsidDel="0004255E">
              <w:rPr>
                <w:rFonts w:ascii="Calibri" w:eastAsia="Times New Roman" w:hAnsi="Calibri" w:cs="Calibri"/>
                <w:color w:val="000000"/>
                <w:sz w:val="22"/>
                <w:lang w:eastAsia="en-AU"/>
              </w:rPr>
              <w:t>is</w:t>
            </w:r>
            <w:r w:rsidRPr="00266E99">
              <w:rPr>
                <w:rFonts w:ascii="Calibri" w:eastAsia="Times New Roman" w:hAnsi="Calibri" w:cs="Calibri"/>
                <w:color w:val="000000"/>
                <w:sz w:val="22"/>
                <w:lang w:eastAsia="en-AU"/>
              </w:rPr>
              <w:t xml:space="preserve"> a mandatory industry code. The code applies to all retailers that supply electricity to households and small usage </w:t>
            </w:r>
            <w:r w:rsidRPr="00266E99">
              <w:rPr>
                <w:rFonts w:ascii="Calibri" w:eastAsia="Times New Roman" w:hAnsi="Calibri" w:cs="Calibri"/>
                <w:color w:val="000000"/>
                <w:sz w:val="22"/>
                <w:lang w:eastAsia="en-AU"/>
              </w:rPr>
              <w:lastRenderedPageBreak/>
              <w:t>businesses in DMO regions. The code sets how prices and discounts must be advertised, published and offered. </w:t>
            </w:r>
          </w:p>
        </w:tc>
      </w:tr>
      <w:tr w:rsidR="005C2258" w:rsidRPr="00B5064E" w14:paraId="38763C69" w14:textId="77777777" w:rsidTr="004E42CF">
        <w:trPr>
          <w:trHeight w:val="45"/>
        </w:trPr>
        <w:tc>
          <w:tcPr>
            <w:tcW w:w="2836" w:type="dxa"/>
            <w:vAlign w:val="center"/>
            <w:hideMark/>
          </w:tcPr>
          <w:p w14:paraId="2EC523C9"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lastRenderedPageBreak/>
              <w:t>Default Market Offer (DMO)  </w:t>
            </w:r>
          </w:p>
        </w:tc>
        <w:tc>
          <w:tcPr>
            <w:tcW w:w="6804" w:type="dxa"/>
            <w:hideMark/>
          </w:tcPr>
          <w:p w14:paraId="5BFA9D6D"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A federal government-initiated default electricity price for residential and small business customers in force in New South Wales, South East Queensland, and South Australia.   </w:t>
            </w:r>
          </w:p>
        </w:tc>
      </w:tr>
      <w:tr w:rsidR="005C2258" w:rsidRPr="00B5064E" w14:paraId="3FB07089" w14:textId="77777777" w:rsidTr="004E42CF">
        <w:trPr>
          <w:trHeight w:val="45"/>
        </w:trPr>
        <w:tc>
          <w:tcPr>
            <w:tcW w:w="2836" w:type="dxa"/>
            <w:shd w:val="clear" w:color="auto" w:fill="F2F2F2" w:themeFill="background1" w:themeFillShade="F2"/>
            <w:vAlign w:val="center"/>
            <w:hideMark/>
          </w:tcPr>
          <w:p w14:paraId="2AF84B82"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Distribution Network Service Provider (DNSP) </w:t>
            </w:r>
          </w:p>
        </w:tc>
        <w:tc>
          <w:tcPr>
            <w:tcW w:w="6804" w:type="dxa"/>
            <w:shd w:val="clear" w:color="auto" w:fill="F2F2F2" w:themeFill="background1" w:themeFillShade="F2"/>
            <w:hideMark/>
          </w:tcPr>
          <w:p w14:paraId="12757905"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A DNSP manages the physical infrastructure of an electricity network, including power lines, cables, substations, and transformers. DNSPs ensure the distribution of electricity from transmission networks to end users. </w:t>
            </w:r>
          </w:p>
        </w:tc>
      </w:tr>
      <w:tr w:rsidR="005C2258" w:rsidRPr="00B5064E" w14:paraId="4AB55372" w14:textId="77777777" w:rsidTr="004E42CF">
        <w:trPr>
          <w:trHeight w:val="45"/>
        </w:trPr>
        <w:tc>
          <w:tcPr>
            <w:tcW w:w="2836" w:type="dxa"/>
            <w:vAlign w:val="center"/>
          </w:tcPr>
          <w:p w14:paraId="6EDA08B1"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Electric Vehicle (EV)</w:t>
            </w:r>
          </w:p>
        </w:tc>
        <w:tc>
          <w:tcPr>
            <w:tcW w:w="6804" w:type="dxa"/>
          </w:tcPr>
          <w:p w14:paraId="3D8C4EBC"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An "EV" refers to cars, buses, or other transport powered by electricity from batteries or other sources</w:t>
            </w:r>
          </w:p>
        </w:tc>
      </w:tr>
      <w:tr w:rsidR="005C2258" w:rsidRPr="00B5064E" w14:paraId="11F808C4" w14:textId="77777777" w:rsidTr="004E42CF">
        <w:trPr>
          <w:trHeight w:val="45"/>
        </w:trPr>
        <w:tc>
          <w:tcPr>
            <w:tcW w:w="2836" w:type="dxa"/>
            <w:shd w:val="clear" w:color="auto" w:fill="F2F2F2" w:themeFill="background1" w:themeFillShade="F2"/>
            <w:vAlign w:val="center"/>
          </w:tcPr>
          <w:p w14:paraId="294F0B64"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Energy Bill Relief Fund (EBRF)</w:t>
            </w:r>
          </w:p>
        </w:tc>
        <w:tc>
          <w:tcPr>
            <w:tcW w:w="6804" w:type="dxa"/>
            <w:shd w:val="clear" w:color="auto" w:fill="F2F2F2" w:themeFill="background1" w:themeFillShade="F2"/>
          </w:tcPr>
          <w:p w14:paraId="5874C009"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The EBRF was a temporary Australian Government initiative (2023–2025) that provided direct, automatic electricity bill rebates to households and eligible small businesses to ease cost-of-living pressures.</w:t>
            </w:r>
          </w:p>
        </w:tc>
      </w:tr>
      <w:tr w:rsidR="005C2258" w:rsidRPr="00B5064E" w14:paraId="4F2D65E5" w14:textId="77777777" w:rsidTr="004E42CF">
        <w:trPr>
          <w:trHeight w:val="45"/>
        </w:trPr>
        <w:tc>
          <w:tcPr>
            <w:tcW w:w="2836" w:type="dxa"/>
            <w:vAlign w:val="center"/>
          </w:tcPr>
          <w:p w14:paraId="73750577"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Energy Made Easy  </w:t>
            </w:r>
          </w:p>
        </w:tc>
        <w:tc>
          <w:tcPr>
            <w:tcW w:w="6804" w:type="dxa"/>
          </w:tcPr>
          <w:p w14:paraId="6B5FA442"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Energy Made Easy is a free, independent Australian Government price comparison website. Operated by the AER, it allows households and small businesses to find and compare electricity and gas plans from all retailers in their area. </w:t>
            </w:r>
          </w:p>
        </w:tc>
      </w:tr>
      <w:tr w:rsidR="005C2258" w:rsidRPr="00B5064E" w14:paraId="67687CEA" w14:textId="77777777" w:rsidTr="004E42CF">
        <w:trPr>
          <w:trHeight w:val="45"/>
        </w:trPr>
        <w:tc>
          <w:tcPr>
            <w:tcW w:w="2836" w:type="dxa"/>
            <w:shd w:val="clear" w:color="auto" w:fill="F2F2F2" w:themeFill="background1" w:themeFillShade="F2"/>
            <w:vAlign w:val="center"/>
            <w:hideMark/>
          </w:tcPr>
          <w:p w14:paraId="1BAAEE04"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Feed-in tariff (FiT) </w:t>
            </w:r>
          </w:p>
        </w:tc>
        <w:tc>
          <w:tcPr>
            <w:tcW w:w="6804" w:type="dxa"/>
            <w:shd w:val="clear" w:color="auto" w:fill="F2F2F2" w:themeFill="background1" w:themeFillShade="F2"/>
            <w:hideMark/>
          </w:tcPr>
          <w:p w14:paraId="0779D18B"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 xml:space="preserve">A feed-in tariff (FiT) is a credit payment from electricity retailers to households or businesses for excess renewable energy (usually solar) exported back to the grid. FiT rates can help reduce electricity bills, with rates varying significantly by retailer and state. </w:t>
            </w:r>
          </w:p>
        </w:tc>
      </w:tr>
      <w:tr w:rsidR="005C2258" w:rsidRPr="00B5064E" w14:paraId="696E41F4" w14:textId="77777777" w:rsidTr="004E42CF">
        <w:trPr>
          <w:trHeight w:val="45"/>
        </w:trPr>
        <w:tc>
          <w:tcPr>
            <w:tcW w:w="2836" w:type="dxa"/>
            <w:vAlign w:val="center"/>
          </w:tcPr>
          <w:p w14:paraId="2E8CF86C"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 xml:space="preserve">Hedging </w:t>
            </w:r>
          </w:p>
        </w:tc>
        <w:tc>
          <w:tcPr>
            <w:tcW w:w="6804" w:type="dxa"/>
          </w:tcPr>
          <w:p w14:paraId="712311C9"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Energy suppliers buy energy in advance (known as hedging) to match the demand of their customers. Common hedging strategies include using base load futures contracts, power purchase agreements, and financial derivatives like futures and options. </w:t>
            </w:r>
          </w:p>
        </w:tc>
      </w:tr>
      <w:tr w:rsidR="005C2258" w:rsidRPr="00B5064E" w14:paraId="289228B8" w14:textId="77777777" w:rsidTr="004E42CF">
        <w:trPr>
          <w:trHeight w:val="45"/>
        </w:trPr>
        <w:tc>
          <w:tcPr>
            <w:tcW w:w="2836" w:type="dxa"/>
            <w:shd w:val="clear" w:color="auto" w:fill="F2F2F2" w:themeFill="background1" w:themeFillShade="F2"/>
            <w:vAlign w:val="center"/>
          </w:tcPr>
          <w:p w14:paraId="45E52A3F"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Impact Analysis (IA)</w:t>
            </w:r>
          </w:p>
        </w:tc>
        <w:tc>
          <w:tcPr>
            <w:tcW w:w="6804" w:type="dxa"/>
            <w:shd w:val="clear" w:color="auto" w:fill="F2F2F2" w:themeFill="background1" w:themeFillShade="F2"/>
          </w:tcPr>
          <w:p w14:paraId="03928F5A"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Impact analysis is a systematic process used to evaluate the potential consequences, risks, and ripple effects of a proposed change, action, or disruption on projects, systems, or organizations. It facilitates informed decision-making by identifying, analysing, and documenting impacts on stakeholders, processes, and technology to optimize outcomes and mitigate risks.</w:t>
            </w:r>
          </w:p>
        </w:tc>
      </w:tr>
      <w:tr w:rsidR="005C2258" w:rsidRPr="00B5064E" w14:paraId="4DD57A77" w14:textId="77777777" w:rsidTr="004E42CF">
        <w:trPr>
          <w:trHeight w:val="300"/>
        </w:trPr>
        <w:tc>
          <w:tcPr>
            <w:tcW w:w="2836" w:type="dxa"/>
            <w:vAlign w:val="center"/>
            <w:hideMark/>
          </w:tcPr>
          <w:p w14:paraId="0A30D717"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Market offer </w:t>
            </w:r>
          </w:p>
        </w:tc>
        <w:tc>
          <w:tcPr>
            <w:tcW w:w="6804" w:type="dxa"/>
            <w:hideMark/>
          </w:tcPr>
          <w:p w14:paraId="0EB84255"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An offer that energy retailers set on a competitive basis by determining the tariff to be charged. They may offer a discount (or some other benefit) and can vary in length or be ongoing.  </w:t>
            </w:r>
          </w:p>
        </w:tc>
      </w:tr>
      <w:tr w:rsidR="005C2258" w:rsidRPr="00B5064E" w14:paraId="4887C2F9" w14:textId="77777777" w:rsidTr="004E42CF">
        <w:trPr>
          <w:trHeight w:val="923"/>
        </w:trPr>
        <w:tc>
          <w:tcPr>
            <w:tcW w:w="2836" w:type="dxa"/>
            <w:shd w:val="clear" w:color="auto" w:fill="F2F2F2" w:themeFill="background1" w:themeFillShade="F2"/>
            <w:vAlign w:val="center"/>
            <w:hideMark/>
          </w:tcPr>
          <w:p w14:paraId="11C7FAEE"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The National Energy Customer Framework (NECF)  </w:t>
            </w:r>
          </w:p>
        </w:tc>
        <w:tc>
          <w:tcPr>
            <w:tcW w:w="6804" w:type="dxa"/>
            <w:shd w:val="clear" w:color="auto" w:fill="F2F2F2" w:themeFill="background1" w:themeFillShade="F2"/>
            <w:hideMark/>
          </w:tcPr>
          <w:p w14:paraId="3FF22BD1"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A set of national laws, rules, and regulations that govern the sale and supply of electricity and gas to retail customers in participating Australian states and territories.  </w:t>
            </w:r>
          </w:p>
        </w:tc>
      </w:tr>
      <w:tr w:rsidR="005C2258" w:rsidRPr="00B5064E" w14:paraId="4FC8BC57" w14:textId="77777777" w:rsidTr="004E42CF">
        <w:trPr>
          <w:trHeight w:val="300"/>
        </w:trPr>
        <w:tc>
          <w:tcPr>
            <w:tcW w:w="2836" w:type="dxa"/>
            <w:vAlign w:val="center"/>
            <w:hideMark/>
          </w:tcPr>
          <w:p w14:paraId="1B4FA054" w14:textId="77777777" w:rsidR="005C2258" w:rsidRPr="00266E99" w:rsidRDefault="005C2258" w:rsidP="00066D9D">
            <w:pPr>
              <w:textAlignment w:val="baseline"/>
              <w:rPr>
                <w:rFonts w:ascii="Calibri" w:eastAsia="Times New Roman" w:hAnsi="Calibri" w:cs="Calibri"/>
                <w:b/>
                <w:bCs/>
                <w:color w:val="000000"/>
                <w:sz w:val="22"/>
                <w:lang w:eastAsia="en-AU"/>
              </w:rPr>
            </w:pPr>
            <w:hyperlink r:id="rId18" w:tgtFrame="_blank" w:history="1">
              <w:r w:rsidRPr="00266E99">
                <w:rPr>
                  <w:rFonts w:ascii="Calibri" w:eastAsia="Times New Roman" w:hAnsi="Calibri" w:cs="Calibri"/>
                  <w:b/>
                  <w:bCs/>
                  <w:color w:val="000000"/>
                  <w:sz w:val="22"/>
                  <w:lang w:eastAsia="en-AU"/>
                </w:rPr>
                <w:t>National Electricity Market (NEM)</w:t>
              </w:r>
            </w:hyperlink>
            <w:r w:rsidRPr="00266E99">
              <w:rPr>
                <w:rFonts w:ascii="Calibri" w:eastAsia="Times New Roman" w:hAnsi="Calibri" w:cs="Calibri"/>
                <w:b/>
                <w:bCs/>
                <w:color w:val="000000"/>
                <w:sz w:val="22"/>
                <w:lang w:eastAsia="en-AU"/>
              </w:rPr>
              <w:t> </w:t>
            </w:r>
          </w:p>
        </w:tc>
        <w:tc>
          <w:tcPr>
            <w:tcW w:w="6804" w:type="dxa"/>
            <w:hideMark/>
          </w:tcPr>
          <w:p w14:paraId="58C67022"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The NEM is a wholesale electricity market that participants like retailers can buy and sell energy across the east states of Australia.</w:t>
            </w:r>
          </w:p>
        </w:tc>
      </w:tr>
      <w:tr w:rsidR="005C2258" w:rsidRPr="00B5064E" w14:paraId="1D3B0553" w14:textId="77777777" w:rsidTr="004E42CF">
        <w:trPr>
          <w:trHeight w:val="300"/>
        </w:trPr>
        <w:tc>
          <w:tcPr>
            <w:tcW w:w="2836" w:type="dxa"/>
            <w:shd w:val="clear" w:color="auto" w:fill="F2F2F2" w:themeFill="background1" w:themeFillShade="F2"/>
            <w:vAlign w:val="center"/>
            <w:hideMark/>
          </w:tcPr>
          <w:p w14:paraId="62EE3656"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National Energy Retail Law (NERL) </w:t>
            </w:r>
          </w:p>
        </w:tc>
        <w:tc>
          <w:tcPr>
            <w:tcW w:w="6804" w:type="dxa"/>
            <w:shd w:val="clear" w:color="auto" w:fill="F2F2F2" w:themeFill="background1" w:themeFillShade="F2"/>
            <w:hideMark/>
          </w:tcPr>
          <w:p w14:paraId="67A76E30"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The NERL is Australia's framework for regulating electricity and gas supply to consumers, focusing on retailer obligations and customer protections., </w:t>
            </w:r>
          </w:p>
        </w:tc>
      </w:tr>
      <w:tr w:rsidR="005C2258" w:rsidRPr="00B5064E" w14:paraId="14F1A504" w14:textId="77777777" w:rsidTr="004E42CF">
        <w:trPr>
          <w:trHeight w:val="300"/>
        </w:trPr>
        <w:tc>
          <w:tcPr>
            <w:tcW w:w="2836" w:type="dxa"/>
            <w:vAlign w:val="center"/>
            <w:hideMark/>
          </w:tcPr>
          <w:p w14:paraId="7C480B7A"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lastRenderedPageBreak/>
              <w:t>The National Energy Retail Rules (NERR)</w:t>
            </w:r>
          </w:p>
        </w:tc>
        <w:tc>
          <w:tcPr>
            <w:tcW w:w="6804" w:type="dxa"/>
            <w:hideMark/>
          </w:tcPr>
          <w:p w14:paraId="72ED4EB7"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The NERR govern the sale and supply of energy retailers and distributors to customers in NSW, QLD, SA, TAS and the ACT. A set of national laws, rules, and regulations that govern the sale and supply of electricity and gas to retail customers in participating Australian states and territories.  </w:t>
            </w:r>
          </w:p>
        </w:tc>
      </w:tr>
      <w:tr w:rsidR="005C2258" w:rsidRPr="00B5064E" w14:paraId="1D761A9E" w14:textId="77777777" w:rsidTr="004E42CF">
        <w:trPr>
          <w:trHeight w:val="300"/>
        </w:trPr>
        <w:tc>
          <w:tcPr>
            <w:tcW w:w="2836" w:type="dxa"/>
            <w:shd w:val="clear" w:color="auto" w:fill="F2F2F2" w:themeFill="background1" w:themeFillShade="F2"/>
            <w:vAlign w:val="center"/>
          </w:tcPr>
          <w:p w14:paraId="15543889"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 xml:space="preserve">Regional Retailer </w:t>
            </w:r>
          </w:p>
        </w:tc>
        <w:tc>
          <w:tcPr>
            <w:tcW w:w="6804" w:type="dxa"/>
            <w:shd w:val="clear" w:color="auto" w:fill="F2F2F2" w:themeFill="background1" w:themeFillShade="F2"/>
          </w:tcPr>
          <w:p w14:paraId="5B09AE71" w14:textId="0554A96C"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Regional energy retailers are specialized suppliers that operate within specific geographic areas, often serving as the primary or default electricity and gas provider for that region.</w:t>
            </w:r>
            <w:r w:rsidR="004E42CF" w:rsidRPr="004E42CF">
              <w:rPr>
                <w:rFonts w:ascii="Calibri" w:eastAsia="Times New Roman" w:hAnsi="Calibri" w:cs="Calibri"/>
                <w:color w:val="000000"/>
                <w:sz w:val="22"/>
                <w:lang w:eastAsia="en-AU"/>
              </w:rPr>
              <w:t xml:space="preserve"> Key providers including Ergon Energy (Queensland), ActewAGL (ACT), and Aurora Energy (Tasmania).</w:t>
            </w:r>
          </w:p>
        </w:tc>
      </w:tr>
      <w:tr w:rsidR="005C2258" w:rsidRPr="00B5064E" w14:paraId="22D54114" w14:textId="77777777" w:rsidTr="004E42CF">
        <w:trPr>
          <w:trHeight w:val="615"/>
        </w:trPr>
        <w:tc>
          <w:tcPr>
            <w:tcW w:w="2836" w:type="dxa"/>
            <w:vAlign w:val="center"/>
            <w:hideMark/>
          </w:tcPr>
          <w:p w14:paraId="56E7D2A6"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Renewable energy </w:t>
            </w:r>
          </w:p>
        </w:tc>
        <w:tc>
          <w:tcPr>
            <w:tcW w:w="6804" w:type="dxa"/>
            <w:hideMark/>
          </w:tcPr>
          <w:p w14:paraId="16890D70"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Renewable energy comes from natural sources that replenish faster than they're used and offer clean power with lower emissions than fossil fuel. Examples include solar, wind, water (hydro/tidal), and geothermal. </w:t>
            </w:r>
          </w:p>
        </w:tc>
      </w:tr>
      <w:tr w:rsidR="005C2258" w:rsidRPr="00B5064E" w14:paraId="6BE3E5A8" w14:textId="77777777" w:rsidTr="004E42CF">
        <w:trPr>
          <w:trHeight w:val="615"/>
        </w:trPr>
        <w:tc>
          <w:tcPr>
            <w:tcW w:w="2836" w:type="dxa"/>
            <w:shd w:val="clear" w:color="auto" w:fill="F2F2F2" w:themeFill="background1" w:themeFillShade="F2"/>
            <w:vAlign w:val="center"/>
          </w:tcPr>
          <w:p w14:paraId="6A2E695D" w14:textId="77777777" w:rsidR="005C2258" w:rsidRPr="00266E99" w:rsidRDefault="005C2258" w:rsidP="00066D9D">
            <w:pPr>
              <w:textAlignment w:val="baseline"/>
              <w:rPr>
                <w:rFonts w:ascii="Calibri" w:eastAsia="Times New Roman" w:hAnsi="Calibri" w:cs="Calibri"/>
                <w:b/>
                <w:color w:val="000000"/>
                <w:sz w:val="22"/>
                <w:lang w:eastAsia="en-AU"/>
              </w:rPr>
            </w:pPr>
            <w:r w:rsidRPr="00266E99">
              <w:rPr>
                <w:rFonts w:ascii="Calibri" w:eastAsia="Times New Roman" w:hAnsi="Calibri" w:cs="Calibri"/>
                <w:b/>
                <w:color w:val="000000"/>
                <w:sz w:val="22"/>
                <w:lang w:eastAsia="en-AU"/>
              </w:rPr>
              <w:t xml:space="preserve">Retailer </w:t>
            </w:r>
          </w:p>
        </w:tc>
        <w:tc>
          <w:tcPr>
            <w:tcW w:w="6804" w:type="dxa"/>
            <w:shd w:val="clear" w:color="auto" w:fill="F2F2F2" w:themeFill="background1" w:themeFillShade="F2"/>
          </w:tcPr>
          <w:p w14:paraId="118D1178"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An energy retailer buys electricity at a wholesale price and sells it to customers who own homes or businesses. The retailer connects customers to the electrical grid and handles the service and billing.</w:t>
            </w:r>
          </w:p>
        </w:tc>
      </w:tr>
      <w:tr w:rsidR="005C2258" w:rsidRPr="00B5064E" w14:paraId="569271A5" w14:textId="77777777" w:rsidTr="004E42CF">
        <w:trPr>
          <w:trHeight w:val="300"/>
        </w:trPr>
        <w:tc>
          <w:tcPr>
            <w:tcW w:w="2836" w:type="dxa"/>
            <w:vAlign w:val="center"/>
            <w:hideMark/>
          </w:tcPr>
          <w:p w14:paraId="20EE5FA9"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Retail Electricity Pricing Inquiry (REPI) </w:t>
            </w:r>
          </w:p>
        </w:tc>
        <w:tc>
          <w:tcPr>
            <w:tcW w:w="6804" w:type="dxa"/>
            <w:hideMark/>
          </w:tcPr>
          <w:p w14:paraId="73D89329"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A REPI, investigates high prices in the NEM by analyszing customer bills, retailer costs, competition, and market factors, aiming to improve affordability through recommendations like default offers and clearer information, with ongoing reports monitoring market dynamics, especially for embedded networks and disengaged customers.  </w:t>
            </w:r>
          </w:p>
        </w:tc>
      </w:tr>
      <w:tr w:rsidR="005C2258" w:rsidRPr="00B5064E" w14:paraId="796ABC4A" w14:textId="77777777" w:rsidTr="004E42CF">
        <w:trPr>
          <w:trHeight w:val="300"/>
        </w:trPr>
        <w:tc>
          <w:tcPr>
            <w:tcW w:w="2836" w:type="dxa"/>
            <w:shd w:val="clear" w:color="auto" w:fill="F2F2F2" w:themeFill="background1" w:themeFillShade="F2"/>
            <w:vAlign w:val="center"/>
          </w:tcPr>
          <w:p w14:paraId="4B1EBA8E" w14:textId="77777777" w:rsidR="005C2258" w:rsidRPr="00266E99" w:rsidRDefault="005C2258" w:rsidP="00066D9D">
            <w:pPr>
              <w:textAlignment w:val="baseline"/>
              <w:rPr>
                <w:rFonts w:ascii="Calibri" w:eastAsia="Times New Roman" w:hAnsi="Calibri" w:cs="Calibri"/>
                <w:b/>
                <w:color w:val="000000"/>
                <w:sz w:val="22"/>
                <w:lang w:eastAsia="en-AU"/>
              </w:rPr>
            </w:pPr>
            <w:r w:rsidRPr="00266E99">
              <w:rPr>
                <w:rFonts w:ascii="Calibri" w:eastAsia="Times New Roman" w:hAnsi="Calibri" w:cs="Calibri"/>
                <w:b/>
                <w:color w:val="000000"/>
                <w:sz w:val="22"/>
                <w:lang w:eastAsia="en-AU"/>
              </w:rPr>
              <w:t>Solar Photovoltaic (PV)</w:t>
            </w:r>
          </w:p>
        </w:tc>
        <w:tc>
          <w:tcPr>
            <w:tcW w:w="6804" w:type="dxa"/>
            <w:shd w:val="clear" w:color="auto" w:fill="F2F2F2" w:themeFill="background1" w:themeFillShade="F2"/>
          </w:tcPr>
          <w:p w14:paraId="74E7BDD6"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Solar PV refers to the technology that directly converts sunlight into electricity using semiconductor cells, commonly known as solar panels, powering homes, businesses, and large farms by generating clean, renewable energy, reducing bills, and lowering carbon footprints through the photovoltaic effect.  </w:t>
            </w:r>
          </w:p>
        </w:tc>
      </w:tr>
      <w:tr w:rsidR="005C2258" w:rsidRPr="00B5064E" w14:paraId="2E6CDFBD" w14:textId="77777777" w:rsidTr="004E42CF">
        <w:trPr>
          <w:trHeight w:val="300"/>
        </w:trPr>
        <w:tc>
          <w:tcPr>
            <w:tcW w:w="2836" w:type="dxa"/>
            <w:vAlign w:val="center"/>
          </w:tcPr>
          <w:p w14:paraId="0EC66556"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Solar Sponge</w:t>
            </w:r>
          </w:p>
        </w:tc>
        <w:tc>
          <w:tcPr>
            <w:tcW w:w="6804" w:type="dxa"/>
          </w:tcPr>
          <w:p w14:paraId="6C2A50DB"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A "solar sponge" refers to electricity tariffs designed to encourage households to use excess solar energy during the middle of the day (typically 10 am–3 pm) when supply is high and demand is low.</w:t>
            </w:r>
          </w:p>
        </w:tc>
      </w:tr>
      <w:tr w:rsidR="005C2258" w:rsidRPr="00B5064E" w14:paraId="2D5A86EF" w14:textId="77777777" w:rsidTr="004E42CF">
        <w:trPr>
          <w:trHeight w:val="300"/>
        </w:trPr>
        <w:tc>
          <w:tcPr>
            <w:tcW w:w="2836" w:type="dxa"/>
            <w:shd w:val="clear" w:color="auto" w:fill="F2F2F2" w:themeFill="background1" w:themeFillShade="F2"/>
            <w:vAlign w:val="center"/>
            <w:hideMark/>
          </w:tcPr>
          <w:p w14:paraId="21D02B01"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Standing Offer  </w:t>
            </w:r>
          </w:p>
        </w:tc>
        <w:tc>
          <w:tcPr>
            <w:tcW w:w="6804" w:type="dxa"/>
            <w:shd w:val="clear" w:color="auto" w:fill="F2F2F2" w:themeFill="background1" w:themeFillShade="F2"/>
            <w:hideMark/>
          </w:tcPr>
          <w:p w14:paraId="4A0E9AEE"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A default electricity plan provided to customers who have not actively chosen a market offer. It acts as a safety net, ensuring access to electricity at regulated prices set by government bodies.  </w:t>
            </w:r>
          </w:p>
        </w:tc>
      </w:tr>
      <w:tr w:rsidR="005C2258" w:rsidRPr="00B5064E" w14:paraId="5F02401E" w14:textId="77777777" w:rsidTr="004E42CF">
        <w:trPr>
          <w:trHeight w:val="300"/>
        </w:trPr>
        <w:tc>
          <w:tcPr>
            <w:tcW w:w="2836" w:type="dxa"/>
            <w:vAlign w:val="center"/>
            <w:hideMark/>
          </w:tcPr>
          <w:p w14:paraId="04F75CF0"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Tariff  </w:t>
            </w:r>
          </w:p>
        </w:tc>
        <w:tc>
          <w:tcPr>
            <w:tcW w:w="6804" w:type="dxa"/>
            <w:hideMark/>
          </w:tcPr>
          <w:p w14:paraId="20B51C0F"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An energy tariff is the pricing structure your supplier uses to charge you for electricity or gas, combining daily supply charges (fixed) and usage charges (variable, per unit like kWh). Tariffs vary by distributor and meter type, with common types including flat rates, time-of-use and demand tariffs. </w:t>
            </w:r>
          </w:p>
        </w:tc>
      </w:tr>
      <w:tr w:rsidR="005C2258" w:rsidRPr="00B5064E" w14:paraId="27C6C80E" w14:textId="77777777" w:rsidTr="004E42CF">
        <w:trPr>
          <w:trHeight w:val="300"/>
        </w:trPr>
        <w:tc>
          <w:tcPr>
            <w:tcW w:w="2836" w:type="dxa"/>
            <w:shd w:val="clear" w:color="auto" w:fill="F2F2F2" w:themeFill="background1" w:themeFillShade="F2"/>
            <w:vAlign w:val="center"/>
          </w:tcPr>
          <w:p w14:paraId="7462A27A"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Tier 1 Retailer</w:t>
            </w:r>
          </w:p>
        </w:tc>
        <w:tc>
          <w:tcPr>
            <w:tcW w:w="6804" w:type="dxa"/>
            <w:shd w:val="clear" w:color="auto" w:fill="F2F2F2" w:themeFill="background1" w:themeFillShade="F2"/>
          </w:tcPr>
          <w:p w14:paraId="07000B86"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 xml:space="preserve">Tier 1 energy retailers in Australia are the dominant, vertically integrated, companies holding over 10 per cent market share in specific network regions. They control the entire value chain from generation (coal, gas, renewables) to retail, allowing them to manage wholesale market risks more efficiently. There are only three Tier 1 energy retailers in Australia: AGL, EnergyAustralia and Origin Energy. </w:t>
            </w:r>
          </w:p>
        </w:tc>
      </w:tr>
      <w:tr w:rsidR="005C2258" w:rsidRPr="00B5064E" w14:paraId="163221D1" w14:textId="77777777" w:rsidTr="004E42CF">
        <w:trPr>
          <w:trHeight w:val="300"/>
        </w:trPr>
        <w:tc>
          <w:tcPr>
            <w:tcW w:w="2836" w:type="dxa"/>
            <w:vAlign w:val="center"/>
          </w:tcPr>
          <w:p w14:paraId="0FF599A8"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lastRenderedPageBreak/>
              <w:t xml:space="preserve">Tier 2 Retailer </w:t>
            </w:r>
          </w:p>
        </w:tc>
        <w:tc>
          <w:tcPr>
            <w:tcW w:w="6804" w:type="dxa"/>
          </w:tcPr>
          <w:p w14:paraId="5C1469F7"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In Australia, a Tier 2 retailer is defined as an electricity provider that holds a market share of less than 10 per cent in a specific network distribution region.</w:t>
            </w:r>
          </w:p>
        </w:tc>
      </w:tr>
      <w:tr w:rsidR="005C2258" w:rsidRPr="00B5064E" w14:paraId="2CCDFD02" w14:textId="77777777" w:rsidTr="004E42CF">
        <w:trPr>
          <w:trHeight w:val="300"/>
        </w:trPr>
        <w:tc>
          <w:tcPr>
            <w:tcW w:w="2836" w:type="dxa"/>
            <w:shd w:val="clear" w:color="auto" w:fill="F2F2F2" w:themeFill="background1" w:themeFillShade="F2"/>
            <w:vAlign w:val="center"/>
            <w:hideMark/>
          </w:tcPr>
          <w:p w14:paraId="1C4816C9" w14:textId="77777777" w:rsidR="005C2258" w:rsidRPr="00266E99" w:rsidRDefault="005C2258" w:rsidP="00066D9D">
            <w:pPr>
              <w:textAlignment w:val="baseline"/>
              <w:rPr>
                <w:rFonts w:ascii="Calibri" w:eastAsia="Times New Roman" w:hAnsi="Calibri" w:cs="Calibri"/>
                <w:b/>
                <w:bCs/>
                <w:color w:val="000000"/>
                <w:sz w:val="22"/>
                <w:lang w:eastAsia="en-AU"/>
              </w:rPr>
            </w:pPr>
            <w:r w:rsidRPr="00266E99">
              <w:rPr>
                <w:rFonts w:ascii="Calibri" w:eastAsia="Times New Roman" w:hAnsi="Calibri" w:cs="Calibri"/>
                <w:b/>
                <w:bCs/>
                <w:color w:val="000000"/>
                <w:sz w:val="22"/>
                <w:lang w:eastAsia="en-AU"/>
              </w:rPr>
              <w:t>Time of Use (ToU) </w:t>
            </w:r>
          </w:p>
        </w:tc>
        <w:tc>
          <w:tcPr>
            <w:tcW w:w="6804" w:type="dxa"/>
            <w:shd w:val="clear" w:color="auto" w:fill="F2F2F2" w:themeFill="background1" w:themeFillShade="F2"/>
            <w:hideMark/>
          </w:tcPr>
          <w:p w14:paraId="149ED7EB" w14:textId="77777777" w:rsidR="005C2258" w:rsidRPr="00266E99" w:rsidRDefault="005C2258" w:rsidP="00066D9D">
            <w:pPr>
              <w:spacing w:before="60" w:after="60"/>
              <w:textAlignment w:val="baseline"/>
              <w:rPr>
                <w:rFonts w:ascii="Calibri" w:eastAsia="Times New Roman" w:hAnsi="Calibri" w:cs="Calibri"/>
                <w:color w:val="000000"/>
                <w:sz w:val="22"/>
                <w:lang w:eastAsia="en-AU"/>
              </w:rPr>
            </w:pPr>
            <w:r w:rsidRPr="00266E99">
              <w:rPr>
                <w:rFonts w:ascii="Calibri" w:eastAsia="Times New Roman" w:hAnsi="Calibri" w:cs="Calibri"/>
                <w:color w:val="000000"/>
                <w:sz w:val="22"/>
                <w:lang w:eastAsia="en-AU"/>
              </w:rPr>
              <w:t>ToU is an electricity pricing structure where rates vary by time of day, with higher Peak charges during high demand (evenings), lower Off-Peak rates (overnight, weekends), and mid-range Shoulder rates, encouraging consumers to shift usage to cheaper periods to save money and balance grid load. </w:t>
            </w:r>
          </w:p>
        </w:tc>
      </w:tr>
    </w:tbl>
    <w:p w14:paraId="51770A9C" w14:textId="77777777" w:rsidR="00FA5B0C" w:rsidRPr="00B5064E" w:rsidRDefault="00FA5B0C" w:rsidP="008A4591">
      <w:pPr>
        <w:spacing w:before="120" w:after="120"/>
        <w:rPr>
          <w:rFonts w:ascii="Calibri" w:hAnsi="Calibri" w:cs="Calibri"/>
        </w:rPr>
      </w:pPr>
    </w:p>
    <w:sectPr w:rsidR="00FA5B0C" w:rsidRPr="00B5064E" w:rsidSect="002421AC">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6EAAD" w14:textId="77777777" w:rsidR="00AC4A3E" w:rsidRDefault="00AC4A3E" w:rsidP="00D46547">
      <w:pPr>
        <w:spacing w:after="0" w:line="240" w:lineRule="auto"/>
      </w:pPr>
      <w:r>
        <w:separator/>
      </w:r>
    </w:p>
  </w:endnote>
  <w:endnote w:type="continuationSeparator" w:id="0">
    <w:p w14:paraId="24334781" w14:textId="77777777" w:rsidR="00AC4A3E" w:rsidRDefault="00AC4A3E" w:rsidP="00D4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62DC" w14:textId="07499597" w:rsidR="008E4FC6" w:rsidRDefault="00467436">
    <w:pPr>
      <w:pStyle w:val="Footer"/>
    </w:pPr>
    <w:r>
      <w:rPr>
        <w:noProof/>
      </w:rPr>
      <mc:AlternateContent>
        <mc:Choice Requires="wps">
          <w:drawing>
            <wp:anchor distT="0" distB="0" distL="0" distR="0" simplePos="0" relativeHeight="251658248" behindDoc="0" locked="0" layoutInCell="1" allowOverlap="1" wp14:anchorId="372D0841" wp14:editId="16B3F688">
              <wp:simplePos x="635" y="635"/>
              <wp:positionH relativeFrom="page">
                <wp:align>center</wp:align>
              </wp:positionH>
              <wp:positionV relativeFrom="page">
                <wp:align>bottom</wp:align>
              </wp:positionV>
              <wp:extent cx="1249680" cy="391160"/>
              <wp:effectExtent l="0" t="0" r="7620" b="0"/>
              <wp:wrapNone/>
              <wp:docPr id="632901829" name="Text Box 1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9680" cy="391160"/>
                      </a:xfrm>
                      <a:prstGeom prst="rect">
                        <a:avLst/>
                      </a:prstGeom>
                      <a:noFill/>
                      <a:ln>
                        <a:noFill/>
                      </a:ln>
                    </wps:spPr>
                    <wps:txbx>
                      <w:txbxContent>
                        <w:p w14:paraId="1801460A" w14:textId="77777777" w:rsidR="00467436" w:rsidRPr="00467436" w:rsidRDefault="00467436" w:rsidP="00467436">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2D0841" id="_x0000_t202" coordsize="21600,21600" o:spt="202" path="m,l,21600r21600,l21600,xe">
              <v:stroke joinstyle="miter"/>
              <v:path gradientshapeok="t" o:connecttype="rect"/>
            </v:shapetype>
            <v:shape id="Text Box 11" o:spid="_x0000_s1032" type="#_x0000_t202" alt="OFFICIAL Sensitive" style="position:absolute;margin-left:0;margin-top:0;width:98.4pt;height:30.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" filled="f" stroked="f">
              <v:textbox style="mso-fit-shape-to-text:t" inset="0,0,0,15pt">
                <w:txbxContent>
                  <w:p w14:paraId="1801460A" w14:textId="77777777" w:rsidR="00467436" w:rsidRPr="00467436" w:rsidRDefault="00467436" w:rsidP="00467436">
                    <w:pPr>
                      <w:spacing w:after="0"/>
                      <w:rPr>
                        <w:rFonts w:ascii="Aptos" w:eastAsia="Aptos" w:hAnsi="Aptos" w:cs="Aptos"/>
                        <w:noProof/>
                        <w:color w:val="FF0000"/>
                        <w:sz w:val="24"/>
                        <w:szCs w:val="24"/>
                      </w:rPr>
                    </w:pPr>
                  </w:p>
                </w:txbxContent>
              </v:textbox>
              <w10:wrap anchorx="page" anchory="page"/>
            </v:shape>
          </w:pict>
        </mc:Fallback>
      </mc:AlternateContent>
    </w:r>
    <w:r w:rsidR="002270A4">
      <w:rPr>
        <w:noProof/>
      </w:rPr>
      <mc:AlternateContent>
        <mc:Choice Requires="wps">
          <w:drawing>
            <wp:anchor distT="0" distB="0" distL="0" distR="0" simplePos="0" relativeHeight="251658243" behindDoc="0" locked="0" layoutInCell="1" allowOverlap="1" wp14:anchorId="148C6DC1" wp14:editId="0A83B697">
              <wp:simplePos x="635" y="635"/>
              <wp:positionH relativeFrom="page">
                <wp:align>center</wp:align>
              </wp:positionH>
              <wp:positionV relativeFrom="page">
                <wp:align>bottom</wp:align>
              </wp:positionV>
              <wp:extent cx="1249680" cy="391160"/>
              <wp:effectExtent l="0" t="0" r="7620" b="0"/>
              <wp:wrapNone/>
              <wp:docPr id="520854495"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9680" cy="391160"/>
                      </a:xfrm>
                      <a:prstGeom prst="rect">
                        <a:avLst/>
                      </a:prstGeom>
                      <a:noFill/>
                      <a:ln>
                        <a:noFill/>
                      </a:ln>
                    </wps:spPr>
                    <wps:txbx>
                      <w:txbxContent>
                        <w:p w14:paraId="3F4EAB6B" w14:textId="6DF72346" w:rsidR="002270A4" w:rsidRPr="002270A4" w:rsidRDefault="002270A4" w:rsidP="002270A4">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148C6DC1" id="Text Box 5" o:spid="_x0000_s1033" type="#_x0000_t202" alt="OFFICIAL Sensitive" style="position:absolute;margin-left:0;margin-top:0;width:98.4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" filled="f" stroked="f">
              <v:textbox style="mso-fit-shape-to-text:t" inset="0,0,0,15pt">
                <w:txbxContent>
                  <w:p w14:paraId="3F4EAB6B" w14:textId="6DF72346" w:rsidR="002270A4" w:rsidRPr="002270A4" w:rsidRDefault="002270A4" w:rsidP="002270A4">
                    <w:pPr>
                      <w:spacing w:after="0"/>
                      <w:rPr>
                        <w:rFonts w:ascii="Aptos" w:eastAsia="Aptos" w:hAnsi="Aptos" w:cs="Aptos"/>
                        <w:noProof/>
                        <w:color w:val="FF0000"/>
                        <w:sz w:val="24"/>
                        <w:szCs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1D3F" w14:textId="08EC0565" w:rsidR="008E4FC6" w:rsidRDefault="00467436" w:rsidP="00601EAC">
    <w:pPr>
      <w:pStyle w:val="Footer"/>
      <w:jc w:val="center"/>
    </w:pPr>
    <w:r>
      <w:rPr>
        <w:noProof/>
      </w:rPr>
      <mc:AlternateContent>
        <mc:Choice Requires="wps">
          <w:drawing>
            <wp:anchor distT="0" distB="0" distL="0" distR="0" simplePos="0" relativeHeight="251658249" behindDoc="0" locked="0" layoutInCell="1" allowOverlap="1" wp14:anchorId="3987DEE9" wp14:editId="0792C65D">
              <wp:simplePos x="914400" y="9903125"/>
              <wp:positionH relativeFrom="page">
                <wp:align>center</wp:align>
              </wp:positionH>
              <wp:positionV relativeFrom="page">
                <wp:align>bottom</wp:align>
              </wp:positionV>
              <wp:extent cx="1249680" cy="391160"/>
              <wp:effectExtent l="0" t="0" r="7620" b="0"/>
              <wp:wrapNone/>
              <wp:docPr id="1554894955" name="Text Box 1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9680" cy="391160"/>
                      </a:xfrm>
                      <a:prstGeom prst="rect">
                        <a:avLst/>
                      </a:prstGeom>
                      <a:noFill/>
                      <a:ln>
                        <a:noFill/>
                      </a:ln>
                    </wps:spPr>
                    <wps:txbx>
                      <w:txbxContent>
                        <w:p w14:paraId="0F25F916" w14:textId="7F792061" w:rsidR="00467436" w:rsidRPr="00467436" w:rsidRDefault="00467436" w:rsidP="00467436">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87DEE9" id="_x0000_t202" coordsize="21600,21600" o:spt="202" path="m,l,21600r21600,l21600,xe">
              <v:stroke joinstyle="miter"/>
              <v:path gradientshapeok="t" o:connecttype="rect"/>
            </v:shapetype>
            <v:shape id="Text Box 12" o:spid="_x0000_s1034" type="#_x0000_t202" alt="OFFICIAL Sensitive" style="position:absolute;left:0;text-align:left;margin-left:0;margin-top:0;width:98.4pt;height:30.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" filled="f" stroked="f">
              <v:textbox style="mso-fit-shape-to-text:t" inset="0,0,0,15pt">
                <w:txbxContent>
                  <w:p w14:paraId="0F25F916" w14:textId="7F792061" w:rsidR="00467436" w:rsidRPr="00467436" w:rsidRDefault="00467436" w:rsidP="00467436">
                    <w:pPr>
                      <w:spacing w:after="0"/>
                      <w:rPr>
                        <w:rFonts w:ascii="Aptos" w:eastAsia="Aptos" w:hAnsi="Aptos" w:cs="Aptos"/>
                        <w:noProof/>
                        <w:color w:val="FF0000"/>
                        <w:sz w:val="24"/>
                        <w:szCs w:val="24"/>
                      </w:rPr>
                    </w:pPr>
                  </w:p>
                </w:txbxContent>
              </v:textbox>
              <w10:wrap anchorx="page" anchory="page"/>
            </v:shape>
          </w:pict>
        </mc:Fallback>
      </mc:AlternateContent>
    </w:r>
    <w:r w:rsidR="002270A4">
      <w:rPr>
        <w:noProof/>
      </w:rPr>
      <mc:AlternateContent>
        <mc:Choice Requires="wps">
          <w:drawing>
            <wp:anchor distT="0" distB="0" distL="0" distR="0" simplePos="0" relativeHeight="251658244" behindDoc="0" locked="0" layoutInCell="1" allowOverlap="1" wp14:anchorId="3DAF1AD4" wp14:editId="11E2F7B2">
              <wp:simplePos x="914400" y="9908275"/>
              <wp:positionH relativeFrom="page">
                <wp:align>center</wp:align>
              </wp:positionH>
              <wp:positionV relativeFrom="page">
                <wp:align>bottom</wp:align>
              </wp:positionV>
              <wp:extent cx="1249680" cy="391160"/>
              <wp:effectExtent l="0" t="0" r="7620" b="0"/>
              <wp:wrapNone/>
              <wp:docPr id="1080983112"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9680" cy="391160"/>
                      </a:xfrm>
                      <a:prstGeom prst="rect">
                        <a:avLst/>
                      </a:prstGeom>
                      <a:noFill/>
                      <a:ln>
                        <a:noFill/>
                      </a:ln>
                    </wps:spPr>
                    <wps:txbx>
                      <w:txbxContent>
                        <w:p w14:paraId="190239A6" w14:textId="3D1113BD" w:rsidR="002270A4" w:rsidRPr="002270A4" w:rsidRDefault="002270A4" w:rsidP="002270A4">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3DAF1AD4" id="Text Box 6" o:spid="_x0000_s1035" type="#_x0000_t202" alt="OFFICIAL Sensitive" style="position:absolute;left:0;text-align:left;margin-left:0;margin-top:0;width:98.4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" filled="f" stroked="f">
              <v:textbox style="mso-fit-shape-to-text:t" inset="0,0,0,15pt">
                <w:txbxContent>
                  <w:p w14:paraId="190239A6" w14:textId="3D1113BD" w:rsidR="002270A4" w:rsidRPr="002270A4" w:rsidRDefault="002270A4" w:rsidP="002270A4">
                    <w:pPr>
                      <w:spacing w:after="0"/>
                      <w:rPr>
                        <w:rFonts w:ascii="Aptos" w:eastAsia="Aptos" w:hAnsi="Aptos" w:cs="Aptos"/>
                        <w:noProof/>
                        <w:color w:val="FF0000"/>
                        <w:sz w:val="24"/>
                        <w:szCs w:val="24"/>
                      </w:rPr>
                    </w:pPr>
                  </w:p>
                </w:txbxContent>
              </v:textbox>
              <w10:wrap anchorx="page" anchory="page"/>
            </v:shape>
          </w:pict>
        </mc:Fallback>
      </mc:AlternateContent>
    </w:r>
    <w:sdt>
      <w:sdtPr>
        <w:id w:val="585971789"/>
        <w:docPartObj>
          <w:docPartGallery w:val="Page Numbers (Bottom of Page)"/>
          <w:docPartUnique/>
        </w:docPartObj>
      </w:sdtPr>
      <w:sdtEndPr>
        <w:rPr>
          <w:noProof/>
        </w:rPr>
      </w:sdtEndPr>
      <w:sdtContent>
        <w:r w:rsidR="00114895" w:rsidRPr="00897C96">
          <w:rPr>
            <w:rFonts w:ascii="Calibri" w:hAnsi="Calibri" w:cs="Calibri"/>
          </w:rPr>
          <w:fldChar w:fldCharType="begin"/>
        </w:r>
        <w:r w:rsidR="00114895" w:rsidRPr="00897C96">
          <w:rPr>
            <w:rFonts w:ascii="Calibri" w:hAnsi="Calibri" w:cs="Calibri"/>
          </w:rPr>
          <w:instrText xml:space="preserve"> PAGE   \* MERGEFORMAT </w:instrText>
        </w:r>
        <w:r w:rsidR="00114895" w:rsidRPr="00897C96">
          <w:rPr>
            <w:rFonts w:ascii="Calibri" w:hAnsi="Calibri" w:cs="Calibri"/>
          </w:rPr>
          <w:fldChar w:fldCharType="separate"/>
        </w:r>
        <w:r w:rsidR="00114895" w:rsidRPr="00897C96">
          <w:rPr>
            <w:rFonts w:ascii="Calibri" w:hAnsi="Calibri" w:cs="Calibri"/>
          </w:rPr>
          <w:t>2</w:t>
        </w:r>
        <w:r w:rsidR="00114895" w:rsidRPr="00897C96">
          <w:rPr>
            <w:rFonts w:ascii="Calibri" w:hAnsi="Calibri" w:cs="Calibri"/>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11F5" w14:textId="7AC0A316" w:rsidR="008E4FC6" w:rsidRDefault="00467436">
    <w:pPr>
      <w:pStyle w:val="Footer"/>
    </w:pPr>
    <w:r>
      <w:rPr>
        <w:noProof/>
      </w:rPr>
      <mc:AlternateContent>
        <mc:Choice Requires="wps">
          <w:drawing>
            <wp:anchor distT="0" distB="0" distL="0" distR="0" simplePos="0" relativeHeight="251658247" behindDoc="0" locked="0" layoutInCell="1" allowOverlap="1" wp14:anchorId="30A1E313" wp14:editId="0BB0E617">
              <wp:simplePos x="635" y="635"/>
              <wp:positionH relativeFrom="page">
                <wp:align>center</wp:align>
              </wp:positionH>
              <wp:positionV relativeFrom="page">
                <wp:align>bottom</wp:align>
              </wp:positionV>
              <wp:extent cx="1249680" cy="391160"/>
              <wp:effectExtent l="0" t="0" r="7620" b="0"/>
              <wp:wrapNone/>
              <wp:docPr id="208186034" name="Text Box 1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9680" cy="391160"/>
                      </a:xfrm>
                      <a:prstGeom prst="rect">
                        <a:avLst/>
                      </a:prstGeom>
                      <a:noFill/>
                      <a:ln>
                        <a:noFill/>
                      </a:ln>
                    </wps:spPr>
                    <wps:txbx>
                      <w:txbxContent>
                        <w:p w14:paraId="67095A50" w14:textId="77777777" w:rsidR="00467436" w:rsidRPr="00467436" w:rsidRDefault="00467436" w:rsidP="00467436">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A1E313" id="_x0000_t202" coordsize="21600,21600" o:spt="202" path="m,l,21600r21600,l21600,xe">
              <v:stroke joinstyle="miter"/>
              <v:path gradientshapeok="t" o:connecttype="rect"/>
            </v:shapetype>
            <v:shape id="Text Box 10" o:spid="_x0000_s1036" type="#_x0000_t202" alt="OFFICIAL Sensitive" style="position:absolute;margin-left:0;margin-top:0;width:98.4pt;height:30.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" filled="f" stroked="f">
              <v:textbox style="mso-fit-shape-to-text:t" inset="0,0,0,15pt">
                <w:txbxContent>
                  <w:p w14:paraId="67095A50" w14:textId="77777777" w:rsidR="00467436" w:rsidRPr="00467436" w:rsidRDefault="00467436" w:rsidP="00467436">
                    <w:pPr>
                      <w:spacing w:after="0"/>
                      <w:rPr>
                        <w:rFonts w:ascii="Aptos" w:eastAsia="Aptos" w:hAnsi="Aptos" w:cs="Aptos"/>
                        <w:noProof/>
                        <w:color w:val="FF0000"/>
                        <w:sz w:val="24"/>
                        <w:szCs w:val="24"/>
                      </w:rPr>
                    </w:pPr>
                  </w:p>
                </w:txbxContent>
              </v:textbox>
              <w10:wrap anchorx="page" anchory="page"/>
            </v:shape>
          </w:pict>
        </mc:Fallback>
      </mc:AlternateContent>
    </w:r>
    <w:r w:rsidR="002270A4">
      <w:rPr>
        <w:noProof/>
      </w:rPr>
      <mc:AlternateContent>
        <mc:Choice Requires="wps">
          <w:drawing>
            <wp:anchor distT="0" distB="0" distL="0" distR="0" simplePos="0" relativeHeight="251658242" behindDoc="0" locked="0" layoutInCell="1" allowOverlap="1" wp14:anchorId="22D71132" wp14:editId="30186C12">
              <wp:simplePos x="635" y="635"/>
              <wp:positionH relativeFrom="page">
                <wp:align>center</wp:align>
              </wp:positionH>
              <wp:positionV relativeFrom="page">
                <wp:align>bottom</wp:align>
              </wp:positionV>
              <wp:extent cx="1249680" cy="391160"/>
              <wp:effectExtent l="0" t="0" r="7620" b="0"/>
              <wp:wrapNone/>
              <wp:docPr id="1102770314"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9680" cy="391160"/>
                      </a:xfrm>
                      <a:prstGeom prst="rect">
                        <a:avLst/>
                      </a:prstGeom>
                      <a:noFill/>
                      <a:ln>
                        <a:noFill/>
                      </a:ln>
                    </wps:spPr>
                    <wps:txbx>
                      <w:txbxContent>
                        <w:p w14:paraId="5CEF2A5D" w14:textId="532F154C" w:rsidR="002270A4" w:rsidRPr="002270A4" w:rsidRDefault="002270A4" w:rsidP="002270A4">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22D71132" id="Text Box 4" o:spid="_x0000_s1037" type="#_x0000_t202" alt="OFFICIAL Sensitive" style="position:absolute;margin-left:0;margin-top:0;width:98.4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" filled="f" stroked="f">
              <v:textbox style="mso-fit-shape-to-text:t" inset="0,0,0,15pt">
                <w:txbxContent>
                  <w:p w14:paraId="5CEF2A5D" w14:textId="532F154C" w:rsidR="002270A4" w:rsidRPr="002270A4" w:rsidRDefault="002270A4" w:rsidP="002270A4">
                    <w:pPr>
                      <w:spacing w:after="0"/>
                      <w:rPr>
                        <w:rFonts w:ascii="Aptos" w:eastAsia="Aptos" w:hAnsi="Aptos" w:cs="Aptos"/>
                        <w:noProof/>
                        <w:color w:val="FF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5E94E" w14:textId="77777777" w:rsidR="00AC4A3E" w:rsidRDefault="00AC4A3E" w:rsidP="00D46547">
      <w:pPr>
        <w:spacing w:after="0" w:line="240" w:lineRule="auto"/>
      </w:pPr>
      <w:r>
        <w:separator/>
      </w:r>
    </w:p>
  </w:footnote>
  <w:footnote w:type="continuationSeparator" w:id="0">
    <w:p w14:paraId="66A15524" w14:textId="77777777" w:rsidR="00AC4A3E" w:rsidRDefault="00AC4A3E" w:rsidP="00D46547">
      <w:pPr>
        <w:spacing w:after="0" w:line="240" w:lineRule="auto"/>
      </w:pPr>
      <w:r>
        <w:continuationSeparator/>
      </w:r>
    </w:p>
  </w:footnote>
  <w:footnote w:id="1">
    <w:p w14:paraId="2E87805E" w14:textId="62AE91E1" w:rsidR="00791E7B" w:rsidRPr="00791E7B" w:rsidRDefault="00791E7B">
      <w:pPr>
        <w:pStyle w:val="FootnoteText"/>
        <w:rPr>
          <w:rFonts w:ascii="Calibri" w:hAnsi="Calibri" w:cs="Calibri"/>
        </w:rPr>
      </w:pPr>
      <w:r>
        <w:rPr>
          <w:rStyle w:val="FootnoteReference"/>
        </w:rPr>
        <w:footnoteRef/>
      </w:r>
      <w:r w:rsidR="3AE2F883">
        <w:t xml:space="preserve"> </w:t>
      </w:r>
      <w:hyperlink r:id="rId1">
        <w:r w:rsidR="3AE2F883" w:rsidRPr="3AE2F883">
          <w:rPr>
            <w:rStyle w:val="Hyperlink"/>
            <w:rFonts w:ascii="Calibri" w:hAnsi="Calibri" w:cs="Calibri"/>
          </w:rPr>
          <w:t>Australia reaches 4 million small-scale renewable energy installations - CER</w:t>
        </w:r>
      </w:hyperlink>
    </w:p>
  </w:footnote>
  <w:footnote w:id="2">
    <w:p w14:paraId="1E6402C4" w14:textId="4200EB70" w:rsidR="00EF56CE" w:rsidRPr="00BF2BD8" w:rsidRDefault="00EF56CE">
      <w:pPr>
        <w:pStyle w:val="FootnoteText"/>
        <w:rPr>
          <w:rFonts w:ascii="Calibri" w:hAnsi="Calibri" w:cs="Calibri"/>
        </w:rPr>
      </w:pPr>
      <w:r w:rsidRPr="00791E7B">
        <w:rPr>
          <w:rStyle w:val="FootnoteReference"/>
          <w:rFonts w:ascii="Calibri" w:hAnsi="Calibri" w:cs="Calibri"/>
        </w:rPr>
        <w:footnoteRef/>
      </w:r>
      <w:r w:rsidR="3AE2F883" w:rsidRPr="00791E7B">
        <w:rPr>
          <w:rFonts w:ascii="Calibri" w:hAnsi="Calibri" w:cs="Calibri"/>
        </w:rPr>
        <w:t xml:space="preserve"> </w:t>
      </w:r>
      <w:hyperlink r:id="rId2">
        <w:r w:rsidR="3AE2F883" w:rsidRPr="3AE2F883">
          <w:rPr>
            <w:rStyle w:val="Hyperlink"/>
            <w:rFonts w:ascii="Calibri" w:hAnsi="Calibri" w:cs="Calibri"/>
          </w:rPr>
          <w:t>SSO Consultation paper</w:t>
        </w:r>
      </w:hyperlink>
    </w:p>
  </w:footnote>
  <w:footnote w:id="3">
    <w:p w14:paraId="290BCAF0" w14:textId="120BF097" w:rsidR="00BF2BD8" w:rsidRPr="00BF2BD8" w:rsidRDefault="00BF2BD8">
      <w:pPr>
        <w:pStyle w:val="FootnoteText"/>
        <w:rPr>
          <w:rFonts w:ascii="Calibri" w:hAnsi="Calibri" w:cs="Calibri"/>
        </w:rPr>
      </w:pPr>
      <w:r w:rsidRPr="00BF2BD8">
        <w:rPr>
          <w:rStyle w:val="FootnoteReference"/>
          <w:rFonts w:ascii="Calibri" w:hAnsi="Calibri" w:cs="Calibri"/>
        </w:rPr>
        <w:footnoteRef/>
      </w:r>
      <w:r w:rsidR="3AE2F883" w:rsidRPr="00BF2BD8">
        <w:rPr>
          <w:rFonts w:ascii="Calibri" w:hAnsi="Calibri" w:cs="Calibri"/>
        </w:rPr>
        <w:t xml:space="preserve"> </w:t>
      </w:r>
      <w:hyperlink r:id="rId3">
        <w:r w:rsidR="3AE2F883" w:rsidRPr="3AE2F883">
          <w:rPr>
            <w:rStyle w:val="Hyperlink"/>
            <w:rFonts w:ascii="Calibri" w:hAnsi="Calibri" w:cs="Calibri"/>
          </w:rPr>
          <w:t>Submissions to the consultation paper</w:t>
        </w:r>
      </w:hyperlink>
    </w:p>
  </w:footnote>
  <w:footnote w:id="4">
    <w:p w14:paraId="28F62A9D" w14:textId="4E64D210" w:rsidR="00EA43F1" w:rsidRDefault="00EA43F1">
      <w:pPr>
        <w:pStyle w:val="FootnoteText"/>
      </w:pPr>
      <w:r w:rsidRPr="00BF2BD8">
        <w:rPr>
          <w:rStyle w:val="FootnoteReference"/>
          <w:rFonts w:ascii="Calibri" w:hAnsi="Calibri" w:cs="Calibri"/>
        </w:rPr>
        <w:footnoteRef/>
      </w:r>
      <w:r w:rsidR="3AE2F883" w:rsidRPr="00BF2BD8">
        <w:rPr>
          <w:rFonts w:ascii="Calibri" w:hAnsi="Calibri" w:cs="Calibri"/>
        </w:rPr>
        <w:t xml:space="preserve"> </w:t>
      </w:r>
      <w:hyperlink r:id="rId4">
        <w:r w:rsidR="3AE2F883" w:rsidRPr="3AE2F883">
          <w:rPr>
            <w:rStyle w:val="Hyperlink"/>
            <w:rFonts w:ascii="Calibri" w:hAnsi="Calibri" w:cs="Calibri"/>
          </w:rPr>
          <w:t>Solar Sharer Offer consultation outcomes paper</w:t>
        </w:r>
      </w:hyperlink>
    </w:p>
  </w:footnote>
  <w:footnote w:id="5">
    <w:p w14:paraId="599BE092" w14:textId="273BFFD2" w:rsidR="000047E3" w:rsidRDefault="000047E3">
      <w:pPr>
        <w:pStyle w:val="FootnoteText"/>
      </w:pPr>
      <w:r>
        <w:rPr>
          <w:rStyle w:val="FootnoteReference"/>
        </w:rPr>
        <w:footnoteRef/>
      </w:r>
      <w:r w:rsidR="3AE2F883" w:rsidRPr="000047E3">
        <w:rPr>
          <w:sz w:val="18"/>
          <w:szCs w:val="18"/>
        </w:rPr>
        <w:t xml:space="preserve"> </w:t>
      </w:r>
      <w:hyperlink r:id="rId5">
        <w:r w:rsidR="3AE2F883" w:rsidRPr="3AE2F883">
          <w:rPr>
            <w:rStyle w:val="Hyperlink"/>
            <w:sz w:val="18"/>
            <w:szCs w:val="18"/>
          </w:rPr>
          <w:t xml:space="preserve">Australian Energy Regulator (AER), </w:t>
        </w:r>
        <w:r w:rsidR="3AE2F883" w:rsidRPr="3AE2F883">
          <w:rPr>
            <w:rStyle w:val="Hyperlink"/>
            <w:i/>
            <w:iCs/>
            <w:sz w:val="18"/>
            <w:szCs w:val="18"/>
          </w:rPr>
          <w:t>State of the Energy Market Report</w:t>
        </w:r>
        <w:r w:rsidR="3AE2F883" w:rsidRPr="3AE2F883">
          <w:rPr>
            <w:rStyle w:val="Hyperlink"/>
            <w:sz w:val="18"/>
            <w:szCs w:val="18"/>
          </w:rPr>
          <w:t>, notes that recent volatility in wholesale energy markets has contributed to upward pressure on electricity prices.</w:t>
        </w:r>
      </w:hyperlink>
    </w:p>
  </w:footnote>
  <w:footnote w:id="6">
    <w:p w14:paraId="142AAD0F" w14:textId="68797B8A" w:rsidR="00E17810" w:rsidRPr="009600CE" w:rsidRDefault="00E17810">
      <w:pPr>
        <w:pStyle w:val="FootnoteText"/>
        <w:rPr>
          <w:rFonts w:ascii="Calibri" w:hAnsi="Calibri" w:cs="Calibri"/>
          <w:sz w:val="18"/>
          <w:szCs w:val="18"/>
        </w:rPr>
      </w:pPr>
      <w:r>
        <w:rPr>
          <w:rStyle w:val="FootnoteReference"/>
        </w:rPr>
        <w:footnoteRef/>
      </w:r>
      <w:r w:rsidR="3AE2F883">
        <w:t xml:space="preserve"> </w:t>
      </w:r>
      <w:hyperlink r:id="rId6">
        <w:r w:rsidR="3AE2F883" w:rsidRPr="3AE2F883">
          <w:rPr>
            <w:rStyle w:val="Hyperlink"/>
            <w:rFonts w:ascii="Calibri" w:hAnsi="Calibri" w:cs="Calibri"/>
            <w:i/>
            <w:iCs/>
            <w:sz w:val="18"/>
            <w:szCs w:val="18"/>
          </w:rPr>
          <w:t>Electricity Statement of Opportunities</w:t>
        </w:r>
        <w:r w:rsidR="3AE2F883" w:rsidRPr="3AE2F883">
          <w:rPr>
            <w:rStyle w:val="Hyperlink"/>
            <w:rFonts w:ascii="Calibri" w:hAnsi="Calibri" w:cs="Calibri"/>
            <w:sz w:val="18"/>
            <w:szCs w:val="18"/>
          </w:rPr>
          <w:t xml:space="preserve">; </w:t>
        </w:r>
        <w:r w:rsidR="3AE2F883" w:rsidRPr="3AE2F883">
          <w:rPr>
            <w:rStyle w:val="Hyperlink"/>
            <w:rFonts w:ascii="Calibri" w:hAnsi="Calibri" w:cs="Calibri"/>
            <w:i/>
            <w:iCs/>
            <w:sz w:val="18"/>
            <w:szCs w:val="18"/>
          </w:rPr>
          <w:t>Integrated System Plan</w:t>
        </w:r>
      </w:hyperlink>
    </w:p>
  </w:footnote>
  <w:footnote w:id="7">
    <w:p w14:paraId="184997ED" w14:textId="15C8B1A2" w:rsidR="0078645C" w:rsidRDefault="0078645C">
      <w:pPr>
        <w:pStyle w:val="FootnoteText"/>
      </w:pPr>
      <w:r w:rsidRPr="009600CE">
        <w:rPr>
          <w:rStyle w:val="FootnoteReference"/>
          <w:rFonts w:ascii="Calibri" w:hAnsi="Calibri" w:cs="Calibri"/>
          <w:sz w:val="18"/>
          <w:szCs w:val="18"/>
        </w:rPr>
        <w:footnoteRef/>
      </w:r>
      <w:r w:rsidR="3AE2F883" w:rsidRPr="009600CE">
        <w:rPr>
          <w:rFonts w:ascii="Calibri" w:hAnsi="Calibri" w:cs="Calibri"/>
          <w:sz w:val="18"/>
          <w:szCs w:val="18"/>
        </w:rPr>
        <w:t xml:space="preserve"> </w:t>
      </w:r>
      <w:hyperlink r:id="rId7">
        <w:r w:rsidR="3AE2F883" w:rsidRPr="3AE2F883">
          <w:rPr>
            <w:rFonts w:ascii="Calibri" w:hAnsi="Calibri" w:cs="Calibri"/>
            <w:color w:val="0000FF"/>
            <w:sz w:val="18"/>
            <w:szCs w:val="18"/>
            <w:u w:val="single"/>
          </w:rPr>
          <w:t>State of the energy market 2024.pdf</w:t>
        </w:r>
      </w:hyperlink>
    </w:p>
  </w:footnote>
  <w:footnote w:id="8">
    <w:p w14:paraId="248F7797" w14:textId="4D9C8637" w:rsidR="00E91C37" w:rsidRPr="00EC79FA" w:rsidRDefault="00E91C37" w:rsidP="00E91C37">
      <w:pPr>
        <w:pStyle w:val="FootnoteText"/>
        <w:rPr>
          <w:rFonts w:ascii="Calibri" w:hAnsi="Calibri" w:cs="Calibri"/>
          <w:sz w:val="18"/>
          <w:szCs w:val="18"/>
        </w:rPr>
      </w:pPr>
      <w:r w:rsidRPr="00EC79FA">
        <w:rPr>
          <w:rStyle w:val="FootnoteReference"/>
          <w:rFonts w:ascii="Calibri" w:hAnsi="Calibri" w:cs="Calibri"/>
          <w:sz w:val="18"/>
          <w:szCs w:val="18"/>
        </w:rPr>
        <w:footnoteRef/>
      </w:r>
      <w:r w:rsidR="3AE2F883" w:rsidRPr="00EC79FA">
        <w:rPr>
          <w:rFonts w:ascii="Calibri" w:hAnsi="Calibri" w:cs="Calibri"/>
          <w:sz w:val="18"/>
          <w:szCs w:val="18"/>
        </w:rPr>
        <w:t xml:space="preserve"> </w:t>
      </w:r>
      <w:hyperlink r:id="rId8">
        <w:r w:rsidR="3AE2F883" w:rsidRPr="3AE2F883">
          <w:rPr>
            <w:rStyle w:val="Hyperlink"/>
            <w:rFonts w:ascii="Calibri" w:hAnsi="Calibri" w:cs="Calibri"/>
            <w:sz w:val="18"/>
            <w:szCs w:val="18"/>
          </w:rPr>
          <w:t>AER State of the Energy Market 2025 Full Report.</w:t>
        </w:r>
      </w:hyperlink>
    </w:p>
  </w:footnote>
  <w:footnote w:id="9">
    <w:p w14:paraId="12E9E5D8" w14:textId="747F231A" w:rsidR="009D11CA" w:rsidRPr="00EC79FA" w:rsidRDefault="009D11CA">
      <w:pPr>
        <w:pStyle w:val="FootnoteText"/>
        <w:rPr>
          <w:rFonts w:ascii="Calibri" w:hAnsi="Calibri" w:cs="Calibri"/>
          <w:sz w:val="18"/>
          <w:szCs w:val="18"/>
        </w:rPr>
      </w:pPr>
      <w:r w:rsidRPr="00F1720D">
        <w:rPr>
          <w:rStyle w:val="FootnoteReference"/>
          <w:sz w:val="18"/>
          <w:szCs w:val="18"/>
        </w:rPr>
        <w:footnoteRef/>
      </w:r>
      <w:r w:rsidR="3AE2F883" w:rsidRPr="00F1720D">
        <w:rPr>
          <w:sz w:val="18"/>
          <w:szCs w:val="18"/>
        </w:rPr>
        <w:t xml:space="preserve"> </w:t>
      </w:r>
      <w:hyperlink r:id="rId9">
        <w:r w:rsidR="3AE2F883" w:rsidRPr="3AE2F883">
          <w:rPr>
            <w:rStyle w:val="Hyperlink"/>
            <w:rFonts w:ascii="Calibri" w:hAnsi="Calibri" w:cs="Calibri"/>
            <w:sz w:val="18"/>
            <w:szCs w:val="18"/>
          </w:rPr>
          <w:t>Default market Offer</w:t>
        </w:r>
      </w:hyperlink>
    </w:p>
  </w:footnote>
  <w:footnote w:id="10">
    <w:p w14:paraId="4C880C2A" w14:textId="7D8B5A6A" w:rsidR="009D11CA" w:rsidRPr="00EC79FA" w:rsidRDefault="009D11CA">
      <w:pPr>
        <w:pStyle w:val="FootnoteText"/>
        <w:rPr>
          <w:rFonts w:ascii="Calibri" w:hAnsi="Calibri" w:cs="Calibri"/>
          <w:sz w:val="18"/>
          <w:szCs w:val="18"/>
        </w:rPr>
      </w:pPr>
      <w:r w:rsidRPr="00EC79FA">
        <w:rPr>
          <w:rStyle w:val="FootnoteReference"/>
          <w:rFonts w:ascii="Calibri" w:hAnsi="Calibri" w:cs="Calibri"/>
          <w:sz w:val="18"/>
          <w:szCs w:val="18"/>
        </w:rPr>
        <w:footnoteRef/>
      </w:r>
      <w:r w:rsidR="3AE2F883" w:rsidRPr="00EC79FA">
        <w:rPr>
          <w:rFonts w:ascii="Calibri" w:hAnsi="Calibri" w:cs="Calibri"/>
          <w:sz w:val="18"/>
          <w:szCs w:val="18"/>
        </w:rPr>
        <w:t xml:space="preserve"> </w:t>
      </w:r>
      <w:hyperlink r:id="rId10">
        <w:r w:rsidR="3AE2F883" w:rsidRPr="3AE2F883">
          <w:rPr>
            <w:rStyle w:val="Hyperlink"/>
            <w:rFonts w:ascii="Calibri" w:hAnsi="Calibri" w:cs="Calibri"/>
            <w:sz w:val="18"/>
            <w:szCs w:val="18"/>
          </w:rPr>
          <w:t>Accelerating Smart Meter reforms</w:t>
        </w:r>
      </w:hyperlink>
    </w:p>
  </w:footnote>
  <w:footnote w:id="11">
    <w:p w14:paraId="160FF0E5" w14:textId="77777777" w:rsidR="0065055C" w:rsidRPr="00EC79FA" w:rsidRDefault="0065055C" w:rsidP="0065055C">
      <w:pPr>
        <w:pStyle w:val="FootnoteText"/>
        <w:rPr>
          <w:rFonts w:ascii="Calibri" w:hAnsi="Calibri" w:cs="Calibri"/>
          <w:sz w:val="18"/>
          <w:szCs w:val="18"/>
        </w:rPr>
      </w:pPr>
      <w:r w:rsidRPr="00EC79FA">
        <w:rPr>
          <w:rStyle w:val="FootnoteReference"/>
          <w:rFonts w:ascii="Calibri" w:hAnsi="Calibri" w:cs="Calibri"/>
          <w:sz w:val="18"/>
          <w:szCs w:val="18"/>
        </w:rPr>
        <w:footnoteRef/>
      </w:r>
      <w:r w:rsidR="3AE2F883" w:rsidRPr="00EC79FA">
        <w:rPr>
          <w:rFonts w:ascii="Calibri" w:hAnsi="Calibri" w:cs="Calibri"/>
          <w:sz w:val="18"/>
          <w:szCs w:val="18"/>
        </w:rPr>
        <w:t xml:space="preserve"> </w:t>
      </w:r>
      <w:hyperlink r:id="rId11" w:anchor=":~:text=Scenarios%20where%20it%20pays%20off">
        <w:r w:rsidR="3AE2F883" w:rsidRPr="3AE2F883">
          <w:rPr>
            <w:rStyle w:val="Hyperlink"/>
            <w:rFonts w:ascii="Calibri" w:hAnsi="Calibri" w:cs="Calibri"/>
            <w:sz w:val="18"/>
            <w:szCs w:val="18"/>
          </w:rPr>
          <w:t>Three Hours Free: When Energy Deals Work and When They Don't</w:t>
        </w:r>
      </w:hyperlink>
      <w:r w:rsidR="3AE2F883" w:rsidRPr="00EC79FA">
        <w:rPr>
          <w:rFonts w:ascii="Calibri" w:hAnsi="Calibri" w:cs="Calibri"/>
          <w:sz w:val="18"/>
          <w:szCs w:val="18"/>
        </w:rPr>
        <w:t>.</w:t>
      </w:r>
    </w:p>
  </w:footnote>
  <w:footnote w:id="12">
    <w:p w14:paraId="7C994C6B" w14:textId="77777777" w:rsidR="0065055C" w:rsidRPr="00EC79FA" w:rsidRDefault="0065055C" w:rsidP="0065055C">
      <w:pPr>
        <w:pStyle w:val="FootnoteText"/>
        <w:rPr>
          <w:rFonts w:ascii="Calibri" w:hAnsi="Calibri" w:cs="Calibri"/>
          <w:color w:val="467886" w:themeColor="hyperlink"/>
          <w:sz w:val="18"/>
          <w:szCs w:val="18"/>
          <w:u w:val="single"/>
        </w:rPr>
      </w:pPr>
      <w:r w:rsidRPr="00EC79FA">
        <w:rPr>
          <w:rStyle w:val="Hyperlink"/>
          <w:rFonts w:ascii="Calibri" w:hAnsi="Calibri" w:cs="Calibri"/>
          <w:sz w:val="18"/>
          <w:szCs w:val="18"/>
          <w:vertAlign w:val="superscript"/>
        </w:rPr>
        <w:footnoteRef/>
      </w:r>
      <w:r w:rsidR="3AE2F883" w:rsidRPr="00EC79FA">
        <w:rPr>
          <w:rStyle w:val="Hyperlink"/>
          <w:rFonts w:ascii="Calibri" w:hAnsi="Calibri" w:cs="Calibri"/>
          <w:sz w:val="18"/>
          <w:szCs w:val="18"/>
          <w:vertAlign w:val="superscript"/>
        </w:rPr>
        <w:t xml:space="preserve"> </w:t>
      </w:r>
      <w:hyperlink r:id="rId12" w:anchor=":~:text=Plug%20in%20all%20the%20things%2C,is%20free.%20Every%20day">
        <w:r w:rsidR="3AE2F883" w:rsidRPr="3AE2F883">
          <w:rPr>
            <w:rStyle w:val="Hyperlink"/>
            <w:rFonts w:ascii="Calibri" w:hAnsi="Calibri" w:cs="Calibri"/>
            <w:sz w:val="18"/>
            <w:szCs w:val="18"/>
          </w:rPr>
          <w:t>The Free 3 plan — OVO Energy</w:t>
        </w:r>
      </w:hyperlink>
      <w:r w:rsidR="3AE2F883" w:rsidRPr="00EC79FA">
        <w:rPr>
          <w:rFonts w:ascii="Calibri" w:hAnsi="Calibri" w:cs="Calibri"/>
          <w:sz w:val="18"/>
          <w:szCs w:val="18"/>
        </w:rPr>
        <w:t>.</w:t>
      </w:r>
    </w:p>
  </w:footnote>
  <w:footnote w:id="13">
    <w:p w14:paraId="20158CCD" w14:textId="77777777" w:rsidR="0065055C" w:rsidRPr="00436CFA" w:rsidRDefault="0065055C" w:rsidP="0065055C">
      <w:pPr>
        <w:pStyle w:val="FootnoteText"/>
        <w:rPr>
          <w:rFonts w:ascii="Calibri" w:hAnsi="Calibri" w:cs="Calibri"/>
        </w:rPr>
      </w:pPr>
      <w:r w:rsidRPr="00EC79FA">
        <w:rPr>
          <w:rStyle w:val="FootnoteReference"/>
          <w:rFonts w:ascii="Calibri" w:hAnsi="Calibri" w:cs="Calibri"/>
          <w:sz w:val="18"/>
          <w:szCs w:val="18"/>
        </w:rPr>
        <w:footnoteRef/>
      </w:r>
      <w:r w:rsidR="3AE2F883" w:rsidRPr="00EC79FA">
        <w:rPr>
          <w:rFonts w:ascii="Calibri" w:hAnsi="Calibri" w:cs="Calibri"/>
          <w:sz w:val="18"/>
          <w:szCs w:val="18"/>
        </w:rPr>
        <w:t xml:space="preserve"> </w:t>
      </w:r>
      <w:hyperlink r:id="rId13">
        <w:r w:rsidR="3AE2F883" w:rsidRPr="3AE2F883">
          <w:rPr>
            <w:rStyle w:val="Hyperlink"/>
            <w:rFonts w:ascii="Calibri" w:hAnsi="Calibri" w:cs="Calibri"/>
            <w:sz w:val="18"/>
            <w:szCs w:val="18"/>
          </w:rPr>
          <w:t>2 hours Free Electricity every day | GloBird Energy</w:t>
        </w:r>
      </w:hyperlink>
      <w:r w:rsidR="3AE2F883" w:rsidRPr="00EC79FA">
        <w:rPr>
          <w:rFonts w:ascii="Calibri" w:hAnsi="Calibri" w:cs="Calibri"/>
          <w:sz w:val="18"/>
          <w:szCs w:val="18"/>
        </w:rPr>
        <w:t>.</w:t>
      </w:r>
    </w:p>
  </w:footnote>
  <w:footnote w:id="14">
    <w:p w14:paraId="764CB41E" w14:textId="2CF8C816" w:rsidR="009D4568" w:rsidRDefault="009D4568">
      <w:pPr>
        <w:pStyle w:val="FootnoteText"/>
      </w:pPr>
      <w:r w:rsidRPr="00436CFA">
        <w:rPr>
          <w:rStyle w:val="FootnoteReference"/>
          <w:rFonts w:ascii="Calibri" w:hAnsi="Calibri" w:cs="Calibri"/>
        </w:rPr>
        <w:footnoteRef/>
      </w:r>
      <w:r w:rsidR="3AE2F883" w:rsidRPr="00436CFA">
        <w:rPr>
          <w:rFonts w:ascii="Calibri" w:hAnsi="Calibri" w:cs="Calibri"/>
        </w:rPr>
        <w:t xml:space="preserve"> </w:t>
      </w:r>
      <w:hyperlink r:id="rId14">
        <w:r w:rsidR="3AE2F883" w:rsidRPr="3AE2F883">
          <w:rPr>
            <w:rStyle w:val="Hyperlink"/>
            <w:rFonts w:ascii="Calibri" w:hAnsi="Calibri" w:cs="Calibri"/>
            <w:sz w:val="18"/>
            <w:szCs w:val="18"/>
          </w:rPr>
          <w:t>Energy Bill Relief Fund</w:t>
        </w:r>
      </w:hyperlink>
    </w:p>
  </w:footnote>
  <w:footnote w:id="15">
    <w:p w14:paraId="0EE9C926" w14:textId="411CACDA" w:rsidR="00C86360" w:rsidRPr="007C5227" w:rsidRDefault="00C86360">
      <w:pPr>
        <w:pStyle w:val="FootnoteText"/>
        <w:rPr>
          <w:rFonts w:ascii="Calibri" w:hAnsi="Calibri" w:cs="Calibri"/>
          <w:sz w:val="18"/>
          <w:szCs w:val="18"/>
        </w:rPr>
      </w:pPr>
      <w:r w:rsidRPr="007C5227">
        <w:rPr>
          <w:rStyle w:val="FootnoteReference"/>
          <w:rFonts w:ascii="Calibri" w:hAnsi="Calibri" w:cs="Calibri"/>
          <w:sz w:val="18"/>
          <w:szCs w:val="18"/>
        </w:rPr>
        <w:footnoteRef/>
      </w:r>
      <w:r w:rsidR="3AE2F883" w:rsidRPr="007C5227">
        <w:rPr>
          <w:rFonts w:ascii="Calibri" w:hAnsi="Calibri" w:cs="Calibri"/>
          <w:sz w:val="18"/>
          <w:szCs w:val="18"/>
        </w:rPr>
        <w:t xml:space="preserve"> </w:t>
      </w:r>
      <w:hyperlink r:id="rId15">
        <w:r w:rsidR="3AE2F883" w:rsidRPr="007C5227">
          <w:rPr>
            <w:rStyle w:val="Hyperlink"/>
            <w:rFonts w:ascii="Calibri" w:hAnsi="Calibri" w:cs="Calibri"/>
            <w:sz w:val="18"/>
            <w:szCs w:val="18"/>
          </w:rPr>
          <w:t>Residential energy consumption benchmarks</w:t>
        </w:r>
      </w:hyperlink>
    </w:p>
  </w:footnote>
  <w:footnote w:id="16">
    <w:p w14:paraId="66D49E93" w14:textId="77777777" w:rsidR="00372625" w:rsidRPr="00097C20" w:rsidRDefault="00372625" w:rsidP="00372625">
      <w:pPr>
        <w:pStyle w:val="FootnoteText"/>
        <w:rPr>
          <w:i/>
        </w:rPr>
      </w:pPr>
      <w:r>
        <w:rPr>
          <w:rStyle w:val="FootnoteReference"/>
        </w:rPr>
        <w:footnoteRef/>
      </w:r>
      <w:r w:rsidR="3AE2F883">
        <w:t xml:space="preserve"> </w:t>
      </w:r>
      <w:r w:rsidR="3AE2F883" w:rsidRPr="00C7509A">
        <w:rPr>
          <w:rFonts w:ascii="Calibri" w:hAnsi="Calibri" w:cs="Calibri"/>
          <w:sz w:val="18"/>
          <w:szCs w:val="18"/>
        </w:rPr>
        <w:t>Australian Competition and Consumer Commission, Appendix E, Figure A3.1: Quarterly grid usage by residential customers, 10 July 2025</w:t>
      </w:r>
      <w:r w:rsidR="3AE2F883" w:rsidRPr="3AE2F883">
        <w:rPr>
          <w:rFonts w:ascii="Calibri" w:hAnsi="Calibri" w:cs="Calibri"/>
          <w:i/>
          <w:iCs/>
          <w:sz w:val="18"/>
          <w:szCs w:val="18"/>
        </w:rPr>
        <w:t xml:space="preserve">, </w:t>
      </w:r>
      <w:hyperlink r:id="rId16">
        <w:r w:rsidR="3AE2F883" w:rsidRPr="3AE2F883">
          <w:rPr>
            <w:rStyle w:val="Hyperlink"/>
            <w:rFonts w:ascii="Calibri" w:hAnsi="Calibri" w:cs="Calibri"/>
            <w:i/>
            <w:iCs/>
            <w:sz w:val="18"/>
            <w:szCs w:val="18"/>
          </w:rPr>
          <w:t>Electricity market monitoring inquiry 2018-26</w:t>
        </w:r>
      </w:hyperlink>
      <w:r w:rsidR="3AE2F883" w:rsidRPr="3AE2F883">
        <w:rPr>
          <w:rFonts w:ascii="Calibri" w:hAnsi="Calibri" w:cs="Calibri"/>
          <w:i/>
          <w:iCs/>
          <w:sz w:val="18"/>
          <w:szCs w:val="18"/>
        </w:rPr>
        <w:t>.</w:t>
      </w:r>
    </w:p>
  </w:footnote>
  <w:footnote w:id="17">
    <w:p w14:paraId="785E0184" w14:textId="009E6499" w:rsidR="00727873" w:rsidRPr="007C5227" w:rsidRDefault="00727873">
      <w:pPr>
        <w:pStyle w:val="FootnoteText"/>
        <w:rPr>
          <w:rFonts w:ascii="Calibri" w:hAnsi="Calibri" w:cs="Calibri"/>
          <w:sz w:val="18"/>
          <w:szCs w:val="18"/>
        </w:rPr>
      </w:pPr>
      <w:r w:rsidRPr="007C5227">
        <w:rPr>
          <w:rStyle w:val="FootnoteReference"/>
          <w:rFonts w:ascii="Calibri" w:hAnsi="Calibri" w:cs="Calibri"/>
          <w:sz w:val="18"/>
          <w:szCs w:val="18"/>
        </w:rPr>
        <w:footnoteRef/>
      </w:r>
      <w:r w:rsidR="3AE2F883" w:rsidRPr="007C5227">
        <w:rPr>
          <w:rFonts w:ascii="Calibri" w:hAnsi="Calibri" w:cs="Calibri"/>
          <w:sz w:val="18"/>
          <w:szCs w:val="18"/>
        </w:rPr>
        <w:t xml:space="preserve"> </w:t>
      </w:r>
      <w:hyperlink r:id="rId17">
        <w:r w:rsidR="3AE2F883" w:rsidRPr="007C5227">
          <w:rPr>
            <w:rStyle w:val="Hyperlink"/>
            <w:rFonts w:ascii="Calibri" w:hAnsi="Calibri" w:cs="Calibri"/>
            <w:sz w:val="18"/>
            <w:szCs w:val="18"/>
          </w:rPr>
          <w:t>Good Nights Plan | Contact Energy</w:t>
        </w:r>
      </w:hyperlink>
    </w:p>
  </w:footnote>
  <w:footnote w:id="18">
    <w:p w14:paraId="1CDBCADB" w14:textId="50EEBC2F" w:rsidR="009057D3" w:rsidRPr="007C5227" w:rsidRDefault="00EA4FD1">
      <w:pPr>
        <w:pStyle w:val="FootnoteText"/>
        <w:rPr>
          <w:rFonts w:ascii="Calibri" w:hAnsi="Calibri" w:cs="Calibri"/>
          <w:sz w:val="18"/>
          <w:szCs w:val="18"/>
        </w:rPr>
      </w:pPr>
      <w:r w:rsidRPr="007C5227">
        <w:rPr>
          <w:rStyle w:val="FootnoteReference"/>
          <w:rFonts w:ascii="Calibri" w:hAnsi="Calibri" w:cs="Calibri"/>
          <w:sz w:val="18"/>
          <w:szCs w:val="18"/>
        </w:rPr>
        <w:footnoteRef/>
      </w:r>
      <w:r w:rsidR="3AE2F883" w:rsidRPr="007C5227">
        <w:rPr>
          <w:rFonts w:ascii="Calibri" w:hAnsi="Calibri" w:cs="Calibri"/>
          <w:sz w:val="18"/>
          <w:szCs w:val="18"/>
        </w:rPr>
        <w:t xml:space="preserve"> </w:t>
      </w:r>
      <w:hyperlink r:id="rId18">
        <w:r w:rsidR="3AE2F883" w:rsidRPr="007C5227">
          <w:rPr>
            <w:rStyle w:val="Hyperlink"/>
            <w:rFonts w:ascii="Calibri" w:hAnsi="Calibri" w:cs="Calibri"/>
            <w:sz w:val="18"/>
            <w:szCs w:val="18"/>
          </w:rPr>
          <w:t>Electric Kiwi | Hour of Power | Independent Kiwi Power &amp; Broadband</w:t>
        </w:r>
      </w:hyperlink>
      <w:r w:rsidR="3AE2F883" w:rsidRPr="007C5227">
        <w:rPr>
          <w:rFonts w:ascii="Calibri" w:hAnsi="Calibri" w:cs="Calibri"/>
          <w:sz w:val="18"/>
          <w:szCs w:val="18"/>
        </w:rPr>
        <w:t>.</w:t>
      </w:r>
    </w:p>
  </w:footnote>
  <w:footnote w:id="19">
    <w:p w14:paraId="177FE8D8" w14:textId="3730EA90" w:rsidR="002E4672" w:rsidRPr="007C5227" w:rsidRDefault="009057D3">
      <w:pPr>
        <w:pStyle w:val="FootnoteText"/>
        <w:rPr>
          <w:rFonts w:ascii="Calibri" w:hAnsi="Calibri" w:cs="Calibri"/>
          <w:sz w:val="18"/>
          <w:szCs w:val="18"/>
        </w:rPr>
      </w:pPr>
      <w:r w:rsidRPr="007C5227">
        <w:rPr>
          <w:rStyle w:val="FootnoteReference"/>
          <w:rFonts w:ascii="Calibri" w:hAnsi="Calibri" w:cs="Calibri"/>
          <w:sz w:val="18"/>
          <w:szCs w:val="18"/>
        </w:rPr>
        <w:footnoteRef/>
      </w:r>
      <w:r w:rsidR="3AE2F883" w:rsidRPr="007C5227">
        <w:rPr>
          <w:rFonts w:ascii="Calibri" w:hAnsi="Calibri" w:cs="Calibri"/>
          <w:sz w:val="18"/>
          <w:szCs w:val="18"/>
        </w:rPr>
        <w:t xml:space="preserve"> </w:t>
      </w:r>
      <w:hyperlink r:id="rId19">
        <w:r w:rsidR="3AE2F883" w:rsidRPr="007C5227">
          <w:rPr>
            <w:rStyle w:val="Hyperlink"/>
            <w:rFonts w:ascii="Calibri" w:hAnsi="Calibri" w:cs="Calibri"/>
            <w:sz w:val="18"/>
            <w:szCs w:val="18"/>
          </w:rPr>
          <w:t>OVO Offers Two Free Hours of Energy Every Week to Lower Bills This Summer</w:t>
        </w:r>
      </w:hyperlink>
      <w:r w:rsidR="3AE2F883" w:rsidRPr="007C5227">
        <w:rPr>
          <w:rFonts w:ascii="Calibri" w:hAnsi="Calibri" w:cs="Calibri"/>
          <w:sz w:val="18"/>
          <w:szCs w:val="18"/>
        </w:rPr>
        <w:t>, article published 28 April 25.</w:t>
      </w:r>
    </w:p>
  </w:footnote>
  <w:footnote w:id="20">
    <w:p w14:paraId="7B3AB902" w14:textId="0B2E065C" w:rsidR="006E0618" w:rsidRPr="007C5227" w:rsidRDefault="006E0618">
      <w:pPr>
        <w:pStyle w:val="FootnoteText"/>
        <w:rPr>
          <w:rFonts w:ascii="Calibri" w:hAnsi="Calibri" w:cs="Calibri"/>
          <w:sz w:val="18"/>
          <w:szCs w:val="18"/>
        </w:rPr>
      </w:pPr>
      <w:r w:rsidRPr="007C5227">
        <w:rPr>
          <w:rStyle w:val="FootnoteReference"/>
          <w:rFonts w:ascii="Calibri" w:hAnsi="Calibri" w:cs="Calibri"/>
          <w:sz w:val="18"/>
          <w:szCs w:val="18"/>
        </w:rPr>
        <w:footnoteRef/>
      </w:r>
      <w:r w:rsidR="3AE2F883" w:rsidRPr="007C5227">
        <w:rPr>
          <w:rFonts w:ascii="Calibri" w:hAnsi="Calibri" w:cs="Calibri"/>
          <w:sz w:val="18"/>
          <w:szCs w:val="18"/>
        </w:rPr>
        <w:t xml:space="preserve"> </w:t>
      </w:r>
      <w:hyperlink r:id="rId20">
        <w:r w:rsidR="3AE2F883" w:rsidRPr="007C5227">
          <w:rPr>
            <w:rStyle w:val="Hyperlink"/>
            <w:rFonts w:ascii="Calibri" w:hAnsi="Calibri" w:cs="Calibri"/>
            <w:sz w:val="18"/>
            <w:szCs w:val="18"/>
          </w:rPr>
          <w:t>Energy company to give households four hours of free electricity every weekend starting in days</w:t>
        </w:r>
      </w:hyperlink>
      <w:r w:rsidR="3AE2F883" w:rsidRPr="007C5227">
        <w:rPr>
          <w:rFonts w:ascii="Calibri" w:hAnsi="Calibri" w:cs="Calibri"/>
          <w:sz w:val="18"/>
          <w:szCs w:val="18"/>
        </w:rPr>
        <w:t>.</w:t>
      </w:r>
    </w:p>
  </w:footnote>
  <w:footnote w:id="21">
    <w:p w14:paraId="6F937C05" w14:textId="531D355B" w:rsidR="00ED1F37" w:rsidRDefault="00ED1F37">
      <w:pPr>
        <w:pStyle w:val="FootnoteText"/>
      </w:pPr>
      <w:r w:rsidRPr="007C5227">
        <w:rPr>
          <w:rStyle w:val="FootnoteReference"/>
          <w:rFonts w:ascii="Calibri" w:hAnsi="Calibri" w:cs="Calibri"/>
          <w:sz w:val="18"/>
          <w:szCs w:val="18"/>
        </w:rPr>
        <w:footnoteRef/>
      </w:r>
      <w:r w:rsidR="3AE2F883" w:rsidRPr="007C5227">
        <w:rPr>
          <w:rFonts w:ascii="Calibri" w:hAnsi="Calibri" w:cs="Calibri"/>
          <w:sz w:val="18"/>
          <w:szCs w:val="18"/>
        </w:rPr>
        <w:t xml:space="preserve"> </w:t>
      </w:r>
      <w:hyperlink r:id="rId21">
        <w:r w:rsidR="3AE2F883" w:rsidRPr="007C5227">
          <w:rPr>
            <w:rStyle w:val="Hyperlink"/>
            <w:rFonts w:ascii="Calibri" w:hAnsi="Calibri" w:cs="Calibri"/>
            <w:sz w:val="18"/>
            <w:szCs w:val="18"/>
          </w:rPr>
          <w:t>A Guide To Free Nights and Weekends Electricity | Direct Energy</w:t>
        </w:r>
      </w:hyperlink>
      <w:r w:rsidR="3AE2F883" w:rsidRPr="007C5227">
        <w:rPr>
          <w:rFonts w:ascii="Calibri" w:hAnsi="Calibri" w:cs="Calibri"/>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E877" w14:textId="053761C2" w:rsidR="008E4FC6" w:rsidRDefault="00467436">
    <w:pPr>
      <w:pStyle w:val="Header"/>
    </w:pPr>
    <w:r>
      <w:rPr>
        <w:noProof/>
      </w:rPr>
      <mc:AlternateContent>
        <mc:Choice Requires="wps">
          <w:drawing>
            <wp:anchor distT="0" distB="0" distL="0" distR="0" simplePos="0" relativeHeight="251658245" behindDoc="0" locked="0" layoutInCell="1" allowOverlap="1" wp14:anchorId="6CA8C13D" wp14:editId="1FB55E47">
              <wp:simplePos x="635" y="635"/>
              <wp:positionH relativeFrom="page">
                <wp:align>center</wp:align>
              </wp:positionH>
              <wp:positionV relativeFrom="page">
                <wp:align>top</wp:align>
              </wp:positionV>
              <wp:extent cx="1249680" cy="391160"/>
              <wp:effectExtent l="0" t="0" r="7620" b="8890"/>
              <wp:wrapNone/>
              <wp:docPr id="1578301938" name="Text Box 8"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9680" cy="391160"/>
                      </a:xfrm>
                      <a:prstGeom prst="rect">
                        <a:avLst/>
                      </a:prstGeom>
                      <a:noFill/>
                      <a:ln>
                        <a:noFill/>
                      </a:ln>
                    </wps:spPr>
                    <wps:txbx>
                      <w:txbxContent>
                        <w:p w14:paraId="1DC8A928" w14:textId="360E319C" w:rsidR="00467436" w:rsidRPr="00467436" w:rsidRDefault="00467436" w:rsidP="00467436">
                          <w:pPr>
                            <w:spacing w:after="0"/>
                            <w:rPr>
                              <w:rFonts w:ascii="Aptos" w:eastAsia="Aptos" w:hAnsi="Aptos" w:cs="Aptos"/>
                              <w:noProof/>
                              <w:color w:val="FF0000"/>
                              <w:sz w:val="24"/>
                              <w:szCs w:val="24"/>
                            </w:rPr>
                          </w:pPr>
                          <w:r w:rsidRPr="00467436">
                            <w:rPr>
                              <w:rFonts w:ascii="Aptos" w:eastAsia="Aptos" w:hAnsi="Aptos" w:cs="Aptos"/>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8C13D" id="_x0000_t202" coordsize="21600,21600" o:spt="202" path="m,l,21600r21600,l21600,xe">
              <v:stroke joinstyle="miter"/>
              <v:path gradientshapeok="t" o:connecttype="rect"/>
            </v:shapetype>
            <v:shape id="Text Box 8" o:spid="_x0000_s1028" type="#_x0000_t202" alt="OFFICIAL Sensitive" style="position:absolute;margin-left:0;margin-top:0;width:98.4pt;height:30.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" filled="f" stroked="f">
              <v:textbox style="mso-fit-shape-to-text:t" inset="0,15pt,0,0">
                <w:txbxContent>
                  <w:p w14:paraId="1DC8A928" w14:textId="360E319C" w:rsidR="00467436" w:rsidRPr="00467436" w:rsidRDefault="00467436" w:rsidP="00467436">
                    <w:pPr>
                      <w:spacing w:after="0"/>
                      <w:rPr>
                        <w:rFonts w:ascii="Aptos" w:eastAsia="Aptos" w:hAnsi="Aptos" w:cs="Aptos"/>
                        <w:noProof/>
                        <w:color w:val="FF0000"/>
                        <w:sz w:val="24"/>
                        <w:szCs w:val="24"/>
                      </w:rPr>
                    </w:pPr>
                    <w:r w:rsidRPr="00467436">
                      <w:rPr>
                        <w:rFonts w:ascii="Aptos" w:eastAsia="Aptos" w:hAnsi="Aptos" w:cs="Aptos"/>
                        <w:noProof/>
                        <w:color w:val="FF0000"/>
                        <w:sz w:val="24"/>
                        <w:szCs w:val="24"/>
                      </w:rPr>
                      <w:t>OFFICIAL Sensitive</w:t>
                    </w:r>
                  </w:p>
                </w:txbxContent>
              </v:textbox>
              <w10:wrap anchorx="page" anchory="page"/>
            </v:shape>
          </w:pict>
        </mc:Fallback>
      </mc:AlternateContent>
    </w:r>
    <w:r w:rsidR="002270A4">
      <w:rPr>
        <w:noProof/>
      </w:rPr>
      <mc:AlternateContent>
        <mc:Choice Requires="wps">
          <w:drawing>
            <wp:anchor distT="0" distB="0" distL="0" distR="0" simplePos="0" relativeHeight="251658240" behindDoc="0" locked="0" layoutInCell="1" allowOverlap="1" wp14:anchorId="7FDFB163" wp14:editId="0A197060">
              <wp:simplePos x="635" y="635"/>
              <wp:positionH relativeFrom="page">
                <wp:align>center</wp:align>
              </wp:positionH>
              <wp:positionV relativeFrom="page">
                <wp:align>top</wp:align>
              </wp:positionV>
              <wp:extent cx="1249680" cy="391160"/>
              <wp:effectExtent l="0" t="0" r="7620" b="8890"/>
              <wp:wrapNone/>
              <wp:docPr id="994597727"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9680" cy="391160"/>
                      </a:xfrm>
                      <a:prstGeom prst="rect">
                        <a:avLst/>
                      </a:prstGeom>
                      <a:noFill/>
                      <a:ln>
                        <a:noFill/>
                      </a:ln>
                    </wps:spPr>
                    <wps:txbx>
                      <w:txbxContent>
                        <w:p w14:paraId="3051853C" w14:textId="427109B1" w:rsidR="002270A4" w:rsidRPr="002270A4" w:rsidRDefault="002270A4" w:rsidP="002270A4">
                          <w:pPr>
                            <w:spacing w:after="0"/>
                            <w:rPr>
                              <w:rFonts w:ascii="Aptos" w:eastAsia="Aptos" w:hAnsi="Aptos" w:cs="Aptos"/>
                              <w:noProof/>
                              <w:color w:val="FF0000"/>
                              <w:sz w:val="24"/>
                              <w:szCs w:val="24"/>
                            </w:rPr>
                          </w:pPr>
                          <w:r w:rsidRPr="002270A4">
                            <w:rPr>
                              <w:rFonts w:ascii="Aptos" w:eastAsia="Aptos" w:hAnsi="Aptos" w:cs="Aptos"/>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7FDFB163" id="Text Box 2" o:spid="_x0000_s1029" type="#_x0000_t202" alt="OFFICIAL Sensitive" style="position:absolute;margin-left:0;margin-top:0;width:98.4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" filled="f" stroked="f">
              <v:textbox style="mso-fit-shape-to-text:t" inset="0,15pt,0,0">
                <w:txbxContent>
                  <w:p w14:paraId="3051853C" w14:textId="427109B1" w:rsidR="002270A4" w:rsidRPr="002270A4" w:rsidRDefault="002270A4" w:rsidP="002270A4">
                    <w:pPr>
                      <w:spacing w:after="0"/>
                      <w:rPr>
                        <w:rFonts w:ascii="Aptos" w:eastAsia="Aptos" w:hAnsi="Aptos" w:cs="Aptos"/>
                        <w:noProof/>
                        <w:color w:val="FF0000"/>
                        <w:sz w:val="24"/>
                        <w:szCs w:val="24"/>
                      </w:rPr>
                    </w:pPr>
                    <w:r w:rsidRPr="002270A4">
                      <w:rPr>
                        <w:rFonts w:ascii="Aptos" w:eastAsia="Aptos" w:hAnsi="Aptos" w:cs="Aptos"/>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F8A2" w14:textId="7E238833" w:rsidR="008E4FC6" w:rsidRDefault="00467436">
    <w:pPr>
      <w:pStyle w:val="Header"/>
    </w:pPr>
    <w:r>
      <w:rPr>
        <w:noProof/>
      </w:rPr>
      <mc:AlternateContent>
        <mc:Choice Requires="wps">
          <w:drawing>
            <wp:anchor distT="0" distB="0" distL="0" distR="0" simplePos="0" relativeHeight="251658246" behindDoc="0" locked="0" layoutInCell="1" allowOverlap="1" wp14:anchorId="5B0B4D6C" wp14:editId="7A37AC62">
              <wp:simplePos x="914400" y="448574"/>
              <wp:positionH relativeFrom="page">
                <wp:align>center</wp:align>
              </wp:positionH>
              <wp:positionV relativeFrom="page">
                <wp:align>top</wp:align>
              </wp:positionV>
              <wp:extent cx="1249680" cy="391160"/>
              <wp:effectExtent l="0" t="0" r="7620" b="8890"/>
              <wp:wrapNone/>
              <wp:docPr id="870316283" name="Text Box 9"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9680" cy="391160"/>
                      </a:xfrm>
                      <a:prstGeom prst="rect">
                        <a:avLst/>
                      </a:prstGeom>
                      <a:noFill/>
                      <a:ln>
                        <a:noFill/>
                      </a:ln>
                    </wps:spPr>
                    <wps:txbx>
                      <w:txbxContent>
                        <w:p w14:paraId="2A9B1EAE" w14:textId="1652BF14" w:rsidR="00467436" w:rsidRPr="00467436" w:rsidRDefault="00467436" w:rsidP="00467436">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0B4D6C" id="_x0000_t202" coordsize="21600,21600" o:spt="202" path="m,l,21600r21600,l21600,xe">
              <v:stroke joinstyle="miter"/>
              <v:path gradientshapeok="t" o:connecttype="rect"/>
            </v:shapetype>
            <v:shape id="Text Box 9" o:spid="_x0000_s1030" type="#_x0000_t202" alt="OFFICIAL Sensitive" style="position:absolute;margin-left:0;margin-top:0;width:98.4pt;height:30.8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" filled="f" stroked="f">
              <v:textbox style="mso-fit-shape-to-text:t" inset="0,15pt,0,0">
                <w:txbxContent>
                  <w:p w14:paraId="2A9B1EAE" w14:textId="1652BF14" w:rsidR="00467436" w:rsidRPr="00467436" w:rsidRDefault="00467436" w:rsidP="00467436">
                    <w:pPr>
                      <w:spacing w:after="0"/>
                      <w:rPr>
                        <w:rFonts w:ascii="Aptos" w:eastAsia="Aptos" w:hAnsi="Aptos" w:cs="Aptos"/>
                        <w:noProof/>
                        <w:color w:val="FF0000"/>
                        <w:sz w:val="24"/>
                        <w:szCs w:val="24"/>
                      </w:rPr>
                    </w:pPr>
                  </w:p>
                </w:txbxContent>
              </v:textbox>
              <w10:wrap anchorx="page" anchory="page"/>
            </v:shape>
          </w:pict>
        </mc:Fallback>
      </mc:AlternateContent>
    </w:r>
    <w:r w:rsidR="002270A4">
      <w:rPr>
        <w:noProof/>
      </w:rPr>
      <mc:AlternateContent>
        <mc:Choice Requires="wps">
          <w:drawing>
            <wp:anchor distT="0" distB="0" distL="0" distR="0" simplePos="0" relativeHeight="251658241" behindDoc="0" locked="0" layoutInCell="1" allowOverlap="1" wp14:anchorId="7A2813EB" wp14:editId="6660C8E9">
              <wp:simplePos x="914400" y="450376"/>
              <wp:positionH relativeFrom="page">
                <wp:align>center</wp:align>
              </wp:positionH>
              <wp:positionV relativeFrom="page">
                <wp:align>top</wp:align>
              </wp:positionV>
              <wp:extent cx="1249680" cy="391160"/>
              <wp:effectExtent l="0" t="0" r="7620" b="8890"/>
              <wp:wrapNone/>
              <wp:docPr id="1738817645"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9680" cy="391160"/>
                      </a:xfrm>
                      <a:prstGeom prst="rect">
                        <a:avLst/>
                      </a:prstGeom>
                      <a:noFill/>
                      <a:ln>
                        <a:noFill/>
                      </a:ln>
                    </wps:spPr>
                    <wps:txbx>
                      <w:txbxContent>
                        <w:p w14:paraId="6D1CDBC9" w14:textId="22FD6422" w:rsidR="002270A4" w:rsidRPr="002270A4" w:rsidRDefault="002270A4" w:rsidP="002270A4">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7A2813EB" id="Text Box 3" o:spid="_x0000_s1031" type="#_x0000_t202" alt="OFFICIAL Sensitive" style="position:absolute;margin-left:0;margin-top:0;width:98.4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" filled="f" stroked="f">
              <v:textbox style="mso-fit-shape-to-text:t" inset="0,15pt,0,0">
                <w:txbxContent>
                  <w:p w14:paraId="6D1CDBC9" w14:textId="22FD6422" w:rsidR="002270A4" w:rsidRPr="002270A4" w:rsidRDefault="002270A4" w:rsidP="002270A4">
                    <w:pPr>
                      <w:spacing w:after="0"/>
                      <w:rPr>
                        <w:rFonts w:ascii="Aptos" w:eastAsia="Aptos" w:hAnsi="Aptos" w:cs="Aptos"/>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49EE3F8"/>
    <w:lvl w:ilvl="0">
      <w:start w:val="1"/>
      <w:numFmt w:val="bullet"/>
      <w:pStyle w:val="ListBullet"/>
      <w:lvlText w:val=""/>
      <w:lvlJc w:val="left"/>
      <w:pPr>
        <w:tabs>
          <w:tab w:val="num" w:pos="-578"/>
        </w:tabs>
        <w:ind w:left="-578" w:hanging="360"/>
      </w:pPr>
      <w:rPr>
        <w:rFonts w:ascii="Symbol" w:hAnsi="Symbol" w:hint="default"/>
      </w:rPr>
    </w:lvl>
  </w:abstractNum>
  <w:abstractNum w:abstractNumId="1" w15:restartNumberingAfterBreak="0">
    <w:nsid w:val="0000A991"/>
    <w:multiLevelType w:val="multilevel"/>
    <w:tmpl w:val="BF9A16C0"/>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2" w15:restartNumberingAfterBreak="0">
    <w:nsid w:val="018C0329"/>
    <w:multiLevelType w:val="multilevel"/>
    <w:tmpl w:val="7EEC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A5EFC"/>
    <w:multiLevelType w:val="hybridMultilevel"/>
    <w:tmpl w:val="7B82974E"/>
    <w:lvl w:ilvl="0" w:tplc="0A82846C">
      <w:start w:val="1"/>
      <w:numFmt w:val="bullet"/>
      <w:lvlText w:val=""/>
      <w:lvlJc w:val="left"/>
      <w:pPr>
        <w:ind w:left="1440" w:hanging="360"/>
      </w:pPr>
      <w:rPr>
        <w:rFonts w:ascii="Symbol" w:hAnsi="Symbol"/>
      </w:rPr>
    </w:lvl>
    <w:lvl w:ilvl="1" w:tplc="C4AC93D4">
      <w:start w:val="1"/>
      <w:numFmt w:val="bullet"/>
      <w:lvlText w:val=""/>
      <w:lvlJc w:val="left"/>
      <w:pPr>
        <w:ind w:left="1440" w:hanging="360"/>
      </w:pPr>
      <w:rPr>
        <w:rFonts w:ascii="Symbol" w:hAnsi="Symbol"/>
      </w:rPr>
    </w:lvl>
    <w:lvl w:ilvl="2" w:tplc="9FEC9C2E">
      <w:start w:val="1"/>
      <w:numFmt w:val="bullet"/>
      <w:lvlText w:val=""/>
      <w:lvlJc w:val="left"/>
      <w:pPr>
        <w:ind w:left="1440" w:hanging="360"/>
      </w:pPr>
      <w:rPr>
        <w:rFonts w:ascii="Symbol" w:hAnsi="Symbol"/>
      </w:rPr>
    </w:lvl>
    <w:lvl w:ilvl="3" w:tplc="2CC29BA6">
      <w:start w:val="1"/>
      <w:numFmt w:val="bullet"/>
      <w:lvlText w:val=""/>
      <w:lvlJc w:val="left"/>
      <w:pPr>
        <w:ind w:left="1440" w:hanging="360"/>
      </w:pPr>
      <w:rPr>
        <w:rFonts w:ascii="Symbol" w:hAnsi="Symbol"/>
      </w:rPr>
    </w:lvl>
    <w:lvl w:ilvl="4" w:tplc="D9B80006">
      <w:start w:val="1"/>
      <w:numFmt w:val="bullet"/>
      <w:lvlText w:val=""/>
      <w:lvlJc w:val="left"/>
      <w:pPr>
        <w:ind w:left="1440" w:hanging="360"/>
      </w:pPr>
      <w:rPr>
        <w:rFonts w:ascii="Symbol" w:hAnsi="Symbol"/>
      </w:rPr>
    </w:lvl>
    <w:lvl w:ilvl="5" w:tplc="62560AF4">
      <w:start w:val="1"/>
      <w:numFmt w:val="bullet"/>
      <w:lvlText w:val=""/>
      <w:lvlJc w:val="left"/>
      <w:pPr>
        <w:ind w:left="1440" w:hanging="360"/>
      </w:pPr>
      <w:rPr>
        <w:rFonts w:ascii="Symbol" w:hAnsi="Symbol"/>
      </w:rPr>
    </w:lvl>
    <w:lvl w:ilvl="6" w:tplc="86D06082">
      <w:start w:val="1"/>
      <w:numFmt w:val="bullet"/>
      <w:lvlText w:val=""/>
      <w:lvlJc w:val="left"/>
      <w:pPr>
        <w:ind w:left="1440" w:hanging="360"/>
      </w:pPr>
      <w:rPr>
        <w:rFonts w:ascii="Symbol" w:hAnsi="Symbol"/>
      </w:rPr>
    </w:lvl>
    <w:lvl w:ilvl="7" w:tplc="FADC6F68">
      <w:start w:val="1"/>
      <w:numFmt w:val="bullet"/>
      <w:lvlText w:val=""/>
      <w:lvlJc w:val="left"/>
      <w:pPr>
        <w:ind w:left="1440" w:hanging="360"/>
      </w:pPr>
      <w:rPr>
        <w:rFonts w:ascii="Symbol" w:hAnsi="Symbol"/>
      </w:rPr>
    </w:lvl>
    <w:lvl w:ilvl="8" w:tplc="6AA256B4">
      <w:start w:val="1"/>
      <w:numFmt w:val="bullet"/>
      <w:lvlText w:val=""/>
      <w:lvlJc w:val="left"/>
      <w:pPr>
        <w:ind w:left="1440" w:hanging="360"/>
      </w:pPr>
      <w:rPr>
        <w:rFonts w:ascii="Symbol" w:hAnsi="Symbol"/>
      </w:rPr>
    </w:lvl>
  </w:abstractNum>
  <w:abstractNum w:abstractNumId="4" w15:restartNumberingAfterBreak="0">
    <w:nsid w:val="03130F9C"/>
    <w:multiLevelType w:val="hybridMultilevel"/>
    <w:tmpl w:val="FA40F214"/>
    <w:lvl w:ilvl="0" w:tplc="7D1C0FC4">
      <w:start w:val="1"/>
      <w:numFmt w:val="bullet"/>
      <w:lvlText w:val=""/>
      <w:lvlJc w:val="left"/>
      <w:pPr>
        <w:ind w:left="720" w:hanging="360"/>
      </w:pPr>
      <w:rPr>
        <w:rFonts w:ascii="Symbol" w:hAnsi="Symbol"/>
      </w:rPr>
    </w:lvl>
    <w:lvl w:ilvl="1" w:tplc="54362B60">
      <w:start w:val="1"/>
      <w:numFmt w:val="bullet"/>
      <w:lvlText w:val=""/>
      <w:lvlJc w:val="left"/>
      <w:pPr>
        <w:ind w:left="720" w:hanging="360"/>
      </w:pPr>
      <w:rPr>
        <w:rFonts w:ascii="Symbol" w:hAnsi="Symbol"/>
      </w:rPr>
    </w:lvl>
    <w:lvl w:ilvl="2" w:tplc="80E416A8">
      <w:start w:val="1"/>
      <w:numFmt w:val="bullet"/>
      <w:lvlText w:val=""/>
      <w:lvlJc w:val="left"/>
      <w:pPr>
        <w:ind w:left="720" w:hanging="360"/>
      </w:pPr>
      <w:rPr>
        <w:rFonts w:ascii="Symbol" w:hAnsi="Symbol"/>
      </w:rPr>
    </w:lvl>
    <w:lvl w:ilvl="3" w:tplc="8C7857F8">
      <w:start w:val="1"/>
      <w:numFmt w:val="bullet"/>
      <w:lvlText w:val=""/>
      <w:lvlJc w:val="left"/>
      <w:pPr>
        <w:ind w:left="720" w:hanging="360"/>
      </w:pPr>
      <w:rPr>
        <w:rFonts w:ascii="Symbol" w:hAnsi="Symbol"/>
      </w:rPr>
    </w:lvl>
    <w:lvl w:ilvl="4" w:tplc="1F5436F0">
      <w:start w:val="1"/>
      <w:numFmt w:val="bullet"/>
      <w:lvlText w:val=""/>
      <w:lvlJc w:val="left"/>
      <w:pPr>
        <w:ind w:left="720" w:hanging="360"/>
      </w:pPr>
      <w:rPr>
        <w:rFonts w:ascii="Symbol" w:hAnsi="Symbol"/>
      </w:rPr>
    </w:lvl>
    <w:lvl w:ilvl="5" w:tplc="E80CBFF0">
      <w:start w:val="1"/>
      <w:numFmt w:val="bullet"/>
      <w:lvlText w:val=""/>
      <w:lvlJc w:val="left"/>
      <w:pPr>
        <w:ind w:left="720" w:hanging="360"/>
      </w:pPr>
      <w:rPr>
        <w:rFonts w:ascii="Symbol" w:hAnsi="Symbol"/>
      </w:rPr>
    </w:lvl>
    <w:lvl w:ilvl="6" w:tplc="1332A4FC">
      <w:start w:val="1"/>
      <w:numFmt w:val="bullet"/>
      <w:lvlText w:val=""/>
      <w:lvlJc w:val="left"/>
      <w:pPr>
        <w:ind w:left="720" w:hanging="360"/>
      </w:pPr>
      <w:rPr>
        <w:rFonts w:ascii="Symbol" w:hAnsi="Symbol"/>
      </w:rPr>
    </w:lvl>
    <w:lvl w:ilvl="7" w:tplc="F67C9B8C">
      <w:start w:val="1"/>
      <w:numFmt w:val="bullet"/>
      <w:lvlText w:val=""/>
      <w:lvlJc w:val="left"/>
      <w:pPr>
        <w:ind w:left="720" w:hanging="360"/>
      </w:pPr>
      <w:rPr>
        <w:rFonts w:ascii="Symbol" w:hAnsi="Symbol"/>
      </w:rPr>
    </w:lvl>
    <w:lvl w:ilvl="8" w:tplc="EBFCD03C">
      <w:start w:val="1"/>
      <w:numFmt w:val="bullet"/>
      <w:lvlText w:val=""/>
      <w:lvlJc w:val="left"/>
      <w:pPr>
        <w:ind w:left="720" w:hanging="360"/>
      </w:pPr>
      <w:rPr>
        <w:rFonts w:ascii="Symbol" w:hAnsi="Symbol"/>
      </w:rPr>
    </w:lvl>
  </w:abstractNum>
  <w:abstractNum w:abstractNumId="5" w15:restartNumberingAfterBreak="0">
    <w:nsid w:val="042F1BC5"/>
    <w:multiLevelType w:val="hybridMultilevel"/>
    <w:tmpl w:val="3A0A21F6"/>
    <w:lvl w:ilvl="0" w:tplc="74764E62">
      <w:start w:val="1"/>
      <w:numFmt w:val="bullet"/>
      <w:lvlText w:val=""/>
      <w:lvlJc w:val="left"/>
      <w:pPr>
        <w:ind w:left="720" w:hanging="360"/>
      </w:pPr>
      <w:rPr>
        <w:rFonts w:ascii="Symbol" w:hAnsi="Symbol" w:hint="default"/>
      </w:rPr>
    </w:lvl>
    <w:lvl w:ilvl="1" w:tplc="7E68D674" w:tentative="1">
      <w:start w:val="1"/>
      <w:numFmt w:val="bullet"/>
      <w:lvlText w:val="o"/>
      <w:lvlJc w:val="left"/>
      <w:pPr>
        <w:ind w:left="1440" w:hanging="360"/>
      </w:pPr>
      <w:rPr>
        <w:rFonts w:ascii="Courier New" w:hAnsi="Courier New" w:hint="default"/>
      </w:rPr>
    </w:lvl>
    <w:lvl w:ilvl="2" w:tplc="C16E2692" w:tentative="1">
      <w:start w:val="1"/>
      <w:numFmt w:val="bullet"/>
      <w:lvlText w:val=""/>
      <w:lvlJc w:val="left"/>
      <w:pPr>
        <w:ind w:left="2160" w:hanging="360"/>
      </w:pPr>
      <w:rPr>
        <w:rFonts w:ascii="Wingdings" w:hAnsi="Wingdings" w:hint="default"/>
      </w:rPr>
    </w:lvl>
    <w:lvl w:ilvl="3" w:tplc="14426BD6" w:tentative="1">
      <w:start w:val="1"/>
      <w:numFmt w:val="bullet"/>
      <w:lvlText w:val=""/>
      <w:lvlJc w:val="left"/>
      <w:pPr>
        <w:ind w:left="2880" w:hanging="360"/>
      </w:pPr>
      <w:rPr>
        <w:rFonts w:ascii="Symbol" w:hAnsi="Symbol" w:hint="default"/>
      </w:rPr>
    </w:lvl>
    <w:lvl w:ilvl="4" w:tplc="6FC4216E" w:tentative="1">
      <w:start w:val="1"/>
      <w:numFmt w:val="bullet"/>
      <w:lvlText w:val="o"/>
      <w:lvlJc w:val="left"/>
      <w:pPr>
        <w:ind w:left="3600" w:hanging="360"/>
      </w:pPr>
      <w:rPr>
        <w:rFonts w:ascii="Courier New" w:hAnsi="Courier New" w:hint="default"/>
      </w:rPr>
    </w:lvl>
    <w:lvl w:ilvl="5" w:tplc="E98C6188" w:tentative="1">
      <w:start w:val="1"/>
      <w:numFmt w:val="bullet"/>
      <w:lvlText w:val=""/>
      <w:lvlJc w:val="left"/>
      <w:pPr>
        <w:ind w:left="4320" w:hanging="360"/>
      </w:pPr>
      <w:rPr>
        <w:rFonts w:ascii="Wingdings" w:hAnsi="Wingdings" w:hint="default"/>
      </w:rPr>
    </w:lvl>
    <w:lvl w:ilvl="6" w:tplc="38048504" w:tentative="1">
      <w:start w:val="1"/>
      <w:numFmt w:val="bullet"/>
      <w:lvlText w:val=""/>
      <w:lvlJc w:val="left"/>
      <w:pPr>
        <w:ind w:left="5040" w:hanging="360"/>
      </w:pPr>
      <w:rPr>
        <w:rFonts w:ascii="Symbol" w:hAnsi="Symbol" w:hint="default"/>
      </w:rPr>
    </w:lvl>
    <w:lvl w:ilvl="7" w:tplc="5AB435B4" w:tentative="1">
      <w:start w:val="1"/>
      <w:numFmt w:val="bullet"/>
      <w:lvlText w:val="o"/>
      <w:lvlJc w:val="left"/>
      <w:pPr>
        <w:ind w:left="5760" w:hanging="360"/>
      </w:pPr>
      <w:rPr>
        <w:rFonts w:ascii="Courier New" w:hAnsi="Courier New" w:hint="default"/>
      </w:rPr>
    </w:lvl>
    <w:lvl w:ilvl="8" w:tplc="C794370E" w:tentative="1">
      <w:start w:val="1"/>
      <w:numFmt w:val="bullet"/>
      <w:lvlText w:val=""/>
      <w:lvlJc w:val="left"/>
      <w:pPr>
        <w:ind w:left="6480" w:hanging="360"/>
      </w:pPr>
      <w:rPr>
        <w:rFonts w:ascii="Wingdings" w:hAnsi="Wingdings" w:hint="default"/>
      </w:rPr>
    </w:lvl>
  </w:abstractNum>
  <w:abstractNum w:abstractNumId="6" w15:restartNumberingAfterBreak="0">
    <w:nsid w:val="071D0318"/>
    <w:multiLevelType w:val="hybridMultilevel"/>
    <w:tmpl w:val="92462D74"/>
    <w:lvl w:ilvl="0" w:tplc="17822A7C">
      <w:start w:val="1"/>
      <w:numFmt w:val="lowerLetter"/>
      <w:lvlText w:val="%1."/>
      <w:lvlJc w:val="left"/>
      <w:pPr>
        <w:ind w:left="785" w:hanging="360"/>
      </w:pPr>
      <w:rPr>
        <w:b/>
        <w:bCs/>
      </w:rPr>
    </w:lvl>
    <w:lvl w:ilvl="1" w:tplc="0C090001">
      <w:start w:val="1"/>
      <w:numFmt w:val="bullet"/>
      <w:lvlText w:val=""/>
      <w:lvlJc w:val="left"/>
      <w:pPr>
        <w:ind w:left="1505" w:hanging="360"/>
      </w:pPr>
      <w:rPr>
        <w:rFonts w:ascii="Symbol" w:hAnsi="Symbol" w:hint="default"/>
      </w:r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7" w15:restartNumberingAfterBreak="0">
    <w:nsid w:val="08D7480A"/>
    <w:multiLevelType w:val="hybridMultilevel"/>
    <w:tmpl w:val="C9CC492C"/>
    <w:lvl w:ilvl="0" w:tplc="59767EF0">
      <w:start w:val="1"/>
      <w:numFmt w:val="bullet"/>
      <w:lvlText w:val=""/>
      <w:lvlJc w:val="left"/>
      <w:pPr>
        <w:ind w:left="1077" w:hanging="360"/>
      </w:pPr>
      <w:rPr>
        <w:rFonts w:ascii="Symbol" w:hAnsi="Symbol" w:hint="default"/>
      </w:rPr>
    </w:lvl>
    <w:lvl w:ilvl="1" w:tplc="279006B2" w:tentative="1">
      <w:start w:val="1"/>
      <w:numFmt w:val="bullet"/>
      <w:lvlText w:val="o"/>
      <w:lvlJc w:val="left"/>
      <w:pPr>
        <w:ind w:left="1797" w:hanging="360"/>
      </w:pPr>
      <w:rPr>
        <w:rFonts w:ascii="Courier New" w:hAnsi="Courier New" w:hint="default"/>
      </w:rPr>
    </w:lvl>
    <w:lvl w:ilvl="2" w:tplc="3DFC3B1E" w:tentative="1">
      <w:start w:val="1"/>
      <w:numFmt w:val="bullet"/>
      <w:lvlText w:val=""/>
      <w:lvlJc w:val="left"/>
      <w:pPr>
        <w:ind w:left="2517" w:hanging="360"/>
      </w:pPr>
      <w:rPr>
        <w:rFonts w:ascii="Wingdings" w:hAnsi="Wingdings" w:hint="default"/>
      </w:rPr>
    </w:lvl>
    <w:lvl w:ilvl="3" w:tplc="5DA6226E" w:tentative="1">
      <w:start w:val="1"/>
      <w:numFmt w:val="bullet"/>
      <w:lvlText w:val=""/>
      <w:lvlJc w:val="left"/>
      <w:pPr>
        <w:ind w:left="3237" w:hanging="360"/>
      </w:pPr>
      <w:rPr>
        <w:rFonts w:ascii="Symbol" w:hAnsi="Symbol" w:hint="default"/>
      </w:rPr>
    </w:lvl>
    <w:lvl w:ilvl="4" w:tplc="315279D6" w:tentative="1">
      <w:start w:val="1"/>
      <w:numFmt w:val="bullet"/>
      <w:lvlText w:val="o"/>
      <w:lvlJc w:val="left"/>
      <w:pPr>
        <w:ind w:left="3957" w:hanging="360"/>
      </w:pPr>
      <w:rPr>
        <w:rFonts w:ascii="Courier New" w:hAnsi="Courier New" w:hint="default"/>
      </w:rPr>
    </w:lvl>
    <w:lvl w:ilvl="5" w:tplc="6958CB2E" w:tentative="1">
      <w:start w:val="1"/>
      <w:numFmt w:val="bullet"/>
      <w:lvlText w:val=""/>
      <w:lvlJc w:val="left"/>
      <w:pPr>
        <w:ind w:left="4677" w:hanging="360"/>
      </w:pPr>
      <w:rPr>
        <w:rFonts w:ascii="Wingdings" w:hAnsi="Wingdings" w:hint="default"/>
      </w:rPr>
    </w:lvl>
    <w:lvl w:ilvl="6" w:tplc="1EF6061C" w:tentative="1">
      <w:start w:val="1"/>
      <w:numFmt w:val="bullet"/>
      <w:lvlText w:val=""/>
      <w:lvlJc w:val="left"/>
      <w:pPr>
        <w:ind w:left="5397" w:hanging="360"/>
      </w:pPr>
      <w:rPr>
        <w:rFonts w:ascii="Symbol" w:hAnsi="Symbol" w:hint="default"/>
      </w:rPr>
    </w:lvl>
    <w:lvl w:ilvl="7" w:tplc="ACD26950" w:tentative="1">
      <w:start w:val="1"/>
      <w:numFmt w:val="bullet"/>
      <w:lvlText w:val="o"/>
      <w:lvlJc w:val="left"/>
      <w:pPr>
        <w:ind w:left="6117" w:hanging="360"/>
      </w:pPr>
      <w:rPr>
        <w:rFonts w:ascii="Courier New" w:hAnsi="Courier New" w:hint="default"/>
      </w:rPr>
    </w:lvl>
    <w:lvl w:ilvl="8" w:tplc="7C9849E8" w:tentative="1">
      <w:start w:val="1"/>
      <w:numFmt w:val="bullet"/>
      <w:lvlText w:val=""/>
      <w:lvlJc w:val="left"/>
      <w:pPr>
        <w:ind w:left="6837" w:hanging="360"/>
      </w:pPr>
      <w:rPr>
        <w:rFonts w:ascii="Wingdings" w:hAnsi="Wingdings" w:hint="default"/>
      </w:rPr>
    </w:lvl>
  </w:abstractNum>
  <w:abstractNum w:abstractNumId="8" w15:restartNumberingAfterBreak="0">
    <w:nsid w:val="092B5ADF"/>
    <w:multiLevelType w:val="multilevel"/>
    <w:tmpl w:val="7EEC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551824"/>
    <w:multiLevelType w:val="hybridMultilevel"/>
    <w:tmpl w:val="40B6EA94"/>
    <w:lvl w:ilvl="0" w:tplc="23F86AC8">
      <w:start w:val="1"/>
      <w:numFmt w:val="bullet"/>
      <w:lvlText w:val=""/>
      <w:lvlJc w:val="left"/>
      <w:pPr>
        <w:ind w:left="360" w:hanging="360"/>
      </w:pPr>
      <w:rPr>
        <w:rFonts w:ascii="Wingdings" w:hAnsi="Wingdings" w:hint="default"/>
      </w:rPr>
    </w:lvl>
    <w:lvl w:ilvl="1" w:tplc="19B49732">
      <w:start w:val="1"/>
      <w:numFmt w:val="bullet"/>
      <w:lvlText w:val="o"/>
      <w:lvlJc w:val="left"/>
      <w:pPr>
        <w:ind w:left="1080" w:hanging="360"/>
      </w:pPr>
      <w:rPr>
        <w:rFonts w:ascii="Courier New" w:hAnsi="Courier New" w:hint="default"/>
      </w:rPr>
    </w:lvl>
    <w:lvl w:ilvl="2" w:tplc="F57679D4" w:tentative="1">
      <w:start w:val="1"/>
      <w:numFmt w:val="bullet"/>
      <w:lvlText w:val=""/>
      <w:lvlJc w:val="left"/>
      <w:pPr>
        <w:ind w:left="1800" w:hanging="360"/>
      </w:pPr>
      <w:rPr>
        <w:rFonts w:ascii="Wingdings" w:hAnsi="Wingdings" w:hint="default"/>
      </w:rPr>
    </w:lvl>
    <w:lvl w:ilvl="3" w:tplc="49A25B1A" w:tentative="1">
      <w:start w:val="1"/>
      <w:numFmt w:val="bullet"/>
      <w:lvlText w:val=""/>
      <w:lvlJc w:val="left"/>
      <w:pPr>
        <w:ind w:left="2520" w:hanging="360"/>
      </w:pPr>
      <w:rPr>
        <w:rFonts w:ascii="Symbol" w:hAnsi="Symbol" w:hint="default"/>
      </w:rPr>
    </w:lvl>
    <w:lvl w:ilvl="4" w:tplc="4978D9F4" w:tentative="1">
      <w:start w:val="1"/>
      <w:numFmt w:val="bullet"/>
      <w:lvlText w:val="o"/>
      <w:lvlJc w:val="left"/>
      <w:pPr>
        <w:ind w:left="3240" w:hanging="360"/>
      </w:pPr>
      <w:rPr>
        <w:rFonts w:ascii="Courier New" w:hAnsi="Courier New" w:hint="default"/>
      </w:rPr>
    </w:lvl>
    <w:lvl w:ilvl="5" w:tplc="01CA00CA" w:tentative="1">
      <w:start w:val="1"/>
      <w:numFmt w:val="bullet"/>
      <w:lvlText w:val=""/>
      <w:lvlJc w:val="left"/>
      <w:pPr>
        <w:ind w:left="3960" w:hanging="360"/>
      </w:pPr>
      <w:rPr>
        <w:rFonts w:ascii="Wingdings" w:hAnsi="Wingdings" w:hint="default"/>
      </w:rPr>
    </w:lvl>
    <w:lvl w:ilvl="6" w:tplc="A244BA0E" w:tentative="1">
      <w:start w:val="1"/>
      <w:numFmt w:val="bullet"/>
      <w:lvlText w:val=""/>
      <w:lvlJc w:val="left"/>
      <w:pPr>
        <w:ind w:left="4680" w:hanging="360"/>
      </w:pPr>
      <w:rPr>
        <w:rFonts w:ascii="Symbol" w:hAnsi="Symbol" w:hint="default"/>
      </w:rPr>
    </w:lvl>
    <w:lvl w:ilvl="7" w:tplc="2B2CA57A" w:tentative="1">
      <w:start w:val="1"/>
      <w:numFmt w:val="bullet"/>
      <w:lvlText w:val="o"/>
      <w:lvlJc w:val="left"/>
      <w:pPr>
        <w:ind w:left="5400" w:hanging="360"/>
      </w:pPr>
      <w:rPr>
        <w:rFonts w:ascii="Courier New" w:hAnsi="Courier New" w:hint="default"/>
      </w:rPr>
    </w:lvl>
    <w:lvl w:ilvl="8" w:tplc="B5E47B90" w:tentative="1">
      <w:start w:val="1"/>
      <w:numFmt w:val="bullet"/>
      <w:lvlText w:val=""/>
      <w:lvlJc w:val="left"/>
      <w:pPr>
        <w:ind w:left="6120" w:hanging="360"/>
      </w:pPr>
      <w:rPr>
        <w:rFonts w:ascii="Wingdings" w:hAnsi="Wingdings" w:hint="default"/>
      </w:rPr>
    </w:lvl>
  </w:abstractNum>
  <w:abstractNum w:abstractNumId="10" w15:restartNumberingAfterBreak="0">
    <w:nsid w:val="0C3A3966"/>
    <w:multiLevelType w:val="hybridMultilevel"/>
    <w:tmpl w:val="7E0C1B48"/>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1" w15:restartNumberingAfterBreak="0">
    <w:nsid w:val="0CB41675"/>
    <w:multiLevelType w:val="hybridMultilevel"/>
    <w:tmpl w:val="652CBF26"/>
    <w:lvl w:ilvl="0" w:tplc="B1187DD2">
      <w:start w:val="1"/>
      <w:numFmt w:val="bullet"/>
      <w:lvlText w:val=""/>
      <w:lvlJc w:val="left"/>
      <w:pPr>
        <w:ind w:left="1440" w:hanging="360"/>
      </w:pPr>
      <w:rPr>
        <w:rFonts w:ascii="Symbol" w:hAnsi="Symbol"/>
      </w:rPr>
    </w:lvl>
    <w:lvl w:ilvl="1" w:tplc="4874E682">
      <w:start w:val="1"/>
      <w:numFmt w:val="bullet"/>
      <w:lvlText w:val=""/>
      <w:lvlJc w:val="left"/>
      <w:pPr>
        <w:ind w:left="1440" w:hanging="360"/>
      </w:pPr>
      <w:rPr>
        <w:rFonts w:ascii="Symbol" w:hAnsi="Symbol"/>
      </w:rPr>
    </w:lvl>
    <w:lvl w:ilvl="2" w:tplc="B28292B2">
      <w:start w:val="1"/>
      <w:numFmt w:val="bullet"/>
      <w:lvlText w:val=""/>
      <w:lvlJc w:val="left"/>
      <w:pPr>
        <w:ind w:left="1440" w:hanging="360"/>
      </w:pPr>
      <w:rPr>
        <w:rFonts w:ascii="Symbol" w:hAnsi="Symbol"/>
      </w:rPr>
    </w:lvl>
    <w:lvl w:ilvl="3" w:tplc="27BCACA8">
      <w:start w:val="1"/>
      <w:numFmt w:val="bullet"/>
      <w:lvlText w:val=""/>
      <w:lvlJc w:val="left"/>
      <w:pPr>
        <w:ind w:left="1440" w:hanging="360"/>
      </w:pPr>
      <w:rPr>
        <w:rFonts w:ascii="Symbol" w:hAnsi="Symbol"/>
      </w:rPr>
    </w:lvl>
    <w:lvl w:ilvl="4" w:tplc="29B425FE">
      <w:start w:val="1"/>
      <w:numFmt w:val="bullet"/>
      <w:lvlText w:val=""/>
      <w:lvlJc w:val="left"/>
      <w:pPr>
        <w:ind w:left="1440" w:hanging="360"/>
      </w:pPr>
      <w:rPr>
        <w:rFonts w:ascii="Symbol" w:hAnsi="Symbol"/>
      </w:rPr>
    </w:lvl>
    <w:lvl w:ilvl="5" w:tplc="C8286354">
      <w:start w:val="1"/>
      <w:numFmt w:val="bullet"/>
      <w:lvlText w:val=""/>
      <w:lvlJc w:val="left"/>
      <w:pPr>
        <w:ind w:left="1440" w:hanging="360"/>
      </w:pPr>
      <w:rPr>
        <w:rFonts w:ascii="Symbol" w:hAnsi="Symbol"/>
      </w:rPr>
    </w:lvl>
    <w:lvl w:ilvl="6" w:tplc="EB7EDCF2">
      <w:start w:val="1"/>
      <w:numFmt w:val="bullet"/>
      <w:lvlText w:val=""/>
      <w:lvlJc w:val="left"/>
      <w:pPr>
        <w:ind w:left="1440" w:hanging="360"/>
      </w:pPr>
      <w:rPr>
        <w:rFonts w:ascii="Symbol" w:hAnsi="Symbol"/>
      </w:rPr>
    </w:lvl>
    <w:lvl w:ilvl="7" w:tplc="AFC81438">
      <w:start w:val="1"/>
      <w:numFmt w:val="bullet"/>
      <w:lvlText w:val=""/>
      <w:lvlJc w:val="left"/>
      <w:pPr>
        <w:ind w:left="1440" w:hanging="360"/>
      </w:pPr>
      <w:rPr>
        <w:rFonts w:ascii="Symbol" w:hAnsi="Symbol"/>
      </w:rPr>
    </w:lvl>
    <w:lvl w:ilvl="8" w:tplc="111A8932">
      <w:start w:val="1"/>
      <w:numFmt w:val="bullet"/>
      <w:lvlText w:val=""/>
      <w:lvlJc w:val="left"/>
      <w:pPr>
        <w:ind w:left="1440" w:hanging="360"/>
      </w:pPr>
      <w:rPr>
        <w:rFonts w:ascii="Symbol" w:hAnsi="Symbol"/>
      </w:rPr>
    </w:lvl>
  </w:abstractNum>
  <w:abstractNum w:abstractNumId="12" w15:restartNumberingAfterBreak="0">
    <w:nsid w:val="12F8699D"/>
    <w:multiLevelType w:val="multilevel"/>
    <w:tmpl w:val="D8F6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4461B2"/>
    <w:multiLevelType w:val="hybridMultilevel"/>
    <w:tmpl w:val="7A1856C2"/>
    <w:lvl w:ilvl="0" w:tplc="BBF8A6A8">
      <w:start w:val="1"/>
      <w:numFmt w:val="bullet"/>
      <w:lvlText w:val=""/>
      <w:lvlJc w:val="left"/>
      <w:pPr>
        <w:ind w:left="720" w:hanging="360"/>
      </w:pPr>
      <w:rPr>
        <w:rFonts w:ascii="Symbol" w:hAnsi="Symbol"/>
      </w:rPr>
    </w:lvl>
    <w:lvl w:ilvl="1" w:tplc="EFE83B52">
      <w:start w:val="1"/>
      <w:numFmt w:val="bullet"/>
      <w:lvlText w:val=""/>
      <w:lvlJc w:val="left"/>
      <w:pPr>
        <w:ind w:left="720" w:hanging="360"/>
      </w:pPr>
      <w:rPr>
        <w:rFonts w:ascii="Symbol" w:hAnsi="Symbol"/>
      </w:rPr>
    </w:lvl>
    <w:lvl w:ilvl="2" w:tplc="46860090">
      <w:start w:val="1"/>
      <w:numFmt w:val="bullet"/>
      <w:lvlText w:val=""/>
      <w:lvlJc w:val="left"/>
      <w:pPr>
        <w:ind w:left="720" w:hanging="360"/>
      </w:pPr>
      <w:rPr>
        <w:rFonts w:ascii="Symbol" w:hAnsi="Symbol"/>
      </w:rPr>
    </w:lvl>
    <w:lvl w:ilvl="3" w:tplc="F16C8544">
      <w:start w:val="1"/>
      <w:numFmt w:val="bullet"/>
      <w:lvlText w:val=""/>
      <w:lvlJc w:val="left"/>
      <w:pPr>
        <w:ind w:left="720" w:hanging="360"/>
      </w:pPr>
      <w:rPr>
        <w:rFonts w:ascii="Symbol" w:hAnsi="Symbol"/>
      </w:rPr>
    </w:lvl>
    <w:lvl w:ilvl="4" w:tplc="11065BEE">
      <w:start w:val="1"/>
      <w:numFmt w:val="bullet"/>
      <w:lvlText w:val=""/>
      <w:lvlJc w:val="left"/>
      <w:pPr>
        <w:ind w:left="720" w:hanging="360"/>
      </w:pPr>
      <w:rPr>
        <w:rFonts w:ascii="Symbol" w:hAnsi="Symbol"/>
      </w:rPr>
    </w:lvl>
    <w:lvl w:ilvl="5" w:tplc="2EFE1800">
      <w:start w:val="1"/>
      <w:numFmt w:val="bullet"/>
      <w:lvlText w:val=""/>
      <w:lvlJc w:val="left"/>
      <w:pPr>
        <w:ind w:left="720" w:hanging="360"/>
      </w:pPr>
      <w:rPr>
        <w:rFonts w:ascii="Symbol" w:hAnsi="Symbol"/>
      </w:rPr>
    </w:lvl>
    <w:lvl w:ilvl="6" w:tplc="320686C0">
      <w:start w:val="1"/>
      <w:numFmt w:val="bullet"/>
      <w:lvlText w:val=""/>
      <w:lvlJc w:val="left"/>
      <w:pPr>
        <w:ind w:left="720" w:hanging="360"/>
      </w:pPr>
      <w:rPr>
        <w:rFonts w:ascii="Symbol" w:hAnsi="Symbol"/>
      </w:rPr>
    </w:lvl>
    <w:lvl w:ilvl="7" w:tplc="1220D6CE">
      <w:start w:val="1"/>
      <w:numFmt w:val="bullet"/>
      <w:lvlText w:val=""/>
      <w:lvlJc w:val="left"/>
      <w:pPr>
        <w:ind w:left="720" w:hanging="360"/>
      </w:pPr>
      <w:rPr>
        <w:rFonts w:ascii="Symbol" w:hAnsi="Symbol"/>
      </w:rPr>
    </w:lvl>
    <w:lvl w:ilvl="8" w:tplc="5E2077A4">
      <w:start w:val="1"/>
      <w:numFmt w:val="bullet"/>
      <w:lvlText w:val=""/>
      <w:lvlJc w:val="left"/>
      <w:pPr>
        <w:ind w:left="720" w:hanging="360"/>
      </w:pPr>
      <w:rPr>
        <w:rFonts w:ascii="Symbol" w:hAnsi="Symbol"/>
      </w:rPr>
    </w:lvl>
  </w:abstractNum>
  <w:abstractNum w:abstractNumId="14" w15:restartNumberingAfterBreak="0">
    <w:nsid w:val="16D175EA"/>
    <w:multiLevelType w:val="multilevel"/>
    <w:tmpl w:val="C214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CC345E"/>
    <w:multiLevelType w:val="multilevel"/>
    <w:tmpl w:val="7EEC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9F265B"/>
    <w:multiLevelType w:val="hybridMultilevel"/>
    <w:tmpl w:val="471EBD36"/>
    <w:lvl w:ilvl="0" w:tplc="E3C8EB38">
      <w:start w:val="1"/>
      <w:numFmt w:val="bullet"/>
      <w:lvlText w:val=""/>
      <w:lvlJc w:val="left"/>
      <w:pPr>
        <w:ind w:left="360" w:hanging="360"/>
      </w:pPr>
      <w:rPr>
        <w:rFonts w:ascii="Wingdings" w:hAnsi="Wingdings" w:hint="default"/>
      </w:rPr>
    </w:lvl>
    <w:lvl w:ilvl="1" w:tplc="7FE887F6" w:tentative="1">
      <w:start w:val="1"/>
      <w:numFmt w:val="bullet"/>
      <w:lvlText w:val="o"/>
      <w:lvlJc w:val="left"/>
      <w:pPr>
        <w:ind w:left="1080" w:hanging="360"/>
      </w:pPr>
      <w:rPr>
        <w:rFonts w:ascii="Courier New" w:hAnsi="Courier New" w:hint="default"/>
      </w:rPr>
    </w:lvl>
    <w:lvl w:ilvl="2" w:tplc="4D48220C" w:tentative="1">
      <w:start w:val="1"/>
      <w:numFmt w:val="bullet"/>
      <w:lvlText w:val=""/>
      <w:lvlJc w:val="left"/>
      <w:pPr>
        <w:ind w:left="1800" w:hanging="360"/>
      </w:pPr>
      <w:rPr>
        <w:rFonts w:ascii="Wingdings" w:hAnsi="Wingdings" w:hint="default"/>
      </w:rPr>
    </w:lvl>
    <w:lvl w:ilvl="3" w:tplc="687493C0" w:tentative="1">
      <w:start w:val="1"/>
      <w:numFmt w:val="bullet"/>
      <w:lvlText w:val=""/>
      <w:lvlJc w:val="left"/>
      <w:pPr>
        <w:ind w:left="2520" w:hanging="360"/>
      </w:pPr>
      <w:rPr>
        <w:rFonts w:ascii="Symbol" w:hAnsi="Symbol" w:hint="default"/>
      </w:rPr>
    </w:lvl>
    <w:lvl w:ilvl="4" w:tplc="D0445020" w:tentative="1">
      <w:start w:val="1"/>
      <w:numFmt w:val="bullet"/>
      <w:lvlText w:val="o"/>
      <w:lvlJc w:val="left"/>
      <w:pPr>
        <w:ind w:left="3240" w:hanging="360"/>
      </w:pPr>
      <w:rPr>
        <w:rFonts w:ascii="Courier New" w:hAnsi="Courier New" w:hint="default"/>
      </w:rPr>
    </w:lvl>
    <w:lvl w:ilvl="5" w:tplc="6B087228" w:tentative="1">
      <w:start w:val="1"/>
      <w:numFmt w:val="bullet"/>
      <w:lvlText w:val=""/>
      <w:lvlJc w:val="left"/>
      <w:pPr>
        <w:ind w:left="3960" w:hanging="360"/>
      </w:pPr>
      <w:rPr>
        <w:rFonts w:ascii="Wingdings" w:hAnsi="Wingdings" w:hint="default"/>
      </w:rPr>
    </w:lvl>
    <w:lvl w:ilvl="6" w:tplc="D3588E20" w:tentative="1">
      <w:start w:val="1"/>
      <w:numFmt w:val="bullet"/>
      <w:lvlText w:val=""/>
      <w:lvlJc w:val="left"/>
      <w:pPr>
        <w:ind w:left="4680" w:hanging="360"/>
      </w:pPr>
      <w:rPr>
        <w:rFonts w:ascii="Symbol" w:hAnsi="Symbol" w:hint="default"/>
      </w:rPr>
    </w:lvl>
    <w:lvl w:ilvl="7" w:tplc="E7D47398" w:tentative="1">
      <w:start w:val="1"/>
      <w:numFmt w:val="bullet"/>
      <w:lvlText w:val="o"/>
      <w:lvlJc w:val="left"/>
      <w:pPr>
        <w:ind w:left="5400" w:hanging="360"/>
      </w:pPr>
      <w:rPr>
        <w:rFonts w:ascii="Courier New" w:hAnsi="Courier New" w:hint="default"/>
      </w:rPr>
    </w:lvl>
    <w:lvl w:ilvl="8" w:tplc="1E7AB3E2" w:tentative="1">
      <w:start w:val="1"/>
      <w:numFmt w:val="bullet"/>
      <w:lvlText w:val=""/>
      <w:lvlJc w:val="left"/>
      <w:pPr>
        <w:ind w:left="6120" w:hanging="360"/>
      </w:pPr>
      <w:rPr>
        <w:rFonts w:ascii="Wingdings" w:hAnsi="Wingdings" w:hint="default"/>
      </w:rPr>
    </w:lvl>
  </w:abstractNum>
  <w:abstractNum w:abstractNumId="17" w15:restartNumberingAfterBreak="0">
    <w:nsid w:val="261B0FC2"/>
    <w:multiLevelType w:val="multilevel"/>
    <w:tmpl w:val="86A8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4F6BD5"/>
    <w:multiLevelType w:val="hybridMultilevel"/>
    <w:tmpl w:val="66EA77E6"/>
    <w:lvl w:ilvl="0" w:tplc="CB806ED2">
      <w:start w:val="1"/>
      <w:numFmt w:val="bullet"/>
      <w:lvlText w:val=""/>
      <w:lvlJc w:val="left"/>
      <w:pPr>
        <w:ind w:left="360" w:hanging="360"/>
      </w:pPr>
      <w:rPr>
        <w:rFonts w:ascii="Wingdings" w:hAnsi="Wingdings" w:hint="default"/>
      </w:rPr>
    </w:lvl>
    <w:lvl w:ilvl="1" w:tplc="DF7AE348">
      <w:start w:val="1"/>
      <w:numFmt w:val="bullet"/>
      <w:lvlText w:val="•"/>
      <w:lvlJc w:val="left"/>
      <w:pPr>
        <w:ind w:left="1080" w:hanging="360"/>
      </w:pPr>
      <w:rPr>
        <w:rFonts w:ascii="Calibri" w:hAnsi="Calibri" w:hint="default"/>
      </w:rPr>
    </w:lvl>
    <w:lvl w:ilvl="2" w:tplc="FA58A902" w:tentative="1">
      <w:start w:val="1"/>
      <w:numFmt w:val="bullet"/>
      <w:lvlText w:val=""/>
      <w:lvlJc w:val="left"/>
      <w:pPr>
        <w:ind w:left="1800" w:hanging="360"/>
      </w:pPr>
      <w:rPr>
        <w:rFonts w:ascii="Wingdings" w:hAnsi="Wingdings" w:hint="default"/>
      </w:rPr>
    </w:lvl>
    <w:lvl w:ilvl="3" w:tplc="3BFEED7C" w:tentative="1">
      <w:start w:val="1"/>
      <w:numFmt w:val="bullet"/>
      <w:lvlText w:val=""/>
      <w:lvlJc w:val="left"/>
      <w:pPr>
        <w:ind w:left="2520" w:hanging="360"/>
      </w:pPr>
      <w:rPr>
        <w:rFonts w:ascii="Symbol" w:hAnsi="Symbol" w:hint="default"/>
      </w:rPr>
    </w:lvl>
    <w:lvl w:ilvl="4" w:tplc="66CC0BF2" w:tentative="1">
      <w:start w:val="1"/>
      <w:numFmt w:val="bullet"/>
      <w:lvlText w:val="o"/>
      <w:lvlJc w:val="left"/>
      <w:pPr>
        <w:ind w:left="3240" w:hanging="360"/>
      </w:pPr>
      <w:rPr>
        <w:rFonts w:ascii="Courier New" w:hAnsi="Courier New" w:hint="default"/>
      </w:rPr>
    </w:lvl>
    <w:lvl w:ilvl="5" w:tplc="B90A5FDC" w:tentative="1">
      <w:start w:val="1"/>
      <w:numFmt w:val="bullet"/>
      <w:lvlText w:val=""/>
      <w:lvlJc w:val="left"/>
      <w:pPr>
        <w:ind w:left="3960" w:hanging="360"/>
      </w:pPr>
      <w:rPr>
        <w:rFonts w:ascii="Wingdings" w:hAnsi="Wingdings" w:hint="default"/>
      </w:rPr>
    </w:lvl>
    <w:lvl w:ilvl="6" w:tplc="F00811BA" w:tentative="1">
      <w:start w:val="1"/>
      <w:numFmt w:val="bullet"/>
      <w:lvlText w:val=""/>
      <w:lvlJc w:val="left"/>
      <w:pPr>
        <w:ind w:left="4680" w:hanging="360"/>
      </w:pPr>
      <w:rPr>
        <w:rFonts w:ascii="Symbol" w:hAnsi="Symbol" w:hint="default"/>
      </w:rPr>
    </w:lvl>
    <w:lvl w:ilvl="7" w:tplc="85687F40" w:tentative="1">
      <w:start w:val="1"/>
      <w:numFmt w:val="bullet"/>
      <w:lvlText w:val="o"/>
      <w:lvlJc w:val="left"/>
      <w:pPr>
        <w:ind w:left="5400" w:hanging="360"/>
      </w:pPr>
      <w:rPr>
        <w:rFonts w:ascii="Courier New" w:hAnsi="Courier New" w:hint="default"/>
      </w:rPr>
    </w:lvl>
    <w:lvl w:ilvl="8" w:tplc="25E65A34" w:tentative="1">
      <w:start w:val="1"/>
      <w:numFmt w:val="bullet"/>
      <w:lvlText w:val=""/>
      <w:lvlJc w:val="left"/>
      <w:pPr>
        <w:ind w:left="6120" w:hanging="360"/>
      </w:pPr>
      <w:rPr>
        <w:rFonts w:ascii="Wingdings" w:hAnsi="Wingdings" w:hint="default"/>
      </w:rPr>
    </w:lvl>
  </w:abstractNum>
  <w:abstractNum w:abstractNumId="19" w15:restartNumberingAfterBreak="0">
    <w:nsid w:val="31984B80"/>
    <w:multiLevelType w:val="hybridMultilevel"/>
    <w:tmpl w:val="67F0B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B81B03"/>
    <w:multiLevelType w:val="multilevel"/>
    <w:tmpl w:val="0994AE9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5F063B"/>
    <w:multiLevelType w:val="hybridMultilevel"/>
    <w:tmpl w:val="5296AB72"/>
    <w:lvl w:ilvl="0" w:tplc="18922012">
      <w:start w:val="1"/>
      <w:numFmt w:val="bullet"/>
      <w:lvlText w:val=""/>
      <w:lvlJc w:val="left"/>
      <w:pPr>
        <w:ind w:left="1080" w:hanging="360"/>
      </w:pPr>
      <w:rPr>
        <w:rFonts w:ascii="Symbol" w:hAnsi="Symbol" w:hint="default"/>
      </w:rPr>
    </w:lvl>
    <w:lvl w:ilvl="1" w:tplc="986A8DCA" w:tentative="1">
      <w:start w:val="1"/>
      <w:numFmt w:val="bullet"/>
      <w:lvlText w:val="o"/>
      <w:lvlJc w:val="left"/>
      <w:pPr>
        <w:ind w:left="1800" w:hanging="360"/>
      </w:pPr>
      <w:rPr>
        <w:rFonts w:ascii="Courier New" w:hAnsi="Courier New" w:hint="default"/>
      </w:rPr>
    </w:lvl>
    <w:lvl w:ilvl="2" w:tplc="EA56689A" w:tentative="1">
      <w:start w:val="1"/>
      <w:numFmt w:val="bullet"/>
      <w:lvlText w:val=""/>
      <w:lvlJc w:val="left"/>
      <w:pPr>
        <w:ind w:left="2520" w:hanging="360"/>
      </w:pPr>
      <w:rPr>
        <w:rFonts w:ascii="Wingdings" w:hAnsi="Wingdings" w:hint="default"/>
      </w:rPr>
    </w:lvl>
    <w:lvl w:ilvl="3" w:tplc="3F3EA524" w:tentative="1">
      <w:start w:val="1"/>
      <w:numFmt w:val="bullet"/>
      <w:lvlText w:val=""/>
      <w:lvlJc w:val="left"/>
      <w:pPr>
        <w:ind w:left="3240" w:hanging="360"/>
      </w:pPr>
      <w:rPr>
        <w:rFonts w:ascii="Symbol" w:hAnsi="Symbol" w:hint="default"/>
      </w:rPr>
    </w:lvl>
    <w:lvl w:ilvl="4" w:tplc="C62E67A8" w:tentative="1">
      <w:start w:val="1"/>
      <w:numFmt w:val="bullet"/>
      <w:lvlText w:val="o"/>
      <w:lvlJc w:val="left"/>
      <w:pPr>
        <w:ind w:left="3960" w:hanging="360"/>
      </w:pPr>
      <w:rPr>
        <w:rFonts w:ascii="Courier New" w:hAnsi="Courier New" w:hint="default"/>
      </w:rPr>
    </w:lvl>
    <w:lvl w:ilvl="5" w:tplc="1640E102" w:tentative="1">
      <w:start w:val="1"/>
      <w:numFmt w:val="bullet"/>
      <w:lvlText w:val=""/>
      <w:lvlJc w:val="left"/>
      <w:pPr>
        <w:ind w:left="4680" w:hanging="360"/>
      </w:pPr>
      <w:rPr>
        <w:rFonts w:ascii="Wingdings" w:hAnsi="Wingdings" w:hint="default"/>
      </w:rPr>
    </w:lvl>
    <w:lvl w:ilvl="6" w:tplc="B00C52B0" w:tentative="1">
      <w:start w:val="1"/>
      <w:numFmt w:val="bullet"/>
      <w:lvlText w:val=""/>
      <w:lvlJc w:val="left"/>
      <w:pPr>
        <w:ind w:left="5400" w:hanging="360"/>
      </w:pPr>
      <w:rPr>
        <w:rFonts w:ascii="Symbol" w:hAnsi="Symbol" w:hint="default"/>
      </w:rPr>
    </w:lvl>
    <w:lvl w:ilvl="7" w:tplc="ACE2E0BC" w:tentative="1">
      <w:start w:val="1"/>
      <w:numFmt w:val="bullet"/>
      <w:lvlText w:val="o"/>
      <w:lvlJc w:val="left"/>
      <w:pPr>
        <w:ind w:left="6120" w:hanging="360"/>
      </w:pPr>
      <w:rPr>
        <w:rFonts w:ascii="Courier New" w:hAnsi="Courier New" w:hint="default"/>
      </w:rPr>
    </w:lvl>
    <w:lvl w:ilvl="8" w:tplc="4B6E3B84" w:tentative="1">
      <w:start w:val="1"/>
      <w:numFmt w:val="bullet"/>
      <w:lvlText w:val=""/>
      <w:lvlJc w:val="left"/>
      <w:pPr>
        <w:ind w:left="6840" w:hanging="360"/>
      </w:pPr>
      <w:rPr>
        <w:rFonts w:ascii="Wingdings" w:hAnsi="Wingdings" w:hint="default"/>
      </w:rPr>
    </w:lvl>
  </w:abstractNum>
  <w:abstractNum w:abstractNumId="22" w15:restartNumberingAfterBreak="0">
    <w:nsid w:val="3E6B44D4"/>
    <w:multiLevelType w:val="hybridMultilevel"/>
    <w:tmpl w:val="11122CD4"/>
    <w:lvl w:ilvl="0" w:tplc="698A43B2">
      <w:start w:val="1"/>
      <w:numFmt w:val="bullet"/>
      <w:lvlText w:val=""/>
      <w:lvlJc w:val="left"/>
      <w:pPr>
        <w:ind w:left="360" w:hanging="360"/>
      </w:pPr>
      <w:rPr>
        <w:rFonts w:ascii="Wingdings" w:hAnsi="Wingdings" w:hint="default"/>
      </w:rPr>
    </w:lvl>
    <w:lvl w:ilvl="1" w:tplc="6532B2F6" w:tentative="1">
      <w:start w:val="1"/>
      <w:numFmt w:val="bullet"/>
      <w:lvlText w:val="o"/>
      <w:lvlJc w:val="left"/>
      <w:pPr>
        <w:ind w:left="1080" w:hanging="360"/>
      </w:pPr>
      <w:rPr>
        <w:rFonts w:ascii="Courier New" w:hAnsi="Courier New" w:hint="default"/>
      </w:rPr>
    </w:lvl>
    <w:lvl w:ilvl="2" w:tplc="3E8258D2" w:tentative="1">
      <w:start w:val="1"/>
      <w:numFmt w:val="bullet"/>
      <w:lvlText w:val=""/>
      <w:lvlJc w:val="left"/>
      <w:pPr>
        <w:ind w:left="1800" w:hanging="360"/>
      </w:pPr>
      <w:rPr>
        <w:rFonts w:ascii="Wingdings" w:hAnsi="Wingdings" w:hint="default"/>
      </w:rPr>
    </w:lvl>
    <w:lvl w:ilvl="3" w:tplc="F0C8B2F2" w:tentative="1">
      <w:start w:val="1"/>
      <w:numFmt w:val="bullet"/>
      <w:lvlText w:val=""/>
      <w:lvlJc w:val="left"/>
      <w:pPr>
        <w:ind w:left="2520" w:hanging="360"/>
      </w:pPr>
      <w:rPr>
        <w:rFonts w:ascii="Symbol" w:hAnsi="Symbol" w:hint="default"/>
      </w:rPr>
    </w:lvl>
    <w:lvl w:ilvl="4" w:tplc="6A5497F2" w:tentative="1">
      <w:start w:val="1"/>
      <w:numFmt w:val="bullet"/>
      <w:lvlText w:val="o"/>
      <w:lvlJc w:val="left"/>
      <w:pPr>
        <w:ind w:left="3240" w:hanging="360"/>
      </w:pPr>
      <w:rPr>
        <w:rFonts w:ascii="Courier New" w:hAnsi="Courier New" w:hint="default"/>
      </w:rPr>
    </w:lvl>
    <w:lvl w:ilvl="5" w:tplc="8EF61BF2" w:tentative="1">
      <w:start w:val="1"/>
      <w:numFmt w:val="bullet"/>
      <w:lvlText w:val=""/>
      <w:lvlJc w:val="left"/>
      <w:pPr>
        <w:ind w:left="3960" w:hanging="360"/>
      </w:pPr>
      <w:rPr>
        <w:rFonts w:ascii="Wingdings" w:hAnsi="Wingdings" w:hint="default"/>
      </w:rPr>
    </w:lvl>
    <w:lvl w:ilvl="6" w:tplc="88B6479C" w:tentative="1">
      <w:start w:val="1"/>
      <w:numFmt w:val="bullet"/>
      <w:lvlText w:val=""/>
      <w:lvlJc w:val="left"/>
      <w:pPr>
        <w:ind w:left="4680" w:hanging="360"/>
      </w:pPr>
      <w:rPr>
        <w:rFonts w:ascii="Symbol" w:hAnsi="Symbol" w:hint="default"/>
      </w:rPr>
    </w:lvl>
    <w:lvl w:ilvl="7" w:tplc="8ED0602A" w:tentative="1">
      <w:start w:val="1"/>
      <w:numFmt w:val="bullet"/>
      <w:lvlText w:val="o"/>
      <w:lvlJc w:val="left"/>
      <w:pPr>
        <w:ind w:left="5400" w:hanging="360"/>
      </w:pPr>
      <w:rPr>
        <w:rFonts w:ascii="Courier New" w:hAnsi="Courier New" w:hint="default"/>
      </w:rPr>
    </w:lvl>
    <w:lvl w:ilvl="8" w:tplc="A65455EA" w:tentative="1">
      <w:start w:val="1"/>
      <w:numFmt w:val="bullet"/>
      <w:lvlText w:val=""/>
      <w:lvlJc w:val="left"/>
      <w:pPr>
        <w:ind w:left="6120" w:hanging="360"/>
      </w:pPr>
      <w:rPr>
        <w:rFonts w:ascii="Wingdings" w:hAnsi="Wingdings" w:hint="default"/>
      </w:rPr>
    </w:lvl>
  </w:abstractNum>
  <w:abstractNum w:abstractNumId="23" w15:restartNumberingAfterBreak="0">
    <w:nsid w:val="400A7CBD"/>
    <w:multiLevelType w:val="hybridMultilevel"/>
    <w:tmpl w:val="8340963A"/>
    <w:lvl w:ilvl="0" w:tplc="D5104F4A">
      <w:start w:val="1"/>
      <w:numFmt w:val="bullet"/>
      <w:lvlText w:val=""/>
      <w:lvlJc w:val="left"/>
      <w:pPr>
        <w:ind w:left="1077" w:hanging="360"/>
      </w:pPr>
      <w:rPr>
        <w:rFonts w:ascii="Symbol" w:hAnsi="Symbol" w:hint="default"/>
      </w:rPr>
    </w:lvl>
    <w:lvl w:ilvl="1" w:tplc="33F0D4DA" w:tentative="1">
      <w:start w:val="1"/>
      <w:numFmt w:val="bullet"/>
      <w:lvlText w:val="o"/>
      <w:lvlJc w:val="left"/>
      <w:pPr>
        <w:ind w:left="1797" w:hanging="360"/>
      </w:pPr>
      <w:rPr>
        <w:rFonts w:ascii="Courier New" w:hAnsi="Courier New" w:hint="default"/>
      </w:rPr>
    </w:lvl>
    <w:lvl w:ilvl="2" w:tplc="32E4B4A6" w:tentative="1">
      <w:start w:val="1"/>
      <w:numFmt w:val="bullet"/>
      <w:lvlText w:val=""/>
      <w:lvlJc w:val="left"/>
      <w:pPr>
        <w:ind w:left="2517" w:hanging="360"/>
      </w:pPr>
      <w:rPr>
        <w:rFonts w:ascii="Wingdings" w:hAnsi="Wingdings" w:hint="default"/>
      </w:rPr>
    </w:lvl>
    <w:lvl w:ilvl="3" w:tplc="BAC01236" w:tentative="1">
      <w:start w:val="1"/>
      <w:numFmt w:val="bullet"/>
      <w:lvlText w:val=""/>
      <w:lvlJc w:val="left"/>
      <w:pPr>
        <w:ind w:left="3237" w:hanging="360"/>
      </w:pPr>
      <w:rPr>
        <w:rFonts w:ascii="Symbol" w:hAnsi="Symbol" w:hint="default"/>
      </w:rPr>
    </w:lvl>
    <w:lvl w:ilvl="4" w:tplc="180012DC" w:tentative="1">
      <w:start w:val="1"/>
      <w:numFmt w:val="bullet"/>
      <w:lvlText w:val="o"/>
      <w:lvlJc w:val="left"/>
      <w:pPr>
        <w:ind w:left="3957" w:hanging="360"/>
      </w:pPr>
      <w:rPr>
        <w:rFonts w:ascii="Courier New" w:hAnsi="Courier New" w:hint="default"/>
      </w:rPr>
    </w:lvl>
    <w:lvl w:ilvl="5" w:tplc="E1F06F8A" w:tentative="1">
      <w:start w:val="1"/>
      <w:numFmt w:val="bullet"/>
      <w:lvlText w:val=""/>
      <w:lvlJc w:val="left"/>
      <w:pPr>
        <w:ind w:left="4677" w:hanging="360"/>
      </w:pPr>
      <w:rPr>
        <w:rFonts w:ascii="Wingdings" w:hAnsi="Wingdings" w:hint="default"/>
      </w:rPr>
    </w:lvl>
    <w:lvl w:ilvl="6" w:tplc="69229CDC" w:tentative="1">
      <w:start w:val="1"/>
      <w:numFmt w:val="bullet"/>
      <w:lvlText w:val=""/>
      <w:lvlJc w:val="left"/>
      <w:pPr>
        <w:ind w:left="5397" w:hanging="360"/>
      </w:pPr>
      <w:rPr>
        <w:rFonts w:ascii="Symbol" w:hAnsi="Symbol" w:hint="default"/>
      </w:rPr>
    </w:lvl>
    <w:lvl w:ilvl="7" w:tplc="39DC20EA" w:tentative="1">
      <w:start w:val="1"/>
      <w:numFmt w:val="bullet"/>
      <w:lvlText w:val="o"/>
      <w:lvlJc w:val="left"/>
      <w:pPr>
        <w:ind w:left="6117" w:hanging="360"/>
      </w:pPr>
      <w:rPr>
        <w:rFonts w:ascii="Courier New" w:hAnsi="Courier New" w:hint="default"/>
      </w:rPr>
    </w:lvl>
    <w:lvl w:ilvl="8" w:tplc="1BBC7BBE" w:tentative="1">
      <w:start w:val="1"/>
      <w:numFmt w:val="bullet"/>
      <w:lvlText w:val=""/>
      <w:lvlJc w:val="left"/>
      <w:pPr>
        <w:ind w:left="6837" w:hanging="360"/>
      </w:pPr>
      <w:rPr>
        <w:rFonts w:ascii="Wingdings" w:hAnsi="Wingdings" w:hint="default"/>
      </w:rPr>
    </w:lvl>
  </w:abstractNum>
  <w:abstractNum w:abstractNumId="24" w15:restartNumberingAfterBreak="0">
    <w:nsid w:val="40443D5A"/>
    <w:multiLevelType w:val="multilevel"/>
    <w:tmpl w:val="7EEC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22076A"/>
    <w:multiLevelType w:val="hybridMultilevel"/>
    <w:tmpl w:val="5FCCA37E"/>
    <w:lvl w:ilvl="0" w:tplc="99500BD4">
      <w:start w:val="1"/>
      <w:numFmt w:val="bullet"/>
      <w:lvlText w:val=""/>
      <w:lvlJc w:val="left"/>
      <w:pPr>
        <w:ind w:left="720" w:hanging="360"/>
      </w:pPr>
      <w:rPr>
        <w:rFonts w:ascii="Symbol" w:hAnsi="Symbol" w:hint="default"/>
      </w:rPr>
    </w:lvl>
    <w:lvl w:ilvl="1" w:tplc="0472DEF8" w:tentative="1">
      <w:start w:val="1"/>
      <w:numFmt w:val="bullet"/>
      <w:lvlText w:val="o"/>
      <w:lvlJc w:val="left"/>
      <w:pPr>
        <w:ind w:left="1440" w:hanging="360"/>
      </w:pPr>
      <w:rPr>
        <w:rFonts w:ascii="Courier New" w:hAnsi="Courier New" w:hint="default"/>
      </w:rPr>
    </w:lvl>
    <w:lvl w:ilvl="2" w:tplc="5D9C7F8E" w:tentative="1">
      <w:start w:val="1"/>
      <w:numFmt w:val="bullet"/>
      <w:lvlText w:val=""/>
      <w:lvlJc w:val="left"/>
      <w:pPr>
        <w:ind w:left="2160" w:hanging="360"/>
      </w:pPr>
      <w:rPr>
        <w:rFonts w:ascii="Wingdings" w:hAnsi="Wingdings" w:hint="default"/>
      </w:rPr>
    </w:lvl>
    <w:lvl w:ilvl="3" w:tplc="CCE2919A" w:tentative="1">
      <w:start w:val="1"/>
      <w:numFmt w:val="bullet"/>
      <w:lvlText w:val=""/>
      <w:lvlJc w:val="left"/>
      <w:pPr>
        <w:ind w:left="2880" w:hanging="360"/>
      </w:pPr>
      <w:rPr>
        <w:rFonts w:ascii="Symbol" w:hAnsi="Symbol" w:hint="default"/>
      </w:rPr>
    </w:lvl>
    <w:lvl w:ilvl="4" w:tplc="4AC49D58" w:tentative="1">
      <w:start w:val="1"/>
      <w:numFmt w:val="bullet"/>
      <w:lvlText w:val="o"/>
      <w:lvlJc w:val="left"/>
      <w:pPr>
        <w:ind w:left="3600" w:hanging="360"/>
      </w:pPr>
      <w:rPr>
        <w:rFonts w:ascii="Courier New" w:hAnsi="Courier New" w:hint="default"/>
      </w:rPr>
    </w:lvl>
    <w:lvl w:ilvl="5" w:tplc="D7E27300" w:tentative="1">
      <w:start w:val="1"/>
      <w:numFmt w:val="bullet"/>
      <w:lvlText w:val=""/>
      <w:lvlJc w:val="left"/>
      <w:pPr>
        <w:ind w:left="4320" w:hanging="360"/>
      </w:pPr>
      <w:rPr>
        <w:rFonts w:ascii="Wingdings" w:hAnsi="Wingdings" w:hint="default"/>
      </w:rPr>
    </w:lvl>
    <w:lvl w:ilvl="6" w:tplc="5DBA0532" w:tentative="1">
      <w:start w:val="1"/>
      <w:numFmt w:val="bullet"/>
      <w:lvlText w:val=""/>
      <w:lvlJc w:val="left"/>
      <w:pPr>
        <w:ind w:left="5040" w:hanging="360"/>
      </w:pPr>
      <w:rPr>
        <w:rFonts w:ascii="Symbol" w:hAnsi="Symbol" w:hint="default"/>
      </w:rPr>
    </w:lvl>
    <w:lvl w:ilvl="7" w:tplc="A2E25C92" w:tentative="1">
      <w:start w:val="1"/>
      <w:numFmt w:val="bullet"/>
      <w:lvlText w:val="o"/>
      <w:lvlJc w:val="left"/>
      <w:pPr>
        <w:ind w:left="5760" w:hanging="360"/>
      </w:pPr>
      <w:rPr>
        <w:rFonts w:ascii="Courier New" w:hAnsi="Courier New" w:hint="default"/>
      </w:rPr>
    </w:lvl>
    <w:lvl w:ilvl="8" w:tplc="A06E214E" w:tentative="1">
      <w:start w:val="1"/>
      <w:numFmt w:val="bullet"/>
      <w:lvlText w:val=""/>
      <w:lvlJc w:val="left"/>
      <w:pPr>
        <w:ind w:left="6480" w:hanging="360"/>
      </w:pPr>
      <w:rPr>
        <w:rFonts w:ascii="Wingdings" w:hAnsi="Wingdings" w:hint="default"/>
      </w:rPr>
    </w:lvl>
  </w:abstractNum>
  <w:abstractNum w:abstractNumId="26" w15:restartNumberingAfterBreak="0">
    <w:nsid w:val="42993461"/>
    <w:multiLevelType w:val="hybridMultilevel"/>
    <w:tmpl w:val="4F14078E"/>
    <w:lvl w:ilvl="0" w:tplc="218664FE">
      <w:start w:val="1"/>
      <w:numFmt w:val="bullet"/>
      <w:lvlText w:val=""/>
      <w:lvlJc w:val="left"/>
      <w:pPr>
        <w:ind w:left="720" w:hanging="360"/>
      </w:pPr>
      <w:rPr>
        <w:rFonts w:ascii="Symbol" w:hAnsi="Symbol"/>
      </w:rPr>
    </w:lvl>
    <w:lvl w:ilvl="1" w:tplc="F1F27222">
      <w:start w:val="1"/>
      <w:numFmt w:val="bullet"/>
      <w:lvlText w:val=""/>
      <w:lvlJc w:val="left"/>
      <w:pPr>
        <w:ind w:left="720" w:hanging="360"/>
      </w:pPr>
      <w:rPr>
        <w:rFonts w:ascii="Symbol" w:hAnsi="Symbol"/>
      </w:rPr>
    </w:lvl>
    <w:lvl w:ilvl="2" w:tplc="23980742">
      <w:start w:val="1"/>
      <w:numFmt w:val="bullet"/>
      <w:lvlText w:val=""/>
      <w:lvlJc w:val="left"/>
      <w:pPr>
        <w:ind w:left="720" w:hanging="360"/>
      </w:pPr>
      <w:rPr>
        <w:rFonts w:ascii="Symbol" w:hAnsi="Symbol"/>
      </w:rPr>
    </w:lvl>
    <w:lvl w:ilvl="3" w:tplc="EDC05CB6">
      <w:start w:val="1"/>
      <w:numFmt w:val="bullet"/>
      <w:lvlText w:val=""/>
      <w:lvlJc w:val="left"/>
      <w:pPr>
        <w:ind w:left="720" w:hanging="360"/>
      </w:pPr>
      <w:rPr>
        <w:rFonts w:ascii="Symbol" w:hAnsi="Symbol"/>
      </w:rPr>
    </w:lvl>
    <w:lvl w:ilvl="4" w:tplc="37D68EEE">
      <w:start w:val="1"/>
      <w:numFmt w:val="bullet"/>
      <w:lvlText w:val=""/>
      <w:lvlJc w:val="left"/>
      <w:pPr>
        <w:ind w:left="720" w:hanging="360"/>
      </w:pPr>
      <w:rPr>
        <w:rFonts w:ascii="Symbol" w:hAnsi="Symbol"/>
      </w:rPr>
    </w:lvl>
    <w:lvl w:ilvl="5" w:tplc="D8FA9C40">
      <w:start w:val="1"/>
      <w:numFmt w:val="bullet"/>
      <w:lvlText w:val=""/>
      <w:lvlJc w:val="left"/>
      <w:pPr>
        <w:ind w:left="720" w:hanging="360"/>
      </w:pPr>
      <w:rPr>
        <w:rFonts w:ascii="Symbol" w:hAnsi="Symbol"/>
      </w:rPr>
    </w:lvl>
    <w:lvl w:ilvl="6" w:tplc="DE424F2E">
      <w:start w:val="1"/>
      <w:numFmt w:val="bullet"/>
      <w:lvlText w:val=""/>
      <w:lvlJc w:val="left"/>
      <w:pPr>
        <w:ind w:left="720" w:hanging="360"/>
      </w:pPr>
      <w:rPr>
        <w:rFonts w:ascii="Symbol" w:hAnsi="Symbol"/>
      </w:rPr>
    </w:lvl>
    <w:lvl w:ilvl="7" w:tplc="15C82152">
      <w:start w:val="1"/>
      <w:numFmt w:val="bullet"/>
      <w:lvlText w:val=""/>
      <w:lvlJc w:val="left"/>
      <w:pPr>
        <w:ind w:left="720" w:hanging="360"/>
      </w:pPr>
      <w:rPr>
        <w:rFonts w:ascii="Symbol" w:hAnsi="Symbol"/>
      </w:rPr>
    </w:lvl>
    <w:lvl w:ilvl="8" w:tplc="C2A258FA">
      <w:start w:val="1"/>
      <w:numFmt w:val="bullet"/>
      <w:lvlText w:val=""/>
      <w:lvlJc w:val="left"/>
      <w:pPr>
        <w:ind w:left="720" w:hanging="360"/>
      </w:pPr>
      <w:rPr>
        <w:rFonts w:ascii="Symbol" w:hAnsi="Symbol"/>
      </w:rPr>
    </w:lvl>
  </w:abstractNum>
  <w:abstractNum w:abstractNumId="27" w15:restartNumberingAfterBreak="0">
    <w:nsid w:val="43AB2BD5"/>
    <w:multiLevelType w:val="multilevel"/>
    <w:tmpl w:val="98EE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077A22"/>
    <w:multiLevelType w:val="multilevel"/>
    <w:tmpl w:val="648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396EF4"/>
    <w:multiLevelType w:val="hybridMultilevel"/>
    <w:tmpl w:val="CFFECA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785CF8"/>
    <w:multiLevelType w:val="multilevel"/>
    <w:tmpl w:val="7EEC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011882"/>
    <w:multiLevelType w:val="hybridMultilevel"/>
    <w:tmpl w:val="03FE6E86"/>
    <w:lvl w:ilvl="0" w:tplc="6F64DC14">
      <w:start w:val="1"/>
      <w:numFmt w:val="decimal"/>
      <w:lvlText w:val="%1."/>
      <w:lvlJc w:val="left"/>
      <w:pPr>
        <w:ind w:left="720" w:hanging="360"/>
      </w:pPr>
      <w:rPr>
        <w:rFonts w:hint="default"/>
        <w:b/>
        <w:bCs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2C1170"/>
    <w:multiLevelType w:val="hybridMultilevel"/>
    <w:tmpl w:val="0994EFE6"/>
    <w:lvl w:ilvl="0" w:tplc="0C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8627906"/>
    <w:multiLevelType w:val="hybridMultilevel"/>
    <w:tmpl w:val="4514925A"/>
    <w:lvl w:ilvl="0" w:tplc="A1F6EDB2">
      <w:start w:val="1"/>
      <w:numFmt w:val="bullet"/>
      <w:lvlText w:val=""/>
      <w:lvlJc w:val="left"/>
      <w:pPr>
        <w:ind w:left="1077" w:hanging="360"/>
      </w:pPr>
      <w:rPr>
        <w:rFonts w:ascii="Symbol" w:hAnsi="Symbol" w:hint="default"/>
      </w:rPr>
    </w:lvl>
    <w:lvl w:ilvl="1" w:tplc="8F22B430" w:tentative="1">
      <w:start w:val="1"/>
      <w:numFmt w:val="bullet"/>
      <w:lvlText w:val="o"/>
      <w:lvlJc w:val="left"/>
      <w:pPr>
        <w:ind w:left="1797" w:hanging="360"/>
      </w:pPr>
      <w:rPr>
        <w:rFonts w:ascii="Courier New" w:hAnsi="Courier New" w:hint="default"/>
      </w:rPr>
    </w:lvl>
    <w:lvl w:ilvl="2" w:tplc="01D6C562" w:tentative="1">
      <w:start w:val="1"/>
      <w:numFmt w:val="bullet"/>
      <w:lvlText w:val=""/>
      <w:lvlJc w:val="left"/>
      <w:pPr>
        <w:ind w:left="2517" w:hanging="360"/>
      </w:pPr>
      <w:rPr>
        <w:rFonts w:ascii="Wingdings" w:hAnsi="Wingdings" w:hint="default"/>
      </w:rPr>
    </w:lvl>
    <w:lvl w:ilvl="3" w:tplc="B704A270" w:tentative="1">
      <w:start w:val="1"/>
      <w:numFmt w:val="bullet"/>
      <w:lvlText w:val=""/>
      <w:lvlJc w:val="left"/>
      <w:pPr>
        <w:ind w:left="3237" w:hanging="360"/>
      </w:pPr>
      <w:rPr>
        <w:rFonts w:ascii="Symbol" w:hAnsi="Symbol" w:hint="default"/>
      </w:rPr>
    </w:lvl>
    <w:lvl w:ilvl="4" w:tplc="0B9805CE" w:tentative="1">
      <w:start w:val="1"/>
      <w:numFmt w:val="bullet"/>
      <w:lvlText w:val="o"/>
      <w:lvlJc w:val="left"/>
      <w:pPr>
        <w:ind w:left="3957" w:hanging="360"/>
      </w:pPr>
      <w:rPr>
        <w:rFonts w:ascii="Courier New" w:hAnsi="Courier New" w:hint="default"/>
      </w:rPr>
    </w:lvl>
    <w:lvl w:ilvl="5" w:tplc="1F9E7980" w:tentative="1">
      <w:start w:val="1"/>
      <w:numFmt w:val="bullet"/>
      <w:lvlText w:val=""/>
      <w:lvlJc w:val="left"/>
      <w:pPr>
        <w:ind w:left="4677" w:hanging="360"/>
      </w:pPr>
      <w:rPr>
        <w:rFonts w:ascii="Wingdings" w:hAnsi="Wingdings" w:hint="default"/>
      </w:rPr>
    </w:lvl>
    <w:lvl w:ilvl="6" w:tplc="A430428C" w:tentative="1">
      <w:start w:val="1"/>
      <w:numFmt w:val="bullet"/>
      <w:lvlText w:val=""/>
      <w:lvlJc w:val="left"/>
      <w:pPr>
        <w:ind w:left="5397" w:hanging="360"/>
      </w:pPr>
      <w:rPr>
        <w:rFonts w:ascii="Symbol" w:hAnsi="Symbol" w:hint="default"/>
      </w:rPr>
    </w:lvl>
    <w:lvl w:ilvl="7" w:tplc="562AFE38" w:tentative="1">
      <w:start w:val="1"/>
      <w:numFmt w:val="bullet"/>
      <w:lvlText w:val="o"/>
      <w:lvlJc w:val="left"/>
      <w:pPr>
        <w:ind w:left="6117" w:hanging="360"/>
      </w:pPr>
      <w:rPr>
        <w:rFonts w:ascii="Courier New" w:hAnsi="Courier New" w:hint="default"/>
      </w:rPr>
    </w:lvl>
    <w:lvl w:ilvl="8" w:tplc="6C0A20DC" w:tentative="1">
      <w:start w:val="1"/>
      <w:numFmt w:val="bullet"/>
      <w:lvlText w:val=""/>
      <w:lvlJc w:val="left"/>
      <w:pPr>
        <w:ind w:left="6837" w:hanging="360"/>
      </w:pPr>
      <w:rPr>
        <w:rFonts w:ascii="Wingdings" w:hAnsi="Wingdings" w:hint="default"/>
      </w:rPr>
    </w:lvl>
  </w:abstractNum>
  <w:abstractNum w:abstractNumId="34" w15:restartNumberingAfterBreak="0">
    <w:nsid w:val="590D2395"/>
    <w:multiLevelType w:val="hybridMultilevel"/>
    <w:tmpl w:val="930EF258"/>
    <w:lvl w:ilvl="0" w:tplc="A4AE2D86">
      <w:start w:val="1"/>
      <w:numFmt w:val="bullet"/>
      <w:lvlText w:val=""/>
      <w:lvlJc w:val="left"/>
      <w:pPr>
        <w:ind w:left="720" w:hanging="360"/>
      </w:pPr>
      <w:rPr>
        <w:rFonts w:ascii="Symbol" w:hAnsi="Symbol"/>
      </w:rPr>
    </w:lvl>
    <w:lvl w:ilvl="1" w:tplc="C2D4CB12">
      <w:start w:val="1"/>
      <w:numFmt w:val="bullet"/>
      <w:lvlText w:val=""/>
      <w:lvlJc w:val="left"/>
      <w:pPr>
        <w:ind w:left="720" w:hanging="360"/>
      </w:pPr>
      <w:rPr>
        <w:rFonts w:ascii="Symbol" w:hAnsi="Symbol"/>
      </w:rPr>
    </w:lvl>
    <w:lvl w:ilvl="2" w:tplc="039CF250">
      <w:start w:val="1"/>
      <w:numFmt w:val="bullet"/>
      <w:lvlText w:val=""/>
      <w:lvlJc w:val="left"/>
      <w:pPr>
        <w:ind w:left="720" w:hanging="360"/>
      </w:pPr>
      <w:rPr>
        <w:rFonts w:ascii="Symbol" w:hAnsi="Symbol"/>
      </w:rPr>
    </w:lvl>
    <w:lvl w:ilvl="3" w:tplc="6C1CFECA">
      <w:start w:val="1"/>
      <w:numFmt w:val="bullet"/>
      <w:lvlText w:val=""/>
      <w:lvlJc w:val="left"/>
      <w:pPr>
        <w:ind w:left="720" w:hanging="360"/>
      </w:pPr>
      <w:rPr>
        <w:rFonts w:ascii="Symbol" w:hAnsi="Symbol"/>
      </w:rPr>
    </w:lvl>
    <w:lvl w:ilvl="4" w:tplc="3CECBC38">
      <w:start w:val="1"/>
      <w:numFmt w:val="bullet"/>
      <w:lvlText w:val=""/>
      <w:lvlJc w:val="left"/>
      <w:pPr>
        <w:ind w:left="720" w:hanging="360"/>
      </w:pPr>
      <w:rPr>
        <w:rFonts w:ascii="Symbol" w:hAnsi="Symbol"/>
      </w:rPr>
    </w:lvl>
    <w:lvl w:ilvl="5" w:tplc="413E77D0">
      <w:start w:val="1"/>
      <w:numFmt w:val="bullet"/>
      <w:lvlText w:val=""/>
      <w:lvlJc w:val="left"/>
      <w:pPr>
        <w:ind w:left="720" w:hanging="360"/>
      </w:pPr>
      <w:rPr>
        <w:rFonts w:ascii="Symbol" w:hAnsi="Symbol"/>
      </w:rPr>
    </w:lvl>
    <w:lvl w:ilvl="6" w:tplc="F80EFA3E">
      <w:start w:val="1"/>
      <w:numFmt w:val="bullet"/>
      <w:lvlText w:val=""/>
      <w:lvlJc w:val="left"/>
      <w:pPr>
        <w:ind w:left="720" w:hanging="360"/>
      </w:pPr>
      <w:rPr>
        <w:rFonts w:ascii="Symbol" w:hAnsi="Symbol"/>
      </w:rPr>
    </w:lvl>
    <w:lvl w:ilvl="7" w:tplc="C4A814CC">
      <w:start w:val="1"/>
      <w:numFmt w:val="bullet"/>
      <w:lvlText w:val=""/>
      <w:lvlJc w:val="left"/>
      <w:pPr>
        <w:ind w:left="720" w:hanging="360"/>
      </w:pPr>
      <w:rPr>
        <w:rFonts w:ascii="Symbol" w:hAnsi="Symbol"/>
      </w:rPr>
    </w:lvl>
    <w:lvl w:ilvl="8" w:tplc="3EBC28F6">
      <w:start w:val="1"/>
      <w:numFmt w:val="bullet"/>
      <w:lvlText w:val=""/>
      <w:lvlJc w:val="left"/>
      <w:pPr>
        <w:ind w:left="720" w:hanging="360"/>
      </w:pPr>
      <w:rPr>
        <w:rFonts w:ascii="Symbol" w:hAnsi="Symbol"/>
      </w:rPr>
    </w:lvl>
  </w:abstractNum>
  <w:abstractNum w:abstractNumId="35" w15:restartNumberingAfterBreak="0">
    <w:nsid w:val="59F12A4C"/>
    <w:multiLevelType w:val="hybridMultilevel"/>
    <w:tmpl w:val="1ECA8E34"/>
    <w:lvl w:ilvl="0" w:tplc="60785B70">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A6400D0"/>
    <w:multiLevelType w:val="multilevel"/>
    <w:tmpl w:val="7EEC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8E055A"/>
    <w:multiLevelType w:val="hybridMultilevel"/>
    <w:tmpl w:val="1D50E672"/>
    <w:lvl w:ilvl="0" w:tplc="4CC0CC50">
      <w:start w:val="1"/>
      <w:numFmt w:val="bullet"/>
      <w:lvlText w:val=""/>
      <w:lvlJc w:val="left"/>
      <w:pPr>
        <w:ind w:left="720" w:hanging="360"/>
      </w:pPr>
      <w:rPr>
        <w:rFonts w:ascii="Symbol" w:hAnsi="Symbol"/>
      </w:rPr>
    </w:lvl>
    <w:lvl w:ilvl="1" w:tplc="B8C63ACC">
      <w:start w:val="1"/>
      <w:numFmt w:val="bullet"/>
      <w:lvlText w:val=""/>
      <w:lvlJc w:val="left"/>
      <w:pPr>
        <w:ind w:left="720" w:hanging="360"/>
      </w:pPr>
      <w:rPr>
        <w:rFonts w:ascii="Symbol" w:hAnsi="Symbol"/>
      </w:rPr>
    </w:lvl>
    <w:lvl w:ilvl="2" w:tplc="1A628300">
      <w:start w:val="1"/>
      <w:numFmt w:val="bullet"/>
      <w:lvlText w:val=""/>
      <w:lvlJc w:val="left"/>
      <w:pPr>
        <w:ind w:left="720" w:hanging="360"/>
      </w:pPr>
      <w:rPr>
        <w:rFonts w:ascii="Symbol" w:hAnsi="Symbol"/>
      </w:rPr>
    </w:lvl>
    <w:lvl w:ilvl="3" w:tplc="2842F62A">
      <w:start w:val="1"/>
      <w:numFmt w:val="bullet"/>
      <w:lvlText w:val=""/>
      <w:lvlJc w:val="left"/>
      <w:pPr>
        <w:ind w:left="720" w:hanging="360"/>
      </w:pPr>
      <w:rPr>
        <w:rFonts w:ascii="Symbol" w:hAnsi="Symbol"/>
      </w:rPr>
    </w:lvl>
    <w:lvl w:ilvl="4" w:tplc="4D48462A">
      <w:start w:val="1"/>
      <w:numFmt w:val="bullet"/>
      <w:lvlText w:val=""/>
      <w:lvlJc w:val="left"/>
      <w:pPr>
        <w:ind w:left="720" w:hanging="360"/>
      </w:pPr>
      <w:rPr>
        <w:rFonts w:ascii="Symbol" w:hAnsi="Symbol"/>
      </w:rPr>
    </w:lvl>
    <w:lvl w:ilvl="5" w:tplc="16005DF6">
      <w:start w:val="1"/>
      <w:numFmt w:val="bullet"/>
      <w:lvlText w:val=""/>
      <w:lvlJc w:val="left"/>
      <w:pPr>
        <w:ind w:left="720" w:hanging="360"/>
      </w:pPr>
      <w:rPr>
        <w:rFonts w:ascii="Symbol" w:hAnsi="Symbol"/>
      </w:rPr>
    </w:lvl>
    <w:lvl w:ilvl="6" w:tplc="2AFAFF52">
      <w:start w:val="1"/>
      <w:numFmt w:val="bullet"/>
      <w:lvlText w:val=""/>
      <w:lvlJc w:val="left"/>
      <w:pPr>
        <w:ind w:left="720" w:hanging="360"/>
      </w:pPr>
      <w:rPr>
        <w:rFonts w:ascii="Symbol" w:hAnsi="Symbol"/>
      </w:rPr>
    </w:lvl>
    <w:lvl w:ilvl="7" w:tplc="9D042560">
      <w:start w:val="1"/>
      <w:numFmt w:val="bullet"/>
      <w:lvlText w:val=""/>
      <w:lvlJc w:val="left"/>
      <w:pPr>
        <w:ind w:left="720" w:hanging="360"/>
      </w:pPr>
      <w:rPr>
        <w:rFonts w:ascii="Symbol" w:hAnsi="Symbol"/>
      </w:rPr>
    </w:lvl>
    <w:lvl w:ilvl="8" w:tplc="43A0DBEA">
      <w:start w:val="1"/>
      <w:numFmt w:val="bullet"/>
      <w:lvlText w:val=""/>
      <w:lvlJc w:val="left"/>
      <w:pPr>
        <w:ind w:left="720" w:hanging="360"/>
      </w:pPr>
      <w:rPr>
        <w:rFonts w:ascii="Symbol" w:hAnsi="Symbol"/>
      </w:rPr>
    </w:lvl>
  </w:abstractNum>
  <w:abstractNum w:abstractNumId="38" w15:restartNumberingAfterBreak="0">
    <w:nsid w:val="643D4EE0"/>
    <w:multiLevelType w:val="hybridMultilevel"/>
    <w:tmpl w:val="911A11E2"/>
    <w:lvl w:ilvl="0" w:tplc="FA146AE4">
      <w:start w:val="1"/>
      <w:numFmt w:val="bullet"/>
      <w:lvlText w:val=""/>
      <w:lvlJc w:val="left"/>
      <w:pPr>
        <w:ind w:left="360" w:hanging="360"/>
      </w:pPr>
      <w:rPr>
        <w:rFonts w:ascii="Wingdings" w:hAnsi="Wingdings" w:hint="default"/>
      </w:rPr>
    </w:lvl>
    <w:lvl w:ilvl="1" w:tplc="33F81422" w:tentative="1">
      <w:start w:val="1"/>
      <w:numFmt w:val="bullet"/>
      <w:lvlText w:val="o"/>
      <w:lvlJc w:val="left"/>
      <w:pPr>
        <w:ind w:left="1080" w:hanging="360"/>
      </w:pPr>
      <w:rPr>
        <w:rFonts w:ascii="Courier New" w:hAnsi="Courier New" w:hint="default"/>
      </w:rPr>
    </w:lvl>
    <w:lvl w:ilvl="2" w:tplc="C0AC0B12" w:tentative="1">
      <w:start w:val="1"/>
      <w:numFmt w:val="bullet"/>
      <w:lvlText w:val=""/>
      <w:lvlJc w:val="left"/>
      <w:pPr>
        <w:ind w:left="1800" w:hanging="360"/>
      </w:pPr>
      <w:rPr>
        <w:rFonts w:ascii="Wingdings" w:hAnsi="Wingdings" w:hint="default"/>
      </w:rPr>
    </w:lvl>
    <w:lvl w:ilvl="3" w:tplc="032E6CD4" w:tentative="1">
      <w:start w:val="1"/>
      <w:numFmt w:val="bullet"/>
      <w:lvlText w:val=""/>
      <w:lvlJc w:val="left"/>
      <w:pPr>
        <w:ind w:left="2520" w:hanging="360"/>
      </w:pPr>
      <w:rPr>
        <w:rFonts w:ascii="Symbol" w:hAnsi="Symbol" w:hint="default"/>
      </w:rPr>
    </w:lvl>
    <w:lvl w:ilvl="4" w:tplc="A2A63578" w:tentative="1">
      <w:start w:val="1"/>
      <w:numFmt w:val="bullet"/>
      <w:lvlText w:val="o"/>
      <w:lvlJc w:val="left"/>
      <w:pPr>
        <w:ind w:left="3240" w:hanging="360"/>
      </w:pPr>
      <w:rPr>
        <w:rFonts w:ascii="Courier New" w:hAnsi="Courier New" w:hint="default"/>
      </w:rPr>
    </w:lvl>
    <w:lvl w:ilvl="5" w:tplc="99643630" w:tentative="1">
      <w:start w:val="1"/>
      <w:numFmt w:val="bullet"/>
      <w:lvlText w:val=""/>
      <w:lvlJc w:val="left"/>
      <w:pPr>
        <w:ind w:left="3960" w:hanging="360"/>
      </w:pPr>
      <w:rPr>
        <w:rFonts w:ascii="Wingdings" w:hAnsi="Wingdings" w:hint="default"/>
      </w:rPr>
    </w:lvl>
    <w:lvl w:ilvl="6" w:tplc="239207CE" w:tentative="1">
      <w:start w:val="1"/>
      <w:numFmt w:val="bullet"/>
      <w:lvlText w:val=""/>
      <w:lvlJc w:val="left"/>
      <w:pPr>
        <w:ind w:left="4680" w:hanging="360"/>
      </w:pPr>
      <w:rPr>
        <w:rFonts w:ascii="Symbol" w:hAnsi="Symbol" w:hint="default"/>
      </w:rPr>
    </w:lvl>
    <w:lvl w:ilvl="7" w:tplc="C39499F6" w:tentative="1">
      <w:start w:val="1"/>
      <w:numFmt w:val="bullet"/>
      <w:lvlText w:val="o"/>
      <w:lvlJc w:val="left"/>
      <w:pPr>
        <w:ind w:left="5400" w:hanging="360"/>
      </w:pPr>
      <w:rPr>
        <w:rFonts w:ascii="Courier New" w:hAnsi="Courier New" w:hint="default"/>
      </w:rPr>
    </w:lvl>
    <w:lvl w:ilvl="8" w:tplc="FD764B76" w:tentative="1">
      <w:start w:val="1"/>
      <w:numFmt w:val="bullet"/>
      <w:lvlText w:val=""/>
      <w:lvlJc w:val="left"/>
      <w:pPr>
        <w:ind w:left="6120" w:hanging="360"/>
      </w:pPr>
      <w:rPr>
        <w:rFonts w:ascii="Wingdings" w:hAnsi="Wingdings" w:hint="default"/>
      </w:rPr>
    </w:lvl>
  </w:abstractNum>
  <w:abstractNum w:abstractNumId="39" w15:restartNumberingAfterBreak="0">
    <w:nsid w:val="653501A6"/>
    <w:multiLevelType w:val="multilevel"/>
    <w:tmpl w:val="DB36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FE7F6F"/>
    <w:multiLevelType w:val="hybridMultilevel"/>
    <w:tmpl w:val="6F0EE63C"/>
    <w:lvl w:ilvl="0" w:tplc="C8B8CED4">
      <w:start w:val="1"/>
      <w:numFmt w:val="decimal"/>
      <w:lvlText w:val="%1."/>
      <w:lvlJc w:val="left"/>
      <w:pPr>
        <w:ind w:left="720" w:hanging="360"/>
      </w:pPr>
      <w:rPr>
        <w:b/>
        <w:bCs/>
      </w:rPr>
    </w:lvl>
    <w:lvl w:ilvl="1" w:tplc="1E1452AA" w:tentative="1">
      <w:start w:val="1"/>
      <w:numFmt w:val="bullet"/>
      <w:lvlText w:val="o"/>
      <w:lvlJc w:val="left"/>
      <w:pPr>
        <w:ind w:left="1440" w:hanging="360"/>
      </w:pPr>
      <w:rPr>
        <w:rFonts w:ascii="Courier New" w:hAnsi="Courier New" w:hint="default"/>
      </w:rPr>
    </w:lvl>
    <w:lvl w:ilvl="2" w:tplc="BA389B4E" w:tentative="1">
      <w:start w:val="1"/>
      <w:numFmt w:val="bullet"/>
      <w:lvlText w:val=""/>
      <w:lvlJc w:val="left"/>
      <w:pPr>
        <w:ind w:left="2160" w:hanging="360"/>
      </w:pPr>
      <w:rPr>
        <w:rFonts w:ascii="Wingdings" w:hAnsi="Wingdings" w:hint="default"/>
      </w:rPr>
    </w:lvl>
    <w:lvl w:ilvl="3" w:tplc="9E801762" w:tentative="1">
      <w:start w:val="1"/>
      <w:numFmt w:val="bullet"/>
      <w:lvlText w:val=""/>
      <w:lvlJc w:val="left"/>
      <w:pPr>
        <w:ind w:left="2880" w:hanging="360"/>
      </w:pPr>
      <w:rPr>
        <w:rFonts w:ascii="Symbol" w:hAnsi="Symbol" w:hint="default"/>
      </w:rPr>
    </w:lvl>
    <w:lvl w:ilvl="4" w:tplc="6344B45C" w:tentative="1">
      <w:start w:val="1"/>
      <w:numFmt w:val="bullet"/>
      <w:lvlText w:val="o"/>
      <w:lvlJc w:val="left"/>
      <w:pPr>
        <w:ind w:left="3600" w:hanging="360"/>
      </w:pPr>
      <w:rPr>
        <w:rFonts w:ascii="Courier New" w:hAnsi="Courier New" w:hint="default"/>
      </w:rPr>
    </w:lvl>
    <w:lvl w:ilvl="5" w:tplc="CC0A24F0" w:tentative="1">
      <w:start w:val="1"/>
      <w:numFmt w:val="bullet"/>
      <w:lvlText w:val=""/>
      <w:lvlJc w:val="left"/>
      <w:pPr>
        <w:ind w:left="4320" w:hanging="360"/>
      </w:pPr>
      <w:rPr>
        <w:rFonts w:ascii="Wingdings" w:hAnsi="Wingdings" w:hint="default"/>
      </w:rPr>
    </w:lvl>
    <w:lvl w:ilvl="6" w:tplc="714CD17E" w:tentative="1">
      <w:start w:val="1"/>
      <w:numFmt w:val="bullet"/>
      <w:lvlText w:val=""/>
      <w:lvlJc w:val="left"/>
      <w:pPr>
        <w:ind w:left="5040" w:hanging="360"/>
      </w:pPr>
      <w:rPr>
        <w:rFonts w:ascii="Symbol" w:hAnsi="Symbol" w:hint="default"/>
      </w:rPr>
    </w:lvl>
    <w:lvl w:ilvl="7" w:tplc="70FABD3E" w:tentative="1">
      <w:start w:val="1"/>
      <w:numFmt w:val="bullet"/>
      <w:lvlText w:val="o"/>
      <w:lvlJc w:val="left"/>
      <w:pPr>
        <w:ind w:left="5760" w:hanging="360"/>
      </w:pPr>
      <w:rPr>
        <w:rFonts w:ascii="Courier New" w:hAnsi="Courier New" w:hint="default"/>
      </w:rPr>
    </w:lvl>
    <w:lvl w:ilvl="8" w:tplc="A446B56C" w:tentative="1">
      <w:start w:val="1"/>
      <w:numFmt w:val="bullet"/>
      <w:lvlText w:val=""/>
      <w:lvlJc w:val="left"/>
      <w:pPr>
        <w:ind w:left="6480" w:hanging="360"/>
      </w:pPr>
      <w:rPr>
        <w:rFonts w:ascii="Wingdings" w:hAnsi="Wingdings" w:hint="default"/>
      </w:rPr>
    </w:lvl>
  </w:abstractNum>
  <w:abstractNum w:abstractNumId="41" w15:restartNumberingAfterBreak="0">
    <w:nsid w:val="68FC551D"/>
    <w:multiLevelType w:val="hybridMultilevel"/>
    <w:tmpl w:val="A5DEC152"/>
    <w:lvl w:ilvl="0" w:tplc="934C4AEA">
      <w:start w:val="1"/>
      <w:numFmt w:val="bullet"/>
      <w:lvlText w:val=""/>
      <w:lvlJc w:val="left"/>
      <w:pPr>
        <w:ind w:left="360" w:hanging="360"/>
      </w:pPr>
      <w:rPr>
        <w:rFonts w:ascii="Wingdings" w:hAnsi="Wingdings" w:hint="default"/>
      </w:rPr>
    </w:lvl>
    <w:lvl w:ilvl="1" w:tplc="42C88180" w:tentative="1">
      <w:start w:val="1"/>
      <w:numFmt w:val="bullet"/>
      <w:lvlText w:val="o"/>
      <w:lvlJc w:val="left"/>
      <w:pPr>
        <w:ind w:left="1080" w:hanging="360"/>
      </w:pPr>
      <w:rPr>
        <w:rFonts w:ascii="Courier New" w:hAnsi="Courier New" w:hint="default"/>
      </w:rPr>
    </w:lvl>
    <w:lvl w:ilvl="2" w:tplc="7AD2564C" w:tentative="1">
      <w:start w:val="1"/>
      <w:numFmt w:val="bullet"/>
      <w:lvlText w:val=""/>
      <w:lvlJc w:val="left"/>
      <w:pPr>
        <w:ind w:left="1800" w:hanging="360"/>
      </w:pPr>
      <w:rPr>
        <w:rFonts w:ascii="Wingdings" w:hAnsi="Wingdings" w:hint="default"/>
      </w:rPr>
    </w:lvl>
    <w:lvl w:ilvl="3" w:tplc="23B431F8" w:tentative="1">
      <w:start w:val="1"/>
      <w:numFmt w:val="bullet"/>
      <w:lvlText w:val=""/>
      <w:lvlJc w:val="left"/>
      <w:pPr>
        <w:ind w:left="2520" w:hanging="360"/>
      </w:pPr>
      <w:rPr>
        <w:rFonts w:ascii="Symbol" w:hAnsi="Symbol" w:hint="default"/>
      </w:rPr>
    </w:lvl>
    <w:lvl w:ilvl="4" w:tplc="4C887BC8" w:tentative="1">
      <w:start w:val="1"/>
      <w:numFmt w:val="bullet"/>
      <w:lvlText w:val="o"/>
      <w:lvlJc w:val="left"/>
      <w:pPr>
        <w:ind w:left="3240" w:hanging="360"/>
      </w:pPr>
      <w:rPr>
        <w:rFonts w:ascii="Courier New" w:hAnsi="Courier New" w:hint="default"/>
      </w:rPr>
    </w:lvl>
    <w:lvl w:ilvl="5" w:tplc="2BFEFC04" w:tentative="1">
      <w:start w:val="1"/>
      <w:numFmt w:val="bullet"/>
      <w:lvlText w:val=""/>
      <w:lvlJc w:val="left"/>
      <w:pPr>
        <w:ind w:left="3960" w:hanging="360"/>
      </w:pPr>
      <w:rPr>
        <w:rFonts w:ascii="Wingdings" w:hAnsi="Wingdings" w:hint="default"/>
      </w:rPr>
    </w:lvl>
    <w:lvl w:ilvl="6" w:tplc="E0C2F9A8" w:tentative="1">
      <w:start w:val="1"/>
      <w:numFmt w:val="bullet"/>
      <w:lvlText w:val=""/>
      <w:lvlJc w:val="left"/>
      <w:pPr>
        <w:ind w:left="4680" w:hanging="360"/>
      </w:pPr>
      <w:rPr>
        <w:rFonts w:ascii="Symbol" w:hAnsi="Symbol" w:hint="default"/>
      </w:rPr>
    </w:lvl>
    <w:lvl w:ilvl="7" w:tplc="2A2647BA" w:tentative="1">
      <w:start w:val="1"/>
      <w:numFmt w:val="bullet"/>
      <w:lvlText w:val="o"/>
      <w:lvlJc w:val="left"/>
      <w:pPr>
        <w:ind w:left="5400" w:hanging="360"/>
      </w:pPr>
      <w:rPr>
        <w:rFonts w:ascii="Courier New" w:hAnsi="Courier New" w:hint="default"/>
      </w:rPr>
    </w:lvl>
    <w:lvl w:ilvl="8" w:tplc="290C297A" w:tentative="1">
      <w:start w:val="1"/>
      <w:numFmt w:val="bullet"/>
      <w:lvlText w:val=""/>
      <w:lvlJc w:val="left"/>
      <w:pPr>
        <w:ind w:left="6120" w:hanging="360"/>
      </w:pPr>
      <w:rPr>
        <w:rFonts w:ascii="Wingdings" w:hAnsi="Wingdings" w:hint="default"/>
      </w:rPr>
    </w:lvl>
  </w:abstractNum>
  <w:abstractNum w:abstractNumId="42" w15:restartNumberingAfterBreak="0">
    <w:nsid w:val="6CCD47D5"/>
    <w:multiLevelType w:val="multilevel"/>
    <w:tmpl w:val="15C8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502230"/>
    <w:multiLevelType w:val="hybridMultilevel"/>
    <w:tmpl w:val="A42CABC8"/>
    <w:lvl w:ilvl="0" w:tplc="7C86AD18">
      <w:start w:val="1"/>
      <w:numFmt w:val="bullet"/>
      <w:lvlText w:val=""/>
      <w:lvlJc w:val="left"/>
      <w:pPr>
        <w:ind w:left="1077" w:hanging="360"/>
      </w:pPr>
      <w:rPr>
        <w:rFonts w:ascii="Symbol" w:hAnsi="Symbol" w:hint="default"/>
      </w:rPr>
    </w:lvl>
    <w:lvl w:ilvl="1" w:tplc="F1281B26" w:tentative="1">
      <w:start w:val="1"/>
      <w:numFmt w:val="bullet"/>
      <w:lvlText w:val="o"/>
      <w:lvlJc w:val="left"/>
      <w:pPr>
        <w:ind w:left="1797" w:hanging="360"/>
      </w:pPr>
      <w:rPr>
        <w:rFonts w:ascii="Courier New" w:hAnsi="Courier New" w:hint="default"/>
      </w:rPr>
    </w:lvl>
    <w:lvl w:ilvl="2" w:tplc="CE62259E" w:tentative="1">
      <w:start w:val="1"/>
      <w:numFmt w:val="bullet"/>
      <w:lvlText w:val=""/>
      <w:lvlJc w:val="left"/>
      <w:pPr>
        <w:ind w:left="2517" w:hanging="360"/>
      </w:pPr>
      <w:rPr>
        <w:rFonts w:ascii="Wingdings" w:hAnsi="Wingdings" w:hint="default"/>
      </w:rPr>
    </w:lvl>
    <w:lvl w:ilvl="3" w:tplc="96CEC6EE" w:tentative="1">
      <w:start w:val="1"/>
      <w:numFmt w:val="bullet"/>
      <w:lvlText w:val=""/>
      <w:lvlJc w:val="left"/>
      <w:pPr>
        <w:ind w:left="3237" w:hanging="360"/>
      </w:pPr>
      <w:rPr>
        <w:rFonts w:ascii="Symbol" w:hAnsi="Symbol" w:hint="default"/>
      </w:rPr>
    </w:lvl>
    <w:lvl w:ilvl="4" w:tplc="153846EA" w:tentative="1">
      <w:start w:val="1"/>
      <w:numFmt w:val="bullet"/>
      <w:lvlText w:val="o"/>
      <w:lvlJc w:val="left"/>
      <w:pPr>
        <w:ind w:left="3957" w:hanging="360"/>
      </w:pPr>
      <w:rPr>
        <w:rFonts w:ascii="Courier New" w:hAnsi="Courier New" w:hint="default"/>
      </w:rPr>
    </w:lvl>
    <w:lvl w:ilvl="5" w:tplc="116A5122" w:tentative="1">
      <w:start w:val="1"/>
      <w:numFmt w:val="bullet"/>
      <w:lvlText w:val=""/>
      <w:lvlJc w:val="left"/>
      <w:pPr>
        <w:ind w:left="4677" w:hanging="360"/>
      </w:pPr>
      <w:rPr>
        <w:rFonts w:ascii="Wingdings" w:hAnsi="Wingdings" w:hint="default"/>
      </w:rPr>
    </w:lvl>
    <w:lvl w:ilvl="6" w:tplc="18F6082C" w:tentative="1">
      <w:start w:val="1"/>
      <w:numFmt w:val="bullet"/>
      <w:lvlText w:val=""/>
      <w:lvlJc w:val="left"/>
      <w:pPr>
        <w:ind w:left="5397" w:hanging="360"/>
      </w:pPr>
      <w:rPr>
        <w:rFonts w:ascii="Symbol" w:hAnsi="Symbol" w:hint="default"/>
      </w:rPr>
    </w:lvl>
    <w:lvl w:ilvl="7" w:tplc="BAA27A80" w:tentative="1">
      <w:start w:val="1"/>
      <w:numFmt w:val="bullet"/>
      <w:lvlText w:val="o"/>
      <w:lvlJc w:val="left"/>
      <w:pPr>
        <w:ind w:left="6117" w:hanging="360"/>
      </w:pPr>
      <w:rPr>
        <w:rFonts w:ascii="Courier New" w:hAnsi="Courier New" w:hint="default"/>
      </w:rPr>
    </w:lvl>
    <w:lvl w:ilvl="8" w:tplc="E98E727A" w:tentative="1">
      <w:start w:val="1"/>
      <w:numFmt w:val="bullet"/>
      <w:lvlText w:val=""/>
      <w:lvlJc w:val="left"/>
      <w:pPr>
        <w:ind w:left="6837" w:hanging="360"/>
      </w:pPr>
      <w:rPr>
        <w:rFonts w:ascii="Wingdings" w:hAnsi="Wingdings" w:hint="default"/>
      </w:rPr>
    </w:lvl>
  </w:abstractNum>
  <w:abstractNum w:abstractNumId="44" w15:restartNumberingAfterBreak="0">
    <w:nsid w:val="75E64D9E"/>
    <w:multiLevelType w:val="hybridMultilevel"/>
    <w:tmpl w:val="DFE841A2"/>
    <w:lvl w:ilvl="0" w:tplc="13BC904E">
      <w:start w:val="1"/>
      <w:numFmt w:val="bullet"/>
      <w:lvlText w:val=""/>
      <w:lvlJc w:val="left"/>
      <w:pPr>
        <w:ind w:left="720" w:hanging="360"/>
      </w:pPr>
      <w:rPr>
        <w:rFonts w:ascii="Symbol" w:hAnsi="Symbol" w:hint="default"/>
      </w:rPr>
    </w:lvl>
    <w:lvl w:ilvl="1" w:tplc="8DCEB87C" w:tentative="1">
      <w:start w:val="1"/>
      <w:numFmt w:val="bullet"/>
      <w:lvlText w:val="o"/>
      <w:lvlJc w:val="left"/>
      <w:pPr>
        <w:ind w:left="1440" w:hanging="360"/>
      </w:pPr>
      <w:rPr>
        <w:rFonts w:ascii="Courier New" w:hAnsi="Courier New" w:hint="default"/>
      </w:rPr>
    </w:lvl>
    <w:lvl w:ilvl="2" w:tplc="0F580D38" w:tentative="1">
      <w:start w:val="1"/>
      <w:numFmt w:val="bullet"/>
      <w:lvlText w:val=""/>
      <w:lvlJc w:val="left"/>
      <w:pPr>
        <w:ind w:left="2160" w:hanging="360"/>
      </w:pPr>
      <w:rPr>
        <w:rFonts w:ascii="Wingdings" w:hAnsi="Wingdings" w:hint="default"/>
      </w:rPr>
    </w:lvl>
    <w:lvl w:ilvl="3" w:tplc="96FE3394" w:tentative="1">
      <w:start w:val="1"/>
      <w:numFmt w:val="bullet"/>
      <w:lvlText w:val=""/>
      <w:lvlJc w:val="left"/>
      <w:pPr>
        <w:ind w:left="2880" w:hanging="360"/>
      </w:pPr>
      <w:rPr>
        <w:rFonts w:ascii="Symbol" w:hAnsi="Symbol" w:hint="default"/>
      </w:rPr>
    </w:lvl>
    <w:lvl w:ilvl="4" w:tplc="1D2C939A" w:tentative="1">
      <w:start w:val="1"/>
      <w:numFmt w:val="bullet"/>
      <w:lvlText w:val="o"/>
      <w:lvlJc w:val="left"/>
      <w:pPr>
        <w:ind w:left="3600" w:hanging="360"/>
      </w:pPr>
      <w:rPr>
        <w:rFonts w:ascii="Courier New" w:hAnsi="Courier New" w:hint="default"/>
      </w:rPr>
    </w:lvl>
    <w:lvl w:ilvl="5" w:tplc="EFC4DCB0" w:tentative="1">
      <w:start w:val="1"/>
      <w:numFmt w:val="bullet"/>
      <w:lvlText w:val=""/>
      <w:lvlJc w:val="left"/>
      <w:pPr>
        <w:ind w:left="4320" w:hanging="360"/>
      </w:pPr>
      <w:rPr>
        <w:rFonts w:ascii="Wingdings" w:hAnsi="Wingdings" w:hint="default"/>
      </w:rPr>
    </w:lvl>
    <w:lvl w:ilvl="6" w:tplc="04CAFA98" w:tentative="1">
      <w:start w:val="1"/>
      <w:numFmt w:val="bullet"/>
      <w:lvlText w:val=""/>
      <w:lvlJc w:val="left"/>
      <w:pPr>
        <w:ind w:left="5040" w:hanging="360"/>
      </w:pPr>
      <w:rPr>
        <w:rFonts w:ascii="Symbol" w:hAnsi="Symbol" w:hint="default"/>
      </w:rPr>
    </w:lvl>
    <w:lvl w:ilvl="7" w:tplc="4A7E1E72" w:tentative="1">
      <w:start w:val="1"/>
      <w:numFmt w:val="bullet"/>
      <w:lvlText w:val="o"/>
      <w:lvlJc w:val="left"/>
      <w:pPr>
        <w:ind w:left="5760" w:hanging="360"/>
      </w:pPr>
      <w:rPr>
        <w:rFonts w:ascii="Courier New" w:hAnsi="Courier New" w:hint="default"/>
      </w:rPr>
    </w:lvl>
    <w:lvl w:ilvl="8" w:tplc="550C1796" w:tentative="1">
      <w:start w:val="1"/>
      <w:numFmt w:val="bullet"/>
      <w:lvlText w:val=""/>
      <w:lvlJc w:val="left"/>
      <w:pPr>
        <w:ind w:left="6480" w:hanging="360"/>
      </w:pPr>
      <w:rPr>
        <w:rFonts w:ascii="Wingdings" w:hAnsi="Wingdings" w:hint="default"/>
      </w:rPr>
    </w:lvl>
  </w:abstractNum>
  <w:num w:numId="1" w16cid:durableId="1300695287">
    <w:abstractNumId w:val="20"/>
  </w:num>
  <w:num w:numId="2" w16cid:durableId="1156259938">
    <w:abstractNumId w:val="6"/>
  </w:num>
  <w:num w:numId="3" w16cid:durableId="1324313368">
    <w:abstractNumId w:val="0"/>
  </w:num>
  <w:num w:numId="4" w16cid:durableId="1063480907">
    <w:abstractNumId w:val="5"/>
  </w:num>
  <w:num w:numId="5" w16cid:durableId="603659906">
    <w:abstractNumId w:val="42"/>
  </w:num>
  <w:num w:numId="6" w16cid:durableId="1311982078">
    <w:abstractNumId w:val="27"/>
  </w:num>
  <w:num w:numId="7" w16cid:durableId="866716319">
    <w:abstractNumId w:val="12"/>
  </w:num>
  <w:num w:numId="8" w16cid:durableId="1407259982">
    <w:abstractNumId w:val="14"/>
  </w:num>
  <w:num w:numId="9" w16cid:durableId="1168524593">
    <w:abstractNumId w:val="17"/>
  </w:num>
  <w:num w:numId="10" w16cid:durableId="361982364">
    <w:abstractNumId w:val="29"/>
  </w:num>
  <w:num w:numId="11" w16cid:durableId="1480028272">
    <w:abstractNumId w:val="21"/>
  </w:num>
  <w:num w:numId="12" w16cid:durableId="1362630817">
    <w:abstractNumId w:val="39"/>
  </w:num>
  <w:num w:numId="13" w16cid:durableId="2009551696">
    <w:abstractNumId w:val="40"/>
  </w:num>
  <w:num w:numId="14" w16cid:durableId="523593592">
    <w:abstractNumId w:val="31"/>
  </w:num>
  <w:num w:numId="15" w16cid:durableId="505903498">
    <w:abstractNumId w:val="32"/>
  </w:num>
  <w:num w:numId="16" w16cid:durableId="751126390">
    <w:abstractNumId w:val="37"/>
  </w:num>
  <w:num w:numId="17" w16cid:durableId="937252047">
    <w:abstractNumId w:val="35"/>
  </w:num>
  <w:num w:numId="18" w16cid:durableId="1671904205">
    <w:abstractNumId w:val="44"/>
  </w:num>
  <w:num w:numId="19" w16cid:durableId="1310016582">
    <w:abstractNumId w:val="28"/>
  </w:num>
  <w:num w:numId="20" w16cid:durableId="384262419">
    <w:abstractNumId w:val="43"/>
  </w:num>
  <w:num w:numId="21" w16cid:durableId="1612592998">
    <w:abstractNumId w:val="10"/>
  </w:num>
  <w:num w:numId="22" w16cid:durableId="1276601934">
    <w:abstractNumId w:val="7"/>
  </w:num>
  <w:num w:numId="23" w16cid:durableId="1754886560">
    <w:abstractNumId w:val="33"/>
  </w:num>
  <w:num w:numId="24" w16cid:durableId="857038067">
    <w:abstractNumId w:val="18"/>
  </w:num>
  <w:num w:numId="25" w16cid:durableId="126165180">
    <w:abstractNumId w:val="9"/>
  </w:num>
  <w:num w:numId="26" w16cid:durableId="2018845140">
    <w:abstractNumId w:val="41"/>
  </w:num>
  <w:num w:numId="27" w16cid:durableId="2109496796">
    <w:abstractNumId w:val="16"/>
  </w:num>
  <w:num w:numId="28" w16cid:durableId="1391030959">
    <w:abstractNumId w:val="38"/>
  </w:num>
  <w:num w:numId="29" w16cid:durableId="1721972624">
    <w:abstractNumId w:val="22"/>
  </w:num>
  <w:num w:numId="30" w16cid:durableId="1347292929">
    <w:abstractNumId w:val="30"/>
  </w:num>
  <w:num w:numId="31" w16cid:durableId="464741248">
    <w:abstractNumId w:val="2"/>
  </w:num>
  <w:num w:numId="32" w16cid:durableId="1978994831">
    <w:abstractNumId w:val="1"/>
  </w:num>
  <w:num w:numId="33" w16cid:durableId="1219395362">
    <w:abstractNumId w:val="8"/>
  </w:num>
  <w:num w:numId="34" w16cid:durableId="917908297">
    <w:abstractNumId w:val="36"/>
  </w:num>
  <w:num w:numId="35" w16cid:durableId="1608347967">
    <w:abstractNumId w:val="24"/>
  </w:num>
  <w:num w:numId="36" w16cid:durableId="688799007">
    <w:abstractNumId w:val="15"/>
  </w:num>
  <w:num w:numId="37" w16cid:durableId="6643366">
    <w:abstractNumId w:val="26"/>
  </w:num>
  <w:num w:numId="38" w16cid:durableId="1802071036">
    <w:abstractNumId w:val="34"/>
  </w:num>
  <w:num w:numId="39" w16cid:durableId="671759856">
    <w:abstractNumId w:val="13"/>
  </w:num>
  <w:num w:numId="40" w16cid:durableId="1454784240">
    <w:abstractNumId w:val="11"/>
  </w:num>
  <w:num w:numId="41" w16cid:durableId="516117615">
    <w:abstractNumId w:val="4"/>
  </w:num>
  <w:num w:numId="42" w16cid:durableId="1329210815">
    <w:abstractNumId w:val="3"/>
  </w:num>
  <w:num w:numId="43" w16cid:durableId="203757567">
    <w:abstractNumId w:val="23"/>
  </w:num>
  <w:num w:numId="44" w16cid:durableId="1488789070">
    <w:abstractNumId w:val="25"/>
  </w:num>
  <w:num w:numId="45" w16cid:durableId="1705716753">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47"/>
    <w:rsid w:val="00000F2A"/>
    <w:rsid w:val="00000FF2"/>
    <w:rsid w:val="0000177D"/>
    <w:rsid w:val="00001FA6"/>
    <w:rsid w:val="0000204E"/>
    <w:rsid w:val="00002541"/>
    <w:rsid w:val="000028D4"/>
    <w:rsid w:val="00002BEB"/>
    <w:rsid w:val="00003180"/>
    <w:rsid w:val="00003442"/>
    <w:rsid w:val="00003582"/>
    <w:rsid w:val="00003C10"/>
    <w:rsid w:val="00003D46"/>
    <w:rsid w:val="00003F1A"/>
    <w:rsid w:val="00003F40"/>
    <w:rsid w:val="00004195"/>
    <w:rsid w:val="000042E4"/>
    <w:rsid w:val="00004768"/>
    <w:rsid w:val="000047E3"/>
    <w:rsid w:val="000048FE"/>
    <w:rsid w:val="00004A95"/>
    <w:rsid w:val="00004E96"/>
    <w:rsid w:val="00006428"/>
    <w:rsid w:val="00006E8F"/>
    <w:rsid w:val="00007208"/>
    <w:rsid w:val="000075B4"/>
    <w:rsid w:val="00007942"/>
    <w:rsid w:val="00007E38"/>
    <w:rsid w:val="0001004C"/>
    <w:rsid w:val="00010467"/>
    <w:rsid w:val="000104A6"/>
    <w:rsid w:val="0001094D"/>
    <w:rsid w:val="0001152F"/>
    <w:rsid w:val="00011853"/>
    <w:rsid w:val="00011962"/>
    <w:rsid w:val="0001202E"/>
    <w:rsid w:val="00012133"/>
    <w:rsid w:val="000121D4"/>
    <w:rsid w:val="000127B6"/>
    <w:rsid w:val="00012BCE"/>
    <w:rsid w:val="00012C0E"/>
    <w:rsid w:val="00012CAE"/>
    <w:rsid w:val="00012D8F"/>
    <w:rsid w:val="00012EB4"/>
    <w:rsid w:val="00013504"/>
    <w:rsid w:val="00013A6D"/>
    <w:rsid w:val="00013AA1"/>
    <w:rsid w:val="00014549"/>
    <w:rsid w:val="00014770"/>
    <w:rsid w:val="00014F33"/>
    <w:rsid w:val="000150FE"/>
    <w:rsid w:val="00015DED"/>
    <w:rsid w:val="00016268"/>
    <w:rsid w:val="000170A1"/>
    <w:rsid w:val="00017A00"/>
    <w:rsid w:val="000201F9"/>
    <w:rsid w:val="00020283"/>
    <w:rsid w:val="00021860"/>
    <w:rsid w:val="000219C4"/>
    <w:rsid w:val="00021A41"/>
    <w:rsid w:val="00022032"/>
    <w:rsid w:val="00022145"/>
    <w:rsid w:val="00022AAA"/>
    <w:rsid w:val="00022D75"/>
    <w:rsid w:val="00023115"/>
    <w:rsid w:val="000234F4"/>
    <w:rsid w:val="000238F9"/>
    <w:rsid w:val="00023FB2"/>
    <w:rsid w:val="00024718"/>
    <w:rsid w:val="000247A6"/>
    <w:rsid w:val="00024A2D"/>
    <w:rsid w:val="00025143"/>
    <w:rsid w:val="0002578D"/>
    <w:rsid w:val="000264D5"/>
    <w:rsid w:val="000274A3"/>
    <w:rsid w:val="00030304"/>
    <w:rsid w:val="00030FE2"/>
    <w:rsid w:val="000313A8"/>
    <w:rsid w:val="0003193D"/>
    <w:rsid w:val="00031CA2"/>
    <w:rsid w:val="0003223E"/>
    <w:rsid w:val="0003233B"/>
    <w:rsid w:val="000323D6"/>
    <w:rsid w:val="000337FA"/>
    <w:rsid w:val="00033C6A"/>
    <w:rsid w:val="000346F9"/>
    <w:rsid w:val="000353CE"/>
    <w:rsid w:val="00035A4D"/>
    <w:rsid w:val="000364AE"/>
    <w:rsid w:val="00036582"/>
    <w:rsid w:val="00036BA2"/>
    <w:rsid w:val="00036BD5"/>
    <w:rsid w:val="0003750D"/>
    <w:rsid w:val="00037A1A"/>
    <w:rsid w:val="00037EA9"/>
    <w:rsid w:val="0004027B"/>
    <w:rsid w:val="00040837"/>
    <w:rsid w:val="00040A19"/>
    <w:rsid w:val="000414A1"/>
    <w:rsid w:val="0004197A"/>
    <w:rsid w:val="00041CBB"/>
    <w:rsid w:val="0004255E"/>
    <w:rsid w:val="00042767"/>
    <w:rsid w:val="00042E6E"/>
    <w:rsid w:val="00042FF7"/>
    <w:rsid w:val="00043239"/>
    <w:rsid w:val="00044133"/>
    <w:rsid w:val="00044C73"/>
    <w:rsid w:val="00044E6F"/>
    <w:rsid w:val="00045773"/>
    <w:rsid w:val="00046AF6"/>
    <w:rsid w:val="00046C99"/>
    <w:rsid w:val="00047181"/>
    <w:rsid w:val="000471CC"/>
    <w:rsid w:val="000471FF"/>
    <w:rsid w:val="00047300"/>
    <w:rsid w:val="00047C36"/>
    <w:rsid w:val="00047FDC"/>
    <w:rsid w:val="0005038E"/>
    <w:rsid w:val="00050820"/>
    <w:rsid w:val="000513B4"/>
    <w:rsid w:val="00051730"/>
    <w:rsid w:val="00051731"/>
    <w:rsid w:val="000517CB"/>
    <w:rsid w:val="000518B4"/>
    <w:rsid w:val="0005291A"/>
    <w:rsid w:val="00054AB7"/>
    <w:rsid w:val="00054FAA"/>
    <w:rsid w:val="00055165"/>
    <w:rsid w:val="000569CC"/>
    <w:rsid w:val="00056A71"/>
    <w:rsid w:val="00056B42"/>
    <w:rsid w:val="00057491"/>
    <w:rsid w:val="00057B92"/>
    <w:rsid w:val="00060B5B"/>
    <w:rsid w:val="00061020"/>
    <w:rsid w:val="00061D62"/>
    <w:rsid w:val="00062146"/>
    <w:rsid w:val="00062672"/>
    <w:rsid w:val="00062CD9"/>
    <w:rsid w:val="0006309C"/>
    <w:rsid w:val="000633C3"/>
    <w:rsid w:val="00063682"/>
    <w:rsid w:val="0006397C"/>
    <w:rsid w:val="00063A6D"/>
    <w:rsid w:val="00063B90"/>
    <w:rsid w:val="00064050"/>
    <w:rsid w:val="00065B86"/>
    <w:rsid w:val="00065BB9"/>
    <w:rsid w:val="0006632E"/>
    <w:rsid w:val="00066728"/>
    <w:rsid w:val="00066D9D"/>
    <w:rsid w:val="00066DD8"/>
    <w:rsid w:val="00066F5F"/>
    <w:rsid w:val="00067818"/>
    <w:rsid w:val="00067826"/>
    <w:rsid w:val="000700EE"/>
    <w:rsid w:val="00070602"/>
    <w:rsid w:val="0007113D"/>
    <w:rsid w:val="000713EC"/>
    <w:rsid w:val="00071953"/>
    <w:rsid w:val="000721E6"/>
    <w:rsid w:val="0007249C"/>
    <w:rsid w:val="00072A04"/>
    <w:rsid w:val="00072EA7"/>
    <w:rsid w:val="00072FDA"/>
    <w:rsid w:val="000730D2"/>
    <w:rsid w:val="00073579"/>
    <w:rsid w:val="00073D73"/>
    <w:rsid w:val="00073DBA"/>
    <w:rsid w:val="00074268"/>
    <w:rsid w:val="000742B8"/>
    <w:rsid w:val="000746D9"/>
    <w:rsid w:val="00074D8C"/>
    <w:rsid w:val="000758A8"/>
    <w:rsid w:val="000767E5"/>
    <w:rsid w:val="00076A40"/>
    <w:rsid w:val="00076CBF"/>
    <w:rsid w:val="00076DFB"/>
    <w:rsid w:val="00076EA0"/>
    <w:rsid w:val="00076F4C"/>
    <w:rsid w:val="000774E9"/>
    <w:rsid w:val="00077D7B"/>
    <w:rsid w:val="00077DA9"/>
    <w:rsid w:val="00080653"/>
    <w:rsid w:val="000807BA"/>
    <w:rsid w:val="0008101C"/>
    <w:rsid w:val="000814EF"/>
    <w:rsid w:val="000824E2"/>
    <w:rsid w:val="000826C8"/>
    <w:rsid w:val="00082807"/>
    <w:rsid w:val="00082CB2"/>
    <w:rsid w:val="00082EB9"/>
    <w:rsid w:val="00082F51"/>
    <w:rsid w:val="000831F0"/>
    <w:rsid w:val="00083232"/>
    <w:rsid w:val="000833F4"/>
    <w:rsid w:val="0008441D"/>
    <w:rsid w:val="000851DA"/>
    <w:rsid w:val="000854EB"/>
    <w:rsid w:val="00086244"/>
    <w:rsid w:val="000869D8"/>
    <w:rsid w:val="00086A79"/>
    <w:rsid w:val="00086E45"/>
    <w:rsid w:val="00086FBF"/>
    <w:rsid w:val="00087041"/>
    <w:rsid w:val="0008765D"/>
    <w:rsid w:val="00087A49"/>
    <w:rsid w:val="00090688"/>
    <w:rsid w:val="00090C29"/>
    <w:rsid w:val="00090F24"/>
    <w:rsid w:val="00091340"/>
    <w:rsid w:val="000919B5"/>
    <w:rsid w:val="00092390"/>
    <w:rsid w:val="00093432"/>
    <w:rsid w:val="00093AB8"/>
    <w:rsid w:val="0009416D"/>
    <w:rsid w:val="00094332"/>
    <w:rsid w:val="00094604"/>
    <w:rsid w:val="00094699"/>
    <w:rsid w:val="0009584B"/>
    <w:rsid w:val="00095CE5"/>
    <w:rsid w:val="00095F9C"/>
    <w:rsid w:val="00096060"/>
    <w:rsid w:val="00096660"/>
    <w:rsid w:val="00096A4C"/>
    <w:rsid w:val="000977C9"/>
    <w:rsid w:val="000A0DA9"/>
    <w:rsid w:val="000A1032"/>
    <w:rsid w:val="000A11B4"/>
    <w:rsid w:val="000A14CA"/>
    <w:rsid w:val="000A15F9"/>
    <w:rsid w:val="000A2026"/>
    <w:rsid w:val="000A3050"/>
    <w:rsid w:val="000A30E7"/>
    <w:rsid w:val="000A4859"/>
    <w:rsid w:val="000A4FD2"/>
    <w:rsid w:val="000A50D8"/>
    <w:rsid w:val="000A5CE5"/>
    <w:rsid w:val="000A5EE5"/>
    <w:rsid w:val="000A7565"/>
    <w:rsid w:val="000A7850"/>
    <w:rsid w:val="000B009E"/>
    <w:rsid w:val="000B042C"/>
    <w:rsid w:val="000B0E75"/>
    <w:rsid w:val="000B123E"/>
    <w:rsid w:val="000B17D1"/>
    <w:rsid w:val="000B1E6E"/>
    <w:rsid w:val="000B29EB"/>
    <w:rsid w:val="000B31BA"/>
    <w:rsid w:val="000B33C0"/>
    <w:rsid w:val="000B3709"/>
    <w:rsid w:val="000B3829"/>
    <w:rsid w:val="000B3AE1"/>
    <w:rsid w:val="000B3F96"/>
    <w:rsid w:val="000B4C98"/>
    <w:rsid w:val="000B4D00"/>
    <w:rsid w:val="000B6006"/>
    <w:rsid w:val="000C00B0"/>
    <w:rsid w:val="000C1642"/>
    <w:rsid w:val="000C18E4"/>
    <w:rsid w:val="000C1B1A"/>
    <w:rsid w:val="000C1DD8"/>
    <w:rsid w:val="000C1EA4"/>
    <w:rsid w:val="000C2241"/>
    <w:rsid w:val="000C2DBF"/>
    <w:rsid w:val="000C2EF3"/>
    <w:rsid w:val="000C3D71"/>
    <w:rsid w:val="000C42C4"/>
    <w:rsid w:val="000C43D0"/>
    <w:rsid w:val="000C4737"/>
    <w:rsid w:val="000C6084"/>
    <w:rsid w:val="000C68F1"/>
    <w:rsid w:val="000C6F5E"/>
    <w:rsid w:val="000C7261"/>
    <w:rsid w:val="000C74FC"/>
    <w:rsid w:val="000C7721"/>
    <w:rsid w:val="000C77CB"/>
    <w:rsid w:val="000D08E2"/>
    <w:rsid w:val="000D1255"/>
    <w:rsid w:val="000D157C"/>
    <w:rsid w:val="000D190C"/>
    <w:rsid w:val="000D1DE2"/>
    <w:rsid w:val="000D227D"/>
    <w:rsid w:val="000D23E2"/>
    <w:rsid w:val="000D2409"/>
    <w:rsid w:val="000D320E"/>
    <w:rsid w:val="000D34A3"/>
    <w:rsid w:val="000D407E"/>
    <w:rsid w:val="000D42C4"/>
    <w:rsid w:val="000D4D8C"/>
    <w:rsid w:val="000D5055"/>
    <w:rsid w:val="000D5294"/>
    <w:rsid w:val="000D52B1"/>
    <w:rsid w:val="000D557D"/>
    <w:rsid w:val="000D57D1"/>
    <w:rsid w:val="000D62AC"/>
    <w:rsid w:val="000D63EB"/>
    <w:rsid w:val="000D65D3"/>
    <w:rsid w:val="000D67EE"/>
    <w:rsid w:val="000D6A33"/>
    <w:rsid w:val="000D6CE4"/>
    <w:rsid w:val="000D6FF9"/>
    <w:rsid w:val="000D7DB6"/>
    <w:rsid w:val="000E03AD"/>
    <w:rsid w:val="000E03B4"/>
    <w:rsid w:val="000E04E7"/>
    <w:rsid w:val="000E0B48"/>
    <w:rsid w:val="000E1299"/>
    <w:rsid w:val="000E2EEF"/>
    <w:rsid w:val="000E2FE3"/>
    <w:rsid w:val="000E31FA"/>
    <w:rsid w:val="000E35E3"/>
    <w:rsid w:val="000E3A92"/>
    <w:rsid w:val="000E3F1B"/>
    <w:rsid w:val="000E42BC"/>
    <w:rsid w:val="000E45B3"/>
    <w:rsid w:val="000E47E6"/>
    <w:rsid w:val="000E49DE"/>
    <w:rsid w:val="000E50CA"/>
    <w:rsid w:val="000E542C"/>
    <w:rsid w:val="000E591B"/>
    <w:rsid w:val="000E5AEF"/>
    <w:rsid w:val="000E61D8"/>
    <w:rsid w:val="000E6A33"/>
    <w:rsid w:val="000E74B8"/>
    <w:rsid w:val="000E7569"/>
    <w:rsid w:val="000E7ABD"/>
    <w:rsid w:val="000F0056"/>
    <w:rsid w:val="000F0407"/>
    <w:rsid w:val="000F0C1F"/>
    <w:rsid w:val="000F0EEB"/>
    <w:rsid w:val="000F160C"/>
    <w:rsid w:val="000F16E9"/>
    <w:rsid w:val="000F1F88"/>
    <w:rsid w:val="000F28C3"/>
    <w:rsid w:val="000F28ED"/>
    <w:rsid w:val="000F3EC7"/>
    <w:rsid w:val="000F4763"/>
    <w:rsid w:val="000F4D7B"/>
    <w:rsid w:val="000F5BA5"/>
    <w:rsid w:val="000F5C9C"/>
    <w:rsid w:val="000F5D8E"/>
    <w:rsid w:val="000F5E1A"/>
    <w:rsid w:val="000F6242"/>
    <w:rsid w:val="000F680C"/>
    <w:rsid w:val="000F689C"/>
    <w:rsid w:val="001005FD"/>
    <w:rsid w:val="001007D3"/>
    <w:rsid w:val="001011A3"/>
    <w:rsid w:val="00101538"/>
    <w:rsid w:val="001020F2"/>
    <w:rsid w:val="00102772"/>
    <w:rsid w:val="001028FA"/>
    <w:rsid w:val="00102C6C"/>
    <w:rsid w:val="00103001"/>
    <w:rsid w:val="001030F3"/>
    <w:rsid w:val="00104A1E"/>
    <w:rsid w:val="001053BB"/>
    <w:rsid w:val="001058E1"/>
    <w:rsid w:val="001059DE"/>
    <w:rsid w:val="00105AD4"/>
    <w:rsid w:val="00106576"/>
    <w:rsid w:val="00106D35"/>
    <w:rsid w:val="00110350"/>
    <w:rsid w:val="001105F9"/>
    <w:rsid w:val="001109B0"/>
    <w:rsid w:val="0011157A"/>
    <w:rsid w:val="00111635"/>
    <w:rsid w:val="001117C6"/>
    <w:rsid w:val="00111A18"/>
    <w:rsid w:val="0011216B"/>
    <w:rsid w:val="001124CF"/>
    <w:rsid w:val="001125FA"/>
    <w:rsid w:val="001126DB"/>
    <w:rsid w:val="001130F9"/>
    <w:rsid w:val="00113EE7"/>
    <w:rsid w:val="00114895"/>
    <w:rsid w:val="00114F00"/>
    <w:rsid w:val="00114F50"/>
    <w:rsid w:val="001152B1"/>
    <w:rsid w:val="00115852"/>
    <w:rsid w:val="00115972"/>
    <w:rsid w:val="001162C5"/>
    <w:rsid w:val="00116416"/>
    <w:rsid w:val="0011696C"/>
    <w:rsid w:val="00116A00"/>
    <w:rsid w:val="0011732F"/>
    <w:rsid w:val="0011787E"/>
    <w:rsid w:val="001200C8"/>
    <w:rsid w:val="001211AA"/>
    <w:rsid w:val="001211E6"/>
    <w:rsid w:val="00121833"/>
    <w:rsid w:val="00121874"/>
    <w:rsid w:val="00121A75"/>
    <w:rsid w:val="00121BB6"/>
    <w:rsid w:val="00122A24"/>
    <w:rsid w:val="00122A74"/>
    <w:rsid w:val="00122D17"/>
    <w:rsid w:val="00123337"/>
    <w:rsid w:val="00123522"/>
    <w:rsid w:val="00124908"/>
    <w:rsid w:val="001253F7"/>
    <w:rsid w:val="001256DB"/>
    <w:rsid w:val="00125817"/>
    <w:rsid w:val="001258C3"/>
    <w:rsid w:val="00125D1C"/>
    <w:rsid w:val="00125E33"/>
    <w:rsid w:val="0012627B"/>
    <w:rsid w:val="0012663F"/>
    <w:rsid w:val="0012681E"/>
    <w:rsid w:val="00127827"/>
    <w:rsid w:val="00127880"/>
    <w:rsid w:val="00127D75"/>
    <w:rsid w:val="001305F6"/>
    <w:rsid w:val="00130C40"/>
    <w:rsid w:val="00131041"/>
    <w:rsid w:val="001312DB"/>
    <w:rsid w:val="001313BA"/>
    <w:rsid w:val="00131C77"/>
    <w:rsid w:val="00131CAD"/>
    <w:rsid w:val="00131FFC"/>
    <w:rsid w:val="00132787"/>
    <w:rsid w:val="00132F38"/>
    <w:rsid w:val="00132FE0"/>
    <w:rsid w:val="001332E8"/>
    <w:rsid w:val="0013332A"/>
    <w:rsid w:val="001337BF"/>
    <w:rsid w:val="00134133"/>
    <w:rsid w:val="00134616"/>
    <w:rsid w:val="00134A37"/>
    <w:rsid w:val="0013639F"/>
    <w:rsid w:val="00136438"/>
    <w:rsid w:val="001368A2"/>
    <w:rsid w:val="001370C0"/>
    <w:rsid w:val="00137120"/>
    <w:rsid w:val="0013713B"/>
    <w:rsid w:val="00137159"/>
    <w:rsid w:val="00137520"/>
    <w:rsid w:val="001378E5"/>
    <w:rsid w:val="00140160"/>
    <w:rsid w:val="00140927"/>
    <w:rsid w:val="001413CC"/>
    <w:rsid w:val="001417F9"/>
    <w:rsid w:val="00142020"/>
    <w:rsid w:val="00142037"/>
    <w:rsid w:val="00142444"/>
    <w:rsid w:val="00142699"/>
    <w:rsid w:val="001431F5"/>
    <w:rsid w:val="00144B4B"/>
    <w:rsid w:val="00144C65"/>
    <w:rsid w:val="001451E2"/>
    <w:rsid w:val="0014571E"/>
    <w:rsid w:val="00145C38"/>
    <w:rsid w:val="00145FEA"/>
    <w:rsid w:val="00146C15"/>
    <w:rsid w:val="00147121"/>
    <w:rsid w:val="001475C2"/>
    <w:rsid w:val="00147634"/>
    <w:rsid w:val="001509A3"/>
    <w:rsid w:val="00150B69"/>
    <w:rsid w:val="0015207F"/>
    <w:rsid w:val="0015242B"/>
    <w:rsid w:val="001525AE"/>
    <w:rsid w:val="001526AB"/>
    <w:rsid w:val="0015295D"/>
    <w:rsid w:val="00152B68"/>
    <w:rsid w:val="00152C38"/>
    <w:rsid w:val="00152D4D"/>
    <w:rsid w:val="00153B2C"/>
    <w:rsid w:val="00153F24"/>
    <w:rsid w:val="00153F34"/>
    <w:rsid w:val="001541A8"/>
    <w:rsid w:val="00154273"/>
    <w:rsid w:val="00154694"/>
    <w:rsid w:val="00154B38"/>
    <w:rsid w:val="00154D7D"/>
    <w:rsid w:val="001550C5"/>
    <w:rsid w:val="00155705"/>
    <w:rsid w:val="00156723"/>
    <w:rsid w:val="00156D0D"/>
    <w:rsid w:val="00157528"/>
    <w:rsid w:val="0016076F"/>
    <w:rsid w:val="00160E87"/>
    <w:rsid w:val="001610AF"/>
    <w:rsid w:val="00161ED2"/>
    <w:rsid w:val="001620B7"/>
    <w:rsid w:val="0016258E"/>
    <w:rsid w:val="0016281C"/>
    <w:rsid w:val="00162A16"/>
    <w:rsid w:val="00164318"/>
    <w:rsid w:val="00164B9B"/>
    <w:rsid w:val="00164CFD"/>
    <w:rsid w:val="00164E4A"/>
    <w:rsid w:val="0016501B"/>
    <w:rsid w:val="001654F3"/>
    <w:rsid w:val="00166308"/>
    <w:rsid w:val="00166873"/>
    <w:rsid w:val="00166948"/>
    <w:rsid w:val="0016729D"/>
    <w:rsid w:val="00167D08"/>
    <w:rsid w:val="00170226"/>
    <w:rsid w:val="00170ED7"/>
    <w:rsid w:val="001714FB"/>
    <w:rsid w:val="00171C21"/>
    <w:rsid w:val="00172BA7"/>
    <w:rsid w:val="00172E06"/>
    <w:rsid w:val="00173438"/>
    <w:rsid w:val="001737D8"/>
    <w:rsid w:val="00173820"/>
    <w:rsid w:val="00173BCF"/>
    <w:rsid w:val="00174865"/>
    <w:rsid w:val="00174CA0"/>
    <w:rsid w:val="00174E46"/>
    <w:rsid w:val="00174F10"/>
    <w:rsid w:val="00175C4F"/>
    <w:rsid w:val="0017708A"/>
    <w:rsid w:val="0017735C"/>
    <w:rsid w:val="00177378"/>
    <w:rsid w:val="00177969"/>
    <w:rsid w:val="00177BF7"/>
    <w:rsid w:val="0018033C"/>
    <w:rsid w:val="001803CA"/>
    <w:rsid w:val="00180873"/>
    <w:rsid w:val="001809A4"/>
    <w:rsid w:val="001819B3"/>
    <w:rsid w:val="0018371D"/>
    <w:rsid w:val="00183767"/>
    <w:rsid w:val="00184130"/>
    <w:rsid w:val="001841DF"/>
    <w:rsid w:val="00184BCA"/>
    <w:rsid w:val="00184F3E"/>
    <w:rsid w:val="00185988"/>
    <w:rsid w:val="001862EC"/>
    <w:rsid w:val="00187155"/>
    <w:rsid w:val="0018724B"/>
    <w:rsid w:val="00187306"/>
    <w:rsid w:val="0018784C"/>
    <w:rsid w:val="00187D70"/>
    <w:rsid w:val="00187D9F"/>
    <w:rsid w:val="001903F8"/>
    <w:rsid w:val="00190466"/>
    <w:rsid w:val="00190B6B"/>
    <w:rsid w:val="00190C40"/>
    <w:rsid w:val="00190CCA"/>
    <w:rsid w:val="00190E05"/>
    <w:rsid w:val="00190EEA"/>
    <w:rsid w:val="0019108D"/>
    <w:rsid w:val="001911A9"/>
    <w:rsid w:val="00191FE7"/>
    <w:rsid w:val="001920F8"/>
    <w:rsid w:val="0019284B"/>
    <w:rsid w:val="00192E08"/>
    <w:rsid w:val="00192E39"/>
    <w:rsid w:val="0019311E"/>
    <w:rsid w:val="00193337"/>
    <w:rsid w:val="00194126"/>
    <w:rsid w:val="00194143"/>
    <w:rsid w:val="001947DB"/>
    <w:rsid w:val="00194815"/>
    <w:rsid w:val="00194C10"/>
    <w:rsid w:val="00194F28"/>
    <w:rsid w:val="0019584A"/>
    <w:rsid w:val="00195B84"/>
    <w:rsid w:val="00195C50"/>
    <w:rsid w:val="00195CC0"/>
    <w:rsid w:val="00196317"/>
    <w:rsid w:val="00196396"/>
    <w:rsid w:val="001963FD"/>
    <w:rsid w:val="00196939"/>
    <w:rsid w:val="00197176"/>
    <w:rsid w:val="001975FC"/>
    <w:rsid w:val="00197640"/>
    <w:rsid w:val="001A02D4"/>
    <w:rsid w:val="001A07B2"/>
    <w:rsid w:val="001A0A91"/>
    <w:rsid w:val="001A156A"/>
    <w:rsid w:val="001A2901"/>
    <w:rsid w:val="001A2955"/>
    <w:rsid w:val="001A2B63"/>
    <w:rsid w:val="001A3106"/>
    <w:rsid w:val="001A32B2"/>
    <w:rsid w:val="001A3773"/>
    <w:rsid w:val="001A3D7C"/>
    <w:rsid w:val="001A3DBA"/>
    <w:rsid w:val="001A3F61"/>
    <w:rsid w:val="001A46B3"/>
    <w:rsid w:val="001A4BE7"/>
    <w:rsid w:val="001A4D86"/>
    <w:rsid w:val="001A4F06"/>
    <w:rsid w:val="001A521E"/>
    <w:rsid w:val="001A55B9"/>
    <w:rsid w:val="001A6943"/>
    <w:rsid w:val="001A6A4A"/>
    <w:rsid w:val="001A6CE4"/>
    <w:rsid w:val="001A7BF0"/>
    <w:rsid w:val="001A7CB7"/>
    <w:rsid w:val="001B0074"/>
    <w:rsid w:val="001B12C3"/>
    <w:rsid w:val="001B1314"/>
    <w:rsid w:val="001B1577"/>
    <w:rsid w:val="001B1645"/>
    <w:rsid w:val="001B16C7"/>
    <w:rsid w:val="001B1A60"/>
    <w:rsid w:val="001B2B2A"/>
    <w:rsid w:val="001B3023"/>
    <w:rsid w:val="001B3472"/>
    <w:rsid w:val="001B37C6"/>
    <w:rsid w:val="001B39FF"/>
    <w:rsid w:val="001B48C2"/>
    <w:rsid w:val="001B4B0F"/>
    <w:rsid w:val="001B4CAD"/>
    <w:rsid w:val="001B612C"/>
    <w:rsid w:val="001B664A"/>
    <w:rsid w:val="001B6BB8"/>
    <w:rsid w:val="001B6E80"/>
    <w:rsid w:val="001B7389"/>
    <w:rsid w:val="001B761E"/>
    <w:rsid w:val="001C028C"/>
    <w:rsid w:val="001C0827"/>
    <w:rsid w:val="001C08FF"/>
    <w:rsid w:val="001C0A21"/>
    <w:rsid w:val="001C0D35"/>
    <w:rsid w:val="001C0FD7"/>
    <w:rsid w:val="001C147A"/>
    <w:rsid w:val="001C1B4F"/>
    <w:rsid w:val="001C2079"/>
    <w:rsid w:val="001C249B"/>
    <w:rsid w:val="001C24E6"/>
    <w:rsid w:val="001C29A0"/>
    <w:rsid w:val="001C3B2D"/>
    <w:rsid w:val="001C4086"/>
    <w:rsid w:val="001C46CE"/>
    <w:rsid w:val="001C4B76"/>
    <w:rsid w:val="001C4CEC"/>
    <w:rsid w:val="001C4E08"/>
    <w:rsid w:val="001C56D3"/>
    <w:rsid w:val="001C598E"/>
    <w:rsid w:val="001C5D64"/>
    <w:rsid w:val="001C71FB"/>
    <w:rsid w:val="001C7340"/>
    <w:rsid w:val="001C7434"/>
    <w:rsid w:val="001C783B"/>
    <w:rsid w:val="001D01D8"/>
    <w:rsid w:val="001D03C1"/>
    <w:rsid w:val="001D0C69"/>
    <w:rsid w:val="001D0C7F"/>
    <w:rsid w:val="001D1000"/>
    <w:rsid w:val="001D179A"/>
    <w:rsid w:val="001D1856"/>
    <w:rsid w:val="001D1B2B"/>
    <w:rsid w:val="001D1C89"/>
    <w:rsid w:val="001D1C96"/>
    <w:rsid w:val="001D2014"/>
    <w:rsid w:val="001D2183"/>
    <w:rsid w:val="001D22F4"/>
    <w:rsid w:val="001D2B2D"/>
    <w:rsid w:val="001D2EE4"/>
    <w:rsid w:val="001D307C"/>
    <w:rsid w:val="001D3A8A"/>
    <w:rsid w:val="001D3B73"/>
    <w:rsid w:val="001D3E54"/>
    <w:rsid w:val="001D4660"/>
    <w:rsid w:val="001D473B"/>
    <w:rsid w:val="001D4B76"/>
    <w:rsid w:val="001D685A"/>
    <w:rsid w:val="001D691D"/>
    <w:rsid w:val="001D705F"/>
    <w:rsid w:val="001D724E"/>
    <w:rsid w:val="001D72E2"/>
    <w:rsid w:val="001D7658"/>
    <w:rsid w:val="001E0A18"/>
    <w:rsid w:val="001E0CAC"/>
    <w:rsid w:val="001E1494"/>
    <w:rsid w:val="001E1510"/>
    <w:rsid w:val="001E1A5A"/>
    <w:rsid w:val="001E20F9"/>
    <w:rsid w:val="001E2857"/>
    <w:rsid w:val="001E29EB"/>
    <w:rsid w:val="001E2C21"/>
    <w:rsid w:val="001E41D3"/>
    <w:rsid w:val="001E47F6"/>
    <w:rsid w:val="001E4D62"/>
    <w:rsid w:val="001E542B"/>
    <w:rsid w:val="001E5773"/>
    <w:rsid w:val="001E6FC9"/>
    <w:rsid w:val="001F0365"/>
    <w:rsid w:val="001F0463"/>
    <w:rsid w:val="001F05D1"/>
    <w:rsid w:val="001F063B"/>
    <w:rsid w:val="001F0667"/>
    <w:rsid w:val="001F154F"/>
    <w:rsid w:val="001F1575"/>
    <w:rsid w:val="001F18C8"/>
    <w:rsid w:val="001F237B"/>
    <w:rsid w:val="001F2CAE"/>
    <w:rsid w:val="001F2D6A"/>
    <w:rsid w:val="001F35DD"/>
    <w:rsid w:val="001F380C"/>
    <w:rsid w:val="001F3A2A"/>
    <w:rsid w:val="001F3B84"/>
    <w:rsid w:val="001F3D09"/>
    <w:rsid w:val="001F4170"/>
    <w:rsid w:val="001F43E6"/>
    <w:rsid w:val="001F49A3"/>
    <w:rsid w:val="001F5770"/>
    <w:rsid w:val="001F59D9"/>
    <w:rsid w:val="001F5C51"/>
    <w:rsid w:val="001F5E05"/>
    <w:rsid w:val="001F62FF"/>
    <w:rsid w:val="001F6E9C"/>
    <w:rsid w:val="001F7363"/>
    <w:rsid w:val="001F77F9"/>
    <w:rsid w:val="001F79FC"/>
    <w:rsid w:val="00200A42"/>
    <w:rsid w:val="0020131A"/>
    <w:rsid w:val="00201549"/>
    <w:rsid w:val="002016E8"/>
    <w:rsid w:val="0020174A"/>
    <w:rsid w:val="00201940"/>
    <w:rsid w:val="00201A02"/>
    <w:rsid w:val="00201E39"/>
    <w:rsid w:val="00201FEA"/>
    <w:rsid w:val="002021D6"/>
    <w:rsid w:val="002026D8"/>
    <w:rsid w:val="002030B2"/>
    <w:rsid w:val="002034B3"/>
    <w:rsid w:val="00203536"/>
    <w:rsid w:val="002036AC"/>
    <w:rsid w:val="00203D78"/>
    <w:rsid w:val="00204340"/>
    <w:rsid w:val="00204518"/>
    <w:rsid w:val="00204547"/>
    <w:rsid w:val="00204B0F"/>
    <w:rsid w:val="00204C53"/>
    <w:rsid w:val="0020596E"/>
    <w:rsid w:val="002068A8"/>
    <w:rsid w:val="00207E2B"/>
    <w:rsid w:val="00210232"/>
    <w:rsid w:val="00210635"/>
    <w:rsid w:val="00210661"/>
    <w:rsid w:val="00210817"/>
    <w:rsid w:val="00210AC1"/>
    <w:rsid w:val="00210E10"/>
    <w:rsid w:val="00211A83"/>
    <w:rsid w:val="00211BF9"/>
    <w:rsid w:val="00211E26"/>
    <w:rsid w:val="0021272F"/>
    <w:rsid w:val="00212881"/>
    <w:rsid w:val="0021345B"/>
    <w:rsid w:val="002136B9"/>
    <w:rsid w:val="00213DFC"/>
    <w:rsid w:val="0021426B"/>
    <w:rsid w:val="00215A0D"/>
    <w:rsid w:val="00215AFB"/>
    <w:rsid w:val="00215D1F"/>
    <w:rsid w:val="002164D1"/>
    <w:rsid w:val="00216679"/>
    <w:rsid w:val="0021681F"/>
    <w:rsid w:val="00216C2B"/>
    <w:rsid w:val="00216E2E"/>
    <w:rsid w:val="002174D6"/>
    <w:rsid w:val="002174E6"/>
    <w:rsid w:val="00217AEF"/>
    <w:rsid w:val="00217B17"/>
    <w:rsid w:val="00217DBF"/>
    <w:rsid w:val="00220A0F"/>
    <w:rsid w:val="00221853"/>
    <w:rsid w:val="00221CE6"/>
    <w:rsid w:val="00221FA1"/>
    <w:rsid w:val="00222297"/>
    <w:rsid w:val="002228D6"/>
    <w:rsid w:val="00222CF4"/>
    <w:rsid w:val="00222DB4"/>
    <w:rsid w:val="002239CA"/>
    <w:rsid w:val="00224F76"/>
    <w:rsid w:val="00225203"/>
    <w:rsid w:val="0022521C"/>
    <w:rsid w:val="00226046"/>
    <w:rsid w:val="002262B0"/>
    <w:rsid w:val="0022635E"/>
    <w:rsid w:val="002264C8"/>
    <w:rsid w:val="00226E1F"/>
    <w:rsid w:val="002270A4"/>
    <w:rsid w:val="002274BE"/>
    <w:rsid w:val="00227874"/>
    <w:rsid w:val="00230D7C"/>
    <w:rsid w:val="00230F3A"/>
    <w:rsid w:val="00231235"/>
    <w:rsid w:val="00231C41"/>
    <w:rsid w:val="002321FC"/>
    <w:rsid w:val="00232330"/>
    <w:rsid w:val="002329BB"/>
    <w:rsid w:val="00232EEA"/>
    <w:rsid w:val="00233C85"/>
    <w:rsid w:val="00233DDD"/>
    <w:rsid w:val="00233FCE"/>
    <w:rsid w:val="0023493B"/>
    <w:rsid w:val="00234BFE"/>
    <w:rsid w:val="00234DAE"/>
    <w:rsid w:val="0023546D"/>
    <w:rsid w:val="002355C4"/>
    <w:rsid w:val="00235C25"/>
    <w:rsid w:val="0023750A"/>
    <w:rsid w:val="00237594"/>
    <w:rsid w:val="00237EB5"/>
    <w:rsid w:val="00240469"/>
    <w:rsid w:val="002410F7"/>
    <w:rsid w:val="00241CE1"/>
    <w:rsid w:val="00241D61"/>
    <w:rsid w:val="00241E88"/>
    <w:rsid w:val="002421AC"/>
    <w:rsid w:val="00242292"/>
    <w:rsid w:val="0024278C"/>
    <w:rsid w:val="00242C99"/>
    <w:rsid w:val="002432E4"/>
    <w:rsid w:val="0024333C"/>
    <w:rsid w:val="0024367E"/>
    <w:rsid w:val="00243AB5"/>
    <w:rsid w:val="00243AFC"/>
    <w:rsid w:val="00243D2C"/>
    <w:rsid w:val="00244236"/>
    <w:rsid w:val="00244458"/>
    <w:rsid w:val="00244479"/>
    <w:rsid w:val="002449A9"/>
    <w:rsid w:val="00244F24"/>
    <w:rsid w:val="00245058"/>
    <w:rsid w:val="00245894"/>
    <w:rsid w:val="00245FC5"/>
    <w:rsid w:val="00246214"/>
    <w:rsid w:val="0024639E"/>
    <w:rsid w:val="0024647E"/>
    <w:rsid w:val="002466F2"/>
    <w:rsid w:val="00246B1B"/>
    <w:rsid w:val="002476B9"/>
    <w:rsid w:val="002477D0"/>
    <w:rsid w:val="00247E84"/>
    <w:rsid w:val="00250156"/>
    <w:rsid w:val="00250ACC"/>
    <w:rsid w:val="00250D2C"/>
    <w:rsid w:val="002514A2"/>
    <w:rsid w:val="00251BEA"/>
    <w:rsid w:val="00251FF5"/>
    <w:rsid w:val="00252030"/>
    <w:rsid w:val="00252110"/>
    <w:rsid w:val="00252AB4"/>
    <w:rsid w:val="00253FBA"/>
    <w:rsid w:val="00253FF4"/>
    <w:rsid w:val="0025456D"/>
    <w:rsid w:val="00254A91"/>
    <w:rsid w:val="00254C0F"/>
    <w:rsid w:val="00254CDF"/>
    <w:rsid w:val="00254D5D"/>
    <w:rsid w:val="00254D63"/>
    <w:rsid w:val="00255362"/>
    <w:rsid w:val="002555E4"/>
    <w:rsid w:val="00255F3B"/>
    <w:rsid w:val="00256162"/>
    <w:rsid w:val="002565B7"/>
    <w:rsid w:val="002565F1"/>
    <w:rsid w:val="002566CE"/>
    <w:rsid w:val="00256C4E"/>
    <w:rsid w:val="002570FE"/>
    <w:rsid w:val="002575EA"/>
    <w:rsid w:val="0025780F"/>
    <w:rsid w:val="00257D50"/>
    <w:rsid w:val="00260348"/>
    <w:rsid w:val="00261397"/>
    <w:rsid w:val="002614BE"/>
    <w:rsid w:val="0026152E"/>
    <w:rsid w:val="00261809"/>
    <w:rsid w:val="002619C3"/>
    <w:rsid w:val="00262386"/>
    <w:rsid w:val="002623B7"/>
    <w:rsid w:val="0026281C"/>
    <w:rsid w:val="00262A41"/>
    <w:rsid w:val="00262A98"/>
    <w:rsid w:val="002630D6"/>
    <w:rsid w:val="0026355A"/>
    <w:rsid w:val="00263614"/>
    <w:rsid w:val="0026474A"/>
    <w:rsid w:val="00264894"/>
    <w:rsid w:val="0026533B"/>
    <w:rsid w:val="002653F1"/>
    <w:rsid w:val="002657B5"/>
    <w:rsid w:val="00265B4E"/>
    <w:rsid w:val="00265C5A"/>
    <w:rsid w:val="0026635D"/>
    <w:rsid w:val="00266879"/>
    <w:rsid w:val="002669EF"/>
    <w:rsid w:val="00266E99"/>
    <w:rsid w:val="00266FB8"/>
    <w:rsid w:val="00267129"/>
    <w:rsid w:val="0026736E"/>
    <w:rsid w:val="00267720"/>
    <w:rsid w:val="00267937"/>
    <w:rsid w:val="00267AEC"/>
    <w:rsid w:val="00267DDA"/>
    <w:rsid w:val="00267E9B"/>
    <w:rsid w:val="00270861"/>
    <w:rsid w:val="002709E8"/>
    <w:rsid w:val="00270AC9"/>
    <w:rsid w:val="00270F29"/>
    <w:rsid w:val="0027178D"/>
    <w:rsid w:val="00271D4D"/>
    <w:rsid w:val="002721FD"/>
    <w:rsid w:val="00272569"/>
    <w:rsid w:val="0027322A"/>
    <w:rsid w:val="00273CF4"/>
    <w:rsid w:val="00274296"/>
    <w:rsid w:val="0027570C"/>
    <w:rsid w:val="00276F08"/>
    <w:rsid w:val="00277B4C"/>
    <w:rsid w:val="002803A6"/>
    <w:rsid w:val="00280DFA"/>
    <w:rsid w:val="00281120"/>
    <w:rsid w:val="00281482"/>
    <w:rsid w:val="002816E9"/>
    <w:rsid w:val="0028178D"/>
    <w:rsid w:val="002818AD"/>
    <w:rsid w:val="002818D3"/>
    <w:rsid w:val="00281A70"/>
    <w:rsid w:val="00281BCA"/>
    <w:rsid w:val="00281C26"/>
    <w:rsid w:val="00281E95"/>
    <w:rsid w:val="0028232E"/>
    <w:rsid w:val="002826E6"/>
    <w:rsid w:val="00282C54"/>
    <w:rsid w:val="0028351C"/>
    <w:rsid w:val="00283588"/>
    <w:rsid w:val="0028373B"/>
    <w:rsid w:val="00283C2F"/>
    <w:rsid w:val="00283EEF"/>
    <w:rsid w:val="0028432D"/>
    <w:rsid w:val="00285931"/>
    <w:rsid w:val="00285D40"/>
    <w:rsid w:val="00286097"/>
    <w:rsid w:val="00286247"/>
    <w:rsid w:val="0028634B"/>
    <w:rsid w:val="00286F4D"/>
    <w:rsid w:val="00287696"/>
    <w:rsid w:val="0028777F"/>
    <w:rsid w:val="00287BD5"/>
    <w:rsid w:val="00287F67"/>
    <w:rsid w:val="00287FF8"/>
    <w:rsid w:val="00290526"/>
    <w:rsid w:val="00291978"/>
    <w:rsid w:val="002919CA"/>
    <w:rsid w:val="00291C02"/>
    <w:rsid w:val="00291ED1"/>
    <w:rsid w:val="00291F4F"/>
    <w:rsid w:val="00291FB6"/>
    <w:rsid w:val="002921ED"/>
    <w:rsid w:val="0029235E"/>
    <w:rsid w:val="00292628"/>
    <w:rsid w:val="00292745"/>
    <w:rsid w:val="002928C9"/>
    <w:rsid w:val="00292D6D"/>
    <w:rsid w:val="00293609"/>
    <w:rsid w:val="00293A18"/>
    <w:rsid w:val="002947FB"/>
    <w:rsid w:val="00294DCE"/>
    <w:rsid w:val="0029571E"/>
    <w:rsid w:val="00295A11"/>
    <w:rsid w:val="00296D94"/>
    <w:rsid w:val="00296E05"/>
    <w:rsid w:val="00297BA2"/>
    <w:rsid w:val="00297DF6"/>
    <w:rsid w:val="002A00B3"/>
    <w:rsid w:val="002A020A"/>
    <w:rsid w:val="002A058A"/>
    <w:rsid w:val="002A0C5D"/>
    <w:rsid w:val="002A14F1"/>
    <w:rsid w:val="002A1B8E"/>
    <w:rsid w:val="002A1D86"/>
    <w:rsid w:val="002A1E82"/>
    <w:rsid w:val="002A24D9"/>
    <w:rsid w:val="002A24FB"/>
    <w:rsid w:val="002A250E"/>
    <w:rsid w:val="002A255C"/>
    <w:rsid w:val="002A2AF0"/>
    <w:rsid w:val="002A2D82"/>
    <w:rsid w:val="002A2E87"/>
    <w:rsid w:val="002A338E"/>
    <w:rsid w:val="002A339C"/>
    <w:rsid w:val="002A35D1"/>
    <w:rsid w:val="002A362D"/>
    <w:rsid w:val="002A3B67"/>
    <w:rsid w:val="002A42D4"/>
    <w:rsid w:val="002A4953"/>
    <w:rsid w:val="002A527B"/>
    <w:rsid w:val="002A52BA"/>
    <w:rsid w:val="002A52E9"/>
    <w:rsid w:val="002A5526"/>
    <w:rsid w:val="002A605B"/>
    <w:rsid w:val="002A7C75"/>
    <w:rsid w:val="002B1171"/>
    <w:rsid w:val="002B1DC0"/>
    <w:rsid w:val="002B2300"/>
    <w:rsid w:val="002B26B5"/>
    <w:rsid w:val="002B343F"/>
    <w:rsid w:val="002B359D"/>
    <w:rsid w:val="002B3952"/>
    <w:rsid w:val="002B3BFD"/>
    <w:rsid w:val="002B4C5A"/>
    <w:rsid w:val="002B513D"/>
    <w:rsid w:val="002B5275"/>
    <w:rsid w:val="002B5C03"/>
    <w:rsid w:val="002B5ED3"/>
    <w:rsid w:val="002B61D6"/>
    <w:rsid w:val="002B7D5C"/>
    <w:rsid w:val="002B7D87"/>
    <w:rsid w:val="002C07FF"/>
    <w:rsid w:val="002C084D"/>
    <w:rsid w:val="002C0C25"/>
    <w:rsid w:val="002C0E84"/>
    <w:rsid w:val="002C120E"/>
    <w:rsid w:val="002C16F4"/>
    <w:rsid w:val="002C1D11"/>
    <w:rsid w:val="002C1F17"/>
    <w:rsid w:val="002C2079"/>
    <w:rsid w:val="002C29E9"/>
    <w:rsid w:val="002C3195"/>
    <w:rsid w:val="002C3522"/>
    <w:rsid w:val="002C3680"/>
    <w:rsid w:val="002C3887"/>
    <w:rsid w:val="002C446A"/>
    <w:rsid w:val="002C4ACC"/>
    <w:rsid w:val="002C597C"/>
    <w:rsid w:val="002C59E3"/>
    <w:rsid w:val="002C5E02"/>
    <w:rsid w:val="002C6BFC"/>
    <w:rsid w:val="002C6E52"/>
    <w:rsid w:val="002C7042"/>
    <w:rsid w:val="002C7AD5"/>
    <w:rsid w:val="002D023D"/>
    <w:rsid w:val="002D07CD"/>
    <w:rsid w:val="002D07FC"/>
    <w:rsid w:val="002D0A70"/>
    <w:rsid w:val="002D14F0"/>
    <w:rsid w:val="002D1FC5"/>
    <w:rsid w:val="002D206E"/>
    <w:rsid w:val="002D2384"/>
    <w:rsid w:val="002D2E3A"/>
    <w:rsid w:val="002D3242"/>
    <w:rsid w:val="002D3F83"/>
    <w:rsid w:val="002D4541"/>
    <w:rsid w:val="002D4903"/>
    <w:rsid w:val="002D4F1B"/>
    <w:rsid w:val="002D5997"/>
    <w:rsid w:val="002D5F5A"/>
    <w:rsid w:val="002D6877"/>
    <w:rsid w:val="002D6E1B"/>
    <w:rsid w:val="002D7024"/>
    <w:rsid w:val="002D7229"/>
    <w:rsid w:val="002D7501"/>
    <w:rsid w:val="002D796E"/>
    <w:rsid w:val="002D7DA0"/>
    <w:rsid w:val="002E011F"/>
    <w:rsid w:val="002E02C2"/>
    <w:rsid w:val="002E0959"/>
    <w:rsid w:val="002E1C30"/>
    <w:rsid w:val="002E2128"/>
    <w:rsid w:val="002E2232"/>
    <w:rsid w:val="002E25AC"/>
    <w:rsid w:val="002E27BB"/>
    <w:rsid w:val="002E2953"/>
    <w:rsid w:val="002E2AB2"/>
    <w:rsid w:val="002E2CC4"/>
    <w:rsid w:val="002E3CF9"/>
    <w:rsid w:val="002E420F"/>
    <w:rsid w:val="002E4672"/>
    <w:rsid w:val="002E602A"/>
    <w:rsid w:val="002E65DC"/>
    <w:rsid w:val="002E66F9"/>
    <w:rsid w:val="002E6F3C"/>
    <w:rsid w:val="002E6FB5"/>
    <w:rsid w:val="002E7ABD"/>
    <w:rsid w:val="002E7B1D"/>
    <w:rsid w:val="002E7B87"/>
    <w:rsid w:val="002F09C1"/>
    <w:rsid w:val="002F0B13"/>
    <w:rsid w:val="002F0C3B"/>
    <w:rsid w:val="002F0FD1"/>
    <w:rsid w:val="002F231C"/>
    <w:rsid w:val="002F261F"/>
    <w:rsid w:val="002F3339"/>
    <w:rsid w:val="002F3E9E"/>
    <w:rsid w:val="002F495C"/>
    <w:rsid w:val="002F49D3"/>
    <w:rsid w:val="002F4BEE"/>
    <w:rsid w:val="002F4CCB"/>
    <w:rsid w:val="002F50C5"/>
    <w:rsid w:val="002F5592"/>
    <w:rsid w:val="002F5B9E"/>
    <w:rsid w:val="002F7168"/>
    <w:rsid w:val="002F739E"/>
    <w:rsid w:val="002F75D8"/>
    <w:rsid w:val="002F787D"/>
    <w:rsid w:val="002F7D0D"/>
    <w:rsid w:val="00301AB3"/>
    <w:rsid w:val="00301C10"/>
    <w:rsid w:val="00302336"/>
    <w:rsid w:val="003033D6"/>
    <w:rsid w:val="00303A79"/>
    <w:rsid w:val="00303B7D"/>
    <w:rsid w:val="00304B97"/>
    <w:rsid w:val="003052B8"/>
    <w:rsid w:val="00305B23"/>
    <w:rsid w:val="003067FC"/>
    <w:rsid w:val="00306B31"/>
    <w:rsid w:val="00306E63"/>
    <w:rsid w:val="00307085"/>
    <w:rsid w:val="003079D1"/>
    <w:rsid w:val="00307E2D"/>
    <w:rsid w:val="00310018"/>
    <w:rsid w:val="00312739"/>
    <w:rsid w:val="0031276C"/>
    <w:rsid w:val="00312A43"/>
    <w:rsid w:val="00312B02"/>
    <w:rsid w:val="003130F2"/>
    <w:rsid w:val="00313141"/>
    <w:rsid w:val="0031314C"/>
    <w:rsid w:val="003135B8"/>
    <w:rsid w:val="00313B32"/>
    <w:rsid w:val="00313C23"/>
    <w:rsid w:val="00313C7F"/>
    <w:rsid w:val="00313CCA"/>
    <w:rsid w:val="00314E5D"/>
    <w:rsid w:val="00315013"/>
    <w:rsid w:val="00315964"/>
    <w:rsid w:val="00315EF1"/>
    <w:rsid w:val="00315F9F"/>
    <w:rsid w:val="00316270"/>
    <w:rsid w:val="0031749E"/>
    <w:rsid w:val="00317F03"/>
    <w:rsid w:val="003200C2"/>
    <w:rsid w:val="00320944"/>
    <w:rsid w:val="00321306"/>
    <w:rsid w:val="00321BF4"/>
    <w:rsid w:val="00321E70"/>
    <w:rsid w:val="00322A43"/>
    <w:rsid w:val="003235D0"/>
    <w:rsid w:val="00324B19"/>
    <w:rsid w:val="00324B4B"/>
    <w:rsid w:val="00325086"/>
    <w:rsid w:val="00325641"/>
    <w:rsid w:val="00325833"/>
    <w:rsid w:val="00325FEB"/>
    <w:rsid w:val="0032690A"/>
    <w:rsid w:val="003270AE"/>
    <w:rsid w:val="003271E2"/>
    <w:rsid w:val="0033040B"/>
    <w:rsid w:val="00330A3F"/>
    <w:rsid w:val="00330C03"/>
    <w:rsid w:val="00331105"/>
    <w:rsid w:val="0033118C"/>
    <w:rsid w:val="00331217"/>
    <w:rsid w:val="0033208B"/>
    <w:rsid w:val="003336F3"/>
    <w:rsid w:val="00333D4F"/>
    <w:rsid w:val="00334BCA"/>
    <w:rsid w:val="00334E68"/>
    <w:rsid w:val="00335B31"/>
    <w:rsid w:val="00335C17"/>
    <w:rsid w:val="00335C3F"/>
    <w:rsid w:val="00335CD1"/>
    <w:rsid w:val="00336176"/>
    <w:rsid w:val="00336C0B"/>
    <w:rsid w:val="003376A4"/>
    <w:rsid w:val="00337884"/>
    <w:rsid w:val="00337B95"/>
    <w:rsid w:val="00337D38"/>
    <w:rsid w:val="00340087"/>
    <w:rsid w:val="003405C7"/>
    <w:rsid w:val="003409CC"/>
    <w:rsid w:val="00340A01"/>
    <w:rsid w:val="0034148B"/>
    <w:rsid w:val="003415B4"/>
    <w:rsid w:val="003417FA"/>
    <w:rsid w:val="00342025"/>
    <w:rsid w:val="00342027"/>
    <w:rsid w:val="00342A23"/>
    <w:rsid w:val="00342D9B"/>
    <w:rsid w:val="00342FC7"/>
    <w:rsid w:val="0034467A"/>
    <w:rsid w:val="00344CD2"/>
    <w:rsid w:val="003459A0"/>
    <w:rsid w:val="00345A53"/>
    <w:rsid w:val="003465FE"/>
    <w:rsid w:val="003468FB"/>
    <w:rsid w:val="00346B6E"/>
    <w:rsid w:val="00346C86"/>
    <w:rsid w:val="00347500"/>
    <w:rsid w:val="00347689"/>
    <w:rsid w:val="00347738"/>
    <w:rsid w:val="003505EB"/>
    <w:rsid w:val="00350B17"/>
    <w:rsid w:val="00351CFE"/>
    <w:rsid w:val="00351E05"/>
    <w:rsid w:val="003521C1"/>
    <w:rsid w:val="00352265"/>
    <w:rsid w:val="003526CF"/>
    <w:rsid w:val="00352D57"/>
    <w:rsid w:val="00352FC8"/>
    <w:rsid w:val="00353388"/>
    <w:rsid w:val="003538A5"/>
    <w:rsid w:val="00353ADE"/>
    <w:rsid w:val="00353F20"/>
    <w:rsid w:val="003549E9"/>
    <w:rsid w:val="00354AB2"/>
    <w:rsid w:val="003553B8"/>
    <w:rsid w:val="003554F8"/>
    <w:rsid w:val="003563B9"/>
    <w:rsid w:val="00356534"/>
    <w:rsid w:val="0035690B"/>
    <w:rsid w:val="00356ACC"/>
    <w:rsid w:val="00356C8A"/>
    <w:rsid w:val="0035712C"/>
    <w:rsid w:val="00357310"/>
    <w:rsid w:val="00357CFB"/>
    <w:rsid w:val="00360BFC"/>
    <w:rsid w:val="0036112B"/>
    <w:rsid w:val="003628DB"/>
    <w:rsid w:val="0036462E"/>
    <w:rsid w:val="00366DB0"/>
    <w:rsid w:val="00366EF3"/>
    <w:rsid w:val="003676B2"/>
    <w:rsid w:val="0036788B"/>
    <w:rsid w:val="00367F65"/>
    <w:rsid w:val="0037034A"/>
    <w:rsid w:val="0037061F"/>
    <w:rsid w:val="003708E7"/>
    <w:rsid w:val="00370F7E"/>
    <w:rsid w:val="003715AC"/>
    <w:rsid w:val="00372012"/>
    <w:rsid w:val="00372528"/>
    <w:rsid w:val="00372625"/>
    <w:rsid w:val="00372911"/>
    <w:rsid w:val="003731CA"/>
    <w:rsid w:val="00373D4F"/>
    <w:rsid w:val="003745CB"/>
    <w:rsid w:val="0037534B"/>
    <w:rsid w:val="003758DB"/>
    <w:rsid w:val="00375C00"/>
    <w:rsid w:val="00376DAF"/>
    <w:rsid w:val="00377528"/>
    <w:rsid w:val="00377B08"/>
    <w:rsid w:val="00380BA2"/>
    <w:rsid w:val="003813CF"/>
    <w:rsid w:val="003816E5"/>
    <w:rsid w:val="00382038"/>
    <w:rsid w:val="00382111"/>
    <w:rsid w:val="00382189"/>
    <w:rsid w:val="00382446"/>
    <w:rsid w:val="0038250D"/>
    <w:rsid w:val="0038259F"/>
    <w:rsid w:val="00382D7B"/>
    <w:rsid w:val="003831AB"/>
    <w:rsid w:val="003833F1"/>
    <w:rsid w:val="00383EEF"/>
    <w:rsid w:val="0038426F"/>
    <w:rsid w:val="003843D8"/>
    <w:rsid w:val="0038449A"/>
    <w:rsid w:val="00384B0B"/>
    <w:rsid w:val="00385867"/>
    <w:rsid w:val="0038599B"/>
    <w:rsid w:val="00386E56"/>
    <w:rsid w:val="00386F4F"/>
    <w:rsid w:val="00386F6C"/>
    <w:rsid w:val="00387666"/>
    <w:rsid w:val="00387E82"/>
    <w:rsid w:val="00390065"/>
    <w:rsid w:val="003900E7"/>
    <w:rsid w:val="00390B2E"/>
    <w:rsid w:val="00390E2D"/>
    <w:rsid w:val="00390F36"/>
    <w:rsid w:val="003910CD"/>
    <w:rsid w:val="00391307"/>
    <w:rsid w:val="003915C7"/>
    <w:rsid w:val="00391643"/>
    <w:rsid w:val="003921C7"/>
    <w:rsid w:val="00392434"/>
    <w:rsid w:val="003924D4"/>
    <w:rsid w:val="003924DF"/>
    <w:rsid w:val="00392864"/>
    <w:rsid w:val="00392F04"/>
    <w:rsid w:val="0039337D"/>
    <w:rsid w:val="0039413E"/>
    <w:rsid w:val="00394364"/>
    <w:rsid w:val="003948B9"/>
    <w:rsid w:val="0039490D"/>
    <w:rsid w:val="003952BE"/>
    <w:rsid w:val="00395CFE"/>
    <w:rsid w:val="00395DF5"/>
    <w:rsid w:val="0039618B"/>
    <w:rsid w:val="00396F6E"/>
    <w:rsid w:val="0039718B"/>
    <w:rsid w:val="00397291"/>
    <w:rsid w:val="00397DDD"/>
    <w:rsid w:val="003A0381"/>
    <w:rsid w:val="003A0406"/>
    <w:rsid w:val="003A0AEE"/>
    <w:rsid w:val="003A144D"/>
    <w:rsid w:val="003A1C0F"/>
    <w:rsid w:val="003A1ECB"/>
    <w:rsid w:val="003A23E6"/>
    <w:rsid w:val="003A2551"/>
    <w:rsid w:val="003A36D4"/>
    <w:rsid w:val="003A4A6C"/>
    <w:rsid w:val="003A4B64"/>
    <w:rsid w:val="003A4BB7"/>
    <w:rsid w:val="003A58EC"/>
    <w:rsid w:val="003A6862"/>
    <w:rsid w:val="003A6E60"/>
    <w:rsid w:val="003A70A2"/>
    <w:rsid w:val="003A712D"/>
    <w:rsid w:val="003A7393"/>
    <w:rsid w:val="003A76FD"/>
    <w:rsid w:val="003A7D09"/>
    <w:rsid w:val="003A7F06"/>
    <w:rsid w:val="003B0B91"/>
    <w:rsid w:val="003B1556"/>
    <w:rsid w:val="003B1809"/>
    <w:rsid w:val="003B1946"/>
    <w:rsid w:val="003B1995"/>
    <w:rsid w:val="003B1C7C"/>
    <w:rsid w:val="003B245C"/>
    <w:rsid w:val="003B36E1"/>
    <w:rsid w:val="003B3BCE"/>
    <w:rsid w:val="003B3C45"/>
    <w:rsid w:val="003B4041"/>
    <w:rsid w:val="003B4C34"/>
    <w:rsid w:val="003B5132"/>
    <w:rsid w:val="003B52C5"/>
    <w:rsid w:val="003B5406"/>
    <w:rsid w:val="003B58EC"/>
    <w:rsid w:val="003B5A59"/>
    <w:rsid w:val="003B5ADE"/>
    <w:rsid w:val="003B6162"/>
    <w:rsid w:val="003B67B4"/>
    <w:rsid w:val="003B6B83"/>
    <w:rsid w:val="003B6D75"/>
    <w:rsid w:val="003B75A7"/>
    <w:rsid w:val="003B7952"/>
    <w:rsid w:val="003B7FFB"/>
    <w:rsid w:val="003C040F"/>
    <w:rsid w:val="003C072A"/>
    <w:rsid w:val="003C125A"/>
    <w:rsid w:val="003C1A66"/>
    <w:rsid w:val="003C1A95"/>
    <w:rsid w:val="003C1AC1"/>
    <w:rsid w:val="003C2B44"/>
    <w:rsid w:val="003C2C54"/>
    <w:rsid w:val="003C3187"/>
    <w:rsid w:val="003C3AB6"/>
    <w:rsid w:val="003C3BD5"/>
    <w:rsid w:val="003C3F00"/>
    <w:rsid w:val="003C42BE"/>
    <w:rsid w:val="003C4508"/>
    <w:rsid w:val="003C45D1"/>
    <w:rsid w:val="003C4FF3"/>
    <w:rsid w:val="003C58C2"/>
    <w:rsid w:val="003C5907"/>
    <w:rsid w:val="003C5D15"/>
    <w:rsid w:val="003C5F56"/>
    <w:rsid w:val="003C6531"/>
    <w:rsid w:val="003C6A7B"/>
    <w:rsid w:val="003C6D1F"/>
    <w:rsid w:val="003C75AE"/>
    <w:rsid w:val="003C76F3"/>
    <w:rsid w:val="003C7E2E"/>
    <w:rsid w:val="003D02F1"/>
    <w:rsid w:val="003D074F"/>
    <w:rsid w:val="003D09AA"/>
    <w:rsid w:val="003D1729"/>
    <w:rsid w:val="003D19F3"/>
    <w:rsid w:val="003D2347"/>
    <w:rsid w:val="003D2958"/>
    <w:rsid w:val="003D2992"/>
    <w:rsid w:val="003D2ACF"/>
    <w:rsid w:val="003D2D45"/>
    <w:rsid w:val="003D31AB"/>
    <w:rsid w:val="003D3C2E"/>
    <w:rsid w:val="003D406A"/>
    <w:rsid w:val="003D458B"/>
    <w:rsid w:val="003D4CEA"/>
    <w:rsid w:val="003D4F16"/>
    <w:rsid w:val="003D5000"/>
    <w:rsid w:val="003D51F4"/>
    <w:rsid w:val="003D5620"/>
    <w:rsid w:val="003D5D29"/>
    <w:rsid w:val="003D5D72"/>
    <w:rsid w:val="003D6272"/>
    <w:rsid w:val="003D6691"/>
    <w:rsid w:val="003D6D7F"/>
    <w:rsid w:val="003D7654"/>
    <w:rsid w:val="003D796C"/>
    <w:rsid w:val="003E01EE"/>
    <w:rsid w:val="003E0923"/>
    <w:rsid w:val="003E0D5A"/>
    <w:rsid w:val="003E100A"/>
    <w:rsid w:val="003E1D9E"/>
    <w:rsid w:val="003E1F1D"/>
    <w:rsid w:val="003E31AF"/>
    <w:rsid w:val="003E325D"/>
    <w:rsid w:val="003E32D0"/>
    <w:rsid w:val="003E387A"/>
    <w:rsid w:val="003E3D5A"/>
    <w:rsid w:val="003E3FF4"/>
    <w:rsid w:val="003E41AC"/>
    <w:rsid w:val="003E484A"/>
    <w:rsid w:val="003E51A3"/>
    <w:rsid w:val="003E53C5"/>
    <w:rsid w:val="003E5498"/>
    <w:rsid w:val="003E5974"/>
    <w:rsid w:val="003E5DF7"/>
    <w:rsid w:val="003E5E3D"/>
    <w:rsid w:val="003E5ED5"/>
    <w:rsid w:val="003E669D"/>
    <w:rsid w:val="003E6BC5"/>
    <w:rsid w:val="003E7080"/>
    <w:rsid w:val="003F067A"/>
    <w:rsid w:val="003F0A37"/>
    <w:rsid w:val="003F0B1B"/>
    <w:rsid w:val="003F102F"/>
    <w:rsid w:val="003F177F"/>
    <w:rsid w:val="003F1A19"/>
    <w:rsid w:val="003F1B8F"/>
    <w:rsid w:val="003F2137"/>
    <w:rsid w:val="003F24E2"/>
    <w:rsid w:val="003F26DE"/>
    <w:rsid w:val="003F2971"/>
    <w:rsid w:val="003F2A73"/>
    <w:rsid w:val="003F30C6"/>
    <w:rsid w:val="003F33FD"/>
    <w:rsid w:val="003F40A4"/>
    <w:rsid w:val="003F42BD"/>
    <w:rsid w:val="003F4472"/>
    <w:rsid w:val="003F54A9"/>
    <w:rsid w:val="003F5CBE"/>
    <w:rsid w:val="003F6394"/>
    <w:rsid w:val="003F65FC"/>
    <w:rsid w:val="003F668E"/>
    <w:rsid w:val="003F6851"/>
    <w:rsid w:val="003F6E00"/>
    <w:rsid w:val="00400004"/>
    <w:rsid w:val="00400229"/>
    <w:rsid w:val="0040139D"/>
    <w:rsid w:val="00401789"/>
    <w:rsid w:val="00401E91"/>
    <w:rsid w:val="00402203"/>
    <w:rsid w:val="00402587"/>
    <w:rsid w:val="0040260E"/>
    <w:rsid w:val="00403155"/>
    <w:rsid w:val="004038DB"/>
    <w:rsid w:val="00403A3B"/>
    <w:rsid w:val="00404607"/>
    <w:rsid w:val="0040476F"/>
    <w:rsid w:val="004047A6"/>
    <w:rsid w:val="004058B9"/>
    <w:rsid w:val="00405C5F"/>
    <w:rsid w:val="00406A34"/>
    <w:rsid w:val="0040712C"/>
    <w:rsid w:val="00407420"/>
    <w:rsid w:val="0040777E"/>
    <w:rsid w:val="00410477"/>
    <w:rsid w:val="00410633"/>
    <w:rsid w:val="00410796"/>
    <w:rsid w:val="004107A7"/>
    <w:rsid w:val="00410EF6"/>
    <w:rsid w:val="00411638"/>
    <w:rsid w:val="00411709"/>
    <w:rsid w:val="004117EA"/>
    <w:rsid w:val="00412401"/>
    <w:rsid w:val="00412E8E"/>
    <w:rsid w:val="004135E6"/>
    <w:rsid w:val="0041388C"/>
    <w:rsid w:val="004138A8"/>
    <w:rsid w:val="00413BDF"/>
    <w:rsid w:val="00413BE4"/>
    <w:rsid w:val="00414064"/>
    <w:rsid w:val="0041413B"/>
    <w:rsid w:val="004148A8"/>
    <w:rsid w:val="004151F1"/>
    <w:rsid w:val="004155D5"/>
    <w:rsid w:val="00415864"/>
    <w:rsid w:val="00415D6B"/>
    <w:rsid w:val="00415E35"/>
    <w:rsid w:val="00416692"/>
    <w:rsid w:val="00416995"/>
    <w:rsid w:val="00416DBA"/>
    <w:rsid w:val="00416E80"/>
    <w:rsid w:val="00417815"/>
    <w:rsid w:val="004178F8"/>
    <w:rsid w:val="00420627"/>
    <w:rsid w:val="0042114C"/>
    <w:rsid w:val="00421388"/>
    <w:rsid w:val="00421BD8"/>
    <w:rsid w:val="00422533"/>
    <w:rsid w:val="00422B0A"/>
    <w:rsid w:val="004233CB"/>
    <w:rsid w:val="00423F43"/>
    <w:rsid w:val="00424827"/>
    <w:rsid w:val="0042487A"/>
    <w:rsid w:val="00424B05"/>
    <w:rsid w:val="004252E2"/>
    <w:rsid w:val="00425344"/>
    <w:rsid w:val="004257A6"/>
    <w:rsid w:val="0042611D"/>
    <w:rsid w:val="00426309"/>
    <w:rsid w:val="004267E3"/>
    <w:rsid w:val="00426B17"/>
    <w:rsid w:val="00426FD5"/>
    <w:rsid w:val="00427332"/>
    <w:rsid w:val="004276C5"/>
    <w:rsid w:val="004276EB"/>
    <w:rsid w:val="00427E52"/>
    <w:rsid w:val="00430200"/>
    <w:rsid w:val="0043022F"/>
    <w:rsid w:val="0043051F"/>
    <w:rsid w:val="004308A6"/>
    <w:rsid w:val="00430EDD"/>
    <w:rsid w:val="0043159E"/>
    <w:rsid w:val="00431788"/>
    <w:rsid w:val="00431D10"/>
    <w:rsid w:val="004327E9"/>
    <w:rsid w:val="004327FF"/>
    <w:rsid w:val="00432A92"/>
    <w:rsid w:val="00432F44"/>
    <w:rsid w:val="00433573"/>
    <w:rsid w:val="00433661"/>
    <w:rsid w:val="0043373D"/>
    <w:rsid w:val="00434ED0"/>
    <w:rsid w:val="00435C7D"/>
    <w:rsid w:val="00436A72"/>
    <w:rsid w:val="00436CFA"/>
    <w:rsid w:val="00436EBE"/>
    <w:rsid w:val="00437E03"/>
    <w:rsid w:val="004400B1"/>
    <w:rsid w:val="0044024F"/>
    <w:rsid w:val="00440344"/>
    <w:rsid w:val="00440486"/>
    <w:rsid w:val="00440FFF"/>
    <w:rsid w:val="00441167"/>
    <w:rsid w:val="00441344"/>
    <w:rsid w:val="0044198C"/>
    <w:rsid w:val="00441AF8"/>
    <w:rsid w:val="0044200E"/>
    <w:rsid w:val="0044293E"/>
    <w:rsid w:val="00442E9A"/>
    <w:rsid w:val="0044308D"/>
    <w:rsid w:val="00443BF0"/>
    <w:rsid w:val="00443D37"/>
    <w:rsid w:val="00445145"/>
    <w:rsid w:val="004451F7"/>
    <w:rsid w:val="00445434"/>
    <w:rsid w:val="00445662"/>
    <w:rsid w:val="004461BF"/>
    <w:rsid w:val="0044772F"/>
    <w:rsid w:val="004501EB"/>
    <w:rsid w:val="0045029D"/>
    <w:rsid w:val="00450F15"/>
    <w:rsid w:val="00450F29"/>
    <w:rsid w:val="0045125B"/>
    <w:rsid w:val="00451BBA"/>
    <w:rsid w:val="00452024"/>
    <w:rsid w:val="00452458"/>
    <w:rsid w:val="00452798"/>
    <w:rsid w:val="00452D53"/>
    <w:rsid w:val="00453042"/>
    <w:rsid w:val="00453220"/>
    <w:rsid w:val="00453725"/>
    <w:rsid w:val="00453CBE"/>
    <w:rsid w:val="00454078"/>
    <w:rsid w:val="00454B86"/>
    <w:rsid w:val="00454C84"/>
    <w:rsid w:val="00454E21"/>
    <w:rsid w:val="00454E3A"/>
    <w:rsid w:val="004552B7"/>
    <w:rsid w:val="00456083"/>
    <w:rsid w:val="004562A9"/>
    <w:rsid w:val="0045650E"/>
    <w:rsid w:val="004568B4"/>
    <w:rsid w:val="00456A53"/>
    <w:rsid w:val="00456B8E"/>
    <w:rsid w:val="00456BF7"/>
    <w:rsid w:val="0045777B"/>
    <w:rsid w:val="00457F12"/>
    <w:rsid w:val="00457F5B"/>
    <w:rsid w:val="00460160"/>
    <w:rsid w:val="00460D53"/>
    <w:rsid w:val="004617E5"/>
    <w:rsid w:val="004618C4"/>
    <w:rsid w:val="004618ED"/>
    <w:rsid w:val="0046198D"/>
    <w:rsid w:val="00461FD9"/>
    <w:rsid w:val="004625DA"/>
    <w:rsid w:val="00462F52"/>
    <w:rsid w:val="00463A6D"/>
    <w:rsid w:val="0046471D"/>
    <w:rsid w:val="00464DA0"/>
    <w:rsid w:val="004653BF"/>
    <w:rsid w:val="004655EE"/>
    <w:rsid w:val="0046570E"/>
    <w:rsid w:val="00465B9B"/>
    <w:rsid w:val="00465C99"/>
    <w:rsid w:val="00466E76"/>
    <w:rsid w:val="00467436"/>
    <w:rsid w:val="004675F0"/>
    <w:rsid w:val="00470959"/>
    <w:rsid w:val="00470DFF"/>
    <w:rsid w:val="00470E54"/>
    <w:rsid w:val="00471124"/>
    <w:rsid w:val="004713A3"/>
    <w:rsid w:val="00471914"/>
    <w:rsid w:val="0047217F"/>
    <w:rsid w:val="00472B8A"/>
    <w:rsid w:val="00473D27"/>
    <w:rsid w:val="0047405F"/>
    <w:rsid w:val="004742B8"/>
    <w:rsid w:val="0047555E"/>
    <w:rsid w:val="00476B02"/>
    <w:rsid w:val="004802B7"/>
    <w:rsid w:val="0048080F"/>
    <w:rsid w:val="00480A68"/>
    <w:rsid w:val="00480A73"/>
    <w:rsid w:val="004815BC"/>
    <w:rsid w:val="00481F87"/>
    <w:rsid w:val="004828FC"/>
    <w:rsid w:val="00482B26"/>
    <w:rsid w:val="00482E7D"/>
    <w:rsid w:val="0048351C"/>
    <w:rsid w:val="0048437D"/>
    <w:rsid w:val="004843F1"/>
    <w:rsid w:val="0048445C"/>
    <w:rsid w:val="004852E7"/>
    <w:rsid w:val="00485600"/>
    <w:rsid w:val="004856B0"/>
    <w:rsid w:val="00485E93"/>
    <w:rsid w:val="00486997"/>
    <w:rsid w:val="00486B6A"/>
    <w:rsid w:val="0049000F"/>
    <w:rsid w:val="00490097"/>
    <w:rsid w:val="00490401"/>
    <w:rsid w:val="004907DC"/>
    <w:rsid w:val="00490C71"/>
    <w:rsid w:val="004912E3"/>
    <w:rsid w:val="00491CD8"/>
    <w:rsid w:val="00492914"/>
    <w:rsid w:val="00493227"/>
    <w:rsid w:val="004935FD"/>
    <w:rsid w:val="0049383A"/>
    <w:rsid w:val="00493AEB"/>
    <w:rsid w:val="00494325"/>
    <w:rsid w:val="00494B90"/>
    <w:rsid w:val="004954E7"/>
    <w:rsid w:val="0049550C"/>
    <w:rsid w:val="00496448"/>
    <w:rsid w:val="00496F89"/>
    <w:rsid w:val="0049700D"/>
    <w:rsid w:val="00497067"/>
    <w:rsid w:val="004970A5"/>
    <w:rsid w:val="00497285"/>
    <w:rsid w:val="00497349"/>
    <w:rsid w:val="00497695"/>
    <w:rsid w:val="004978C3"/>
    <w:rsid w:val="004A1072"/>
    <w:rsid w:val="004A1088"/>
    <w:rsid w:val="004A1DB4"/>
    <w:rsid w:val="004A1FAE"/>
    <w:rsid w:val="004A2329"/>
    <w:rsid w:val="004A2375"/>
    <w:rsid w:val="004A2E36"/>
    <w:rsid w:val="004A3489"/>
    <w:rsid w:val="004A3AE1"/>
    <w:rsid w:val="004A3DA9"/>
    <w:rsid w:val="004A50E0"/>
    <w:rsid w:val="004A5EB4"/>
    <w:rsid w:val="004A6315"/>
    <w:rsid w:val="004A63BB"/>
    <w:rsid w:val="004A67B4"/>
    <w:rsid w:val="004A6893"/>
    <w:rsid w:val="004A72AE"/>
    <w:rsid w:val="004A76A6"/>
    <w:rsid w:val="004B0F4E"/>
    <w:rsid w:val="004B12E3"/>
    <w:rsid w:val="004B1CDF"/>
    <w:rsid w:val="004B1E44"/>
    <w:rsid w:val="004B2149"/>
    <w:rsid w:val="004B2949"/>
    <w:rsid w:val="004B2A9E"/>
    <w:rsid w:val="004B2CF6"/>
    <w:rsid w:val="004B361F"/>
    <w:rsid w:val="004B3680"/>
    <w:rsid w:val="004B3BC9"/>
    <w:rsid w:val="004B5420"/>
    <w:rsid w:val="004B570E"/>
    <w:rsid w:val="004B66AE"/>
    <w:rsid w:val="004B68A3"/>
    <w:rsid w:val="004B6B13"/>
    <w:rsid w:val="004B71A5"/>
    <w:rsid w:val="004B71B2"/>
    <w:rsid w:val="004B71EF"/>
    <w:rsid w:val="004B781C"/>
    <w:rsid w:val="004B7F56"/>
    <w:rsid w:val="004C05DC"/>
    <w:rsid w:val="004C117E"/>
    <w:rsid w:val="004C20A9"/>
    <w:rsid w:val="004C243F"/>
    <w:rsid w:val="004C30D8"/>
    <w:rsid w:val="004C38A7"/>
    <w:rsid w:val="004C3A0F"/>
    <w:rsid w:val="004C3FFC"/>
    <w:rsid w:val="004C4237"/>
    <w:rsid w:val="004C4845"/>
    <w:rsid w:val="004C52CA"/>
    <w:rsid w:val="004C56B3"/>
    <w:rsid w:val="004C5B91"/>
    <w:rsid w:val="004C638F"/>
    <w:rsid w:val="004C66CA"/>
    <w:rsid w:val="004C67DF"/>
    <w:rsid w:val="004C6871"/>
    <w:rsid w:val="004C74AE"/>
    <w:rsid w:val="004C7982"/>
    <w:rsid w:val="004C7A71"/>
    <w:rsid w:val="004C7D15"/>
    <w:rsid w:val="004D15DF"/>
    <w:rsid w:val="004D2D89"/>
    <w:rsid w:val="004D3769"/>
    <w:rsid w:val="004D3F99"/>
    <w:rsid w:val="004D4FE5"/>
    <w:rsid w:val="004D546B"/>
    <w:rsid w:val="004D563B"/>
    <w:rsid w:val="004D6468"/>
    <w:rsid w:val="004D69B2"/>
    <w:rsid w:val="004D726F"/>
    <w:rsid w:val="004D7D13"/>
    <w:rsid w:val="004E0209"/>
    <w:rsid w:val="004E0B3A"/>
    <w:rsid w:val="004E100C"/>
    <w:rsid w:val="004E1463"/>
    <w:rsid w:val="004E1473"/>
    <w:rsid w:val="004E1694"/>
    <w:rsid w:val="004E1A0F"/>
    <w:rsid w:val="004E1E18"/>
    <w:rsid w:val="004E203B"/>
    <w:rsid w:val="004E259E"/>
    <w:rsid w:val="004E2994"/>
    <w:rsid w:val="004E2A0E"/>
    <w:rsid w:val="004E34F1"/>
    <w:rsid w:val="004E36D6"/>
    <w:rsid w:val="004E3E45"/>
    <w:rsid w:val="004E42CF"/>
    <w:rsid w:val="004E5EF3"/>
    <w:rsid w:val="004E5F08"/>
    <w:rsid w:val="004E63B7"/>
    <w:rsid w:val="004E68AE"/>
    <w:rsid w:val="004E7029"/>
    <w:rsid w:val="004E725C"/>
    <w:rsid w:val="004F02E4"/>
    <w:rsid w:val="004F0782"/>
    <w:rsid w:val="004F0C8C"/>
    <w:rsid w:val="004F13AE"/>
    <w:rsid w:val="004F1B8E"/>
    <w:rsid w:val="004F1CAB"/>
    <w:rsid w:val="004F1F87"/>
    <w:rsid w:val="004F209F"/>
    <w:rsid w:val="004F27FA"/>
    <w:rsid w:val="004F33C8"/>
    <w:rsid w:val="004F3EC5"/>
    <w:rsid w:val="004F4A5B"/>
    <w:rsid w:val="004F4B22"/>
    <w:rsid w:val="004F4C50"/>
    <w:rsid w:val="004F5169"/>
    <w:rsid w:val="004F51FB"/>
    <w:rsid w:val="004F549D"/>
    <w:rsid w:val="004F54C0"/>
    <w:rsid w:val="004F56B4"/>
    <w:rsid w:val="004F5AA3"/>
    <w:rsid w:val="004F5C0C"/>
    <w:rsid w:val="004F6E2D"/>
    <w:rsid w:val="004F70F8"/>
    <w:rsid w:val="004F76A4"/>
    <w:rsid w:val="004F7703"/>
    <w:rsid w:val="004F7722"/>
    <w:rsid w:val="004F7798"/>
    <w:rsid w:val="004F7B7F"/>
    <w:rsid w:val="004F7E61"/>
    <w:rsid w:val="00500CF8"/>
    <w:rsid w:val="005028EF"/>
    <w:rsid w:val="00502F95"/>
    <w:rsid w:val="00503280"/>
    <w:rsid w:val="005039AD"/>
    <w:rsid w:val="00503AAA"/>
    <w:rsid w:val="00505F2F"/>
    <w:rsid w:val="00506161"/>
    <w:rsid w:val="00506B50"/>
    <w:rsid w:val="00507128"/>
    <w:rsid w:val="005076B6"/>
    <w:rsid w:val="00507C7F"/>
    <w:rsid w:val="00510FB2"/>
    <w:rsid w:val="00511052"/>
    <w:rsid w:val="00511138"/>
    <w:rsid w:val="005113D6"/>
    <w:rsid w:val="00511EA2"/>
    <w:rsid w:val="00511EE2"/>
    <w:rsid w:val="00512189"/>
    <w:rsid w:val="00513007"/>
    <w:rsid w:val="00513A21"/>
    <w:rsid w:val="00513EBE"/>
    <w:rsid w:val="00514799"/>
    <w:rsid w:val="00514AC9"/>
    <w:rsid w:val="00514FC4"/>
    <w:rsid w:val="005152A5"/>
    <w:rsid w:val="00515731"/>
    <w:rsid w:val="0051577B"/>
    <w:rsid w:val="00515891"/>
    <w:rsid w:val="00515CE5"/>
    <w:rsid w:val="0051618F"/>
    <w:rsid w:val="0051622F"/>
    <w:rsid w:val="0051634A"/>
    <w:rsid w:val="00516DB9"/>
    <w:rsid w:val="00516EA6"/>
    <w:rsid w:val="005174B8"/>
    <w:rsid w:val="00517800"/>
    <w:rsid w:val="00517D6A"/>
    <w:rsid w:val="00520347"/>
    <w:rsid w:val="00520671"/>
    <w:rsid w:val="005206BB"/>
    <w:rsid w:val="00520F1E"/>
    <w:rsid w:val="0052115B"/>
    <w:rsid w:val="00522718"/>
    <w:rsid w:val="0052271A"/>
    <w:rsid w:val="00522813"/>
    <w:rsid w:val="005228DF"/>
    <w:rsid w:val="00522C11"/>
    <w:rsid w:val="00523732"/>
    <w:rsid w:val="00524245"/>
    <w:rsid w:val="00524C67"/>
    <w:rsid w:val="00525077"/>
    <w:rsid w:val="0052525F"/>
    <w:rsid w:val="005259B7"/>
    <w:rsid w:val="00525A89"/>
    <w:rsid w:val="00525B9F"/>
    <w:rsid w:val="00525EDA"/>
    <w:rsid w:val="0052676C"/>
    <w:rsid w:val="005269FD"/>
    <w:rsid w:val="00526D30"/>
    <w:rsid w:val="00526F59"/>
    <w:rsid w:val="0052706A"/>
    <w:rsid w:val="005272A0"/>
    <w:rsid w:val="0052730C"/>
    <w:rsid w:val="005278D0"/>
    <w:rsid w:val="00527BF5"/>
    <w:rsid w:val="00527C25"/>
    <w:rsid w:val="00527D04"/>
    <w:rsid w:val="00530108"/>
    <w:rsid w:val="005302C4"/>
    <w:rsid w:val="0053094E"/>
    <w:rsid w:val="00530A6C"/>
    <w:rsid w:val="0053111E"/>
    <w:rsid w:val="00531474"/>
    <w:rsid w:val="00531A8C"/>
    <w:rsid w:val="00531C1B"/>
    <w:rsid w:val="00531C54"/>
    <w:rsid w:val="00532122"/>
    <w:rsid w:val="005324E7"/>
    <w:rsid w:val="0053278F"/>
    <w:rsid w:val="00532B9B"/>
    <w:rsid w:val="00532E63"/>
    <w:rsid w:val="00532F4F"/>
    <w:rsid w:val="005331D3"/>
    <w:rsid w:val="0053375A"/>
    <w:rsid w:val="0053383C"/>
    <w:rsid w:val="00533E2E"/>
    <w:rsid w:val="00533FBF"/>
    <w:rsid w:val="00534590"/>
    <w:rsid w:val="00534F8B"/>
    <w:rsid w:val="00534FF9"/>
    <w:rsid w:val="00535462"/>
    <w:rsid w:val="00535DB1"/>
    <w:rsid w:val="00535F81"/>
    <w:rsid w:val="005365DA"/>
    <w:rsid w:val="00536DDC"/>
    <w:rsid w:val="00536FD7"/>
    <w:rsid w:val="005377C2"/>
    <w:rsid w:val="00537920"/>
    <w:rsid w:val="00540871"/>
    <w:rsid w:val="00540A13"/>
    <w:rsid w:val="00541472"/>
    <w:rsid w:val="00542643"/>
    <w:rsid w:val="00542A8D"/>
    <w:rsid w:val="00543701"/>
    <w:rsid w:val="0054375C"/>
    <w:rsid w:val="00543F7B"/>
    <w:rsid w:val="0054407D"/>
    <w:rsid w:val="00544170"/>
    <w:rsid w:val="005452AA"/>
    <w:rsid w:val="005453C7"/>
    <w:rsid w:val="0054541E"/>
    <w:rsid w:val="005455F8"/>
    <w:rsid w:val="0054583C"/>
    <w:rsid w:val="00546670"/>
    <w:rsid w:val="00546699"/>
    <w:rsid w:val="00546E97"/>
    <w:rsid w:val="00546F04"/>
    <w:rsid w:val="005476A1"/>
    <w:rsid w:val="0054780D"/>
    <w:rsid w:val="005479B2"/>
    <w:rsid w:val="00547B0A"/>
    <w:rsid w:val="00547C00"/>
    <w:rsid w:val="0055019A"/>
    <w:rsid w:val="00550383"/>
    <w:rsid w:val="00551822"/>
    <w:rsid w:val="00551C7C"/>
    <w:rsid w:val="00551D8F"/>
    <w:rsid w:val="00552862"/>
    <w:rsid w:val="00552BB0"/>
    <w:rsid w:val="00552EBD"/>
    <w:rsid w:val="005544E8"/>
    <w:rsid w:val="005546A2"/>
    <w:rsid w:val="005557AD"/>
    <w:rsid w:val="00555F74"/>
    <w:rsid w:val="00555F99"/>
    <w:rsid w:val="00556BBF"/>
    <w:rsid w:val="00557148"/>
    <w:rsid w:val="00557229"/>
    <w:rsid w:val="0055736A"/>
    <w:rsid w:val="00557515"/>
    <w:rsid w:val="00557737"/>
    <w:rsid w:val="005577CC"/>
    <w:rsid w:val="00557868"/>
    <w:rsid w:val="00557D98"/>
    <w:rsid w:val="005604BE"/>
    <w:rsid w:val="00560BE5"/>
    <w:rsid w:val="00560D7C"/>
    <w:rsid w:val="0056175B"/>
    <w:rsid w:val="0056194E"/>
    <w:rsid w:val="00561A79"/>
    <w:rsid w:val="00561E2A"/>
    <w:rsid w:val="0056208D"/>
    <w:rsid w:val="00562183"/>
    <w:rsid w:val="0056234E"/>
    <w:rsid w:val="00562595"/>
    <w:rsid w:val="005629A0"/>
    <w:rsid w:val="00563381"/>
    <w:rsid w:val="00563C96"/>
    <w:rsid w:val="00564826"/>
    <w:rsid w:val="005648D0"/>
    <w:rsid w:val="00564D82"/>
    <w:rsid w:val="00565138"/>
    <w:rsid w:val="00565426"/>
    <w:rsid w:val="00565717"/>
    <w:rsid w:val="005659DB"/>
    <w:rsid w:val="00565FDC"/>
    <w:rsid w:val="00566383"/>
    <w:rsid w:val="00566710"/>
    <w:rsid w:val="00566A2D"/>
    <w:rsid w:val="00566CC3"/>
    <w:rsid w:val="00567031"/>
    <w:rsid w:val="005711E6"/>
    <w:rsid w:val="00571378"/>
    <w:rsid w:val="005722BA"/>
    <w:rsid w:val="0057233C"/>
    <w:rsid w:val="00572343"/>
    <w:rsid w:val="00572675"/>
    <w:rsid w:val="005729AE"/>
    <w:rsid w:val="00572DAB"/>
    <w:rsid w:val="00573BFF"/>
    <w:rsid w:val="00573D63"/>
    <w:rsid w:val="0057444C"/>
    <w:rsid w:val="005746D3"/>
    <w:rsid w:val="00574961"/>
    <w:rsid w:val="00574ACE"/>
    <w:rsid w:val="00574B3D"/>
    <w:rsid w:val="00575086"/>
    <w:rsid w:val="0057571C"/>
    <w:rsid w:val="00576573"/>
    <w:rsid w:val="00580A4E"/>
    <w:rsid w:val="00580EBE"/>
    <w:rsid w:val="00580EE5"/>
    <w:rsid w:val="0058130C"/>
    <w:rsid w:val="005815CE"/>
    <w:rsid w:val="00581CEC"/>
    <w:rsid w:val="0058214C"/>
    <w:rsid w:val="00582281"/>
    <w:rsid w:val="00582468"/>
    <w:rsid w:val="00582848"/>
    <w:rsid w:val="00583262"/>
    <w:rsid w:val="00583683"/>
    <w:rsid w:val="005837A4"/>
    <w:rsid w:val="00583848"/>
    <w:rsid w:val="005843CD"/>
    <w:rsid w:val="0058446B"/>
    <w:rsid w:val="00584DF4"/>
    <w:rsid w:val="00584E13"/>
    <w:rsid w:val="00585705"/>
    <w:rsid w:val="00585972"/>
    <w:rsid w:val="005864EF"/>
    <w:rsid w:val="00586D13"/>
    <w:rsid w:val="00587A94"/>
    <w:rsid w:val="00587BF3"/>
    <w:rsid w:val="00590590"/>
    <w:rsid w:val="00590A07"/>
    <w:rsid w:val="00590C75"/>
    <w:rsid w:val="0059243B"/>
    <w:rsid w:val="005932BD"/>
    <w:rsid w:val="0059355E"/>
    <w:rsid w:val="00593AFA"/>
    <w:rsid w:val="00593BB4"/>
    <w:rsid w:val="00593BD4"/>
    <w:rsid w:val="00593DC4"/>
    <w:rsid w:val="00593E93"/>
    <w:rsid w:val="00593F3B"/>
    <w:rsid w:val="00594809"/>
    <w:rsid w:val="0059487E"/>
    <w:rsid w:val="00594FEE"/>
    <w:rsid w:val="005956F5"/>
    <w:rsid w:val="0059681C"/>
    <w:rsid w:val="00596919"/>
    <w:rsid w:val="005972CA"/>
    <w:rsid w:val="0059732D"/>
    <w:rsid w:val="005974A7"/>
    <w:rsid w:val="00597585"/>
    <w:rsid w:val="00597DBC"/>
    <w:rsid w:val="005A00FD"/>
    <w:rsid w:val="005A05E7"/>
    <w:rsid w:val="005A15E1"/>
    <w:rsid w:val="005A1A19"/>
    <w:rsid w:val="005A21A2"/>
    <w:rsid w:val="005A25F5"/>
    <w:rsid w:val="005A2710"/>
    <w:rsid w:val="005A345F"/>
    <w:rsid w:val="005A3856"/>
    <w:rsid w:val="005A3B51"/>
    <w:rsid w:val="005A3C1F"/>
    <w:rsid w:val="005A3DC7"/>
    <w:rsid w:val="005A3DDD"/>
    <w:rsid w:val="005A3E98"/>
    <w:rsid w:val="005A3F10"/>
    <w:rsid w:val="005A4611"/>
    <w:rsid w:val="005A48B9"/>
    <w:rsid w:val="005A5443"/>
    <w:rsid w:val="005A5EAB"/>
    <w:rsid w:val="005A610A"/>
    <w:rsid w:val="005A61A4"/>
    <w:rsid w:val="005A638A"/>
    <w:rsid w:val="005A651A"/>
    <w:rsid w:val="005A660D"/>
    <w:rsid w:val="005A6A1B"/>
    <w:rsid w:val="005A6C56"/>
    <w:rsid w:val="005A6EE2"/>
    <w:rsid w:val="005A751E"/>
    <w:rsid w:val="005A75E6"/>
    <w:rsid w:val="005A765F"/>
    <w:rsid w:val="005B015D"/>
    <w:rsid w:val="005B0D09"/>
    <w:rsid w:val="005B1BBE"/>
    <w:rsid w:val="005B200B"/>
    <w:rsid w:val="005B21B0"/>
    <w:rsid w:val="005B2CEE"/>
    <w:rsid w:val="005B2EB8"/>
    <w:rsid w:val="005B323B"/>
    <w:rsid w:val="005B32EB"/>
    <w:rsid w:val="005B3EB2"/>
    <w:rsid w:val="005B4BF8"/>
    <w:rsid w:val="005B4DE5"/>
    <w:rsid w:val="005B4E8D"/>
    <w:rsid w:val="005B4FB2"/>
    <w:rsid w:val="005B5036"/>
    <w:rsid w:val="005B5149"/>
    <w:rsid w:val="005B51EB"/>
    <w:rsid w:val="005B5326"/>
    <w:rsid w:val="005B539C"/>
    <w:rsid w:val="005B5C9A"/>
    <w:rsid w:val="005B5E4C"/>
    <w:rsid w:val="005B64B0"/>
    <w:rsid w:val="005B6729"/>
    <w:rsid w:val="005B7448"/>
    <w:rsid w:val="005B7CDC"/>
    <w:rsid w:val="005B7CED"/>
    <w:rsid w:val="005B7FD6"/>
    <w:rsid w:val="005C01E8"/>
    <w:rsid w:val="005C029F"/>
    <w:rsid w:val="005C02B3"/>
    <w:rsid w:val="005C1186"/>
    <w:rsid w:val="005C11BF"/>
    <w:rsid w:val="005C1337"/>
    <w:rsid w:val="005C1B8E"/>
    <w:rsid w:val="005C2258"/>
    <w:rsid w:val="005C3175"/>
    <w:rsid w:val="005C3C01"/>
    <w:rsid w:val="005C3F1A"/>
    <w:rsid w:val="005C3F82"/>
    <w:rsid w:val="005C4383"/>
    <w:rsid w:val="005C492A"/>
    <w:rsid w:val="005C4B77"/>
    <w:rsid w:val="005C4C38"/>
    <w:rsid w:val="005C4D34"/>
    <w:rsid w:val="005C4EEE"/>
    <w:rsid w:val="005C53EE"/>
    <w:rsid w:val="005C54C6"/>
    <w:rsid w:val="005C6849"/>
    <w:rsid w:val="005C6863"/>
    <w:rsid w:val="005C69BE"/>
    <w:rsid w:val="005C6DBB"/>
    <w:rsid w:val="005C761D"/>
    <w:rsid w:val="005D018F"/>
    <w:rsid w:val="005D05CD"/>
    <w:rsid w:val="005D060F"/>
    <w:rsid w:val="005D0CB6"/>
    <w:rsid w:val="005D0E62"/>
    <w:rsid w:val="005D1879"/>
    <w:rsid w:val="005D1CC9"/>
    <w:rsid w:val="005D1F5C"/>
    <w:rsid w:val="005D1FF6"/>
    <w:rsid w:val="005D2619"/>
    <w:rsid w:val="005D2AAD"/>
    <w:rsid w:val="005D3862"/>
    <w:rsid w:val="005D41A0"/>
    <w:rsid w:val="005D421C"/>
    <w:rsid w:val="005D452B"/>
    <w:rsid w:val="005D4547"/>
    <w:rsid w:val="005D480F"/>
    <w:rsid w:val="005D4AFD"/>
    <w:rsid w:val="005D5032"/>
    <w:rsid w:val="005D5222"/>
    <w:rsid w:val="005D540B"/>
    <w:rsid w:val="005D5478"/>
    <w:rsid w:val="005D6CF2"/>
    <w:rsid w:val="005D6FC6"/>
    <w:rsid w:val="005D70A4"/>
    <w:rsid w:val="005D7437"/>
    <w:rsid w:val="005D749F"/>
    <w:rsid w:val="005D78D9"/>
    <w:rsid w:val="005E0709"/>
    <w:rsid w:val="005E0D5E"/>
    <w:rsid w:val="005E0F15"/>
    <w:rsid w:val="005E115E"/>
    <w:rsid w:val="005E157B"/>
    <w:rsid w:val="005E16F2"/>
    <w:rsid w:val="005E1ADE"/>
    <w:rsid w:val="005E2253"/>
    <w:rsid w:val="005E2B42"/>
    <w:rsid w:val="005E2F98"/>
    <w:rsid w:val="005E31D4"/>
    <w:rsid w:val="005E39D5"/>
    <w:rsid w:val="005E3DA6"/>
    <w:rsid w:val="005E4141"/>
    <w:rsid w:val="005E434E"/>
    <w:rsid w:val="005E57CA"/>
    <w:rsid w:val="005E79E7"/>
    <w:rsid w:val="005F0390"/>
    <w:rsid w:val="005F10DD"/>
    <w:rsid w:val="005F153B"/>
    <w:rsid w:val="005F15A0"/>
    <w:rsid w:val="005F181D"/>
    <w:rsid w:val="005F1904"/>
    <w:rsid w:val="005F24B0"/>
    <w:rsid w:val="005F27F2"/>
    <w:rsid w:val="005F29D2"/>
    <w:rsid w:val="005F2D51"/>
    <w:rsid w:val="005F316C"/>
    <w:rsid w:val="005F36DB"/>
    <w:rsid w:val="005F4B83"/>
    <w:rsid w:val="005F560A"/>
    <w:rsid w:val="005F684D"/>
    <w:rsid w:val="005F698F"/>
    <w:rsid w:val="005F6A5C"/>
    <w:rsid w:val="005F6ACB"/>
    <w:rsid w:val="005F6CC3"/>
    <w:rsid w:val="005F6FB5"/>
    <w:rsid w:val="005F7C29"/>
    <w:rsid w:val="00600688"/>
    <w:rsid w:val="006006D4"/>
    <w:rsid w:val="00600908"/>
    <w:rsid w:val="00600EF3"/>
    <w:rsid w:val="006010D0"/>
    <w:rsid w:val="006014EB"/>
    <w:rsid w:val="0060183F"/>
    <w:rsid w:val="00601975"/>
    <w:rsid w:val="00601EAC"/>
    <w:rsid w:val="00602546"/>
    <w:rsid w:val="006026B1"/>
    <w:rsid w:val="00602DC2"/>
    <w:rsid w:val="006033AB"/>
    <w:rsid w:val="00603542"/>
    <w:rsid w:val="006043FA"/>
    <w:rsid w:val="00604C22"/>
    <w:rsid w:val="00604D41"/>
    <w:rsid w:val="00605581"/>
    <w:rsid w:val="00605758"/>
    <w:rsid w:val="00605985"/>
    <w:rsid w:val="00605B0C"/>
    <w:rsid w:val="00605BA0"/>
    <w:rsid w:val="00605BFC"/>
    <w:rsid w:val="00605D1C"/>
    <w:rsid w:val="00605FA6"/>
    <w:rsid w:val="00606980"/>
    <w:rsid w:val="006077CB"/>
    <w:rsid w:val="00607CEB"/>
    <w:rsid w:val="006104EA"/>
    <w:rsid w:val="00610DD7"/>
    <w:rsid w:val="00611239"/>
    <w:rsid w:val="006119E5"/>
    <w:rsid w:val="00612025"/>
    <w:rsid w:val="00612A0B"/>
    <w:rsid w:val="00612C7E"/>
    <w:rsid w:val="00612CC3"/>
    <w:rsid w:val="00613383"/>
    <w:rsid w:val="00613565"/>
    <w:rsid w:val="00613787"/>
    <w:rsid w:val="00613D99"/>
    <w:rsid w:val="006142E1"/>
    <w:rsid w:val="006149BB"/>
    <w:rsid w:val="00614B70"/>
    <w:rsid w:val="00614BD5"/>
    <w:rsid w:val="006151EA"/>
    <w:rsid w:val="0061541D"/>
    <w:rsid w:val="00615CE1"/>
    <w:rsid w:val="00615D1B"/>
    <w:rsid w:val="00616056"/>
    <w:rsid w:val="00616319"/>
    <w:rsid w:val="00616883"/>
    <w:rsid w:val="006168FE"/>
    <w:rsid w:val="00616C80"/>
    <w:rsid w:val="00616CAE"/>
    <w:rsid w:val="006176D3"/>
    <w:rsid w:val="00617D21"/>
    <w:rsid w:val="006202EC"/>
    <w:rsid w:val="006213F6"/>
    <w:rsid w:val="00621521"/>
    <w:rsid w:val="006216C5"/>
    <w:rsid w:val="00621797"/>
    <w:rsid w:val="00621B39"/>
    <w:rsid w:val="00622998"/>
    <w:rsid w:val="00622BA2"/>
    <w:rsid w:val="006235AC"/>
    <w:rsid w:val="006242C8"/>
    <w:rsid w:val="00624818"/>
    <w:rsid w:val="0062618D"/>
    <w:rsid w:val="006261A6"/>
    <w:rsid w:val="006265D2"/>
    <w:rsid w:val="00627910"/>
    <w:rsid w:val="0063054E"/>
    <w:rsid w:val="00630AE3"/>
    <w:rsid w:val="00630DD2"/>
    <w:rsid w:val="00631322"/>
    <w:rsid w:val="00631B88"/>
    <w:rsid w:val="00632693"/>
    <w:rsid w:val="006328E5"/>
    <w:rsid w:val="00633441"/>
    <w:rsid w:val="00633502"/>
    <w:rsid w:val="00634441"/>
    <w:rsid w:val="00634D6A"/>
    <w:rsid w:val="00635496"/>
    <w:rsid w:val="00635AAC"/>
    <w:rsid w:val="00635E27"/>
    <w:rsid w:val="0063603A"/>
    <w:rsid w:val="00636236"/>
    <w:rsid w:val="00636DD3"/>
    <w:rsid w:val="00636DE9"/>
    <w:rsid w:val="0063724D"/>
    <w:rsid w:val="0063795E"/>
    <w:rsid w:val="00637D54"/>
    <w:rsid w:val="00637DD4"/>
    <w:rsid w:val="00640E3D"/>
    <w:rsid w:val="0064138F"/>
    <w:rsid w:val="00641701"/>
    <w:rsid w:val="0064178C"/>
    <w:rsid w:val="006419EE"/>
    <w:rsid w:val="006427CE"/>
    <w:rsid w:val="00642CBF"/>
    <w:rsid w:val="00642EF6"/>
    <w:rsid w:val="0064332B"/>
    <w:rsid w:val="00643445"/>
    <w:rsid w:val="00643470"/>
    <w:rsid w:val="00643525"/>
    <w:rsid w:val="006436F0"/>
    <w:rsid w:val="00643A1D"/>
    <w:rsid w:val="00643DF4"/>
    <w:rsid w:val="00643F7C"/>
    <w:rsid w:val="00644AF2"/>
    <w:rsid w:val="00645189"/>
    <w:rsid w:val="00645268"/>
    <w:rsid w:val="0064529F"/>
    <w:rsid w:val="006458E3"/>
    <w:rsid w:val="00645D7A"/>
    <w:rsid w:val="006460B9"/>
    <w:rsid w:val="0064661B"/>
    <w:rsid w:val="00646D35"/>
    <w:rsid w:val="00646E30"/>
    <w:rsid w:val="006473B3"/>
    <w:rsid w:val="00647592"/>
    <w:rsid w:val="006478F0"/>
    <w:rsid w:val="006479C8"/>
    <w:rsid w:val="00647C63"/>
    <w:rsid w:val="00647F57"/>
    <w:rsid w:val="00650044"/>
    <w:rsid w:val="006504F2"/>
    <w:rsid w:val="0065055C"/>
    <w:rsid w:val="00650830"/>
    <w:rsid w:val="006508E9"/>
    <w:rsid w:val="00650BA6"/>
    <w:rsid w:val="00651606"/>
    <w:rsid w:val="0065173A"/>
    <w:rsid w:val="0065193B"/>
    <w:rsid w:val="006519B6"/>
    <w:rsid w:val="00651C9C"/>
    <w:rsid w:val="006524CB"/>
    <w:rsid w:val="0065285D"/>
    <w:rsid w:val="00652A73"/>
    <w:rsid w:val="00652AD0"/>
    <w:rsid w:val="00653142"/>
    <w:rsid w:val="006531EC"/>
    <w:rsid w:val="00653499"/>
    <w:rsid w:val="00653CE3"/>
    <w:rsid w:val="00653D50"/>
    <w:rsid w:val="00654000"/>
    <w:rsid w:val="00654472"/>
    <w:rsid w:val="00654BA2"/>
    <w:rsid w:val="00655FEE"/>
    <w:rsid w:val="006562F3"/>
    <w:rsid w:val="00657032"/>
    <w:rsid w:val="0065760D"/>
    <w:rsid w:val="0065777E"/>
    <w:rsid w:val="00657999"/>
    <w:rsid w:val="00657AEC"/>
    <w:rsid w:val="00657EBD"/>
    <w:rsid w:val="006608B4"/>
    <w:rsid w:val="00660C47"/>
    <w:rsid w:val="006613D5"/>
    <w:rsid w:val="0066162D"/>
    <w:rsid w:val="00661B1C"/>
    <w:rsid w:val="00661E10"/>
    <w:rsid w:val="00661E9D"/>
    <w:rsid w:val="00662267"/>
    <w:rsid w:val="00662B82"/>
    <w:rsid w:val="0066338F"/>
    <w:rsid w:val="0066344A"/>
    <w:rsid w:val="006642E0"/>
    <w:rsid w:val="006645E7"/>
    <w:rsid w:val="006648BD"/>
    <w:rsid w:val="00665DB6"/>
    <w:rsid w:val="00666720"/>
    <w:rsid w:val="00666F84"/>
    <w:rsid w:val="006671FB"/>
    <w:rsid w:val="00667387"/>
    <w:rsid w:val="006704DB"/>
    <w:rsid w:val="00670706"/>
    <w:rsid w:val="0067111B"/>
    <w:rsid w:val="0067140C"/>
    <w:rsid w:val="00671993"/>
    <w:rsid w:val="006719F4"/>
    <w:rsid w:val="00671A7B"/>
    <w:rsid w:val="0067202B"/>
    <w:rsid w:val="0067273E"/>
    <w:rsid w:val="00672FB6"/>
    <w:rsid w:val="00673253"/>
    <w:rsid w:val="0067416F"/>
    <w:rsid w:val="006741C6"/>
    <w:rsid w:val="006743A3"/>
    <w:rsid w:val="00674880"/>
    <w:rsid w:val="006751DE"/>
    <w:rsid w:val="006763D3"/>
    <w:rsid w:val="00676FFC"/>
    <w:rsid w:val="00680255"/>
    <w:rsid w:val="0068039A"/>
    <w:rsid w:val="00680444"/>
    <w:rsid w:val="0068059F"/>
    <w:rsid w:val="00680E12"/>
    <w:rsid w:val="006813B5"/>
    <w:rsid w:val="00681427"/>
    <w:rsid w:val="00682616"/>
    <w:rsid w:val="00682A8E"/>
    <w:rsid w:val="00682D48"/>
    <w:rsid w:val="00683856"/>
    <w:rsid w:val="006840D0"/>
    <w:rsid w:val="00684212"/>
    <w:rsid w:val="0068482D"/>
    <w:rsid w:val="00684A4F"/>
    <w:rsid w:val="00684BF5"/>
    <w:rsid w:val="00685549"/>
    <w:rsid w:val="0068596C"/>
    <w:rsid w:val="006862B3"/>
    <w:rsid w:val="0068633A"/>
    <w:rsid w:val="006864BC"/>
    <w:rsid w:val="00686B7A"/>
    <w:rsid w:val="00687097"/>
    <w:rsid w:val="006876CC"/>
    <w:rsid w:val="00690CB0"/>
    <w:rsid w:val="00690EB5"/>
    <w:rsid w:val="00691AD6"/>
    <w:rsid w:val="00692133"/>
    <w:rsid w:val="006925C0"/>
    <w:rsid w:val="00692761"/>
    <w:rsid w:val="00692D56"/>
    <w:rsid w:val="00692D96"/>
    <w:rsid w:val="00693013"/>
    <w:rsid w:val="0069305F"/>
    <w:rsid w:val="00693827"/>
    <w:rsid w:val="00693C1B"/>
    <w:rsid w:val="00693C87"/>
    <w:rsid w:val="00693E0B"/>
    <w:rsid w:val="006949F7"/>
    <w:rsid w:val="00694AA6"/>
    <w:rsid w:val="00694BF7"/>
    <w:rsid w:val="00695B03"/>
    <w:rsid w:val="006960D3"/>
    <w:rsid w:val="00696737"/>
    <w:rsid w:val="006968B2"/>
    <w:rsid w:val="00696E47"/>
    <w:rsid w:val="0069702A"/>
    <w:rsid w:val="00697A7D"/>
    <w:rsid w:val="006A0818"/>
    <w:rsid w:val="006A09A5"/>
    <w:rsid w:val="006A1690"/>
    <w:rsid w:val="006A1898"/>
    <w:rsid w:val="006A1921"/>
    <w:rsid w:val="006A1E5E"/>
    <w:rsid w:val="006A2B51"/>
    <w:rsid w:val="006A2E64"/>
    <w:rsid w:val="006A33CA"/>
    <w:rsid w:val="006A37B1"/>
    <w:rsid w:val="006A37FB"/>
    <w:rsid w:val="006A4873"/>
    <w:rsid w:val="006A4BFC"/>
    <w:rsid w:val="006A548F"/>
    <w:rsid w:val="006A59CE"/>
    <w:rsid w:val="006A5EBE"/>
    <w:rsid w:val="006A60A6"/>
    <w:rsid w:val="006A60CB"/>
    <w:rsid w:val="006A6928"/>
    <w:rsid w:val="006A6B93"/>
    <w:rsid w:val="006A6F36"/>
    <w:rsid w:val="006A7047"/>
    <w:rsid w:val="006A79A8"/>
    <w:rsid w:val="006B2451"/>
    <w:rsid w:val="006B24E9"/>
    <w:rsid w:val="006B26EF"/>
    <w:rsid w:val="006B2AC1"/>
    <w:rsid w:val="006B2E61"/>
    <w:rsid w:val="006B3345"/>
    <w:rsid w:val="006B3B16"/>
    <w:rsid w:val="006B3D64"/>
    <w:rsid w:val="006B5BE0"/>
    <w:rsid w:val="006B5C00"/>
    <w:rsid w:val="006B6378"/>
    <w:rsid w:val="006B7986"/>
    <w:rsid w:val="006C06FD"/>
    <w:rsid w:val="006C072C"/>
    <w:rsid w:val="006C07FF"/>
    <w:rsid w:val="006C122E"/>
    <w:rsid w:val="006C166D"/>
    <w:rsid w:val="006C1934"/>
    <w:rsid w:val="006C1AD5"/>
    <w:rsid w:val="006C1EFB"/>
    <w:rsid w:val="006C2288"/>
    <w:rsid w:val="006C27A1"/>
    <w:rsid w:val="006C293B"/>
    <w:rsid w:val="006C2B93"/>
    <w:rsid w:val="006C306C"/>
    <w:rsid w:val="006C31D6"/>
    <w:rsid w:val="006C35A2"/>
    <w:rsid w:val="006C3A22"/>
    <w:rsid w:val="006C400F"/>
    <w:rsid w:val="006C4409"/>
    <w:rsid w:val="006C44A6"/>
    <w:rsid w:val="006C5163"/>
    <w:rsid w:val="006C55E6"/>
    <w:rsid w:val="006C58B6"/>
    <w:rsid w:val="006C7FF0"/>
    <w:rsid w:val="006D093A"/>
    <w:rsid w:val="006D12C7"/>
    <w:rsid w:val="006D1837"/>
    <w:rsid w:val="006D1E80"/>
    <w:rsid w:val="006D24A6"/>
    <w:rsid w:val="006D2BCC"/>
    <w:rsid w:val="006D5570"/>
    <w:rsid w:val="006D6223"/>
    <w:rsid w:val="006D7851"/>
    <w:rsid w:val="006D7ABC"/>
    <w:rsid w:val="006D7FCC"/>
    <w:rsid w:val="006E02A8"/>
    <w:rsid w:val="006E0618"/>
    <w:rsid w:val="006E08E7"/>
    <w:rsid w:val="006E0907"/>
    <w:rsid w:val="006E094D"/>
    <w:rsid w:val="006E0C86"/>
    <w:rsid w:val="006E0E94"/>
    <w:rsid w:val="006E0ED0"/>
    <w:rsid w:val="006E1127"/>
    <w:rsid w:val="006E18DC"/>
    <w:rsid w:val="006E1B50"/>
    <w:rsid w:val="006E20D9"/>
    <w:rsid w:val="006E22F0"/>
    <w:rsid w:val="006E2661"/>
    <w:rsid w:val="006E297A"/>
    <w:rsid w:val="006E31F2"/>
    <w:rsid w:val="006E34F9"/>
    <w:rsid w:val="006E43EB"/>
    <w:rsid w:val="006E4E76"/>
    <w:rsid w:val="006E645E"/>
    <w:rsid w:val="006E65CD"/>
    <w:rsid w:val="006E6837"/>
    <w:rsid w:val="006E69A0"/>
    <w:rsid w:val="006E73FC"/>
    <w:rsid w:val="006E7422"/>
    <w:rsid w:val="006E7ADD"/>
    <w:rsid w:val="006F166E"/>
    <w:rsid w:val="006F1ABD"/>
    <w:rsid w:val="006F1C68"/>
    <w:rsid w:val="006F1DD3"/>
    <w:rsid w:val="006F2208"/>
    <w:rsid w:val="006F22EC"/>
    <w:rsid w:val="006F322C"/>
    <w:rsid w:val="006F35EB"/>
    <w:rsid w:val="006F3DC5"/>
    <w:rsid w:val="006F3E28"/>
    <w:rsid w:val="006F3E3F"/>
    <w:rsid w:val="006F41E7"/>
    <w:rsid w:val="006F41F6"/>
    <w:rsid w:val="006F4A35"/>
    <w:rsid w:val="006F4F96"/>
    <w:rsid w:val="006F59BF"/>
    <w:rsid w:val="006F5CDA"/>
    <w:rsid w:val="006F5D2E"/>
    <w:rsid w:val="006F60C3"/>
    <w:rsid w:val="006F6667"/>
    <w:rsid w:val="006F688B"/>
    <w:rsid w:val="006F6893"/>
    <w:rsid w:val="006F6A2E"/>
    <w:rsid w:val="006F7594"/>
    <w:rsid w:val="006F7F9C"/>
    <w:rsid w:val="0070025A"/>
    <w:rsid w:val="00700E90"/>
    <w:rsid w:val="00700FC6"/>
    <w:rsid w:val="00701BF7"/>
    <w:rsid w:val="007023B8"/>
    <w:rsid w:val="00702450"/>
    <w:rsid w:val="00702760"/>
    <w:rsid w:val="007033C9"/>
    <w:rsid w:val="00703D6B"/>
    <w:rsid w:val="007043AC"/>
    <w:rsid w:val="00704EB0"/>
    <w:rsid w:val="00704EBE"/>
    <w:rsid w:val="00704F71"/>
    <w:rsid w:val="0070504E"/>
    <w:rsid w:val="007058A6"/>
    <w:rsid w:val="00706089"/>
    <w:rsid w:val="00706166"/>
    <w:rsid w:val="00706B99"/>
    <w:rsid w:val="00706BB9"/>
    <w:rsid w:val="00706D42"/>
    <w:rsid w:val="00707087"/>
    <w:rsid w:val="00707429"/>
    <w:rsid w:val="00707601"/>
    <w:rsid w:val="0070763C"/>
    <w:rsid w:val="00710437"/>
    <w:rsid w:val="00710BD4"/>
    <w:rsid w:val="00710E8D"/>
    <w:rsid w:val="007110E8"/>
    <w:rsid w:val="007112A0"/>
    <w:rsid w:val="0071247A"/>
    <w:rsid w:val="00712EB3"/>
    <w:rsid w:val="007145CF"/>
    <w:rsid w:val="00714745"/>
    <w:rsid w:val="00714A61"/>
    <w:rsid w:val="00714E36"/>
    <w:rsid w:val="007152A4"/>
    <w:rsid w:val="00716977"/>
    <w:rsid w:val="00717005"/>
    <w:rsid w:val="00717492"/>
    <w:rsid w:val="0071771A"/>
    <w:rsid w:val="007178BE"/>
    <w:rsid w:val="00717C48"/>
    <w:rsid w:val="00720F45"/>
    <w:rsid w:val="00721579"/>
    <w:rsid w:val="00721744"/>
    <w:rsid w:val="007218AE"/>
    <w:rsid w:val="00721CB7"/>
    <w:rsid w:val="007225CB"/>
    <w:rsid w:val="00722664"/>
    <w:rsid w:val="00722923"/>
    <w:rsid w:val="00722A2F"/>
    <w:rsid w:val="00722D76"/>
    <w:rsid w:val="007237BD"/>
    <w:rsid w:val="007246EB"/>
    <w:rsid w:val="0072561F"/>
    <w:rsid w:val="00725868"/>
    <w:rsid w:val="007260AE"/>
    <w:rsid w:val="0072681B"/>
    <w:rsid w:val="0072731A"/>
    <w:rsid w:val="00727861"/>
    <w:rsid w:val="00727873"/>
    <w:rsid w:val="00727A58"/>
    <w:rsid w:val="00727E70"/>
    <w:rsid w:val="007314BA"/>
    <w:rsid w:val="007314DB"/>
    <w:rsid w:val="007315CC"/>
    <w:rsid w:val="0073173D"/>
    <w:rsid w:val="00732447"/>
    <w:rsid w:val="00732512"/>
    <w:rsid w:val="007325A9"/>
    <w:rsid w:val="007327FE"/>
    <w:rsid w:val="00732D43"/>
    <w:rsid w:val="00732DA5"/>
    <w:rsid w:val="00733458"/>
    <w:rsid w:val="00733932"/>
    <w:rsid w:val="007344D3"/>
    <w:rsid w:val="00734F89"/>
    <w:rsid w:val="00735246"/>
    <w:rsid w:val="00735922"/>
    <w:rsid w:val="00736956"/>
    <w:rsid w:val="00737115"/>
    <w:rsid w:val="00737A75"/>
    <w:rsid w:val="007408BF"/>
    <w:rsid w:val="00740CE4"/>
    <w:rsid w:val="00740E5B"/>
    <w:rsid w:val="00740F8D"/>
    <w:rsid w:val="00741357"/>
    <w:rsid w:val="00741C24"/>
    <w:rsid w:val="00741E21"/>
    <w:rsid w:val="00742C33"/>
    <w:rsid w:val="0074330A"/>
    <w:rsid w:val="007437D8"/>
    <w:rsid w:val="007439FC"/>
    <w:rsid w:val="00743FA1"/>
    <w:rsid w:val="007440F2"/>
    <w:rsid w:val="00744FA3"/>
    <w:rsid w:val="0074501A"/>
    <w:rsid w:val="00745620"/>
    <w:rsid w:val="00745952"/>
    <w:rsid w:val="00745F55"/>
    <w:rsid w:val="0074656B"/>
    <w:rsid w:val="00746AC6"/>
    <w:rsid w:val="0074754B"/>
    <w:rsid w:val="00747A7E"/>
    <w:rsid w:val="00747BDF"/>
    <w:rsid w:val="00747D2E"/>
    <w:rsid w:val="00750261"/>
    <w:rsid w:val="00750652"/>
    <w:rsid w:val="00751427"/>
    <w:rsid w:val="00752584"/>
    <w:rsid w:val="007534C0"/>
    <w:rsid w:val="00753910"/>
    <w:rsid w:val="00753AD8"/>
    <w:rsid w:val="00753C50"/>
    <w:rsid w:val="00754250"/>
    <w:rsid w:val="007543A9"/>
    <w:rsid w:val="00754733"/>
    <w:rsid w:val="00754F8C"/>
    <w:rsid w:val="0075572C"/>
    <w:rsid w:val="0075631B"/>
    <w:rsid w:val="00756A24"/>
    <w:rsid w:val="007570C4"/>
    <w:rsid w:val="00757822"/>
    <w:rsid w:val="00757C61"/>
    <w:rsid w:val="00757E5A"/>
    <w:rsid w:val="007605E8"/>
    <w:rsid w:val="00760C35"/>
    <w:rsid w:val="00761160"/>
    <w:rsid w:val="00761230"/>
    <w:rsid w:val="00761733"/>
    <w:rsid w:val="007622EE"/>
    <w:rsid w:val="00762486"/>
    <w:rsid w:val="00762829"/>
    <w:rsid w:val="00762B40"/>
    <w:rsid w:val="00762CC2"/>
    <w:rsid w:val="007632EF"/>
    <w:rsid w:val="00763508"/>
    <w:rsid w:val="00763F55"/>
    <w:rsid w:val="007646C5"/>
    <w:rsid w:val="00764AA0"/>
    <w:rsid w:val="0076502A"/>
    <w:rsid w:val="00765041"/>
    <w:rsid w:val="00765353"/>
    <w:rsid w:val="0076697D"/>
    <w:rsid w:val="00766F86"/>
    <w:rsid w:val="007670D4"/>
    <w:rsid w:val="007672F0"/>
    <w:rsid w:val="0076732A"/>
    <w:rsid w:val="00767859"/>
    <w:rsid w:val="00767F0A"/>
    <w:rsid w:val="00767F70"/>
    <w:rsid w:val="00770565"/>
    <w:rsid w:val="00770A24"/>
    <w:rsid w:val="00770C80"/>
    <w:rsid w:val="00771A35"/>
    <w:rsid w:val="00771CC4"/>
    <w:rsid w:val="00772514"/>
    <w:rsid w:val="007727F2"/>
    <w:rsid w:val="00772931"/>
    <w:rsid w:val="00772C8F"/>
    <w:rsid w:val="00773137"/>
    <w:rsid w:val="007745D7"/>
    <w:rsid w:val="00774D9E"/>
    <w:rsid w:val="00775E06"/>
    <w:rsid w:val="0077603E"/>
    <w:rsid w:val="00776337"/>
    <w:rsid w:val="007768C8"/>
    <w:rsid w:val="00777EBA"/>
    <w:rsid w:val="00780131"/>
    <w:rsid w:val="00780289"/>
    <w:rsid w:val="007802D5"/>
    <w:rsid w:val="00780302"/>
    <w:rsid w:val="00780B9E"/>
    <w:rsid w:val="007815C8"/>
    <w:rsid w:val="00781A5B"/>
    <w:rsid w:val="00781FB4"/>
    <w:rsid w:val="0078298D"/>
    <w:rsid w:val="007829E6"/>
    <w:rsid w:val="00783260"/>
    <w:rsid w:val="007837A7"/>
    <w:rsid w:val="00783933"/>
    <w:rsid w:val="00783959"/>
    <w:rsid w:val="007842C7"/>
    <w:rsid w:val="007846A0"/>
    <w:rsid w:val="00785E64"/>
    <w:rsid w:val="00786044"/>
    <w:rsid w:val="00786340"/>
    <w:rsid w:val="0078645C"/>
    <w:rsid w:val="00786E6D"/>
    <w:rsid w:val="0078710C"/>
    <w:rsid w:val="00787C84"/>
    <w:rsid w:val="00787DAB"/>
    <w:rsid w:val="007907ED"/>
    <w:rsid w:val="00791B13"/>
    <w:rsid w:val="00791E7B"/>
    <w:rsid w:val="00791E9D"/>
    <w:rsid w:val="0079231E"/>
    <w:rsid w:val="00792936"/>
    <w:rsid w:val="00792DE8"/>
    <w:rsid w:val="00792FE9"/>
    <w:rsid w:val="00794647"/>
    <w:rsid w:val="0079479D"/>
    <w:rsid w:val="00794C25"/>
    <w:rsid w:val="0079528C"/>
    <w:rsid w:val="007962FF"/>
    <w:rsid w:val="00797F89"/>
    <w:rsid w:val="007A22A2"/>
    <w:rsid w:val="007A2527"/>
    <w:rsid w:val="007A279A"/>
    <w:rsid w:val="007A2AE7"/>
    <w:rsid w:val="007A3088"/>
    <w:rsid w:val="007A3471"/>
    <w:rsid w:val="007A3A9F"/>
    <w:rsid w:val="007A3D1F"/>
    <w:rsid w:val="007A4A19"/>
    <w:rsid w:val="007A4D53"/>
    <w:rsid w:val="007A4D7C"/>
    <w:rsid w:val="007A500A"/>
    <w:rsid w:val="007A5DCF"/>
    <w:rsid w:val="007A68A1"/>
    <w:rsid w:val="007A6BCF"/>
    <w:rsid w:val="007B030A"/>
    <w:rsid w:val="007B04DC"/>
    <w:rsid w:val="007B09DE"/>
    <w:rsid w:val="007B1251"/>
    <w:rsid w:val="007B1363"/>
    <w:rsid w:val="007B1907"/>
    <w:rsid w:val="007B274C"/>
    <w:rsid w:val="007B2D31"/>
    <w:rsid w:val="007B2E84"/>
    <w:rsid w:val="007B2F4E"/>
    <w:rsid w:val="007B2F66"/>
    <w:rsid w:val="007B3022"/>
    <w:rsid w:val="007B335E"/>
    <w:rsid w:val="007B35EB"/>
    <w:rsid w:val="007B3ABC"/>
    <w:rsid w:val="007B407E"/>
    <w:rsid w:val="007B4434"/>
    <w:rsid w:val="007B454D"/>
    <w:rsid w:val="007B4C0C"/>
    <w:rsid w:val="007B4D15"/>
    <w:rsid w:val="007B4E2C"/>
    <w:rsid w:val="007B5427"/>
    <w:rsid w:val="007B57F2"/>
    <w:rsid w:val="007B5990"/>
    <w:rsid w:val="007B5D19"/>
    <w:rsid w:val="007B6E40"/>
    <w:rsid w:val="007B75A7"/>
    <w:rsid w:val="007C0877"/>
    <w:rsid w:val="007C1226"/>
    <w:rsid w:val="007C1377"/>
    <w:rsid w:val="007C1B19"/>
    <w:rsid w:val="007C1FE5"/>
    <w:rsid w:val="007C22EA"/>
    <w:rsid w:val="007C26A2"/>
    <w:rsid w:val="007C26CF"/>
    <w:rsid w:val="007C278C"/>
    <w:rsid w:val="007C2A50"/>
    <w:rsid w:val="007C30C1"/>
    <w:rsid w:val="007C3DDF"/>
    <w:rsid w:val="007C4617"/>
    <w:rsid w:val="007C4703"/>
    <w:rsid w:val="007C4815"/>
    <w:rsid w:val="007C4D77"/>
    <w:rsid w:val="007C5227"/>
    <w:rsid w:val="007C5307"/>
    <w:rsid w:val="007C530E"/>
    <w:rsid w:val="007C5926"/>
    <w:rsid w:val="007C609F"/>
    <w:rsid w:val="007C6229"/>
    <w:rsid w:val="007C62BA"/>
    <w:rsid w:val="007C645A"/>
    <w:rsid w:val="007D0ABA"/>
    <w:rsid w:val="007D188D"/>
    <w:rsid w:val="007D2529"/>
    <w:rsid w:val="007D2889"/>
    <w:rsid w:val="007D2BD5"/>
    <w:rsid w:val="007D2BE7"/>
    <w:rsid w:val="007D2E0C"/>
    <w:rsid w:val="007D312F"/>
    <w:rsid w:val="007D3354"/>
    <w:rsid w:val="007D386E"/>
    <w:rsid w:val="007D3E80"/>
    <w:rsid w:val="007D4508"/>
    <w:rsid w:val="007D45A0"/>
    <w:rsid w:val="007D58BC"/>
    <w:rsid w:val="007D6B2A"/>
    <w:rsid w:val="007D6CB1"/>
    <w:rsid w:val="007D7780"/>
    <w:rsid w:val="007D7EAD"/>
    <w:rsid w:val="007E021D"/>
    <w:rsid w:val="007E0D33"/>
    <w:rsid w:val="007E11EF"/>
    <w:rsid w:val="007E14D5"/>
    <w:rsid w:val="007E158F"/>
    <w:rsid w:val="007E1737"/>
    <w:rsid w:val="007E1B3A"/>
    <w:rsid w:val="007E1DD7"/>
    <w:rsid w:val="007E39DA"/>
    <w:rsid w:val="007E4376"/>
    <w:rsid w:val="007E4397"/>
    <w:rsid w:val="007E4A85"/>
    <w:rsid w:val="007E5482"/>
    <w:rsid w:val="007E5903"/>
    <w:rsid w:val="007E5996"/>
    <w:rsid w:val="007E5A47"/>
    <w:rsid w:val="007E6737"/>
    <w:rsid w:val="007E6EE0"/>
    <w:rsid w:val="007E7059"/>
    <w:rsid w:val="007E78FD"/>
    <w:rsid w:val="007E7D95"/>
    <w:rsid w:val="007E7F56"/>
    <w:rsid w:val="007F04A8"/>
    <w:rsid w:val="007F1111"/>
    <w:rsid w:val="007F15F3"/>
    <w:rsid w:val="007F241F"/>
    <w:rsid w:val="007F2A8C"/>
    <w:rsid w:val="007F2F7E"/>
    <w:rsid w:val="007F3795"/>
    <w:rsid w:val="007F38BA"/>
    <w:rsid w:val="007F3D8F"/>
    <w:rsid w:val="007F3E56"/>
    <w:rsid w:val="007F43F1"/>
    <w:rsid w:val="007F535F"/>
    <w:rsid w:val="007F5715"/>
    <w:rsid w:val="007F66FD"/>
    <w:rsid w:val="007F6EA5"/>
    <w:rsid w:val="007F7735"/>
    <w:rsid w:val="007F7B02"/>
    <w:rsid w:val="00800901"/>
    <w:rsid w:val="00800E7D"/>
    <w:rsid w:val="00800F63"/>
    <w:rsid w:val="0080155C"/>
    <w:rsid w:val="0080181A"/>
    <w:rsid w:val="008020D1"/>
    <w:rsid w:val="008022AC"/>
    <w:rsid w:val="0080254C"/>
    <w:rsid w:val="008029AB"/>
    <w:rsid w:val="00802DDE"/>
    <w:rsid w:val="00802F86"/>
    <w:rsid w:val="0080314F"/>
    <w:rsid w:val="008035C4"/>
    <w:rsid w:val="00803634"/>
    <w:rsid w:val="0080425D"/>
    <w:rsid w:val="00804F67"/>
    <w:rsid w:val="008053B7"/>
    <w:rsid w:val="00806F8C"/>
    <w:rsid w:val="008074EF"/>
    <w:rsid w:val="00807C0B"/>
    <w:rsid w:val="00810015"/>
    <w:rsid w:val="00810024"/>
    <w:rsid w:val="008103B1"/>
    <w:rsid w:val="008105E9"/>
    <w:rsid w:val="008106D3"/>
    <w:rsid w:val="008107A1"/>
    <w:rsid w:val="00810994"/>
    <w:rsid w:val="00810DF4"/>
    <w:rsid w:val="008113C0"/>
    <w:rsid w:val="00811582"/>
    <w:rsid w:val="00811C08"/>
    <w:rsid w:val="008121ED"/>
    <w:rsid w:val="0081229F"/>
    <w:rsid w:val="00812E4B"/>
    <w:rsid w:val="0081333E"/>
    <w:rsid w:val="00813589"/>
    <w:rsid w:val="008139E5"/>
    <w:rsid w:val="008142B6"/>
    <w:rsid w:val="0081562F"/>
    <w:rsid w:val="0081580F"/>
    <w:rsid w:val="00815DAB"/>
    <w:rsid w:val="00817105"/>
    <w:rsid w:val="0082026C"/>
    <w:rsid w:val="008205F5"/>
    <w:rsid w:val="0082127D"/>
    <w:rsid w:val="008214D2"/>
    <w:rsid w:val="00821F56"/>
    <w:rsid w:val="008223E2"/>
    <w:rsid w:val="00822BE0"/>
    <w:rsid w:val="00822D58"/>
    <w:rsid w:val="00823849"/>
    <w:rsid w:val="00823EAD"/>
    <w:rsid w:val="0082427B"/>
    <w:rsid w:val="00824382"/>
    <w:rsid w:val="0082473B"/>
    <w:rsid w:val="00825677"/>
    <w:rsid w:val="00825730"/>
    <w:rsid w:val="00825ABA"/>
    <w:rsid w:val="00825ECC"/>
    <w:rsid w:val="00825EE7"/>
    <w:rsid w:val="008260D0"/>
    <w:rsid w:val="008262CF"/>
    <w:rsid w:val="008263A2"/>
    <w:rsid w:val="0082640E"/>
    <w:rsid w:val="00826BCB"/>
    <w:rsid w:val="00827A59"/>
    <w:rsid w:val="00827B64"/>
    <w:rsid w:val="00827C22"/>
    <w:rsid w:val="00827F31"/>
    <w:rsid w:val="00830818"/>
    <w:rsid w:val="00830A33"/>
    <w:rsid w:val="00830BB1"/>
    <w:rsid w:val="008310EE"/>
    <w:rsid w:val="0083122A"/>
    <w:rsid w:val="008313E7"/>
    <w:rsid w:val="0083149E"/>
    <w:rsid w:val="008317C8"/>
    <w:rsid w:val="00831E99"/>
    <w:rsid w:val="0083222E"/>
    <w:rsid w:val="0083233E"/>
    <w:rsid w:val="008326F2"/>
    <w:rsid w:val="00832A13"/>
    <w:rsid w:val="00833B4A"/>
    <w:rsid w:val="0083409A"/>
    <w:rsid w:val="00834254"/>
    <w:rsid w:val="00834336"/>
    <w:rsid w:val="00834571"/>
    <w:rsid w:val="0083457B"/>
    <w:rsid w:val="008350E2"/>
    <w:rsid w:val="00835F9D"/>
    <w:rsid w:val="00836116"/>
    <w:rsid w:val="00836776"/>
    <w:rsid w:val="00836933"/>
    <w:rsid w:val="00836C91"/>
    <w:rsid w:val="00836D94"/>
    <w:rsid w:val="00836EB1"/>
    <w:rsid w:val="0083708D"/>
    <w:rsid w:val="008375A0"/>
    <w:rsid w:val="0083765F"/>
    <w:rsid w:val="008379E7"/>
    <w:rsid w:val="008403D2"/>
    <w:rsid w:val="008408A3"/>
    <w:rsid w:val="008411D8"/>
    <w:rsid w:val="008416D2"/>
    <w:rsid w:val="00841FBB"/>
    <w:rsid w:val="00842C9F"/>
    <w:rsid w:val="00843AD1"/>
    <w:rsid w:val="00843B0B"/>
    <w:rsid w:val="00843D53"/>
    <w:rsid w:val="008442DC"/>
    <w:rsid w:val="008444C0"/>
    <w:rsid w:val="008449BA"/>
    <w:rsid w:val="00844B1B"/>
    <w:rsid w:val="00844C65"/>
    <w:rsid w:val="00845674"/>
    <w:rsid w:val="00846141"/>
    <w:rsid w:val="00846B42"/>
    <w:rsid w:val="00846BB2"/>
    <w:rsid w:val="0084712D"/>
    <w:rsid w:val="0084720A"/>
    <w:rsid w:val="00847DD3"/>
    <w:rsid w:val="0085009F"/>
    <w:rsid w:val="00850433"/>
    <w:rsid w:val="0085156C"/>
    <w:rsid w:val="008519A9"/>
    <w:rsid w:val="00852364"/>
    <w:rsid w:val="00852622"/>
    <w:rsid w:val="00852C3D"/>
    <w:rsid w:val="00853B3D"/>
    <w:rsid w:val="008544C6"/>
    <w:rsid w:val="008546E4"/>
    <w:rsid w:val="00854BA6"/>
    <w:rsid w:val="00855507"/>
    <w:rsid w:val="0085593B"/>
    <w:rsid w:val="00855C24"/>
    <w:rsid w:val="00855F44"/>
    <w:rsid w:val="00856638"/>
    <w:rsid w:val="008567AA"/>
    <w:rsid w:val="008567F4"/>
    <w:rsid w:val="008578A5"/>
    <w:rsid w:val="00860603"/>
    <w:rsid w:val="00860973"/>
    <w:rsid w:val="00860F2D"/>
    <w:rsid w:val="00861354"/>
    <w:rsid w:val="008616B5"/>
    <w:rsid w:val="00862617"/>
    <w:rsid w:val="00863616"/>
    <w:rsid w:val="00863E9E"/>
    <w:rsid w:val="00864C01"/>
    <w:rsid w:val="00864DED"/>
    <w:rsid w:val="008658A7"/>
    <w:rsid w:val="00865C92"/>
    <w:rsid w:val="00865E4B"/>
    <w:rsid w:val="0086678A"/>
    <w:rsid w:val="008673A5"/>
    <w:rsid w:val="008673ED"/>
    <w:rsid w:val="00867524"/>
    <w:rsid w:val="008676C4"/>
    <w:rsid w:val="00867ED7"/>
    <w:rsid w:val="0087010F"/>
    <w:rsid w:val="008709C1"/>
    <w:rsid w:val="00870D2B"/>
    <w:rsid w:val="00870D65"/>
    <w:rsid w:val="00871071"/>
    <w:rsid w:val="00871599"/>
    <w:rsid w:val="00871D43"/>
    <w:rsid w:val="00871FE3"/>
    <w:rsid w:val="0087203F"/>
    <w:rsid w:val="00872516"/>
    <w:rsid w:val="00872FD4"/>
    <w:rsid w:val="00873278"/>
    <w:rsid w:val="008734B6"/>
    <w:rsid w:val="00874874"/>
    <w:rsid w:val="00874AAC"/>
    <w:rsid w:val="00874D1E"/>
    <w:rsid w:val="00874D7C"/>
    <w:rsid w:val="00874DB3"/>
    <w:rsid w:val="00875187"/>
    <w:rsid w:val="00875273"/>
    <w:rsid w:val="0087552E"/>
    <w:rsid w:val="008764F8"/>
    <w:rsid w:val="00876781"/>
    <w:rsid w:val="00877575"/>
    <w:rsid w:val="00877798"/>
    <w:rsid w:val="008777CC"/>
    <w:rsid w:val="00877B0C"/>
    <w:rsid w:val="00880339"/>
    <w:rsid w:val="008809D1"/>
    <w:rsid w:val="00881294"/>
    <w:rsid w:val="00881370"/>
    <w:rsid w:val="00881380"/>
    <w:rsid w:val="00881A63"/>
    <w:rsid w:val="00881EEB"/>
    <w:rsid w:val="00882563"/>
    <w:rsid w:val="00882B85"/>
    <w:rsid w:val="00883A89"/>
    <w:rsid w:val="0088427A"/>
    <w:rsid w:val="00884280"/>
    <w:rsid w:val="0088569F"/>
    <w:rsid w:val="00885A32"/>
    <w:rsid w:val="00885C20"/>
    <w:rsid w:val="00886A72"/>
    <w:rsid w:val="0088708A"/>
    <w:rsid w:val="008874F1"/>
    <w:rsid w:val="00887BC6"/>
    <w:rsid w:val="00890372"/>
    <w:rsid w:val="0089087C"/>
    <w:rsid w:val="00890ABD"/>
    <w:rsid w:val="00891156"/>
    <w:rsid w:val="008911B2"/>
    <w:rsid w:val="008914A5"/>
    <w:rsid w:val="008918C0"/>
    <w:rsid w:val="008926DF"/>
    <w:rsid w:val="00892BF9"/>
    <w:rsid w:val="00892CCC"/>
    <w:rsid w:val="00892E2D"/>
    <w:rsid w:val="00893493"/>
    <w:rsid w:val="0089384C"/>
    <w:rsid w:val="00893A98"/>
    <w:rsid w:val="008942DF"/>
    <w:rsid w:val="0089492B"/>
    <w:rsid w:val="00894C58"/>
    <w:rsid w:val="00895D2D"/>
    <w:rsid w:val="00896680"/>
    <w:rsid w:val="008970ED"/>
    <w:rsid w:val="00897C96"/>
    <w:rsid w:val="008A0224"/>
    <w:rsid w:val="008A0433"/>
    <w:rsid w:val="008A0639"/>
    <w:rsid w:val="008A0A39"/>
    <w:rsid w:val="008A0DB0"/>
    <w:rsid w:val="008A1B30"/>
    <w:rsid w:val="008A1B8F"/>
    <w:rsid w:val="008A1B99"/>
    <w:rsid w:val="008A209E"/>
    <w:rsid w:val="008A2266"/>
    <w:rsid w:val="008A2D3E"/>
    <w:rsid w:val="008A3DF4"/>
    <w:rsid w:val="008A4591"/>
    <w:rsid w:val="008A4B7C"/>
    <w:rsid w:val="008A5153"/>
    <w:rsid w:val="008A545D"/>
    <w:rsid w:val="008A573D"/>
    <w:rsid w:val="008A5CBB"/>
    <w:rsid w:val="008A5CE2"/>
    <w:rsid w:val="008A5FC0"/>
    <w:rsid w:val="008A7245"/>
    <w:rsid w:val="008A72C6"/>
    <w:rsid w:val="008A78D1"/>
    <w:rsid w:val="008A7B74"/>
    <w:rsid w:val="008A7D6A"/>
    <w:rsid w:val="008B0478"/>
    <w:rsid w:val="008B065D"/>
    <w:rsid w:val="008B1091"/>
    <w:rsid w:val="008B1476"/>
    <w:rsid w:val="008B1965"/>
    <w:rsid w:val="008B1DB8"/>
    <w:rsid w:val="008B1FA0"/>
    <w:rsid w:val="008B27F4"/>
    <w:rsid w:val="008B2869"/>
    <w:rsid w:val="008B2D14"/>
    <w:rsid w:val="008B38CE"/>
    <w:rsid w:val="008B432A"/>
    <w:rsid w:val="008B4EBF"/>
    <w:rsid w:val="008B50BA"/>
    <w:rsid w:val="008B5333"/>
    <w:rsid w:val="008B57B2"/>
    <w:rsid w:val="008B5898"/>
    <w:rsid w:val="008B5C49"/>
    <w:rsid w:val="008B5FCA"/>
    <w:rsid w:val="008B6838"/>
    <w:rsid w:val="008B6D14"/>
    <w:rsid w:val="008C074B"/>
    <w:rsid w:val="008C106A"/>
    <w:rsid w:val="008C17F4"/>
    <w:rsid w:val="008C1C44"/>
    <w:rsid w:val="008C1DFA"/>
    <w:rsid w:val="008C312C"/>
    <w:rsid w:val="008C319E"/>
    <w:rsid w:val="008C326C"/>
    <w:rsid w:val="008C345B"/>
    <w:rsid w:val="008C4030"/>
    <w:rsid w:val="008C41A1"/>
    <w:rsid w:val="008C43F9"/>
    <w:rsid w:val="008C4873"/>
    <w:rsid w:val="008C48A9"/>
    <w:rsid w:val="008C4FF7"/>
    <w:rsid w:val="008C519C"/>
    <w:rsid w:val="008C55BE"/>
    <w:rsid w:val="008C55FD"/>
    <w:rsid w:val="008C58BF"/>
    <w:rsid w:val="008C63B3"/>
    <w:rsid w:val="008C6EC1"/>
    <w:rsid w:val="008C73EB"/>
    <w:rsid w:val="008C7527"/>
    <w:rsid w:val="008C778C"/>
    <w:rsid w:val="008C7B32"/>
    <w:rsid w:val="008C7F6C"/>
    <w:rsid w:val="008C7F7E"/>
    <w:rsid w:val="008D044B"/>
    <w:rsid w:val="008D04B7"/>
    <w:rsid w:val="008D1819"/>
    <w:rsid w:val="008D188E"/>
    <w:rsid w:val="008D18EF"/>
    <w:rsid w:val="008D19FB"/>
    <w:rsid w:val="008D1AF6"/>
    <w:rsid w:val="008D1B78"/>
    <w:rsid w:val="008D272E"/>
    <w:rsid w:val="008D2829"/>
    <w:rsid w:val="008D28B2"/>
    <w:rsid w:val="008D2BCC"/>
    <w:rsid w:val="008D40D6"/>
    <w:rsid w:val="008D423E"/>
    <w:rsid w:val="008D432B"/>
    <w:rsid w:val="008D49CF"/>
    <w:rsid w:val="008D5334"/>
    <w:rsid w:val="008D5CC3"/>
    <w:rsid w:val="008D619A"/>
    <w:rsid w:val="008D62DC"/>
    <w:rsid w:val="008D69FE"/>
    <w:rsid w:val="008D7A04"/>
    <w:rsid w:val="008D7DC5"/>
    <w:rsid w:val="008D7EBB"/>
    <w:rsid w:val="008E00BB"/>
    <w:rsid w:val="008E043E"/>
    <w:rsid w:val="008E0571"/>
    <w:rsid w:val="008E145A"/>
    <w:rsid w:val="008E1A0F"/>
    <w:rsid w:val="008E24B0"/>
    <w:rsid w:val="008E2DB5"/>
    <w:rsid w:val="008E315C"/>
    <w:rsid w:val="008E3161"/>
    <w:rsid w:val="008E3626"/>
    <w:rsid w:val="008E4839"/>
    <w:rsid w:val="008E4D2E"/>
    <w:rsid w:val="008E4FC6"/>
    <w:rsid w:val="008E5162"/>
    <w:rsid w:val="008E5365"/>
    <w:rsid w:val="008E55B6"/>
    <w:rsid w:val="008E59A4"/>
    <w:rsid w:val="008E5EE6"/>
    <w:rsid w:val="008E5FE8"/>
    <w:rsid w:val="008E6301"/>
    <w:rsid w:val="008E68C6"/>
    <w:rsid w:val="008E6B8A"/>
    <w:rsid w:val="008E6ECF"/>
    <w:rsid w:val="008E7401"/>
    <w:rsid w:val="008E7498"/>
    <w:rsid w:val="008E7F62"/>
    <w:rsid w:val="008F001B"/>
    <w:rsid w:val="008F030C"/>
    <w:rsid w:val="008F0700"/>
    <w:rsid w:val="008F0AB6"/>
    <w:rsid w:val="008F0F03"/>
    <w:rsid w:val="008F11C5"/>
    <w:rsid w:val="008F135D"/>
    <w:rsid w:val="008F143F"/>
    <w:rsid w:val="008F15F9"/>
    <w:rsid w:val="008F16BD"/>
    <w:rsid w:val="008F16FB"/>
    <w:rsid w:val="008F1BC9"/>
    <w:rsid w:val="008F210E"/>
    <w:rsid w:val="008F272C"/>
    <w:rsid w:val="008F362E"/>
    <w:rsid w:val="008F420B"/>
    <w:rsid w:val="008F4261"/>
    <w:rsid w:val="008F4502"/>
    <w:rsid w:val="008F4572"/>
    <w:rsid w:val="008F4D46"/>
    <w:rsid w:val="008F54C0"/>
    <w:rsid w:val="008F58A1"/>
    <w:rsid w:val="008F58EF"/>
    <w:rsid w:val="008F5A5C"/>
    <w:rsid w:val="008F5EC5"/>
    <w:rsid w:val="008F61C6"/>
    <w:rsid w:val="008F6591"/>
    <w:rsid w:val="008F6B7C"/>
    <w:rsid w:val="008F6DA3"/>
    <w:rsid w:val="008F7478"/>
    <w:rsid w:val="008F75A5"/>
    <w:rsid w:val="008F7CD9"/>
    <w:rsid w:val="0090095B"/>
    <w:rsid w:val="00901A14"/>
    <w:rsid w:val="0090208D"/>
    <w:rsid w:val="00902771"/>
    <w:rsid w:val="009028C4"/>
    <w:rsid w:val="009030CE"/>
    <w:rsid w:val="009032C0"/>
    <w:rsid w:val="00903436"/>
    <w:rsid w:val="009036CD"/>
    <w:rsid w:val="00903969"/>
    <w:rsid w:val="00903ADA"/>
    <w:rsid w:val="00903FC1"/>
    <w:rsid w:val="009045A2"/>
    <w:rsid w:val="00904AA7"/>
    <w:rsid w:val="00904BF6"/>
    <w:rsid w:val="009057D3"/>
    <w:rsid w:val="009059F8"/>
    <w:rsid w:val="00905E53"/>
    <w:rsid w:val="00905E7F"/>
    <w:rsid w:val="00906F24"/>
    <w:rsid w:val="00910935"/>
    <w:rsid w:val="00910C0F"/>
    <w:rsid w:val="0091125F"/>
    <w:rsid w:val="00911628"/>
    <w:rsid w:val="009119DD"/>
    <w:rsid w:val="0091275B"/>
    <w:rsid w:val="00912BFF"/>
    <w:rsid w:val="00912DF5"/>
    <w:rsid w:val="00913E65"/>
    <w:rsid w:val="00913FD1"/>
    <w:rsid w:val="0091416D"/>
    <w:rsid w:val="0091477C"/>
    <w:rsid w:val="00914889"/>
    <w:rsid w:val="00914A52"/>
    <w:rsid w:val="00914FCF"/>
    <w:rsid w:val="00915135"/>
    <w:rsid w:val="00915F48"/>
    <w:rsid w:val="009170C6"/>
    <w:rsid w:val="0092025B"/>
    <w:rsid w:val="00921727"/>
    <w:rsid w:val="0092173D"/>
    <w:rsid w:val="00922AD9"/>
    <w:rsid w:val="00922CFF"/>
    <w:rsid w:val="00923319"/>
    <w:rsid w:val="009240E9"/>
    <w:rsid w:val="00924AAD"/>
    <w:rsid w:val="00924D07"/>
    <w:rsid w:val="0092514F"/>
    <w:rsid w:val="00925E68"/>
    <w:rsid w:val="0092604B"/>
    <w:rsid w:val="00926F77"/>
    <w:rsid w:val="009274B0"/>
    <w:rsid w:val="00927D00"/>
    <w:rsid w:val="009301F8"/>
    <w:rsid w:val="009302C0"/>
    <w:rsid w:val="0093080D"/>
    <w:rsid w:val="00931745"/>
    <w:rsid w:val="009326CC"/>
    <w:rsid w:val="00932A88"/>
    <w:rsid w:val="00932CD8"/>
    <w:rsid w:val="00933149"/>
    <w:rsid w:val="009331AD"/>
    <w:rsid w:val="009339BF"/>
    <w:rsid w:val="00933AA3"/>
    <w:rsid w:val="00933BB9"/>
    <w:rsid w:val="00933BC7"/>
    <w:rsid w:val="00933E97"/>
    <w:rsid w:val="00934E2C"/>
    <w:rsid w:val="00934F85"/>
    <w:rsid w:val="009364B2"/>
    <w:rsid w:val="0093780D"/>
    <w:rsid w:val="00937EB8"/>
    <w:rsid w:val="00940009"/>
    <w:rsid w:val="00941104"/>
    <w:rsid w:val="00941353"/>
    <w:rsid w:val="00941464"/>
    <w:rsid w:val="0094161E"/>
    <w:rsid w:val="00941839"/>
    <w:rsid w:val="00941B6A"/>
    <w:rsid w:val="00941F39"/>
    <w:rsid w:val="00942F04"/>
    <w:rsid w:val="00943BD7"/>
    <w:rsid w:val="00943CC4"/>
    <w:rsid w:val="009441C1"/>
    <w:rsid w:val="00944204"/>
    <w:rsid w:val="00944291"/>
    <w:rsid w:val="0094445C"/>
    <w:rsid w:val="0094523B"/>
    <w:rsid w:val="00945306"/>
    <w:rsid w:val="009454E1"/>
    <w:rsid w:val="009454FF"/>
    <w:rsid w:val="0094579B"/>
    <w:rsid w:val="00945C69"/>
    <w:rsid w:val="00945E0B"/>
    <w:rsid w:val="00945EF8"/>
    <w:rsid w:val="0094780B"/>
    <w:rsid w:val="0095053D"/>
    <w:rsid w:val="00950A1E"/>
    <w:rsid w:val="00950B42"/>
    <w:rsid w:val="00950BE0"/>
    <w:rsid w:val="009513BF"/>
    <w:rsid w:val="0095143C"/>
    <w:rsid w:val="0095186E"/>
    <w:rsid w:val="00952066"/>
    <w:rsid w:val="00952CCB"/>
    <w:rsid w:val="00953C16"/>
    <w:rsid w:val="0095517D"/>
    <w:rsid w:val="00955534"/>
    <w:rsid w:val="009555AB"/>
    <w:rsid w:val="00955DA6"/>
    <w:rsid w:val="009561F8"/>
    <w:rsid w:val="00956558"/>
    <w:rsid w:val="0095744C"/>
    <w:rsid w:val="00957CB8"/>
    <w:rsid w:val="009600CE"/>
    <w:rsid w:val="00960613"/>
    <w:rsid w:val="009614EA"/>
    <w:rsid w:val="00961522"/>
    <w:rsid w:val="009616DE"/>
    <w:rsid w:val="009624B0"/>
    <w:rsid w:val="00962649"/>
    <w:rsid w:val="00963092"/>
    <w:rsid w:val="009636F8"/>
    <w:rsid w:val="0096378E"/>
    <w:rsid w:val="00963BE9"/>
    <w:rsid w:val="009642C0"/>
    <w:rsid w:val="009646AE"/>
    <w:rsid w:val="00964855"/>
    <w:rsid w:val="00964A9B"/>
    <w:rsid w:val="00965047"/>
    <w:rsid w:val="009661F4"/>
    <w:rsid w:val="009663F8"/>
    <w:rsid w:val="00967174"/>
    <w:rsid w:val="009673F5"/>
    <w:rsid w:val="00970CC4"/>
    <w:rsid w:val="00970D0C"/>
    <w:rsid w:val="00970D56"/>
    <w:rsid w:val="00970E0F"/>
    <w:rsid w:val="0097114A"/>
    <w:rsid w:val="009711BF"/>
    <w:rsid w:val="00971AC6"/>
    <w:rsid w:val="00971B84"/>
    <w:rsid w:val="00971C28"/>
    <w:rsid w:val="00971E30"/>
    <w:rsid w:val="009730FC"/>
    <w:rsid w:val="00973346"/>
    <w:rsid w:val="009742F1"/>
    <w:rsid w:val="009747DD"/>
    <w:rsid w:val="0097490A"/>
    <w:rsid w:val="00974D54"/>
    <w:rsid w:val="00975978"/>
    <w:rsid w:val="0097598A"/>
    <w:rsid w:val="00975D0A"/>
    <w:rsid w:val="009760C9"/>
    <w:rsid w:val="00976396"/>
    <w:rsid w:val="00976963"/>
    <w:rsid w:val="00976C59"/>
    <w:rsid w:val="00976E0C"/>
    <w:rsid w:val="00976EEA"/>
    <w:rsid w:val="00977953"/>
    <w:rsid w:val="00977BFE"/>
    <w:rsid w:val="00977E6C"/>
    <w:rsid w:val="00981C8C"/>
    <w:rsid w:val="00981E8F"/>
    <w:rsid w:val="009833D6"/>
    <w:rsid w:val="00983BC1"/>
    <w:rsid w:val="00984025"/>
    <w:rsid w:val="009847BE"/>
    <w:rsid w:val="009848AD"/>
    <w:rsid w:val="00984B9B"/>
    <w:rsid w:val="00984E5E"/>
    <w:rsid w:val="009850C9"/>
    <w:rsid w:val="009855FA"/>
    <w:rsid w:val="00985715"/>
    <w:rsid w:val="009860C9"/>
    <w:rsid w:val="0098693C"/>
    <w:rsid w:val="0098711F"/>
    <w:rsid w:val="0098735E"/>
    <w:rsid w:val="00987AF3"/>
    <w:rsid w:val="00987FF2"/>
    <w:rsid w:val="009908FD"/>
    <w:rsid w:val="00990D30"/>
    <w:rsid w:val="00990D60"/>
    <w:rsid w:val="00991427"/>
    <w:rsid w:val="00991B44"/>
    <w:rsid w:val="00991D91"/>
    <w:rsid w:val="009923C4"/>
    <w:rsid w:val="00992443"/>
    <w:rsid w:val="009932F6"/>
    <w:rsid w:val="0099339A"/>
    <w:rsid w:val="00993878"/>
    <w:rsid w:val="00993B0F"/>
    <w:rsid w:val="00993CDF"/>
    <w:rsid w:val="00993D1F"/>
    <w:rsid w:val="00994056"/>
    <w:rsid w:val="009947BC"/>
    <w:rsid w:val="00994800"/>
    <w:rsid w:val="00994E7A"/>
    <w:rsid w:val="00994EE6"/>
    <w:rsid w:val="009958C8"/>
    <w:rsid w:val="00995C95"/>
    <w:rsid w:val="00995E0F"/>
    <w:rsid w:val="009963AB"/>
    <w:rsid w:val="009972EA"/>
    <w:rsid w:val="0099761A"/>
    <w:rsid w:val="00997772"/>
    <w:rsid w:val="00997A18"/>
    <w:rsid w:val="00997C2B"/>
    <w:rsid w:val="00997EDC"/>
    <w:rsid w:val="009A02BE"/>
    <w:rsid w:val="009A05DD"/>
    <w:rsid w:val="009A0A81"/>
    <w:rsid w:val="009A0E8C"/>
    <w:rsid w:val="009A1B89"/>
    <w:rsid w:val="009A1F4F"/>
    <w:rsid w:val="009A25EA"/>
    <w:rsid w:val="009A2AFC"/>
    <w:rsid w:val="009A3541"/>
    <w:rsid w:val="009A3648"/>
    <w:rsid w:val="009A3AF4"/>
    <w:rsid w:val="009A4187"/>
    <w:rsid w:val="009A435A"/>
    <w:rsid w:val="009A45A9"/>
    <w:rsid w:val="009A4672"/>
    <w:rsid w:val="009A4F95"/>
    <w:rsid w:val="009A5064"/>
    <w:rsid w:val="009A54AE"/>
    <w:rsid w:val="009A619E"/>
    <w:rsid w:val="009A7489"/>
    <w:rsid w:val="009A797B"/>
    <w:rsid w:val="009A7CDD"/>
    <w:rsid w:val="009A7E8A"/>
    <w:rsid w:val="009A7ECF"/>
    <w:rsid w:val="009B034E"/>
    <w:rsid w:val="009B0498"/>
    <w:rsid w:val="009B08B2"/>
    <w:rsid w:val="009B0A95"/>
    <w:rsid w:val="009B11D7"/>
    <w:rsid w:val="009B1F80"/>
    <w:rsid w:val="009B2CEF"/>
    <w:rsid w:val="009B2DFB"/>
    <w:rsid w:val="009B32EC"/>
    <w:rsid w:val="009B37B0"/>
    <w:rsid w:val="009B3B5A"/>
    <w:rsid w:val="009B460A"/>
    <w:rsid w:val="009B4820"/>
    <w:rsid w:val="009B5898"/>
    <w:rsid w:val="009B6050"/>
    <w:rsid w:val="009B6236"/>
    <w:rsid w:val="009B6DD9"/>
    <w:rsid w:val="009B6EFE"/>
    <w:rsid w:val="009B71BA"/>
    <w:rsid w:val="009B7A51"/>
    <w:rsid w:val="009C13AC"/>
    <w:rsid w:val="009C1778"/>
    <w:rsid w:val="009C284F"/>
    <w:rsid w:val="009C3014"/>
    <w:rsid w:val="009C305C"/>
    <w:rsid w:val="009C3956"/>
    <w:rsid w:val="009C3964"/>
    <w:rsid w:val="009C39C1"/>
    <w:rsid w:val="009C3E46"/>
    <w:rsid w:val="009C4607"/>
    <w:rsid w:val="009C491E"/>
    <w:rsid w:val="009C4A8D"/>
    <w:rsid w:val="009C4CB5"/>
    <w:rsid w:val="009C508D"/>
    <w:rsid w:val="009C52B2"/>
    <w:rsid w:val="009C570E"/>
    <w:rsid w:val="009C61B9"/>
    <w:rsid w:val="009C6322"/>
    <w:rsid w:val="009C665C"/>
    <w:rsid w:val="009C6BB0"/>
    <w:rsid w:val="009C7CF8"/>
    <w:rsid w:val="009C7D71"/>
    <w:rsid w:val="009C7E7A"/>
    <w:rsid w:val="009D0110"/>
    <w:rsid w:val="009D05F1"/>
    <w:rsid w:val="009D0A81"/>
    <w:rsid w:val="009D0ED4"/>
    <w:rsid w:val="009D11CA"/>
    <w:rsid w:val="009D1711"/>
    <w:rsid w:val="009D1F8C"/>
    <w:rsid w:val="009D240A"/>
    <w:rsid w:val="009D24A6"/>
    <w:rsid w:val="009D3652"/>
    <w:rsid w:val="009D3EED"/>
    <w:rsid w:val="009D42FD"/>
    <w:rsid w:val="009D4568"/>
    <w:rsid w:val="009D4797"/>
    <w:rsid w:val="009D48CE"/>
    <w:rsid w:val="009D4D39"/>
    <w:rsid w:val="009D542C"/>
    <w:rsid w:val="009D5DD8"/>
    <w:rsid w:val="009D6C6F"/>
    <w:rsid w:val="009D763B"/>
    <w:rsid w:val="009E0914"/>
    <w:rsid w:val="009E0B60"/>
    <w:rsid w:val="009E17CD"/>
    <w:rsid w:val="009E1BDB"/>
    <w:rsid w:val="009E258B"/>
    <w:rsid w:val="009E308C"/>
    <w:rsid w:val="009E339A"/>
    <w:rsid w:val="009E3704"/>
    <w:rsid w:val="009E3F7C"/>
    <w:rsid w:val="009E4B13"/>
    <w:rsid w:val="009E56BD"/>
    <w:rsid w:val="009E588F"/>
    <w:rsid w:val="009E609E"/>
    <w:rsid w:val="009E6776"/>
    <w:rsid w:val="009E6B0B"/>
    <w:rsid w:val="009E6D0A"/>
    <w:rsid w:val="009E6F23"/>
    <w:rsid w:val="009E703E"/>
    <w:rsid w:val="009E72AF"/>
    <w:rsid w:val="009E7591"/>
    <w:rsid w:val="009E7638"/>
    <w:rsid w:val="009E7AFB"/>
    <w:rsid w:val="009F0CBB"/>
    <w:rsid w:val="009F0CBE"/>
    <w:rsid w:val="009F106C"/>
    <w:rsid w:val="009F131F"/>
    <w:rsid w:val="009F1494"/>
    <w:rsid w:val="009F1AC6"/>
    <w:rsid w:val="009F2B70"/>
    <w:rsid w:val="009F2D1C"/>
    <w:rsid w:val="009F35AE"/>
    <w:rsid w:val="009F364A"/>
    <w:rsid w:val="009F3C4C"/>
    <w:rsid w:val="009F3E7F"/>
    <w:rsid w:val="009F4C92"/>
    <w:rsid w:val="009F4D60"/>
    <w:rsid w:val="009F4F49"/>
    <w:rsid w:val="009F535C"/>
    <w:rsid w:val="009F55FA"/>
    <w:rsid w:val="009F5841"/>
    <w:rsid w:val="009F5ADA"/>
    <w:rsid w:val="009F5B93"/>
    <w:rsid w:val="009F60B0"/>
    <w:rsid w:val="009F644A"/>
    <w:rsid w:val="009F6B77"/>
    <w:rsid w:val="009F6CB0"/>
    <w:rsid w:val="009F72D4"/>
    <w:rsid w:val="009F7562"/>
    <w:rsid w:val="00A00542"/>
    <w:rsid w:val="00A00563"/>
    <w:rsid w:val="00A00CE2"/>
    <w:rsid w:val="00A00DCD"/>
    <w:rsid w:val="00A00FB4"/>
    <w:rsid w:val="00A01E54"/>
    <w:rsid w:val="00A0206A"/>
    <w:rsid w:val="00A022F3"/>
    <w:rsid w:val="00A02478"/>
    <w:rsid w:val="00A02643"/>
    <w:rsid w:val="00A0268A"/>
    <w:rsid w:val="00A03210"/>
    <w:rsid w:val="00A03357"/>
    <w:rsid w:val="00A039F8"/>
    <w:rsid w:val="00A04896"/>
    <w:rsid w:val="00A0588A"/>
    <w:rsid w:val="00A05B8B"/>
    <w:rsid w:val="00A05E49"/>
    <w:rsid w:val="00A06053"/>
    <w:rsid w:val="00A066AE"/>
    <w:rsid w:val="00A068BD"/>
    <w:rsid w:val="00A076C0"/>
    <w:rsid w:val="00A104A9"/>
    <w:rsid w:val="00A116EC"/>
    <w:rsid w:val="00A1183A"/>
    <w:rsid w:val="00A11B40"/>
    <w:rsid w:val="00A11C05"/>
    <w:rsid w:val="00A12D0A"/>
    <w:rsid w:val="00A12FA6"/>
    <w:rsid w:val="00A13FF1"/>
    <w:rsid w:val="00A1400E"/>
    <w:rsid w:val="00A1422E"/>
    <w:rsid w:val="00A142B3"/>
    <w:rsid w:val="00A1437D"/>
    <w:rsid w:val="00A153BB"/>
    <w:rsid w:val="00A1542D"/>
    <w:rsid w:val="00A15537"/>
    <w:rsid w:val="00A15A45"/>
    <w:rsid w:val="00A15BBC"/>
    <w:rsid w:val="00A160CE"/>
    <w:rsid w:val="00A16219"/>
    <w:rsid w:val="00A166D5"/>
    <w:rsid w:val="00A16915"/>
    <w:rsid w:val="00A1768F"/>
    <w:rsid w:val="00A17767"/>
    <w:rsid w:val="00A17AEC"/>
    <w:rsid w:val="00A20188"/>
    <w:rsid w:val="00A20DC5"/>
    <w:rsid w:val="00A20F11"/>
    <w:rsid w:val="00A21229"/>
    <w:rsid w:val="00A2160A"/>
    <w:rsid w:val="00A22E65"/>
    <w:rsid w:val="00A23111"/>
    <w:rsid w:val="00A233DE"/>
    <w:rsid w:val="00A239F3"/>
    <w:rsid w:val="00A2472B"/>
    <w:rsid w:val="00A24981"/>
    <w:rsid w:val="00A261DC"/>
    <w:rsid w:val="00A2632F"/>
    <w:rsid w:val="00A26C01"/>
    <w:rsid w:val="00A26D1B"/>
    <w:rsid w:val="00A26D25"/>
    <w:rsid w:val="00A26F61"/>
    <w:rsid w:val="00A27388"/>
    <w:rsid w:val="00A27C8D"/>
    <w:rsid w:val="00A300E5"/>
    <w:rsid w:val="00A304AD"/>
    <w:rsid w:val="00A31740"/>
    <w:rsid w:val="00A31936"/>
    <w:rsid w:val="00A31973"/>
    <w:rsid w:val="00A31A46"/>
    <w:rsid w:val="00A31ECB"/>
    <w:rsid w:val="00A32385"/>
    <w:rsid w:val="00A325F3"/>
    <w:rsid w:val="00A33384"/>
    <w:rsid w:val="00A33628"/>
    <w:rsid w:val="00A33AD9"/>
    <w:rsid w:val="00A343BC"/>
    <w:rsid w:val="00A349AD"/>
    <w:rsid w:val="00A35260"/>
    <w:rsid w:val="00A35349"/>
    <w:rsid w:val="00A35CBD"/>
    <w:rsid w:val="00A35E9F"/>
    <w:rsid w:val="00A360DC"/>
    <w:rsid w:val="00A36535"/>
    <w:rsid w:val="00A373ED"/>
    <w:rsid w:val="00A37709"/>
    <w:rsid w:val="00A40222"/>
    <w:rsid w:val="00A40749"/>
    <w:rsid w:val="00A40DB3"/>
    <w:rsid w:val="00A410BC"/>
    <w:rsid w:val="00A41372"/>
    <w:rsid w:val="00A4180C"/>
    <w:rsid w:val="00A42325"/>
    <w:rsid w:val="00A4247A"/>
    <w:rsid w:val="00A42AE5"/>
    <w:rsid w:val="00A4329F"/>
    <w:rsid w:val="00A432B2"/>
    <w:rsid w:val="00A43F7C"/>
    <w:rsid w:val="00A44D3B"/>
    <w:rsid w:val="00A44E4A"/>
    <w:rsid w:val="00A452BC"/>
    <w:rsid w:val="00A46068"/>
    <w:rsid w:val="00A4627B"/>
    <w:rsid w:val="00A465F0"/>
    <w:rsid w:val="00A470C1"/>
    <w:rsid w:val="00A4711C"/>
    <w:rsid w:val="00A47E54"/>
    <w:rsid w:val="00A501D0"/>
    <w:rsid w:val="00A503C7"/>
    <w:rsid w:val="00A50AE6"/>
    <w:rsid w:val="00A50D74"/>
    <w:rsid w:val="00A50FF8"/>
    <w:rsid w:val="00A5104F"/>
    <w:rsid w:val="00A5160C"/>
    <w:rsid w:val="00A51CC0"/>
    <w:rsid w:val="00A51D49"/>
    <w:rsid w:val="00A52156"/>
    <w:rsid w:val="00A525E5"/>
    <w:rsid w:val="00A52BB1"/>
    <w:rsid w:val="00A52F2A"/>
    <w:rsid w:val="00A5308C"/>
    <w:rsid w:val="00A542D4"/>
    <w:rsid w:val="00A543AA"/>
    <w:rsid w:val="00A5453F"/>
    <w:rsid w:val="00A5492D"/>
    <w:rsid w:val="00A54B31"/>
    <w:rsid w:val="00A55168"/>
    <w:rsid w:val="00A55210"/>
    <w:rsid w:val="00A556D3"/>
    <w:rsid w:val="00A558AE"/>
    <w:rsid w:val="00A55A15"/>
    <w:rsid w:val="00A55F9F"/>
    <w:rsid w:val="00A56265"/>
    <w:rsid w:val="00A5663D"/>
    <w:rsid w:val="00A56FE7"/>
    <w:rsid w:val="00A57575"/>
    <w:rsid w:val="00A57D36"/>
    <w:rsid w:val="00A57E48"/>
    <w:rsid w:val="00A600A2"/>
    <w:rsid w:val="00A60229"/>
    <w:rsid w:val="00A602E3"/>
    <w:rsid w:val="00A604A0"/>
    <w:rsid w:val="00A60546"/>
    <w:rsid w:val="00A606BE"/>
    <w:rsid w:val="00A606DD"/>
    <w:rsid w:val="00A6098C"/>
    <w:rsid w:val="00A6118C"/>
    <w:rsid w:val="00A619F4"/>
    <w:rsid w:val="00A61B8E"/>
    <w:rsid w:val="00A61FA1"/>
    <w:rsid w:val="00A62A57"/>
    <w:rsid w:val="00A63154"/>
    <w:rsid w:val="00A6354E"/>
    <w:rsid w:val="00A63B9C"/>
    <w:rsid w:val="00A647BC"/>
    <w:rsid w:val="00A647BF"/>
    <w:rsid w:val="00A6496B"/>
    <w:rsid w:val="00A64B09"/>
    <w:rsid w:val="00A65B92"/>
    <w:rsid w:val="00A6670F"/>
    <w:rsid w:val="00A66D54"/>
    <w:rsid w:val="00A67590"/>
    <w:rsid w:val="00A70C31"/>
    <w:rsid w:val="00A711FF"/>
    <w:rsid w:val="00A71D7F"/>
    <w:rsid w:val="00A71DD5"/>
    <w:rsid w:val="00A71FD9"/>
    <w:rsid w:val="00A7243E"/>
    <w:rsid w:val="00A7307F"/>
    <w:rsid w:val="00A73370"/>
    <w:rsid w:val="00A73514"/>
    <w:rsid w:val="00A73D6F"/>
    <w:rsid w:val="00A7402F"/>
    <w:rsid w:val="00A748BD"/>
    <w:rsid w:val="00A74B50"/>
    <w:rsid w:val="00A74C0E"/>
    <w:rsid w:val="00A7516D"/>
    <w:rsid w:val="00A754DD"/>
    <w:rsid w:val="00A755AD"/>
    <w:rsid w:val="00A7777C"/>
    <w:rsid w:val="00A81018"/>
    <w:rsid w:val="00A8103D"/>
    <w:rsid w:val="00A8137A"/>
    <w:rsid w:val="00A8151D"/>
    <w:rsid w:val="00A81570"/>
    <w:rsid w:val="00A8196F"/>
    <w:rsid w:val="00A819EA"/>
    <w:rsid w:val="00A81B9F"/>
    <w:rsid w:val="00A82EBB"/>
    <w:rsid w:val="00A83648"/>
    <w:rsid w:val="00A83B86"/>
    <w:rsid w:val="00A8421A"/>
    <w:rsid w:val="00A84265"/>
    <w:rsid w:val="00A84ACF"/>
    <w:rsid w:val="00A853C2"/>
    <w:rsid w:val="00A86834"/>
    <w:rsid w:val="00A869E8"/>
    <w:rsid w:val="00A86FC7"/>
    <w:rsid w:val="00A8705D"/>
    <w:rsid w:val="00A9026E"/>
    <w:rsid w:val="00A903FC"/>
    <w:rsid w:val="00A9060A"/>
    <w:rsid w:val="00A90F88"/>
    <w:rsid w:val="00A9189F"/>
    <w:rsid w:val="00A91A2D"/>
    <w:rsid w:val="00A92296"/>
    <w:rsid w:val="00A92331"/>
    <w:rsid w:val="00A929DC"/>
    <w:rsid w:val="00A92BA4"/>
    <w:rsid w:val="00A92DC3"/>
    <w:rsid w:val="00A936E5"/>
    <w:rsid w:val="00A94487"/>
    <w:rsid w:val="00A94D03"/>
    <w:rsid w:val="00A95D0E"/>
    <w:rsid w:val="00A965C6"/>
    <w:rsid w:val="00A969CD"/>
    <w:rsid w:val="00A96AAC"/>
    <w:rsid w:val="00A96F2B"/>
    <w:rsid w:val="00A97170"/>
    <w:rsid w:val="00A977E8"/>
    <w:rsid w:val="00AA0230"/>
    <w:rsid w:val="00AA0345"/>
    <w:rsid w:val="00AA0474"/>
    <w:rsid w:val="00AA0657"/>
    <w:rsid w:val="00AA089B"/>
    <w:rsid w:val="00AA0B79"/>
    <w:rsid w:val="00AA0DD7"/>
    <w:rsid w:val="00AA1167"/>
    <w:rsid w:val="00AA1622"/>
    <w:rsid w:val="00AA20FA"/>
    <w:rsid w:val="00AA260D"/>
    <w:rsid w:val="00AA2DD1"/>
    <w:rsid w:val="00AA34C2"/>
    <w:rsid w:val="00AA3799"/>
    <w:rsid w:val="00AA37CE"/>
    <w:rsid w:val="00AA3F36"/>
    <w:rsid w:val="00AA4000"/>
    <w:rsid w:val="00AA4506"/>
    <w:rsid w:val="00AA4A13"/>
    <w:rsid w:val="00AA4A6E"/>
    <w:rsid w:val="00AA4CBE"/>
    <w:rsid w:val="00AA5E71"/>
    <w:rsid w:val="00AA6706"/>
    <w:rsid w:val="00AA6754"/>
    <w:rsid w:val="00AA6FC6"/>
    <w:rsid w:val="00AA7DF9"/>
    <w:rsid w:val="00AB00E9"/>
    <w:rsid w:val="00AB0942"/>
    <w:rsid w:val="00AB0A1A"/>
    <w:rsid w:val="00AB0AC3"/>
    <w:rsid w:val="00AB1091"/>
    <w:rsid w:val="00AB1118"/>
    <w:rsid w:val="00AB15FF"/>
    <w:rsid w:val="00AB16EF"/>
    <w:rsid w:val="00AB1971"/>
    <w:rsid w:val="00AB207B"/>
    <w:rsid w:val="00AB3343"/>
    <w:rsid w:val="00AB343A"/>
    <w:rsid w:val="00AB3596"/>
    <w:rsid w:val="00AB3786"/>
    <w:rsid w:val="00AB452B"/>
    <w:rsid w:val="00AB53A3"/>
    <w:rsid w:val="00AB53CD"/>
    <w:rsid w:val="00AB6102"/>
    <w:rsid w:val="00AB6ACE"/>
    <w:rsid w:val="00AB6CA2"/>
    <w:rsid w:val="00AB703B"/>
    <w:rsid w:val="00AB73B9"/>
    <w:rsid w:val="00AB77AE"/>
    <w:rsid w:val="00AB7CA7"/>
    <w:rsid w:val="00AB7D22"/>
    <w:rsid w:val="00AC07FC"/>
    <w:rsid w:val="00AC0D7E"/>
    <w:rsid w:val="00AC2160"/>
    <w:rsid w:val="00AC2F05"/>
    <w:rsid w:val="00AC37E5"/>
    <w:rsid w:val="00AC399B"/>
    <w:rsid w:val="00AC3E76"/>
    <w:rsid w:val="00AC4394"/>
    <w:rsid w:val="00AC4A3E"/>
    <w:rsid w:val="00AC5A96"/>
    <w:rsid w:val="00AC5BEF"/>
    <w:rsid w:val="00AC6657"/>
    <w:rsid w:val="00AC6699"/>
    <w:rsid w:val="00AC69BC"/>
    <w:rsid w:val="00AC6FD9"/>
    <w:rsid w:val="00AC7357"/>
    <w:rsid w:val="00AC7BFD"/>
    <w:rsid w:val="00AC7C00"/>
    <w:rsid w:val="00AC7C72"/>
    <w:rsid w:val="00AD0C61"/>
    <w:rsid w:val="00AD1503"/>
    <w:rsid w:val="00AD1521"/>
    <w:rsid w:val="00AD1C75"/>
    <w:rsid w:val="00AD243D"/>
    <w:rsid w:val="00AD30C8"/>
    <w:rsid w:val="00AD3216"/>
    <w:rsid w:val="00AD3BDE"/>
    <w:rsid w:val="00AD48CA"/>
    <w:rsid w:val="00AD4EF1"/>
    <w:rsid w:val="00AD50CF"/>
    <w:rsid w:val="00AD5D1B"/>
    <w:rsid w:val="00AD5F41"/>
    <w:rsid w:val="00AD67B6"/>
    <w:rsid w:val="00AD68A5"/>
    <w:rsid w:val="00AD68DC"/>
    <w:rsid w:val="00AD6EE8"/>
    <w:rsid w:val="00AD7BD2"/>
    <w:rsid w:val="00AE01A5"/>
    <w:rsid w:val="00AE0278"/>
    <w:rsid w:val="00AE0A69"/>
    <w:rsid w:val="00AE0F1F"/>
    <w:rsid w:val="00AE11F5"/>
    <w:rsid w:val="00AE1789"/>
    <w:rsid w:val="00AE2AD4"/>
    <w:rsid w:val="00AE2E83"/>
    <w:rsid w:val="00AE2F10"/>
    <w:rsid w:val="00AE33C6"/>
    <w:rsid w:val="00AE3809"/>
    <w:rsid w:val="00AE38F5"/>
    <w:rsid w:val="00AE39CA"/>
    <w:rsid w:val="00AE3D64"/>
    <w:rsid w:val="00AE4238"/>
    <w:rsid w:val="00AE4535"/>
    <w:rsid w:val="00AE46D9"/>
    <w:rsid w:val="00AE4949"/>
    <w:rsid w:val="00AE4D32"/>
    <w:rsid w:val="00AE5287"/>
    <w:rsid w:val="00AE576C"/>
    <w:rsid w:val="00AE5D10"/>
    <w:rsid w:val="00AE62AB"/>
    <w:rsid w:val="00AE66F2"/>
    <w:rsid w:val="00AE6861"/>
    <w:rsid w:val="00AE7273"/>
    <w:rsid w:val="00AE7462"/>
    <w:rsid w:val="00AE7A59"/>
    <w:rsid w:val="00AE7BC5"/>
    <w:rsid w:val="00AE7EAD"/>
    <w:rsid w:val="00AF0156"/>
    <w:rsid w:val="00AF0A02"/>
    <w:rsid w:val="00AF0A1E"/>
    <w:rsid w:val="00AF0ADE"/>
    <w:rsid w:val="00AF1AB4"/>
    <w:rsid w:val="00AF2146"/>
    <w:rsid w:val="00AF21DA"/>
    <w:rsid w:val="00AF30DA"/>
    <w:rsid w:val="00AF3352"/>
    <w:rsid w:val="00AF39C2"/>
    <w:rsid w:val="00AF3A16"/>
    <w:rsid w:val="00AF495E"/>
    <w:rsid w:val="00AF5639"/>
    <w:rsid w:val="00AF5A8A"/>
    <w:rsid w:val="00AF5FB2"/>
    <w:rsid w:val="00AF6831"/>
    <w:rsid w:val="00AF6861"/>
    <w:rsid w:val="00AF6B26"/>
    <w:rsid w:val="00AF7118"/>
    <w:rsid w:val="00AF7CF7"/>
    <w:rsid w:val="00B00DCA"/>
    <w:rsid w:val="00B0121B"/>
    <w:rsid w:val="00B01B5B"/>
    <w:rsid w:val="00B01E7A"/>
    <w:rsid w:val="00B01F64"/>
    <w:rsid w:val="00B02421"/>
    <w:rsid w:val="00B02839"/>
    <w:rsid w:val="00B02FD8"/>
    <w:rsid w:val="00B039E3"/>
    <w:rsid w:val="00B03BBF"/>
    <w:rsid w:val="00B042A4"/>
    <w:rsid w:val="00B042AD"/>
    <w:rsid w:val="00B04A24"/>
    <w:rsid w:val="00B04AA9"/>
    <w:rsid w:val="00B05127"/>
    <w:rsid w:val="00B056BE"/>
    <w:rsid w:val="00B05ED0"/>
    <w:rsid w:val="00B061FF"/>
    <w:rsid w:val="00B0649B"/>
    <w:rsid w:val="00B0649F"/>
    <w:rsid w:val="00B069F2"/>
    <w:rsid w:val="00B07DF0"/>
    <w:rsid w:val="00B07EC3"/>
    <w:rsid w:val="00B10633"/>
    <w:rsid w:val="00B10F67"/>
    <w:rsid w:val="00B116A8"/>
    <w:rsid w:val="00B11872"/>
    <w:rsid w:val="00B12253"/>
    <w:rsid w:val="00B12486"/>
    <w:rsid w:val="00B13295"/>
    <w:rsid w:val="00B13699"/>
    <w:rsid w:val="00B137D7"/>
    <w:rsid w:val="00B1386D"/>
    <w:rsid w:val="00B138C4"/>
    <w:rsid w:val="00B13C75"/>
    <w:rsid w:val="00B13CD2"/>
    <w:rsid w:val="00B141F9"/>
    <w:rsid w:val="00B14D4A"/>
    <w:rsid w:val="00B15193"/>
    <w:rsid w:val="00B151B0"/>
    <w:rsid w:val="00B151EE"/>
    <w:rsid w:val="00B158A8"/>
    <w:rsid w:val="00B16270"/>
    <w:rsid w:val="00B16285"/>
    <w:rsid w:val="00B16675"/>
    <w:rsid w:val="00B16CC4"/>
    <w:rsid w:val="00B202EB"/>
    <w:rsid w:val="00B207E0"/>
    <w:rsid w:val="00B209F3"/>
    <w:rsid w:val="00B215D2"/>
    <w:rsid w:val="00B21728"/>
    <w:rsid w:val="00B21E57"/>
    <w:rsid w:val="00B22108"/>
    <w:rsid w:val="00B22371"/>
    <w:rsid w:val="00B2249D"/>
    <w:rsid w:val="00B226F0"/>
    <w:rsid w:val="00B228EC"/>
    <w:rsid w:val="00B23959"/>
    <w:rsid w:val="00B24469"/>
    <w:rsid w:val="00B24889"/>
    <w:rsid w:val="00B24997"/>
    <w:rsid w:val="00B24A31"/>
    <w:rsid w:val="00B250F0"/>
    <w:rsid w:val="00B251B7"/>
    <w:rsid w:val="00B2536C"/>
    <w:rsid w:val="00B257C4"/>
    <w:rsid w:val="00B25CED"/>
    <w:rsid w:val="00B25D95"/>
    <w:rsid w:val="00B25EE8"/>
    <w:rsid w:val="00B265E9"/>
    <w:rsid w:val="00B26983"/>
    <w:rsid w:val="00B26D6E"/>
    <w:rsid w:val="00B26FC3"/>
    <w:rsid w:val="00B27A28"/>
    <w:rsid w:val="00B27AB2"/>
    <w:rsid w:val="00B30191"/>
    <w:rsid w:val="00B30416"/>
    <w:rsid w:val="00B30B86"/>
    <w:rsid w:val="00B318D1"/>
    <w:rsid w:val="00B31F4C"/>
    <w:rsid w:val="00B322BE"/>
    <w:rsid w:val="00B331CF"/>
    <w:rsid w:val="00B334D1"/>
    <w:rsid w:val="00B3353B"/>
    <w:rsid w:val="00B33560"/>
    <w:rsid w:val="00B33A2B"/>
    <w:rsid w:val="00B33BD4"/>
    <w:rsid w:val="00B33C44"/>
    <w:rsid w:val="00B33E71"/>
    <w:rsid w:val="00B3494D"/>
    <w:rsid w:val="00B349CC"/>
    <w:rsid w:val="00B35220"/>
    <w:rsid w:val="00B35803"/>
    <w:rsid w:val="00B359AD"/>
    <w:rsid w:val="00B367F5"/>
    <w:rsid w:val="00B36D45"/>
    <w:rsid w:val="00B36F5A"/>
    <w:rsid w:val="00B37477"/>
    <w:rsid w:val="00B37539"/>
    <w:rsid w:val="00B3764A"/>
    <w:rsid w:val="00B376B6"/>
    <w:rsid w:val="00B40A13"/>
    <w:rsid w:val="00B40D86"/>
    <w:rsid w:val="00B41563"/>
    <w:rsid w:val="00B4160B"/>
    <w:rsid w:val="00B41FCF"/>
    <w:rsid w:val="00B421A3"/>
    <w:rsid w:val="00B423BF"/>
    <w:rsid w:val="00B425B3"/>
    <w:rsid w:val="00B4271C"/>
    <w:rsid w:val="00B43277"/>
    <w:rsid w:val="00B43899"/>
    <w:rsid w:val="00B4497C"/>
    <w:rsid w:val="00B44DDA"/>
    <w:rsid w:val="00B45004"/>
    <w:rsid w:val="00B455FB"/>
    <w:rsid w:val="00B45811"/>
    <w:rsid w:val="00B469B0"/>
    <w:rsid w:val="00B46AE7"/>
    <w:rsid w:val="00B46E3B"/>
    <w:rsid w:val="00B4707C"/>
    <w:rsid w:val="00B4769D"/>
    <w:rsid w:val="00B504D0"/>
    <w:rsid w:val="00B5064E"/>
    <w:rsid w:val="00B50882"/>
    <w:rsid w:val="00B50AD9"/>
    <w:rsid w:val="00B50D2E"/>
    <w:rsid w:val="00B510F7"/>
    <w:rsid w:val="00B520E0"/>
    <w:rsid w:val="00B527B4"/>
    <w:rsid w:val="00B52C37"/>
    <w:rsid w:val="00B52E67"/>
    <w:rsid w:val="00B531C2"/>
    <w:rsid w:val="00B53F65"/>
    <w:rsid w:val="00B5524D"/>
    <w:rsid w:val="00B558BA"/>
    <w:rsid w:val="00B55A7B"/>
    <w:rsid w:val="00B55EA1"/>
    <w:rsid w:val="00B56046"/>
    <w:rsid w:val="00B5709E"/>
    <w:rsid w:val="00B57361"/>
    <w:rsid w:val="00B57CC3"/>
    <w:rsid w:val="00B57CDD"/>
    <w:rsid w:val="00B57E00"/>
    <w:rsid w:val="00B6036F"/>
    <w:rsid w:val="00B608E6"/>
    <w:rsid w:val="00B609C9"/>
    <w:rsid w:val="00B60A46"/>
    <w:rsid w:val="00B60E64"/>
    <w:rsid w:val="00B617C5"/>
    <w:rsid w:val="00B61EAF"/>
    <w:rsid w:val="00B62294"/>
    <w:rsid w:val="00B6276A"/>
    <w:rsid w:val="00B630E4"/>
    <w:rsid w:val="00B63146"/>
    <w:rsid w:val="00B631E1"/>
    <w:rsid w:val="00B63457"/>
    <w:rsid w:val="00B63891"/>
    <w:rsid w:val="00B64D4D"/>
    <w:rsid w:val="00B65197"/>
    <w:rsid w:val="00B65CFE"/>
    <w:rsid w:val="00B65D53"/>
    <w:rsid w:val="00B65D9E"/>
    <w:rsid w:val="00B6691F"/>
    <w:rsid w:val="00B66A93"/>
    <w:rsid w:val="00B70003"/>
    <w:rsid w:val="00B70439"/>
    <w:rsid w:val="00B70A06"/>
    <w:rsid w:val="00B71428"/>
    <w:rsid w:val="00B7271C"/>
    <w:rsid w:val="00B72C2C"/>
    <w:rsid w:val="00B72FFA"/>
    <w:rsid w:val="00B731F3"/>
    <w:rsid w:val="00B73235"/>
    <w:rsid w:val="00B733A5"/>
    <w:rsid w:val="00B736CB"/>
    <w:rsid w:val="00B7485F"/>
    <w:rsid w:val="00B759F0"/>
    <w:rsid w:val="00B75C63"/>
    <w:rsid w:val="00B75FA1"/>
    <w:rsid w:val="00B76499"/>
    <w:rsid w:val="00B76803"/>
    <w:rsid w:val="00B7689B"/>
    <w:rsid w:val="00B769C9"/>
    <w:rsid w:val="00B772DA"/>
    <w:rsid w:val="00B80278"/>
    <w:rsid w:val="00B804E3"/>
    <w:rsid w:val="00B80BC8"/>
    <w:rsid w:val="00B80BF0"/>
    <w:rsid w:val="00B81C48"/>
    <w:rsid w:val="00B82C84"/>
    <w:rsid w:val="00B82DB2"/>
    <w:rsid w:val="00B833EA"/>
    <w:rsid w:val="00B83782"/>
    <w:rsid w:val="00B84806"/>
    <w:rsid w:val="00B8486F"/>
    <w:rsid w:val="00B849E7"/>
    <w:rsid w:val="00B84AE1"/>
    <w:rsid w:val="00B84B53"/>
    <w:rsid w:val="00B85232"/>
    <w:rsid w:val="00B85DA5"/>
    <w:rsid w:val="00B86452"/>
    <w:rsid w:val="00B86A33"/>
    <w:rsid w:val="00B86A90"/>
    <w:rsid w:val="00B87189"/>
    <w:rsid w:val="00B8720D"/>
    <w:rsid w:val="00B875AC"/>
    <w:rsid w:val="00B87836"/>
    <w:rsid w:val="00B87C55"/>
    <w:rsid w:val="00B905AA"/>
    <w:rsid w:val="00B91181"/>
    <w:rsid w:val="00B9136E"/>
    <w:rsid w:val="00B92101"/>
    <w:rsid w:val="00B92786"/>
    <w:rsid w:val="00B92C05"/>
    <w:rsid w:val="00B93E83"/>
    <w:rsid w:val="00B94B50"/>
    <w:rsid w:val="00B94DD5"/>
    <w:rsid w:val="00B951A1"/>
    <w:rsid w:val="00B956A7"/>
    <w:rsid w:val="00B958BC"/>
    <w:rsid w:val="00B95909"/>
    <w:rsid w:val="00B95C1F"/>
    <w:rsid w:val="00B95E8B"/>
    <w:rsid w:val="00B963B8"/>
    <w:rsid w:val="00B96520"/>
    <w:rsid w:val="00B96789"/>
    <w:rsid w:val="00B96792"/>
    <w:rsid w:val="00B97138"/>
    <w:rsid w:val="00B97592"/>
    <w:rsid w:val="00BA0429"/>
    <w:rsid w:val="00BA062A"/>
    <w:rsid w:val="00BA0FEF"/>
    <w:rsid w:val="00BA18E1"/>
    <w:rsid w:val="00BA1EB4"/>
    <w:rsid w:val="00BA1FCC"/>
    <w:rsid w:val="00BA208B"/>
    <w:rsid w:val="00BA26E8"/>
    <w:rsid w:val="00BA2DA4"/>
    <w:rsid w:val="00BA2E15"/>
    <w:rsid w:val="00BA2E92"/>
    <w:rsid w:val="00BA331C"/>
    <w:rsid w:val="00BA3809"/>
    <w:rsid w:val="00BA4AC8"/>
    <w:rsid w:val="00BA4C95"/>
    <w:rsid w:val="00BA4D0F"/>
    <w:rsid w:val="00BA503C"/>
    <w:rsid w:val="00BA520B"/>
    <w:rsid w:val="00BA5500"/>
    <w:rsid w:val="00BA599D"/>
    <w:rsid w:val="00BA5B33"/>
    <w:rsid w:val="00BA61F7"/>
    <w:rsid w:val="00BA6493"/>
    <w:rsid w:val="00BA6AB1"/>
    <w:rsid w:val="00BA6B2E"/>
    <w:rsid w:val="00BA76DB"/>
    <w:rsid w:val="00BB0602"/>
    <w:rsid w:val="00BB1349"/>
    <w:rsid w:val="00BB1383"/>
    <w:rsid w:val="00BB2128"/>
    <w:rsid w:val="00BB2C7B"/>
    <w:rsid w:val="00BB2D0F"/>
    <w:rsid w:val="00BB4216"/>
    <w:rsid w:val="00BB4274"/>
    <w:rsid w:val="00BB4F05"/>
    <w:rsid w:val="00BB5F4B"/>
    <w:rsid w:val="00BB6118"/>
    <w:rsid w:val="00BB744F"/>
    <w:rsid w:val="00BC137B"/>
    <w:rsid w:val="00BC1927"/>
    <w:rsid w:val="00BC1CA9"/>
    <w:rsid w:val="00BC25DF"/>
    <w:rsid w:val="00BC2854"/>
    <w:rsid w:val="00BC3940"/>
    <w:rsid w:val="00BC42B9"/>
    <w:rsid w:val="00BC508D"/>
    <w:rsid w:val="00BC51B6"/>
    <w:rsid w:val="00BC589F"/>
    <w:rsid w:val="00BC5A84"/>
    <w:rsid w:val="00BC60CD"/>
    <w:rsid w:val="00BC6269"/>
    <w:rsid w:val="00BC64D6"/>
    <w:rsid w:val="00BC6B37"/>
    <w:rsid w:val="00BC6BC3"/>
    <w:rsid w:val="00BC6D2B"/>
    <w:rsid w:val="00BC75D9"/>
    <w:rsid w:val="00BD0362"/>
    <w:rsid w:val="00BD11D2"/>
    <w:rsid w:val="00BD1309"/>
    <w:rsid w:val="00BD1E29"/>
    <w:rsid w:val="00BD2205"/>
    <w:rsid w:val="00BD2213"/>
    <w:rsid w:val="00BD2331"/>
    <w:rsid w:val="00BD38BC"/>
    <w:rsid w:val="00BD3C03"/>
    <w:rsid w:val="00BD3D6D"/>
    <w:rsid w:val="00BD4559"/>
    <w:rsid w:val="00BD4D19"/>
    <w:rsid w:val="00BD53B1"/>
    <w:rsid w:val="00BD5846"/>
    <w:rsid w:val="00BD5D51"/>
    <w:rsid w:val="00BD6500"/>
    <w:rsid w:val="00BD6E22"/>
    <w:rsid w:val="00BD6F71"/>
    <w:rsid w:val="00BD7544"/>
    <w:rsid w:val="00BD7CB2"/>
    <w:rsid w:val="00BD7F1D"/>
    <w:rsid w:val="00BE0548"/>
    <w:rsid w:val="00BE05F9"/>
    <w:rsid w:val="00BE09A2"/>
    <w:rsid w:val="00BE09C6"/>
    <w:rsid w:val="00BE1190"/>
    <w:rsid w:val="00BE127B"/>
    <w:rsid w:val="00BE178D"/>
    <w:rsid w:val="00BE2B78"/>
    <w:rsid w:val="00BE2F16"/>
    <w:rsid w:val="00BE4453"/>
    <w:rsid w:val="00BE4566"/>
    <w:rsid w:val="00BE4778"/>
    <w:rsid w:val="00BE4E82"/>
    <w:rsid w:val="00BE5432"/>
    <w:rsid w:val="00BE591D"/>
    <w:rsid w:val="00BE59A0"/>
    <w:rsid w:val="00BE5AC4"/>
    <w:rsid w:val="00BE5F7E"/>
    <w:rsid w:val="00BE5FB3"/>
    <w:rsid w:val="00BE6015"/>
    <w:rsid w:val="00BE69A3"/>
    <w:rsid w:val="00BE73BA"/>
    <w:rsid w:val="00BE73C1"/>
    <w:rsid w:val="00BE7A39"/>
    <w:rsid w:val="00BF01E5"/>
    <w:rsid w:val="00BF05DD"/>
    <w:rsid w:val="00BF06FD"/>
    <w:rsid w:val="00BF0806"/>
    <w:rsid w:val="00BF09D9"/>
    <w:rsid w:val="00BF16F5"/>
    <w:rsid w:val="00BF1DDD"/>
    <w:rsid w:val="00BF1DDF"/>
    <w:rsid w:val="00BF26D3"/>
    <w:rsid w:val="00BF2BD8"/>
    <w:rsid w:val="00BF32C2"/>
    <w:rsid w:val="00BF34D5"/>
    <w:rsid w:val="00BF3514"/>
    <w:rsid w:val="00BF3833"/>
    <w:rsid w:val="00BF3C67"/>
    <w:rsid w:val="00BF3DD0"/>
    <w:rsid w:val="00BF3ED1"/>
    <w:rsid w:val="00BF4BEB"/>
    <w:rsid w:val="00BF5E25"/>
    <w:rsid w:val="00BF6E96"/>
    <w:rsid w:val="00BF7A2D"/>
    <w:rsid w:val="00C00149"/>
    <w:rsid w:val="00C0072B"/>
    <w:rsid w:val="00C00A47"/>
    <w:rsid w:val="00C00BE0"/>
    <w:rsid w:val="00C00F7A"/>
    <w:rsid w:val="00C00FF2"/>
    <w:rsid w:val="00C01441"/>
    <w:rsid w:val="00C022DE"/>
    <w:rsid w:val="00C03191"/>
    <w:rsid w:val="00C03305"/>
    <w:rsid w:val="00C0330E"/>
    <w:rsid w:val="00C03C14"/>
    <w:rsid w:val="00C03C60"/>
    <w:rsid w:val="00C048A5"/>
    <w:rsid w:val="00C05926"/>
    <w:rsid w:val="00C05E4F"/>
    <w:rsid w:val="00C06122"/>
    <w:rsid w:val="00C06449"/>
    <w:rsid w:val="00C065F3"/>
    <w:rsid w:val="00C0664B"/>
    <w:rsid w:val="00C0689A"/>
    <w:rsid w:val="00C068CA"/>
    <w:rsid w:val="00C0794C"/>
    <w:rsid w:val="00C07BC7"/>
    <w:rsid w:val="00C104C6"/>
    <w:rsid w:val="00C104E8"/>
    <w:rsid w:val="00C1090E"/>
    <w:rsid w:val="00C10F06"/>
    <w:rsid w:val="00C1169E"/>
    <w:rsid w:val="00C11821"/>
    <w:rsid w:val="00C11E4E"/>
    <w:rsid w:val="00C1287D"/>
    <w:rsid w:val="00C13181"/>
    <w:rsid w:val="00C1327D"/>
    <w:rsid w:val="00C134AD"/>
    <w:rsid w:val="00C13899"/>
    <w:rsid w:val="00C13DAE"/>
    <w:rsid w:val="00C140C7"/>
    <w:rsid w:val="00C14726"/>
    <w:rsid w:val="00C14D6C"/>
    <w:rsid w:val="00C14E46"/>
    <w:rsid w:val="00C1535C"/>
    <w:rsid w:val="00C1674C"/>
    <w:rsid w:val="00C168BF"/>
    <w:rsid w:val="00C16CA8"/>
    <w:rsid w:val="00C1700A"/>
    <w:rsid w:val="00C17CA8"/>
    <w:rsid w:val="00C17CDE"/>
    <w:rsid w:val="00C2095F"/>
    <w:rsid w:val="00C20C0E"/>
    <w:rsid w:val="00C20D46"/>
    <w:rsid w:val="00C20D4E"/>
    <w:rsid w:val="00C20E77"/>
    <w:rsid w:val="00C2102F"/>
    <w:rsid w:val="00C23040"/>
    <w:rsid w:val="00C23202"/>
    <w:rsid w:val="00C23DDA"/>
    <w:rsid w:val="00C252ED"/>
    <w:rsid w:val="00C25422"/>
    <w:rsid w:val="00C25A56"/>
    <w:rsid w:val="00C264E1"/>
    <w:rsid w:val="00C27439"/>
    <w:rsid w:val="00C27708"/>
    <w:rsid w:val="00C27E8A"/>
    <w:rsid w:val="00C27FC3"/>
    <w:rsid w:val="00C30A49"/>
    <w:rsid w:val="00C30ABF"/>
    <w:rsid w:val="00C30D96"/>
    <w:rsid w:val="00C30F0F"/>
    <w:rsid w:val="00C316DC"/>
    <w:rsid w:val="00C317E0"/>
    <w:rsid w:val="00C31DC9"/>
    <w:rsid w:val="00C3357D"/>
    <w:rsid w:val="00C33FC8"/>
    <w:rsid w:val="00C34156"/>
    <w:rsid w:val="00C3488E"/>
    <w:rsid w:val="00C34E2C"/>
    <w:rsid w:val="00C3503C"/>
    <w:rsid w:val="00C35B4D"/>
    <w:rsid w:val="00C36DF9"/>
    <w:rsid w:val="00C36E2C"/>
    <w:rsid w:val="00C3765C"/>
    <w:rsid w:val="00C37677"/>
    <w:rsid w:val="00C402CC"/>
    <w:rsid w:val="00C40B5E"/>
    <w:rsid w:val="00C41002"/>
    <w:rsid w:val="00C411B4"/>
    <w:rsid w:val="00C414F3"/>
    <w:rsid w:val="00C416B6"/>
    <w:rsid w:val="00C419E2"/>
    <w:rsid w:val="00C41A3D"/>
    <w:rsid w:val="00C41A7B"/>
    <w:rsid w:val="00C41C0F"/>
    <w:rsid w:val="00C41C43"/>
    <w:rsid w:val="00C41F0B"/>
    <w:rsid w:val="00C42453"/>
    <w:rsid w:val="00C429D4"/>
    <w:rsid w:val="00C42A42"/>
    <w:rsid w:val="00C42A48"/>
    <w:rsid w:val="00C42CE0"/>
    <w:rsid w:val="00C42E44"/>
    <w:rsid w:val="00C4387A"/>
    <w:rsid w:val="00C447EB"/>
    <w:rsid w:val="00C44D74"/>
    <w:rsid w:val="00C44EEA"/>
    <w:rsid w:val="00C4531F"/>
    <w:rsid w:val="00C45930"/>
    <w:rsid w:val="00C46629"/>
    <w:rsid w:val="00C46825"/>
    <w:rsid w:val="00C46935"/>
    <w:rsid w:val="00C46A6E"/>
    <w:rsid w:val="00C473C9"/>
    <w:rsid w:val="00C47E3F"/>
    <w:rsid w:val="00C50570"/>
    <w:rsid w:val="00C50AE0"/>
    <w:rsid w:val="00C516FD"/>
    <w:rsid w:val="00C5215F"/>
    <w:rsid w:val="00C5412F"/>
    <w:rsid w:val="00C546AD"/>
    <w:rsid w:val="00C55C0C"/>
    <w:rsid w:val="00C55CCE"/>
    <w:rsid w:val="00C56902"/>
    <w:rsid w:val="00C5733B"/>
    <w:rsid w:val="00C57D34"/>
    <w:rsid w:val="00C602E7"/>
    <w:rsid w:val="00C608D9"/>
    <w:rsid w:val="00C60B13"/>
    <w:rsid w:val="00C61108"/>
    <w:rsid w:val="00C617AA"/>
    <w:rsid w:val="00C61808"/>
    <w:rsid w:val="00C61B0B"/>
    <w:rsid w:val="00C627B3"/>
    <w:rsid w:val="00C627CA"/>
    <w:rsid w:val="00C62DFE"/>
    <w:rsid w:val="00C637B8"/>
    <w:rsid w:val="00C63ADF"/>
    <w:rsid w:val="00C63D10"/>
    <w:rsid w:val="00C64021"/>
    <w:rsid w:val="00C6428E"/>
    <w:rsid w:val="00C64831"/>
    <w:rsid w:val="00C648E6"/>
    <w:rsid w:val="00C64C27"/>
    <w:rsid w:val="00C64CDF"/>
    <w:rsid w:val="00C64DAA"/>
    <w:rsid w:val="00C64E76"/>
    <w:rsid w:val="00C65376"/>
    <w:rsid w:val="00C65C13"/>
    <w:rsid w:val="00C66D8B"/>
    <w:rsid w:val="00C6763E"/>
    <w:rsid w:val="00C67B19"/>
    <w:rsid w:val="00C67BA5"/>
    <w:rsid w:val="00C7044B"/>
    <w:rsid w:val="00C7103F"/>
    <w:rsid w:val="00C715F9"/>
    <w:rsid w:val="00C71B15"/>
    <w:rsid w:val="00C71C66"/>
    <w:rsid w:val="00C720CC"/>
    <w:rsid w:val="00C721C8"/>
    <w:rsid w:val="00C72238"/>
    <w:rsid w:val="00C731E4"/>
    <w:rsid w:val="00C73945"/>
    <w:rsid w:val="00C73EE3"/>
    <w:rsid w:val="00C7509A"/>
    <w:rsid w:val="00C7515F"/>
    <w:rsid w:val="00C757D8"/>
    <w:rsid w:val="00C75A59"/>
    <w:rsid w:val="00C7651A"/>
    <w:rsid w:val="00C77727"/>
    <w:rsid w:val="00C7774A"/>
    <w:rsid w:val="00C77C14"/>
    <w:rsid w:val="00C80356"/>
    <w:rsid w:val="00C803A0"/>
    <w:rsid w:val="00C80914"/>
    <w:rsid w:val="00C80C9C"/>
    <w:rsid w:val="00C812D2"/>
    <w:rsid w:val="00C82100"/>
    <w:rsid w:val="00C82746"/>
    <w:rsid w:val="00C82AE2"/>
    <w:rsid w:val="00C82D72"/>
    <w:rsid w:val="00C82E9D"/>
    <w:rsid w:val="00C8558A"/>
    <w:rsid w:val="00C85780"/>
    <w:rsid w:val="00C85D63"/>
    <w:rsid w:val="00C86360"/>
    <w:rsid w:val="00C867B3"/>
    <w:rsid w:val="00C86A63"/>
    <w:rsid w:val="00C86CEB"/>
    <w:rsid w:val="00C86D86"/>
    <w:rsid w:val="00C874F5"/>
    <w:rsid w:val="00C87537"/>
    <w:rsid w:val="00C8778D"/>
    <w:rsid w:val="00C90145"/>
    <w:rsid w:val="00C90B89"/>
    <w:rsid w:val="00C90C9E"/>
    <w:rsid w:val="00C90D26"/>
    <w:rsid w:val="00C90DE5"/>
    <w:rsid w:val="00C91706"/>
    <w:rsid w:val="00C91841"/>
    <w:rsid w:val="00C91E02"/>
    <w:rsid w:val="00C929FF"/>
    <w:rsid w:val="00C93260"/>
    <w:rsid w:val="00C939B1"/>
    <w:rsid w:val="00C93E40"/>
    <w:rsid w:val="00C945A1"/>
    <w:rsid w:val="00C94D4B"/>
    <w:rsid w:val="00C95581"/>
    <w:rsid w:val="00C95C4D"/>
    <w:rsid w:val="00C95FD5"/>
    <w:rsid w:val="00C96714"/>
    <w:rsid w:val="00C9673C"/>
    <w:rsid w:val="00C97460"/>
    <w:rsid w:val="00C97AB2"/>
    <w:rsid w:val="00C97B63"/>
    <w:rsid w:val="00C97BD6"/>
    <w:rsid w:val="00C97F09"/>
    <w:rsid w:val="00CA0894"/>
    <w:rsid w:val="00CA0BA7"/>
    <w:rsid w:val="00CA0F12"/>
    <w:rsid w:val="00CA162E"/>
    <w:rsid w:val="00CA189C"/>
    <w:rsid w:val="00CA1A58"/>
    <w:rsid w:val="00CA283A"/>
    <w:rsid w:val="00CA2A27"/>
    <w:rsid w:val="00CA3053"/>
    <w:rsid w:val="00CA3608"/>
    <w:rsid w:val="00CA3922"/>
    <w:rsid w:val="00CA4E70"/>
    <w:rsid w:val="00CA5000"/>
    <w:rsid w:val="00CA5080"/>
    <w:rsid w:val="00CA5C35"/>
    <w:rsid w:val="00CA5CD3"/>
    <w:rsid w:val="00CA6097"/>
    <w:rsid w:val="00CA60E6"/>
    <w:rsid w:val="00CA6DBB"/>
    <w:rsid w:val="00CA6E76"/>
    <w:rsid w:val="00CA7168"/>
    <w:rsid w:val="00CA7FE7"/>
    <w:rsid w:val="00CB07DE"/>
    <w:rsid w:val="00CB1416"/>
    <w:rsid w:val="00CB16B6"/>
    <w:rsid w:val="00CB1815"/>
    <w:rsid w:val="00CB192B"/>
    <w:rsid w:val="00CB1987"/>
    <w:rsid w:val="00CB355D"/>
    <w:rsid w:val="00CB366D"/>
    <w:rsid w:val="00CB38E5"/>
    <w:rsid w:val="00CB39E3"/>
    <w:rsid w:val="00CB3E90"/>
    <w:rsid w:val="00CB4AD8"/>
    <w:rsid w:val="00CB6176"/>
    <w:rsid w:val="00CB6E85"/>
    <w:rsid w:val="00CB73F9"/>
    <w:rsid w:val="00CC0E77"/>
    <w:rsid w:val="00CC11CE"/>
    <w:rsid w:val="00CC1398"/>
    <w:rsid w:val="00CC162D"/>
    <w:rsid w:val="00CC1C5D"/>
    <w:rsid w:val="00CC1D7E"/>
    <w:rsid w:val="00CC21C5"/>
    <w:rsid w:val="00CC263E"/>
    <w:rsid w:val="00CC2DE8"/>
    <w:rsid w:val="00CC2FD7"/>
    <w:rsid w:val="00CC3383"/>
    <w:rsid w:val="00CC440A"/>
    <w:rsid w:val="00CC5A1B"/>
    <w:rsid w:val="00CC5E71"/>
    <w:rsid w:val="00CC62B5"/>
    <w:rsid w:val="00CC735C"/>
    <w:rsid w:val="00CC7ADF"/>
    <w:rsid w:val="00CD080B"/>
    <w:rsid w:val="00CD0A56"/>
    <w:rsid w:val="00CD1096"/>
    <w:rsid w:val="00CD27BA"/>
    <w:rsid w:val="00CD28E2"/>
    <w:rsid w:val="00CD29B6"/>
    <w:rsid w:val="00CD2EFF"/>
    <w:rsid w:val="00CD30D0"/>
    <w:rsid w:val="00CD340B"/>
    <w:rsid w:val="00CD384B"/>
    <w:rsid w:val="00CD391B"/>
    <w:rsid w:val="00CD4F34"/>
    <w:rsid w:val="00CD5013"/>
    <w:rsid w:val="00CD51F9"/>
    <w:rsid w:val="00CD530D"/>
    <w:rsid w:val="00CD5350"/>
    <w:rsid w:val="00CD538B"/>
    <w:rsid w:val="00CD56D3"/>
    <w:rsid w:val="00CD6940"/>
    <w:rsid w:val="00CD6A50"/>
    <w:rsid w:val="00CD6CE5"/>
    <w:rsid w:val="00CD6DC7"/>
    <w:rsid w:val="00CD7282"/>
    <w:rsid w:val="00CD7883"/>
    <w:rsid w:val="00CD7EC9"/>
    <w:rsid w:val="00CD7FC9"/>
    <w:rsid w:val="00CE04BE"/>
    <w:rsid w:val="00CE0F77"/>
    <w:rsid w:val="00CE1119"/>
    <w:rsid w:val="00CE11AF"/>
    <w:rsid w:val="00CE120D"/>
    <w:rsid w:val="00CE2511"/>
    <w:rsid w:val="00CE2F36"/>
    <w:rsid w:val="00CE3548"/>
    <w:rsid w:val="00CE3979"/>
    <w:rsid w:val="00CE3B71"/>
    <w:rsid w:val="00CE3F57"/>
    <w:rsid w:val="00CE467E"/>
    <w:rsid w:val="00CE46A7"/>
    <w:rsid w:val="00CE4F02"/>
    <w:rsid w:val="00CE4FC5"/>
    <w:rsid w:val="00CE518A"/>
    <w:rsid w:val="00CE52FF"/>
    <w:rsid w:val="00CE565A"/>
    <w:rsid w:val="00CE59DD"/>
    <w:rsid w:val="00CE5C0D"/>
    <w:rsid w:val="00CE5CC2"/>
    <w:rsid w:val="00CE62A0"/>
    <w:rsid w:val="00CE6818"/>
    <w:rsid w:val="00CE6A5E"/>
    <w:rsid w:val="00CE6BCF"/>
    <w:rsid w:val="00CE7BEE"/>
    <w:rsid w:val="00CE7BF8"/>
    <w:rsid w:val="00CE7CE0"/>
    <w:rsid w:val="00CE7F86"/>
    <w:rsid w:val="00CF0A19"/>
    <w:rsid w:val="00CF222D"/>
    <w:rsid w:val="00CF2995"/>
    <w:rsid w:val="00CF32FE"/>
    <w:rsid w:val="00CF35A8"/>
    <w:rsid w:val="00CF405C"/>
    <w:rsid w:val="00CF42E7"/>
    <w:rsid w:val="00CF4FDC"/>
    <w:rsid w:val="00CF52F3"/>
    <w:rsid w:val="00CF5346"/>
    <w:rsid w:val="00CF5529"/>
    <w:rsid w:val="00CF5905"/>
    <w:rsid w:val="00CF5D52"/>
    <w:rsid w:val="00CF5F77"/>
    <w:rsid w:val="00CF6036"/>
    <w:rsid w:val="00CF6B9A"/>
    <w:rsid w:val="00CF720B"/>
    <w:rsid w:val="00CF7BD8"/>
    <w:rsid w:val="00CF7F27"/>
    <w:rsid w:val="00D00BB2"/>
    <w:rsid w:val="00D00E61"/>
    <w:rsid w:val="00D01FD4"/>
    <w:rsid w:val="00D0293E"/>
    <w:rsid w:val="00D02A28"/>
    <w:rsid w:val="00D02D35"/>
    <w:rsid w:val="00D03008"/>
    <w:rsid w:val="00D030DE"/>
    <w:rsid w:val="00D03C09"/>
    <w:rsid w:val="00D03F91"/>
    <w:rsid w:val="00D0426F"/>
    <w:rsid w:val="00D047F5"/>
    <w:rsid w:val="00D04F28"/>
    <w:rsid w:val="00D051A6"/>
    <w:rsid w:val="00D056A8"/>
    <w:rsid w:val="00D05840"/>
    <w:rsid w:val="00D0593E"/>
    <w:rsid w:val="00D05C51"/>
    <w:rsid w:val="00D0680C"/>
    <w:rsid w:val="00D06B3F"/>
    <w:rsid w:val="00D07353"/>
    <w:rsid w:val="00D07647"/>
    <w:rsid w:val="00D07C1F"/>
    <w:rsid w:val="00D07F75"/>
    <w:rsid w:val="00D101C7"/>
    <w:rsid w:val="00D106B5"/>
    <w:rsid w:val="00D10D72"/>
    <w:rsid w:val="00D10ECA"/>
    <w:rsid w:val="00D10F62"/>
    <w:rsid w:val="00D113DD"/>
    <w:rsid w:val="00D11B37"/>
    <w:rsid w:val="00D125E8"/>
    <w:rsid w:val="00D130CE"/>
    <w:rsid w:val="00D13222"/>
    <w:rsid w:val="00D13910"/>
    <w:rsid w:val="00D139C2"/>
    <w:rsid w:val="00D13CC3"/>
    <w:rsid w:val="00D13E3D"/>
    <w:rsid w:val="00D14BFC"/>
    <w:rsid w:val="00D14CE2"/>
    <w:rsid w:val="00D1506A"/>
    <w:rsid w:val="00D150CA"/>
    <w:rsid w:val="00D158E9"/>
    <w:rsid w:val="00D15E80"/>
    <w:rsid w:val="00D16730"/>
    <w:rsid w:val="00D171C3"/>
    <w:rsid w:val="00D17516"/>
    <w:rsid w:val="00D20860"/>
    <w:rsid w:val="00D209D0"/>
    <w:rsid w:val="00D2143C"/>
    <w:rsid w:val="00D217A5"/>
    <w:rsid w:val="00D218DA"/>
    <w:rsid w:val="00D2199D"/>
    <w:rsid w:val="00D219E5"/>
    <w:rsid w:val="00D2218A"/>
    <w:rsid w:val="00D223B9"/>
    <w:rsid w:val="00D22525"/>
    <w:rsid w:val="00D2294C"/>
    <w:rsid w:val="00D22F90"/>
    <w:rsid w:val="00D2344E"/>
    <w:rsid w:val="00D23D61"/>
    <w:rsid w:val="00D23E72"/>
    <w:rsid w:val="00D248EC"/>
    <w:rsid w:val="00D24C8A"/>
    <w:rsid w:val="00D2656C"/>
    <w:rsid w:val="00D271F9"/>
    <w:rsid w:val="00D27282"/>
    <w:rsid w:val="00D27E1C"/>
    <w:rsid w:val="00D27E2C"/>
    <w:rsid w:val="00D303CC"/>
    <w:rsid w:val="00D3084E"/>
    <w:rsid w:val="00D30BE0"/>
    <w:rsid w:val="00D3104A"/>
    <w:rsid w:val="00D31113"/>
    <w:rsid w:val="00D31501"/>
    <w:rsid w:val="00D31B64"/>
    <w:rsid w:val="00D31E78"/>
    <w:rsid w:val="00D31F71"/>
    <w:rsid w:val="00D325F3"/>
    <w:rsid w:val="00D33559"/>
    <w:rsid w:val="00D335F5"/>
    <w:rsid w:val="00D33C92"/>
    <w:rsid w:val="00D33E3E"/>
    <w:rsid w:val="00D33FDC"/>
    <w:rsid w:val="00D33FDD"/>
    <w:rsid w:val="00D3414A"/>
    <w:rsid w:val="00D348F5"/>
    <w:rsid w:val="00D34C9D"/>
    <w:rsid w:val="00D35157"/>
    <w:rsid w:val="00D352D9"/>
    <w:rsid w:val="00D35E01"/>
    <w:rsid w:val="00D362E2"/>
    <w:rsid w:val="00D36C58"/>
    <w:rsid w:val="00D36C6D"/>
    <w:rsid w:val="00D371AD"/>
    <w:rsid w:val="00D374A7"/>
    <w:rsid w:val="00D37C27"/>
    <w:rsid w:val="00D37C7A"/>
    <w:rsid w:val="00D41127"/>
    <w:rsid w:val="00D411B9"/>
    <w:rsid w:val="00D41256"/>
    <w:rsid w:val="00D418F2"/>
    <w:rsid w:val="00D41D0C"/>
    <w:rsid w:val="00D42E49"/>
    <w:rsid w:val="00D43AD2"/>
    <w:rsid w:val="00D445CD"/>
    <w:rsid w:val="00D44692"/>
    <w:rsid w:val="00D44911"/>
    <w:rsid w:val="00D44BE1"/>
    <w:rsid w:val="00D452DE"/>
    <w:rsid w:val="00D464F2"/>
    <w:rsid w:val="00D46547"/>
    <w:rsid w:val="00D476EE"/>
    <w:rsid w:val="00D47A34"/>
    <w:rsid w:val="00D47E0B"/>
    <w:rsid w:val="00D47E14"/>
    <w:rsid w:val="00D47EC4"/>
    <w:rsid w:val="00D50929"/>
    <w:rsid w:val="00D51A37"/>
    <w:rsid w:val="00D51A40"/>
    <w:rsid w:val="00D51A6C"/>
    <w:rsid w:val="00D5219C"/>
    <w:rsid w:val="00D53478"/>
    <w:rsid w:val="00D5382D"/>
    <w:rsid w:val="00D53BD7"/>
    <w:rsid w:val="00D5442E"/>
    <w:rsid w:val="00D551BD"/>
    <w:rsid w:val="00D551D6"/>
    <w:rsid w:val="00D55317"/>
    <w:rsid w:val="00D5663E"/>
    <w:rsid w:val="00D572DB"/>
    <w:rsid w:val="00D57496"/>
    <w:rsid w:val="00D57FB1"/>
    <w:rsid w:val="00D60272"/>
    <w:rsid w:val="00D60E54"/>
    <w:rsid w:val="00D61501"/>
    <w:rsid w:val="00D6184B"/>
    <w:rsid w:val="00D61980"/>
    <w:rsid w:val="00D61BAB"/>
    <w:rsid w:val="00D6261A"/>
    <w:rsid w:val="00D63C61"/>
    <w:rsid w:val="00D64031"/>
    <w:rsid w:val="00D641E3"/>
    <w:rsid w:val="00D642A5"/>
    <w:rsid w:val="00D645B0"/>
    <w:rsid w:val="00D64AA0"/>
    <w:rsid w:val="00D66484"/>
    <w:rsid w:val="00D66D09"/>
    <w:rsid w:val="00D66F79"/>
    <w:rsid w:val="00D67E67"/>
    <w:rsid w:val="00D7034E"/>
    <w:rsid w:val="00D7071A"/>
    <w:rsid w:val="00D70AD5"/>
    <w:rsid w:val="00D7136E"/>
    <w:rsid w:val="00D7249F"/>
    <w:rsid w:val="00D72618"/>
    <w:rsid w:val="00D72762"/>
    <w:rsid w:val="00D72B88"/>
    <w:rsid w:val="00D7354B"/>
    <w:rsid w:val="00D736B3"/>
    <w:rsid w:val="00D73FAA"/>
    <w:rsid w:val="00D7428D"/>
    <w:rsid w:val="00D753D7"/>
    <w:rsid w:val="00D760FF"/>
    <w:rsid w:val="00D761AD"/>
    <w:rsid w:val="00D7620A"/>
    <w:rsid w:val="00D770DB"/>
    <w:rsid w:val="00D77312"/>
    <w:rsid w:val="00D773EA"/>
    <w:rsid w:val="00D77827"/>
    <w:rsid w:val="00D80037"/>
    <w:rsid w:val="00D80B17"/>
    <w:rsid w:val="00D80DD1"/>
    <w:rsid w:val="00D81B68"/>
    <w:rsid w:val="00D81C74"/>
    <w:rsid w:val="00D81FE0"/>
    <w:rsid w:val="00D820AA"/>
    <w:rsid w:val="00D828CD"/>
    <w:rsid w:val="00D82D8D"/>
    <w:rsid w:val="00D8357B"/>
    <w:rsid w:val="00D836CF"/>
    <w:rsid w:val="00D83735"/>
    <w:rsid w:val="00D84058"/>
    <w:rsid w:val="00D852AD"/>
    <w:rsid w:val="00D85416"/>
    <w:rsid w:val="00D862EC"/>
    <w:rsid w:val="00D8648A"/>
    <w:rsid w:val="00D86E5B"/>
    <w:rsid w:val="00D8721C"/>
    <w:rsid w:val="00D875EC"/>
    <w:rsid w:val="00D90375"/>
    <w:rsid w:val="00D910FF"/>
    <w:rsid w:val="00D911AB"/>
    <w:rsid w:val="00D91C40"/>
    <w:rsid w:val="00D92239"/>
    <w:rsid w:val="00D9236B"/>
    <w:rsid w:val="00D92570"/>
    <w:rsid w:val="00D9382D"/>
    <w:rsid w:val="00D93898"/>
    <w:rsid w:val="00D93A92"/>
    <w:rsid w:val="00D93C05"/>
    <w:rsid w:val="00D93E0D"/>
    <w:rsid w:val="00D9421E"/>
    <w:rsid w:val="00D95A1D"/>
    <w:rsid w:val="00D95E7B"/>
    <w:rsid w:val="00D960AF"/>
    <w:rsid w:val="00D961F4"/>
    <w:rsid w:val="00D967A7"/>
    <w:rsid w:val="00D96B11"/>
    <w:rsid w:val="00D97827"/>
    <w:rsid w:val="00DA00BA"/>
    <w:rsid w:val="00DA0425"/>
    <w:rsid w:val="00DA050D"/>
    <w:rsid w:val="00DA08AA"/>
    <w:rsid w:val="00DA1D22"/>
    <w:rsid w:val="00DA1F51"/>
    <w:rsid w:val="00DA295B"/>
    <w:rsid w:val="00DA2A60"/>
    <w:rsid w:val="00DA2CF6"/>
    <w:rsid w:val="00DA321C"/>
    <w:rsid w:val="00DA3BCC"/>
    <w:rsid w:val="00DA3FA7"/>
    <w:rsid w:val="00DA416B"/>
    <w:rsid w:val="00DA42F5"/>
    <w:rsid w:val="00DA470B"/>
    <w:rsid w:val="00DA4C0A"/>
    <w:rsid w:val="00DA506E"/>
    <w:rsid w:val="00DA5897"/>
    <w:rsid w:val="00DA592D"/>
    <w:rsid w:val="00DA5C83"/>
    <w:rsid w:val="00DA63F5"/>
    <w:rsid w:val="00DA6437"/>
    <w:rsid w:val="00DA66B6"/>
    <w:rsid w:val="00DA6B14"/>
    <w:rsid w:val="00DA6CC3"/>
    <w:rsid w:val="00DA7375"/>
    <w:rsid w:val="00DB000B"/>
    <w:rsid w:val="00DB197D"/>
    <w:rsid w:val="00DB1D17"/>
    <w:rsid w:val="00DB1D55"/>
    <w:rsid w:val="00DB20D3"/>
    <w:rsid w:val="00DB2A88"/>
    <w:rsid w:val="00DB3112"/>
    <w:rsid w:val="00DB320A"/>
    <w:rsid w:val="00DB353E"/>
    <w:rsid w:val="00DB3631"/>
    <w:rsid w:val="00DB4D2D"/>
    <w:rsid w:val="00DB5179"/>
    <w:rsid w:val="00DB52B8"/>
    <w:rsid w:val="00DB53E5"/>
    <w:rsid w:val="00DB556A"/>
    <w:rsid w:val="00DB58FE"/>
    <w:rsid w:val="00DB5CD3"/>
    <w:rsid w:val="00DB61EB"/>
    <w:rsid w:val="00DB6C5F"/>
    <w:rsid w:val="00DB7B4F"/>
    <w:rsid w:val="00DC0F8C"/>
    <w:rsid w:val="00DC1123"/>
    <w:rsid w:val="00DC138D"/>
    <w:rsid w:val="00DC1E43"/>
    <w:rsid w:val="00DC2409"/>
    <w:rsid w:val="00DC2CAA"/>
    <w:rsid w:val="00DC2ED2"/>
    <w:rsid w:val="00DC2EF7"/>
    <w:rsid w:val="00DC36FE"/>
    <w:rsid w:val="00DC3A7A"/>
    <w:rsid w:val="00DC3FFE"/>
    <w:rsid w:val="00DC4054"/>
    <w:rsid w:val="00DC4222"/>
    <w:rsid w:val="00DC4767"/>
    <w:rsid w:val="00DC47E5"/>
    <w:rsid w:val="00DC5384"/>
    <w:rsid w:val="00DC5459"/>
    <w:rsid w:val="00DC5B01"/>
    <w:rsid w:val="00DC5BBF"/>
    <w:rsid w:val="00DC5CDE"/>
    <w:rsid w:val="00DC5DAD"/>
    <w:rsid w:val="00DC6C1E"/>
    <w:rsid w:val="00DC7680"/>
    <w:rsid w:val="00DC7800"/>
    <w:rsid w:val="00DD0809"/>
    <w:rsid w:val="00DD094A"/>
    <w:rsid w:val="00DD1269"/>
    <w:rsid w:val="00DD1654"/>
    <w:rsid w:val="00DD212E"/>
    <w:rsid w:val="00DD2F66"/>
    <w:rsid w:val="00DD2F7E"/>
    <w:rsid w:val="00DD3029"/>
    <w:rsid w:val="00DD3696"/>
    <w:rsid w:val="00DD3B40"/>
    <w:rsid w:val="00DD3D9B"/>
    <w:rsid w:val="00DD3DC9"/>
    <w:rsid w:val="00DD4021"/>
    <w:rsid w:val="00DD4E0B"/>
    <w:rsid w:val="00DD4EAC"/>
    <w:rsid w:val="00DD6B61"/>
    <w:rsid w:val="00DD7218"/>
    <w:rsid w:val="00DD7A4B"/>
    <w:rsid w:val="00DE0691"/>
    <w:rsid w:val="00DE0921"/>
    <w:rsid w:val="00DE0F45"/>
    <w:rsid w:val="00DE3430"/>
    <w:rsid w:val="00DE38F8"/>
    <w:rsid w:val="00DE3E0E"/>
    <w:rsid w:val="00DE4033"/>
    <w:rsid w:val="00DE4380"/>
    <w:rsid w:val="00DE443C"/>
    <w:rsid w:val="00DE48B1"/>
    <w:rsid w:val="00DE4B2D"/>
    <w:rsid w:val="00DE5BCA"/>
    <w:rsid w:val="00DE5D76"/>
    <w:rsid w:val="00DE6759"/>
    <w:rsid w:val="00DE6DAD"/>
    <w:rsid w:val="00DE7599"/>
    <w:rsid w:val="00DE772D"/>
    <w:rsid w:val="00DE78B0"/>
    <w:rsid w:val="00DE7945"/>
    <w:rsid w:val="00DE79B4"/>
    <w:rsid w:val="00DF0168"/>
    <w:rsid w:val="00DF01B7"/>
    <w:rsid w:val="00DF03FA"/>
    <w:rsid w:val="00DF0540"/>
    <w:rsid w:val="00DF067D"/>
    <w:rsid w:val="00DF08EA"/>
    <w:rsid w:val="00DF0C98"/>
    <w:rsid w:val="00DF0DF9"/>
    <w:rsid w:val="00DF1318"/>
    <w:rsid w:val="00DF2EE6"/>
    <w:rsid w:val="00DF375D"/>
    <w:rsid w:val="00DF376C"/>
    <w:rsid w:val="00DF39F7"/>
    <w:rsid w:val="00DF3AD2"/>
    <w:rsid w:val="00DF413A"/>
    <w:rsid w:val="00DF482F"/>
    <w:rsid w:val="00DF49D3"/>
    <w:rsid w:val="00DF4E00"/>
    <w:rsid w:val="00DF5195"/>
    <w:rsid w:val="00DF57C0"/>
    <w:rsid w:val="00DF59AD"/>
    <w:rsid w:val="00DF6381"/>
    <w:rsid w:val="00DF6538"/>
    <w:rsid w:val="00DF70B1"/>
    <w:rsid w:val="00DF7486"/>
    <w:rsid w:val="00DF7A24"/>
    <w:rsid w:val="00E001CF"/>
    <w:rsid w:val="00E00A3C"/>
    <w:rsid w:val="00E00FD4"/>
    <w:rsid w:val="00E0103C"/>
    <w:rsid w:val="00E025F4"/>
    <w:rsid w:val="00E0281F"/>
    <w:rsid w:val="00E02A51"/>
    <w:rsid w:val="00E02D56"/>
    <w:rsid w:val="00E03060"/>
    <w:rsid w:val="00E03992"/>
    <w:rsid w:val="00E03F1F"/>
    <w:rsid w:val="00E050EF"/>
    <w:rsid w:val="00E05460"/>
    <w:rsid w:val="00E05645"/>
    <w:rsid w:val="00E06A8A"/>
    <w:rsid w:val="00E06F8F"/>
    <w:rsid w:val="00E0723D"/>
    <w:rsid w:val="00E07956"/>
    <w:rsid w:val="00E102F3"/>
    <w:rsid w:val="00E10680"/>
    <w:rsid w:val="00E111FE"/>
    <w:rsid w:val="00E1166A"/>
    <w:rsid w:val="00E1293C"/>
    <w:rsid w:val="00E12B6C"/>
    <w:rsid w:val="00E12D17"/>
    <w:rsid w:val="00E13C0A"/>
    <w:rsid w:val="00E146A7"/>
    <w:rsid w:val="00E15078"/>
    <w:rsid w:val="00E154B9"/>
    <w:rsid w:val="00E16148"/>
    <w:rsid w:val="00E16980"/>
    <w:rsid w:val="00E16C31"/>
    <w:rsid w:val="00E17810"/>
    <w:rsid w:val="00E17D56"/>
    <w:rsid w:val="00E20736"/>
    <w:rsid w:val="00E209F3"/>
    <w:rsid w:val="00E213A0"/>
    <w:rsid w:val="00E214D4"/>
    <w:rsid w:val="00E21B54"/>
    <w:rsid w:val="00E21DB5"/>
    <w:rsid w:val="00E229A9"/>
    <w:rsid w:val="00E22CA2"/>
    <w:rsid w:val="00E23383"/>
    <w:rsid w:val="00E2438E"/>
    <w:rsid w:val="00E24EA6"/>
    <w:rsid w:val="00E2586D"/>
    <w:rsid w:val="00E25E1A"/>
    <w:rsid w:val="00E25EDD"/>
    <w:rsid w:val="00E26147"/>
    <w:rsid w:val="00E26181"/>
    <w:rsid w:val="00E265AF"/>
    <w:rsid w:val="00E265B1"/>
    <w:rsid w:val="00E26EEE"/>
    <w:rsid w:val="00E272C7"/>
    <w:rsid w:val="00E2784F"/>
    <w:rsid w:val="00E278FD"/>
    <w:rsid w:val="00E27C4F"/>
    <w:rsid w:val="00E30318"/>
    <w:rsid w:val="00E306E9"/>
    <w:rsid w:val="00E3077B"/>
    <w:rsid w:val="00E31813"/>
    <w:rsid w:val="00E3255D"/>
    <w:rsid w:val="00E32673"/>
    <w:rsid w:val="00E32ED9"/>
    <w:rsid w:val="00E33332"/>
    <w:rsid w:val="00E334C4"/>
    <w:rsid w:val="00E33531"/>
    <w:rsid w:val="00E335BB"/>
    <w:rsid w:val="00E34287"/>
    <w:rsid w:val="00E34FC3"/>
    <w:rsid w:val="00E3577D"/>
    <w:rsid w:val="00E357BA"/>
    <w:rsid w:val="00E3585E"/>
    <w:rsid w:val="00E35B09"/>
    <w:rsid w:val="00E3697B"/>
    <w:rsid w:val="00E36ABD"/>
    <w:rsid w:val="00E36F64"/>
    <w:rsid w:val="00E36F99"/>
    <w:rsid w:val="00E40352"/>
    <w:rsid w:val="00E40C46"/>
    <w:rsid w:val="00E41123"/>
    <w:rsid w:val="00E411D7"/>
    <w:rsid w:val="00E417B3"/>
    <w:rsid w:val="00E41E7E"/>
    <w:rsid w:val="00E4325E"/>
    <w:rsid w:val="00E43802"/>
    <w:rsid w:val="00E4391F"/>
    <w:rsid w:val="00E43AE4"/>
    <w:rsid w:val="00E44217"/>
    <w:rsid w:val="00E44239"/>
    <w:rsid w:val="00E447C2"/>
    <w:rsid w:val="00E449AD"/>
    <w:rsid w:val="00E44B3F"/>
    <w:rsid w:val="00E450B3"/>
    <w:rsid w:val="00E453C9"/>
    <w:rsid w:val="00E45470"/>
    <w:rsid w:val="00E45848"/>
    <w:rsid w:val="00E45AF4"/>
    <w:rsid w:val="00E4678F"/>
    <w:rsid w:val="00E46BEC"/>
    <w:rsid w:val="00E46BEE"/>
    <w:rsid w:val="00E46F99"/>
    <w:rsid w:val="00E47018"/>
    <w:rsid w:val="00E47571"/>
    <w:rsid w:val="00E475CE"/>
    <w:rsid w:val="00E50144"/>
    <w:rsid w:val="00E505A4"/>
    <w:rsid w:val="00E50713"/>
    <w:rsid w:val="00E512E9"/>
    <w:rsid w:val="00E518B4"/>
    <w:rsid w:val="00E52127"/>
    <w:rsid w:val="00E522DA"/>
    <w:rsid w:val="00E52469"/>
    <w:rsid w:val="00E52532"/>
    <w:rsid w:val="00E52970"/>
    <w:rsid w:val="00E53946"/>
    <w:rsid w:val="00E53EC2"/>
    <w:rsid w:val="00E53FE5"/>
    <w:rsid w:val="00E54B58"/>
    <w:rsid w:val="00E54B68"/>
    <w:rsid w:val="00E54C15"/>
    <w:rsid w:val="00E54C2E"/>
    <w:rsid w:val="00E5519D"/>
    <w:rsid w:val="00E552ED"/>
    <w:rsid w:val="00E553C8"/>
    <w:rsid w:val="00E55421"/>
    <w:rsid w:val="00E563D8"/>
    <w:rsid w:val="00E5673B"/>
    <w:rsid w:val="00E570B8"/>
    <w:rsid w:val="00E578C7"/>
    <w:rsid w:val="00E602AA"/>
    <w:rsid w:val="00E60AEE"/>
    <w:rsid w:val="00E60FCC"/>
    <w:rsid w:val="00E6151E"/>
    <w:rsid w:val="00E6182D"/>
    <w:rsid w:val="00E62155"/>
    <w:rsid w:val="00E62D19"/>
    <w:rsid w:val="00E6334E"/>
    <w:rsid w:val="00E640BD"/>
    <w:rsid w:val="00E64184"/>
    <w:rsid w:val="00E6468E"/>
    <w:rsid w:val="00E64A49"/>
    <w:rsid w:val="00E64B51"/>
    <w:rsid w:val="00E64D47"/>
    <w:rsid w:val="00E65108"/>
    <w:rsid w:val="00E65119"/>
    <w:rsid w:val="00E654FE"/>
    <w:rsid w:val="00E65798"/>
    <w:rsid w:val="00E665E0"/>
    <w:rsid w:val="00E66CEF"/>
    <w:rsid w:val="00E66EE9"/>
    <w:rsid w:val="00E679E8"/>
    <w:rsid w:val="00E67A7E"/>
    <w:rsid w:val="00E67BF9"/>
    <w:rsid w:val="00E7071A"/>
    <w:rsid w:val="00E70B31"/>
    <w:rsid w:val="00E70E3B"/>
    <w:rsid w:val="00E70EAE"/>
    <w:rsid w:val="00E71548"/>
    <w:rsid w:val="00E71F95"/>
    <w:rsid w:val="00E7291D"/>
    <w:rsid w:val="00E72D7E"/>
    <w:rsid w:val="00E73662"/>
    <w:rsid w:val="00E736F6"/>
    <w:rsid w:val="00E73C13"/>
    <w:rsid w:val="00E74943"/>
    <w:rsid w:val="00E75047"/>
    <w:rsid w:val="00E752FC"/>
    <w:rsid w:val="00E754C4"/>
    <w:rsid w:val="00E7628B"/>
    <w:rsid w:val="00E7668C"/>
    <w:rsid w:val="00E7669C"/>
    <w:rsid w:val="00E76858"/>
    <w:rsid w:val="00E768F2"/>
    <w:rsid w:val="00E77077"/>
    <w:rsid w:val="00E804CB"/>
    <w:rsid w:val="00E80972"/>
    <w:rsid w:val="00E80C44"/>
    <w:rsid w:val="00E80E4E"/>
    <w:rsid w:val="00E81CE7"/>
    <w:rsid w:val="00E81DC5"/>
    <w:rsid w:val="00E8282D"/>
    <w:rsid w:val="00E8298F"/>
    <w:rsid w:val="00E82993"/>
    <w:rsid w:val="00E8317A"/>
    <w:rsid w:val="00E8335E"/>
    <w:rsid w:val="00E8386B"/>
    <w:rsid w:val="00E83949"/>
    <w:rsid w:val="00E84336"/>
    <w:rsid w:val="00E84390"/>
    <w:rsid w:val="00E84422"/>
    <w:rsid w:val="00E84CA7"/>
    <w:rsid w:val="00E853F5"/>
    <w:rsid w:val="00E85FAA"/>
    <w:rsid w:val="00E862FB"/>
    <w:rsid w:val="00E8645D"/>
    <w:rsid w:val="00E86A29"/>
    <w:rsid w:val="00E872D8"/>
    <w:rsid w:val="00E8753B"/>
    <w:rsid w:val="00E87593"/>
    <w:rsid w:val="00E8764B"/>
    <w:rsid w:val="00E87A0E"/>
    <w:rsid w:val="00E87C3E"/>
    <w:rsid w:val="00E87CAF"/>
    <w:rsid w:val="00E90270"/>
    <w:rsid w:val="00E90A40"/>
    <w:rsid w:val="00E91489"/>
    <w:rsid w:val="00E91A56"/>
    <w:rsid w:val="00E91C37"/>
    <w:rsid w:val="00E91E5B"/>
    <w:rsid w:val="00E929CB"/>
    <w:rsid w:val="00E92CA9"/>
    <w:rsid w:val="00E937D0"/>
    <w:rsid w:val="00E93E8C"/>
    <w:rsid w:val="00E9407A"/>
    <w:rsid w:val="00E94AC1"/>
    <w:rsid w:val="00E9535F"/>
    <w:rsid w:val="00E95437"/>
    <w:rsid w:val="00E9741F"/>
    <w:rsid w:val="00E97615"/>
    <w:rsid w:val="00E97AAA"/>
    <w:rsid w:val="00E97BD2"/>
    <w:rsid w:val="00EA01EE"/>
    <w:rsid w:val="00EA06D3"/>
    <w:rsid w:val="00EA0E83"/>
    <w:rsid w:val="00EA219A"/>
    <w:rsid w:val="00EA390D"/>
    <w:rsid w:val="00EA39D3"/>
    <w:rsid w:val="00EA3ACF"/>
    <w:rsid w:val="00EA3B12"/>
    <w:rsid w:val="00EA4200"/>
    <w:rsid w:val="00EA43F1"/>
    <w:rsid w:val="00EA4D31"/>
    <w:rsid w:val="00EA4D3F"/>
    <w:rsid w:val="00EA4FA0"/>
    <w:rsid w:val="00EA4FD1"/>
    <w:rsid w:val="00EA4FD3"/>
    <w:rsid w:val="00EA51E0"/>
    <w:rsid w:val="00EA775E"/>
    <w:rsid w:val="00EB03E2"/>
    <w:rsid w:val="00EB0594"/>
    <w:rsid w:val="00EB0599"/>
    <w:rsid w:val="00EB0631"/>
    <w:rsid w:val="00EB074C"/>
    <w:rsid w:val="00EB0C8B"/>
    <w:rsid w:val="00EB1258"/>
    <w:rsid w:val="00EB14B1"/>
    <w:rsid w:val="00EB14DB"/>
    <w:rsid w:val="00EB18F6"/>
    <w:rsid w:val="00EB1F1A"/>
    <w:rsid w:val="00EB1FF7"/>
    <w:rsid w:val="00EB26CE"/>
    <w:rsid w:val="00EB2743"/>
    <w:rsid w:val="00EB296F"/>
    <w:rsid w:val="00EB4499"/>
    <w:rsid w:val="00EB455A"/>
    <w:rsid w:val="00EB4CE0"/>
    <w:rsid w:val="00EB552E"/>
    <w:rsid w:val="00EB5605"/>
    <w:rsid w:val="00EB5B3D"/>
    <w:rsid w:val="00EB6329"/>
    <w:rsid w:val="00EB6601"/>
    <w:rsid w:val="00EB6B64"/>
    <w:rsid w:val="00EB6BF8"/>
    <w:rsid w:val="00EB7C5D"/>
    <w:rsid w:val="00EB7DDA"/>
    <w:rsid w:val="00EB7F8A"/>
    <w:rsid w:val="00EC0440"/>
    <w:rsid w:val="00EC089A"/>
    <w:rsid w:val="00EC0A09"/>
    <w:rsid w:val="00EC16FA"/>
    <w:rsid w:val="00EC1BE1"/>
    <w:rsid w:val="00EC20D9"/>
    <w:rsid w:val="00EC3153"/>
    <w:rsid w:val="00EC325C"/>
    <w:rsid w:val="00EC32D5"/>
    <w:rsid w:val="00EC3614"/>
    <w:rsid w:val="00EC47FE"/>
    <w:rsid w:val="00EC48C1"/>
    <w:rsid w:val="00EC59CD"/>
    <w:rsid w:val="00EC5F33"/>
    <w:rsid w:val="00EC5F86"/>
    <w:rsid w:val="00EC6309"/>
    <w:rsid w:val="00EC6BE5"/>
    <w:rsid w:val="00EC793D"/>
    <w:rsid w:val="00EC79FA"/>
    <w:rsid w:val="00EC7EAB"/>
    <w:rsid w:val="00ED0394"/>
    <w:rsid w:val="00ED0472"/>
    <w:rsid w:val="00ED0A68"/>
    <w:rsid w:val="00ED0C3F"/>
    <w:rsid w:val="00ED12B4"/>
    <w:rsid w:val="00ED1F37"/>
    <w:rsid w:val="00ED22B9"/>
    <w:rsid w:val="00ED2DF6"/>
    <w:rsid w:val="00ED35AD"/>
    <w:rsid w:val="00ED3AD6"/>
    <w:rsid w:val="00ED3B0E"/>
    <w:rsid w:val="00ED435B"/>
    <w:rsid w:val="00ED48E5"/>
    <w:rsid w:val="00ED5228"/>
    <w:rsid w:val="00ED55EF"/>
    <w:rsid w:val="00ED593C"/>
    <w:rsid w:val="00ED5BD9"/>
    <w:rsid w:val="00ED60E8"/>
    <w:rsid w:val="00ED687F"/>
    <w:rsid w:val="00ED6947"/>
    <w:rsid w:val="00ED72CF"/>
    <w:rsid w:val="00ED756D"/>
    <w:rsid w:val="00ED771D"/>
    <w:rsid w:val="00EE19FA"/>
    <w:rsid w:val="00EE1B0B"/>
    <w:rsid w:val="00EE29BE"/>
    <w:rsid w:val="00EE2F53"/>
    <w:rsid w:val="00EE2F92"/>
    <w:rsid w:val="00EE3027"/>
    <w:rsid w:val="00EE3880"/>
    <w:rsid w:val="00EE39DF"/>
    <w:rsid w:val="00EE3B39"/>
    <w:rsid w:val="00EE3F6D"/>
    <w:rsid w:val="00EE4221"/>
    <w:rsid w:val="00EE4997"/>
    <w:rsid w:val="00EE4C24"/>
    <w:rsid w:val="00EE4E72"/>
    <w:rsid w:val="00EE519E"/>
    <w:rsid w:val="00EE5290"/>
    <w:rsid w:val="00EE549D"/>
    <w:rsid w:val="00EE57AD"/>
    <w:rsid w:val="00EE5ED9"/>
    <w:rsid w:val="00EE6B7D"/>
    <w:rsid w:val="00EE6EBE"/>
    <w:rsid w:val="00EE728A"/>
    <w:rsid w:val="00EE7605"/>
    <w:rsid w:val="00EE790A"/>
    <w:rsid w:val="00EE7A36"/>
    <w:rsid w:val="00EF0CA1"/>
    <w:rsid w:val="00EF1042"/>
    <w:rsid w:val="00EF10FA"/>
    <w:rsid w:val="00EF22EA"/>
    <w:rsid w:val="00EF33ED"/>
    <w:rsid w:val="00EF3B45"/>
    <w:rsid w:val="00EF3C9F"/>
    <w:rsid w:val="00EF4033"/>
    <w:rsid w:val="00EF46AE"/>
    <w:rsid w:val="00EF4A85"/>
    <w:rsid w:val="00EF4C18"/>
    <w:rsid w:val="00EF54C5"/>
    <w:rsid w:val="00EF5634"/>
    <w:rsid w:val="00EF56CE"/>
    <w:rsid w:val="00EF6935"/>
    <w:rsid w:val="00F006C9"/>
    <w:rsid w:val="00F00D96"/>
    <w:rsid w:val="00F00DE7"/>
    <w:rsid w:val="00F00FD6"/>
    <w:rsid w:val="00F0175C"/>
    <w:rsid w:val="00F018D5"/>
    <w:rsid w:val="00F01D5B"/>
    <w:rsid w:val="00F028E3"/>
    <w:rsid w:val="00F03539"/>
    <w:rsid w:val="00F03B96"/>
    <w:rsid w:val="00F04126"/>
    <w:rsid w:val="00F042E0"/>
    <w:rsid w:val="00F044AB"/>
    <w:rsid w:val="00F04DA8"/>
    <w:rsid w:val="00F05018"/>
    <w:rsid w:val="00F054EC"/>
    <w:rsid w:val="00F05504"/>
    <w:rsid w:val="00F05632"/>
    <w:rsid w:val="00F06D93"/>
    <w:rsid w:val="00F06EE1"/>
    <w:rsid w:val="00F074A4"/>
    <w:rsid w:val="00F1006C"/>
    <w:rsid w:val="00F106E3"/>
    <w:rsid w:val="00F10F23"/>
    <w:rsid w:val="00F1129C"/>
    <w:rsid w:val="00F11A6C"/>
    <w:rsid w:val="00F11E3E"/>
    <w:rsid w:val="00F11F88"/>
    <w:rsid w:val="00F12A61"/>
    <w:rsid w:val="00F12C92"/>
    <w:rsid w:val="00F13735"/>
    <w:rsid w:val="00F13835"/>
    <w:rsid w:val="00F13DE5"/>
    <w:rsid w:val="00F14E42"/>
    <w:rsid w:val="00F154F4"/>
    <w:rsid w:val="00F15CD8"/>
    <w:rsid w:val="00F16D05"/>
    <w:rsid w:val="00F16DCB"/>
    <w:rsid w:val="00F17024"/>
    <w:rsid w:val="00F1720D"/>
    <w:rsid w:val="00F17847"/>
    <w:rsid w:val="00F179FE"/>
    <w:rsid w:val="00F17E11"/>
    <w:rsid w:val="00F17EC1"/>
    <w:rsid w:val="00F20121"/>
    <w:rsid w:val="00F2095D"/>
    <w:rsid w:val="00F20A48"/>
    <w:rsid w:val="00F20D57"/>
    <w:rsid w:val="00F210C9"/>
    <w:rsid w:val="00F21A77"/>
    <w:rsid w:val="00F22804"/>
    <w:rsid w:val="00F22C32"/>
    <w:rsid w:val="00F22C90"/>
    <w:rsid w:val="00F231D4"/>
    <w:rsid w:val="00F232AC"/>
    <w:rsid w:val="00F23FA0"/>
    <w:rsid w:val="00F24885"/>
    <w:rsid w:val="00F24D64"/>
    <w:rsid w:val="00F24E1F"/>
    <w:rsid w:val="00F255B6"/>
    <w:rsid w:val="00F256EF"/>
    <w:rsid w:val="00F25784"/>
    <w:rsid w:val="00F260C2"/>
    <w:rsid w:val="00F264DE"/>
    <w:rsid w:val="00F2694D"/>
    <w:rsid w:val="00F26EB5"/>
    <w:rsid w:val="00F272CD"/>
    <w:rsid w:val="00F275FC"/>
    <w:rsid w:val="00F30397"/>
    <w:rsid w:val="00F30F56"/>
    <w:rsid w:val="00F3120E"/>
    <w:rsid w:val="00F31968"/>
    <w:rsid w:val="00F31CF5"/>
    <w:rsid w:val="00F31E60"/>
    <w:rsid w:val="00F34037"/>
    <w:rsid w:val="00F34322"/>
    <w:rsid w:val="00F343EA"/>
    <w:rsid w:val="00F34770"/>
    <w:rsid w:val="00F34BA5"/>
    <w:rsid w:val="00F34DD2"/>
    <w:rsid w:val="00F356CC"/>
    <w:rsid w:val="00F35FDF"/>
    <w:rsid w:val="00F36370"/>
    <w:rsid w:val="00F36FEB"/>
    <w:rsid w:val="00F373D1"/>
    <w:rsid w:val="00F377AD"/>
    <w:rsid w:val="00F377FC"/>
    <w:rsid w:val="00F408CA"/>
    <w:rsid w:val="00F40B8A"/>
    <w:rsid w:val="00F41165"/>
    <w:rsid w:val="00F41382"/>
    <w:rsid w:val="00F41881"/>
    <w:rsid w:val="00F41A6A"/>
    <w:rsid w:val="00F41EB0"/>
    <w:rsid w:val="00F43C59"/>
    <w:rsid w:val="00F4487B"/>
    <w:rsid w:val="00F45147"/>
    <w:rsid w:val="00F45C9E"/>
    <w:rsid w:val="00F45E60"/>
    <w:rsid w:val="00F47BC8"/>
    <w:rsid w:val="00F5031B"/>
    <w:rsid w:val="00F50E3C"/>
    <w:rsid w:val="00F51462"/>
    <w:rsid w:val="00F5151B"/>
    <w:rsid w:val="00F53914"/>
    <w:rsid w:val="00F54524"/>
    <w:rsid w:val="00F54717"/>
    <w:rsid w:val="00F5480C"/>
    <w:rsid w:val="00F54A42"/>
    <w:rsid w:val="00F54AA9"/>
    <w:rsid w:val="00F54CBE"/>
    <w:rsid w:val="00F551D3"/>
    <w:rsid w:val="00F55686"/>
    <w:rsid w:val="00F5575C"/>
    <w:rsid w:val="00F55789"/>
    <w:rsid w:val="00F55BB0"/>
    <w:rsid w:val="00F5763E"/>
    <w:rsid w:val="00F57EC3"/>
    <w:rsid w:val="00F57FAC"/>
    <w:rsid w:val="00F607CD"/>
    <w:rsid w:val="00F60EF4"/>
    <w:rsid w:val="00F60FE9"/>
    <w:rsid w:val="00F61777"/>
    <w:rsid w:val="00F61C91"/>
    <w:rsid w:val="00F6223D"/>
    <w:rsid w:val="00F63617"/>
    <w:rsid w:val="00F63A2F"/>
    <w:rsid w:val="00F64325"/>
    <w:rsid w:val="00F64989"/>
    <w:rsid w:val="00F64AEA"/>
    <w:rsid w:val="00F654D0"/>
    <w:rsid w:val="00F65510"/>
    <w:rsid w:val="00F6604A"/>
    <w:rsid w:val="00F6644F"/>
    <w:rsid w:val="00F66899"/>
    <w:rsid w:val="00F66BA7"/>
    <w:rsid w:val="00F67037"/>
    <w:rsid w:val="00F6705D"/>
    <w:rsid w:val="00F67BC4"/>
    <w:rsid w:val="00F70BD0"/>
    <w:rsid w:val="00F710E3"/>
    <w:rsid w:val="00F71120"/>
    <w:rsid w:val="00F71474"/>
    <w:rsid w:val="00F71593"/>
    <w:rsid w:val="00F71C03"/>
    <w:rsid w:val="00F71C19"/>
    <w:rsid w:val="00F71C99"/>
    <w:rsid w:val="00F7244D"/>
    <w:rsid w:val="00F72E57"/>
    <w:rsid w:val="00F7399A"/>
    <w:rsid w:val="00F739EC"/>
    <w:rsid w:val="00F75379"/>
    <w:rsid w:val="00F7545E"/>
    <w:rsid w:val="00F75A90"/>
    <w:rsid w:val="00F76312"/>
    <w:rsid w:val="00F76693"/>
    <w:rsid w:val="00F76AAB"/>
    <w:rsid w:val="00F76C78"/>
    <w:rsid w:val="00F76C91"/>
    <w:rsid w:val="00F772CF"/>
    <w:rsid w:val="00F777AD"/>
    <w:rsid w:val="00F77992"/>
    <w:rsid w:val="00F77A85"/>
    <w:rsid w:val="00F77CD0"/>
    <w:rsid w:val="00F803EA"/>
    <w:rsid w:val="00F80424"/>
    <w:rsid w:val="00F805B2"/>
    <w:rsid w:val="00F80840"/>
    <w:rsid w:val="00F80E5C"/>
    <w:rsid w:val="00F81067"/>
    <w:rsid w:val="00F8156B"/>
    <w:rsid w:val="00F81B43"/>
    <w:rsid w:val="00F81BC3"/>
    <w:rsid w:val="00F81D4B"/>
    <w:rsid w:val="00F82D55"/>
    <w:rsid w:val="00F83C19"/>
    <w:rsid w:val="00F83D1B"/>
    <w:rsid w:val="00F842E2"/>
    <w:rsid w:val="00F8538C"/>
    <w:rsid w:val="00F855F1"/>
    <w:rsid w:val="00F8592F"/>
    <w:rsid w:val="00F85EE1"/>
    <w:rsid w:val="00F864B1"/>
    <w:rsid w:val="00F86535"/>
    <w:rsid w:val="00F911F9"/>
    <w:rsid w:val="00F91805"/>
    <w:rsid w:val="00F927F6"/>
    <w:rsid w:val="00F92DD3"/>
    <w:rsid w:val="00F93478"/>
    <w:rsid w:val="00F93528"/>
    <w:rsid w:val="00F93B5B"/>
    <w:rsid w:val="00F93C8A"/>
    <w:rsid w:val="00F93CEF"/>
    <w:rsid w:val="00F9418D"/>
    <w:rsid w:val="00F947D4"/>
    <w:rsid w:val="00F9487E"/>
    <w:rsid w:val="00F94956"/>
    <w:rsid w:val="00F958BE"/>
    <w:rsid w:val="00F962DA"/>
    <w:rsid w:val="00F96509"/>
    <w:rsid w:val="00F9663E"/>
    <w:rsid w:val="00F96A0C"/>
    <w:rsid w:val="00F96AD3"/>
    <w:rsid w:val="00F9701E"/>
    <w:rsid w:val="00F970FB"/>
    <w:rsid w:val="00F97386"/>
    <w:rsid w:val="00F97511"/>
    <w:rsid w:val="00F97A81"/>
    <w:rsid w:val="00FA12AD"/>
    <w:rsid w:val="00FA1578"/>
    <w:rsid w:val="00FA1D17"/>
    <w:rsid w:val="00FA219B"/>
    <w:rsid w:val="00FA28B9"/>
    <w:rsid w:val="00FA2FF6"/>
    <w:rsid w:val="00FA33AB"/>
    <w:rsid w:val="00FA34FB"/>
    <w:rsid w:val="00FA383B"/>
    <w:rsid w:val="00FA38A3"/>
    <w:rsid w:val="00FA3AE2"/>
    <w:rsid w:val="00FA3C2A"/>
    <w:rsid w:val="00FA4047"/>
    <w:rsid w:val="00FA4C7E"/>
    <w:rsid w:val="00FA4DCD"/>
    <w:rsid w:val="00FA5089"/>
    <w:rsid w:val="00FA51D7"/>
    <w:rsid w:val="00FA5B0C"/>
    <w:rsid w:val="00FA62D2"/>
    <w:rsid w:val="00FA6534"/>
    <w:rsid w:val="00FA6860"/>
    <w:rsid w:val="00FA6913"/>
    <w:rsid w:val="00FA7AED"/>
    <w:rsid w:val="00FB07B1"/>
    <w:rsid w:val="00FB0C0E"/>
    <w:rsid w:val="00FB1141"/>
    <w:rsid w:val="00FB155E"/>
    <w:rsid w:val="00FB1BDE"/>
    <w:rsid w:val="00FB1E1F"/>
    <w:rsid w:val="00FB3243"/>
    <w:rsid w:val="00FB3697"/>
    <w:rsid w:val="00FB3D66"/>
    <w:rsid w:val="00FB402A"/>
    <w:rsid w:val="00FB46E6"/>
    <w:rsid w:val="00FB5669"/>
    <w:rsid w:val="00FB5B73"/>
    <w:rsid w:val="00FB61C2"/>
    <w:rsid w:val="00FB621C"/>
    <w:rsid w:val="00FB6A58"/>
    <w:rsid w:val="00FB7017"/>
    <w:rsid w:val="00FB794B"/>
    <w:rsid w:val="00FC00AA"/>
    <w:rsid w:val="00FC0493"/>
    <w:rsid w:val="00FC0CAE"/>
    <w:rsid w:val="00FC0FF1"/>
    <w:rsid w:val="00FC150B"/>
    <w:rsid w:val="00FC1CD6"/>
    <w:rsid w:val="00FC1FCF"/>
    <w:rsid w:val="00FC2A24"/>
    <w:rsid w:val="00FC2E51"/>
    <w:rsid w:val="00FC35DD"/>
    <w:rsid w:val="00FC3951"/>
    <w:rsid w:val="00FC3DD8"/>
    <w:rsid w:val="00FC3F6E"/>
    <w:rsid w:val="00FC4BB7"/>
    <w:rsid w:val="00FC4D2D"/>
    <w:rsid w:val="00FC530C"/>
    <w:rsid w:val="00FC5C01"/>
    <w:rsid w:val="00FC5C90"/>
    <w:rsid w:val="00FC6D78"/>
    <w:rsid w:val="00FC7191"/>
    <w:rsid w:val="00FC7FCA"/>
    <w:rsid w:val="00FD03D9"/>
    <w:rsid w:val="00FD03EC"/>
    <w:rsid w:val="00FD0716"/>
    <w:rsid w:val="00FD0BE8"/>
    <w:rsid w:val="00FD1399"/>
    <w:rsid w:val="00FD1520"/>
    <w:rsid w:val="00FD16C3"/>
    <w:rsid w:val="00FD1AEC"/>
    <w:rsid w:val="00FD1AF3"/>
    <w:rsid w:val="00FD1BF3"/>
    <w:rsid w:val="00FD1EEC"/>
    <w:rsid w:val="00FD1F0A"/>
    <w:rsid w:val="00FD246F"/>
    <w:rsid w:val="00FD271F"/>
    <w:rsid w:val="00FD28B0"/>
    <w:rsid w:val="00FD2A09"/>
    <w:rsid w:val="00FD2C02"/>
    <w:rsid w:val="00FD2EA8"/>
    <w:rsid w:val="00FD34F6"/>
    <w:rsid w:val="00FD4957"/>
    <w:rsid w:val="00FD5143"/>
    <w:rsid w:val="00FD5679"/>
    <w:rsid w:val="00FD6043"/>
    <w:rsid w:val="00FD60C1"/>
    <w:rsid w:val="00FD618B"/>
    <w:rsid w:val="00FD6243"/>
    <w:rsid w:val="00FD67A3"/>
    <w:rsid w:val="00FD70E9"/>
    <w:rsid w:val="00FD7533"/>
    <w:rsid w:val="00FD7E83"/>
    <w:rsid w:val="00FE0194"/>
    <w:rsid w:val="00FE01EF"/>
    <w:rsid w:val="00FE0207"/>
    <w:rsid w:val="00FE032D"/>
    <w:rsid w:val="00FE04A9"/>
    <w:rsid w:val="00FE062C"/>
    <w:rsid w:val="00FE0664"/>
    <w:rsid w:val="00FE0A5C"/>
    <w:rsid w:val="00FE0B45"/>
    <w:rsid w:val="00FE11AF"/>
    <w:rsid w:val="00FE14B5"/>
    <w:rsid w:val="00FE181F"/>
    <w:rsid w:val="00FE1B70"/>
    <w:rsid w:val="00FE22F9"/>
    <w:rsid w:val="00FE2486"/>
    <w:rsid w:val="00FE29B6"/>
    <w:rsid w:val="00FE2AA5"/>
    <w:rsid w:val="00FE2BA5"/>
    <w:rsid w:val="00FE380F"/>
    <w:rsid w:val="00FE38D9"/>
    <w:rsid w:val="00FE3A6A"/>
    <w:rsid w:val="00FE3A6F"/>
    <w:rsid w:val="00FE3E95"/>
    <w:rsid w:val="00FE4A03"/>
    <w:rsid w:val="00FE6144"/>
    <w:rsid w:val="00FE6A0C"/>
    <w:rsid w:val="00FE7463"/>
    <w:rsid w:val="00FE7941"/>
    <w:rsid w:val="00FE7A04"/>
    <w:rsid w:val="00FE7EAB"/>
    <w:rsid w:val="00FF008C"/>
    <w:rsid w:val="00FF02E3"/>
    <w:rsid w:val="00FF0F95"/>
    <w:rsid w:val="00FF10FB"/>
    <w:rsid w:val="00FF176E"/>
    <w:rsid w:val="00FF1F41"/>
    <w:rsid w:val="00FF23A7"/>
    <w:rsid w:val="00FF263E"/>
    <w:rsid w:val="00FF28BB"/>
    <w:rsid w:val="00FF3529"/>
    <w:rsid w:val="00FF3A5C"/>
    <w:rsid w:val="00FF3B8D"/>
    <w:rsid w:val="00FF3C3D"/>
    <w:rsid w:val="00FF490C"/>
    <w:rsid w:val="00FF4CCD"/>
    <w:rsid w:val="00FF518D"/>
    <w:rsid w:val="00FF5405"/>
    <w:rsid w:val="00FF58E5"/>
    <w:rsid w:val="00FF5B52"/>
    <w:rsid w:val="00FF6119"/>
    <w:rsid w:val="00FF6163"/>
    <w:rsid w:val="00FF6164"/>
    <w:rsid w:val="00FF6912"/>
    <w:rsid w:val="00FF756C"/>
    <w:rsid w:val="00FF7A82"/>
    <w:rsid w:val="01BCED47"/>
    <w:rsid w:val="0398410E"/>
    <w:rsid w:val="03A268E0"/>
    <w:rsid w:val="069843B5"/>
    <w:rsid w:val="086EF60A"/>
    <w:rsid w:val="0948720E"/>
    <w:rsid w:val="0A304062"/>
    <w:rsid w:val="0AF1DCB3"/>
    <w:rsid w:val="0B41744D"/>
    <w:rsid w:val="0D58D2DE"/>
    <w:rsid w:val="0D8D365A"/>
    <w:rsid w:val="0F8C0FB6"/>
    <w:rsid w:val="114F1834"/>
    <w:rsid w:val="1171225D"/>
    <w:rsid w:val="13C65F81"/>
    <w:rsid w:val="177D3B16"/>
    <w:rsid w:val="18F58F0C"/>
    <w:rsid w:val="19747FA9"/>
    <w:rsid w:val="1D691918"/>
    <w:rsid w:val="1F409202"/>
    <w:rsid w:val="1F7E406E"/>
    <w:rsid w:val="21406B98"/>
    <w:rsid w:val="22BBD94A"/>
    <w:rsid w:val="2374419A"/>
    <w:rsid w:val="23D3EEEF"/>
    <w:rsid w:val="24E1DBE9"/>
    <w:rsid w:val="251BEFCE"/>
    <w:rsid w:val="2527244A"/>
    <w:rsid w:val="257893EE"/>
    <w:rsid w:val="2615CEF9"/>
    <w:rsid w:val="262E0C84"/>
    <w:rsid w:val="26488EE3"/>
    <w:rsid w:val="2792E42A"/>
    <w:rsid w:val="2931C895"/>
    <w:rsid w:val="295220D9"/>
    <w:rsid w:val="295A9F18"/>
    <w:rsid w:val="2CBCFC2A"/>
    <w:rsid w:val="2E1599F0"/>
    <w:rsid w:val="2E937B77"/>
    <w:rsid w:val="31ED37F6"/>
    <w:rsid w:val="323263F8"/>
    <w:rsid w:val="33DC4232"/>
    <w:rsid w:val="3439A68D"/>
    <w:rsid w:val="344704D1"/>
    <w:rsid w:val="35E06EA8"/>
    <w:rsid w:val="36B2ABCA"/>
    <w:rsid w:val="383431D8"/>
    <w:rsid w:val="3A5F35A2"/>
    <w:rsid w:val="3AE2F883"/>
    <w:rsid w:val="3B96C2A9"/>
    <w:rsid w:val="3CB428B0"/>
    <w:rsid w:val="3D973C07"/>
    <w:rsid w:val="3DA90B47"/>
    <w:rsid w:val="3FF1C6D6"/>
    <w:rsid w:val="40EBB6E2"/>
    <w:rsid w:val="449EC657"/>
    <w:rsid w:val="44B27B20"/>
    <w:rsid w:val="4688FD8A"/>
    <w:rsid w:val="4BEBEB2E"/>
    <w:rsid w:val="4D39C7F0"/>
    <w:rsid w:val="4D4BA79B"/>
    <w:rsid w:val="4D502A05"/>
    <w:rsid w:val="4E577891"/>
    <w:rsid w:val="4E9DA268"/>
    <w:rsid w:val="4ECCBF25"/>
    <w:rsid w:val="4EECEC00"/>
    <w:rsid w:val="4F31CDDB"/>
    <w:rsid w:val="5079D4CD"/>
    <w:rsid w:val="513A609C"/>
    <w:rsid w:val="51AB9BC3"/>
    <w:rsid w:val="5294AE71"/>
    <w:rsid w:val="53920E80"/>
    <w:rsid w:val="541E0A66"/>
    <w:rsid w:val="54E2F1B2"/>
    <w:rsid w:val="5789696C"/>
    <w:rsid w:val="582F1A3A"/>
    <w:rsid w:val="5AFA66B6"/>
    <w:rsid w:val="5CBFA980"/>
    <w:rsid w:val="5E15F998"/>
    <w:rsid w:val="5E2BC0AF"/>
    <w:rsid w:val="5EA4C6E6"/>
    <w:rsid w:val="5EE18CAE"/>
    <w:rsid w:val="6197F14B"/>
    <w:rsid w:val="61FBD39B"/>
    <w:rsid w:val="6604B575"/>
    <w:rsid w:val="67E447B6"/>
    <w:rsid w:val="683A19AD"/>
    <w:rsid w:val="68559768"/>
    <w:rsid w:val="6872803B"/>
    <w:rsid w:val="68E2018A"/>
    <w:rsid w:val="6AD2594F"/>
    <w:rsid w:val="6AFBCD3E"/>
    <w:rsid w:val="6CA7CA9B"/>
    <w:rsid w:val="6DF71463"/>
    <w:rsid w:val="6F94EB79"/>
    <w:rsid w:val="74F5143D"/>
    <w:rsid w:val="7687DF8F"/>
    <w:rsid w:val="77642F9A"/>
    <w:rsid w:val="79E82B61"/>
    <w:rsid w:val="7C3ACC94"/>
    <w:rsid w:val="7D68D3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F37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8B0"/>
  </w:style>
  <w:style w:type="paragraph" w:styleId="Heading1">
    <w:name w:val="heading 1"/>
    <w:basedOn w:val="Normal"/>
    <w:next w:val="Normal"/>
    <w:link w:val="Heading1Char"/>
    <w:uiPriority w:val="9"/>
    <w:qFormat/>
    <w:rsid w:val="00D46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6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6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46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46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46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46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46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46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6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6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46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46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46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D4654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D46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46547"/>
    <w:rPr>
      <w:rFonts w:eastAsiaTheme="majorEastAsia" w:cstheme="majorBidi"/>
      <w:color w:val="272727" w:themeColor="text1" w:themeTint="D8"/>
    </w:rPr>
  </w:style>
  <w:style w:type="paragraph" w:styleId="Title">
    <w:name w:val="Title"/>
    <w:basedOn w:val="Normal"/>
    <w:next w:val="Normal"/>
    <w:link w:val="TitleChar"/>
    <w:uiPriority w:val="10"/>
    <w:qFormat/>
    <w:rsid w:val="00D46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547"/>
    <w:pPr>
      <w:spacing w:before="160"/>
      <w:jc w:val="center"/>
    </w:pPr>
    <w:rPr>
      <w:i/>
      <w:iCs/>
      <w:color w:val="404040" w:themeColor="text1" w:themeTint="BF"/>
    </w:rPr>
  </w:style>
  <w:style w:type="character" w:customStyle="1" w:styleId="QuoteChar">
    <w:name w:val="Quote Char"/>
    <w:basedOn w:val="DefaultParagraphFont"/>
    <w:link w:val="Quote"/>
    <w:uiPriority w:val="29"/>
    <w:rsid w:val="00D46547"/>
    <w:rPr>
      <w:i/>
      <w:iCs/>
      <w:color w:val="404040" w:themeColor="text1" w:themeTint="BF"/>
    </w:rPr>
  </w:style>
  <w:style w:type="paragraph" w:styleId="ListParagraph">
    <w:name w:val="List Paragraph"/>
    <w:aliases w:val="1 heading,Bullet point,Bullets,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D46547"/>
    <w:pPr>
      <w:ind w:left="720"/>
      <w:contextualSpacing/>
    </w:pPr>
  </w:style>
  <w:style w:type="character" w:styleId="IntenseEmphasis">
    <w:name w:val="Intense Emphasis"/>
    <w:basedOn w:val="DefaultParagraphFont"/>
    <w:uiPriority w:val="21"/>
    <w:qFormat/>
    <w:rsid w:val="00D46547"/>
    <w:rPr>
      <w:i/>
      <w:iCs/>
      <w:color w:val="0F4761" w:themeColor="accent1" w:themeShade="BF"/>
    </w:rPr>
  </w:style>
  <w:style w:type="paragraph" w:styleId="IntenseQuote">
    <w:name w:val="Intense Quote"/>
    <w:basedOn w:val="Normal"/>
    <w:next w:val="Normal"/>
    <w:link w:val="IntenseQuoteChar"/>
    <w:uiPriority w:val="30"/>
    <w:qFormat/>
    <w:rsid w:val="00D46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547"/>
    <w:rPr>
      <w:i/>
      <w:iCs/>
      <w:color w:val="0F4761" w:themeColor="accent1" w:themeShade="BF"/>
    </w:rPr>
  </w:style>
  <w:style w:type="character" w:styleId="IntenseReference">
    <w:name w:val="Intense Reference"/>
    <w:basedOn w:val="DefaultParagraphFont"/>
    <w:uiPriority w:val="32"/>
    <w:qFormat/>
    <w:rsid w:val="00D46547"/>
    <w:rPr>
      <w:b/>
      <w:bCs/>
      <w:smallCaps/>
      <w:color w:val="0F4761" w:themeColor="accent1" w:themeShade="BF"/>
      <w:spacing w:val="5"/>
    </w:rPr>
  </w:style>
  <w:style w:type="paragraph" w:styleId="TOCHeading">
    <w:name w:val="TOC Heading"/>
    <w:basedOn w:val="Heading1"/>
    <w:next w:val="Normal"/>
    <w:uiPriority w:val="39"/>
    <w:unhideWhenUsed/>
    <w:qFormat/>
    <w:rsid w:val="00D46547"/>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7672F0"/>
    <w:pPr>
      <w:tabs>
        <w:tab w:val="right" w:leader="dot" w:pos="9016"/>
      </w:tabs>
      <w:spacing w:after="100"/>
    </w:pPr>
  </w:style>
  <w:style w:type="paragraph" w:styleId="TOC1">
    <w:name w:val="toc 1"/>
    <w:basedOn w:val="Normal"/>
    <w:next w:val="Normal"/>
    <w:autoRedefine/>
    <w:uiPriority w:val="39"/>
    <w:unhideWhenUsed/>
    <w:rsid w:val="00D46547"/>
    <w:pPr>
      <w:spacing w:after="100"/>
    </w:pPr>
  </w:style>
  <w:style w:type="character" w:styleId="Hyperlink">
    <w:name w:val="Hyperlink"/>
    <w:basedOn w:val="DefaultParagraphFont"/>
    <w:uiPriority w:val="99"/>
    <w:unhideWhenUsed/>
    <w:rsid w:val="00D46547"/>
    <w:rPr>
      <w:color w:val="467886" w:themeColor="hyperlink"/>
      <w:u w:val="single"/>
    </w:rPr>
  </w:style>
  <w:style w:type="paragraph" w:styleId="FootnoteText">
    <w:name w:val="footnote text"/>
    <w:basedOn w:val="Normal"/>
    <w:link w:val="FootnoteTextChar"/>
    <w:uiPriority w:val="99"/>
    <w:semiHidden/>
    <w:unhideWhenUsed/>
    <w:rsid w:val="00D465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6547"/>
    <w:rPr>
      <w:sz w:val="20"/>
      <w:szCs w:val="20"/>
    </w:rPr>
  </w:style>
  <w:style w:type="character" w:styleId="FootnoteReference">
    <w:name w:val="footnote reference"/>
    <w:basedOn w:val="DefaultParagraphFont"/>
    <w:uiPriority w:val="99"/>
    <w:semiHidden/>
    <w:unhideWhenUsed/>
    <w:rsid w:val="00D46547"/>
    <w:rPr>
      <w:vertAlign w:val="superscript"/>
    </w:rPr>
  </w:style>
  <w:style w:type="character" w:styleId="UnresolvedMention">
    <w:name w:val="Unresolved Mention"/>
    <w:basedOn w:val="DefaultParagraphFont"/>
    <w:uiPriority w:val="99"/>
    <w:semiHidden/>
    <w:unhideWhenUsed/>
    <w:rsid w:val="00D46547"/>
    <w:rPr>
      <w:color w:val="605E5C"/>
      <w:shd w:val="clear" w:color="auto" w:fill="E1DFDD"/>
    </w:rPr>
  </w:style>
  <w:style w:type="paragraph" w:customStyle="1" w:styleId="Body">
    <w:name w:val="Body"/>
    <w:basedOn w:val="Normal"/>
    <w:rsid w:val="009A02BE"/>
    <w:pPr>
      <w:spacing w:after="200"/>
    </w:pPr>
    <w:rPr>
      <w:rFonts w:ascii="Calibri" w:hAnsi="Calibri" w:cs="Calibri"/>
      <w:color w:val="000000" w:themeColor="text1"/>
      <w:szCs w:val="18"/>
    </w:rPr>
  </w:style>
  <w:style w:type="character" w:styleId="CommentReference">
    <w:name w:val="annotation reference"/>
    <w:basedOn w:val="DefaultParagraphFont"/>
    <w:uiPriority w:val="99"/>
    <w:semiHidden/>
    <w:unhideWhenUsed/>
    <w:rsid w:val="00FA219B"/>
    <w:rPr>
      <w:sz w:val="16"/>
      <w:szCs w:val="16"/>
    </w:rPr>
  </w:style>
  <w:style w:type="paragraph" w:styleId="CommentText">
    <w:name w:val="annotation text"/>
    <w:basedOn w:val="Normal"/>
    <w:link w:val="CommentTextChar"/>
    <w:uiPriority w:val="99"/>
    <w:unhideWhenUsed/>
    <w:rsid w:val="00FA219B"/>
    <w:pPr>
      <w:spacing w:line="240" w:lineRule="auto"/>
    </w:pPr>
    <w:rPr>
      <w:rFonts w:eastAsiaTheme="minorEastAsia"/>
      <w:kern w:val="0"/>
      <w:sz w:val="20"/>
      <w:szCs w:val="20"/>
      <w:lang w:val="en-US" w:eastAsia="ja-JP"/>
      <w14:ligatures w14:val="none"/>
    </w:rPr>
  </w:style>
  <w:style w:type="character" w:customStyle="1" w:styleId="CommentTextChar">
    <w:name w:val="Comment Text Char"/>
    <w:basedOn w:val="DefaultParagraphFont"/>
    <w:link w:val="CommentText"/>
    <w:uiPriority w:val="99"/>
    <w:rsid w:val="00FA219B"/>
    <w:rPr>
      <w:rFonts w:eastAsiaTheme="minorEastAsia"/>
      <w:kern w:val="0"/>
      <w:sz w:val="20"/>
      <w:szCs w:val="20"/>
      <w:lang w:val="en-US" w:eastAsia="ja-JP"/>
      <w14:ligatures w14:val="none"/>
    </w:rPr>
  </w:style>
  <w:style w:type="paragraph" w:styleId="BodyText">
    <w:name w:val="Body Text"/>
    <w:basedOn w:val="Normal"/>
    <w:link w:val="BodyTextChar"/>
    <w:uiPriority w:val="4"/>
    <w:qFormat/>
    <w:rsid w:val="00FA219B"/>
    <w:pPr>
      <w:widowControl w:val="0"/>
      <w:spacing w:before="120" w:after="120" w:line="320" w:lineRule="atLeast"/>
    </w:pPr>
    <w:rPr>
      <w:rFonts w:cs="Times New Roman"/>
      <w:color w:val="000000" w:themeColor="text1"/>
      <w:kern w:val="0"/>
      <w14:ligatures w14:val="none"/>
    </w:rPr>
  </w:style>
  <w:style w:type="character" w:customStyle="1" w:styleId="BodyTextChar">
    <w:name w:val="Body Text Char"/>
    <w:basedOn w:val="DefaultParagraphFont"/>
    <w:link w:val="BodyText"/>
    <w:uiPriority w:val="4"/>
    <w:rsid w:val="00FA219B"/>
    <w:rPr>
      <w:rFonts w:cs="Times New Roman"/>
      <w:color w:val="000000" w:themeColor="text1"/>
      <w:kern w:val="0"/>
      <w14:ligatures w14:val="none"/>
    </w:rPr>
  </w:style>
  <w:style w:type="paragraph" w:customStyle="1" w:styleId="TableHeading">
    <w:name w:val="Table Heading"/>
    <w:basedOn w:val="Normal"/>
    <w:uiPriority w:val="10"/>
    <w:qFormat/>
    <w:rsid w:val="004568B4"/>
    <w:pPr>
      <w:spacing w:before="60" w:after="60" w:line="220" w:lineRule="atLeast"/>
      <w:jc w:val="center"/>
    </w:pPr>
    <w:rPr>
      <w:rFonts w:asciiTheme="majorHAnsi" w:hAnsiTheme="majorHAnsi" w:cs="Times New Roman"/>
      <w:b/>
      <w:color w:val="000000" w:themeColor="text1"/>
      <w:kern w:val="0"/>
      <w:sz w:val="20"/>
      <w14:ligatures w14:val="none"/>
    </w:rPr>
  </w:style>
  <w:style w:type="paragraph" w:customStyle="1" w:styleId="TableText">
    <w:name w:val="Table Text"/>
    <w:basedOn w:val="TableHeading"/>
    <w:uiPriority w:val="11"/>
    <w:qFormat/>
    <w:rsid w:val="004568B4"/>
    <w:pPr>
      <w:jc w:val="right"/>
    </w:pPr>
    <w:rPr>
      <w:b w:val="0"/>
    </w:rPr>
  </w:style>
  <w:style w:type="table" w:customStyle="1" w:styleId="SynergiesTable">
    <w:name w:val="Synergies Table"/>
    <w:basedOn w:val="TableNormal"/>
    <w:uiPriority w:val="99"/>
    <w:rsid w:val="004568B4"/>
    <w:pPr>
      <w:spacing w:after="0" w:line="240" w:lineRule="auto"/>
    </w:pPr>
    <w:rPr>
      <w:rFonts w:asciiTheme="majorHAnsi" w:hAnsiTheme="majorHAnsi" w:cs="Times New Roman"/>
      <w:color w:val="000000" w:themeColor="text1"/>
      <w:kern w:val="0"/>
      <w:sz w:val="16"/>
      <w14:ligatures w14:val="none"/>
    </w:rPr>
    <w:tblPr>
      <w:tblBorders>
        <w:bottom w:val="single" w:sz="4" w:space="0" w:color="BFBFBF" w:themeColor="background1" w:themeShade="BF"/>
      </w:tblBorders>
      <w:tblCellMar>
        <w:top w:w="28" w:type="dxa"/>
        <w:left w:w="85" w:type="dxa"/>
        <w:bottom w:w="28" w:type="dxa"/>
        <w:right w:w="85" w:type="dxa"/>
      </w:tblCellMar>
    </w:tblPr>
    <w:tblStylePr w:type="firstRow">
      <w:rPr>
        <w:rFonts w:asciiTheme="majorHAnsi" w:hAnsiTheme="majorHAnsi"/>
        <w:b w:val="0"/>
        <w:caps w:val="0"/>
        <w:smallCaps w:val="0"/>
        <w:color w:val="000000" w:themeColor="text1"/>
        <w:sz w:val="18"/>
      </w:rPr>
      <w:tblPr/>
      <w:trPr>
        <w:tblHeader/>
      </w:trPr>
      <w:tcPr>
        <w:shd w:val="clear" w:color="auto" w:fill="D9D9D9" w:themeFill="background1" w:themeFillShade="D9"/>
      </w:tcPr>
    </w:tblStylePr>
  </w:style>
  <w:style w:type="paragraph" w:customStyle="1" w:styleId="Source">
    <w:name w:val="Source"/>
    <w:basedOn w:val="Normal"/>
    <w:next w:val="BodyText"/>
    <w:uiPriority w:val="99"/>
    <w:qFormat/>
    <w:rsid w:val="004568B4"/>
    <w:pPr>
      <w:spacing w:before="60" w:after="120" w:line="200" w:lineRule="atLeast"/>
    </w:pPr>
    <w:rPr>
      <w:rFonts w:asciiTheme="majorHAnsi" w:hAnsiTheme="majorHAnsi" w:cs="Times New Roman"/>
      <w:color w:val="000000" w:themeColor="text1"/>
      <w:kern w:val="0"/>
      <w:sz w:val="16"/>
      <w14:ligatures w14:val="none"/>
    </w:rPr>
  </w:style>
  <w:style w:type="paragraph" w:styleId="NormalWeb">
    <w:name w:val="Normal (Web)"/>
    <w:basedOn w:val="Normal"/>
    <w:uiPriority w:val="99"/>
    <w:semiHidden/>
    <w:unhideWhenUsed/>
    <w:rsid w:val="00F16DCB"/>
    <w:rPr>
      <w:rFonts w:ascii="Times New Roman" w:hAnsi="Times New Roman" w:cs="Times New Roman"/>
      <w:sz w:val="24"/>
      <w:szCs w:val="24"/>
    </w:rPr>
  </w:style>
  <w:style w:type="character" w:customStyle="1" w:styleId="ListParagraphChar">
    <w:name w:val="List Paragraph Char"/>
    <w:aliases w:val="1 heading Char,Bullet point Char,Bullets Char,CV text Char,Dot pt Char,F5 List Paragraph Char,FooterText Char,L Char,List Paragraph1 Char,List Paragraph11 Char,List Paragraph111 Char,List Paragraph2 Char,NAST Quote Char,列 Char"/>
    <w:basedOn w:val="DefaultParagraphFont"/>
    <w:link w:val="ListParagraph"/>
    <w:uiPriority w:val="34"/>
    <w:qFormat/>
    <w:locked/>
    <w:rsid w:val="00F16DCB"/>
  </w:style>
  <w:style w:type="character" w:styleId="Mention">
    <w:name w:val="Mention"/>
    <w:basedOn w:val="DefaultParagraphFont"/>
    <w:uiPriority w:val="99"/>
    <w:unhideWhenUsed/>
    <w:rsid w:val="008E4FC6"/>
    <w:rPr>
      <w:color w:val="2B579A"/>
      <w:shd w:val="clear" w:color="auto" w:fill="E1DFDD"/>
    </w:rPr>
  </w:style>
  <w:style w:type="paragraph" w:styleId="Header">
    <w:name w:val="header"/>
    <w:basedOn w:val="Normal"/>
    <w:link w:val="HeaderChar"/>
    <w:uiPriority w:val="99"/>
    <w:unhideWhenUsed/>
    <w:rsid w:val="008E4F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FC6"/>
  </w:style>
  <w:style w:type="paragraph" w:styleId="Footer">
    <w:name w:val="footer"/>
    <w:basedOn w:val="Normal"/>
    <w:link w:val="FooterChar"/>
    <w:uiPriority w:val="99"/>
    <w:unhideWhenUsed/>
    <w:rsid w:val="008E4F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FC6"/>
  </w:style>
  <w:style w:type="paragraph" w:styleId="CommentSubject">
    <w:name w:val="annotation subject"/>
    <w:basedOn w:val="CommentText"/>
    <w:next w:val="CommentText"/>
    <w:link w:val="CommentSubjectChar"/>
    <w:uiPriority w:val="99"/>
    <w:semiHidden/>
    <w:unhideWhenUsed/>
    <w:rsid w:val="00612C7E"/>
    <w:rPr>
      <w:rFonts w:eastAsiaTheme="minorHAnsi"/>
      <w:b/>
      <w:bCs/>
      <w:kern w:val="2"/>
      <w:lang w:val="en-AU" w:eastAsia="en-US"/>
      <w14:ligatures w14:val="standardContextual"/>
    </w:rPr>
  </w:style>
  <w:style w:type="character" w:customStyle="1" w:styleId="CommentSubjectChar">
    <w:name w:val="Comment Subject Char"/>
    <w:basedOn w:val="CommentTextChar"/>
    <w:link w:val="CommentSubject"/>
    <w:uiPriority w:val="99"/>
    <w:semiHidden/>
    <w:rsid w:val="00612C7E"/>
    <w:rPr>
      <w:rFonts w:eastAsiaTheme="minorEastAsia"/>
      <w:b/>
      <w:bCs/>
      <w:kern w:val="0"/>
      <w:sz w:val="20"/>
      <w:szCs w:val="20"/>
      <w:lang w:val="en-US" w:eastAsia="ja-JP"/>
      <w14:ligatures w14:val="none"/>
    </w:rPr>
  </w:style>
  <w:style w:type="table" w:styleId="TableGridLight">
    <w:name w:val="Grid Table Light"/>
    <w:basedOn w:val="TableNormal"/>
    <w:uiPriority w:val="40"/>
    <w:rsid w:val="00F363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E157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C75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AB343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970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4EB0"/>
    <w:pPr>
      <w:spacing w:after="0" w:line="240" w:lineRule="auto"/>
    </w:pPr>
  </w:style>
  <w:style w:type="paragraph" w:customStyle="1" w:styleId="CoverTitle">
    <w:name w:val="Cover Title"/>
    <w:basedOn w:val="NoSpacing"/>
    <w:uiPriority w:val="11"/>
    <w:qFormat/>
    <w:rsid w:val="009331AD"/>
    <w:pPr>
      <w:spacing w:before="40" w:after="560" w:line="216" w:lineRule="auto"/>
      <w:contextualSpacing/>
    </w:pPr>
    <w:rPr>
      <w:rFonts w:asciiTheme="majorHAnsi" w:hAnsiTheme="majorHAnsi"/>
      <w:b/>
      <w:color w:val="FFFFFF" w:themeColor="background1"/>
      <w:sz w:val="120"/>
      <w:szCs w:val="72"/>
    </w:rPr>
  </w:style>
  <w:style w:type="paragraph" w:customStyle="1" w:styleId="CoverByline">
    <w:name w:val="Cover Byline"/>
    <w:basedOn w:val="NoSpacing"/>
    <w:uiPriority w:val="11"/>
    <w:qFormat/>
    <w:rsid w:val="009331AD"/>
    <w:pPr>
      <w:spacing w:after="360" w:line="259" w:lineRule="auto"/>
      <w:contextualSpacing/>
    </w:pPr>
    <w:rPr>
      <w:rFonts w:asciiTheme="majorHAnsi" w:hAnsiTheme="majorHAnsi"/>
      <w:b/>
      <w:color w:val="FFFFFF" w:themeColor="background1"/>
      <w:sz w:val="44"/>
      <w:szCs w:val="28"/>
    </w:rPr>
  </w:style>
  <w:style w:type="paragraph" w:styleId="NoSpacing">
    <w:name w:val="No Spacing"/>
    <w:uiPriority w:val="1"/>
    <w:qFormat/>
    <w:rsid w:val="009331AD"/>
    <w:pPr>
      <w:spacing w:after="0" w:line="240" w:lineRule="auto"/>
    </w:pPr>
  </w:style>
  <w:style w:type="paragraph" w:styleId="ListBullet">
    <w:name w:val="List Bullet"/>
    <w:basedOn w:val="Normal"/>
    <w:uiPriority w:val="99"/>
    <w:unhideWhenUsed/>
    <w:rsid w:val="004C20A9"/>
    <w:pPr>
      <w:numPr>
        <w:numId w:val="3"/>
      </w:numPr>
      <w:spacing w:after="200" w:line="276" w:lineRule="auto"/>
      <w:contextualSpacing/>
    </w:pPr>
    <w:rPr>
      <w:rFonts w:eastAsiaTheme="minorEastAsia"/>
      <w:kern w:val="0"/>
      <w:lang w:val="en-US"/>
      <w14:ligatures w14:val="none"/>
    </w:rPr>
  </w:style>
  <w:style w:type="paragraph" w:styleId="Caption">
    <w:name w:val="caption"/>
    <w:basedOn w:val="Normal"/>
    <w:next w:val="Normal"/>
    <w:uiPriority w:val="35"/>
    <w:unhideWhenUsed/>
    <w:qFormat/>
    <w:rsid w:val="00FA28B9"/>
    <w:pPr>
      <w:spacing w:line="240" w:lineRule="auto"/>
    </w:pPr>
    <w:rPr>
      <w:rFonts w:ascii="Calibri" w:hAnsi="Calibri" w:cs="Calibri"/>
      <w:iCs/>
      <w:color w:val="000000" w:themeColor="text1"/>
      <w:sz w:val="18"/>
      <w:szCs w:val="18"/>
    </w:rPr>
  </w:style>
  <w:style w:type="paragraph" w:styleId="TOC3">
    <w:name w:val="toc 3"/>
    <w:basedOn w:val="Normal"/>
    <w:next w:val="Normal"/>
    <w:autoRedefine/>
    <w:uiPriority w:val="39"/>
    <w:unhideWhenUsed/>
    <w:rsid w:val="00116416"/>
    <w:pPr>
      <w:tabs>
        <w:tab w:val="right" w:leader="dot" w:pos="9016"/>
      </w:tabs>
      <w:spacing w:after="100"/>
      <w:ind w:left="440"/>
    </w:pPr>
    <w:rPr>
      <w:rFonts w:ascii="Calibri" w:hAnsi="Calibri" w:cs="Calibri"/>
      <w:iCs/>
      <w:noProof/>
    </w:rPr>
  </w:style>
  <w:style w:type="table" w:styleId="PlainTable3">
    <w:name w:val="Plain Table 3"/>
    <w:basedOn w:val="TableNormal"/>
    <w:uiPriority w:val="43"/>
    <w:rsid w:val="00C065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E85FAA"/>
    <w:rPr>
      <w:b/>
      <w:bCs/>
    </w:rPr>
  </w:style>
  <w:style w:type="character" w:styleId="Emphasis">
    <w:name w:val="Emphasis"/>
    <w:basedOn w:val="DefaultParagraphFont"/>
    <w:uiPriority w:val="20"/>
    <w:qFormat/>
    <w:rsid w:val="006E094D"/>
    <w:rPr>
      <w:i/>
      <w:iCs/>
    </w:rPr>
  </w:style>
  <w:style w:type="table" w:styleId="PlainTable4">
    <w:name w:val="Plain Table 4"/>
    <w:basedOn w:val="TableNormal"/>
    <w:uiPriority w:val="44"/>
    <w:rsid w:val="009D0A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9732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ph">
    <w:name w:val="paragraph"/>
    <w:basedOn w:val="Normal"/>
    <w:rsid w:val="0004255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04255E"/>
  </w:style>
  <w:style w:type="character" w:customStyle="1" w:styleId="eop">
    <w:name w:val="eop"/>
    <w:basedOn w:val="DefaultParagraphFont"/>
    <w:rsid w:val="0004255E"/>
  </w:style>
  <w:style w:type="character" w:styleId="FollowedHyperlink">
    <w:name w:val="FollowedHyperlink"/>
    <w:basedOn w:val="DefaultParagraphFont"/>
    <w:uiPriority w:val="99"/>
    <w:semiHidden/>
    <w:unhideWhenUsed/>
    <w:rsid w:val="003726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808">
      <w:bodyDiv w:val="1"/>
      <w:marLeft w:val="0"/>
      <w:marRight w:val="0"/>
      <w:marTop w:val="0"/>
      <w:marBottom w:val="0"/>
      <w:divBdr>
        <w:top w:val="none" w:sz="0" w:space="0" w:color="auto"/>
        <w:left w:val="none" w:sz="0" w:space="0" w:color="auto"/>
        <w:bottom w:val="none" w:sz="0" w:space="0" w:color="auto"/>
        <w:right w:val="none" w:sz="0" w:space="0" w:color="auto"/>
      </w:divBdr>
    </w:div>
    <w:div w:id="65080053">
      <w:bodyDiv w:val="1"/>
      <w:marLeft w:val="0"/>
      <w:marRight w:val="0"/>
      <w:marTop w:val="0"/>
      <w:marBottom w:val="0"/>
      <w:divBdr>
        <w:top w:val="none" w:sz="0" w:space="0" w:color="auto"/>
        <w:left w:val="none" w:sz="0" w:space="0" w:color="auto"/>
        <w:bottom w:val="none" w:sz="0" w:space="0" w:color="auto"/>
        <w:right w:val="none" w:sz="0" w:space="0" w:color="auto"/>
      </w:divBdr>
    </w:div>
    <w:div w:id="121115626">
      <w:bodyDiv w:val="1"/>
      <w:marLeft w:val="0"/>
      <w:marRight w:val="0"/>
      <w:marTop w:val="0"/>
      <w:marBottom w:val="0"/>
      <w:divBdr>
        <w:top w:val="none" w:sz="0" w:space="0" w:color="auto"/>
        <w:left w:val="none" w:sz="0" w:space="0" w:color="auto"/>
        <w:bottom w:val="none" w:sz="0" w:space="0" w:color="auto"/>
        <w:right w:val="none" w:sz="0" w:space="0" w:color="auto"/>
      </w:divBdr>
    </w:div>
    <w:div w:id="157964698">
      <w:bodyDiv w:val="1"/>
      <w:marLeft w:val="0"/>
      <w:marRight w:val="0"/>
      <w:marTop w:val="0"/>
      <w:marBottom w:val="0"/>
      <w:divBdr>
        <w:top w:val="none" w:sz="0" w:space="0" w:color="auto"/>
        <w:left w:val="none" w:sz="0" w:space="0" w:color="auto"/>
        <w:bottom w:val="none" w:sz="0" w:space="0" w:color="auto"/>
        <w:right w:val="none" w:sz="0" w:space="0" w:color="auto"/>
      </w:divBdr>
    </w:div>
    <w:div w:id="235289347">
      <w:bodyDiv w:val="1"/>
      <w:marLeft w:val="0"/>
      <w:marRight w:val="0"/>
      <w:marTop w:val="0"/>
      <w:marBottom w:val="0"/>
      <w:divBdr>
        <w:top w:val="none" w:sz="0" w:space="0" w:color="auto"/>
        <w:left w:val="none" w:sz="0" w:space="0" w:color="auto"/>
        <w:bottom w:val="none" w:sz="0" w:space="0" w:color="auto"/>
        <w:right w:val="none" w:sz="0" w:space="0" w:color="auto"/>
      </w:divBdr>
    </w:div>
    <w:div w:id="246770044">
      <w:bodyDiv w:val="1"/>
      <w:marLeft w:val="0"/>
      <w:marRight w:val="0"/>
      <w:marTop w:val="0"/>
      <w:marBottom w:val="0"/>
      <w:divBdr>
        <w:top w:val="none" w:sz="0" w:space="0" w:color="auto"/>
        <w:left w:val="none" w:sz="0" w:space="0" w:color="auto"/>
        <w:bottom w:val="none" w:sz="0" w:space="0" w:color="auto"/>
        <w:right w:val="none" w:sz="0" w:space="0" w:color="auto"/>
      </w:divBdr>
    </w:div>
    <w:div w:id="256207659">
      <w:bodyDiv w:val="1"/>
      <w:marLeft w:val="0"/>
      <w:marRight w:val="0"/>
      <w:marTop w:val="0"/>
      <w:marBottom w:val="0"/>
      <w:divBdr>
        <w:top w:val="none" w:sz="0" w:space="0" w:color="auto"/>
        <w:left w:val="none" w:sz="0" w:space="0" w:color="auto"/>
        <w:bottom w:val="none" w:sz="0" w:space="0" w:color="auto"/>
        <w:right w:val="none" w:sz="0" w:space="0" w:color="auto"/>
      </w:divBdr>
    </w:div>
    <w:div w:id="280691353">
      <w:bodyDiv w:val="1"/>
      <w:marLeft w:val="0"/>
      <w:marRight w:val="0"/>
      <w:marTop w:val="0"/>
      <w:marBottom w:val="0"/>
      <w:divBdr>
        <w:top w:val="none" w:sz="0" w:space="0" w:color="auto"/>
        <w:left w:val="none" w:sz="0" w:space="0" w:color="auto"/>
        <w:bottom w:val="none" w:sz="0" w:space="0" w:color="auto"/>
        <w:right w:val="none" w:sz="0" w:space="0" w:color="auto"/>
      </w:divBdr>
    </w:div>
    <w:div w:id="283927855">
      <w:bodyDiv w:val="1"/>
      <w:marLeft w:val="0"/>
      <w:marRight w:val="0"/>
      <w:marTop w:val="0"/>
      <w:marBottom w:val="0"/>
      <w:divBdr>
        <w:top w:val="none" w:sz="0" w:space="0" w:color="auto"/>
        <w:left w:val="none" w:sz="0" w:space="0" w:color="auto"/>
        <w:bottom w:val="none" w:sz="0" w:space="0" w:color="auto"/>
        <w:right w:val="none" w:sz="0" w:space="0" w:color="auto"/>
      </w:divBdr>
    </w:div>
    <w:div w:id="320743725">
      <w:bodyDiv w:val="1"/>
      <w:marLeft w:val="0"/>
      <w:marRight w:val="0"/>
      <w:marTop w:val="0"/>
      <w:marBottom w:val="0"/>
      <w:divBdr>
        <w:top w:val="none" w:sz="0" w:space="0" w:color="auto"/>
        <w:left w:val="none" w:sz="0" w:space="0" w:color="auto"/>
        <w:bottom w:val="none" w:sz="0" w:space="0" w:color="auto"/>
        <w:right w:val="none" w:sz="0" w:space="0" w:color="auto"/>
      </w:divBdr>
    </w:div>
    <w:div w:id="340744280">
      <w:bodyDiv w:val="1"/>
      <w:marLeft w:val="0"/>
      <w:marRight w:val="0"/>
      <w:marTop w:val="0"/>
      <w:marBottom w:val="0"/>
      <w:divBdr>
        <w:top w:val="none" w:sz="0" w:space="0" w:color="auto"/>
        <w:left w:val="none" w:sz="0" w:space="0" w:color="auto"/>
        <w:bottom w:val="none" w:sz="0" w:space="0" w:color="auto"/>
        <w:right w:val="none" w:sz="0" w:space="0" w:color="auto"/>
      </w:divBdr>
    </w:div>
    <w:div w:id="341470731">
      <w:bodyDiv w:val="1"/>
      <w:marLeft w:val="0"/>
      <w:marRight w:val="0"/>
      <w:marTop w:val="0"/>
      <w:marBottom w:val="0"/>
      <w:divBdr>
        <w:top w:val="none" w:sz="0" w:space="0" w:color="auto"/>
        <w:left w:val="none" w:sz="0" w:space="0" w:color="auto"/>
        <w:bottom w:val="none" w:sz="0" w:space="0" w:color="auto"/>
        <w:right w:val="none" w:sz="0" w:space="0" w:color="auto"/>
      </w:divBdr>
    </w:div>
    <w:div w:id="403144458">
      <w:bodyDiv w:val="1"/>
      <w:marLeft w:val="0"/>
      <w:marRight w:val="0"/>
      <w:marTop w:val="0"/>
      <w:marBottom w:val="0"/>
      <w:divBdr>
        <w:top w:val="none" w:sz="0" w:space="0" w:color="auto"/>
        <w:left w:val="none" w:sz="0" w:space="0" w:color="auto"/>
        <w:bottom w:val="none" w:sz="0" w:space="0" w:color="auto"/>
        <w:right w:val="none" w:sz="0" w:space="0" w:color="auto"/>
      </w:divBdr>
    </w:div>
    <w:div w:id="466779062">
      <w:bodyDiv w:val="1"/>
      <w:marLeft w:val="0"/>
      <w:marRight w:val="0"/>
      <w:marTop w:val="0"/>
      <w:marBottom w:val="0"/>
      <w:divBdr>
        <w:top w:val="none" w:sz="0" w:space="0" w:color="auto"/>
        <w:left w:val="none" w:sz="0" w:space="0" w:color="auto"/>
        <w:bottom w:val="none" w:sz="0" w:space="0" w:color="auto"/>
        <w:right w:val="none" w:sz="0" w:space="0" w:color="auto"/>
      </w:divBdr>
      <w:divsChild>
        <w:div w:id="2088991486">
          <w:marLeft w:val="0"/>
          <w:marRight w:val="0"/>
          <w:marTop w:val="0"/>
          <w:marBottom w:val="0"/>
          <w:divBdr>
            <w:top w:val="none" w:sz="0" w:space="0" w:color="auto"/>
            <w:left w:val="none" w:sz="0" w:space="0" w:color="auto"/>
            <w:bottom w:val="none" w:sz="0" w:space="0" w:color="auto"/>
            <w:right w:val="none" w:sz="0" w:space="0" w:color="auto"/>
          </w:divBdr>
        </w:div>
      </w:divsChild>
    </w:div>
    <w:div w:id="565267739">
      <w:bodyDiv w:val="1"/>
      <w:marLeft w:val="0"/>
      <w:marRight w:val="0"/>
      <w:marTop w:val="0"/>
      <w:marBottom w:val="0"/>
      <w:divBdr>
        <w:top w:val="none" w:sz="0" w:space="0" w:color="auto"/>
        <w:left w:val="none" w:sz="0" w:space="0" w:color="auto"/>
        <w:bottom w:val="none" w:sz="0" w:space="0" w:color="auto"/>
        <w:right w:val="none" w:sz="0" w:space="0" w:color="auto"/>
      </w:divBdr>
    </w:div>
    <w:div w:id="566956113">
      <w:bodyDiv w:val="1"/>
      <w:marLeft w:val="0"/>
      <w:marRight w:val="0"/>
      <w:marTop w:val="0"/>
      <w:marBottom w:val="0"/>
      <w:divBdr>
        <w:top w:val="none" w:sz="0" w:space="0" w:color="auto"/>
        <w:left w:val="none" w:sz="0" w:space="0" w:color="auto"/>
        <w:bottom w:val="none" w:sz="0" w:space="0" w:color="auto"/>
        <w:right w:val="none" w:sz="0" w:space="0" w:color="auto"/>
      </w:divBdr>
    </w:div>
    <w:div w:id="584996059">
      <w:bodyDiv w:val="1"/>
      <w:marLeft w:val="0"/>
      <w:marRight w:val="0"/>
      <w:marTop w:val="0"/>
      <w:marBottom w:val="0"/>
      <w:divBdr>
        <w:top w:val="none" w:sz="0" w:space="0" w:color="auto"/>
        <w:left w:val="none" w:sz="0" w:space="0" w:color="auto"/>
        <w:bottom w:val="none" w:sz="0" w:space="0" w:color="auto"/>
        <w:right w:val="none" w:sz="0" w:space="0" w:color="auto"/>
      </w:divBdr>
    </w:div>
    <w:div w:id="597560092">
      <w:bodyDiv w:val="1"/>
      <w:marLeft w:val="0"/>
      <w:marRight w:val="0"/>
      <w:marTop w:val="0"/>
      <w:marBottom w:val="0"/>
      <w:divBdr>
        <w:top w:val="none" w:sz="0" w:space="0" w:color="auto"/>
        <w:left w:val="none" w:sz="0" w:space="0" w:color="auto"/>
        <w:bottom w:val="none" w:sz="0" w:space="0" w:color="auto"/>
        <w:right w:val="none" w:sz="0" w:space="0" w:color="auto"/>
      </w:divBdr>
    </w:div>
    <w:div w:id="648706521">
      <w:bodyDiv w:val="1"/>
      <w:marLeft w:val="0"/>
      <w:marRight w:val="0"/>
      <w:marTop w:val="0"/>
      <w:marBottom w:val="0"/>
      <w:divBdr>
        <w:top w:val="none" w:sz="0" w:space="0" w:color="auto"/>
        <w:left w:val="none" w:sz="0" w:space="0" w:color="auto"/>
        <w:bottom w:val="none" w:sz="0" w:space="0" w:color="auto"/>
        <w:right w:val="none" w:sz="0" w:space="0" w:color="auto"/>
      </w:divBdr>
    </w:div>
    <w:div w:id="648940597">
      <w:bodyDiv w:val="1"/>
      <w:marLeft w:val="0"/>
      <w:marRight w:val="0"/>
      <w:marTop w:val="0"/>
      <w:marBottom w:val="0"/>
      <w:divBdr>
        <w:top w:val="none" w:sz="0" w:space="0" w:color="auto"/>
        <w:left w:val="none" w:sz="0" w:space="0" w:color="auto"/>
        <w:bottom w:val="none" w:sz="0" w:space="0" w:color="auto"/>
        <w:right w:val="none" w:sz="0" w:space="0" w:color="auto"/>
      </w:divBdr>
    </w:div>
    <w:div w:id="718479595">
      <w:bodyDiv w:val="1"/>
      <w:marLeft w:val="0"/>
      <w:marRight w:val="0"/>
      <w:marTop w:val="0"/>
      <w:marBottom w:val="0"/>
      <w:divBdr>
        <w:top w:val="none" w:sz="0" w:space="0" w:color="auto"/>
        <w:left w:val="none" w:sz="0" w:space="0" w:color="auto"/>
        <w:bottom w:val="none" w:sz="0" w:space="0" w:color="auto"/>
        <w:right w:val="none" w:sz="0" w:space="0" w:color="auto"/>
      </w:divBdr>
    </w:div>
    <w:div w:id="791095129">
      <w:bodyDiv w:val="1"/>
      <w:marLeft w:val="0"/>
      <w:marRight w:val="0"/>
      <w:marTop w:val="0"/>
      <w:marBottom w:val="0"/>
      <w:divBdr>
        <w:top w:val="none" w:sz="0" w:space="0" w:color="auto"/>
        <w:left w:val="none" w:sz="0" w:space="0" w:color="auto"/>
        <w:bottom w:val="none" w:sz="0" w:space="0" w:color="auto"/>
        <w:right w:val="none" w:sz="0" w:space="0" w:color="auto"/>
      </w:divBdr>
    </w:div>
    <w:div w:id="814370856">
      <w:bodyDiv w:val="1"/>
      <w:marLeft w:val="0"/>
      <w:marRight w:val="0"/>
      <w:marTop w:val="0"/>
      <w:marBottom w:val="0"/>
      <w:divBdr>
        <w:top w:val="none" w:sz="0" w:space="0" w:color="auto"/>
        <w:left w:val="none" w:sz="0" w:space="0" w:color="auto"/>
        <w:bottom w:val="none" w:sz="0" w:space="0" w:color="auto"/>
        <w:right w:val="none" w:sz="0" w:space="0" w:color="auto"/>
      </w:divBdr>
    </w:div>
    <w:div w:id="837309833">
      <w:bodyDiv w:val="1"/>
      <w:marLeft w:val="0"/>
      <w:marRight w:val="0"/>
      <w:marTop w:val="0"/>
      <w:marBottom w:val="0"/>
      <w:divBdr>
        <w:top w:val="none" w:sz="0" w:space="0" w:color="auto"/>
        <w:left w:val="none" w:sz="0" w:space="0" w:color="auto"/>
        <w:bottom w:val="none" w:sz="0" w:space="0" w:color="auto"/>
        <w:right w:val="none" w:sz="0" w:space="0" w:color="auto"/>
      </w:divBdr>
      <w:divsChild>
        <w:div w:id="916286206">
          <w:marLeft w:val="0"/>
          <w:marRight w:val="0"/>
          <w:marTop w:val="0"/>
          <w:marBottom w:val="0"/>
          <w:divBdr>
            <w:top w:val="none" w:sz="0" w:space="0" w:color="auto"/>
            <w:left w:val="none" w:sz="0" w:space="0" w:color="auto"/>
            <w:bottom w:val="none" w:sz="0" w:space="0" w:color="auto"/>
            <w:right w:val="none" w:sz="0" w:space="0" w:color="auto"/>
          </w:divBdr>
          <w:divsChild>
            <w:div w:id="1712802299">
              <w:marLeft w:val="0"/>
              <w:marRight w:val="0"/>
              <w:marTop w:val="0"/>
              <w:marBottom w:val="0"/>
              <w:divBdr>
                <w:top w:val="none" w:sz="0" w:space="0" w:color="auto"/>
                <w:left w:val="none" w:sz="0" w:space="0" w:color="auto"/>
                <w:bottom w:val="none" w:sz="0" w:space="0" w:color="auto"/>
                <w:right w:val="none" w:sz="0" w:space="0" w:color="auto"/>
              </w:divBdr>
              <w:divsChild>
                <w:div w:id="1109004295">
                  <w:marLeft w:val="0"/>
                  <w:marRight w:val="0"/>
                  <w:marTop w:val="0"/>
                  <w:marBottom w:val="0"/>
                  <w:divBdr>
                    <w:top w:val="none" w:sz="0" w:space="0" w:color="auto"/>
                    <w:left w:val="none" w:sz="0" w:space="0" w:color="auto"/>
                    <w:bottom w:val="none" w:sz="0" w:space="0" w:color="auto"/>
                    <w:right w:val="none" w:sz="0" w:space="0" w:color="auto"/>
                  </w:divBdr>
                  <w:divsChild>
                    <w:div w:id="1575121443">
                      <w:marLeft w:val="0"/>
                      <w:marRight w:val="0"/>
                      <w:marTop w:val="0"/>
                      <w:marBottom w:val="0"/>
                      <w:divBdr>
                        <w:top w:val="none" w:sz="0" w:space="0" w:color="auto"/>
                        <w:left w:val="none" w:sz="0" w:space="0" w:color="auto"/>
                        <w:bottom w:val="none" w:sz="0" w:space="0" w:color="auto"/>
                        <w:right w:val="none" w:sz="0" w:space="0" w:color="auto"/>
                      </w:divBdr>
                      <w:divsChild>
                        <w:div w:id="923881610">
                          <w:marLeft w:val="0"/>
                          <w:marRight w:val="0"/>
                          <w:marTop w:val="0"/>
                          <w:marBottom w:val="0"/>
                          <w:divBdr>
                            <w:top w:val="none" w:sz="0" w:space="0" w:color="auto"/>
                            <w:left w:val="none" w:sz="0" w:space="0" w:color="auto"/>
                            <w:bottom w:val="none" w:sz="0" w:space="0" w:color="auto"/>
                            <w:right w:val="none" w:sz="0" w:space="0" w:color="auto"/>
                          </w:divBdr>
                          <w:divsChild>
                            <w:div w:id="1301497645">
                              <w:marLeft w:val="0"/>
                              <w:marRight w:val="0"/>
                              <w:marTop w:val="0"/>
                              <w:marBottom w:val="0"/>
                              <w:divBdr>
                                <w:top w:val="none" w:sz="0" w:space="0" w:color="auto"/>
                                <w:left w:val="none" w:sz="0" w:space="0" w:color="auto"/>
                                <w:bottom w:val="none" w:sz="0" w:space="0" w:color="auto"/>
                                <w:right w:val="none" w:sz="0" w:space="0" w:color="auto"/>
                              </w:divBdr>
                              <w:divsChild>
                                <w:div w:id="441654990">
                                  <w:marLeft w:val="0"/>
                                  <w:marRight w:val="0"/>
                                  <w:marTop w:val="0"/>
                                  <w:marBottom w:val="0"/>
                                  <w:divBdr>
                                    <w:top w:val="none" w:sz="0" w:space="0" w:color="auto"/>
                                    <w:left w:val="none" w:sz="0" w:space="0" w:color="auto"/>
                                    <w:bottom w:val="none" w:sz="0" w:space="0" w:color="auto"/>
                                    <w:right w:val="none" w:sz="0" w:space="0" w:color="auto"/>
                                  </w:divBdr>
                                  <w:divsChild>
                                    <w:div w:id="1842741849">
                                      <w:marLeft w:val="0"/>
                                      <w:marRight w:val="0"/>
                                      <w:marTop w:val="0"/>
                                      <w:marBottom w:val="0"/>
                                      <w:divBdr>
                                        <w:top w:val="none" w:sz="0" w:space="0" w:color="auto"/>
                                        <w:left w:val="none" w:sz="0" w:space="0" w:color="auto"/>
                                        <w:bottom w:val="none" w:sz="0" w:space="0" w:color="auto"/>
                                        <w:right w:val="none" w:sz="0" w:space="0" w:color="auto"/>
                                      </w:divBdr>
                                      <w:divsChild>
                                        <w:div w:id="440228009">
                                          <w:marLeft w:val="0"/>
                                          <w:marRight w:val="0"/>
                                          <w:marTop w:val="0"/>
                                          <w:marBottom w:val="0"/>
                                          <w:divBdr>
                                            <w:top w:val="none" w:sz="0" w:space="0" w:color="auto"/>
                                            <w:left w:val="none" w:sz="0" w:space="0" w:color="auto"/>
                                            <w:bottom w:val="none" w:sz="0" w:space="0" w:color="auto"/>
                                            <w:right w:val="none" w:sz="0" w:space="0" w:color="auto"/>
                                          </w:divBdr>
                                          <w:divsChild>
                                            <w:div w:id="556745957">
                                              <w:marLeft w:val="0"/>
                                              <w:marRight w:val="0"/>
                                              <w:marTop w:val="0"/>
                                              <w:marBottom w:val="0"/>
                                              <w:divBdr>
                                                <w:top w:val="none" w:sz="0" w:space="0" w:color="auto"/>
                                                <w:left w:val="none" w:sz="0" w:space="0" w:color="auto"/>
                                                <w:bottom w:val="none" w:sz="0" w:space="0" w:color="auto"/>
                                                <w:right w:val="none" w:sz="0" w:space="0" w:color="auto"/>
                                              </w:divBdr>
                                              <w:divsChild>
                                                <w:div w:id="36391542">
                                                  <w:marLeft w:val="0"/>
                                                  <w:marRight w:val="0"/>
                                                  <w:marTop w:val="0"/>
                                                  <w:marBottom w:val="0"/>
                                                  <w:divBdr>
                                                    <w:top w:val="none" w:sz="0" w:space="0" w:color="auto"/>
                                                    <w:left w:val="none" w:sz="0" w:space="0" w:color="auto"/>
                                                    <w:bottom w:val="none" w:sz="0" w:space="0" w:color="auto"/>
                                                    <w:right w:val="none" w:sz="0" w:space="0" w:color="auto"/>
                                                  </w:divBdr>
                                                  <w:divsChild>
                                                    <w:div w:id="2069524074">
                                                      <w:marLeft w:val="0"/>
                                                      <w:marRight w:val="0"/>
                                                      <w:marTop w:val="0"/>
                                                      <w:marBottom w:val="0"/>
                                                      <w:divBdr>
                                                        <w:top w:val="none" w:sz="0" w:space="0" w:color="auto"/>
                                                        <w:left w:val="none" w:sz="0" w:space="0" w:color="auto"/>
                                                        <w:bottom w:val="none" w:sz="0" w:space="0" w:color="auto"/>
                                                        <w:right w:val="none" w:sz="0" w:space="0" w:color="auto"/>
                                                      </w:divBdr>
                                                      <w:divsChild>
                                                        <w:div w:id="34544288">
                                                          <w:marLeft w:val="0"/>
                                                          <w:marRight w:val="0"/>
                                                          <w:marTop w:val="0"/>
                                                          <w:marBottom w:val="0"/>
                                                          <w:divBdr>
                                                            <w:top w:val="none" w:sz="0" w:space="0" w:color="auto"/>
                                                            <w:left w:val="none" w:sz="0" w:space="0" w:color="auto"/>
                                                            <w:bottom w:val="none" w:sz="0" w:space="0" w:color="auto"/>
                                                            <w:right w:val="none" w:sz="0" w:space="0" w:color="auto"/>
                                                          </w:divBdr>
                                                          <w:divsChild>
                                                            <w:div w:id="80496565">
                                                              <w:marLeft w:val="0"/>
                                                              <w:marRight w:val="0"/>
                                                              <w:marTop w:val="0"/>
                                                              <w:marBottom w:val="0"/>
                                                              <w:divBdr>
                                                                <w:top w:val="none" w:sz="0" w:space="0" w:color="auto"/>
                                                                <w:left w:val="none" w:sz="0" w:space="0" w:color="auto"/>
                                                                <w:bottom w:val="none" w:sz="0" w:space="0" w:color="auto"/>
                                                                <w:right w:val="none" w:sz="0" w:space="0" w:color="auto"/>
                                                              </w:divBdr>
                                                              <w:divsChild>
                                                                <w:div w:id="628170958">
                                                                  <w:marLeft w:val="0"/>
                                                                  <w:marRight w:val="0"/>
                                                                  <w:marTop w:val="0"/>
                                                                  <w:marBottom w:val="0"/>
                                                                  <w:divBdr>
                                                                    <w:top w:val="none" w:sz="0" w:space="0" w:color="auto"/>
                                                                    <w:left w:val="none" w:sz="0" w:space="0" w:color="auto"/>
                                                                    <w:bottom w:val="none" w:sz="0" w:space="0" w:color="auto"/>
                                                                    <w:right w:val="none" w:sz="0" w:space="0" w:color="auto"/>
                                                                  </w:divBdr>
                                                                  <w:divsChild>
                                                                    <w:div w:id="1560439446">
                                                                      <w:marLeft w:val="0"/>
                                                                      <w:marRight w:val="0"/>
                                                                      <w:marTop w:val="0"/>
                                                                      <w:marBottom w:val="0"/>
                                                                      <w:divBdr>
                                                                        <w:top w:val="none" w:sz="0" w:space="0" w:color="auto"/>
                                                                        <w:left w:val="none" w:sz="0" w:space="0" w:color="auto"/>
                                                                        <w:bottom w:val="none" w:sz="0" w:space="0" w:color="auto"/>
                                                                        <w:right w:val="none" w:sz="0" w:space="0" w:color="auto"/>
                                                                      </w:divBdr>
                                                                      <w:divsChild>
                                                                        <w:div w:id="1696038573">
                                                                          <w:marLeft w:val="0"/>
                                                                          <w:marRight w:val="0"/>
                                                                          <w:marTop w:val="0"/>
                                                                          <w:marBottom w:val="0"/>
                                                                          <w:divBdr>
                                                                            <w:top w:val="none" w:sz="0" w:space="0" w:color="auto"/>
                                                                            <w:left w:val="none" w:sz="0" w:space="0" w:color="auto"/>
                                                                            <w:bottom w:val="none" w:sz="0" w:space="0" w:color="auto"/>
                                                                            <w:right w:val="none" w:sz="0" w:space="0" w:color="auto"/>
                                                                          </w:divBdr>
                                                                          <w:divsChild>
                                                                            <w:div w:id="129383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7086354">
      <w:bodyDiv w:val="1"/>
      <w:marLeft w:val="0"/>
      <w:marRight w:val="0"/>
      <w:marTop w:val="0"/>
      <w:marBottom w:val="0"/>
      <w:divBdr>
        <w:top w:val="none" w:sz="0" w:space="0" w:color="auto"/>
        <w:left w:val="none" w:sz="0" w:space="0" w:color="auto"/>
        <w:bottom w:val="none" w:sz="0" w:space="0" w:color="auto"/>
        <w:right w:val="none" w:sz="0" w:space="0" w:color="auto"/>
      </w:divBdr>
    </w:div>
    <w:div w:id="900823454">
      <w:bodyDiv w:val="1"/>
      <w:marLeft w:val="0"/>
      <w:marRight w:val="0"/>
      <w:marTop w:val="0"/>
      <w:marBottom w:val="0"/>
      <w:divBdr>
        <w:top w:val="none" w:sz="0" w:space="0" w:color="auto"/>
        <w:left w:val="none" w:sz="0" w:space="0" w:color="auto"/>
        <w:bottom w:val="none" w:sz="0" w:space="0" w:color="auto"/>
        <w:right w:val="none" w:sz="0" w:space="0" w:color="auto"/>
      </w:divBdr>
    </w:div>
    <w:div w:id="977489221">
      <w:bodyDiv w:val="1"/>
      <w:marLeft w:val="0"/>
      <w:marRight w:val="0"/>
      <w:marTop w:val="0"/>
      <w:marBottom w:val="0"/>
      <w:divBdr>
        <w:top w:val="none" w:sz="0" w:space="0" w:color="auto"/>
        <w:left w:val="none" w:sz="0" w:space="0" w:color="auto"/>
        <w:bottom w:val="none" w:sz="0" w:space="0" w:color="auto"/>
        <w:right w:val="none" w:sz="0" w:space="0" w:color="auto"/>
      </w:divBdr>
    </w:div>
    <w:div w:id="1064255148">
      <w:bodyDiv w:val="1"/>
      <w:marLeft w:val="0"/>
      <w:marRight w:val="0"/>
      <w:marTop w:val="0"/>
      <w:marBottom w:val="0"/>
      <w:divBdr>
        <w:top w:val="none" w:sz="0" w:space="0" w:color="auto"/>
        <w:left w:val="none" w:sz="0" w:space="0" w:color="auto"/>
        <w:bottom w:val="none" w:sz="0" w:space="0" w:color="auto"/>
        <w:right w:val="none" w:sz="0" w:space="0" w:color="auto"/>
      </w:divBdr>
    </w:div>
    <w:div w:id="1080834075">
      <w:bodyDiv w:val="1"/>
      <w:marLeft w:val="0"/>
      <w:marRight w:val="0"/>
      <w:marTop w:val="0"/>
      <w:marBottom w:val="0"/>
      <w:divBdr>
        <w:top w:val="none" w:sz="0" w:space="0" w:color="auto"/>
        <w:left w:val="none" w:sz="0" w:space="0" w:color="auto"/>
        <w:bottom w:val="none" w:sz="0" w:space="0" w:color="auto"/>
        <w:right w:val="none" w:sz="0" w:space="0" w:color="auto"/>
      </w:divBdr>
    </w:div>
    <w:div w:id="1187250528">
      <w:bodyDiv w:val="1"/>
      <w:marLeft w:val="0"/>
      <w:marRight w:val="0"/>
      <w:marTop w:val="0"/>
      <w:marBottom w:val="0"/>
      <w:divBdr>
        <w:top w:val="none" w:sz="0" w:space="0" w:color="auto"/>
        <w:left w:val="none" w:sz="0" w:space="0" w:color="auto"/>
        <w:bottom w:val="none" w:sz="0" w:space="0" w:color="auto"/>
        <w:right w:val="none" w:sz="0" w:space="0" w:color="auto"/>
      </w:divBdr>
    </w:div>
    <w:div w:id="1200359898">
      <w:bodyDiv w:val="1"/>
      <w:marLeft w:val="0"/>
      <w:marRight w:val="0"/>
      <w:marTop w:val="0"/>
      <w:marBottom w:val="0"/>
      <w:divBdr>
        <w:top w:val="none" w:sz="0" w:space="0" w:color="auto"/>
        <w:left w:val="none" w:sz="0" w:space="0" w:color="auto"/>
        <w:bottom w:val="none" w:sz="0" w:space="0" w:color="auto"/>
        <w:right w:val="none" w:sz="0" w:space="0" w:color="auto"/>
      </w:divBdr>
    </w:div>
    <w:div w:id="1206866008">
      <w:bodyDiv w:val="1"/>
      <w:marLeft w:val="0"/>
      <w:marRight w:val="0"/>
      <w:marTop w:val="0"/>
      <w:marBottom w:val="0"/>
      <w:divBdr>
        <w:top w:val="none" w:sz="0" w:space="0" w:color="auto"/>
        <w:left w:val="none" w:sz="0" w:space="0" w:color="auto"/>
        <w:bottom w:val="none" w:sz="0" w:space="0" w:color="auto"/>
        <w:right w:val="none" w:sz="0" w:space="0" w:color="auto"/>
      </w:divBdr>
    </w:div>
    <w:div w:id="1302733228">
      <w:bodyDiv w:val="1"/>
      <w:marLeft w:val="0"/>
      <w:marRight w:val="0"/>
      <w:marTop w:val="0"/>
      <w:marBottom w:val="0"/>
      <w:divBdr>
        <w:top w:val="none" w:sz="0" w:space="0" w:color="auto"/>
        <w:left w:val="none" w:sz="0" w:space="0" w:color="auto"/>
        <w:bottom w:val="none" w:sz="0" w:space="0" w:color="auto"/>
        <w:right w:val="none" w:sz="0" w:space="0" w:color="auto"/>
      </w:divBdr>
    </w:div>
    <w:div w:id="1315328626">
      <w:bodyDiv w:val="1"/>
      <w:marLeft w:val="0"/>
      <w:marRight w:val="0"/>
      <w:marTop w:val="0"/>
      <w:marBottom w:val="0"/>
      <w:divBdr>
        <w:top w:val="none" w:sz="0" w:space="0" w:color="auto"/>
        <w:left w:val="none" w:sz="0" w:space="0" w:color="auto"/>
        <w:bottom w:val="none" w:sz="0" w:space="0" w:color="auto"/>
        <w:right w:val="none" w:sz="0" w:space="0" w:color="auto"/>
      </w:divBdr>
    </w:div>
    <w:div w:id="1333025189">
      <w:bodyDiv w:val="1"/>
      <w:marLeft w:val="0"/>
      <w:marRight w:val="0"/>
      <w:marTop w:val="0"/>
      <w:marBottom w:val="0"/>
      <w:divBdr>
        <w:top w:val="none" w:sz="0" w:space="0" w:color="auto"/>
        <w:left w:val="none" w:sz="0" w:space="0" w:color="auto"/>
        <w:bottom w:val="none" w:sz="0" w:space="0" w:color="auto"/>
        <w:right w:val="none" w:sz="0" w:space="0" w:color="auto"/>
      </w:divBdr>
    </w:div>
    <w:div w:id="1479222149">
      <w:bodyDiv w:val="1"/>
      <w:marLeft w:val="0"/>
      <w:marRight w:val="0"/>
      <w:marTop w:val="0"/>
      <w:marBottom w:val="0"/>
      <w:divBdr>
        <w:top w:val="none" w:sz="0" w:space="0" w:color="auto"/>
        <w:left w:val="none" w:sz="0" w:space="0" w:color="auto"/>
        <w:bottom w:val="none" w:sz="0" w:space="0" w:color="auto"/>
        <w:right w:val="none" w:sz="0" w:space="0" w:color="auto"/>
      </w:divBdr>
    </w:div>
    <w:div w:id="1486698004">
      <w:bodyDiv w:val="1"/>
      <w:marLeft w:val="0"/>
      <w:marRight w:val="0"/>
      <w:marTop w:val="0"/>
      <w:marBottom w:val="0"/>
      <w:divBdr>
        <w:top w:val="none" w:sz="0" w:space="0" w:color="auto"/>
        <w:left w:val="none" w:sz="0" w:space="0" w:color="auto"/>
        <w:bottom w:val="none" w:sz="0" w:space="0" w:color="auto"/>
        <w:right w:val="none" w:sz="0" w:space="0" w:color="auto"/>
      </w:divBdr>
    </w:div>
    <w:div w:id="1536700667">
      <w:bodyDiv w:val="1"/>
      <w:marLeft w:val="0"/>
      <w:marRight w:val="0"/>
      <w:marTop w:val="0"/>
      <w:marBottom w:val="0"/>
      <w:divBdr>
        <w:top w:val="none" w:sz="0" w:space="0" w:color="auto"/>
        <w:left w:val="none" w:sz="0" w:space="0" w:color="auto"/>
        <w:bottom w:val="none" w:sz="0" w:space="0" w:color="auto"/>
        <w:right w:val="none" w:sz="0" w:space="0" w:color="auto"/>
      </w:divBdr>
    </w:div>
    <w:div w:id="1571115876">
      <w:bodyDiv w:val="1"/>
      <w:marLeft w:val="0"/>
      <w:marRight w:val="0"/>
      <w:marTop w:val="0"/>
      <w:marBottom w:val="0"/>
      <w:divBdr>
        <w:top w:val="none" w:sz="0" w:space="0" w:color="auto"/>
        <w:left w:val="none" w:sz="0" w:space="0" w:color="auto"/>
        <w:bottom w:val="none" w:sz="0" w:space="0" w:color="auto"/>
        <w:right w:val="none" w:sz="0" w:space="0" w:color="auto"/>
      </w:divBdr>
    </w:div>
    <w:div w:id="1650131016">
      <w:bodyDiv w:val="1"/>
      <w:marLeft w:val="0"/>
      <w:marRight w:val="0"/>
      <w:marTop w:val="0"/>
      <w:marBottom w:val="0"/>
      <w:divBdr>
        <w:top w:val="none" w:sz="0" w:space="0" w:color="auto"/>
        <w:left w:val="none" w:sz="0" w:space="0" w:color="auto"/>
        <w:bottom w:val="none" w:sz="0" w:space="0" w:color="auto"/>
        <w:right w:val="none" w:sz="0" w:space="0" w:color="auto"/>
      </w:divBdr>
    </w:div>
    <w:div w:id="1695302780">
      <w:bodyDiv w:val="1"/>
      <w:marLeft w:val="0"/>
      <w:marRight w:val="0"/>
      <w:marTop w:val="0"/>
      <w:marBottom w:val="0"/>
      <w:divBdr>
        <w:top w:val="none" w:sz="0" w:space="0" w:color="auto"/>
        <w:left w:val="none" w:sz="0" w:space="0" w:color="auto"/>
        <w:bottom w:val="none" w:sz="0" w:space="0" w:color="auto"/>
        <w:right w:val="none" w:sz="0" w:space="0" w:color="auto"/>
      </w:divBdr>
    </w:div>
    <w:div w:id="1695614110">
      <w:bodyDiv w:val="1"/>
      <w:marLeft w:val="0"/>
      <w:marRight w:val="0"/>
      <w:marTop w:val="0"/>
      <w:marBottom w:val="0"/>
      <w:divBdr>
        <w:top w:val="none" w:sz="0" w:space="0" w:color="auto"/>
        <w:left w:val="none" w:sz="0" w:space="0" w:color="auto"/>
        <w:bottom w:val="none" w:sz="0" w:space="0" w:color="auto"/>
        <w:right w:val="none" w:sz="0" w:space="0" w:color="auto"/>
      </w:divBdr>
    </w:div>
    <w:div w:id="1716272393">
      <w:bodyDiv w:val="1"/>
      <w:marLeft w:val="0"/>
      <w:marRight w:val="0"/>
      <w:marTop w:val="0"/>
      <w:marBottom w:val="0"/>
      <w:divBdr>
        <w:top w:val="none" w:sz="0" w:space="0" w:color="auto"/>
        <w:left w:val="none" w:sz="0" w:space="0" w:color="auto"/>
        <w:bottom w:val="none" w:sz="0" w:space="0" w:color="auto"/>
        <w:right w:val="none" w:sz="0" w:space="0" w:color="auto"/>
      </w:divBdr>
      <w:divsChild>
        <w:div w:id="1484200265">
          <w:marLeft w:val="0"/>
          <w:marRight w:val="0"/>
          <w:marTop w:val="0"/>
          <w:marBottom w:val="0"/>
          <w:divBdr>
            <w:top w:val="none" w:sz="0" w:space="0" w:color="auto"/>
            <w:left w:val="none" w:sz="0" w:space="0" w:color="auto"/>
            <w:bottom w:val="none" w:sz="0" w:space="0" w:color="auto"/>
            <w:right w:val="none" w:sz="0" w:space="0" w:color="auto"/>
          </w:divBdr>
          <w:divsChild>
            <w:div w:id="1733310333">
              <w:marLeft w:val="0"/>
              <w:marRight w:val="0"/>
              <w:marTop w:val="0"/>
              <w:marBottom w:val="0"/>
              <w:divBdr>
                <w:top w:val="none" w:sz="0" w:space="0" w:color="auto"/>
                <w:left w:val="none" w:sz="0" w:space="0" w:color="auto"/>
                <w:bottom w:val="none" w:sz="0" w:space="0" w:color="auto"/>
                <w:right w:val="none" w:sz="0" w:space="0" w:color="auto"/>
              </w:divBdr>
              <w:divsChild>
                <w:div w:id="1975871468">
                  <w:marLeft w:val="0"/>
                  <w:marRight w:val="0"/>
                  <w:marTop w:val="0"/>
                  <w:marBottom w:val="0"/>
                  <w:divBdr>
                    <w:top w:val="none" w:sz="0" w:space="0" w:color="auto"/>
                    <w:left w:val="none" w:sz="0" w:space="0" w:color="auto"/>
                    <w:bottom w:val="none" w:sz="0" w:space="0" w:color="auto"/>
                    <w:right w:val="none" w:sz="0" w:space="0" w:color="auto"/>
                  </w:divBdr>
                  <w:divsChild>
                    <w:div w:id="274337052">
                      <w:marLeft w:val="0"/>
                      <w:marRight w:val="0"/>
                      <w:marTop w:val="0"/>
                      <w:marBottom w:val="0"/>
                      <w:divBdr>
                        <w:top w:val="none" w:sz="0" w:space="0" w:color="auto"/>
                        <w:left w:val="none" w:sz="0" w:space="0" w:color="auto"/>
                        <w:bottom w:val="none" w:sz="0" w:space="0" w:color="auto"/>
                        <w:right w:val="none" w:sz="0" w:space="0" w:color="auto"/>
                      </w:divBdr>
                      <w:divsChild>
                        <w:div w:id="1649282299">
                          <w:marLeft w:val="0"/>
                          <w:marRight w:val="0"/>
                          <w:marTop w:val="0"/>
                          <w:marBottom w:val="0"/>
                          <w:divBdr>
                            <w:top w:val="none" w:sz="0" w:space="0" w:color="auto"/>
                            <w:left w:val="none" w:sz="0" w:space="0" w:color="auto"/>
                            <w:bottom w:val="none" w:sz="0" w:space="0" w:color="auto"/>
                            <w:right w:val="none" w:sz="0" w:space="0" w:color="auto"/>
                          </w:divBdr>
                          <w:divsChild>
                            <w:div w:id="1797722729">
                              <w:marLeft w:val="0"/>
                              <w:marRight w:val="0"/>
                              <w:marTop w:val="0"/>
                              <w:marBottom w:val="0"/>
                              <w:divBdr>
                                <w:top w:val="none" w:sz="0" w:space="0" w:color="auto"/>
                                <w:left w:val="none" w:sz="0" w:space="0" w:color="auto"/>
                                <w:bottom w:val="none" w:sz="0" w:space="0" w:color="auto"/>
                                <w:right w:val="none" w:sz="0" w:space="0" w:color="auto"/>
                              </w:divBdr>
                              <w:divsChild>
                                <w:div w:id="821895173">
                                  <w:marLeft w:val="0"/>
                                  <w:marRight w:val="0"/>
                                  <w:marTop w:val="0"/>
                                  <w:marBottom w:val="0"/>
                                  <w:divBdr>
                                    <w:top w:val="none" w:sz="0" w:space="0" w:color="auto"/>
                                    <w:left w:val="none" w:sz="0" w:space="0" w:color="auto"/>
                                    <w:bottom w:val="none" w:sz="0" w:space="0" w:color="auto"/>
                                    <w:right w:val="none" w:sz="0" w:space="0" w:color="auto"/>
                                  </w:divBdr>
                                  <w:divsChild>
                                    <w:div w:id="1736390147">
                                      <w:marLeft w:val="0"/>
                                      <w:marRight w:val="0"/>
                                      <w:marTop w:val="0"/>
                                      <w:marBottom w:val="0"/>
                                      <w:divBdr>
                                        <w:top w:val="none" w:sz="0" w:space="0" w:color="auto"/>
                                        <w:left w:val="none" w:sz="0" w:space="0" w:color="auto"/>
                                        <w:bottom w:val="none" w:sz="0" w:space="0" w:color="auto"/>
                                        <w:right w:val="none" w:sz="0" w:space="0" w:color="auto"/>
                                      </w:divBdr>
                                      <w:divsChild>
                                        <w:div w:id="176576250">
                                          <w:marLeft w:val="0"/>
                                          <w:marRight w:val="0"/>
                                          <w:marTop w:val="0"/>
                                          <w:marBottom w:val="0"/>
                                          <w:divBdr>
                                            <w:top w:val="none" w:sz="0" w:space="0" w:color="auto"/>
                                            <w:left w:val="none" w:sz="0" w:space="0" w:color="auto"/>
                                            <w:bottom w:val="none" w:sz="0" w:space="0" w:color="auto"/>
                                            <w:right w:val="none" w:sz="0" w:space="0" w:color="auto"/>
                                          </w:divBdr>
                                          <w:divsChild>
                                            <w:div w:id="1428573173">
                                              <w:marLeft w:val="0"/>
                                              <w:marRight w:val="0"/>
                                              <w:marTop w:val="0"/>
                                              <w:marBottom w:val="0"/>
                                              <w:divBdr>
                                                <w:top w:val="none" w:sz="0" w:space="0" w:color="auto"/>
                                                <w:left w:val="none" w:sz="0" w:space="0" w:color="auto"/>
                                                <w:bottom w:val="none" w:sz="0" w:space="0" w:color="auto"/>
                                                <w:right w:val="none" w:sz="0" w:space="0" w:color="auto"/>
                                              </w:divBdr>
                                              <w:divsChild>
                                                <w:div w:id="59989414">
                                                  <w:marLeft w:val="0"/>
                                                  <w:marRight w:val="0"/>
                                                  <w:marTop w:val="0"/>
                                                  <w:marBottom w:val="0"/>
                                                  <w:divBdr>
                                                    <w:top w:val="none" w:sz="0" w:space="0" w:color="auto"/>
                                                    <w:left w:val="none" w:sz="0" w:space="0" w:color="auto"/>
                                                    <w:bottom w:val="none" w:sz="0" w:space="0" w:color="auto"/>
                                                    <w:right w:val="none" w:sz="0" w:space="0" w:color="auto"/>
                                                  </w:divBdr>
                                                  <w:divsChild>
                                                    <w:div w:id="212665895">
                                                      <w:marLeft w:val="0"/>
                                                      <w:marRight w:val="0"/>
                                                      <w:marTop w:val="0"/>
                                                      <w:marBottom w:val="0"/>
                                                      <w:divBdr>
                                                        <w:top w:val="none" w:sz="0" w:space="0" w:color="auto"/>
                                                        <w:left w:val="none" w:sz="0" w:space="0" w:color="auto"/>
                                                        <w:bottom w:val="none" w:sz="0" w:space="0" w:color="auto"/>
                                                        <w:right w:val="none" w:sz="0" w:space="0" w:color="auto"/>
                                                      </w:divBdr>
                                                      <w:divsChild>
                                                        <w:div w:id="337343309">
                                                          <w:marLeft w:val="0"/>
                                                          <w:marRight w:val="0"/>
                                                          <w:marTop w:val="0"/>
                                                          <w:marBottom w:val="0"/>
                                                          <w:divBdr>
                                                            <w:top w:val="none" w:sz="0" w:space="0" w:color="auto"/>
                                                            <w:left w:val="none" w:sz="0" w:space="0" w:color="auto"/>
                                                            <w:bottom w:val="none" w:sz="0" w:space="0" w:color="auto"/>
                                                            <w:right w:val="none" w:sz="0" w:space="0" w:color="auto"/>
                                                          </w:divBdr>
                                                          <w:divsChild>
                                                            <w:div w:id="1129205042">
                                                              <w:marLeft w:val="0"/>
                                                              <w:marRight w:val="0"/>
                                                              <w:marTop w:val="0"/>
                                                              <w:marBottom w:val="0"/>
                                                              <w:divBdr>
                                                                <w:top w:val="none" w:sz="0" w:space="0" w:color="auto"/>
                                                                <w:left w:val="none" w:sz="0" w:space="0" w:color="auto"/>
                                                                <w:bottom w:val="none" w:sz="0" w:space="0" w:color="auto"/>
                                                                <w:right w:val="none" w:sz="0" w:space="0" w:color="auto"/>
                                                              </w:divBdr>
                                                              <w:divsChild>
                                                                <w:div w:id="1282885195">
                                                                  <w:marLeft w:val="0"/>
                                                                  <w:marRight w:val="0"/>
                                                                  <w:marTop w:val="0"/>
                                                                  <w:marBottom w:val="0"/>
                                                                  <w:divBdr>
                                                                    <w:top w:val="none" w:sz="0" w:space="0" w:color="auto"/>
                                                                    <w:left w:val="none" w:sz="0" w:space="0" w:color="auto"/>
                                                                    <w:bottom w:val="none" w:sz="0" w:space="0" w:color="auto"/>
                                                                    <w:right w:val="none" w:sz="0" w:space="0" w:color="auto"/>
                                                                  </w:divBdr>
                                                                  <w:divsChild>
                                                                    <w:div w:id="134563687">
                                                                      <w:marLeft w:val="0"/>
                                                                      <w:marRight w:val="0"/>
                                                                      <w:marTop w:val="0"/>
                                                                      <w:marBottom w:val="0"/>
                                                                      <w:divBdr>
                                                                        <w:top w:val="none" w:sz="0" w:space="0" w:color="auto"/>
                                                                        <w:left w:val="none" w:sz="0" w:space="0" w:color="auto"/>
                                                                        <w:bottom w:val="none" w:sz="0" w:space="0" w:color="auto"/>
                                                                        <w:right w:val="none" w:sz="0" w:space="0" w:color="auto"/>
                                                                      </w:divBdr>
                                                                      <w:divsChild>
                                                                        <w:div w:id="1893619161">
                                                                          <w:marLeft w:val="0"/>
                                                                          <w:marRight w:val="0"/>
                                                                          <w:marTop w:val="0"/>
                                                                          <w:marBottom w:val="0"/>
                                                                          <w:divBdr>
                                                                            <w:top w:val="none" w:sz="0" w:space="0" w:color="auto"/>
                                                                            <w:left w:val="none" w:sz="0" w:space="0" w:color="auto"/>
                                                                            <w:bottom w:val="none" w:sz="0" w:space="0" w:color="auto"/>
                                                                            <w:right w:val="none" w:sz="0" w:space="0" w:color="auto"/>
                                                                          </w:divBdr>
                                                                          <w:divsChild>
                                                                            <w:div w:id="1085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2073519">
          <w:marLeft w:val="0"/>
          <w:marRight w:val="0"/>
          <w:marTop w:val="0"/>
          <w:marBottom w:val="0"/>
          <w:divBdr>
            <w:top w:val="none" w:sz="0" w:space="0" w:color="auto"/>
            <w:left w:val="none" w:sz="0" w:space="0" w:color="auto"/>
            <w:bottom w:val="none" w:sz="0" w:space="0" w:color="auto"/>
            <w:right w:val="none" w:sz="0" w:space="0" w:color="auto"/>
          </w:divBdr>
          <w:divsChild>
            <w:div w:id="797408471">
              <w:marLeft w:val="0"/>
              <w:marRight w:val="0"/>
              <w:marTop w:val="0"/>
              <w:marBottom w:val="0"/>
              <w:divBdr>
                <w:top w:val="none" w:sz="0" w:space="0" w:color="auto"/>
                <w:left w:val="none" w:sz="0" w:space="0" w:color="auto"/>
                <w:bottom w:val="none" w:sz="0" w:space="0" w:color="auto"/>
                <w:right w:val="none" w:sz="0" w:space="0" w:color="auto"/>
              </w:divBdr>
              <w:divsChild>
                <w:div w:id="1573153751">
                  <w:marLeft w:val="0"/>
                  <w:marRight w:val="0"/>
                  <w:marTop w:val="0"/>
                  <w:marBottom w:val="0"/>
                  <w:divBdr>
                    <w:top w:val="none" w:sz="0" w:space="0" w:color="auto"/>
                    <w:left w:val="none" w:sz="0" w:space="0" w:color="auto"/>
                    <w:bottom w:val="none" w:sz="0" w:space="0" w:color="auto"/>
                    <w:right w:val="none" w:sz="0" w:space="0" w:color="auto"/>
                  </w:divBdr>
                  <w:divsChild>
                    <w:div w:id="1586762559">
                      <w:marLeft w:val="0"/>
                      <w:marRight w:val="0"/>
                      <w:marTop w:val="0"/>
                      <w:marBottom w:val="0"/>
                      <w:divBdr>
                        <w:top w:val="none" w:sz="0" w:space="0" w:color="auto"/>
                        <w:left w:val="none" w:sz="0" w:space="0" w:color="auto"/>
                        <w:bottom w:val="none" w:sz="0" w:space="0" w:color="auto"/>
                        <w:right w:val="none" w:sz="0" w:space="0" w:color="auto"/>
                      </w:divBdr>
                      <w:divsChild>
                        <w:div w:id="665128760">
                          <w:marLeft w:val="0"/>
                          <w:marRight w:val="0"/>
                          <w:marTop w:val="0"/>
                          <w:marBottom w:val="0"/>
                          <w:divBdr>
                            <w:top w:val="none" w:sz="0" w:space="0" w:color="auto"/>
                            <w:left w:val="none" w:sz="0" w:space="0" w:color="auto"/>
                            <w:bottom w:val="none" w:sz="0" w:space="0" w:color="auto"/>
                            <w:right w:val="none" w:sz="0" w:space="0" w:color="auto"/>
                          </w:divBdr>
                          <w:divsChild>
                            <w:div w:id="1877352801">
                              <w:marLeft w:val="0"/>
                              <w:marRight w:val="0"/>
                              <w:marTop w:val="0"/>
                              <w:marBottom w:val="0"/>
                              <w:divBdr>
                                <w:top w:val="none" w:sz="0" w:space="0" w:color="auto"/>
                                <w:left w:val="none" w:sz="0" w:space="0" w:color="auto"/>
                                <w:bottom w:val="none" w:sz="0" w:space="0" w:color="auto"/>
                                <w:right w:val="none" w:sz="0" w:space="0" w:color="auto"/>
                              </w:divBdr>
                              <w:divsChild>
                                <w:div w:id="5133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92387">
      <w:bodyDiv w:val="1"/>
      <w:marLeft w:val="0"/>
      <w:marRight w:val="0"/>
      <w:marTop w:val="0"/>
      <w:marBottom w:val="0"/>
      <w:divBdr>
        <w:top w:val="none" w:sz="0" w:space="0" w:color="auto"/>
        <w:left w:val="none" w:sz="0" w:space="0" w:color="auto"/>
        <w:bottom w:val="none" w:sz="0" w:space="0" w:color="auto"/>
        <w:right w:val="none" w:sz="0" w:space="0" w:color="auto"/>
      </w:divBdr>
    </w:div>
    <w:div w:id="1920746281">
      <w:bodyDiv w:val="1"/>
      <w:marLeft w:val="0"/>
      <w:marRight w:val="0"/>
      <w:marTop w:val="0"/>
      <w:marBottom w:val="0"/>
      <w:divBdr>
        <w:top w:val="none" w:sz="0" w:space="0" w:color="auto"/>
        <w:left w:val="none" w:sz="0" w:space="0" w:color="auto"/>
        <w:bottom w:val="none" w:sz="0" w:space="0" w:color="auto"/>
        <w:right w:val="none" w:sz="0" w:space="0" w:color="auto"/>
      </w:divBdr>
    </w:div>
    <w:div w:id="1939823468">
      <w:bodyDiv w:val="1"/>
      <w:marLeft w:val="0"/>
      <w:marRight w:val="0"/>
      <w:marTop w:val="0"/>
      <w:marBottom w:val="0"/>
      <w:divBdr>
        <w:top w:val="none" w:sz="0" w:space="0" w:color="auto"/>
        <w:left w:val="none" w:sz="0" w:space="0" w:color="auto"/>
        <w:bottom w:val="none" w:sz="0" w:space="0" w:color="auto"/>
        <w:right w:val="none" w:sz="0" w:space="0" w:color="auto"/>
      </w:divBdr>
    </w:div>
    <w:div w:id="2047563640">
      <w:bodyDiv w:val="1"/>
      <w:marLeft w:val="0"/>
      <w:marRight w:val="0"/>
      <w:marTop w:val="0"/>
      <w:marBottom w:val="0"/>
      <w:divBdr>
        <w:top w:val="none" w:sz="0" w:space="0" w:color="auto"/>
        <w:left w:val="none" w:sz="0" w:space="0" w:color="auto"/>
        <w:bottom w:val="none" w:sz="0" w:space="0" w:color="auto"/>
        <w:right w:val="none" w:sz="0" w:space="0" w:color="auto"/>
      </w:divBdr>
    </w:div>
    <w:div w:id="2059042604">
      <w:bodyDiv w:val="1"/>
      <w:marLeft w:val="0"/>
      <w:marRight w:val="0"/>
      <w:marTop w:val="0"/>
      <w:marBottom w:val="0"/>
      <w:divBdr>
        <w:top w:val="none" w:sz="0" w:space="0" w:color="auto"/>
        <w:left w:val="none" w:sz="0" w:space="0" w:color="auto"/>
        <w:bottom w:val="none" w:sz="0" w:space="0" w:color="auto"/>
        <w:right w:val="none" w:sz="0" w:space="0" w:color="auto"/>
      </w:divBdr>
    </w:div>
    <w:div w:id="2073893166">
      <w:bodyDiv w:val="1"/>
      <w:marLeft w:val="0"/>
      <w:marRight w:val="0"/>
      <w:marTop w:val="0"/>
      <w:marBottom w:val="0"/>
      <w:divBdr>
        <w:top w:val="none" w:sz="0" w:space="0" w:color="auto"/>
        <w:left w:val="none" w:sz="0" w:space="0" w:color="auto"/>
        <w:bottom w:val="none" w:sz="0" w:space="0" w:color="auto"/>
        <w:right w:val="none" w:sz="0" w:space="0" w:color="auto"/>
      </w:divBdr>
    </w:div>
    <w:div w:id="210429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google.com/url?sa=t&amp;rct=j&amp;q=&amp;esrc=s&amp;source=web&amp;cd=&amp;cad=rja&amp;uact=8&amp;ved=2ahUKEwjwi7HFmNCRAxWKhlYBHaV4NLEQFnoECBgQAQ&amp;url=https%3A%2F%2Fwww.aemo.com.au%2Fenergy-systems%2Felectricity%2Fnational-electricity-market-nem&amp;usg=AOvVaw1SRdc8xKTM2lc4T-JuMQKy&amp;opi=899784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google.com/url?sa=i&amp;source=web&amp;rct=j&amp;url=https://www.accc.gov.au/about-us/publications/guide-to-the-electricity-retail-code&amp;ved=2ahUKEwig7Luph-SSAxVEbmwGHUFgJ8AQy_kOegQIARAC&amp;opi=89978449&amp;cd&amp;psig=AOvVaw3DVKmbYZnkCqdTHjomPFQx&amp;ust=1771539037312000"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file:///C://Users/ElyshaZITHA/Downloads/State%20of%20the%20energy%20market%202025%20-%20Full%20report_0%20(1).pdf" TargetMode="External"/><Relationship Id="rId13" Type="http://schemas.openxmlformats.org/officeDocument/2006/relationships/hyperlink" Target="https://www.globirdenergy.com.au/energy-saver/free-lunch/" TargetMode="External"/><Relationship Id="rId18" Type="http://schemas.openxmlformats.org/officeDocument/2006/relationships/hyperlink" Target="https://www.electrickiwi.co.nz/power/hour-of-power" TargetMode="External"/><Relationship Id="rId3" Type="http://schemas.openxmlformats.org/officeDocument/2006/relationships/hyperlink" Target="https://consult.dcceew.gov.au/solar-sharer-offer/lodge-submission/list" TargetMode="External"/><Relationship Id="rId21" Type="http://schemas.openxmlformats.org/officeDocument/2006/relationships/hyperlink" Target="https://www.directenergy.com/en/learn/energy-choice/guide-to-free-nights-weekends-plans" TargetMode="External"/><Relationship Id="rId7" Type="http://schemas.openxmlformats.org/officeDocument/2006/relationships/hyperlink" Target="file:///C:/Users/ElyshaZITHA/Downloads/State%20of%20the%20energy%20market%202024.pdf" TargetMode="External"/><Relationship Id="rId12" Type="http://schemas.openxmlformats.org/officeDocument/2006/relationships/hyperlink" Target="https://pages.ovoenergy.com.au/the-free-3-plan" TargetMode="External"/><Relationship Id="rId17" Type="http://schemas.openxmlformats.org/officeDocument/2006/relationships/hyperlink" Target="https://contact.co.nz/personal/all-plans/good-nights" TargetMode="External"/><Relationship Id="rId2" Type="http://schemas.openxmlformats.org/officeDocument/2006/relationships/hyperlink" Target="https://storage.googleapis.com/files-au-climate/climate-au/p/prj38bdad552e555e1c7f990/page/Solar_Sharer_Offer_Consultation_Paper_2025_26_PDF_880KB_.pdf" TargetMode="External"/><Relationship Id="rId16" Type="http://schemas.openxmlformats.org/officeDocument/2006/relationships/hyperlink" Target="https://www.accc.gov.au/inquiries-and-consultations/electricity-market-monitoring-inquiry-2018-26/july-2025-report" TargetMode="External"/><Relationship Id="rId20" Type="http://schemas.openxmlformats.org/officeDocument/2006/relationships/hyperlink" Target="https://www.the-sun.com/money/14176375/reliant-energy-free-electricity-weekends/" TargetMode="External"/><Relationship Id="rId1" Type="http://schemas.openxmlformats.org/officeDocument/2006/relationships/hyperlink" Target="https://cer.gov.au/news-and-media/news/2024/december/australia-reaches-4-million-small-scale-renewable-energy-installations" TargetMode="External"/><Relationship Id="rId6" Type="http://schemas.openxmlformats.org/officeDocument/2006/relationships/hyperlink" Target="https://www.aemo.com.au/energy-systems/major-publications/integrated-system-plan-isp/2024-integrated-system-plan-isp" TargetMode="External"/><Relationship Id="rId11" Type="http://schemas.openxmlformats.org/officeDocument/2006/relationships/hyperlink" Target="https://www.energymatters.com.au/renewable-news/three-hours-free-when-energy-deals-work-and-when-they-dont/" TargetMode="External"/><Relationship Id="rId5" Type="http://schemas.openxmlformats.org/officeDocument/2006/relationships/hyperlink" Target="https://www.aer.gov.au/publications/reports/performance/state-energy-market-2025" TargetMode="External"/><Relationship Id="rId15" Type="http://schemas.openxmlformats.org/officeDocument/2006/relationships/hyperlink" Target="https://www.aer.gov.au/system/files/Residential%20energy%20consumption%20benchmarks%20-%209%20December%202020_0.pdf" TargetMode="External"/><Relationship Id="rId10" Type="http://schemas.openxmlformats.org/officeDocument/2006/relationships/hyperlink" Target="https://dcceew2.sharepoint.com/sites/dochub-energy/teamadmin/elect/Shared%20Documents/Retail%20Policy%20Team/Policy%20Projects/SSO%20Implementation%202025-26/IA/Impact%20assessment/Second%20Pass%20Draft/google.com/search?q=AEMC+smart+meter+refroms&amp;rlz=1C1FHFK_en-GBAU1159AU1159&amp;oq=AEMC+smart+meter+refroms&amp;gs_lcrp=EgZjaHJvbWUyBggAEEUYOTIJCAEQIRgKGKABMgkIAhAhGAoYoAEyCQgDECEYChigATIHCAQQIRiPAjIHCAUQIRiPAjIHCAYQIRiPAtIBCDUwODVqMGo3qAIIsAIB8QWLeZUXf_HIcg&amp;sourceid=chrome&amp;ie=UTF-8" TargetMode="External"/><Relationship Id="rId19" Type="http://schemas.openxmlformats.org/officeDocument/2006/relationships/hyperlink" Target="https://company.ovo.com/ovo-offers-two-free-hours-of-energy-every-week-to-lower-bills-this-summer/" TargetMode="External"/><Relationship Id="rId4" Type="http://schemas.openxmlformats.org/officeDocument/2006/relationships/hyperlink" Target="https://storage.googleapis.com/files-au-climate/climate-au/p/prj38bdad552e555e1c7f990/page/Solar_Sharer_Offer_consultation_outcomes_paper_PDF_939KB_.pdf" TargetMode="External"/><Relationship Id="rId9" Type="http://schemas.openxmlformats.org/officeDocument/2006/relationships/hyperlink" Target="https://www.dcceew.gov.au/energy/programs/default-market-offer" TargetMode="External"/><Relationship Id="rId14" Type="http://schemas.openxmlformats.org/officeDocument/2006/relationships/hyperlink" Target="https://www.energy.gov.au/energy-bill-relief-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CD094-9D46-4AC7-AB59-49ADEC2B06E2}">
  <ds:schemaRefs>
    <ds:schemaRef ds:uri="http://schemas.openxmlformats.org/officeDocument/2006/bibliography"/>
  </ds:schemaRefs>
</ds:datastoreItem>
</file>

<file path=docMetadata/LabelInfo.xml><?xml version="1.0" encoding="utf-8"?>
<clbl:labelList xmlns:clbl="http://schemas.microsoft.com/office/2020/mipLabelMetadata">
  <clbl:label id="{e77bd1fd-cff5-424f-b2b1-53282a1d84c1}"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57</Pages>
  <Words>19827</Words>
  <Characters>112225</Characters>
  <Application>Microsoft Office Word</Application>
  <DocSecurity>0</DocSecurity>
  <Lines>2737</Lines>
  <Paragraphs>1886</Paragraphs>
  <ScaleCrop>false</ScaleCrop>
  <Manager/>
  <Company/>
  <LinksUpToDate>false</LinksUpToDate>
  <CharactersWithSpaces>130166</CharactersWithSpaces>
  <SharedDoc>false</SharedDoc>
  <HLinks>
    <vt:vector size="552" baseType="variant">
      <vt:variant>
        <vt:i4>3866678</vt:i4>
      </vt:variant>
      <vt:variant>
        <vt:i4>426</vt:i4>
      </vt:variant>
      <vt:variant>
        <vt:i4>0</vt:i4>
      </vt:variant>
      <vt:variant>
        <vt:i4>5</vt:i4>
      </vt:variant>
      <vt:variant>
        <vt:lpwstr>https://www.google.com/url?sa=t&amp;rct=j&amp;q=&amp;esrc=s&amp;source=web&amp;cd=&amp;cad=rja&amp;uact=8&amp;ved=2ahUKEwjwi7HFmNCRAxWKhlYBHaV4NLEQFnoECBgQAQ&amp;url=https%3A%2F%2Fwww.aemo.com.au%2Fenergy-systems%2Felectricity%2Fnational-electricity-market-nem&amp;usg=AOvVaw1SRdc8xKTM2lc4T-JuMQKy&amp;opi=89978449</vt:lpwstr>
      </vt:variant>
      <vt:variant>
        <vt:lpwstr/>
      </vt:variant>
      <vt:variant>
        <vt:i4>6488064</vt:i4>
      </vt:variant>
      <vt:variant>
        <vt:i4>423</vt:i4>
      </vt:variant>
      <vt:variant>
        <vt:i4>0</vt:i4>
      </vt:variant>
      <vt:variant>
        <vt:i4>5</vt:i4>
      </vt:variant>
      <vt:variant>
        <vt:lpwstr>https://www.google.com/url?sa=i&amp;source=web&amp;rct=j&amp;url=https://www.accc.gov.au/about-us/publications/guide-to-the-electricity-retail-code&amp;ved=2ahUKEwig7Luph-SSAxVEbmwGHUFgJ8AQy_kOegQIARAC&amp;opi=89978449&amp;cd&amp;psig=AOvVaw3DVKmbYZnkCqdTHjomPFQx&amp;ust=1771539037312000</vt:lpwstr>
      </vt:variant>
      <vt:variant>
        <vt:lpwstr/>
      </vt:variant>
      <vt:variant>
        <vt:i4>1966140</vt:i4>
      </vt:variant>
      <vt:variant>
        <vt:i4>410</vt:i4>
      </vt:variant>
      <vt:variant>
        <vt:i4>0</vt:i4>
      </vt:variant>
      <vt:variant>
        <vt:i4>5</vt:i4>
      </vt:variant>
      <vt:variant>
        <vt:lpwstr/>
      </vt:variant>
      <vt:variant>
        <vt:lpwstr>_Toc222842818</vt:lpwstr>
      </vt:variant>
      <vt:variant>
        <vt:i4>1966140</vt:i4>
      </vt:variant>
      <vt:variant>
        <vt:i4>404</vt:i4>
      </vt:variant>
      <vt:variant>
        <vt:i4>0</vt:i4>
      </vt:variant>
      <vt:variant>
        <vt:i4>5</vt:i4>
      </vt:variant>
      <vt:variant>
        <vt:lpwstr/>
      </vt:variant>
      <vt:variant>
        <vt:lpwstr>_Toc222842817</vt:lpwstr>
      </vt:variant>
      <vt:variant>
        <vt:i4>1966140</vt:i4>
      </vt:variant>
      <vt:variant>
        <vt:i4>398</vt:i4>
      </vt:variant>
      <vt:variant>
        <vt:i4>0</vt:i4>
      </vt:variant>
      <vt:variant>
        <vt:i4>5</vt:i4>
      </vt:variant>
      <vt:variant>
        <vt:lpwstr/>
      </vt:variant>
      <vt:variant>
        <vt:lpwstr>_Toc222842816</vt:lpwstr>
      </vt:variant>
      <vt:variant>
        <vt:i4>1966140</vt:i4>
      </vt:variant>
      <vt:variant>
        <vt:i4>392</vt:i4>
      </vt:variant>
      <vt:variant>
        <vt:i4>0</vt:i4>
      </vt:variant>
      <vt:variant>
        <vt:i4>5</vt:i4>
      </vt:variant>
      <vt:variant>
        <vt:lpwstr/>
      </vt:variant>
      <vt:variant>
        <vt:lpwstr>_Toc222842815</vt:lpwstr>
      </vt:variant>
      <vt:variant>
        <vt:i4>1966140</vt:i4>
      </vt:variant>
      <vt:variant>
        <vt:i4>386</vt:i4>
      </vt:variant>
      <vt:variant>
        <vt:i4>0</vt:i4>
      </vt:variant>
      <vt:variant>
        <vt:i4>5</vt:i4>
      </vt:variant>
      <vt:variant>
        <vt:lpwstr/>
      </vt:variant>
      <vt:variant>
        <vt:lpwstr>_Toc222842814</vt:lpwstr>
      </vt:variant>
      <vt:variant>
        <vt:i4>1966140</vt:i4>
      </vt:variant>
      <vt:variant>
        <vt:i4>380</vt:i4>
      </vt:variant>
      <vt:variant>
        <vt:i4>0</vt:i4>
      </vt:variant>
      <vt:variant>
        <vt:i4>5</vt:i4>
      </vt:variant>
      <vt:variant>
        <vt:lpwstr/>
      </vt:variant>
      <vt:variant>
        <vt:lpwstr>_Toc222842813</vt:lpwstr>
      </vt:variant>
      <vt:variant>
        <vt:i4>1966140</vt:i4>
      </vt:variant>
      <vt:variant>
        <vt:i4>374</vt:i4>
      </vt:variant>
      <vt:variant>
        <vt:i4>0</vt:i4>
      </vt:variant>
      <vt:variant>
        <vt:i4>5</vt:i4>
      </vt:variant>
      <vt:variant>
        <vt:lpwstr/>
      </vt:variant>
      <vt:variant>
        <vt:lpwstr>_Toc222842812</vt:lpwstr>
      </vt:variant>
      <vt:variant>
        <vt:i4>1966140</vt:i4>
      </vt:variant>
      <vt:variant>
        <vt:i4>368</vt:i4>
      </vt:variant>
      <vt:variant>
        <vt:i4>0</vt:i4>
      </vt:variant>
      <vt:variant>
        <vt:i4>5</vt:i4>
      </vt:variant>
      <vt:variant>
        <vt:lpwstr/>
      </vt:variant>
      <vt:variant>
        <vt:lpwstr>_Toc222842811</vt:lpwstr>
      </vt:variant>
      <vt:variant>
        <vt:i4>1966140</vt:i4>
      </vt:variant>
      <vt:variant>
        <vt:i4>362</vt:i4>
      </vt:variant>
      <vt:variant>
        <vt:i4>0</vt:i4>
      </vt:variant>
      <vt:variant>
        <vt:i4>5</vt:i4>
      </vt:variant>
      <vt:variant>
        <vt:lpwstr/>
      </vt:variant>
      <vt:variant>
        <vt:lpwstr>_Toc222842810</vt:lpwstr>
      </vt:variant>
      <vt:variant>
        <vt:i4>2031676</vt:i4>
      </vt:variant>
      <vt:variant>
        <vt:i4>356</vt:i4>
      </vt:variant>
      <vt:variant>
        <vt:i4>0</vt:i4>
      </vt:variant>
      <vt:variant>
        <vt:i4>5</vt:i4>
      </vt:variant>
      <vt:variant>
        <vt:lpwstr/>
      </vt:variant>
      <vt:variant>
        <vt:lpwstr>_Toc222842809</vt:lpwstr>
      </vt:variant>
      <vt:variant>
        <vt:i4>2031676</vt:i4>
      </vt:variant>
      <vt:variant>
        <vt:i4>350</vt:i4>
      </vt:variant>
      <vt:variant>
        <vt:i4>0</vt:i4>
      </vt:variant>
      <vt:variant>
        <vt:i4>5</vt:i4>
      </vt:variant>
      <vt:variant>
        <vt:lpwstr/>
      </vt:variant>
      <vt:variant>
        <vt:lpwstr>_Toc222842808</vt:lpwstr>
      </vt:variant>
      <vt:variant>
        <vt:i4>2031676</vt:i4>
      </vt:variant>
      <vt:variant>
        <vt:i4>344</vt:i4>
      </vt:variant>
      <vt:variant>
        <vt:i4>0</vt:i4>
      </vt:variant>
      <vt:variant>
        <vt:i4>5</vt:i4>
      </vt:variant>
      <vt:variant>
        <vt:lpwstr/>
      </vt:variant>
      <vt:variant>
        <vt:lpwstr>_Toc222842807</vt:lpwstr>
      </vt:variant>
      <vt:variant>
        <vt:i4>2031676</vt:i4>
      </vt:variant>
      <vt:variant>
        <vt:i4>338</vt:i4>
      </vt:variant>
      <vt:variant>
        <vt:i4>0</vt:i4>
      </vt:variant>
      <vt:variant>
        <vt:i4>5</vt:i4>
      </vt:variant>
      <vt:variant>
        <vt:lpwstr/>
      </vt:variant>
      <vt:variant>
        <vt:lpwstr>_Toc222842806</vt:lpwstr>
      </vt:variant>
      <vt:variant>
        <vt:i4>2031676</vt:i4>
      </vt:variant>
      <vt:variant>
        <vt:i4>332</vt:i4>
      </vt:variant>
      <vt:variant>
        <vt:i4>0</vt:i4>
      </vt:variant>
      <vt:variant>
        <vt:i4>5</vt:i4>
      </vt:variant>
      <vt:variant>
        <vt:lpwstr/>
      </vt:variant>
      <vt:variant>
        <vt:lpwstr>_Toc222842805</vt:lpwstr>
      </vt:variant>
      <vt:variant>
        <vt:i4>2031676</vt:i4>
      </vt:variant>
      <vt:variant>
        <vt:i4>326</vt:i4>
      </vt:variant>
      <vt:variant>
        <vt:i4>0</vt:i4>
      </vt:variant>
      <vt:variant>
        <vt:i4>5</vt:i4>
      </vt:variant>
      <vt:variant>
        <vt:lpwstr/>
      </vt:variant>
      <vt:variant>
        <vt:lpwstr>_Toc222842804</vt:lpwstr>
      </vt:variant>
      <vt:variant>
        <vt:i4>2031676</vt:i4>
      </vt:variant>
      <vt:variant>
        <vt:i4>320</vt:i4>
      </vt:variant>
      <vt:variant>
        <vt:i4>0</vt:i4>
      </vt:variant>
      <vt:variant>
        <vt:i4>5</vt:i4>
      </vt:variant>
      <vt:variant>
        <vt:lpwstr/>
      </vt:variant>
      <vt:variant>
        <vt:lpwstr>_Toc222842803</vt:lpwstr>
      </vt:variant>
      <vt:variant>
        <vt:i4>2031676</vt:i4>
      </vt:variant>
      <vt:variant>
        <vt:i4>314</vt:i4>
      </vt:variant>
      <vt:variant>
        <vt:i4>0</vt:i4>
      </vt:variant>
      <vt:variant>
        <vt:i4>5</vt:i4>
      </vt:variant>
      <vt:variant>
        <vt:lpwstr/>
      </vt:variant>
      <vt:variant>
        <vt:lpwstr>_Toc222842802</vt:lpwstr>
      </vt:variant>
      <vt:variant>
        <vt:i4>2031676</vt:i4>
      </vt:variant>
      <vt:variant>
        <vt:i4>308</vt:i4>
      </vt:variant>
      <vt:variant>
        <vt:i4>0</vt:i4>
      </vt:variant>
      <vt:variant>
        <vt:i4>5</vt:i4>
      </vt:variant>
      <vt:variant>
        <vt:lpwstr/>
      </vt:variant>
      <vt:variant>
        <vt:lpwstr>_Toc222842801</vt:lpwstr>
      </vt:variant>
      <vt:variant>
        <vt:i4>2031676</vt:i4>
      </vt:variant>
      <vt:variant>
        <vt:i4>302</vt:i4>
      </vt:variant>
      <vt:variant>
        <vt:i4>0</vt:i4>
      </vt:variant>
      <vt:variant>
        <vt:i4>5</vt:i4>
      </vt:variant>
      <vt:variant>
        <vt:lpwstr/>
      </vt:variant>
      <vt:variant>
        <vt:lpwstr>_Toc222842800</vt:lpwstr>
      </vt:variant>
      <vt:variant>
        <vt:i4>1441843</vt:i4>
      </vt:variant>
      <vt:variant>
        <vt:i4>296</vt:i4>
      </vt:variant>
      <vt:variant>
        <vt:i4>0</vt:i4>
      </vt:variant>
      <vt:variant>
        <vt:i4>5</vt:i4>
      </vt:variant>
      <vt:variant>
        <vt:lpwstr/>
      </vt:variant>
      <vt:variant>
        <vt:lpwstr>_Toc222842799</vt:lpwstr>
      </vt:variant>
      <vt:variant>
        <vt:i4>1441843</vt:i4>
      </vt:variant>
      <vt:variant>
        <vt:i4>290</vt:i4>
      </vt:variant>
      <vt:variant>
        <vt:i4>0</vt:i4>
      </vt:variant>
      <vt:variant>
        <vt:i4>5</vt:i4>
      </vt:variant>
      <vt:variant>
        <vt:lpwstr/>
      </vt:variant>
      <vt:variant>
        <vt:lpwstr>_Toc222842798</vt:lpwstr>
      </vt:variant>
      <vt:variant>
        <vt:i4>1441843</vt:i4>
      </vt:variant>
      <vt:variant>
        <vt:i4>284</vt:i4>
      </vt:variant>
      <vt:variant>
        <vt:i4>0</vt:i4>
      </vt:variant>
      <vt:variant>
        <vt:i4>5</vt:i4>
      </vt:variant>
      <vt:variant>
        <vt:lpwstr/>
      </vt:variant>
      <vt:variant>
        <vt:lpwstr>_Toc222842797</vt:lpwstr>
      </vt:variant>
      <vt:variant>
        <vt:i4>1441843</vt:i4>
      </vt:variant>
      <vt:variant>
        <vt:i4>278</vt:i4>
      </vt:variant>
      <vt:variant>
        <vt:i4>0</vt:i4>
      </vt:variant>
      <vt:variant>
        <vt:i4>5</vt:i4>
      </vt:variant>
      <vt:variant>
        <vt:lpwstr/>
      </vt:variant>
      <vt:variant>
        <vt:lpwstr>_Toc222842796</vt:lpwstr>
      </vt:variant>
      <vt:variant>
        <vt:i4>1441843</vt:i4>
      </vt:variant>
      <vt:variant>
        <vt:i4>272</vt:i4>
      </vt:variant>
      <vt:variant>
        <vt:i4>0</vt:i4>
      </vt:variant>
      <vt:variant>
        <vt:i4>5</vt:i4>
      </vt:variant>
      <vt:variant>
        <vt:lpwstr/>
      </vt:variant>
      <vt:variant>
        <vt:lpwstr>_Toc222842795</vt:lpwstr>
      </vt:variant>
      <vt:variant>
        <vt:i4>1441843</vt:i4>
      </vt:variant>
      <vt:variant>
        <vt:i4>266</vt:i4>
      </vt:variant>
      <vt:variant>
        <vt:i4>0</vt:i4>
      </vt:variant>
      <vt:variant>
        <vt:i4>5</vt:i4>
      </vt:variant>
      <vt:variant>
        <vt:lpwstr/>
      </vt:variant>
      <vt:variant>
        <vt:lpwstr>_Toc222842794</vt:lpwstr>
      </vt:variant>
      <vt:variant>
        <vt:i4>1441843</vt:i4>
      </vt:variant>
      <vt:variant>
        <vt:i4>260</vt:i4>
      </vt:variant>
      <vt:variant>
        <vt:i4>0</vt:i4>
      </vt:variant>
      <vt:variant>
        <vt:i4>5</vt:i4>
      </vt:variant>
      <vt:variant>
        <vt:lpwstr/>
      </vt:variant>
      <vt:variant>
        <vt:lpwstr>_Toc222842793</vt:lpwstr>
      </vt:variant>
      <vt:variant>
        <vt:i4>1441843</vt:i4>
      </vt:variant>
      <vt:variant>
        <vt:i4>254</vt:i4>
      </vt:variant>
      <vt:variant>
        <vt:i4>0</vt:i4>
      </vt:variant>
      <vt:variant>
        <vt:i4>5</vt:i4>
      </vt:variant>
      <vt:variant>
        <vt:lpwstr/>
      </vt:variant>
      <vt:variant>
        <vt:lpwstr>_Toc222842792</vt:lpwstr>
      </vt:variant>
      <vt:variant>
        <vt:i4>1441843</vt:i4>
      </vt:variant>
      <vt:variant>
        <vt:i4>248</vt:i4>
      </vt:variant>
      <vt:variant>
        <vt:i4>0</vt:i4>
      </vt:variant>
      <vt:variant>
        <vt:i4>5</vt:i4>
      </vt:variant>
      <vt:variant>
        <vt:lpwstr/>
      </vt:variant>
      <vt:variant>
        <vt:lpwstr>_Toc222842791</vt:lpwstr>
      </vt:variant>
      <vt:variant>
        <vt:i4>1441843</vt:i4>
      </vt:variant>
      <vt:variant>
        <vt:i4>242</vt:i4>
      </vt:variant>
      <vt:variant>
        <vt:i4>0</vt:i4>
      </vt:variant>
      <vt:variant>
        <vt:i4>5</vt:i4>
      </vt:variant>
      <vt:variant>
        <vt:lpwstr/>
      </vt:variant>
      <vt:variant>
        <vt:lpwstr>_Toc222842790</vt:lpwstr>
      </vt:variant>
      <vt:variant>
        <vt:i4>1507379</vt:i4>
      </vt:variant>
      <vt:variant>
        <vt:i4>236</vt:i4>
      </vt:variant>
      <vt:variant>
        <vt:i4>0</vt:i4>
      </vt:variant>
      <vt:variant>
        <vt:i4>5</vt:i4>
      </vt:variant>
      <vt:variant>
        <vt:lpwstr/>
      </vt:variant>
      <vt:variant>
        <vt:lpwstr>_Toc222842789</vt:lpwstr>
      </vt:variant>
      <vt:variant>
        <vt:i4>1507379</vt:i4>
      </vt:variant>
      <vt:variant>
        <vt:i4>230</vt:i4>
      </vt:variant>
      <vt:variant>
        <vt:i4>0</vt:i4>
      </vt:variant>
      <vt:variant>
        <vt:i4>5</vt:i4>
      </vt:variant>
      <vt:variant>
        <vt:lpwstr/>
      </vt:variant>
      <vt:variant>
        <vt:lpwstr>_Toc222842788</vt:lpwstr>
      </vt:variant>
      <vt:variant>
        <vt:i4>1507379</vt:i4>
      </vt:variant>
      <vt:variant>
        <vt:i4>224</vt:i4>
      </vt:variant>
      <vt:variant>
        <vt:i4>0</vt:i4>
      </vt:variant>
      <vt:variant>
        <vt:i4>5</vt:i4>
      </vt:variant>
      <vt:variant>
        <vt:lpwstr/>
      </vt:variant>
      <vt:variant>
        <vt:lpwstr>_Toc222842787</vt:lpwstr>
      </vt:variant>
      <vt:variant>
        <vt:i4>1507379</vt:i4>
      </vt:variant>
      <vt:variant>
        <vt:i4>218</vt:i4>
      </vt:variant>
      <vt:variant>
        <vt:i4>0</vt:i4>
      </vt:variant>
      <vt:variant>
        <vt:i4>5</vt:i4>
      </vt:variant>
      <vt:variant>
        <vt:lpwstr/>
      </vt:variant>
      <vt:variant>
        <vt:lpwstr>_Toc222842786</vt:lpwstr>
      </vt:variant>
      <vt:variant>
        <vt:i4>1507379</vt:i4>
      </vt:variant>
      <vt:variant>
        <vt:i4>212</vt:i4>
      </vt:variant>
      <vt:variant>
        <vt:i4>0</vt:i4>
      </vt:variant>
      <vt:variant>
        <vt:i4>5</vt:i4>
      </vt:variant>
      <vt:variant>
        <vt:lpwstr/>
      </vt:variant>
      <vt:variant>
        <vt:lpwstr>_Toc222842785</vt:lpwstr>
      </vt:variant>
      <vt:variant>
        <vt:i4>1507379</vt:i4>
      </vt:variant>
      <vt:variant>
        <vt:i4>206</vt:i4>
      </vt:variant>
      <vt:variant>
        <vt:i4>0</vt:i4>
      </vt:variant>
      <vt:variant>
        <vt:i4>5</vt:i4>
      </vt:variant>
      <vt:variant>
        <vt:lpwstr/>
      </vt:variant>
      <vt:variant>
        <vt:lpwstr>_Toc222842784</vt:lpwstr>
      </vt:variant>
      <vt:variant>
        <vt:i4>1507379</vt:i4>
      </vt:variant>
      <vt:variant>
        <vt:i4>200</vt:i4>
      </vt:variant>
      <vt:variant>
        <vt:i4>0</vt:i4>
      </vt:variant>
      <vt:variant>
        <vt:i4>5</vt:i4>
      </vt:variant>
      <vt:variant>
        <vt:lpwstr/>
      </vt:variant>
      <vt:variant>
        <vt:lpwstr>_Toc222842783</vt:lpwstr>
      </vt:variant>
      <vt:variant>
        <vt:i4>1507379</vt:i4>
      </vt:variant>
      <vt:variant>
        <vt:i4>194</vt:i4>
      </vt:variant>
      <vt:variant>
        <vt:i4>0</vt:i4>
      </vt:variant>
      <vt:variant>
        <vt:i4>5</vt:i4>
      </vt:variant>
      <vt:variant>
        <vt:lpwstr/>
      </vt:variant>
      <vt:variant>
        <vt:lpwstr>_Toc222842782</vt:lpwstr>
      </vt:variant>
      <vt:variant>
        <vt:i4>1507379</vt:i4>
      </vt:variant>
      <vt:variant>
        <vt:i4>188</vt:i4>
      </vt:variant>
      <vt:variant>
        <vt:i4>0</vt:i4>
      </vt:variant>
      <vt:variant>
        <vt:i4>5</vt:i4>
      </vt:variant>
      <vt:variant>
        <vt:lpwstr/>
      </vt:variant>
      <vt:variant>
        <vt:lpwstr>_Toc222842781</vt:lpwstr>
      </vt:variant>
      <vt:variant>
        <vt:i4>1507379</vt:i4>
      </vt:variant>
      <vt:variant>
        <vt:i4>182</vt:i4>
      </vt:variant>
      <vt:variant>
        <vt:i4>0</vt:i4>
      </vt:variant>
      <vt:variant>
        <vt:i4>5</vt:i4>
      </vt:variant>
      <vt:variant>
        <vt:lpwstr/>
      </vt:variant>
      <vt:variant>
        <vt:lpwstr>_Toc222842780</vt:lpwstr>
      </vt:variant>
      <vt:variant>
        <vt:i4>1572915</vt:i4>
      </vt:variant>
      <vt:variant>
        <vt:i4>176</vt:i4>
      </vt:variant>
      <vt:variant>
        <vt:i4>0</vt:i4>
      </vt:variant>
      <vt:variant>
        <vt:i4>5</vt:i4>
      </vt:variant>
      <vt:variant>
        <vt:lpwstr/>
      </vt:variant>
      <vt:variant>
        <vt:lpwstr>_Toc222842779</vt:lpwstr>
      </vt:variant>
      <vt:variant>
        <vt:i4>1572915</vt:i4>
      </vt:variant>
      <vt:variant>
        <vt:i4>170</vt:i4>
      </vt:variant>
      <vt:variant>
        <vt:i4>0</vt:i4>
      </vt:variant>
      <vt:variant>
        <vt:i4>5</vt:i4>
      </vt:variant>
      <vt:variant>
        <vt:lpwstr/>
      </vt:variant>
      <vt:variant>
        <vt:lpwstr>_Toc222842778</vt:lpwstr>
      </vt:variant>
      <vt:variant>
        <vt:i4>1572915</vt:i4>
      </vt:variant>
      <vt:variant>
        <vt:i4>164</vt:i4>
      </vt:variant>
      <vt:variant>
        <vt:i4>0</vt:i4>
      </vt:variant>
      <vt:variant>
        <vt:i4>5</vt:i4>
      </vt:variant>
      <vt:variant>
        <vt:lpwstr/>
      </vt:variant>
      <vt:variant>
        <vt:lpwstr>_Toc222842777</vt:lpwstr>
      </vt:variant>
      <vt:variant>
        <vt:i4>1572915</vt:i4>
      </vt:variant>
      <vt:variant>
        <vt:i4>158</vt:i4>
      </vt:variant>
      <vt:variant>
        <vt:i4>0</vt:i4>
      </vt:variant>
      <vt:variant>
        <vt:i4>5</vt:i4>
      </vt:variant>
      <vt:variant>
        <vt:lpwstr/>
      </vt:variant>
      <vt:variant>
        <vt:lpwstr>_Toc222842776</vt:lpwstr>
      </vt:variant>
      <vt:variant>
        <vt:i4>1572915</vt:i4>
      </vt:variant>
      <vt:variant>
        <vt:i4>152</vt:i4>
      </vt:variant>
      <vt:variant>
        <vt:i4>0</vt:i4>
      </vt:variant>
      <vt:variant>
        <vt:i4>5</vt:i4>
      </vt:variant>
      <vt:variant>
        <vt:lpwstr/>
      </vt:variant>
      <vt:variant>
        <vt:lpwstr>_Toc222842775</vt:lpwstr>
      </vt:variant>
      <vt:variant>
        <vt:i4>1572915</vt:i4>
      </vt:variant>
      <vt:variant>
        <vt:i4>146</vt:i4>
      </vt:variant>
      <vt:variant>
        <vt:i4>0</vt:i4>
      </vt:variant>
      <vt:variant>
        <vt:i4>5</vt:i4>
      </vt:variant>
      <vt:variant>
        <vt:lpwstr/>
      </vt:variant>
      <vt:variant>
        <vt:lpwstr>_Toc222842774</vt:lpwstr>
      </vt:variant>
      <vt:variant>
        <vt:i4>1572915</vt:i4>
      </vt:variant>
      <vt:variant>
        <vt:i4>140</vt:i4>
      </vt:variant>
      <vt:variant>
        <vt:i4>0</vt:i4>
      </vt:variant>
      <vt:variant>
        <vt:i4>5</vt:i4>
      </vt:variant>
      <vt:variant>
        <vt:lpwstr/>
      </vt:variant>
      <vt:variant>
        <vt:lpwstr>_Toc222842773</vt:lpwstr>
      </vt:variant>
      <vt:variant>
        <vt:i4>1572915</vt:i4>
      </vt:variant>
      <vt:variant>
        <vt:i4>134</vt:i4>
      </vt:variant>
      <vt:variant>
        <vt:i4>0</vt:i4>
      </vt:variant>
      <vt:variant>
        <vt:i4>5</vt:i4>
      </vt:variant>
      <vt:variant>
        <vt:lpwstr/>
      </vt:variant>
      <vt:variant>
        <vt:lpwstr>_Toc222842772</vt:lpwstr>
      </vt:variant>
      <vt:variant>
        <vt:i4>1572915</vt:i4>
      </vt:variant>
      <vt:variant>
        <vt:i4>128</vt:i4>
      </vt:variant>
      <vt:variant>
        <vt:i4>0</vt:i4>
      </vt:variant>
      <vt:variant>
        <vt:i4>5</vt:i4>
      </vt:variant>
      <vt:variant>
        <vt:lpwstr/>
      </vt:variant>
      <vt:variant>
        <vt:lpwstr>_Toc222842771</vt:lpwstr>
      </vt:variant>
      <vt:variant>
        <vt:i4>1572915</vt:i4>
      </vt:variant>
      <vt:variant>
        <vt:i4>122</vt:i4>
      </vt:variant>
      <vt:variant>
        <vt:i4>0</vt:i4>
      </vt:variant>
      <vt:variant>
        <vt:i4>5</vt:i4>
      </vt:variant>
      <vt:variant>
        <vt:lpwstr/>
      </vt:variant>
      <vt:variant>
        <vt:lpwstr>_Toc222842770</vt:lpwstr>
      </vt:variant>
      <vt:variant>
        <vt:i4>1638451</vt:i4>
      </vt:variant>
      <vt:variant>
        <vt:i4>116</vt:i4>
      </vt:variant>
      <vt:variant>
        <vt:i4>0</vt:i4>
      </vt:variant>
      <vt:variant>
        <vt:i4>5</vt:i4>
      </vt:variant>
      <vt:variant>
        <vt:lpwstr/>
      </vt:variant>
      <vt:variant>
        <vt:lpwstr>_Toc222842769</vt:lpwstr>
      </vt:variant>
      <vt:variant>
        <vt:i4>1638451</vt:i4>
      </vt:variant>
      <vt:variant>
        <vt:i4>110</vt:i4>
      </vt:variant>
      <vt:variant>
        <vt:i4>0</vt:i4>
      </vt:variant>
      <vt:variant>
        <vt:i4>5</vt:i4>
      </vt:variant>
      <vt:variant>
        <vt:lpwstr/>
      </vt:variant>
      <vt:variant>
        <vt:lpwstr>_Toc222842768</vt:lpwstr>
      </vt:variant>
      <vt:variant>
        <vt:i4>1638451</vt:i4>
      </vt:variant>
      <vt:variant>
        <vt:i4>104</vt:i4>
      </vt:variant>
      <vt:variant>
        <vt:i4>0</vt:i4>
      </vt:variant>
      <vt:variant>
        <vt:i4>5</vt:i4>
      </vt:variant>
      <vt:variant>
        <vt:lpwstr/>
      </vt:variant>
      <vt:variant>
        <vt:lpwstr>_Toc222842767</vt:lpwstr>
      </vt:variant>
      <vt:variant>
        <vt:i4>1638451</vt:i4>
      </vt:variant>
      <vt:variant>
        <vt:i4>98</vt:i4>
      </vt:variant>
      <vt:variant>
        <vt:i4>0</vt:i4>
      </vt:variant>
      <vt:variant>
        <vt:i4>5</vt:i4>
      </vt:variant>
      <vt:variant>
        <vt:lpwstr/>
      </vt:variant>
      <vt:variant>
        <vt:lpwstr>_Toc222842766</vt:lpwstr>
      </vt:variant>
      <vt:variant>
        <vt:i4>1638451</vt:i4>
      </vt:variant>
      <vt:variant>
        <vt:i4>92</vt:i4>
      </vt:variant>
      <vt:variant>
        <vt:i4>0</vt:i4>
      </vt:variant>
      <vt:variant>
        <vt:i4>5</vt:i4>
      </vt:variant>
      <vt:variant>
        <vt:lpwstr/>
      </vt:variant>
      <vt:variant>
        <vt:lpwstr>_Toc222842765</vt:lpwstr>
      </vt:variant>
      <vt:variant>
        <vt:i4>1638451</vt:i4>
      </vt:variant>
      <vt:variant>
        <vt:i4>86</vt:i4>
      </vt:variant>
      <vt:variant>
        <vt:i4>0</vt:i4>
      </vt:variant>
      <vt:variant>
        <vt:i4>5</vt:i4>
      </vt:variant>
      <vt:variant>
        <vt:lpwstr/>
      </vt:variant>
      <vt:variant>
        <vt:lpwstr>_Toc222842764</vt:lpwstr>
      </vt:variant>
      <vt:variant>
        <vt:i4>1638451</vt:i4>
      </vt:variant>
      <vt:variant>
        <vt:i4>80</vt:i4>
      </vt:variant>
      <vt:variant>
        <vt:i4>0</vt:i4>
      </vt:variant>
      <vt:variant>
        <vt:i4>5</vt:i4>
      </vt:variant>
      <vt:variant>
        <vt:lpwstr/>
      </vt:variant>
      <vt:variant>
        <vt:lpwstr>_Toc222842763</vt:lpwstr>
      </vt:variant>
      <vt:variant>
        <vt:i4>1638451</vt:i4>
      </vt:variant>
      <vt:variant>
        <vt:i4>74</vt:i4>
      </vt:variant>
      <vt:variant>
        <vt:i4>0</vt:i4>
      </vt:variant>
      <vt:variant>
        <vt:i4>5</vt:i4>
      </vt:variant>
      <vt:variant>
        <vt:lpwstr/>
      </vt:variant>
      <vt:variant>
        <vt:lpwstr>_Toc222842762</vt:lpwstr>
      </vt:variant>
      <vt:variant>
        <vt:i4>1638451</vt:i4>
      </vt:variant>
      <vt:variant>
        <vt:i4>68</vt:i4>
      </vt:variant>
      <vt:variant>
        <vt:i4>0</vt:i4>
      </vt:variant>
      <vt:variant>
        <vt:i4>5</vt:i4>
      </vt:variant>
      <vt:variant>
        <vt:lpwstr/>
      </vt:variant>
      <vt:variant>
        <vt:lpwstr>_Toc222842761</vt:lpwstr>
      </vt:variant>
      <vt:variant>
        <vt:i4>1638451</vt:i4>
      </vt:variant>
      <vt:variant>
        <vt:i4>62</vt:i4>
      </vt:variant>
      <vt:variant>
        <vt:i4>0</vt:i4>
      </vt:variant>
      <vt:variant>
        <vt:i4>5</vt:i4>
      </vt:variant>
      <vt:variant>
        <vt:lpwstr/>
      </vt:variant>
      <vt:variant>
        <vt:lpwstr>_Toc222842760</vt:lpwstr>
      </vt:variant>
      <vt:variant>
        <vt:i4>1703987</vt:i4>
      </vt:variant>
      <vt:variant>
        <vt:i4>56</vt:i4>
      </vt:variant>
      <vt:variant>
        <vt:i4>0</vt:i4>
      </vt:variant>
      <vt:variant>
        <vt:i4>5</vt:i4>
      </vt:variant>
      <vt:variant>
        <vt:lpwstr/>
      </vt:variant>
      <vt:variant>
        <vt:lpwstr>_Toc222842759</vt:lpwstr>
      </vt:variant>
      <vt:variant>
        <vt:i4>1703987</vt:i4>
      </vt:variant>
      <vt:variant>
        <vt:i4>50</vt:i4>
      </vt:variant>
      <vt:variant>
        <vt:i4>0</vt:i4>
      </vt:variant>
      <vt:variant>
        <vt:i4>5</vt:i4>
      </vt:variant>
      <vt:variant>
        <vt:lpwstr/>
      </vt:variant>
      <vt:variant>
        <vt:lpwstr>_Toc222842758</vt:lpwstr>
      </vt:variant>
      <vt:variant>
        <vt:i4>1703987</vt:i4>
      </vt:variant>
      <vt:variant>
        <vt:i4>44</vt:i4>
      </vt:variant>
      <vt:variant>
        <vt:i4>0</vt:i4>
      </vt:variant>
      <vt:variant>
        <vt:i4>5</vt:i4>
      </vt:variant>
      <vt:variant>
        <vt:lpwstr/>
      </vt:variant>
      <vt:variant>
        <vt:lpwstr>_Toc222842757</vt:lpwstr>
      </vt:variant>
      <vt:variant>
        <vt:i4>1703987</vt:i4>
      </vt:variant>
      <vt:variant>
        <vt:i4>38</vt:i4>
      </vt:variant>
      <vt:variant>
        <vt:i4>0</vt:i4>
      </vt:variant>
      <vt:variant>
        <vt:i4>5</vt:i4>
      </vt:variant>
      <vt:variant>
        <vt:lpwstr/>
      </vt:variant>
      <vt:variant>
        <vt:lpwstr>_Toc222842756</vt:lpwstr>
      </vt:variant>
      <vt:variant>
        <vt:i4>1703987</vt:i4>
      </vt:variant>
      <vt:variant>
        <vt:i4>32</vt:i4>
      </vt:variant>
      <vt:variant>
        <vt:i4>0</vt:i4>
      </vt:variant>
      <vt:variant>
        <vt:i4>5</vt:i4>
      </vt:variant>
      <vt:variant>
        <vt:lpwstr/>
      </vt:variant>
      <vt:variant>
        <vt:lpwstr>_Toc222842755</vt:lpwstr>
      </vt:variant>
      <vt:variant>
        <vt:i4>1703987</vt:i4>
      </vt:variant>
      <vt:variant>
        <vt:i4>26</vt:i4>
      </vt:variant>
      <vt:variant>
        <vt:i4>0</vt:i4>
      </vt:variant>
      <vt:variant>
        <vt:i4>5</vt:i4>
      </vt:variant>
      <vt:variant>
        <vt:lpwstr/>
      </vt:variant>
      <vt:variant>
        <vt:lpwstr>_Toc222842754</vt:lpwstr>
      </vt:variant>
      <vt:variant>
        <vt:i4>1703987</vt:i4>
      </vt:variant>
      <vt:variant>
        <vt:i4>20</vt:i4>
      </vt:variant>
      <vt:variant>
        <vt:i4>0</vt:i4>
      </vt:variant>
      <vt:variant>
        <vt:i4>5</vt:i4>
      </vt:variant>
      <vt:variant>
        <vt:lpwstr/>
      </vt:variant>
      <vt:variant>
        <vt:lpwstr>_Toc222842753</vt:lpwstr>
      </vt:variant>
      <vt:variant>
        <vt:i4>1703987</vt:i4>
      </vt:variant>
      <vt:variant>
        <vt:i4>14</vt:i4>
      </vt:variant>
      <vt:variant>
        <vt:i4>0</vt:i4>
      </vt:variant>
      <vt:variant>
        <vt:i4>5</vt:i4>
      </vt:variant>
      <vt:variant>
        <vt:lpwstr/>
      </vt:variant>
      <vt:variant>
        <vt:lpwstr>_Toc222842752</vt:lpwstr>
      </vt:variant>
      <vt:variant>
        <vt:i4>1703987</vt:i4>
      </vt:variant>
      <vt:variant>
        <vt:i4>8</vt:i4>
      </vt:variant>
      <vt:variant>
        <vt:i4>0</vt:i4>
      </vt:variant>
      <vt:variant>
        <vt:i4>5</vt:i4>
      </vt:variant>
      <vt:variant>
        <vt:lpwstr/>
      </vt:variant>
      <vt:variant>
        <vt:lpwstr>_Toc222842751</vt:lpwstr>
      </vt:variant>
      <vt:variant>
        <vt:i4>1703987</vt:i4>
      </vt:variant>
      <vt:variant>
        <vt:i4>2</vt:i4>
      </vt:variant>
      <vt:variant>
        <vt:i4>0</vt:i4>
      </vt:variant>
      <vt:variant>
        <vt:i4>5</vt:i4>
      </vt:variant>
      <vt:variant>
        <vt:lpwstr/>
      </vt:variant>
      <vt:variant>
        <vt:lpwstr>_Toc222842750</vt:lpwstr>
      </vt:variant>
      <vt:variant>
        <vt:i4>4128872</vt:i4>
      </vt:variant>
      <vt:variant>
        <vt:i4>60</vt:i4>
      </vt:variant>
      <vt:variant>
        <vt:i4>0</vt:i4>
      </vt:variant>
      <vt:variant>
        <vt:i4>5</vt:i4>
      </vt:variant>
      <vt:variant>
        <vt:lpwstr>https://www.directenergy.com/en/learn/energy-choice/guide-to-free-nights-weekends-plans</vt:lpwstr>
      </vt:variant>
      <vt:variant>
        <vt:lpwstr/>
      </vt:variant>
      <vt:variant>
        <vt:i4>5308486</vt:i4>
      </vt:variant>
      <vt:variant>
        <vt:i4>57</vt:i4>
      </vt:variant>
      <vt:variant>
        <vt:i4>0</vt:i4>
      </vt:variant>
      <vt:variant>
        <vt:i4>5</vt:i4>
      </vt:variant>
      <vt:variant>
        <vt:lpwstr>https://www.the-sun.com/money/14176375/reliant-energy-free-electricity-weekends/</vt:lpwstr>
      </vt:variant>
      <vt:variant>
        <vt:lpwstr/>
      </vt:variant>
      <vt:variant>
        <vt:i4>6946925</vt:i4>
      </vt:variant>
      <vt:variant>
        <vt:i4>54</vt:i4>
      </vt:variant>
      <vt:variant>
        <vt:i4>0</vt:i4>
      </vt:variant>
      <vt:variant>
        <vt:i4>5</vt:i4>
      </vt:variant>
      <vt:variant>
        <vt:lpwstr>https://company.ovo.com/ovo-offers-two-free-hours-of-energy-every-week-to-lower-bills-this-summer/</vt:lpwstr>
      </vt:variant>
      <vt:variant>
        <vt:lpwstr/>
      </vt:variant>
      <vt:variant>
        <vt:i4>3604529</vt:i4>
      </vt:variant>
      <vt:variant>
        <vt:i4>51</vt:i4>
      </vt:variant>
      <vt:variant>
        <vt:i4>0</vt:i4>
      </vt:variant>
      <vt:variant>
        <vt:i4>5</vt:i4>
      </vt:variant>
      <vt:variant>
        <vt:lpwstr>https://www.electrickiwi.co.nz/power/hour-of-power</vt:lpwstr>
      </vt:variant>
      <vt:variant>
        <vt:lpwstr/>
      </vt:variant>
      <vt:variant>
        <vt:i4>4522070</vt:i4>
      </vt:variant>
      <vt:variant>
        <vt:i4>48</vt:i4>
      </vt:variant>
      <vt:variant>
        <vt:i4>0</vt:i4>
      </vt:variant>
      <vt:variant>
        <vt:i4>5</vt:i4>
      </vt:variant>
      <vt:variant>
        <vt:lpwstr>https://contact.co.nz/personal/all-plans/good-nights</vt:lpwstr>
      </vt:variant>
      <vt:variant>
        <vt:lpwstr/>
      </vt:variant>
      <vt:variant>
        <vt:i4>3997729</vt:i4>
      </vt:variant>
      <vt:variant>
        <vt:i4>45</vt:i4>
      </vt:variant>
      <vt:variant>
        <vt:i4>0</vt:i4>
      </vt:variant>
      <vt:variant>
        <vt:i4>5</vt:i4>
      </vt:variant>
      <vt:variant>
        <vt:lpwstr>https://www.accc.gov.au/inquiries-and-consultations/electricity-market-monitoring-inquiry-2018-26/july-2025-report</vt:lpwstr>
      </vt:variant>
      <vt:variant>
        <vt:lpwstr/>
      </vt:variant>
      <vt:variant>
        <vt:i4>2293767</vt:i4>
      </vt:variant>
      <vt:variant>
        <vt:i4>42</vt:i4>
      </vt:variant>
      <vt:variant>
        <vt:i4>0</vt:i4>
      </vt:variant>
      <vt:variant>
        <vt:i4>5</vt:i4>
      </vt:variant>
      <vt:variant>
        <vt:lpwstr>https://www.aer.gov.au/system/files/Residential energy consumption benchmarks - 9 December 2020_0.pdf</vt:lpwstr>
      </vt:variant>
      <vt:variant>
        <vt:lpwstr/>
      </vt:variant>
      <vt:variant>
        <vt:i4>5636177</vt:i4>
      </vt:variant>
      <vt:variant>
        <vt:i4>39</vt:i4>
      </vt:variant>
      <vt:variant>
        <vt:i4>0</vt:i4>
      </vt:variant>
      <vt:variant>
        <vt:i4>5</vt:i4>
      </vt:variant>
      <vt:variant>
        <vt:lpwstr>https://www.energy.gov.au/energy-bill-relief-fund</vt:lpwstr>
      </vt:variant>
      <vt:variant>
        <vt:lpwstr/>
      </vt:variant>
      <vt:variant>
        <vt:i4>5570634</vt:i4>
      </vt:variant>
      <vt:variant>
        <vt:i4>36</vt:i4>
      </vt:variant>
      <vt:variant>
        <vt:i4>0</vt:i4>
      </vt:variant>
      <vt:variant>
        <vt:i4>5</vt:i4>
      </vt:variant>
      <vt:variant>
        <vt:lpwstr>https://www.globirdenergy.com.au/energy-saver/free-lunch/</vt:lpwstr>
      </vt:variant>
      <vt:variant>
        <vt:lpwstr/>
      </vt:variant>
      <vt:variant>
        <vt:i4>5046274</vt:i4>
      </vt:variant>
      <vt:variant>
        <vt:i4>33</vt:i4>
      </vt:variant>
      <vt:variant>
        <vt:i4>0</vt:i4>
      </vt:variant>
      <vt:variant>
        <vt:i4>5</vt:i4>
      </vt:variant>
      <vt:variant>
        <vt:lpwstr>https://pages.ovoenergy.com.au/the-free-3-plan</vt:lpwstr>
      </vt:variant>
      <vt:variant>
        <vt:lpwstr>:~:text=Plug%20in%20all%20the%20things%2C,is%20free.%20Every%20day</vt:lpwstr>
      </vt:variant>
      <vt:variant>
        <vt:i4>1179656</vt:i4>
      </vt:variant>
      <vt:variant>
        <vt:i4>30</vt:i4>
      </vt:variant>
      <vt:variant>
        <vt:i4>0</vt:i4>
      </vt:variant>
      <vt:variant>
        <vt:i4>5</vt:i4>
      </vt:variant>
      <vt:variant>
        <vt:lpwstr>https://www.energymatters.com.au/renewable-news/three-hours-free-when-energy-deals-work-and-when-they-dont/</vt:lpwstr>
      </vt:variant>
      <vt:variant>
        <vt:lpwstr>:~:text=Scenarios%20where%20it%20pays%20off</vt:lpwstr>
      </vt:variant>
      <vt:variant>
        <vt:i4>4259895</vt:i4>
      </vt:variant>
      <vt:variant>
        <vt:i4>27</vt:i4>
      </vt:variant>
      <vt:variant>
        <vt:i4>0</vt:i4>
      </vt:variant>
      <vt:variant>
        <vt:i4>5</vt:i4>
      </vt:variant>
      <vt:variant>
        <vt:lpwstr>https://dcceew2.sharepoint.com/sites/dochub-energy/teamadmin/elect/Shared Documents/Retail Policy Team/Policy Projects/SSO Implementation 2025-26/IA/Impact assessment/Second Pass Draft/google.com/search?q=AEMC+smart+meter+refroms&amp;rlz=1C1FHFK_en-GBAU1159AU1159&amp;oq=AEMC+smart+meter+refroms&amp;gs_lcrp=EgZjaHJvbWUyBggAEEUYOTIJCAEQIRgKGKABMgkIAhAhGAoYoAEyCQgDECEYChigATIHCAQQIRiPAjIHCAUQIRiPAjIHCAYQIRiPAtIBCDUwODVqMGo3qAIIsAIB8QWLeZUXf_HIcg&amp;sourceid=chrome&amp;ie=UTF-8</vt:lpwstr>
      </vt:variant>
      <vt:variant>
        <vt:lpwstr/>
      </vt:variant>
      <vt:variant>
        <vt:i4>7077920</vt:i4>
      </vt:variant>
      <vt:variant>
        <vt:i4>24</vt:i4>
      </vt:variant>
      <vt:variant>
        <vt:i4>0</vt:i4>
      </vt:variant>
      <vt:variant>
        <vt:i4>5</vt:i4>
      </vt:variant>
      <vt:variant>
        <vt:lpwstr>https://www.dcceew.gov.au/energy/programs/default-market-offer</vt:lpwstr>
      </vt:variant>
      <vt:variant>
        <vt:lpwstr/>
      </vt:variant>
      <vt:variant>
        <vt:i4>1900626</vt:i4>
      </vt:variant>
      <vt:variant>
        <vt:i4>21</vt:i4>
      </vt:variant>
      <vt:variant>
        <vt:i4>0</vt:i4>
      </vt:variant>
      <vt:variant>
        <vt:i4>5</vt:i4>
      </vt:variant>
      <vt:variant>
        <vt:lpwstr>file://C:\\Users\ElyshaZITHA\Downloads\State of the energy market 2025 - Full report_0 (1).pdf</vt:lpwstr>
      </vt:variant>
      <vt:variant>
        <vt:lpwstr/>
      </vt:variant>
      <vt:variant>
        <vt:i4>7471155</vt:i4>
      </vt:variant>
      <vt:variant>
        <vt:i4>18</vt:i4>
      </vt:variant>
      <vt:variant>
        <vt:i4>0</vt:i4>
      </vt:variant>
      <vt:variant>
        <vt:i4>5</vt:i4>
      </vt:variant>
      <vt:variant>
        <vt:lpwstr>C:\Users\ElyshaZITHA\Downloads\State of the energy market 2024.pdf</vt:lpwstr>
      </vt:variant>
      <vt:variant>
        <vt:lpwstr/>
      </vt:variant>
      <vt:variant>
        <vt:i4>1769545</vt:i4>
      </vt:variant>
      <vt:variant>
        <vt:i4>15</vt:i4>
      </vt:variant>
      <vt:variant>
        <vt:i4>0</vt:i4>
      </vt:variant>
      <vt:variant>
        <vt:i4>5</vt:i4>
      </vt:variant>
      <vt:variant>
        <vt:lpwstr>https://www.aemo.com.au/energy-systems/major-publications/integrated-system-plan-isp/2024-integrated-system-plan-isp</vt:lpwstr>
      </vt:variant>
      <vt:variant>
        <vt:lpwstr/>
      </vt:variant>
      <vt:variant>
        <vt:i4>1179733</vt:i4>
      </vt:variant>
      <vt:variant>
        <vt:i4>12</vt:i4>
      </vt:variant>
      <vt:variant>
        <vt:i4>0</vt:i4>
      </vt:variant>
      <vt:variant>
        <vt:i4>5</vt:i4>
      </vt:variant>
      <vt:variant>
        <vt:lpwstr>https://www.aer.gov.au/publications/reports/performance/state-energy-market-2025</vt:lpwstr>
      </vt:variant>
      <vt:variant>
        <vt:lpwstr/>
      </vt:variant>
      <vt:variant>
        <vt:i4>589907</vt:i4>
      </vt:variant>
      <vt:variant>
        <vt:i4>9</vt:i4>
      </vt:variant>
      <vt:variant>
        <vt:i4>0</vt:i4>
      </vt:variant>
      <vt:variant>
        <vt:i4>5</vt:i4>
      </vt:variant>
      <vt:variant>
        <vt:lpwstr>https://storage.googleapis.com/files-au-climate/climate-au/p/prj38bdad552e555e1c7f990/page/Solar_Sharer_Offer_consultation_outcomes_paper_PDF_939KB_.pdf</vt:lpwstr>
      </vt:variant>
      <vt:variant>
        <vt:lpwstr/>
      </vt:variant>
      <vt:variant>
        <vt:i4>6946937</vt:i4>
      </vt:variant>
      <vt:variant>
        <vt:i4>6</vt:i4>
      </vt:variant>
      <vt:variant>
        <vt:i4>0</vt:i4>
      </vt:variant>
      <vt:variant>
        <vt:i4>5</vt:i4>
      </vt:variant>
      <vt:variant>
        <vt:lpwstr>https://consult.dcceew.gov.au/solar-sharer-offer/lodge-submission/list</vt:lpwstr>
      </vt:variant>
      <vt:variant>
        <vt:lpwstr/>
      </vt:variant>
      <vt:variant>
        <vt:i4>1769571</vt:i4>
      </vt:variant>
      <vt:variant>
        <vt:i4>3</vt:i4>
      </vt:variant>
      <vt:variant>
        <vt:i4>0</vt:i4>
      </vt:variant>
      <vt:variant>
        <vt:i4>5</vt:i4>
      </vt:variant>
      <vt:variant>
        <vt:lpwstr>https://storage.googleapis.com/files-au-climate/climate-au/p/prj38bdad552e555e1c7f990/page/Solar_Sharer_Offer_Consultation_Paper_2025_26_PDF_880KB_.pdf</vt:lpwstr>
      </vt:variant>
      <vt:variant>
        <vt:lpwstr/>
      </vt:variant>
      <vt:variant>
        <vt:i4>8060960</vt:i4>
      </vt:variant>
      <vt:variant>
        <vt:i4>0</vt:i4>
      </vt:variant>
      <vt:variant>
        <vt:i4>0</vt:i4>
      </vt:variant>
      <vt:variant>
        <vt:i4>5</vt:i4>
      </vt:variant>
      <vt:variant>
        <vt:lpwstr>https://cer.gov.au/news-and-media/news/2024/december/australia-reaches-4-million-small-scale-renewable-energy-installations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2026-03-06T00:59:00Z</dcterms:created>
  <dcterms:modified xsi:type="dcterms:W3CDTF">2026-03-06T00:59:00Z</dcterms:modified>
  <cp:category/>
</cp:coreProperties>
</file>